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D2E5" w14:textId="6958550E" w:rsidR="007D6A94" w:rsidRDefault="007D6A94" w:rsidP="007D6A94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C3DC50" wp14:editId="39257094">
            <wp:extent cx="720000" cy="620760"/>
            <wp:effectExtent l="0" t="0" r="4445" b="8255"/>
            <wp:docPr id="172751586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15860" name="Obrázek 17275158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6601" w14:textId="77777777" w:rsidR="007D6A94" w:rsidRDefault="007D6A94" w:rsidP="007D6A94">
      <w:pPr>
        <w:jc w:val="center"/>
        <w:outlineLvl w:val="0"/>
        <w:rPr>
          <w:b/>
          <w:sz w:val="28"/>
          <w:szCs w:val="28"/>
        </w:rPr>
      </w:pPr>
    </w:p>
    <w:p w14:paraId="72A59C48" w14:textId="77777777" w:rsidR="007D6A94" w:rsidRDefault="007D6A94" w:rsidP="007D6A94">
      <w:pPr>
        <w:jc w:val="center"/>
        <w:outlineLvl w:val="0"/>
        <w:rPr>
          <w:b/>
          <w:sz w:val="28"/>
          <w:szCs w:val="28"/>
        </w:rPr>
      </w:pPr>
    </w:p>
    <w:p w14:paraId="69A82BF7" w14:textId="65537F55" w:rsidR="00ED2E71" w:rsidRPr="00C3396A" w:rsidRDefault="00EA2916" w:rsidP="007D6A94">
      <w:pPr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73AB7F44" w14:textId="77777777" w:rsidR="00ED2E71" w:rsidRPr="008F74E8" w:rsidRDefault="00ED2E71" w:rsidP="007D6A94">
      <w:pPr>
        <w:jc w:val="center"/>
      </w:pPr>
    </w:p>
    <w:p w14:paraId="153E3A0F" w14:textId="670A3256" w:rsidR="00ED2E71" w:rsidRDefault="00EA2916" w:rsidP="007D6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D283B">
        <w:rPr>
          <w:b/>
          <w:sz w:val="28"/>
          <w:szCs w:val="28"/>
        </w:rPr>
        <w:t>5</w:t>
      </w:r>
      <w:r w:rsidRPr="00C339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ED283B">
        <w:rPr>
          <w:b/>
          <w:sz w:val="28"/>
          <w:szCs w:val="28"/>
        </w:rPr>
        <w:t>8</w:t>
      </w:r>
    </w:p>
    <w:p w14:paraId="0F4609B9" w14:textId="77777777" w:rsidR="00ED2E71" w:rsidRPr="002A5BDE" w:rsidRDefault="00ED2E71" w:rsidP="007D6A94">
      <w:pPr>
        <w:jc w:val="center"/>
      </w:pPr>
    </w:p>
    <w:p w14:paraId="0CEFC17F" w14:textId="56695C48" w:rsidR="00DA662C" w:rsidRDefault="00EA2916" w:rsidP="007D6A94">
      <w:pPr>
        <w:jc w:val="center"/>
        <w:rPr>
          <w:b/>
          <w:sz w:val="28"/>
          <w:szCs w:val="28"/>
        </w:rPr>
      </w:pPr>
      <w:bookmarkStart w:id="0" w:name="_Hlk158721142"/>
      <w:r w:rsidRPr="002A5BDE">
        <w:rPr>
          <w:b/>
          <w:sz w:val="28"/>
          <w:szCs w:val="28"/>
        </w:rPr>
        <w:t xml:space="preserve">Peněžní prostředky </w:t>
      </w:r>
      <w:r w:rsidR="002A5BDE" w:rsidRPr="002A5BDE">
        <w:rPr>
          <w:b/>
          <w:sz w:val="28"/>
          <w:szCs w:val="28"/>
        </w:rPr>
        <w:t>určené na podporu opatření k přizpůsobení se změně klimatu při hospodaření se srážkovými vodami</w:t>
      </w:r>
    </w:p>
    <w:p w14:paraId="0EE02550" w14:textId="77777777" w:rsidR="007D6A94" w:rsidRDefault="007D6A94" w:rsidP="007D6A94">
      <w:pPr>
        <w:jc w:val="center"/>
        <w:rPr>
          <w:b/>
          <w:sz w:val="28"/>
          <w:szCs w:val="28"/>
        </w:rPr>
      </w:pPr>
    </w:p>
    <w:p w14:paraId="79586B9B" w14:textId="77777777" w:rsidR="007D6A94" w:rsidRDefault="007D6A94" w:rsidP="007D6A94">
      <w:pPr>
        <w:jc w:val="center"/>
        <w:rPr>
          <w:b/>
          <w:sz w:val="28"/>
          <w:szCs w:val="28"/>
        </w:rPr>
      </w:pPr>
    </w:p>
    <w:bookmarkEnd w:id="0"/>
    <w:p w14:paraId="64DEDCF5" w14:textId="56695C48" w:rsidR="00ED2E71" w:rsidRPr="00321AB1" w:rsidRDefault="00EA2916" w:rsidP="007D6A94">
      <w:pPr>
        <w:spacing w:after="120" w:line="264" w:lineRule="auto"/>
      </w:pPr>
      <w:r w:rsidRPr="00F60475">
        <w:t>Kontrolní akce byla zařazena do plánu kontrolní činnosti Nejvyššího kontrolního úřadu (dále také „NKÚ“) na rok</w:t>
      </w:r>
      <w:r w:rsidRPr="00321AB1">
        <w:t xml:space="preserve"> 20</w:t>
      </w:r>
      <w:r>
        <w:t>2</w:t>
      </w:r>
      <w:r w:rsidR="00FD78F3">
        <w:t>5</w:t>
      </w:r>
      <w:r w:rsidRPr="00321AB1">
        <w:t xml:space="preserve"> pod číslem </w:t>
      </w:r>
      <w:r>
        <w:t>2</w:t>
      </w:r>
      <w:r w:rsidR="00FD78F3">
        <w:t>5</w:t>
      </w:r>
      <w:r w:rsidRPr="00321AB1">
        <w:t>/</w:t>
      </w:r>
      <w:r>
        <w:t>0</w:t>
      </w:r>
      <w:r w:rsidR="00FD78F3">
        <w:t>8</w:t>
      </w:r>
      <w:r w:rsidRPr="00321AB1">
        <w:t xml:space="preserve">. </w:t>
      </w:r>
      <w:bookmarkStart w:id="1" w:name="_Hlk158721201"/>
      <w:r w:rsidRPr="00321AB1">
        <w:t xml:space="preserve">Kontrolní akci řídil a kontrolní závěr vypracoval člen NKÚ RNDr. Petr </w:t>
      </w:r>
      <w:proofErr w:type="spellStart"/>
      <w:r w:rsidRPr="00321AB1">
        <w:t>Neuvirt</w:t>
      </w:r>
      <w:bookmarkEnd w:id="1"/>
      <w:proofErr w:type="spellEnd"/>
      <w:r w:rsidRPr="00321AB1">
        <w:t>.</w:t>
      </w:r>
    </w:p>
    <w:p w14:paraId="54CF8935" w14:textId="30F8A7FA" w:rsidR="00ED2E71" w:rsidRDefault="00EA2916" w:rsidP="00D03419">
      <w:pPr>
        <w:spacing w:before="240" w:after="120" w:line="264" w:lineRule="auto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rověřit</w:t>
      </w:r>
      <w:r w:rsidRPr="00193A3C">
        <w:t xml:space="preserve">, </w:t>
      </w:r>
      <w:bookmarkStart w:id="2" w:name="_Hlk124949755"/>
      <w:r w:rsidR="00DA662C" w:rsidRPr="00DA662C">
        <w:t xml:space="preserve">zda </w:t>
      </w:r>
      <w:r w:rsidR="00887B92" w:rsidRPr="00887B92">
        <w:t>peněžní prostředky</w:t>
      </w:r>
      <w:r w:rsidR="00FD78F3">
        <w:t xml:space="preserve"> </w:t>
      </w:r>
      <w:r w:rsidR="00FD78F3" w:rsidRPr="00FD78F3">
        <w:t>určené na podporu opatření k</w:t>
      </w:r>
      <w:r w:rsidR="00FD78F3">
        <w:t> </w:t>
      </w:r>
      <w:r w:rsidR="00FD78F3" w:rsidRPr="00FD78F3">
        <w:t>přizpůsobení se změně klimatu při hospodaření se srážkovými vodami byly vynakládány účelně a v souladu s právními předpisy.</w:t>
      </w:r>
    </w:p>
    <w:p w14:paraId="38CF86CD" w14:textId="29CC39FA" w:rsidR="00ED2E71" w:rsidRPr="00321AB1" w:rsidRDefault="00EA2916" w:rsidP="00D03419">
      <w:pPr>
        <w:spacing w:before="240" w:after="120" w:line="264" w:lineRule="auto"/>
      </w:pPr>
      <w:bookmarkStart w:id="3" w:name="_Hlk158721484"/>
      <w:bookmarkEnd w:id="2"/>
      <w:r w:rsidRPr="00321AB1">
        <w:t xml:space="preserve">Kontrola byla prováděna u kontrolovaných osob v období od </w:t>
      </w:r>
      <w:r w:rsidR="00557A67">
        <w:t>dub</w:t>
      </w:r>
      <w:r>
        <w:t>na</w:t>
      </w:r>
      <w:r w:rsidRPr="00321AB1">
        <w:t xml:space="preserve"> 20</w:t>
      </w:r>
      <w:r>
        <w:t>2</w:t>
      </w:r>
      <w:r w:rsidR="00FD78F3">
        <w:t>5</w:t>
      </w:r>
      <w:r w:rsidRPr="00321AB1">
        <w:t xml:space="preserve"> do </w:t>
      </w:r>
      <w:r w:rsidR="00887B92">
        <w:t>prosince</w:t>
      </w:r>
      <w:r>
        <w:t xml:space="preserve"> 202</w:t>
      </w:r>
      <w:bookmarkEnd w:id="3"/>
      <w:r w:rsidR="00FD78F3">
        <w:t>5</w:t>
      </w:r>
      <w:r>
        <w:t>.</w:t>
      </w:r>
    </w:p>
    <w:p w14:paraId="0C734A6E" w14:textId="703AB007" w:rsidR="00ED2E71" w:rsidRDefault="00EA2916" w:rsidP="00D03419">
      <w:pPr>
        <w:spacing w:before="240" w:after="120" w:line="264" w:lineRule="auto"/>
      </w:pPr>
      <w:r w:rsidRPr="00321AB1">
        <w:t>Kontrolovaným obdobím byly roky 20</w:t>
      </w:r>
      <w:r w:rsidR="00DA662C">
        <w:t>2</w:t>
      </w:r>
      <w:r w:rsidR="00FD78F3">
        <w:t>2</w:t>
      </w:r>
      <w:r w:rsidRPr="00321AB1">
        <w:t xml:space="preserve"> až 20</w:t>
      </w:r>
      <w:r>
        <w:t>2</w:t>
      </w:r>
      <w:r w:rsidR="00FD78F3">
        <w:t>4</w:t>
      </w:r>
      <w:r w:rsidRPr="00321AB1">
        <w:t>, v</w:t>
      </w:r>
      <w:r w:rsidR="0000077A">
        <w:t xml:space="preserve"> </w:t>
      </w:r>
      <w:r w:rsidRPr="00321AB1">
        <w:t>případě věcných souvislostí i</w:t>
      </w:r>
      <w:r w:rsidR="007265D4">
        <w:t xml:space="preserve"> </w:t>
      </w:r>
      <w:r w:rsidRPr="00321AB1">
        <w:t>období předcházející a následující.</w:t>
      </w:r>
    </w:p>
    <w:p w14:paraId="2EECEF21" w14:textId="77777777" w:rsidR="001F3B0C" w:rsidRDefault="00EA2916" w:rsidP="00D03419">
      <w:pPr>
        <w:spacing w:line="264" w:lineRule="auto"/>
        <w:rPr>
          <w:b/>
          <w:bCs/>
        </w:rPr>
      </w:pPr>
      <w:r w:rsidRPr="00D03419">
        <w:rPr>
          <w:b/>
          <w:bCs/>
        </w:rPr>
        <w:t>Kontrolované osoby:</w:t>
      </w:r>
    </w:p>
    <w:p w14:paraId="32A89212" w14:textId="77777777" w:rsidR="000643A4" w:rsidRDefault="00EA2916" w:rsidP="00D03419">
      <w:pPr>
        <w:spacing w:line="264" w:lineRule="auto"/>
      </w:pPr>
      <w:bookmarkStart w:id="4" w:name="_Hlk100739285"/>
      <w:r w:rsidRPr="00D03419">
        <w:t>Ministerstvo životního prostředí (dále také „MŽP“);</w:t>
      </w:r>
      <w:r w:rsidR="00E22908" w:rsidRPr="00D03419">
        <w:t xml:space="preserve"> </w:t>
      </w:r>
    </w:p>
    <w:p w14:paraId="39CF82C5" w14:textId="77777777" w:rsidR="000643A4" w:rsidRDefault="00EA2916" w:rsidP="00D03419">
      <w:pPr>
        <w:spacing w:line="264" w:lineRule="auto"/>
      </w:pPr>
      <w:r w:rsidRPr="00D03419">
        <w:t>Státní fond životního prostředí České republiky</w:t>
      </w:r>
      <w:bookmarkEnd w:id="4"/>
      <w:r w:rsidRPr="00D03419">
        <w:t>, Praha (dále také „SFŽP“);</w:t>
      </w:r>
      <w:r w:rsidR="00557A67" w:rsidRPr="00D03419">
        <w:t xml:space="preserve"> </w:t>
      </w:r>
    </w:p>
    <w:p w14:paraId="4D03E109" w14:textId="77777777" w:rsidR="000643A4" w:rsidRDefault="00FD78F3" w:rsidP="00D03419">
      <w:pPr>
        <w:spacing w:line="264" w:lineRule="auto"/>
      </w:pPr>
      <w:r>
        <w:t xml:space="preserve">město Hranice; </w:t>
      </w:r>
    </w:p>
    <w:p w14:paraId="3C39BB9E" w14:textId="77777777" w:rsidR="000643A4" w:rsidRDefault="00FD78F3" w:rsidP="00D03419">
      <w:pPr>
        <w:spacing w:line="264" w:lineRule="auto"/>
      </w:pPr>
      <w:r>
        <w:t xml:space="preserve">město Uherské Hradiště; </w:t>
      </w:r>
    </w:p>
    <w:p w14:paraId="0D49A430" w14:textId="77777777" w:rsidR="000643A4" w:rsidRDefault="00FD78F3" w:rsidP="00D03419">
      <w:pPr>
        <w:spacing w:line="264" w:lineRule="auto"/>
      </w:pPr>
      <w:r>
        <w:t xml:space="preserve">město Řevnice; </w:t>
      </w:r>
    </w:p>
    <w:p w14:paraId="09DAA84B" w14:textId="77777777" w:rsidR="000643A4" w:rsidRDefault="00FD78F3" w:rsidP="00D03419">
      <w:pPr>
        <w:spacing w:line="264" w:lineRule="auto"/>
      </w:pPr>
      <w:r>
        <w:t xml:space="preserve">obec Přísnotice; </w:t>
      </w:r>
    </w:p>
    <w:p w14:paraId="5225D4CC" w14:textId="77777777" w:rsidR="000643A4" w:rsidRDefault="00FD78F3" w:rsidP="00D03419">
      <w:pPr>
        <w:spacing w:line="264" w:lineRule="auto"/>
      </w:pPr>
      <w:r>
        <w:t xml:space="preserve">obec Velká Hleďsebe; </w:t>
      </w:r>
    </w:p>
    <w:p w14:paraId="1E267763" w14:textId="55617682" w:rsidR="000643A4" w:rsidRDefault="004B3111" w:rsidP="00D03419">
      <w:pPr>
        <w:spacing w:line="264" w:lineRule="auto"/>
      </w:pPr>
      <w:r>
        <w:t>o</w:t>
      </w:r>
      <w:r w:rsidR="00FD78F3">
        <w:t>bec Unkovice</w:t>
      </w:r>
      <w:r w:rsidR="001F0706">
        <w:t xml:space="preserve">; </w:t>
      </w:r>
    </w:p>
    <w:p w14:paraId="0145BE97" w14:textId="5A0F75C9" w:rsidR="00FD78F3" w:rsidRDefault="001F0706" w:rsidP="00D03419">
      <w:pPr>
        <w:spacing w:line="264" w:lineRule="auto"/>
      </w:pPr>
      <w:r>
        <w:t>statutární město Chomutov.</w:t>
      </w:r>
    </w:p>
    <w:p w14:paraId="7307F0B7" w14:textId="77777777" w:rsidR="00FD78F3" w:rsidRDefault="00FD78F3" w:rsidP="00D03419">
      <w:pPr>
        <w:spacing w:line="264" w:lineRule="auto"/>
      </w:pPr>
    </w:p>
    <w:p w14:paraId="659EF2ED" w14:textId="77777777" w:rsidR="00ED2E71" w:rsidRPr="00D8596E" w:rsidRDefault="00ED2E71" w:rsidP="00ED2E71">
      <w:pPr>
        <w:spacing w:before="120" w:after="120" w:line="264" w:lineRule="auto"/>
      </w:pPr>
    </w:p>
    <w:p w14:paraId="1DDA488A" w14:textId="1D553653" w:rsidR="00ED2E71" w:rsidRPr="001F0706" w:rsidRDefault="00EA2916" w:rsidP="00ED2E71">
      <w:pPr>
        <w:spacing w:after="120"/>
      </w:pPr>
      <w:r w:rsidRPr="006054F8">
        <w:rPr>
          <w:b/>
          <w:i/>
          <w:spacing w:val="40"/>
        </w:rPr>
        <w:t>Kolegium</w:t>
      </w:r>
      <w:r w:rsidRPr="006054F8">
        <w:rPr>
          <w:b/>
          <w:i/>
        </w:rPr>
        <w:t xml:space="preserve">   </w:t>
      </w:r>
      <w:r w:rsidRPr="00496AA6">
        <w:rPr>
          <w:b/>
          <w:i/>
          <w:spacing w:val="40"/>
        </w:rPr>
        <w:t>NKÚ</w:t>
      </w:r>
      <w:r w:rsidRPr="00496AA6">
        <w:rPr>
          <w:b/>
          <w:i/>
        </w:rPr>
        <w:t xml:space="preserve">   </w:t>
      </w:r>
      <w:r w:rsidRPr="001F0706">
        <w:t xml:space="preserve">na svém </w:t>
      </w:r>
      <w:r w:rsidR="00A46DED">
        <w:t>V</w:t>
      </w:r>
      <w:r w:rsidRPr="001F0706">
        <w:t xml:space="preserve">. jednání, které se konalo dne </w:t>
      </w:r>
      <w:r w:rsidR="00A46DED">
        <w:t>30</w:t>
      </w:r>
      <w:r w:rsidR="001F3B0C" w:rsidRPr="001F0706">
        <w:t xml:space="preserve">. </w:t>
      </w:r>
      <w:r w:rsidR="00D11630">
        <w:t>břez</w:t>
      </w:r>
      <w:r w:rsidR="00AA0493" w:rsidRPr="001F0706">
        <w:t>na</w:t>
      </w:r>
      <w:r w:rsidR="008F77D5" w:rsidRPr="001F0706">
        <w:t xml:space="preserve"> </w:t>
      </w:r>
      <w:r w:rsidRPr="001F0706">
        <w:t>202</w:t>
      </w:r>
      <w:r w:rsidR="001F0706" w:rsidRPr="001F0706">
        <w:t>6</w:t>
      </w:r>
      <w:r w:rsidRPr="001F0706">
        <w:t>,</w:t>
      </w:r>
    </w:p>
    <w:p w14:paraId="5A1D92D3" w14:textId="3A632F70" w:rsidR="00ED2E71" w:rsidRPr="002E45FB" w:rsidRDefault="00EA2916" w:rsidP="00ED2E71">
      <w:pPr>
        <w:spacing w:after="120"/>
      </w:pPr>
      <w:r w:rsidRPr="001F0706">
        <w:rPr>
          <w:b/>
          <w:i/>
          <w:spacing w:val="40"/>
        </w:rPr>
        <w:t>schválilo</w:t>
      </w:r>
      <w:r w:rsidRPr="001F0706">
        <w:rPr>
          <w:b/>
          <w:i/>
        </w:rPr>
        <w:t xml:space="preserve">   </w:t>
      </w:r>
      <w:r w:rsidRPr="001F0706">
        <w:t>usnesením č.</w:t>
      </w:r>
      <w:r w:rsidR="00887B92" w:rsidRPr="001F0706">
        <w:t xml:space="preserve"> </w:t>
      </w:r>
      <w:r w:rsidR="00262807">
        <w:t>6</w:t>
      </w:r>
      <w:r w:rsidRPr="001F0706">
        <w:t>/</w:t>
      </w:r>
      <w:r w:rsidR="00A46DED">
        <w:t>V</w:t>
      </w:r>
      <w:r w:rsidRPr="001F0706">
        <w:t>/202</w:t>
      </w:r>
      <w:r w:rsidR="001F0706" w:rsidRPr="001F0706">
        <w:t>6</w:t>
      </w:r>
    </w:p>
    <w:p w14:paraId="3B968770" w14:textId="77777777" w:rsidR="004E1CB3" w:rsidRDefault="00EA2916" w:rsidP="004E1CB3">
      <w:pPr>
        <w:sectPr w:rsidR="004E1CB3" w:rsidSect="005C36ED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417" w:right="1417" w:bottom="1417" w:left="1417" w:header="709" w:footer="670" w:gutter="0"/>
          <w:cols w:space="708"/>
          <w:titlePg/>
          <w:docGrid w:linePitch="360"/>
        </w:sectPr>
      </w:pPr>
      <w:r w:rsidRPr="002E45FB">
        <w:rPr>
          <w:b/>
          <w:i/>
          <w:spacing w:val="40"/>
        </w:rPr>
        <w:t>kontrolní</w:t>
      </w:r>
      <w:r w:rsidRPr="002E45FB">
        <w:rPr>
          <w:b/>
          <w:i/>
        </w:rPr>
        <w:t xml:space="preserve">   </w:t>
      </w:r>
      <w:r w:rsidRPr="002E45FB">
        <w:rPr>
          <w:b/>
          <w:i/>
          <w:spacing w:val="40"/>
        </w:rPr>
        <w:t>závěr</w:t>
      </w:r>
      <w:r w:rsidRPr="002E45FB">
        <w:t xml:space="preserve">   v tomto znění:</w:t>
      </w:r>
      <w:bookmarkStart w:id="5" w:name="_Hlk164178975"/>
      <w:bookmarkStart w:id="6" w:name="_Hlk160719344"/>
    </w:p>
    <w:p w14:paraId="18D6A4EA" w14:textId="7DF5ADEC" w:rsidR="004E1CB3" w:rsidRPr="003F2C86" w:rsidRDefault="00FD78F3" w:rsidP="004E1CB3">
      <w:pPr>
        <w:spacing w:after="360"/>
        <w:jc w:val="center"/>
        <w:rPr>
          <w:rFonts w:ascii="Calibri" w:hAnsi="Calibri" w:cs="Calibri"/>
          <w:sz w:val="28"/>
          <w:szCs w:val="22"/>
        </w:rPr>
      </w:pPr>
      <w:r w:rsidRPr="00FD78F3">
        <w:rPr>
          <w:rFonts w:ascii="Calibri" w:hAnsi="Calibri" w:cs="Calibri"/>
          <w:b/>
          <w:sz w:val="28"/>
          <w:szCs w:val="22"/>
        </w:rPr>
        <w:lastRenderedPageBreak/>
        <w:t>Peněžní prostředky určené na podporu opatření k přizpůsobení se změně klimatu při hospodaření se srážkovými vodami</w:t>
      </w:r>
    </w:p>
    <w:p w14:paraId="7D815495" w14:textId="77777777" w:rsidR="004E1CB3" w:rsidRDefault="00EA2916" w:rsidP="004E1CB3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</w:rPr>
      </w:pPr>
      <w:r w:rsidRPr="003F2C8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27D52B" wp14:editId="4E29C197">
                <wp:simplePos x="0" y="0"/>
                <wp:positionH relativeFrom="margin">
                  <wp:posOffset>3696335</wp:posOffset>
                </wp:positionH>
                <wp:positionV relativeFrom="paragraph">
                  <wp:posOffset>103505</wp:posOffset>
                </wp:positionV>
                <wp:extent cx="2044065" cy="0"/>
                <wp:effectExtent l="0" t="0" r="0" b="0"/>
                <wp:wrapNone/>
                <wp:docPr id="1441458808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EFB0D" id="Přímá spojnice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8.15pt" to="45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F2C8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49825" wp14:editId="6C7D988F">
                <wp:simplePos x="0" y="0"/>
                <wp:positionH relativeFrom="column">
                  <wp:posOffset>-34290</wp:posOffset>
                </wp:positionH>
                <wp:positionV relativeFrom="paragraph">
                  <wp:posOffset>106680</wp:posOffset>
                </wp:positionV>
                <wp:extent cx="2109470" cy="0"/>
                <wp:effectExtent l="0" t="0" r="0" b="0"/>
                <wp:wrapNone/>
                <wp:docPr id="69761941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176EE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8.4pt" to="163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F2C86">
        <w:rPr>
          <w:rFonts w:ascii="Calibri" w:hAnsi="Calibri" w:cs="Calibri"/>
          <w:caps/>
        </w:rPr>
        <w:t>ZÁKLADNÍ INFORMACe</w:t>
      </w:r>
    </w:p>
    <w:p w14:paraId="744AF724" w14:textId="77777777" w:rsidR="00C66156" w:rsidRDefault="00C66156" w:rsidP="004E1CB3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p w14:paraId="7876FCA1" w14:textId="77777777" w:rsidR="00C66156" w:rsidRPr="00C66156" w:rsidRDefault="00C66156" w:rsidP="004E1CB3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C66156" w:rsidRPr="00D46B50" w14:paraId="28B41046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5923E2D2" w14:textId="0B293B05" w:rsidR="00411852" w:rsidRPr="004B3111" w:rsidRDefault="00411852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1 360,29 km</w:t>
            </w: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vertAlign w:val="superscript"/>
                <w:lang w:eastAsia="cs-CZ"/>
              </w:rPr>
              <w:t>2</w:t>
            </w:r>
          </w:p>
        </w:tc>
        <w:tc>
          <w:tcPr>
            <w:tcW w:w="3359" w:type="pct"/>
            <w:noWrap/>
            <w:vAlign w:val="center"/>
          </w:tcPr>
          <w:p w14:paraId="30D0F00A" w14:textId="77777777" w:rsidR="00C66156" w:rsidRDefault="00411852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Rozloha zastavěné plochy v</w:t>
            </w:r>
            <w:r w:rsidR="009F3D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</w:t>
            </w:r>
            <w:r w:rsidR="009F3DB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 roce 2024</w:t>
            </w:r>
          </w:p>
          <w:p w14:paraId="50C1750B" w14:textId="5A956B33" w:rsidR="00EF636D" w:rsidRDefault="009F3DB1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="00EF636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cca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2 % rozlohy ČR</w:t>
            </w:r>
            <w:r w:rsidR="00EF636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EF636D" w:rsidRPr="00D46B50" w14:paraId="5B7F46E0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66FDB4B4" w14:textId="13E50170" w:rsidR="00EF636D" w:rsidRPr="004B3111" w:rsidRDefault="00EF636D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4 %</w:t>
            </w:r>
          </w:p>
        </w:tc>
        <w:tc>
          <w:tcPr>
            <w:tcW w:w="3359" w:type="pct"/>
            <w:noWrap/>
            <w:vAlign w:val="center"/>
          </w:tcPr>
          <w:p w14:paraId="2E0A482A" w14:textId="42E3B60D" w:rsidR="00EF636D" w:rsidRDefault="00EF636D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Nárůst zastavěné plochy mezi roky 2000 a 202</w:t>
            </w:r>
            <w:r w:rsidR="00C661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  <w:tr w:rsidR="00C66156" w:rsidRPr="00D46B50" w14:paraId="10937302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27C6171D" w14:textId="50C3F5D5" w:rsidR="00C218B0" w:rsidRPr="004B3111" w:rsidRDefault="00C218B0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6 258</w:t>
            </w:r>
          </w:p>
        </w:tc>
        <w:tc>
          <w:tcPr>
            <w:tcW w:w="3359" w:type="pct"/>
            <w:noWrap/>
            <w:vAlign w:val="center"/>
            <w:hideMark/>
          </w:tcPr>
          <w:p w14:paraId="6DBA48EC" w14:textId="18C4904D" w:rsidR="00C218B0" w:rsidRPr="00D46B50" w:rsidRDefault="004B3111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počet o</w:t>
            </w:r>
            <w:r w:rsidR="004714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í</w:t>
            </w:r>
            <w:r w:rsidR="004714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ČR</w:t>
            </w:r>
          </w:p>
        </w:tc>
      </w:tr>
      <w:tr w:rsidR="00C66156" w:rsidRPr="00D46B50" w14:paraId="303DCE32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1D978C96" w14:textId="73D94100" w:rsidR="00C218B0" w:rsidRPr="004B3111" w:rsidRDefault="00C218B0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bookmarkStart w:id="7" w:name="_Hlk224216584"/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182</w:t>
            </w:r>
          </w:p>
        </w:tc>
        <w:tc>
          <w:tcPr>
            <w:tcW w:w="3359" w:type="pct"/>
            <w:noWrap/>
            <w:vAlign w:val="center"/>
            <w:hideMark/>
          </w:tcPr>
          <w:p w14:paraId="03AFD285" w14:textId="07F6CCC6" w:rsidR="00C218B0" w:rsidRPr="00D46B50" w:rsidRDefault="00471471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Dotované obce z NPO či OPŽP21+</w:t>
            </w:r>
          </w:p>
        </w:tc>
      </w:tr>
      <w:tr w:rsidR="00C66156" w:rsidRPr="00D46B50" w14:paraId="2B0B0705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46728D8D" w14:textId="349E39D0" w:rsidR="00C218B0" w:rsidRPr="004B3111" w:rsidRDefault="00C218B0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3 %</w:t>
            </w:r>
          </w:p>
        </w:tc>
        <w:tc>
          <w:tcPr>
            <w:tcW w:w="3359" w:type="pct"/>
            <w:vAlign w:val="center"/>
            <w:hideMark/>
          </w:tcPr>
          <w:p w14:paraId="4E1C0E3C" w14:textId="6D87103E" w:rsidR="00C218B0" w:rsidRPr="00D46B50" w:rsidRDefault="00C218B0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B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Podíl obcí, kterým MŽP poskytlo dotaci</w:t>
            </w:r>
          </w:p>
        </w:tc>
      </w:tr>
      <w:tr w:rsidR="00C66156" w:rsidRPr="00D46B50" w14:paraId="7B8A7799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19483DBE" w14:textId="28B62271" w:rsidR="00C218B0" w:rsidRPr="004B3111" w:rsidRDefault="00C218B0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1,59 mld. Kč</w:t>
            </w:r>
          </w:p>
        </w:tc>
        <w:tc>
          <w:tcPr>
            <w:tcW w:w="3359" w:type="pct"/>
            <w:noWrap/>
            <w:vAlign w:val="center"/>
            <w:hideMark/>
          </w:tcPr>
          <w:p w14:paraId="611913A5" w14:textId="43108B89" w:rsidR="00C218B0" w:rsidRPr="00D46B50" w:rsidRDefault="00471471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MŽP poskytnutých dotací obcím</w:t>
            </w:r>
          </w:p>
        </w:tc>
      </w:tr>
      <w:tr w:rsidR="00C66156" w:rsidRPr="00D46B50" w14:paraId="1813D0A6" w14:textId="77777777" w:rsidTr="00C66156">
        <w:trPr>
          <w:trHeight w:val="624"/>
        </w:trPr>
        <w:tc>
          <w:tcPr>
            <w:tcW w:w="1641" w:type="pct"/>
            <w:vAlign w:val="center"/>
          </w:tcPr>
          <w:p w14:paraId="48FBCE8C" w14:textId="71B126A9" w:rsidR="00C218B0" w:rsidRPr="004B3111" w:rsidRDefault="00C218B0" w:rsidP="00C218B0">
            <w:pPr>
              <w:jc w:val="center"/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</w:pPr>
            <w:r w:rsidRPr="004B3111">
              <w:rPr>
                <w:rFonts w:ascii="Calibri" w:eastAsia="Times New Roman" w:hAnsi="Calibri" w:cs="Calibri"/>
                <w:b/>
                <w:bCs/>
                <w:color w:val="2EB3A1"/>
                <w:sz w:val="32"/>
                <w:szCs w:val="32"/>
                <w:lang w:eastAsia="cs-CZ"/>
              </w:rPr>
              <w:t>293</w:t>
            </w:r>
          </w:p>
        </w:tc>
        <w:tc>
          <w:tcPr>
            <w:tcW w:w="3359" w:type="pct"/>
            <w:noWrap/>
            <w:vAlign w:val="center"/>
            <w:hideMark/>
          </w:tcPr>
          <w:p w14:paraId="0A1B14DB" w14:textId="245B1FEB" w:rsidR="00C218B0" w:rsidRPr="00D46B50" w:rsidRDefault="00C218B0" w:rsidP="00C218B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B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projektů</w:t>
            </w:r>
            <w:r w:rsidR="00872F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obcí</w:t>
            </w:r>
          </w:p>
        </w:tc>
      </w:tr>
      <w:bookmarkEnd w:id="7"/>
    </w:tbl>
    <w:p w14:paraId="20F54304" w14:textId="77777777" w:rsidR="002E1C36" w:rsidRDefault="002E1C36" w:rsidP="004E1CB3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p w14:paraId="5D96A360" w14:textId="77777777" w:rsidR="00C66156" w:rsidRDefault="00C66156" w:rsidP="004E1CB3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tbl>
      <w:tblPr>
        <w:tblpPr w:leftFromText="141" w:rightFromText="141" w:vertAnchor="text" w:horzAnchor="margin" w:tblpXSpec="center" w:tblpY="353"/>
        <w:tblOverlap w:val="never"/>
        <w:tblW w:w="5000" w:type="pct"/>
        <w:jc w:val="center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948"/>
        <w:gridCol w:w="6124"/>
      </w:tblGrid>
      <w:tr w:rsidR="00704AF7" w14:paraId="7A301B53" w14:textId="77777777" w:rsidTr="00EE36F4">
        <w:trPr>
          <w:trHeight w:val="732"/>
          <w:jc w:val="center"/>
        </w:trPr>
        <w:tc>
          <w:tcPr>
            <w:tcW w:w="1625" w:type="pct"/>
            <w:vAlign w:val="center"/>
          </w:tcPr>
          <w:p w14:paraId="53EF0D2F" w14:textId="77777777" w:rsidR="00704AF7" w:rsidRPr="00BB673F" w:rsidRDefault="00704AF7" w:rsidP="00EE36F4">
            <w:pPr>
              <w:jc w:val="left"/>
              <w:rPr>
                <w:rFonts w:ascii="Calibri" w:hAnsi="Calibri" w:cs="Calibri"/>
                <w:b/>
                <w:color w:val="AF1953"/>
              </w:rPr>
            </w:pPr>
            <w:r w:rsidRPr="00BB673F">
              <w:rPr>
                <w:rFonts w:ascii="Calibri" w:hAnsi="Calibri" w:cs="Calibri"/>
                <w:b/>
                <w:color w:val="AF1953"/>
              </w:rPr>
              <w:t>Nejednotný systém měření dopadů a efektů</w:t>
            </w:r>
          </w:p>
        </w:tc>
        <w:tc>
          <w:tcPr>
            <w:tcW w:w="3375" w:type="pct"/>
            <w:vAlign w:val="center"/>
          </w:tcPr>
          <w:p w14:paraId="14D994DA" w14:textId="77777777" w:rsidR="00704AF7" w:rsidRPr="001616ED" w:rsidRDefault="00704AF7" w:rsidP="00EE36F4">
            <w:r w:rsidRPr="001616ED">
              <w:t>MŽP ve třech kontrolovaných dotačních programech nastavilo tři různé soustavy ukazatelů pro sledování a</w:t>
            </w:r>
            <w:r>
              <w:t> </w:t>
            </w:r>
            <w:r w:rsidRPr="001616ED">
              <w:t>vyhodnocování efektů poskytnuté podpory, což neumožňuje porovnat výsledky mezi dotačními programy ani hodnotit přínosy k vytyčeným cílům.</w:t>
            </w:r>
          </w:p>
        </w:tc>
      </w:tr>
      <w:tr w:rsidR="004F6BCF" w14:paraId="34C19517" w14:textId="77777777" w:rsidTr="00EE36F4">
        <w:trPr>
          <w:trHeight w:val="161"/>
          <w:jc w:val="center"/>
        </w:trPr>
        <w:tc>
          <w:tcPr>
            <w:tcW w:w="1625" w:type="pct"/>
            <w:vAlign w:val="center"/>
          </w:tcPr>
          <w:p w14:paraId="22953ED5" w14:textId="1E10E51F" w:rsidR="004F6BCF" w:rsidRPr="00BB673F" w:rsidRDefault="00B44C2F" w:rsidP="00EE36F4">
            <w:pPr>
              <w:jc w:val="left"/>
              <w:rPr>
                <w:rFonts w:ascii="Calibri" w:hAnsi="Calibri" w:cs="Calibri"/>
                <w:b/>
                <w:color w:val="AF1953"/>
              </w:rPr>
            </w:pPr>
            <w:r>
              <w:rPr>
                <w:rFonts w:ascii="Calibri" w:hAnsi="Calibri" w:cs="Calibri"/>
                <w:b/>
                <w:color w:val="AF1953"/>
              </w:rPr>
              <w:t>Nedostatky v koncepčním řízení</w:t>
            </w:r>
          </w:p>
        </w:tc>
        <w:tc>
          <w:tcPr>
            <w:tcW w:w="3375" w:type="pct"/>
            <w:vAlign w:val="center"/>
          </w:tcPr>
          <w:p w14:paraId="35D20B12" w14:textId="77777777" w:rsidR="004F6BCF" w:rsidRPr="001616ED" w:rsidRDefault="004F6BCF" w:rsidP="00EE36F4">
            <w:r w:rsidRPr="001616ED">
              <w:t>MŽP nesplnilo úkol vypracovat strategický dokument pro oblast hospodaření se srážkovými vodami v</w:t>
            </w:r>
            <w:r>
              <w:t> </w:t>
            </w:r>
            <w:r w:rsidRPr="001616ED">
              <w:t>urbanizovaných územích.</w:t>
            </w:r>
          </w:p>
          <w:p w14:paraId="529838A3" w14:textId="55FF79D8" w:rsidR="004F6BCF" w:rsidRPr="001616ED" w:rsidRDefault="004F6BCF" w:rsidP="00EE36F4">
            <w:pPr>
              <w:spacing w:before="60"/>
            </w:pPr>
            <w:r w:rsidRPr="001616ED">
              <w:t>Většina opatření vzniká jednotlivě, bez vazby na potřeby celého území.</w:t>
            </w:r>
          </w:p>
        </w:tc>
      </w:tr>
      <w:tr w:rsidR="00704AF7" w14:paraId="648A6557" w14:textId="77777777" w:rsidTr="00EE36F4">
        <w:trPr>
          <w:trHeight w:val="510"/>
          <w:jc w:val="center"/>
        </w:trPr>
        <w:tc>
          <w:tcPr>
            <w:tcW w:w="1625" w:type="pct"/>
            <w:vAlign w:val="center"/>
          </w:tcPr>
          <w:p w14:paraId="6095F283" w14:textId="01908518" w:rsidR="00704AF7" w:rsidRPr="001616ED" w:rsidRDefault="00704AF7" w:rsidP="00EE36F4">
            <w:pPr>
              <w:jc w:val="left"/>
              <w:rPr>
                <w:rFonts w:ascii="Calibri" w:hAnsi="Calibri" w:cs="Calibri"/>
                <w:b/>
                <w:color w:val="AF1953"/>
              </w:rPr>
            </w:pPr>
            <w:r w:rsidRPr="001616ED">
              <w:rPr>
                <w:rFonts w:ascii="Calibri" w:hAnsi="Calibri" w:cs="Calibri"/>
                <w:b/>
                <w:color w:val="AF1953"/>
              </w:rPr>
              <w:t>Zaostávání v budování zelených střech</w:t>
            </w:r>
          </w:p>
        </w:tc>
        <w:tc>
          <w:tcPr>
            <w:tcW w:w="3375" w:type="pct"/>
            <w:vAlign w:val="center"/>
          </w:tcPr>
          <w:p w14:paraId="7385869F" w14:textId="039F4502" w:rsidR="00704AF7" w:rsidRPr="001616ED" w:rsidRDefault="00704AF7" w:rsidP="00EE36F4">
            <w:r w:rsidRPr="001616ED">
              <w:t xml:space="preserve">Z </w:t>
            </w:r>
            <w:r w:rsidR="00D54285">
              <w:t>dostupných dat</w:t>
            </w:r>
            <w:r w:rsidRPr="001616ED">
              <w:t xml:space="preserve"> vyplývá, že ČR významně</w:t>
            </w:r>
            <w:r w:rsidR="004B3111" w:rsidRPr="001616ED">
              <w:t xml:space="preserve"> zaostává</w:t>
            </w:r>
            <w:r w:rsidRPr="001616ED">
              <w:t xml:space="preserve"> v</w:t>
            </w:r>
            <w:r w:rsidR="002E0AF4">
              <w:t xml:space="preserve"> budování </w:t>
            </w:r>
            <w:r w:rsidRPr="001616ED">
              <w:t xml:space="preserve">zelených střech </w:t>
            </w:r>
            <w:r w:rsidR="004B3111">
              <w:t>za</w:t>
            </w:r>
            <w:r w:rsidRPr="001616ED">
              <w:t xml:space="preserve"> Rakousk</w:t>
            </w:r>
            <w:r w:rsidR="004B3111">
              <w:t>em</w:t>
            </w:r>
            <w:r w:rsidRPr="001616ED">
              <w:t xml:space="preserve"> a</w:t>
            </w:r>
            <w:r>
              <w:t> </w:t>
            </w:r>
            <w:r w:rsidRPr="001616ED">
              <w:t>Německ</w:t>
            </w:r>
            <w:r w:rsidR="004B3111">
              <w:t>em</w:t>
            </w:r>
            <w:r w:rsidRPr="001616ED">
              <w:t>.</w:t>
            </w:r>
          </w:p>
        </w:tc>
      </w:tr>
      <w:tr w:rsidR="00704AF7" w14:paraId="376679DC" w14:textId="77777777" w:rsidTr="00EE36F4">
        <w:trPr>
          <w:trHeight w:val="510"/>
          <w:jc w:val="center"/>
        </w:trPr>
        <w:tc>
          <w:tcPr>
            <w:tcW w:w="1625" w:type="pct"/>
            <w:vAlign w:val="center"/>
          </w:tcPr>
          <w:p w14:paraId="2C5EA3E2" w14:textId="384A1379" w:rsidR="00704AF7" w:rsidRPr="001616ED" w:rsidRDefault="00F10003" w:rsidP="00EE36F4">
            <w:pPr>
              <w:jc w:val="left"/>
              <w:rPr>
                <w:rFonts w:ascii="Calibri" w:hAnsi="Calibri" w:cs="Calibri"/>
                <w:b/>
                <w:color w:val="AF1953"/>
              </w:rPr>
            </w:pPr>
            <w:r>
              <w:rPr>
                <w:rFonts w:ascii="Calibri" w:hAnsi="Calibri" w:cs="Calibri"/>
                <w:b/>
                <w:color w:val="AF1953"/>
              </w:rPr>
              <w:t>Nedostatky v zadávání veřejných zakázek</w:t>
            </w:r>
          </w:p>
        </w:tc>
        <w:tc>
          <w:tcPr>
            <w:tcW w:w="3375" w:type="pct"/>
            <w:vAlign w:val="center"/>
          </w:tcPr>
          <w:p w14:paraId="45C1D072" w14:textId="1027061E" w:rsidR="00704AF7" w:rsidRPr="001616ED" w:rsidRDefault="00704AF7" w:rsidP="00EE36F4">
            <w:r w:rsidRPr="001616ED">
              <w:t>NKÚ</w:t>
            </w:r>
            <w:r w:rsidR="00D352AC">
              <w:t xml:space="preserve"> zjistil</w:t>
            </w:r>
            <w:r w:rsidRPr="001616ED">
              <w:t xml:space="preserve"> u</w:t>
            </w:r>
            <w:r w:rsidR="00D352AC">
              <w:t xml:space="preserve"> pěti z devíti </w:t>
            </w:r>
            <w:r w:rsidR="00F10003">
              <w:t>kontrolovaných p</w:t>
            </w:r>
            <w:r w:rsidR="00D352AC">
              <w:t>rojektů, že příjemci</w:t>
            </w:r>
            <w:r w:rsidR="00F10003">
              <w:t xml:space="preserve"> </w:t>
            </w:r>
            <w:r w:rsidR="00D352AC">
              <w:t>dotace</w:t>
            </w:r>
            <w:r w:rsidR="00F10003">
              <w:t xml:space="preserve"> poruš</w:t>
            </w:r>
            <w:r w:rsidR="00D352AC">
              <w:t>ili</w:t>
            </w:r>
            <w:r w:rsidR="00F10003">
              <w:t xml:space="preserve"> </w:t>
            </w:r>
            <w:r w:rsidRPr="001616ED">
              <w:t>zákon</w:t>
            </w:r>
            <w:r w:rsidR="006D5C33">
              <w:t xml:space="preserve"> </w:t>
            </w:r>
            <w:r w:rsidR="006D5C33" w:rsidRPr="006E366F">
              <w:rPr>
                <w:rFonts w:eastAsia="Calibri"/>
                <w:bCs/>
              </w:rPr>
              <w:t>č. 134/2016 Sb., o</w:t>
            </w:r>
            <w:r w:rsidR="006D5C33">
              <w:rPr>
                <w:rFonts w:eastAsia="Calibri"/>
                <w:bCs/>
              </w:rPr>
              <w:t> </w:t>
            </w:r>
            <w:r w:rsidR="006D5C33" w:rsidRPr="006E366F">
              <w:rPr>
                <w:rFonts w:eastAsia="Calibri"/>
                <w:bCs/>
              </w:rPr>
              <w:t>zadávání veřejných zakázek</w:t>
            </w:r>
            <w:r w:rsidR="00D352AC">
              <w:rPr>
                <w:bCs/>
              </w:rPr>
              <w:t>, čímž omezili hospodářskou soutěž.</w:t>
            </w:r>
          </w:p>
        </w:tc>
      </w:tr>
    </w:tbl>
    <w:p w14:paraId="134B9342" w14:textId="77777777" w:rsidR="00864C1D" w:rsidRDefault="00EA2916" w:rsidP="00864C1D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  <w:r w:rsidRPr="003F2C8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528CFA" wp14:editId="5EF7235E">
                <wp:simplePos x="0" y="0"/>
                <wp:positionH relativeFrom="margin">
                  <wp:posOffset>3696335</wp:posOffset>
                </wp:positionH>
                <wp:positionV relativeFrom="paragraph">
                  <wp:posOffset>103505</wp:posOffset>
                </wp:positionV>
                <wp:extent cx="2044065" cy="0"/>
                <wp:effectExtent l="0" t="0" r="0" b="0"/>
                <wp:wrapNone/>
                <wp:docPr id="150501654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9D9D4" id="Přímá spojnice 6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8.15pt" to="45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3F2C8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14B11A" wp14:editId="16DB1820">
                <wp:simplePos x="0" y="0"/>
                <wp:positionH relativeFrom="column">
                  <wp:posOffset>-34290</wp:posOffset>
                </wp:positionH>
                <wp:positionV relativeFrom="paragraph">
                  <wp:posOffset>106680</wp:posOffset>
                </wp:positionV>
                <wp:extent cx="2109470" cy="0"/>
                <wp:effectExtent l="0" t="0" r="0" b="0"/>
                <wp:wrapNone/>
                <wp:docPr id="758760291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AA991" id="Přímá spojnice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8.4pt" to="163.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F2C86">
        <w:rPr>
          <w:rFonts w:ascii="Calibri" w:hAnsi="Calibri" w:cs="Calibri"/>
          <w:caps/>
        </w:rPr>
        <w:t>ZJištěné Skutečnosti</w:t>
      </w:r>
    </w:p>
    <w:p w14:paraId="555D18FA" w14:textId="77777777" w:rsidR="00864C1D" w:rsidRDefault="00864C1D" w:rsidP="00864C1D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p w14:paraId="0FF8AC11" w14:textId="77777777" w:rsidR="00864C1D" w:rsidRPr="00C66156" w:rsidRDefault="00864C1D" w:rsidP="00864C1D">
      <w:pPr>
        <w:tabs>
          <w:tab w:val="left" w:pos="1115"/>
        </w:tabs>
        <w:ind w:left="1416" w:hanging="1416"/>
        <w:jc w:val="center"/>
        <w:rPr>
          <w:rFonts w:ascii="Calibri" w:hAnsi="Calibri" w:cs="Calibri"/>
          <w:caps/>
          <w:sz w:val="16"/>
          <w:szCs w:val="16"/>
        </w:rPr>
      </w:pPr>
    </w:p>
    <w:p w14:paraId="5147F1C2" w14:textId="0FF518E4" w:rsidR="001616ED" w:rsidRPr="002F1AE0" w:rsidRDefault="00FD78F3" w:rsidP="00864C1D">
      <w:pPr>
        <w:jc w:val="left"/>
        <w:rPr>
          <w:rFonts w:ascii="Calibri" w:hAnsi="Calibri" w:cs="Calibri"/>
          <w:caps/>
        </w:rPr>
      </w:pPr>
      <w:r>
        <w:rPr>
          <w:noProof/>
        </w:rPr>
        <w:br w:type="page"/>
      </w:r>
    </w:p>
    <w:p w14:paraId="2FDA331B" w14:textId="6B7B6DCA" w:rsidR="00CA2C1A" w:rsidRDefault="00864C1D" w:rsidP="00864C1D">
      <w:pPr>
        <w:pStyle w:val="Hlavnnadpis"/>
        <w:numPr>
          <w:ilvl w:val="0"/>
          <w:numId w:val="0"/>
        </w:numPr>
        <w:ind w:left="360"/>
      </w:pPr>
      <w:bookmarkStart w:id="8" w:name="_Hlk195095617"/>
      <w:r>
        <w:lastRenderedPageBreak/>
        <w:t xml:space="preserve">I. </w:t>
      </w:r>
      <w:r w:rsidR="00EA2916" w:rsidRPr="000043BD">
        <w:t>Shrnutí</w:t>
      </w:r>
      <w:r w:rsidR="00EA2916">
        <w:t xml:space="preserve"> a vyhodnocení</w:t>
      </w:r>
    </w:p>
    <w:p w14:paraId="01469622" w14:textId="4BC70770" w:rsidR="00AC7664" w:rsidRDefault="00AC7664" w:rsidP="00AC7664">
      <w:pPr>
        <w:pStyle w:val="JK3"/>
        <w:spacing w:before="120"/>
        <w:ind w:left="567" w:hanging="567"/>
      </w:pPr>
      <w:bookmarkStart w:id="9" w:name="_Hlk224215608"/>
      <w:bookmarkEnd w:id="5"/>
      <w:r>
        <w:t xml:space="preserve">V letech 2015 až 2018 Českou republiku postihlo víceleté sucho, které zdůraznilo </w:t>
      </w:r>
      <w:r w:rsidRPr="00C61595">
        <w:t>problém špatného hospodaření se srážkov</w:t>
      </w:r>
      <w:r w:rsidR="00ED6ED1" w:rsidRPr="00C61595">
        <w:t>ými vodami</w:t>
      </w:r>
      <w:r w:rsidR="00FA33C8">
        <w:t xml:space="preserve"> v urbanizovaných územích</w:t>
      </w:r>
      <w:r w:rsidRPr="00C61595">
        <w:t>.</w:t>
      </w:r>
      <w:r w:rsidR="008332EA">
        <w:rPr>
          <w:rStyle w:val="Znakapoznpodarou"/>
        </w:rPr>
        <w:footnoteReference w:id="2"/>
      </w:r>
      <w:r w:rsidRPr="00C61595">
        <w:t xml:space="preserve"> </w:t>
      </w:r>
      <w:r w:rsidR="004E212A">
        <w:t>Z</w:t>
      </w:r>
      <w:r>
        <w:t>astavěná plocha obcí</w:t>
      </w:r>
      <w:r w:rsidR="004E212A" w:rsidRPr="004E212A">
        <w:t xml:space="preserve"> </w:t>
      </w:r>
      <w:r w:rsidR="004E212A">
        <w:t>se přitom stále rozrůstá</w:t>
      </w:r>
      <w:r>
        <w:t xml:space="preserve">. </w:t>
      </w:r>
      <w:r w:rsidR="004E212A">
        <w:t>Z</w:t>
      </w:r>
      <w:r>
        <w:t>lepšení hospodaření se srážkov</w:t>
      </w:r>
      <w:r w:rsidR="00ED6ED1">
        <w:t xml:space="preserve">ými </w:t>
      </w:r>
      <w:r>
        <w:t>vod</w:t>
      </w:r>
      <w:r w:rsidR="00ED6ED1">
        <w:t>ami</w:t>
      </w:r>
      <w:r w:rsidR="004E212A">
        <w:t xml:space="preserve"> napomáhá</w:t>
      </w:r>
      <w:r>
        <w:t xml:space="preserve"> výměna nepropustných povrchů za propustné, </w:t>
      </w:r>
      <w:r w:rsidRPr="004D4612">
        <w:t>regulac</w:t>
      </w:r>
      <w:r w:rsidR="000D4957">
        <w:t>e</w:t>
      </w:r>
      <w:r w:rsidRPr="004D4612">
        <w:t xml:space="preserve"> odtoku</w:t>
      </w:r>
      <w:r w:rsidR="004E212A">
        <w:t xml:space="preserve">, akumulace a retence srážkových vod či budování </w:t>
      </w:r>
      <w:r w:rsidRPr="004D4612">
        <w:t>zelených střech. NKÚ</w:t>
      </w:r>
      <w:r w:rsidR="004B3111">
        <w:t xml:space="preserve"> </w:t>
      </w:r>
      <w:r w:rsidRPr="004D4612">
        <w:t xml:space="preserve">prověřil, do jaké míry </w:t>
      </w:r>
      <w:r w:rsidR="004B3111" w:rsidRPr="004D4612">
        <w:t xml:space="preserve">přispěly </w:t>
      </w:r>
      <w:r w:rsidR="004E212A">
        <w:t xml:space="preserve">dotace </w:t>
      </w:r>
      <w:r w:rsidRPr="004D4612">
        <w:t>poskyt</w:t>
      </w:r>
      <w:r w:rsidR="000D4957">
        <w:t>nuté</w:t>
      </w:r>
      <w:r w:rsidRPr="004D4612">
        <w:t xml:space="preserve"> MŽP</w:t>
      </w:r>
      <w:r w:rsidR="00B44C2F">
        <w:t xml:space="preserve"> na tato opatření</w:t>
      </w:r>
      <w:r w:rsidRPr="004D4612">
        <w:t xml:space="preserve"> k lepšímu hospodaření se srážkov</w:t>
      </w:r>
      <w:r w:rsidR="00ED6ED1">
        <w:t>ými</w:t>
      </w:r>
      <w:r w:rsidRPr="004D4612">
        <w:t xml:space="preserve"> vod</w:t>
      </w:r>
      <w:r w:rsidR="00ED6ED1">
        <w:t>ami</w:t>
      </w:r>
      <w:r w:rsidR="00FA33C8">
        <w:t xml:space="preserve"> </w:t>
      </w:r>
      <w:r w:rsidRPr="004D4612">
        <w:t xml:space="preserve">a </w:t>
      </w:r>
      <w:r>
        <w:t>zda</w:t>
      </w:r>
      <w:r w:rsidRPr="004D4612">
        <w:t xml:space="preserve"> </w:t>
      </w:r>
      <w:r w:rsidR="00FA33C8">
        <w:t>byly</w:t>
      </w:r>
      <w:r w:rsidRPr="004D4612">
        <w:t xml:space="preserve"> vynalož</w:t>
      </w:r>
      <w:r w:rsidR="00FA33C8">
        <w:t>eny</w:t>
      </w:r>
      <w:r w:rsidRPr="004D4612">
        <w:t xml:space="preserve"> účelně a v souladu s</w:t>
      </w:r>
      <w:r>
        <w:t> </w:t>
      </w:r>
      <w:r w:rsidRPr="004D4612">
        <w:t>právnímu předpisy.</w:t>
      </w:r>
    </w:p>
    <w:p w14:paraId="3339493D" w14:textId="0326E84E" w:rsidR="00AC7664" w:rsidRDefault="00AC7664" w:rsidP="00BC4A9A">
      <w:pPr>
        <w:pStyle w:val="JK3"/>
        <w:spacing w:before="60"/>
        <w:ind w:left="567" w:hanging="567"/>
        <w:rPr>
          <w:b/>
          <w:bCs/>
        </w:rPr>
      </w:pPr>
      <w:r w:rsidRPr="00007882">
        <w:rPr>
          <w:b/>
          <w:bCs/>
        </w:rPr>
        <w:t>Od roku</w:t>
      </w:r>
      <w:r w:rsidRPr="00AC7664">
        <w:rPr>
          <w:b/>
          <w:bCs/>
        </w:rPr>
        <w:t xml:space="preserve"> 2021 do 2025 </w:t>
      </w:r>
      <w:r w:rsidR="005B69E0">
        <w:rPr>
          <w:b/>
          <w:bCs/>
        </w:rPr>
        <w:t>poskytlo</w:t>
      </w:r>
      <w:r w:rsidR="00C50E88" w:rsidRPr="00C50E88">
        <w:rPr>
          <w:b/>
          <w:bCs/>
        </w:rPr>
        <w:t xml:space="preserve"> </w:t>
      </w:r>
      <w:r w:rsidR="00C50E88" w:rsidRPr="00AC7664">
        <w:rPr>
          <w:b/>
          <w:bCs/>
        </w:rPr>
        <w:t>MŽP</w:t>
      </w:r>
      <w:r w:rsidRPr="00AC7664">
        <w:rPr>
          <w:b/>
          <w:bCs/>
        </w:rPr>
        <w:t xml:space="preserve"> na zlepšení hospodaření se srážkov</w:t>
      </w:r>
      <w:r w:rsidR="007D0382">
        <w:rPr>
          <w:b/>
          <w:bCs/>
        </w:rPr>
        <w:t>ými</w:t>
      </w:r>
      <w:r w:rsidRPr="00AC7664">
        <w:rPr>
          <w:b/>
          <w:bCs/>
        </w:rPr>
        <w:t xml:space="preserve"> vod</w:t>
      </w:r>
      <w:r w:rsidR="007D0382">
        <w:rPr>
          <w:b/>
          <w:bCs/>
        </w:rPr>
        <w:t>ami</w:t>
      </w:r>
      <w:r w:rsidRPr="00AC7664">
        <w:rPr>
          <w:b/>
          <w:bCs/>
        </w:rPr>
        <w:t xml:space="preserve"> </w:t>
      </w:r>
      <w:r w:rsidR="008332EA">
        <w:rPr>
          <w:b/>
          <w:bCs/>
        </w:rPr>
        <w:t xml:space="preserve">v urbanizovaných územích </w:t>
      </w:r>
      <w:r w:rsidRPr="00AC7664">
        <w:rPr>
          <w:b/>
          <w:bCs/>
        </w:rPr>
        <w:t xml:space="preserve">prostřednictvím operačního programu </w:t>
      </w:r>
      <w:r w:rsidRPr="00007882">
        <w:rPr>
          <w:b/>
          <w:bCs/>
          <w:i/>
          <w:iCs/>
        </w:rPr>
        <w:t>Životní prostředí 2021–2027</w:t>
      </w:r>
      <w:r w:rsidRPr="00AC7664">
        <w:rPr>
          <w:b/>
          <w:bCs/>
        </w:rPr>
        <w:t xml:space="preserve"> (dále také „OPŽP21+“) a z </w:t>
      </w:r>
      <w:r w:rsidRPr="00007882">
        <w:rPr>
          <w:b/>
          <w:bCs/>
          <w:i/>
          <w:iCs/>
        </w:rPr>
        <w:t>Národního plánu obnovy</w:t>
      </w:r>
      <w:r w:rsidRPr="00AC7664">
        <w:rPr>
          <w:b/>
          <w:bCs/>
        </w:rPr>
        <w:t xml:space="preserve"> (dále také „NPO“) </w:t>
      </w:r>
      <w:r w:rsidR="007D0382">
        <w:rPr>
          <w:b/>
          <w:bCs/>
        </w:rPr>
        <w:t xml:space="preserve">peněžní </w:t>
      </w:r>
      <w:r w:rsidRPr="00AC7664">
        <w:rPr>
          <w:b/>
          <w:bCs/>
        </w:rPr>
        <w:t>prostředky v celkové výši 1,8</w:t>
      </w:r>
      <w:r w:rsidR="005B69E0">
        <w:rPr>
          <w:b/>
          <w:bCs/>
        </w:rPr>
        <w:t>4</w:t>
      </w:r>
      <w:r w:rsidRPr="00AC7664">
        <w:rPr>
          <w:b/>
          <w:bCs/>
        </w:rPr>
        <w:t xml:space="preserve"> mld. Kč</w:t>
      </w:r>
      <w:r w:rsidRPr="007D0382">
        <w:rPr>
          <w:b/>
          <w:bCs/>
        </w:rPr>
        <w:t>. MŽP podpořilo mimo jiné</w:t>
      </w:r>
      <w:r w:rsidR="007D0382" w:rsidRPr="007D0382">
        <w:rPr>
          <w:b/>
          <w:bCs/>
        </w:rPr>
        <w:t xml:space="preserve"> </w:t>
      </w:r>
      <w:r w:rsidRPr="007D0382">
        <w:rPr>
          <w:b/>
          <w:bCs/>
        </w:rPr>
        <w:t>182</w:t>
      </w:r>
      <w:r w:rsidR="00C50E88">
        <w:rPr>
          <w:b/>
          <w:bCs/>
        </w:rPr>
        <w:t> </w:t>
      </w:r>
      <w:r w:rsidRPr="007D0382">
        <w:rPr>
          <w:b/>
          <w:bCs/>
        </w:rPr>
        <w:t>obcí a</w:t>
      </w:r>
      <w:r w:rsidR="006C1290">
        <w:rPr>
          <w:b/>
          <w:bCs/>
        </w:rPr>
        <w:t> </w:t>
      </w:r>
      <w:r w:rsidRPr="007D0382">
        <w:rPr>
          <w:b/>
          <w:bCs/>
        </w:rPr>
        <w:t>jejich 293</w:t>
      </w:r>
      <w:r w:rsidR="00C50E88">
        <w:rPr>
          <w:b/>
          <w:bCs/>
        </w:rPr>
        <w:t> </w:t>
      </w:r>
      <w:r w:rsidRPr="007D0382">
        <w:rPr>
          <w:b/>
          <w:bCs/>
        </w:rPr>
        <w:t>projektů s poskytnutou dotací ve výši 1,59 mld.</w:t>
      </w:r>
      <w:r w:rsidR="00C50E88">
        <w:rPr>
          <w:b/>
          <w:bCs/>
        </w:rPr>
        <w:t> </w:t>
      </w:r>
      <w:r w:rsidRPr="007D0382">
        <w:rPr>
          <w:b/>
          <w:bCs/>
        </w:rPr>
        <w:t>Kč. Podíl obcí, kterým MŽP poskytlo dotaci</w:t>
      </w:r>
      <w:r w:rsidR="00C50E88">
        <w:rPr>
          <w:b/>
          <w:bCs/>
        </w:rPr>
        <w:t>,</w:t>
      </w:r>
      <w:r w:rsidRPr="007D0382">
        <w:rPr>
          <w:b/>
          <w:bCs/>
        </w:rPr>
        <w:t xml:space="preserve"> činil 3</w:t>
      </w:r>
      <w:r w:rsidR="00C50E88">
        <w:rPr>
          <w:b/>
          <w:bCs/>
        </w:rPr>
        <w:t> </w:t>
      </w:r>
      <w:r w:rsidRPr="007D0382">
        <w:rPr>
          <w:b/>
          <w:bCs/>
        </w:rPr>
        <w:t>% z celkového počtu obcí v</w:t>
      </w:r>
      <w:r w:rsidR="00972F76">
        <w:rPr>
          <w:b/>
          <w:bCs/>
        </w:rPr>
        <w:t> </w:t>
      </w:r>
      <w:r w:rsidRPr="007D0382">
        <w:rPr>
          <w:b/>
          <w:bCs/>
        </w:rPr>
        <w:t>ČR</w:t>
      </w:r>
      <w:r w:rsidR="00972F76">
        <w:rPr>
          <w:b/>
          <w:bCs/>
        </w:rPr>
        <w:t>.</w:t>
      </w:r>
    </w:p>
    <w:p w14:paraId="6C065C38" w14:textId="64C658CC" w:rsidR="00AC7664" w:rsidRDefault="00AC7664" w:rsidP="002C01D3">
      <w:pPr>
        <w:pStyle w:val="JK3"/>
        <w:numPr>
          <w:ilvl w:val="0"/>
          <w:numId w:val="0"/>
        </w:numPr>
        <w:spacing w:before="60"/>
        <w:ind w:left="567"/>
        <w:rPr>
          <w:b/>
          <w:bCs/>
        </w:rPr>
      </w:pPr>
      <w:r w:rsidRPr="00AC7664">
        <w:rPr>
          <w:b/>
          <w:bCs/>
        </w:rPr>
        <w:t xml:space="preserve">NKÚ konstatuje, že </w:t>
      </w:r>
      <w:r w:rsidR="00624587">
        <w:rPr>
          <w:b/>
          <w:bCs/>
        </w:rPr>
        <w:t xml:space="preserve">výsledky podpory z kontrolovaných na sebe navazujících dotačních programů jsou nesrovnatelné. V důsledku toho </w:t>
      </w:r>
      <w:r w:rsidRPr="00AC7664">
        <w:rPr>
          <w:b/>
          <w:bCs/>
        </w:rPr>
        <w:t xml:space="preserve">nelze </w:t>
      </w:r>
      <w:r w:rsidR="00624587">
        <w:rPr>
          <w:b/>
          <w:bCs/>
        </w:rPr>
        <w:t xml:space="preserve">porovnat množství zadržených srážkových vod a </w:t>
      </w:r>
      <w:r w:rsidRPr="00AC7664">
        <w:rPr>
          <w:b/>
          <w:bCs/>
        </w:rPr>
        <w:t>spolehlivě posoudit, v jaké míře poskytnuté peněžní prostředky přispěly ke zlepšení hospodaření se srážkov</w:t>
      </w:r>
      <w:r w:rsidR="007D0382">
        <w:rPr>
          <w:b/>
          <w:bCs/>
        </w:rPr>
        <w:t>ými</w:t>
      </w:r>
      <w:r w:rsidRPr="00AC7664">
        <w:rPr>
          <w:b/>
          <w:bCs/>
        </w:rPr>
        <w:t xml:space="preserve"> vod</w:t>
      </w:r>
      <w:r w:rsidR="007D0382">
        <w:rPr>
          <w:b/>
          <w:bCs/>
        </w:rPr>
        <w:t>ami</w:t>
      </w:r>
      <w:r w:rsidR="00624587">
        <w:rPr>
          <w:b/>
          <w:bCs/>
        </w:rPr>
        <w:t>.</w:t>
      </w:r>
    </w:p>
    <w:p w14:paraId="7328BA62" w14:textId="06AAB10F" w:rsidR="00AC7664" w:rsidRDefault="00AC7664" w:rsidP="00B22653">
      <w:pPr>
        <w:pStyle w:val="JK3"/>
        <w:numPr>
          <w:ilvl w:val="0"/>
          <w:numId w:val="0"/>
        </w:numPr>
        <w:spacing w:before="60"/>
        <w:ind w:left="567"/>
        <w:rPr>
          <w:b/>
          <w:bCs/>
        </w:rPr>
      </w:pPr>
      <w:r w:rsidRPr="00AC7664">
        <w:rPr>
          <w:b/>
          <w:bCs/>
        </w:rPr>
        <w:t>MŽP připravilo v roce 2019 studii hospodaření se srážkovými vodami</w:t>
      </w:r>
      <w:r w:rsidR="00EF6189">
        <w:rPr>
          <w:b/>
          <w:bCs/>
        </w:rPr>
        <w:t>, ve které</w:t>
      </w:r>
      <w:r w:rsidR="00B22653">
        <w:rPr>
          <w:b/>
          <w:bCs/>
        </w:rPr>
        <w:t xml:space="preserve"> </w:t>
      </w:r>
      <w:r w:rsidRPr="00AC7664">
        <w:rPr>
          <w:b/>
          <w:bCs/>
        </w:rPr>
        <w:t>doporuč</w:t>
      </w:r>
      <w:r w:rsidR="00EF6189">
        <w:rPr>
          <w:b/>
          <w:bCs/>
        </w:rPr>
        <w:t>ilo</w:t>
      </w:r>
      <w:r w:rsidRPr="00AC7664">
        <w:rPr>
          <w:b/>
          <w:bCs/>
        </w:rPr>
        <w:t xml:space="preserve"> opatření k adaptaci na změnu klimatu v urbanizovaných územích. </w:t>
      </w:r>
      <w:r w:rsidR="00EF6189">
        <w:rPr>
          <w:b/>
          <w:bCs/>
        </w:rPr>
        <w:t>MŽP</w:t>
      </w:r>
      <w:r w:rsidR="00C50E88">
        <w:rPr>
          <w:b/>
          <w:bCs/>
        </w:rPr>
        <w:t xml:space="preserve"> </w:t>
      </w:r>
      <w:r w:rsidR="00EF6189" w:rsidRPr="00AC7664">
        <w:rPr>
          <w:b/>
          <w:bCs/>
        </w:rPr>
        <w:t>ale</w:t>
      </w:r>
      <w:r w:rsidR="00EF6189">
        <w:rPr>
          <w:b/>
          <w:bCs/>
        </w:rPr>
        <w:t xml:space="preserve"> n</w:t>
      </w:r>
      <w:r w:rsidRPr="00AC7664">
        <w:rPr>
          <w:b/>
          <w:bCs/>
        </w:rPr>
        <w:t>estanovilo žádné konkrétní měřitelné cíle</w:t>
      </w:r>
      <w:r w:rsidR="00EF6189">
        <w:rPr>
          <w:b/>
          <w:bCs/>
        </w:rPr>
        <w:t xml:space="preserve">, </w:t>
      </w:r>
      <w:r w:rsidRPr="00AC7664">
        <w:rPr>
          <w:b/>
          <w:bCs/>
        </w:rPr>
        <w:t>časové milníky</w:t>
      </w:r>
      <w:r w:rsidR="00EF6189">
        <w:rPr>
          <w:b/>
          <w:bCs/>
        </w:rPr>
        <w:t>,</w:t>
      </w:r>
      <w:r w:rsidRPr="00AC7664">
        <w:rPr>
          <w:b/>
          <w:bCs/>
        </w:rPr>
        <w:t xml:space="preserve"> a</w:t>
      </w:r>
      <w:r w:rsidR="00EF6189">
        <w:rPr>
          <w:b/>
          <w:bCs/>
        </w:rPr>
        <w:t>ni kdo za plnění úkolů odpovídá.</w:t>
      </w:r>
    </w:p>
    <w:p w14:paraId="24E89A0F" w14:textId="01A8876B" w:rsidR="005F3E57" w:rsidRDefault="00AC7664" w:rsidP="002C01D3">
      <w:pPr>
        <w:pStyle w:val="JK3"/>
        <w:numPr>
          <w:ilvl w:val="0"/>
          <w:numId w:val="0"/>
        </w:numPr>
        <w:spacing w:before="60"/>
        <w:ind w:left="567"/>
        <w:rPr>
          <w:b/>
          <w:bCs/>
        </w:rPr>
      </w:pPr>
      <w:r w:rsidRPr="00AC7664">
        <w:rPr>
          <w:b/>
          <w:bCs/>
        </w:rPr>
        <w:t xml:space="preserve">NKÚ prověřil </w:t>
      </w:r>
      <w:r w:rsidR="00C61595">
        <w:rPr>
          <w:b/>
          <w:bCs/>
        </w:rPr>
        <w:t>dále</w:t>
      </w:r>
      <w:r w:rsidRPr="00AC7664">
        <w:rPr>
          <w:b/>
          <w:bCs/>
        </w:rPr>
        <w:t xml:space="preserve"> devět konkrétních projektů s proplacenou výší peněžních prostředků celkem 129,63 mil. Kč. NKÚ zjistil, že </w:t>
      </w:r>
      <w:r w:rsidR="00EF6189">
        <w:rPr>
          <w:b/>
          <w:bCs/>
        </w:rPr>
        <w:t xml:space="preserve">kontrolované </w:t>
      </w:r>
      <w:r w:rsidRPr="00AC7664">
        <w:rPr>
          <w:b/>
          <w:bCs/>
        </w:rPr>
        <w:t>obce často realiz</w:t>
      </w:r>
      <w:r w:rsidR="00EF6189">
        <w:rPr>
          <w:b/>
          <w:bCs/>
        </w:rPr>
        <w:t>ovaly</w:t>
      </w:r>
      <w:r w:rsidRPr="00AC7664">
        <w:rPr>
          <w:b/>
          <w:bCs/>
        </w:rPr>
        <w:t xml:space="preserve"> projekty</w:t>
      </w:r>
      <w:r w:rsidR="00EF6189">
        <w:rPr>
          <w:b/>
          <w:bCs/>
        </w:rPr>
        <w:t xml:space="preserve"> b</w:t>
      </w:r>
      <w:r w:rsidRPr="00AC7664">
        <w:rPr>
          <w:b/>
          <w:bCs/>
        </w:rPr>
        <w:t>ez analýzy potřeb hospodaření se srážkovými vodami na celém jejich území</w:t>
      </w:r>
      <w:r w:rsidR="00EF6189">
        <w:rPr>
          <w:b/>
          <w:bCs/>
        </w:rPr>
        <w:t>.</w:t>
      </w:r>
      <w:r w:rsidRPr="00AC7664">
        <w:rPr>
          <w:b/>
          <w:bCs/>
        </w:rPr>
        <w:t xml:space="preserve"> </w:t>
      </w:r>
      <w:r w:rsidR="00EF6189">
        <w:rPr>
          <w:b/>
          <w:bCs/>
        </w:rPr>
        <w:t>To</w:t>
      </w:r>
      <w:r w:rsidRPr="00AC7664">
        <w:rPr>
          <w:b/>
          <w:bCs/>
        </w:rPr>
        <w:t xml:space="preserve"> snižuje dopad poskytnutých peněžních prostředků určených k přizpůsobení se změně klimatu.</w:t>
      </w:r>
    </w:p>
    <w:p w14:paraId="2DBD8783" w14:textId="369E07B3" w:rsidR="00AC7664" w:rsidRDefault="002C01D3" w:rsidP="002C01D3">
      <w:pPr>
        <w:pStyle w:val="JK3"/>
        <w:numPr>
          <w:ilvl w:val="0"/>
          <w:numId w:val="0"/>
        </w:numPr>
        <w:spacing w:before="60"/>
        <w:ind w:left="567"/>
        <w:rPr>
          <w:b/>
          <w:bCs/>
        </w:rPr>
      </w:pPr>
      <w:r>
        <w:rPr>
          <w:b/>
          <w:bCs/>
        </w:rPr>
        <w:t>NKÚ vyhodnotil, že čtyři příjemci dotace vynaložili peněžní prostředky účelně. U zbylých pěti kontrolovaných projektů NKÚ vyhodnotil, že příjemci dotace</w:t>
      </w:r>
      <w:r w:rsidR="00624587">
        <w:rPr>
          <w:b/>
          <w:bCs/>
        </w:rPr>
        <w:t xml:space="preserve"> sice</w:t>
      </w:r>
      <w:r>
        <w:rPr>
          <w:b/>
          <w:bCs/>
        </w:rPr>
        <w:t xml:space="preserve"> vynaložili peněžní prostředky účelně</w:t>
      </w:r>
      <w:r w:rsidR="00624587">
        <w:rPr>
          <w:b/>
          <w:bCs/>
        </w:rPr>
        <w:t>, avšak</w:t>
      </w:r>
      <w:r>
        <w:rPr>
          <w:b/>
          <w:bCs/>
        </w:rPr>
        <w:t xml:space="preserve"> </w:t>
      </w:r>
      <w:r w:rsidR="005F3E57">
        <w:rPr>
          <w:b/>
          <w:bCs/>
        </w:rPr>
        <w:t>porušili</w:t>
      </w:r>
      <w:r w:rsidR="00AC7664" w:rsidRPr="00AC7664">
        <w:rPr>
          <w:b/>
          <w:bCs/>
        </w:rPr>
        <w:t xml:space="preserve"> zákon č. 134/2016 Sb.</w:t>
      </w:r>
      <w:r w:rsidR="00AC7664" w:rsidRPr="00AC7664">
        <w:rPr>
          <w:rStyle w:val="Znakapoznpodarou"/>
          <w:b/>
          <w:bCs/>
        </w:rPr>
        <w:footnoteReference w:id="3"/>
      </w:r>
      <w:r w:rsidR="005F3E57">
        <w:rPr>
          <w:b/>
          <w:bCs/>
        </w:rPr>
        <w:t xml:space="preserve"> N</w:t>
      </w:r>
      <w:r w:rsidR="00AC7664" w:rsidRPr="00AC7664">
        <w:rPr>
          <w:b/>
          <w:bCs/>
        </w:rPr>
        <w:t>ejčastěj</w:t>
      </w:r>
      <w:r w:rsidR="005F3E57">
        <w:rPr>
          <w:b/>
          <w:bCs/>
        </w:rPr>
        <w:t>i n</w:t>
      </w:r>
      <w:r w:rsidR="00AC7664" w:rsidRPr="00AC7664">
        <w:rPr>
          <w:b/>
          <w:bCs/>
        </w:rPr>
        <w:t>eoprávně</w:t>
      </w:r>
      <w:r w:rsidR="005F3E57">
        <w:rPr>
          <w:b/>
          <w:bCs/>
        </w:rPr>
        <w:t>ně</w:t>
      </w:r>
      <w:r w:rsidR="00AC7664" w:rsidRPr="00AC7664">
        <w:rPr>
          <w:b/>
          <w:bCs/>
        </w:rPr>
        <w:t xml:space="preserve"> zvýhodn</w:t>
      </w:r>
      <w:r w:rsidR="005F3E57">
        <w:rPr>
          <w:b/>
          <w:bCs/>
        </w:rPr>
        <w:t>ili</w:t>
      </w:r>
      <w:r w:rsidR="00AC7664" w:rsidRPr="00AC7664">
        <w:rPr>
          <w:b/>
          <w:bCs/>
        </w:rPr>
        <w:t xml:space="preserve"> konkrétní výrobk</w:t>
      </w:r>
      <w:r w:rsidR="005F3E57">
        <w:rPr>
          <w:b/>
          <w:bCs/>
        </w:rPr>
        <w:t>y</w:t>
      </w:r>
      <w:r w:rsidR="00AC7664" w:rsidRPr="00AC7664">
        <w:rPr>
          <w:b/>
          <w:bCs/>
        </w:rPr>
        <w:t xml:space="preserve"> ve stavebnictví</w:t>
      </w:r>
      <w:r w:rsidR="00C50E88">
        <w:rPr>
          <w:b/>
          <w:bCs/>
        </w:rPr>
        <w:t>,</w:t>
      </w:r>
      <w:r w:rsidR="00AC7664" w:rsidRPr="00AC7664">
        <w:rPr>
          <w:b/>
          <w:bCs/>
        </w:rPr>
        <w:t xml:space="preserve"> a omez</w:t>
      </w:r>
      <w:r w:rsidR="005F3E57">
        <w:rPr>
          <w:b/>
          <w:bCs/>
        </w:rPr>
        <w:t xml:space="preserve">ili tak </w:t>
      </w:r>
      <w:r w:rsidR="00AC7664" w:rsidRPr="00AC7664">
        <w:rPr>
          <w:b/>
          <w:bCs/>
        </w:rPr>
        <w:t>hospodářsk</w:t>
      </w:r>
      <w:r w:rsidR="005F3E57">
        <w:rPr>
          <w:b/>
          <w:bCs/>
        </w:rPr>
        <w:t>ou</w:t>
      </w:r>
      <w:r w:rsidR="00AC7664" w:rsidRPr="00AC7664">
        <w:rPr>
          <w:b/>
          <w:bCs/>
        </w:rPr>
        <w:t xml:space="preserve"> soutěž.</w:t>
      </w:r>
    </w:p>
    <w:p w14:paraId="28D92F6F" w14:textId="7A1F0E86" w:rsidR="000D77DC" w:rsidRDefault="005F3E57" w:rsidP="002C01D3">
      <w:pPr>
        <w:pStyle w:val="JK3"/>
        <w:numPr>
          <w:ilvl w:val="0"/>
          <w:numId w:val="0"/>
        </w:numPr>
        <w:spacing w:before="60"/>
        <w:ind w:left="567"/>
        <w:rPr>
          <w:b/>
          <w:bCs/>
        </w:rPr>
      </w:pPr>
      <w:r w:rsidRPr="001D59B6">
        <w:rPr>
          <w:b/>
          <w:bCs/>
        </w:rPr>
        <w:t>Na akumulaci srážkových vod, tzv. „dešťovku“</w:t>
      </w:r>
      <w:r w:rsidR="00C50E88">
        <w:rPr>
          <w:b/>
          <w:bCs/>
        </w:rPr>
        <w:t>,</w:t>
      </w:r>
      <w:r w:rsidRPr="001D59B6">
        <w:rPr>
          <w:b/>
          <w:bCs/>
        </w:rPr>
        <w:t xml:space="preserve"> či na zelené střechy šlo </w:t>
      </w:r>
      <w:r w:rsidR="00C15BEF" w:rsidRPr="001D59B6">
        <w:rPr>
          <w:b/>
          <w:bCs/>
        </w:rPr>
        <w:t xml:space="preserve">z NPO prostřednictvím programu </w:t>
      </w:r>
      <w:r w:rsidR="00C15BEF" w:rsidRPr="001D59B6">
        <w:rPr>
          <w:b/>
          <w:bCs/>
          <w:i/>
          <w:iCs/>
        </w:rPr>
        <w:t>Nová zelená úsporám</w:t>
      </w:r>
      <w:r w:rsidR="00C15BEF" w:rsidRPr="001D59B6">
        <w:rPr>
          <w:b/>
          <w:bCs/>
        </w:rPr>
        <w:t xml:space="preserve"> (dále také „NZÚ“) </w:t>
      </w:r>
      <w:r w:rsidRPr="001D59B6">
        <w:rPr>
          <w:b/>
          <w:bCs/>
        </w:rPr>
        <w:t>p</w:t>
      </w:r>
      <w:r w:rsidR="00AC7664" w:rsidRPr="001D59B6">
        <w:rPr>
          <w:b/>
          <w:bCs/>
        </w:rPr>
        <w:t>ouze</w:t>
      </w:r>
      <w:r w:rsidR="002C01D3">
        <w:rPr>
          <w:b/>
          <w:bCs/>
        </w:rPr>
        <w:t xml:space="preserve"> </w:t>
      </w:r>
      <w:r w:rsidR="00AC7664" w:rsidRPr="001D59B6">
        <w:rPr>
          <w:b/>
          <w:bCs/>
        </w:rPr>
        <w:t>167,73 mil. Kč z</w:t>
      </w:r>
      <w:r w:rsidRPr="001D59B6">
        <w:rPr>
          <w:b/>
          <w:bCs/>
        </w:rPr>
        <w:t> </w:t>
      </w:r>
      <w:r w:rsidR="00AC7664" w:rsidRPr="001D59B6">
        <w:rPr>
          <w:b/>
          <w:bCs/>
        </w:rPr>
        <w:t>15</w:t>
      </w:r>
      <w:r w:rsidRPr="001D59B6">
        <w:rPr>
          <w:b/>
          <w:bCs/>
        </w:rPr>
        <w:t>,</w:t>
      </w:r>
      <w:r w:rsidR="00AC7664" w:rsidRPr="001D59B6">
        <w:rPr>
          <w:b/>
          <w:bCs/>
        </w:rPr>
        <w:t>7</w:t>
      </w:r>
      <w:r w:rsidRPr="001D59B6">
        <w:rPr>
          <w:b/>
          <w:bCs/>
        </w:rPr>
        <w:t xml:space="preserve">1 </w:t>
      </w:r>
      <w:r w:rsidR="00AC7664" w:rsidRPr="001D59B6">
        <w:rPr>
          <w:b/>
          <w:bCs/>
        </w:rPr>
        <w:t>ml</w:t>
      </w:r>
      <w:r w:rsidRPr="001D59B6">
        <w:rPr>
          <w:b/>
          <w:bCs/>
        </w:rPr>
        <w:t>d</w:t>
      </w:r>
      <w:r w:rsidR="00AC7664" w:rsidRPr="001D59B6">
        <w:rPr>
          <w:b/>
          <w:bCs/>
        </w:rPr>
        <w:t>. Kč.</w:t>
      </w:r>
      <w:r w:rsidR="00ED73A7" w:rsidRPr="001D59B6">
        <w:rPr>
          <w:b/>
          <w:bCs/>
        </w:rPr>
        <w:t xml:space="preserve"> Většina příjemců</w:t>
      </w:r>
      <w:r w:rsidR="00C15BEF" w:rsidRPr="001D59B6">
        <w:rPr>
          <w:b/>
          <w:bCs/>
        </w:rPr>
        <w:t xml:space="preserve"> dotací totiž upřednostnila</w:t>
      </w:r>
      <w:r w:rsidR="00ED73A7" w:rsidRPr="001D59B6">
        <w:rPr>
          <w:b/>
          <w:bCs/>
        </w:rPr>
        <w:t xml:space="preserve"> </w:t>
      </w:r>
      <w:r w:rsidR="00C15BEF" w:rsidRPr="001D59B6">
        <w:rPr>
          <w:b/>
          <w:bCs/>
        </w:rPr>
        <w:t>podporu na instalac</w:t>
      </w:r>
      <w:r w:rsidR="001D59B6" w:rsidRPr="001D59B6">
        <w:rPr>
          <w:b/>
          <w:bCs/>
        </w:rPr>
        <w:t>e</w:t>
      </w:r>
      <w:r w:rsidR="00C15BEF" w:rsidRPr="001D59B6">
        <w:rPr>
          <w:b/>
          <w:bCs/>
        </w:rPr>
        <w:t xml:space="preserve"> te</w:t>
      </w:r>
      <w:r w:rsidR="00ED73A7" w:rsidRPr="001D59B6">
        <w:rPr>
          <w:b/>
          <w:bCs/>
        </w:rPr>
        <w:t>peln</w:t>
      </w:r>
      <w:r w:rsidR="001D59B6" w:rsidRPr="001D59B6">
        <w:rPr>
          <w:b/>
          <w:bCs/>
        </w:rPr>
        <w:t>ých</w:t>
      </w:r>
      <w:r w:rsidR="00ED73A7" w:rsidRPr="001D59B6">
        <w:rPr>
          <w:b/>
          <w:bCs/>
        </w:rPr>
        <w:t xml:space="preserve"> čerpad</w:t>
      </w:r>
      <w:r w:rsidR="001D59B6" w:rsidRPr="001D59B6">
        <w:rPr>
          <w:b/>
          <w:bCs/>
        </w:rPr>
        <w:t>e</w:t>
      </w:r>
      <w:r w:rsidR="00ED73A7" w:rsidRPr="001D59B6">
        <w:rPr>
          <w:b/>
          <w:bCs/>
        </w:rPr>
        <w:t>l či fotovoltaick</w:t>
      </w:r>
      <w:r w:rsidR="001D59B6" w:rsidRPr="001D59B6">
        <w:rPr>
          <w:b/>
          <w:bCs/>
        </w:rPr>
        <w:t>ých</w:t>
      </w:r>
      <w:r w:rsidR="00ED73A7" w:rsidRPr="001D59B6">
        <w:rPr>
          <w:b/>
          <w:bCs/>
        </w:rPr>
        <w:t xml:space="preserve"> zařízení.</w:t>
      </w:r>
      <w:r w:rsidR="00C15BEF" w:rsidRPr="001D59B6">
        <w:rPr>
          <w:b/>
          <w:bCs/>
        </w:rPr>
        <w:t xml:space="preserve"> </w:t>
      </w:r>
      <w:r w:rsidR="00AC7664" w:rsidRPr="001D59B6">
        <w:rPr>
          <w:b/>
          <w:bCs/>
        </w:rPr>
        <w:t xml:space="preserve">Česká republika </w:t>
      </w:r>
      <w:r w:rsidR="002C01D3">
        <w:rPr>
          <w:b/>
          <w:bCs/>
        </w:rPr>
        <w:t>podle dostupných dat výrazně zaostáv</w:t>
      </w:r>
      <w:r w:rsidR="00D54285">
        <w:rPr>
          <w:b/>
          <w:bCs/>
        </w:rPr>
        <w:t>á</w:t>
      </w:r>
      <w:r w:rsidR="002C01D3">
        <w:rPr>
          <w:b/>
          <w:bCs/>
        </w:rPr>
        <w:t xml:space="preserve"> </w:t>
      </w:r>
      <w:r w:rsidR="00AC7664" w:rsidRPr="001D59B6">
        <w:rPr>
          <w:b/>
          <w:bCs/>
        </w:rPr>
        <w:t>v</w:t>
      </w:r>
      <w:r w:rsidR="00ED73A7" w:rsidRPr="001D59B6">
        <w:rPr>
          <w:b/>
          <w:bCs/>
        </w:rPr>
        <w:t> </w:t>
      </w:r>
      <w:r w:rsidR="00AC7664" w:rsidRPr="001D59B6">
        <w:rPr>
          <w:b/>
          <w:bCs/>
        </w:rPr>
        <w:t>rozvoji zelených střech za Rakouskem či</w:t>
      </w:r>
      <w:r w:rsidR="00DE4B99">
        <w:rPr>
          <w:b/>
          <w:bCs/>
        </w:rPr>
        <w:t xml:space="preserve"> </w:t>
      </w:r>
      <w:r w:rsidR="00AC7664" w:rsidRPr="001D59B6">
        <w:rPr>
          <w:b/>
          <w:bCs/>
        </w:rPr>
        <w:t>Německem.</w:t>
      </w:r>
    </w:p>
    <w:p w14:paraId="65A5134C" w14:textId="77777777" w:rsidR="00FC4A24" w:rsidRDefault="00FC4A24" w:rsidP="00127707">
      <w:pPr>
        <w:pStyle w:val="JK3"/>
        <w:spacing w:before="120"/>
        <w:ind w:left="567" w:hanging="567"/>
      </w:pPr>
      <w:bookmarkStart w:id="10" w:name="_Hlk221691536"/>
      <w:bookmarkEnd w:id="9"/>
      <w:r w:rsidRPr="00FB3ECF">
        <w:t>Výše uvedené celkové vyhodnocení vyplývá z následujících zjištění:</w:t>
      </w:r>
    </w:p>
    <w:p w14:paraId="08E24977" w14:textId="7B2910A7" w:rsidR="00FC4A24" w:rsidRDefault="0031763B" w:rsidP="00C40D02">
      <w:pPr>
        <w:pStyle w:val="JK3"/>
        <w:spacing w:before="120"/>
        <w:ind w:left="567" w:hanging="567"/>
      </w:pPr>
      <w:r>
        <w:t>MŽP nemohlo vyhodnocovat dosahované výsledky podpory hospodaření se srážkovými vodami, protože používalo</w:t>
      </w:r>
      <w:r w:rsidR="00636ED4">
        <w:t xml:space="preserve"> různé</w:t>
      </w:r>
      <w:r>
        <w:t xml:space="preserve"> ukazatele, které neumožňovaly porovnat přínosy projektů z jednotlivých dotačních programů</w:t>
      </w:r>
      <w:r w:rsidR="00847302">
        <w:t>:</w:t>
      </w:r>
    </w:p>
    <w:p w14:paraId="6A53BC21" w14:textId="5B22F6AF" w:rsidR="00847302" w:rsidRDefault="00FC4A24" w:rsidP="00B571F2">
      <w:pPr>
        <w:pStyle w:val="JK3"/>
        <w:numPr>
          <w:ilvl w:val="0"/>
          <w:numId w:val="25"/>
        </w:numPr>
        <w:spacing w:before="60"/>
        <w:ind w:left="851" w:hanging="284"/>
      </w:pPr>
      <w:r>
        <w:lastRenderedPageBreak/>
        <w:t>MŽP v</w:t>
      </w:r>
      <w:r w:rsidR="00F60475">
        <w:t xml:space="preserve"> operačním programu </w:t>
      </w:r>
      <w:r w:rsidR="00F60475" w:rsidRPr="00F7676E">
        <w:rPr>
          <w:i/>
          <w:iCs/>
        </w:rPr>
        <w:t>Životní prostředí 2014–2020</w:t>
      </w:r>
      <w:r w:rsidR="00F60475">
        <w:t xml:space="preserve"> (dále také „OPŽP14+“)</w:t>
      </w:r>
      <w:r>
        <w:t xml:space="preserve"> </w:t>
      </w:r>
      <w:r w:rsidR="00847302">
        <w:t xml:space="preserve">poskytlo </w:t>
      </w:r>
      <w:r w:rsidR="00607B1A">
        <w:t xml:space="preserve">celkem 559,13 mil. Kč </w:t>
      </w:r>
      <w:r w:rsidR="00847302">
        <w:t>na</w:t>
      </w:r>
      <w:r w:rsidR="00607B1A">
        <w:t xml:space="preserve"> celkem 190 projektů zaměřených na</w:t>
      </w:r>
      <w:r w:rsidR="00847302">
        <w:t xml:space="preserve"> hospodaření se srážkovými vodami v</w:t>
      </w:r>
      <w:r w:rsidR="00607B1A">
        <w:t> </w:t>
      </w:r>
      <w:r w:rsidR="00847302">
        <w:t>obcích</w:t>
      </w:r>
      <w:r w:rsidR="00607B1A">
        <w:t>.</w:t>
      </w:r>
      <w:r w:rsidR="00847302">
        <w:t xml:space="preserve"> </w:t>
      </w:r>
      <w:r w:rsidR="00607B1A">
        <w:t xml:space="preserve">MŽP </w:t>
      </w:r>
      <w:r w:rsidR="00F92E17">
        <w:t xml:space="preserve">sledovalo </w:t>
      </w:r>
      <w:r w:rsidR="00847302">
        <w:t xml:space="preserve">ve vztahu ke kontrolované problematice pouze nezávazný </w:t>
      </w:r>
      <w:r w:rsidR="00802951">
        <w:t xml:space="preserve">ukazatel </w:t>
      </w:r>
      <w:r w:rsidR="00DE4B99">
        <w:rPr>
          <w:i/>
          <w:iCs/>
        </w:rPr>
        <w:t>o</w:t>
      </w:r>
      <w:r w:rsidR="00847302" w:rsidRPr="000D7E74">
        <w:rPr>
          <w:i/>
          <w:iCs/>
        </w:rPr>
        <w:t>bjem retardované vody</w:t>
      </w:r>
      <w:r w:rsidR="000D7E74">
        <w:t>, přičemž</w:t>
      </w:r>
      <w:r w:rsidR="00611DDA">
        <w:t xml:space="preserve"> dosažená hodnota v ukončeném programu činila </w:t>
      </w:r>
      <w:r w:rsidR="00611DDA" w:rsidRPr="00611DDA">
        <w:t>22 932,34</w:t>
      </w:r>
      <w:r w:rsidR="00611DDA">
        <w:t xml:space="preserve"> m</w:t>
      </w:r>
      <w:r w:rsidR="00611DDA" w:rsidRPr="00611DDA">
        <w:rPr>
          <w:vertAlign w:val="superscript"/>
        </w:rPr>
        <w:t>3</w:t>
      </w:r>
      <w:r w:rsidR="00611DDA">
        <w:t>.</w:t>
      </w:r>
    </w:p>
    <w:p w14:paraId="4D2B2EFD" w14:textId="2F2E8A4A" w:rsidR="00847302" w:rsidRDefault="00847302" w:rsidP="00B571F2">
      <w:pPr>
        <w:pStyle w:val="JK3"/>
        <w:numPr>
          <w:ilvl w:val="0"/>
          <w:numId w:val="25"/>
        </w:numPr>
        <w:spacing w:before="60"/>
        <w:ind w:left="851" w:hanging="284"/>
      </w:pPr>
      <w:r w:rsidRPr="005742FF">
        <w:t xml:space="preserve">MŽP </w:t>
      </w:r>
      <w:r w:rsidR="005742FF" w:rsidRPr="005742FF">
        <w:t>poskytl</w:t>
      </w:r>
      <w:r w:rsidR="005742FF">
        <w:t>o</w:t>
      </w:r>
      <w:r w:rsidR="00C61595">
        <w:t xml:space="preserve"> prostřednictvím SFŽP z </w:t>
      </w:r>
      <w:r w:rsidR="00C61595" w:rsidRPr="00C61595">
        <w:rPr>
          <w:i/>
          <w:iCs/>
        </w:rPr>
        <w:t>Národního programu Životní prostředí</w:t>
      </w:r>
      <w:r w:rsidR="005742FF">
        <w:t xml:space="preserve"> </w:t>
      </w:r>
      <w:r w:rsidR="00C61595">
        <w:t>(dále také „NPŽP“)</w:t>
      </w:r>
      <w:r w:rsidR="00DE4B99">
        <w:t>,</w:t>
      </w:r>
      <w:r w:rsidR="00C61595">
        <w:t xml:space="preserve"> financovaného z</w:t>
      </w:r>
      <w:r w:rsidR="00DE4B99">
        <w:t> </w:t>
      </w:r>
      <w:r w:rsidRPr="005742FF">
        <w:t>NPO</w:t>
      </w:r>
      <w:r w:rsidR="00DE4B99">
        <w:t>,</w:t>
      </w:r>
      <w:r w:rsidRPr="005742FF">
        <w:t xml:space="preserve"> </w:t>
      </w:r>
      <w:r w:rsidRPr="006E1722">
        <w:t>celkem 7</w:t>
      </w:r>
      <w:r w:rsidR="006E1722" w:rsidRPr="006E1722">
        <w:t>76,06</w:t>
      </w:r>
      <w:r w:rsidRPr="006E1722">
        <w:t xml:space="preserve"> mil. Kč</w:t>
      </w:r>
      <w:r w:rsidR="00607B1A">
        <w:t xml:space="preserve"> na realizaci 190 projektů. MŽP u</w:t>
      </w:r>
      <w:r w:rsidR="009F287E">
        <w:t> </w:t>
      </w:r>
      <w:r w:rsidR="00953A26">
        <w:t>podp</w:t>
      </w:r>
      <w:r w:rsidR="009F287E">
        <w:t>ořených projektů</w:t>
      </w:r>
      <w:r>
        <w:t xml:space="preserve"> </w:t>
      </w:r>
      <w:r w:rsidR="009F287E">
        <w:t xml:space="preserve">sledovalo </w:t>
      </w:r>
      <w:r w:rsidR="006E1722">
        <w:t>jeden</w:t>
      </w:r>
      <w:r>
        <w:t xml:space="preserve"> závazný ukazatel </w:t>
      </w:r>
      <w:r w:rsidR="00DE4B99">
        <w:rPr>
          <w:i/>
          <w:iCs/>
        </w:rPr>
        <w:t>o</w:t>
      </w:r>
      <w:r w:rsidRPr="00611DDA">
        <w:rPr>
          <w:i/>
          <w:iCs/>
        </w:rPr>
        <w:t>bjem zadržen</w:t>
      </w:r>
      <w:r w:rsidR="008B4B9D">
        <w:rPr>
          <w:i/>
          <w:iCs/>
        </w:rPr>
        <w:t>ých</w:t>
      </w:r>
      <w:r w:rsidRPr="00611DDA">
        <w:rPr>
          <w:i/>
          <w:iCs/>
        </w:rPr>
        <w:t xml:space="preserve"> srážkov</w:t>
      </w:r>
      <w:r w:rsidR="008B4B9D">
        <w:rPr>
          <w:i/>
          <w:iCs/>
        </w:rPr>
        <w:t>ých</w:t>
      </w:r>
      <w:r w:rsidRPr="00611DDA">
        <w:rPr>
          <w:i/>
          <w:iCs/>
        </w:rPr>
        <w:t xml:space="preserve"> vod</w:t>
      </w:r>
      <w:r w:rsidR="00953A26">
        <w:t xml:space="preserve">, </w:t>
      </w:r>
      <w:r w:rsidR="009F287E">
        <w:t xml:space="preserve">přičemž </w:t>
      </w:r>
      <w:r w:rsidR="00953A26">
        <w:t>závazek</w:t>
      </w:r>
      <w:r w:rsidR="009F287E">
        <w:t xml:space="preserve"> příjemců</w:t>
      </w:r>
      <w:r w:rsidR="00953A26">
        <w:t xml:space="preserve"> činil</w:t>
      </w:r>
      <w:r w:rsidR="00607B1A">
        <w:t xml:space="preserve"> </w:t>
      </w:r>
      <w:r w:rsidR="00953A26">
        <w:t>k</w:t>
      </w:r>
      <w:r w:rsidR="00607B1A">
        <w:t xml:space="preserve"> 1. 9. 2025 celkem </w:t>
      </w:r>
      <w:r w:rsidR="00953A26">
        <w:t>25 580 m</w:t>
      </w:r>
      <w:r w:rsidR="00953A26" w:rsidRPr="00953A26">
        <w:rPr>
          <w:vertAlign w:val="superscript"/>
        </w:rPr>
        <w:t>3</w:t>
      </w:r>
      <w:r w:rsidR="00953A26">
        <w:t>.</w:t>
      </w:r>
    </w:p>
    <w:p w14:paraId="38F83E86" w14:textId="5DC1B68F" w:rsidR="009F287E" w:rsidRDefault="00FC4A24" w:rsidP="00B571F2">
      <w:pPr>
        <w:pStyle w:val="JK3"/>
        <w:numPr>
          <w:ilvl w:val="0"/>
          <w:numId w:val="25"/>
        </w:numPr>
        <w:spacing w:before="60"/>
        <w:ind w:left="851" w:hanging="284"/>
      </w:pPr>
      <w:r w:rsidRPr="00E36ABB">
        <w:t xml:space="preserve">MŽP </w:t>
      </w:r>
      <w:r w:rsidR="009F287E">
        <w:t xml:space="preserve">v OPŽP21+ </w:t>
      </w:r>
      <w:r w:rsidR="009F287E" w:rsidRPr="00E36ABB">
        <w:t>poskytlo k 1. 1. 2025 na realizaci 120 projektů</w:t>
      </w:r>
      <w:r w:rsidR="00AA367A">
        <w:t xml:space="preserve"> celkem</w:t>
      </w:r>
      <w:r w:rsidR="009F287E" w:rsidRPr="00E36ABB">
        <w:t xml:space="preserve"> 900,13 mil. Kč</w:t>
      </w:r>
      <w:r w:rsidR="00C40FD9">
        <w:t>.</w:t>
      </w:r>
      <w:r w:rsidR="00B053D2">
        <w:t xml:space="preserve"> </w:t>
      </w:r>
      <w:r w:rsidR="00C40FD9">
        <w:t>U</w:t>
      </w:r>
      <w:r w:rsidR="00B053D2">
        <w:t> </w:t>
      </w:r>
      <w:r w:rsidR="009F287E">
        <w:t>výzev zaměřených na hospodaření se srážkovými vodami sleduje</w:t>
      </w:r>
      <w:r w:rsidR="009F287E" w:rsidRPr="00E36ABB">
        <w:t xml:space="preserve"> tzv. specifické datové položky (dále také „SDP“)</w:t>
      </w:r>
      <w:r w:rsidR="00C40FD9">
        <w:t>, které</w:t>
      </w:r>
      <w:r w:rsidR="009F287E" w:rsidRPr="00E36ABB">
        <w:t xml:space="preserve"> </w:t>
      </w:r>
      <w:r w:rsidR="009F287E">
        <w:t>však s</w:t>
      </w:r>
      <w:r w:rsidR="009F287E" w:rsidRPr="00E36ABB">
        <w:t>ystematicky</w:t>
      </w:r>
      <w:r w:rsidR="009F287E">
        <w:t xml:space="preserve"> nevyužívá </w:t>
      </w:r>
      <w:r w:rsidR="009F287E" w:rsidRPr="00E36ABB">
        <w:t xml:space="preserve">při vyhodnocování programu, což snižuje schopnost sledovat reálné dopady podpory. </w:t>
      </w:r>
      <w:r w:rsidR="009F287E">
        <w:t>H</w:t>
      </w:r>
      <w:r w:rsidR="009F287E" w:rsidRPr="00E36ABB">
        <w:t xml:space="preserve">odnota SDP </w:t>
      </w:r>
      <w:r w:rsidR="00DE4B99">
        <w:rPr>
          <w:i/>
          <w:iCs/>
        </w:rPr>
        <w:t>o</w:t>
      </w:r>
      <w:r w:rsidR="009F287E" w:rsidRPr="00E36ABB">
        <w:rPr>
          <w:i/>
          <w:iCs/>
        </w:rPr>
        <w:t>bjem zadržované vody za rok</w:t>
      </w:r>
      <w:r w:rsidR="009F287E" w:rsidRPr="00E36ABB">
        <w:t xml:space="preserve"> činila 641 153,88 m</w:t>
      </w:r>
      <w:r w:rsidR="009F287E" w:rsidRPr="00E36ABB">
        <w:rPr>
          <w:vertAlign w:val="superscript"/>
        </w:rPr>
        <w:t>3</w:t>
      </w:r>
      <w:r w:rsidR="009F287E" w:rsidRPr="00E36ABB">
        <w:t>/</w:t>
      </w:r>
      <w:r w:rsidR="009F287E">
        <w:t xml:space="preserve">průměrný </w:t>
      </w:r>
      <w:r w:rsidR="009F287E" w:rsidRPr="00E36ABB">
        <w:t>rok.</w:t>
      </w:r>
    </w:p>
    <w:p w14:paraId="121A64E4" w14:textId="6B85748C" w:rsidR="00847302" w:rsidRPr="0007220F" w:rsidRDefault="00B053D2" w:rsidP="00B571F2">
      <w:pPr>
        <w:pStyle w:val="JK3"/>
        <w:numPr>
          <w:ilvl w:val="0"/>
          <w:numId w:val="25"/>
        </w:numPr>
        <w:spacing w:before="60"/>
        <w:ind w:left="851" w:hanging="284"/>
      </w:pPr>
      <w:r w:rsidRPr="008F2BAF">
        <w:t xml:space="preserve">MŽP poskytlo </w:t>
      </w:r>
      <w:r w:rsidR="00607B1A">
        <w:t>prostřednictvím</w:t>
      </w:r>
      <w:r w:rsidR="00DE4B99">
        <w:t xml:space="preserve"> </w:t>
      </w:r>
      <w:r w:rsidR="00607B1A">
        <w:t xml:space="preserve">SFŽP z programu </w:t>
      </w:r>
      <w:r w:rsidRPr="008F2BAF">
        <w:t xml:space="preserve">NZÚ </w:t>
      </w:r>
      <w:r w:rsidR="00607B1A">
        <w:t>financovaného z </w:t>
      </w:r>
      <w:r w:rsidRPr="008F2BAF">
        <w:t>NPO</w:t>
      </w:r>
      <w:r w:rsidR="00607B1A">
        <w:t xml:space="preserve"> celkem</w:t>
      </w:r>
      <w:r w:rsidR="002552C0">
        <w:t xml:space="preserve"> 167,73 mil. Kč na akumulační nádrže či zelené střechy u rodinných a bytových domů</w:t>
      </w:r>
      <w:r w:rsidR="00636ED4">
        <w:t xml:space="preserve"> (3 374 projektů)</w:t>
      </w:r>
      <w:r w:rsidR="002552C0">
        <w:t>.</w:t>
      </w:r>
      <w:r w:rsidR="00AA367A">
        <w:t xml:space="preserve"> </w:t>
      </w:r>
      <w:r w:rsidR="002552C0">
        <w:t>MŽP nestanovilo p</w:t>
      </w:r>
      <w:r w:rsidR="002552C0" w:rsidRPr="00B139E7">
        <w:t xml:space="preserve">ro oblast </w:t>
      </w:r>
      <w:r w:rsidR="002552C0">
        <w:t xml:space="preserve">podpory </w:t>
      </w:r>
      <w:r w:rsidR="002552C0" w:rsidRPr="00B139E7">
        <w:t>hospodaření se srážkovými vodami žádn</w:t>
      </w:r>
      <w:r w:rsidR="002552C0">
        <w:t>é</w:t>
      </w:r>
      <w:r w:rsidR="002552C0" w:rsidRPr="00B139E7">
        <w:t xml:space="preserve"> měřiteln</w:t>
      </w:r>
      <w:r w:rsidR="002552C0">
        <w:t xml:space="preserve">é </w:t>
      </w:r>
      <w:r w:rsidR="002552C0" w:rsidRPr="00B139E7">
        <w:t>cíl</w:t>
      </w:r>
      <w:r w:rsidR="002552C0">
        <w:t>e, a</w:t>
      </w:r>
      <w:r w:rsidR="002552C0" w:rsidRPr="008F2BAF">
        <w:t>čkoliv cílem programu NZÚ bylo</w:t>
      </w:r>
      <w:r w:rsidR="002552C0">
        <w:t xml:space="preserve"> mj. zlepšení hospodaření se srážkovými vodami</w:t>
      </w:r>
      <w:r w:rsidR="00AA367A">
        <w:t xml:space="preserve">. </w:t>
      </w:r>
      <w:r w:rsidR="002552C0">
        <w:t xml:space="preserve">SFŽP sbírá u NZÚ data o objemu </w:t>
      </w:r>
      <w:r w:rsidR="00AA367A">
        <w:t xml:space="preserve">vybudovaných </w:t>
      </w:r>
      <w:r w:rsidR="002552C0">
        <w:t>akumulačních nádrží na dešťovou vodu a o ploše</w:t>
      </w:r>
      <w:r w:rsidR="00AA367A">
        <w:t xml:space="preserve"> vybudovaných</w:t>
      </w:r>
      <w:r w:rsidR="002552C0">
        <w:t xml:space="preserve"> zelených střech</w:t>
      </w:r>
      <w:r w:rsidR="00AA367A">
        <w:t xml:space="preserve">, dosažené hodnoty činily </w:t>
      </w:r>
      <w:r>
        <w:t>25 414,17 m</w:t>
      </w:r>
      <w:r w:rsidRPr="00AA367A">
        <w:rPr>
          <w:vertAlign w:val="superscript"/>
        </w:rPr>
        <w:t>3</w:t>
      </w:r>
      <w:r>
        <w:t xml:space="preserve"> </w:t>
      </w:r>
      <w:r w:rsidRPr="008F2BAF">
        <w:t>a</w:t>
      </w:r>
      <w:r w:rsidR="00607B1A">
        <w:t> </w:t>
      </w:r>
      <w:r>
        <w:t>33 232,58 m</w:t>
      </w:r>
      <w:r w:rsidRPr="00AA367A">
        <w:rPr>
          <w:vertAlign w:val="superscript"/>
        </w:rPr>
        <w:t>2</w:t>
      </w:r>
      <w:r>
        <w:t>.</w:t>
      </w:r>
    </w:p>
    <w:p w14:paraId="114E40A5" w14:textId="79D50E93" w:rsidR="001E1E45" w:rsidRDefault="00FC4A24" w:rsidP="001E1E45">
      <w:pPr>
        <w:pStyle w:val="JK3"/>
        <w:spacing w:before="120"/>
        <w:ind w:left="567" w:hanging="567"/>
      </w:pPr>
      <w:r w:rsidRPr="00B75C38">
        <w:t xml:space="preserve">MŽP nesplnilo úkol stanovený v </w:t>
      </w:r>
      <w:r w:rsidRPr="003C4B1F">
        <w:rPr>
          <w:i/>
          <w:iCs/>
        </w:rPr>
        <w:t>Národním akčním plánu adaptace na změnu klimatu</w:t>
      </w:r>
      <w:r w:rsidR="00F60475">
        <w:t xml:space="preserve"> (dále také „NAP“)</w:t>
      </w:r>
      <w:r w:rsidRPr="00B75C38">
        <w:t xml:space="preserve"> připravit </w:t>
      </w:r>
      <w:r w:rsidR="007D6F8B">
        <w:t>koncepci</w:t>
      </w:r>
      <w:r w:rsidRPr="00B75C38">
        <w:t xml:space="preserve"> pro hospodaření se srážkovými vodami v</w:t>
      </w:r>
      <w:r>
        <w:t> urbanizovaných územích</w:t>
      </w:r>
      <w:r w:rsidRPr="00B75C38">
        <w:t>.</w:t>
      </w:r>
      <w:r>
        <w:t xml:space="preserve"> K plnění tohoto úkolu byl</w:t>
      </w:r>
      <w:r w:rsidR="00EC38B9" w:rsidRPr="00EC38B9">
        <w:t xml:space="preserve"> ministr životního prostředí zavázán usnesením vlády</w:t>
      </w:r>
      <w:r w:rsidR="00EC38B9">
        <w:t xml:space="preserve"> </w:t>
      </w:r>
      <w:r>
        <w:t xml:space="preserve">ČR ze dne 16. ledna 2017 č. 34. MŽP nechalo zpracovat </w:t>
      </w:r>
      <w:r w:rsidR="00D14A5B">
        <w:t xml:space="preserve">pouze </w:t>
      </w:r>
      <w:r>
        <w:t>studii, ve které nestanovilo žádné odpovědnosti, termíny ani způsob vyhodnocování dosahování vytyčených strategických cílů</w:t>
      </w:r>
      <w:r w:rsidRPr="00933D9B">
        <w:t>.</w:t>
      </w:r>
      <w:r>
        <w:t xml:space="preserve"> </w:t>
      </w:r>
      <w:r w:rsidR="00D14A5B">
        <w:t>S</w:t>
      </w:r>
      <w:r>
        <w:t>tudie není závazná pro žádné aktéry.</w:t>
      </w:r>
    </w:p>
    <w:p w14:paraId="1E7B0FDA" w14:textId="7D9D1702" w:rsidR="00715822" w:rsidRDefault="001E1E45" w:rsidP="00BB3956">
      <w:pPr>
        <w:pStyle w:val="JK3"/>
        <w:spacing w:before="120"/>
        <w:ind w:left="567" w:hanging="567"/>
      </w:pPr>
      <w:r w:rsidRPr="001E1E45">
        <w:t>Dále NKÚ konstatuje, že MŽP a SFŽP nedostatečně motivovaly</w:t>
      </w:r>
      <w:r>
        <w:t xml:space="preserve"> obce</w:t>
      </w:r>
      <w:r w:rsidRPr="001E1E45">
        <w:t xml:space="preserve"> k</w:t>
      </w:r>
      <w:r>
        <w:t xml:space="preserve"> možnosti využití podpory z OPŽP21+ na vypracování dokumentů nezbytných pro koncepční řešení </w:t>
      </w:r>
      <w:r w:rsidR="00177533">
        <w:t xml:space="preserve">hospodaření se </w:t>
      </w:r>
      <w:r>
        <w:t>srážkový</w:t>
      </w:r>
      <w:r w:rsidR="00177533">
        <w:t>mi</w:t>
      </w:r>
      <w:r>
        <w:t xml:space="preserve"> vod</w:t>
      </w:r>
      <w:r w:rsidR="00177533">
        <w:t>ami</w:t>
      </w:r>
      <w:r>
        <w:t xml:space="preserve"> na území obce</w:t>
      </w:r>
      <w:r w:rsidR="0036392A">
        <w:t xml:space="preserve">. </w:t>
      </w:r>
      <w:r w:rsidR="00177533">
        <w:t>NKÚ kontrolou vzorku projektů zjistil, že s výjimkou jedné obce byly projekty realizov</w:t>
      </w:r>
      <w:r w:rsidR="00DE4B99">
        <w:t>ány</w:t>
      </w:r>
      <w:r w:rsidR="00177533">
        <w:t xml:space="preserve"> bez předchozí analýzy potřeb</w:t>
      </w:r>
      <w:r w:rsidR="00636ED4">
        <w:t xml:space="preserve"> celého území obce</w:t>
      </w:r>
      <w:r w:rsidR="00177533">
        <w:t>.</w:t>
      </w:r>
    </w:p>
    <w:p w14:paraId="6256D010" w14:textId="633F7E87" w:rsidR="007D6F8B" w:rsidRDefault="005C08CA" w:rsidP="00127707">
      <w:pPr>
        <w:pStyle w:val="JK3"/>
        <w:spacing w:before="120"/>
        <w:ind w:left="567" w:hanging="567"/>
      </w:pPr>
      <w:r w:rsidRPr="00CF2829">
        <w:t xml:space="preserve">Na opatření v rodinných a bytových domech </w:t>
      </w:r>
      <w:r w:rsidR="00FC4A24" w:rsidRPr="00CF2829">
        <w:t>MŽP a SFŽP poskytly ke dni 1. 7. 2025 dotace z</w:t>
      </w:r>
      <w:r w:rsidR="00FE0FF2">
        <w:t xml:space="preserve"> NPO prostřednictvím programu </w:t>
      </w:r>
      <w:r w:rsidR="00FC4A24" w:rsidRPr="00CF2829">
        <w:t xml:space="preserve">NZÚ </w:t>
      </w:r>
      <w:r w:rsidR="00FE0FF2">
        <w:t>v celkové</w:t>
      </w:r>
      <w:r w:rsidRPr="00CF2829">
        <w:t xml:space="preserve"> výši</w:t>
      </w:r>
      <w:r w:rsidR="006873DD">
        <w:t xml:space="preserve"> </w:t>
      </w:r>
      <w:r w:rsidR="006873DD" w:rsidRPr="006873DD">
        <w:t>15 706,19 mil. Kč</w:t>
      </w:r>
      <w:r w:rsidRPr="00CF2829">
        <w:t xml:space="preserve">. </w:t>
      </w:r>
      <w:r w:rsidR="006873DD">
        <w:t>Zájem o</w:t>
      </w:r>
      <w:r w:rsidR="00FE0FF2">
        <w:t> </w:t>
      </w:r>
      <w:r w:rsidR="006873DD">
        <w:t>p</w:t>
      </w:r>
      <w:r w:rsidRPr="00CF2829">
        <w:t>odpor</w:t>
      </w:r>
      <w:r w:rsidR="006873DD">
        <w:t>u na zlepšení</w:t>
      </w:r>
      <w:r w:rsidRPr="00CF2829">
        <w:t xml:space="preserve"> hospodaření se srážkovými vodami byl </w:t>
      </w:r>
      <w:r w:rsidR="006873DD">
        <w:t>výrazně nižší oproti zájmu o</w:t>
      </w:r>
      <w:r w:rsidR="00DE4B99">
        <w:t> </w:t>
      </w:r>
      <w:r w:rsidR="006873DD">
        <w:t>podporu na instalace tepelných čerpadel či fotovoltaických zařízení</w:t>
      </w:r>
      <w:r w:rsidRPr="00CF2829">
        <w:t xml:space="preserve">. </w:t>
      </w:r>
      <w:r w:rsidR="00FB4994">
        <w:t>D</w:t>
      </w:r>
      <w:r w:rsidR="00FB4994" w:rsidRPr="00CF2829">
        <w:t>otac</w:t>
      </w:r>
      <w:r w:rsidR="00FB4994">
        <w:t>e</w:t>
      </w:r>
      <w:r w:rsidR="00FB4994" w:rsidRPr="00CF2829">
        <w:t xml:space="preserve"> na opatření zaměřená na hospodaření se srážkovými </w:t>
      </w:r>
      <w:r w:rsidR="00624587">
        <w:t xml:space="preserve">vodami </w:t>
      </w:r>
      <w:r w:rsidR="00FB4994">
        <w:t xml:space="preserve">se podílela na celkovém objemu poskytnutých dotací </w:t>
      </w:r>
      <w:r w:rsidR="00FC4A24" w:rsidRPr="00CF2829">
        <w:t>1</w:t>
      </w:r>
      <w:r w:rsidR="00FB4994">
        <w:t> </w:t>
      </w:r>
      <w:r w:rsidR="00FC4A24" w:rsidRPr="00CF2829">
        <w:t>% (167,7</w:t>
      </w:r>
      <w:r w:rsidR="005025EA">
        <w:t>3</w:t>
      </w:r>
      <w:r w:rsidR="00FC4A24" w:rsidRPr="00CF2829">
        <w:t xml:space="preserve"> mil. Kč</w:t>
      </w:r>
      <w:r w:rsidR="006873DD">
        <w:t>)</w:t>
      </w:r>
      <w:r w:rsidR="00FC4A24" w:rsidRPr="00CF2829">
        <w:t>.</w:t>
      </w:r>
    </w:p>
    <w:p w14:paraId="234901C7" w14:textId="6D8BA19D" w:rsidR="009C72EB" w:rsidRDefault="00BB3956" w:rsidP="006873DD">
      <w:pPr>
        <w:pStyle w:val="JK3"/>
        <w:spacing w:before="120"/>
        <w:ind w:left="567" w:hanging="567"/>
      </w:pPr>
      <w:r>
        <w:t xml:space="preserve">Program NZÚ byl v letech 2021 až 2023 financován z NPO. </w:t>
      </w:r>
      <w:r w:rsidR="007D6F8B">
        <w:t>Příjemci dotace realizovali v</w:t>
      </w:r>
      <w:r w:rsidR="00BC4A9A">
        <w:t>ětšin</w:t>
      </w:r>
      <w:r w:rsidR="007D6F8B">
        <w:t>u</w:t>
      </w:r>
      <w:r w:rsidR="00BC4A9A">
        <w:t xml:space="preserve"> projektů zaměřených na hospodaření se srážkovými vodami (akumulační nádrže, zelené střechy) samostatně. </w:t>
      </w:r>
      <w:r w:rsidR="00EB03EA">
        <w:t xml:space="preserve">Menší část </w:t>
      </w:r>
      <w:r w:rsidR="007D6F8B">
        <w:t>projektů realizovali v</w:t>
      </w:r>
      <w:r w:rsidR="00EB03EA">
        <w:t xml:space="preserve"> kombina</w:t>
      </w:r>
      <w:r w:rsidR="007D6F8B">
        <w:t>ci</w:t>
      </w:r>
      <w:r w:rsidR="00EB03EA">
        <w:t xml:space="preserve"> s dalším energeticky úsporným opatřením, např. se zateplením či výměnou zdroje vytápění. </w:t>
      </w:r>
      <w:r>
        <w:t>Z důvodu velkého zájmu žadatelů</w:t>
      </w:r>
      <w:r w:rsidR="00BC4A9A">
        <w:t xml:space="preserve"> o podporu</w:t>
      </w:r>
      <w:r w:rsidR="00EB03EA">
        <w:t xml:space="preserve"> </w:t>
      </w:r>
      <w:r>
        <w:t>došlo k rozšíření zdrojů financování</w:t>
      </w:r>
      <w:r w:rsidR="00EB03EA">
        <w:t xml:space="preserve"> programu NZÚ</w:t>
      </w:r>
      <w:r>
        <w:t xml:space="preserve"> o prostředky z Modernizačního fondu</w:t>
      </w:r>
      <w:r w:rsidR="006873DD">
        <w:t xml:space="preserve"> (dále také „</w:t>
      </w:r>
      <w:proofErr w:type="spellStart"/>
      <w:r w:rsidR="006873DD">
        <w:t>MdF</w:t>
      </w:r>
      <w:proofErr w:type="spellEnd"/>
      <w:r w:rsidR="006873DD">
        <w:t>“)</w:t>
      </w:r>
      <w:r>
        <w:t>.</w:t>
      </w:r>
      <w:r w:rsidR="009C72EB">
        <w:t xml:space="preserve"> NKÚ zjistil, že</w:t>
      </w:r>
      <w:r w:rsidR="006873DD">
        <w:t xml:space="preserve"> </w:t>
      </w:r>
      <w:r w:rsidR="00EB03EA">
        <w:lastRenderedPageBreak/>
        <w:t xml:space="preserve">samostatná realizace adaptačních opatření </w:t>
      </w:r>
      <w:r w:rsidR="006873DD">
        <w:t xml:space="preserve">z prostředků </w:t>
      </w:r>
      <w:proofErr w:type="spellStart"/>
      <w:r w:rsidR="006873DD">
        <w:t>MdF</w:t>
      </w:r>
      <w:proofErr w:type="spellEnd"/>
      <w:r w:rsidR="009C72EB">
        <w:t xml:space="preserve"> již nebyla možná, což </w:t>
      </w:r>
      <w:r w:rsidR="006873DD">
        <w:t>dále</w:t>
      </w:r>
      <w:r w:rsidR="009C72EB" w:rsidRPr="00202139">
        <w:t xml:space="preserve"> sníž</w:t>
      </w:r>
      <w:r w:rsidR="006873DD">
        <w:t>ilo</w:t>
      </w:r>
      <w:r w:rsidR="009C72EB" w:rsidRPr="00202139">
        <w:t xml:space="preserve"> podíl poskytnuté podpory na</w:t>
      </w:r>
      <w:r w:rsidR="009C72EB">
        <w:t xml:space="preserve"> hospodaření se srážkovými vodami</w:t>
      </w:r>
      <w:r w:rsidR="009C72EB" w:rsidRPr="00202139">
        <w:t>.</w:t>
      </w:r>
    </w:p>
    <w:p w14:paraId="765A4AA8" w14:textId="78935AFC" w:rsidR="00FC4A24" w:rsidRPr="00872FEE" w:rsidRDefault="00FC4A24" w:rsidP="00127707">
      <w:pPr>
        <w:pStyle w:val="JK3"/>
        <w:spacing w:before="120"/>
        <w:ind w:left="567" w:hanging="567"/>
      </w:pPr>
      <w:r w:rsidRPr="00872FEE">
        <w:t>Česká republika</w:t>
      </w:r>
      <w:r w:rsidR="003316D5" w:rsidRPr="00872FEE">
        <w:t xml:space="preserve"> </w:t>
      </w:r>
      <w:r w:rsidR="007D6F8B">
        <w:t xml:space="preserve">podle dostupných dat výrazně zaostává v rozvoji zelených střech </w:t>
      </w:r>
      <w:r w:rsidRPr="00872FEE">
        <w:t xml:space="preserve">ve srovnání s Rakouskem </w:t>
      </w:r>
      <w:r w:rsidR="007D6F8B">
        <w:t>či</w:t>
      </w:r>
      <w:r w:rsidR="00130E0C">
        <w:t xml:space="preserve"> </w:t>
      </w:r>
      <w:r w:rsidRPr="00872FEE">
        <w:t>Německem</w:t>
      </w:r>
      <w:r w:rsidR="003316D5" w:rsidRPr="00872FEE">
        <w:t>,</w:t>
      </w:r>
      <w:r w:rsidRPr="00872FEE">
        <w:t xml:space="preserve"> a to jak</w:t>
      </w:r>
      <w:r w:rsidR="009C72EB" w:rsidRPr="00872FEE">
        <w:t xml:space="preserve"> </w:t>
      </w:r>
      <w:r w:rsidR="003316D5" w:rsidRPr="00872FEE">
        <w:t>v</w:t>
      </w:r>
      <w:r w:rsidRPr="00872FEE">
        <w:t xml:space="preserve"> ročních přírůst</w:t>
      </w:r>
      <w:r w:rsidR="003316D5" w:rsidRPr="00872FEE">
        <w:t>cích</w:t>
      </w:r>
      <w:r w:rsidR="009C72EB" w:rsidRPr="00872FEE">
        <w:t xml:space="preserve"> </w:t>
      </w:r>
      <w:r w:rsidRPr="00872FEE">
        <w:t>ploch zelených střech, tak v</w:t>
      </w:r>
      <w:r w:rsidR="00EB03EA">
        <w:t> </w:t>
      </w:r>
      <w:r w:rsidRPr="00872FEE">
        <w:t>přepočtu</w:t>
      </w:r>
      <w:r w:rsidR="00EB03EA">
        <w:t xml:space="preserve"> realizované</w:t>
      </w:r>
      <w:r w:rsidR="003316D5" w:rsidRPr="00872FEE">
        <w:t xml:space="preserve"> plochy</w:t>
      </w:r>
      <w:r w:rsidRPr="00872FEE">
        <w:t xml:space="preserve"> na obyvatele. Z celkové plochy zelených střech vybudovaných v ČR v období let 2021 až 2024 bylo pouze 8 % této plochy vybudováno s</w:t>
      </w:r>
      <w:r w:rsidR="007D6F8B">
        <w:t> </w:t>
      </w:r>
      <w:r w:rsidRPr="00872FEE">
        <w:t>podporou z programu NZÚ</w:t>
      </w:r>
      <w:r w:rsidR="00A26201" w:rsidRPr="00872FEE">
        <w:t>, což odpovídá nízkému zájmu žadatelů.</w:t>
      </w:r>
    </w:p>
    <w:p w14:paraId="542AF0B6" w14:textId="4EE2D9B7" w:rsidR="00F60AA1" w:rsidRDefault="00DC2B8F" w:rsidP="00127707">
      <w:pPr>
        <w:pStyle w:val="JK3"/>
        <w:spacing w:before="120"/>
        <w:ind w:left="567" w:hanging="567"/>
      </w:pPr>
      <w:bookmarkStart w:id="11" w:name="_Hlk221803252"/>
      <w:bookmarkEnd w:id="8"/>
      <w:r w:rsidRPr="00C937C7">
        <w:t xml:space="preserve">NKÚ </w:t>
      </w:r>
      <w:r>
        <w:t>u čtyř</w:t>
      </w:r>
      <w:r w:rsidRPr="00C937C7">
        <w:t xml:space="preserve"> kontrolovaných </w:t>
      </w:r>
      <w:r w:rsidRPr="00A31181">
        <w:t>projektů</w:t>
      </w:r>
      <w:r w:rsidR="00A31181" w:rsidRPr="00A31181">
        <w:t xml:space="preserve"> </w:t>
      </w:r>
      <w:r w:rsidRPr="00A31181">
        <w:t>konstatoval</w:t>
      </w:r>
      <w:r w:rsidRPr="00C937C7">
        <w:t>, že použití přímých či nepřímých odkazů na konkrétní výrobky</w:t>
      </w:r>
      <w:r w:rsidR="007D6F8B">
        <w:t xml:space="preserve"> ve stavebnictví</w:t>
      </w:r>
      <w:r w:rsidRPr="00C937C7">
        <w:t xml:space="preserve"> nebylo odůvodněno a bylo v rozporu se zásadami stanovenými </w:t>
      </w:r>
      <w:r w:rsidR="005764F9">
        <w:t xml:space="preserve">v zákoně č. 134/2016 Sb. </w:t>
      </w:r>
      <w:r w:rsidR="00CD203D" w:rsidRPr="00CD203D">
        <w:t xml:space="preserve">Tímto </w:t>
      </w:r>
      <w:r w:rsidR="007D6F8B">
        <w:t>postupem</w:t>
      </w:r>
      <w:r w:rsidR="00CD203D" w:rsidRPr="00CD203D">
        <w:t xml:space="preserve"> zadavatelé neoprávněně zvýhodnili určité </w:t>
      </w:r>
      <w:r w:rsidR="007D6F8B">
        <w:t>produkty</w:t>
      </w:r>
      <w:r w:rsidR="00CD203D" w:rsidRPr="00CD203D">
        <w:t xml:space="preserve"> a tím narušili hospodářskou soutěž.</w:t>
      </w:r>
      <w:bookmarkEnd w:id="11"/>
      <w:r w:rsidR="00CD203D">
        <w:t xml:space="preserve"> </w:t>
      </w:r>
      <w:r w:rsidRPr="00C937C7">
        <w:t xml:space="preserve">NKÚ dále </w:t>
      </w:r>
      <w:r w:rsidR="0089770E">
        <w:t>vyhodnotil</w:t>
      </w:r>
      <w:r w:rsidRPr="00C937C7">
        <w:t xml:space="preserve">, že uvedená pochybení </w:t>
      </w:r>
      <w:r w:rsidR="006244E1">
        <w:t>nasvědčují</w:t>
      </w:r>
      <w:r w:rsidRPr="00C937C7">
        <w:t xml:space="preserve"> porušení rozpočtové kázně</w:t>
      </w:r>
      <w:r w:rsidR="00864AEB">
        <w:t>.</w:t>
      </w:r>
    </w:p>
    <w:bookmarkEnd w:id="6"/>
    <w:bookmarkEnd w:id="10"/>
    <w:p w14:paraId="358AC29E" w14:textId="5D5DD34B" w:rsidR="00CA2C1A" w:rsidRDefault="00864C1D" w:rsidP="00864C1D">
      <w:pPr>
        <w:pStyle w:val="Hlavnnadpis"/>
        <w:numPr>
          <w:ilvl w:val="0"/>
          <w:numId w:val="0"/>
        </w:numPr>
        <w:spacing w:before="840"/>
        <w:ind w:left="284"/>
      </w:pPr>
      <w:r>
        <w:t xml:space="preserve">II. </w:t>
      </w:r>
      <w:r w:rsidR="00EA2916" w:rsidRPr="007219FA">
        <w:t>Informace</w:t>
      </w:r>
      <w:r w:rsidR="00EA2916">
        <w:t xml:space="preserve"> o kontrolované oblasti</w:t>
      </w:r>
    </w:p>
    <w:p w14:paraId="354AE49C" w14:textId="79C50120" w:rsidR="007219FA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 xml:space="preserve">Hospodaření se </w:t>
      </w:r>
      <w:r w:rsidRPr="007F71EE">
        <w:t>srážkov</w:t>
      </w:r>
      <w:r w:rsidR="008D03E1">
        <w:t xml:space="preserve">ými </w:t>
      </w:r>
      <w:r w:rsidRPr="007F71EE">
        <w:t>vod</w:t>
      </w:r>
      <w:r w:rsidR="008D03E1">
        <w:t>ami</w:t>
      </w:r>
      <w:r w:rsidR="00865E8C" w:rsidRPr="007F71EE">
        <w:t xml:space="preserve"> </w:t>
      </w:r>
      <w:r w:rsidRPr="007F71EE">
        <w:t>představuje</w:t>
      </w:r>
      <w:r w:rsidRPr="18D00A56">
        <w:t xml:space="preserve"> soubor technických a</w:t>
      </w:r>
      <w:r w:rsidR="007219FA">
        <w:t> </w:t>
      </w:r>
      <w:r w:rsidRPr="18D00A56">
        <w:t>přírodě blízkých opatření, jejichž cílem je zpomalit odtok deště z území, zvýšit jeho retenci a</w:t>
      </w:r>
      <w:r w:rsidR="009A1C5A">
        <w:t> </w:t>
      </w:r>
      <w:r w:rsidRPr="18D00A56">
        <w:t>v</w:t>
      </w:r>
      <w:r w:rsidR="00865E8C">
        <w:t> </w:t>
      </w:r>
      <w:r w:rsidRPr="18D00A56">
        <w:t>maximální míře jej vrátit do vodního cyklu. V urbanizovaném prostředí jde o</w:t>
      </w:r>
      <w:r w:rsidR="007219FA">
        <w:t> </w:t>
      </w:r>
      <w:r w:rsidRPr="18D00A56">
        <w:t>klíčový nástroj adaptace na změnu klimatu, protože snižuje povrchový odtok při intenzivních srážkách, odlehčuje kanalizaci a zlepšuje lokální vodní bilanci.</w:t>
      </w:r>
    </w:p>
    <w:p w14:paraId="3BE0C11E" w14:textId="77777777" w:rsidR="007219FA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 xml:space="preserve">Klíčovým problémem urbanizovaných území je vysoký podíl nepropustných povrchů, které znemožňují infiltraci a urychlují odtok dešťové vody. Jejich náhrada propustnými povrchy – například vegetačními dlaždicemi, zatravňovacími panely, štěrkovými či drenážními vrstvami nebo dlažbou se spárami – umožňuje vsakování přímo v místě dopadu a výrazně omezuje zatížení kanalizační sítě. </w:t>
      </w:r>
    </w:p>
    <w:p w14:paraId="0193CF83" w14:textId="1FDDE4C6" w:rsidR="00580350" w:rsidRDefault="00702EDF" w:rsidP="00B571F2">
      <w:pPr>
        <w:pStyle w:val="TextKZ"/>
        <w:numPr>
          <w:ilvl w:val="1"/>
          <w:numId w:val="26"/>
        </w:numPr>
        <w:ind w:left="567" w:hanging="567"/>
      </w:pPr>
      <w:r w:rsidRPr="009328FB">
        <w:t xml:space="preserve">Dalšími </w:t>
      </w:r>
      <w:r w:rsidR="0438205C" w:rsidRPr="009328FB">
        <w:t>opatřeními</w:t>
      </w:r>
      <w:r w:rsidR="0438205C" w:rsidRPr="18D00A56">
        <w:t xml:space="preserve"> jsou akumulační nádrže pro technické využití srážkové vody v</w:t>
      </w:r>
      <w:r w:rsidR="00131409">
        <w:t> </w:t>
      </w:r>
      <w:r w:rsidR="0438205C" w:rsidRPr="18D00A56">
        <w:t>budovách, infiltrační objekty (vsakovací bloky, jámy a průlehy) a přírodě blízké prvky, jako jsou dešťové zahrady, retenční prohlubně nebo zelené střechy. V souhrnu tvoří základ modro</w:t>
      </w:r>
      <w:r w:rsidR="0438205C" w:rsidRPr="007219FA">
        <w:rPr>
          <w:rFonts w:ascii="Cambria Math" w:hAnsi="Cambria Math" w:cs="Cambria Math"/>
        </w:rPr>
        <w:t>‑</w:t>
      </w:r>
      <w:r w:rsidR="0438205C" w:rsidRPr="18D00A56">
        <w:t>zelen</w:t>
      </w:r>
      <w:r w:rsidR="0438205C" w:rsidRPr="007219FA">
        <w:rPr>
          <w:rFonts w:ascii="Calibri" w:hAnsi="Calibri" w:cs="Calibri"/>
        </w:rPr>
        <w:t>é</w:t>
      </w:r>
      <w:r w:rsidR="0438205C" w:rsidRPr="18D00A56">
        <w:t xml:space="preserve"> infrastruktury, kter</w:t>
      </w:r>
      <w:r w:rsidR="0438205C" w:rsidRPr="007219FA">
        <w:rPr>
          <w:rFonts w:ascii="Calibri" w:hAnsi="Calibri" w:cs="Calibri"/>
        </w:rPr>
        <w:t>á</w:t>
      </w:r>
      <w:r w:rsidR="0438205C" w:rsidRPr="18D00A56">
        <w:t xml:space="preserve"> zvy</w:t>
      </w:r>
      <w:r w:rsidR="0438205C" w:rsidRPr="007219FA">
        <w:rPr>
          <w:rFonts w:ascii="Calibri" w:hAnsi="Calibri" w:cs="Calibri"/>
        </w:rPr>
        <w:t>š</w:t>
      </w:r>
      <w:r w:rsidR="0438205C" w:rsidRPr="18D00A56">
        <w:t>uje odolnost s</w:t>
      </w:r>
      <w:r w:rsidR="0438205C" w:rsidRPr="007219FA">
        <w:rPr>
          <w:rFonts w:ascii="Calibri" w:hAnsi="Calibri" w:cs="Calibri"/>
        </w:rPr>
        <w:t>í</w:t>
      </w:r>
      <w:r w:rsidR="0438205C" w:rsidRPr="18D00A56">
        <w:t>del v</w:t>
      </w:r>
      <w:r w:rsidR="0438205C" w:rsidRPr="007219FA">
        <w:rPr>
          <w:rFonts w:ascii="Calibri" w:hAnsi="Calibri" w:cs="Calibri"/>
        </w:rPr>
        <w:t>ůč</w:t>
      </w:r>
      <w:r w:rsidR="0438205C" w:rsidRPr="18D00A56">
        <w:t>i hydrologick</w:t>
      </w:r>
      <w:r w:rsidR="0438205C" w:rsidRPr="007219FA">
        <w:rPr>
          <w:rFonts w:ascii="Calibri" w:hAnsi="Calibri" w:cs="Calibri"/>
        </w:rPr>
        <w:t>ý</w:t>
      </w:r>
      <w:r w:rsidR="0438205C" w:rsidRPr="18D00A56">
        <w:t>m extr</w:t>
      </w:r>
      <w:r w:rsidR="0438205C" w:rsidRPr="007219FA">
        <w:rPr>
          <w:rFonts w:ascii="Calibri" w:hAnsi="Calibri" w:cs="Calibri"/>
        </w:rPr>
        <w:t>é</w:t>
      </w:r>
      <w:r w:rsidR="0438205C" w:rsidRPr="18D00A56">
        <w:t>m</w:t>
      </w:r>
      <w:r w:rsidR="0438205C" w:rsidRPr="007219FA">
        <w:rPr>
          <w:rFonts w:ascii="Calibri" w:hAnsi="Calibri" w:cs="Calibri"/>
        </w:rPr>
        <w:t>ů</w:t>
      </w:r>
      <w:r w:rsidR="0438205C" w:rsidRPr="18D00A56">
        <w:t>m a</w:t>
      </w:r>
      <w:r w:rsidR="00131409">
        <w:t> </w:t>
      </w:r>
      <w:r w:rsidR="0438205C" w:rsidRPr="18D00A56">
        <w:t>podporuje obnovu mal</w:t>
      </w:r>
      <w:r w:rsidR="0438205C" w:rsidRPr="007219FA">
        <w:rPr>
          <w:rFonts w:ascii="Calibri" w:hAnsi="Calibri" w:cs="Calibri"/>
        </w:rPr>
        <w:t>é</w:t>
      </w:r>
      <w:r w:rsidR="0438205C" w:rsidRPr="18D00A56">
        <w:t>ho vodn</w:t>
      </w:r>
      <w:r w:rsidR="0438205C" w:rsidRPr="007219FA">
        <w:rPr>
          <w:rFonts w:ascii="Calibri" w:hAnsi="Calibri" w:cs="Calibri"/>
        </w:rPr>
        <w:t>í</w:t>
      </w:r>
      <w:r w:rsidR="0438205C" w:rsidRPr="18D00A56">
        <w:t>ho cyklu.</w:t>
      </w:r>
    </w:p>
    <w:p w14:paraId="606D7493" w14:textId="77777777" w:rsidR="007219FA" w:rsidRPr="00131409" w:rsidRDefault="007219FA" w:rsidP="00E030E8">
      <w:pPr>
        <w:pStyle w:val="TextKZ"/>
        <w:spacing w:before="240" w:after="120"/>
        <w:ind w:left="567" w:hanging="567"/>
        <w:rPr>
          <w:b/>
          <w:bCs/>
          <w:i/>
          <w:iCs/>
        </w:rPr>
      </w:pPr>
      <w:r w:rsidRPr="00131409">
        <w:rPr>
          <w:b/>
          <w:bCs/>
          <w:i/>
          <w:iCs/>
        </w:rPr>
        <w:t>Ministerstvo životního prostředí</w:t>
      </w:r>
    </w:p>
    <w:p w14:paraId="2D16E7E1" w14:textId="7BFB5079" w:rsidR="004D441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 xml:space="preserve">MŽP je ústředním orgánem státní správy a orgánem vrchního dozoru ve věcech životního prostředí. </w:t>
      </w:r>
      <w:r w:rsidR="00D71B1F" w:rsidRPr="18D00A56">
        <w:t>Je řídicím orgánem pro OPŽP</w:t>
      </w:r>
      <w:r w:rsidR="00D71B1F">
        <w:t>21+ a p</w:t>
      </w:r>
      <w:r w:rsidRPr="18D00A56">
        <w:t xml:space="preserve">oskytuje </w:t>
      </w:r>
      <w:r w:rsidR="0098542A">
        <w:t xml:space="preserve">peněžní </w:t>
      </w:r>
      <w:r w:rsidRPr="18D00A56">
        <w:t xml:space="preserve">prostředky na financování opatření pro zlepšení </w:t>
      </w:r>
      <w:r w:rsidR="008D03E1">
        <w:t>hospodaření se srážkovými vodami</w:t>
      </w:r>
      <w:r w:rsidR="0098542A">
        <w:t>. R</w:t>
      </w:r>
      <w:r w:rsidRPr="18D00A56">
        <w:t>ozhoduje o</w:t>
      </w:r>
      <w:r w:rsidR="00D71B1F">
        <w:t> </w:t>
      </w:r>
      <w:r w:rsidRPr="18D00A56">
        <w:t>poskytování peněžních prostředků</w:t>
      </w:r>
      <w:r w:rsidR="00D71B1F">
        <w:t xml:space="preserve"> SFŽP</w:t>
      </w:r>
      <w:r w:rsidRPr="18D00A56">
        <w:t>, které jsou rozdělovány z</w:t>
      </w:r>
      <w:r w:rsidR="00865E8C">
        <w:t> </w:t>
      </w:r>
      <w:r w:rsidRPr="18D00A56">
        <w:t>N</w:t>
      </w:r>
      <w:r w:rsidR="00865E8C">
        <w:t xml:space="preserve">PO </w:t>
      </w:r>
      <w:r w:rsidRPr="18D00A56">
        <w:t>na aktivity realizov</w:t>
      </w:r>
      <w:r w:rsidR="00D71B1F">
        <w:t>ané</w:t>
      </w:r>
      <w:r w:rsidRPr="18D00A56">
        <w:t xml:space="preserve"> prostřednictvím</w:t>
      </w:r>
      <w:r w:rsidR="001F5E9B">
        <w:t xml:space="preserve"> </w:t>
      </w:r>
      <w:r w:rsidR="001F5E9B" w:rsidRPr="001F5E9B">
        <w:t>NPŽP</w:t>
      </w:r>
      <w:r w:rsidR="00865E8C" w:rsidRPr="001F5E9B">
        <w:t xml:space="preserve"> a</w:t>
      </w:r>
      <w:r w:rsidR="001F5E9B" w:rsidRPr="001F5E9B">
        <w:t xml:space="preserve"> programu</w:t>
      </w:r>
      <w:r w:rsidR="00865E8C">
        <w:t xml:space="preserve"> NZÚ</w:t>
      </w:r>
      <w:r w:rsidRPr="007219FA">
        <w:rPr>
          <w:i/>
          <w:iCs/>
        </w:rPr>
        <w:t>.</w:t>
      </w:r>
      <w:r w:rsidRPr="18D00A56">
        <w:t xml:space="preserve"> Dále rozhoduje </w:t>
      </w:r>
      <w:r w:rsidRPr="007F71EE">
        <w:t>o</w:t>
      </w:r>
      <w:r w:rsidR="00131409" w:rsidRPr="007F71EE">
        <w:t> </w:t>
      </w:r>
      <w:r w:rsidRPr="007F71EE">
        <w:t xml:space="preserve">poskytování peněžních prostředků </w:t>
      </w:r>
      <w:r w:rsidR="00865E8C" w:rsidRPr="007F71EE">
        <w:t>SFŽP</w:t>
      </w:r>
      <w:r w:rsidRPr="007F71EE">
        <w:t xml:space="preserve"> </w:t>
      </w:r>
      <w:r w:rsidR="0098542A">
        <w:t xml:space="preserve">přijatých z </w:t>
      </w:r>
      <w:proofErr w:type="spellStart"/>
      <w:r w:rsidR="0098542A">
        <w:t>MdF</w:t>
      </w:r>
      <w:proofErr w:type="spellEnd"/>
      <w:r w:rsidRPr="007F71EE">
        <w:t>.</w:t>
      </w:r>
    </w:p>
    <w:p w14:paraId="33FEFDE5" w14:textId="77777777" w:rsidR="007219FA" w:rsidRPr="00131409" w:rsidRDefault="007219FA" w:rsidP="00E030E8">
      <w:pPr>
        <w:pStyle w:val="TextKZ"/>
        <w:spacing w:before="240" w:after="120"/>
        <w:rPr>
          <w:b/>
          <w:bCs/>
          <w:i/>
          <w:iCs/>
        </w:rPr>
      </w:pPr>
      <w:r w:rsidRPr="00131409">
        <w:rPr>
          <w:b/>
          <w:bCs/>
          <w:i/>
          <w:iCs/>
        </w:rPr>
        <w:t>Státní fond životního prostředí</w:t>
      </w:r>
    </w:p>
    <w:p w14:paraId="6CB931E2" w14:textId="6D17007B" w:rsidR="000F2F2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>SFŽP plní roli zprostředkujícího subjektu u OPŽP</w:t>
      </w:r>
      <w:r w:rsidR="00F60475">
        <w:t>21+</w:t>
      </w:r>
      <w:r w:rsidRPr="18D00A56">
        <w:t xml:space="preserve">, a to na základě </w:t>
      </w:r>
      <w:r w:rsidR="00865E8C">
        <w:t>d</w:t>
      </w:r>
      <w:r w:rsidRPr="18D00A56">
        <w:t xml:space="preserve">ohody o delegování některých činností a pravomocí </w:t>
      </w:r>
      <w:r w:rsidR="00865E8C">
        <w:t>MŽP</w:t>
      </w:r>
      <w:r w:rsidRPr="18D00A56">
        <w:t xml:space="preserve"> jako řídicího orgánu </w:t>
      </w:r>
      <w:r w:rsidR="00865E8C">
        <w:t>OPŽP</w:t>
      </w:r>
      <w:r w:rsidR="00F60475">
        <w:t>21+</w:t>
      </w:r>
      <w:r w:rsidRPr="18D00A56">
        <w:t xml:space="preserve"> na </w:t>
      </w:r>
      <w:r w:rsidR="00865E8C">
        <w:t>SFŽP</w:t>
      </w:r>
      <w:r w:rsidRPr="18D00A56">
        <w:t xml:space="preserve">. Dále plní roli </w:t>
      </w:r>
      <w:r w:rsidRPr="18D00A56">
        <w:lastRenderedPageBreak/>
        <w:t>tzv. subjektu implementace</w:t>
      </w:r>
      <w:r w:rsidR="00A26201">
        <w:rPr>
          <w:rStyle w:val="Znakapoznpodarou"/>
        </w:rPr>
        <w:footnoteReference w:id="4"/>
      </w:r>
      <w:r w:rsidRPr="18D00A56">
        <w:t xml:space="preserve"> u </w:t>
      </w:r>
      <w:r w:rsidR="00865E8C">
        <w:t>NPO</w:t>
      </w:r>
      <w:r w:rsidRPr="18D00A56">
        <w:t>. SFŽP získává peněžní prostředky na realizaci aktivit N</w:t>
      </w:r>
      <w:r w:rsidR="00865E8C">
        <w:t xml:space="preserve">PO </w:t>
      </w:r>
      <w:r w:rsidRPr="18D00A56">
        <w:t>od MŽP formou poskytnutí dotace</w:t>
      </w:r>
      <w:r w:rsidR="00130E0C">
        <w:t>,</w:t>
      </w:r>
      <w:r w:rsidRPr="18D00A56">
        <w:t xml:space="preserve"> a je tedy příjemcem dotace. SFŽP dále administruje programy N</w:t>
      </w:r>
      <w:r w:rsidR="00865E8C">
        <w:t xml:space="preserve">PŽP </w:t>
      </w:r>
      <w:r w:rsidRPr="18D00A56">
        <w:t>a N</w:t>
      </w:r>
      <w:r w:rsidR="00865E8C">
        <w:t>ZÚ</w:t>
      </w:r>
      <w:r w:rsidRPr="18D00A56">
        <w:t>. SFŽP plní zásadní roli jako administrátor a správce finančních prostředků</w:t>
      </w:r>
      <w:r w:rsidR="00FB4994">
        <w:t xml:space="preserve"> z </w:t>
      </w:r>
      <w:proofErr w:type="spellStart"/>
      <w:r w:rsidR="00FB4994">
        <w:t>MdF</w:t>
      </w:r>
      <w:proofErr w:type="spellEnd"/>
      <w:r w:rsidRPr="18D00A56">
        <w:t>.</w:t>
      </w:r>
    </w:p>
    <w:p w14:paraId="69D5F4C8" w14:textId="77777777" w:rsidR="007219FA" w:rsidRPr="00131409" w:rsidRDefault="007219FA" w:rsidP="00E030E8">
      <w:pPr>
        <w:pStyle w:val="TextKZ"/>
        <w:spacing w:before="240" w:after="120"/>
        <w:jc w:val="left"/>
        <w:rPr>
          <w:b/>
          <w:bCs/>
          <w:i/>
          <w:iCs/>
        </w:rPr>
      </w:pPr>
      <w:r w:rsidRPr="00131409">
        <w:rPr>
          <w:b/>
          <w:bCs/>
          <w:i/>
          <w:iCs/>
        </w:rPr>
        <w:t>Strategie přizpůsobení se změně klimatu v podmínkách ČR – 1. aktualizace pro období 2021–2030</w:t>
      </w:r>
    </w:p>
    <w:p w14:paraId="0F4BE24E" w14:textId="3C315048" w:rsidR="007219FA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 xml:space="preserve">Adaptace na změnu </w:t>
      </w:r>
      <w:r w:rsidRPr="009328FB">
        <w:t xml:space="preserve">klimatu je v </w:t>
      </w:r>
      <w:r w:rsidR="00865E8C" w:rsidRPr="009328FB">
        <w:t>ČR</w:t>
      </w:r>
      <w:r w:rsidRPr="009328FB">
        <w:t xml:space="preserve"> zastřešena </w:t>
      </w:r>
      <w:r w:rsidRPr="009328FB">
        <w:rPr>
          <w:i/>
          <w:iCs/>
        </w:rPr>
        <w:t>Strategií přizpůsobení se změně klimatu v</w:t>
      </w:r>
      <w:r w:rsidR="00865E8C" w:rsidRPr="009328FB">
        <w:rPr>
          <w:i/>
          <w:iCs/>
        </w:rPr>
        <w:t> </w:t>
      </w:r>
      <w:r w:rsidRPr="009328FB">
        <w:rPr>
          <w:i/>
          <w:iCs/>
        </w:rPr>
        <w:t>podmínkách ČR</w:t>
      </w:r>
      <w:r w:rsidR="00865E8C" w:rsidRPr="009328FB">
        <w:rPr>
          <w:i/>
          <w:iCs/>
        </w:rPr>
        <w:t xml:space="preserve"> </w:t>
      </w:r>
      <w:r w:rsidR="00865E8C" w:rsidRPr="009328FB">
        <w:t>(dále také „adaptační strategie“)</w:t>
      </w:r>
      <w:r w:rsidRPr="009328FB">
        <w:t>.</w:t>
      </w:r>
      <w:r w:rsidR="004F0E1E" w:rsidRPr="009328FB">
        <w:rPr>
          <w:rStyle w:val="Znakapoznpodarou"/>
        </w:rPr>
        <w:footnoteReference w:id="5"/>
      </w:r>
      <w:r w:rsidRPr="009328FB">
        <w:t xml:space="preserve"> Adaptační strategie shrnuje dopady klimatu na život v ČR a</w:t>
      </w:r>
      <w:r w:rsidR="00131409" w:rsidRPr="009328FB">
        <w:t> </w:t>
      </w:r>
      <w:r w:rsidRPr="009328FB">
        <w:t xml:space="preserve">předkládá adaptační opatření. </w:t>
      </w:r>
      <w:r w:rsidR="00865E8C" w:rsidRPr="009328FB">
        <w:t>A</w:t>
      </w:r>
      <w:r w:rsidRPr="009328FB">
        <w:t xml:space="preserve">daptační strategie je zaměřena na řešení všech významných projevů změny klimatu v Česku. Jejím cílem je prostřednictvím navrhovaných opatření a úkolů </w:t>
      </w:r>
      <w:r w:rsidRPr="003C4B1F">
        <w:t>„</w:t>
      </w:r>
      <w:r w:rsidRPr="009328FB">
        <w:rPr>
          <w:i/>
          <w:iCs/>
        </w:rPr>
        <w:t>zvýšit připravenost České republiky na změnu klimatu – snížit zranitelnost a</w:t>
      </w:r>
      <w:r w:rsidR="00131409" w:rsidRPr="009328FB">
        <w:rPr>
          <w:i/>
          <w:iCs/>
        </w:rPr>
        <w:t> </w:t>
      </w:r>
      <w:r w:rsidRPr="009328FB">
        <w:rPr>
          <w:i/>
          <w:iCs/>
        </w:rPr>
        <w:t>zvýšit odolnost společnosti a ekosystémů vůči změně klimatu a omezit tak její negativní dopady</w:t>
      </w:r>
      <w:r w:rsidRPr="003C4B1F">
        <w:t>“</w:t>
      </w:r>
      <w:r w:rsidRPr="009328FB">
        <w:t>.</w:t>
      </w:r>
      <w:r w:rsidR="004F0E1E" w:rsidRPr="009328FB">
        <w:t xml:space="preserve"> První aktualizaci adaptační strategie schválila vláda usnesením vlády ČR dne 13. září 2021 č. 785.</w:t>
      </w:r>
    </w:p>
    <w:p w14:paraId="0A29CE17" w14:textId="4AFFCA34" w:rsidR="000F2F2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>Adaptační strategie zdůrazňuje udržitelné hospodaření se srážkovou vodou a je z ní patrné, že pomocí propojení srážkové vody a zeleně v sídlech lze snížit dopady ve většině projevů změn klimatu v urbanizované krajině.</w:t>
      </w:r>
    </w:p>
    <w:p w14:paraId="7C2C55F8" w14:textId="77777777" w:rsidR="007219FA" w:rsidRPr="00131409" w:rsidRDefault="007219FA" w:rsidP="00E030E8">
      <w:pPr>
        <w:pStyle w:val="TextKZ"/>
        <w:spacing w:before="240" w:after="120"/>
        <w:rPr>
          <w:b/>
          <w:bCs/>
          <w:i/>
          <w:iCs/>
        </w:rPr>
      </w:pPr>
      <w:r w:rsidRPr="00131409">
        <w:rPr>
          <w:b/>
          <w:bCs/>
          <w:i/>
          <w:iCs/>
        </w:rPr>
        <w:t>Národní akční plán adaptace na změnu klimatu</w:t>
      </w:r>
    </w:p>
    <w:p w14:paraId="2011EB66" w14:textId="3A5666BE" w:rsidR="000F2F26" w:rsidRPr="007219FA" w:rsidRDefault="00865E8C" w:rsidP="00B571F2">
      <w:pPr>
        <w:pStyle w:val="TextKZ"/>
        <w:numPr>
          <w:ilvl w:val="1"/>
          <w:numId w:val="26"/>
        </w:numPr>
        <w:ind w:left="567" w:hanging="567"/>
      </w:pPr>
      <w:r w:rsidRPr="003C4B1F">
        <w:rPr>
          <w:i/>
          <w:iCs/>
        </w:rPr>
        <w:t>Národní akční plán adaptace na změnu klimatu</w:t>
      </w:r>
      <w:r w:rsidR="0438205C" w:rsidRPr="007F71EE">
        <w:t xml:space="preserve"> </w:t>
      </w:r>
      <w:r w:rsidR="00E030E8">
        <w:t xml:space="preserve">(dále také NAP“) </w:t>
      </w:r>
      <w:r w:rsidR="0438205C" w:rsidRPr="007F71EE">
        <w:t>je</w:t>
      </w:r>
      <w:r w:rsidR="0438205C" w:rsidRPr="18D00A56">
        <w:t xml:space="preserve"> implementačním </w:t>
      </w:r>
      <w:r w:rsidR="0438205C" w:rsidRPr="009328FB">
        <w:t>dokumentem adaptační strategie</w:t>
      </w:r>
      <w:r w:rsidR="0040251B" w:rsidRPr="009328FB">
        <w:t>, který byl aktualizován a schválen usnesením vlády ČR ze dne 13. září 2021 č. 785 na období 2021–2025.</w:t>
      </w:r>
      <w:r w:rsidR="0040251B" w:rsidRPr="009328FB">
        <w:rPr>
          <w:rStyle w:val="Znakapoznpodarou"/>
        </w:rPr>
        <w:footnoteReference w:id="6"/>
      </w:r>
      <w:r w:rsidR="0438205C" w:rsidRPr="18D00A56">
        <w:t xml:space="preserve"> Hlavním cílem NAP je </w:t>
      </w:r>
      <w:r w:rsidR="0438205C" w:rsidRPr="00131409">
        <w:t>prostřednictvím</w:t>
      </w:r>
      <w:r w:rsidR="0438205C" w:rsidRPr="18D00A56">
        <w:t xml:space="preserve"> navrhovaných opatření a úkolů zvýšit připravenost ČR na změnu klimatu. NAP rozpracovává opatření uvedená v adaptační strategii do konkrétních úkolů, kterým přiřazuje gesci, termíny plnění, relevanci opatření k jednotlivým projevům změny klimatu a zdroje financování.</w:t>
      </w:r>
      <w:r w:rsidR="009328FB">
        <w:t xml:space="preserve"> </w:t>
      </w:r>
      <w:r w:rsidR="0438205C" w:rsidRPr="18D00A56">
        <w:t>Vyhodnocení plnění NAP zveřejnilo MŽP v roce 2025 v</w:t>
      </w:r>
      <w:r w:rsidR="009328FB">
        <w:t> </w:t>
      </w:r>
      <w:r w:rsidR="0438205C" w:rsidRPr="18D00A56">
        <w:t xml:space="preserve">rámci veřejně dostupné </w:t>
      </w:r>
      <w:r w:rsidR="0438205C" w:rsidRPr="007219FA">
        <w:rPr>
          <w:i/>
          <w:iCs/>
        </w:rPr>
        <w:t>Zprávy o</w:t>
      </w:r>
      <w:r w:rsidR="007219FA">
        <w:rPr>
          <w:i/>
          <w:iCs/>
        </w:rPr>
        <w:t> </w:t>
      </w:r>
      <w:r w:rsidR="0438205C" w:rsidRPr="007219FA">
        <w:rPr>
          <w:i/>
          <w:iCs/>
        </w:rPr>
        <w:t>adaptaci České republiky na změnu klimatu 2025.</w:t>
      </w:r>
    </w:p>
    <w:p w14:paraId="5E6CAC88" w14:textId="77777777" w:rsidR="007219FA" w:rsidRPr="00131409" w:rsidRDefault="007219FA" w:rsidP="00E030E8">
      <w:pPr>
        <w:pStyle w:val="TextKZ"/>
        <w:spacing w:before="240" w:after="120"/>
        <w:rPr>
          <w:b/>
          <w:bCs/>
          <w:i/>
          <w:iCs/>
        </w:rPr>
      </w:pPr>
      <w:r w:rsidRPr="00131409">
        <w:rPr>
          <w:b/>
          <w:bCs/>
          <w:i/>
          <w:iCs/>
        </w:rPr>
        <w:t>Koncepce ochrany před následky sucha pro území České republiky na období 2023–2027</w:t>
      </w:r>
    </w:p>
    <w:p w14:paraId="13268625" w14:textId="643B495F" w:rsidR="000F2F26" w:rsidRPr="009328FB" w:rsidRDefault="00865E8C" w:rsidP="00B571F2">
      <w:pPr>
        <w:pStyle w:val="TextKZ"/>
        <w:numPr>
          <w:ilvl w:val="1"/>
          <w:numId w:val="26"/>
        </w:numPr>
        <w:ind w:left="567" w:hanging="567"/>
      </w:pPr>
      <w:r w:rsidRPr="003C4B1F">
        <w:rPr>
          <w:i/>
          <w:iCs/>
        </w:rPr>
        <w:t>Koncepce ochrany před následky sucha pro území České republiky na období 2023–2027</w:t>
      </w:r>
      <w:r w:rsidRPr="009328FB">
        <w:t xml:space="preserve"> (dále také „KOS“)</w:t>
      </w:r>
      <w:r w:rsidR="004424A8" w:rsidRPr="009328FB">
        <w:t xml:space="preserve"> byla schválena usnesením vlády ČR ze dne 17. května 2023 a</w:t>
      </w:r>
      <w:r w:rsidRPr="009328FB">
        <w:t xml:space="preserve"> </w:t>
      </w:r>
      <w:r w:rsidR="0438205C" w:rsidRPr="009328FB">
        <w:t>doplňuje a rozvádí opatření navržená v</w:t>
      </w:r>
      <w:r w:rsidR="002642E9">
        <w:t> adaptační strategii a</w:t>
      </w:r>
      <w:r w:rsidR="0438205C" w:rsidRPr="009328FB">
        <w:t xml:space="preserve"> NAP, a to v</w:t>
      </w:r>
      <w:r w:rsidR="00131409" w:rsidRPr="009328FB">
        <w:t> </w:t>
      </w:r>
      <w:r w:rsidR="0438205C" w:rsidRPr="009328FB">
        <w:t>oblasti projevů dlouhodobého sucha.</w:t>
      </w:r>
      <w:r w:rsidR="004424A8" w:rsidRPr="009328FB">
        <w:rPr>
          <w:rStyle w:val="Znakapoznpodarou"/>
        </w:rPr>
        <w:footnoteReference w:id="7"/>
      </w:r>
      <w:r w:rsidR="0438205C" w:rsidRPr="009328FB">
        <w:t xml:space="preserve"> Opatření navržená v </w:t>
      </w:r>
      <w:r w:rsidR="002642E9">
        <w:t>KOS</w:t>
      </w:r>
      <w:r w:rsidR="0438205C" w:rsidRPr="009328FB">
        <w:t xml:space="preserve"> mají přispět k naplnění cílů v oblasti zpomalování odtoku vody z krajiny, udržení biologické rozmanitosti, zlepšování stavu půd, zvyšování spolehlivosti vodohospodářské infrastruktury v měnících se podmínkách, ochrany vodních zdrojů před kontaminací, zvyšování úrovně čištění odpadních vod a</w:t>
      </w:r>
      <w:r w:rsidR="002642E9">
        <w:t> </w:t>
      </w:r>
      <w:r w:rsidR="0438205C" w:rsidRPr="009328FB">
        <w:t>podpory produkce potravin.</w:t>
      </w:r>
    </w:p>
    <w:p w14:paraId="24AFC176" w14:textId="0078F134" w:rsidR="000F2F2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00B743B6">
        <w:t>Cílem hospodaření se srážkovými vodami je především zachování přirozených odtokových podmínek</w:t>
      </w:r>
      <w:r w:rsidR="00B743B6" w:rsidRPr="00B743B6">
        <w:t>,</w:t>
      </w:r>
      <w:r w:rsidRPr="00B743B6">
        <w:t xml:space="preserve"> snižování spotřeby pitné vody</w:t>
      </w:r>
      <w:r w:rsidR="00B743B6" w:rsidRPr="00B743B6">
        <w:t xml:space="preserve">, </w:t>
      </w:r>
      <w:r w:rsidRPr="00B743B6">
        <w:t>ochra</w:t>
      </w:r>
      <w:r w:rsidR="00B743B6" w:rsidRPr="00B743B6">
        <w:t>na</w:t>
      </w:r>
      <w:r w:rsidRPr="00B743B6">
        <w:t xml:space="preserve"> jakosti povrchových vod </w:t>
      </w:r>
      <w:r w:rsidRPr="00B743B6">
        <w:lastRenderedPageBreak/>
        <w:t>zatížených přepadem z odlehčovacích komor jednotných kanalizačních systémů a</w:t>
      </w:r>
      <w:r w:rsidR="00606184">
        <w:t> </w:t>
      </w:r>
      <w:r w:rsidRPr="00B743B6">
        <w:t>snížení nároků na odběry vody z vodních zdrojů.</w:t>
      </w:r>
    </w:p>
    <w:p w14:paraId="775B0A0A" w14:textId="70F713E9" w:rsidR="007219FA" w:rsidRDefault="007219FA" w:rsidP="00127707">
      <w:pPr>
        <w:pStyle w:val="TextKZ"/>
      </w:pPr>
      <w:r w:rsidRPr="00131409">
        <w:rPr>
          <w:b/>
          <w:bCs/>
          <w:i/>
          <w:iCs/>
        </w:rPr>
        <w:t>Studie hospodaření se srážkovými vodami v urbanizovaných územích</w:t>
      </w:r>
    </w:p>
    <w:p w14:paraId="55B838B9" w14:textId="12D7CDED" w:rsidR="000F2F2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 xml:space="preserve">Zpracování </w:t>
      </w:r>
      <w:r w:rsidRPr="007219FA">
        <w:rPr>
          <w:i/>
          <w:iCs/>
        </w:rPr>
        <w:t>Studie hospodaření se srážkovými vodami v urbanizovaných územích</w:t>
      </w:r>
      <w:r w:rsidRPr="18D00A56">
        <w:t xml:space="preserve"> </w:t>
      </w:r>
      <w:r w:rsidRPr="007F71EE">
        <w:t>vycházelo</w:t>
      </w:r>
      <w:r w:rsidRPr="18D00A56">
        <w:t xml:space="preserve"> z</w:t>
      </w:r>
      <w:r w:rsidR="00131409">
        <w:t> </w:t>
      </w:r>
      <w:r w:rsidRPr="18D00A56">
        <w:t xml:space="preserve">požadavků NAP. Hlavním cílem </w:t>
      </w:r>
      <w:r w:rsidR="002642E9">
        <w:t xml:space="preserve">této </w:t>
      </w:r>
      <w:r w:rsidRPr="18D00A56">
        <w:t>studie bylo vytvořit rámec, který umožní zlepšení vodního režimu urbanizovaných území za účelem jejich adaptace na změnu klimatu a zvýšení kvality života v nich.</w:t>
      </w:r>
    </w:p>
    <w:p w14:paraId="0FE8B432" w14:textId="7F76E28B" w:rsidR="000F2F26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>Studie popisuje současný stav hospodaření se srážkovými vodami</w:t>
      </w:r>
      <w:r w:rsidR="00606184">
        <w:t xml:space="preserve"> v urbanizovaných územích ČR</w:t>
      </w:r>
      <w:r w:rsidRPr="18D00A56">
        <w:t>, identifikuje deficity současného stavu a navrhuje změny pro jejich odstranění a</w:t>
      </w:r>
      <w:r w:rsidR="00131409">
        <w:t> </w:t>
      </w:r>
      <w:r w:rsidRPr="18D00A56">
        <w:t>dosažení strategických cílů v</w:t>
      </w:r>
      <w:r w:rsidR="00606184">
        <w:t> </w:t>
      </w:r>
      <w:r w:rsidRPr="18D00A56">
        <w:t>oblasti hospodaření se srážkovými vodami.</w:t>
      </w:r>
    </w:p>
    <w:p w14:paraId="5B665894" w14:textId="77777777" w:rsidR="007219FA" w:rsidRPr="00131409" w:rsidRDefault="007219FA" w:rsidP="00E030E8">
      <w:pPr>
        <w:pStyle w:val="TextKZ"/>
        <w:spacing w:before="240" w:after="120"/>
        <w:rPr>
          <w:b/>
          <w:bCs/>
          <w:i/>
          <w:iCs/>
        </w:rPr>
      </w:pPr>
      <w:r w:rsidRPr="00131409">
        <w:rPr>
          <w:b/>
          <w:bCs/>
          <w:i/>
          <w:iCs/>
        </w:rPr>
        <w:t>Národní plán obnovy</w:t>
      </w:r>
    </w:p>
    <w:p w14:paraId="57221D84" w14:textId="30AC3EDC" w:rsidR="000F2F26" w:rsidRDefault="00B743B6" w:rsidP="00B571F2">
      <w:pPr>
        <w:pStyle w:val="TextKZ"/>
        <w:numPr>
          <w:ilvl w:val="1"/>
          <w:numId w:val="26"/>
        </w:numPr>
        <w:ind w:left="567" w:hanging="567"/>
        <w:rPr>
          <w:rStyle w:val="normaltextrun"/>
        </w:rPr>
      </w:pPr>
      <w:r>
        <w:t>NPO</w:t>
      </w:r>
      <w:r w:rsidR="007C7B02" w:rsidRPr="007F71EE">
        <w:rPr>
          <w:rStyle w:val="Znakapoznpodarou"/>
          <w:rFonts w:cs="Calibri"/>
        </w:rPr>
        <w:footnoteReference w:id="8"/>
      </w:r>
      <w:r w:rsidR="0438205C" w:rsidRPr="18D00A56">
        <w:t xml:space="preserve"> je strategickým dokumentem, na </w:t>
      </w:r>
      <w:r w:rsidR="005D5B5A">
        <w:t xml:space="preserve">jehož </w:t>
      </w:r>
      <w:r w:rsidR="0438205C" w:rsidRPr="18D00A56">
        <w:t>základě požádala Č</w:t>
      </w:r>
      <w:r>
        <w:t>R</w:t>
      </w:r>
      <w:r w:rsidR="0438205C" w:rsidRPr="18D00A56">
        <w:t xml:space="preserve"> o finanční příspěvek z</w:t>
      </w:r>
      <w:r>
        <w:t> </w:t>
      </w:r>
      <w:r w:rsidR="0438205C" w:rsidRPr="18D00A56">
        <w:t xml:space="preserve">evropského </w:t>
      </w:r>
      <w:r w:rsidR="0438205C" w:rsidRPr="007219FA">
        <w:rPr>
          <w:i/>
          <w:iCs/>
        </w:rPr>
        <w:t>Nástroje pro oživení a odolnost</w:t>
      </w:r>
      <w:r w:rsidR="0438205C" w:rsidRPr="18D00A56">
        <w:t xml:space="preserve"> na realizaci opatření a reforem, které mají za cíl pomoci zotavit se z následků pandemie </w:t>
      </w:r>
      <w:r w:rsidR="005D5B5A" w:rsidRPr="005D5B5A">
        <w:t>covid</w:t>
      </w:r>
      <w:r w:rsidR="005D5B5A">
        <w:t>u</w:t>
      </w:r>
      <w:r w:rsidR="0438205C" w:rsidRPr="18D00A56">
        <w:t>-19 a podpořit investice do ekologické a digitální transformace české ekonomiky.</w:t>
      </w:r>
      <w:r w:rsidR="00F22E1D">
        <w:t xml:space="preserve"> J</w:t>
      </w:r>
      <w:r w:rsidR="007F71EE" w:rsidRPr="007F71EE">
        <w:rPr>
          <w:rStyle w:val="normaltextrun"/>
        </w:rPr>
        <w:t>e realizován podle nařízení Evropského parlamentu a Rady (EU) č. 2021/241</w:t>
      </w:r>
      <w:r w:rsidR="007F71EE" w:rsidRPr="007F71EE">
        <w:rPr>
          <w:rStyle w:val="Znakapoznpodarou"/>
        </w:rPr>
        <w:footnoteReference w:id="9"/>
      </w:r>
      <w:r w:rsidR="007F71EE" w:rsidRPr="007F71EE">
        <w:rPr>
          <w:rStyle w:val="normaltextrun"/>
        </w:rPr>
        <w:t xml:space="preserve"> a nařízení Evropského parlamentu a</w:t>
      </w:r>
      <w:r w:rsidR="007219FA">
        <w:rPr>
          <w:rStyle w:val="normaltextrun"/>
        </w:rPr>
        <w:t> </w:t>
      </w:r>
      <w:r w:rsidR="007F71EE" w:rsidRPr="007F71EE">
        <w:rPr>
          <w:rStyle w:val="normaltextrun"/>
        </w:rPr>
        <w:t>Rady (EU) 2023/435</w:t>
      </w:r>
      <w:r w:rsidR="007F71EE" w:rsidRPr="007F71EE">
        <w:rPr>
          <w:rStyle w:val="Znakapoznpodarou"/>
        </w:rPr>
        <w:footnoteReference w:id="10"/>
      </w:r>
      <w:r w:rsidR="007F71EE" w:rsidRPr="007F71EE">
        <w:rPr>
          <w:rStyle w:val="normaltextrun"/>
        </w:rPr>
        <w:t>.</w:t>
      </w:r>
    </w:p>
    <w:p w14:paraId="66ABD530" w14:textId="53A02A6A" w:rsidR="00007882" w:rsidRDefault="002A1C59" w:rsidP="00B571F2">
      <w:pPr>
        <w:pStyle w:val="TextKZ"/>
        <w:numPr>
          <w:ilvl w:val="1"/>
          <w:numId w:val="26"/>
        </w:numPr>
        <w:ind w:left="567" w:hanging="567"/>
      </w:pPr>
      <w:r w:rsidRPr="006A54CA">
        <w:t>NPO je rozčleněn do sedmi pilířů, které se dále dělí na komponenty (tematické oblasti) zahrnující konkrétní reformy a investice. Každá komponenta má svého vlastníka, tj. subjekt odpovědný za</w:t>
      </w:r>
      <w:r w:rsidR="007C7B02">
        <w:t xml:space="preserve"> nastavení a implementaci komponent,</w:t>
      </w:r>
      <w:r w:rsidRPr="006A54CA">
        <w:t xml:space="preserve"> dosahování cílů a milníků. S kontrolovanou oblastí souvisí komponenty 2.5 </w:t>
      </w:r>
      <w:r w:rsidRPr="006A54CA">
        <w:rPr>
          <w:i/>
          <w:iCs/>
        </w:rPr>
        <w:t>Renovace budov a ochrana ovzduší</w:t>
      </w:r>
      <w:r w:rsidRPr="006A54CA">
        <w:t xml:space="preserve"> a 2.9 </w:t>
      </w:r>
      <w:r w:rsidRPr="006A54CA">
        <w:rPr>
          <w:i/>
          <w:iCs/>
        </w:rPr>
        <w:t>Podpora biodiverzity a boj se suchem</w:t>
      </w:r>
      <w:r w:rsidRPr="006A54CA">
        <w:t xml:space="preserve">, jejichž vlastníkem je MŽP. Opatření v oblasti hospodaření se srážkovými vodami jsou realizována v rámci investic 2.5.1 </w:t>
      </w:r>
      <w:r w:rsidRPr="006A54CA">
        <w:rPr>
          <w:i/>
          <w:iCs/>
        </w:rPr>
        <w:t>Renovace a revitalizace budov pro energetickou úsporu</w:t>
      </w:r>
      <w:r w:rsidRPr="006A54CA">
        <w:t xml:space="preserve"> a 2.9.2 </w:t>
      </w:r>
      <w:r w:rsidRPr="006A54CA">
        <w:rPr>
          <w:i/>
          <w:iCs/>
        </w:rPr>
        <w:t>Hospodaření se srážkovými vodami v intravilánu</w:t>
      </w:r>
      <w:r w:rsidRPr="006A54CA">
        <w:t>.</w:t>
      </w:r>
    </w:p>
    <w:p w14:paraId="297A2BD9" w14:textId="77777777" w:rsidR="007219FA" w:rsidRPr="00131409" w:rsidRDefault="007219FA" w:rsidP="00127707">
      <w:pPr>
        <w:pStyle w:val="TextKZ"/>
        <w:rPr>
          <w:b/>
          <w:bCs/>
          <w:i/>
          <w:iCs/>
        </w:rPr>
      </w:pPr>
      <w:r w:rsidRPr="00131409">
        <w:rPr>
          <w:b/>
          <w:bCs/>
          <w:i/>
          <w:iCs/>
        </w:rPr>
        <w:t>Národní program Životní prostředí</w:t>
      </w:r>
    </w:p>
    <w:p w14:paraId="2BE01A3C" w14:textId="734B292A" w:rsidR="004D4416" w:rsidRDefault="006A54CA" w:rsidP="00B571F2">
      <w:pPr>
        <w:pStyle w:val="TextKZ"/>
        <w:numPr>
          <w:ilvl w:val="1"/>
          <w:numId w:val="26"/>
        </w:numPr>
        <w:ind w:left="567" w:hanging="567"/>
      </w:pPr>
      <w:r>
        <w:t xml:space="preserve">NPŽP je dotační nástroj </w:t>
      </w:r>
      <w:r w:rsidRPr="006A54CA">
        <w:t xml:space="preserve">spravovaný </w:t>
      </w:r>
      <w:r>
        <w:t>SFŽP</w:t>
      </w:r>
      <w:r w:rsidRPr="006A54CA">
        <w:t xml:space="preserve">, který financuje projekty na ochranu přírody, zlepšení kvality ovzduší, vody, nakládání s odpady a energetické úspory. Slouží jako doplňkový zdroj k EU fondům (např. </w:t>
      </w:r>
      <w:r>
        <w:t>OPŽP</w:t>
      </w:r>
      <w:r w:rsidRPr="006A54CA">
        <w:t>)</w:t>
      </w:r>
      <w:r>
        <w:t xml:space="preserve">. </w:t>
      </w:r>
      <w:r w:rsidR="0438205C" w:rsidRPr="18D00A56">
        <w:t>Oblast</w:t>
      </w:r>
      <w:r w:rsidR="0438205C" w:rsidRPr="007219FA">
        <w:rPr>
          <w:color w:val="000000" w:themeColor="text1"/>
        </w:rPr>
        <w:t xml:space="preserve"> podpory NPŽP se člení celkem do devíti prioritních oblastí. </w:t>
      </w:r>
      <w:r w:rsidR="0438205C" w:rsidRPr="18D00A56">
        <w:t xml:space="preserve">Peněžní prostředky na hospodaření se srážkovými vodami jsou poskytovány v prioritní oblasti 1: </w:t>
      </w:r>
      <w:r w:rsidR="0438205C" w:rsidRPr="007219FA">
        <w:rPr>
          <w:i/>
          <w:iCs/>
        </w:rPr>
        <w:t>Voda</w:t>
      </w:r>
      <w:r w:rsidR="0438205C" w:rsidRPr="18D00A56">
        <w:t>, v</w:t>
      </w:r>
      <w:r w:rsidR="007219FA">
        <w:t> </w:t>
      </w:r>
      <w:r w:rsidR="0438205C" w:rsidRPr="18D00A56">
        <w:t xml:space="preserve">podoblasti 5: </w:t>
      </w:r>
      <w:r w:rsidR="0438205C" w:rsidRPr="007219FA">
        <w:rPr>
          <w:i/>
          <w:iCs/>
        </w:rPr>
        <w:t>Udržitelné a efektivní hospodaření s vodou v obcích</w:t>
      </w:r>
      <w:r w:rsidR="0438205C" w:rsidRPr="18D00A56">
        <w:t>. Financování programu zajišťuje SFŽP ze zákonných poplatků, odvodů a pokut za poškozování životního prostřed</w:t>
      </w:r>
      <w:r w:rsidR="00B743B6">
        <w:t>í a z NPO</w:t>
      </w:r>
      <w:r w:rsidR="0438205C" w:rsidRPr="18D00A56">
        <w:t>.</w:t>
      </w:r>
    </w:p>
    <w:p w14:paraId="6BDF5096" w14:textId="77777777" w:rsidR="007219FA" w:rsidRPr="00131409" w:rsidRDefault="007219FA" w:rsidP="00E030E8">
      <w:pPr>
        <w:pStyle w:val="TextKZ"/>
        <w:spacing w:before="240" w:after="120"/>
        <w:rPr>
          <w:b/>
          <w:bCs/>
          <w:i/>
          <w:iCs/>
        </w:rPr>
      </w:pPr>
      <w:r w:rsidRPr="00131409">
        <w:rPr>
          <w:b/>
          <w:bCs/>
          <w:i/>
          <w:iCs/>
        </w:rPr>
        <w:t>Operační program Životní prostředí</w:t>
      </w:r>
    </w:p>
    <w:p w14:paraId="12A99F48" w14:textId="78E7D9C8" w:rsidR="004B4CFF" w:rsidRDefault="0438205C" w:rsidP="00B571F2">
      <w:pPr>
        <w:pStyle w:val="TextKZ"/>
        <w:numPr>
          <w:ilvl w:val="1"/>
          <w:numId w:val="26"/>
        </w:numPr>
        <w:ind w:left="567" w:hanging="567"/>
      </w:pPr>
      <w:r w:rsidRPr="18D00A56">
        <w:t>Opatření pro zlepšení hospodaření se srážkovými vodami v zastavěném území MŽP v</w:t>
      </w:r>
      <w:r w:rsidR="007219FA">
        <w:t> </w:t>
      </w:r>
      <w:r w:rsidRPr="18D00A56">
        <w:t>minulosti podporovalo z evropských prostředků v OPŽP</w:t>
      </w:r>
      <w:r w:rsidR="00F60475">
        <w:t xml:space="preserve">14+ </w:t>
      </w:r>
      <w:r w:rsidRPr="18D00A56">
        <w:t xml:space="preserve">v aktivitě 1.3.2. </w:t>
      </w:r>
      <w:r w:rsidRPr="007D1EC3">
        <w:rPr>
          <w:i/>
          <w:iCs/>
        </w:rPr>
        <w:t xml:space="preserve">Zajistit </w:t>
      </w:r>
      <w:r w:rsidRPr="007D1EC3">
        <w:rPr>
          <w:i/>
          <w:iCs/>
        </w:rPr>
        <w:lastRenderedPageBreak/>
        <w:t xml:space="preserve">povodňovou ochranu intravilánu a hospodaření se srážkovými vodami </w:t>
      </w:r>
      <w:r w:rsidRPr="18D00A56">
        <w:t>– „tzv. D</w:t>
      </w:r>
      <w:r w:rsidRPr="007D1EC3">
        <w:rPr>
          <w:i/>
          <w:iCs/>
        </w:rPr>
        <w:t>ešťovka pro obce</w:t>
      </w:r>
      <w:r w:rsidRPr="18D00A56">
        <w:t>“. V první polovině roku 2022 byl primárním zdrojem podpory pro projekty obcí v oblasti hospodaření se srážkovými vodami v intravilánu NPO. Prostředky primárně sloužily k pokrytí nákladů u</w:t>
      </w:r>
      <w:r w:rsidR="00DC2416">
        <w:t> </w:t>
      </w:r>
      <w:r w:rsidRPr="18D00A56">
        <w:t>projektů předložených do OPŽP</w:t>
      </w:r>
      <w:r w:rsidR="00F60475">
        <w:t>1</w:t>
      </w:r>
      <w:r w:rsidRPr="18D00A56">
        <w:t>4</w:t>
      </w:r>
      <w:r w:rsidR="00F60475">
        <w:t>+</w:t>
      </w:r>
      <w:r w:rsidRPr="18D00A56">
        <w:t xml:space="preserve">, na které již nezbyly volné finanční prostředky EU. Podpora hospodaření se srážkovými vodami </w:t>
      </w:r>
      <w:r w:rsidR="00B743B6">
        <w:t xml:space="preserve">na území obcí a měst </w:t>
      </w:r>
      <w:r w:rsidRPr="18D00A56">
        <w:t>pro veřejné subjekty pokračuje i v novém programovém období OPŽP21</w:t>
      </w:r>
      <w:r w:rsidR="00F60475">
        <w:t>+</w:t>
      </w:r>
      <w:r w:rsidRPr="18D00A56">
        <w:t xml:space="preserve"> v rámci opatření 1.3.4 </w:t>
      </w:r>
      <w:r w:rsidRPr="007D1EC3">
        <w:rPr>
          <w:i/>
          <w:iCs/>
        </w:rPr>
        <w:t xml:space="preserve">Realizace opatření ke zpomalení odtoku, pro </w:t>
      </w:r>
      <w:proofErr w:type="gramStart"/>
      <w:r w:rsidRPr="007D1EC3">
        <w:rPr>
          <w:i/>
          <w:iCs/>
        </w:rPr>
        <w:t>vsak</w:t>
      </w:r>
      <w:proofErr w:type="gramEnd"/>
      <w:r w:rsidRPr="007D1EC3">
        <w:rPr>
          <w:i/>
          <w:iCs/>
        </w:rPr>
        <w:t>, retenci a akumulaci srážkové vody vč. jejího dalšího využití; realizace zelených střech; opatření na využití šedé vody; opatření pro řízenou dotaci podzemních vod</w:t>
      </w:r>
      <w:r w:rsidRPr="18D00A56">
        <w:t>.</w:t>
      </w:r>
      <w:r w:rsidR="007D1EC3">
        <w:t xml:space="preserve"> </w:t>
      </w:r>
      <w:r w:rsidR="0099476D" w:rsidRPr="00237255">
        <w:t>Programový dokument OPŽP21+ byl na národní úrovni schválen usnesením vlády ČR ze dne 4. října 2021</w:t>
      </w:r>
      <w:r w:rsidR="007D1EC3" w:rsidRPr="00237255">
        <w:t xml:space="preserve"> č. 855</w:t>
      </w:r>
      <w:r w:rsidR="0099476D" w:rsidRPr="00237255">
        <w:t>.</w:t>
      </w:r>
    </w:p>
    <w:p w14:paraId="6DB73F34" w14:textId="77777777" w:rsidR="00FB4994" w:rsidRDefault="00FB4994" w:rsidP="00E030E8">
      <w:pPr>
        <w:pStyle w:val="TextKZ"/>
        <w:spacing w:before="240" w:after="120"/>
        <w:rPr>
          <w:b/>
          <w:bCs/>
          <w:i/>
          <w:iCs/>
        </w:rPr>
      </w:pPr>
      <w:r>
        <w:rPr>
          <w:b/>
          <w:bCs/>
          <w:i/>
          <w:iCs/>
        </w:rPr>
        <w:t>Program Nová zelená úsporám</w:t>
      </w:r>
    </w:p>
    <w:p w14:paraId="63B907FD" w14:textId="0C1F59C7" w:rsidR="007D1EC3" w:rsidRDefault="000D311E" w:rsidP="00B571F2">
      <w:pPr>
        <w:pStyle w:val="TextKZ"/>
        <w:numPr>
          <w:ilvl w:val="1"/>
          <w:numId w:val="26"/>
        </w:numPr>
        <w:ind w:left="567" w:hanging="567"/>
      </w:pPr>
      <w:r w:rsidRPr="000D311E">
        <w:t xml:space="preserve">Prostředky z NPO </w:t>
      </w:r>
      <w:r w:rsidR="00FB4994">
        <w:t>určené na</w:t>
      </w:r>
      <w:r w:rsidRPr="000D311E">
        <w:t xml:space="preserve"> investic</w:t>
      </w:r>
      <w:r w:rsidR="00FB4994">
        <w:t>i</w:t>
      </w:r>
      <w:r w:rsidRPr="000D311E">
        <w:t xml:space="preserve"> 2.5.1 </w:t>
      </w:r>
      <w:r w:rsidR="00FB4994">
        <w:t xml:space="preserve">byly </w:t>
      </w:r>
      <w:r w:rsidRPr="000D311E">
        <w:t xml:space="preserve">poskytovány </w:t>
      </w:r>
      <w:r w:rsidR="00D81C92">
        <w:t xml:space="preserve">v dotačním </w:t>
      </w:r>
      <w:r w:rsidRPr="000D311E">
        <w:t>programu</w:t>
      </w:r>
      <w:r>
        <w:t xml:space="preserve"> NZÚ</w:t>
      </w:r>
      <w:r w:rsidRPr="000D311E">
        <w:t>, který</w:t>
      </w:r>
      <w:r>
        <w:t xml:space="preserve"> byl</w:t>
      </w:r>
      <w:r w:rsidRPr="000D311E">
        <w:t xml:space="preserve"> vyhlášen MŽP a administrov</w:t>
      </w:r>
      <w:r w:rsidR="007C7B02">
        <w:t>á</w:t>
      </w:r>
      <w:r w:rsidRPr="000D311E">
        <w:t>n SFŽP.</w:t>
      </w:r>
      <w:r>
        <w:t xml:space="preserve"> C</w:t>
      </w:r>
      <w:r w:rsidRPr="000D311E">
        <w:t>ílem programu NZÚ</w:t>
      </w:r>
      <w:r>
        <w:t xml:space="preserve"> je</w:t>
      </w:r>
      <w:r w:rsidRPr="000D311E">
        <w:t xml:space="preserve"> zejména snížení energetické náročnosti stávajících obytných budov</w:t>
      </w:r>
      <w:r w:rsidR="003010F8">
        <w:t xml:space="preserve"> či </w:t>
      </w:r>
      <w:r w:rsidRPr="000D311E">
        <w:t xml:space="preserve">zvýšení podílu využití </w:t>
      </w:r>
      <w:r w:rsidR="003010F8">
        <w:t>obnovitelných zdrojů energie</w:t>
      </w:r>
      <w:r w:rsidR="00D81C92">
        <w:t xml:space="preserve">, ale také </w:t>
      </w:r>
      <w:r w:rsidRPr="000D311E">
        <w:t>adaptace obytných budov a lidských sídel na probíhající změnu klimatu.</w:t>
      </w:r>
      <w:r>
        <w:t xml:space="preserve"> Poskytování peněžních prostředků </w:t>
      </w:r>
      <w:r w:rsidR="00FE0FF2">
        <w:t xml:space="preserve">z NPO prostřednictvím </w:t>
      </w:r>
      <w:r>
        <w:t>program</w:t>
      </w:r>
      <w:r w:rsidR="00FE0FF2">
        <w:t>u</w:t>
      </w:r>
      <w:r>
        <w:t xml:space="preserve"> NZÚ se řídilo směrnicí </w:t>
      </w:r>
      <w:r w:rsidRPr="000D311E">
        <w:t>MŽP č.</w:t>
      </w:r>
      <w:r w:rsidR="00D81C92">
        <w:t> </w:t>
      </w:r>
      <w:r w:rsidRPr="000D311E">
        <w:t>8/2021, která stanov</w:t>
      </w:r>
      <w:r w:rsidR="00D81C92">
        <w:t xml:space="preserve">uje </w:t>
      </w:r>
      <w:r w:rsidRPr="000D311E">
        <w:t xml:space="preserve">základní pravidla, postupy a podmínky poskytování </w:t>
      </w:r>
      <w:r w:rsidR="00D81C92">
        <w:t>peněžních</w:t>
      </w:r>
      <w:r w:rsidRPr="000D311E">
        <w:t xml:space="preserve"> prostředků.</w:t>
      </w:r>
    </w:p>
    <w:p w14:paraId="20B09D04" w14:textId="6F306D09" w:rsidR="00CA2C1A" w:rsidRPr="000F2F26" w:rsidRDefault="00864C1D" w:rsidP="00917B7D">
      <w:pPr>
        <w:pStyle w:val="Hlavnnadpis"/>
        <w:numPr>
          <w:ilvl w:val="0"/>
          <w:numId w:val="0"/>
        </w:numPr>
        <w:spacing w:before="840"/>
        <w:ind w:left="357"/>
      </w:pPr>
      <w:r>
        <w:t xml:space="preserve">III. </w:t>
      </w:r>
      <w:r w:rsidR="00EA2916" w:rsidRPr="000F2F26">
        <w:t>Rozsah kontroly</w:t>
      </w:r>
    </w:p>
    <w:p w14:paraId="42A2C92A" w14:textId="30826A7C" w:rsidR="141A3765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>Cílem kontrolní akce bylo prověřit, zda peněžní prostředky určené na podporu opatření k</w:t>
      </w:r>
      <w:r w:rsidR="00131409">
        <w:t> </w:t>
      </w:r>
      <w:r w:rsidRPr="050E83A3">
        <w:t>přizpůsobení se změně klimatu při hospodaření se srážkovými vodami byly vynakládány účelně a v souladu s právními předpisy.</w:t>
      </w:r>
    </w:p>
    <w:p w14:paraId="4C90894C" w14:textId="0052A5F3" w:rsidR="00535F67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 xml:space="preserve">Za účelné bylo považováno, pokud u prověřovaných programů </w:t>
      </w:r>
      <w:r w:rsidR="00535F67" w:rsidRPr="050E83A3">
        <w:t xml:space="preserve">zaměřených na </w:t>
      </w:r>
      <w:r w:rsidR="00535F67">
        <w:t>podporu</w:t>
      </w:r>
      <w:r w:rsidR="00535F67" w:rsidRPr="050E83A3">
        <w:t xml:space="preserve"> hospodaření se srážkovými vodam</w:t>
      </w:r>
      <w:r w:rsidR="00535F67">
        <w:t xml:space="preserve">i </w:t>
      </w:r>
      <w:r w:rsidRPr="050E83A3">
        <w:t>existují měřitelné a</w:t>
      </w:r>
      <w:r w:rsidR="00535F67">
        <w:t> </w:t>
      </w:r>
      <w:r w:rsidRPr="050E83A3">
        <w:t>ověřitelné indikátory a</w:t>
      </w:r>
      <w:r w:rsidR="00131409">
        <w:t> </w:t>
      </w:r>
      <w:r w:rsidRPr="050E83A3">
        <w:t>MŽP na základě těchto indikátorů sleduje a vyhodnocuje výstupy a výsledky projektů</w:t>
      </w:r>
      <w:r w:rsidR="00535F67">
        <w:t>, tj. zajištění optimální míry dosažení cílů při plnění stanovených úkolů.</w:t>
      </w:r>
    </w:p>
    <w:p w14:paraId="2DCD09BF" w14:textId="1167CEAC" w:rsidR="00F60AA1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 xml:space="preserve">V případě kontrolovaných projektů bylo za účelné považováno takové použití peněžních prostředků, které vedlo k naplnění účelu projektu, k dosažení stanovených cílů </w:t>
      </w:r>
      <w:r w:rsidRPr="00F60AA1">
        <w:t>a</w:t>
      </w:r>
      <w:r w:rsidR="00F60AA1">
        <w:t> </w:t>
      </w:r>
      <w:r w:rsidRPr="00F60AA1">
        <w:t>očekávaných</w:t>
      </w:r>
      <w:r w:rsidRPr="050E83A3">
        <w:t xml:space="preserve"> výsledků.</w:t>
      </w:r>
    </w:p>
    <w:p w14:paraId="00C384CA" w14:textId="5AF4445A" w:rsidR="00F60AA1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0F60AA1">
        <w:rPr>
          <w:rFonts w:ascii="Calibri" w:eastAsia="Calibri" w:hAnsi="Calibri" w:cs="Calibri"/>
        </w:rPr>
        <w:t xml:space="preserve">NKÚ provedl kontrolu u MŽP, SFŽP a u dalších </w:t>
      </w:r>
      <w:r w:rsidR="005D5B5A">
        <w:rPr>
          <w:rFonts w:ascii="Calibri" w:eastAsia="Calibri" w:hAnsi="Calibri" w:cs="Calibri"/>
        </w:rPr>
        <w:t>sedmi</w:t>
      </w:r>
      <w:r w:rsidRPr="00F60AA1">
        <w:rPr>
          <w:rFonts w:ascii="Calibri" w:eastAsia="Calibri" w:hAnsi="Calibri" w:cs="Calibri"/>
        </w:rPr>
        <w:t xml:space="preserve"> vybraných příjemců dotací.</w:t>
      </w:r>
    </w:p>
    <w:p w14:paraId="01754992" w14:textId="31C203DA" w:rsidR="004D4416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>NKÚ prověřoval činnosti MŽP a SFŽP související s poskytováním peněžních prostředků na podporu opatření k přizpůsobení se změně klimatu při hospodaření se srážkovými vodami v</w:t>
      </w:r>
      <w:r w:rsidR="00131409">
        <w:t> </w:t>
      </w:r>
      <w:r w:rsidRPr="050E83A3">
        <w:t xml:space="preserve">urbanizovaných územích z </w:t>
      </w:r>
      <w:r w:rsidR="00822D0C">
        <w:t>NPO</w:t>
      </w:r>
      <w:r w:rsidRPr="050E83A3">
        <w:t xml:space="preserve"> prostřednictvím </w:t>
      </w:r>
      <w:r w:rsidR="00FE0FF2">
        <w:t xml:space="preserve">programu </w:t>
      </w:r>
      <w:r w:rsidR="00822D0C">
        <w:t xml:space="preserve">NZÚ a NPŽP </w:t>
      </w:r>
      <w:r w:rsidRPr="050E83A3">
        <w:t>a</w:t>
      </w:r>
      <w:r w:rsidR="00F60AA1">
        <w:t> </w:t>
      </w:r>
      <w:r w:rsidRPr="050E83A3">
        <w:t>z</w:t>
      </w:r>
      <w:r w:rsidR="00822D0C">
        <w:t> OPŽP</w:t>
      </w:r>
      <w:r w:rsidRPr="00822D0C">
        <w:t>21</w:t>
      </w:r>
      <w:r w:rsidR="00DC2416">
        <w:t>+</w:t>
      </w:r>
      <w:r w:rsidRPr="050E83A3">
        <w:t>. NKÚ</w:t>
      </w:r>
      <w:r w:rsidR="00FE0FF2">
        <w:t> </w:t>
      </w:r>
      <w:r w:rsidRPr="050E83A3">
        <w:t>se zaměřil na nastavení systému podpory, na administraci žádostí o</w:t>
      </w:r>
      <w:r w:rsidR="00F60AA1">
        <w:t> </w:t>
      </w:r>
      <w:r w:rsidRPr="050E83A3">
        <w:t>podporu a na poskytování peněžních prostředků.</w:t>
      </w:r>
      <w:r w:rsidR="00B93176">
        <w:t xml:space="preserve"> </w:t>
      </w:r>
      <w:r w:rsidR="00B93176" w:rsidRPr="00B93176">
        <w:t>Vzhledem k věcným souvislostem NKÚ prověřoval také ukazatele pro oblast hospodaření se srážkovými vodami u OPŽP14+.</w:t>
      </w:r>
    </w:p>
    <w:p w14:paraId="0164A46F" w14:textId="77777777" w:rsidR="00FB4994" w:rsidRDefault="00FB4994" w:rsidP="00B571F2">
      <w:pPr>
        <w:pStyle w:val="TextKZ"/>
        <w:numPr>
          <w:ilvl w:val="0"/>
          <w:numId w:val="27"/>
        </w:numPr>
        <w:ind w:left="567" w:hanging="567"/>
      </w:pPr>
      <w:r w:rsidRPr="050E83A3">
        <w:t xml:space="preserve">NKÚ také </w:t>
      </w:r>
      <w:r>
        <w:t>kontrolou</w:t>
      </w:r>
      <w:r w:rsidRPr="050E83A3">
        <w:t xml:space="preserve"> prověřil realizaci změn</w:t>
      </w:r>
      <w:r>
        <w:t xml:space="preserve"> navržených MŽP </w:t>
      </w:r>
      <w:r w:rsidRPr="050E83A3">
        <w:t xml:space="preserve">pro zlepšení vodního režimu urbanizovaných území za účelem jejich adaptace na změnu klimatu a vývoj stanovených </w:t>
      </w:r>
      <w:r w:rsidRPr="050E83A3">
        <w:lastRenderedPageBreak/>
        <w:t>indikátorů pro zlepšování hospodaření se srážkovými vodami v</w:t>
      </w:r>
      <w:r>
        <w:t> </w:t>
      </w:r>
      <w:r w:rsidRPr="050E83A3">
        <w:t>urbanizovaných územích.</w:t>
      </w:r>
    </w:p>
    <w:p w14:paraId="168D3770" w14:textId="77777777" w:rsidR="00596AF4" w:rsidRDefault="00596AF4" w:rsidP="00B571F2">
      <w:pPr>
        <w:pStyle w:val="TextKZ"/>
        <w:numPr>
          <w:ilvl w:val="0"/>
          <w:numId w:val="27"/>
        </w:numPr>
        <w:ind w:left="567" w:hanging="567"/>
      </w:pPr>
      <w:r w:rsidRPr="004641D1">
        <w:t>Kontrolována byla výzva č. 19 OPŽP21+ s alokací 2 166,77 mil. Kč odpovídající SC 1.3 a opatření 1.3.4 a výzva č. 144 OPŽP14+ s proplacenými peněžními prostředky ve výši 368,31 mil. Kč. Kontrolována</w:t>
      </w:r>
      <w:r w:rsidRPr="050E83A3">
        <w:t xml:space="preserve"> byla dále </w:t>
      </w:r>
      <w:r>
        <w:t>investice</w:t>
      </w:r>
      <w:r w:rsidRPr="050E83A3">
        <w:t xml:space="preserve"> 2.5.1 NPO s alokací ve výši 3</w:t>
      </w:r>
      <w:r>
        <w:t> </w:t>
      </w:r>
      <w:r w:rsidRPr="050E83A3">
        <w:t>350</w:t>
      </w:r>
      <w:r>
        <w:t> </w:t>
      </w:r>
      <w:r w:rsidRPr="050E83A3">
        <w:t>mil.</w:t>
      </w:r>
      <w:r>
        <w:t> </w:t>
      </w:r>
      <w:r w:rsidRPr="050E83A3">
        <w:t xml:space="preserve">Kč a </w:t>
      </w:r>
      <w:r>
        <w:t>investice</w:t>
      </w:r>
      <w:r w:rsidRPr="050E83A3">
        <w:t xml:space="preserve"> 2.9.2 NPO s alokací ve výši 814 mil. Kč.</w:t>
      </w:r>
    </w:p>
    <w:p w14:paraId="2DCFACC1" w14:textId="1E458554" w:rsidR="00F60AA1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 xml:space="preserve">NKÚ dále prověřil u </w:t>
      </w:r>
      <w:r w:rsidR="005D5B5A">
        <w:t>sedmi</w:t>
      </w:r>
      <w:r w:rsidRPr="050E83A3">
        <w:t xml:space="preserve"> příjemců dotací dodržování podmínek poskytnutí dotace, prokazatelnost a opodstatněnost způsobilých výdajů, užití prostředků dotace na stanovený účel a plnění cílů a udržitelnost projektů. Ke kontrole bylo vybráno celkem </w:t>
      </w:r>
      <w:r w:rsidR="005D5B5A">
        <w:t xml:space="preserve">devět </w:t>
      </w:r>
      <w:r w:rsidRPr="050E83A3">
        <w:t xml:space="preserve">projektů, které byly </w:t>
      </w:r>
      <w:r w:rsidR="00B93176">
        <w:t xml:space="preserve">podpořeny buď </w:t>
      </w:r>
      <w:r w:rsidRPr="050E83A3">
        <w:t>z</w:t>
      </w:r>
      <w:r w:rsidR="00F60AA1">
        <w:t> </w:t>
      </w:r>
      <w:r w:rsidR="00822D0C">
        <w:t>OPŽP</w:t>
      </w:r>
      <w:r w:rsidRPr="00822D0C">
        <w:t>21</w:t>
      </w:r>
      <w:r w:rsidR="00DC2416">
        <w:t>+</w:t>
      </w:r>
      <w:r w:rsidR="00B93176">
        <w:t xml:space="preserve"> nebo </w:t>
      </w:r>
      <w:r w:rsidRPr="050E83A3">
        <w:t>z</w:t>
      </w:r>
      <w:r w:rsidR="00FE0FF2">
        <w:t> </w:t>
      </w:r>
      <w:r w:rsidR="00B93176">
        <w:t>NPO</w:t>
      </w:r>
      <w:r w:rsidR="00FE0FF2">
        <w:t xml:space="preserve"> prostřednictvím NPŽP</w:t>
      </w:r>
      <w:r w:rsidRPr="050E83A3">
        <w:t>.</w:t>
      </w:r>
    </w:p>
    <w:p w14:paraId="5AC1F12A" w14:textId="29B5E4C1" w:rsidR="141A3765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 xml:space="preserve">Výběr vzorku projektů vycházel zejména z požadavku na finanční významnost a na pokročilost realizace. Přehled kontrolovaných projektů je uveden </w:t>
      </w:r>
      <w:r w:rsidRPr="00614713">
        <w:t xml:space="preserve">v příloze č. </w:t>
      </w:r>
      <w:r w:rsidR="009D77F8" w:rsidRPr="00614713">
        <w:t>1</w:t>
      </w:r>
      <w:r w:rsidRPr="00614713">
        <w:t xml:space="preserve"> tohoto</w:t>
      </w:r>
      <w:r w:rsidRPr="050E83A3">
        <w:t xml:space="preserve"> kontrolního závěru.</w:t>
      </w:r>
    </w:p>
    <w:p w14:paraId="66821FEF" w14:textId="77EE747F" w:rsidR="141A3765" w:rsidRDefault="141A3765" w:rsidP="00B571F2">
      <w:pPr>
        <w:pStyle w:val="TextKZ"/>
        <w:numPr>
          <w:ilvl w:val="0"/>
          <w:numId w:val="27"/>
        </w:numPr>
        <w:ind w:left="567" w:hanging="567"/>
      </w:pPr>
      <w:r w:rsidRPr="050E83A3">
        <w:t>Kontrolovaný objem peněžních prostředků prověřených projektů činil 1</w:t>
      </w:r>
      <w:r w:rsidR="00A91421">
        <w:t>29</w:t>
      </w:r>
      <w:r w:rsidR="00FB4994">
        <w:t>,</w:t>
      </w:r>
      <w:r w:rsidR="00A91421">
        <w:t>63</w:t>
      </w:r>
      <w:r w:rsidR="00FB4994">
        <w:t xml:space="preserve"> mil. Kč</w:t>
      </w:r>
      <w:r w:rsidR="004072B6">
        <w:t> </w:t>
      </w:r>
      <w:r w:rsidRPr="050E83A3">
        <w:t xml:space="preserve">– </w:t>
      </w:r>
      <w:r w:rsidR="00A91421">
        <w:t xml:space="preserve">proplacená </w:t>
      </w:r>
      <w:r w:rsidRPr="050E83A3">
        <w:t>výše dotace z OPŽP21</w:t>
      </w:r>
      <w:r w:rsidR="00DC2416">
        <w:t>+</w:t>
      </w:r>
      <w:r w:rsidR="000542ED">
        <w:t xml:space="preserve"> </w:t>
      </w:r>
      <w:r w:rsidR="00A91421">
        <w:t xml:space="preserve">nebo </w:t>
      </w:r>
      <w:r w:rsidR="000542ED">
        <w:t>NPO</w:t>
      </w:r>
      <w:r w:rsidRPr="050E83A3">
        <w:t xml:space="preserve"> </w:t>
      </w:r>
      <w:r w:rsidR="00A91421">
        <w:t>prostřednictvím NPŽP.</w:t>
      </w:r>
    </w:p>
    <w:p w14:paraId="76177D15" w14:textId="7951114D" w:rsidR="00712630" w:rsidRDefault="00EA2916" w:rsidP="001E364F">
      <w:pPr>
        <w:spacing w:before="360" w:after="120"/>
        <w:rPr>
          <w:sz w:val="20"/>
          <w:szCs w:val="20"/>
        </w:rPr>
      </w:pPr>
      <w:r w:rsidRPr="00556866">
        <w:rPr>
          <w:b/>
          <w:sz w:val="20"/>
          <w:szCs w:val="20"/>
        </w:rPr>
        <w:t xml:space="preserve">Pozn.: </w:t>
      </w:r>
      <w:r w:rsidRPr="00556866">
        <w:rPr>
          <w:sz w:val="20"/>
          <w:szCs w:val="20"/>
        </w:rPr>
        <w:t>Právní předpisy uvedené v kontrolním závěru jsou aplikovány ve znění účinném pro kontrolované období.</w:t>
      </w:r>
    </w:p>
    <w:p w14:paraId="6B0C424F" w14:textId="42DE2CB1" w:rsidR="00CA2C1A" w:rsidRDefault="00864C1D" w:rsidP="00917B7D">
      <w:pPr>
        <w:pStyle w:val="Hlavnnadpis"/>
        <w:numPr>
          <w:ilvl w:val="0"/>
          <w:numId w:val="0"/>
        </w:numPr>
        <w:spacing w:before="840"/>
        <w:ind w:left="357"/>
      </w:pPr>
      <w:r>
        <w:t xml:space="preserve">IV. </w:t>
      </w:r>
      <w:r w:rsidR="00EA2916" w:rsidRPr="009D77F8">
        <w:t>Podrobné</w:t>
      </w:r>
      <w:r w:rsidR="00EA2916">
        <w:t xml:space="preserve"> skutečnosti zjištěné kontrolou</w:t>
      </w:r>
    </w:p>
    <w:p w14:paraId="121F9F0A" w14:textId="1C11A5F4" w:rsidR="00A06F61" w:rsidRPr="00A06F61" w:rsidRDefault="00A06F61" w:rsidP="00427075">
      <w:pPr>
        <w:pStyle w:val="Nadpis2"/>
        <w:spacing w:before="240" w:after="240"/>
        <w:ind w:left="284" w:hanging="284"/>
      </w:pPr>
      <w:bookmarkStart w:id="12" w:name="_Toc256000013"/>
      <w:r w:rsidRPr="00A06F61">
        <w:t xml:space="preserve">Národní plán </w:t>
      </w:r>
      <w:r w:rsidRPr="003E24E6">
        <w:t>obnovy</w:t>
      </w:r>
      <w:bookmarkEnd w:id="12"/>
    </w:p>
    <w:p w14:paraId="2278F8EB" w14:textId="0E8F2271" w:rsidR="00A06F61" w:rsidRPr="00A06F61" w:rsidRDefault="00A06F61" w:rsidP="00B571F2">
      <w:pPr>
        <w:pStyle w:val="TextKZ"/>
        <w:numPr>
          <w:ilvl w:val="0"/>
          <w:numId w:val="20"/>
        </w:numPr>
        <w:ind w:left="567" w:hanging="567"/>
        <w:rPr>
          <w:rStyle w:val="normaltextrun"/>
        </w:rPr>
      </w:pPr>
      <w:bookmarkStart w:id="13" w:name="_Hlk213923644"/>
      <w:r w:rsidRPr="00FC3F74">
        <w:rPr>
          <w:rStyle w:val="normaltextrun"/>
          <w:rFonts w:cs="Calibri"/>
        </w:rPr>
        <w:t xml:space="preserve">S kontrolovanou oblastí souvisí komponenty 2.5 </w:t>
      </w:r>
      <w:r w:rsidRPr="00FC3F74">
        <w:rPr>
          <w:rStyle w:val="normaltextrun"/>
          <w:rFonts w:cs="Calibri"/>
          <w:i/>
          <w:iCs/>
        </w:rPr>
        <w:t>Renovace budov a ochrana ovzduší</w:t>
      </w:r>
      <w:r w:rsidRPr="00FC3F74">
        <w:rPr>
          <w:rStyle w:val="normaltextrun"/>
          <w:rFonts w:cs="Calibri"/>
        </w:rPr>
        <w:t xml:space="preserve"> a</w:t>
      </w:r>
      <w:r w:rsidR="00C25EEF">
        <w:rPr>
          <w:rStyle w:val="normaltextrun"/>
          <w:rFonts w:cs="Calibri"/>
        </w:rPr>
        <w:t> </w:t>
      </w:r>
      <w:r w:rsidRPr="00FC3F74">
        <w:rPr>
          <w:rStyle w:val="normaltextrun"/>
          <w:rFonts w:cs="Calibri"/>
        </w:rPr>
        <w:t xml:space="preserve">2.9 </w:t>
      </w:r>
      <w:r w:rsidRPr="00FC3F74">
        <w:rPr>
          <w:rStyle w:val="normaltextrun"/>
          <w:rFonts w:cs="Calibri"/>
          <w:i/>
          <w:iCs/>
        </w:rPr>
        <w:t>Podpora biodiverzity a boj se suchem</w:t>
      </w:r>
      <w:r w:rsidRPr="00FC3F74">
        <w:rPr>
          <w:rStyle w:val="normaltextrun"/>
          <w:rFonts w:cs="Calibri"/>
        </w:rPr>
        <w:t xml:space="preserve">, jejichž vlastníkem je MŽP. Opatření v oblasti hospodaření se srážkovými vodami byla realizována v rámci investic 2.5.1 </w:t>
      </w:r>
      <w:r w:rsidRPr="00FC3F74">
        <w:rPr>
          <w:rStyle w:val="normaltextrun"/>
          <w:rFonts w:cs="Calibri"/>
          <w:i/>
          <w:iCs/>
        </w:rPr>
        <w:t>Renovace a revitalizace budov pro energetickou úsporu</w:t>
      </w:r>
      <w:r w:rsidRPr="00FC3F74">
        <w:rPr>
          <w:rStyle w:val="normaltextrun"/>
          <w:rFonts w:cs="Calibri"/>
        </w:rPr>
        <w:t xml:space="preserve"> a 2.9.2 </w:t>
      </w:r>
      <w:r w:rsidRPr="00FC3F74">
        <w:rPr>
          <w:rStyle w:val="normaltextrun"/>
          <w:rFonts w:cs="Calibri"/>
          <w:i/>
          <w:iCs/>
        </w:rPr>
        <w:t>Hospodaření se srážkovými vodami v intravilánu</w:t>
      </w:r>
      <w:r w:rsidRPr="00FC3F74">
        <w:rPr>
          <w:rStyle w:val="normaltextrun"/>
          <w:rFonts w:cs="Calibri"/>
        </w:rPr>
        <w:t>.</w:t>
      </w:r>
    </w:p>
    <w:p w14:paraId="6881B337" w14:textId="1EC367AD" w:rsidR="00A06F61" w:rsidRPr="00A06F61" w:rsidRDefault="00C25EEF" w:rsidP="001E364F">
      <w:pPr>
        <w:pStyle w:val="TextKZ"/>
        <w:spacing w:before="240" w:after="120"/>
        <w:outlineLvl w:val="2"/>
        <w:rPr>
          <w:rStyle w:val="normaltextrun"/>
          <w:rFonts w:cs="Calibri"/>
          <w:b/>
          <w:bCs/>
        </w:rPr>
      </w:pPr>
      <w:r>
        <w:rPr>
          <w:rStyle w:val="normaltextrun"/>
          <w:b/>
          <w:bCs/>
        </w:rPr>
        <w:t>I</w:t>
      </w:r>
      <w:r w:rsidR="00A06F61" w:rsidRPr="00A06F61">
        <w:rPr>
          <w:rStyle w:val="normaltextrun"/>
          <w:b/>
          <w:bCs/>
        </w:rPr>
        <w:t xml:space="preserve">nvestice 2.5.1 </w:t>
      </w:r>
      <w:r w:rsidR="00A06F61" w:rsidRPr="00A06F61">
        <w:rPr>
          <w:rStyle w:val="normaltextrun"/>
          <w:b/>
          <w:bCs/>
          <w:i/>
          <w:iCs/>
        </w:rPr>
        <w:t>Renovace a revitalizace budov pro energetickou úsporu</w:t>
      </w:r>
    </w:p>
    <w:p w14:paraId="37915A82" w14:textId="11F811E4" w:rsidR="00007882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05033BD">
        <w:t xml:space="preserve">K naplnění cílů </w:t>
      </w:r>
      <w:r w:rsidR="005033BD" w:rsidRPr="005033BD">
        <w:t xml:space="preserve">komponenty 2.5 </w:t>
      </w:r>
      <w:r w:rsidRPr="005033BD">
        <w:t>má dojít prostřednictvím podpory energetických renovací budov rezidenčního sektoru, výstavby nových budov pro bydlení ve vyšším než povinném energetickém standardu a také prostřednictvím podpory adaptačních a</w:t>
      </w:r>
      <w:r w:rsidR="005033BD" w:rsidRPr="005033BD">
        <w:t> </w:t>
      </w:r>
      <w:proofErr w:type="spellStart"/>
      <w:r w:rsidRPr="005033BD">
        <w:t>mitigačních</w:t>
      </w:r>
      <w:proofErr w:type="spellEnd"/>
      <w:r w:rsidRPr="005033BD">
        <w:t xml:space="preserve"> opatření na budovách rezidenčního sektoru.</w:t>
      </w:r>
      <w:r w:rsidR="005033BD">
        <w:t xml:space="preserve"> </w:t>
      </w:r>
      <w:r w:rsidR="005033BD" w:rsidRPr="005033BD">
        <w:t>Jedním z c</w:t>
      </w:r>
      <w:r w:rsidRPr="005033BD">
        <w:t>íl</w:t>
      </w:r>
      <w:r w:rsidR="005033BD" w:rsidRPr="005033BD">
        <w:t>ů</w:t>
      </w:r>
      <w:r w:rsidRPr="005033BD">
        <w:t xml:space="preserve"> investice 2.5.1</w:t>
      </w:r>
      <w:r w:rsidR="005033BD" w:rsidRPr="005033BD">
        <w:t xml:space="preserve"> je </w:t>
      </w:r>
      <w:r w:rsidRPr="005033BD">
        <w:t>snížit spotřebu vody v domácnostech a snížit zranitelnost rezidenčního sektoru vůči projevům změny klimatu v budovách.</w:t>
      </w:r>
    </w:p>
    <w:p w14:paraId="484B5962" w14:textId="4165EE24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>
        <w:t>Původní alokace komponenty 2.5 činila 16,08 mld. Kč</w:t>
      </w:r>
      <w:r w:rsidR="002A6AC0">
        <w:t>,</w:t>
      </w:r>
      <w:r>
        <w:t xml:space="preserve"> z toho na investici 2.5.1 bylo určeno 8,46 mld. Kč. </w:t>
      </w:r>
      <w:r w:rsidR="005033BD">
        <w:t>V</w:t>
      </w:r>
      <w:r>
        <w:t xml:space="preserve"> roce 2023 došlo ke snížení alokace určené pro investici 2.5.1 na konečnou částku 3,35 mld. Kč. </w:t>
      </w:r>
      <w:r w:rsidRPr="008B7D4C">
        <w:t>Odůvodněním změny alokace byla situace v souvislosti s</w:t>
      </w:r>
      <w:r w:rsidR="005033BD">
        <w:t> </w:t>
      </w:r>
      <w:r w:rsidRPr="008B7D4C">
        <w:t>válkou na Ukrajině a v souvislosti se zvýšením cen energií.</w:t>
      </w:r>
    </w:p>
    <w:p w14:paraId="0B359081" w14:textId="1860EAD6" w:rsidR="00A06F61" w:rsidRPr="00BB2236" w:rsidRDefault="00A06F61" w:rsidP="00B571F2">
      <w:pPr>
        <w:pStyle w:val="TextKZ"/>
        <w:numPr>
          <w:ilvl w:val="0"/>
          <w:numId w:val="20"/>
        </w:numPr>
        <w:ind w:left="567" w:hanging="567"/>
        <w:rPr>
          <w:rStyle w:val="normaltextrun"/>
        </w:rPr>
      </w:pPr>
      <w:r w:rsidRPr="005033BD">
        <w:rPr>
          <w:rStyle w:val="normaltextrun"/>
          <w:rFonts w:cs="Calibri"/>
        </w:rPr>
        <w:lastRenderedPageBreak/>
        <w:t xml:space="preserve">Investice </w:t>
      </w:r>
      <w:r w:rsidRPr="005033BD">
        <w:t>2.5.1 byla realizována spolu s investicí 2.5.2</w:t>
      </w:r>
      <w:r w:rsidRPr="005033BD">
        <w:rPr>
          <w:rStyle w:val="Znakapoznpodarou"/>
        </w:rPr>
        <w:footnoteReference w:id="11"/>
      </w:r>
      <w:r w:rsidRPr="005033BD">
        <w:t xml:space="preserve"> </w:t>
      </w:r>
      <w:r w:rsidRPr="005033BD">
        <w:rPr>
          <w:rStyle w:val="normaltextrun"/>
          <w:rFonts w:cs="Calibri"/>
        </w:rPr>
        <w:t xml:space="preserve">prostřednictvím </w:t>
      </w:r>
      <w:r w:rsidR="00FE0FF2">
        <w:rPr>
          <w:rStyle w:val="normaltextrun"/>
          <w:rFonts w:cs="Calibri"/>
        </w:rPr>
        <w:t xml:space="preserve">programu </w:t>
      </w:r>
      <w:r w:rsidR="00B139E7">
        <w:rPr>
          <w:rStyle w:val="normaltextrun"/>
          <w:rFonts w:cs="Calibri"/>
        </w:rPr>
        <w:t>NZÚ</w:t>
      </w:r>
      <w:r w:rsidRPr="005033BD">
        <w:rPr>
          <w:rStyle w:val="normaltextrun"/>
          <w:rFonts w:cs="Calibri"/>
        </w:rPr>
        <w:t xml:space="preserve">, který administruje SFŽP a jehož cílem je mj. adaptace obytných budov </w:t>
      </w:r>
      <w:r w:rsidRPr="00BB2236">
        <w:rPr>
          <w:rStyle w:val="normaltextrun"/>
          <w:rFonts w:cs="Calibri"/>
        </w:rPr>
        <w:t>a lidských sídel na probíhající změnu klimatu.</w:t>
      </w:r>
    </w:p>
    <w:p w14:paraId="394A9A54" w14:textId="0B4EA24A" w:rsidR="009173D0" w:rsidRDefault="00A06F61" w:rsidP="00B571F2">
      <w:pPr>
        <w:pStyle w:val="TextKZ"/>
        <w:numPr>
          <w:ilvl w:val="0"/>
          <w:numId w:val="20"/>
        </w:numPr>
        <w:spacing w:after="240"/>
        <w:ind w:left="567" w:hanging="567"/>
        <w:rPr>
          <w:rStyle w:val="normaltextrun"/>
          <w:rFonts w:cs="Calibri"/>
        </w:rPr>
      </w:pPr>
      <w:r w:rsidRPr="00BB2236">
        <w:rPr>
          <w:rStyle w:val="normaltextrun"/>
          <w:rFonts w:cs="Calibri"/>
        </w:rPr>
        <w:t>Opatření související s hospodařením se srážkovou vodou, která jsou realizov</w:t>
      </w:r>
      <w:r w:rsidR="002A6AC0">
        <w:rPr>
          <w:rStyle w:val="normaltextrun"/>
          <w:rFonts w:cs="Calibri"/>
        </w:rPr>
        <w:t>á</w:t>
      </w:r>
      <w:r w:rsidRPr="00BB2236">
        <w:rPr>
          <w:rStyle w:val="normaltextrun"/>
          <w:rFonts w:cs="Calibri"/>
        </w:rPr>
        <w:t>n</w:t>
      </w:r>
      <w:r w:rsidR="002A6AC0">
        <w:rPr>
          <w:rStyle w:val="normaltextrun"/>
          <w:rFonts w:cs="Calibri"/>
        </w:rPr>
        <w:t>a</w:t>
      </w:r>
      <w:r w:rsidRPr="00BB2236">
        <w:rPr>
          <w:rStyle w:val="normaltextrun"/>
          <w:rFonts w:cs="Calibri"/>
        </w:rPr>
        <w:t xml:space="preserve"> na rodinných či bytových domech</w:t>
      </w:r>
      <w:r w:rsidR="007E56D5">
        <w:rPr>
          <w:rStyle w:val="normaltextrun"/>
          <w:rFonts w:cs="Calibri"/>
        </w:rPr>
        <w:t xml:space="preserve"> (dále také „RD“ a „BD“)</w:t>
      </w:r>
      <w:r w:rsidRPr="00BB2236">
        <w:rPr>
          <w:rStyle w:val="normaltextrun"/>
          <w:rFonts w:cs="Calibri"/>
        </w:rPr>
        <w:t xml:space="preserve">, spadala do oblasti podpory </w:t>
      </w:r>
      <w:r w:rsidR="002A6AC0">
        <w:rPr>
          <w:rStyle w:val="normaltextrun"/>
          <w:rFonts w:cs="Calibri"/>
        </w:rPr>
        <w:br/>
      </w:r>
      <w:r w:rsidRPr="00BB2236">
        <w:rPr>
          <w:rStyle w:val="normaltextrun"/>
          <w:rFonts w:cs="Calibri"/>
        </w:rPr>
        <w:t>D</w:t>
      </w:r>
      <w:r w:rsidR="002A6AC0">
        <w:rPr>
          <w:rStyle w:val="normaltextrun"/>
          <w:rFonts w:cs="Calibri"/>
        </w:rPr>
        <w:t> </w:t>
      </w:r>
      <w:r w:rsidRPr="00BB2236">
        <w:rPr>
          <w:rStyle w:val="normaltextrun"/>
          <w:rFonts w:cs="Calibri"/>
        </w:rPr>
        <w:t xml:space="preserve">– </w:t>
      </w:r>
      <w:r w:rsidRPr="00BB2236">
        <w:rPr>
          <w:rStyle w:val="normaltextrun"/>
          <w:rFonts w:cs="Calibri"/>
          <w:i/>
          <w:iCs/>
        </w:rPr>
        <w:t>Adaptační a </w:t>
      </w:r>
      <w:proofErr w:type="spellStart"/>
      <w:r w:rsidRPr="00BB2236">
        <w:rPr>
          <w:rStyle w:val="normaltextrun"/>
          <w:rFonts w:cs="Calibri"/>
          <w:i/>
          <w:iCs/>
        </w:rPr>
        <w:t>mitigační</w:t>
      </w:r>
      <w:proofErr w:type="spellEnd"/>
      <w:r w:rsidRPr="00BB2236">
        <w:rPr>
          <w:rStyle w:val="normaltextrun"/>
          <w:rFonts w:cs="Calibri"/>
          <w:i/>
          <w:iCs/>
        </w:rPr>
        <w:t xml:space="preserve"> opatření</w:t>
      </w:r>
      <w:r w:rsidRPr="00BB2236">
        <w:rPr>
          <w:rStyle w:val="normaltextrun"/>
          <w:rFonts w:cs="Calibri"/>
        </w:rPr>
        <w:t xml:space="preserve">, konkrétně podoblast D.2 – </w:t>
      </w:r>
      <w:proofErr w:type="gramStart"/>
      <w:r w:rsidRPr="00BB2236">
        <w:rPr>
          <w:rStyle w:val="normaltextrun"/>
          <w:rFonts w:cs="Calibri"/>
          <w:i/>
          <w:iCs/>
        </w:rPr>
        <w:t>Zelená</w:t>
      </w:r>
      <w:proofErr w:type="gramEnd"/>
      <w:r w:rsidRPr="00BB2236">
        <w:rPr>
          <w:rStyle w:val="normaltextrun"/>
          <w:rFonts w:cs="Calibri"/>
          <w:i/>
          <w:iCs/>
        </w:rPr>
        <w:t xml:space="preserve"> střecha</w:t>
      </w:r>
      <w:r w:rsidRPr="00BB2236">
        <w:rPr>
          <w:rStyle w:val="normaltextrun"/>
          <w:rFonts w:cs="Calibri"/>
        </w:rPr>
        <w:t xml:space="preserve"> a</w:t>
      </w:r>
      <w:r w:rsidR="001E364F">
        <w:rPr>
          <w:rStyle w:val="normaltextrun"/>
          <w:rFonts w:cs="Calibri"/>
        </w:rPr>
        <w:t> </w:t>
      </w:r>
      <w:r w:rsidRPr="00BB2236">
        <w:rPr>
          <w:rStyle w:val="normaltextrun"/>
          <w:rFonts w:cs="Calibri"/>
        </w:rPr>
        <w:t xml:space="preserve">podoblast D.3 – </w:t>
      </w:r>
      <w:r w:rsidRPr="00BB2236">
        <w:rPr>
          <w:rStyle w:val="normaltextrun"/>
          <w:rFonts w:cs="Calibri"/>
          <w:i/>
          <w:iCs/>
        </w:rPr>
        <w:t>Dešťovka</w:t>
      </w:r>
      <w:r w:rsidRPr="00BB2236">
        <w:rPr>
          <w:rStyle w:val="normaltextrun"/>
          <w:rFonts w:cs="Calibri"/>
        </w:rPr>
        <w:t>.</w:t>
      </w:r>
    </w:p>
    <w:p w14:paraId="7E88EE85" w14:textId="0D2B6B44" w:rsidR="00A06F61" w:rsidRDefault="00A06F61" w:rsidP="004A7414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A06F61">
        <w:rPr>
          <w:b/>
          <w:bCs/>
          <w:i/>
          <w:iCs/>
          <w:color w:val="AF1953"/>
        </w:rPr>
        <w:t xml:space="preserve">→ </w:t>
      </w:r>
      <w:r w:rsidR="00AC3071" w:rsidRPr="00AC3071">
        <w:rPr>
          <w:b/>
          <w:bCs/>
          <w:i/>
          <w:iCs/>
          <w:color w:val="AF1953"/>
        </w:rPr>
        <w:t xml:space="preserve">MŽP </w:t>
      </w:r>
      <w:r w:rsidR="004641D1">
        <w:rPr>
          <w:b/>
          <w:bCs/>
          <w:i/>
          <w:iCs/>
          <w:color w:val="AF1953"/>
        </w:rPr>
        <w:t>nestanovilo měřitelné</w:t>
      </w:r>
      <w:r w:rsidR="00AC3071" w:rsidRPr="00AC3071">
        <w:rPr>
          <w:b/>
          <w:bCs/>
          <w:i/>
          <w:iCs/>
          <w:color w:val="AF1953"/>
        </w:rPr>
        <w:t xml:space="preserve"> cíle investice 2.5.1 NPO k oblasti zlepšování hospodaření se srážkovými vodami v rodinných a bytových domech, </w:t>
      </w:r>
      <w:r w:rsidR="004641D1">
        <w:rPr>
          <w:b/>
          <w:bCs/>
          <w:i/>
          <w:iCs/>
          <w:color w:val="AF1953"/>
        </w:rPr>
        <w:t>a</w:t>
      </w:r>
      <w:r w:rsidR="004641D1" w:rsidRPr="004641D1">
        <w:rPr>
          <w:b/>
          <w:bCs/>
          <w:i/>
          <w:iCs/>
          <w:color w:val="AF1953"/>
        </w:rPr>
        <w:t>čkoliv cílem programu NZÚ bylo mj.</w:t>
      </w:r>
      <w:r w:rsidR="002A6AC0">
        <w:rPr>
          <w:b/>
          <w:bCs/>
          <w:i/>
          <w:iCs/>
          <w:color w:val="AF1953"/>
        </w:rPr>
        <w:t> </w:t>
      </w:r>
      <w:r w:rsidR="004641D1" w:rsidRPr="004641D1">
        <w:rPr>
          <w:b/>
          <w:bCs/>
          <w:i/>
          <w:iCs/>
          <w:color w:val="AF1953"/>
        </w:rPr>
        <w:t>zlepšení hospodaření se srážkovými vodami</w:t>
      </w:r>
    </w:p>
    <w:p w14:paraId="4D2E9D1A" w14:textId="35A32977" w:rsidR="00A06F61" w:rsidRPr="00BB2236" w:rsidRDefault="00A06F61" w:rsidP="00B571F2">
      <w:pPr>
        <w:pStyle w:val="TextKZ"/>
        <w:numPr>
          <w:ilvl w:val="0"/>
          <w:numId w:val="20"/>
        </w:numPr>
        <w:spacing w:before="240" w:after="120"/>
        <w:ind w:left="567" w:hanging="567"/>
        <w:rPr>
          <w:i/>
          <w:iCs/>
        </w:rPr>
      </w:pPr>
      <w:bookmarkStart w:id="14" w:name="_Hlk220062028"/>
      <w:bookmarkStart w:id="15" w:name="_Hlk221691272"/>
      <w:r>
        <w:t>MŽP stanovilo pro investici 2.5.1 dva cíle</w:t>
      </w:r>
      <w:r w:rsidR="00BB2236">
        <w:t xml:space="preserve"> související se snižováním spotřeby energie a snížení emisí CO</w:t>
      </w:r>
      <w:r w:rsidR="00BB2236" w:rsidRPr="00BB2236">
        <w:rPr>
          <w:vertAlign w:val="subscript"/>
        </w:rPr>
        <w:t>2</w:t>
      </w:r>
      <w:r w:rsidR="00BB2236">
        <w:t>. Pro oba cíle plat</w:t>
      </w:r>
      <w:r w:rsidR="00B721B9">
        <w:t>il</w:t>
      </w:r>
      <w:r w:rsidR="00BB2236">
        <w:t xml:space="preserve"> společný </w:t>
      </w:r>
      <w:r w:rsidR="00B721B9">
        <w:t>ukazatel</w:t>
      </w:r>
      <w:r w:rsidR="00BB2236">
        <w:t>, který vyjadřuje úsporu energie v TJ za rok.</w:t>
      </w:r>
      <w:bookmarkEnd w:id="14"/>
    </w:p>
    <w:p w14:paraId="7411720E" w14:textId="62B49A77" w:rsidR="004A7414" w:rsidRDefault="008573D1" w:rsidP="00B571F2">
      <w:pPr>
        <w:pStyle w:val="TextKZ"/>
        <w:numPr>
          <w:ilvl w:val="0"/>
          <w:numId w:val="20"/>
        </w:numPr>
        <w:ind w:left="567" w:hanging="567"/>
      </w:pPr>
      <w:r w:rsidRPr="00B139E7">
        <w:t>Přestože</w:t>
      </w:r>
      <w:r w:rsidR="00B721B9">
        <w:t xml:space="preserve"> SFŽP sleduje</w:t>
      </w:r>
      <w:r w:rsidRPr="00B139E7">
        <w:t xml:space="preserve"> </w:t>
      </w:r>
      <w:r w:rsidR="00FE0FF2">
        <w:t>u</w:t>
      </w:r>
      <w:r w:rsidRPr="00B139E7">
        <w:t xml:space="preserve"> dlouhotrvajícího programu NZÚ </w:t>
      </w:r>
      <w:r w:rsidR="00A06F61" w:rsidRPr="00B139E7">
        <w:t>na úrovni</w:t>
      </w:r>
      <w:r w:rsidRPr="00B139E7">
        <w:t xml:space="preserve"> </w:t>
      </w:r>
      <w:r w:rsidR="00A06F61" w:rsidRPr="00B139E7">
        <w:t xml:space="preserve">realizovaných projektů dva parametry: </w:t>
      </w:r>
      <w:r w:rsidR="00A06F61" w:rsidRPr="00B139E7">
        <w:rPr>
          <w:i/>
          <w:iCs/>
        </w:rPr>
        <w:t xml:space="preserve">Objem akumulační nádrže na dešťovou vodu </w:t>
      </w:r>
      <w:r w:rsidR="00A06F61" w:rsidRPr="00B139E7">
        <w:t>[m</w:t>
      </w:r>
      <w:r w:rsidR="00A06F61" w:rsidRPr="00B139E7">
        <w:rPr>
          <w:vertAlign w:val="superscript"/>
        </w:rPr>
        <w:t>3</w:t>
      </w:r>
      <w:r w:rsidR="00A06F61" w:rsidRPr="00B139E7">
        <w:t xml:space="preserve">] a </w:t>
      </w:r>
      <w:r w:rsidR="00A06F61" w:rsidRPr="00B139E7">
        <w:rPr>
          <w:i/>
          <w:iCs/>
        </w:rPr>
        <w:t>Celkovou plochu zelené střechy</w:t>
      </w:r>
      <w:r w:rsidR="00A06F61" w:rsidRPr="00B139E7">
        <w:t xml:space="preserve"> [m</w:t>
      </w:r>
      <w:r w:rsidR="00A06F61" w:rsidRPr="00B139E7">
        <w:rPr>
          <w:vertAlign w:val="superscript"/>
        </w:rPr>
        <w:t>2</w:t>
      </w:r>
      <w:r w:rsidR="00A06F61" w:rsidRPr="00B139E7">
        <w:t>]</w:t>
      </w:r>
      <w:r w:rsidRPr="00B139E7">
        <w:t xml:space="preserve">, </w:t>
      </w:r>
      <w:r w:rsidR="004641D1">
        <w:t xml:space="preserve">MŽP </w:t>
      </w:r>
      <w:r w:rsidR="00FE0FF2">
        <w:t>u</w:t>
      </w:r>
      <w:r w:rsidRPr="00B139E7">
        <w:t xml:space="preserve"> NPO </w:t>
      </w:r>
      <w:r w:rsidR="004641D1">
        <w:t>nestanovilo</w:t>
      </w:r>
      <w:r w:rsidRPr="00B139E7">
        <w:t xml:space="preserve"> pro oblast hospodaření se srážkovými vodami žádné měřitelné cíle.</w:t>
      </w:r>
    </w:p>
    <w:bookmarkEnd w:id="15"/>
    <w:p w14:paraId="6CB0CA55" w14:textId="79488764" w:rsidR="004A7414" w:rsidRPr="004A7414" w:rsidRDefault="004A7414" w:rsidP="001E364F">
      <w:pPr>
        <w:pStyle w:val="TextKZ"/>
        <w:spacing w:before="240" w:after="120"/>
        <w:rPr>
          <w:b/>
          <w:bCs/>
          <w:i/>
          <w:iCs/>
        </w:rPr>
      </w:pPr>
      <w:r w:rsidRPr="004A7414">
        <w:rPr>
          <w:b/>
          <w:bCs/>
          <w:i/>
          <w:iCs/>
        </w:rPr>
        <w:t>Výzvy NZÚ</w:t>
      </w:r>
    </w:p>
    <w:p w14:paraId="01710856" w14:textId="7DBA36B7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>
        <w:t>MŽP vyhlásilo dne 21. 9. 2021 prostřednictvím SFŽP dvě výzvy pro předkládání žádostí o poskytnutí podpory z</w:t>
      </w:r>
      <w:r w:rsidR="00FE0FF2">
        <w:t> NPO prostřednictvím</w:t>
      </w:r>
      <w:r>
        <w:t xml:space="preserve"> programu NZÚ. Výzva č. 1/2021 byla určena pro sektor RD a výzva č. 2/2021 byla určena pro sektor BD.</w:t>
      </w:r>
    </w:p>
    <w:p w14:paraId="080254FE" w14:textId="02311E28" w:rsidR="00A06F61" w:rsidRPr="00A06F61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0A06F61">
        <w:rPr>
          <w:rFonts w:eastAsia="Calibri"/>
        </w:rPr>
        <w:t xml:space="preserve">Cílem </w:t>
      </w:r>
      <w:r w:rsidR="00FE0FF2">
        <w:rPr>
          <w:rFonts w:eastAsia="Calibri"/>
        </w:rPr>
        <w:t xml:space="preserve">obou </w:t>
      </w:r>
      <w:r w:rsidRPr="00A06F61">
        <w:rPr>
          <w:rFonts w:eastAsia="Calibri"/>
        </w:rPr>
        <w:t xml:space="preserve">výzev bylo snížení energetické náročnosti, zvýšení podílu </w:t>
      </w:r>
      <w:r w:rsidR="003010F8">
        <w:rPr>
          <w:rFonts w:eastAsia="Calibri"/>
        </w:rPr>
        <w:t>obnovitelných zdrojů energie</w:t>
      </w:r>
      <w:r w:rsidRPr="00A06F61">
        <w:rPr>
          <w:rFonts w:eastAsia="Calibri"/>
        </w:rPr>
        <w:t xml:space="preserve"> a realizace adaptačních a </w:t>
      </w:r>
      <w:proofErr w:type="spellStart"/>
      <w:r w:rsidRPr="00A06F61">
        <w:rPr>
          <w:rFonts w:eastAsia="Calibri"/>
        </w:rPr>
        <w:t>mitigačních</w:t>
      </w:r>
      <w:proofErr w:type="spellEnd"/>
      <w:r w:rsidRPr="00A06F61">
        <w:rPr>
          <w:rFonts w:eastAsia="Calibri"/>
        </w:rPr>
        <w:t xml:space="preserve"> opatření v reakci na změnu klimatu ve stávajících a nově budovaných rodinných a bytových domech. Podpořené projekty musely být realizovány nejpozději do 30. 6. 2025.</w:t>
      </w:r>
    </w:p>
    <w:p w14:paraId="6337D435" w14:textId="4356EB8A" w:rsidR="00A06F61" w:rsidRDefault="00A06F61" w:rsidP="00075106">
      <w:pPr>
        <w:pStyle w:val="Titulek"/>
        <w:tabs>
          <w:tab w:val="right" w:pos="9072"/>
        </w:tabs>
        <w:spacing w:after="40"/>
        <w:rPr>
          <w:rFonts w:eastAsia="Calibri" w:cs="Calibri"/>
        </w:rPr>
      </w:pPr>
      <w:r>
        <w:t xml:space="preserve">Tabulka č. </w:t>
      </w:r>
      <w:fldSimple w:instr=" SEQ Tabulka_č. \* ARABIC ">
        <w:r w:rsidR="00D213BC">
          <w:rPr>
            <w:noProof/>
          </w:rPr>
          <w:t>1</w:t>
        </w:r>
      </w:fldSimple>
      <w:r>
        <w:t xml:space="preserve">: </w:t>
      </w:r>
      <w:r w:rsidRPr="001E364F">
        <w:t>Alokace výzev NZÚ</w:t>
      </w:r>
      <w:r w:rsidR="001B1E95" w:rsidRPr="001E364F">
        <w:tab/>
      </w:r>
      <w:r w:rsidR="00075106">
        <w:t>(v </w:t>
      </w:r>
      <w:r w:rsidR="001B1E95" w:rsidRPr="001E364F">
        <w:t>mil. Kč</w:t>
      </w:r>
      <w:r w:rsidR="00075106">
        <w:t>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48"/>
        <w:gridCol w:w="2548"/>
        <w:gridCol w:w="2548"/>
      </w:tblGrid>
      <w:tr w:rsidR="00075106" w14:paraId="151CC385" w14:textId="77777777" w:rsidTr="00075106">
        <w:trPr>
          <w:trHeight w:val="27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FD4DF80" w14:textId="4FAE559E" w:rsidR="00A06F61" w:rsidRPr="00B43929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Výzva NZÚ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48F2111" w14:textId="77777777" w:rsidR="00A06F61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Původní alokace</w:t>
            </w:r>
          </w:p>
          <w:p w14:paraId="11F474DA" w14:textId="3B02B01F" w:rsidR="00A06F61" w:rsidRPr="00B43929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(21.</w:t>
            </w:r>
            <w:r w:rsidR="0007510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9.2021 – 22.</w:t>
            </w:r>
            <w:r w:rsidR="0007510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6.2022)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A338358" w14:textId="77777777" w:rsidR="00A06F61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1. změna</w:t>
            </w:r>
          </w:p>
          <w:p w14:paraId="5542B0FE" w14:textId="7896F6A1" w:rsidR="00A06F61" w:rsidRPr="00B43929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(23.</w:t>
            </w:r>
            <w:r w:rsidR="0007510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6.2022 – 12.10.2022) 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A8CDAEF" w14:textId="77777777" w:rsidR="00A06F61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2. změna</w:t>
            </w:r>
          </w:p>
          <w:p w14:paraId="08B7FACA" w14:textId="77777777" w:rsidR="00A06F61" w:rsidRPr="00B43929" w:rsidRDefault="00A06F61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(od 13.10.2022)</w:t>
            </w:r>
          </w:p>
        </w:tc>
      </w:tr>
      <w:tr w:rsidR="00075106" w14:paraId="145FB5EC" w14:textId="77777777" w:rsidTr="00075106">
        <w:trPr>
          <w:trHeight w:val="276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7845" w14:textId="14847BB5" w:rsidR="00A06F61" w:rsidRPr="00B43929" w:rsidRDefault="00A06F61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Výzv</w:t>
            </w:r>
            <w:r w:rsidR="00FE0FF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a</w:t>
            </w: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č. 1/2021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B653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6 000,00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5E06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10 811,00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FE25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14 011,00</w:t>
            </w:r>
          </w:p>
        </w:tc>
      </w:tr>
      <w:tr w:rsidR="00075106" w14:paraId="575F8360" w14:textId="77777777" w:rsidTr="00075106">
        <w:trPr>
          <w:trHeight w:val="276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E877" w14:textId="77777777" w:rsidR="00A06F61" w:rsidRPr="00B43929" w:rsidRDefault="00A06F61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Výzva č. 2/2021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ECE1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50CC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92E1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1 800,00</w:t>
            </w:r>
          </w:p>
        </w:tc>
      </w:tr>
      <w:tr w:rsidR="00075106" w14:paraId="70B1423D" w14:textId="77777777" w:rsidTr="00075106">
        <w:trPr>
          <w:trHeight w:val="276"/>
        </w:trPr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D837" w14:textId="77777777" w:rsidR="00A06F61" w:rsidRPr="00B43929" w:rsidRDefault="00A06F61" w:rsidP="0012770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D64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11 000,00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B3FF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15 811,00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2258" w14:textId="77777777" w:rsidR="00A06F61" w:rsidRPr="00B43929" w:rsidRDefault="00A06F61" w:rsidP="00075106">
            <w:pPr>
              <w:ind w:right="215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439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15 811,00</w:t>
            </w:r>
          </w:p>
        </w:tc>
      </w:tr>
    </w:tbl>
    <w:p w14:paraId="5B4707CF" w14:textId="52807519" w:rsidR="00A06F61" w:rsidRDefault="00A06F61" w:rsidP="001E364F">
      <w:pPr>
        <w:pStyle w:val="Zdrojapozn"/>
        <w:spacing w:before="40" w:after="120"/>
      </w:pPr>
      <w:r w:rsidRPr="001E364F">
        <w:rPr>
          <w:b/>
          <w:bCs/>
        </w:rPr>
        <w:t>Zdroj:</w:t>
      </w:r>
      <w:r>
        <w:t xml:space="preserve"> </w:t>
      </w:r>
      <w:r w:rsidR="00075106">
        <w:t>v</w:t>
      </w:r>
      <w:r>
        <w:t>yhlášené výzvy č. 1/2021 a 2/2021 NZÚ a jejich změny.</w:t>
      </w:r>
    </w:p>
    <w:p w14:paraId="4F036E89" w14:textId="77777777" w:rsidR="00A06F61" w:rsidRPr="003C4B1F" w:rsidRDefault="00A06F61" w:rsidP="001E364F">
      <w:pPr>
        <w:pStyle w:val="TextKP"/>
        <w:keepNext/>
        <w:spacing w:before="240" w:after="120"/>
        <w:rPr>
          <w:b/>
          <w:bCs/>
          <w:i/>
          <w:iCs/>
        </w:rPr>
      </w:pPr>
      <w:r w:rsidRPr="003C4B1F">
        <w:rPr>
          <w:b/>
          <w:bCs/>
          <w:i/>
          <w:iCs/>
        </w:rPr>
        <w:t xml:space="preserve">Podoblast podpory D.2 – </w:t>
      </w:r>
      <w:proofErr w:type="gramStart"/>
      <w:r w:rsidRPr="003C4B1F">
        <w:rPr>
          <w:b/>
          <w:bCs/>
          <w:i/>
          <w:iCs/>
        </w:rPr>
        <w:t>Zelená</w:t>
      </w:r>
      <w:proofErr w:type="gramEnd"/>
      <w:r w:rsidRPr="003C4B1F">
        <w:rPr>
          <w:b/>
          <w:bCs/>
          <w:i/>
          <w:iCs/>
        </w:rPr>
        <w:t xml:space="preserve"> střecha</w:t>
      </w:r>
    </w:p>
    <w:p w14:paraId="71B36168" w14:textId="150D8B55" w:rsidR="00951853" w:rsidRPr="00951853" w:rsidRDefault="00A06F61" w:rsidP="00B571F2">
      <w:pPr>
        <w:pStyle w:val="TextKZ"/>
        <w:numPr>
          <w:ilvl w:val="0"/>
          <w:numId w:val="20"/>
        </w:numPr>
        <w:ind w:left="567" w:hanging="567"/>
        <w:rPr>
          <w:i/>
          <w:iCs/>
        </w:rPr>
      </w:pPr>
      <w:r>
        <w:t>P</w:t>
      </w:r>
      <w:r w:rsidRPr="00CF4C69">
        <w:t>odpora se poskyt</w:t>
      </w:r>
      <w:r>
        <w:t>ovala</w:t>
      </w:r>
      <w:r w:rsidRPr="00CF4C69">
        <w:t xml:space="preserve"> na výstavbu zelených střech na</w:t>
      </w:r>
      <w:r>
        <w:t xml:space="preserve"> </w:t>
      </w:r>
      <w:r w:rsidRPr="00CF4C69">
        <w:t xml:space="preserve">rodinných </w:t>
      </w:r>
      <w:r>
        <w:t xml:space="preserve">a bytových </w:t>
      </w:r>
      <w:r w:rsidRPr="00CF4C69">
        <w:t xml:space="preserve">domech, popř. na dalších nadzemních stavbách ve vlastnictví žadatele plnících doplňkovou funkci ke stavbě </w:t>
      </w:r>
      <w:r w:rsidR="007E56D5">
        <w:t>RD či BD</w:t>
      </w:r>
      <w:r w:rsidR="00075106">
        <w:t>,</w:t>
      </w:r>
      <w:r w:rsidR="00951853">
        <w:t xml:space="preserve"> a </w:t>
      </w:r>
      <w:r w:rsidRPr="00951853">
        <w:rPr>
          <w:rFonts w:eastAsia="Calibri" w:cs="Calibri"/>
        </w:rPr>
        <w:t xml:space="preserve">musely být navrženy v souladu s dokumentem </w:t>
      </w:r>
      <w:r w:rsidRPr="00951853">
        <w:rPr>
          <w:rFonts w:eastAsia="Calibri" w:cs="Calibri"/>
          <w:i/>
          <w:iCs/>
        </w:rPr>
        <w:t xml:space="preserve">Standardy pro navrhování, provádění a údržbu – Vegetační souvrství zelených střech </w:t>
      </w:r>
      <w:r w:rsidRPr="00951853">
        <w:rPr>
          <w:rFonts w:eastAsia="Calibri" w:cs="Calibri"/>
        </w:rPr>
        <w:t xml:space="preserve">zpracovaným odbornou sekcí </w:t>
      </w:r>
      <w:proofErr w:type="gramStart"/>
      <w:r w:rsidRPr="00951853">
        <w:rPr>
          <w:rFonts w:eastAsia="Calibri" w:cs="Calibri"/>
          <w:i/>
          <w:iCs/>
        </w:rPr>
        <w:t>Zelené</w:t>
      </w:r>
      <w:proofErr w:type="gramEnd"/>
      <w:r w:rsidRPr="00951853">
        <w:rPr>
          <w:rFonts w:eastAsia="Calibri" w:cs="Calibri"/>
          <w:i/>
          <w:iCs/>
        </w:rPr>
        <w:t xml:space="preserve"> střechy </w:t>
      </w:r>
      <w:r w:rsidRPr="00951853">
        <w:rPr>
          <w:rFonts w:eastAsia="Calibri" w:cs="Calibri"/>
        </w:rPr>
        <w:t>při</w:t>
      </w:r>
      <w:r w:rsidRPr="00951853">
        <w:rPr>
          <w:rFonts w:eastAsia="Calibri" w:cs="Calibri"/>
          <w:i/>
          <w:iCs/>
        </w:rPr>
        <w:t xml:space="preserve"> Svazu zakládání a údržby zeleně</w:t>
      </w:r>
      <w:r w:rsidRPr="00951853">
        <w:rPr>
          <w:rFonts w:eastAsia="Calibri" w:cs="Calibri"/>
        </w:rPr>
        <w:t>.</w:t>
      </w:r>
    </w:p>
    <w:p w14:paraId="42241105" w14:textId="09ACD922" w:rsidR="00A06F61" w:rsidRPr="003C4B1F" w:rsidRDefault="00A06F61" w:rsidP="001E364F">
      <w:pPr>
        <w:pStyle w:val="TextKZ"/>
        <w:keepNext/>
        <w:spacing w:before="240" w:after="120"/>
        <w:rPr>
          <w:b/>
          <w:bCs/>
          <w:i/>
          <w:iCs/>
        </w:rPr>
      </w:pPr>
      <w:r w:rsidRPr="003C4B1F">
        <w:rPr>
          <w:b/>
          <w:bCs/>
          <w:i/>
          <w:iCs/>
        </w:rPr>
        <w:lastRenderedPageBreak/>
        <w:t>Podoblast podpory D.3 – Dešťovka</w:t>
      </w:r>
    </w:p>
    <w:p w14:paraId="2FD4976A" w14:textId="1003A01A" w:rsidR="004D4416" w:rsidRDefault="00A06F61" w:rsidP="00B571F2">
      <w:pPr>
        <w:pStyle w:val="TextKZ"/>
        <w:numPr>
          <w:ilvl w:val="0"/>
          <w:numId w:val="20"/>
        </w:numPr>
        <w:spacing w:after="240"/>
        <w:ind w:left="567" w:hanging="567"/>
      </w:pPr>
      <w:r>
        <w:t>Podporu bylo možné získat na opatření, která snižují množství odebírané pitné vody z povrchových a podzemních zdrojů v</w:t>
      </w:r>
      <w:r w:rsidR="007E56D5">
        <w:t> RD či BD</w:t>
      </w:r>
      <w:r>
        <w:t>. Podporovány byly systémy hospodaření s dešťovou vodou a systémy využití vyčištěné a dočištěné odpadní vody s možným využitím pro zálivku zahrady či jako užitkové vody.</w:t>
      </w:r>
    </w:p>
    <w:p w14:paraId="1B3A6FE0" w14:textId="797269A0" w:rsidR="006C1290" w:rsidRDefault="00A06F61" w:rsidP="009173D0">
      <w:pPr>
        <w:shd w:val="clear" w:color="auto" w:fill="E6E6E6"/>
        <w:spacing w:before="120"/>
      </w:pPr>
      <w:r w:rsidRPr="00A06F61">
        <w:rPr>
          <w:b/>
          <w:bCs/>
          <w:i/>
          <w:iCs/>
          <w:color w:val="AF1953"/>
        </w:rPr>
        <w:t xml:space="preserve">→ Podpora adaptačních a </w:t>
      </w:r>
      <w:proofErr w:type="spellStart"/>
      <w:r w:rsidRPr="00A06F61">
        <w:rPr>
          <w:b/>
          <w:bCs/>
          <w:i/>
          <w:iCs/>
          <w:color w:val="AF1953"/>
        </w:rPr>
        <w:t>mitigačních</w:t>
      </w:r>
      <w:proofErr w:type="spellEnd"/>
      <w:r w:rsidRPr="00A06F61">
        <w:rPr>
          <w:b/>
          <w:bCs/>
          <w:i/>
          <w:iCs/>
          <w:color w:val="AF1953"/>
        </w:rPr>
        <w:t xml:space="preserve"> opatření v rodinných a bytových domech</w:t>
      </w:r>
      <w:r w:rsidR="007E56D5">
        <w:rPr>
          <w:b/>
          <w:bCs/>
          <w:i/>
          <w:iCs/>
          <w:color w:val="AF1953"/>
        </w:rPr>
        <w:t xml:space="preserve"> z</w:t>
      </w:r>
      <w:r w:rsidRPr="00A06F61">
        <w:rPr>
          <w:b/>
          <w:bCs/>
          <w:i/>
          <w:iCs/>
          <w:color w:val="AF1953"/>
        </w:rPr>
        <w:t xml:space="preserve"> NPO byla </w:t>
      </w:r>
      <w:r w:rsidR="007E56D5">
        <w:rPr>
          <w:b/>
          <w:bCs/>
          <w:i/>
          <w:iCs/>
          <w:color w:val="AF1953"/>
        </w:rPr>
        <w:t>v porovnání s celkovou výší</w:t>
      </w:r>
      <w:r w:rsidRPr="00A06F61">
        <w:rPr>
          <w:b/>
          <w:bCs/>
          <w:i/>
          <w:iCs/>
          <w:color w:val="AF1953"/>
        </w:rPr>
        <w:t xml:space="preserve"> poskytnuté podpory v programu NZÚ pouze marginální</w:t>
      </w:r>
      <w:r w:rsidR="00075106">
        <w:rPr>
          <w:b/>
          <w:bCs/>
          <w:i/>
          <w:iCs/>
          <w:color w:val="AF1953"/>
        </w:rPr>
        <w:t>.</w:t>
      </w:r>
    </w:p>
    <w:p w14:paraId="5762A0BB" w14:textId="0A40DF0F" w:rsidR="00A06F61" w:rsidRPr="001E364F" w:rsidRDefault="00A06F61" w:rsidP="001E364F">
      <w:pPr>
        <w:pStyle w:val="Titulek"/>
        <w:tabs>
          <w:tab w:val="right" w:pos="9072"/>
        </w:tabs>
        <w:spacing w:before="240" w:after="40"/>
      </w:pPr>
      <w:r>
        <w:t xml:space="preserve">Tabulka č. </w:t>
      </w:r>
      <w:fldSimple w:instr=" SEQ Tabulka_č. \* ARABIC ">
        <w:r w:rsidR="00D213BC">
          <w:rPr>
            <w:noProof/>
          </w:rPr>
          <w:t>2</w:t>
        </w:r>
      </w:fldSimple>
      <w:r>
        <w:t xml:space="preserve">: </w:t>
      </w:r>
      <w:r w:rsidRPr="001E364F">
        <w:t>Plocha zelených střech a objem nádrží na dešťov</w:t>
      </w:r>
      <w:r w:rsidR="004072B6" w:rsidRPr="001E364F">
        <w:t>ku</w:t>
      </w:r>
      <w:r w:rsidRPr="001E364F">
        <w:t xml:space="preserve"> u RD a BD </w:t>
      </w:r>
      <w:r w:rsidRPr="001E364F">
        <w:tab/>
      </w:r>
      <w:r w:rsidR="00E90FA3">
        <w:t>(v </w:t>
      </w:r>
      <w:r w:rsidRPr="001E364F">
        <w:t>tis. Kč</w:t>
      </w:r>
      <w:r w:rsidR="00E90FA3">
        <w:t>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40"/>
        <w:gridCol w:w="1119"/>
        <w:gridCol w:w="1065"/>
        <w:gridCol w:w="1160"/>
        <w:gridCol w:w="867"/>
        <w:gridCol w:w="714"/>
        <w:gridCol w:w="715"/>
        <w:gridCol w:w="921"/>
        <w:gridCol w:w="921"/>
      </w:tblGrid>
      <w:tr w:rsidR="007E56D5" w:rsidRPr="00E90FA3" w14:paraId="4E8AB72C" w14:textId="77777777" w:rsidTr="00E90FA3">
        <w:trPr>
          <w:trHeight w:val="20"/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DBD0B29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Výzva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8620CF1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aktivních projektů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4976CDE" w14:textId="7CD9B736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Dotace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tis. Kč</w:t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0384909" w14:textId="5E096285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Podíl dotace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%</w:t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567D38" w14:textId="358B7CE2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Plocha zelené střechy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m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30E817F" w14:textId="72F3AB43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Objem nádrže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m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7E56D5" w:rsidRPr="00E90FA3" w14:paraId="26839132" w14:textId="77777777" w:rsidTr="00E90FA3">
        <w:trPr>
          <w:trHeight w:val="20"/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FF8" w14:textId="77777777" w:rsidR="00A06F61" w:rsidRPr="00E90FA3" w:rsidRDefault="00A06F61" w:rsidP="0012770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3E59B51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FDF86B6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D.2 nebo D.3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3FC484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62D1F9" w14:textId="710F57D0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D.2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proofErr w:type="gramStart"/>
            <w:r w:rsidR="007E56D5" w:rsidRPr="00E90F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Zelené</w:t>
            </w:r>
            <w:proofErr w:type="gramEnd"/>
            <w:r w:rsidRPr="00E90F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střechy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1E0503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D.3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E90F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Dešťovka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B32FD6" w14:textId="51634299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D.2/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celkem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3F0639" w14:textId="08FE305D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D.3/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</w:t>
            </w: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elkem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9E9C" w14:textId="77777777" w:rsidR="00A06F61" w:rsidRPr="00E90FA3" w:rsidRDefault="00A06F61" w:rsidP="0012770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1B6" w14:textId="77777777" w:rsidR="00A06F61" w:rsidRPr="00E90FA3" w:rsidRDefault="00A06F61" w:rsidP="0012770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E56D5" w:rsidRPr="00E90FA3" w14:paraId="773BDA52" w14:textId="77777777" w:rsidTr="00E90FA3">
        <w:trPr>
          <w:trHeight w:val="2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E8FB" w14:textId="3B81912D" w:rsidR="00A06F61" w:rsidRPr="00E90FA3" w:rsidRDefault="00A06F61" w:rsidP="0012770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1/2021 – </w:t>
            </w:r>
            <w:r w:rsidR="007E56D5"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B968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80 028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848D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3 323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F0CA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14 539 641,82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32FA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17 383,38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6023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145 110,38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E4D9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0,12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3344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120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29 677,21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A133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24 893,90</w:t>
            </w:r>
          </w:p>
        </w:tc>
      </w:tr>
      <w:tr w:rsidR="007E56D5" w:rsidRPr="00E90FA3" w14:paraId="4FB579A7" w14:textId="77777777" w:rsidTr="00E90FA3">
        <w:trPr>
          <w:trHeight w:val="2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6FDA" w14:textId="66E9DDE0" w:rsidR="00A06F61" w:rsidRPr="00E90FA3" w:rsidRDefault="00A06F61" w:rsidP="0012770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2/2021 – </w:t>
            </w:r>
            <w:r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B</w:t>
            </w:r>
            <w:r w:rsidR="007E56D5"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E5F9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AE2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C09B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1 166 545,20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C191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1 700,90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A78E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3 539,30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97D3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0,15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5E0E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0,30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2836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3 555,37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7362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520,84</w:t>
            </w:r>
          </w:p>
        </w:tc>
      </w:tr>
      <w:tr w:rsidR="007E56D5" w:rsidRPr="00E90FA3" w14:paraId="6CA0F11D" w14:textId="77777777" w:rsidTr="00E90FA3">
        <w:trPr>
          <w:trHeight w:val="20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C9AC" w14:textId="77777777" w:rsidR="00A06F61" w:rsidRPr="00E90FA3" w:rsidRDefault="00A06F61" w:rsidP="00127707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8254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81 211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F39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3 374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84D0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15 706 187,02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07DD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19 084,28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D22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148 649,68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3EA5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0,12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09C0" w14:textId="77777777" w:rsidR="00A06F61" w:rsidRPr="00E90FA3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0,95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BB02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33 232,58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EE4F" w14:textId="77777777" w:rsidR="00A06F61" w:rsidRPr="00E90FA3" w:rsidRDefault="00A06F61" w:rsidP="0012770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90F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25 414,74</w:t>
            </w:r>
          </w:p>
        </w:tc>
      </w:tr>
    </w:tbl>
    <w:p w14:paraId="754ECA03" w14:textId="1A921F8D" w:rsidR="00A06F61" w:rsidRDefault="00A06F61" w:rsidP="001E364F">
      <w:pPr>
        <w:pStyle w:val="Zdrojeapozn"/>
        <w:spacing w:before="40"/>
      </w:pPr>
      <w:r w:rsidRPr="001E364F">
        <w:rPr>
          <w:b/>
          <w:bCs w:val="0"/>
        </w:rPr>
        <w:t>Zdroj:</w:t>
      </w:r>
      <w:r>
        <w:t xml:space="preserve"> </w:t>
      </w:r>
      <w:r w:rsidR="00E90FA3">
        <w:t>v</w:t>
      </w:r>
      <w:r>
        <w:t>ypracoval NKÚ na základě dat MŽP a SFŽP.</w:t>
      </w:r>
    </w:p>
    <w:p w14:paraId="31CCCC7E" w14:textId="72D12DCD" w:rsidR="00E90FA3" w:rsidRDefault="00A06F61" w:rsidP="009D304B">
      <w:pPr>
        <w:pStyle w:val="Zdrojeapozn"/>
        <w:ind w:left="284" w:hanging="284"/>
        <w:rPr>
          <w:b/>
          <w:bCs w:val="0"/>
        </w:rPr>
      </w:pPr>
      <w:r w:rsidRPr="001E364F">
        <w:rPr>
          <w:b/>
          <w:bCs w:val="0"/>
        </w:rPr>
        <w:t>Vysvětlivk</w:t>
      </w:r>
      <w:r w:rsidR="00E90FA3">
        <w:rPr>
          <w:b/>
          <w:bCs w:val="0"/>
        </w:rPr>
        <w:t>y</w:t>
      </w:r>
      <w:r w:rsidRPr="001E364F">
        <w:rPr>
          <w:b/>
          <w:bCs w:val="0"/>
        </w:rPr>
        <w:t>:</w:t>
      </w:r>
      <w:r w:rsidR="009D304B">
        <w:rPr>
          <w:b/>
          <w:bCs w:val="0"/>
        </w:rPr>
        <w:t xml:space="preserve"> </w:t>
      </w:r>
    </w:p>
    <w:p w14:paraId="6AA8C541" w14:textId="2842D5C9" w:rsidR="00A06F61" w:rsidRPr="00FC7443" w:rsidRDefault="00A06F61" w:rsidP="00E90FA3">
      <w:pPr>
        <w:pStyle w:val="Zdrojeapozn"/>
        <w:ind w:left="142" w:hanging="142"/>
      </w:pPr>
      <w:r w:rsidRPr="00DF7A6F">
        <w:rPr>
          <w:vertAlign w:val="superscript"/>
        </w:rPr>
        <w:t>1</w:t>
      </w:r>
      <w:r w:rsidR="009D304B">
        <w:t xml:space="preserve"> </w:t>
      </w:r>
      <w:r w:rsidR="00E90FA3">
        <w:tab/>
      </w:r>
      <w:r w:rsidRPr="00FC7443">
        <w:t xml:space="preserve">Celková plocha zelené střechy </w:t>
      </w:r>
      <w:r w:rsidR="00E90FA3">
        <w:t>(v </w:t>
      </w:r>
      <w:r w:rsidRPr="00FC7443">
        <w:t>m</w:t>
      </w:r>
      <w:r w:rsidRPr="00FC7443">
        <w:rPr>
          <w:vertAlign w:val="superscript"/>
        </w:rPr>
        <w:t>2</w:t>
      </w:r>
      <w:r w:rsidR="00E90FA3">
        <w:t>).</w:t>
      </w:r>
    </w:p>
    <w:p w14:paraId="67A44BAB" w14:textId="27104495" w:rsidR="00A06F61" w:rsidRPr="007D6A94" w:rsidRDefault="00A06F61" w:rsidP="00E90FA3">
      <w:pPr>
        <w:pStyle w:val="Zdrojeapozn"/>
        <w:ind w:left="142" w:hanging="142"/>
      </w:pPr>
      <w:r w:rsidRPr="00FC7443">
        <w:rPr>
          <w:vertAlign w:val="superscript"/>
        </w:rPr>
        <w:t>2</w:t>
      </w:r>
      <w:r w:rsidR="009D304B" w:rsidRPr="00FC7443">
        <w:rPr>
          <w:vertAlign w:val="superscript"/>
        </w:rPr>
        <w:t xml:space="preserve"> </w:t>
      </w:r>
      <w:r w:rsidR="00E90FA3">
        <w:rPr>
          <w:vertAlign w:val="superscript"/>
        </w:rPr>
        <w:tab/>
      </w:r>
      <w:r w:rsidRPr="00FC7443">
        <w:t xml:space="preserve">Objem akumulační nádrže na dešťovou vodou </w:t>
      </w:r>
      <w:r w:rsidR="005E520E">
        <w:t>(v </w:t>
      </w:r>
      <w:r w:rsidRPr="00FC7443">
        <w:t>m</w:t>
      </w:r>
      <w:r w:rsidRPr="00FC7443">
        <w:rPr>
          <w:vertAlign w:val="superscript"/>
        </w:rPr>
        <w:t>3</w:t>
      </w:r>
      <w:r w:rsidRPr="00FC7443">
        <w:t>].</w:t>
      </w:r>
    </w:p>
    <w:p w14:paraId="767683B2" w14:textId="27927C40" w:rsidR="006E794E" w:rsidRPr="00C255CE" w:rsidRDefault="006E794E" w:rsidP="00B571F2">
      <w:pPr>
        <w:pStyle w:val="TextKZ"/>
        <w:numPr>
          <w:ilvl w:val="0"/>
          <w:numId w:val="20"/>
        </w:numPr>
        <w:spacing w:before="240"/>
        <w:ind w:left="567" w:hanging="567"/>
      </w:pPr>
      <w:bookmarkStart w:id="16" w:name="_Hlk221691362"/>
      <w:r w:rsidRPr="00C255CE">
        <w:t>MŽP poskytlo z</w:t>
      </w:r>
      <w:r w:rsidR="00FE0FF2">
        <w:t xml:space="preserve"> NPO prostřednictvím </w:t>
      </w:r>
      <w:r w:rsidRPr="00C255CE">
        <w:t>NZÚ ke dni 1. 7. 2025 celkem 15 706,19</w:t>
      </w:r>
      <w:r w:rsidR="00FE0FF2">
        <w:t> </w:t>
      </w:r>
      <w:r w:rsidRPr="00C255CE">
        <w:t>mil. Kč, z toho 14 539,64 mil. Kč (</w:t>
      </w:r>
      <w:r w:rsidR="005E520E">
        <w:t>tj. </w:t>
      </w:r>
      <w:r w:rsidRPr="00C255CE">
        <w:t>93 %) poskytlo na opatření v rodinných domech a</w:t>
      </w:r>
      <w:r w:rsidR="005E520E">
        <w:t> </w:t>
      </w:r>
      <w:r w:rsidRPr="00C255CE">
        <w:t>1 166,55</w:t>
      </w:r>
      <w:r w:rsidR="005E520E">
        <w:t> </w:t>
      </w:r>
      <w:r w:rsidR="00390FE7" w:rsidRPr="00C255CE">
        <w:t>mil.</w:t>
      </w:r>
      <w:r w:rsidR="005E520E">
        <w:t> </w:t>
      </w:r>
      <w:r w:rsidR="00390FE7" w:rsidRPr="00C255CE">
        <w:t>Kč</w:t>
      </w:r>
      <w:r w:rsidRPr="00C255CE">
        <w:t xml:space="preserve"> (</w:t>
      </w:r>
      <w:r w:rsidR="005E520E">
        <w:t>tj. </w:t>
      </w:r>
      <w:r w:rsidRPr="00C255CE">
        <w:t>7</w:t>
      </w:r>
      <w:r w:rsidR="00390FE7" w:rsidRPr="00C255CE">
        <w:t> </w:t>
      </w:r>
      <w:r w:rsidRPr="00C255CE">
        <w:t xml:space="preserve">%) </w:t>
      </w:r>
      <w:r w:rsidR="00094C7B" w:rsidRPr="00C255CE">
        <w:t>na opatření u bytových domů</w:t>
      </w:r>
      <w:r w:rsidR="00A768DC" w:rsidRPr="00C255CE">
        <w:t xml:space="preserve">. Objem </w:t>
      </w:r>
      <w:r w:rsidR="005E520E">
        <w:t xml:space="preserve">dotací </w:t>
      </w:r>
      <w:r w:rsidR="00A768DC" w:rsidRPr="00C255CE">
        <w:t xml:space="preserve">poskytnutých </w:t>
      </w:r>
      <w:r w:rsidR="005E520E">
        <w:t>MŽP</w:t>
      </w:r>
      <w:r w:rsidR="00A768DC" w:rsidRPr="00C255CE">
        <w:t xml:space="preserve"> na dešťovku u</w:t>
      </w:r>
      <w:r w:rsidR="007E56D5">
        <w:t> </w:t>
      </w:r>
      <w:r w:rsidR="00A768DC" w:rsidRPr="00C255CE">
        <w:t xml:space="preserve">RD a BD činil celkem 148,65 mil. Kč. a objem dotací </w:t>
      </w:r>
      <w:r w:rsidR="005E520E" w:rsidRPr="00C255CE">
        <w:t xml:space="preserve">poskytnutých </w:t>
      </w:r>
      <w:r w:rsidR="00A768DC" w:rsidRPr="00C255CE">
        <w:t xml:space="preserve">na zelené střechy činil 19,08 mil. Kč. NKÚ zjistil, že </w:t>
      </w:r>
      <w:r w:rsidR="00390FE7" w:rsidRPr="00C255CE">
        <w:t xml:space="preserve">objem </w:t>
      </w:r>
      <w:r w:rsidR="006970F2" w:rsidRPr="00C255CE">
        <w:t xml:space="preserve">dotací </w:t>
      </w:r>
      <w:r w:rsidR="00390FE7" w:rsidRPr="00C255CE">
        <w:t xml:space="preserve">poskytnutých </w:t>
      </w:r>
      <w:r w:rsidR="006970F2" w:rsidRPr="00C255CE">
        <w:t xml:space="preserve">MŽP </w:t>
      </w:r>
      <w:r w:rsidR="00390FE7" w:rsidRPr="00C255CE">
        <w:t>z NZÚ v rámci NPO</w:t>
      </w:r>
      <w:r w:rsidR="00A768DC" w:rsidRPr="00C255CE">
        <w:t xml:space="preserve"> na adaptační opatření (dešťovka a zelené střechy)</w:t>
      </w:r>
      <w:r w:rsidR="00390FE7" w:rsidRPr="00C255CE">
        <w:t xml:space="preserve"> byl marginální (1 %), což odpovídalo nízkému zájmu žadatelů.</w:t>
      </w:r>
      <w:r w:rsidR="00A768DC" w:rsidRPr="00C255CE">
        <w:t xml:space="preserve">  </w:t>
      </w:r>
      <w:r w:rsidRPr="00C255CE">
        <w:t xml:space="preserve"> </w:t>
      </w:r>
    </w:p>
    <w:p w14:paraId="3268DE65" w14:textId="381712B8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>
        <w:t>NKÚ</w:t>
      </w:r>
      <w:r w:rsidR="00390FE7">
        <w:t xml:space="preserve"> dále</w:t>
      </w:r>
      <w:r>
        <w:t xml:space="preserve"> zjistil, že většina adaptačních či </w:t>
      </w:r>
      <w:proofErr w:type="spellStart"/>
      <w:r>
        <w:t>mitigačních</w:t>
      </w:r>
      <w:proofErr w:type="spellEnd"/>
      <w:r>
        <w:t xml:space="preserve"> opatření v programu NZÚ v rámci NPO bylo realizováno příjemci dotace samostatně (85 %) a pouze 15 % podpořených opatření bylo realizováno v kombinaci s opatřeními na úsporu energií a snížení emisí CO</w:t>
      </w:r>
      <w:r w:rsidRPr="00A06F61">
        <w:rPr>
          <w:vertAlign w:val="subscript"/>
        </w:rPr>
        <w:t>2</w:t>
      </w:r>
      <w:r>
        <w:t xml:space="preserve">. </w:t>
      </w:r>
      <w:r w:rsidR="00390FE7">
        <w:t>V</w:t>
      </w:r>
      <w:r>
        <w:t>ětšina opatření byla realizována v rodinných domech (98 %).</w:t>
      </w:r>
      <w:bookmarkStart w:id="17" w:name="_Hlk215469090"/>
    </w:p>
    <w:p w14:paraId="4F04363B" w14:textId="479B7874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>
        <w:t>MŽP ke dni 1. 7. 2025 podpořilo projekty:</w:t>
      </w:r>
    </w:p>
    <w:p w14:paraId="477E88E7" w14:textId="77777777" w:rsidR="00A06F61" w:rsidRDefault="00A06F61" w:rsidP="00127707">
      <w:pPr>
        <w:pStyle w:val="slovanseznam2"/>
        <w:ind w:left="643"/>
      </w:pPr>
      <w:r>
        <w:t>v </w:t>
      </w:r>
      <w:r w:rsidRPr="00E60C0D">
        <w:rPr>
          <w:b/>
          <w:bCs/>
        </w:rPr>
        <w:t>rodinných domech</w:t>
      </w:r>
      <w:r>
        <w:t xml:space="preserve"> zahrnující vybudování zelených střech s plochou 29 677,21 m</w:t>
      </w:r>
      <w:r w:rsidRPr="00953555">
        <w:rPr>
          <w:vertAlign w:val="superscript"/>
        </w:rPr>
        <w:t>2</w:t>
      </w:r>
      <w:r>
        <w:t xml:space="preserve"> (89 % z celkové plochy realizovaných zelených střech) a akumulačních nádrží na dešťovou vodu o objemu 24 983,9 m</w:t>
      </w:r>
      <w:r w:rsidRPr="00953555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(98 % z celkového objemu vybudovaných akumulačních nádrží);</w:t>
      </w:r>
    </w:p>
    <w:p w14:paraId="5C56D737" w14:textId="77777777" w:rsidR="00A06F61" w:rsidRDefault="00A06F61" w:rsidP="00A31402">
      <w:pPr>
        <w:pStyle w:val="slovanseznam2"/>
        <w:spacing w:after="240"/>
        <w:ind w:left="568" w:hanging="284"/>
      </w:pPr>
      <w:r>
        <w:t>v </w:t>
      </w:r>
      <w:r w:rsidRPr="00E60C0D">
        <w:rPr>
          <w:b/>
          <w:bCs/>
        </w:rPr>
        <w:t>bytových domech</w:t>
      </w:r>
      <w:r>
        <w:t xml:space="preserve"> zahrnující vybudování zelených střech s plochou 3 555,37 m</w:t>
      </w:r>
      <w:r w:rsidRPr="00B619B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(11 % z celkové plochy realizovaných zelených střech) a akumulačních nádrží na dešťovou vodu o objemu 520,84 m</w:t>
      </w:r>
      <w:r w:rsidRPr="00B619B3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(2 % z celkového objemu vybudovaných akumulačních nádrží).</w:t>
      </w:r>
    </w:p>
    <w:p w14:paraId="2C17ACC1" w14:textId="5F0DDC7F" w:rsidR="00A06F61" w:rsidRPr="00A06F61" w:rsidRDefault="00A06F61" w:rsidP="00C218B0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A06F61">
        <w:rPr>
          <w:b/>
          <w:bCs/>
          <w:i/>
          <w:iCs/>
          <w:color w:val="AF1953"/>
        </w:rPr>
        <w:t xml:space="preserve">→ Aktuální zdroj financování programu NZÚ, tj. Modernizační fond, umožňuje podporu adaptačních a </w:t>
      </w:r>
      <w:proofErr w:type="spellStart"/>
      <w:r w:rsidRPr="00A06F61">
        <w:rPr>
          <w:b/>
          <w:bCs/>
          <w:i/>
          <w:iCs/>
          <w:color w:val="AF1953"/>
        </w:rPr>
        <w:t>mitigačních</w:t>
      </w:r>
      <w:proofErr w:type="spellEnd"/>
      <w:r w:rsidRPr="00A06F61">
        <w:rPr>
          <w:b/>
          <w:bCs/>
          <w:i/>
          <w:iCs/>
          <w:color w:val="AF1953"/>
        </w:rPr>
        <w:t xml:space="preserve"> opatření pouze v kombinaci s jinými opatřeními</w:t>
      </w:r>
      <w:r w:rsidR="006970F2">
        <w:rPr>
          <w:b/>
          <w:bCs/>
          <w:i/>
          <w:iCs/>
          <w:color w:val="AF1953"/>
        </w:rPr>
        <w:t>.</w:t>
      </w:r>
    </w:p>
    <w:p w14:paraId="34E03B5B" w14:textId="23C87E45" w:rsidR="00A06F61" w:rsidRDefault="00A06F61" w:rsidP="00B571F2">
      <w:pPr>
        <w:pStyle w:val="TextKZ"/>
        <w:numPr>
          <w:ilvl w:val="0"/>
          <w:numId w:val="20"/>
        </w:numPr>
        <w:spacing w:before="240"/>
        <w:ind w:left="567" w:hanging="567"/>
      </w:pPr>
      <w:bookmarkStart w:id="18" w:name="_Hlk215469181"/>
      <w:bookmarkEnd w:id="17"/>
      <w:r>
        <w:t>MŽP ve spolupráci se SFŽP reagovalo na zvýšený zájem o podporu z programu NZÚ</w:t>
      </w:r>
      <w:r w:rsidR="004770D6">
        <w:t xml:space="preserve"> v rámci NPO</w:t>
      </w:r>
      <w:r>
        <w:t xml:space="preserve">, ke kterému došlo v období ode dne vyhlášení výzev č. 1 a 2 NZÚ, </w:t>
      </w:r>
      <w:r w:rsidRPr="009D4E59">
        <w:t>rozšíř</w:t>
      </w:r>
      <w:r w:rsidR="004770D6">
        <w:t>ením</w:t>
      </w:r>
      <w:r w:rsidRPr="009D4E59">
        <w:t xml:space="preserve"> zdroj</w:t>
      </w:r>
      <w:r w:rsidR="004770D6">
        <w:t>ů</w:t>
      </w:r>
      <w:r w:rsidRPr="009D4E59">
        <w:t xml:space="preserve"> financování programu NZÚ o</w:t>
      </w:r>
      <w:r>
        <w:t> </w:t>
      </w:r>
      <w:r w:rsidRPr="009D4E59">
        <w:t xml:space="preserve">prostředky z Modernizačního fondu. MŽP vyhlásilo </w:t>
      </w:r>
      <w:r>
        <w:lastRenderedPageBreak/>
        <w:t xml:space="preserve">prostřednictvím SFŽP dne </w:t>
      </w:r>
      <w:r w:rsidRPr="009D4E59">
        <w:t xml:space="preserve">15. 6. 2023 výzvy </w:t>
      </w:r>
      <w:proofErr w:type="spellStart"/>
      <w:r w:rsidRPr="009D4E59">
        <w:t>HOUSEnerg</w:t>
      </w:r>
      <w:proofErr w:type="spellEnd"/>
      <w:r w:rsidRPr="009D4E59">
        <w:t xml:space="preserve"> č. 2/2023 </w:t>
      </w:r>
      <w:r>
        <w:t xml:space="preserve">pro </w:t>
      </w:r>
      <w:r w:rsidRPr="009D4E59">
        <w:t>rodinné domy s alokací 15</w:t>
      </w:r>
      <w:r>
        <w:t> </w:t>
      </w:r>
      <w:r w:rsidRPr="009D4E59">
        <w:t xml:space="preserve">mld. Kč a č. 3/2023 </w:t>
      </w:r>
      <w:r>
        <w:t xml:space="preserve">pro </w:t>
      </w:r>
      <w:r w:rsidRPr="009D4E59">
        <w:t>bytové domy s alokací 2,2 mld.</w:t>
      </w:r>
      <w:r w:rsidR="0046477E">
        <w:t> </w:t>
      </w:r>
      <w:r w:rsidRPr="009D4E59">
        <w:t>Kč</w:t>
      </w:r>
      <w:r>
        <w:t>.</w:t>
      </w:r>
    </w:p>
    <w:p w14:paraId="31B9FED8" w14:textId="7E9E9A4A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>
        <w:t>NKÚ zjistil, že s ohledem na pravidla a podmínky podpory z </w:t>
      </w:r>
      <w:proofErr w:type="spellStart"/>
      <w:r>
        <w:t>MdF</w:t>
      </w:r>
      <w:proofErr w:type="spellEnd"/>
      <w:r>
        <w:t xml:space="preserve"> není možné z tohoto zdroje financování programu NZÚ podporovat dále samostatně realizaci adaptační</w:t>
      </w:r>
      <w:r w:rsidR="00BB0711">
        <w:t>ch</w:t>
      </w:r>
      <w:r>
        <w:t xml:space="preserve"> či </w:t>
      </w:r>
      <w:proofErr w:type="spellStart"/>
      <w:r>
        <w:t>mitigačních</w:t>
      </w:r>
      <w:proofErr w:type="spellEnd"/>
      <w:r>
        <w:t xml:space="preserve"> opatření v obytných domech. Tato opatření jsou v programu NZÚ v</w:t>
      </w:r>
      <w:r w:rsidR="006970F2">
        <w:t> </w:t>
      </w:r>
      <w:r>
        <w:t>rámci</w:t>
      </w:r>
      <w:r w:rsidR="006970F2">
        <w:t xml:space="preserve"> </w:t>
      </w:r>
      <w:proofErr w:type="spellStart"/>
      <w:r>
        <w:t>MdF</w:t>
      </w:r>
      <w:proofErr w:type="spellEnd"/>
      <w:r>
        <w:t xml:space="preserve"> dále</w:t>
      </w:r>
      <w:r w:rsidR="006970F2" w:rsidRPr="006970F2">
        <w:t xml:space="preserve"> </w:t>
      </w:r>
      <w:r w:rsidR="006970F2">
        <w:t>podporována,</w:t>
      </w:r>
      <w:r>
        <w:t xml:space="preserve"> pouze pokud jsou realizována v kombinaci s jinými opatřeními zaměřenými na úspory energií a emisí CO</w:t>
      </w:r>
      <w:r w:rsidRPr="00A06F61">
        <w:rPr>
          <w:vertAlign w:val="subscript"/>
        </w:rPr>
        <w:t>2</w:t>
      </w:r>
      <w:r>
        <w:t>, tj. např. zateplení rodinného či bytového domu nebo změna zdroje vytápění.</w:t>
      </w:r>
    </w:p>
    <w:p w14:paraId="530DAA87" w14:textId="2591F934" w:rsidR="00127707" w:rsidRDefault="00A06F61" w:rsidP="00B571F2">
      <w:pPr>
        <w:pStyle w:val="TextKZ"/>
        <w:numPr>
          <w:ilvl w:val="0"/>
          <w:numId w:val="20"/>
        </w:numPr>
        <w:spacing w:after="240"/>
        <w:ind w:left="567" w:hanging="567"/>
      </w:pPr>
      <w:r w:rsidRPr="006A6D4D">
        <w:t xml:space="preserve">Z </w:t>
      </w:r>
      <w:r w:rsidR="004770D6">
        <w:t>dolože</w:t>
      </w:r>
      <w:r w:rsidRPr="006A6D4D">
        <w:t xml:space="preserve">ných dat o stavu </w:t>
      </w:r>
      <w:r w:rsidR="004770D6">
        <w:t xml:space="preserve">realizovaných </w:t>
      </w:r>
      <w:r w:rsidRPr="006A6D4D">
        <w:t xml:space="preserve">projektů v NZÚ v rámci </w:t>
      </w:r>
      <w:proofErr w:type="spellStart"/>
      <w:r w:rsidRPr="006A6D4D">
        <w:t>MdF</w:t>
      </w:r>
      <w:proofErr w:type="spellEnd"/>
      <w:r w:rsidRPr="006A6D4D">
        <w:t xml:space="preserve"> vyplývá, že podmíněnost poskytování podpory </w:t>
      </w:r>
      <w:r w:rsidR="004770D6">
        <w:t xml:space="preserve">na </w:t>
      </w:r>
      <w:r w:rsidRPr="006A6D4D">
        <w:t>hospodaření se srážkov</w:t>
      </w:r>
      <w:r w:rsidR="004770D6">
        <w:t>ými</w:t>
      </w:r>
      <w:r w:rsidRPr="006A6D4D">
        <w:t xml:space="preserve"> vod</w:t>
      </w:r>
      <w:r w:rsidR="004770D6">
        <w:t>ami</w:t>
      </w:r>
      <w:r w:rsidRPr="006A6D4D">
        <w:t xml:space="preserve"> pouze v kombinac</w:t>
      </w:r>
      <w:r w:rsidR="006970F2">
        <w:t>i</w:t>
      </w:r>
      <w:r w:rsidRPr="006A6D4D">
        <w:t xml:space="preserve"> s</w:t>
      </w:r>
      <w:r w:rsidR="004770D6">
        <w:t xml:space="preserve"> energeticky úspornými </w:t>
      </w:r>
      <w:r w:rsidRPr="006A6D4D">
        <w:t>opatřením</w:t>
      </w:r>
      <w:r w:rsidR="004770D6">
        <w:t>i</w:t>
      </w:r>
      <w:r w:rsidRPr="006A6D4D">
        <w:t xml:space="preserve"> vede k dalšímu snižování podílu poskytované podpory na </w:t>
      </w:r>
      <w:r w:rsidR="004770D6">
        <w:t xml:space="preserve">tato </w:t>
      </w:r>
      <w:r w:rsidRPr="006A6D4D">
        <w:t>opatření</w:t>
      </w:r>
      <w:bookmarkEnd w:id="18"/>
      <w:r w:rsidR="004770D6">
        <w:t>.</w:t>
      </w:r>
    </w:p>
    <w:p w14:paraId="0C6AB0A4" w14:textId="4F339354" w:rsidR="00A06F61" w:rsidRPr="00A06F61" w:rsidRDefault="00A06F61" w:rsidP="00C218B0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A06F61">
        <w:rPr>
          <w:b/>
          <w:bCs/>
          <w:i/>
          <w:iCs/>
          <w:color w:val="AF1953"/>
        </w:rPr>
        <w:t xml:space="preserve">→ </w:t>
      </w:r>
      <w:r w:rsidR="00DD582A">
        <w:rPr>
          <w:b/>
          <w:bCs/>
          <w:i/>
          <w:iCs/>
          <w:color w:val="AF1953"/>
        </w:rPr>
        <w:t>V</w:t>
      </w:r>
      <w:r w:rsidRPr="00A06F61">
        <w:rPr>
          <w:b/>
          <w:bCs/>
          <w:i/>
          <w:iCs/>
          <w:color w:val="AF1953"/>
        </w:rPr>
        <w:t xml:space="preserve"> období let 2021 až 2024 </w:t>
      </w:r>
      <w:r w:rsidR="00DD582A">
        <w:rPr>
          <w:b/>
          <w:bCs/>
          <w:i/>
          <w:iCs/>
          <w:color w:val="AF1953"/>
        </w:rPr>
        <w:t>bylo v</w:t>
      </w:r>
      <w:r w:rsidR="00BB183C">
        <w:rPr>
          <w:b/>
          <w:bCs/>
          <w:i/>
          <w:iCs/>
          <w:color w:val="AF1953"/>
        </w:rPr>
        <w:t> </w:t>
      </w:r>
      <w:r w:rsidR="00DD582A">
        <w:rPr>
          <w:b/>
          <w:bCs/>
          <w:i/>
          <w:iCs/>
          <w:color w:val="AF1953"/>
        </w:rPr>
        <w:t>ČR</w:t>
      </w:r>
      <w:r w:rsidR="00BB183C">
        <w:rPr>
          <w:b/>
          <w:bCs/>
          <w:i/>
          <w:iCs/>
          <w:color w:val="AF1953"/>
        </w:rPr>
        <w:t xml:space="preserve"> </w:t>
      </w:r>
      <w:r w:rsidR="00DD582A">
        <w:rPr>
          <w:b/>
          <w:bCs/>
          <w:i/>
          <w:iCs/>
          <w:color w:val="AF1953"/>
        </w:rPr>
        <w:t>vybudován</w:t>
      </w:r>
      <w:r w:rsidR="0060171A">
        <w:rPr>
          <w:b/>
          <w:bCs/>
          <w:i/>
          <w:iCs/>
          <w:color w:val="AF1953"/>
        </w:rPr>
        <w:t>o</w:t>
      </w:r>
      <w:r w:rsidR="00BB183C">
        <w:rPr>
          <w:b/>
          <w:bCs/>
          <w:i/>
          <w:iCs/>
          <w:color w:val="AF1953"/>
        </w:rPr>
        <w:t xml:space="preserve"> </w:t>
      </w:r>
      <w:r w:rsidR="00DD582A">
        <w:rPr>
          <w:b/>
          <w:bCs/>
          <w:i/>
          <w:iCs/>
          <w:color w:val="AF1953"/>
        </w:rPr>
        <w:t>1 626 tis. m</w:t>
      </w:r>
      <w:r w:rsidR="00DD582A" w:rsidRPr="00DD582A">
        <w:rPr>
          <w:b/>
          <w:bCs/>
          <w:i/>
          <w:iCs/>
          <w:color w:val="AF1953"/>
          <w:vertAlign w:val="superscript"/>
        </w:rPr>
        <w:t>2</w:t>
      </w:r>
      <w:r w:rsidR="00DD582A">
        <w:rPr>
          <w:b/>
          <w:bCs/>
          <w:i/>
          <w:iCs/>
          <w:color w:val="AF1953"/>
        </w:rPr>
        <w:t xml:space="preserve"> ploch zelených střech, z</w:t>
      </w:r>
      <w:r w:rsidR="00BB183C">
        <w:rPr>
          <w:b/>
          <w:bCs/>
          <w:i/>
          <w:iCs/>
          <w:color w:val="AF1953"/>
        </w:rPr>
        <w:t> </w:t>
      </w:r>
      <w:r w:rsidR="00DD582A">
        <w:rPr>
          <w:b/>
          <w:bCs/>
          <w:i/>
          <w:iCs/>
          <w:color w:val="AF1953"/>
        </w:rPr>
        <w:t>toho</w:t>
      </w:r>
      <w:r w:rsidR="00BB183C">
        <w:rPr>
          <w:b/>
          <w:bCs/>
          <w:i/>
          <w:iCs/>
          <w:color w:val="AF1953"/>
        </w:rPr>
        <w:t xml:space="preserve"> </w:t>
      </w:r>
      <w:r w:rsidR="007528D7">
        <w:rPr>
          <w:b/>
          <w:bCs/>
          <w:i/>
          <w:iCs/>
          <w:color w:val="AF1953"/>
        </w:rPr>
        <w:t xml:space="preserve">pouze </w:t>
      </w:r>
      <w:r w:rsidR="00DD582A">
        <w:rPr>
          <w:b/>
          <w:bCs/>
          <w:i/>
          <w:iCs/>
          <w:color w:val="AF1953"/>
        </w:rPr>
        <w:t xml:space="preserve">8 % </w:t>
      </w:r>
      <w:r w:rsidR="0046477E">
        <w:rPr>
          <w:b/>
          <w:bCs/>
          <w:i/>
          <w:iCs/>
          <w:color w:val="AF1953"/>
        </w:rPr>
        <w:t>bylo podpořeno z programu NZÚ</w:t>
      </w:r>
      <w:r w:rsidR="007528D7">
        <w:rPr>
          <w:b/>
          <w:bCs/>
          <w:i/>
          <w:iCs/>
          <w:color w:val="AF1953"/>
        </w:rPr>
        <w:t>, což odpovídá nízkému zájmu žadatelů</w:t>
      </w:r>
      <w:r w:rsidR="006970F2">
        <w:rPr>
          <w:b/>
          <w:bCs/>
          <w:i/>
          <w:iCs/>
          <w:color w:val="AF1953"/>
        </w:rPr>
        <w:t>.</w:t>
      </w:r>
    </w:p>
    <w:p w14:paraId="24E0BEDC" w14:textId="368580C5" w:rsidR="00A06F61" w:rsidRDefault="00A06F61" w:rsidP="00B571F2">
      <w:pPr>
        <w:pStyle w:val="TextKZ"/>
        <w:numPr>
          <w:ilvl w:val="0"/>
          <w:numId w:val="20"/>
        </w:numPr>
        <w:spacing w:before="240" w:after="240"/>
        <w:ind w:left="567" w:hanging="567"/>
      </w:pPr>
      <w:bookmarkStart w:id="19" w:name="_Hlk215469245"/>
      <w:r>
        <w:t xml:space="preserve">Údaje o nově realizovaných zelených střechách v České republice zjišťuje a zveřejňuje </w:t>
      </w:r>
      <w:r w:rsidRPr="00A06F61">
        <w:rPr>
          <w:i/>
          <w:iCs/>
        </w:rPr>
        <w:t>Asociace zelených střech a fasád</w:t>
      </w:r>
      <w:r>
        <w:t>.</w:t>
      </w:r>
      <w:bookmarkEnd w:id="19"/>
      <w:r>
        <w:t xml:space="preserve"> Za roky 2021 až 2024 bylo realizováno v ČR podle zveřejněných údajů 1 626 </w:t>
      </w:r>
      <w:r w:rsidR="007528D7">
        <w:t>tis.</w:t>
      </w:r>
      <w:r>
        <w:t> m</w:t>
      </w:r>
      <w:r w:rsidRPr="00A06F61">
        <w:rPr>
          <w:vertAlign w:val="superscript"/>
        </w:rPr>
        <w:t>2</w:t>
      </w:r>
      <w:r>
        <w:t xml:space="preserve"> zelených střech.</w:t>
      </w:r>
      <w:r>
        <w:rPr>
          <w:rStyle w:val="Znakapoznpodarou"/>
        </w:rPr>
        <w:footnoteReference w:id="12"/>
      </w:r>
      <w:r w:rsidR="0086058E">
        <w:t xml:space="preserve"> </w:t>
      </w:r>
      <w:r w:rsidRPr="00AE0B89">
        <w:t xml:space="preserve">Podle dat předložených MŽP byly v programu NZÚ </w:t>
      </w:r>
      <w:r>
        <w:t xml:space="preserve">v rámci NPO či </w:t>
      </w:r>
      <w:proofErr w:type="spellStart"/>
      <w:r>
        <w:t>MdF</w:t>
      </w:r>
      <w:proofErr w:type="spellEnd"/>
      <w:r>
        <w:t xml:space="preserve"> </w:t>
      </w:r>
      <w:r w:rsidRPr="00AE0B89">
        <w:t>od roku 2021 do 1.</w:t>
      </w:r>
      <w:r>
        <w:t> </w:t>
      </w:r>
      <w:r w:rsidRPr="00AE0B89">
        <w:t>7.</w:t>
      </w:r>
      <w:r>
        <w:t> </w:t>
      </w:r>
      <w:r w:rsidRPr="00AE0B89">
        <w:t>2025 podpořeny projekty v rodinných a</w:t>
      </w:r>
      <w:r w:rsidR="004072B6">
        <w:t> </w:t>
      </w:r>
      <w:r w:rsidRPr="00AE0B89">
        <w:t>bytových domech zahrnující realizaci zelených střech o celkové ploše 124 984,52 m</w:t>
      </w:r>
      <w:r w:rsidRPr="00A06F61">
        <w:rPr>
          <w:vertAlign w:val="superscript"/>
        </w:rPr>
        <w:t>2</w:t>
      </w:r>
      <w:r w:rsidRPr="00AE0B89">
        <w:t>, z toho 114 935,51 m</w:t>
      </w:r>
      <w:r w:rsidRPr="00A06F61">
        <w:rPr>
          <w:vertAlign w:val="superscript"/>
        </w:rPr>
        <w:t>2</w:t>
      </w:r>
      <w:r w:rsidRPr="00AE0B89">
        <w:t xml:space="preserve"> bylo realizováno u rodinných domů a 10 049,01 m</w:t>
      </w:r>
      <w:r w:rsidRPr="00A06F61">
        <w:rPr>
          <w:vertAlign w:val="superscript"/>
        </w:rPr>
        <w:t>2</w:t>
      </w:r>
      <w:r w:rsidRPr="00AE0B89">
        <w:t xml:space="preserve"> bylo realizováno u bytových domů či veřejných budov</w:t>
      </w:r>
      <w:r>
        <w:t xml:space="preserve"> (v rámci </w:t>
      </w:r>
      <w:proofErr w:type="spellStart"/>
      <w:r>
        <w:t>MdF</w:t>
      </w:r>
      <w:proofErr w:type="spellEnd"/>
      <w:r>
        <w:t xml:space="preserve"> byly vyhlášeny výzvy i pro veřejné budovy)</w:t>
      </w:r>
      <w:r w:rsidRPr="00AE0B89">
        <w:t>.</w:t>
      </w:r>
    </w:p>
    <w:p w14:paraId="3BB47461" w14:textId="2A989D17" w:rsidR="00A06F61" w:rsidRPr="00DE29E3" w:rsidRDefault="00A06F61" w:rsidP="00C218B0">
      <w:pPr>
        <w:shd w:val="clear" w:color="auto" w:fill="E6E6E6"/>
        <w:spacing w:before="120"/>
        <w:rPr>
          <w:rFonts w:ascii="Calibri" w:hAnsi="Calibri" w:cs="Calibri"/>
          <w:b/>
          <w:bCs/>
          <w:i/>
          <w:iCs/>
          <w:color w:val="AF1953"/>
          <w:spacing w:val="-2"/>
        </w:rPr>
      </w:pPr>
      <w:r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 xml:space="preserve">→ </w:t>
      </w:r>
      <w:r w:rsidR="002E0AF4"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>ČR</w:t>
      </w:r>
      <w:r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 xml:space="preserve"> ve srovnání s Rakouskem a Německem významně zaostává v</w:t>
      </w:r>
      <w:r w:rsidR="002E0AF4"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>e výstavbě zelených</w:t>
      </w:r>
      <w:r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 xml:space="preserve"> střech</w:t>
      </w:r>
      <w:r w:rsidR="00DE29E3" w:rsidRPr="00DE29E3">
        <w:rPr>
          <w:rFonts w:ascii="Calibri" w:hAnsi="Calibri" w:cs="Calibri"/>
          <w:b/>
          <w:bCs/>
          <w:i/>
          <w:iCs/>
          <w:color w:val="AF1953"/>
          <w:spacing w:val="-2"/>
        </w:rPr>
        <w:t>.</w:t>
      </w:r>
    </w:p>
    <w:p w14:paraId="67516AE3" w14:textId="4DB27CBE" w:rsidR="00A06F61" w:rsidRDefault="00A06F61" w:rsidP="00B571F2">
      <w:pPr>
        <w:pStyle w:val="TextKZ"/>
        <w:numPr>
          <w:ilvl w:val="0"/>
          <w:numId w:val="20"/>
        </w:numPr>
        <w:spacing w:before="240"/>
        <w:ind w:left="567" w:hanging="567"/>
      </w:pPr>
      <w:r>
        <w:t xml:space="preserve">NKÚ při kontrole analyzoval publikace zveřejňované </w:t>
      </w:r>
      <w:proofErr w:type="spellStart"/>
      <w:r w:rsidRPr="00A06F61">
        <w:rPr>
          <w:i/>
          <w:iCs/>
        </w:rPr>
        <w:t>European</w:t>
      </w:r>
      <w:proofErr w:type="spellEnd"/>
      <w:r w:rsidRPr="00A06F61">
        <w:rPr>
          <w:i/>
          <w:iCs/>
        </w:rPr>
        <w:t xml:space="preserve"> </w:t>
      </w:r>
      <w:proofErr w:type="spellStart"/>
      <w:r w:rsidRPr="00A06F61">
        <w:rPr>
          <w:i/>
          <w:iCs/>
        </w:rPr>
        <w:t>Federation</w:t>
      </w:r>
      <w:proofErr w:type="spellEnd"/>
      <w:r w:rsidRPr="00A06F61">
        <w:rPr>
          <w:i/>
          <w:iCs/>
        </w:rPr>
        <w:t xml:space="preserve"> </w:t>
      </w:r>
      <w:proofErr w:type="spellStart"/>
      <w:r w:rsidRPr="00A06F61">
        <w:rPr>
          <w:i/>
          <w:iCs/>
        </w:rPr>
        <w:t>of</w:t>
      </w:r>
      <w:proofErr w:type="spellEnd"/>
      <w:r w:rsidRPr="00A06F61">
        <w:rPr>
          <w:i/>
          <w:iCs/>
        </w:rPr>
        <w:t xml:space="preserve"> Green </w:t>
      </w:r>
      <w:proofErr w:type="spellStart"/>
      <w:r w:rsidRPr="00A06F61">
        <w:rPr>
          <w:i/>
          <w:iCs/>
        </w:rPr>
        <w:t>Roof</w:t>
      </w:r>
      <w:proofErr w:type="spellEnd"/>
      <w:r w:rsidR="00DE29E3">
        <w:rPr>
          <w:i/>
          <w:iCs/>
        </w:rPr>
        <w:t> </w:t>
      </w:r>
      <w:r w:rsidRPr="00A06F61">
        <w:rPr>
          <w:i/>
          <w:iCs/>
        </w:rPr>
        <w:t xml:space="preserve">&amp; </w:t>
      </w:r>
      <w:proofErr w:type="spellStart"/>
      <w:r w:rsidRPr="00A06F61">
        <w:rPr>
          <w:i/>
          <w:iCs/>
        </w:rPr>
        <w:t>Living</w:t>
      </w:r>
      <w:proofErr w:type="spellEnd"/>
      <w:r w:rsidRPr="00A06F61">
        <w:rPr>
          <w:i/>
          <w:iCs/>
        </w:rPr>
        <w:t xml:space="preserve"> Wall </w:t>
      </w:r>
      <w:proofErr w:type="spellStart"/>
      <w:r w:rsidRPr="00A06F61">
        <w:rPr>
          <w:i/>
          <w:iCs/>
        </w:rPr>
        <w:t>Associations</w:t>
      </w:r>
      <w:proofErr w:type="spellEnd"/>
      <w:r>
        <w:t>, která je</w:t>
      </w:r>
      <w:r w:rsidRPr="007C5E97">
        <w:t xml:space="preserve"> </w:t>
      </w:r>
      <w:r>
        <w:t>zastřešující</w:t>
      </w:r>
      <w:r w:rsidRPr="007C5E97">
        <w:t xml:space="preserve"> organizací pro všechny evropské národní asociace zabývající se zelenými střechami a zelenými fasádami.</w:t>
      </w:r>
      <w:r>
        <w:rPr>
          <w:rStyle w:val="Znakapoznpodarou"/>
        </w:rPr>
        <w:footnoteReference w:id="13"/>
      </w:r>
      <w:r w:rsidRPr="007C5E97">
        <w:t xml:space="preserve"> </w:t>
      </w:r>
      <w:r>
        <w:t xml:space="preserve">Přehled ročních přírůstků plochy zelených střech je pro dostupné země a roky uveden níže </w:t>
      </w:r>
      <w:r w:rsidRPr="004072B6">
        <w:t>v tabulce č.</w:t>
      </w:r>
      <w:r w:rsidR="004072B6" w:rsidRPr="004072B6">
        <w:t> 3.</w:t>
      </w:r>
    </w:p>
    <w:p w14:paraId="7DA8C2BB" w14:textId="09501C33" w:rsidR="00A06F61" w:rsidRPr="00A31402" w:rsidRDefault="00A06F61" w:rsidP="00A31402">
      <w:pPr>
        <w:pStyle w:val="Titulek"/>
        <w:tabs>
          <w:tab w:val="right" w:pos="9072"/>
        </w:tabs>
        <w:spacing w:before="240" w:after="40"/>
      </w:pPr>
      <w:r>
        <w:t xml:space="preserve">Tabulka č. </w:t>
      </w:r>
      <w:fldSimple w:instr=" SEQ Tabulka_č. \* ARABIC ">
        <w:r w:rsidR="00D213BC">
          <w:rPr>
            <w:noProof/>
          </w:rPr>
          <w:t>3</w:t>
        </w:r>
      </w:fldSimple>
      <w:r>
        <w:t xml:space="preserve">: </w:t>
      </w:r>
      <w:r w:rsidRPr="00A31402">
        <w:t>Roční přírůstek plochy zelených střech ve vybraných státech EU</w:t>
      </w:r>
      <w:r w:rsidR="004072B6" w:rsidRPr="00A31402">
        <w:tab/>
      </w:r>
      <w:r w:rsidR="00DE29E3">
        <w:t>(v </w:t>
      </w:r>
      <w:r w:rsidR="004072B6" w:rsidRPr="00A31402">
        <w:t>m</w:t>
      </w:r>
      <w:r w:rsidR="004072B6" w:rsidRPr="00A31402">
        <w:rPr>
          <w:vertAlign w:val="superscript"/>
        </w:rPr>
        <w:t>2</w:t>
      </w:r>
      <w:r w:rsidR="00DE29E3"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871"/>
        <w:gridCol w:w="1191"/>
        <w:gridCol w:w="1191"/>
        <w:gridCol w:w="1191"/>
        <w:gridCol w:w="1247"/>
        <w:gridCol w:w="1020"/>
      </w:tblGrid>
      <w:tr w:rsidR="00ED4057" w:rsidRPr="00ED4057" w14:paraId="3CDD225B" w14:textId="77777777" w:rsidTr="00ED4057">
        <w:trPr>
          <w:trHeight w:val="227"/>
          <w:jc w:val="center"/>
        </w:trPr>
        <w:tc>
          <w:tcPr>
            <w:tcW w:w="1361" w:type="dxa"/>
            <w:shd w:val="clear" w:color="auto" w:fill="E6E6E6"/>
            <w:noWrap/>
            <w:vAlign w:val="center"/>
            <w:hideMark/>
          </w:tcPr>
          <w:p w14:paraId="4E437F3C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Stát</w:t>
            </w:r>
          </w:p>
        </w:tc>
        <w:tc>
          <w:tcPr>
            <w:tcW w:w="1871" w:type="dxa"/>
            <w:shd w:val="clear" w:color="auto" w:fill="E6E6E6"/>
            <w:noWrap/>
            <w:vAlign w:val="center"/>
            <w:hideMark/>
          </w:tcPr>
          <w:p w14:paraId="0E751204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Údaj</w:t>
            </w:r>
          </w:p>
        </w:tc>
        <w:tc>
          <w:tcPr>
            <w:tcW w:w="1191" w:type="dxa"/>
            <w:shd w:val="clear" w:color="auto" w:fill="E6E6E6"/>
            <w:noWrap/>
            <w:vAlign w:val="center"/>
            <w:hideMark/>
          </w:tcPr>
          <w:p w14:paraId="3C40E88A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2020</w:t>
            </w:r>
          </w:p>
        </w:tc>
        <w:tc>
          <w:tcPr>
            <w:tcW w:w="1191" w:type="dxa"/>
            <w:shd w:val="clear" w:color="auto" w:fill="E6E6E6"/>
            <w:noWrap/>
            <w:vAlign w:val="center"/>
            <w:hideMark/>
          </w:tcPr>
          <w:p w14:paraId="2125BBBE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2021</w:t>
            </w:r>
          </w:p>
        </w:tc>
        <w:tc>
          <w:tcPr>
            <w:tcW w:w="1191" w:type="dxa"/>
            <w:shd w:val="clear" w:color="auto" w:fill="E6E6E6"/>
            <w:noWrap/>
            <w:vAlign w:val="center"/>
            <w:hideMark/>
          </w:tcPr>
          <w:p w14:paraId="3FA0380C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2022</w:t>
            </w:r>
          </w:p>
        </w:tc>
        <w:tc>
          <w:tcPr>
            <w:tcW w:w="1247" w:type="dxa"/>
            <w:shd w:val="clear" w:color="auto" w:fill="E6E6E6"/>
            <w:noWrap/>
            <w:vAlign w:val="center"/>
            <w:hideMark/>
          </w:tcPr>
          <w:p w14:paraId="0092FDE7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2023</w:t>
            </w:r>
          </w:p>
        </w:tc>
        <w:tc>
          <w:tcPr>
            <w:tcW w:w="1020" w:type="dxa"/>
            <w:shd w:val="clear" w:color="auto" w:fill="E6E6E6"/>
            <w:noWrap/>
            <w:vAlign w:val="center"/>
            <w:hideMark/>
          </w:tcPr>
          <w:p w14:paraId="22233CB8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2024</w:t>
            </w:r>
          </w:p>
        </w:tc>
      </w:tr>
      <w:tr w:rsidR="00ED4057" w:rsidRPr="00ED4057" w14:paraId="5954CC3D" w14:textId="77777777" w:rsidTr="00ED4057">
        <w:trPr>
          <w:trHeight w:val="227"/>
          <w:jc w:val="center"/>
        </w:trPr>
        <w:tc>
          <w:tcPr>
            <w:tcW w:w="1361" w:type="dxa"/>
            <w:vMerge w:val="restart"/>
            <w:vAlign w:val="center"/>
            <w:hideMark/>
          </w:tcPr>
          <w:p w14:paraId="0A7BD54A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Německo</w:t>
            </w:r>
          </w:p>
        </w:tc>
        <w:tc>
          <w:tcPr>
            <w:tcW w:w="1871" w:type="dxa"/>
            <w:noWrap/>
            <w:vAlign w:val="center"/>
            <w:hideMark/>
          </w:tcPr>
          <w:p w14:paraId="4BB239F8" w14:textId="77777777" w:rsidR="00A06F61" w:rsidRPr="00ED4057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Roční přírůstek</w:t>
            </w:r>
          </w:p>
        </w:tc>
        <w:tc>
          <w:tcPr>
            <w:tcW w:w="1191" w:type="dxa"/>
            <w:noWrap/>
            <w:vAlign w:val="center"/>
            <w:hideMark/>
          </w:tcPr>
          <w:p w14:paraId="0F66C0E1" w14:textId="7E59F83B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839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977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74022CC9" w14:textId="4718B44A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681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416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127D0BF1" w14:textId="0F4719A9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701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502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247" w:type="dxa"/>
            <w:noWrap/>
            <w:vAlign w:val="center"/>
            <w:hideMark/>
          </w:tcPr>
          <w:p w14:paraId="623FC5D6" w14:textId="57351A71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191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140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020" w:type="dxa"/>
            <w:noWrap/>
            <w:vAlign w:val="center"/>
            <w:hideMark/>
          </w:tcPr>
          <w:p w14:paraId="43957FCE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6D26F9DF" w14:textId="77777777" w:rsidTr="00ED4057">
        <w:trPr>
          <w:trHeight w:val="227"/>
          <w:jc w:val="center"/>
        </w:trPr>
        <w:tc>
          <w:tcPr>
            <w:tcW w:w="1361" w:type="dxa"/>
            <w:vMerge/>
            <w:vAlign w:val="center"/>
            <w:hideMark/>
          </w:tcPr>
          <w:p w14:paraId="252C282A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2A0D8B3B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Přírůstek na obyvatele</w:t>
            </w:r>
          </w:p>
        </w:tc>
        <w:tc>
          <w:tcPr>
            <w:tcW w:w="1191" w:type="dxa"/>
            <w:noWrap/>
            <w:vAlign w:val="center"/>
            <w:hideMark/>
          </w:tcPr>
          <w:p w14:paraId="64A32435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0,09</w:t>
            </w:r>
          </w:p>
        </w:tc>
        <w:tc>
          <w:tcPr>
            <w:tcW w:w="1191" w:type="dxa"/>
            <w:noWrap/>
            <w:vAlign w:val="center"/>
            <w:hideMark/>
          </w:tcPr>
          <w:p w14:paraId="61B0F3EC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0,10</w:t>
            </w:r>
          </w:p>
        </w:tc>
        <w:tc>
          <w:tcPr>
            <w:tcW w:w="1191" w:type="dxa"/>
            <w:noWrap/>
            <w:vAlign w:val="center"/>
            <w:hideMark/>
          </w:tcPr>
          <w:p w14:paraId="5C8A8970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0,10</w:t>
            </w:r>
          </w:p>
        </w:tc>
        <w:tc>
          <w:tcPr>
            <w:tcW w:w="1247" w:type="dxa"/>
            <w:noWrap/>
            <w:vAlign w:val="center"/>
            <w:hideMark/>
          </w:tcPr>
          <w:p w14:paraId="49C76C52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0,12</w:t>
            </w:r>
          </w:p>
        </w:tc>
        <w:tc>
          <w:tcPr>
            <w:tcW w:w="1020" w:type="dxa"/>
            <w:noWrap/>
            <w:vAlign w:val="center"/>
            <w:hideMark/>
          </w:tcPr>
          <w:p w14:paraId="02936F71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41A75653" w14:textId="77777777" w:rsidTr="00ED4057">
        <w:trPr>
          <w:trHeight w:val="227"/>
          <w:jc w:val="center"/>
        </w:trPr>
        <w:tc>
          <w:tcPr>
            <w:tcW w:w="1361" w:type="dxa"/>
            <w:vMerge w:val="restart"/>
            <w:noWrap/>
            <w:vAlign w:val="center"/>
            <w:hideMark/>
          </w:tcPr>
          <w:p w14:paraId="0B4CC638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Rakousko</w:t>
            </w:r>
          </w:p>
        </w:tc>
        <w:tc>
          <w:tcPr>
            <w:tcW w:w="1871" w:type="dxa"/>
            <w:noWrap/>
            <w:vAlign w:val="center"/>
            <w:hideMark/>
          </w:tcPr>
          <w:p w14:paraId="1B5D139C" w14:textId="77777777" w:rsidR="00A06F61" w:rsidRPr="00ED4057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Roční přírůstek</w:t>
            </w:r>
          </w:p>
        </w:tc>
        <w:tc>
          <w:tcPr>
            <w:tcW w:w="1191" w:type="dxa"/>
            <w:noWrap/>
            <w:vAlign w:val="center"/>
            <w:hideMark/>
          </w:tcPr>
          <w:p w14:paraId="5CC6032A" w14:textId="19E8A685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386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507</w:t>
            </w:r>
            <w:r w:rsidR="00DE29E3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337444A4" w14:textId="37761696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513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067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0E7A0E04" w14:textId="763BC5D3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526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833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247" w:type="dxa"/>
            <w:noWrap/>
            <w:vAlign w:val="center"/>
            <w:hideMark/>
          </w:tcPr>
          <w:p w14:paraId="7B785909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020" w:type="dxa"/>
            <w:noWrap/>
            <w:vAlign w:val="center"/>
            <w:hideMark/>
          </w:tcPr>
          <w:p w14:paraId="52FCA734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23C7FF72" w14:textId="77777777" w:rsidTr="00ED4057">
        <w:trPr>
          <w:trHeight w:val="227"/>
          <w:jc w:val="center"/>
        </w:trPr>
        <w:tc>
          <w:tcPr>
            <w:tcW w:w="1361" w:type="dxa"/>
            <w:vMerge/>
            <w:vAlign w:val="center"/>
            <w:hideMark/>
          </w:tcPr>
          <w:p w14:paraId="4BA77F39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73C89C13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Přírůstek na obyvatele</w:t>
            </w:r>
          </w:p>
        </w:tc>
        <w:tc>
          <w:tcPr>
            <w:tcW w:w="1191" w:type="dxa"/>
            <w:noWrap/>
            <w:vAlign w:val="center"/>
            <w:hideMark/>
          </w:tcPr>
          <w:p w14:paraId="72187418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0,16</w:t>
            </w:r>
          </w:p>
        </w:tc>
        <w:tc>
          <w:tcPr>
            <w:tcW w:w="1191" w:type="dxa"/>
            <w:noWrap/>
            <w:vAlign w:val="center"/>
            <w:hideMark/>
          </w:tcPr>
          <w:p w14:paraId="2F2AABD7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0,17</w:t>
            </w:r>
          </w:p>
        </w:tc>
        <w:tc>
          <w:tcPr>
            <w:tcW w:w="1191" w:type="dxa"/>
            <w:noWrap/>
            <w:vAlign w:val="center"/>
            <w:hideMark/>
          </w:tcPr>
          <w:p w14:paraId="130F18F8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0,17</w:t>
            </w:r>
          </w:p>
        </w:tc>
        <w:tc>
          <w:tcPr>
            <w:tcW w:w="1247" w:type="dxa"/>
            <w:noWrap/>
            <w:vAlign w:val="center"/>
            <w:hideMark/>
          </w:tcPr>
          <w:p w14:paraId="453DAEF8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 </w:t>
            </w:r>
          </w:p>
        </w:tc>
        <w:tc>
          <w:tcPr>
            <w:tcW w:w="1020" w:type="dxa"/>
            <w:noWrap/>
            <w:vAlign w:val="center"/>
            <w:hideMark/>
          </w:tcPr>
          <w:p w14:paraId="6A6E47DE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51008F19" w14:textId="77777777" w:rsidTr="00ED4057">
        <w:trPr>
          <w:trHeight w:val="227"/>
          <w:jc w:val="center"/>
        </w:trPr>
        <w:tc>
          <w:tcPr>
            <w:tcW w:w="1361" w:type="dxa"/>
            <w:vMerge w:val="restart"/>
            <w:noWrap/>
            <w:vAlign w:val="center"/>
            <w:hideMark/>
          </w:tcPr>
          <w:p w14:paraId="4A9F6C30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Francie</w:t>
            </w:r>
          </w:p>
        </w:tc>
        <w:tc>
          <w:tcPr>
            <w:tcW w:w="1871" w:type="dxa"/>
            <w:noWrap/>
            <w:vAlign w:val="center"/>
            <w:hideMark/>
          </w:tcPr>
          <w:p w14:paraId="61065AFB" w14:textId="77777777" w:rsidR="00A06F61" w:rsidRPr="00ED4057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Roční přírůstek</w:t>
            </w:r>
          </w:p>
        </w:tc>
        <w:tc>
          <w:tcPr>
            <w:tcW w:w="1191" w:type="dxa"/>
            <w:noWrap/>
            <w:vAlign w:val="center"/>
            <w:hideMark/>
          </w:tcPr>
          <w:p w14:paraId="4BDD3E74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191" w:type="dxa"/>
            <w:noWrap/>
            <w:vAlign w:val="center"/>
            <w:hideMark/>
          </w:tcPr>
          <w:p w14:paraId="01B1B7DE" w14:textId="5C6ECBAC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1 600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19E77D51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247" w:type="dxa"/>
            <w:noWrap/>
            <w:vAlign w:val="center"/>
            <w:hideMark/>
          </w:tcPr>
          <w:p w14:paraId="60BF52B6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020" w:type="dxa"/>
            <w:noWrap/>
            <w:vAlign w:val="center"/>
            <w:hideMark/>
          </w:tcPr>
          <w:p w14:paraId="26D4E922" w14:textId="77777777" w:rsidR="00A06F61" w:rsidRPr="00ED4057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16D61FF3" w14:textId="77777777" w:rsidTr="00ED4057">
        <w:trPr>
          <w:trHeight w:val="227"/>
          <w:jc w:val="center"/>
        </w:trPr>
        <w:tc>
          <w:tcPr>
            <w:tcW w:w="1361" w:type="dxa"/>
            <w:vMerge/>
            <w:vAlign w:val="center"/>
            <w:hideMark/>
          </w:tcPr>
          <w:p w14:paraId="1D7E9271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1BC4C328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Přírůstek na obyvatele</w:t>
            </w:r>
          </w:p>
        </w:tc>
        <w:tc>
          <w:tcPr>
            <w:tcW w:w="1191" w:type="dxa"/>
            <w:noWrap/>
            <w:vAlign w:val="center"/>
            <w:hideMark/>
          </w:tcPr>
          <w:p w14:paraId="667FA1A8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191" w:type="dxa"/>
            <w:noWrap/>
            <w:vAlign w:val="center"/>
            <w:hideMark/>
          </w:tcPr>
          <w:p w14:paraId="496998DA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0,02</w:t>
            </w:r>
          </w:p>
        </w:tc>
        <w:tc>
          <w:tcPr>
            <w:tcW w:w="1191" w:type="dxa"/>
            <w:noWrap/>
            <w:vAlign w:val="center"/>
            <w:hideMark/>
          </w:tcPr>
          <w:p w14:paraId="7319AF78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247" w:type="dxa"/>
            <w:noWrap/>
            <w:vAlign w:val="center"/>
            <w:hideMark/>
          </w:tcPr>
          <w:p w14:paraId="3B6D8B5A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  <w:tc>
          <w:tcPr>
            <w:tcW w:w="1020" w:type="dxa"/>
            <w:noWrap/>
            <w:vAlign w:val="center"/>
            <w:hideMark/>
          </w:tcPr>
          <w:p w14:paraId="7487BFCD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N/A</w:t>
            </w:r>
          </w:p>
        </w:tc>
      </w:tr>
      <w:tr w:rsidR="00ED4057" w:rsidRPr="00ED4057" w14:paraId="77812638" w14:textId="77777777" w:rsidTr="00ED4057">
        <w:trPr>
          <w:trHeight w:val="227"/>
          <w:jc w:val="center"/>
        </w:trPr>
        <w:tc>
          <w:tcPr>
            <w:tcW w:w="1361" w:type="dxa"/>
            <w:vMerge w:val="restart"/>
            <w:noWrap/>
            <w:vAlign w:val="center"/>
            <w:hideMark/>
          </w:tcPr>
          <w:p w14:paraId="2F946626" w14:textId="77777777" w:rsidR="00A06F61" w:rsidRPr="00ED4057" w:rsidRDefault="00A06F61" w:rsidP="00127707">
            <w:pPr>
              <w:pStyle w:val="Zdrojapozn"/>
              <w:rPr>
                <w:rFonts w:cs="Calibri"/>
                <w:sz w:val="19"/>
                <w:szCs w:val="19"/>
              </w:rPr>
            </w:pPr>
            <w:r w:rsidRPr="00ED4057">
              <w:rPr>
                <w:rFonts w:cs="Calibri"/>
                <w:sz w:val="19"/>
                <w:szCs w:val="19"/>
              </w:rPr>
              <w:t>Česká republika</w:t>
            </w:r>
          </w:p>
        </w:tc>
        <w:tc>
          <w:tcPr>
            <w:tcW w:w="1871" w:type="dxa"/>
            <w:noWrap/>
            <w:vAlign w:val="center"/>
            <w:hideMark/>
          </w:tcPr>
          <w:p w14:paraId="6B1F9479" w14:textId="77777777" w:rsidR="00A06F61" w:rsidRPr="00ED4057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Roční přírůstek</w:t>
            </w:r>
          </w:p>
        </w:tc>
        <w:tc>
          <w:tcPr>
            <w:tcW w:w="1191" w:type="dxa"/>
            <w:noWrap/>
            <w:vAlign w:val="center"/>
            <w:hideMark/>
          </w:tcPr>
          <w:p w14:paraId="358FC98A" w14:textId="377CF9BC" w:rsidR="00A06F61" w:rsidRPr="00ED4057" w:rsidRDefault="00A06F61" w:rsidP="00127707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312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6833760B" w14:textId="73A6A029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355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191" w:type="dxa"/>
            <w:noWrap/>
            <w:vAlign w:val="center"/>
            <w:hideMark/>
          </w:tcPr>
          <w:p w14:paraId="194465B5" w14:textId="0CF60182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396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247" w:type="dxa"/>
            <w:noWrap/>
            <w:vAlign w:val="center"/>
            <w:hideMark/>
          </w:tcPr>
          <w:p w14:paraId="6FFE7ED5" w14:textId="037501FB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495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  <w:tc>
          <w:tcPr>
            <w:tcW w:w="1020" w:type="dxa"/>
            <w:noWrap/>
            <w:vAlign w:val="center"/>
            <w:hideMark/>
          </w:tcPr>
          <w:p w14:paraId="1154A66C" w14:textId="3389D81E" w:rsidR="00A06F61" w:rsidRPr="00ED4057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380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  <w:r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000</w:t>
            </w:r>
            <w:r w:rsidR="00463724" w:rsidRPr="00ED405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,00</w:t>
            </w:r>
          </w:p>
        </w:tc>
      </w:tr>
      <w:tr w:rsidR="00ED4057" w:rsidRPr="00ED4057" w14:paraId="37521BB4" w14:textId="77777777" w:rsidTr="00ED4057">
        <w:trPr>
          <w:trHeight w:val="227"/>
          <w:jc w:val="center"/>
        </w:trPr>
        <w:tc>
          <w:tcPr>
            <w:tcW w:w="1361" w:type="dxa"/>
            <w:vMerge/>
            <w:vAlign w:val="center"/>
            <w:hideMark/>
          </w:tcPr>
          <w:p w14:paraId="30A419E5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2282413B" w14:textId="77777777" w:rsidR="00A06F61" w:rsidRPr="003C4B1F" w:rsidRDefault="00A06F61" w:rsidP="00127707">
            <w:pPr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Přírůstek na obyvatele</w:t>
            </w:r>
          </w:p>
        </w:tc>
        <w:tc>
          <w:tcPr>
            <w:tcW w:w="1191" w:type="dxa"/>
            <w:noWrap/>
            <w:vAlign w:val="center"/>
            <w:hideMark/>
          </w:tcPr>
          <w:p w14:paraId="7A0D4281" w14:textId="77777777" w:rsidR="00A06F61" w:rsidRPr="003C4B1F" w:rsidRDefault="00A06F61" w:rsidP="00127707">
            <w:pPr>
              <w:jc w:val="center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0,03</w:t>
            </w:r>
          </w:p>
        </w:tc>
        <w:tc>
          <w:tcPr>
            <w:tcW w:w="1191" w:type="dxa"/>
            <w:noWrap/>
            <w:vAlign w:val="center"/>
            <w:hideMark/>
          </w:tcPr>
          <w:p w14:paraId="69BD5967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0,03</w:t>
            </w:r>
          </w:p>
        </w:tc>
        <w:tc>
          <w:tcPr>
            <w:tcW w:w="1191" w:type="dxa"/>
            <w:noWrap/>
            <w:vAlign w:val="center"/>
            <w:hideMark/>
          </w:tcPr>
          <w:p w14:paraId="201BBF14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0,04</w:t>
            </w:r>
          </w:p>
        </w:tc>
        <w:tc>
          <w:tcPr>
            <w:tcW w:w="1247" w:type="dxa"/>
            <w:noWrap/>
            <w:vAlign w:val="center"/>
            <w:hideMark/>
          </w:tcPr>
          <w:p w14:paraId="637E2300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0,05</w:t>
            </w:r>
          </w:p>
        </w:tc>
        <w:tc>
          <w:tcPr>
            <w:tcW w:w="1020" w:type="dxa"/>
            <w:noWrap/>
            <w:vAlign w:val="center"/>
            <w:hideMark/>
          </w:tcPr>
          <w:p w14:paraId="7911B4CD" w14:textId="77777777" w:rsidR="00A06F61" w:rsidRPr="003C4B1F" w:rsidRDefault="00A06F61" w:rsidP="00A31402">
            <w:pPr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3C4B1F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0,03</w:t>
            </w:r>
          </w:p>
        </w:tc>
      </w:tr>
    </w:tbl>
    <w:p w14:paraId="63FD8C59" w14:textId="0010DA46" w:rsidR="00A06F61" w:rsidRDefault="00A06F61" w:rsidP="00A31402">
      <w:pPr>
        <w:pStyle w:val="Zdrojeapozn"/>
        <w:spacing w:before="40"/>
        <w:ind w:left="567" w:hanging="567"/>
      </w:pPr>
      <w:r w:rsidRPr="00A31402">
        <w:rPr>
          <w:b/>
          <w:bCs w:val="0"/>
        </w:rPr>
        <w:t>Zdroj:</w:t>
      </w:r>
      <w:r w:rsidR="00A31402">
        <w:tab/>
      </w:r>
      <w:r>
        <w:t xml:space="preserve">Vypracoval NKÚ na základě dat z </w:t>
      </w:r>
      <w:r w:rsidRPr="00B87DD3">
        <w:rPr>
          <w:i/>
          <w:iCs/>
        </w:rPr>
        <w:t xml:space="preserve">Green Market </w:t>
      </w:r>
      <w:proofErr w:type="spellStart"/>
      <w:r w:rsidRPr="00B87DD3">
        <w:rPr>
          <w:i/>
          <w:iCs/>
        </w:rPr>
        <w:t>Reports</w:t>
      </w:r>
      <w:proofErr w:type="spellEnd"/>
      <w:r>
        <w:t xml:space="preserve"> zveřejněných na webových stránkách </w:t>
      </w:r>
      <w:r w:rsidR="00A31402">
        <w:br/>
      </w:r>
      <w:hyperlink r:id="rId15" w:history="1">
        <w:r w:rsidR="00A31402" w:rsidRPr="00DD497E">
          <w:rPr>
            <w:rStyle w:val="Hypertextovodkaz"/>
          </w:rPr>
          <w:t>https://efb-greenroof.eu/publications/</w:t>
        </w:r>
      </w:hyperlink>
      <w:r>
        <w:t>.</w:t>
      </w:r>
    </w:p>
    <w:p w14:paraId="3C431EE0" w14:textId="2BE2A3B1" w:rsidR="004D4416" w:rsidRDefault="00A06F61" w:rsidP="00B571F2">
      <w:pPr>
        <w:pStyle w:val="TextKZ"/>
        <w:numPr>
          <w:ilvl w:val="0"/>
          <w:numId w:val="20"/>
        </w:numPr>
        <w:spacing w:before="240" w:after="240"/>
        <w:ind w:left="567" w:hanging="567"/>
      </w:pPr>
      <w:r>
        <w:lastRenderedPageBreak/>
        <w:t>Z hlediska absolutních hodnot je lídrem ve výstavbě zelených střech Německo, které v roce 2023 překročilo hodnotu 10 mil. m</w:t>
      </w:r>
      <w:r w:rsidRPr="00A06F61">
        <w:rPr>
          <w:vertAlign w:val="superscript"/>
        </w:rPr>
        <w:t>2</w:t>
      </w:r>
      <w:r>
        <w:t xml:space="preserve"> ročního přírůstku plochy zelených střech (mezi města s největší plochou zelených střech patří Mnichov, Berlín, Stuttgart, Frankfurt </w:t>
      </w:r>
      <w:r w:rsidRPr="004641D1">
        <w:t>a Hambur</w:t>
      </w:r>
      <w:r w:rsidR="00BB0711" w:rsidRPr="004641D1">
        <w:t>k</w:t>
      </w:r>
      <w:r w:rsidRPr="004641D1">
        <w:t>). V relativním</w:t>
      </w:r>
      <w:r>
        <w:t xml:space="preserve"> srovnání přibývá nejrychleji zelených střech v m</w:t>
      </w:r>
      <w:r w:rsidRPr="00A06F61">
        <w:rPr>
          <w:vertAlign w:val="superscript"/>
        </w:rPr>
        <w:t>2</w:t>
      </w:r>
      <w:r>
        <w:t xml:space="preserve"> na obyvatele v Rakousku. Česká republika ve srovnání s Rakouskem a Německem významně zaostává. Z dostupných publikací je ještě dostupný údaj o realizaci 1,6 mil. m</w:t>
      </w:r>
      <w:r w:rsidRPr="00A06F61">
        <w:rPr>
          <w:vertAlign w:val="superscript"/>
        </w:rPr>
        <w:t>2</w:t>
      </w:r>
      <w:r>
        <w:t xml:space="preserve"> zelených střech ve Francii v roce 2021. V přepočtu na obyvatele se jednalo o cca stejnou úroveň přírůstku jako v ČR ve stejném období.</w:t>
      </w:r>
    </w:p>
    <w:p w14:paraId="7535F1DA" w14:textId="1C3F1636" w:rsidR="00A06F61" w:rsidRPr="00A06F61" w:rsidRDefault="00A06F61" w:rsidP="00C218B0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A06F61">
        <w:rPr>
          <w:b/>
          <w:bCs/>
          <w:i/>
          <w:iCs/>
          <w:color w:val="AF1953"/>
        </w:rPr>
        <w:t xml:space="preserve">→ </w:t>
      </w:r>
      <w:r w:rsidR="00060C16">
        <w:rPr>
          <w:b/>
          <w:bCs/>
          <w:i/>
          <w:iCs/>
          <w:color w:val="AF1953"/>
        </w:rPr>
        <w:t xml:space="preserve">Celkem </w:t>
      </w:r>
      <w:r w:rsidR="00505CEC">
        <w:rPr>
          <w:b/>
          <w:bCs/>
          <w:i/>
          <w:iCs/>
          <w:color w:val="AF1953"/>
        </w:rPr>
        <w:t>1</w:t>
      </w:r>
      <w:r w:rsidRPr="00A06F61">
        <w:rPr>
          <w:b/>
          <w:bCs/>
          <w:i/>
          <w:iCs/>
          <w:color w:val="AF1953"/>
        </w:rPr>
        <w:t>7 % českých domácností</w:t>
      </w:r>
      <w:r w:rsidR="00E8182C">
        <w:rPr>
          <w:b/>
          <w:bCs/>
          <w:i/>
          <w:iCs/>
          <w:color w:val="AF1953"/>
        </w:rPr>
        <w:t xml:space="preserve"> žijících v rodinných domech</w:t>
      </w:r>
      <w:r w:rsidR="004641D1">
        <w:rPr>
          <w:b/>
          <w:bCs/>
          <w:i/>
          <w:iCs/>
          <w:color w:val="AF1953"/>
        </w:rPr>
        <w:t xml:space="preserve"> využívá zachytávání srážkových vod</w:t>
      </w:r>
      <w:r w:rsidR="00505CEC">
        <w:rPr>
          <w:b/>
          <w:bCs/>
          <w:i/>
          <w:iCs/>
          <w:color w:val="AF1953"/>
        </w:rPr>
        <w:t xml:space="preserve"> do podzemních nádrží</w:t>
      </w:r>
      <w:r w:rsidR="00060C16">
        <w:rPr>
          <w:b/>
          <w:bCs/>
          <w:i/>
          <w:iCs/>
          <w:color w:val="AF1953"/>
        </w:rPr>
        <w:t>.</w:t>
      </w:r>
    </w:p>
    <w:p w14:paraId="3E75187E" w14:textId="41B750DE" w:rsidR="00A06F61" w:rsidRDefault="00A06F61" w:rsidP="00B571F2">
      <w:pPr>
        <w:pStyle w:val="TextKZ"/>
        <w:numPr>
          <w:ilvl w:val="0"/>
          <w:numId w:val="20"/>
        </w:numPr>
        <w:spacing w:before="240"/>
        <w:ind w:left="567" w:hanging="567"/>
      </w:pPr>
      <w:r>
        <w:t xml:space="preserve">NKÚ při kontrole zjistil, </w:t>
      </w:r>
      <w:r w:rsidRPr="004641D1">
        <w:t>že nejsou dostupné veřejn</w:t>
      </w:r>
      <w:r w:rsidR="00BB0711" w:rsidRPr="004641D1">
        <w:t>é</w:t>
      </w:r>
      <w:r w:rsidRPr="004641D1">
        <w:t xml:space="preserve"> zdroje,</w:t>
      </w:r>
      <w:r>
        <w:t xml:space="preserve"> které by mapovaly objem akumulace srážkových vod v domácnostech. Dostupné jsou výsledky reprezentativního šetření STEM v domácnostech z let 2017, 2020 a 2023</w:t>
      </w:r>
      <w:r w:rsidR="00060C16">
        <w:t xml:space="preserve"> v publikaci</w:t>
      </w:r>
      <w:r>
        <w:t xml:space="preserve"> </w:t>
      </w:r>
      <w:r w:rsidRPr="00A06F61">
        <w:rPr>
          <w:i/>
          <w:iCs/>
        </w:rPr>
        <w:t>České domácnosti a</w:t>
      </w:r>
      <w:r w:rsidR="00060C16">
        <w:rPr>
          <w:i/>
          <w:iCs/>
        </w:rPr>
        <w:t> </w:t>
      </w:r>
      <w:r w:rsidRPr="00A06F61">
        <w:rPr>
          <w:i/>
          <w:iCs/>
        </w:rPr>
        <w:t>jejich motivace k (ne)využívání srážkové vody</w:t>
      </w:r>
      <w:r>
        <w:t>. Z výsledku posledního šetření vyplynulo, že 75</w:t>
      </w:r>
      <w:r w:rsidR="004072B6">
        <w:t> </w:t>
      </w:r>
      <w:r>
        <w:t>% domácností</w:t>
      </w:r>
      <w:r w:rsidR="001D1310">
        <w:t xml:space="preserve"> žijících v rodinných domech</w:t>
      </w:r>
      <w:r>
        <w:t xml:space="preserve"> využívá možnost zachytávání srážkové vody do sudů či nadzemních nádrží</w:t>
      </w:r>
      <w:r w:rsidR="001D1310">
        <w:t>.</w:t>
      </w:r>
      <w:r>
        <w:t xml:space="preserve"> Do podzemních nádrží</w:t>
      </w:r>
      <w:r w:rsidR="001D1310">
        <w:t xml:space="preserve">, na které </w:t>
      </w:r>
      <w:r w:rsidR="007B5DE0">
        <w:t>bylo možné</w:t>
      </w:r>
      <w:r w:rsidR="001D1310">
        <w:t xml:space="preserve"> využít dotaci</w:t>
      </w:r>
      <w:r w:rsidR="007B5DE0">
        <w:t xml:space="preserve"> z NZÚ</w:t>
      </w:r>
      <w:r w:rsidR="001D1310">
        <w:t>,</w:t>
      </w:r>
      <w:r>
        <w:t xml:space="preserve"> vodu zachytává 17 % domácností, a to zejména v</w:t>
      </w:r>
      <w:r w:rsidR="0086058E">
        <w:t> </w:t>
      </w:r>
      <w:r>
        <w:t>novostavbách.</w:t>
      </w:r>
    </w:p>
    <w:bookmarkEnd w:id="16"/>
    <w:p w14:paraId="28213A57" w14:textId="238496C6" w:rsidR="003C6BAE" w:rsidRPr="003C6BAE" w:rsidRDefault="00C25EEF" w:rsidP="00122335">
      <w:pPr>
        <w:pStyle w:val="TextKZ"/>
        <w:spacing w:before="240" w:after="120"/>
        <w:outlineLvl w:val="2"/>
        <w:rPr>
          <w:rStyle w:val="normaltextrun"/>
          <w:b/>
          <w:bCs/>
          <w:i/>
          <w:iCs/>
        </w:rPr>
      </w:pPr>
      <w:r>
        <w:rPr>
          <w:rStyle w:val="normaltextrun"/>
          <w:b/>
          <w:bCs/>
        </w:rPr>
        <w:t>I</w:t>
      </w:r>
      <w:r w:rsidR="003C6BAE" w:rsidRPr="003C6BAE">
        <w:rPr>
          <w:rStyle w:val="normaltextrun"/>
          <w:b/>
          <w:bCs/>
        </w:rPr>
        <w:t xml:space="preserve">nvestice 2.9.2 </w:t>
      </w:r>
      <w:r w:rsidR="003C6BAE" w:rsidRPr="003C6BAE">
        <w:rPr>
          <w:rStyle w:val="normaltextrun"/>
          <w:b/>
          <w:bCs/>
          <w:i/>
          <w:iCs/>
        </w:rPr>
        <w:t>Hospodaření se srážkovými vodami v intravilánu</w:t>
      </w:r>
    </w:p>
    <w:bookmarkEnd w:id="13"/>
    <w:p w14:paraId="6B2C5111" w14:textId="559986F1" w:rsidR="00316B27" w:rsidRDefault="003C6BAE" w:rsidP="00B571F2">
      <w:pPr>
        <w:pStyle w:val="TextKZ"/>
        <w:numPr>
          <w:ilvl w:val="0"/>
          <w:numId w:val="20"/>
        </w:numPr>
        <w:ind w:left="567" w:hanging="567"/>
      </w:pPr>
      <w:r>
        <w:t>Cílem komponenty 2.9</w:t>
      </w:r>
      <w:r w:rsidRPr="002B326B">
        <w:t xml:space="preserve"> </w:t>
      </w:r>
      <w:r w:rsidR="00316B27" w:rsidRPr="00316B27">
        <w:rPr>
          <w:i/>
          <w:iCs/>
        </w:rPr>
        <w:t>Podpora biodiverzity a boj se suchem</w:t>
      </w:r>
      <w:r w:rsidR="00316B27">
        <w:t xml:space="preserve"> </w:t>
      </w:r>
      <w:r w:rsidRPr="002B326B">
        <w:t xml:space="preserve">je </w:t>
      </w:r>
      <w:r w:rsidR="00316B27">
        <w:t xml:space="preserve">mj. </w:t>
      </w:r>
      <w:r w:rsidRPr="002B326B">
        <w:t>podpořit hospodaření se srážkovými vodami v</w:t>
      </w:r>
      <w:r w:rsidR="00316B27">
        <w:t xml:space="preserve"> urbanizovaném území, </w:t>
      </w:r>
      <w:r w:rsidRPr="002B326B">
        <w:t>zajistit ochranu proti suchu a přírodě blízkou povodňovou ochranu.</w:t>
      </w:r>
      <w:r w:rsidR="00316B27">
        <w:t xml:space="preserve"> </w:t>
      </w:r>
      <w:r>
        <w:t xml:space="preserve">Cílem investice 2.9.2 </w:t>
      </w:r>
      <w:r w:rsidRPr="00316B27">
        <w:rPr>
          <w:i/>
          <w:iCs/>
        </w:rPr>
        <w:t>Hospodaření se srážkovými vodami v městských aglomeracích</w:t>
      </w:r>
      <w:r w:rsidRPr="002B326B">
        <w:t xml:space="preserve"> </w:t>
      </w:r>
      <w:r>
        <w:t>je zlepšení h</w:t>
      </w:r>
      <w:r w:rsidRPr="002B326B">
        <w:t xml:space="preserve">ospodaření se srážkovými vodami </w:t>
      </w:r>
      <w:r w:rsidR="00316B27">
        <w:t>na území</w:t>
      </w:r>
      <w:r w:rsidRPr="002B326B">
        <w:t xml:space="preserve"> obcí a měst</w:t>
      </w:r>
      <w:r w:rsidR="00316B27">
        <w:t xml:space="preserve">. </w:t>
      </w:r>
      <w:r w:rsidR="00316B27" w:rsidRPr="00316B27">
        <w:t xml:space="preserve">K naplnění cílů </w:t>
      </w:r>
      <w:r w:rsidR="00316B27">
        <w:t xml:space="preserve">investice 2.9.2 </w:t>
      </w:r>
      <w:r w:rsidR="00316B27" w:rsidRPr="00316B27">
        <w:t xml:space="preserve">má dojít </w:t>
      </w:r>
      <w:r w:rsidR="00316B27">
        <w:t xml:space="preserve">např. </w:t>
      </w:r>
      <w:r w:rsidR="00316B27" w:rsidRPr="00316B27">
        <w:t xml:space="preserve">prostřednictvím podpory </w:t>
      </w:r>
      <w:r w:rsidR="00316B27">
        <w:t xml:space="preserve">realizace </w:t>
      </w:r>
      <w:r w:rsidR="00316B27" w:rsidRPr="00316B27">
        <w:t>povrchov</w:t>
      </w:r>
      <w:r w:rsidR="00316B27">
        <w:t xml:space="preserve">ých či podzemních </w:t>
      </w:r>
      <w:r w:rsidR="00316B27" w:rsidRPr="00316B27">
        <w:t>vsakovací</w:t>
      </w:r>
      <w:r w:rsidR="00316B27">
        <w:t>ch</w:t>
      </w:r>
      <w:r w:rsidR="00316B27" w:rsidRPr="00316B27">
        <w:t xml:space="preserve"> a retenční</w:t>
      </w:r>
      <w:r w:rsidR="00316B27">
        <w:t>ch</w:t>
      </w:r>
      <w:r w:rsidR="00316B27" w:rsidRPr="00316B27">
        <w:t xml:space="preserve"> zařízen</w:t>
      </w:r>
      <w:r w:rsidR="00316B27">
        <w:t>í,</w:t>
      </w:r>
      <w:r w:rsidR="00316B27" w:rsidRPr="00316B27">
        <w:t xml:space="preserve"> akumulační</w:t>
      </w:r>
      <w:r w:rsidR="00316B27">
        <w:t>ch</w:t>
      </w:r>
      <w:r w:rsidR="00316B27" w:rsidRPr="00316B27">
        <w:t xml:space="preserve"> podzemní</w:t>
      </w:r>
      <w:r w:rsidR="00316B27">
        <w:t>ch</w:t>
      </w:r>
      <w:r w:rsidR="00316B27" w:rsidRPr="00316B27">
        <w:t xml:space="preserve"> nádrž</w:t>
      </w:r>
      <w:r w:rsidR="00316B27">
        <w:t>í</w:t>
      </w:r>
      <w:r w:rsidR="00316B27" w:rsidRPr="00316B27">
        <w:t xml:space="preserve"> na zachytávání srážkových vod </w:t>
      </w:r>
      <w:r w:rsidR="00316B27">
        <w:t>či zelených střech</w:t>
      </w:r>
      <w:r w:rsidR="00316B27" w:rsidRPr="00316B27">
        <w:t>.</w:t>
      </w:r>
    </w:p>
    <w:p w14:paraId="5AE7F9DF" w14:textId="395C6D17" w:rsidR="003C6BAE" w:rsidRDefault="003C6BAE" w:rsidP="00B571F2">
      <w:pPr>
        <w:pStyle w:val="TextKZ"/>
        <w:numPr>
          <w:ilvl w:val="0"/>
          <w:numId w:val="20"/>
        </w:numPr>
        <w:ind w:left="567" w:hanging="567"/>
      </w:pPr>
      <w:r w:rsidRPr="00FB040C">
        <w:t>Původní alokace komponenty 2.</w:t>
      </w:r>
      <w:r>
        <w:t xml:space="preserve">9 </w:t>
      </w:r>
      <w:r w:rsidRPr="00FB040C">
        <w:t xml:space="preserve">činila </w:t>
      </w:r>
      <w:r>
        <w:t>2,98</w:t>
      </w:r>
      <w:r w:rsidRPr="00FB040C">
        <w:t xml:space="preserve"> mld. Kč z toho na investici 2.</w:t>
      </w:r>
      <w:r>
        <w:t>9</w:t>
      </w:r>
      <w:r w:rsidRPr="00FB040C">
        <w:t>.</w:t>
      </w:r>
      <w:r>
        <w:t>2</w:t>
      </w:r>
      <w:r w:rsidRPr="00FB040C">
        <w:t xml:space="preserve"> bylo určeno</w:t>
      </w:r>
      <w:r>
        <w:t xml:space="preserve"> 992 mil. Kč</w:t>
      </w:r>
      <w:r w:rsidRPr="00FB040C">
        <w:t xml:space="preserve">. </w:t>
      </w:r>
      <w:r w:rsidR="00F262B4">
        <w:t xml:space="preserve">Také u investice 2.9.2 došlo </w:t>
      </w:r>
      <w:r w:rsidRPr="00FB040C">
        <w:t xml:space="preserve">ke snížení alokace na konečnou částku </w:t>
      </w:r>
      <w:r>
        <w:t>814 </w:t>
      </w:r>
      <w:r w:rsidRPr="00FB040C">
        <w:t>m</w:t>
      </w:r>
      <w:r>
        <w:t>il</w:t>
      </w:r>
      <w:r w:rsidRPr="00FB040C">
        <w:t>.</w:t>
      </w:r>
      <w:r w:rsidR="00F262B4">
        <w:t> </w:t>
      </w:r>
      <w:r w:rsidRPr="00FB040C">
        <w:t>Kč.</w:t>
      </w:r>
      <w:r w:rsidR="0086058E">
        <w:t xml:space="preserve"> </w:t>
      </w:r>
      <w:r w:rsidRPr="00FB040C">
        <w:t>Odůvodněním změny alokace</w:t>
      </w:r>
      <w:r>
        <w:t xml:space="preserve"> bylo</w:t>
      </w:r>
      <w:r w:rsidR="000435F7">
        <w:t xml:space="preserve"> odstupování žadatelů o podporu </w:t>
      </w:r>
      <w:r w:rsidR="00060C16">
        <w:t xml:space="preserve">od realizace projektů </w:t>
      </w:r>
      <w:r w:rsidR="000435F7">
        <w:t xml:space="preserve">z důvodu </w:t>
      </w:r>
      <w:r w:rsidRPr="00736243">
        <w:t>neočekávané</w:t>
      </w:r>
      <w:r w:rsidR="000435F7">
        <w:t xml:space="preserve">ho </w:t>
      </w:r>
      <w:r w:rsidRPr="00736243">
        <w:t>zvýšení cen energie, stavebních prací a</w:t>
      </w:r>
      <w:r w:rsidR="00060C16">
        <w:t> </w:t>
      </w:r>
      <w:r w:rsidRPr="00736243">
        <w:t>stavebních materiálů a s tím spojen</w:t>
      </w:r>
      <w:r w:rsidR="00060C16">
        <w:t>é</w:t>
      </w:r>
      <w:r w:rsidRPr="00736243">
        <w:t xml:space="preserve"> vysok</w:t>
      </w:r>
      <w:r w:rsidR="00060C16">
        <w:t>é</w:t>
      </w:r>
      <w:r w:rsidRPr="00736243">
        <w:t xml:space="preserve"> mír</w:t>
      </w:r>
      <w:r w:rsidR="00060C16">
        <w:t>y</w:t>
      </w:r>
      <w:r w:rsidRPr="00736243">
        <w:t xml:space="preserve"> inflace</w:t>
      </w:r>
      <w:r w:rsidR="00F262B4">
        <w:t>.</w:t>
      </w:r>
      <w:r>
        <w:t xml:space="preserve"> </w:t>
      </w:r>
      <w:r w:rsidRPr="00200AA3">
        <w:t>V</w:t>
      </w:r>
      <w:r>
        <w:t> </w:t>
      </w:r>
      <w:r w:rsidRPr="00200AA3">
        <w:t>roce 2025 došlo k</w:t>
      </w:r>
      <w:r>
        <w:t> </w:t>
      </w:r>
      <w:r w:rsidRPr="00200AA3">
        <w:t>převodu nevyužité alokace z</w:t>
      </w:r>
      <w:r w:rsidR="000435F7">
        <w:t> </w:t>
      </w:r>
      <w:r w:rsidR="00F262B4">
        <w:t>investice</w:t>
      </w:r>
      <w:r w:rsidRPr="00200AA3">
        <w:t xml:space="preserve"> 2.9.2 ve výši 178 mil. Kč na jiné komponenty v</w:t>
      </w:r>
      <w:r>
        <w:t> </w:t>
      </w:r>
      <w:r w:rsidRPr="00200AA3">
        <w:t>rámci NPO.</w:t>
      </w:r>
    </w:p>
    <w:p w14:paraId="5982DE96" w14:textId="744CC117" w:rsidR="003C6BAE" w:rsidRDefault="003C6BAE" w:rsidP="00B571F2">
      <w:pPr>
        <w:pStyle w:val="TextKZ"/>
        <w:numPr>
          <w:ilvl w:val="0"/>
          <w:numId w:val="20"/>
        </w:numPr>
        <w:ind w:left="567" w:hanging="567"/>
      </w:pPr>
      <w:r>
        <w:t xml:space="preserve">MŽP stanovilo pro investici 2.9.2 jediný cíl a indikátor. Konkrétně se jedná o cíl č. 163 </w:t>
      </w:r>
      <w:r w:rsidRPr="003C6BAE">
        <w:rPr>
          <w:i/>
          <w:iCs/>
        </w:rPr>
        <w:t>Zvýšení objemu srážkových vod zadržených opatřeními pro hospodaření se srážkovou vodou v městských oblastech</w:t>
      </w:r>
      <w:r>
        <w:t xml:space="preserve">, který měl být splněn k 31. 12. 2025. Pro tento cíl MŽP stanovilo indikátor </w:t>
      </w:r>
      <w:r w:rsidR="00060C16">
        <w:rPr>
          <w:i/>
          <w:iCs/>
        </w:rPr>
        <w:t>o</w:t>
      </w:r>
      <w:r w:rsidRPr="003C6BAE">
        <w:rPr>
          <w:i/>
          <w:iCs/>
        </w:rPr>
        <w:t>bjem zadržených srážkových vod v m</w:t>
      </w:r>
      <w:r w:rsidRPr="003C6BAE">
        <w:rPr>
          <w:i/>
          <w:iCs/>
          <w:vertAlign w:val="superscript"/>
        </w:rPr>
        <w:t>3</w:t>
      </w:r>
      <w:r w:rsidRPr="003C6BAE">
        <w:rPr>
          <w:i/>
          <w:iCs/>
        </w:rPr>
        <w:t xml:space="preserve"> </w:t>
      </w:r>
      <w:r>
        <w:t>a</w:t>
      </w:r>
      <w:r w:rsidRPr="003C6BAE">
        <w:rPr>
          <w:i/>
          <w:iCs/>
        </w:rPr>
        <w:t xml:space="preserve"> </w:t>
      </w:r>
      <w:r>
        <w:t>jeho cílovou hodnotu.</w:t>
      </w:r>
    </w:p>
    <w:p w14:paraId="6DE54A36" w14:textId="3FE835B7" w:rsidR="00007882" w:rsidRDefault="00F262B4" w:rsidP="00B571F2">
      <w:pPr>
        <w:pStyle w:val="TextKZ"/>
        <w:numPr>
          <w:ilvl w:val="0"/>
          <w:numId w:val="20"/>
        </w:numPr>
        <w:ind w:left="567" w:hanging="567"/>
      </w:pPr>
      <w:r>
        <w:t xml:space="preserve">Neočekávané změny a odstupování žadatelů od realizace projektů </w:t>
      </w:r>
      <w:r w:rsidR="003C6BAE">
        <w:t>vedl</w:t>
      </w:r>
      <w:r>
        <w:t>o</w:t>
      </w:r>
      <w:r w:rsidR="003C6BAE">
        <w:t xml:space="preserve"> k nutnosti upravit původně stanovený cíl</w:t>
      </w:r>
      <w:r w:rsidR="00713B16">
        <w:t xml:space="preserve">. MŽP a SFŽP změnu zdůvodnily a Evropská komise snížení cíle schválila. </w:t>
      </w:r>
      <w:r w:rsidR="003C6BAE">
        <w:t xml:space="preserve">Přehled stanoveného cíle a indikátoru včetně změny cílové hodnoty je </w:t>
      </w:r>
      <w:r w:rsidR="003C6BAE" w:rsidRPr="00715AA8">
        <w:t>uveden v </w:t>
      </w:r>
      <w:r w:rsidR="003C6BAE" w:rsidRPr="004072B6">
        <w:t xml:space="preserve">tabulce č. </w:t>
      </w:r>
      <w:r w:rsidR="004072B6" w:rsidRPr="004072B6">
        <w:t>4</w:t>
      </w:r>
      <w:r w:rsidR="003C6BAE" w:rsidRPr="00715AA8">
        <w:t>.</w:t>
      </w:r>
    </w:p>
    <w:p w14:paraId="586EC2F7" w14:textId="77777777" w:rsidR="00427075" w:rsidRDefault="00427075">
      <w:pPr>
        <w:jc w:val="left"/>
        <w:rPr>
          <w:b/>
          <w:iCs/>
          <w:szCs w:val="18"/>
        </w:rPr>
      </w:pPr>
      <w:r>
        <w:br w:type="page"/>
      </w:r>
    </w:p>
    <w:p w14:paraId="2A84C6C8" w14:textId="70506CE7" w:rsidR="003C6BAE" w:rsidRPr="00122335" w:rsidRDefault="003C6BAE" w:rsidP="00122335">
      <w:pPr>
        <w:pStyle w:val="Titulek"/>
        <w:spacing w:before="240" w:after="40"/>
      </w:pPr>
      <w:r>
        <w:lastRenderedPageBreak/>
        <w:t xml:space="preserve">Tabulka č. </w:t>
      </w:r>
      <w:fldSimple w:instr=" SEQ Tabulka_č. \* ARABIC ">
        <w:r w:rsidR="00D213BC">
          <w:rPr>
            <w:noProof/>
          </w:rPr>
          <w:t>4</w:t>
        </w:r>
      </w:fldSimple>
      <w:r>
        <w:t xml:space="preserve">: </w:t>
      </w:r>
      <w:r w:rsidRPr="00122335">
        <w:t>Cíl investice 2.9.2</w:t>
      </w:r>
    </w:p>
    <w:tbl>
      <w:tblPr>
        <w:tblStyle w:val="Mkatabulky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247"/>
        <w:gridCol w:w="2211"/>
        <w:gridCol w:w="935"/>
        <w:gridCol w:w="705"/>
        <w:gridCol w:w="708"/>
        <w:gridCol w:w="709"/>
        <w:gridCol w:w="709"/>
        <w:gridCol w:w="824"/>
        <w:gridCol w:w="567"/>
      </w:tblGrid>
      <w:tr w:rsidR="00101635" w:rsidRPr="00122335" w14:paraId="1844596F" w14:textId="77777777" w:rsidTr="002A6AC0">
        <w:trPr>
          <w:trHeight w:val="20"/>
          <w:jc w:val="center"/>
        </w:trPr>
        <w:tc>
          <w:tcPr>
            <w:tcW w:w="454" w:type="dxa"/>
            <w:vMerge w:val="restart"/>
            <w:shd w:val="clear" w:color="auto" w:fill="E6E6E6"/>
            <w:vAlign w:val="center"/>
          </w:tcPr>
          <w:p w14:paraId="42CAAB71" w14:textId="77777777" w:rsidR="003C6BAE" w:rsidRPr="00122335" w:rsidRDefault="003C6BAE" w:rsidP="0043159D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Poř</w:t>
            </w:r>
            <w:proofErr w:type="spellEnd"/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. č.</w:t>
            </w:r>
          </w:p>
        </w:tc>
        <w:tc>
          <w:tcPr>
            <w:tcW w:w="1247" w:type="dxa"/>
            <w:vMerge w:val="restart"/>
            <w:shd w:val="clear" w:color="auto" w:fill="E6E6E6"/>
            <w:vAlign w:val="center"/>
          </w:tcPr>
          <w:p w14:paraId="741FDE25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Investice</w:t>
            </w:r>
          </w:p>
        </w:tc>
        <w:tc>
          <w:tcPr>
            <w:tcW w:w="2211" w:type="dxa"/>
            <w:vMerge w:val="restart"/>
            <w:shd w:val="clear" w:color="auto" w:fill="E6E6E6"/>
            <w:vAlign w:val="center"/>
          </w:tcPr>
          <w:p w14:paraId="059A3851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Název cíle</w:t>
            </w:r>
          </w:p>
        </w:tc>
        <w:tc>
          <w:tcPr>
            <w:tcW w:w="935" w:type="dxa"/>
            <w:vMerge w:val="restart"/>
            <w:shd w:val="clear" w:color="auto" w:fill="E6E6E6"/>
            <w:vAlign w:val="center"/>
          </w:tcPr>
          <w:p w14:paraId="086F2D1B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413" w:type="dxa"/>
            <w:gridSpan w:val="2"/>
            <w:shd w:val="clear" w:color="auto" w:fill="E6E6E6"/>
            <w:vAlign w:val="center"/>
          </w:tcPr>
          <w:p w14:paraId="2C2228B2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Původní cíl</w:t>
            </w: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14:paraId="357FFDDF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Změna</w:t>
            </w:r>
          </w:p>
        </w:tc>
        <w:tc>
          <w:tcPr>
            <w:tcW w:w="1391" w:type="dxa"/>
            <w:gridSpan w:val="2"/>
            <w:shd w:val="clear" w:color="auto" w:fill="E6E6E6"/>
            <w:vAlign w:val="center"/>
          </w:tcPr>
          <w:p w14:paraId="0A3B1940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Harmonogram dokončení</w:t>
            </w:r>
          </w:p>
        </w:tc>
      </w:tr>
      <w:tr w:rsidR="0043159D" w:rsidRPr="00122335" w14:paraId="6F629279" w14:textId="77777777" w:rsidTr="002A6AC0">
        <w:trPr>
          <w:trHeight w:val="20"/>
          <w:jc w:val="center"/>
        </w:trPr>
        <w:tc>
          <w:tcPr>
            <w:tcW w:w="454" w:type="dxa"/>
            <w:vMerge/>
            <w:shd w:val="clear" w:color="auto" w:fill="E6E6E6"/>
            <w:vAlign w:val="center"/>
          </w:tcPr>
          <w:p w14:paraId="1127BF1C" w14:textId="77777777" w:rsidR="003C6BAE" w:rsidRPr="00122335" w:rsidRDefault="003C6BAE" w:rsidP="0043159D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E6E6E6"/>
            <w:vAlign w:val="center"/>
          </w:tcPr>
          <w:p w14:paraId="3CDB4919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11" w:type="dxa"/>
            <w:vMerge/>
            <w:shd w:val="clear" w:color="auto" w:fill="E6E6E6"/>
            <w:vAlign w:val="center"/>
          </w:tcPr>
          <w:p w14:paraId="43901933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shd w:val="clear" w:color="auto" w:fill="E6E6E6"/>
            <w:vAlign w:val="center"/>
          </w:tcPr>
          <w:p w14:paraId="0A23A08F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E6E6E6"/>
            <w:vAlign w:val="center"/>
          </w:tcPr>
          <w:p w14:paraId="13D33810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Výchozí stav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91A7470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Cíl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6F1B01F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Výchozí stav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FE8162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Cíl</w:t>
            </w:r>
          </w:p>
        </w:tc>
        <w:tc>
          <w:tcPr>
            <w:tcW w:w="824" w:type="dxa"/>
            <w:shd w:val="clear" w:color="auto" w:fill="E6E6E6"/>
            <w:vAlign w:val="center"/>
          </w:tcPr>
          <w:p w14:paraId="2EB66AA3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Čtvrtletí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725C77B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b/>
                <w:bCs/>
                <w:sz w:val="18"/>
                <w:szCs w:val="18"/>
              </w:rPr>
              <w:t>Rok</w:t>
            </w:r>
          </w:p>
        </w:tc>
      </w:tr>
      <w:tr w:rsidR="0043159D" w:rsidRPr="00122335" w14:paraId="2382C55A" w14:textId="77777777" w:rsidTr="002A6AC0">
        <w:trPr>
          <w:trHeight w:val="20"/>
          <w:jc w:val="center"/>
        </w:trPr>
        <w:tc>
          <w:tcPr>
            <w:tcW w:w="454" w:type="dxa"/>
            <w:vAlign w:val="center"/>
          </w:tcPr>
          <w:p w14:paraId="339A0F2A" w14:textId="77777777" w:rsidR="003C6BAE" w:rsidRPr="00122335" w:rsidRDefault="003C6BAE" w:rsidP="0043159D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163</w:t>
            </w:r>
          </w:p>
        </w:tc>
        <w:tc>
          <w:tcPr>
            <w:tcW w:w="1247" w:type="dxa"/>
            <w:vAlign w:val="center"/>
          </w:tcPr>
          <w:p w14:paraId="3844849E" w14:textId="77777777" w:rsidR="003C6BAE" w:rsidRPr="00122335" w:rsidRDefault="003C6BAE" w:rsidP="00127707">
            <w:pPr>
              <w:pStyle w:val="TextKP"/>
              <w:spacing w:before="0"/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i/>
                <w:iCs/>
                <w:sz w:val="18"/>
                <w:szCs w:val="18"/>
              </w:rPr>
              <w:t>Hospodaření se srážkovými vodami v městských aglomeracích</w:t>
            </w:r>
          </w:p>
        </w:tc>
        <w:tc>
          <w:tcPr>
            <w:tcW w:w="2211" w:type="dxa"/>
            <w:vAlign w:val="center"/>
          </w:tcPr>
          <w:p w14:paraId="37A06A61" w14:textId="0255CEB0" w:rsidR="003C6BAE" w:rsidRPr="00122335" w:rsidRDefault="003C6BAE" w:rsidP="00127707">
            <w:pPr>
              <w:pStyle w:val="TextKP"/>
              <w:spacing w:before="0"/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122335">
              <w:rPr>
                <w:rFonts w:ascii="Calibri" w:hAnsi="Calibri" w:cs="Calibri"/>
                <w:i/>
                <w:iCs/>
                <w:sz w:val="18"/>
                <w:szCs w:val="18"/>
              </w:rPr>
              <w:t>Zvýšení objemu srážkových vod zadržených opatřeními pro hospodaření se</w:t>
            </w:r>
            <w:r w:rsidR="0043159D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122335">
              <w:rPr>
                <w:rFonts w:ascii="Calibri" w:hAnsi="Calibri" w:cs="Calibri"/>
                <w:i/>
                <w:iCs/>
                <w:sz w:val="18"/>
                <w:szCs w:val="18"/>
              </w:rPr>
              <w:t>srážkovou vodou v</w:t>
            </w:r>
            <w:r w:rsidR="00122335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122335">
              <w:rPr>
                <w:rFonts w:ascii="Calibri" w:hAnsi="Calibri" w:cs="Calibri"/>
                <w:i/>
                <w:iCs/>
                <w:sz w:val="18"/>
                <w:szCs w:val="18"/>
              </w:rPr>
              <w:t>městských oblastech</w:t>
            </w:r>
          </w:p>
        </w:tc>
        <w:tc>
          <w:tcPr>
            <w:tcW w:w="935" w:type="dxa"/>
            <w:vAlign w:val="center"/>
          </w:tcPr>
          <w:p w14:paraId="201DE1EF" w14:textId="77777777" w:rsidR="003C6BAE" w:rsidRPr="00122335" w:rsidRDefault="003C6BAE" w:rsidP="00101635">
            <w:pPr>
              <w:pStyle w:val="TextKP"/>
              <w:spacing w:before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Objem zadržených srážkových vod v m</w:t>
            </w:r>
            <w:r w:rsidRPr="00122335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05" w:type="dxa"/>
            <w:vAlign w:val="center"/>
          </w:tcPr>
          <w:p w14:paraId="3571475F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14:paraId="55CBCE2B" w14:textId="77777777" w:rsidR="003C6BAE" w:rsidRPr="00122335" w:rsidRDefault="003C6BAE" w:rsidP="00101635">
            <w:pPr>
              <w:pStyle w:val="TextKP"/>
              <w:spacing w:before="0"/>
              <w:ind w:left="-11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40 000</w:t>
            </w:r>
          </w:p>
        </w:tc>
        <w:tc>
          <w:tcPr>
            <w:tcW w:w="709" w:type="dxa"/>
            <w:vAlign w:val="center"/>
          </w:tcPr>
          <w:p w14:paraId="06B12C7A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6040A87" w14:textId="77777777" w:rsidR="003C6BAE" w:rsidRPr="00122335" w:rsidRDefault="003C6BAE" w:rsidP="00427075">
            <w:pPr>
              <w:pStyle w:val="TextKP"/>
              <w:spacing w:before="0"/>
              <w:ind w:left="-10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20 000</w:t>
            </w:r>
          </w:p>
        </w:tc>
        <w:tc>
          <w:tcPr>
            <w:tcW w:w="824" w:type="dxa"/>
            <w:vAlign w:val="center"/>
          </w:tcPr>
          <w:p w14:paraId="7414BE72" w14:textId="77777777" w:rsidR="003C6BAE" w:rsidRPr="00122335" w:rsidRDefault="003C6BAE" w:rsidP="00127707">
            <w:pPr>
              <w:pStyle w:val="TextKP"/>
              <w:spacing w:befor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Q4</w:t>
            </w:r>
          </w:p>
        </w:tc>
        <w:tc>
          <w:tcPr>
            <w:tcW w:w="567" w:type="dxa"/>
            <w:vAlign w:val="center"/>
          </w:tcPr>
          <w:p w14:paraId="5ADB20B6" w14:textId="77777777" w:rsidR="003C6BAE" w:rsidRPr="00122335" w:rsidRDefault="003C6BAE" w:rsidP="00101635">
            <w:pPr>
              <w:pStyle w:val="TextKP"/>
              <w:spacing w:before="0"/>
              <w:ind w:left="-11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22335">
              <w:rPr>
                <w:rFonts w:ascii="Calibri" w:hAnsi="Calibri" w:cs="Calibri"/>
                <w:sz w:val="18"/>
                <w:szCs w:val="18"/>
              </w:rPr>
              <w:t>2025</w:t>
            </w:r>
          </w:p>
        </w:tc>
      </w:tr>
    </w:tbl>
    <w:p w14:paraId="6AD9E25D" w14:textId="5014D091" w:rsidR="003C6BAE" w:rsidRDefault="003C6BAE" w:rsidP="00122335">
      <w:pPr>
        <w:pStyle w:val="Zdrojeapozn"/>
        <w:spacing w:after="40"/>
      </w:pPr>
      <w:r w:rsidRPr="00122335">
        <w:rPr>
          <w:b/>
          <w:bCs w:val="0"/>
        </w:rPr>
        <w:t>Zdroj:</w:t>
      </w:r>
      <w:r>
        <w:t xml:space="preserve"> </w:t>
      </w:r>
      <w:r w:rsidR="007C7B02">
        <w:t>NPO</w:t>
      </w:r>
      <w:r>
        <w:t>.</w:t>
      </w:r>
    </w:p>
    <w:p w14:paraId="3669DBDD" w14:textId="3766BDB6" w:rsidR="003C6BAE" w:rsidRDefault="003C6BAE" w:rsidP="00B571F2">
      <w:pPr>
        <w:pStyle w:val="TextKZ"/>
        <w:numPr>
          <w:ilvl w:val="0"/>
          <w:numId w:val="20"/>
        </w:numPr>
        <w:ind w:left="567" w:hanging="567"/>
      </w:pPr>
      <w:r>
        <w:t xml:space="preserve">Investice 2.9.2 byla SFŽP realizována v rámci </w:t>
      </w:r>
      <w:r w:rsidRPr="003C6BAE">
        <w:rPr>
          <w:i/>
          <w:iCs/>
        </w:rPr>
        <w:t>Národního programu Životní prostředí</w:t>
      </w:r>
      <w:r>
        <w:t xml:space="preserve">. </w:t>
      </w:r>
      <w:r w:rsidRPr="00537C12">
        <w:t xml:space="preserve">Peněžní prostředky na hospodaření se srážkovými vodami </w:t>
      </w:r>
      <w:r>
        <w:t>byly</w:t>
      </w:r>
      <w:r w:rsidRPr="00537C12">
        <w:t xml:space="preserve"> poskytovány </w:t>
      </w:r>
      <w:r>
        <w:t xml:space="preserve">v rámci </w:t>
      </w:r>
      <w:r w:rsidRPr="003F6CCB">
        <w:t>podporova</w:t>
      </w:r>
      <w:r w:rsidR="00FB7149">
        <w:t>né</w:t>
      </w:r>
      <w:r w:rsidRPr="003F6CCB">
        <w:t xml:space="preserve"> aktivit</w:t>
      </w:r>
      <w:r w:rsidR="00FB7149">
        <w:t>y</w:t>
      </w:r>
      <w:r w:rsidRPr="003F6CCB">
        <w:t xml:space="preserve"> 1.5.E </w:t>
      </w:r>
      <w:r w:rsidRPr="003C6BAE">
        <w:rPr>
          <w:i/>
          <w:iCs/>
        </w:rPr>
        <w:t>Hospodaření se srážkovými vodami v intravilánu obcí</w:t>
      </w:r>
      <w:r>
        <w:t>.</w:t>
      </w:r>
    </w:p>
    <w:p w14:paraId="6BD944A1" w14:textId="4EA8062D" w:rsidR="00C218B0" w:rsidRDefault="003C6BAE" w:rsidP="00B571F2">
      <w:pPr>
        <w:pStyle w:val="TextKZ"/>
        <w:numPr>
          <w:ilvl w:val="0"/>
          <w:numId w:val="20"/>
        </w:numPr>
        <w:spacing w:after="240"/>
        <w:ind w:left="567" w:hanging="567"/>
      </w:pPr>
      <w:r>
        <w:t xml:space="preserve">MŽP vyhlásilo v roce 2021 jednu </w:t>
      </w:r>
      <w:r w:rsidR="00FB7149">
        <w:t xml:space="preserve">nesoutěžní výzvu č. 10 </w:t>
      </w:r>
      <w:r>
        <w:t>společnou pro zajištění realizace investic 2.9.1 a 2.9.2 NPO</w:t>
      </w:r>
      <w:r w:rsidR="00FB7149">
        <w:t xml:space="preserve"> </w:t>
      </w:r>
      <w:r w:rsidRPr="00AF18EB">
        <w:t>s celkovou alokací ve výši 1,754 mld. Kč</w:t>
      </w:r>
      <w:r>
        <w:t xml:space="preserve">. </w:t>
      </w:r>
      <w:bookmarkStart w:id="20" w:name="_Hlk208828304"/>
      <w:r>
        <w:t>Celkem 992 mil. Kč bylo určeno na podporu hospodaření se srážkovými vodami v</w:t>
      </w:r>
      <w:r w:rsidR="000435F7">
        <w:t> </w:t>
      </w:r>
      <w:r>
        <w:t>obcích</w:t>
      </w:r>
      <w:bookmarkEnd w:id="20"/>
      <w:r w:rsidR="000435F7">
        <w:t>, následně došlo ke snížení alokace na 814 mil. Kč.</w:t>
      </w:r>
    </w:p>
    <w:p w14:paraId="664BCE35" w14:textId="3B95411B" w:rsidR="00B66F14" w:rsidRPr="00A06F61" w:rsidRDefault="00B66F14" w:rsidP="00C218B0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bookmarkStart w:id="21" w:name="_Hlk221691403"/>
      <w:r w:rsidRPr="00A06F61">
        <w:rPr>
          <w:b/>
          <w:bCs/>
          <w:i/>
          <w:iCs/>
          <w:color w:val="AF1953"/>
        </w:rPr>
        <w:t xml:space="preserve">→ </w:t>
      </w:r>
      <w:r>
        <w:rPr>
          <w:b/>
          <w:bCs/>
          <w:i/>
          <w:iCs/>
          <w:color w:val="AF1953"/>
        </w:rPr>
        <w:t>MŽP nemůže u investice 2.9.2 poměřovat vynaložené peněžní prostředky a dosažené efekty ve vazbě na cíle stanovené ve strategických dokumentech</w:t>
      </w:r>
      <w:r w:rsidR="00060C16">
        <w:rPr>
          <w:b/>
          <w:bCs/>
          <w:i/>
          <w:iCs/>
          <w:color w:val="AF1953"/>
        </w:rPr>
        <w:t>.</w:t>
      </w:r>
    </w:p>
    <w:p w14:paraId="78E9D9C9" w14:textId="5B816084" w:rsidR="00C56C20" w:rsidRPr="003C6BAE" w:rsidRDefault="00C56C20" w:rsidP="00B571F2">
      <w:pPr>
        <w:pStyle w:val="TextKZ"/>
        <w:numPr>
          <w:ilvl w:val="0"/>
          <w:numId w:val="20"/>
        </w:numPr>
        <w:spacing w:before="240"/>
        <w:ind w:left="567" w:hanging="567"/>
        <w:rPr>
          <w:iCs/>
        </w:rPr>
      </w:pPr>
      <w:r w:rsidRPr="003C6BAE">
        <w:t xml:space="preserve">NKÚ zjistil, že MŽP stanovený závazný </w:t>
      </w:r>
      <w:r>
        <w:t>ukazatel</w:t>
      </w:r>
      <w:r w:rsidRPr="003C6BAE">
        <w:t xml:space="preserve"> pro investici 2.9.2 </w:t>
      </w:r>
      <w:r w:rsidRPr="00C56C20">
        <w:t>nem</w:t>
      </w:r>
      <w:r>
        <w:t>á</w:t>
      </w:r>
      <w:r w:rsidRPr="00C56C20">
        <w:t xml:space="preserve"> vazbu na strategické dokumenty a neumožňuj</w:t>
      </w:r>
      <w:r>
        <w:t>e</w:t>
      </w:r>
      <w:r w:rsidRPr="00C56C20">
        <w:t xml:space="preserve"> poměřovat vynaložené peněžní prostředky a</w:t>
      </w:r>
      <w:r w:rsidR="00E26220">
        <w:t> </w:t>
      </w:r>
      <w:r w:rsidRPr="00C56C20">
        <w:t xml:space="preserve">dosažené efekty, a to zejména proto, že jsou </w:t>
      </w:r>
      <w:r>
        <w:t>v něm</w:t>
      </w:r>
      <w:r w:rsidRPr="00C56C20">
        <w:t xml:space="preserve"> kumulovány různé výpočty </w:t>
      </w:r>
      <w:r w:rsidR="00903593">
        <w:t xml:space="preserve">množství zadržených srážkových vod </w:t>
      </w:r>
      <w:r w:rsidRPr="00C56C20">
        <w:t>a</w:t>
      </w:r>
      <w:r w:rsidR="00E26220">
        <w:t> </w:t>
      </w:r>
      <w:r w:rsidRPr="00C56C20">
        <w:t>vykazované hodnoty nejsou stejnorodé</w:t>
      </w:r>
      <w:r>
        <w:t>.</w:t>
      </w:r>
    </w:p>
    <w:p w14:paraId="27F3DB70" w14:textId="77EAAE34" w:rsidR="00C56C20" w:rsidRPr="003C6BAE" w:rsidRDefault="00EF20FB" w:rsidP="00B571F2">
      <w:pPr>
        <w:pStyle w:val="TextKZ"/>
        <w:numPr>
          <w:ilvl w:val="0"/>
          <w:numId w:val="20"/>
        </w:numPr>
        <w:ind w:left="567" w:hanging="567"/>
      </w:pPr>
      <w:r w:rsidRPr="003C6BAE">
        <w:rPr>
          <w:iCs/>
        </w:rPr>
        <w:t xml:space="preserve">NKÚ dále zjistil, že </w:t>
      </w:r>
      <w:r w:rsidR="00C56C20" w:rsidRPr="00C56C20">
        <w:t>MŽP současně nesledovalo u</w:t>
      </w:r>
      <w:r>
        <w:t xml:space="preserve"> tohoto</w:t>
      </w:r>
      <w:r w:rsidR="00C56C20" w:rsidRPr="00C56C20">
        <w:t xml:space="preserve"> dotačníh</w:t>
      </w:r>
      <w:r>
        <w:t>o</w:t>
      </w:r>
      <w:r w:rsidR="00C56C20" w:rsidRPr="00C56C20">
        <w:t xml:space="preserve"> titul</w:t>
      </w:r>
      <w:r>
        <w:t>u</w:t>
      </w:r>
      <w:r w:rsidR="00C56C20" w:rsidRPr="00C56C20">
        <w:t xml:space="preserve"> realizované projekty podle podporovaných typů opatření, </w:t>
      </w:r>
      <w:r>
        <w:t xml:space="preserve">a </w:t>
      </w:r>
      <w:r w:rsidR="00C56C20" w:rsidRPr="00C56C20">
        <w:t>tak ani není možné identifikovat skladbu realizovaných opatření a jejich váhu ve sledovan</w:t>
      </w:r>
      <w:r>
        <w:t xml:space="preserve">ém </w:t>
      </w:r>
      <w:r w:rsidR="00C56C20" w:rsidRPr="00C56C20">
        <w:t>ukazatel</w:t>
      </w:r>
      <w:r>
        <w:t>i.</w:t>
      </w:r>
      <w:r w:rsidR="00C56C20" w:rsidRPr="00C56C20">
        <w:t xml:space="preserve"> Z výše uvedeného vyplývá, že MŽP nemůže </w:t>
      </w:r>
      <w:r>
        <w:t xml:space="preserve">vyhodnocovat </w:t>
      </w:r>
      <w:r w:rsidR="00C56C20" w:rsidRPr="00C56C20">
        <w:t xml:space="preserve">přínosy </w:t>
      </w:r>
      <w:r>
        <w:t>investice 2.9</w:t>
      </w:r>
      <w:r w:rsidR="006E1722">
        <w:t>.</w:t>
      </w:r>
      <w:r>
        <w:t xml:space="preserve">2 </w:t>
      </w:r>
      <w:r w:rsidR="00C56C20" w:rsidRPr="00C56C20">
        <w:t>pro hodnocení cílů schválených strategií.</w:t>
      </w:r>
    </w:p>
    <w:bookmarkEnd w:id="21"/>
    <w:p w14:paraId="12054675" w14:textId="3F98975A" w:rsidR="003C6BAE" w:rsidRDefault="003C6BAE" w:rsidP="00B571F2">
      <w:pPr>
        <w:pStyle w:val="TextKZ"/>
        <w:numPr>
          <w:ilvl w:val="0"/>
          <w:numId w:val="20"/>
        </w:numPr>
        <w:ind w:left="567" w:hanging="567"/>
      </w:pPr>
      <w:r>
        <w:t xml:space="preserve">MŽP evidovalo u výzvy č. 10/2021 ke dni 31. 12. 2024 celkem 204 aktivních projektů s vykazovanou hodnotou indikátoru </w:t>
      </w:r>
      <w:r w:rsidR="00936CCD">
        <w:rPr>
          <w:i/>
          <w:iCs/>
        </w:rPr>
        <w:t>o</w:t>
      </w:r>
      <w:r w:rsidRPr="003C6BAE">
        <w:rPr>
          <w:i/>
          <w:iCs/>
        </w:rPr>
        <w:t>bjem zadržen</w:t>
      </w:r>
      <w:r w:rsidR="00DA599E">
        <w:rPr>
          <w:i/>
          <w:iCs/>
        </w:rPr>
        <w:t>ých</w:t>
      </w:r>
      <w:r w:rsidRPr="003C6BAE">
        <w:rPr>
          <w:i/>
          <w:iCs/>
        </w:rPr>
        <w:t xml:space="preserve"> srážkov</w:t>
      </w:r>
      <w:r w:rsidR="00DA599E">
        <w:rPr>
          <w:i/>
          <w:iCs/>
        </w:rPr>
        <w:t>ých</w:t>
      </w:r>
      <w:r w:rsidRPr="003C6BAE">
        <w:rPr>
          <w:i/>
          <w:iCs/>
        </w:rPr>
        <w:t xml:space="preserve"> vod</w:t>
      </w:r>
      <w:r>
        <w:t xml:space="preserve"> celkem 25</w:t>
      </w:r>
      <w:r w:rsidR="00EF20FB">
        <w:t> </w:t>
      </w:r>
      <w:r>
        <w:t>837,68</w:t>
      </w:r>
      <w:r w:rsidR="00EF20FB">
        <w:t> </w:t>
      </w:r>
      <w:r>
        <w:t>m</w:t>
      </w:r>
      <w:r w:rsidRPr="003C6BAE">
        <w:rPr>
          <w:vertAlign w:val="superscript"/>
        </w:rPr>
        <w:t>3</w:t>
      </w:r>
      <w:r>
        <w:t>.</w:t>
      </w:r>
    </w:p>
    <w:p w14:paraId="4B16B08B" w14:textId="7879AC0C" w:rsidR="003C6BAE" w:rsidRPr="00BB183C" w:rsidRDefault="003C6BAE" w:rsidP="00B571F2">
      <w:pPr>
        <w:pStyle w:val="TextKZ"/>
        <w:numPr>
          <w:ilvl w:val="0"/>
          <w:numId w:val="20"/>
        </w:numPr>
        <w:ind w:left="567" w:hanging="567"/>
      </w:pPr>
      <w:r w:rsidRPr="00BB183C">
        <w:t xml:space="preserve">Analýzou evidovaných aktivních projektů bylo kontrolou NKÚ zjištěno orientační rozdělení projektů ve stavu k 31. 12. 2024, viz tabulka č. </w:t>
      </w:r>
      <w:r w:rsidR="004072B6" w:rsidRPr="00BB183C">
        <w:t>5</w:t>
      </w:r>
      <w:r w:rsidRPr="00BB183C">
        <w:t>.</w:t>
      </w:r>
      <w:r w:rsidR="00EF20FB" w:rsidRPr="00BB183C">
        <w:t xml:space="preserve"> Podle analýzy NKÚ se projekty nejčastěji zaměřovaly na retenci a akumulaci srážkových vod a následovaly projekty týkající se výměny nepropustných povrchů na propustné.</w:t>
      </w:r>
    </w:p>
    <w:p w14:paraId="13471F27" w14:textId="77777777" w:rsidR="002A6AC0" w:rsidRDefault="002A6AC0">
      <w:pPr>
        <w:jc w:val="left"/>
        <w:rPr>
          <w:b/>
          <w:iCs/>
          <w:szCs w:val="18"/>
        </w:rPr>
      </w:pPr>
      <w:r>
        <w:br w:type="page"/>
      </w:r>
    </w:p>
    <w:p w14:paraId="0410BB6E" w14:textId="19029627" w:rsidR="003C6BAE" w:rsidRPr="0043159D" w:rsidRDefault="003C6BAE" w:rsidP="0043159D">
      <w:pPr>
        <w:pStyle w:val="Titulek"/>
        <w:spacing w:before="240" w:after="40"/>
      </w:pPr>
      <w:r w:rsidRPr="00BB183C">
        <w:lastRenderedPageBreak/>
        <w:t xml:space="preserve">Tabulka č. </w:t>
      </w:r>
      <w:fldSimple w:instr=" SEQ Tabulka_č. \* ARABIC ">
        <w:r w:rsidR="00D213BC">
          <w:rPr>
            <w:noProof/>
          </w:rPr>
          <w:t>5</w:t>
        </w:r>
      </w:fldSimple>
      <w:r w:rsidRPr="00BB183C">
        <w:t xml:space="preserve">: </w:t>
      </w:r>
      <w:r w:rsidRPr="0043159D">
        <w:t>Přehled projektů z výzvy 10/2021 podle realizovaných typů opatření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522"/>
        <w:gridCol w:w="1559"/>
        <w:gridCol w:w="3114"/>
      </w:tblGrid>
      <w:tr w:rsidR="003C6BAE" w:rsidRPr="00BB183C" w14:paraId="06629198" w14:textId="77777777" w:rsidTr="00DA599E">
        <w:trPr>
          <w:trHeight w:val="276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0F31214" w14:textId="67A326C2" w:rsidR="003C6BAE" w:rsidRPr="00BB183C" w:rsidRDefault="003C6BAE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Typ opatření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0935B2" w14:textId="77777777" w:rsidR="003C6BAE" w:rsidRPr="00BB183C" w:rsidRDefault="003C6BAE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Počet projektů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5DE2D9" w14:textId="77777777" w:rsidR="003C6BAE" w:rsidRPr="00BB183C" w:rsidRDefault="003C6BAE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Dotace</w:t>
            </w:r>
          </w:p>
          <w:p w14:paraId="50D4A255" w14:textId="654EF889" w:rsidR="003C6BAE" w:rsidRPr="00BB183C" w:rsidRDefault="00936CCD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="003C6BAE"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646854" w14:textId="0F2FD501" w:rsidR="003C6BAE" w:rsidRPr="0043159D" w:rsidRDefault="003C6BAE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Objem zadržen</w:t>
            </w:r>
            <w:r w:rsidR="00DA599E"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ých</w:t>
            </w:r>
            <w:r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srážkov</w:t>
            </w:r>
            <w:r w:rsidR="00DA599E"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ých</w:t>
            </w:r>
            <w:r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vod</w:t>
            </w:r>
          </w:p>
          <w:p w14:paraId="0F032301" w14:textId="4C1C17D3" w:rsidR="003C6BAE" w:rsidRPr="00BB183C" w:rsidRDefault="00936CCD" w:rsidP="00127707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(v </w:t>
            </w:r>
            <w:r w:rsidR="003C6BAE"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="003C6BAE" w:rsidRPr="0043159D">
              <w:rPr>
                <w:rFonts w:eastAsia="Times New Roman" w:cs="Calibri"/>
                <w:b/>
                <w:bCs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B139E7" w:rsidRPr="00BB183C" w14:paraId="061A8D1E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187D" w14:textId="448629B1" w:rsidR="00B139E7" w:rsidRPr="00BB183C" w:rsidRDefault="00B139E7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Retence/akumulace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2397" w14:textId="69FA4570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29D5" w14:textId="4146C73C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362 681 049,21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78EA" w14:textId="535611B4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18 425,50</w:t>
            </w:r>
          </w:p>
        </w:tc>
      </w:tr>
      <w:tr w:rsidR="00B139E7" w:rsidRPr="00BB183C" w14:paraId="3A694E9D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FE45" w14:textId="3BD7D29A" w:rsidR="00B139E7" w:rsidRPr="00BB183C" w:rsidRDefault="00B139E7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Nepropustné povrchy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A4FC" w14:textId="61B729B2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4492" w14:textId="4AC78401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264 614 123,17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5389" w14:textId="631FFB3E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2 994,18</w:t>
            </w:r>
          </w:p>
        </w:tc>
      </w:tr>
      <w:tr w:rsidR="00B139E7" w:rsidRPr="00BB183C" w14:paraId="63224C0D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4234" w14:textId="0C7F684B" w:rsidR="00B139E7" w:rsidRPr="00BB183C" w:rsidRDefault="00B139E7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Střechy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A434" w14:textId="0ED0B714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142B" w14:textId="780C25B9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155 182 559,61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66EB7" w14:textId="05101189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525,74</w:t>
            </w:r>
          </w:p>
        </w:tc>
      </w:tr>
      <w:tr w:rsidR="00B139E7" w:rsidRPr="00BB183C" w14:paraId="43364215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5EC9" w14:textId="44360808" w:rsidR="00B139E7" w:rsidRPr="00BB183C" w:rsidRDefault="00B139E7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Vícefunkční projekty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2947" w14:textId="67DEE815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3D9D" w14:textId="6D7A4AEA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32 720 910,70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B268" w14:textId="0798D252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2 922,26</w:t>
            </w:r>
          </w:p>
        </w:tc>
      </w:tr>
      <w:tr w:rsidR="00B139E7" w:rsidRPr="00BB183C" w14:paraId="7BB945D7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4F17" w14:textId="77777777" w:rsidR="00B139E7" w:rsidRPr="00BB183C" w:rsidRDefault="00B139E7" w:rsidP="0012770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Vodní prvek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DB15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712C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3 044 695,26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75D6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970,00</w:t>
            </w:r>
          </w:p>
        </w:tc>
      </w:tr>
      <w:tr w:rsidR="00B139E7" w:rsidRPr="00BB183C" w14:paraId="7FF2E911" w14:textId="77777777" w:rsidTr="00DA599E">
        <w:trPr>
          <w:trHeight w:val="276"/>
        </w:trPr>
        <w:tc>
          <w:tcPr>
            <w:tcW w:w="1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5A30" w14:textId="77777777" w:rsidR="00B139E7" w:rsidRPr="00BB183C" w:rsidRDefault="00B139E7" w:rsidP="00127707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8430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D801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818 243 337,95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803F" w14:textId="77777777" w:rsidR="00B139E7" w:rsidRPr="00BB183C" w:rsidRDefault="00B139E7" w:rsidP="0043159D">
            <w:pPr>
              <w:ind w:right="113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B183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25 837,68</w:t>
            </w:r>
          </w:p>
        </w:tc>
      </w:tr>
    </w:tbl>
    <w:p w14:paraId="24E43EDE" w14:textId="6CCAD73C" w:rsidR="003C6BAE" w:rsidRPr="00BB183C" w:rsidRDefault="003C6BAE" w:rsidP="0043159D">
      <w:pPr>
        <w:pStyle w:val="Zdrojeapozn"/>
        <w:spacing w:before="40"/>
      </w:pPr>
      <w:r w:rsidRPr="0043159D">
        <w:rPr>
          <w:b/>
          <w:bCs w:val="0"/>
        </w:rPr>
        <w:t>Zdroj:</w:t>
      </w:r>
      <w:r w:rsidRPr="00BB183C">
        <w:t xml:space="preserve"> </w:t>
      </w:r>
      <w:r w:rsidR="00936CCD">
        <w:t>v</w:t>
      </w:r>
      <w:r w:rsidRPr="00BB183C">
        <w:t xml:space="preserve">ypracoval NKÚ na základě </w:t>
      </w:r>
      <w:r w:rsidR="00614713" w:rsidRPr="00BB183C">
        <w:t>dat</w:t>
      </w:r>
      <w:r w:rsidRPr="00BB183C">
        <w:t xml:space="preserve"> MŽP a SFŽP, stav aktivních projektů k 31. 12. 2024.</w:t>
      </w:r>
    </w:p>
    <w:p w14:paraId="6C485356" w14:textId="3CB013FB" w:rsidR="00936CCD" w:rsidRDefault="003C6BAE" w:rsidP="0043159D">
      <w:pPr>
        <w:pStyle w:val="Zdrojeapozn"/>
        <w:ind w:left="567" w:hanging="567"/>
      </w:pPr>
      <w:r w:rsidRPr="0043159D">
        <w:rPr>
          <w:b/>
          <w:bCs w:val="0"/>
        </w:rPr>
        <w:t>Vysvětlivk</w:t>
      </w:r>
      <w:r w:rsidR="00936CCD">
        <w:rPr>
          <w:b/>
          <w:bCs w:val="0"/>
        </w:rPr>
        <w:t>y</w:t>
      </w:r>
      <w:r w:rsidRPr="0043159D">
        <w:rPr>
          <w:b/>
          <w:bCs w:val="0"/>
        </w:rPr>
        <w:t>:</w:t>
      </w:r>
      <w:r w:rsidRPr="00BB183C">
        <w:t xml:space="preserve"> </w:t>
      </w:r>
    </w:p>
    <w:p w14:paraId="634C90B4" w14:textId="73325087" w:rsidR="003C6BAE" w:rsidRPr="00BB183C" w:rsidRDefault="003C6BAE" w:rsidP="00936CCD">
      <w:pPr>
        <w:pStyle w:val="Zdrojeapozn"/>
      </w:pPr>
      <w:r w:rsidRPr="00BB183C">
        <w:rPr>
          <w:b/>
        </w:rPr>
        <w:t xml:space="preserve">Nepropustné povrchy </w:t>
      </w:r>
      <w:r w:rsidRPr="00BB183C">
        <w:rPr>
          <w:bCs w:val="0"/>
        </w:rPr>
        <w:t>–</w:t>
      </w:r>
      <w:r w:rsidRPr="00BB183C">
        <w:rPr>
          <w:b/>
        </w:rPr>
        <w:t xml:space="preserve"> </w:t>
      </w:r>
      <w:r w:rsidRPr="00BB183C">
        <w:t xml:space="preserve">výměna nepropustných povrchů; </w:t>
      </w:r>
      <w:r w:rsidRPr="00BB183C">
        <w:rPr>
          <w:b/>
        </w:rPr>
        <w:t xml:space="preserve">retence/akumulace </w:t>
      </w:r>
      <w:r w:rsidRPr="00BB183C">
        <w:t>–</w:t>
      </w:r>
      <w:r w:rsidR="004072B6" w:rsidRPr="00BB183C">
        <w:t xml:space="preserve"> </w:t>
      </w:r>
      <w:r w:rsidRPr="00BB183C">
        <w:t>retenční nádrže, záchytné nádrže, podzemní nádrž</w:t>
      </w:r>
      <w:r w:rsidR="004072B6" w:rsidRPr="00BB183C">
        <w:t>e</w:t>
      </w:r>
      <w:r w:rsidRPr="00BB183C">
        <w:t xml:space="preserve">, akumulace </w:t>
      </w:r>
      <w:r w:rsidR="004072B6" w:rsidRPr="00BB183C">
        <w:t>srážkových</w:t>
      </w:r>
      <w:r w:rsidRPr="00BB183C">
        <w:t xml:space="preserve"> vod; </w:t>
      </w:r>
      <w:r w:rsidRPr="00BB183C">
        <w:rPr>
          <w:b/>
        </w:rPr>
        <w:t>střechy</w:t>
      </w:r>
      <w:r w:rsidRPr="00BB183C">
        <w:t xml:space="preserve"> – zelené střechy, vegetační střechy; </w:t>
      </w:r>
      <w:r w:rsidRPr="00BB183C">
        <w:rPr>
          <w:b/>
        </w:rPr>
        <w:t xml:space="preserve">vícefunkční projekty </w:t>
      </w:r>
      <w:r w:rsidRPr="00BB183C">
        <w:t>– zelené střechy</w:t>
      </w:r>
      <w:r w:rsidR="004072B6" w:rsidRPr="00BB183C">
        <w:t xml:space="preserve">, nepropustné povrchy, </w:t>
      </w:r>
      <w:r w:rsidRPr="00BB183C">
        <w:t xml:space="preserve">retenční </w:t>
      </w:r>
      <w:r w:rsidR="004072B6" w:rsidRPr="00BB183C">
        <w:t xml:space="preserve">a akumulační </w:t>
      </w:r>
      <w:r w:rsidRPr="00BB183C">
        <w:t>nádrže.</w:t>
      </w:r>
    </w:p>
    <w:p w14:paraId="03EC91F2" w14:textId="49FB4F56" w:rsidR="00EF20FB" w:rsidRDefault="00EF20FB" w:rsidP="00B571F2">
      <w:pPr>
        <w:pStyle w:val="TextKZ"/>
        <w:numPr>
          <w:ilvl w:val="0"/>
          <w:numId w:val="20"/>
        </w:numPr>
        <w:spacing w:before="240"/>
        <w:ind w:left="567" w:hanging="567"/>
      </w:pPr>
      <w:r w:rsidRPr="004D7CF8">
        <w:t xml:space="preserve">Podle průběžné monitorovací zprávy ke dni 1. 9. 2025 </w:t>
      </w:r>
      <w:r w:rsidR="00936CCD" w:rsidRPr="004D7CF8">
        <w:t xml:space="preserve">evidovalo </w:t>
      </w:r>
      <w:r w:rsidRPr="004D7CF8">
        <w:t>SFŽP v rámci investice 2.9.2, resp. výzvy č. 10/2021</w:t>
      </w:r>
      <w:r w:rsidR="00936CCD">
        <w:t>,</w:t>
      </w:r>
      <w:r w:rsidRPr="004D7CF8">
        <w:t xml:space="preserve"> celkem 19</w:t>
      </w:r>
      <w:r w:rsidR="00C510BB">
        <w:t>0</w:t>
      </w:r>
      <w:r w:rsidRPr="004D7CF8">
        <w:t xml:space="preserve"> projektů, jejichž přínos podle zvoleného povinného indikátoru, resp. objemu zadržené srážkové vody</w:t>
      </w:r>
      <w:r w:rsidR="00936CCD">
        <w:t>,</w:t>
      </w:r>
      <w:r w:rsidRPr="004D7CF8">
        <w:t xml:space="preserve"> činí 25 </w:t>
      </w:r>
      <w:r w:rsidR="00C510BB">
        <w:t>58</w:t>
      </w:r>
      <w:r w:rsidRPr="004D7CF8">
        <w:t>0 m</w:t>
      </w:r>
      <w:r w:rsidRPr="003C6BAE">
        <w:rPr>
          <w:vertAlign w:val="superscript"/>
        </w:rPr>
        <w:t>3</w:t>
      </w:r>
      <w:r w:rsidRPr="004D7CF8">
        <w:t>, což reprezentuje 128 % cílové hodnoty (z 20 000 m</w:t>
      </w:r>
      <w:r w:rsidRPr="003C6BAE">
        <w:rPr>
          <w:vertAlign w:val="superscript"/>
        </w:rPr>
        <w:t>3</w:t>
      </w:r>
      <w:r w:rsidRPr="004D7CF8">
        <w:t xml:space="preserve">). </w:t>
      </w:r>
      <w:r w:rsidR="00936CCD">
        <w:t xml:space="preserve">Celkem </w:t>
      </w:r>
      <w:r w:rsidRPr="004D7CF8">
        <w:t xml:space="preserve">190 žádostí má vydán právní akt </w:t>
      </w:r>
      <w:r w:rsidR="00C510BB">
        <w:t>s celkovou požadovanou výší dotace 7</w:t>
      </w:r>
      <w:r w:rsidR="003E5E80">
        <w:t>76,06</w:t>
      </w:r>
      <w:r w:rsidR="00C510BB">
        <w:t xml:space="preserve"> mil. Kč</w:t>
      </w:r>
      <w:r w:rsidR="002116B3">
        <w:t xml:space="preserve">, což činí 94 % ze snížené alokace pro investici 2.9.2. </w:t>
      </w:r>
      <w:r>
        <w:t>P</w:t>
      </w:r>
      <w:r w:rsidRPr="00EF20FB">
        <w:t>odpořené projekty musely být realizovány nejpozději do 30.</w:t>
      </w:r>
      <w:r w:rsidR="00936CCD">
        <w:t> </w:t>
      </w:r>
      <w:r w:rsidRPr="00EF20FB">
        <w:t>9.</w:t>
      </w:r>
      <w:r w:rsidR="00936CCD">
        <w:t> </w:t>
      </w:r>
      <w:r w:rsidRPr="00EF20FB">
        <w:t>2025.</w:t>
      </w:r>
    </w:p>
    <w:p w14:paraId="1AFB3883" w14:textId="491F7733" w:rsidR="003C6BAE" w:rsidRDefault="003C6BAE" w:rsidP="00B571F2">
      <w:pPr>
        <w:pStyle w:val="TextKZ"/>
        <w:numPr>
          <w:ilvl w:val="0"/>
          <w:numId w:val="20"/>
        </w:numPr>
        <w:ind w:left="567" w:hanging="567"/>
      </w:pPr>
      <w:r>
        <w:t>NKÚ dále</w:t>
      </w:r>
      <w:r w:rsidRPr="001E1CB4">
        <w:t xml:space="preserve"> na vzorku </w:t>
      </w:r>
      <w:r w:rsidR="00936CCD">
        <w:t>pěti</w:t>
      </w:r>
      <w:r w:rsidRPr="001E1CB4">
        <w:t xml:space="preserve"> projektů ověřoval, zda MŽP, ve spolupráci se SFŽP, vydalo právní akt</w:t>
      </w:r>
      <w:r>
        <w:t>y</w:t>
      </w:r>
      <w:r w:rsidRPr="001E1CB4">
        <w:t xml:space="preserve"> o</w:t>
      </w:r>
      <w:r>
        <w:t> </w:t>
      </w:r>
      <w:r w:rsidRPr="001E1CB4">
        <w:t>poskytnutí podpory v souladu s právními předpisy</w:t>
      </w:r>
      <w:r>
        <w:t>, s pravidly poskytování podpory a s žádostmi o podporu.</w:t>
      </w:r>
    </w:p>
    <w:p w14:paraId="009FFCDF" w14:textId="6A0F59F9" w:rsidR="00FB7149" w:rsidRPr="00B66F14" w:rsidRDefault="003C6BAE" w:rsidP="00B571F2">
      <w:pPr>
        <w:pStyle w:val="TextKZ"/>
        <w:numPr>
          <w:ilvl w:val="0"/>
          <w:numId w:val="20"/>
        </w:numPr>
        <w:ind w:left="567" w:hanging="567"/>
      </w:pPr>
      <w:r w:rsidRPr="00EF20FB">
        <w:rPr>
          <w:bCs/>
          <w:lang w:eastAsia="cs-CZ"/>
        </w:rPr>
        <w:t xml:space="preserve">NKÚ zjistil, že v případě jednoho kontrolovaného projektu MŽP nevydalo změnu </w:t>
      </w:r>
      <w:r w:rsidR="00BB0711">
        <w:rPr>
          <w:bCs/>
          <w:lang w:eastAsia="cs-CZ"/>
        </w:rPr>
        <w:t>r</w:t>
      </w:r>
      <w:r w:rsidRPr="00EF20FB">
        <w:rPr>
          <w:bCs/>
          <w:lang w:eastAsia="cs-CZ"/>
        </w:rPr>
        <w:t xml:space="preserve">ozhodnutí ministra (změnu právního aktu) týkající se změny termínu dokončení realizace projektu. Doba realizace projektu byla </w:t>
      </w:r>
      <w:r w:rsidR="000435F7">
        <w:rPr>
          <w:bCs/>
          <w:lang w:eastAsia="cs-CZ"/>
        </w:rPr>
        <w:t>r</w:t>
      </w:r>
      <w:r w:rsidRPr="00EF20FB">
        <w:rPr>
          <w:bCs/>
          <w:lang w:eastAsia="cs-CZ"/>
        </w:rPr>
        <w:t>ozhodnutí</w:t>
      </w:r>
      <w:r w:rsidR="000435F7">
        <w:rPr>
          <w:bCs/>
          <w:lang w:eastAsia="cs-CZ"/>
        </w:rPr>
        <w:t>m</w:t>
      </w:r>
      <w:r w:rsidRPr="00EF20FB">
        <w:rPr>
          <w:bCs/>
          <w:lang w:eastAsia="cs-CZ"/>
        </w:rPr>
        <w:t xml:space="preserve"> ministra stanovena do 30.</w:t>
      </w:r>
      <w:r w:rsidR="000435F7">
        <w:rPr>
          <w:bCs/>
          <w:lang w:eastAsia="cs-CZ"/>
        </w:rPr>
        <w:t> </w:t>
      </w:r>
      <w:r w:rsidRPr="00EF20FB">
        <w:rPr>
          <w:bCs/>
          <w:lang w:eastAsia="cs-CZ"/>
        </w:rPr>
        <w:t>6.</w:t>
      </w:r>
      <w:r w:rsidR="00936CCD">
        <w:rPr>
          <w:bCs/>
          <w:lang w:eastAsia="cs-CZ"/>
        </w:rPr>
        <w:t> </w:t>
      </w:r>
      <w:r w:rsidRPr="00EF20FB">
        <w:rPr>
          <w:bCs/>
          <w:lang w:eastAsia="cs-CZ"/>
        </w:rPr>
        <w:t>2025. SFŽP však na základě žádosti o změnu podané příjemcem dotace uzavřel dne 16.</w:t>
      </w:r>
      <w:r w:rsidR="00936CCD">
        <w:rPr>
          <w:bCs/>
          <w:lang w:eastAsia="cs-CZ"/>
        </w:rPr>
        <w:t> </w:t>
      </w:r>
      <w:r w:rsidRPr="00EF20FB">
        <w:rPr>
          <w:bCs/>
          <w:lang w:eastAsia="cs-CZ"/>
        </w:rPr>
        <w:t>9.</w:t>
      </w:r>
      <w:r w:rsidR="00936CCD">
        <w:rPr>
          <w:bCs/>
          <w:lang w:eastAsia="cs-CZ"/>
        </w:rPr>
        <w:t> </w:t>
      </w:r>
      <w:r w:rsidRPr="00EF20FB">
        <w:rPr>
          <w:bCs/>
          <w:lang w:eastAsia="cs-CZ"/>
        </w:rPr>
        <w:t xml:space="preserve">2025 s příjemcem dotace </w:t>
      </w:r>
      <w:r w:rsidR="00936CCD">
        <w:rPr>
          <w:bCs/>
          <w:lang w:eastAsia="cs-CZ"/>
        </w:rPr>
        <w:t>d</w:t>
      </w:r>
      <w:r w:rsidRPr="00EF20FB">
        <w:rPr>
          <w:bCs/>
          <w:lang w:eastAsia="cs-CZ"/>
        </w:rPr>
        <w:t>odatek č. 2 ke smlouvě, kterým prodloužil termín realizace do konce září 2025 a dále prodloužil termín k předložení podkladů pro závěrečné vyhodnocení akce do konce prosince 2025. SFŽP tak vypracoval a podepsal dodatek č. 2 ke smlouvě bez předchozí změny právního aktu, tj. bez vydaného změnového rozhodnutí ministra.</w:t>
      </w:r>
    </w:p>
    <w:p w14:paraId="74AEFBCB" w14:textId="57D41DDE" w:rsidR="00B66F14" w:rsidRPr="00541A33" w:rsidRDefault="00B66F14" w:rsidP="00427075">
      <w:pPr>
        <w:pStyle w:val="Nadpis2"/>
        <w:spacing w:before="240" w:after="240"/>
        <w:ind w:left="284" w:hanging="284"/>
      </w:pPr>
      <w:r w:rsidRPr="00541A33">
        <w:t xml:space="preserve">Operační program </w:t>
      </w:r>
      <w:r w:rsidRPr="003C4B1F">
        <w:rPr>
          <w:i/>
          <w:iCs/>
        </w:rPr>
        <w:t>Životní prostředí</w:t>
      </w:r>
      <w:r w:rsidR="006A1D9E">
        <w:rPr>
          <w:i/>
          <w:iCs/>
        </w:rPr>
        <w:t xml:space="preserve"> </w:t>
      </w:r>
      <w:r w:rsidR="006A1D9E" w:rsidRPr="00007882">
        <w:rPr>
          <w:bCs/>
          <w:i/>
          <w:iCs/>
        </w:rPr>
        <w:t>2021–2027</w:t>
      </w:r>
    </w:p>
    <w:p w14:paraId="375AF7EC" w14:textId="45C7C7D4" w:rsidR="006526D2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>V oblasti klimatu a čisté energie představuje OPŽP21</w:t>
      </w:r>
      <w:r w:rsidR="00DC2416">
        <w:t>+</w:t>
      </w:r>
      <w:r w:rsidRPr="037C6787">
        <w:t xml:space="preserve"> jeden z mnoha programů podpory, které přispívají k podpoře opatření zaměřených na snižování emisí skleníkových plynů a adaptaci na změnu klimatu. Podporu proto poskytuje jen na část potřebných opatření a jen omezenému spektru příjemců podpory.</w:t>
      </w:r>
    </w:p>
    <w:p w14:paraId="1D31FE5A" w14:textId="6D5718EA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>OPŽP</w:t>
      </w:r>
      <w:r w:rsidR="005C081B">
        <w:t>21+</w:t>
      </w:r>
      <w:r w:rsidRPr="037C6787">
        <w:t xml:space="preserve"> má podporou opatření ve specifickém cíli 1.3 za cíl mj. přispět ke zlepšení špatného hospodaření se srážkovými vodami v zastavěném území</w:t>
      </w:r>
      <w:r w:rsidR="006A1D9E">
        <w:t>.</w:t>
      </w:r>
    </w:p>
    <w:p w14:paraId="1B5193CB" w14:textId="39DB80B1" w:rsidR="006526D2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>Alokace opatření 1.3.4 byla v roce 2023 navýšena z původních 74</w:t>
      </w:r>
      <w:r w:rsidR="00E26220">
        <w:t>,</w:t>
      </w:r>
      <w:r w:rsidRPr="037C6787">
        <w:t>1</w:t>
      </w:r>
      <w:r w:rsidR="00E26220">
        <w:t xml:space="preserve"> mil.</w:t>
      </w:r>
      <w:r w:rsidRPr="037C6787">
        <w:t xml:space="preserve"> </w:t>
      </w:r>
      <w:r w:rsidR="00E26220" w:rsidRPr="00E26220">
        <w:t>€</w:t>
      </w:r>
      <w:r w:rsidR="00E26220">
        <w:t>, tj.</w:t>
      </w:r>
      <w:r w:rsidR="00EF2E0E">
        <w:t> </w:t>
      </w:r>
      <w:r w:rsidRPr="037C6787">
        <w:t>1</w:t>
      </w:r>
      <w:r w:rsidR="00E26220">
        <w:t>,</w:t>
      </w:r>
      <w:r w:rsidRPr="037C6787">
        <w:t>78</w:t>
      </w:r>
      <w:r w:rsidR="005C081B">
        <w:t> </w:t>
      </w:r>
      <w:r w:rsidR="00E26220">
        <w:t>mld. </w:t>
      </w:r>
      <w:r w:rsidRPr="037C6787">
        <w:t>Kč</w:t>
      </w:r>
      <w:r w:rsidR="00E26220">
        <w:t>,</w:t>
      </w:r>
      <w:r w:rsidRPr="037C6787">
        <w:t xml:space="preserve"> na částku 74</w:t>
      </w:r>
      <w:r w:rsidR="00E26220">
        <w:t>,</w:t>
      </w:r>
      <w:r w:rsidRPr="037C6787">
        <w:t>9</w:t>
      </w:r>
      <w:r w:rsidR="00E26220">
        <w:t>4 mil.</w:t>
      </w:r>
      <w:r w:rsidRPr="037C6787">
        <w:t xml:space="preserve"> </w:t>
      </w:r>
      <w:r w:rsidR="00E26220" w:rsidRPr="00E26220">
        <w:t>€</w:t>
      </w:r>
      <w:r w:rsidR="00E26220">
        <w:t xml:space="preserve">, tj. </w:t>
      </w:r>
      <w:r w:rsidRPr="037C6787">
        <w:t>1</w:t>
      </w:r>
      <w:r w:rsidR="00E26220">
        <w:t>,8 mld. Kč</w:t>
      </w:r>
      <w:r w:rsidRPr="037C6787">
        <w:t xml:space="preserve"> (kurz EUR/CZK 24 Kč), tj.</w:t>
      </w:r>
      <w:r w:rsidR="00EF2E0E">
        <w:t> </w:t>
      </w:r>
      <w:r w:rsidRPr="037C6787">
        <w:t>o</w:t>
      </w:r>
      <w:r w:rsidR="00DC2416">
        <w:t> </w:t>
      </w:r>
      <w:r w:rsidRPr="037C6787">
        <w:t>20</w:t>
      </w:r>
      <w:r w:rsidR="00DC2416">
        <w:t> </w:t>
      </w:r>
      <w:r w:rsidRPr="037C6787">
        <w:t>mil</w:t>
      </w:r>
      <w:r w:rsidR="00E26220">
        <w:t>. </w:t>
      </w:r>
      <w:r w:rsidRPr="037C6787">
        <w:t>Kč.</w:t>
      </w:r>
    </w:p>
    <w:p w14:paraId="55D8C27E" w14:textId="43CC54D8" w:rsidR="006526D2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>V rámci OPŽP21</w:t>
      </w:r>
      <w:r w:rsidR="00DC2416">
        <w:t xml:space="preserve">+ </w:t>
      </w:r>
      <w:r w:rsidRPr="037C6787">
        <w:t xml:space="preserve">MŽP prostřednictvím SFŽP pravidelně vyhlašuje výzvy na aktivity týkající se nakládání se srážkovými vodami. </w:t>
      </w:r>
      <w:r w:rsidR="00FD0351" w:rsidRPr="037C6787">
        <w:t xml:space="preserve">Pro většinu aktivit z opatření 1.3.4 vyhlásilo </w:t>
      </w:r>
      <w:r w:rsidRPr="037C6787">
        <w:lastRenderedPageBreak/>
        <w:t>MŽP</w:t>
      </w:r>
      <w:r w:rsidR="00FD0351">
        <w:t xml:space="preserve"> </w:t>
      </w:r>
      <w:r w:rsidRPr="037C6787">
        <w:t>prostřednictvím SFŽP ke dni 14. 9. 2022 průběžnou výzvu č. 19</w:t>
      </w:r>
      <w:r w:rsidR="00E26220">
        <w:t xml:space="preserve"> s alokací 1,5 mld. Kč</w:t>
      </w:r>
      <w:r w:rsidR="00FD0351">
        <w:t>. K</w:t>
      </w:r>
      <w:r w:rsidRPr="037C6787">
        <w:t>e</w:t>
      </w:r>
      <w:r w:rsidR="00FD0351">
        <w:t> </w:t>
      </w:r>
      <w:r w:rsidRPr="037C6787">
        <w:t xml:space="preserve">konci roku 2024 </w:t>
      </w:r>
      <w:r w:rsidR="00FD0351">
        <w:t xml:space="preserve">bylo </w:t>
      </w:r>
      <w:r w:rsidRPr="037C6787">
        <w:t>v realizaci 120 projektů s příspěvkem EU ve výši 900</w:t>
      </w:r>
      <w:r w:rsidR="00E26220">
        <w:t>,</w:t>
      </w:r>
      <w:r w:rsidRPr="037C6787">
        <w:t>1</w:t>
      </w:r>
      <w:r w:rsidR="00E26220">
        <w:t xml:space="preserve">3 mil. </w:t>
      </w:r>
      <w:r w:rsidRPr="037C6787">
        <w:t>Kč.</w:t>
      </w:r>
      <w:r w:rsidR="00FD0351">
        <w:t xml:space="preserve"> </w:t>
      </w:r>
      <w:r w:rsidR="00FD0351" w:rsidRPr="037C6787">
        <w:t>Výzva byla zaměřena na projekty realizace přírodě blízkých protipovodňových opatření</w:t>
      </w:r>
      <w:r w:rsidR="009E1BC9">
        <w:t xml:space="preserve"> </w:t>
      </w:r>
      <w:r w:rsidR="00FD0351" w:rsidRPr="037C6787">
        <w:t>a také na podporu budování vsakovacích a retenčních zařízení včetně podpory dalším opatřením, které přispívají k</w:t>
      </w:r>
      <w:r w:rsidR="00FD0351">
        <w:t> </w:t>
      </w:r>
      <w:r w:rsidR="00FD0351" w:rsidRPr="037C6787">
        <w:t>efektivnímu nakládání se srážkovými vodami</w:t>
      </w:r>
      <w:r w:rsidR="009E1BC9">
        <w:t>.</w:t>
      </w:r>
      <w:r w:rsidR="009E1BC9">
        <w:rPr>
          <w:rStyle w:val="Znakapoznpodarou"/>
        </w:rPr>
        <w:footnoteReference w:id="14"/>
      </w:r>
    </w:p>
    <w:p w14:paraId="63420A3A" w14:textId="69FB9745" w:rsidR="006526D2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 xml:space="preserve">Speciální výzva č. 36 zacílená pouze na aktivitu </w:t>
      </w:r>
      <w:r w:rsidRPr="006526D2">
        <w:rPr>
          <w:i/>
          <w:iCs/>
        </w:rPr>
        <w:t>Vybudování technologie pro akumulaci, úpravu a rozvod šedých a srážkových vod v budovách za účelem splachování a dalších relevantních užití</w:t>
      </w:r>
      <w:r w:rsidRPr="037C6787">
        <w:t xml:space="preserve"> byla vyhlášena ke dni 1. 2. 2023 (opatření 1.3.4). V rámci této výzvy byly zaregistrovány tři projekty, nicméně proplaceno a schváleno bylo 0 projektů, jelikož ani jeden nesplňoval potřebná kritéria.</w:t>
      </w:r>
    </w:p>
    <w:p w14:paraId="1FA2CEA9" w14:textId="3BAC7FD5" w:rsidR="004D4416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>Další výzvu č. 52 zaměřenou na realizaci přírodě blízkých a protipovodňových opatření v</w:t>
      </w:r>
      <w:r w:rsidR="00396A8A">
        <w:t> </w:t>
      </w:r>
      <w:r w:rsidR="006A1D9E">
        <w:t xml:space="preserve">rámci nástroje </w:t>
      </w:r>
      <w:r w:rsidRPr="037C6787">
        <w:t>ITI (</w:t>
      </w:r>
      <w:r w:rsidRPr="003C4B1F">
        <w:rPr>
          <w:i/>
          <w:iCs/>
        </w:rPr>
        <w:t>Integrované územní investice</w:t>
      </w:r>
      <w:r w:rsidRPr="037C6787">
        <w:t xml:space="preserve">) </w:t>
      </w:r>
      <w:r w:rsidR="006A1D9E">
        <w:t>v </w:t>
      </w:r>
      <w:r w:rsidRPr="037C6787">
        <w:t xml:space="preserve">aglomeracích vyhlásilo MŽP prostřednictvím SFŽP ke dni 2. 8. 2023. Výzva zahrnuje podporu přírodě blízkých opatření v krajině a sídlech, realizaci protipovodňových opatření, opatření ke zpomalení odtoku, pro </w:t>
      </w:r>
      <w:proofErr w:type="gramStart"/>
      <w:r w:rsidRPr="037C6787">
        <w:t>vsak</w:t>
      </w:r>
      <w:proofErr w:type="gramEnd"/>
      <w:r w:rsidRPr="037C6787">
        <w:t>, retenci a</w:t>
      </w:r>
      <w:r w:rsidR="00396A8A">
        <w:t> </w:t>
      </w:r>
      <w:r w:rsidRPr="037C6787">
        <w:t>akumulaci srážkové vody vč. jejího dalšího využití, realizace zelených střech, opatření na využití šedé vody a opatření pro řízenou dotaci podzemních vod.</w:t>
      </w:r>
      <w:r w:rsidR="009E1BC9">
        <w:rPr>
          <w:rStyle w:val="Znakapoznpodarou"/>
        </w:rPr>
        <w:footnoteReference w:id="15"/>
      </w:r>
    </w:p>
    <w:p w14:paraId="5EF89814" w14:textId="4F6EE5B2" w:rsidR="006526D2" w:rsidRDefault="006526D2" w:rsidP="00BC0351">
      <w:pPr>
        <w:pStyle w:val="Titulek"/>
        <w:tabs>
          <w:tab w:val="right" w:pos="9072"/>
        </w:tabs>
        <w:spacing w:before="240" w:after="40"/>
      </w:pPr>
      <w:r>
        <w:t xml:space="preserve">Tabulka č. </w:t>
      </w:r>
      <w:fldSimple w:instr=" SEQ Tabulka_č. \* ARABIC ">
        <w:r w:rsidR="00D213BC">
          <w:rPr>
            <w:noProof/>
          </w:rPr>
          <w:t>6</w:t>
        </w:r>
      </w:fldSimple>
      <w:r>
        <w:t xml:space="preserve">: </w:t>
      </w:r>
      <w:r w:rsidR="00BC0351">
        <w:t>V</w:t>
      </w:r>
      <w:r w:rsidRPr="037C6787">
        <w:t>ýzv</w:t>
      </w:r>
      <w:r w:rsidR="00BC0351">
        <w:t>y</w:t>
      </w:r>
      <w:r w:rsidRPr="037C6787">
        <w:t xml:space="preserve"> č. 19, 36 a 52, opatření 1.3.4 OPŽP21+ (k 1.</w:t>
      </w:r>
      <w:r w:rsidR="006A1D9E">
        <w:t> </w:t>
      </w:r>
      <w:r w:rsidRPr="037C6787">
        <w:t>1.</w:t>
      </w:r>
      <w:r w:rsidR="006A1D9E">
        <w:t> </w:t>
      </w:r>
      <w:r w:rsidRPr="037C6787">
        <w:t>2025)</w:t>
      </w:r>
      <w:r w:rsidR="008332EA">
        <w:tab/>
      </w:r>
      <w:r w:rsidR="00BC0351">
        <w:t>(</w:t>
      </w:r>
      <w:r w:rsidR="008332EA">
        <w:t>v</w:t>
      </w:r>
      <w:r w:rsidR="00BC0351">
        <w:t> </w:t>
      </w:r>
      <w:r w:rsidR="008332EA" w:rsidRPr="008332EA">
        <w:t>Kč</w:t>
      </w:r>
      <w:r w:rsidR="00BC0351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388"/>
        <w:gridCol w:w="879"/>
        <w:gridCol w:w="1417"/>
        <w:gridCol w:w="852"/>
        <w:gridCol w:w="1562"/>
        <w:gridCol w:w="1550"/>
      </w:tblGrid>
      <w:tr w:rsidR="009E1BC9" w14:paraId="5CC95887" w14:textId="77777777" w:rsidTr="008332EA">
        <w:trPr>
          <w:trHeight w:val="20"/>
        </w:trPr>
        <w:tc>
          <w:tcPr>
            <w:tcW w:w="780" w:type="pct"/>
            <w:vMerge w:val="restar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504F925A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Opatření</w:t>
            </w:r>
          </w:p>
        </w:tc>
        <w:tc>
          <w:tcPr>
            <w:tcW w:w="766" w:type="pct"/>
            <w:vMerge w:val="restar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17AE6EA0" w14:textId="21BD24CD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Výzva </w:t>
            </w:r>
            <w:r w:rsidR="00BC035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– </w:t>
            </w: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kód</w:t>
            </w:r>
          </w:p>
        </w:tc>
        <w:tc>
          <w:tcPr>
            <w:tcW w:w="1267" w:type="pct"/>
            <w:gridSpan w:val="2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19D6B822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Žádosti podané</w:t>
            </w:r>
          </w:p>
        </w:tc>
        <w:tc>
          <w:tcPr>
            <w:tcW w:w="1331" w:type="pct"/>
            <w:gridSpan w:val="2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5D62B92E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Projekty v realizaci</w:t>
            </w:r>
          </w:p>
        </w:tc>
        <w:tc>
          <w:tcPr>
            <w:tcW w:w="856" w:type="pct"/>
            <w:vMerge w:val="restar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1ECA952B" w14:textId="6A0F42E6" w:rsidR="009E1BC9" w:rsidRDefault="009E1BC9" w:rsidP="008332EA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Příspěvek EU </w:t>
            </w:r>
            <w:r w:rsidR="00BC035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proplaceno</w:t>
            </w:r>
            <w:r w:rsidR="00BC035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9E1BC9" w14:paraId="14CC93E3" w14:textId="77777777" w:rsidTr="00577DE9">
        <w:trPr>
          <w:trHeight w:val="20"/>
        </w:trPr>
        <w:tc>
          <w:tcPr>
            <w:tcW w:w="780" w:type="pct"/>
            <w:vMerge/>
            <w:vAlign w:val="center"/>
          </w:tcPr>
          <w:p w14:paraId="09EDCC9C" w14:textId="77777777" w:rsidR="009E1BC9" w:rsidRDefault="009E1BC9" w:rsidP="00127707"/>
        </w:tc>
        <w:tc>
          <w:tcPr>
            <w:tcW w:w="766" w:type="pct"/>
            <w:vMerge/>
            <w:vAlign w:val="center"/>
          </w:tcPr>
          <w:p w14:paraId="02CF33F9" w14:textId="77777777" w:rsidR="009E1BC9" w:rsidRDefault="009E1BC9" w:rsidP="00127707"/>
        </w:tc>
        <w:tc>
          <w:tcPr>
            <w:tcW w:w="485" w:type="pc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62098CE1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</w:t>
            </w:r>
          </w:p>
        </w:tc>
        <w:tc>
          <w:tcPr>
            <w:tcW w:w="782" w:type="pc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615CEDAF" w14:textId="51DF3B12" w:rsidR="009E1BC9" w:rsidRDefault="009E1BC9" w:rsidP="009E1BC9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Příspěvek EU</w:t>
            </w:r>
          </w:p>
        </w:tc>
        <w:tc>
          <w:tcPr>
            <w:tcW w:w="470" w:type="pc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451747D6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</w:t>
            </w:r>
          </w:p>
        </w:tc>
        <w:tc>
          <w:tcPr>
            <w:tcW w:w="862" w:type="pct"/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14:paraId="292BC0D9" w14:textId="371A0201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Příspěvek EU</w:t>
            </w:r>
          </w:p>
        </w:tc>
        <w:tc>
          <w:tcPr>
            <w:tcW w:w="856" w:type="pct"/>
            <w:vMerge/>
            <w:vAlign w:val="center"/>
          </w:tcPr>
          <w:p w14:paraId="0E921216" w14:textId="77777777" w:rsidR="009E1BC9" w:rsidRDefault="009E1BC9" w:rsidP="00127707"/>
        </w:tc>
      </w:tr>
      <w:tr w:rsidR="009E1BC9" w14:paraId="4282FD42" w14:textId="77777777" w:rsidTr="00577DE9">
        <w:trPr>
          <w:trHeight w:val="20"/>
        </w:trPr>
        <w:tc>
          <w:tcPr>
            <w:tcW w:w="780" w:type="pct"/>
            <w:vMerge w:val="restart"/>
            <w:tcMar>
              <w:left w:w="70" w:type="dxa"/>
              <w:right w:w="70" w:type="dxa"/>
            </w:tcMar>
            <w:vAlign w:val="center"/>
          </w:tcPr>
          <w:p w14:paraId="74AD92E4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1.3.4</w:t>
            </w:r>
          </w:p>
        </w:tc>
        <w:tc>
          <w:tcPr>
            <w:tcW w:w="766" w:type="pct"/>
            <w:tcMar>
              <w:left w:w="70" w:type="dxa"/>
              <w:right w:w="70" w:type="dxa"/>
            </w:tcMar>
            <w:vAlign w:val="center"/>
          </w:tcPr>
          <w:p w14:paraId="41E93721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05_22_019</w:t>
            </w:r>
          </w:p>
        </w:tc>
        <w:tc>
          <w:tcPr>
            <w:tcW w:w="485" w:type="pct"/>
            <w:tcMar>
              <w:left w:w="70" w:type="dxa"/>
              <w:right w:w="70" w:type="dxa"/>
            </w:tcMar>
            <w:vAlign w:val="center"/>
          </w:tcPr>
          <w:p w14:paraId="2AF4C209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782" w:type="pct"/>
            <w:tcMar>
              <w:left w:w="70" w:type="dxa"/>
              <w:right w:w="70" w:type="dxa"/>
            </w:tcMar>
            <w:vAlign w:val="center"/>
          </w:tcPr>
          <w:p w14:paraId="0AC48CF8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1 240 533 044</w:t>
            </w:r>
          </w:p>
        </w:tc>
        <w:tc>
          <w:tcPr>
            <w:tcW w:w="470" w:type="pct"/>
            <w:tcMar>
              <w:left w:w="70" w:type="dxa"/>
              <w:right w:w="70" w:type="dxa"/>
            </w:tcMar>
            <w:vAlign w:val="center"/>
          </w:tcPr>
          <w:p w14:paraId="3160B45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862" w:type="pct"/>
            <w:tcMar>
              <w:left w:w="70" w:type="dxa"/>
              <w:right w:w="70" w:type="dxa"/>
            </w:tcMar>
            <w:vAlign w:val="center"/>
          </w:tcPr>
          <w:p w14:paraId="65F2B0C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900 129 285</w:t>
            </w:r>
          </w:p>
        </w:tc>
        <w:tc>
          <w:tcPr>
            <w:tcW w:w="856" w:type="pct"/>
            <w:tcMar>
              <w:left w:w="70" w:type="dxa"/>
              <w:right w:w="70" w:type="dxa"/>
            </w:tcMar>
            <w:vAlign w:val="center"/>
          </w:tcPr>
          <w:p w14:paraId="2A741629" w14:textId="08C14FE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116 392 614</w:t>
            </w:r>
          </w:p>
        </w:tc>
      </w:tr>
      <w:tr w:rsidR="009E1BC9" w14:paraId="2E39F3CD" w14:textId="77777777" w:rsidTr="00577DE9">
        <w:trPr>
          <w:trHeight w:val="20"/>
        </w:trPr>
        <w:tc>
          <w:tcPr>
            <w:tcW w:w="780" w:type="pct"/>
            <w:vMerge/>
            <w:vAlign w:val="center"/>
          </w:tcPr>
          <w:p w14:paraId="0374ADB9" w14:textId="77777777" w:rsidR="009E1BC9" w:rsidRDefault="009E1BC9" w:rsidP="00127707"/>
        </w:tc>
        <w:tc>
          <w:tcPr>
            <w:tcW w:w="766" w:type="pct"/>
            <w:tcMar>
              <w:left w:w="70" w:type="dxa"/>
              <w:right w:w="70" w:type="dxa"/>
            </w:tcMar>
            <w:vAlign w:val="center"/>
          </w:tcPr>
          <w:p w14:paraId="2E393CB1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05_23_036</w:t>
            </w:r>
          </w:p>
        </w:tc>
        <w:tc>
          <w:tcPr>
            <w:tcW w:w="485" w:type="pct"/>
            <w:tcMar>
              <w:left w:w="70" w:type="dxa"/>
              <w:right w:w="70" w:type="dxa"/>
            </w:tcMar>
            <w:vAlign w:val="center"/>
          </w:tcPr>
          <w:p w14:paraId="64DA2BC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82" w:type="pct"/>
            <w:tcMar>
              <w:left w:w="70" w:type="dxa"/>
              <w:right w:w="70" w:type="dxa"/>
            </w:tcMar>
            <w:vAlign w:val="center"/>
          </w:tcPr>
          <w:p w14:paraId="20CDD366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5 157 047</w:t>
            </w:r>
          </w:p>
        </w:tc>
        <w:tc>
          <w:tcPr>
            <w:tcW w:w="470" w:type="pct"/>
            <w:tcMar>
              <w:left w:w="70" w:type="dxa"/>
              <w:right w:w="70" w:type="dxa"/>
            </w:tcMar>
            <w:vAlign w:val="center"/>
          </w:tcPr>
          <w:p w14:paraId="1333B7B0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62" w:type="pct"/>
            <w:tcMar>
              <w:left w:w="70" w:type="dxa"/>
              <w:right w:w="70" w:type="dxa"/>
            </w:tcMar>
            <w:vAlign w:val="center"/>
          </w:tcPr>
          <w:p w14:paraId="421AA74A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tcMar>
              <w:left w:w="70" w:type="dxa"/>
              <w:right w:w="70" w:type="dxa"/>
            </w:tcMar>
            <w:vAlign w:val="center"/>
          </w:tcPr>
          <w:p w14:paraId="13909F3F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9E1BC9" w14:paraId="5C74863A" w14:textId="77777777" w:rsidTr="00577DE9">
        <w:trPr>
          <w:trHeight w:val="20"/>
        </w:trPr>
        <w:tc>
          <w:tcPr>
            <w:tcW w:w="780" w:type="pct"/>
            <w:vMerge/>
            <w:vAlign w:val="center"/>
          </w:tcPr>
          <w:p w14:paraId="522687BE" w14:textId="77777777" w:rsidR="009E1BC9" w:rsidRDefault="009E1BC9" w:rsidP="00127707"/>
        </w:tc>
        <w:tc>
          <w:tcPr>
            <w:tcW w:w="766" w:type="pct"/>
            <w:tcMar>
              <w:left w:w="70" w:type="dxa"/>
              <w:right w:w="70" w:type="dxa"/>
            </w:tcMar>
            <w:vAlign w:val="center"/>
          </w:tcPr>
          <w:p w14:paraId="2B326A14" w14:textId="77777777" w:rsidR="009E1BC9" w:rsidRDefault="009E1BC9" w:rsidP="00127707">
            <w:pPr>
              <w:jc w:val="center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05_23_052</w:t>
            </w:r>
          </w:p>
        </w:tc>
        <w:tc>
          <w:tcPr>
            <w:tcW w:w="485" w:type="pct"/>
            <w:tcMar>
              <w:left w:w="70" w:type="dxa"/>
              <w:right w:w="70" w:type="dxa"/>
            </w:tcMar>
            <w:vAlign w:val="center"/>
          </w:tcPr>
          <w:p w14:paraId="481C524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82" w:type="pct"/>
            <w:tcMar>
              <w:left w:w="70" w:type="dxa"/>
              <w:right w:w="70" w:type="dxa"/>
            </w:tcMar>
            <w:vAlign w:val="center"/>
          </w:tcPr>
          <w:p w14:paraId="018CBBBF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8 314 307</w:t>
            </w:r>
          </w:p>
        </w:tc>
        <w:tc>
          <w:tcPr>
            <w:tcW w:w="470" w:type="pct"/>
            <w:tcMar>
              <w:left w:w="70" w:type="dxa"/>
              <w:right w:w="70" w:type="dxa"/>
            </w:tcMar>
            <w:vAlign w:val="center"/>
          </w:tcPr>
          <w:p w14:paraId="0F0B34FA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62" w:type="pct"/>
            <w:tcMar>
              <w:left w:w="70" w:type="dxa"/>
              <w:right w:w="70" w:type="dxa"/>
            </w:tcMar>
            <w:vAlign w:val="center"/>
          </w:tcPr>
          <w:p w14:paraId="3BFC2334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56" w:type="pct"/>
            <w:tcMar>
              <w:left w:w="70" w:type="dxa"/>
              <w:right w:w="70" w:type="dxa"/>
            </w:tcMar>
            <w:vAlign w:val="center"/>
          </w:tcPr>
          <w:p w14:paraId="52DF52B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9E1BC9" w14:paraId="05FB9798" w14:textId="77777777" w:rsidTr="00577DE9">
        <w:trPr>
          <w:trHeight w:val="20"/>
        </w:trPr>
        <w:tc>
          <w:tcPr>
            <w:tcW w:w="1546" w:type="pct"/>
            <w:gridSpan w:val="2"/>
            <w:vAlign w:val="center"/>
          </w:tcPr>
          <w:p w14:paraId="7D4E39CE" w14:textId="715EAB46" w:rsidR="009E1BC9" w:rsidRDefault="009E1BC9" w:rsidP="00127707"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Celkový součet</w:t>
            </w:r>
          </w:p>
        </w:tc>
        <w:tc>
          <w:tcPr>
            <w:tcW w:w="485" w:type="pct"/>
            <w:tcMar>
              <w:left w:w="70" w:type="dxa"/>
              <w:right w:w="70" w:type="dxa"/>
            </w:tcMar>
            <w:vAlign w:val="center"/>
          </w:tcPr>
          <w:p w14:paraId="3D0C92C4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782" w:type="pct"/>
            <w:tcMar>
              <w:left w:w="70" w:type="dxa"/>
              <w:right w:w="70" w:type="dxa"/>
            </w:tcMar>
            <w:vAlign w:val="center"/>
          </w:tcPr>
          <w:p w14:paraId="266737A8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1 254 004 398</w:t>
            </w:r>
          </w:p>
        </w:tc>
        <w:tc>
          <w:tcPr>
            <w:tcW w:w="470" w:type="pct"/>
            <w:tcMar>
              <w:left w:w="70" w:type="dxa"/>
              <w:right w:w="70" w:type="dxa"/>
            </w:tcMar>
            <w:vAlign w:val="center"/>
          </w:tcPr>
          <w:p w14:paraId="60CEE253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862" w:type="pct"/>
            <w:tcMar>
              <w:left w:w="70" w:type="dxa"/>
              <w:right w:w="70" w:type="dxa"/>
            </w:tcMar>
            <w:vAlign w:val="center"/>
          </w:tcPr>
          <w:p w14:paraId="7BCD7020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900 129 285</w:t>
            </w:r>
          </w:p>
        </w:tc>
        <w:tc>
          <w:tcPr>
            <w:tcW w:w="856" w:type="pct"/>
            <w:tcMar>
              <w:left w:w="70" w:type="dxa"/>
              <w:right w:w="70" w:type="dxa"/>
            </w:tcMar>
            <w:vAlign w:val="center"/>
          </w:tcPr>
          <w:p w14:paraId="135383FF" w14:textId="77777777" w:rsidR="009E1BC9" w:rsidRDefault="009E1BC9" w:rsidP="00577DE9">
            <w:pPr>
              <w:ind w:right="57"/>
              <w:jc w:val="right"/>
            </w:pPr>
            <w:r w:rsidRPr="037C678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116 392 614</w:t>
            </w:r>
          </w:p>
        </w:tc>
      </w:tr>
    </w:tbl>
    <w:p w14:paraId="1FF36069" w14:textId="6C6EAA50" w:rsidR="006526D2" w:rsidRDefault="006526D2" w:rsidP="00577DE9">
      <w:pPr>
        <w:spacing w:before="40"/>
      </w:pPr>
      <w:r w:rsidRPr="00577DE9">
        <w:rPr>
          <w:rFonts w:ascii="Calibri" w:eastAsia="Calibri" w:hAnsi="Calibri" w:cs="Calibri"/>
          <w:b/>
          <w:bCs/>
          <w:sz w:val="20"/>
          <w:szCs w:val="20"/>
        </w:rPr>
        <w:t xml:space="preserve">Zdroj: </w:t>
      </w:r>
      <w:r w:rsidR="00BC0351">
        <w:rPr>
          <w:rFonts w:ascii="Calibri" w:eastAsia="Calibri" w:hAnsi="Calibri" w:cs="Calibri"/>
          <w:sz w:val="20"/>
          <w:szCs w:val="20"/>
        </w:rPr>
        <w:t>v</w:t>
      </w:r>
      <w:r w:rsidR="00614713">
        <w:rPr>
          <w:rFonts w:ascii="Calibri" w:eastAsia="Calibri" w:hAnsi="Calibri" w:cs="Calibri"/>
          <w:sz w:val="20"/>
          <w:szCs w:val="20"/>
        </w:rPr>
        <w:t>ypracoval NKÚ na základě dat MŽP</w:t>
      </w:r>
      <w:r w:rsidRPr="037C6787">
        <w:rPr>
          <w:rFonts w:ascii="Calibri" w:eastAsia="Calibri" w:hAnsi="Calibri" w:cs="Calibri"/>
          <w:sz w:val="20"/>
          <w:szCs w:val="20"/>
        </w:rPr>
        <w:t>.</w:t>
      </w:r>
    </w:p>
    <w:p w14:paraId="6CB75302" w14:textId="77777777" w:rsidR="00127707" w:rsidRDefault="00A06F61" w:rsidP="00B571F2">
      <w:pPr>
        <w:pStyle w:val="TextKZ"/>
        <w:numPr>
          <w:ilvl w:val="0"/>
          <w:numId w:val="20"/>
        </w:numPr>
        <w:spacing w:before="240"/>
        <w:ind w:left="567" w:hanging="567"/>
      </w:pPr>
      <w:r w:rsidRPr="037C6787">
        <w:t>Výše uvedené výzvy navazovaly na výzvu č. 144 v rámci OPŽP14</w:t>
      </w:r>
      <w:r w:rsidR="00DC2416">
        <w:t>+</w:t>
      </w:r>
      <w:r w:rsidRPr="037C6787">
        <w:t>.</w:t>
      </w:r>
    </w:p>
    <w:p w14:paraId="6043680E" w14:textId="5D5FA636" w:rsidR="00A06F61" w:rsidRDefault="00A06F61" w:rsidP="00B571F2">
      <w:pPr>
        <w:pStyle w:val="TextKZ"/>
        <w:numPr>
          <w:ilvl w:val="0"/>
          <w:numId w:val="20"/>
        </w:numPr>
        <w:ind w:left="567" w:hanging="567"/>
      </w:pPr>
      <w:r w:rsidRPr="037C6787">
        <w:t xml:space="preserve">V rámci </w:t>
      </w:r>
      <w:r w:rsidR="008332EA">
        <w:t xml:space="preserve">výzvy č. 144 </w:t>
      </w:r>
      <w:r w:rsidRPr="037C6787">
        <w:t>OPŽP14</w:t>
      </w:r>
      <w:r w:rsidR="00DC2416">
        <w:t xml:space="preserve">+ </w:t>
      </w:r>
      <w:r w:rsidRPr="037C6787">
        <w:t xml:space="preserve">bylo proplaceno </w:t>
      </w:r>
      <w:r w:rsidR="000435F7">
        <w:t xml:space="preserve">příjemcům </w:t>
      </w:r>
      <w:r w:rsidR="00BA4904">
        <w:t xml:space="preserve">na </w:t>
      </w:r>
      <w:r w:rsidRPr="037C6787">
        <w:t>384 projektů</w:t>
      </w:r>
      <w:r w:rsidR="00BA4904">
        <w:t xml:space="preserve"> </w:t>
      </w:r>
      <w:r w:rsidRPr="037C6787">
        <w:t>celkem 368,31 mil. Kč a</w:t>
      </w:r>
      <w:r w:rsidR="00396A8A">
        <w:t> </w:t>
      </w:r>
      <w:r w:rsidRPr="037C6787">
        <w:t>zároveň 217 projektů s příspěvkem EU ve výši 2 308,47 mil. Kč nemohlo být podpořeno z důvodu nedostatku volných finančních prostředků. SFŽP příjemce informoval o</w:t>
      </w:r>
      <w:r w:rsidR="00396A8A">
        <w:t> </w:t>
      </w:r>
      <w:r w:rsidRPr="037C6787">
        <w:t>možnosti podpory těchto projektů v rámci výzvy č. 10/2021 z NPO. Důvodem vyčerpání alokace průběžné výzvy s alokací 1 mld. Kč z OPŽP14</w:t>
      </w:r>
      <w:r w:rsidR="00DC2416">
        <w:t xml:space="preserve">+ </w:t>
      </w:r>
      <w:r w:rsidRPr="037C6787">
        <w:t>bylo podání jednoho projektu s</w:t>
      </w:r>
      <w:r w:rsidR="00DC2416">
        <w:t> </w:t>
      </w:r>
      <w:r w:rsidRPr="037C6787">
        <w:t>požadovanou dotací ve výši 1,2 mld. Kč prostředků EU (u průběžné výzvy se dle pravidel mohou podpořit projekty, které splnily kritéria přesně v pořadí, v</w:t>
      </w:r>
      <w:r w:rsidR="008332EA">
        <w:t> </w:t>
      </w:r>
      <w:r w:rsidRPr="037C6787">
        <w:t>jakém jsou předloženy).</w:t>
      </w:r>
    </w:p>
    <w:p w14:paraId="1E1C6C00" w14:textId="7A95353F" w:rsidR="006D27D5" w:rsidRPr="006D27D5" w:rsidRDefault="008F6578" w:rsidP="00B571F2">
      <w:pPr>
        <w:pStyle w:val="TextKZ"/>
        <w:numPr>
          <w:ilvl w:val="0"/>
          <w:numId w:val="20"/>
        </w:numPr>
        <w:ind w:left="567" w:hanging="567"/>
        <w:rPr>
          <w:rFonts w:ascii="Calibri" w:eastAsia="Calibri" w:hAnsi="Calibri" w:cs="Calibri"/>
        </w:rPr>
      </w:pPr>
      <w:r w:rsidRPr="009A27B1">
        <w:rPr>
          <w:rFonts w:ascii="Calibri" w:eastAsia="Calibri" w:hAnsi="Calibri" w:cs="Calibri"/>
        </w:rPr>
        <w:t>MŽP sleduje</w:t>
      </w:r>
      <w:r w:rsidR="00241F95" w:rsidRPr="009A27B1">
        <w:rPr>
          <w:rFonts w:ascii="Calibri" w:eastAsia="Calibri" w:hAnsi="Calibri" w:cs="Calibri"/>
        </w:rPr>
        <w:t xml:space="preserve"> a vyhodnocuje</w:t>
      </w:r>
      <w:r w:rsidRPr="009A27B1">
        <w:rPr>
          <w:rFonts w:ascii="Calibri" w:eastAsia="Calibri" w:hAnsi="Calibri" w:cs="Calibri"/>
        </w:rPr>
        <w:t xml:space="preserve"> p</w:t>
      </w:r>
      <w:r w:rsidR="00A06F61" w:rsidRPr="009A27B1">
        <w:rPr>
          <w:rFonts w:ascii="Calibri" w:eastAsia="Calibri" w:hAnsi="Calibri" w:cs="Calibri"/>
        </w:rPr>
        <w:t>ro OPŽP21</w:t>
      </w:r>
      <w:r w:rsidR="00DC2416" w:rsidRPr="009A27B1">
        <w:rPr>
          <w:rFonts w:ascii="Calibri" w:eastAsia="Calibri" w:hAnsi="Calibri" w:cs="Calibri"/>
        </w:rPr>
        <w:t>+</w:t>
      </w:r>
      <w:r w:rsidR="00A06F61" w:rsidRPr="009A27B1">
        <w:rPr>
          <w:rFonts w:ascii="Calibri" w:eastAsia="Calibri" w:hAnsi="Calibri" w:cs="Calibri"/>
        </w:rPr>
        <w:t xml:space="preserve"> jako hlavní a závazné indikátory </w:t>
      </w:r>
      <w:r w:rsidRPr="009A27B1">
        <w:rPr>
          <w:rFonts w:ascii="Calibri" w:eastAsia="Calibri" w:hAnsi="Calibri" w:cs="Calibri"/>
        </w:rPr>
        <w:t>ukazatele</w:t>
      </w:r>
      <w:r w:rsidR="00A06F61" w:rsidRPr="009A27B1">
        <w:rPr>
          <w:rFonts w:ascii="Calibri" w:eastAsia="Calibri" w:hAnsi="Calibri" w:cs="Calibri"/>
        </w:rPr>
        <w:t>, které nemají vypovídací hodnotu k oblasti hospodaření se srážkovými vodami</w:t>
      </w:r>
      <w:r w:rsidR="006309EC" w:rsidRPr="009A27B1">
        <w:rPr>
          <w:rFonts w:ascii="Calibri" w:eastAsia="Calibri" w:hAnsi="Calibri" w:cs="Calibri"/>
        </w:rPr>
        <w:t>.</w:t>
      </w:r>
      <w:r w:rsidR="006309EC" w:rsidRPr="006D27D5">
        <w:rPr>
          <w:rFonts w:ascii="Calibri" w:eastAsia="Calibri" w:hAnsi="Calibri" w:cs="Calibri"/>
        </w:rPr>
        <w:t xml:space="preserve"> Jedná se o</w:t>
      </w:r>
      <w:r w:rsidR="006D27D5" w:rsidRPr="006D27D5">
        <w:rPr>
          <w:rFonts w:ascii="Calibri" w:eastAsia="Calibri" w:hAnsi="Calibri" w:cs="Calibri"/>
        </w:rPr>
        <w:t> </w:t>
      </w:r>
      <w:r w:rsidR="006309EC" w:rsidRPr="006D27D5">
        <w:rPr>
          <w:rFonts w:ascii="Calibri" w:eastAsia="Calibri" w:hAnsi="Calibri" w:cs="Calibri"/>
        </w:rPr>
        <w:t>ukazatele</w:t>
      </w:r>
      <w:r w:rsidR="007E1E5E">
        <w:rPr>
          <w:rFonts w:ascii="Calibri" w:eastAsia="Calibri" w:hAnsi="Calibri" w:cs="Calibri"/>
        </w:rPr>
        <w:t xml:space="preserve"> </w:t>
      </w:r>
      <w:r w:rsidR="00BC0351">
        <w:rPr>
          <w:rFonts w:ascii="Calibri" w:eastAsia="Calibri" w:hAnsi="Calibri" w:cs="Calibri"/>
          <w:i/>
          <w:iCs/>
        </w:rPr>
        <w:t>z</w:t>
      </w:r>
      <w:r w:rsidR="006D27D5" w:rsidRPr="006D27D5">
        <w:rPr>
          <w:rFonts w:ascii="Calibri" w:eastAsia="Calibri" w:hAnsi="Calibri" w:cs="Calibri"/>
          <w:i/>
          <w:iCs/>
        </w:rPr>
        <w:t>elená infrastruktura vybudovaná nebo modernizovaná v souvislosti s přizpůsobováním se změnám klimatu</w:t>
      </w:r>
      <w:r w:rsidR="006D27D5" w:rsidRPr="006D27D5">
        <w:rPr>
          <w:rFonts w:ascii="Calibri" w:eastAsia="Calibri" w:hAnsi="Calibri" w:cs="Calibri"/>
        </w:rPr>
        <w:t xml:space="preserve"> [hektary] a </w:t>
      </w:r>
      <w:r w:rsidR="00BC0351">
        <w:rPr>
          <w:rFonts w:ascii="Calibri" w:eastAsia="Calibri" w:hAnsi="Calibri" w:cs="Calibri"/>
          <w:i/>
          <w:iCs/>
        </w:rPr>
        <w:t>p</w:t>
      </w:r>
      <w:r w:rsidR="006D27D5" w:rsidRPr="006D27D5">
        <w:rPr>
          <w:rFonts w:ascii="Calibri" w:eastAsia="Calibri" w:hAnsi="Calibri" w:cs="Calibri"/>
          <w:i/>
          <w:iCs/>
        </w:rPr>
        <w:t>očet obyvatel, kteří mají prospěch z opatření na ochranu před přírodními katastrofami souvisejícími s klimatem (jinými než povodně nebo požáry)</w:t>
      </w:r>
      <w:r w:rsidR="006D27D5" w:rsidRPr="006D27D5">
        <w:rPr>
          <w:rFonts w:ascii="Calibri" w:eastAsia="Calibri" w:hAnsi="Calibri" w:cs="Calibri"/>
        </w:rPr>
        <w:t>.</w:t>
      </w:r>
    </w:p>
    <w:p w14:paraId="2B3B5214" w14:textId="40B3797C" w:rsidR="006309EC" w:rsidRDefault="006309EC" w:rsidP="00B571F2">
      <w:pPr>
        <w:pStyle w:val="TextKZ"/>
        <w:numPr>
          <w:ilvl w:val="0"/>
          <w:numId w:val="20"/>
        </w:numPr>
        <w:ind w:left="567" w:hanging="567"/>
      </w:pPr>
      <w:r>
        <w:lastRenderedPageBreak/>
        <w:t xml:space="preserve">MŽP dále sleduje u relevantních výzev zaměřených na podporu </w:t>
      </w:r>
      <w:r w:rsidR="0007257A">
        <w:t>hospodaření</w:t>
      </w:r>
      <w:r w:rsidR="00857703">
        <w:t xml:space="preserve"> se srážkovými vodami</w:t>
      </w:r>
      <w:r w:rsidR="0007257A">
        <w:t xml:space="preserve"> </w:t>
      </w:r>
      <w:r w:rsidR="007E1E5E">
        <w:t>SDP</w:t>
      </w:r>
      <w:r w:rsidR="00857703">
        <w:rPr>
          <w:rFonts w:eastAsia="Calibri" w:cs="Calibri"/>
        </w:rPr>
        <w:t xml:space="preserve">, které </w:t>
      </w:r>
      <w:r w:rsidRPr="006309EC">
        <w:rPr>
          <w:rFonts w:eastAsia="Calibri" w:cs="Calibri"/>
        </w:rPr>
        <w:t>v podobě parametrů obecně doplňují monitorovací indikátory, avšak nejsou propisovány např. do výkonnostního rámce operačního programu</w:t>
      </w:r>
      <w:r w:rsidR="00857703">
        <w:rPr>
          <w:rFonts w:eastAsia="Calibri" w:cs="Calibri"/>
        </w:rPr>
        <w:t xml:space="preserve"> a jejich dosažení není závazné</w:t>
      </w:r>
      <w:r w:rsidRPr="006309EC">
        <w:rPr>
          <w:rFonts w:eastAsia="Calibri" w:cs="Calibri"/>
        </w:rPr>
        <w:t>.</w:t>
      </w:r>
      <w:r w:rsidR="00903593" w:rsidRPr="00903593">
        <w:t xml:space="preserve"> </w:t>
      </w:r>
      <w:r w:rsidR="00903593">
        <w:t>SDP nicméně mají vazbu na indikátory ve schválených strategiích</w:t>
      </w:r>
      <w:r w:rsidR="007E1E5E">
        <w:t xml:space="preserve"> </w:t>
      </w:r>
      <w:r w:rsidR="00903593" w:rsidRPr="00DC2DB9">
        <w:t>a</w:t>
      </w:r>
      <w:r w:rsidR="00903593">
        <w:t> </w:t>
      </w:r>
      <w:r w:rsidR="00903593" w:rsidRPr="00DC2DB9">
        <w:t>umožňuji poměřovat vynaložené peněžní prostředky a</w:t>
      </w:r>
      <w:r w:rsidR="00903593">
        <w:t> </w:t>
      </w:r>
      <w:r w:rsidR="00903593" w:rsidRPr="00DC2DB9">
        <w:t>dosažené efekty</w:t>
      </w:r>
      <w:r w:rsidR="00903593" w:rsidRPr="00857703">
        <w:rPr>
          <w:rFonts w:eastAsia="Calibri" w:cs="Calibri"/>
        </w:rPr>
        <w:t xml:space="preserve">. </w:t>
      </w:r>
      <w:r w:rsidR="00903593">
        <w:t>Jejich vykazování může představovat vyšší míru chybovosti, a to v důsledku změn realizovaných u podpořených projektů.</w:t>
      </w:r>
      <w:r w:rsidR="00903593" w:rsidRPr="00857703">
        <w:t xml:space="preserve"> </w:t>
      </w:r>
      <w:r w:rsidR="007E1E5E">
        <w:t xml:space="preserve">NKÚ kontrolou zjistil </w:t>
      </w:r>
      <w:r w:rsidR="00903593" w:rsidRPr="00857703">
        <w:t xml:space="preserve">u čtyř projektů </w:t>
      </w:r>
      <w:r w:rsidR="007E1E5E">
        <w:t xml:space="preserve">z </w:t>
      </w:r>
      <w:r w:rsidR="00903593" w:rsidRPr="00857703">
        <w:t>výzvy č. 19, že žadatel při podání žádosti opomněl některé parametry vyplnit a následně ani hodnotitel se schvalovatelem nenechali chybějící hodnotu doplnit.</w:t>
      </w:r>
    </w:p>
    <w:p w14:paraId="497EEC26" w14:textId="31F513C4" w:rsidR="004D4416" w:rsidRDefault="004E4295" w:rsidP="00B571F2">
      <w:pPr>
        <w:pStyle w:val="TextKZ"/>
        <w:numPr>
          <w:ilvl w:val="0"/>
          <w:numId w:val="20"/>
        </w:numPr>
        <w:ind w:left="567" w:hanging="567"/>
      </w:pPr>
      <w:r>
        <w:t xml:space="preserve">Analýzou specifických datových položek u </w:t>
      </w:r>
      <w:r w:rsidRPr="007E755E">
        <w:t>projektů ve stavu k </w:t>
      </w:r>
      <w:r>
        <w:t>1</w:t>
      </w:r>
      <w:r w:rsidRPr="007E755E">
        <w:t>. 1. 202</w:t>
      </w:r>
      <w:r>
        <w:t xml:space="preserve">5 </w:t>
      </w:r>
      <w:r w:rsidRPr="007E755E">
        <w:t xml:space="preserve">bylo kontrolou NKÚ zjištěno orientační rozdělení projektů, viz </w:t>
      </w:r>
      <w:r w:rsidRPr="00614713">
        <w:t xml:space="preserve">tabulka č. </w:t>
      </w:r>
      <w:r w:rsidR="00614713" w:rsidRPr="00614713">
        <w:t>7</w:t>
      </w:r>
      <w:r w:rsidRPr="007E755E">
        <w:t>.</w:t>
      </w:r>
      <w:r>
        <w:t xml:space="preserve"> Podle analýzy NKÚ se projekty nejčastěji zaměřovaly </w:t>
      </w:r>
      <w:r w:rsidRPr="00AA4D4A">
        <w:t>na retenci a akumulaci</w:t>
      </w:r>
      <w:r>
        <w:t xml:space="preserve"> srážkových vod</w:t>
      </w:r>
      <w:r w:rsidRPr="00AA4D4A">
        <w:t xml:space="preserve"> a</w:t>
      </w:r>
      <w:r>
        <w:t> </w:t>
      </w:r>
      <w:r w:rsidRPr="00AA4D4A">
        <w:t>následovaly projekty týkající se výměny nepropustných povrchů na propustné.</w:t>
      </w:r>
    </w:p>
    <w:p w14:paraId="6AD931A7" w14:textId="7390D15A" w:rsidR="004E4295" w:rsidRPr="00577DE9" w:rsidRDefault="004E4295" w:rsidP="00577DE9">
      <w:pPr>
        <w:pStyle w:val="Titulek"/>
        <w:keepNext/>
        <w:spacing w:before="240" w:after="40"/>
        <w:rPr>
          <w:b w:val="0"/>
          <w:bCs/>
          <w:spacing w:val="-2"/>
        </w:rPr>
      </w:pPr>
      <w:r w:rsidRPr="00577DE9">
        <w:rPr>
          <w:spacing w:val="-2"/>
        </w:rPr>
        <w:t xml:space="preserve">Tabulka č. </w:t>
      </w:r>
      <w:r w:rsidR="00D213BC" w:rsidRPr="00577DE9">
        <w:rPr>
          <w:spacing w:val="-2"/>
        </w:rPr>
        <w:fldChar w:fldCharType="begin"/>
      </w:r>
      <w:r w:rsidR="00D213BC" w:rsidRPr="00577DE9">
        <w:rPr>
          <w:spacing w:val="-2"/>
        </w:rPr>
        <w:instrText xml:space="preserve"> SEQ Tabulka_č. \* ARABIC </w:instrText>
      </w:r>
      <w:r w:rsidR="00D213BC" w:rsidRPr="00577DE9">
        <w:rPr>
          <w:spacing w:val="-2"/>
        </w:rPr>
        <w:fldChar w:fldCharType="separate"/>
      </w:r>
      <w:r w:rsidR="00D213BC" w:rsidRPr="00577DE9">
        <w:rPr>
          <w:noProof/>
          <w:spacing w:val="-2"/>
        </w:rPr>
        <w:t>7</w:t>
      </w:r>
      <w:r w:rsidR="00D213BC" w:rsidRPr="00577DE9">
        <w:rPr>
          <w:noProof/>
          <w:spacing w:val="-2"/>
        </w:rPr>
        <w:fldChar w:fldCharType="end"/>
      </w:r>
      <w:r w:rsidRPr="00577DE9">
        <w:rPr>
          <w:spacing w:val="-2"/>
        </w:rPr>
        <w:t>:</w:t>
      </w:r>
      <w:r w:rsidR="00577DE9" w:rsidRPr="00577DE9">
        <w:rPr>
          <w:spacing w:val="-2"/>
        </w:rPr>
        <w:t xml:space="preserve"> </w:t>
      </w:r>
      <w:r w:rsidRPr="00577DE9">
        <w:rPr>
          <w:spacing w:val="-2"/>
        </w:rPr>
        <w:t>Přehled SDP, počty projektů, dosažené hodnoty SDP k 1. 1. 2025 (opatření 1.3.4)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216"/>
        <w:gridCol w:w="793"/>
        <w:gridCol w:w="1019"/>
        <w:gridCol w:w="1416"/>
      </w:tblGrid>
      <w:tr w:rsidR="00E831E4" w:rsidRPr="00E831E4" w14:paraId="16815626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952CD81" w14:textId="257F9877" w:rsidR="004E4295" w:rsidRPr="00E831E4" w:rsidRDefault="004E4295" w:rsidP="001277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bookmarkStart w:id="22" w:name="_Hlk215470291"/>
            <w:r w:rsidRPr="00E831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  <w:t>Kód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8A28ED3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  <w:t>Název SDP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F4E2100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  <w:t>Počet projektů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354C981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  <w:t>Hodnota SDP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6C31ECC" w14:textId="77777777" w:rsidR="004E4295" w:rsidRPr="00E831E4" w:rsidRDefault="004E4295" w:rsidP="00E831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 w:bidi="bn-BD"/>
              </w:rPr>
              <w:t>Jednotka SDP</w:t>
            </w:r>
          </w:p>
        </w:tc>
      </w:tr>
      <w:tr w:rsidR="00E831E4" w:rsidRPr="00E831E4" w14:paraId="06681BAB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A1B4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758A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Plocha, ze které se zpomaluje odtok srážkové vody z řešených území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38C6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F7B1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435 625,33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3391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54167872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285D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6F4C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Objem zadržené vody za rok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8596" w14:textId="3606BC2C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9033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641 153,88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406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3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/průměrný rok</w:t>
            </w:r>
          </w:p>
        </w:tc>
      </w:tr>
      <w:tr w:rsidR="00E831E4" w:rsidRPr="00E831E4" w14:paraId="325CA419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8514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3E0A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Retenční objem vybudovaných zařízení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BD28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71DC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11 062,00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E5F5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3</w:t>
            </w:r>
          </w:p>
        </w:tc>
      </w:tr>
      <w:tr w:rsidR="00E831E4" w:rsidRPr="00E831E4" w14:paraId="6A6B7905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207C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00E0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Akumulační objem vybudovaných zařízení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6453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7A8D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5 140,27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81D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3</w:t>
            </w:r>
          </w:p>
        </w:tc>
      </w:tr>
      <w:tr w:rsidR="00E831E4" w:rsidRPr="00E831E4" w14:paraId="61C3DACB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91A7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8F88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Zavlažovaná plocha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2269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CCFE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133 555,40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049D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68B01E52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7CD5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BE1C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Plocha vyměněných nepropustných povrchů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23FF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AFB9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90 673,51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2DFE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04D59A51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20B5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8F54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Plocha nově vybudovaných propustných povrchů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5F9B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B232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27 034,85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0FCA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7BDAB07D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D86A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1CD3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Akumulační kapacita střech budov s akumulační schopností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749C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7A17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1 996,78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69AC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3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/průměrný rok</w:t>
            </w:r>
          </w:p>
        </w:tc>
      </w:tr>
      <w:tr w:rsidR="00E831E4" w:rsidRPr="00E831E4" w14:paraId="041A126A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B6C8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101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C470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Plocha zrealizovaných zelených střech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D5DB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EBE1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8 434,56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EEDB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4A975C84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3197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102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59D4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Celková plocha střech na řešených budovách a objektech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EA1E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3B0B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9 750,06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ED09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  <w:r w:rsidRPr="00E831E4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eastAsia="cs-CZ" w:bidi="bn-BD"/>
              </w:rPr>
              <w:t>2</w:t>
            </w:r>
          </w:p>
        </w:tc>
      </w:tr>
      <w:tr w:rsidR="00E831E4" w:rsidRPr="00E831E4" w14:paraId="07BC98CF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2386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105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90EA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Výška instalované zelené střechy nad terénem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348D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F35E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28,30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3770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</w:p>
        </w:tc>
      </w:tr>
      <w:tr w:rsidR="00E831E4" w:rsidRPr="00E831E4" w14:paraId="4E43D0B3" w14:textId="77777777" w:rsidTr="00450717">
        <w:trPr>
          <w:cantSplit/>
          <w:trHeight w:val="25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FDDC" w14:textId="77777777" w:rsidR="004E4295" w:rsidRPr="00E831E4" w:rsidRDefault="004E4295" w:rsidP="0012770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106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D7C2" w14:textId="77777777" w:rsidR="004E4295" w:rsidRPr="00E831E4" w:rsidRDefault="004E4295" w:rsidP="00E831E4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Maximální výška hřebene nebo nejvyššího bodu střechy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0A77" w14:textId="77777777" w:rsidR="004E4295" w:rsidRPr="00E831E4" w:rsidRDefault="004E4295" w:rsidP="00E831E4">
            <w:pPr>
              <w:ind w:right="113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3AAA" w14:textId="77777777" w:rsidR="004E4295" w:rsidRPr="00E831E4" w:rsidRDefault="004E4295" w:rsidP="0012770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40,40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77E2" w14:textId="77777777" w:rsidR="004E4295" w:rsidRPr="00E831E4" w:rsidRDefault="004E4295" w:rsidP="00E831E4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</w:pPr>
            <w:r w:rsidRPr="00E831E4">
              <w:rPr>
                <w:rFonts w:ascii="Calibri" w:hAnsi="Calibri" w:cs="Calibri"/>
                <w:color w:val="000000"/>
                <w:sz w:val="18"/>
                <w:szCs w:val="18"/>
                <w:lang w:eastAsia="cs-CZ" w:bidi="bn-BD"/>
              </w:rPr>
              <w:t>m</w:t>
            </w:r>
          </w:p>
        </w:tc>
      </w:tr>
    </w:tbl>
    <w:bookmarkEnd w:id="22"/>
    <w:p w14:paraId="4FB2745C" w14:textId="6543EC81" w:rsidR="00127707" w:rsidRDefault="004E4295" w:rsidP="00450717">
      <w:pPr>
        <w:pStyle w:val="Zdrojapozn"/>
        <w:spacing w:before="40" w:after="240"/>
      </w:pPr>
      <w:r w:rsidRPr="00577DE9">
        <w:rPr>
          <w:b/>
          <w:bCs/>
        </w:rPr>
        <w:t xml:space="preserve">Zdroj: </w:t>
      </w:r>
      <w:r w:rsidR="00BC0351">
        <w:t>v</w:t>
      </w:r>
      <w:r>
        <w:t>ypracoval NKÚ na základě dat MŽP.</w:t>
      </w:r>
    </w:p>
    <w:p w14:paraId="347F4B7D" w14:textId="7B4F6D63" w:rsidR="00581913" w:rsidRPr="008266C0" w:rsidRDefault="00581913" w:rsidP="00C218B0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8266C0">
        <w:rPr>
          <w:b/>
          <w:bCs/>
          <w:i/>
          <w:iCs/>
          <w:color w:val="AF1953"/>
        </w:rPr>
        <w:t xml:space="preserve">→ </w:t>
      </w:r>
      <w:r>
        <w:rPr>
          <w:b/>
          <w:bCs/>
          <w:i/>
          <w:iCs/>
          <w:color w:val="AF1953"/>
        </w:rPr>
        <w:t>O</w:t>
      </w:r>
      <w:r w:rsidR="009173D0">
        <w:rPr>
          <w:b/>
          <w:bCs/>
          <w:i/>
          <w:iCs/>
          <w:color w:val="AF1953"/>
        </w:rPr>
        <w:t xml:space="preserve">bce neměly zájem o </w:t>
      </w:r>
      <w:r>
        <w:rPr>
          <w:b/>
          <w:bCs/>
          <w:i/>
          <w:iCs/>
          <w:color w:val="AF1953"/>
        </w:rPr>
        <w:t>podporu tvorby adaptačních koncepčních dokumentů z</w:t>
      </w:r>
      <w:r w:rsidR="00DC2416">
        <w:rPr>
          <w:b/>
          <w:bCs/>
          <w:i/>
          <w:iCs/>
          <w:color w:val="AF1953"/>
        </w:rPr>
        <w:t> </w:t>
      </w:r>
      <w:r>
        <w:rPr>
          <w:b/>
          <w:bCs/>
          <w:i/>
          <w:iCs/>
          <w:color w:val="AF1953"/>
        </w:rPr>
        <w:t>OPŽP</w:t>
      </w:r>
      <w:r w:rsidR="00DC2416">
        <w:rPr>
          <w:b/>
          <w:bCs/>
          <w:i/>
          <w:iCs/>
          <w:color w:val="AF1953"/>
        </w:rPr>
        <w:t>21+</w:t>
      </w:r>
      <w:r w:rsidR="00BC0351">
        <w:rPr>
          <w:b/>
          <w:bCs/>
          <w:i/>
          <w:iCs/>
          <w:color w:val="AF1953"/>
        </w:rPr>
        <w:t>.</w:t>
      </w:r>
    </w:p>
    <w:p w14:paraId="127FBA41" w14:textId="79D507B2" w:rsidR="00581913" w:rsidRDefault="00581913" w:rsidP="00B571F2">
      <w:pPr>
        <w:pStyle w:val="TextKZ"/>
        <w:numPr>
          <w:ilvl w:val="0"/>
          <w:numId w:val="20"/>
        </w:numPr>
        <w:spacing w:before="240"/>
        <w:ind w:left="567" w:hanging="567"/>
      </w:pPr>
      <w:r>
        <w:t>Všemi strategickými dokumenty zabývajícími se oblastí hospodaření se srážkovými vodami se prolíná apel na multioborový a koncepční přístup.</w:t>
      </w:r>
      <w:bookmarkStart w:id="23" w:name="_Hlk215471243"/>
      <w:r>
        <w:t xml:space="preserve"> MŽP v roce 2021 nechalo zpracovat podklad </w:t>
      </w:r>
      <w:r w:rsidRPr="00581913">
        <w:rPr>
          <w:i/>
          <w:iCs/>
        </w:rPr>
        <w:t>Analýza dokumentů pro koncepční hospodaření se srážkovou vodou v obcích</w:t>
      </w:r>
      <w:bookmarkEnd w:id="23"/>
      <w:r w:rsidRPr="00DB6B4B">
        <w:t xml:space="preserve">. Hlavním účelem tohoto dokumentu </w:t>
      </w:r>
      <w:r>
        <w:t>bylo</w:t>
      </w:r>
      <w:r w:rsidRPr="00DB6B4B">
        <w:t xml:space="preserve"> provést rozbor dokumentů, které jsou nezbytné pro koncepční řešení srážkových vod na území obce ve vazbě na plánování měst a obcí, a poskytnout podklady pro OPŽP</w:t>
      </w:r>
      <w:r w:rsidR="00DC2416">
        <w:t>21+</w:t>
      </w:r>
      <w:r w:rsidRPr="00DB6B4B">
        <w:t xml:space="preserve"> z hlediska možné finanční podpory těchto dokumentů.</w:t>
      </w:r>
    </w:p>
    <w:p w14:paraId="08CDAA7E" w14:textId="32D15D9D" w:rsidR="00581913" w:rsidRPr="00DB6B4B" w:rsidRDefault="00581913" w:rsidP="00B571F2">
      <w:pPr>
        <w:pStyle w:val="TextKZ"/>
        <w:numPr>
          <w:ilvl w:val="0"/>
          <w:numId w:val="20"/>
        </w:numPr>
        <w:ind w:left="567" w:hanging="567"/>
      </w:pPr>
      <w:r>
        <w:t>Na základě vypracované analýzy</w:t>
      </w:r>
      <w:r w:rsidR="005C081B">
        <w:t xml:space="preserve"> </w:t>
      </w:r>
      <w:r>
        <w:t>a potřeby systémového přístupu k adaptaci obcí na změnu klimatu bylo navrženo, aby v rámci OPŽP21</w:t>
      </w:r>
      <w:r w:rsidR="00DC2416">
        <w:t xml:space="preserve">+ </w:t>
      </w:r>
      <w:r>
        <w:t>bylo podporováno zpracování dvou komplexních dokumentů</w:t>
      </w:r>
      <w:r w:rsidR="006C1290">
        <w:t xml:space="preserve"> – </w:t>
      </w:r>
      <w:r w:rsidRPr="006C1290">
        <w:rPr>
          <w:i/>
          <w:iCs/>
        </w:rPr>
        <w:t>generel</w:t>
      </w:r>
      <w:r w:rsidR="006C1290">
        <w:rPr>
          <w:i/>
          <w:iCs/>
        </w:rPr>
        <w:t>u</w:t>
      </w:r>
      <w:r w:rsidRPr="006C1290">
        <w:rPr>
          <w:i/>
          <w:iCs/>
        </w:rPr>
        <w:t xml:space="preserve"> odtokových poměrů urbanizovaného území</w:t>
      </w:r>
      <w:r w:rsidRPr="00714156">
        <w:rPr>
          <w:rStyle w:val="Znakapoznpodarou"/>
        </w:rPr>
        <w:footnoteReference w:id="16"/>
      </w:r>
      <w:r w:rsidR="006C1290">
        <w:rPr>
          <w:i/>
          <w:iCs/>
        </w:rPr>
        <w:t xml:space="preserve"> </w:t>
      </w:r>
      <w:r w:rsidR="006C1290">
        <w:t>a </w:t>
      </w:r>
      <w:r w:rsidRPr="006C1290">
        <w:rPr>
          <w:i/>
          <w:iCs/>
        </w:rPr>
        <w:t>plán</w:t>
      </w:r>
      <w:r w:rsidR="006C1290">
        <w:rPr>
          <w:i/>
          <w:iCs/>
        </w:rPr>
        <w:t>u</w:t>
      </w:r>
      <w:r w:rsidRPr="006C1290">
        <w:rPr>
          <w:i/>
          <w:iCs/>
        </w:rPr>
        <w:t xml:space="preserve"> odvádění extrémních srážek</w:t>
      </w:r>
      <w:r w:rsidRPr="00DB6B4B">
        <w:t>.</w:t>
      </w:r>
    </w:p>
    <w:p w14:paraId="551269E8" w14:textId="77777777" w:rsidR="00581913" w:rsidRDefault="00581913" w:rsidP="00B571F2">
      <w:pPr>
        <w:pStyle w:val="TextKZ"/>
        <w:numPr>
          <w:ilvl w:val="0"/>
          <w:numId w:val="20"/>
        </w:numPr>
        <w:ind w:left="567" w:hanging="567"/>
      </w:pPr>
      <w:bookmarkStart w:id="24" w:name="_Hlk215471267"/>
      <w:r>
        <w:lastRenderedPageBreak/>
        <w:t>NKÚ zjistil, že o podporu určenou na z</w:t>
      </w:r>
      <w:r w:rsidRPr="0097644C">
        <w:t xml:space="preserve">pracování těchto stěžejních koncepčních materiálů </w:t>
      </w:r>
      <w:r>
        <w:t xml:space="preserve">nebyl ze strany územně samosprávných celků zájem. Z dat monitorovacího systému MS2021+ platných </w:t>
      </w:r>
      <w:r w:rsidRPr="00DB6B4B">
        <w:t>ke dni 23. 9. 2025</w:t>
      </w:r>
      <w:r>
        <w:t xml:space="preserve"> vyplývá, že</w:t>
      </w:r>
      <w:r w:rsidRPr="00DB6B4B">
        <w:t xml:space="preserve"> </w:t>
      </w:r>
      <w:r>
        <w:t xml:space="preserve">byl realizován </w:t>
      </w:r>
      <w:r w:rsidRPr="00DB6B4B">
        <w:t xml:space="preserve">pouze jeden </w:t>
      </w:r>
      <w:bookmarkEnd w:id="24"/>
      <w:r>
        <w:t>projekt.</w:t>
      </w:r>
    </w:p>
    <w:p w14:paraId="3E75C3B8" w14:textId="77777777" w:rsidR="00581913" w:rsidRDefault="00581913" w:rsidP="00B571F2">
      <w:pPr>
        <w:pStyle w:val="TextKZ"/>
        <w:numPr>
          <w:ilvl w:val="0"/>
          <w:numId w:val="20"/>
        </w:numPr>
        <w:ind w:left="567" w:hanging="567"/>
      </w:pPr>
      <w:bookmarkStart w:id="25" w:name="_Hlk215471177"/>
      <w:r w:rsidRPr="00C1568D">
        <w:t xml:space="preserve">NKÚ zjistil, že adaptační strategii, která by měla mj. požadovat zpracování plánu zavádění </w:t>
      </w:r>
      <w:r>
        <w:t>hospodaření se srážkovou vodou</w:t>
      </w:r>
      <w:r w:rsidRPr="00C1568D">
        <w:t xml:space="preserve">, má zpracovanou pouze necelá polovina krajů ČR (6) a pouze čtvrtina z celkového počtu </w:t>
      </w:r>
      <w:r>
        <w:t xml:space="preserve">obcí s rozšířenou působností </w:t>
      </w:r>
      <w:r w:rsidRPr="00C1568D">
        <w:t>(51)</w:t>
      </w:r>
      <w:bookmarkEnd w:id="25"/>
      <w:r>
        <w:t>.</w:t>
      </w:r>
    </w:p>
    <w:p w14:paraId="316E0174" w14:textId="7C953B03" w:rsidR="004D4416" w:rsidRDefault="00F33283" w:rsidP="00B571F2">
      <w:pPr>
        <w:pStyle w:val="TextKZ"/>
        <w:numPr>
          <w:ilvl w:val="0"/>
          <w:numId w:val="20"/>
        </w:numPr>
        <w:ind w:left="567" w:hanging="567"/>
      </w:pPr>
      <w:r>
        <w:t xml:space="preserve">NKÚ dále na vzorku </w:t>
      </w:r>
      <w:r w:rsidR="00130F4B">
        <w:t>devíti</w:t>
      </w:r>
      <w:r>
        <w:t xml:space="preserve"> projektů zjistil, že pouze jeden příjemce podpory realizoval celkem tři kontrolované projekty na základě</w:t>
      </w:r>
      <w:r w:rsidR="00C13B34">
        <w:t xml:space="preserve"> vlastního</w:t>
      </w:r>
      <w:r>
        <w:t xml:space="preserve"> koncepčního dokumentu řešícího oblast hospodaření se srážkovými vodami na území </w:t>
      </w:r>
      <w:r w:rsidR="00C13B34">
        <w:t xml:space="preserve">jeho </w:t>
      </w:r>
      <w:r>
        <w:t>obce.</w:t>
      </w:r>
      <w:r w:rsidR="00C17B0A">
        <w:t xml:space="preserve"> Ostatních šest </w:t>
      </w:r>
      <w:r w:rsidR="0007257A">
        <w:t>kontrolovaných obcí nemělo zpracovaný dokument řešící hospodaření se srážkovými vodami</w:t>
      </w:r>
      <w:r w:rsidR="00C17B0A">
        <w:t xml:space="preserve"> v obci.</w:t>
      </w:r>
    </w:p>
    <w:p w14:paraId="309FEC1E" w14:textId="417FEAF4" w:rsidR="006D27D5" w:rsidRPr="00187C46" w:rsidRDefault="006D27D5" w:rsidP="00427075">
      <w:pPr>
        <w:pStyle w:val="Nadpis2"/>
        <w:keepNext/>
        <w:spacing w:before="240" w:after="240"/>
        <w:ind w:left="284" w:hanging="284"/>
      </w:pPr>
      <w:r w:rsidRPr="00187C46">
        <w:t>Postup příjemců dotací při výběru dodavatel</w:t>
      </w:r>
      <w:r w:rsidR="0080557F">
        <w:t>ů</w:t>
      </w:r>
    </w:p>
    <w:p w14:paraId="3EA116F4" w14:textId="7409C0AB" w:rsidR="00FC3F74" w:rsidRDefault="00FC3F74" w:rsidP="00B571F2">
      <w:pPr>
        <w:pStyle w:val="TextKZ"/>
        <w:numPr>
          <w:ilvl w:val="0"/>
          <w:numId w:val="20"/>
        </w:numPr>
        <w:spacing w:after="240"/>
        <w:ind w:left="567" w:hanging="567"/>
      </w:pPr>
      <w:r w:rsidRPr="509AB09D">
        <w:t xml:space="preserve">NKÚ při kontrole projektů mj. prověřoval, zda příjemci dotace </w:t>
      </w:r>
      <w:r w:rsidR="0080557F">
        <w:t>postupovali při výběru dodavatelů v souladu se zákonem č. 134/2016 Sb</w:t>
      </w:r>
      <w:r w:rsidRPr="509AB09D">
        <w:t>.</w:t>
      </w:r>
    </w:p>
    <w:p w14:paraId="312E68FE" w14:textId="2BE369AD" w:rsidR="0080557F" w:rsidRDefault="0080557F" w:rsidP="00C218B0">
      <w:pPr>
        <w:pStyle w:val="TextKZ"/>
        <w:shd w:val="clear" w:color="auto" w:fill="E6E6E6"/>
        <w:rPr>
          <w:b/>
          <w:bCs/>
          <w:i/>
          <w:iCs/>
          <w:color w:val="AF1953"/>
        </w:rPr>
      </w:pPr>
      <w:r w:rsidRPr="00A06F61">
        <w:rPr>
          <w:b/>
          <w:bCs/>
          <w:i/>
          <w:iCs/>
          <w:color w:val="AF1953"/>
        </w:rPr>
        <w:t>→</w:t>
      </w:r>
      <w:r w:rsidR="00F7785F">
        <w:rPr>
          <w:b/>
          <w:bCs/>
          <w:i/>
          <w:iCs/>
          <w:color w:val="AF1953"/>
        </w:rPr>
        <w:t xml:space="preserve"> P</w:t>
      </w:r>
      <w:r w:rsidRPr="00CF2B34">
        <w:rPr>
          <w:b/>
          <w:bCs/>
          <w:i/>
          <w:iCs/>
          <w:color w:val="AF1953"/>
        </w:rPr>
        <w:t>říjemci</w:t>
      </w:r>
      <w:r w:rsidR="00F7785F">
        <w:rPr>
          <w:b/>
          <w:bCs/>
          <w:i/>
          <w:iCs/>
          <w:color w:val="AF1953"/>
        </w:rPr>
        <w:t xml:space="preserve"> dotace</w:t>
      </w:r>
      <w:r w:rsidRPr="00CF2B34">
        <w:rPr>
          <w:b/>
          <w:bCs/>
          <w:i/>
          <w:iCs/>
          <w:color w:val="AF1953"/>
        </w:rPr>
        <w:t xml:space="preserve"> neoprávněně zvýhodnili specifikované výrobky</w:t>
      </w:r>
      <w:r w:rsidR="00191C08">
        <w:rPr>
          <w:b/>
          <w:bCs/>
          <w:i/>
          <w:iCs/>
          <w:color w:val="AF1953"/>
        </w:rPr>
        <w:t xml:space="preserve"> používané ve stavebnictví</w:t>
      </w:r>
      <w:r w:rsidRPr="00CF2B34">
        <w:rPr>
          <w:b/>
          <w:bCs/>
          <w:i/>
          <w:iCs/>
          <w:color w:val="AF1953"/>
        </w:rPr>
        <w:t>, čímž došlo k narušení hospodářské soutěže</w:t>
      </w:r>
      <w:r w:rsidR="00130F4B">
        <w:rPr>
          <w:b/>
          <w:bCs/>
          <w:i/>
          <w:iCs/>
          <w:color w:val="AF1953"/>
        </w:rPr>
        <w:t>.</w:t>
      </w:r>
    </w:p>
    <w:p w14:paraId="5C7EA2FA" w14:textId="6A59C3F5" w:rsidR="0080557F" w:rsidRPr="00726077" w:rsidRDefault="0080557F" w:rsidP="00B571F2">
      <w:pPr>
        <w:pStyle w:val="TextKZ"/>
        <w:numPr>
          <w:ilvl w:val="0"/>
          <w:numId w:val="20"/>
        </w:numPr>
        <w:spacing w:before="240"/>
        <w:ind w:left="567" w:hanging="567"/>
      </w:pPr>
      <w:r w:rsidRPr="0080557F">
        <w:t>Tři kontrolované obce porušily zákon č. 134/2016 Sb., když v zadávacích podmínkách uvedly přímé či nepřímé odkazy na konkrétní výrobky používané ve stavebnictví.</w:t>
      </w:r>
      <w:r w:rsidR="00191C08">
        <w:t xml:space="preserve"> </w:t>
      </w:r>
      <w:r w:rsidRPr="00191C08">
        <w:rPr>
          <w:rFonts w:ascii="Calibri" w:eastAsia="Calibri" w:hAnsi="Calibri" w:cs="Calibri"/>
        </w:rPr>
        <w:t>Užití přímých či nepřímých odkazů na konkrétní výrobky nebylo ve výše uvedených případech odůvodněno předmětem veřejné zakázky. Příjemci dotace</w:t>
      </w:r>
      <w:r w:rsidRPr="00191C08">
        <w:rPr>
          <w:rFonts w:ascii="Calibri" w:eastAsia="Calibri" w:hAnsi="Calibri" w:cs="Calibri"/>
          <w:i/>
          <w:iCs/>
        </w:rPr>
        <w:t xml:space="preserve"> </w:t>
      </w:r>
      <w:r w:rsidRPr="00191C08">
        <w:rPr>
          <w:rFonts w:ascii="Calibri" w:eastAsia="Calibri" w:hAnsi="Calibri" w:cs="Calibri"/>
        </w:rPr>
        <w:t>měli technické podmínky vymezit dostatečně přesně, úplně a srozumitelně, a to za použití obecného popisu předmětu veřejné zakázky a technických podmínek, a tedy bez značkové specifikace předmětných výrobků.</w:t>
      </w:r>
    </w:p>
    <w:p w14:paraId="071A1CE2" w14:textId="6D6E8F88" w:rsidR="002E7E15" w:rsidRPr="005D7DF9" w:rsidRDefault="002E7E15" w:rsidP="00450717">
      <w:pPr>
        <w:pStyle w:val="Titulek"/>
        <w:tabs>
          <w:tab w:val="right" w:pos="9072"/>
        </w:tabs>
        <w:spacing w:before="240" w:after="40"/>
        <w:rPr>
          <w:b w:val="0"/>
          <w:bCs/>
        </w:rPr>
      </w:pPr>
      <w:r w:rsidRPr="00614713">
        <w:t xml:space="preserve">Tabulka č. </w:t>
      </w:r>
      <w:fldSimple w:instr=" SEQ Tabulka_č. \* ARABIC ">
        <w:r w:rsidR="00D213BC">
          <w:rPr>
            <w:noProof/>
          </w:rPr>
          <w:t>8</w:t>
        </w:r>
      </w:fldSimple>
      <w:r w:rsidRPr="00614713">
        <w:t>:</w:t>
      </w:r>
      <w:r w:rsidRPr="00450717">
        <w:t xml:space="preserve"> Přehled </w:t>
      </w:r>
      <w:r w:rsidR="005D7DF9" w:rsidRPr="00450717">
        <w:t>projektů – užití přímých či nepřímých odkazů na výrobky</w:t>
      </w:r>
      <w:r w:rsidR="005D7DF9" w:rsidRPr="00450717">
        <w:tab/>
      </w:r>
      <w:r w:rsidR="00130F4B">
        <w:t>(</w:t>
      </w:r>
      <w:r w:rsidR="005D7DF9" w:rsidRPr="00450717">
        <w:t>v Kč</w:t>
      </w:r>
      <w:r w:rsidR="00130F4B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304"/>
        <w:gridCol w:w="1304"/>
        <w:gridCol w:w="1709"/>
        <w:gridCol w:w="1757"/>
        <w:gridCol w:w="1191"/>
        <w:gridCol w:w="964"/>
      </w:tblGrid>
      <w:tr w:rsidR="00535AC6" w:rsidRPr="00535AC6" w14:paraId="26001892" w14:textId="3BBD2C0B" w:rsidTr="004176E2">
        <w:trPr>
          <w:trHeight w:val="255"/>
          <w:jc w:val="center"/>
        </w:trPr>
        <w:tc>
          <w:tcPr>
            <w:tcW w:w="832" w:type="dxa"/>
            <w:shd w:val="clear" w:color="000000" w:fill="E6E6E6"/>
            <w:vAlign w:val="center"/>
            <w:hideMark/>
          </w:tcPr>
          <w:p w14:paraId="406CDAD0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Dotační titul</w:t>
            </w:r>
          </w:p>
        </w:tc>
        <w:tc>
          <w:tcPr>
            <w:tcW w:w="1304" w:type="dxa"/>
            <w:shd w:val="clear" w:color="000000" w:fill="E6E6E6"/>
            <w:vAlign w:val="center"/>
            <w:hideMark/>
          </w:tcPr>
          <w:p w14:paraId="2B1321AD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304" w:type="dxa"/>
            <w:shd w:val="clear" w:color="000000" w:fill="E6E6E6"/>
            <w:vAlign w:val="center"/>
            <w:hideMark/>
          </w:tcPr>
          <w:p w14:paraId="17FFA199" w14:textId="77777777" w:rsidR="00535AC6" w:rsidRPr="00535AC6" w:rsidRDefault="00535AC6" w:rsidP="00EF42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Žadatel</w:t>
            </w:r>
          </w:p>
        </w:tc>
        <w:tc>
          <w:tcPr>
            <w:tcW w:w="1709" w:type="dxa"/>
            <w:shd w:val="clear" w:color="000000" w:fill="E6E6E6"/>
            <w:vAlign w:val="center"/>
          </w:tcPr>
          <w:p w14:paraId="0D9E429C" w14:textId="39C52E4C" w:rsidR="00535AC6" w:rsidRPr="00535AC6" w:rsidRDefault="00535AC6" w:rsidP="002E7E1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Zjednodušený předmět zakázky</w:t>
            </w:r>
          </w:p>
        </w:tc>
        <w:tc>
          <w:tcPr>
            <w:tcW w:w="1757" w:type="dxa"/>
            <w:shd w:val="clear" w:color="000000" w:fill="E6E6E6"/>
            <w:vAlign w:val="center"/>
          </w:tcPr>
          <w:p w14:paraId="44E72374" w14:textId="12BF16A5" w:rsidR="00535AC6" w:rsidRPr="00535AC6" w:rsidRDefault="00535AC6" w:rsidP="00EF42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hodnota veřejné zakázky</w:t>
            </w:r>
          </w:p>
        </w:tc>
        <w:tc>
          <w:tcPr>
            <w:tcW w:w="1191" w:type="dxa"/>
            <w:shd w:val="clear" w:color="000000" w:fill="E6E6E6"/>
            <w:vAlign w:val="center"/>
          </w:tcPr>
          <w:p w14:paraId="7247EDCF" w14:textId="12BD4135" w:rsidR="00535AC6" w:rsidRPr="00535AC6" w:rsidRDefault="00535AC6" w:rsidP="00EF42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Vítězná nabídková cena</w:t>
            </w:r>
          </w:p>
        </w:tc>
        <w:tc>
          <w:tcPr>
            <w:tcW w:w="964" w:type="dxa"/>
            <w:shd w:val="clear" w:color="000000" w:fill="E6E6E6"/>
            <w:vAlign w:val="center"/>
          </w:tcPr>
          <w:p w14:paraId="3FD8C110" w14:textId="77777777" w:rsidR="00535AC6" w:rsidRDefault="00535AC6" w:rsidP="00EF42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Dotace</w:t>
            </w:r>
          </w:p>
          <w:p w14:paraId="634F7BE9" w14:textId="2B3E84BD" w:rsidR="00535AC6" w:rsidRPr="00535AC6" w:rsidRDefault="00535AC6" w:rsidP="00EF42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(právní akt)</w:t>
            </w:r>
          </w:p>
        </w:tc>
      </w:tr>
      <w:tr w:rsidR="00535AC6" w:rsidRPr="00535AC6" w14:paraId="2B760F50" w14:textId="7B517248" w:rsidTr="004176E2">
        <w:trPr>
          <w:trHeight w:val="255"/>
          <w:jc w:val="center"/>
        </w:trPr>
        <w:tc>
          <w:tcPr>
            <w:tcW w:w="832" w:type="dxa"/>
            <w:vAlign w:val="center"/>
            <w:hideMark/>
          </w:tcPr>
          <w:p w14:paraId="67784484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OPŽP21+</w:t>
            </w:r>
          </w:p>
        </w:tc>
        <w:tc>
          <w:tcPr>
            <w:tcW w:w="1304" w:type="dxa"/>
            <w:vAlign w:val="center"/>
            <w:hideMark/>
          </w:tcPr>
          <w:p w14:paraId="7AF0ED97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</w:t>
            </w:r>
          </w:p>
          <w:p w14:paraId="0BE95BB7" w14:textId="2AC5A252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22_019/0000561</w:t>
            </w:r>
          </w:p>
        </w:tc>
        <w:tc>
          <w:tcPr>
            <w:tcW w:w="1304" w:type="dxa"/>
            <w:vAlign w:val="center"/>
            <w:hideMark/>
          </w:tcPr>
          <w:p w14:paraId="12703434" w14:textId="77777777" w:rsidR="00535AC6" w:rsidRPr="00535AC6" w:rsidRDefault="00535AC6" w:rsidP="002E7E15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Obec Přísnotice</w:t>
            </w:r>
          </w:p>
        </w:tc>
        <w:tc>
          <w:tcPr>
            <w:tcW w:w="1709" w:type="dxa"/>
            <w:vAlign w:val="center"/>
          </w:tcPr>
          <w:p w14:paraId="1A0483C1" w14:textId="40F6C68E" w:rsidR="00535AC6" w:rsidRPr="00535AC6" w:rsidRDefault="00535AC6" w:rsidP="00424A4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Výměna nepropustných povrchů – komunikace</w:t>
            </w:r>
          </w:p>
        </w:tc>
        <w:tc>
          <w:tcPr>
            <w:tcW w:w="1757" w:type="dxa"/>
            <w:vAlign w:val="center"/>
          </w:tcPr>
          <w:p w14:paraId="758F759F" w14:textId="7540420F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45 376 966</w:t>
            </w:r>
          </w:p>
        </w:tc>
        <w:tc>
          <w:tcPr>
            <w:tcW w:w="1191" w:type="dxa"/>
            <w:vAlign w:val="center"/>
          </w:tcPr>
          <w:p w14:paraId="1BA04096" w14:textId="75C289E3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49 729 794</w:t>
            </w:r>
          </w:p>
        </w:tc>
        <w:tc>
          <w:tcPr>
            <w:tcW w:w="964" w:type="dxa"/>
            <w:vAlign w:val="center"/>
          </w:tcPr>
          <w:p w14:paraId="7E9A2FC9" w14:textId="786CF245" w:rsidR="00535AC6" w:rsidRPr="00535AC6" w:rsidRDefault="00535AC6" w:rsidP="004176E2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49 334 837</w:t>
            </w:r>
          </w:p>
        </w:tc>
      </w:tr>
      <w:tr w:rsidR="00535AC6" w:rsidRPr="00535AC6" w14:paraId="53095AFB" w14:textId="7C282721" w:rsidTr="004176E2">
        <w:trPr>
          <w:trHeight w:val="255"/>
          <w:jc w:val="center"/>
        </w:trPr>
        <w:tc>
          <w:tcPr>
            <w:tcW w:w="832" w:type="dxa"/>
            <w:vAlign w:val="center"/>
            <w:hideMark/>
          </w:tcPr>
          <w:p w14:paraId="6B364900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OPŽP21+</w:t>
            </w:r>
          </w:p>
        </w:tc>
        <w:tc>
          <w:tcPr>
            <w:tcW w:w="1304" w:type="dxa"/>
            <w:vAlign w:val="center"/>
            <w:hideMark/>
          </w:tcPr>
          <w:p w14:paraId="798E08AE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</w:t>
            </w:r>
          </w:p>
          <w:p w14:paraId="1C9B7625" w14:textId="07D7B6D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22_019/0002265</w:t>
            </w:r>
          </w:p>
        </w:tc>
        <w:tc>
          <w:tcPr>
            <w:tcW w:w="1304" w:type="dxa"/>
            <w:vAlign w:val="center"/>
            <w:hideMark/>
          </w:tcPr>
          <w:p w14:paraId="131027B6" w14:textId="77777777" w:rsidR="00535AC6" w:rsidRPr="00535AC6" w:rsidRDefault="00535AC6" w:rsidP="002E7E15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Obec Unkovice</w:t>
            </w:r>
          </w:p>
        </w:tc>
        <w:tc>
          <w:tcPr>
            <w:tcW w:w="1709" w:type="dxa"/>
            <w:vAlign w:val="center"/>
          </w:tcPr>
          <w:p w14:paraId="25C7D469" w14:textId="2B8CB04A" w:rsidR="00535AC6" w:rsidRPr="00535AC6" w:rsidRDefault="00535AC6" w:rsidP="00424A4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Výměna nepropustných povrchů – komunikace</w:t>
            </w:r>
          </w:p>
        </w:tc>
        <w:tc>
          <w:tcPr>
            <w:tcW w:w="1757" w:type="dxa"/>
            <w:vAlign w:val="center"/>
          </w:tcPr>
          <w:p w14:paraId="6DD0226B" w14:textId="6FEB1055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32 000 000</w:t>
            </w:r>
          </w:p>
        </w:tc>
        <w:tc>
          <w:tcPr>
            <w:tcW w:w="1191" w:type="dxa"/>
            <w:vAlign w:val="center"/>
          </w:tcPr>
          <w:p w14:paraId="64C550A4" w14:textId="763CBDD6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19 798 738</w:t>
            </w:r>
          </w:p>
        </w:tc>
        <w:tc>
          <w:tcPr>
            <w:tcW w:w="964" w:type="dxa"/>
            <w:vAlign w:val="center"/>
          </w:tcPr>
          <w:p w14:paraId="2B721998" w14:textId="61BCD6A7" w:rsidR="00535AC6" w:rsidRPr="00535AC6" w:rsidRDefault="00535AC6" w:rsidP="004176E2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14 144 742</w:t>
            </w:r>
          </w:p>
        </w:tc>
      </w:tr>
      <w:tr w:rsidR="00535AC6" w:rsidRPr="00535AC6" w14:paraId="453BF1AE" w14:textId="534CB8C1" w:rsidTr="004176E2">
        <w:trPr>
          <w:trHeight w:val="255"/>
          <w:jc w:val="center"/>
        </w:trPr>
        <w:tc>
          <w:tcPr>
            <w:tcW w:w="832" w:type="dxa"/>
            <w:vAlign w:val="center"/>
            <w:hideMark/>
          </w:tcPr>
          <w:p w14:paraId="785CEF52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NPŽP-NPO</w:t>
            </w:r>
          </w:p>
        </w:tc>
        <w:tc>
          <w:tcPr>
            <w:tcW w:w="1304" w:type="dxa"/>
            <w:vAlign w:val="center"/>
            <w:hideMark/>
          </w:tcPr>
          <w:p w14:paraId="205614C0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5211000066</w:t>
            </w:r>
          </w:p>
        </w:tc>
        <w:tc>
          <w:tcPr>
            <w:tcW w:w="1304" w:type="dxa"/>
            <w:vAlign w:val="center"/>
            <w:hideMark/>
          </w:tcPr>
          <w:p w14:paraId="2166DC40" w14:textId="77777777" w:rsidR="00535AC6" w:rsidRPr="00535AC6" w:rsidRDefault="00535AC6" w:rsidP="002E7E15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Statutární město Chomutov</w:t>
            </w:r>
          </w:p>
        </w:tc>
        <w:tc>
          <w:tcPr>
            <w:tcW w:w="1709" w:type="dxa"/>
            <w:vAlign w:val="center"/>
          </w:tcPr>
          <w:p w14:paraId="0B92DE78" w14:textId="10B16FAB" w:rsidR="00535AC6" w:rsidRPr="00535AC6" w:rsidRDefault="00535AC6" w:rsidP="00424A4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Rekonstrukce školky, zelená střecha</w:t>
            </w:r>
          </w:p>
        </w:tc>
        <w:tc>
          <w:tcPr>
            <w:tcW w:w="1757" w:type="dxa"/>
            <w:vAlign w:val="center"/>
          </w:tcPr>
          <w:p w14:paraId="021C3635" w14:textId="428FCD4A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15 832 170</w:t>
            </w:r>
          </w:p>
        </w:tc>
        <w:tc>
          <w:tcPr>
            <w:tcW w:w="1191" w:type="dxa"/>
            <w:vAlign w:val="center"/>
          </w:tcPr>
          <w:p w14:paraId="1FEA42E4" w14:textId="630792B4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14 886 773</w:t>
            </w:r>
          </w:p>
        </w:tc>
        <w:tc>
          <w:tcPr>
            <w:tcW w:w="964" w:type="dxa"/>
            <w:vAlign w:val="center"/>
          </w:tcPr>
          <w:p w14:paraId="4158AA77" w14:textId="7AA61ED3" w:rsidR="00535AC6" w:rsidRPr="00535AC6" w:rsidRDefault="00535AC6" w:rsidP="004176E2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3 836 904</w:t>
            </w:r>
          </w:p>
        </w:tc>
      </w:tr>
      <w:tr w:rsidR="00535AC6" w:rsidRPr="00EF423C" w14:paraId="44B81318" w14:textId="019075B8" w:rsidTr="004176E2">
        <w:trPr>
          <w:trHeight w:val="255"/>
          <w:jc w:val="center"/>
        </w:trPr>
        <w:tc>
          <w:tcPr>
            <w:tcW w:w="832" w:type="dxa"/>
            <w:vAlign w:val="center"/>
            <w:hideMark/>
          </w:tcPr>
          <w:p w14:paraId="27B382D2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NPŽP-NPO</w:t>
            </w:r>
          </w:p>
        </w:tc>
        <w:tc>
          <w:tcPr>
            <w:tcW w:w="1304" w:type="dxa"/>
            <w:vAlign w:val="center"/>
            <w:hideMark/>
          </w:tcPr>
          <w:p w14:paraId="2CAE6744" w14:textId="77777777" w:rsidR="00535AC6" w:rsidRPr="00535AC6" w:rsidRDefault="00535AC6" w:rsidP="004176E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5211000067</w:t>
            </w:r>
          </w:p>
        </w:tc>
        <w:tc>
          <w:tcPr>
            <w:tcW w:w="1304" w:type="dxa"/>
            <w:vAlign w:val="center"/>
            <w:hideMark/>
          </w:tcPr>
          <w:p w14:paraId="39BC5F4A" w14:textId="77777777" w:rsidR="00535AC6" w:rsidRPr="00535AC6" w:rsidRDefault="00535AC6" w:rsidP="002E7E15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Statutární město Chomutov</w:t>
            </w:r>
          </w:p>
        </w:tc>
        <w:tc>
          <w:tcPr>
            <w:tcW w:w="1709" w:type="dxa"/>
            <w:vAlign w:val="center"/>
          </w:tcPr>
          <w:p w14:paraId="2BA44B59" w14:textId="27BDF806" w:rsidR="00535AC6" w:rsidRPr="00535AC6" w:rsidRDefault="00535AC6" w:rsidP="004507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Rekonstrukce školky,</w:t>
            </w:r>
            <w:r w:rsidR="004507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zelená střecha</w:t>
            </w:r>
          </w:p>
        </w:tc>
        <w:tc>
          <w:tcPr>
            <w:tcW w:w="1757" w:type="dxa"/>
            <w:vAlign w:val="center"/>
          </w:tcPr>
          <w:p w14:paraId="0AA06D95" w14:textId="101F6A30" w:rsidR="00535AC6" w:rsidRPr="00535AC6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19 651 783</w:t>
            </w:r>
          </w:p>
        </w:tc>
        <w:tc>
          <w:tcPr>
            <w:tcW w:w="1191" w:type="dxa"/>
            <w:vAlign w:val="center"/>
          </w:tcPr>
          <w:p w14:paraId="2092AA2D" w14:textId="4121254B" w:rsidR="00535AC6" w:rsidRPr="00EF423C" w:rsidRDefault="00535AC6" w:rsidP="004176E2">
            <w:pPr>
              <w:ind w:right="113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19 436 131</w:t>
            </w:r>
          </w:p>
        </w:tc>
        <w:tc>
          <w:tcPr>
            <w:tcW w:w="964" w:type="dxa"/>
            <w:vAlign w:val="center"/>
          </w:tcPr>
          <w:p w14:paraId="1E00C932" w14:textId="5231C130" w:rsidR="00535AC6" w:rsidRPr="00535AC6" w:rsidRDefault="00535AC6" w:rsidP="004176E2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35A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8 554 49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14:paraId="119D56D7" w14:textId="45853537" w:rsidR="00E33FB4" w:rsidRPr="00CF2B34" w:rsidRDefault="002E7E15" w:rsidP="004176E2">
      <w:pPr>
        <w:pStyle w:val="Zdrojeapozn"/>
        <w:spacing w:before="40" w:after="240"/>
      </w:pPr>
      <w:r w:rsidRPr="004176E2">
        <w:rPr>
          <w:b/>
          <w:bCs w:val="0"/>
        </w:rPr>
        <w:t xml:space="preserve">Zdroj: </w:t>
      </w:r>
      <w:r w:rsidR="00130F4B">
        <w:t>v</w:t>
      </w:r>
      <w:r>
        <w:t xml:space="preserve">ypracoval NKÚ na základě dat </w:t>
      </w:r>
      <w:r w:rsidR="005D7DF9">
        <w:t>od kontrolovaných subjektů</w:t>
      </w:r>
      <w:r>
        <w:t>.</w:t>
      </w:r>
    </w:p>
    <w:p w14:paraId="013F2E56" w14:textId="40BD9F90" w:rsidR="0080557F" w:rsidRDefault="0080557F" w:rsidP="00C218B0">
      <w:pPr>
        <w:pStyle w:val="TextKZ"/>
        <w:shd w:val="clear" w:color="auto" w:fill="E6E6E6"/>
        <w:rPr>
          <w:rFonts w:ascii="Calibri" w:eastAsia="Calibri" w:hAnsi="Calibri" w:cs="Calibri"/>
        </w:rPr>
      </w:pPr>
      <w:r w:rsidRPr="00A06F61">
        <w:rPr>
          <w:b/>
          <w:bCs/>
          <w:i/>
          <w:iCs/>
          <w:color w:val="AF1953"/>
        </w:rPr>
        <w:t xml:space="preserve">→ </w:t>
      </w:r>
      <w:r w:rsidR="004C7B76">
        <w:rPr>
          <w:b/>
          <w:bCs/>
          <w:i/>
          <w:iCs/>
          <w:color w:val="AF1953"/>
        </w:rPr>
        <w:t>P</w:t>
      </w:r>
      <w:r w:rsidR="00191C08">
        <w:rPr>
          <w:b/>
          <w:bCs/>
          <w:i/>
          <w:iCs/>
          <w:color w:val="AF1953"/>
        </w:rPr>
        <w:t>říjemce</w:t>
      </w:r>
      <w:r w:rsidR="004C7B76">
        <w:rPr>
          <w:b/>
          <w:bCs/>
          <w:i/>
          <w:iCs/>
          <w:color w:val="AF1953"/>
        </w:rPr>
        <w:t xml:space="preserve"> dotace</w:t>
      </w:r>
      <w:r w:rsidR="00191C08">
        <w:rPr>
          <w:b/>
          <w:bCs/>
          <w:i/>
          <w:iCs/>
          <w:color w:val="AF1953"/>
        </w:rPr>
        <w:t xml:space="preserve"> </w:t>
      </w:r>
      <w:r>
        <w:rPr>
          <w:b/>
          <w:bCs/>
          <w:i/>
          <w:iCs/>
          <w:color w:val="AF1953"/>
        </w:rPr>
        <w:t>porušil zásady zadávání veřejných zakázek</w:t>
      </w:r>
      <w:r w:rsidR="00130F4B">
        <w:rPr>
          <w:b/>
          <w:bCs/>
          <w:i/>
          <w:iCs/>
          <w:color w:val="AF1953"/>
        </w:rPr>
        <w:t>.</w:t>
      </w:r>
    </w:p>
    <w:p w14:paraId="6FE140BA" w14:textId="34E4CF95" w:rsidR="0080557F" w:rsidRDefault="000D77DC" w:rsidP="00B571F2">
      <w:pPr>
        <w:pStyle w:val="TextKZ"/>
        <w:numPr>
          <w:ilvl w:val="0"/>
          <w:numId w:val="20"/>
        </w:numPr>
        <w:spacing w:before="240" w:after="240"/>
        <w:ind w:left="567" w:hanging="567"/>
      </w:pPr>
      <w:r>
        <w:t xml:space="preserve">Jeden z příjemců dotace porušil </w:t>
      </w:r>
      <w:r w:rsidR="0080557F" w:rsidRPr="509AB09D">
        <w:t>zákon č.</w:t>
      </w:r>
      <w:r w:rsidR="0080557F">
        <w:t> </w:t>
      </w:r>
      <w:r w:rsidR="0080557F" w:rsidRPr="509AB09D">
        <w:t>134/2016</w:t>
      </w:r>
      <w:r w:rsidR="0080557F">
        <w:t> </w:t>
      </w:r>
      <w:r w:rsidR="0080557F" w:rsidRPr="509AB09D">
        <w:t>Sb., když při zadávání veřejné zakázky malého rozsahu nedodržel zásady transparentnosti, přiměřenosti, rovného zacházení</w:t>
      </w:r>
      <w:r>
        <w:t xml:space="preserve"> a</w:t>
      </w:r>
      <w:r w:rsidR="00EF2E0E">
        <w:t> </w:t>
      </w:r>
      <w:r w:rsidR="0080557F" w:rsidRPr="509AB09D">
        <w:t>zákazu diskriminace, neboť dodavatele na zajištění dotačního managementu projektu vybral pouze na základě předchozích zkušeností, čímž omezil možnost účasti více dodavatelů a</w:t>
      </w:r>
      <w:r w:rsidR="00F7785F">
        <w:t> </w:t>
      </w:r>
      <w:r w:rsidR="0080557F" w:rsidRPr="509AB09D">
        <w:t>možnost přezkoumat úkony související s výběrem dodavatele.</w:t>
      </w:r>
      <w:r w:rsidR="00A479F7">
        <w:t xml:space="preserve"> Vítězná nabídková cena činila 189 000 Kč bez DPH.</w:t>
      </w:r>
    </w:p>
    <w:p w14:paraId="0A7F13D7" w14:textId="77D5C46A" w:rsidR="00EA758F" w:rsidRPr="006D27D5" w:rsidRDefault="0080557F" w:rsidP="00EA758F">
      <w:pPr>
        <w:pStyle w:val="TextKZ"/>
        <w:shd w:val="clear" w:color="auto" w:fill="E6E6E6"/>
      </w:pPr>
      <w:r w:rsidRPr="00EF2E0E">
        <w:rPr>
          <w:b/>
          <w:bCs/>
          <w:i/>
          <w:iCs/>
          <w:color w:val="AF1953"/>
          <w:shd w:val="clear" w:color="auto" w:fill="E6E6E6"/>
        </w:rPr>
        <w:t>→ Uveden</w:t>
      </w:r>
      <w:r w:rsidR="00F7785F" w:rsidRPr="00EF2E0E">
        <w:rPr>
          <w:b/>
          <w:bCs/>
          <w:i/>
          <w:iCs/>
          <w:color w:val="AF1953"/>
          <w:shd w:val="clear" w:color="auto" w:fill="E6E6E6"/>
        </w:rPr>
        <w:t xml:space="preserve">á </w:t>
      </w:r>
      <w:r w:rsidRPr="00EF2E0E">
        <w:rPr>
          <w:b/>
          <w:bCs/>
          <w:i/>
          <w:iCs/>
          <w:color w:val="AF1953"/>
          <w:shd w:val="clear" w:color="auto" w:fill="E6E6E6"/>
        </w:rPr>
        <w:t>jednání příjemc</w:t>
      </w:r>
      <w:r w:rsidR="00F7785F" w:rsidRPr="00EF2E0E">
        <w:rPr>
          <w:b/>
          <w:bCs/>
          <w:i/>
          <w:iCs/>
          <w:color w:val="AF1953"/>
          <w:shd w:val="clear" w:color="auto" w:fill="E6E6E6"/>
        </w:rPr>
        <w:t>ů</w:t>
      </w:r>
      <w:r w:rsidRPr="00EF2E0E">
        <w:rPr>
          <w:b/>
          <w:bCs/>
          <w:i/>
          <w:iCs/>
          <w:color w:val="AF1953"/>
          <w:shd w:val="clear" w:color="auto" w:fill="E6E6E6"/>
        </w:rPr>
        <w:t xml:space="preserve"> dotací </w:t>
      </w:r>
      <w:r w:rsidR="00F7785F" w:rsidRPr="00EF2E0E">
        <w:rPr>
          <w:b/>
          <w:bCs/>
          <w:i/>
          <w:iCs/>
          <w:color w:val="AF1953"/>
          <w:shd w:val="clear" w:color="auto" w:fill="E6E6E6"/>
        </w:rPr>
        <w:t>nasvědčují porušení</w:t>
      </w:r>
      <w:r w:rsidRPr="00EF2E0E">
        <w:rPr>
          <w:b/>
          <w:bCs/>
          <w:i/>
          <w:iCs/>
          <w:color w:val="AF1953"/>
          <w:shd w:val="clear" w:color="auto" w:fill="E6E6E6"/>
        </w:rPr>
        <w:t xml:space="preserve"> </w:t>
      </w:r>
      <w:r w:rsidR="00F7785F" w:rsidRPr="00EF2E0E">
        <w:rPr>
          <w:b/>
          <w:bCs/>
          <w:i/>
          <w:iCs/>
          <w:color w:val="AF1953"/>
          <w:shd w:val="clear" w:color="auto" w:fill="E6E6E6"/>
        </w:rPr>
        <w:t>r</w:t>
      </w:r>
      <w:r w:rsidRPr="00EF2E0E">
        <w:rPr>
          <w:b/>
          <w:bCs/>
          <w:i/>
          <w:iCs/>
          <w:color w:val="AF1953"/>
          <w:shd w:val="clear" w:color="auto" w:fill="E6E6E6"/>
        </w:rPr>
        <w:t>ozpočtov</w:t>
      </w:r>
      <w:r w:rsidR="00F7785F" w:rsidRPr="00EF2E0E">
        <w:rPr>
          <w:b/>
          <w:bCs/>
          <w:i/>
          <w:iCs/>
          <w:color w:val="AF1953"/>
          <w:shd w:val="clear" w:color="auto" w:fill="E6E6E6"/>
        </w:rPr>
        <w:t>é</w:t>
      </w:r>
      <w:r w:rsidRPr="00EF2E0E">
        <w:rPr>
          <w:b/>
          <w:bCs/>
          <w:i/>
          <w:iCs/>
          <w:color w:val="AF1953"/>
          <w:shd w:val="clear" w:color="auto" w:fill="E6E6E6"/>
        </w:rPr>
        <w:t xml:space="preserve"> ká</w:t>
      </w:r>
      <w:r w:rsidR="00EA758F">
        <w:rPr>
          <w:b/>
          <w:bCs/>
          <w:i/>
          <w:iCs/>
          <w:color w:val="AF1953"/>
          <w:shd w:val="clear" w:color="auto" w:fill="E6E6E6"/>
        </w:rPr>
        <w:t>zně</w:t>
      </w:r>
      <w:r w:rsidR="00EA758F">
        <w:rPr>
          <w:b/>
          <w:bCs/>
          <w:i/>
          <w:iCs/>
          <w:color w:val="AF1953"/>
        </w:rPr>
        <w:t>.</w:t>
      </w:r>
    </w:p>
    <w:p w14:paraId="21DE7D32" w14:textId="4828E444" w:rsidR="0080557F" w:rsidRDefault="0080557F" w:rsidP="00127707">
      <w:pPr>
        <w:pStyle w:val="TextKZ"/>
        <w:rPr>
          <w:rFonts w:ascii="Calibri" w:eastAsia="Calibri" w:hAnsi="Calibri" w:cs="Calibri"/>
        </w:rPr>
      </w:pPr>
    </w:p>
    <w:p w14:paraId="5B636F00" w14:textId="4B4A4249" w:rsidR="00810318" w:rsidRPr="000352CB" w:rsidRDefault="000352CB" w:rsidP="00B571F2">
      <w:pPr>
        <w:pStyle w:val="TextKZ"/>
        <w:numPr>
          <w:ilvl w:val="0"/>
          <w:numId w:val="20"/>
        </w:numPr>
        <w:spacing w:before="240"/>
        <w:ind w:left="567" w:hanging="567"/>
        <w:rPr>
          <w:rFonts w:ascii="Calibri" w:eastAsia="Calibri" w:hAnsi="Calibri" w:cs="Calibri"/>
        </w:rPr>
      </w:pPr>
      <w:r w:rsidRPr="000352CB">
        <w:rPr>
          <w:rFonts w:ascii="Calibri" w:eastAsia="Calibri" w:hAnsi="Calibri" w:cs="Calibri"/>
        </w:rPr>
        <w:t>Výše uvedená</w:t>
      </w:r>
      <w:r w:rsidR="0080557F" w:rsidRPr="000352CB">
        <w:rPr>
          <w:rFonts w:ascii="Calibri" w:eastAsia="Calibri" w:hAnsi="Calibri" w:cs="Calibri"/>
        </w:rPr>
        <w:t xml:space="preserve"> porušení přímo souvisel</w:t>
      </w:r>
      <w:r w:rsidR="00F7785F" w:rsidRPr="000352CB">
        <w:rPr>
          <w:rFonts w:ascii="Calibri" w:eastAsia="Calibri" w:hAnsi="Calibri" w:cs="Calibri"/>
        </w:rPr>
        <w:t>a</w:t>
      </w:r>
      <w:r w:rsidR="0080557F" w:rsidRPr="000352CB">
        <w:rPr>
          <w:rFonts w:ascii="Calibri" w:eastAsia="Calibri" w:hAnsi="Calibri" w:cs="Calibri"/>
        </w:rPr>
        <w:t xml:space="preserve"> s účelem, na který by</w:t>
      </w:r>
      <w:r w:rsidR="00864AEB" w:rsidRPr="000352CB">
        <w:rPr>
          <w:rFonts w:ascii="Calibri" w:eastAsia="Calibri" w:hAnsi="Calibri" w:cs="Calibri"/>
        </w:rPr>
        <w:t>ly</w:t>
      </w:r>
      <w:r w:rsidR="0080557F" w:rsidRPr="000352CB">
        <w:rPr>
          <w:rFonts w:ascii="Calibri" w:eastAsia="Calibri" w:hAnsi="Calibri" w:cs="Calibri"/>
        </w:rPr>
        <w:t xml:space="preserve"> dotace poskytnut</w:t>
      </w:r>
      <w:r w:rsidR="00864AEB" w:rsidRPr="000352CB">
        <w:rPr>
          <w:rFonts w:ascii="Calibri" w:eastAsia="Calibri" w:hAnsi="Calibri" w:cs="Calibri"/>
        </w:rPr>
        <w:t>y</w:t>
      </w:r>
      <w:r w:rsidR="004C7B76">
        <w:rPr>
          <w:rFonts w:ascii="Calibri" w:eastAsia="Calibri" w:hAnsi="Calibri" w:cs="Calibri"/>
        </w:rPr>
        <w:t>,</w:t>
      </w:r>
      <w:r w:rsidR="00130F4B">
        <w:rPr>
          <w:rFonts w:ascii="Calibri" w:eastAsia="Calibri" w:hAnsi="Calibri" w:cs="Calibri"/>
        </w:rPr>
        <w:t xml:space="preserve"> </w:t>
      </w:r>
      <w:r w:rsidR="0080557F" w:rsidRPr="000352CB">
        <w:rPr>
          <w:rFonts w:ascii="Calibri" w:eastAsia="Calibri" w:hAnsi="Calibri" w:cs="Calibri"/>
        </w:rPr>
        <w:t>došlo k</w:t>
      </w:r>
      <w:r w:rsidR="00130F4B">
        <w:rPr>
          <w:rFonts w:ascii="Calibri" w:eastAsia="Calibri" w:hAnsi="Calibri" w:cs="Calibri"/>
        </w:rPr>
        <w:t> </w:t>
      </w:r>
      <w:r w:rsidR="0080557F" w:rsidRPr="000352CB">
        <w:rPr>
          <w:rFonts w:ascii="Calibri" w:eastAsia="Calibri" w:hAnsi="Calibri" w:cs="Calibri"/>
        </w:rPr>
        <w:t>n</w:t>
      </w:r>
      <w:r w:rsidR="00864AEB" w:rsidRPr="000352CB">
        <w:rPr>
          <w:rFonts w:ascii="Calibri" w:eastAsia="Calibri" w:hAnsi="Calibri" w:cs="Calibri"/>
        </w:rPr>
        <w:t>im</w:t>
      </w:r>
      <w:r w:rsidR="0080557F" w:rsidRPr="000352CB">
        <w:rPr>
          <w:rFonts w:ascii="Calibri" w:eastAsia="Calibri" w:hAnsi="Calibri" w:cs="Calibri"/>
        </w:rPr>
        <w:t xml:space="preserve"> před přijetím </w:t>
      </w:r>
      <w:r w:rsidRPr="000352CB">
        <w:rPr>
          <w:rFonts w:ascii="Calibri" w:eastAsia="Calibri" w:hAnsi="Calibri" w:cs="Calibri"/>
        </w:rPr>
        <w:t xml:space="preserve">poskytnutých </w:t>
      </w:r>
      <w:r w:rsidR="0080557F" w:rsidRPr="000352CB">
        <w:rPr>
          <w:rFonts w:ascii="Calibri" w:eastAsia="Calibri" w:hAnsi="Calibri" w:cs="Calibri"/>
        </w:rPr>
        <w:t>peněžních prostředků a trval</w:t>
      </w:r>
      <w:r w:rsidRPr="000352CB">
        <w:rPr>
          <w:rFonts w:ascii="Calibri" w:eastAsia="Calibri" w:hAnsi="Calibri" w:cs="Calibri"/>
        </w:rPr>
        <w:t>a</w:t>
      </w:r>
      <w:r w:rsidR="0080557F" w:rsidRPr="000352CB">
        <w:rPr>
          <w:rFonts w:ascii="Calibri" w:eastAsia="Calibri" w:hAnsi="Calibri" w:cs="Calibri"/>
        </w:rPr>
        <w:t xml:space="preserve"> v</w:t>
      </w:r>
      <w:r w:rsidRPr="000352CB">
        <w:rPr>
          <w:rFonts w:ascii="Calibri" w:eastAsia="Calibri" w:hAnsi="Calibri" w:cs="Calibri"/>
        </w:rPr>
        <w:t> </w:t>
      </w:r>
      <w:r w:rsidR="0080557F" w:rsidRPr="000352CB">
        <w:rPr>
          <w:rFonts w:ascii="Calibri" w:eastAsia="Calibri" w:hAnsi="Calibri" w:cs="Calibri"/>
        </w:rPr>
        <w:t>okamžiku přijetí peněžních prostředků</w:t>
      </w:r>
      <w:r w:rsidRPr="000352CB">
        <w:rPr>
          <w:rFonts w:ascii="Calibri" w:eastAsia="Calibri" w:hAnsi="Calibri" w:cs="Calibri"/>
        </w:rPr>
        <w:t xml:space="preserve">, což nasvědčuje </w:t>
      </w:r>
      <w:r w:rsidR="0080557F" w:rsidRPr="000352CB">
        <w:rPr>
          <w:rFonts w:ascii="Calibri" w:eastAsia="Calibri" w:hAnsi="Calibri" w:cs="Calibri"/>
        </w:rPr>
        <w:t>porušení rozpočtové kázně podle</w:t>
      </w:r>
      <w:r w:rsidR="004C7B76">
        <w:rPr>
          <w:rFonts w:ascii="Calibri" w:eastAsia="Calibri" w:hAnsi="Calibri" w:cs="Calibri"/>
        </w:rPr>
        <w:t xml:space="preserve"> </w:t>
      </w:r>
      <w:r w:rsidR="0080557F" w:rsidRPr="000352CB">
        <w:rPr>
          <w:rFonts w:ascii="Calibri" w:eastAsia="Calibri" w:hAnsi="Calibri" w:cs="Calibri"/>
        </w:rPr>
        <w:t>zákona č.</w:t>
      </w:r>
      <w:r w:rsidR="004C7B76">
        <w:rPr>
          <w:rFonts w:ascii="Calibri" w:eastAsia="Calibri" w:hAnsi="Calibri" w:cs="Calibri"/>
        </w:rPr>
        <w:t> </w:t>
      </w:r>
      <w:r w:rsidR="0080557F" w:rsidRPr="000352CB">
        <w:rPr>
          <w:rFonts w:ascii="Calibri" w:eastAsia="Calibri" w:hAnsi="Calibri" w:cs="Calibri"/>
        </w:rPr>
        <w:t>218/2000 Sb., o</w:t>
      </w:r>
      <w:r w:rsidRPr="000352CB">
        <w:rPr>
          <w:rFonts w:ascii="Calibri" w:eastAsia="Calibri" w:hAnsi="Calibri" w:cs="Calibri"/>
        </w:rPr>
        <w:t> </w:t>
      </w:r>
      <w:r w:rsidR="0080557F" w:rsidRPr="000352CB">
        <w:rPr>
          <w:rFonts w:ascii="Calibri" w:eastAsia="Calibri" w:hAnsi="Calibri" w:cs="Calibri"/>
        </w:rPr>
        <w:t>rozpočtových pravidlech a o změně některých souvisejících zákonů (rozpočtová pravidla).</w:t>
      </w:r>
    </w:p>
    <w:p w14:paraId="54D7E742" w14:textId="3FC3CDD3" w:rsidR="00DB7957" w:rsidRDefault="00DB7957" w:rsidP="005D5B5A">
      <w:pPr>
        <w:pStyle w:val="Nadpis2"/>
        <w:spacing w:before="240" w:after="240"/>
        <w:ind w:left="284" w:hanging="284"/>
      </w:pPr>
      <w:r>
        <w:t xml:space="preserve">Ukazatele </w:t>
      </w:r>
      <w:r w:rsidR="00DA599E">
        <w:t xml:space="preserve">pro vyhodnocování podpory na zlepšení </w:t>
      </w:r>
      <w:r>
        <w:t>hospodaření se srážkovými vodami</w:t>
      </w:r>
    </w:p>
    <w:p w14:paraId="3A38537E" w14:textId="0C0FD062" w:rsidR="00C218B0" w:rsidRDefault="00DB7957" w:rsidP="00B571F2">
      <w:pPr>
        <w:pStyle w:val="TextKZ"/>
        <w:numPr>
          <w:ilvl w:val="0"/>
          <w:numId w:val="20"/>
        </w:numPr>
        <w:spacing w:after="240"/>
        <w:ind w:left="567" w:hanging="567"/>
      </w:pPr>
      <w:r>
        <w:t>Kontrolou NKÚ byly analyzovány indikátory, parametry či ukazatele, které MŽP nastavilo ve spolupráci se SFŽP pro sledování a vyhodnocování dotačních programů zaměřených mj. na podporu hospodaření se srážkovými vodami v urbanizovaných územích. Kontrola se zaměřila konkrétně na analýzu ukazatelů sledovaných v rámci OPŽP</w:t>
      </w:r>
      <w:r w:rsidR="00DC2416">
        <w:t>14+</w:t>
      </w:r>
      <w:r>
        <w:t>, OPŽP21</w:t>
      </w:r>
      <w:r w:rsidR="00DC2416">
        <w:t>+</w:t>
      </w:r>
      <w:r>
        <w:t xml:space="preserve"> a </w:t>
      </w:r>
      <w:r w:rsidR="00DC2416">
        <w:t>investice</w:t>
      </w:r>
      <w:r>
        <w:t xml:space="preserve"> 2.5</w:t>
      </w:r>
      <w:r w:rsidR="00DC2416">
        <w:t>.1</w:t>
      </w:r>
      <w:r>
        <w:t xml:space="preserve"> </w:t>
      </w:r>
      <w:r w:rsidRPr="0097783B">
        <w:t>a 2.9</w:t>
      </w:r>
      <w:r w:rsidR="00DC2416">
        <w:t>.2</w:t>
      </w:r>
      <w:r w:rsidRPr="0097783B">
        <w:t xml:space="preserve"> NPO realizovaných v rámci programu NZÚ a NPŽP. Výsledky analýzy jsou sh</w:t>
      </w:r>
      <w:r w:rsidRPr="00810318">
        <w:t xml:space="preserve">rnuty v příloze č. </w:t>
      </w:r>
      <w:r w:rsidR="00810318" w:rsidRPr="00810318">
        <w:t>2</w:t>
      </w:r>
      <w:r w:rsidRPr="00810318">
        <w:t xml:space="preserve"> kontrolního závěru.</w:t>
      </w:r>
    </w:p>
    <w:p w14:paraId="7EA3687D" w14:textId="126C5E6B" w:rsidR="00DB7957" w:rsidRPr="006D27D5" w:rsidRDefault="00DB7957" w:rsidP="00C218B0">
      <w:pPr>
        <w:pStyle w:val="TextKZ"/>
        <w:shd w:val="clear" w:color="auto" w:fill="E6E6E6"/>
      </w:pPr>
      <w:r w:rsidRPr="00A06F61">
        <w:rPr>
          <w:b/>
          <w:bCs/>
          <w:i/>
          <w:iCs/>
          <w:color w:val="AF1953"/>
        </w:rPr>
        <w:t xml:space="preserve">→ </w:t>
      </w:r>
      <w:r w:rsidR="00695C6C" w:rsidRPr="007E349E">
        <w:rPr>
          <w:b/>
          <w:bCs/>
          <w:i/>
          <w:iCs/>
          <w:color w:val="AF1953"/>
        </w:rPr>
        <w:t>MŽP</w:t>
      </w:r>
      <w:r w:rsidR="00695C6C">
        <w:rPr>
          <w:b/>
          <w:bCs/>
          <w:i/>
          <w:iCs/>
          <w:color w:val="AF1953"/>
        </w:rPr>
        <w:t xml:space="preserve"> </w:t>
      </w:r>
      <w:r>
        <w:rPr>
          <w:b/>
          <w:bCs/>
          <w:i/>
          <w:iCs/>
          <w:color w:val="AF1953"/>
        </w:rPr>
        <w:t xml:space="preserve">sleduje </w:t>
      </w:r>
      <w:r w:rsidRPr="007E349E">
        <w:rPr>
          <w:b/>
          <w:bCs/>
          <w:i/>
          <w:iCs/>
          <w:color w:val="AF1953"/>
        </w:rPr>
        <w:t>u dotačních programů zaměřených na hospodaření se srážkovými vodami</w:t>
      </w:r>
      <w:r w:rsidR="009173D0">
        <w:rPr>
          <w:b/>
          <w:bCs/>
          <w:i/>
          <w:iCs/>
          <w:color w:val="AF1953"/>
        </w:rPr>
        <w:t xml:space="preserve"> ukazatele</w:t>
      </w:r>
      <w:r w:rsidR="00695C6C">
        <w:rPr>
          <w:b/>
          <w:bCs/>
          <w:i/>
          <w:iCs/>
          <w:color w:val="AF1953"/>
        </w:rPr>
        <w:t>,</w:t>
      </w:r>
      <w:r w:rsidRPr="007E349E">
        <w:rPr>
          <w:b/>
          <w:bCs/>
          <w:i/>
          <w:iCs/>
          <w:color w:val="AF1953"/>
        </w:rPr>
        <w:t xml:space="preserve"> </w:t>
      </w:r>
      <w:r w:rsidR="009173D0">
        <w:rPr>
          <w:b/>
          <w:bCs/>
          <w:i/>
          <w:iCs/>
          <w:color w:val="AF1953"/>
        </w:rPr>
        <w:t xml:space="preserve">které </w:t>
      </w:r>
      <w:r w:rsidRPr="007E349E">
        <w:rPr>
          <w:b/>
          <w:bCs/>
          <w:i/>
          <w:iCs/>
          <w:color w:val="AF1953"/>
        </w:rPr>
        <w:t>jsou neporovnatelné</w:t>
      </w:r>
      <w:r w:rsidR="00695C6C">
        <w:rPr>
          <w:b/>
          <w:bCs/>
          <w:i/>
          <w:iCs/>
          <w:color w:val="AF1953"/>
        </w:rPr>
        <w:t>,</w:t>
      </w:r>
      <w:r w:rsidRPr="007E349E">
        <w:rPr>
          <w:b/>
          <w:bCs/>
          <w:i/>
          <w:iCs/>
          <w:color w:val="AF1953"/>
        </w:rPr>
        <w:t xml:space="preserve"> </w:t>
      </w:r>
      <w:r w:rsidR="00695C6C">
        <w:rPr>
          <w:b/>
          <w:bCs/>
          <w:i/>
          <w:iCs/>
          <w:color w:val="AF1953"/>
        </w:rPr>
        <w:t xml:space="preserve">a </w:t>
      </w:r>
      <w:r w:rsidRPr="007E349E">
        <w:rPr>
          <w:b/>
          <w:bCs/>
          <w:i/>
          <w:iCs/>
          <w:color w:val="AF1953"/>
        </w:rPr>
        <w:t>proto nemůže vyhodnocovat přínos</w:t>
      </w:r>
      <w:r w:rsidR="00695C6C">
        <w:rPr>
          <w:b/>
          <w:bCs/>
          <w:i/>
          <w:iCs/>
          <w:color w:val="AF1953"/>
        </w:rPr>
        <w:t>y</w:t>
      </w:r>
      <w:r w:rsidRPr="007E349E">
        <w:rPr>
          <w:b/>
          <w:bCs/>
          <w:i/>
          <w:iCs/>
          <w:color w:val="AF1953"/>
        </w:rPr>
        <w:t xml:space="preserve"> všech dotačních programů ke stanoveným cílům schválených</w:t>
      </w:r>
      <w:r>
        <w:rPr>
          <w:b/>
          <w:bCs/>
          <w:i/>
          <w:iCs/>
          <w:color w:val="AF1953"/>
        </w:rPr>
        <w:t xml:space="preserve"> strategií</w:t>
      </w:r>
      <w:r w:rsidR="00130F4B">
        <w:rPr>
          <w:b/>
          <w:bCs/>
          <w:i/>
          <w:iCs/>
          <w:color w:val="AF1953"/>
        </w:rPr>
        <w:t>.</w:t>
      </w:r>
    </w:p>
    <w:p w14:paraId="477033A1" w14:textId="55995361" w:rsidR="00007882" w:rsidRPr="00007882" w:rsidRDefault="00DB7957" w:rsidP="00B571F2">
      <w:pPr>
        <w:pStyle w:val="TextKZ"/>
        <w:numPr>
          <w:ilvl w:val="0"/>
          <w:numId w:val="20"/>
        </w:numPr>
        <w:spacing w:before="240"/>
        <w:ind w:left="567" w:hanging="567"/>
      </w:pPr>
      <w:r>
        <w:t>MŽP u OPŽP14</w:t>
      </w:r>
      <w:r w:rsidR="00DC2416">
        <w:t xml:space="preserve">+ </w:t>
      </w:r>
      <w:r>
        <w:t xml:space="preserve">nastavilo </w:t>
      </w:r>
      <w:r w:rsidR="00E06F53">
        <w:t xml:space="preserve">nezávazný </w:t>
      </w:r>
      <w:r>
        <w:t xml:space="preserve">ukazatel </w:t>
      </w:r>
      <w:r w:rsidR="00130F4B">
        <w:rPr>
          <w:i/>
          <w:iCs/>
        </w:rPr>
        <w:t>o</w:t>
      </w:r>
      <w:r w:rsidRPr="00DB7957">
        <w:rPr>
          <w:i/>
          <w:iCs/>
        </w:rPr>
        <w:t>bjem retardované dešťové vody</w:t>
      </w:r>
      <w:r>
        <w:t xml:space="preserve"> a</w:t>
      </w:r>
      <w:r w:rsidR="00E06F53">
        <w:t> </w:t>
      </w:r>
      <w:r>
        <w:t>u</w:t>
      </w:r>
      <w:r w:rsidR="00E06F53">
        <w:t> </w:t>
      </w:r>
      <w:r>
        <w:t xml:space="preserve">aktivity 2.9.2 NPO </w:t>
      </w:r>
      <w:r w:rsidR="00E06F53">
        <w:t xml:space="preserve">jako závazný ukazatel </w:t>
      </w:r>
      <w:r>
        <w:t xml:space="preserve">jeho ekvivalent </w:t>
      </w:r>
      <w:r w:rsidR="00130F4B">
        <w:rPr>
          <w:i/>
          <w:iCs/>
        </w:rPr>
        <w:t>o</w:t>
      </w:r>
      <w:r w:rsidRPr="00DB7957">
        <w:rPr>
          <w:i/>
          <w:iCs/>
        </w:rPr>
        <w:t>bjem zadržen</w:t>
      </w:r>
      <w:r w:rsidR="00DA599E">
        <w:rPr>
          <w:i/>
          <w:iCs/>
        </w:rPr>
        <w:t>ých</w:t>
      </w:r>
      <w:r w:rsidRPr="00DB7957">
        <w:rPr>
          <w:i/>
          <w:iCs/>
        </w:rPr>
        <w:t xml:space="preserve"> srážkov</w:t>
      </w:r>
      <w:r w:rsidR="00DA599E">
        <w:rPr>
          <w:i/>
          <w:iCs/>
        </w:rPr>
        <w:t>ých</w:t>
      </w:r>
      <w:r w:rsidRPr="00DB7957">
        <w:rPr>
          <w:i/>
          <w:iCs/>
        </w:rPr>
        <w:t xml:space="preserve"> vod</w:t>
      </w:r>
      <w:r w:rsidR="00BA1628">
        <w:t>. Tyto ukazatele n</w:t>
      </w:r>
      <w:r>
        <w:t xml:space="preserve">emají vazbu </w:t>
      </w:r>
      <w:r w:rsidR="001B0B01">
        <w:t>na indikátory, které MŽP stanovilo ve strategických dokumentech pro hodnocení pokroku</w:t>
      </w:r>
      <w:r w:rsidR="00BA1628">
        <w:t xml:space="preserve">. Oba ukazatele také </w:t>
      </w:r>
      <w:r>
        <w:t>neumožňují poměřovat vynaložené peněžní prostředky a</w:t>
      </w:r>
      <w:r w:rsidR="001B0B01">
        <w:t> </w:t>
      </w:r>
      <w:r>
        <w:t>dosažené efekty, a to zejména proto, že jsou v obou ukazatelích kumulovány různé výpočty</w:t>
      </w:r>
      <w:r w:rsidR="00903593">
        <w:t xml:space="preserve"> pro množství zadržených srážkových vod</w:t>
      </w:r>
      <w:r>
        <w:t xml:space="preserve"> a</w:t>
      </w:r>
      <w:r w:rsidR="00BA1628">
        <w:t> </w:t>
      </w:r>
      <w:r>
        <w:t>vykazované hodnoty nejsou stejnorodé.</w:t>
      </w:r>
      <w:bookmarkStart w:id="26" w:name="_Hlk221093949"/>
    </w:p>
    <w:p w14:paraId="631CBB96" w14:textId="7620935E" w:rsidR="00857703" w:rsidRDefault="00007882" w:rsidP="00B571F2">
      <w:pPr>
        <w:pStyle w:val="TextKZ"/>
        <w:numPr>
          <w:ilvl w:val="0"/>
          <w:numId w:val="20"/>
        </w:numPr>
        <w:ind w:left="567" w:hanging="567"/>
      </w:pPr>
      <w:r w:rsidRPr="00007882">
        <w:t xml:space="preserve">MŽP u OPŽP21+ sleduje především obecné ukazatele zelené infrastruktury nebo počtu obyvatel profitujících z opatření. Tyto </w:t>
      </w:r>
      <w:r w:rsidR="00BA1628">
        <w:t>ukazatele</w:t>
      </w:r>
      <w:r w:rsidRPr="00007882">
        <w:t xml:space="preserve"> nejsou v přímém vztahu k retenci, vsakování či akumulaci srážkové vody a neumožňují měřit skutečný přínos projektů. </w:t>
      </w:r>
      <w:r w:rsidR="00DB7957">
        <w:t>MŽP</w:t>
      </w:r>
      <w:r w:rsidR="00C61AD1">
        <w:t> </w:t>
      </w:r>
      <w:r w:rsidR="00DB7957">
        <w:t>u OPŽP21</w:t>
      </w:r>
      <w:r w:rsidR="00DC2416">
        <w:t>+</w:t>
      </w:r>
      <w:r w:rsidR="00DB7957">
        <w:t xml:space="preserve"> </w:t>
      </w:r>
      <w:r>
        <w:t xml:space="preserve">dále </w:t>
      </w:r>
      <w:r w:rsidR="00DB7957">
        <w:t xml:space="preserve">sleduje nezávazné </w:t>
      </w:r>
      <w:r w:rsidR="00C61AD1">
        <w:t>SDP</w:t>
      </w:r>
      <w:r w:rsidR="0015480C">
        <w:t xml:space="preserve">, </w:t>
      </w:r>
      <w:bookmarkEnd w:id="26"/>
      <w:r w:rsidR="00857703">
        <w:t>které</w:t>
      </w:r>
      <w:r w:rsidR="001B0B01">
        <w:t xml:space="preserve"> však</w:t>
      </w:r>
      <w:r w:rsidR="00857703">
        <w:t xml:space="preserve"> mají </w:t>
      </w:r>
      <w:r w:rsidR="001B0B01">
        <w:t xml:space="preserve">vazbu na indikátory stanovené MŽP ve strategických dokumentech pro hodnocení pokroku </w:t>
      </w:r>
      <w:r w:rsidR="00903593">
        <w:t xml:space="preserve">a které </w:t>
      </w:r>
      <w:r w:rsidR="00857703" w:rsidRPr="00DC2DB9">
        <w:t>umožňuj</w:t>
      </w:r>
      <w:r w:rsidR="00130F4B">
        <w:t>í</w:t>
      </w:r>
      <w:r w:rsidR="00857703" w:rsidRPr="00DC2DB9">
        <w:t xml:space="preserve"> poměřovat vynaložené peněžní prostředky a</w:t>
      </w:r>
      <w:r w:rsidR="00857703">
        <w:t> </w:t>
      </w:r>
      <w:r w:rsidR="00857703" w:rsidRPr="00DC2DB9">
        <w:t>dosažené efekty</w:t>
      </w:r>
      <w:r w:rsidR="00903593">
        <w:t>, viz</w:t>
      </w:r>
      <w:r w:rsidR="00D6717B">
        <w:t xml:space="preserve"> také</w:t>
      </w:r>
      <w:r w:rsidR="00903593">
        <w:t xml:space="preserve"> body 4.44 a 4.45.</w:t>
      </w:r>
    </w:p>
    <w:p w14:paraId="24771E44" w14:textId="682826DF" w:rsidR="00DB7957" w:rsidRDefault="008B4B9D" w:rsidP="00B571F2">
      <w:pPr>
        <w:pStyle w:val="TextKZ"/>
        <w:numPr>
          <w:ilvl w:val="0"/>
          <w:numId w:val="20"/>
        </w:numPr>
        <w:spacing w:after="240"/>
        <w:ind w:left="567" w:hanging="567"/>
      </w:pPr>
      <w:r>
        <w:t xml:space="preserve">MŽP u programu NZÚ nesleduje žádný ukazatel pro množství zadržených srážkových vod. </w:t>
      </w:r>
      <w:r w:rsidR="0015480C">
        <w:t>SFŽP</w:t>
      </w:r>
      <w:r>
        <w:t xml:space="preserve"> jako administrátor programu </w:t>
      </w:r>
      <w:r w:rsidR="00DB7957">
        <w:t xml:space="preserve">NZÚ </w:t>
      </w:r>
      <w:r w:rsidR="0015480C">
        <w:t xml:space="preserve">sleduje </w:t>
      </w:r>
      <w:r w:rsidR="00DB7957">
        <w:t xml:space="preserve">dva nezávazné </w:t>
      </w:r>
      <w:r w:rsidR="00DA599E">
        <w:t>parametry</w:t>
      </w:r>
      <w:r w:rsidR="00DB7957">
        <w:t xml:space="preserve">, </w:t>
      </w:r>
      <w:r w:rsidR="00130F4B">
        <w:t xml:space="preserve">a to </w:t>
      </w:r>
      <w:r w:rsidR="00130F4B">
        <w:rPr>
          <w:i/>
          <w:iCs/>
        </w:rPr>
        <w:t>p</w:t>
      </w:r>
      <w:r w:rsidR="00DB7957" w:rsidRPr="00DB7957">
        <w:rPr>
          <w:i/>
          <w:iCs/>
        </w:rPr>
        <w:t>locha zelené střechy</w:t>
      </w:r>
      <w:r w:rsidR="00DB7957">
        <w:t xml:space="preserve"> a </w:t>
      </w:r>
      <w:r w:rsidR="00130F4B">
        <w:rPr>
          <w:i/>
          <w:iCs/>
        </w:rPr>
        <w:t>o</w:t>
      </w:r>
      <w:r w:rsidR="00DB7957" w:rsidRPr="00DB7957">
        <w:rPr>
          <w:i/>
          <w:iCs/>
        </w:rPr>
        <w:t>bjem akumulační nádrže na dešťovou vodu</w:t>
      </w:r>
      <w:r w:rsidR="00DB7957">
        <w:t>. Oba tyto ukazatele mají vazbu na indikátory stanovené MŽP ve schválených strategiích</w:t>
      </w:r>
      <w:r w:rsidR="00D6717B">
        <w:t xml:space="preserve"> </w:t>
      </w:r>
      <w:r w:rsidR="00DB7957">
        <w:t>a</w:t>
      </w:r>
      <w:r w:rsidR="00130F4B">
        <w:t> </w:t>
      </w:r>
      <w:r w:rsidR="00DB7957">
        <w:t>umožňuj</w:t>
      </w:r>
      <w:r w:rsidR="00130F4B">
        <w:t>í</w:t>
      </w:r>
      <w:r w:rsidR="00DB7957">
        <w:t xml:space="preserve"> poměřovat vynaložené peněžní prostředky a</w:t>
      </w:r>
      <w:r w:rsidR="00810318">
        <w:t> </w:t>
      </w:r>
      <w:r w:rsidR="00DB7957">
        <w:t>dosažené efekty.</w:t>
      </w:r>
      <w:r>
        <w:t xml:space="preserve"> </w:t>
      </w:r>
      <w:r w:rsidR="00DB7957">
        <w:t>Určité riziko může představovat, že se jedná o</w:t>
      </w:r>
      <w:r w:rsidR="00903593">
        <w:t> </w:t>
      </w:r>
      <w:r w:rsidR="00DB7957">
        <w:t>nezávazné interně sledované ukazatele, dosažení cílových hodnot není závazné a</w:t>
      </w:r>
      <w:r w:rsidR="00903593">
        <w:t> </w:t>
      </w:r>
      <w:r w:rsidR="00DB7957">
        <w:t>evidovány jsou údaje zadávané příjemci v žádosti o</w:t>
      </w:r>
      <w:r w:rsidR="00130F4B">
        <w:t> </w:t>
      </w:r>
      <w:r w:rsidR="00DB7957">
        <w:t>podporu, které nemusí odpovídat skutečné realizaci projektu v důsledku realizačních změn.</w:t>
      </w:r>
    </w:p>
    <w:p w14:paraId="2E898DAB" w14:textId="24A14211" w:rsidR="00DB7957" w:rsidRPr="006D27D5" w:rsidRDefault="00DB7957" w:rsidP="00C218B0">
      <w:pPr>
        <w:pStyle w:val="TextKZ"/>
        <w:shd w:val="clear" w:color="auto" w:fill="E6E6E6"/>
      </w:pPr>
      <w:bookmarkStart w:id="27" w:name="_Hlk215471368"/>
      <w:r w:rsidRPr="00A06F61">
        <w:rPr>
          <w:b/>
          <w:bCs/>
          <w:i/>
          <w:iCs/>
          <w:color w:val="AF1953"/>
        </w:rPr>
        <w:t xml:space="preserve">→ </w:t>
      </w:r>
      <w:r w:rsidRPr="00DB7957">
        <w:rPr>
          <w:b/>
          <w:bCs/>
          <w:i/>
          <w:iCs/>
          <w:color w:val="AF1953"/>
        </w:rPr>
        <w:t xml:space="preserve">MŽP nesleduje a nevyhodnocuje ukazatele </w:t>
      </w:r>
      <w:r w:rsidR="00C67BD1">
        <w:rPr>
          <w:b/>
          <w:bCs/>
          <w:i/>
          <w:iCs/>
          <w:color w:val="AF1953"/>
        </w:rPr>
        <w:t>„n</w:t>
      </w:r>
      <w:r w:rsidRPr="00DB7957">
        <w:rPr>
          <w:b/>
          <w:bCs/>
          <w:i/>
          <w:iCs/>
          <w:color w:val="AF1953"/>
        </w:rPr>
        <w:t>epropustnost povrchu</w:t>
      </w:r>
      <w:r w:rsidR="00C67BD1">
        <w:rPr>
          <w:b/>
          <w:bCs/>
          <w:i/>
          <w:iCs/>
          <w:color w:val="AF1953"/>
        </w:rPr>
        <w:t>“</w:t>
      </w:r>
      <w:r w:rsidRPr="00DB7957">
        <w:rPr>
          <w:b/>
          <w:bCs/>
          <w:i/>
          <w:iCs/>
          <w:color w:val="AF1953"/>
        </w:rPr>
        <w:t xml:space="preserve"> a </w:t>
      </w:r>
      <w:r w:rsidR="00C67BD1">
        <w:rPr>
          <w:b/>
          <w:bCs/>
          <w:i/>
          <w:iCs/>
          <w:color w:val="AF1953"/>
        </w:rPr>
        <w:t>„p</w:t>
      </w:r>
      <w:r w:rsidRPr="00DB7957">
        <w:rPr>
          <w:b/>
          <w:bCs/>
          <w:i/>
          <w:iCs/>
          <w:color w:val="AF1953"/>
        </w:rPr>
        <w:t>odíl adaptovaných budov</w:t>
      </w:r>
      <w:r w:rsidR="00C67BD1">
        <w:rPr>
          <w:b/>
          <w:bCs/>
          <w:i/>
          <w:iCs/>
          <w:color w:val="AF1953"/>
        </w:rPr>
        <w:t>“</w:t>
      </w:r>
      <w:r w:rsidRPr="00DB7957">
        <w:rPr>
          <w:b/>
          <w:bCs/>
          <w:i/>
          <w:iCs/>
          <w:color w:val="AF1953"/>
        </w:rPr>
        <w:t>, ačkoliv si tyto ukazatele stanovilo v adaptační strategii pro hodnocení oblasti hospodaření se srážkovými vodami</w:t>
      </w:r>
      <w:r w:rsidR="00C67BD1">
        <w:rPr>
          <w:b/>
          <w:bCs/>
          <w:i/>
          <w:iCs/>
          <w:color w:val="AF1953"/>
        </w:rPr>
        <w:t>.</w:t>
      </w:r>
    </w:p>
    <w:p w14:paraId="4B712A62" w14:textId="0EDDF8BE" w:rsidR="00007882" w:rsidRDefault="00007882" w:rsidP="00B571F2">
      <w:pPr>
        <w:pStyle w:val="TextKZ"/>
        <w:numPr>
          <w:ilvl w:val="0"/>
          <w:numId w:val="20"/>
        </w:numPr>
        <w:spacing w:before="240"/>
        <w:ind w:left="567" w:hanging="567"/>
      </w:pPr>
      <w:bookmarkStart w:id="28" w:name="_Hlk215471427"/>
      <w:bookmarkEnd w:id="27"/>
      <w:r>
        <w:lastRenderedPageBreak/>
        <w:t xml:space="preserve">Kontrolou NKÚ byly dále zjišťovány ukazatele, které MŽP stanovilo pro sledování pokroku v oblasti hospodaření se srážkovými vodami ve strategických dokumentech. </w:t>
      </w:r>
    </w:p>
    <w:p w14:paraId="48221187" w14:textId="5975B289" w:rsidR="00DB7957" w:rsidRDefault="00040D36" w:rsidP="00B571F2">
      <w:pPr>
        <w:pStyle w:val="TextKZ"/>
        <w:numPr>
          <w:ilvl w:val="0"/>
          <w:numId w:val="20"/>
        </w:numPr>
        <w:ind w:left="567" w:hanging="567"/>
      </w:pPr>
      <w:r>
        <w:t>NKÚ zjistil, že MŽP naposledy hodnotilo dva ukazatel</w:t>
      </w:r>
      <w:r w:rsidR="0084227F">
        <w:t xml:space="preserve">e z adaptační strategie – </w:t>
      </w:r>
      <w:r w:rsidR="00C67BD1">
        <w:rPr>
          <w:i/>
          <w:iCs/>
        </w:rPr>
        <w:t>p</w:t>
      </w:r>
      <w:r w:rsidRPr="00DB7957">
        <w:rPr>
          <w:i/>
          <w:iCs/>
        </w:rPr>
        <w:t>odíl adaptovaných budov</w:t>
      </w:r>
      <w:r>
        <w:t xml:space="preserve"> a </w:t>
      </w:r>
      <w:r w:rsidR="00C67BD1">
        <w:rPr>
          <w:i/>
          <w:iCs/>
        </w:rPr>
        <w:t>n</w:t>
      </w:r>
      <w:r w:rsidRPr="00DB7957">
        <w:rPr>
          <w:i/>
          <w:iCs/>
        </w:rPr>
        <w:t xml:space="preserve">epropustnost </w:t>
      </w:r>
      <w:proofErr w:type="gramStart"/>
      <w:r w:rsidRPr="00DB7957">
        <w:rPr>
          <w:i/>
          <w:iCs/>
        </w:rPr>
        <w:t>povrchu</w:t>
      </w:r>
      <w:r w:rsidR="00C67BD1">
        <w:rPr>
          <w:i/>
          <w:iCs/>
        </w:rPr>
        <w:t xml:space="preserve"> </w:t>
      </w:r>
      <w:r w:rsidR="00C67BD1">
        <w:t xml:space="preserve"> –</w:t>
      </w:r>
      <w:proofErr w:type="gramEnd"/>
      <w:r>
        <w:t xml:space="preserve"> naposledy k roku 2017, a to v rámci </w:t>
      </w:r>
      <w:r w:rsidRPr="00DB7957">
        <w:rPr>
          <w:i/>
          <w:iCs/>
        </w:rPr>
        <w:t>Hodnocení zranitelnosti České republiky ve vztahu ke změně klimatu k roku 2017.</w:t>
      </w:r>
      <w:r>
        <w:t xml:space="preserve"> </w:t>
      </w:r>
      <w:bookmarkEnd w:id="28"/>
      <w:r>
        <w:t>V dalších letech již MŽP tyto ukazatele nevyhodnocovalo</w:t>
      </w:r>
      <w:r w:rsidR="00C67BD1">
        <w:t>,</w:t>
      </w:r>
      <w:r>
        <w:t xml:space="preserve"> a interpretace hodnocení těchto ukazatelů je tak z hlediska dalšího vývoje v čase problematická.</w:t>
      </w:r>
    </w:p>
    <w:p w14:paraId="6E125A1F" w14:textId="5D37B1EB" w:rsidR="004D4416" w:rsidRDefault="00040D36" w:rsidP="00B571F2">
      <w:pPr>
        <w:pStyle w:val="TextKZ"/>
        <w:numPr>
          <w:ilvl w:val="0"/>
          <w:numId w:val="20"/>
        </w:numPr>
        <w:ind w:left="567" w:hanging="567"/>
      </w:pPr>
      <w:r>
        <w:t xml:space="preserve">NKÚ zjistil, že MŽP </w:t>
      </w:r>
      <w:bookmarkStart w:id="29" w:name="_Hlk215471453"/>
      <w:r>
        <w:t>p</w:t>
      </w:r>
      <w:r w:rsidRPr="00362A3A">
        <w:t>rocento propustnosti v zastavěných plochách zatím systémově nesleduje.</w:t>
      </w:r>
      <w:bookmarkEnd w:id="29"/>
      <w:r>
        <w:t xml:space="preserve"> U hodnocení indikátoru </w:t>
      </w:r>
      <w:r w:rsidR="00C67BD1">
        <w:rPr>
          <w:i/>
          <w:iCs/>
        </w:rPr>
        <w:t>n</w:t>
      </w:r>
      <w:r w:rsidRPr="00DB7957">
        <w:rPr>
          <w:i/>
          <w:iCs/>
        </w:rPr>
        <w:t>epropustnost povrchu</w:t>
      </w:r>
      <w:r>
        <w:t xml:space="preserve"> MŽP zpravidla uvádí indikátor </w:t>
      </w:r>
      <w:bookmarkStart w:id="30" w:name="_Hlk215471473"/>
      <w:r w:rsidR="00C67BD1">
        <w:rPr>
          <w:i/>
          <w:iCs/>
        </w:rPr>
        <w:t>p</w:t>
      </w:r>
      <w:r w:rsidRPr="00DB7957">
        <w:rPr>
          <w:i/>
          <w:iCs/>
        </w:rPr>
        <w:t>odíl zastavěné plochy</w:t>
      </w:r>
      <w:r>
        <w:t xml:space="preserve">, který sleduje Český úřad zeměměřický a katastrální. Vývoj tohoto indikátoru od roku 2000 do roku 2024 je </w:t>
      </w:r>
      <w:r w:rsidRPr="00810318">
        <w:t xml:space="preserve">uveden v tabulce č. </w:t>
      </w:r>
      <w:r w:rsidR="00810318">
        <w:t>11</w:t>
      </w:r>
      <w:r w:rsidRPr="0097783B">
        <w:t>.</w:t>
      </w:r>
      <w:r>
        <w:t xml:space="preserve"> Trend tohoto indikátoru je negativní, tzn., že ve sledovaném období dochází setrvale ke zvyšování zastavěné plochy a nádvoří. Celková zastavěná plocha v roce 2000 činila 1 305,22 km</w:t>
      </w:r>
      <w:r w:rsidRPr="00DB7957">
        <w:rPr>
          <w:vertAlign w:val="superscript"/>
        </w:rPr>
        <w:t>2</w:t>
      </w:r>
      <w:r>
        <w:t xml:space="preserve"> a v roce 2024 dosáhla rozloha zastavěné plochy 1 360,29 km</w:t>
      </w:r>
      <w:r w:rsidRPr="00DB7957">
        <w:rPr>
          <w:vertAlign w:val="superscript"/>
        </w:rPr>
        <w:t>2</w:t>
      </w:r>
      <w:r>
        <w:t>.</w:t>
      </w:r>
      <w:r w:rsidRPr="00C127BC">
        <w:t xml:space="preserve"> V období 2000–2024 se rozloha zastavěných ploch zvýšila o 4,2 %</w:t>
      </w:r>
      <w:r>
        <w:t>.</w:t>
      </w:r>
    </w:p>
    <w:p w14:paraId="701E0844" w14:textId="195D82BF" w:rsidR="00DB7957" w:rsidRPr="004176E2" w:rsidRDefault="00DB7957" w:rsidP="004176E2">
      <w:pPr>
        <w:pStyle w:val="Titulek"/>
        <w:spacing w:after="40"/>
      </w:pPr>
      <w:r>
        <w:t xml:space="preserve">Tabulka č. </w:t>
      </w:r>
      <w:fldSimple w:instr=" SEQ Tabulka_č. \* ARABIC ">
        <w:r w:rsidR="00D213BC">
          <w:rPr>
            <w:noProof/>
          </w:rPr>
          <w:t>9</w:t>
        </w:r>
      </w:fldSimple>
      <w:r>
        <w:t xml:space="preserve">: </w:t>
      </w:r>
      <w:r w:rsidRPr="004176E2">
        <w:t>Vývoj rozlohy zastavěné plochy a nádvoří v letech 2000 až 2024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1077"/>
        <w:gridCol w:w="737"/>
        <w:gridCol w:w="1077"/>
        <w:gridCol w:w="737"/>
        <w:gridCol w:w="1077"/>
        <w:gridCol w:w="737"/>
        <w:gridCol w:w="1077"/>
        <w:gridCol w:w="737"/>
        <w:gridCol w:w="1077"/>
      </w:tblGrid>
      <w:tr w:rsidR="002F658A" w:rsidRPr="004176E2" w14:paraId="73B32622" w14:textId="77777777" w:rsidTr="002F658A">
        <w:trPr>
          <w:trHeight w:val="255"/>
          <w:jc w:val="center"/>
        </w:trPr>
        <w:tc>
          <w:tcPr>
            <w:tcW w:w="737" w:type="dxa"/>
            <w:shd w:val="clear" w:color="auto" w:fill="E6E6E6"/>
            <w:vAlign w:val="center"/>
          </w:tcPr>
          <w:p w14:paraId="4B300892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6E6E6"/>
            <w:vAlign w:val="center"/>
          </w:tcPr>
          <w:p w14:paraId="0CC5AA39" w14:textId="7ACE76EA" w:rsidR="00DB7957" w:rsidRPr="004176E2" w:rsidRDefault="00C67BD1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Rozloha (v 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km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dxa"/>
            <w:shd w:val="clear" w:color="auto" w:fill="E6E6E6"/>
            <w:vAlign w:val="center"/>
          </w:tcPr>
          <w:p w14:paraId="162016BD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6E6E6"/>
            <w:vAlign w:val="center"/>
          </w:tcPr>
          <w:p w14:paraId="681515D1" w14:textId="0329C6D8" w:rsidR="00DB7957" w:rsidRPr="004176E2" w:rsidRDefault="00C67BD1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Rozloha (v 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km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dxa"/>
            <w:shd w:val="clear" w:color="auto" w:fill="E6E6E6"/>
            <w:vAlign w:val="center"/>
          </w:tcPr>
          <w:p w14:paraId="0BF2E5DF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6E6E6"/>
            <w:vAlign w:val="center"/>
          </w:tcPr>
          <w:p w14:paraId="0069418E" w14:textId="3A6F3D4D" w:rsidR="00DB7957" w:rsidRPr="004176E2" w:rsidRDefault="00C67BD1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Rozloha (v 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km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dxa"/>
            <w:shd w:val="clear" w:color="auto" w:fill="E6E6E6"/>
            <w:vAlign w:val="center"/>
          </w:tcPr>
          <w:p w14:paraId="61049823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6E6E6"/>
            <w:vAlign w:val="center"/>
          </w:tcPr>
          <w:p w14:paraId="084D4F5C" w14:textId="15A6DE69" w:rsidR="00DB7957" w:rsidRPr="004176E2" w:rsidRDefault="00C67BD1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Rozloha (v 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km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" w:type="dxa"/>
            <w:shd w:val="clear" w:color="auto" w:fill="E6E6E6"/>
            <w:vAlign w:val="center"/>
          </w:tcPr>
          <w:p w14:paraId="18EA39B7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77" w:type="dxa"/>
            <w:shd w:val="clear" w:color="auto" w:fill="E6E6E6"/>
            <w:vAlign w:val="center"/>
          </w:tcPr>
          <w:p w14:paraId="6CB4EB48" w14:textId="0280F38E" w:rsidR="00DB7957" w:rsidRPr="004176E2" w:rsidRDefault="00C67BD1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Rozloha (v 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km</w:t>
            </w:r>
            <w:r w:rsidR="00DB7957" w:rsidRPr="00417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F658A" w:rsidRPr="004176E2" w14:paraId="4678457B" w14:textId="77777777" w:rsidTr="002F658A">
        <w:trPr>
          <w:trHeight w:val="255"/>
          <w:jc w:val="center"/>
        </w:trPr>
        <w:tc>
          <w:tcPr>
            <w:tcW w:w="737" w:type="dxa"/>
            <w:vAlign w:val="center"/>
          </w:tcPr>
          <w:p w14:paraId="3ACAE5A8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77" w:type="dxa"/>
            <w:vAlign w:val="center"/>
          </w:tcPr>
          <w:p w14:paraId="14D928E3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1 305,22</w:t>
            </w:r>
          </w:p>
        </w:tc>
        <w:tc>
          <w:tcPr>
            <w:tcW w:w="737" w:type="dxa"/>
            <w:vAlign w:val="center"/>
          </w:tcPr>
          <w:p w14:paraId="6A02518C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77" w:type="dxa"/>
            <w:vAlign w:val="center"/>
          </w:tcPr>
          <w:p w14:paraId="75FF53D4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1 300,78</w:t>
            </w:r>
          </w:p>
        </w:tc>
        <w:tc>
          <w:tcPr>
            <w:tcW w:w="737" w:type="dxa"/>
            <w:vAlign w:val="center"/>
          </w:tcPr>
          <w:p w14:paraId="5F3FE267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77" w:type="dxa"/>
            <w:vAlign w:val="center"/>
          </w:tcPr>
          <w:p w14:paraId="30DD62F5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1 313,66</w:t>
            </w:r>
          </w:p>
        </w:tc>
        <w:tc>
          <w:tcPr>
            <w:tcW w:w="737" w:type="dxa"/>
            <w:vAlign w:val="center"/>
          </w:tcPr>
          <w:p w14:paraId="382A2D2B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77" w:type="dxa"/>
            <w:vAlign w:val="center"/>
          </w:tcPr>
          <w:p w14:paraId="45138E22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1 321,19</w:t>
            </w:r>
          </w:p>
        </w:tc>
        <w:tc>
          <w:tcPr>
            <w:tcW w:w="737" w:type="dxa"/>
            <w:vAlign w:val="center"/>
          </w:tcPr>
          <w:p w14:paraId="1A407B15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77" w:type="dxa"/>
            <w:vAlign w:val="center"/>
          </w:tcPr>
          <w:p w14:paraId="36BE881B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1 332,77</w:t>
            </w:r>
          </w:p>
        </w:tc>
      </w:tr>
      <w:tr w:rsidR="002F658A" w:rsidRPr="004176E2" w14:paraId="2EDEFEA2" w14:textId="77777777" w:rsidTr="002F658A">
        <w:trPr>
          <w:trHeight w:val="255"/>
          <w:jc w:val="center"/>
        </w:trPr>
        <w:tc>
          <w:tcPr>
            <w:tcW w:w="737" w:type="dxa"/>
            <w:vAlign w:val="center"/>
          </w:tcPr>
          <w:p w14:paraId="0F0E5914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077" w:type="dxa"/>
            <w:vAlign w:val="center"/>
          </w:tcPr>
          <w:p w14:paraId="347BFC21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1 306,66</w:t>
            </w:r>
          </w:p>
        </w:tc>
        <w:tc>
          <w:tcPr>
            <w:tcW w:w="737" w:type="dxa"/>
            <w:vAlign w:val="center"/>
          </w:tcPr>
          <w:p w14:paraId="138449BE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77" w:type="dxa"/>
            <w:vAlign w:val="center"/>
          </w:tcPr>
          <w:p w14:paraId="550DCA00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1 301,94</w:t>
            </w:r>
          </w:p>
        </w:tc>
        <w:tc>
          <w:tcPr>
            <w:tcW w:w="737" w:type="dxa"/>
            <w:vAlign w:val="center"/>
          </w:tcPr>
          <w:p w14:paraId="0D0B42E3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77" w:type="dxa"/>
            <w:vAlign w:val="center"/>
          </w:tcPr>
          <w:p w14:paraId="0411ACA0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1 316,91</w:t>
            </w:r>
          </w:p>
        </w:tc>
        <w:tc>
          <w:tcPr>
            <w:tcW w:w="737" w:type="dxa"/>
            <w:vAlign w:val="center"/>
          </w:tcPr>
          <w:p w14:paraId="35182568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77" w:type="dxa"/>
            <w:vAlign w:val="center"/>
          </w:tcPr>
          <w:p w14:paraId="7A5FD1DB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1 322,17</w:t>
            </w:r>
          </w:p>
        </w:tc>
        <w:tc>
          <w:tcPr>
            <w:tcW w:w="737" w:type="dxa"/>
            <w:vAlign w:val="center"/>
          </w:tcPr>
          <w:p w14:paraId="4902BEE9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77" w:type="dxa"/>
            <w:vAlign w:val="center"/>
          </w:tcPr>
          <w:p w14:paraId="0962D055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1 338,98</w:t>
            </w:r>
          </w:p>
        </w:tc>
      </w:tr>
      <w:tr w:rsidR="002F658A" w:rsidRPr="004176E2" w14:paraId="0C14E336" w14:textId="77777777" w:rsidTr="002F658A">
        <w:trPr>
          <w:trHeight w:val="255"/>
          <w:jc w:val="center"/>
        </w:trPr>
        <w:tc>
          <w:tcPr>
            <w:tcW w:w="737" w:type="dxa"/>
            <w:vAlign w:val="center"/>
          </w:tcPr>
          <w:p w14:paraId="3BDB57B5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77" w:type="dxa"/>
            <w:vAlign w:val="center"/>
          </w:tcPr>
          <w:p w14:paraId="68C07FD6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1 305,87</w:t>
            </w:r>
          </w:p>
        </w:tc>
        <w:tc>
          <w:tcPr>
            <w:tcW w:w="737" w:type="dxa"/>
            <w:vAlign w:val="center"/>
          </w:tcPr>
          <w:p w14:paraId="3BF520B7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77" w:type="dxa"/>
            <w:vAlign w:val="center"/>
          </w:tcPr>
          <w:p w14:paraId="45F4DC81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1 305,74</w:t>
            </w:r>
          </w:p>
        </w:tc>
        <w:tc>
          <w:tcPr>
            <w:tcW w:w="737" w:type="dxa"/>
            <w:vAlign w:val="center"/>
          </w:tcPr>
          <w:p w14:paraId="5DBC1A67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77" w:type="dxa"/>
            <w:vAlign w:val="center"/>
          </w:tcPr>
          <w:p w14:paraId="144DBD95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1 318,00</w:t>
            </w:r>
          </w:p>
        </w:tc>
        <w:tc>
          <w:tcPr>
            <w:tcW w:w="737" w:type="dxa"/>
            <w:vAlign w:val="center"/>
          </w:tcPr>
          <w:p w14:paraId="056EC0A5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77" w:type="dxa"/>
            <w:vAlign w:val="center"/>
          </w:tcPr>
          <w:p w14:paraId="04E1204F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1 323,33</w:t>
            </w:r>
          </w:p>
        </w:tc>
        <w:tc>
          <w:tcPr>
            <w:tcW w:w="737" w:type="dxa"/>
            <w:vAlign w:val="center"/>
          </w:tcPr>
          <w:p w14:paraId="4BA12A2D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077" w:type="dxa"/>
            <w:vAlign w:val="center"/>
          </w:tcPr>
          <w:p w14:paraId="00DBD206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1 345,19</w:t>
            </w:r>
          </w:p>
        </w:tc>
      </w:tr>
      <w:tr w:rsidR="002F658A" w:rsidRPr="004176E2" w14:paraId="42196306" w14:textId="77777777" w:rsidTr="002F658A">
        <w:trPr>
          <w:trHeight w:val="255"/>
          <w:jc w:val="center"/>
        </w:trPr>
        <w:tc>
          <w:tcPr>
            <w:tcW w:w="737" w:type="dxa"/>
            <w:vAlign w:val="center"/>
          </w:tcPr>
          <w:p w14:paraId="185D367C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77" w:type="dxa"/>
            <w:vAlign w:val="center"/>
          </w:tcPr>
          <w:p w14:paraId="4AFFE3F0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1 306,10</w:t>
            </w:r>
          </w:p>
        </w:tc>
        <w:tc>
          <w:tcPr>
            <w:tcW w:w="737" w:type="dxa"/>
            <w:vAlign w:val="center"/>
          </w:tcPr>
          <w:p w14:paraId="55D848D0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77" w:type="dxa"/>
            <w:vAlign w:val="center"/>
          </w:tcPr>
          <w:p w14:paraId="656E34D1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1 309,33</w:t>
            </w:r>
          </w:p>
        </w:tc>
        <w:tc>
          <w:tcPr>
            <w:tcW w:w="737" w:type="dxa"/>
            <w:vAlign w:val="center"/>
          </w:tcPr>
          <w:p w14:paraId="4FED2D49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77" w:type="dxa"/>
            <w:vAlign w:val="center"/>
          </w:tcPr>
          <w:p w14:paraId="58EF30EB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1 320,90</w:t>
            </w:r>
          </w:p>
        </w:tc>
        <w:tc>
          <w:tcPr>
            <w:tcW w:w="737" w:type="dxa"/>
            <w:vAlign w:val="center"/>
          </w:tcPr>
          <w:p w14:paraId="6B349AAF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77" w:type="dxa"/>
            <w:vAlign w:val="center"/>
          </w:tcPr>
          <w:p w14:paraId="5C1F1A51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1 324,63</w:t>
            </w:r>
          </w:p>
        </w:tc>
        <w:tc>
          <w:tcPr>
            <w:tcW w:w="737" w:type="dxa"/>
            <w:vAlign w:val="center"/>
          </w:tcPr>
          <w:p w14:paraId="30418140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77" w:type="dxa"/>
            <w:vAlign w:val="center"/>
          </w:tcPr>
          <w:p w14:paraId="5C083656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1 353,66</w:t>
            </w:r>
          </w:p>
        </w:tc>
      </w:tr>
      <w:tr w:rsidR="002F658A" w:rsidRPr="004176E2" w14:paraId="267A47AD" w14:textId="77777777" w:rsidTr="002F658A">
        <w:trPr>
          <w:trHeight w:val="255"/>
          <w:jc w:val="center"/>
        </w:trPr>
        <w:tc>
          <w:tcPr>
            <w:tcW w:w="737" w:type="dxa"/>
            <w:vAlign w:val="center"/>
          </w:tcPr>
          <w:p w14:paraId="62F8B897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77" w:type="dxa"/>
            <w:vAlign w:val="center"/>
          </w:tcPr>
          <w:p w14:paraId="7ACE69C5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1 303,07</w:t>
            </w:r>
          </w:p>
        </w:tc>
        <w:tc>
          <w:tcPr>
            <w:tcW w:w="737" w:type="dxa"/>
            <w:vAlign w:val="center"/>
          </w:tcPr>
          <w:p w14:paraId="5BBCA081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77" w:type="dxa"/>
            <w:vAlign w:val="center"/>
          </w:tcPr>
          <w:p w14:paraId="6E664B1A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1 311,27</w:t>
            </w:r>
          </w:p>
        </w:tc>
        <w:tc>
          <w:tcPr>
            <w:tcW w:w="737" w:type="dxa"/>
            <w:vAlign w:val="center"/>
          </w:tcPr>
          <w:p w14:paraId="655C2745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7" w:type="dxa"/>
            <w:vAlign w:val="center"/>
          </w:tcPr>
          <w:p w14:paraId="1B5B619A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1 321,92</w:t>
            </w:r>
          </w:p>
        </w:tc>
        <w:tc>
          <w:tcPr>
            <w:tcW w:w="737" w:type="dxa"/>
            <w:vAlign w:val="center"/>
          </w:tcPr>
          <w:p w14:paraId="1BBC1B20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77" w:type="dxa"/>
            <w:vAlign w:val="center"/>
          </w:tcPr>
          <w:p w14:paraId="1A696DB9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1 328,67</w:t>
            </w:r>
          </w:p>
        </w:tc>
        <w:tc>
          <w:tcPr>
            <w:tcW w:w="737" w:type="dxa"/>
            <w:vAlign w:val="center"/>
          </w:tcPr>
          <w:p w14:paraId="59A3168A" w14:textId="77777777" w:rsidR="00DB7957" w:rsidRPr="004176E2" w:rsidRDefault="00DB7957" w:rsidP="0012770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77" w:type="dxa"/>
            <w:vAlign w:val="center"/>
          </w:tcPr>
          <w:p w14:paraId="60A49F25" w14:textId="77777777" w:rsidR="00DB7957" w:rsidRPr="004176E2" w:rsidRDefault="00DB7957" w:rsidP="002F658A">
            <w:pPr>
              <w:autoSpaceDE w:val="0"/>
              <w:autoSpaceDN w:val="0"/>
              <w:adjustRightInd w:val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6E2">
              <w:rPr>
                <w:rFonts w:ascii="Calibri" w:hAnsi="Calibri" w:cs="Calibri"/>
                <w:color w:val="000000"/>
                <w:sz w:val="20"/>
                <w:szCs w:val="20"/>
              </w:rPr>
              <w:t>1 360,29</w:t>
            </w:r>
          </w:p>
        </w:tc>
      </w:tr>
    </w:tbl>
    <w:p w14:paraId="3C1C8DA4" w14:textId="280C4DC1" w:rsidR="00127707" w:rsidRDefault="00DB7957" w:rsidP="004176E2">
      <w:pPr>
        <w:pStyle w:val="Zdrojapozn"/>
        <w:spacing w:before="40" w:after="240"/>
      </w:pPr>
      <w:r w:rsidRPr="004176E2">
        <w:rPr>
          <w:b/>
          <w:bCs/>
        </w:rPr>
        <w:t xml:space="preserve">Zdroj: </w:t>
      </w:r>
      <w:r w:rsidR="00C67BD1">
        <w:t>v</w:t>
      </w:r>
      <w:r w:rsidR="00810318">
        <w:t>ypracoval NKÚ na základě dat MŽP</w:t>
      </w:r>
      <w:r>
        <w:t>.</w:t>
      </w:r>
    </w:p>
    <w:p w14:paraId="2E72A598" w14:textId="2A55484B" w:rsidR="00DB7957" w:rsidRPr="006D27D5" w:rsidRDefault="00DB7957" w:rsidP="00471471">
      <w:pPr>
        <w:pStyle w:val="TextKZ"/>
        <w:shd w:val="clear" w:color="auto" w:fill="E6E6E6"/>
      </w:pPr>
      <w:r w:rsidRPr="00A06F61">
        <w:rPr>
          <w:b/>
          <w:bCs/>
          <w:i/>
          <w:iCs/>
          <w:color w:val="AF1953"/>
        </w:rPr>
        <w:t xml:space="preserve">→ </w:t>
      </w:r>
      <w:r w:rsidRPr="00DB7957">
        <w:rPr>
          <w:b/>
          <w:bCs/>
          <w:i/>
          <w:iCs/>
          <w:color w:val="AF1953"/>
        </w:rPr>
        <w:t>MŽP</w:t>
      </w:r>
      <w:r w:rsidR="005F4A83">
        <w:rPr>
          <w:b/>
          <w:bCs/>
          <w:i/>
          <w:iCs/>
          <w:color w:val="AF1953"/>
        </w:rPr>
        <w:t xml:space="preserve"> nevyhodnocovalo každoročně indikátory</w:t>
      </w:r>
      <w:r w:rsidR="002B236B" w:rsidRPr="00DB7957">
        <w:rPr>
          <w:rStyle w:val="Znakapoznpodarou"/>
          <w:b/>
          <w:bCs/>
          <w:color w:val="AF1953"/>
        </w:rPr>
        <w:footnoteReference w:id="17"/>
      </w:r>
      <w:r w:rsidR="005F4A83">
        <w:rPr>
          <w:b/>
          <w:bCs/>
          <w:i/>
          <w:iCs/>
          <w:color w:val="AF1953"/>
        </w:rPr>
        <w:t>, které si stanovilo pro sledování pokroku</w:t>
      </w:r>
      <w:r w:rsidR="002B236B">
        <w:rPr>
          <w:b/>
          <w:bCs/>
          <w:i/>
          <w:iCs/>
          <w:color w:val="AF1953"/>
        </w:rPr>
        <w:t xml:space="preserve"> v oblasti hospodaření se srážkovými vodami</w:t>
      </w:r>
      <w:r w:rsidRPr="00DB7957">
        <w:rPr>
          <w:b/>
          <w:bCs/>
          <w:i/>
          <w:iCs/>
          <w:color w:val="AF1953"/>
        </w:rPr>
        <w:t xml:space="preserve"> v koncepci ochrany před následky sucha pro období 2023–2027</w:t>
      </w:r>
      <w:r w:rsidR="00C67BD1">
        <w:rPr>
          <w:b/>
          <w:bCs/>
          <w:i/>
          <w:iCs/>
          <w:color w:val="AF1953"/>
        </w:rPr>
        <w:t>.</w:t>
      </w:r>
    </w:p>
    <w:p w14:paraId="61C1CD40" w14:textId="37C94ADE" w:rsidR="00040D36" w:rsidRDefault="00040D36" w:rsidP="00B571F2">
      <w:pPr>
        <w:pStyle w:val="TextKZ"/>
        <w:numPr>
          <w:ilvl w:val="0"/>
          <w:numId w:val="20"/>
        </w:numPr>
        <w:spacing w:before="240"/>
        <w:ind w:left="567" w:hanging="567"/>
      </w:pPr>
      <w:bookmarkStart w:id="31" w:name="_Hlk215471500"/>
      <w:bookmarkEnd w:id="30"/>
      <w:r>
        <w:t>NKÚ zjistil, že většinu stanovených ukazatelů MŽP nemůže každoročně vyhodnocovat</w:t>
      </w:r>
      <w:r w:rsidR="00802951">
        <w:t>.</w:t>
      </w:r>
      <w:r>
        <w:t xml:space="preserve"> </w:t>
      </w:r>
      <w:r w:rsidR="00802951">
        <w:t>MŽP</w:t>
      </w:r>
      <w:r>
        <w:t xml:space="preserve"> u některých dotačních </w:t>
      </w:r>
      <w:r w:rsidR="00802951">
        <w:t xml:space="preserve">programů </w:t>
      </w:r>
      <w:r>
        <w:t>sledovalo na projektové úrovni jiné ukazatele, které neumožňují hodnocení cílů vytyčených v </w:t>
      </w:r>
      <w:r w:rsidR="002B236B">
        <w:t>KOS</w:t>
      </w:r>
      <w:r>
        <w:t xml:space="preserve"> a pro některé neprojektové ukazatele </w:t>
      </w:r>
      <w:r w:rsidR="002B236B">
        <w:t xml:space="preserve">MŽP </w:t>
      </w:r>
      <w:r>
        <w:t>nemá nastaven systém získávání potřebných dat a informací.</w:t>
      </w:r>
    </w:p>
    <w:p w14:paraId="3D50537A" w14:textId="5FA3EB4F" w:rsidR="00AE7E41" w:rsidRDefault="00FF0B31" w:rsidP="00B571F2">
      <w:pPr>
        <w:pStyle w:val="TextKZ"/>
        <w:numPr>
          <w:ilvl w:val="0"/>
          <w:numId w:val="20"/>
        </w:numPr>
        <w:ind w:left="567" w:hanging="567"/>
      </w:pPr>
      <w:r>
        <w:t xml:space="preserve">MŽP např. nesleduje a nevyhodnocuje plnění úkolů ze </w:t>
      </w:r>
      <w:r w:rsidRPr="002B236B">
        <w:rPr>
          <w:i/>
          <w:iCs/>
        </w:rPr>
        <w:t xml:space="preserve">studie hospodaření se srážkovými vodami v urbanizovaném </w:t>
      </w:r>
      <w:r w:rsidR="002B236B">
        <w:rPr>
          <w:i/>
          <w:iCs/>
        </w:rPr>
        <w:t>územích</w:t>
      </w:r>
      <w:r>
        <w:t xml:space="preserve">, ačkoliv jejich </w:t>
      </w:r>
      <w:r w:rsidR="002B236B">
        <w:t>realizace</w:t>
      </w:r>
      <w:r>
        <w:t xml:space="preserve"> je úkolem NAP (2021) a </w:t>
      </w:r>
      <w:r w:rsidR="002B236B" w:rsidRPr="00FF0B31">
        <w:t xml:space="preserve">MŽP si zvolilo </w:t>
      </w:r>
      <w:r w:rsidR="002B236B" w:rsidRPr="002B236B">
        <w:rPr>
          <w:i/>
          <w:iCs/>
        </w:rPr>
        <w:t>počet splněných úkolů</w:t>
      </w:r>
      <w:r w:rsidR="002B236B">
        <w:rPr>
          <w:i/>
          <w:iCs/>
        </w:rPr>
        <w:t xml:space="preserve"> ze studie</w:t>
      </w:r>
      <w:r w:rsidR="002B236B">
        <w:t xml:space="preserve"> jako ukazatel </w:t>
      </w:r>
      <w:r>
        <w:t>pro hodnocení pokroku v KOS.</w:t>
      </w:r>
    </w:p>
    <w:bookmarkEnd w:id="31"/>
    <w:p w14:paraId="70F1707D" w14:textId="19AB8297" w:rsidR="004D27F5" w:rsidRPr="00DB3908" w:rsidRDefault="004D27F5" w:rsidP="00C67BD1">
      <w:pPr>
        <w:pStyle w:val="Nadpis2"/>
        <w:keepNext/>
        <w:widowControl/>
        <w:spacing w:before="240" w:after="240"/>
        <w:ind w:left="284" w:hanging="284"/>
      </w:pPr>
      <w:r>
        <w:t>Nedostatečná koncepční činnost MŽP</w:t>
      </w:r>
    </w:p>
    <w:p w14:paraId="7BD2FC57" w14:textId="03442B3E" w:rsidR="004874A0" w:rsidRPr="00750792" w:rsidRDefault="004874A0" w:rsidP="00471471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bookmarkStart w:id="32" w:name="_Hlk221698402"/>
      <w:r w:rsidRPr="00750792">
        <w:rPr>
          <w:b/>
          <w:bCs/>
          <w:i/>
          <w:iCs/>
          <w:color w:val="AF1953"/>
        </w:rPr>
        <w:t>→ MŽP</w:t>
      </w:r>
      <w:r w:rsidR="009173D0">
        <w:rPr>
          <w:b/>
          <w:bCs/>
          <w:i/>
          <w:iCs/>
          <w:color w:val="AF1953"/>
        </w:rPr>
        <w:t xml:space="preserve"> připravilo </w:t>
      </w:r>
      <w:r>
        <w:rPr>
          <w:b/>
          <w:bCs/>
          <w:i/>
          <w:iCs/>
          <w:color w:val="AF1953"/>
        </w:rPr>
        <w:t>studii</w:t>
      </w:r>
      <w:r w:rsidR="009173D0">
        <w:rPr>
          <w:b/>
          <w:bCs/>
          <w:i/>
          <w:iCs/>
          <w:color w:val="AF1953"/>
        </w:rPr>
        <w:t xml:space="preserve"> hospodaření se srážkovými vodami v urbanizovaných územích, která však </w:t>
      </w:r>
      <w:r>
        <w:rPr>
          <w:b/>
          <w:bCs/>
          <w:i/>
          <w:iCs/>
          <w:color w:val="AF1953"/>
        </w:rPr>
        <w:t>není závazná pro žádné aktéry</w:t>
      </w:r>
      <w:r w:rsidR="00D64517">
        <w:rPr>
          <w:b/>
          <w:bCs/>
          <w:i/>
          <w:iCs/>
          <w:color w:val="AF1953"/>
        </w:rPr>
        <w:t xml:space="preserve"> a s</w:t>
      </w:r>
      <w:r w:rsidR="00A14BB4">
        <w:rPr>
          <w:b/>
          <w:bCs/>
          <w:i/>
          <w:iCs/>
          <w:color w:val="AF1953"/>
        </w:rPr>
        <w:t>p</w:t>
      </w:r>
      <w:r w:rsidR="00D64517" w:rsidRPr="00933D9B">
        <w:rPr>
          <w:b/>
          <w:bCs/>
          <w:i/>
          <w:iCs/>
          <w:color w:val="AF1953"/>
        </w:rPr>
        <w:t>l</w:t>
      </w:r>
      <w:r w:rsidR="00D64517">
        <w:rPr>
          <w:b/>
          <w:bCs/>
          <w:i/>
          <w:iCs/>
          <w:color w:val="AF1953"/>
        </w:rPr>
        <w:t>nění</w:t>
      </w:r>
      <w:r w:rsidR="00D64517" w:rsidRPr="00933D9B">
        <w:rPr>
          <w:b/>
          <w:bCs/>
          <w:i/>
          <w:iCs/>
          <w:color w:val="AF1953"/>
        </w:rPr>
        <w:t xml:space="preserve"> </w:t>
      </w:r>
      <w:r w:rsidR="00D64517">
        <w:rPr>
          <w:b/>
          <w:bCs/>
          <w:i/>
          <w:iCs/>
          <w:color w:val="AF1953"/>
        </w:rPr>
        <w:t xml:space="preserve">jejich </w:t>
      </w:r>
      <w:r w:rsidR="00D64517" w:rsidRPr="00933D9B">
        <w:rPr>
          <w:b/>
          <w:bCs/>
          <w:i/>
          <w:iCs/>
          <w:color w:val="AF1953"/>
        </w:rPr>
        <w:t>strategických cílů je</w:t>
      </w:r>
      <w:r w:rsidR="00D64517">
        <w:rPr>
          <w:b/>
          <w:bCs/>
          <w:i/>
          <w:iCs/>
          <w:color w:val="AF1953"/>
        </w:rPr>
        <w:t xml:space="preserve"> </w:t>
      </w:r>
      <w:r w:rsidR="00D64517" w:rsidRPr="00933D9B">
        <w:rPr>
          <w:b/>
          <w:bCs/>
          <w:i/>
          <w:iCs/>
          <w:color w:val="AF1953"/>
        </w:rPr>
        <w:t>těžko dosažitelné</w:t>
      </w:r>
      <w:r w:rsidR="0085083B">
        <w:rPr>
          <w:b/>
          <w:bCs/>
          <w:i/>
          <w:iCs/>
          <w:color w:val="AF1953"/>
        </w:rPr>
        <w:t>.</w:t>
      </w:r>
    </w:p>
    <w:p w14:paraId="1D55BF20" w14:textId="5EFEF464" w:rsidR="00AF5CB5" w:rsidRDefault="00AF5CB5" w:rsidP="00B571F2">
      <w:pPr>
        <w:pStyle w:val="TextKZ"/>
        <w:numPr>
          <w:ilvl w:val="0"/>
          <w:numId w:val="20"/>
        </w:numPr>
        <w:spacing w:before="240"/>
        <w:ind w:left="567" w:hanging="567"/>
      </w:pPr>
      <w:r w:rsidRPr="00AF5CB5">
        <w:lastRenderedPageBreak/>
        <w:t>NKÚ zjistil, že MŽP nenaplnilo úkol stanovený v</w:t>
      </w:r>
      <w:r w:rsidR="0092532A">
        <w:t> </w:t>
      </w:r>
      <w:r w:rsidR="009733E1">
        <w:t>NAP</w:t>
      </w:r>
      <w:r w:rsidR="0092532A">
        <w:t xml:space="preserve"> (</w:t>
      </w:r>
      <w:r w:rsidR="0085083B">
        <w:t xml:space="preserve">v roce </w:t>
      </w:r>
      <w:r w:rsidR="0092532A">
        <w:t>2017)</w:t>
      </w:r>
      <w:r w:rsidRPr="00AF5CB5">
        <w:t xml:space="preserve">, tj. připravit a </w:t>
      </w:r>
      <w:r w:rsidR="0070264C">
        <w:t>předložit vládě ke schválení</w:t>
      </w:r>
      <w:r w:rsidRPr="00AF5CB5">
        <w:t xml:space="preserve"> </w:t>
      </w:r>
      <w:r w:rsidR="0092532A">
        <w:t>koncepci</w:t>
      </w:r>
      <w:r w:rsidRPr="00AF5CB5">
        <w:t xml:space="preserve"> pro oblast hospodaření se srážkovými vodami.</w:t>
      </w:r>
      <w:r w:rsidR="00C0506D">
        <w:rPr>
          <w:rStyle w:val="Znakapoznpodarou"/>
        </w:rPr>
        <w:footnoteReference w:id="18"/>
      </w:r>
      <w:r>
        <w:t xml:space="preserve"> K plnění tohoto úkolu bylo MŽP zavázáno usnesením vlády ČR ze dne 16. ledna 2017 č. 34</w:t>
      </w:r>
      <w:r w:rsidR="004C70BB">
        <w:t>.</w:t>
      </w:r>
    </w:p>
    <w:p w14:paraId="3023E35D" w14:textId="0B0F9240" w:rsidR="006C1290" w:rsidRDefault="00C0506D" w:rsidP="00B571F2">
      <w:pPr>
        <w:pStyle w:val="TextKZ"/>
        <w:numPr>
          <w:ilvl w:val="0"/>
          <w:numId w:val="20"/>
        </w:numPr>
        <w:spacing w:after="240"/>
        <w:ind w:left="567" w:hanging="567"/>
      </w:pPr>
      <w:r>
        <w:t xml:space="preserve">MŽP </w:t>
      </w:r>
      <w:r w:rsidR="006C4CFF">
        <w:t xml:space="preserve">v roce 2019 předložilo vládě ČR pro informaci </w:t>
      </w:r>
      <w:r w:rsidRPr="004874A0">
        <w:rPr>
          <w:i/>
          <w:iCs/>
        </w:rPr>
        <w:t>Studi</w:t>
      </w:r>
      <w:r w:rsidR="006C4CFF" w:rsidRPr="004874A0">
        <w:rPr>
          <w:i/>
          <w:iCs/>
        </w:rPr>
        <w:t>i</w:t>
      </w:r>
      <w:r w:rsidRPr="004874A0">
        <w:rPr>
          <w:i/>
          <w:iCs/>
        </w:rPr>
        <w:t xml:space="preserve"> hospodaření se srážkovými vodami v urbanizovaných územích</w:t>
      </w:r>
      <w:r w:rsidR="0092532A">
        <w:t>, která však</w:t>
      </w:r>
      <w:r w:rsidR="00AE7E41">
        <w:t xml:space="preserve"> </w:t>
      </w:r>
      <w:r w:rsidR="0092532A" w:rsidRPr="00DB3D29">
        <w:t xml:space="preserve">nenaplňuje charakteristiky strategického dokumentu </w:t>
      </w:r>
      <w:r w:rsidR="0092532A">
        <w:t>podle</w:t>
      </w:r>
      <w:r w:rsidR="0092532A" w:rsidRPr="00DB3D29">
        <w:t xml:space="preserve"> metodiky přípravy veřejných strategií</w:t>
      </w:r>
      <w:r w:rsidR="0092532A">
        <w:t>, ze které mají ministři vycházet</w:t>
      </w:r>
      <w:r w:rsidR="0092532A" w:rsidRPr="0092532A">
        <w:t xml:space="preserve"> podle usnesení vlády ČR ze dne 2. května 2013 č. 318. </w:t>
      </w:r>
      <w:r w:rsidR="009733E1">
        <w:t xml:space="preserve">NKÚ </w:t>
      </w:r>
      <w:r w:rsidR="006757D5">
        <w:t>z</w:t>
      </w:r>
      <w:r w:rsidR="009733E1">
        <w:t xml:space="preserve">jistil, že </w:t>
      </w:r>
      <w:r w:rsidR="00517F16">
        <w:t xml:space="preserve">tato </w:t>
      </w:r>
      <w:r w:rsidR="00D44F6F">
        <w:t xml:space="preserve">studie </w:t>
      </w:r>
      <w:r w:rsidR="00517F16" w:rsidRPr="00AF5CB5">
        <w:t>není závazná pro žádné aktéry</w:t>
      </w:r>
      <w:r w:rsidR="0092532A">
        <w:t xml:space="preserve">. </w:t>
      </w:r>
      <w:r w:rsidR="00326ED4">
        <w:t xml:space="preserve">MŽP </w:t>
      </w:r>
      <w:r w:rsidR="0092532A">
        <w:t xml:space="preserve">totiž </w:t>
      </w:r>
      <w:r w:rsidR="00517F16">
        <w:t xml:space="preserve">nestanovilo </w:t>
      </w:r>
      <w:r w:rsidR="00326ED4">
        <w:t xml:space="preserve">pro </w:t>
      </w:r>
      <w:r w:rsidR="00D44F6F">
        <w:t>realizaci</w:t>
      </w:r>
      <w:r w:rsidR="00517F16">
        <w:t xml:space="preserve"> </w:t>
      </w:r>
      <w:r w:rsidR="0092532A">
        <w:t xml:space="preserve">změn, které </w:t>
      </w:r>
      <w:r w:rsidR="00517F16">
        <w:t>ve studii</w:t>
      </w:r>
      <w:r w:rsidR="00D44F6F">
        <w:t xml:space="preserve"> navrh</w:t>
      </w:r>
      <w:r w:rsidR="0092532A">
        <w:t xml:space="preserve">lo, </w:t>
      </w:r>
      <w:r w:rsidR="00D44F6F">
        <w:t xml:space="preserve">žádné </w:t>
      </w:r>
      <w:r w:rsidR="00462331" w:rsidRPr="006C4CFF">
        <w:t>odpovědnosti, metriky pro měření úspěšnosti</w:t>
      </w:r>
      <w:r w:rsidR="00D44F6F">
        <w:t>,</w:t>
      </w:r>
      <w:r w:rsidR="005249F9">
        <w:t xml:space="preserve"> </w:t>
      </w:r>
      <w:r w:rsidR="00462331" w:rsidRPr="006C4CFF">
        <w:t xml:space="preserve">termíny </w:t>
      </w:r>
      <w:r w:rsidR="005249F9">
        <w:t>realizac</w:t>
      </w:r>
      <w:r w:rsidR="00517F16">
        <w:t>e</w:t>
      </w:r>
      <w:r w:rsidR="005249F9">
        <w:t xml:space="preserve"> </w:t>
      </w:r>
      <w:r w:rsidR="00462331" w:rsidRPr="006C4CFF">
        <w:t xml:space="preserve">ani způsob, jakým </w:t>
      </w:r>
      <w:r w:rsidR="005249F9">
        <w:t>m</w:t>
      </w:r>
      <w:r w:rsidR="00517F16">
        <w:t>á</w:t>
      </w:r>
      <w:r w:rsidR="005249F9">
        <w:t xml:space="preserve"> být</w:t>
      </w:r>
      <w:r w:rsidR="00462331" w:rsidRPr="006C4CFF">
        <w:t xml:space="preserve"> vyhodnocováno dosahování </w:t>
      </w:r>
      <w:r w:rsidR="0014589E">
        <w:t>stanovených</w:t>
      </w:r>
      <w:r w:rsidR="00462331" w:rsidRPr="006C4CFF">
        <w:t xml:space="preserve"> strategických cílů.</w:t>
      </w:r>
    </w:p>
    <w:bookmarkEnd w:id="32"/>
    <w:p w14:paraId="20C8251B" w14:textId="4FD52EB0" w:rsidR="008266C0" w:rsidRPr="008266C0" w:rsidRDefault="008266C0" w:rsidP="00471471">
      <w:pPr>
        <w:shd w:val="clear" w:color="auto" w:fill="E6E6E6"/>
        <w:spacing w:before="120"/>
        <w:rPr>
          <w:b/>
          <w:bCs/>
          <w:i/>
          <w:iCs/>
          <w:color w:val="AF1953"/>
        </w:rPr>
      </w:pPr>
      <w:r w:rsidRPr="008266C0">
        <w:rPr>
          <w:b/>
          <w:bCs/>
          <w:i/>
          <w:iCs/>
          <w:color w:val="AF1953"/>
        </w:rPr>
        <w:t>→</w:t>
      </w:r>
      <w:r w:rsidR="00FC7285">
        <w:rPr>
          <w:b/>
          <w:bCs/>
          <w:i/>
          <w:iCs/>
          <w:color w:val="AF1953"/>
        </w:rPr>
        <w:t xml:space="preserve"> </w:t>
      </w:r>
      <w:r w:rsidRPr="008266C0">
        <w:rPr>
          <w:b/>
          <w:bCs/>
          <w:i/>
          <w:iCs/>
          <w:color w:val="AF1953"/>
        </w:rPr>
        <w:t>Dosud nedošlo k odstranění výjimek ze zpoplatnění odvádění srážkových vod</w:t>
      </w:r>
      <w:r w:rsidR="000B70D3">
        <w:rPr>
          <w:b/>
          <w:bCs/>
          <w:i/>
          <w:iCs/>
          <w:color w:val="AF1953"/>
        </w:rPr>
        <w:t xml:space="preserve"> do jednotné kanalizace pro veřejnou potřebu</w:t>
      </w:r>
      <w:r w:rsidR="0085083B">
        <w:rPr>
          <w:b/>
          <w:bCs/>
          <w:i/>
          <w:iCs/>
          <w:color w:val="AF1953"/>
        </w:rPr>
        <w:t>.</w:t>
      </w:r>
    </w:p>
    <w:p w14:paraId="6BDE227F" w14:textId="0CC489D9" w:rsidR="000B70D3" w:rsidRDefault="008266C0" w:rsidP="00B571F2">
      <w:pPr>
        <w:pStyle w:val="TextKZ"/>
        <w:numPr>
          <w:ilvl w:val="0"/>
          <w:numId w:val="20"/>
        </w:numPr>
        <w:ind w:left="567" w:hanging="567"/>
      </w:pPr>
      <w:r>
        <w:t xml:space="preserve">V </w:t>
      </w:r>
      <w:r w:rsidR="00066310">
        <w:t>ČR</w:t>
      </w:r>
      <w:r>
        <w:t xml:space="preserve"> platí podle zákona</w:t>
      </w:r>
      <w:r w:rsidR="00066310" w:rsidRPr="00066310">
        <w:t xml:space="preserve"> č. 274/2001 Sb.</w:t>
      </w:r>
      <w:r>
        <w:rPr>
          <w:rStyle w:val="Znakapoznpodarou"/>
        </w:rPr>
        <w:footnoteReference w:id="19"/>
      </w:r>
      <w:r>
        <w:t xml:space="preserve"> povinnost platit poplatek za odvádění srážkové vody do kanalizace pro veřejnou potřebu. Tato povinnost ovšem neplatí pro všechny subjekty kvůli zákonem </w:t>
      </w:r>
      <w:r w:rsidR="000D77DC">
        <w:t>stanoveným výjimkám</w:t>
      </w:r>
      <w:r>
        <w:t xml:space="preserve">. Dochází tak k porušení principu </w:t>
      </w:r>
      <w:r w:rsidR="0085083B">
        <w:t>„</w:t>
      </w:r>
      <w:r>
        <w:t>znečišťovatel platí</w:t>
      </w:r>
      <w:r w:rsidR="0085083B">
        <w:t>“</w:t>
      </w:r>
      <w:r>
        <w:t>. Zákon se vztahuje z velké části na nemovitosti určené k podnikání a</w:t>
      </w:r>
      <w:r w:rsidR="0092532A">
        <w:t> </w:t>
      </w:r>
      <w:r>
        <w:t>veřejné budovy, zatímco domácnosti jsou od platby osvobozeny.</w:t>
      </w:r>
      <w:r>
        <w:rPr>
          <w:rStyle w:val="Znakapoznpodarou"/>
        </w:rPr>
        <w:footnoteReference w:id="20"/>
      </w:r>
      <w:r>
        <w:t xml:space="preserve"> Současné nastavení tak nevede k motivaci vlastníků nemovitostí a pozemků k</w:t>
      </w:r>
      <w:r w:rsidR="000B70D3">
        <w:t> </w:t>
      </w:r>
      <w:r>
        <w:t>retenci/využití vody tak, aby nebyla odváděná do jednotné kanalizace. Náklady spojené s čištěním vod ředěných dešťovými vodami se rozpočítávají mezi všechny zákazníky.</w:t>
      </w:r>
    </w:p>
    <w:p w14:paraId="13469CF2" w14:textId="3FADCFCC" w:rsidR="000B70D3" w:rsidRDefault="008266C0" w:rsidP="00B571F2">
      <w:pPr>
        <w:pStyle w:val="TextKZ"/>
        <w:numPr>
          <w:ilvl w:val="0"/>
          <w:numId w:val="20"/>
        </w:numPr>
        <w:ind w:left="567" w:hanging="567"/>
      </w:pPr>
      <w:r>
        <w:t>K odstranění výjimek ze zákona o vodovodech a kanalizacích dosud nedošlo, ačkoliv se jedná o prioritní opatření uváděné napříč strategickými a koncepčními dokumenty, které se dotýkají problematiky hospodaření se srážkovými vodami v urbanizovaných územích. Jedná se např. o úkol stanovený v NAP (2021), jehož</w:t>
      </w:r>
      <w:r w:rsidR="00084641">
        <w:t xml:space="preserve"> gestorem je Ministerstvo zemědělství a</w:t>
      </w:r>
      <w:r>
        <w:t xml:space="preserve"> </w:t>
      </w:r>
      <w:proofErr w:type="spellStart"/>
      <w:r>
        <w:t>spolugestorem</w:t>
      </w:r>
      <w:proofErr w:type="spellEnd"/>
      <w:r>
        <w:t xml:space="preserve"> je MŽP a</w:t>
      </w:r>
      <w:r w:rsidR="00010127">
        <w:t> </w:t>
      </w:r>
      <w:r>
        <w:t>který měl být splněn již v roce 2023.</w:t>
      </w:r>
      <w:r>
        <w:rPr>
          <w:rStyle w:val="Znakapoznpodarou"/>
        </w:rPr>
        <w:footnoteReference w:id="21"/>
      </w:r>
    </w:p>
    <w:p w14:paraId="6D9B0A37" w14:textId="5CC4982E" w:rsidR="00E8374D" w:rsidRDefault="008266C0" w:rsidP="00B571F2">
      <w:pPr>
        <w:pStyle w:val="TextKZ"/>
        <w:numPr>
          <w:ilvl w:val="0"/>
          <w:numId w:val="20"/>
        </w:numPr>
        <w:ind w:left="567" w:hanging="567"/>
      </w:pPr>
      <w:bookmarkStart w:id="33" w:name="_Hlk215471054"/>
      <w:r w:rsidRPr="006704C5">
        <w:t xml:space="preserve">Za zásadní překážku plnění předmětného úkolu lze považovat nesoulad a nespolupráci mezi gestorem a </w:t>
      </w:r>
      <w:proofErr w:type="spellStart"/>
      <w:r w:rsidRPr="006704C5">
        <w:t>spolugestorem</w:t>
      </w:r>
      <w:proofErr w:type="spellEnd"/>
      <w:r w:rsidRPr="006704C5">
        <w:t xml:space="preserve"> opatření</w:t>
      </w:r>
      <w:r>
        <w:t xml:space="preserve">, ačkoliv jsou oba vázání </w:t>
      </w:r>
      <w:r w:rsidRPr="006704C5">
        <w:t>usnesením vlády ČR ze dne 13.</w:t>
      </w:r>
      <w:r>
        <w:t> </w:t>
      </w:r>
      <w:r w:rsidRPr="006704C5">
        <w:t>září 2021 č. 785, kterým vláda uložila členům vlády v rámci své gesce realizovat úkoly obsažené v NAP (</w:t>
      </w:r>
      <w:r w:rsidR="0085083B">
        <w:t xml:space="preserve">verze z roku </w:t>
      </w:r>
      <w:r w:rsidRPr="006704C5">
        <w:t>2021) v souladu s adaptační strategií. Podle</w:t>
      </w:r>
      <w:r w:rsidR="00566658" w:rsidRPr="00566658">
        <w:t xml:space="preserve"> </w:t>
      </w:r>
      <w:r w:rsidR="00566658" w:rsidRPr="00127707">
        <w:rPr>
          <w:i/>
          <w:iCs/>
        </w:rPr>
        <w:t>Zprávy o</w:t>
      </w:r>
      <w:r w:rsidR="0085083B">
        <w:rPr>
          <w:i/>
          <w:iCs/>
        </w:rPr>
        <w:t> </w:t>
      </w:r>
      <w:r w:rsidR="00566658" w:rsidRPr="00127707">
        <w:rPr>
          <w:i/>
          <w:iCs/>
        </w:rPr>
        <w:t>adaptaci České republiky na změnu klimatu 2025</w:t>
      </w:r>
      <w:r w:rsidRPr="006704C5">
        <w:t xml:space="preserve"> je důvodem</w:t>
      </w:r>
      <w:r>
        <w:t xml:space="preserve"> neplnění úkolu chybějící politický tlak a zájem ostatních subjektů. </w:t>
      </w:r>
      <w:r w:rsidRPr="00901E86">
        <w:t>NKÚ dále zjistil, že vyčíslení dopadu odstranění výjimek ze zákona o vodovodech a kanalizacích na rozpočty obcí ve výši cca 3 mld. Kč, které je uváděno v poziční zprávě za rok 2024</w:t>
      </w:r>
      <w:r w:rsidR="0085083B">
        <w:t>,</w:t>
      </w:r>
      <w:r w:rsidRPr="00901E86">
        <w:t xml:space="preserve"> je zcela neaktuální, neboť se jedná o</w:t>
      </w:r>
      <w:r w:rsidR="0085083B">
        <w:t> </w:t>
      </w:r>
      <w:r w:rsidRPr="00901E86">
        <w:t>odhad z roku 2013, tj. jedná se o výpočet vycházející z cen a údajů minimálně 12 let starých.</w:t>
      </w:r>
    </w:p>
    <w:p w14:paraId="36827F48" w14:textId="6F6A55C6" w:rsidR="003006D9" w:rsidRPr="00D50C45" w:rsidRDefault="00EA2916" w:rsidP="00331995">
      <w:pPr>
        <w:keepNext/>
        <w:spacing w:before="840" w:after="120"/>
        <w:outlineLvl w:val="0"/>
        <w:rPr>
          <w:b/>
          <w:bCs/>
        </w:rPr>
      </w:pPr>
      <w:bookmarkStart w:id="34" w:name="_Hlk162252505"/>
      <w:bookmarkEnd w:id="33"/>
      <w:r w:rsidRPr="00D50C45">
        <w:rPr>
          <w:b/>
          <w:bCs/>
        </w:rPr>
        <w:lastRenderedPageBreak/>
        <w:t>Seznam zkratek</w:t>
      </w:r>
    </w:p>
    <w:bookmarkEnd w:id="34"/>
    <w:p w14:paraId="7F89A7A2" w14:textId="2038A0F1" w:rsidR="00E030E8" w:rsidRDefault="00E030E8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adaptační strategie</w:t>
      </w:r>
      <w:r>
        <w:rPr>
          <w:rFonts w:ascii="Calibri" w:hAnsi="Calibri" w:cs="Calibri"/>
        </w:rPr>
        <w:tab/>
      </w:r>
      <w:proofErr w:type="spellStart"/>
      <w:r w:rsidRPr="009328FB">
        <w:rPr>
          <w:i/>
          <w:iCs/>
        </w:rPr>
        <w:t>Strategi</w:t>
      </w:r>
      <w:r>
        <w:rPr>
          <w:i/>
          <w:iCs/>
        </w:rPr>
        <w:t>e</w:t>
      </w:r>
      <w:proofErr w:type="spellEnd"/>
      <w:r w:rsidRPr="009328FB">
        <w:rPr>
          <w:i/>
          <w:iCs/>
        </w:rPr>
        <w:t xml:space="preserve"> přizpůsobení se změně klimatu v podmínkách ČR</w:t>
      </w:r>
    </w:p>
    <w:p w14:paraId="02368429" w14:textId="745BC461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BD</w:t>
      </w:r>
      <w:r>
        <w:rPr>
          <w:rFonts w:ascii="Calibri" w:hAnsi="Calibri" w:cs="Calibri"/>
        </w:rPr>
        <w:tab/>
        <w:t>bytové domy</w:t>
      </w:r>
    </w:p>
    <w:p w14:paraId="22D79B7B" w14:textId="3E9F7518" w:rsidR="0097482D" w:rsidRPr="005C5C83" w:rsidRDefault="0097482D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 w:rsidRPr="005C5C83">
        <w:rPr>
          <w:rFonts w:ascii="Calibri" w:hAnsi="Calibri" w:cs="Calibri"/>
        </w:rPr>
        <w:t>ČR</w:t>
      </w:r>
      <w:r w:rsidRPr="005C5C83">
        <w:rPr>
          <w:rFonts w:ascii="Calibri" w:hAnsi="Calibri" w:cs="Calibri"/>
        </w:rPr>
        <w:tab/>
        <w:t>Česká republika</w:t>
      </w:r>
    </w:p>
    <w:p w14:paraId="44748BAF" w14:textId="77777777" w:rsidR="0097482D" w:rsidRDefault="0097482D" w:rsidP="00E8374D">
      <w:pPr>
        <w:pStyle w:val="TextKP"/>
        <w:spacing w:before="60" w:after="60"/>
        <w:ind w:left="2268" w:hanging="2268"/>
        <w:jc w:val="left"/>
        <w:rPr>
          <w:spacing w:val="-2"/>
        </w:rPr>
      </w:pPr>
      <w:r>
        <w:rPr>
          <w:spacing w:val="-2"/>
        </w:rPr>
        <w:t>DPH</w:t>
      </w:r>
      <w:r>
        <w:rPr>
          <w:spacing w:val="-2"/>
        </w:rPr>
        <w:tab/>
        <w:t>daň z přidané hodnoty</w:t>
      </w:r>
    </w:p>
    <w:p w14:paraId="20221BEE" w14:textId="77777777" w:rsidR="0097482D" w:rsidRDefault="0097482D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 w:rsidRPr="005C5C83">
        <w:rPr>
          <w:rFonts w:ascii="Calibri" w:hAnsi="Calibri" w:cs="Calibri"/>
        </w:rPr>
        <w:t>EU</w:t>
      </w:r>
      <w:r w:rsidRPr="005C5C83">
        <w:rPr>
          <w:rFonts w:ascii="Calibri" w:hAnsi="Calibri" w:cs="Calibri"/>
        </w:rPr>
        <w:tab/>
        <w:t>Evropská unie</w:t>
      </w:r>
    </w:p>
    <w:p w14:paraId="3C5F65B4" w14:textId="263A948D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KOS</w:t>
      </w:r>
      <w:r>
        <w:rPr>
          <w:rFonts w:ascii="Calibri" w:hAnsi="Calibri" w:cs="Calibri"/>
        </w:rPr>
        <w:tab/>
      </w:r>
      <w:r w:rsidRPr="003C4B1F">
        <w:rPr>
          <w:rFonts w:ascii="Calibri" w:hAnsi="Calibri" w:cs="Calibri"/>
          <w:i/>
          <w:iCs/>
        </w:rPr>
        <w:t>Koncepce ochrany před následky sucha</w:t>
      </w:r>
    </w:p>
    <w:p w14:paraId="2CF20844" w14:textId="574FE58E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MdF</w:t>
      </w:r>
      <w:proofErr w:type="spellEnd"/>
      <w:r>
        <w:rPr>
          <w:rFonts w:ascii="Calibri" w:hAnsi="Calibri" w:cs="Calibri"/>
        </w:rPr>
        <w:tab/>
        <w:t>Modernizační fond</w:t>
      </w:r>
    </w:p>
    <w:p w14:paraId="7053E1CE" w14:textId="66C57CCB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MŽP</w:t>
      </w:r>
      <w:r>
        <w:rPr>
          <w:rFonts w:ascii="Calibri" w:hAnsi="Calibri" w:cs="Calibri"/>
        </w:rPr>
        <w:tab/>
        <w:t>Ministerstvo životního prostředí</w:t>
      </w:r>
    </w:p>
    <w:p w14:paraId="68D8EBF8" w14:textId="69E1CAE8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N/A</w:t>
      </w:r>
      <w:r>
        <w:rPr>
          <w:rFonts w:ascii="Calibri" w:hAnsi="Calibri" w:cs="Calibri"/>
        </w:rPr>
        <w:tab/>
        <w:t>nedostupné, příp. neaplikovatelné</w:t>
      </w:r>
    </w:p>
    <w:p w14:paraId="1B128AB5" w14:textId="0C4ACB9D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NAP</w:t>
      </w:r>
      <w:r>
        <w:rPr>
          <w:rFonts w:ascii="Calibri" w:hAnsi="Calibri" w:cs="Calibri"/>
        </w:rPr>
        <w:tab/>
      </w:r>
      <w:r w:rsidRPr="003C4B1F">
        <w:rPr>
          <w:rFonts w:ascii="Calibri" w:hAnsi="Calibri" w:cs="Calibri"/>
          <w:i/>
          <w:iCs/>
        </w:rPr>
        <w:t>Národní akční plán na změnu klimatu</w:t>
      </w:r>
    </w:p>
    <w:p w14:paraId="2C837C7F" w14:textId="3576D5F4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NKÚ</w:t>
      </w:r>
      <w:r>
        <w:rPr>
          <w:rFonts w:ascii="Calibri" w:hAnsi="Calibri" w:cs="Calibri"/>
        </w:rPr>
        <w:tab/>
        <w:t>Nejvyšší kontrolní úřad</w:t>
      </w:r>
    </w:p>
    <w:p w14:paraId="3175E9D2" w14:textId="5DCB89D1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NPO</w:t>
      </w:r>
      <w:r>
        <w:rPr>
          <w:rFonts w:ascii="Calibri" w:hAnsi="Calibri" w:cs="Calibri"/>
        </w:rPr>
        <w:tab/>
      </w:r>
      <w:r w:rsidRPr="003C4B1F">
        <w:rPr>
          <w:rFonts w:ascii="Calibri" w:hAnsi="Calibri" w:cs="Calibri"/>
          <w:i/>
          <w:iCs/>
        </w:rPr>
        <w:t>Národní plán obnovy</w:t>
      </w:r>
    </w:p>
    <w:p w14:paraId="2C4E558D" w14:textId="4189F6C6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NPŽP</w:t>
      </w:r>
      <w:r>
        <w:rPr>
          <w:rFonts w:ascii="Calibri" w:hAnsi="Calibri" w:cs="Calibri"/>
        </w:rPr>
        <w:tab/>
      </w:r>
      <w:r w:rsidRPr="003C4B1F">
        <w:rPr>
          <w:rFonts w:ascii="Calibri" w:hAnsi="Calibri" w:cs="Calibri"/>
          <w:i/>
          <w:iCs/>
        </w:rPr>
        <w:t>Národní program Životní prostředí</w:t>
      </w:r>
    </w:p>
    <w:p w14:paraId="1567C287" w14:textId="40F8D457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NZÚ</w:t>
      </w:r>
      <w:r>
        <w:rPr>
          <w:rFonts w:ascii="Calibri" w:hAnsi="Calibri" w:cs="Calibri"/>
        </w:rPr>
        <w:tab/>
        <w:t xml:space="preserve">program </w:t>
      </w:r>
      <w:r w:rsidRPr="003C4B1F">
        <w:rPr>
          <w:rFonts w:ascii="Calibri" w:hAnsi="Calibri" w:cs="Calibri"/>
          <w:i/>
          <w:iCs/>
        </w:rPr>
        <w:t>Nová zelená úsporám</w:t>
      </w:r>
    </w:p>
    <w:p w14:paraId="2E001EC3" w14:textId="0D316A95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OPŽP14+</w:t>
      </w:r>
      <w:r>
        <w:rPr>
          <w:rFonts w:ascii="Calibri" w:hAnsi="Calibri" w:cs="Calibri"/>
        </w:rPr>
        <w:tab/>
        <w:t xml:space="preserve">operační program </w:t>
      </w:r>
      <w:r w:rsidRPr="003C4B1F">
        <w:rPr>
          <w:rFonts w:ascii="Calibri" w:hAnsi="Calibri" w:cs="Calibri"/>
          <w:i/>
          <w:iCs/>
        </w:rPr>
        <w:t>Životní prostředí 2014–2020</w:t>
      </w:r>
    </w:p>
    <w:p w14:paraId="166BD731" w14:textId="5538FB1D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OPŽP21+</w:t>
      </w:r>
      <w:r>
        <w:rPr>
          <w:rFonts w:ascii="Calibri" w:hAnsi="Calibri" w:cs="Calibri"/>
        </w:rPr>
        <w:tab/>
        <w:t xml:space="preserve">operační program </w:t>
      </w:r>
      <w:r w:rsidRPr="003C4B1F">
        <w:rPr>
          <w:rFonts w:ascii="Calibri" w:hAnsi="Calibri" w:cs="Calibri"/>
          <w:i/>
          <w:iCs/>
        </w:rPr>
        <w:t>Životní prostředí 2021–2027</w:t>
      </w:r>
    </w:p>
    <w:p w14:paraId="3CCFBD30" w14:textId="673FC076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RD</w:t>
      </w:r>
      <w:r>
        <w:rPr>
          <w:rFonts w:ascii="Calibri" w:hAnsi="Calibri" w:cs="Calibri"/>
        </w:rPr>
        <w:tab/>
        <w:t>rodinné domy</w:t>
      </w:r>
    </w:p>
    <w:p w14:paraId="04DC2ACC" w14:textId="3E89A3C7" w:rsidR="00BA4904" w:rsidRDefault="00BA4904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SDP</w:t>
      </w:r>
      <w:r>
        <w:rPr>
          <w:rFonts w:ascii="Calibri" w:hAnsi="Calibri" w:cs="Calibri"/>
        </w:rPr>
        <w:tab/>
        <w:t>specifické datové položky</w:t>
      </w:r>
    </w:p>
    <w:p w14:paraId="74AFD6AE" w14:textId="57BCE64E" w:rsidR="009F632C" w:rsidRDefault="009F632C" w:rsidP="00E8374D">
      <w:pPr>
        <w:pStyle w:val="TextKP"/>
        <w:spacing w:before="60" w:after="60"/>
        <w:ind w:left="2268" w:hanging="226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SFŽP</w:t>
      </w:r>
      <w:r>
        <w:rPr>
          <w:rFonts w:ascii="Calibri" w:hAnsi="Calibri" w:cs="Calibri"/>
        </w:rPr>
        <w:tab/>
        <w:t>Státní fond životního prostředí České republiky</w:t>
      </w:r>
    </w:p>
    <w:p w14:paraId="6FA05A10" w14:textId="0508CB50" w:rsidR="009405D7" w:rsidRPr="00D50C45" w:rsidRDefault="00EA2916" w:rsidP="00E8374D">
      <w:pPr>
        <w:spacing w:before="600" w:after="240"/>
        <w:outlineLvl w:val="0"/>
        <w:rPr>
          <w:b/>
          <w:bCs/>
        </w:rPr>
      </w:pPr>
      <w:r w:rsidRPr="00D50C45">
        <w:rPr>
          <w:b/>
          <w:bCs/>
        </w:rPr>
        <w:t>Seznam příloh</w:t>
      </w:r>
    </w:p>
    <w:p w14:paraId="75AC1949" w14:textId="40660503" w:rsidR="009405D7" w:rsidRPr="00442B88" w:rsidRDefault="00EA2916" w:rsidP="00E8374D">
      <w:pPr>
        <w:pStyle w:val="TextKP"/>
        <w:tabs>
          <w:tab w:val="left" w:pos="1276"/>
        </w:tabs>
        <w:spacing w:before="60" w:after="60"/>
        <w:ind w:left="1276" w:hanging="1276"/>
        <w:jc w:val="left"/>
      </w:pPr>
      <w:r w:rsidRPr="00442B88">
        <w:t>Příloha č. 1:</w:t>
      </w:r>
      <w:r w:rsidR="0053518E">
        <w:tab/>
      </w:r>
      <w:r w:rsidR="00810318">
        <w:t>Přehled kontrolovaných projektů</w:t>
      </w:r>
    </w:p>
    <w:p w14:paraId="6A762862" w14:textId="6E4D7904" w:rsidR="006C7F2C" w:rsidRDefault="00EA2916" w:rsidP="00E8374D">
      <w:pPr>
        <w:pStyle w:val="TextKP"/>
        <w:tabs>
          <w:tab w:val="left" w:pos="1276"/>
        </w:tabs>
        <w:spacing w:before="60" w:after="60"/>
        <w:ind w:left="1276" w:hanging="1276"/>
        <w:jc w:val="left"/>
      </w:pPr>
      <w:r w:rsidRPr="00442B88">
        <w:t>Příloha č. 2:</w:t>
      </w:r>
      <w:r w:rsidR="0053518E">
        <w:tab/>
      </w:r>
      <w:r w:rsidR="00810318">
        <w:t xml:space="preserve">Přehled ukazatelů </w:t>
      </w:r>
      <w:r w:rsidR="0007257A">
        <w:t>pro oblast hospodaření se srážkovými vodami</w:t>
      </w:r>
      <w:r w:rsidR="00810318">
        <w:t xml:space="preserve"> v dotačních programech MŽP</w:t>
      </w:r>
    </w:p>
    <w:p w14:paraId="133956DB" w14:textId="3E4562FB" w:rsidR="00AF0E5C" w:rsidRDefault="00AF0E5C" w:rsidP="00E8374D">
      <w:pPr>
        <w:pStyle w:val="TextKP"/>
        <w:tabs>
          <w:tab w:val="left" w:pos="1276"/>
        </w:tabs>
        <w:spacing w:before="60" w:after="60"/>
        <w:ind w:left="1276" w:hanging="1276"/>
        <w:jc w:val="left"/>
      </w:pPr>
      <w:r>
        <w:t>Příloha č. 3:</w:t>
      </w:r>
      <w:r>
        <w:tab/>
      </w:r>
      <w:r w:rsidRPr="00AF0E5C">
        <w:rPr>
          <w:bCs/>
        </w:rPr>
        <w:t>Přehled výše dotací obcím na zlepšení hospodaření se srážkovými vodami</w:t>
      </w:r>
    </w:p>
    <w:p w14:paraId="15301A06" w14:textId="77777777" w:rsidR="00127707" w:rsidRDefault="00127707" w:rsidP="00E8374D">
      <w:pPr>
        <w:pStyle w:val="TextKP"/>
        <w:tabs>
          <w:tab w:val="left" w:pos="1276"/>
        </w:tabs>
        <w:spacing w:before="60" w:after="60"/>
        <w:ind w:left="1276" w:hanging="1276"/>
        <w:jc w:val="left"/>
      </w:pPr>
    </w:p>
    <w:p w14:paraId="7EB1E9FC" w14:textId="77777777" w:rsidR="00127707" w:rsidRDefault="00127707" w:rsidP="00127707">
      <w:pPr>
        <w:pStyle w:val="TextKP"/>
        <w:tabs>
          <w:tab w:val="left" w:pos="1276"/>
        </w:tabs>
        <w:spacing w:before="0"/>
        <w:jc w:val="left"/>
      </w:pPr>
    </w:p>
    <w:p w14:paraId="3060D291" w14:textId="0118AB17" w:rsidR="00127707" w:rsidRDefault="00127707" w:rsidP="00127707">
      <w:pPr>
        <w:pStyle w:val="TextKP"/>
        <w:tabs>
          <w:tab w:val="left" w:pos="1276"/>
        </w:tabs>
        <w:spacing w:before="0"/>
        <w:jc w:val="left"/>
      </w:pPr>
      <w:r>
        <w:br w:type="page"/>
      </w:r>
    </w:p>
    <w:p w14:paraId="122D41A9" w14:textId="081B340B" w:rsidR="00F76A63" w:rsidRPr="00B067C3" w:rsidRDefault="00DA6A2F" w:rsidP="00C7261A">
      <w:pPr>
        <w:pStyle w:val="TextKP"/>
        <w:tabs>
          <w:tab w:val="left" w:pos="2410"/>
        </w:tabs>
        <w:spacing w:before="0"/>
        <w:ind w:left="1701" w:hanging="1701"/>
        <w:jc w:val="right"/>
        <w:outlineLvl w:val="0"/>
      </w:pPr>
      <w:r w:rsidRPr="00303804">
        <w:rPr>
          <w:b/>
        </w:rPr>
        <w:lastRenderedPageBreak/>
        <w:t xml:space="preserve">Příloha č. </w:t>
      </w:r>
      <w:r w:rsidRPr="00303804">
        <w:rPr>
          <w:b/>
        </w:rPr>
        <w:fldChar w:fldCharType="begin"/>
      </w:r>
      <w:r w:rsidRPr="00303804">
        <w:rPr>
          <w:b/>
        </w:rPr>
        <w:instrText xml:space="preserve"> SEQ Příloha_č. \* ARABIC </w:instrText>
      </w:r>
      <w:r w:rsidRPr="00303804">
        <w:rPr>
          <w:b/>
        </w:rPr>
        <w:fldChar w:fldCharType="separate"/>
      </w:r>
      <w:r w:rsidR="00D213BC">
        <w:rPr>
          <w:b/>
          <w:noProof/>
        </w:rPr>
        <w:t>1</w:t>
      </w:r>
      <w:r w:rsidRPr="00303804">
        <w:rPr>
          <w:b/>
        </w:rPr>
        <w:fldChar w:fldCharType="end"/>
      </w:r>
    </w:p>
    <w:p w14:paraId="6D3CAFA2" w14:textId="0864A2F2" w:rsidR="00186B08" w:rsidRPr="00046755" w:rsidRDefault="009D77F8" w:rsidP="00046755">
      <w:pPr>
        <w:tabs>
          <w:tab w:val="right" w:pos="9072"/>
        </w:tabs>
        <w:spacing w:before="120" w:after="40"/>
        <w:ind w:left="1134" w:hanging="1134"/>
        <w:rPr>
          <w:b/>
        </w:rPr>
      </w:pPr>
      <w:r>
        <w:rPr>
          <w:b/>
        </w:rPr>
        <w:t>Přehled kontrolovaných projektů</w:t>
      </w:r>
    </w:p>
    <w:p w14:paraId="64BE65F4" w14:textId="2F07E054" w:rsidR="00DA3417" w:rsidRPr="00440BB5" w:rsidRDefault="00810318" w:rsidP="00440BB5">
      <w:pPr>
        <w:pStyle w:val="Titulek"/>
        <w:spacing w:after="40"/>
      </w:pPr>
      <w:r w:rsidRPr="00440BB5">
        <w:t xml:space="preserve">Tabulka č. </w:t>
      </w:r>
      <w:fldSimple w:instr=" SEQ Tabulka_č. \* ARABIC ">
        <w:r w:rsidR="00D213BC" w:rsidRPr="00440BB5">
          <w:rPr>
            <w:noProof/>
          </w:rPr>
          <w:t>10</w:t>
        </w:r>
      </w:fldSimple>
      <w:r w:rsidRPr="00440BB5">
        <w:t xml:space="preserve">: </w:t>
      </w:r>
      <w:r w:rsidR="00DA3417" w:rsidRPr="00440BB5">
        <w:t>Kontrolované projekty z investice 2.9.2 NPŽP v rámci NPO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68"/>
        <w:gridCol w:w="1316"/>
        <w:gridCol w:w="1468"/>
        <w:gridCol w:w="1622"/>
      </w:tblGrid>
      <w:tr w:rsidR="00DA3417" w:rsidRPr="00DA3417" w14:paraId="55132777" w14:textId="77777777" w:rsidTr="00440BB5">
        <w:trPr>
          <w:trHeight w:val="20"/>
        </w:trPr>
        <w:tc>
          <w:tcPr>
            <w:tcW w:w="545" w:type="pct"/>
            <w:shd w:val="clear" w:color="auto" w:fill="E6E6E6"/>
            <w:vAlign w:val="center"/>
            <w:hideMark/>
          </w:tcPr>
          <w:p w14:paraId="3FB183EF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projektu</w:t>
            </w:r>
          </w:p>
        </w:tc>
        <w:tc>
          <w:tcPr>
            <w:tcW w:w="2024" w:type="pct"/>
            <w:shd w:val="clear" w:color="auto" w:fill="E6E6E6"/>
            <w:vAlign w:val="center"/>
            <w:hideMark/>
          </w:tcPr>
          <w:p w14:paraId="181F31A2" w14:textId="77777777" w:rsidR="00DA3417" w:rsidRPr="00DA3417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726" w:type="pct"/>
            <w:shd w:val="clear" w:color="auto" w:fill="E6E6E6"/>
            <w:vAlign w:val="center"/>
            <w:hideMark/>
          </w:tcPr>
          <w:p w14:paraId="7FBFC41A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Příjemce podpory</w:t>
            </w:r>
          </w:p>
        </w:tc>
        <w:tc>
          <w:tcPr>
            <w:tcW w:w="810" w:type="pct"/>
            <w:shd w:val="clear" w:color="auto" w:fill="E6E6E6"/>
            <w:vAlign w:val="center"/>
            <w:hideMark/>
          </w:tcPr>
          <w:p w14:paraId="7AD318BF" w14:textId="4BE7B6FD" w:rsidR="00DA3417" w:rsidRPr="00DA3417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Proplacena dotace</w:t>
            </w: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643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Kč</w:t>
            </w:r>
            <w:r w:rsidR="000643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95" w:type="pct"/>
            <w:shd w:val="clear" w:color="auto" w:fill="E6E6E6"/>
            <w:vAlign w:val="center"/>
            <w:hideMark/>
          </w:tcPr>
          <w:p w14:paraId="0F69489B" w14:textId="7BD7FD66" w:rsidR="00DA3417" w:rsidRPr="00440BB5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Objem zadržen</w:t>
            </w:r>
            <w:r w:rsidR="008B4B9D"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ých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srážkov</w:t>
            </w:r>
            <w:r w:rsidR="008B4B9D"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ých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vod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0643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m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="000643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DA3417" w:rsidRPr="00DA3417" w14:paraId="70F19D53" w14:textId="77777777" w:rsidTr="00440BB5">
        <w:trPr>
          <w:trHeight w:val="20"/>
        </w:trPr>
        <w:tc>
          <w:tcPr>
            <w:tcW w:w="545" w:type="pct"/>
            <w:vAlign w:val="center"/>
            <w:hideMark/>
          </w:tcPr>
          <w:p w14:paraId="5ADDF32B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5211000045</w:t>
            </w:r>
          </w:p>
        </w:tc>
        <w:tc>
          <w:tcPr>
            <w:tcW w:w="2024" w:type="pct"/>
            <w:vAlign w:val="center"/>
            <w:hideMark/>
          </w:tcPr>
          <w:p w14:paraId="0FC6AAE4" w14:textId="77777777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Rekonstrukce povrchů a hospodaření se srážkovými vodami v lokalitě Řevnice – </w:t>
            </w:r>
            <w:proofErr w:type="spellStart"/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Vrážka</w:t>
            </w:r>
            <w:proofErr w:type="spellEnd"/>
          </w:p>
        </w:tc>
        <w:tc>
          <w:tcPr>
            <w:tcW w:w="726" w:type="pct"/>
            <w:vAlign w:val="center"/>
            <w:hideMark/>
          </w:tcPr>
          <w:p w14:paraId="5396A061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Město Řevnice</w:t>
            </w:r>
          </w:p>
        </w:tc>
        <w:tc>
          <w:tcPr>
            <w:tcW w:w="810" w:type="pct"/>
            <w:vAlign w:val="center"/>
            <w:hideMark/>
          </w:tcPr>
          <w:p w14:paraId="549381E1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44 361 829,37</w:t>
            </w:r>
          </w:p>
        </w:tc>
        <w:tc>
          <w:tcPr>
            <w:tcW w:w="895" w:type="pct"/>
            <w:vAlign w:val="center"/>
            <w:hideMark/>
          </w:tcPr>
          <w:p w14:paraId="39EA6A02" w14:textId="38E3320E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761,8</w:t>
            </w:r>
            <w:r w:rsidR="003319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00</w:t>
            </w:r>
          </w:p>
        </w:tc>
      </w:tr>
      <w:tr w:rsidR="00DA3417" w:rsidRPr="00DA3417" w14:paraId="425E223F" w14:textId="77777777" w:rsidTr="00440BB5">
        <w:trPr>
          <w:trHeight w:val="20"/>
        </w:trPr>
        <w:tc>
          <w:tcPr>
            <w:tcW w:w="545" w:type="pct"/>
            <w:vAlign w:val="center"/>
            <w:hideMark/>
          </w:tcPr>
          <w:p w14:paraId="002D67C0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5211000066</w:t>
            </w:r>
          </w:p>
        </w:tc>
        <w:tc>
          <w:tcPr>
            <w:tcW w:w="2024" w:type="pct"/>
            <w:vAlign w:val="center"/>
            <w:hideMark/>
          </w:tcPr>
          <w:p w14:paraId="68F1E81F" w14:textId="77777777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Zelená střecha MŠ Palackého č. p. 4059</w:t>
            </w:r>
          </w:p>
        </w:tc>
        <w:tc>
          <w:tcPr>
            <w:tcW w:w="726" w:type="pct"/>
            <w:vMerge w:val="restart"/>
            <w:vAlign w:val="center"/>
            <w:hideMark/>
          </w:tcPr>
          <w:p w14:paraId="2362D005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Statutární město Chomutov</w:t>
            </w:r>
          </w:p>
        </w:tc>
        <w:tc>
          <w:tcPr>
            <w:tcW w:w="810" w:type="pct"/>
            <w:vAlign w:val="center"/>
            <w:hideMark/>
          </w:tcPr>
          <w:p w14:paraId="20D3211E" w14:textId="4B56D8BA" w:rsidR="00DA3417" w:rsidRPr="00DA3417" w:rsidRDefault="005B1F53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B1F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DA3417"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3 825 791,69</w:t>
            </w:r>
          </w:p>
        </w:tc>
        <w:tc>
          <w:tcPr>
            <w:tcW w:w="895" w:type="pct"/>
            <w:vAlign w:val="center"/>
            <w:hideMark/>
          </w:tcPr>
          <w:p w14:paraId="5EAA3272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2,109</w:t>
            </w:r>
          </w:p>
        </w:tc>
      </w:tr>
      <w:tr w:rsidR="00DA3417" w:rsidRPr="00DA3417" w14:paraId="38076221" w14:textId="77777777" w:rsidTr="00440BB5">
        <w:trPr>
          <w:trHeight w:val="20"/>
        </w:trPr>
        <w:tc>
          <w:tcPr>
            <w:tcW w:w="545" w:type="pct"/>
            <w:vAlign w:val="center"/>
            <w:hideMark/>
          </w:tcPr>
          <w:p w14:paraId="305494C4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5211000067</w:t>
            </w:r>
          </w:p>
        </w:tc>
        <w:tc>
          <w:tcPr>
            <w:tcW w:w="2024" w:type="pct"/>
            <w:vAlign w:val="center"/>
            <w:hideMark/>
          </w:tcPr>
          <w:p w14:paraId="37DC00CA" w14:textId="77777777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Zelená střecha MŠ Zahradní č. p. 5185</w:t>
            </w:r>
          </w:p>
        </w:tc>
        <w:tc>
          <w:tcPr>
            <w:tcW w:w="726" w:type="pct"/>
            <w:vMerge/>
            <w:vAlign w:val="center"/>
            <w:hideMark/>
          </w:tcPr>
          <w:p w14:paraId="0E171A34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0" w:type="pct"/>
            <w:vAlign w:val="center"/>
            <w:hideMark/>
          </w:tcPr>
          <w:p w14:paraId="2755080C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8 521 942,10</w:t>
            </w:r>
          </w:p>
        </w:tc>
        <w:tc>
          <w:tcPr>
            <w:tcW w:w="895" w:type="pct"/>
            <w:vAlign w:val="center"/>
            <w:hideMark/>
          </w:tcPr>
          <w:p w14:paraId="04226EF5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7,452</w:t>
            </w:r>
          </w:p>
        </w:tc>
      </w:tr>
      <w:tr w:rsidR="00DA3417" w:rsidRPr="00DA3417" w14:paraId="5A9EE7A7" w14:textId="77777777" w:rsidTr="00440BB5">
        <w:trPr>
          <w:trHeight w:val="20"/>
        </w:trPr>
        <w:tc>
          <w:tcPr>
            <w:tcW w:w="545" w:type="pct"/>
            <w:vAlign w:val="center"/>
            <w:hideMark/>
          </w:tcPr>
          <w:p w14:paraId="0E4C5D83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5211000083</w:t>
            </w:r>
          </w:p>
        </w:tc>
        <w:tc>
          <w:tcPr>
            <w:tcW w:w="2024" w:type="pct"/>
            <w:vAlign w:val="center"/>
            <w:hideMark/>
          </w:tcPr>
          <w:p w14:paraId="22AC360B" w14:textId="77777777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Vybudování dopravního hřiště a parkoviště s vodopropustným povrchem v parku KOVO</w:t>
            </w:r>
          </w:p>
        </w:tc>
        <w:tc>
          <w:tcPr>
            <w:tcW w:w="726" w:type="pct"/>
            <w:vMerge/>
            <w:vAlign w:val="center"/>
            <w:hideMark/>
          </w:tcPr>
          <w:p w14:paraId="43A21A77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0" w:type="pct"/>
            <w:vAlign w:val="center"/>
            <w:hideMark/>
          </w:tcPr>
          <w:p w14:paraId="3CDE123C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6 632 623,86</w:t>
            </w:r>
          </w:p>
        </w:tc>
        <w:tc>
          <w:tcPr>
            <w:tcW w:w="895" w:type="pct"/>
            <w:vAlign w:val="center"/>
            <w:hideMark/>
          </w:tcPr>
          <w:p w14:paraId="2E6E5AD2" w14:textId="0FE3958F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6,88</w:t>
            </w:r>
            <w:r w:rsidR="003319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DA3417" w:rsidRPr="00DA3417" w14:paraId="770D04EC" w14:textId="77777777" w:rsidTr="00440BB5">
        <w:trPr>
          <w:trHeight w:val="20"/>
        </w:trPr>
        <w:tc>
          <w:tcPr>
            <w:tcW w:w="545" w:type="pct"/>
            <w:vAlign w:val="center"/>
            <w:hideMark/>
          </w:tcPr>
          <w:p w14:paraId="1D29E8CE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5211000072</w:t>
            </w:r>
          </w:p>
        </w:tc>
        <w:tc>
          <w:tcPr>
            <w:tcW w:w="2024" w:type="pct"/>
            <w:vAlign w:val="center"/>
            <w:hideMark/>
          </w:tcPr>
          <w:p w14:paraId="6BD4F954" w14:textId="397D90CC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Hospodaření se srážkovými vodami v intravilánu, ul.</w:t>
            </w:r>
            <w:r w:rsidR="006453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Přemyslova, Chomutov v blízkosti areálu Kamencového jezera</w:t>
            </w:r>
          </w:p>
        </w:tc>
        <w:tc>
          <w:tcPr>
            <w:tcW w:w="726" w:type="pct"/>
            <w:vAlign w:val="center"/>
            <w:hideMark/>
          </w:tcPr>
          <w:p w14:paraId="646E0B31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Obec Velká Hleďsebe</w:t>
            </w:r>
          </w:p>
        </w:tc>
        <w:tc>
          <w:tcPr>
            <w:tcW w:w="810" w:type="pct"/>
            <w:vAlign w:val="center"/>
            <w:hideMark/>
          </w:tcPr>
          <w:p w14:paraId="6CB0446B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3 038 300,68</w:t>
            </w:r>
          </w:p>
        </w:tc>
        <w:tc>
          <w:tcPr>
            <w:tcW w:w="895" w:type="pct"/>
            <w:vAlign w:val="center"/>
            <w:hideMark/>
          </w:tcPr>
          <w:p w14:paraId="413DB31C" w14:textId="3F24D9A4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38,06</w:t>
            </w:r>
            <w:r w:rsidR="0033199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DA3417" w:rsidRPr="00DA3417" w14:paraId="3CF5B38F" w14:textId="77777777" w:rsidTr="00440BB5">
        <w:trPr>
          <w:trHeight w:val="20"/>
        </w:trPr>
        <w:tc>
          <w:tcPr>
            <w:tcW w:w="3295" w:type="pct"/>
            <w:gridSpan w:val="3"/>
            <w:vAlign w:val="center"/>
            <w:hideMark/>
          </w:tcPr>
          <w:p w14:paraId="4982C413" w14:textId="77777777" w:rsidR="00DA3417" w:rsidRPr="00DA3417" w:rsidRDefault="00DA3417" w:rsidP="00440BB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810" w:type="pct"/>
            <w:vAlign w:val="center"/>
            <w:hideMark/>
          </w:tcPr>
          <w:p w14:paraId="38A8EDEF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66 380 487,70</w:t>
            </w:r>
          </w:p>
        </w:tc>
        <w:tc>
          <w:tcPr>
            <w:tcW w:w="895" w:type="pct"/>
            <w:vAlign w:val="center"/>
            <w:hideMark/>
          </w:tcPr>
          <w:p w14:paraId="43BCCC48" w14:textId="77777777" w:rsidR="00DA3417" w:rsidRPr="00DA3417" w:rsidRDefault="00DA3417" w:rsidP="00440BB5">
            <w:pPr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816,301</w:t>
            </w:r>
          </w:p>
        </w:tc>
      </w:tr>
    </w:tbl>
    <w:p w14:paraId="26EE2194" w14:textId="28212D2A" w:rsidR="00186B08" w:rsidRDefault="00EA2916" w:rsidP="00440BB5">
      <w:pPr>
        <w:pStyle w:val="Zdrojeapozn"/>
        <w:spacing w:before="40"/>
      </w:pPr>
      <w:r w:rsidRPr="00440BB5">
        <w:rPr>
          <w:b/>
          <w:bCs w:val="0"/>
        </w:rPr>
        <w:t xml:space="preserve">Zdroj: </w:t>
      </w:r>
      <w:r w:rsidR="000643A4">
        <w:t>v</w:t>
      </w:r>
      <w:r w:rsidR="00DA3417">
        <w:t>ypracoval NKÚ na základě dat MŽP a SFŽP.</w:t>
      </w:r>
    </w:p>
    <w:p w14:paraId="7E007467" w14:textId="77777777" w:rsidR="00DA3417" w:rsidRDefault="00DA3417" w:rsidP="00DA3417"/>
    <w:p w14:paraId="7BFAD7A1" w14:textId="0EB35BA6" w:rsidR="00DA3417" w:rsidRPr="00440BB5" w:rsidRDefault="00810318" w:rsidP="00440BB5">
      <w:pPr>
        <w:pStyle w:val="Titulek"/>
        <w:spacing w:after="40"/>
      </w:pPr>
      <w:r w:rsidRPr="00440BB5">
        <w:t xml:space="preserve">Tabulka č. </w:t>
      </w:r>
      <w:fldSimple w:instr=" SEQ Tabulka_č. \* ARABIC ">
        <w:r w:rsidR="00D213BC" w:rsidRPr="00440BB5">
          <w:rPr>
            <w:noProof/>
          </w:rPr>
          <w:t>11</w:t>
        </w:r>
      </w:fldSimple>
      <w:r w:rsidRPr="00440BB5">
        <w:t xml:space="preserve">: </w:t>
      </w:r>
      <w:r w:rsidR="00DA3417" w:rsidRPr="00440BB5">
        <w:t>Kontrolované projekty aktivita 1.3.4 OPŽP21</w:t>
      </w:r>
      <w:r w:rsidR="00DC2416" w:rsidRPr="00440BB5">
        <w:t>+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986"/>
        <w:gridCol w:w="1134"/>
        <w:gridCol w:w="1134"/>
        <w:gridCol w:w="1274"/>
        <w:gridCol w:w="1136"/>
        <w:gridCol w:w="55"/>
        <w:gridCol w:w="1072"/>
        <w:gridCol w:w="55"/>
      </w:tblGrid>
      <w:tr w:rsidR="00DA3417" w:rsidRPr="00DA3417" w14:paraId="55EAA972" w14:textId="77777777" w:rsidTr="00564F62">
        <w:trPr>
          <w:trHeight w:val="20"/>
        </w:trPr>
        <w:tc>
          <w:tcPr>
            <w:tcW w:w="1270" w:type="dxa"/>
            <w:shd w:val="clear" w:color="auto" w:fill="E6E6E6"/>
            <w:vAlign w:val="center"/>
            <w:hideMark/>
          </w:tcPr>
          <w:p w14:paraId="3924633A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986" w:type="dxa"/>
            <w:shd w:val="clear" w:color="auto" w:fill="E6E6E6"/>
            <w:vAlign w:val="center"/>
            <w:hideMark/>
          </w:tcPr>
          <w:p w14:paraId="43FF89C7" w14:textId="77777777" w:rsidR="00DA3417" w:rsidRPr="00DA3417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1134" w:type="dxa"/>
            <w:shd w:val="clear" w:color="auto" w:fill="E6E6E6"/>
            <w:vAlign w:val="center"/>
            <w:hideMark/>
          </w:tcPr>
          <w:p w14:paraId="3D556BBD" w14:textId="2D4CF917" w:rsidR="00DA3417" w:rsidRPr="00DA3417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Příjemce podpory</w:t>
            </w:r>
          </w:p>
        </w:tc>
        <w:tc>
          <w:tcPr>
            <w:tcW w:w="1134" w:type="dxa"/>
            <w:shd w:val="clear" w:color="auto" w:fill="E6E6E6"/>
            <w:vAlign w:val="center"/>
            <w:hideMark/>
          </w:tcPr>
          <w:p w14:paraId="11130057" w14:textId="588C7C00" w:rsidR="00DA3417" w:rsidRPr="00DA3417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Proplacena dotace</w:t>
            </w: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</w:t>
            </w: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Kč</w:t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274" w:type="dxa"/>
            <w:shd w:val="clear" w:color="auto" w:fill="E6E6E6"/>
            <w:vAlign w:val="center"/>
            <w:hideMark/>
          </w:tcPr>
          <w:p w14:paraId="2100B272" w14:textId="1879FFB2" w:rsidR="00DA3417" w:rsidRPr="00440BB5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Objem zadržené vody za rok 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/průměrný rok</w:t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191" w:type="dxa"/>
            <w:gridSpan w:val="2"/>
            <w:shd w:val="clear" w:color="auto" w:fill="E6E6E6"/>
            <w:vAlign w:val="center"/>
            <w:hideMark/>
          </w:tcPr>
          <w:p w14:paraId="32CA72AB" w14:textId="5B13C918" w:rsidR="00DA3417" w:rsidRPr="00440BB5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Plocha vyměněných nepropustných povrchů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127" w:type="dxa"/>
            <w:gridSpan w:val="2"/>
            <w:shd w:val="clear" w:color="auto" w:fill="E6E6E6"/>
            <w:vAlign w:val="center"/>
            <w:hideMark/>
          </w:tcPr>
          <w:p w14:paraId="0EE3D839" w14:textId="76A7B29A" w:rsidR="00DA3417" w:rsidRPr="00440BB5" w:rsidRDefault="00DA3417" w:rsidP="00DA34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Plocha nově vybudovaných propustných povrchů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(v 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</w:t>
            </w:r>
            <w:r w:rsidRPr="00440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="00564F6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DA3417" w:rsidRPr="00DA3417" w14:paraId="0A7AD2B3" w14:textId="77777777" w:rsidTr="00564F62">
        <w:trPr>
          <w:trHeight w:val="20"/>
        </w:trPr>
        <w:tc>
          <w:tcPr>
            <w:tcW w:w="1270" w:type="dxa"/>
            <w:vAlign w:val="center"/>
            <w:hideMark/>
          </w:tcPr>
          <w:p w14:paraId="267350BC" w14:textId="6D2E9ADC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CZ.05.01.03/04/22_019/0002265</w:t>
            </w:r>
          </w:p>
        </w:tc>
        <w:tc>
          <w:tcPr>
            <w:tcW w:w="1986" w:type="dxa"/>
            <w:vAlign w:val="center"/>
            <w:hideMark/>
          </w:tcPr>
          <w:p w14:paraId="30ECF95D" w14:textId="6FCF8D0B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Bezpečné chodníky, parkovací stání a likvidace dešťových vod – Unkovice, ulice Hlavní a</w:t>
            </w:r>
            <w:r w:rsidR="006453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ulice K</w:t>
            </w:r>
            <w:r w:rsidR="00564F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Rybníku</w:t>
            </w:r>
          </w:p>
        </w:tc>
        <w:tc>
          <w:tcPr>
            <w:tcW w:w="1134" w:type="dxa"/>
            <w:vAlign w:val="center"/>
            <w:hideMark/>
          </w:tcPr>
          <w:p w14:paraId="0E27400D" w14:textId="7F5CCF8E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Obec Unkovice</w:t>
            </w:r>
          </w:p>
        </w:tc>
        <w:tc>
          <w:tcPr>
            <w:tcW w:w="1134" w:type="dxa"/>
            <w:vAlign w:val="center"/>
            <w:hideMark/>
          </w:tcPr>
          <w:p w14:paraId="12D0EF58" w14:textId="52702373" w:rsidR="00DA3417" w:rsidRPr="00DA3417" w:rsidRDefault="00DA3417" w:rsidP="00440BB5">
            <w:pPr>
              <w:ind w:left="-2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4 105 738,61</w:t>
            </w:r>
            <w:r w:rsidR="005B1F53" w:rsidRPr="005B1F5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14:paraId="747AB46B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129,70</w:t>
            </w:r>
          </w:p>
        </w:tc>
        <w:tc>
          <w:tcPr>
            <w:tcW w:w="1191" w:type="dxa"/>
            <w:gridSpan w:val="2"/>
            <w:vAlign w:val="center"/>
            <w:hideMark/>
          </w:tcPr>
          <w:p w14:paraId="22686894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565,00</w:t>
            </w:r>
          </w:p>
        </w:tc>
        <w:tc>
          <w:tcPr>
            <w:tcW w:w="1127" w:type="dxa"/>
            <w:gridSpan w:val="2"/>
            <w:vAlign w:val="center"/>
            <w:hideMark/>
          </w:tcPr>
          <w:p w14:paraId="5A084639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321,00</w:t>
            </w:r>
          </w:p>
        </w:tc>
      </w:tr>
      <w:tr w:rsidR="00DA3417" w:rsidRPr="00DA3417" w14:paraId="20E8CBB1" w14:textId="77777777" w:rsidTr="00564F62">
        <w:trPr>
          <w:trHeight w:val="20"/>
        </w:trPr>
        <w:tc>
          <w:tcPr>
            <w:tcW w:w="1270" w:type="dxa"/>
            <w:vAlign w:val="center"/>
            <w:hideMark/>
          </w:tcPr>
          <w:p w14:paraId="24F1D646" w14:textId="6C92D168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CZ.05.01.03/04/22_019/0002325</w:t>
            </w:r>
          </w:p>
        </w:tc>
        <w:tc>
          <w:tcPr>
            <w:tcW w:w="1986" w:type="dxa"/>
            <w:vAlign w:val="center"/>
            <w:hideMark/>
          </w:tcPr>
          <w:p w14:paraId="6CB60C93" w14:textId="1A97CE85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Parkovací stání Komenského v</w:t>
            </w:r>
            <w:r w:rsidR="006453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Hranicích</w:t>
            </w:r>
          </w:p>
        </w:tc>
        <w:tc>
          <w:tcPr>
            <w:tcW w:w="1134" w:type="dxa"/>
            <w:vAlign w:val="center"/>
            <w:hideMark/>
          </w:tcPr>
          <w:p w14:paraId="1F0D58BE" w14:textId="79AA4B09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Město Hranice</w:t>
            </w:r>
          </w:p>
        </w:tc>
        <w:tc>
          <w:tcPr>
            <w:tcW w:w="1134" w:type="dxa"/>
            <w:vAlign w:val="center"/>
            <w:hideMark/>
          </w:tcPr>
          <w:p w14:paraId="5E1235E2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5 652 244,35</w:t>
            </w:r>
          </w:p>
        </w:tc>
        <w:tc>
          <w:tcPr>
            <w:tcW w:w="1274" w:type="dxa"/>
            <w:vAlign w:val="center"/>
            <w:hideMark/>
          </w:tcPr>
          <w:p w14:paraId="7BA9F62A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1 127,00</w:t>
            </w:r>
          </w:p>
        </w:tc>
        <w:tc>
          <w:tcPr>
            <w:tcW w:w="1191" w:type="dxa"/>
            <w:gridSpan w:val="2"/>
            <w:vAlign w:val="center"/>
            <w:hideMark/>
          </w:tcPr>
          <w:p w14:paraId="4255AC02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1 786,55</w:t>
            </w:r>
          </w:p>
        </w:tc>
        <w:tc>
          <w:tcPr>
            <w:tcW w:w="1127" w:type="dxa"/>
            <w:gridSpan w:val="2"/>
            <w:vAlign w:val="center"/>
            <w:hideMark/>
          </w:tcPr>
          <w:p w14:paraId="0B99A8AE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65,84</w:t>
            </w:r>
          </w:p>
        </w:tc>
      </w:tr>
      <w:tr w:rsidR="00DA3417" w:rsidRPr="00DA3417" w14:paraId="7C5F84D5" w14:textId="77777777" w:rsidTr="00564F62">
        <w:trPr>
          <w:trHeight w:val="20"/>
        </w:trPr>
        <w:tc>
          <w:tcPr>
            <w:tcW w:w="1270" w:type="dxa"/>
            <w:vAlign w:val="center"/>
            <w:hideMark/>
          </w:tcPr>
          <w:p w14:paraId="1DDB0CC9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CZ.05.01.03/04/22_019/0000541</w:t>
            </w:r>
          </w:p>
        </w:tc>
        <w:tc>
          <w:tcPr>
            <w:tcW w:w="1986" w:type="dxa"/>
            <w:vAlign w:val="center"/>
            <w:hideMark/>
          </w:tcPr>
          <w:p w14:paraId="7786396F" w14:textId="401A6C09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Výměna nepropustných ploch – udržení vody v</w:t>
            </w:r>
            <w:r w:rsidR="00564F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krajině, Uh.</w:t>
            </w:r>
            <w:r w:rsidR="006453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Hradiště, ul.</w:t>
            </w:r>
            <w:r w:rsidR="00564F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Okružní</w:t>
            </w:r>
          </w:p>
        </w:tc>
        <w:tc>
          <w:tcPr>
            <w:tcW w:w="1134" w:type="dxa"/>
            <w:vAlign w:val="center"/>
            <w:hideMark/>
          </w:tcPr>
          <w:p w14:paraId="73563CED" w14:textId="6DB5F7E4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Město Uherské Hradiště</w:t>
            </w:r>
          </w:p>
        </w:tc>
        <w:tc>
          <w:tcPr>
            <w:tcW w:w="1134" w:type="dxa"/>
            <w:vAlign w:val="center"/>
            <w:hideMark/>
          </w:tcPr>
          <w:p w14:paraId="4E6C35A0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4 194 864,17</w:t>
            </w:r>
          </w:p>
        </w:tc>
        <w:tc>
          <w:tcPr>
            <w:tcW w:w="1274" w:type="dxa"/>
            <w:vAlign w:val="center"/>
            <w:hideMark/>
          </w:tcPr>
          <w:p w14:paraId="285219C3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551,06</w:t>
            </w:r>
          </w:p>
        </w:tc>
        <w:tc>
          <w:tcPr>
            <w:tcW w:w="1191" w:type="dxa"/>
            <w:gridSpan w:val="2"/>
            <w:vAlign w:val="center"/>
            <w:hideMark/>
          </w:tcPr>
          <w:p w14:paraId="70B3111F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920,12</w:t>
            </w:r>
          </w:p>
        </w:tc>
        <w:tc>
          <w:tcPr>
            <w:tcW w:w="1127" w:type="dxa"/>
            <w:gridSpan w:val="2"/>
            <w:vAlign w:val="center"/>
            <w:hideMark/>
          </w:tcPr>
          <w:p w14:paraId="6ED1A979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58,00</w:t>
            </w:r>
          </w:p>
        </w:tc>
      </w:tr>
      <w:tr w:rsidR="00DA3417" w:rsidRPr="00DA3417" w14:paraId="5E1035E8" w14:textId="77777777" w:rsidTr="00564F62">
        <w:trPr>
          <w:trHeight w:val="20"/>
        </w:trPr>
        <w:tc>
          <w:tcPr>
            <w:tcW w:w="1270" w:type="dxa"/>
            <w:vAlign w:val="center"/>
            <w:hideMark/>
          </w:tcPr>
          <w:p w14:paraId="7777E593" w14:textId="77777777" w:rsidR="00DA3417" w:rsidRPr="00DA3417" w:rsidRDefault="00DA3417" w:rsidP="00440B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CZ.05.01.03/04/22_019/0000561</w:t>
            </w:r>
          </w:p>
        </w:tc>
        <w:tc>
          <w:tcPr>
            <w:tcW w:w="1986" w:type="dxa"/>
            <w:vAlign w:val="center"/>
            <w:hideMark/>
          </w:tcPr>
          <w:p w14:paraId="4DAF1E87" w14:textId="302FBD69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Hospodaření se srážkovými vodami v lokalitě Za Humny Přísnotice</w:t>
            </w:r>
          </w:p>
        </w:tc>
        <w:tc>
          <w:tcPr>
            <w:tcW w:w="1134" w:type="dxa"/>
            <w:vAlign w:val="center"/>
            <w:hideMark/>
          </w:tcPr>
          <w:p w14:paraId="5233110F" w14:textId="2EC35E4D" w:rsidR="00DA3417" w:rsidRPr="00DA3417" w:rsidRDefault="00DA3417" w:rsidP="00DA3417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Obec Přísnotice</w:t>
            </w:r>
          </w:p>
        </w:tc>
        <w:tc>
          <w:tcPr>
            <w:tcW w:w="1134" w:type="dxa"/>
            <w:vAlign w:val="center"/>
            <w:hideMark/>
          </w:tcPr>
          <w:p w14:paraId="0C225B7F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49 301 175,56</w:t>
            </w:r>
          </w:p>
        </w:tc>
        <w:tc>
          <w:tcPr>
            <w:tcW w:w="1274" w:type="dxa"/>
            <w:vAlign w:val="center"/>
            <w:hideMark/>
          </w:tcPr>
          <w:p w14:paraId="1D1CD1F5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4 995,00</w:t>
            </w:r>
          </w:p>
        </w:tc>
        <w:tc>
          <w:tcPr>
            <w:tcW w:w="1191" w:type="dxa"/>
            <w:gridSpan w:val="2"/>
            <w:vAlign w:val="center"/>
            <w:hideMark/>
          </w:tcPr>
          <w:p w14:paraId="75AF6E08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5 457,00</w:t>
            </w:r>
          </w:p>
        </w:tc>
        <w:tc>
          <w:tcPr>
            <w:tcW w:w="1127" w:type="dxa"/>
            <w:gridSpan w:val="2"/>
            <w:vAlign w:val="center"/>
            <w:hideMark/>
          </w:tcPr>
          <w:p w14:paraId="04A58C9E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587,00</w:t>
            </w:r>
          </w:p>
        </w:tc>
      </w:tr>
      <w:tr w:rsidR="00DA3417" w:rsidRPr="00DA3417" w14:paraId="1F5C79EF" w14:textId="77777777" w:rsidTr="00564F62">
        <w:trPr>
          <w:gridAfter w:val="1"/>
          <w:wAfter w:w="55" w:type="dxa"/>
          <w:trHeight w:val="20"/>
        </w:trPr>
        <w:tc>
          <w:tcPr>
            <w:tcW w:w="4390" w:type="dxa"/>
            <w:gridSpan w:val="3"/>
            <w:vAlign w:val="center"/>
            <w:hideMark/>
          </w:tcPr>
          <w:p w14:paraId="2EF0DB13" w14:textId="4429263C" w:rsidR="00DA3417" w:rsidRPr="00DA3417" w:rsidRDefault="00DA3417" w:rsidP="00440BB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vAlign w:val="center"/>
            <w:hideMark/>
          </w:tcPr>
          <w:p w14:paraId="691140EA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63 254 022,69</w:t>
            </w:r>
          </w:p>
        </w:tc>
        <w:tc>
          <w:tcPr>
            <w:tcW w:w="1274" w:type="dxa"/>
            <w:vAlign w:val="center"/>
            <w:hideMark/>
          </w:tcPr>
          <w:p w14:paraId="55F4491E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6 802,76</w:t>
            </w:r>
          </w:p>
        </w:tc>
        <w:tc>
          <w:tcPr>
            <w:tcW w:w="1136" w:type="dxa"/>
            <w:vAlign w:val="center"/>
            <w:hideMark/>
          </w:tcPr>
          <w:p w14:paraId="17A5E442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8 728,67</w:t>
            </w:r>
          </w:p>
        </w:tc>
        <w:tc>
          <w:tcPr>
            <w:tcW w:w="1127" w:type="dxa"/>
            <w:gridSpan w:val="2"/>
            <w:vAlign w:val="center"/>
            <w:hideMark/>
          </w:tcPr>
          <w:p w14:paraId="76B52BC1" w14:textId="77777777" w:rsidR="00DA3417" w:rsidRPr="00DA3417" w:rsidRDefault="00DA3417" w:rsidP="00440BB5">
            <w:pPr>
              <w:ind w:left="-28"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A34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1 031,84</w:t>
            </w:r>
          </w:p>
        </w:tc>
      </w:tr>
    </w:tbl>
    <w:p w14:paraId="162895E4" w14:textId="1A7BA460" w:rsidR="00DA3417" w:rsidRDefault="00DA3417" w:rsidP="00440BB5">
      <w:pPr>
        <w:pStyle w:val="Zdrojeapozn"/>
        <w:spacing w:before="40"/>
      </w:pPr>
      <w:r w:rsidRPr="00440BB5">
        <w:rPr>
          <w:b/>
          <w:bCs w:val="0"/>
        </w:rPr>
        <w:t>Zdroj:</w:t>
      </w:r>
      <w:r>
        <w:t xml:space="preserve"> </w:t>
      </w:r>
      <w:r w:rsidR="00564F62">
        <w:t>v</w:t>
      </w:r>
      <w:r>
        <w:t>ypracoval NKÚ na základě dat MŽP a SFŽP.</w:t>
      </w:r>
    </w:p>
    <w:p w14:paraId="5E31AD68" w14:textId="77777777" w:rsidR="00331995" w:rsidRDefault="005B1F53" w:rsidP="00A91421">
      <w:pPr>
        <w:pStyle w:val="Zdrojeapozn"/>
      </w:pPr>
      <w:r w:rsidRPr="00440BB5">
        <w:rPr>
          <w:b/>
          <w:bCs w:val="0"/>
        </w:rPr>
        <w:t>Vysvětlivka:</w:t>
      </w:r>
      <w:r>
        <w:t xml:space="preserve"> </w:t>
      </w:r>
    </w:p>
    <w:p w14:paraId="0D6E96EF" w14:textId="5F487D15" w:rsidR="005B1F53" w:rsidRPr="005B1F53" w:rsidRDefault="00A91421" w:rsidP="00331995">
      <w:pPr>
        <w:pStyle w:val="Zdrojeapozn"/>
        <w:ind w:left="142" w:hanging="142"/>
      </w:pPr>
      <w:r w:rsidRPr="00A91421">
        <w:rPr>
          <w:vertAlign w:val="superscript"/>
        </w:rPr>
        <w:t>1</w:t>
      </w:r>
      <w:r>
        <w:t xml:space="preserve"> </w:t>
      </w:r>
      <w:r w:rsidR="00331995">
        <w:tab/>
      </w:r>
      <w:r w:rsidR="005B1F53">
        <w:t>Projekt</w:t>
      </w:r>
      <w:r>
        <w:t xml:space="preserve"> v realizaci, v době kontroly byla proplacena pouze část z poskytnuté dotace.</w:t>
      </w:r>
    </w:p>
    <w:p w14:paraId="188AFBD7" w14:textId="5E6A1890" w:rsidR="006B63D2" w:rsidRDefault="00EA2916">
      <w:pPr>
        <w:rPr>
          <w:rFonts w:cstheme="minorHAnsi"/>
        </w:rPr>
      </w:pPr>
      <w:r>
        <w:br w:type="page"/>
      </w:r>
    </w:p>
    <w:p w14:paraId="26EC2F1D" w14:textId="77777777" w:rsidR="00186B08" w:rsidRDefault="00EA2916" w:rsidP="00186B08">
      <w:pPr>
        <w:pStyle w:val="TextKP"/>
        <w:spacing w:before="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>
        <w:rPr>
          <w:b/>
        </w:rPr>
        <w:t>2</w:t>
      </w:r>
    </w:p>
    <w:p w14:paraId="752ED4DB" w14:textId="3B81E902" w:rsidR="004A110B" w:rsidRPr="00E177AB" w:rsidRDefault="00810318" w:rsidP="00E177AB">
      <w:pPr>
        <w:pStyle w:val="Titulek"/>
        <w:spacing w:after="40"/>
        <w:ind w:left="1418" w:hanging="1418"/>
      </w:pPr>
      <w:r w:rsidRPr="00E177AB">
        <w:t xml:space="preserve">Tabulka č. </w:t>
      </w:r>
      <w:fldSimple w:instr=" SEQ Tabulka_č. \* ARABIC ">
        <w:r w:rsidR="00D213BC" w:rsidRPr="00E177AB">
          <w:rPr>
            <w:noProof/>
          </w:rPr>
          <w:t>12</w:t>
        </w:r>
      </w:fldSimple>
      <w:r w:rsidRPr="00E177AB">
        <w:t>:</w:t>
      </w:r>
      <w:r w:rsidR="00E177AB">
        <w:tab/>
      </w:r>
      <w:r w:rsidR="004A110B" w:rsidRPr="00E177AB">
        <w:t xml:space="preserve">Přehled ukazatelů </w:t>
      </w:r>
      <w:r w:rsidR="0007257A" w:rsidRPr="00E177AB">
        <w:t xml:space="preserve">pro oblast hospodaření se srážkovými vodami </w:t>
      </w:r>
      <w:r w:rsidR="0045291B" w:rsidRPr="00E177AB">
        <w:t xml:space="preserve">v </w:t>
      </w:r>
      <w:r w:rsidR="004A110B" w:rsidRPr="00E177AB">
        <w:t>dotačních program</w:t>
      </w:r>
      <w:r w:rsidR="0045291B" w:rsidRPr="00E177AB">
        <w:t>ech MŽP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267"/>
        <w:gridCol w:w="852"/>
        <w:gridCol w:w="850"/>
        <w:gridCol w:w="1135"/>
        <w:gridCol w:w="993"/>
        <w:gridCol w:w="991"/>
        <w:gridCol w:w="845"/>
      </w:tblGrid>
      <w:tr w:rsidR="00D71770" w14:paraId="4E58F981" w14:textId="77777777" w:rsidTr="00E177AB">
        <w:trPr>
          <w:trHeight w:val="20"/>
        </w:trPr>
        <w:tc>
          <w:tcPr>
            <w:tcW w:w="623" w:type="pct"/>
            <w:shd w:val="clear" w:color="auto" w:fill="E6E6E6"/>
            <w:vAlign w:val="center"/>
            <w:hideMark/>
          </w:tcPr>
          <w:p w14:paraId="20A8C3C8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Dotační program</w:t>
            </w:r>
          </w:p>
        </w:tc>
        <w:tc>
          <w:tcPr>
            <w:tcW w:w="1251" w:type="pct"/>
            <w:shd w:val="clear" w:color="auto" w:fill="E6E6E6"/>
            <w:vAlign w:val="center"/>
            <w:hideMark/>
          </w:tcPr>
          <w:p w14:paraId="056B8AA1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Indikátor, parametr, ukazatel</w:t>
            </w:r>
          </w:p>
        </w:tc>
        <w:tc>
          <w:tcPr>
            <w:tcW w:w="470" w:type="pct"/>
            <w:shd w:val="clear" w:color="auto" w:fill="E6E6E6"/>
            <w:vAlign w:val="center"/>
            <w:hideMark/>
          </w:tcPr>
          <w:p w14:paraId="0AEDF9A4" w14:textId="07AB711F" w:rsidR="00D71770" w:rsidRPr="00067246" w:rsidRDefault="00D71770" w:rsidP="00D7177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Závazn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ost</w:t>
            </w: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v právním aktu</w:t>
            </w:r>
          </w:p>
        </w:tc>
        <w:tc>
          <w:tcPr>
            <w:tcW w:w="469" w:type="pct"/>
            <w:shd w:val="clear" w:color="auto" w:fill="E6E6E6"/>
            <w:vAlign w:val="center"/>
            <w:hideMark/>
          </w:tcPr>
          <w:p w14:paraId="668EAF8A" w14:textId="511A25CF" w:rsidR="00D71770" w:rsidRPr="00067246" w:rsidRDefault="00D71770" w:rsidP="00E177A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Typ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ukazatele</w:t>
            </w:r>
          </w:p>
        </w:tc>
        <w:tc>
          <w:tcPr>
            <w:tcW w:w="626" w:type="pct"/>
            <w:shd w:val="clear" w:color="auto" w:fill="E6E6E6"/>
            <w:vAlign w:val="center"/>
          </w:tcPr>
          <w:p w14:paraId="1EBDC02D" w14:textId="346BD020" w:rsidR="00D71770" w:rsidRPr="00067246" w:rsidRDefault="00D71770" w:rsidP="00D7177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Jednotka</w:t>
            </w:r>
          </w:p>
        </w:tc>
        <w:tc>
          <w:tcPr>
            <w:tcW w:w="548" w:type="pct"/>
            <w:shd w:val="clear" w:color="auto" w:fill="E6E6E6"/>
            <w:vAlign w:val="center"/>
            <w:hideMark/>
          </w:tcPr>
          <w:p w14:paraId="0AF12C5C" w14:textId="0DA58532" w:rsidR="00D71770" w:rsidRPr="00067246" w:rsidRDefault="00D71770" w:rsidP="00D71770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Dosažená hodnota</w:t>
            </w:r>
          </w:p>
        </w:tc>
        <w:tc>
          <w:tcPr>
            <w:tcW w:w="547" w:type="pct"/>
            <w:shd w:val="clear" w:color="auto" w:fill="E6E6E6"/>
            <w:vAlign w:val="center"/>
            <w:hideMark/>
          </w:tcPr>
          <w:p w14:paraId="0BD56CB5" w14:textId="77777777" w:rsidR="00D71770" w:rsidRDefault="00D71770" w:rsidP="00E177A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Skutečnost na ukazateli</w:t>
            </w:r>
          </w:p>
          <w:p w14:paraId="613F7620" w14:textId="15B80DA9" w:rsidR="00D71770" w:rsidRPr="00067246" w:rsidRDefault="00D71770" w:rsidP="00E177A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k datu</w:t>
            </w:r>
          </w:p>
        </w:tc>
        <w:tc>
          <w:tcPr>
            <w:tcW w:w="466" w:type="pct"/>
            <w:shd w:val="clear" w:color="auto" w:fill="E6E6E6"/>
            <w:vAlign w:val="center"/>
            <w:hideMark/>
          </w:tcPr>
          <w:p w14:paraId="5AA38603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Vazba na strategii</w:t>
            </w:r>
          </w:p>
        </w:tc>
      </w:tr>
      <w:tr w:rsidR="00D71770" w14:paraId="13F80952" w14:textId="77777777" w:rsidTr="00E177AB">
        <w:trPr>
          <w:trHeight w:val="20"/>
        </w:trPr>
        <w:tc>
          <w:tcPr>
            <w:tcW w:w="623" w:type="pct"/>
            <w:vMerge w:val="restart"/>
            <w:vAlign w:val="center"/>
            <w:hideMark/>
          </w:tcPr>
          <w:p w14:paraId="5BC45980" w14:textId="6B67D01D" w:rsidR="00D71770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NZÚ</w:t>
            </w:r>
          </w:p>
          <w:p w14:paraId="4668B097" w14:textId="16AA7CBD" w:rsidR="00D71770" w:rsidRPr="00067246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(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investice 2.5.1 NPO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1251" w:type="pct"/>
            <w:noWrap/>
            <w:vAlign w:val="center"/>
            <w:hideMark/>
          </w:tcPr>
          <w:p w14:paraId="394B6BD2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Plocha zelené střechy</w:t>
            </w:r>
          </w:p>
        </w:tc>
        <w:tc>
          <w:tcPr>
            <w:tcW w:w="470" w:type="pct"/>
            <w:noWrap/>
            <w:vAlign w:val="center"/>
            <w:hideMark/>
          </w:tcPr>
          <w:p w14:paraId="0ABEF0FF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5A30141E" w14:textId="145DB60B" w:rsidR="00D71770" w:rsidRPr="00067246" w:rsidRDefault="00534065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</w:t>
            </w:r>
            <w:r w:rsidR="00D71770"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nterní (SFŽP)</w:t>
            </w:r>
          </w:p>
        </w:tc>
        <w:tc>
          <w:tcPr>
            <w:tcW w:w="626" w:type="pct"/>
            <w:vAlign w:val="center"/>
          </w:tcPr>
          <w:p w14:paraId="4E427760" w14:textId="0832467C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0180A68F" w14:textId="16495ADB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124 984,52</w:t>
            </w:r>
          </w:p>
        </w:tc>
        <w:tc>
          <w:tcPr>
            <w:tcW w:w="547" w:type="pct"/>
            <w:noWrap/>
            <w:vAlign w:val="center"/>
            <w:hideMark/>
          </w:tcPr>
          <w:p w14:paraId="3F825F64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30.06.2025</w:t>
            </w:r>
          </w:p>
        </w:tc>
        <w:tc>
          <w:tcPr>
            <w:tcW w:w="466" w:type="pct"/>
            <w:noWrap/>
            <w:vAlign w:val="center"/>
            <w:hideMark/>
          </w:tcPr>
          <w:p w14:paraId="079255F3" w14:textId="1E57A35C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6B4C2C18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2D8A518D" w14:textId="77777777" w:rsidR="00D71770" w:rsidRPr="00067246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2E6761FE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Objem akumulační nádrže na dešťovou vodu</w:t>
            </w:r>
          </w:p>
        </w:tc>
        <w:tc>
          <w:tcPr>
            <w:tcW w:w="470" w:type="pct"/>
            <w:noWrap/>
            <w:vAlign w:val="center"/>
            <w:hideMark/>
          </w:tcPr>
          <w:p w14:paraId="2C81904B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0189637E" w14:textId="0BC6BEFE" w:rsidR="00D71770" w:rsidRPr="00067246" w:rsidRDefault="00534065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</w:t>
            </w:r>
            <w:r w:rsidR="00D71770"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nterní (SFŽP)</w:t>
            </w:r>
          </w:p>
        </w:tc>
        <w:tc>
          <w:tcPr>
            <w:tcW w:w="626" w:type="pct"/>
            <w:vAlign w:val="center"/>
          </w:tcPr>
          <w:p w14:paraId="4C44760C" w14:textId="42A987BB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548" w:type="pct"/>
            <w:noWrap/>
            <w:vAlign w:val="center"/>
            <w:hideMark/>
          </w:tcPr>
          <w:p w14:paraId="0EBA8EE0" w14:textId="0B4D8FB3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88 803,45</w:t>
            </w:r>
          </w:p>
        </w:tc>
        <w:tc>
          <w:tcPr>
            <w:tcW w:w="547" w:type="pct"/>
            <w:noWrap/>
            <w:vAlign w:val="center"/>
            <w:hideMark/>
          </w:tcPr>
          <w:p w14:paraId="2607E066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30.06.2025</w:t>
            </w:r>
          </w:p>
        </w:tc>
        <w:tc>
          <w:tcPr>
            <w:tcW w:w="466" w:type="pct"/>
            <w:noWrap/>
            <w:vAlign w:val="center"/>
            <w:hideMark/>
          </w:tcPr>
          <w:p w14:paraId="173870CD" w14:textId="09C5FD68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4AE62322" w14:textId="77777777" w:rsidTr="00E177AB">
        <w:trPr>
          <w:trHeight w:val="20"/>
        </w:trPr>
        <w:tc>
          <w:tcPr>
            <w:tcW w:w="623" w:type="pct"/>
            <w:vAlign w:val="center"/>
            <w:hideMark/>
          </w:tcPr>
          <w:p w14:paraId="2630748C" w14:textId="5B1656B4" w:rsidR="00D71770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NPŽP</w:t>
            </w:r>
          </w:p>
          <w:p w14:paraId="2B9B801B" w14:textId="5E9E2309" w:rsidR="00D71770" w:rsidRPr="00524FB4" w:rsidRDefault="00D71770" w:rsidP="00D71770">
            <w:pPr>
              <w:pStyle w:val="Zdrojeapozn"/>
              <w:rPr>
                <w:b/>
                <w:bCs w:val="0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(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investice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2.9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.2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 xml:space="preserve"> NPO)</w:t>
            </w:r>
            <w:r>
              <w:rPr>
                <w:rStyle w:val="Znakapoznpodarou"/>
              </w:rPr>
              <w:footnoteReference w:id="22"/>
            </w:r>
          </w:p>
          <w:p w14:paraId="64447F14" w14:textId="078E6115" w:rsidR="00D71770" w:rsidRPr="00067246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32CC0925" w14:textId="3E9E60F3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Objem zadržených srážkových vod</w:t>
            </w:r>
          </w:p>
        </w:tc>
        <w:tc>
          <w:tcPr>
            <w:tcW w:w="470" w:type="pct"/>
            <w:noWrap/>
            <w:vAlign w:val="center"/>
            <w:hideMark/>
          </w:tcPr>
          <w:p w14:paraId="641E660C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469" w:type="pct"/>
            <w:noWrap/>
            <w:vAlign w:val="center"/>
            <w:hideMark/>
          </w:tcPr>
          <w:p w14:paraId="7D3DC368" w14:textId="7CC8E320" w:rsidR="00D71770" w:rsidRPr="00067246" w:rsidRDefault="00534065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H</w:t>
            </w:r>
            <w:r w:rsidR="00D71770"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lavní</w:t>
            </w:r>
          </w:p>
        </w:tc>
        <w:tc>
          <w:tcPr>
            <w:tcW w:w="626" w:type="pct"/>
            <w:vAlign w:val="center"/>
          </w:tcPr>
          <w:p w14:paraId="15450F0B" w14:textId="3C94DF7D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548" w:type="pct"/>
            <w:noWrap/>
            <w:vAlign w:val="center"/>
            <w:hideMark/>
          </w:tcPr>
          <w:p w14:paraId="457E5FF2" w14:textId="2CC939A7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25 580,41</w:t>
            </w:r>
          </w:p>
        </w:tc>
        <w:tc>
          <w:tcPr>
            <w:tcW w:w="547" w:type="pct"/>
            <w:noWrap/>
            <w:vAlign w:val="center"/>
            <w:hideMark/>
          </w:tcPr>
          <w:p w14:paraId="1C33A7CD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01.09.2025</w:t>
            </w:r>
          </w:p>
        </w:tc>
        <w:tc>
          <w:tcPr>
            <w:tcW w:w="466" w:type="pct"/>
            <w:noWrap/>
            <w:vAlign w:val="center"/>
            <w:hideMark/>
          </w:tcPr>
          <w:p w14:paraId="04B911A2" w14:textId="411F8EC8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D71770" w14:paraId="36DBB121" w14:textId="77777777" w:rsidTr="00E177AB">
        <w:trPr>
          <w:trHeight w:val="20"/>
        </w:trPr>
        <w:tc>
          <w:tcPr>
            <w:tcW w:w="623" w:type="pct"/>
            <w:vAlign w:val="center"/>
            <w:hideMark/>
          </w:tcPr>
          <w:p w14:paraId="2579615D" w14:textId="77777777" w:rsidR="00D71770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OPŽP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14+</w:t>
            </w:r>
          </w:p>
          <w:p w14:paraId="79DE9A6D" w14:textId="5FE73A91" w:rsidR="00D71770" w:rsidRPr="00067246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(aktivita 1.3.2)</w:t>
            </w:r>
            <w:r>
              <w:rPr>
                <w:rFonts w:eastAsia="Times New Roman" w:cs="Calibri"/>
                <w:color w:val="000000"/>
                <w:sz w:val="20"/>
                <w:szCs w:val="20"/>
                <w:vertAlign w:val="superscript"/>
                <w:lang w:eastAsia="cs-CZ"/>
              </w:rPr>
              <w:t>21</w:t>
            </w:r>
          </w:p>
        </w:tc>
        <w:tc>
          <w:tcPr>
            <w:tcW w:w="1251" w:type="pct"/>
            <w:noWrap/>
            <w:vAlign w:val="center"/>
            <w:hideMark/>
          </w:tcPr>
          <w:p w14:paraId="6BD747F3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Objem retardované dešťové vody</w:t>
            </w:r>
          </w:p>
        </w:tc>
        <w:tc>
          <w:tcPr>
            <w:tcW w:w="470" w:type="pct"/>
            <w:noWrap/>
            <w:vAlign w:val="center"/>
            <w:hideMark/>
          </w:tcPr>
          <w:p w14:paraId="6160F98E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469" w:type="pct"/>
            <w:noWrap/>
            <w:vAlign w:val="center"/>
            <w:hideMark/>
          </w:tcPr>
          <w:p w14:paraId="6052B4C5" w14:textId="364E8CC9" w:rsidR="00D71770" w:rsidRPr="00067246" w:rsidRDefault="00534065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H</w:t>
            </w:r>
            <w:r w:rsidR="00D71770"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lavní</w:t>
            </w:r>
          </w:p>
        </w:tc>
        <w:tc>
          <w:tcPr>
            <w:tcW w:w="626" w:type="pct"/>
            <w:vAlign w:val="center"/>
          </w:tcPr>
          <w:p w14:paraId="734F732D" w14:textId="6F9C0DDA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548" w:type="pct"/>
            <w:noWrap/>
            <w:vAlign w:val="center"/>
            <w:hideMark/>
          </w:tcPr>
          <w:p w14:paraId="5FEDD0E4" w14:textId="564F783E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22 932,34</w:t>
            </w:r>
          </w:p>
        </w:tc>
        <w:tc>
          <w:tcPr>
            <w:tcW w:w="547" w:type="pct"/>
            <w:noWrap/>
            <w:vAlign w:val="center"/>
            <w:hideMark/>
          </w:tcPr>
          <w:p w14:paraId="4173A72D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29.09.2023</w:t>
            </w:r>
          </w:p>
        </w:tc>
        <w:tc>
          <w:tcPr>
            <w:tcW w:w="466" w:type="pct"/>
            <w:noWrap/>
            <w:vAlign w:val="center"/>
            <w:hideMark/>
          </w:tcPr>
          <w:p w14:paraId="0CE135DA" w14:textId="31EA1F2B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D71770" w14:paraId="6A9A9D6E" w14:textId="77777777" w:rsidTr="00E177AB">
        <w:trPr>
          <w:trHeight w:val="20"/>
        </w:trPr>
        <w:tc>
          <w:tcPr>
            <w:tcW w:w="623" w:type="pct"/>
            <w:vMerge w:val="restart"/>
            <w:noWrap/>
            <w:vAlign w:val="center"/>
            <w:hideMark/>
          </w:tcPr>
          <w:p w14:paraId="4652F502" w14:textId="77777777" w:rsidR="00D71770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OPŽP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21+</w:t>
            </w:r>
          </w:p>
          <w:p w14:paraId="25271D06" w14:textId="70E2C2AA" w:rsidR="00D71770" w:rsidRPr="00067246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(aktivita 1.3.4)</w:t>
            </w:r>
          </w:p>
        </w:tc>
        <w:tc>
          <w:tcPr>
            <w:tcW w:w="1251" w:type="pct"/>
            <w:noWrap/>
            <w:vAlign w:val="center"/>
            <w:hideMark/>
          </w:tcPr>
          <w:p w14:paraId="68914771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Objem využité srážkové vody</w:t>
            </w:r>
          </w:p>
        </w:tc>
        <w:tc>
          <w:tcPr>
            <w:tcW w:w="470" w:type="pct"/>
            <w:noWrap/>
            <w:vAlign w:val="center"/>
            <w:hideMark/>
          </w:tcPr>
          <w:p w14:paraId="3AC3E319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07EBFC72" w14:textId="50CC45D4" w:rsidR="00D71770" w:rsidRPr="00067246" w:rsidRDefault="00534065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I</w:t>
            </w:r>
            <w:r w:rsidR="00D71770"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nterní</w:t>
            </w:r>
          </w:p>
        </w:tc>
        <w:tc>
          <w:tcPr>
            <w:tcW w:w="626" w:type="pct"/>
            <w:vAlign w:val="center"/>
          </w:tcPr>
          <w:p w14:paraId="5A15AEA5" w14:textId="5252CB70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/rok</w:t>
            </w:r>
          </w:p>
        </w:tc>
        <w:tc>
          <w:tcPr>
            <w:tcW w:w="548" w:type="pct"/>
            <w:noWrap/>
            <w:vAlign w:val="center"/>
            <w:hideMark/>
          </w:tcPr>
          <w:p w14:paraId="03404409" w14:textId="36D3A6EB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N/A</w:t>
            </w:r>
          </w:p>
        </w:tc>
        <w:tc>
          <w:tcPr>
            <w:tcW w:w="547" w:type="pct"/>
            <w:noWrap/>
            <w:vAlign w:val="center"/>
            <w:hideMark/>
          </w:tcPr>
          <w:p w14:paraId="537EBD99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403C767E" w14:textId="75603FEC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70194A94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4896871C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51CA2A91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Plocha, ze které se zpomaluje odtok srážkové vody z řešených území</w:t>
            </w:r>
          </w:p>
        </w:tc>
        <w:tc>
          <w:tcPr>
            <w:tcW w:w="470" w:type="pct"/>
            <w:noWrap/>
            <w:vAlign w:val="center"/>
            <w:hideMark/>
          </w:tcPr>
          <w:p w14:paraId="6884CAB1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4960CB95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1DAE0656" w14:textId="164C61A0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216EE075" w14:textId="45A9EDD7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435 625,33</w:t>
            </w:r>
          </w:p>
        </w:tc>
        <w:tc>
          <w:tcPr>
            <w:tcW w:w="547" w:type="pct"/>
            <w:noWrap/>
            <w:vAlign w:val="center"/>
            <w:hideMark/>
          </w:tcPr>
          <w:p w14:paraId="35A5AD5D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2FF89FDA" w14:textId="5E01B2D6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45142F7C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154F0E8C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14EDD13A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Objem zadržené vody za rok</w:t>
            </w:r>
          </w:p>
        </w:tc>
        <w:tc>
          <w:tcPr>
            <w:tcW w:w="470" w:type="pct"/>
            <w:noWrap/>
            <w:vAlign w:val="center"/>
            <w:hideMark/>
          </w:tcPr>
          <w:p w14:paraId="0FF05798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125D2429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0169BCCA" w14:textId="31ADBA18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/rok</w:t>
            </w:r>
          </w:p>
        </w:tc>
        <w:tc>
          <w:tcPr>
            <w:tcW w:w="548" w:type="pct"/>
            <w:noWrap/>
            <w:vAlign w:val="center"/>
            <w:hideMark/>
          </w:tcPr>
          <w:p w14:paraId="1A40FD62" w14:textId="261844F7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641 153,88</w:t>
            </w:r>
          </w:p>
        </w:tc>
        <w:tc>
          <w:tcPr>
            <w:tcW w:w="547" w:type="pct"/>
            <w:noWrap/>
            <w:vAlign w:val="center"/>
            <w:hideMark/>
          </w:tcPr>
          <w:p w14:paraId="4A454CD4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5FA12BA5" w14:textId="02EFE87C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124607E8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326E7A05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534BE0B7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Retenční objem vybudovaných zařízení</w:t>
            </w:r>
          </w:p>
        </w:tc>
        <w:tc>
          <w:tcPr>
            <w:tcW w:w="470" w:type="pct"/>
            <w:noWrap/>
            <w:vAlign w:val="center"/>
            <w:hideMark/>
          </w:tcPr>
          <w:p w14:paraId="7F9B37BD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00B65848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47BB7C81" w14:textId="6BC367FB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548" w:type="pct"/>
            <w:noWrap/>
            <w:vAlign w:val="center"/>
            <w:hideMark/>
          </w:tcPr>
          <w:p w14:paraId="6E657721" w14:textId="6F8C3F86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11 062,00</w:t>
            </w:r>
          </w:p>
        </w:tc>
        <w:tc>
          <w:tcPr>
            <w:tcW w:w="547" w:type="pct"/>
            <w:noWrap/>
            <w:vAlign w:val="center"/>
            <w:hideMark/>
          </w:tcPr>
          <w:p w14:paraId="459816F0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76B4D46B" w14:textId="210993E0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433567D7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23AA0CA6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4DB40D14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Akumulační objem vybudovaných zařízení</w:t>
            </w:r>
          </w:p>
        </w:tc>
        <w:tc>
          <w:tcPr>
            <w:tcW w:w="470" w:type="pct"/>
            <w:noWrap/>
            <w:vAlign w:val="center"/>
            <w:hideMark/>
          </w:tcPr>
          <w:p w14:paraId="6BE63427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796BA9C9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7D335FA5" w14:textId="345B3CB8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</w:p>
        </w:tc>
        <w:tc>
          <w:tcPr>
            <w:tcW w:w="548" w:type="pct"/>
            <w:noWrap/>
            <w:vAlign w:val="center"/>
            <w:hideMark/>
          </w:tcPr>
          <w:p w14:paraId="325D7A55" w14:textId="7C6D11A5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5 140,27</w:t>
            </w:r>
          </w:p>
        </w:tc>
        <w:tc>
          <w:tcPr>
            <w:tcW w:w="547" w:type="pct"/>
            <w:noWrap/>
            <w:vAlign w:val="center"/>
            <w:hideMark/>
          </w:tcPr>
          <w:p w14:paraId="472AE186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531AB8EE" w14:textId="0A5E8201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05E0CDA3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72DD73BA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34AD917E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Zavlažovaná plocha</w:t>
            </w:r>
          </w:p>
        </w:tc>
        <w:tc>
          <w:tcPr>
            <w:tcW w:w="470" w:type="pct"/>
            <w:noWrap/>
            <w:vAlign w:val="center"/>
            <w:hideMark/>
          </w:tcPr>
          <w:p w14:paraId="5BEC1341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0AAB9DC7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2DAA7CE1" w14:textId="313A20DD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74D09AC1" w14:textId="741CF005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133 555,40</w:t>
            </w:r>
          </w:p>
        </w:tc>
        <w:tc>
          <w:tcPr>
            <w:tcW w:w="547" w:type="pct"/>
            <w:noWrap/>
            <w:vAlign w:val="center"/>
            <w:hideMark/>
          </w:tcPr>
          <w:p w14:paraId="01CDD88D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50F94534" w14:textId="42218F69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D71770" w14:paraId="0B9BC257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1C3DA65B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0423B71F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Plocha vyměněných nepropustných povrchů</w:t>
            </w:r>
          </w:p>
        </w:tc>
        <w:tc>
          <w:tcPr>
            <w:tcW w:w="470" w:type="pct"/>
            <w:noWrap/>
            <w:vAlign w:val="center"/>
            <w:hideMark/>
          </w:tcPr>
          <w:p w14:paraId="29B77654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7E432C8F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1DBC4DD1" w14:textId="3B795096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7211650E" w14:textId="0D3072B6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90 673,51</w:t>
            </w:r>
          </w:p>
        </w:tc>
        <w:tc>
          <w:tcPr>
            <w:tcW w:w="547" w:type="pct"/>
            <w:noWrap/>
            <w:vAlign w:val="center"/>
            <w:hideMark/>
          </w:tcPr>
          <w:p w14:paraId="205EB4B6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6C476FE0" w14:textId="18316B1E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41D417BC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717B2EB0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1DBB00CA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Plocha nově vybudovaných propustných povrchů</w:t>
            </w:r>
          </w:p>
        </w:tc>
        <w:tc>
          <w:tcPr>
            <w:tcW w:w="470" w:type="pct"/>
            <w:noWrap/>
            <w:vAlign w:val="center"/>
            <w:hideMark/>
          </w:tcPr>
          <w:p w14:paraId="418F600B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3464544C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53BA7064" w14:textId="25BA1971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0802BA55" w14:textId="14C4308A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27 034,85</w:t>
            </w:r>
          </w:p>
        </w:tc>
        <w:tc>
          <w:tcPr>
            <w:tcW w:w="547" w:type="pct"/>
            <w:noWrap/>
            <w:vAlign w:val="center"/>
            <w:hideMark/>
          </w:tcPr>
          <w:p w14:paraId="6BB316BC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507C0B8E" w14:textId="4D47A4E9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1105468F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009F5647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7BBD8023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Akumulační kapacita střech budov s akumulační schopností</w:t>
            </w:r>
          </w:p>
        </w:tc>
        <w:tc>
          <w:tcPr>
            <w:tcW w:w="470" w:type="pct"/>
            <w:noWrap/>
            <w:vAlign w:val="center"/>
            <w:hideMark/>
          </w:tcPr>
          <w:p w14:paraId="32CD176C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010860DB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0B27ED37" w14:textId="0B462560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/průměrný rok</w:t>
            </w:r>
          </w:p>
        </w:tc>
        <w:tc>
          <w:tcPr>
            <w:tcW w:w="548" w:type="pct"/>
            <w:noWrap/>
            <w:vAlign w:val="center"/>
            <w:hideMark/>
          </w:tcPr>
          <w:p w14:paraId="39786423" w14:textId="63295C8E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1 996,78</w:t>
            </w:r>
          </w:p>
        </w:tc>
        <w:tc>
          <w:tcPr>
            <w:tcW w:w="547" w:type="pct"/>
            <w:noWrap/>
            <w:vAlign w:val="center"/>
            <w:hideMark/>
          </w:tcPr>
          <w:p w14:paraId="5AA65D7E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3B5D9AB8" w14:textId="7EA36D33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29306E9E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12709AE4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04F2E67D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Plocha zrealizovaných zelených střech</w:t>
            </w:r>
          </w:p>
        </w:tc>
        <w:tc>
          <w:tcPr>
            <w:tcW w:w="470" w:type="pct"/>
            <w:noWrap/>
            <w:vAlign w:val="center"/>
            <w:hideMark/>
          </w:tcPr>
          <w:p w14:paraId="6DE01FC0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4A2EF938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1CEBDB04" w14:textId="36ECE121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071BA58D" w14:textId="10557A32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8 434,56</w:t>
            </w:r>
          </w:p>
        </w:tc>
        <w:tc>
          <w:tcPr>
            <w:tcW w:w="547" w:type="pct"/>
            <w:noWrap/>
            <w:vAlign w:val="center"/>
            <w:hideMark/>
          </w:tcPr>
          <w:p w14:paraId="4AAABB48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12DFA7AE" w14:textId="6AE6BF63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  <w:tr w:rsidR="00D71770" w14:paraId="26A29820" w14:textId="77777777" w:rsidTr="00E177AB">
        <w:trPr>
          <w:trHeight w:val="20"/>
        </w:trPr>
        <w:tc>
          <w:tcPr>
            <w:tcW w:w="623" w:type="pct"/>
            <w:vMerge/>
            <w:vAlign w:val="center"/>
            <w:hideMark/>
          </w:tcPr>
          <w:p w14:paraId="421063E9" w14:textId="77777777" w:rsidR="00D71770" w:rsidRPr="00067246" w:rsidRDefault="00D71770" w:rsidP="00D71770">
            <w:pPr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51" w:type="pct"/>
            <w:noWrap/>
            <w:vAlign w:val="center"/>
            <w:hideMark/>
          </w:tcPr>
          <w:p w14:paraId="09D5CA8C" w14:textId="77777777" w:rsidR="00D71770" w:rsidRPr="00E177AB" w:rsidRDefault="00D71770" w:rsidP="00D71770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Celková plocha střech na řešených budovách a objektech</w:t>
            </w:r>
          </w:p>
        </w:tc>
        <w:tc>
          <w:tcPr>
            <w:tcW w:w="470" w:type="pct"/>
            <w:noWrap/>
            <w:vAlign w:val="center"/>
            <w:hideMark/>
          </w:tcPr>
          <w:p w14:paraId="3CDC7142" w14:textId="77777777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469" w:type="pct"/>
            <w:noWrap/>
            <w:vAlign w:val="center"/>
            <w:hideMark/>
          </w:tcPr>
          <w:p w14:paraId="6FF1BDC7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SDP</w:t>
            </w:r>
          </w:p>
        </w:tc>
        <w:tc>
          <w:tcPr>
            <w:tcW w:w="626" w:type="pct"/>
            <w:vAlign w:val="center"/>
          </w:tcPr>
          <w:p w14:paraId="234AA9B6" w14:textId="729D6430" w:rsidR="00D71770" w:rsidRPr="00067246" w:rsidRDefault="00D71770" w:rsidP="00D71770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m</w:t>
            </w:r>
            <w:r w:rsidRPr="00067246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548" w:type="pct"/>
            <w:noWrap/>
            <w:vAlign w:val="center"/>
            <w:hideMark/>
          </w:tcPr>
          <w:p w14:paraId="280A5C1A" w14:textId="6496E042" w:rsidR="00D71770" w:rsidRPr="00067246" w:rsidRDefault="00D71770" w:rsidP="00D7177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9 750,06</w:t>
            </w:r>
          </w:p>
        </w:tc>
        <w:tc>
          <w:tcPr>
            <w:tcW w:w="547" w:type="pct"/>
            <w:noWrap/>
            <w:vAlign w:val="center"/>
            <w:hideMark/>
          </w:tcPr>
          <w:p w14:paraId="307C1EFF" w14:textId="77777777" w:rsidR="00D71770" w:rsidRPr="00067246" w:rsidRDefault="00D71770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01.01.2025</w:t>
            </w:r>
          </w:p>
        </w:tc>
        <w:tc>
          <w:tcPr>
            <w:tcW w:w="466" w:type="pct"/>
            <w:noWrap/>
            <w:vAlign w:val="center"/>
            <w:hideMark/>
          </w:tcPr>
          <w:p w14:paraId="24BDF667" w14:textId="5BF0142B" w:rsidR="00D71770" w:rsidRPr="00067246" w:rsidRDefault="00E177AB" w:rsidP="00E177AB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067246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ANO/KOS</w:t>
            </w:r>
          </w:p>
        </w:tc>
      </w:tr>
    </w:tbl>
    <w:p w14:paraId="51B40BC8" w14:textId="5F695D3F" w:rsidR="00D04A28" w:rsidRDefault="004A110B" w:rsidP="00E177AB">
      <w:pPr>
        <w:pStyle w:val="Zdrojeapozn"/>
        <w:spacing w:before="40"/>
      </w:pPr>
      <w:r w:rsidRPr="00E177AB">
        <w:rPr>
          <w:b/>
          <w:bCs w:val="0"/>
        </w:rPr>
        <w:t xml:space="preserve">Zdroj: </w:t>
      </w:r>
      <w:r w:rsidR="00534065">
        <w:t>v</w:t>
      </w:r>
      <w:r w:rsidR="00524FB4" w:rsidRPr="00524FB4">
        <w:t>ypracoval NKÚ na základě dat MŽP a SFŽP.</w:t>
      </w:r>
      <w:r w:rsidR="00D04A28">
        <w:br w:type="page"/>
      </w:r>
    </w:p>
    <w:p w14:paraId="1F5B6412" w14:textId="6900CCBF" w:rsidR="00D04A28" w:rsidRDefault="00D04A28" w:rsidP="00D04A28">
      <w:pPr>
        <w:pStyle w:val="TextKP"/>
        <w:spacing w:before="0"/>
        <w:jc w:val="right"/>
        <w:outlineLvl w:val="0"/>
        <w:rPr>
          <w:b/>
        </w:rPr>
      </w:pPr>
      <w:r w:rsidRPr="00303804">
        <w:rPr>
          <w:b/>
        </w:rPr>
        <w:lastRenderedPageBreak/>
        <w:t xml:space="preserve">Příloha č. </w:t>
      </w:r>
      <w:r>
        <w:rPr>
          <w:b/>
        </w:rPr>
        <w:t>3</w:t>
      </w:r>
    </w:p>
    <w:p w14:paraId="101AD90A" w14:textId="56230A83" w:rsidR="00D04A28" w:rsidRPr="00E177AB" w:rsidRDefault="00D04A28" w:rsidP="00E177AB">
      <w:pPr>
        <w:pStyle w:val="Titulek"/>
        <w:tabs>
          <w:tab w:val="right" w:pos="9072"/>
        </w:tabs>
        <w:spacing w:after="40"/>
        <w:rPr>
          <w:spacing w:val="-4"/>
        </w:rPr>
      </w:pPr>
      <w:r w:rsidRPr="00E177AB">
        <w:rPr>
          <w:spacing w:val="-4"/>
        </w:rPr>
        <w:t xml:space="preserve">Tabulka č. </w:t>
      </w:r>
      <w:r w:rsidR="00D213BC" w:rsidRPr="00E177AB">
        <w:rPr>
          <w:spacing w:val="-4"/>
        </w:rPr>
        <w:fldChar w:fldCharType="begin"/>
      </w:r>
      <w:r w:rsidR="00D213BC" w:rsidRPr="00E177AB">
        <w:rPr>
          <w:spacing w:val="-4"/>
        </w:rPr>
        <w:instrText xml:space="preserve"> SEQ Tabulka_č. \* ARABIC </w:instrText>
      </w:r>
      <w:r w:rsidR="00D213BC" w:rsidRPr="00E177AB">
        <w:rPr>
          <w:spacing w:val="-4"/>
        </w:rPr>
        <w:fldChar w:fldCharType="separate"/>
      </w:r>
      <w:r w:rsidR="00D213BC" w:rsidRPr="00E177AB">
        <w:rPr>
          <w:noProof/>
          <w:spacing w:val="-4"/>
        </w:rPr>
        <w:t>13</w:t>
      </w:r>
      <w:r w:rsidR="00D213BC" w:rsidRPr="00E177AB">
        <w:rPr>
          <w:noProof/>
          <w:spacing w:val="-4"/>
        </w:rPr>
        <w:fldChar w:fldCharType="end"/>
      </w:r>
      <w:r w:rsidRPr="00E177AB">
        <w:rPr>
          <w:spacing w:val="-4"/>
        </w:rPr>
        <w:t xml:space="preserve">: Přehled </w:t>
      </w:r>
      <w:r w:rsidR="00D71770" w:rsidRPr="00E177AB">
        <w:rPr>
          <w:spacing w:val="-4"/>
        </w:rPr>
        <w:t xml:space="preserve">výše </w:t>
      </w:r>
      <w:r w:rsidRPr="00E177AB">
        <w:rPr>
          <w:spacing w:val="-4"/>
        </w:rPr>
        <w:t>dotací obcím na zlepšení hospodaření se srážkovými vodami</w:t>
      </w:r>
      <w:r w:rsidR="00E177AB" w:rsidRPr="00E177AB">
        <w:rPr>
          <w:spacing w:val="-4"/>
        </w:rPr>
        <w:tab/>
      </w:r>
      <w:r w:rsidR="00564F62">
        <w:rPr>
          <w:spacing w:val="-4"/>
        </w:rPr>
        <w:t>(</w:t>
      </w:r>
      <w:r w:rsidRPr="00E177AB">
        <w:rPr>
          <w:spacing w:val="-4"/>
        </w:rPr>
        <w:t>v Kč</w:t>
      </w:r>
      <w:r w:rsidR="00564F62">
        <w:rPr>
          <w:spacing w:val="-4"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15"/>
        <w:gridCol w:w="1211"/>
        <w:gridCol w:w="1418"/>
        <w:gridCol w:w="1318"/>
        <w:gridCol w:w="1145"/>
        <w:gridCol w:w="1064"/>
        <w:gridCol w:w="1145"/>
      </w:tblGrid>
      <w:tr w:rsidR="00D04A28" w:rsidRPr="00D04A28" w14:paraId="38C74B97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F61D074" w14:textId="77777777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Údaj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86E35B" w14:textId="77777777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CD0582" w14:textId="474D5286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Statutární měst</w:t>
            </w:r>
            <w:r w:rsidR="00AF0E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5911FC" w14:textId="1900D41C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Měst</w:t>
            </w:r>
            <w:r w:rsidR="00AF0E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a</w:t>
            </w: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13CE81" w14:textId="4FD60705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Městys</w:t>
            </w:r>
            <w:r w:rsidR="00AF0E5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5E62287" w14:textId="77777777" w:rsidR="00D04A28" w:rsidRPr="00D04A28" w:rsidRDefault="00D04A28" w:rsidP="00D04A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Obce</w:t>
            </w:r>
          </w:p>
        </w:tc>
      </w:tr>
      <w:tr w:rsidR="00AF0E5C" w:rsidRPr="00D04A28" w14:paraId="16ACDD51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C2AF" w14:textId="5BE4DCC2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obcí v ČR (2025)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A3D1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6 258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6683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846A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B4C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F392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5 416</w:t>
            </w:r>
          </w:p>
        </w:tc>
      </w:tr>
      <w:tr w:rsidR="00AF0E5C" w:rsidRPr="00D04A28" w14:paraId="2433B25C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2587" w14:textId="19593B64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obcí, kter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ým MŽP poskytlo dotaci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5464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6632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5C1E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971C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C718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113</w:t>
            </w:r>
          </w:p>
        </w:tc>
      </w:tr>
      <w:tr w:rsidR="00AF0E5C" w:rsidRPr="00D04A28" w14:paraId="65D6E1E5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2BF4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Podíl obcí, kterým MŽP poskytlo dotaci na hospodaření se srážkovými vodami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1E7F" w14:textId="0461895C" w:rsidR="00D04A28" w:rsidRPr="00E177AB" w:rsidRDefault="00D04A28" w:rsidP="0053406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  <w:r w:rsid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D11E" w14:textId="1F744668" w:rsidR="00D04A28" w:rsidRPr="00E177AB" w:rsidRDefault="00D04A28" w:rsidP="0053406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67</w:t>
            </w:r>
            <w:r w:rsid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43B8" w14:textId="20879493" w:rsidR="00D04A28" w:rsidRPr="00E177AB" w:rsidRDefault="00D04A28" w:rsidP="0053406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</w:t>
            </w:r>
            <w:r w:rsid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98D2" w14:textId="16BD5315" w:rsidR="00D04A28" w:rsidRPr="00E177AB" w:rsidRDefault="00D04A28" w:rsidP="0053406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AC3A" w14:textId="594860A0" w:rsidR="00D04A28" w:rsidRPr="00E177AB" w:rsidRDefault="00D04A28" w:rsidP="00534065">
            <w:pPr>
              <w:ind w:right="57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  <w:r w:rsid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E177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AF0E5C" w:rsidRPr="00D04A28" w14:paraId="06E31D15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EA33" w14:textId="74DBCA9A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Výše MŽP poskytnutých dotací obcím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A8D3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1 910 084 582,12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210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597 012 714,74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996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867 956 547,83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A4B2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55 323 565,36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F2CC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389 791 754,19</w:t>
            </w:r>
          </w:p>
        </w:tc>
      </w:tr>
      <w:tr w:rsidR="00AF0E5C" w:rsidRPr="00D04A28" w14:paraId="0A5B04ED" w14:textId="77777777" w:rsidTr="00534065">
        <w:trPr>
          <w:trHeight w:val="255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5F1B" w14:textId="267003C1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realizovaných </w:t>
            </w: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projektů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7CA8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388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F773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5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A87C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63E4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139</w:t>
            </w:r>
          </w:p>
        </w:tc>
      </w:tr>
      <w:tr w:rsidR="00D04A28" w:rsidRPr="00D04A28" w14:paraId="65A51FE4" w14:textId="77777777" w:rsidTr="00534065">
        <w:trPr>
          <w:trHeight w:val="25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8A0EF" w14:textId="19571723" w:rsidR="00D04A28" w:rsidRPr="00E52BFD" w:rsidRDefault="00E52BFD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z</w:t>
            </w:r>
            <w:r w:rsidR="00D04A28" w:rsidRPr="00E52B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toho</w:t>
            </w:r>
            <w:r w:rsidR="00534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CA70" w14:textId="77777777" w:rsidR="00D04A28" w:rsidRPr="00D04A28" w:rsidRDefault="00D04A28" w:rsidP="00E52BF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NPO (NPŽP)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0DD2" w14:textId="59D599FF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Výše dotací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F0C0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732 787 709,11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F02F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181 759 523,71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0D6B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353 270 688,80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B39D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43 161 111,61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5D89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154 596 384,99</w:t>
            </w:r>
          </w:p>
        </w:tc>
      </w:tr>
      <w:tr w:rsidR="00D04A28" w:rsidRPr="00D04A28" w14:paraId="5F006ABC" w14:textId="77777777" w:rsidTr="00534065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66D7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06FE" w14:textId="77777777" w:rsidR="00D04A28" w:rsidRPr="00D04A28" w:rsidRDefault="00D04A28" w:rsidP="00E52BF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23A6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projektů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8E4B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7CE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9B64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3834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D385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74</w:t>
            </w:r>
          </w:p>
        </w:tc>
      </w:tr>
      <w:tr w:rsidR="00D04A28" w:rsidRPr="00D04A28" w14:paraId="1C643B29" w14:textId="77777777" w:rsidTr="00534065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8AD6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F3BC" w14:textId="77777777" w:rsidR="00D04A28" w:rsidRPr="00D04A28" w:rsidRDefault="00D04A28" w:rsidP="00E52BF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OPŽP14+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B6B" w14:textId="1191C5D3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Výše dotací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8396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320 590 070,64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D18F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114 035 353,99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1A0B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123 114 808,77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C939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6 627 946,88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7682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76 811 961,00</w:t>
            </w:r>
          </w:p>
        </w:tc>
      </w:tr>
      <w:tr w:rsidR="00D04A28" w:rsidRPr="00D04A28" w14:paraId="7B7FC6F7" w14:textId="77777777" w:rsidTr="00534065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6E1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DE6B" w14:textId="77777777" w:rsidR="00D04A28" w:rsidRPr="00D04A28" w:rsidRDefault="00D04A28" w:rsidP="00E52BF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58D4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projektů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B26D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F1B7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C588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DA41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E660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</w:t>
            </w:r>
          </w:p>
        </w:tc>
      </w:tr>
      <w:tr w:rsidR="00D04A28" w:rsidRPr="00D04A28" w14:paraId="2323ABCE" w14:textId="77777777" w:rsidTr="00534065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69E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2306" w14:textId="77777777" w:rsidR="00D04A28" w:rsidRPr="00D04A28" w:rsidRDefault="00D04A28" w:rsidP="00E52BF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OPŽP21+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7F1D" w14:textId="768F1460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Výše dotací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3E98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856 706 802,37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3CDD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301 217 837,04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B6A4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391 571 050,26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6893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5 534 506,87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B5AD" w14:textId="77777777" w:rsidR="00D04A28" w:rsidRPr="00D04A28" w:rsidRDefault="00D04A28" w:rsidP="00D04A28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158 383 408,20</w:t>
            </w:r>
          </w:p>
        </w:tc>
      </w:tr>
      <w:tr w:rsidR="00D04A28" w:rsidRPr="00D04A28" w14:paraId="10B669B8" w14:textId="77777777" w:rsidTr="00534065">
        <w:trPr>
          <w:trHeight w:val="2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BE5A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453B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CDAA" w14:textId="77777777" w:rsidR="00D04A28" w:rsidRPr="00D04A28" w:rsidRDefault="00D04A28" w:rsidP="00D04A28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Počet projektů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B584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8317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D6AF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C70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C563" w14:textId="77777777" w:rsidR="00D04A28" w:rsidRPr="00D04A28" w:rsidRDefault="00D04A28" w:rsidP="00E52BFD">
            <w:pPr>
              <w:ind w:right="198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4A2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</w:tr>
    </w:tbl>
    <w:p w14:paraId="2595C1E9" w14:textId="3D1F617F" w:rsidR="004A110B" w:rsidRPr="00524FB4" w:rsidRDefault="00D04A28" w:rsidP="00E177AB">
      <w:pPr>
        <w:pStyle w:val="Zdrojeapozn"/>
        <w:spacing w:before="40"/>
      </w:pPr>
      <w:r w:rsidRPr="00E177AB">
        <w:rPr>
          <w:b/>
          <w:bCs w:val="0"/>
        </w:rPr>
        <w:t>Zdroj:</w:t>
      </w:r>
      <w:r w:rsidRPr="00524FB4">
        <w:t xml:space="preserve"> </w:t>
      </w:r>
      <w:r w:rsidR="00E52BFD">
        <w:t>v</w:t>
      </w:r>
      <w:r w:rsidRPr="00524FB4">
        <w:t>ypracoval NKÚ na základě dat MŽP</w:t>
      </w:r>
      <w:r>
        <w:t>, SFŽP a Českého statistického úřadu</w:t>
      </w:r>
      <w:r w:rsidRPr="00524FB4">
        <w:t>.</w:t>
      </w:r>
    </w:p>
    <w:p w14:paraId="794B5371" w14:textId="53370F7A" w:rsidR="006B63D2" w:rsidRDefault="006B63D2">
      <w:pPr>
        <w:rPr>
          <w:rFonts w:cstheme="minorHAnsi"/>
        </w:rPr>
      </w:pPr>
    </w:p>
    <w:sectPr w:rsidR="006B63D2" w:rsidSect="00EE36F4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9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0E55" w14:textId="77777777" w:rsidR="00B571F2" w:rsidRDefault="00B571F2">
      <w:r>
        <w:separator/>
      </w:r>
    </w:p>
  </w:endnote>
  <w:endnote w:type="continuationSeparator" w:id="0">
    <w:p w14:paraId="1A765DEF" w14:textId="77777777" w:rsidR="00B571F2" w:rsidRDefault="00B571F2">
      <w:r>
        <w:continuationSeparator/>
      </w:r>
    </w:p>
  </w:endnote>
  <w:endnote w:type="continuationNotice" w:id="1">
    <w:p w14:paraId="3AFC9F40" w14:textId="77777777" w:rsidR="00B571F2" w:rsidRDefault="00B57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439A" w14:textId="2B7B70E2" w:rsidR="00480E64" w:rsidRDefault="001335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A667B7" wp14:editId="024A7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4445"/>
              <wp:wrapNone/>
              <wp:docPr id="1077041309" name="Textové pole 2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solidFill>
                        <a:srgbClr val="E5F1FF"/>
                      </a:solidFill>
                      <a:ln>
                        <a:noFill/>
                      </a:ln>
                      <a:effectLst>
                        <a:reflection endPos="0" dir="5400000" sy="-100000" algn="bl" rotWithShape="0"/>
                      </a:effectLst>
                    </wps:spPr>
                    <wps:txbx>
                      <w:txbxContent>
                        <w:p w14:paraId="6B34D86C" w14:textId="655F9AB2" w:rsidR="001335BB" w:rsidRPr="001335BB" w:rsidRDefault="001335BB" w:rsidP="001335BB">
                          <w:pPr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1335BB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667B7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6" type="#_x0000_t202" alt="TLP:CLEAR" style="position:absolute;left:0;text-align:left;margin-left:0;margin-top:0;width:77.4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" fillcolor="#e5f1ff" stroked="f">
              <v:textbox style="mso-fit-shape-to-text:t" inset="20pt,0,0,15pt">
                <w:txbxContent>
                  <w:p w14:paraId="6B34D86C" w14:textId="655F9AB2" w:rsidR="001335BB" w:rsidRPr="001335BB" w:rsidRDefault="001335BB" w:rsidP="001335BB">
                    <w:pPr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1335BB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E986" w14:textId="4E697C86" w:rsidR="004E1CB3" w:rsidRDefault="001335BB" w:rsidP="004E1C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DB0D40" wp14:editId="29E64E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4445"/>
              <wp:wrapNone/>
              <wp:docPr id="1956052514" name="Textové pole 2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solidFill>
                        <a:srgbClr val="E5F1FF"/>
                      </a:solidFill>
                      <a:ln>
                        <a:noFill/>
                      </a:ln>
                      <a:effectLst>
                        <a:reflection endPos="0" dir="5400000" sy="-100000" algn="bl" rotWithShape="0"/>
                      </a:effectLst>
                    </wps:spPr>
                    <wps:txbx>
                      <w:txbxContent>
                        <w:p w14:paraId="56B5D8F7" w14:textId="19515AE4" w:rsidR="001335BB" w:rsidRPr="001335BB" w:rsidRDefault="001335BB" w:rsidP="001335BB">
                          <w:pPr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1335BB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B0D40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7" type="#_x0000_t202" alt="TLP:CLEAR" style="position:absolute;left:0;text-align:left;margin-left:0;margin-top:0;width:77.4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" fillcolor="#e5f1ff" stroked="f">
              <v:textbox style="mso-fit-shape-to-text:t" inset="20pt,0,0,15pt">
                <w:txbxContent>
                  <w:p w14:paraId="56B5D8F7" w14:textId="19515AE4" w:rsidR="001335BB" w:rsidRPr="001335BB" w:rsidRDefault="001335BB" w:rsidP="001335BB">
                    <w:pPr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1335BB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5530535"/>
      <w:docPartObj>
        <w:docPartGallery w:val="Page Numbers (Bottom of Page)"/>
        <w:docPartUnique/>
      </w:docPartObj>
    </w:sdtPr>
    <w:sdtEndPr/>
    <w:sdtContent>
      <w:p w14:paraId="48509445" w14:textId="77777777" w:rsidR="004E1CB3" w:rsidRDefault="00EA2916" w:rsidP="004E1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37</w:t>
        </w:r>
        <w:r>
          <w:fldChar w:fldCharType="end"/>
        </w:r>
      </w:p>
    </w:sdtContent>
  </w:sdt>
  <w:p w14:paraId="5654E5B2" w14:textId="77777777" w:rsidR="004E1CB3" w:rsidRDefault="004E1C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01C8" w14:textId="11E35CD9" w:rsidR="00CE6926" w:rsidRDefault="001335BB" w:rsidP="00EE36F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6DB132" wp14:editId="6A3B141C">
              <wp:simplePos x="904240" y="10078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1838409123" name="Textové pole 2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reflection endPos="0" dir="5400000" sy="-100000" algn="bl" rotWithShape="0"/>
                      </a:effectLst>
                    </wps:spPr>
                    <wps:txbx>
                      <w:txbxContent>
                        <w:p w14:paraId="01790719" w14:textId="1B120C06" w:rsidR="001335BB" w:rsidRPr="001335BB" w:rsidRDefault="001335BB" w:rsidP="001335BB">
                          <w:pPr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1335BB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DB132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28" type="#_x0000_t202" alt="TLP:CLEAR" style="position:absolute;left:0;text-align:left;margin-left:0;margin-top:0;width:77.4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" filled="f" stroked="f">
              <v:textbox style="mso-fit-shape-to-text:t" inset="20pt,0,0,15pt">
                <w:txbxContent>
                  <w:p w14:paraId="01790719" w14:textId="1B120C06" w:rsidR="001335BB" w:rsidRPr="001335BB" w:rsidRDefault="001335BB" w:rsidP="001335BB">
                    <w:pPr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1335BB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6FA" w14:textId="29EA80E4" w:rsidR="00480E64" w:rsidRDefault="001335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5F82B9" wp14:editId="44E2A0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4445"/>
              <wp:wrapNone/>
              <wp:docPr id="865904536" name="Textové pole 2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solidFill>
                        <a:srgbClr val="E5F1FF"/>
                      </a:solidFill>
                      <a:ln>
                        <a:noFill/>
                      </a:ln>
                      <a:effectLst>
                        <a:reflection endPos="0" dir="5400000" sy="-100000" algn="bl" rotWithShape="0"/>
                      </a:effectLst>
                    </wps:spPr>
                    <wps:txbx>
                      <w:txbxContent>
                        <w:p w14:paraId="093434FB" w14:textId="32E145BE" w:rsidR="001335BB" w:rsidRPr="001335BB" w:rsidRDefault="001335BB" w:rsidP="001335BB">
                          <w:pPr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1335BB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F82B9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29" type="#_x0000_t202" alt="TLP:CLEAR" style="position:absolute;left:0;text-align:left;margin-left:0;margin-top:0;width:77.4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" fillcolor="#e5f1ff" stroked="f">
              <v:textbox style="mso-fit-shape-to-text:t" inset="20pt,0,0,15pt">
                <w:txbxContent>
                  <w:p w14:paraId="093434FB" w14:textId="32E145BE" w:rsidR="001335BB" w:rsidRPr="001335BB" w:rsidRDefault="001335BB" w:rsidP="001335BB">
                    <w:pPr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1335BB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E69C" w14:textId="4725F865" w:rsidR="00480E64" w:rsidRDefault="001335BB" w:rsidP="00EE36F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B71FFF" wp14:editId="6EB98062">
              <wp:simplePos x="904240" y="10078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76555"/>
              <wp:effectExtent l="0" t="0" r="6985" b="0"/>
              <wp:wrapNone/>
              <wp:docPr id="1237519327" name="Textové pole 2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836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reflection endPos="0" dir="5400000" sy="-100000" algn="bl" rotWithShape="0"/>
                      </a:effectLst>
                    </wps:spPr>
                    <wps:txbx>
                      <w:txbxContent>
                        <w:p w14:paraId="37495CED" w14:textId="147ED148" w:rsidR="001335BB" w:rsidRPr="001335BB" w:rsidRDefault="001335BB" w:rsidP="001335BB">
                          <w:pPr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1335BB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71FFF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0" type="#_x0000_t202" alt="TLP:CLEAR" style="position:absolute;left:0;text-align:left;margin-left:0;margin-top:0;width:77.45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" filled="f" stroked="f">
              <v:textbox style="mso-fit-shape-to-text:t" inset="20pt,0,0,15pt">
                <w:txbxContent>
                  <w:p w14:paraId="37495CED" w14:textId="147ED148" w:rsidR="001335BB" w:rsidRPr="001335BB" w:rsidRDefault="001335BB" w:rsidP="001335BB">
                    <w:pPr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1335BB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97869418"/>
        <w:docPartObj>
          <w:docPartGallery w:val="Page Numbers (Bottom of Page)"/>
          <w:docPartUnique/>
        </w:docPartObj>
      </w:sdtPr>
      <w:sdtEndPr/>
      <w:sdtContent>
        <w:r w:rsidR="00ED074B">
          <w:fldChar w:fldCharType="begin"/>
        </w:r>
        <w:r w:rsidR="00ED074B">
          <w:instrText>PAGE   \* MERGEFORMAT</w:instrText>
        </w:r>
        <w:r w:rsidR="00ED074B">
          <w:fldChar w:fldCharType="separate"/>
        </w:r>
        <w:r w:rsidR="00ED074B">
          <w:t>2</w:t>
        </w:r>
        <w:r w:rsidR="00ED074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FBE4" w14:textId="77777777" w:rsidR="00B571F2" w:rsidRDefault="00B571F2" w:rsidP="00CA2C1A">
      <w:r>
        <w:separator/>
      </w:r>
    </w:p>
  </w:footnote>
  <w:footnote w:type="continuationSeparator" w:id="0">
    <w:p w14:paraId="5612C0B2" w14:textId="77777777" w:rsidR="00B571F2" w:rsidRDefault="00B571F2" w:rsidP="00CA2C1A">
      <w:r>
        <w:continuationSeparator/>
      </w:r>
    </w:p>
  </w:footnote>
  <w:footnote w:type="continuationNotice" w:id="1">
    <w:p w14:paraId="06F4A535" w14:textId="77777777" w:rsidR="00B571F2" w:rsidRDefault="00B571F2"/>
  </w:footnote>
  <w:footnote w:id="2">
    <w:p w14:paraId="359445CF" w14:textId="3F9BE5B1" w:rsidR="008332EA" w:rsidRDefault="008332EA" w:rsidP="0089277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892772">
        <w:tab/>
      </w:r>
      <w:r>
        <w:t>Dále jen „hospodaření se srážkovými vodami“.</w:t>
      </w:r>
    </w:p>
  </w:footnote>
  <w:footnote w:id="3">
    <w:p w14:paraId="2296100C" w14:textId="1E52170B" w:rsidR="00AC7664" w:rsidRPr="00864AEB" w:rsidRDefault="00AC7664" w:rsidP="00892772">
      <w:pPr>
        <w:pStyle w:val="Textpoznpodarou"/>
        <w:ind w:left="284" w:hanging="284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892772">
        <w:tab/>
      </w:r>
      <w:r>
        <w:t>Zákon č. 134/2016 Sb., o zadávání veřejných zakázek.</w:t>
      </w:r>
    </w:p>
  </w:footnote>
  <w:footnote w:id="4">
    <w:p w14:paraId="70054D65" w14:textId="6C7AD55E" w:rsidR="00A26201" w:rsidRDefault="00A26201" w:rsidP="00DC699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DC699B">
        <w:tab/>
      </w:r>
      <w:r>
        <w:t>Subjektem implementace (nebo také zprostředkujícím subjektem) se rozumí veřejný nebo soukromý subjekt, jenž byl vlastníkem komponenty pověřen výkonem některých funkcí.</w:t>
      </w:r>
    </w:p>
  </w:footnote>
  <w:footnote w:id="5">
    <w:p w14:paraId="4AE1B665" w14:textId="3F586EA9" w:rsidR="004F0E1E" w:rsidRDefault="004F0E1E" w:rsidP="00DC699B">
      <w:pPr>
        <w:pStyle w:val="Textpoznpodarou"/>
        <w:ind w:left="284" w:hanging="284"/>
      </w:pPr>
      <w:r w:rsidRPr="009328FB">
        <w:rPr>
          <w:rStyle w:val="Znakapoznpodarou"/>
        </w:rPr>
        <w:footnoteRef/>
      </w:r>
      <w:r w:rsidRPr="009328FB">
        <w:t xml:space="preserve"> </w:t>
      </w:r>
      <w:r w:rsidR="00DC699B">
        <w:tab/>
      </w:r>
      <w:r w:rsidRPr="009328FB">
        <w:t>Schválena usnesením vlády ČR ze dne 26. října 2015 č. 861.</w:t>
      </w:r>
    </w:p>
  </w:footnote>
  <w:footnote w:id="6">
    <w:p w14:paraId="7D0DF4D7" w14:textId="3E9A1872" w:rsidR="0040251B" w:rsidRPr="009328FB" w:rsidRDefault="0040251B" w:rsidP="00DC699B">
      <w:pPr>
        <w:pStyle w:val="Textpoznpodarou"/>
        <w:ind w:left="284" w:hanging="284"/>
      </w:pPr>
      <w:r w:rsidRPr="009328FB">
        <w:rPr>
          <w:rStyle w:val="Znakapoznpodarou"/>
        </w:rPr>
        <w:footnoteRef/>
      </w:r>
      <w:r w:rsidRPr="009328FB">
        <w:t xml:space="preserve"> </w:t>
      </w:r>
      <w:r w:rsidR="00DC699B">
        <w:tab/>
      </w:r>
      <w:r w:rsidRPr="009328FB">
        <w:t>První NAP byl schválen usnesením vlády ČR ze dne 16. ledna 2017 č. 34.</w:t>
      </w:r>
    </w:p>
  </w:footnote>
  <w:footnote w:id="7">
    <w:p w14:paraId="1DF67C2E" w14:textId="38A89918" w:rsidR="004424A8" w:rsidRDefault="004424A8" w:rsidP="00DC699B">
      <w:pPr>
        <w:pStyle w:val="Textpoznpodarou"/>
        <w:ind w:left="284" w:hanging="284"/>
      </w:pPr>
      <w:r w:rsidRPr="009328FB">
        <w:rPr>
          <w:rStyle w:val="Znakapoznpodarou"/>
        </w:rPr>
        <w:footnoteRef/>
      </w:r>
      <w:r w:rsidRPr="009328FB">
        <w:t xml:space="preserve"> </w:t>
      </w:r>
      <w:r w:rsidR="00DC699B">
        <w:tab/>
      </w:r>
      <w:r w:rsidRPr="009328FB">
        <w:t>První KOS byla schválena usnesením vlády ČR ze dne 24. července 2017 č. 528.</w:t>
      </w:r>
    </w:p>
  </w:footnote>
  <w:footnote w:id="8">
    <w:p w14:paraId="45928670" w14:textId="57606AD3" w:rsidR="007C7B02" w:rsidRDefault="007C7B02" w:rsidP="001E36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E364F">
        <w:tab/>
      </w:r>
      <w:r w:rsidRPr="00F32A57">
        <w:t xml:space="preserve">Prováděcí rozhodnutí </w:t>
      </w:r>
      <w:r>
        <w:t>R</w:t>
      </w:r>
      <w:r w:rsidRPr="00F32A57">
        <w:t>ady o schválení posouzení plánu pro oživení a odolnost Česka</w:t>
      </w:r>
      <w:r>
        <w:t>,</w:t>
      </w:r>
      <w:r w:rsidRPr="00F32A57">
        <w:t xml:space="preserve"> ST_11047_2021_INIT</w:t>
      </w:r>
      <w:r>
        <w:t>, 31. srpna. 2021</w:t>
      </w:r>
      <w:r w:rsidRPr="00F32A57">
        <w:t>.</w:t>
      </w:r>
    </w:p>
  </w:footnote>
  <w:footnote w:id="9">
    <w:p w14:paraId="1D07B204" w14:textId="28EF05CF" w:rsidR="007F71EE" w:rsidRDefault="007F71EE" w:rsidP="001E36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E364F">
        <w:tab/>
      </w:r>
      <w:r>
        <w:t>Nařízení Evropského parlamentu a Rady (EU) 2021/241 ze dne 12. února 2021, kterým se zřizuje Nástroj pro oživení a odolnost.</w:t>
      </w:r>
    </w:p>
  </w:footnote>
  <w:footnote w:id="10">
    <w:p w14:paraId="4B44F6DB" w14:textId="74BE91EA" w:rsidR="007F71EE" w:rsidRDefault="007F71EE" w:rsidP="001E36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E364F">
        <w:tab/>
      </w:r>
      <w:r w:rsidRPr="00693A35">
        <w:t xml:space="preserve">Nařízení Evropského parlamentu a Rady (EU) 2023/435 ze dne 27. února 2023, kterým se mění nařízení (EU) 2021/241, pokud jde o kapitoly </w:t>
      </w:r>
      <w:proofErr w:type="spellStart"/>
      <w:r w:rsidRPr="00693A35">
        <w:t>REPowerEU</w:t>
      </w:r>
      <w:proofErr w:type="spellEnd"/>
      <w:r w:rsidRPr="00693A35">
        <w:t xml:space="preserve"> v plánech pro oživení a odolnost, a nařízení (EU) č. 1303/2013, (EU) 2021/1060 a (EU) 2021/1755 a směrnice 2003/87/ES</w:t>
      </w:r>
      <w:r>
        <w:t>.</w:t>
      </w:r>
    </w:p>
  </w:footnote>
  <w:footnote w:id="11">
    <w:p w14:paraId="4CE7C4FE" w14:textId="49B6F96E" w:rsidR="00A06F61" w:rsidRPr="00B262FE" w:rsidRDefault="00A06F61" w:rsidP="001E364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E364F">
        <w:tab/>
      </w:r>
      <w:r>
        <w:t xml:space="preserve">Investice </w:t>
      </w:r>
      <w:r w:rsidRPr="00B262FE">
        <w:t xml:space="preserve">2.5.2 </w:t>
      </w:r>
      <w:r w:rsidRPr="00B262FE">
        <w:rPr>
          <w:i/>
          <w:iCs/>
        </w:rPr>
        <w:t>Výměna stacionárních zdrojů znečišťování v domácnostech za obnovitelné zdroje energie a</w:t>
      </w:r>
      <w:r w:rsidR="006C1290">
        <w:rPr>
          <w:i/>
          <w:iCs/>
        </w:rPr>
        <w:t> </w:t>
      </w:r>
      <w:r w:rsidRPr="00B262FE">
        <w:rPr>
          <w:i/>
          <w:iCs/>
        </w:rPr>
        <w:t>rozvoj obnovitelných zdrojů energie</w:t>
      </w:r>
      <w:r>
        <w:t>.</w:t>
      </w:r>
    </w:p>
  </w:footnote>
  <w:footnote w:id="12">
    <w:p w14:paraId="727D2142" w14:textId="2C413452" w:rsidR="00A06F61" w:rsidRDefault="00A06F61" w:rsidP="0012233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22335">
        <w:tab/>
      </w:r>
      <w:r>
        <w:t>Ukazatel je vypočítá</w:t>
      </w:r>
      <w:r w:rsidR="0086058E">
        <w:t>vá</w:t>
      </w:r>
      <w:r>
        <w:t>n na základě množství dodaného extenzivního a intenzivního střešního substrátu.</w:t>
      </w:r>
    </w:p>
  </w:footnote>
  <w:footnote w:id="13">
    <w:p w14:paraId="4571CAC6" w14:textId="2476DAF8" w:rsidR="00A06F61" w:rsidRDefault="00A06F61" w:rsidP="0012233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122335">
        <w:tab/>
      </w:r>
      <w:r w:rsidRPr="00C922A2">
        <w:t xml:space="preserve">Její hlavní cíle jsou podpora a propagace těchto technologií napříč Evropou, sdílení znalostí mezi členskými státy a podpora jejich využívání k řešení environmentálních problémů, jako </w:t>
      </w:r>
      <w:r w:rsidR="00ED4057">
        <w:t>jsou</w:t>
      </w:r>
      <w:r w:rsidRPr="00C922A2">
        <w:t xml:space="preserve"> změna klimatu a</w:t>
      </w:r>
      <w:r w:rsidR="00ED4057">
        <w:t> </w:t>
      </w:r>
      <w:r w:rsidRPr="00C922A2">
        <w:t>nedostatek zeleně v</w:t>
      </w:r>
      <w:r>
        <w:t> </w:t>
      </w:r>
      <w:r w:rsidRPr="00C922A2">
        <w:t>městských oblastech.</w:t>
      </w:r>
    </w:p>
  </w:footnote>
  <w:footnote w:id="14">
    <w:p w14:paraId="66822135" w14:textId="33EFB06C" w:rsidR="009E1BC9" w:rsidRDefault="009E1BC9" w:rsidP="0043159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43159D">
        <w:tab/>
      </w:r>
      <w:r>
        <w:t>O</w:t>
      </w:r>
      <w:r w:rsidRPr="009E1BC9">
        <w:t xml:space="preserve">patření 1.3.3 </w:t>
      </w:r>
      <w:r>
        <w:t>–</w:t>
      </w:r>
      <w:r w:rsidRPr="009E1BC9">
        <w:t xml:space="preserve"> </w:t>
      </w:r>
      <w:r w:rsidRPr="009E1BC9">
        <w:rPr>
          <w:i/>
          <w:iCs/>
        </w:rPr>
        <w:t>Realizace protipovodňových opatření</w:t>
      </w:r>
      <w:r>
        <w:rPr>
          <w:i/>
          <w:iCs/>
        </w:rPr>
        <w:t xml:space="preserve"> </w:t>
      </w:r>
      <w:r w:rsidRPr="009E1BC9">
        <w:t xml:space="preserve">a 1.3.4 </w:t>
      </w:r>
      <w:r>
        <w:t>–</w:t>
      </w:r>
      <w:r w:rsidRPr="009E1BC9">
        <w:rPr>
          <w:i/>
          <w:iCs/>
        </w:rPr>
        <w:t xml:space="preserve"> Realizace opatření ke zpomalení odtoku, pro </w:t>
      </w:r>
      <w:proofErr w:type="gramStart"/>
      <w:r w:rsidRPr="009E1BC9">
        <w:rPr>
          <w:i/>
          <w:iCs/>
        </w:rPr>
        <w:t>vsak</w:t>
      </w:r>
      <w:proofErr w:type="gramEnd"/>
      <w:r w:rsidRPr="009E1BC9">
        <w:rPr>
          <w:i/>
          <w:iCs/>
        </w:rPr>
        <w:t>, retenci a akumulaci srážkové vody vč. jejího dalšího využití; realizace zelených střech; opatření na využití šedé vody; opatření pro řízenou dotaci podzemních vod.</w:t>
      </w:r>
    </w:p>
  </w:footnote>
  <w:footnote w:id="15">
    <w:p w14:paraId="7ACAFE7D" w14:textId="2A8E3E9F" w:rsidR="009E1BC9" w:rsidRDefault="009E1BC9" w:rsidP="00577DE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577DE9">
        <w:tab/>
      </w:r>
      <w:r>
        <w:t>O</w:t>
      </w:r>
      <w:r w:rsidRPr="009E1BC9">
        <w:t xml:space="preserve">patření 1.3.1 </w:t>
      </w:r>
      <w:r>
        <w:t>–</w:t>
      </w:r>
      <w:r w:rsidRPr="009E1BC9">
        <w:t xml:space="preserve"> </w:t>
      </w:r>
      <w:r w:rsidRPr="009E1BC9">
        <w:rPr>
          <w:i/>
          <w:iCs/>
        </w:rPr>
        <w:t>Podpora přírodě blízkých opatření v krajině a sídlech – FS (Fond soudržnosti)</w:t>
      </w:r>
      <w:r w:rsidRPr="009E1BC9">
        <w:t>, 1.3.3 a 1.3.4</w:t>
      </w:r>
      <w:r>
        <w:t>.</w:t>
      </w:r>
    </w:p>
  </w:footnote>
  <w:footnote w:id="16">
    <w:p w14:paraId="46E24CE6" w14:textId="174C374B" w:rsidR="00581913" w:rsidRDefault="00581913" w:rsidP="0045071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450717">
        <w:tab/>
      </w:r>
      <w:r w:rsidRPr="006C1290">
        <w:rPr>
          <w:i/>
          <w:iCs/>
        </w:rPr>
        <w:t>Generel odtokových poměrů urbanizovaného území</w:t>
      </w:r>
      <w:r>
        <w:t xml:space="preserve"> </w:t>
      </w:r>
      <w:r w:rsidRPr="00E12E5A">
        <w:t xml:space="preserve">slučuje </w:t>
      </w:r>
      <w:r w:rsidRPr="006C1290">
        <w:rPr>
          <w:i/>
          <w:iCs/>
        </w:rPr>
        <w:t xml:space="preserve">plán zavádění </w:t>
      </w:r>
      <w:r w:rsidR="0007257A" w:rsidRPr="006C1290">
        <w:rPr>
          <w:i/>
          <w:iCs/>
        </w:rPr>
        <w:t>hospodaření se srážkovými vodami</w:t>
      </w:r>
      <w:r w:rsidR="0007257A">
        <w:t xml:space="preserve"> </w:t>
      </w:r>
      <w:r w:rsidR="0007257A" w:rsidRPr="00066310">
        <w:t>(</w:t>
      </w:r>
      <w:r w:rsidRPr="00066310">
        <w:t>z hlediska běžných a silných srážek)</w:t>
      </w:r>
      <w:r w:rsidRPr="00E12E5A">
        <w:t xml:space="preserve">, dílčí úlohy ze </w:t>
      </w:r>
      <w:r w:rsidRPr="00066310">
        <w:rPr>
          <w:i/>
          <w:iCs/>
        </w:rPr>
        <w:t xml:space="preserve">standardů </w:t>
      </w:r>
      <w:r w:rsidR="0007257A" w:rsidRPr="00066310">
        <w:rPr>
          <w:i/>
          <w:iCs/>
        </w:rPr>
        <w:t>hospodaření se srážkovými vodami</w:t>
      </w:r>
      <w:r w:rsidRPr="00E12E5A">
        <w:t xml:space="preserve">, </w:t>
      </w:r>
      <w:r w:rsidRPr="00066310">
        <w:rPr>
          <w:i/>
          <w:iCs/>
        </w:rPr>
        <w:t>generel odvodnění</w:t>
      </w:r>
      <w:r w:rsidRPr="00E12E5A">
        <w:t xml:space="preserve"> a </w:t>
      </w:r>
      <w:r w:rsidRPr="00066310">
        <w:rPr>
          <w:i/>
          <w:iCs/>
        </w:rPr>
        <w:t>generel modrozelené infrastruktury</w:t>
      </w:r>
      <w:r>
        <w:t>.</w:t>
      </w:r>
    </w:p>
  </w:footnote>
  <w:footnote w:id="17">
    <w:p w14:paraId="7A8DC44E" w14:textId="00B97FCD" w:rsidR="002B236B" w:rsidRDefault="002B236B" w:rsidP="002F658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2F658A">
        <w:tab/>
      </w:r>
      <w:r w:rsidRPr="00970078">
        <w:rPr>
          <w:i/>
          <w:iCs/>
        </w:rPr>
        <w:t>Počet splněných úkolů ze studie hospodaření se srážkovými vodami v urbanizovaném prostředí</w:t>
      </w:r>
      <w:r>
        <w:t xml:space="preserve">; </w:t>
      </w:r>
      <w:r w:rsidR="00C67BD1">
        <w:rPr>
          <w:i/>
          <w:iCs/>
        </w:rPr>
        <w:t>a</w:t>
      </w:r>
      <w:r w:rsidRPr="00970078">
        <w:rPr>
          <w:i/>
          <w:iCs/>
        </w:rPr>
        <w:t>kumulační objem vybudovaných zařízení</w:t>
      </w:r>
      <w:r>
        <w:t xml:space="preserve">; </w:t>
      </w:r>
      <w:r w:rsidR="00C67BD1">
        <w:rPr>
          <w:i/>
          <w:iCs/>
        </w:rPr>
        <w:t>o</w:t>
      </w:r>
      <w:r w:rsidRPr="00970078">
        <w:rPr>
          <w:i/>
          <w:iCs/>
        </w:rPr>
        <w:t>bjem využité srážkové vody</w:t>
      </w:r>
      <w:r>
        <w:t xml:space="preserve">; </w:t>
      </w:r>
      <w:r w:rsidR="00C67BD1">
        <w:rPr>
          <w:i/>
          <w:iCs/>
        </w:rPr>
        <w:t>p</w:t>
      </w:r>
      <w:r w:rsidRPr="00970078">
        <w:rPr>
          <w:i/>
          <w:iCs/>
        </w:rPr>
        <w:t>locha nově vybudovaných propustných ploch a</w:t>
      </w:r>
      <w:r>
        <w:rPr>
          <w:i/>
          <w:iCs/>
        </w:rPr>
        <w:t> </w:t>
      </w:r>
      <w:r w:rsidRPr="00970078">
        <w:rPr>
          <w:i/>
          <w:iCs/>
        </w:rPr>
        <w:t>zelených střech</w:t>
      </w:r>
      <w:r>
        <w:t xml:space="preserve">; </w:t>
      </w:r>
      <w:r w:rsidR="00C67BD1">
        <w:rPr>
          <w:i/>
          <w:iCs/>
        </w:rPr>
        <w:t>r</w:t>
      </w:r>
      <w:r w:rsidRPr="00970078">
        <w:rPr>
          <w:i/>
          <w:iCs/>
        </w:rPr>
        <w:t>ozloha nepropustných povrchů</w:t>
      </w:r>
      <w:r>
        <w:t>.</w:t>
      </w:r>
    </w:p>
  </w:footnote>
  <w:footnote w:id="18">
    <w:p w14:paraId="26D33EF5" w14:textId="6C58E3B3" w:rsidR="00C0506D" w:rsidRDefault="00C0506D" w:rsidP="002F658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2F658A">
        <w:tab/>
      </w:r>
      <w:r>
        <w:t>Ú</w:t>
      </w:r>
      <w:r w:rsidRPr="00C0506D">
        <w:t xml:space="preserve">kol 10_1.1 </w:t>
      </w:r>
      <w:r w:rsidRPr="00C0506D">
        <w:rPr>
          <w:i/>
          <w:iCs/>
        </w:rPr>
        <w:t>Aktualizovat zpracovaný návrh Koncepce hospodaření se srážkovými vodami v urbanizovaných územích se zohledněním schválené adaptační strategie ČR a nových poznatků a předložit jej ke schválení vládě</w:t>
      </w:r>
      <w:r w:rsidRPr="00C0506D">
        <w:t>.</w:t>
      </w:r>
    </w:p>
  </w:footnote>
  <w:footnote w:id="19">
    <w:p w14:paraId="3DBB7044" w14:textId="05110B69" w:rsidR="008266C0" w:rsidRDefault="008266C0" w:rsidP="00E837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8374D">
        <w:tab/>
      </w:r>
      <w:r>
        <w:t>Zákon č. 274/2001 Sb., o vodovodech a kanalizacích pro veřejnou potřebu a o změně některých zákonů (zákon o vodovodech a kanalizacích).</w:t>
      </w:r>
    </w:p>
  </w:footnote>
  <w:footnote w:id="20">
    <w:p w14:paraId="5ACEB479" w14:textId="79EF5BA9" w:rsidR="008266C0" w:rsidRDefault="008266C0" w:rsidP="00E837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8374D">
        <w:tab/>
      </w:r>
      <w:r>
        <w:t>Podle ustanovení § 20 odst. 6 zákona č. 274/2001 Sb. se p</w:t>
      </w:r>
      <w:r w:rsidRPr="00E60FD4">
        <w:t>ovinnost platit za odvádění srážkových vod do kanalizace pro veřejnou potřebu nevztahuje na plochy dálnic, silnic, místních komunikací a účelových komunikací veřejně přístupných, plochy drah celostátních a regionálních včetně pevných zařízení potřebných pro přímé zajištění bezpečnosti a plynulosti drážní dopravy, zoologické zahrady, veřejná a neveřejná pohřebiště a plochy nemovitostí určených k trvalému bydlení a na domácnosti.</w:t>
      </w:r>
    </w:p>
  </w:footnote>
  <w:footnote w:id="21">
    <w:p w14:paraId="46EE62A5" w14:textId="6E9C5C27" w:rsidR="008266C0" w:rsidRDefault="008266C0" w:rsidP="00E8374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8374D">
        <w:tab/>
      </w:r>
      <w:r>
        <w:t>NAP (2021), ú</w:t>
      </w:r>
      <w:r w:rsidRPr="009140A2">
        <w:t xml:space="preserve">kol 4_1.9 </w:t>
      </w:r>
      <w:r w:rsidRPr="009140A2">
        <w:rPr>
          <w:i/>
          <w:iCs/>
        </w:rPr>
        <w:t>Navrhnout systém postupného rušení výjimek ze zpoplatnění odvádění srážkových vod v</w:t>
      </w:r>
      <w:r>
        <w:rPr>
          <w:i/>
          <w:iCs/>
        </w:rPr>
        <w:t> </w:t>
      </w:r>
      <w:r w:rsidRPr="009140A2">
        <w:rPr>
          <w:i/>
          <w:iCs/>
        </w:rPr>
        <w:t>zákoně o vodovodech a kanalizacích</w:t>
      </w:r>
      <w:r w:rsidRPr="009140A2">
        <w:t>.</w:t>
      </w:r>
    </w:p>
  </w:footnote>
  <w:footnote w:id="22">
    <w:p w14:paraId="6C6DAFCE" w14:textId="26EA75AE" w:rsidR="00D71770" w:rsidRDefault="00D71770" w:rsidP="00E177A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177AB">
        <w:tab/>
      </w:r>
      <w:r>
        <w:t>Způsob výpočtu ukazatele na projektové úrovni:</w:t>
      </w:r>
    </w:p>
    <w:p w14:paraId="7C2F0ADD" w14:textId="051E2F20" w:rsidR="00D71770" w:rsidRDefault="00D71770" w:rsidP="00E177AB">
      <w:pPr>
        <w:pStyle w:val="Textpoznpodarou"/>
        <w:ind w:left="284"/>
      </w:pPr>
      <w:r w:rsidRPr="00FF3694">
        <w:rPr>
          <w:b/>
          <w:bCs/>
        </w:rPr>
        <w:t>Výměna nepropustných zpevněných povrchů za propustné zpevněné a propustné povrchy</w:t>
      </w:r>
      <w:r w:rsidRPr="003C4B1F">
        <w:rPr>
          <w:b/>
          <w:bCs/>
        </w:rPr>
        <w:t>:</w:t>
      </w:r>
      <w:r>
        <w:t xml:space="preserve"> </w:t>
      </w:r>
      <w:r w:rsidRPr="009A7FF9">
        <w:rPr>
          <w:i/>
          <w:iCs/>
        </w:rPr>
        <w:t>Objem zadržené srážkové vody</w:t>
      </w:r>
      <w:r w:rsidR="000643A4">
        <w:rPr>
          <w:i/>
          <w:iCs/>
        </w:rPr>
        <w:t xml:space="preserve"> </w:t>
      </w:r>
      <w:r>
        <w:t>/</w:t>
      </w:r>
      <w:r w:rsidR="000643A4">
        <w:t xml:space="preserve"> </w:t>
      </w:r>
      <w:r w:rsidR="000643A4">
        <w:rPr>
          <w:i/>
          <w:iCs/>
        </w:rPr>
        <w:t>o</w:t>
      </w:r>
      <w:r w:rsidRPr="00AE4EB7">
        <w:rPr>
          <w:i/>
          <w:iCs/>
        </w:rPr>
        <w:t>bjem retardované dešťové vody</w:t>
      </w:r>
      <w:r w:rsidRPr="00AE4EB7">
        <w:t xml:space="preserve"> </w:t>
      </w:r>
      <w:r>
        <w:t>[</w:t>
      </w:r>
      <w:r w:rsidRPr="00AE4EB7">
        <w:t>m</w:t>
      </w:r>
      <w:r w:rsidRPr="00AE4EB7">
        <w:rPr>
          <w:vertAlign w:val="superscript"/>
        </w:rPr>
        <w:t>3</w:t>
      </w:r>
      <w:r>
        <w:t>] = objem nově zasáknuté vody při návrhovém dešti</w:t>
      </w:r>
      <w:r w:rsidR="00534065">
        <w:t>.</w:t>
      </w:r>
    </w:p>
    <w:p w14:paraId="33C0AEE1" w14:textId="69CDE88B" w:rsidR="00D71770" w:rsidRDefault="00D71770" w:rsidP="00E177AB">
      <w:pPr>
        <w:pStyle w:val="Textpoznpodarou"/>
        <w:ind w:left="284"/>
      </w:pPr>
      <w:r w:rsidRPr="00FF3694">
        <w:rPr>
          <w:b/>
          <w:bCs/>
        </w:rPr>
        <w:t>Budování propustných zpevněných povrchů</w:t>
      </w:r>
      <w:r w:rsidRPr="003C4B1F">
        <w:rPr>
          <w:b/>
          <w:bCs/>
        </w:rPr>
        <w:t>:</w:t>
      </w:r>
      <w:r>
        <w:t xml:space="preserve"> </w:t>
      </w:r>
      <w:r w:rsidRPr="009A7FF9">
        <w:rPr>
          <w:i/>
          <w:iCs/>
        </w:rPr>
        <w:t>Objem zadržené srážkové vody</w:t>
      </w:r>
      <w:r w:rsidR="000643A4">
        <w:rPr>
          <w:i/>
          <w:iCs/>
        </w:rPr>
        <w:t xml:space="preserve"> </w:t>
      </w:r>
      <w:r>
        <w:t>/</w:t>
      </w:r>
      <w:r w:rsidR="000643A4">
        <w:t xml:space="preserve"> </w:t>
      </w:r>
      <w:r w:rsidR="000643A4">
        <w:rPr>
          <w:i/>
          <w:iCs/>
        </w:rPr>
        <w:t>o</w:t>
      </w:r>
      <w:r w:rsidRPr="00AE4EB7">
        <w:rPr>
          <w:i/>
          <w:iCs/>
        </w:rPr>
        <w:t>bjem retardované dešťové vody</w:t>
      </w:r>
      <w:r w:rsidRPr="00AE4EB7">
        <w:t xml:space="preserve"> </w:t>
      </w:r>
      <w:r>
        <w:t>[</w:t>
      </w:r>
      <w:r w:rsidRPr="00AE4EB7">
        <w:t>m</w:t>
      </w:r>
      <w:r w:rsidRPr="00AE4EB7">
        <w:rPr>
          <w:vertAlign w:val="superscript"/>
        </w:rPr>
        <w:t>3</w:t>
      </w:r>
      <w:r>
        <w:t>] = objem teoreticky zasáknuté vody při návrhovém dešti oproti tomu, kdy by na řešené ploše byl asfalt (se součinitelem odtoku – 1,0)</w:t>
      </w:r>
      <w:r w:rsidR="00534065">
        <w:t>.</w:t>
      </w:r>
    </w:p>
    <w:p w14:paraId="0201CB7A" w14:textId="286FECA3" w:rsidR="00D71770" w:rsidRDefault="00D71770" w:rsidP="00E177AB">
      <w:pPr>
        <w:pStyle w:val="Textpoznpodarou"/>
        <w:ind w:left="284"/>
      </w:pPr>
      <w:r w:rsidRPr="00FF3694">
        <w:rPr>
          <w:b/>
          <w:bCs/>
        </w:rPr>
        <w:t>Nádrže, průlehy, zasakovací zařízení apod.</w:t>
      </w:r>
      <w:r w:rsidRPr="003C4B1F">
        <w:rPr>
          <w:b/>
          <w:bCs/>
        </w:rPr>
        <w:t>:</w:t>
      </w:r>
      <w:r>
        <w:t xml:space="preserve"> </w:t>
      </w:r>
      <w:r w:rsidRPr="009A7FF9">
        <w:rPr>
          <w:i/>
          <w:iCs/>
        </w:rPr>
        <w:t>Objem zadržené srážkové vody</w:t>
      </w:r>
      <w:r w:rsidR="000643A4">
        <w:rPr>
          <w:i/>
          <w:iCs/>
        </w:rPr>
        <w:t xml:space="preserve"> </w:t>
      </w:r>
      <w:r>
        <w:t>/</w:t>
      </w:r>
      <w:r w:rsidR="000643A4">
        <w:t xml:space="preserve"> </w:t>
      </w:r>
      <w:r w:rsidR="000643A4">
        <w:rPr>
          <w:i/>
          <w:iCs/>
        </w:rPr>
        <w:t>o</w:t>
      </w:r>
      <w:r w:rsidRPr="00AE4EB7">
        <w:rPr>
          <w:i/>
          <w:iCs/>
        </w:rPr>
        <w:t>bjem retardované dešťové vody</w:t>
      </w:r>
      <w:r w:rsidRPr="00AE4EB7">
        <w:t xml:space="preserve"> </w:t>
      </w:r>
      <w:r>
        <w:t>[</w:t>
      </w:r>
      <w:r w:rsidRPr="00AE4EB7">
        <w:t>m</w:t>
      </w:r>
      <w:r w:rsidRPr="00AE4EB7">
        <w:rPr>
          <w:vertAlign w:val="superscript"/>
        </w:rPr>
        <w:t>3</w:t>
      </w:r>
      <w:r>
        <w:t>] = návrhový (maximální provozní) objem nádrže, průlehu, zasakovacího zařízení apod.</w:t>
      </w:r>
    </w:p>
    <w:p w14:paraId="19E7C3B7" w14:textId="68D5E408" w:rsidR="00D71770" w:rsidRDefault="00D71770" w:rsidP="00E177AB">
      <w:pPr>
        <w:pStyle w:val="Textpoznpodarou"/>
        <w:ind w:left="284"/>
      </w:pPr>
      <w:r w:rsidRPr="00FF3694">
        <w:rPr>
          <w:b/>
          <w:bCs/>
        </w:rPr>
        <w:t>Zelené střechy</w:t>
      </w:r>
      <w:r w:rsidRPr="003C4B1F">
        <w:rPr>
          <w:b/>
          <w:bCs/>
        </w:rPr>
        <w:t>:</w:t>
      </w:r>
      <w:r>
        <w:t xml:space="preserve"> </w:t>
      </w:r>
      <w:r w:rsidRPr="009A7FF9">
        <w:rPr>
          <w:i/>
          <w:iCs/>
        </w:rPr>
        <w:t>Objem zadržené srážkové vody</w:t>
      </w:r>
      <w:r w:rsidR="000643A4">
        <w:rPr>
          <w:i/>
          <w:iCs/>
        </w:rPr>
        <w:t xml:space="preserve"> </w:t>
      </w:r>
      <w:r>
        <w:t>/</w:t>
      </w:r>
      <w:r w:rsidR="000643A4">
        <w:t xml:space="preserve"> </w:t>
      </w:r>
      <w:r w:rsidR="000643A4">
        <w:rPr>
          <w:i/>
          <w:iCs/>
        </w:rPr>
        <w:t>o</w:t>
      </w:r>
      <w:r w:rsidRPr="00AE4EB7">
        <w:rPr>
          <w:i/>
          <w:iCs/>
        </w:rPr>
        <w:t>bjem retardované dešťové vody</w:t>
      </w:r>
      <w:r w:rsidRPr="00AE4EB7">
        <w:t xml:space="preserve"> </w:t>
      </w:r>
      <w:r>
        <w:t>[</w:t>
      </w:r>
      <w:r w:rsidRPr="00AE4EB7">
        <w:t>m</w:t>
      </w:r>
      <w:r w:rsidRPr="00AE4EB7">
        <w:rPr>
          <w:vertAlign w:val="superscript"/>
        </w:rPr>
        <w:t>3</w:t>
      </w:r>
      <w:r>
        <w:t>] = objem nově zachycené vody ve funkčním profilu střechy při návrhovém dešti.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A808" w14:textId="77777777" w:rsidR="00CE6926" w:rsidRDefault="00CE69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D62ECE2"/>
    <w:lvl w:ilvl="0">
      <w:start w:val="1"/>
      <w:numFmt w:val="lowerLetter"/>
      <w:pStyle w:val="slovanseznam2"/>
      <w:lvlText w:val="%1)"/>
      <w:lvlJc w:val="left"/>
      <w:pPr>
        <w:ind w:left="644" w:hanging="360"/>
      </w:pPr>
    </w:lvl>
  </w:abstractNum>
  <w:abstractNum w:abstractNumId="1" w15:restartNumberingAfterBreak="0">
    <w:nsid w:val="FFFFFF88"/>
    <w:multiLevelType w:val="singleLevel"/>
    <w:tmpl w:val="901033F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F5E30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D64C4"/>
    <w:multiLevelType w:val="multilevel"/>
    <w:tmpl w:val="21EE1898"/>
    <w:lvl w:ilvl="0">
      <w:start w:val="1"/>
      <w:numFmt w:val="decimal"/>
      <w:pStyle w:val="Odstavec-slovan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pododstavec"/>
      <w:isLgl/>
      <w:lvlText w:val="%1.%2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4" w15:restartNumberingAfterBreak="0">
    <w:nsid w:val="07FB62B6"/>
    <w:multiLevelType w:val="hybridMultilevel"/>
    <w:tmpl w:val="31D2AD22"/>
    <w:lvl w:ilvl="0" w:tplc="43AA3056">
      <w:start w:val="1"/>
      <w:numFmt w:val="upperRoman"/>
      <w:pStyle w:val="Styl1-I"/>
      <w:lvlText w:val="%1."/>
      <w:lvlJc w:val="left"/>
      <w:pPr>
        <w:ind w:left="720" w:hanging="360"/>
      </w:pPr>
      <w:rPr>
        <w:b/>
        <w:i w:val="0"/>
        <w:iCs/>
      </w:rPr>
    </w:lvl>
    <w:lvl w:ilvl="1" w:tplc="DC6A4C56">
      <w:start w:val="1"/>
      <w:numFmt w:val="lowerLetter"/>
      <w:lvlText w:val="%2."/>
      <w:lvlJc w:val="left"/>
      <w:pPr>
        <w:ind w:left="1440" w:hanging="360"/>
      </w:pPr>
    </w:lvl>
    <w:lvl w:ilvl="2" w:tplc="E49A8C48">
      <w:start w:val="1"/>
      <w:numFmt w:val="lowerRoman"/>
      <w:lvlText w:val="%3."/>
      <w:lvlJc w:val="right"/>
      <w:pPr>
        <w:ind w:left="2160" w:hanging="180"/>
      </w:pPr>
    </w:lvl>
    <w:lvl w:ilvl="3" w:tplc="42DA1F44">
      <w:start w:val="1"/>
      <w:numFmt w:val="decimal"/>
      <w:lvlText w:val="%4."/>
      <w:lvlJc w:val="left"/>
      <w:pPr>
        <w:ind w:left="2880" w:hanging="360"/>
      </w:pPr>
    </w:lvl>
    <w:lvl w:ilvl="4" w:tplc="E8325668">
      <w:start w:val="1"/>
      <w:numFmt w:val="lowerLetter"/>
      <w:lvlText w:val="%5."/>
      <w:lvlJc w:val="left"/>
      <w:pPr>
        <w:ind w:left="3600" w:hanging="360"/>
      </w:pPr>
    </w:lvl>
    <w:lvl w:ilvl="5" w:tplc="5964E0D2">
      <w:start w:val="1"/>
      <w:numFmt w:val="lowerRoman"/>
      <w:lvlText w:val="%6."/>
      <w:lvlJc w:val="right"/>
      <w:pPr>
        <w:ind w:left="4320" w:hanging="180"/>
      </w:pPr>
    </w:lvl>
    <w:lvl w:ilvl="6" w:tplc="666EE032">
      <w:start w:val="1"/>
      <w:numFmt w:val="decimal"/>
      <w:lvlText w:val="%7."/>
      <w:lvlJc w:val="left"/>
      <w:pPr>
        <w:ind w:left="5040" w:hanging="360"/>
      </w:pPr>
    </w:lvl>
    <w:lvl w:ilvl="7" w:tplc="7F964148">
      <w:start w:val="1"/>
      <w:numFmt w:val="lowerLetter"/>
      <w:lvlText w:val="%8."/>
      <w:lvlJc w:val="left"/>
      <w:pPr>
        <w:ind w:left="5760" w:hanging="360"/>
      </w:pPr>
    </w:lvl>
    <w:lvl w:ilvl="8" w:tplc="EBB41E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41A4"/>
    <w:multiLevelType w:val="hybridMultilevel"/>
    <w:tmpl w:val="C696E4C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5E3EBF"/>
    <w:multiLevelType w:val="hybridMultilevel"/>
    <w:tmpl w:val="9A0C5EE0"/>
    <w:lvl w:ilvl="0" w:tplc="B07AAB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258CE"/>
    <w:multiLevelType w:val="multilevel"/>
    <w:tmpl w:val="86025FD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nadpismj"/>
      <w:isLgl/>
      <w:lvlText w:val="%1.%2"/>
      <w:lvlJc w:val="left"/>
      <w:pPr>
        <w:ind w:left="624" w:hanging="34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8" w15:restartNumberingAfterBreak="0">
    <w:nsid w:val="171E01DC"/>
    <w:multiLevelType w:val="hybridMultilevel"/>
    <w:tmpl w:val="261EA2C0"/>
    <w:lvl w:ilvl="0" w:tplc="357EA4A2">
      <w:start w:val="1"/>
      <w:numFmt w:val="upperRoman"/>
      <w:pStyle w:val="Hlavnnadpis"/>
      <w:lvlText w:val="%1."/>
      <w:lvlJc w:val="right"/>
      <w:pPr>
        <w:ind w:left="720" w:hanging="360"/>
      </w:pPr>
    </w:lvl>
    <w:lvl w:ilvl="1" w:tplc="758E4B42">
      <w:numFmt w:val="bullet"/>
      <w:lvlText w:val="-"/>
      <w:lvlJc w:val="left"/>
      <w:pPr>
        <w:ind w:left="2775" w:hanging="1695"/>
      </w:pPr>
      <w:rPr>
        <w:rFonts w:ascii="Calibri" w:eastAsia="Calibri" w:hAnsi="Calibri" w:cs="Calibri" w:hint="default"/>
      </w:rPr>
    </w:lvl>
    <w:lvl w:ilvl="2" w:tplc="A5B0C334" w:tentative="1">
      <w:start w:val="1"/>
      <w:numFmt w:val="lowerRoman"/>
      <w:lvlText w:val="%3."/>
      <w:lvlJc w:val="right"/>
      <w:pPr>
        <w:ind w:left="2160" w:hanging="180"/>
      </w:pPr>
    </w:lvl>
    <w:lvl w:ilvl="3" w:tplc="568488E6" w:tentative="1">
      <w:start w:val="1"/>
      <w:numFmt w:val="decimal"/>
      <w:lvlText w:val="%4."/>
      <w:lvlJc w:val="left"/>
      <w:pPr>
        <w:ind w:left="2880" w:hanging="360"/>
      </w:pPr>
    </w:lvl>
    <w:lvl w:ilvl="4" w:tplc="46C2DC6C" w:tentative="1">
      <w:start w:val="1"/>
      <w:numFmt w:val="lowerLetter"/>
      <w:lvlText w:val="%5."/>
      <w:lvlJc w:val="left"/>
      <w:pPr>
        <w:ind w:left="3600" w:hanging="360"/>
      </w:pPr>
    </w:lvl>
    <w:lvl w:ilvl="5" w:tplc="94EA578A" w:tentative="1">
      <w:start w:val="1"/>
      <w:numFmt w:val="lowerRoman"/>
      <w:lvlText w:val="%6."/>
      <w:lvlJc w:val="right"/>
      <w:pPr>
        <w:ind w:left="4320" w:hanging="180"/>
      </w:pPr>
    </w:lvl>
    <w:lvl w:ilvl="6" w:tplc="BB66C252" w:tentative="1">
      <w:start w:val="1"/>
      <w:numFmt w:val="decimal"/>
      <w:lvlText w:val="%7."/>
      <w:lvlJc w:val="left"/>
      <w:pPr>
        <w:ind w:left="5040" w:hanging="360"/>
      </w:pPr>
    </w:lvl>
    <w:lvl w:ilvl="7" w:tplc="7CA8974E" w:tentative="1">
      <w:start w:val="1"/>
      <w:numFmt w:val="lowerLetter"/>
      <w:lvlText w:val="%8."/>
      <w:lvlJc w:val="left"/>
      <w:pPr>
        <w:ind w:left="5760" w:hanging="360"/>
      </w:pPr>
    </w:lvl>
    <w:lvl w:ilvl="8" w:tplc="F1585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7C84"/>
    <w:multiLevelType w:val="hybridMultilevel"/>
    <w:tmpl w:val="E5FA4FF6"/>
    <w:lvl w:ilvl="0" w:tplc="0D586ED6">
      <w:start w:val="1"/>
      <w:numFmt w:val="decimal"/>
      <w:pStyle w:val="JK3"/>
      <w:lvlText w:val="1.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A3167"/>
    <w:multiLevelType w:val="hybridMultilevel"/>
    <w:tmpl w:val="74A201DA"/>
    <w:lvl w:ilvl="0" w:tplc="C1DA3BE4">
      <w:start w:val="1"/>
      <w:numFmt w:val="lowerLetter"/>
      <w:pStyle w:val="Podmnky"/>
      <w:lvlText w:val="%1)"/>
      <w:lvlJc w:val="left"/>
      <w:pPr>
        <w:ind w:left="360" w:hanging="360"/>
      </w:pPr>
    </w:lvl>
    <w:lvl w:ilvl="1" w:tplc="ECE00702" w:tentative="1">
      <w:start w:val="1"/>
      <w:numFmt w:val="lowerLetter"/>
      <w:lvlText w:val="%2."/>
      <w:lvlJc w:val="left"/>
      <w:pPr>
        <w:ind w:left="1080" w:hanging="360"/>
      </w:pPr>
    </w:lvl>
    <w:lvl w:ilvl="2" w:tplc="57F4C86C" w:tentative="1">
      <w:start w:val="1"/>
      <w:numFmt w:val="lowerRoman"/>
      <w:lvlText w:val="%3."/>
      <w:lvlJc w:val="right"/>
      <w:pPr>
        <w:ind w:left="1800" w:hanging="180"/>
      </w:pPr>
    </w:lvl>
    <w:lvl w:ilvl="3" w:tplc="4B6E3116" w:tentative="1">
      <w:start w:val="1"/>
      <w:numFmt w:val="decimal"/>
      <w:lvlText w:val="%4."/>
      <w:lvlJc w:val="left"/>
      <w:pPr>
        <w:ind w:left="2520" w:hanging="360"/>
      </w:pPr>
    </w:lvl>
    <w:lvl w:ilvl="4" w:tplc="7284D42A" w:tentative="1">
      <w:start w:val="1"/>
      <w:numFmt w:val="lowerLetter"/>
      <w:lvlText w:val="%5."/>
      <w:lvlJc w:val="left"/>
      <w:pPr>
        <w:ind w:left="3240" w:hanging="360"/>
      </w:pPr>
    </w:lvl>
    <w:lvl w:ilvl="5" w:tplc="0D00F7CA" w:tentative="1">
      <w:start w:val="1"/>
      <w:numFmt w:val="lowerRoman"/>
      <w:lvlText w:val="%6."/>
      <w:lvlJc w:val="right"/>
      <w:pPr>
        <w:ind w:left="3960" w:hanging="180"/>
      </w:pPr>
    </w:lvl>
    <w:lvl w:ilvl="6" w:tplc="B7E090C0" w:tentative="1">
      <w:start w:val="1"/>
      <w:numFmt w:val="decimal"/>
      <w:lvlText w:val="%7."/>
      <w:lvlJc w:val="left"/>
      <w:pPr>
        <w:ind w:left="4680" w:hanging="360"/>
      </w:pPr>
    </w:lvl>
    <w:lvl w:ilvl="7" w:tplc="7F16EEFA" w:tentative="1">
      <w:start w:val="1"/>
      <w:numFmt w:val="lowerLetter"/>
      <w:lvlText w:val="%8."/>
      <w:lvlJc w:val="left"/>
      <w:pPr>
        <w:ind w:left="5400" w:hanging="360"/>
      </w:pPr>
    </w:lvl>
    <w:lvl w:ilvl="8" w:tplc="A90EF5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30C90"/>
    <w:multiLevelType w:val="multilevel"/>
    <w:tmpl w:val="CBF04E28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796D9C"/>
    <w:multiLevelType w:val="hybridMultilevel"/>
    <w:tmpl w:val="82822136"/>
    <w:lvl w:ilvl="0" w:tplc="53A45522">
      <w:start w:val="1"/>
      <w:numFmt w:val="decimal"/>
      <w:pStyle w:val="Tabulka"/>
      <w:lvlText w:val="Tabulka č. %1:"/>
      <w:lvlJc w:val="left"/>
      <w:pPr>
        <w:ind w:left="644" w:hanging="36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A8A2DC" w:tentative="1">
      <w:start w:val="1"/>
      <w:numFmt w:val="lowerLetter"/>
      <w:lvlText w:val="%2."/>
      <w:lvlJc w:val="left"/>
      <w:pPr>
        <w:ind w:left="1440" w:hanging="360"/>
      </w:pPr>
    </w:lvl>
    <w:lvl w:ilvl="2" w:tplc="4A1800B6" w:tentative="1">
      <w:start w:val="1"/>
      <w:numFmt w:val="lowerRoman"/>
      <w:lvlText w:val="%3."/>
      <w:lvlJc w:val="right"/>
      <w:pPr>
        <w:ind w:left="2160" w:hanging="180"/>
      </w:pPr>
    </w:lvl>
    <w:lvl w:ilvl="3" w:tplc="81D677F4" w:tentative="1">
      <w:start w:val="1"/>
      <w:numFmt w:val="decimal"/>
      <w:lvlText w:val="%4."/>
      <w:lvlJc w:val="left"/>
      <w:pPr>
        <w:ind w:left="2880" w:hanging="360"/>
      </w:pPr>
    </w:lvl>
    <w:lvl w:ilvl="4" w:tplc="284C7162" w:tentative="1">
      <w:start w:val="1"/>
      <w:numFmt w:val="lowerLetter"/>
      <w:lvlText w:val="%5."/>
      <w:lvlJc w:val="left"/>
      <w:pPr>
        <w:ind w:left="3600" w:hanging="360"/>
      </w:pPr>
    </w:lvl>
    <w:lvl w:ilvl="5" w:tplc="1BA6EE56" w:tentative="1">
      <w:start w:val="1"/>
      <w:numFmt w:val="lowerRoman"/>
      <w:lvlText w:val="%6."/>
      <w:lvlJc w:val="right"/>
      <w:pPr>
        <w:ind w:left="4320" w:hanging="180"/>
      </w:pPr>
    </w:lvl>
    <w:lvl w:ilvl="6" w:tplc="1354E9C8" w:tentative="1">
      <w:start w:val="1"/>
      <w:numFmt w:val="decimal"/>
      <w:lvlText w:val="%7."/>
      <w:lvlJc w:val="left"/>
      <w:pPr>
        <w:ind w:left="5040" w:hanging="360"/>
      </w:pPr>
    </w:lvl>
    <w:lvl w:ilvl="7" w:tplc="4172010E" w:tentative="1">
      <w:start w:val="1"/>
      <w:numFmt w:val="lowerLetter"/>
      <w:lvlText w:val="%8."/>
      <w:lvlJc w:val="left"/>
      <w:pPr>
        <w:ind w:left="5760" w:hanging="360"/>
      </w:pPr>
    </w:lvl>
    <w:lvl w:ilvl="8" w:tplc="BC767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11EF6"/>
    <w:multiLevelType w:val="hybridMultilevel"/>
    <w:tmpl w:val="3C7CB466"/>
    <w:lvl w:ilvl="0" w:tplc="7EF28860">
      <w:start w:val="1"/>
      <w:numFmt w:val="upperLetter"/>
      <w:pStyle w:val="Nadpis2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59C7"/>
    <w:multiLevelType w:val="hybridMultilevel"/>
    <w:tmpl w:val="4E544A3C"/>
    <w:lvl w:ilvl="0" w:tplc="4E8254A2">
      <w:start w:val="1"/>
      <w:numFmt w:val="bullet"/>
      <w:pStyle w:val="Bul4"/>
      <w:lvlText w:val=""/>
      <w:lvlJc w:val="left"/>
      <w:pPr>
        <w:tabs>
          <w:tab w:val="num" w:pos="448"/>
        </w:tabs>
        <w:ind w:left="448" w:hanging="360"/>
      </w:pPr>
      <w:rPr>
        <w:rFonts w:ascii="Wingdings" w:hAnsi="Wingdings" w:cs="Wingdings" w:hint="default"/>
        <w:color w:val="auto"/>
      </w:rPr>
    </w:lvl>
    <w:lvl w:ilvl="1" w:tplc="1A94F770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472CCF34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cs="Wingdings" w:hint="default"/>
      </w:rPr>
    </w:lvl>
    <w:lvl w:ilvl="3" w:tplc="85301D8E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cs="Symbol" w:hint="default"/>
      </w:rPr>
    </w:lvl>
    <w:lvl w:ilvl="4" w:tplc="15BC2276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67049320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cs="Wingdings" w:hint="default"/>
      </w:rPr>
    </w:lvl>
    <w:lvl w:ilvl="6" w:tplc="A5960BD6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cs="Symbol" w:hint="default"/>
      </w:rPr>
    </w:lvl>
    <w:lvl w:ilvl="7" w:tplc="4E14E2CC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553C47AA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5D43B0"/>
    <w:multiLevelType w:val="hybridMultilevel"/>
    <w:tmpl w:val="1786E50C"/>
    <w:lvl w:ilvl="0" w:tplc="C1DCC838">
      <w:start w:val="1"/>
      <w:numFmt w:val="decimal"/>
      <w:pStyle w:val="tabulka0"/>
      <w:lvlText w:val="Tabulka č. %1: "/>
      <w:lvlJc w:val="left"/>
      <w:pPr>
        <w:ind w:left="2880" w:hanging="360"/>
      </w:pPr>
      <w:rPr>
        <w:rFonts w:hint="default"/>
      </w:rPr>
    </w:lvl>
    <w:lvl w:ilvl="1" w:tplc="95543E0A" w:tentative="1">
      <w:start w:val="1"/>
      <w:numFmt w:val="lowerLetter"/>
      <w:lvlText w:val="%2."/>
      <w:lvlJc w:val="left"/>
      <w:pPr>
        <w:ind w:left="3600" w:hanging="360"/>
      </w:pPr>
    </w:lvl>
    <w:lvl w:ilvl="2" w:tplc="9946A77C" w:tentative="1">
      <w:start w:val="1"/>
      <w:numFmt w:val="lowerRoman"/>
      <w:lvlText w:val="%3."/>
      <w:lvlJc w:val="right"/>
      <w:pPr>
        <w:ind w:left="4320" w:hanging="180"/>
      </w:pPr>
    </w:lvl>
    <w:lvl w:ilvl="3" w:tplc="E062AD56" w:tentative="1">
      <w:start w:val="1"/>
      <w:numFmt w:val="decimal"/>
      <w:lvlText w:val="%4."/>
      <w:lvlJc w:val="left"/>
      <w:pPr>
        <w:ind w:left="5040" w:hanging="360"/>
      </w:pPr>
    </w:lvl>
    <w:lvl w:ilvl="4" w:tplc="4E30FE50" w:tentative="1">
      <w:start w:val="1"/>
      <w:numFmt w:val="lowerLetter"/>
      <w:lvlText w:val="%5."/>
      <w:lvlJc w:val="left"/>
      <w:pPr>
        <w:ind w:left="5760" w:hanging="360"/>
      </w:pPr>
    </w:lvl>
    <w:lvl w:ilvl="5" w:tplc="07743B02" w:tentative="1">
      <w:start w:val="1"/>
      <w:numFmt w:val="lowerRoman"/>
      <w:lvlText w:val="%6."/>
      <w:lvlJc w:val="right"/>
      <w:pPr>
        <w:ind w:left="6480" w:hanging="180"/>
      </w:pPr>
    </w:lvl>
    <w:lvl w:ilvl="6" w:tplc="2D58E8F8" w:tentative="1">
      <w:start w:val="1"/>
      <w:numFmt w:val="decimal"/>
      <w:lvlText w:val="%7."/>
      <w:lvlJc w:val="left"/>
      <w:pPr>
        <w:ind w:left="7200" w:hanging="360"/>
      </w:pPr>
    </w:lvl>
    <w:lvl w:ilvl="7" w:tplc="14984DB4" w:tentative="1">
      <w:start w:val="1"/>
      <w:numFmt w:val="lowerLetter"/>
      <w:lvlText w:val="%8."/>
      <w:lvlJc w:val="left"/>
      <w:pPr>
        <w:ind w:left="7920" w:hanging="360"/>
      </w:pPr>
    </w:lvl>
    <w:lvl w:ilvl="8" w:tplc="8A4AA57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27141E3"/>
    <w:multiLevelType w:val="hybridMultilevel"/>
    <w:tmpl w:val="3A66E760"/>
    <w:lvl w:ilvl="0" w:tplc="3F38AC10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2769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CD7E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E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7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CD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01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2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4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36EA7"/>
    <w:multiLevelType w:val="multilevel"/>
    <w:tmpl w:val="D1229F6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74107EB"/>
    <w:multiLevelType w:val="hybridMultilevel"/>
    <w:tmpl w:val="CD6E9468"/>
    <w:lvl w:ilvl="0" w:tplc="0D26A79C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AE103D26">
      <w:start w:val="1"/>
      <w:numFmt w:val="lowerLetter"/>
      <w:lvlText w:val="%2."/>
      <w:lvlJc w:val="left"/>
      <w:pPr>
        <w:ind w:left="9161" w:hanging="360"/>
      </w:pPr>
    </w:lvl>
    <w:lvl w:ilvl="2" w:tplc="31DAE6AC">
      <w:start w:val="1"/>
      <w:numFmt w:val="lowerRoman"/>
      <w:lvlText w:val="%3."/>
      <w:lvlJc w:val="right"/>
      <w:pPr>
        <w:ind w:left="9881" w:hanging="180"/>
      </w:pPr>
    </w:lvl>
    <w:lvl w:ilvl="3" w:tplc="16644842">
      <w:start w:val="1"/>
      <w:numFmt w:val="decimal"/>
      <w:lvlText w:val="%4."/>
      <w:lvlJc w:val="left"/>
      <w:pPr>
        <w:ind w:left="10601" w:hanging="360"/>
      </w:pPr>
    </w:lvl>
    <w:lvl w:ilvl="4" w:tplc="999A0DB6">
      <w:start w:val="1"/>
      <w:numFmt w:val="lowerLetter"/>
      <w:lvlText w:val="%5."/>
      <w:lvlJc w:val="left"/>
      <w:pPr>
        <w:ind w:left="11321" w:hanging="360"/>
      </w:pPr>
    </w:lvl>
    <w:lvl w:ilvl="5" w:tplc="3DDA5ABC">
      <w:start w:val="1"/>
      <w:numFmt w:val="lowerRoman"/>
      <w:lvlText w:val="%6."/>
      <w:lvlJc w:val="right"/>
      <w:pPr>
        <w:ind w:left="12041" w:hanging="180"/>
      </w:pPr>
    </w:lvl>
    <w:lvl w:ilvl="6" w:tplc="70B8E746">
      <w:start w:val="1"/>
      <w:numFmt w:val="decimal"/>
      <w:lvlText w:val="%7."/>
      <w:lvlJc w:val="left"/>
      <w:pPr>
        <w:ind w:left="12761" w:hanging="360"/>
      </w:pPr>
    </w:lvl>
    <w:lvl w:ilvl="7" w:tplc="0B6A23B4">
      <w:start w:val="1"/>
      <w:numFmt w:val="lowerLetter"/>
      <w:lvlText w:val="%8."/>
      <w:lvlJc w:val="left"/>
      <w:pPr>
        <w:ind w:left="13481" w:hanging="360"/>
      </w:pPr>
    </w:lvl>
    <w:lvl w:ilvl="8" w:tplc="FB2C6156">
      <w:start w:val="1"/>
      <w:numFmt w:val="lowerRoman"/>
      <w:lvlText w:val="%9."/>
      <w:lvlJc w:val="right"/>
      <w:pPr>
        <w:ind w:left="14201" w:hanging="180"/>
      </w:pPr>
    </w:lvl>
  </w:abstractNum>
  <w:abstractNum w:abstractNumId="19" w15:restartNumberingAfterBreak="0">
    <w:nsid w:val="6E8E7C86"/>
    <w:multiLevelType w:val="hybridMultilevel"/>
    <w:tmpl w:val="247CED70"/>
    <w:lvl w:ilvl="0" w:tplc="C8BED28A">
      <w:start w:val="1"/>
      <w:numFmt w:val="lowerLetter"/>
      <w:pStyle w:val="Normlnslovna"/>
      <w:lvlText w:val="%1)"/>
      <w:lvlJc w:val="left"/>
      <w:pPr>
        <w:tabs>
          <w:tab w:val="num" w:pos="340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1" w:tplc="A5CE82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FC0C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AAF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446E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5E4C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521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6491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20C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72738E"/>
    <w:multiLevelType w:val="hybridMultilevel"/>
    <w:tmpl w:val="095A1C06"/>
    <w:lvl w:ilvl="0" w:tplc="2884AFE2">
      <w:start w:val="1"/>
      <w:numFmt w:val="decimal"/>
      <w:pStyle w:val="Bodydosti"/>
      <w:lvlText w:val="Bod č. %1 žádosti"/>
      <w:lvlJc w:val="left"/>
      <w:pPr>
        <w:ind w:left="720" w:hanging="360"/>
      </w:pPr>
      <w:rPr>
        <w:rFonts w:ascii="Segoe UI" w:hAnsi="Segoe UI" w:hint="default"/>
        <w:b/>
        <w:i w:val="0"/>
        <w:u w:val="single"/>
      </w:rPr>
    </w:lvl>
    <w:lvl w:ilvl="1" w:tplc="21B69FCE" w:tentative="1">
      <w:start w:val="1"/>
      <w:numFmt w:val="lowerLetter"/>
      <w:lvlText w:val="%2."/>
      <w:lvlJc w:val="left"/>
      <w:pPr>
        <w:ind w:left="1440" w:hanging="360"/>
      </w:pPr>
    </w:lvl>
    <w:lvl w:ilvl="2" w:tplc="311AFEE0" w:tentative="1">
      <w:start w:val="1"/>
      <w:numFmt w:val="lowerRoman"/>
      <w:lvlText w:val="%3."/>
      <w:lvlJc w:val="right"/>
      <w:pPr>
        <w:ind w:left="2160" w:hanging="180"/>
      </w:pPr>
    </w:lvl>
    <w:lvl w:ilvl="3" w:tplc="998E47C8" w:tentative="1">
      <w:start w:val="1"/>
      <w:numFmt w:val="decimal"/>
      <w:lvlText w:val="%4."/>
      <w:lvlJc w:val="left"/>
      <w:pPr>
        <w:ind w:left="2880" w:hanging="360"/>
      </w:pPr>
    </w:lvl>
    <w:lvl w:ilvl="4" w:tplc="25B27AE8" w:tentative="1">
      <w:start w:val="1"/>
      <w:numFmt w:val="lowerLetter"/>
      <w:lvlText w:val="%5."/>
      <w:lvlJc w:val="left"/>
      <w:pPr>
        <w:ind w:left="3600" w:hanging="360"/>
      </w:pPr>
    </w:lvl>
    <w:lvl w:ilvl="5" w:tplc="A1827814" w:tentative="1">
      <w:start w:val="1"/>
      <w:numFmt w:val="lowerRoman"/>
      <w:lvlText w:val="%6."/>
      <w:lvlJc w:val="right"/>
      <w:pPr>
        <w:ind w:left="4320" w:hanging="180"/>
      </w:pPr>
    </w:lvl>
    <w:lvl w:ilvl="6" w:tplc="FDFC4C00" w:tentative="1">
      <w:start w:val="1"/>
      <w:numFmt w:val="decimal"/>
      <w:lvlText w:val="%7."/>
      <w:lvlJc w:val="left"/>
      <w:pPr>
        <w:ind w:left="5040" w:hanging="360"/>
      </w:pPr>
    </w:lvl>
    <w:lvl w:ilvl="7" w:tplc="31EC8058" w:tentative="1">
      <w:start w:val="1"/>
      <w:numFmt w:val="lowerLetter"/>
      <w:lvlText w:val="%8."/>
      <w:lvlJc w:val="left"/>
      <w:pPr>
        <w:ind w:left="5760" w:hanging="360"/>
      </w:pPr>
    </w:lvl>
    <w:lvl w:ilvl="8" w:tplc="38440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02"/>
    <w:multiLevelType w:val="hybridMultilevel"/>
    <w:tmpl w:val="528C2F2C"/>
    <w:lvl w:ilvl="0" w:tplc="4276F43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43D12"/>
    <w:multiLevelType w:val="multilevel"/>
    <w:tmpl w:val="D24AEB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9E92F29"/>
    <w:multiLevelType w:val="hybridMultilevel"/>
    <w:tmpl w:val="A7A85A9A"/>
    <w:lvl w:ilvl="0" w:tplc="FC0E5492">
      <w:start w:val="1"/>
      <w:numFmt w:val="lowerLetter"/>
      <w:pStyle w:val="Styl1-a"/>
      <w:lvlText w:val="%1)"/>
      <w:lvlJc w:val="left"/>
      <w:pPr>
        <w:ind w:left="720" w:hanging="360"/>
      </w:pPr>
      <w:rPr>
        <w:b w:val="0"/>
      </w:rPr>
    </w:lvl>
    <w:lvl w:ilvl="1" w:tplc="E20CAAB2" w:tentative="1">
      <w:start w:val="1"/>
      <w:numFmt w:val="lowerLetter"/>
      <w:lvlText w:val="%2."/>
      <w:lvlJc w:val="left"/>
      <w:pPr>
        <w:ind w:left="1440" w:hanging="360"/>
      </w:pPr>
    </w:lvl>
    <w:lvl w:ilvl="2" w:tplc="E0940A9C" w:tentative="1">
      <w:start w:val="1"/>
      <w:numFmt w:val="lowerRoman"/>
      <w:lvlText w:val="%3."/>
      <w:lvlJc w:val="right"/>
      <w:pPr>
        <w:ind w:left="2160" w:hanging="180"/>
      </w:pPr>
    </w:lvl>
    <w:lvl w:ilvl="3" w:tplc="763EA8E2" w:tentative="1">
      <w:start w:val="1"/>
      <w:numFmt w:val="decimal"/>
      <w:lvlText w:val="%4."/>
      <w:lvlJc w:val="left"/>
      <w:pPr>
        <w:ind w:left="2880" w:hanging="360"/>
      </w:pPr>
    </w:lvl>
    <w:lvl w:ilvl="4" w:tplc="80CA3FBA" w:tentative="1">
      <w:start w:val="1"/>
      <w:numFmt w:val="lowerLetter"/>
      <w:lvlText w:val="%5."/>
      <w:lvlJc w:val="left"/>
      <w:pPr>
        <w:ind w:left="3600" w:hanging="360"/>
      </w:pPr>
    </w:lvl>
    <w:lvl w:ilvl="5" w:tplc="4FF85C74" w:tentative="1">
      <w:start w:val="1"/>
      <w:numFmt w:val="lowerRoman"/>
      <w:lvlText w:val="%6."/>
      <w:lvlJc w:val="right"/>
      <w:pPr>
        <w:ind w:left="4320" w:hanging="180"/>
      </w:pPr>
    </w:lvl>
    <w:lvl w:ilvl="6" w:tplc="396C37C0" w:tentative="1">
      <w:start w:val="1"/>
      <w:numFmt w:val="decimal"/>
      <w:lvlText w:val="%7."/>
      <w:lvlJc w:val="left"/>
      <w:pPr>
        <w:ind w:left="5040" w:hanging="360"/>
      </w:pPr>
    </w:lvl>
    <w:lvl w:ilvl="7" w:tplc="3822FE6E" w:tentative="1">
      <w:start w:val="1"/>
      <w:numFmt w:val="lowerLetter"/>
      <w:lvlText w:val="%8."/>
      <w:lvlJc w:val="left"/>
      <w:pPr>
        <w:ind w:left="5760" w:hanging="360"/>
      </w:pPr>
    </w:lvl>
    <w:lvl w:ilvl="8" w:tplc="7BC4A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329B6"/>
    <w:multiLevelType w:val="hybridMultilevel"/>
    <w:tmpl w:val="97AA025E"/>
    <w:lvl w:ilvl="0" w:tplc="1CAC4014">
      <w:start w:val="1"/>
      <w:numFmt w:val="decimal"/>
      <w:pStyle w:val="Nzevtabulka"/>
      <w:lvlText w:val="Tabulka č. %1:"/>
      <w:lvlJc w:val="left"/>
      <w:pPr>
        <w:ind w:left="1353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82D0B4">
      <w:start w:val="1"/>
      <w:numFmt w:val="lowerLetter"/>
      <w:lvlText w:val="%2."/>
      <w:lvlJc w:val="left"/>
      <w:pPr>
        <w:ind w:left="1299" w:hanging="360"/>
      </w:pPr>
    </w:lvl>
    <w:lvl w:ilvl="2" w:tplc="45D69C24">
      <w:start w:val="1"/>
      <w:numFmt w:val="lowerRoman"/>
      <w:lvlText w:val="%3."/>
      <w:lvlJc w:val="right"/>
      <w:pPr>
        <w:ind w:left="2019" w:hanging="180"/>
      </w:pPr>
    </w:lvl>
    <w:lvl w:ilvl="3" w:tplc="9E22F270">
      <w:start w:val="1"/>
      <w:numFmt w:val="decimal"/>
      <w:lvlText w:val="%4."/>
      <w:lvlJc w:val="left"/>
      <w:pPr>
        <w:ind w:left="2739" w:hanging="360"/>
      </w:pPr>
    </w:lvl>
    <w:lvl w:ilvl="4" w:tplc="79D2EA9C">
      <w:start w:val="1"/>
      <w:numFmt w:val="lowerLetter"/>
      <w:lvlText w:val="%5."/>
      <w:lvlJc w:val="left"/>
      <w:pPr>
        <w:ind w:left="3459" w:hanging="360"/>
      </w:pPr>
    </w:lvl>
    <w:lvl w:ilvl="5" w:tplc="02F24B1E">
      <w:start w:val="1"/>
      <w:numFmt w:val="lowerRoman"/>
      <w:lvlText w:val="%6."/>
      <w:lvlJc w:val="right"/>
      <w:pPr>
        <w:ind w:left="4179" w:hanging="180"/>
      </w:pPr>
    </w:lvl>
    <w:lvl w:ilvl="6" w:tplc="2912FF90">
      <w:start w:val="1"/>
      <w:numFmt w:val="decimal"/>
      <w:lvlText w:val="%7."/>
      <w:lvlJc w:val="left"/>
      <w:pPr>
        <w:ind w:left="4899" w:hanging="360"/>
      </w:pPr>
    </w:lvl>
    <w:lvl w:ilvl="7" w:tplc="DE748CAC">
      <w:start w:val="1"/>
      <w:numFmt w:val="lowerLetter"/>
      <w:lvlText w:val="%8."/>
      <w:lvlJc w:val="left"/>
      <w:pPr>
        <w:ind w:left="5619" w:hanging="360"/>
      </w:pPr>
    </w:lvl>
    <w:lvl w:ilvl="8" w:tplc="1A8E1EA6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7D086E0C"/>
    <w:multiLevelType w:val="hybridMultilevel"/>
    <w:tmpl w:val="DD72E010"/>
    <w:lvl w:ilvl="0" w:tplc="45F898C2">
      <w:start w:val="1"/>
      <w:numFmt w:val="decimal"/>
      <w:pStyle w:val="otzky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2C072A" w:tentative="1">
      <w:start w:val="1"/>
      <w:numFmt w:val="lowerLetter"/>
      <w:lvlText w:val="%2."/>
      <w:lvlJc w:val="left"/>
      <w:pPr>
        <w:ind w:left="1298" w:hanging="360"/>
      </w:pPr>
    </w:lvl>
    <w:lvl w:ilvl="2" w:tplc="4B9E742E" w:tentative="1">
      <w:start w:val="1"/>
      <w:numFmt w:val="lowerRoman"/>
      <w:lvlText w:val="%3."/>
      <w:lvlJc w:val="right"/>
      <w:pPr>
        <w:ind w:left="2018" w:hanging="180"/>
      </w:pPr>
    </w:lvl>
    <w:lvl w:ilvl="3" w:tplc="A98AC098" w:tentative="1">
      <w:start w:val="1"/>
      <w:numFmt w:val="decimal"/>
      <w:lvlText w:val="%4."/>
      <w:lvlJc w:val="left"/>
      <w:pPr>
        <w:ind w:left="2738" w:hanging="360"/>
      </w:pPr>
    </w:lvl>
    <w:lvl w:ilvl="4" w:tplc="FEF6E014" w:tentative="1">
      <w:start w:val="1"/>
      <w:numFmt w:val="lowerLetter"/>
      <w:lvlText w:val="%5."/>
      <w:lvlJc w:val="left"/>
      <w:pPr>
        <w:ind w:left="3458" w:hanging="360"/>
      </w:pPr>
    </w:lvl>
    <w:lvl w:ilvl="5" w:tplc="F6F25622" w:tentative="1">
      <w:start w:val="1"/>
      <w:numFmt w:val="lowerRoman"/>
      <w:lvlText w:val="%6."/>
      <w:lvlJc w:val="right"/>
      <w:pPr>
        <w:ind w:left="4178" w:hanging="180"/>
      </w:pPr>
    </w:lvl>
    <w:lvl w:ilvl="6" w:tplc="E06AEA4A" w:tentative="1">
      <w:start w:val="1"/>
      <w:numFmt w:val="decimal"/>
      <w:lvlText w:val="%7."/>
      <w:lvlJc w:val="left"/>
      <w:pPr>
        <w:ind w:left="4898" w:hanging="360"/>
      </w:pPr>
    </w:lvl>
    <w:lvl w:ilvl="7" w:tplc="D7D47258" w:tentative="1">
      <w:start w:val="1"/>
      <w:numFmt w:val="lowerLetter"/>
      <w:lvlText w:val="%8."/>
      <w:lvlJc w:val="left"/>
      <w:pPr>
        <w:ind w:left="5618" w:hanging="360"/>
      </w:pPr>
    </w:lvl>
    <w:lvl w:ilvl="8" w:tplc="F6C45C3E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015383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631116">
    <w:abstractNumId w:val="20"/>
  </w:num>
  <w:num w:numId="3" w16cid:durableId="936014876">
    <w:abstractNumId w:val="12"/>
  </w:num>
  <w:num w:numId="4" w16cid:durableId="660695135">
    <w:abstractNumId w:val="25"/>
  </w:num>
  <w:num w:numId="5" w16cid:durableId="370493713">
    <w:abstractNumId w:val="10"/>
  </w:num>
  <w:num w:numId="6" w16cid:durableId="805001817">
    <w:abstractNumId w:val="14"/>
  </w:num>
  <w:num w:numId="7" w16cid:durableId="1877310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1335590">
    <w:abstractNumId w:val="16"/>
  </w:num>
  <w:num w:numId="9" w16cid:durableId="313876970">
    <w:abstractNumId w:val="19"/>
  </w:num>
  <w:num w:numId="10" w16cid:durableId="1688631224">
    <w:abstractNumId w:val="17"/>
  </w:num>
  <w:num w:numId="11" w16cid:durableId="1121725208">
    <w:abstractNumId w:val="8"/>
  </w:num>
  <w:num w:numId="12" w16cid:durableId="327640559">
    <w:abstractNumId w:val="15"/>
  </w:num>
  <w:num w:numId="13" w16cid:durableId="78060015">
    <w:abstractNumId w:val="3"/>
  </w:num>
  <w:num w:numId="14" w16cid:durableId="30155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4849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8182835">
    <w:abstractNumId w:val="23"/>
  </w:num>
  <w:num w:numId="17" w16cid:durableId="1043022794">
    <w:abstractNumId w:val="11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193075777">
    <w:abstractNumId w:val="11"/>
  </w:num>
  <w:num w:numId="19" w16cid:durableId="1492022357">
    <w:abstractNumId w:val="9"/>
  </w:num>
  <w:num w:numId="20" w16cid:durableId="1524242089">
    <w:abstractNumId w:val="6"/>
  </w:num>
  <w:num w:numId="21" w16cid:durableId="1441413737">
    <w:abstractNumId w:val="2"/>
  </w:num>
  <w:num w:numId="22" w16cid:durableId="89160846">
    <w:abstractNumId w:val="1"/>
  </w:num>
  <w:num w:numId="23" w16cid:durableId="971523407">
    <w:abstractNumId w:val="0"/>
  </w:num>
  <w:num w:numId="24" w16cid:durableId="1768186828">
    <w:abstractNumId w:val="13"/>
  </w:num>
  <w:num w:numId="25" w16cid:durableId="293947640">
    <w:abstractNumId w:val="5"/>
  </w:num>
  <w:num w:numId="26" w16cid:durableId="632294903">
    <w:abstractNumId w:val="22"/>
  </w:num>
  <w:num w:numId="27" w16cid:durableId="100382204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1"/>
    <w:rsid w:val="0000077A"/>
    <w:rsid w:val="00000908"/>
    <w:rsid w:val="00000925"/>
    <w:rsid w:val="00000C1A"/>
    <w:rsid w:val="00002941"/>
    <w:rsid w:val="00002CD6"/>
    <w:rsid w:val="00002D30"/>
    <w:rsid w:val="00002E3F"/>
    <w:rsid w:val="00003557"/>
    <w:rsid w:val="00003626"/>
    <w:rsid w:val="0000404A"/>
    <w:rsid w:val="000043BD"/>
    <w:rsid w:val="00004505"/>
    <w:rsid w:val="00004BBD"/>
    <w:rsid w:val="00004ED2"/>
    <w:rsid w:val="00005E0C"/>
    <w:rsid w:val="00006358"/>
    <w:rsid w:val="00006983"/>
    <w:rsid w:val="00006CAB"/>
    <w:rsid w:val="00006CDD"/>
    <w:rsid w:val="0000700A"/>
    <w:rsid w:val="000070D1"/>
    <w:rsid w:val="000074AD"/>
    <w:rsid w:val="00007882"/>
    <w:rsid w:val="00010127"/>
    <w:rsid w:val="000107D4"/>
    <w:rsid w:val="00010A5B"/>
    <w:rsid w:val="000115CF"/>
    <w:rsid w:val="0001198F"/>
    <w:rsid w:val="00011D9D"/>
    <w:rsid w:val="00012276"/>
    <w:rsid w:val="00012A14"/>
    <w:rsid w:val="00012BFF"/>
    <w:rsid w:val="00012DF4"/>
    <w:rsid w:val="00013007"/>
    <w:rsid w:val="000133A8"/>
    <w:rsid w:val="00013954"/>
    <w:rsid w:val="00014610"/>
    <w:rsid w:val="0001484C"/>
    <w:rsid w:val="0001498E"/>
    <w:rsid w:val="000158E8"/>
    <w:rsid w:val="00015C39"/>
    <w:rsid w:val="00015DFD"/>
    <w:rsid w:val="00016152"/>
    <w:rsid w:val="000161FE"/>
    <w:rsid w:val="0001640D"/>
    <w:rsid w:val="00017246"/>
    <w:rsid w:val="00017462"/>
    <w:rsid w:val="00017BE1"/>
    <w:rsid w:val="000204B5"/>
    <w:rsid w:val="00020B7D"/>
    <w:rsid w:val="0002215E"/>
    <w:rsid w:val="00022362"/>
    <w:rsid w:val="00022A70"/>
    <w:rsid w:val="00022AB7"/>
    <w:rsid w:val="00023509"/>
    <w:rsid w:val="000236EB"/>
    <w:rsid w:val="00023B72"/>
    <w:rsid w:val="00023E33"/>
    <w:rsid w:val="00023F3B"/>
    <w:rsid w:val="000240D5"/>
    <w:rsid w:val="00024864"/>
    <w:rsid w:val="00024BB5"/>
    <w:rsid w:val="00024D78"/>
    <w:rsid w:val="00025455"/>
    <w:rsid w:val="0002650F"/>
    <w:rsid w:val="00026617"/>
    <w:rsid w:val="00026A41"/>
    <w:rsid w:val="00026C18"/>
    <w:rsid w:val="00030914"/>
    <w:rsid w:val="00030B24"/>
    <w:rsid w:val="0003101F"/>
    <w:rsid w:val="00031328"/>
    <w:rsid w:val="00031376"/>
    <w:rsid w:val="00031F5F"/>
    <w:rsid w:val="00032A5B"/>
    <w:rsid w:val="00032E96"/>
    <w:rsid w:val="0003304E"/>
    <w:rsid w:val="0003348D"/>
    <w:rsid w:val="00034739"/>
    <w:rsid w:val="00034B40"/>
    <w:rsid w:val="0003500E"/>
    <w:rsid w:val="000352BB"/>
    <w:rsid w:val="000352CB"/>
    <w:rsid w:val="000352E0"/>
    <w:rsid w:val="00035997"/>
    <w:rsid w:val="00035AB0"/>
    <w:rsid w:val="00035AB5"/>
    <w:rsid w:val="00035B51"/>
    <w:rsid w:val="00036284"/>
    <w:rsid w:val="000366FF"/>
    <w:rsid w:val="0003763D"/>
    <w:rsid w:val="000378E1"/>
    <w:rsid w:val="00037FB9"/>
    <w:rsid w:val="00040A23"/>
    <w:rsid w:val="00040D36"/>
    <w:rsid w:val="00041206"/>
    <w:rsid w:val="00042230"/>
    <w:rsid w:val="00042AE6"/>
    <w:rsid w:val="000435F7"/>
    <w:rsid w:val="00043649"/>
    <w:rsid w:val="0004367C"/>
    <w:rsid w:val="00043765"/>
    <w:rsid w:val="0004418D"/>
    <w:rsid w:val="00044275"/>
    <w:rsid w:val="000445C5"/>
    <w:rsid w:val="00044FD4"/>
    <w:rsid w:val="000461CD"/>
    <w:rsid w:val="00046755"/>
    <w:rsid w:val="00047A7C"/>
    <w:rsid w:val="00047D57"/>
    <w:rsid w:val="00050006"/>
    <w:rsid w:val="000505B4"/>
    <w:rsid w:val="000524D4"/>
    <w:rsid w:val="00052E6C"/>
    <w:rsid w:val="0005356C"/>
    <w:rsid w:val="000536A1"/>
    <w:rsid w:val="00053CD3"/>
    <w:rsid w:val="000540F9"/>
    <w:rsid w:val="000542ED"/>
    <w:rsid w:val="0005526E"/>
    <w:rsid w:val="00055374"/>
    <w:rsid w:val="00055610"/>
    <w:rsid w:val="00055B16"/>
    <w:rsid w:val="00056232"/>
    <w:rsid w:val="0005643A"/>
    <w:rsid w:val="000573AB"/>
    <w:rsid w:val="00057746"/>
    <w:rsid w:val="00057DE6"/>
    <w:rsid w:val="00060006"/>
    <w:rsid w:val="00060C16"/>
    <w:rsid w:val="00061144"/>
    <w:rsid w:val="00061337"/>
    <w:rsid w:val="00061776"/>
    <w:rsid w:val="00061FDE"/>
    <w:rsid w:val="00062AAD"/>
    <w:rsid w:val="00063973"/>
    <w:rsid w:val="00063A0D"/>
    <w:rsid w:val="00063A2A"/>
    <w:rsid w:val="00063EC9"/>
    <w:rsid w:val="000643A4"/>
    <w:rsid w:val="00064C07"/>
    <w:rsid w:val="00065666"/>
    <w:rsid w:val="00065725"/>
    <w:rsid w:val="00066310"/>
    <w:rsid w:val="00067C46"/>
    <w:rsid w:val="00067C4B"/>
    <w:rsid w:val="00067D7E"/>
    <w:rsid w:val="000708DF"/>
    <w:rsid w:val="00070CFB"/>
    <w:rsid w:val="00071D32"/>
    <w:rsid w:val="00071F6C"/>
    <w:rsid w:val="0007257A"/>
    <w:rsid w:val="000725F4"/>
    <w:rsid w:val="00072B55"/>
    <w:rsid w:val="00072DF8"/>
    <w:rsid w:val="00074D3F"/>
    <w:rsid w:val="00075106"/>
    <w:rsid w:val="000756D5"/>
    <w:rsid w:val="00075785"/>
    <w:rsid w:val="0008007E"/>
    <w:rsid w:val="0008025A"/>
    <w:rsid w:val="00081A26"/>
    <w:rsid w:val="00081CC2"/>
    <w:rsid w:val="00082CD4"/>
    <w:rsid w:val="00082E2B"/>
    <w:rsid w:val="0008304E"/>
    <w:rsid w:val="0008316F"/>
    <w:rsid w:val="00084141"/>
    <w:rsid w:val="00084389"/>
    <w:rsid w:val="0008451E"/>
    <w:rsid w:val="00084641"/>
    <w:rsid w:val="000848CC"/>
    <w:rsid w:val="0008514C"/>
    <w:rsid w:val="00085862"/>
    <w:rsid w:val="00086050"/>
    <w:rsid w:val="000869E8"/>
    <w:rsid w:val="00086FAE"/>
    <w:rsid w:val="00086FBB"/>
    <w:rsid w:val="000873C2"/>
    <w:rsid w:val="00087BE1"/>
    <w:rsid w:val="00087E91"/>
    <w:rsid w:val="0009031C"/>
    <w:rsid w:val="0009054D"/>
    <w:rsid w:val="00091055"/>
    <w:rsid w:val="00092AF9"/>
    <w:rsid w:val="00093099"/>
    <w:rsid w:val="000935CE"/>
    <w:rsid w:val="000937B2"/>
    <w:rsid w:val="000938FE"/>
    <w:rsid w:val="00093A13"/>
    <w:rsid w:val="00093B88"/>
    <w:rsid w:val="000940B0"/>
    <w:rsid w:val="00094867"/>
    <w:rsid w:val="00094C7B"/>
    <w:rsid w:val="00095703"/>
    <w:rsid w:val="00095AC3"/>
    <w:rsid w:val="00095DFA"/>
    <w:rsid w:val="00095ED8"/>
    <w:rsid w:val="00096308"/>
    <w:rsid w:val="00096C5B"/>
    <w:rsid w:val="0009708E"/>
    <w:rsid w:val="0009748E"/>
    <w:rsid w:val="00097E0A"/>
    <w:rsid w:val="000A03C8"/>
    <w:rsid w:val="000A0539"/>
    <w:rsid w:val="000A14EC"/>
    <w:rsid w:val="000A2233"/>
    <w:rsid w:val="000A3372"/>
    <w:rsid w:val="000A388A"/>
    <w:rsid w:val="000A3ABC"/>
    <w:rsid w:val="000A4025"/>
    <w:rsid w:val="000A4285"/>
    <w:rsid w:val="000A4698"/>
    <w:rsid w:val="000A47DF"/>
    <w:rsid w:val="000A4CB7"/>
    <w:rsid w:val="000A5F6C"/>
    <w:rsid w:val="000A600B"/>
    <w:rsid w:val="000A74DA"/>
    <w:rsid w:val="000B0A05"/>
    <w:rsid w:val="000B0E09"/>
    <w:rsid w:val="000B11D7"/>
    <w:rsid w:val="000B1336"/>
    <w:rsid w:val="000B1A6C"/>
    <w:rsid w:val="000B1AB6"/>
    <w:rsid w:val="000B20F2"/>
    <w:rsid w:val="000B28E4"/>
    <w:rsid w:val="000B2AF2"/>
    <w:rsid w:val="000B2D7D"/>
    <w:rsid w:val="000B3218"/>
    <w:rsid w:val="000B3487"/>
    <w:rsid w:val="000B423C"/>
    <w:rsid w:val="000B4258"/>
    <w:rsid w:val="000B4A18"/>
    <w:rsid w:val="000B4AF8"/>
    <w:rsid w:val="000B5258"/>
    <w:rsid w:val="000B5753"/>
    <w:rsid w:val="000B6463"/>
    <w:rsid w:val="000B6630"/>
    <w:rsid w:val="000B70D3"/>
    <w:rsid w:val="000B7AA5"/>
    <w:rsid w:val="000B7C7D"/>
    <w:rsid w:val="000B7D7C"/>
    <w:rsid w:val="000B7DAA"/>
    <w:rsid w:val="000B7E10"/>
    <w:rsid w:val="000B7EAC"/>
    <w:rsid w:val="000C061D"/>
    <w:rsid w:val="000C0E6F"/>
    <w:rsid w:val="000C1E9A"/>
    <w:rsid w:val="000C22A8"/>
    <w:rsid w:val="000C2400"/>
    <w:rsid w:val="000C29A8"/>
    <w:rsid w:val="000C2CCF"/>
    <w:rsid w:val="000C384E"/>
    <w:rsid w:val="000C3ABD"/>
    <w:rsid w:val="000C3FEC"/>
    <w:rsid w:val="000C4033"/>
    <w:rsid w:val="000C4540"/>
    <w:rsid w:val="000C4596"/>
    <w:rsid w:val="000C4E49"/>
    <w:rsid w:val="000C53E5"/>
    <w:rsid w:val="000C54EC"/>
    <w:rsid w:val="000C5685"/>
    <w:rsid w:val="000C5E33"/>
    <w:rsid w:val="000C6E53"/>
    <w:rsid w:val="000C6F84"/>
    <w:rsid w:val="000C704F"/>
    <w:rsid w:val="000D0AC8"/>
    <w:rsid w:val="000D1063"/>
    <w:rsid w:val="000D11E0"/>
    <w:rsid w:val="000D1BAB"/>
    <w:rsid w:val="000D2A63"/>
    <w:rsid w:val="000D2BC5"/>
    <w:rsid w:val="000D2CDB"/>
    <w:rsid w:val="000D2E96"/>
    <w:rsid w:val="000D2F4B"/>
    <w:rsid w:val="000D30AA"/>
    <w:rsid w:val="000D311E"/>
    <w:rsid w:val="000D3298"/>
    <w:rsid w:val="000D363C"/>
    <w:rsid w:val="000D36E5"/>
    <w:rsid w:val="000D38F2"/>
    <w:rsid w:val="000D3EA0"/>
    <w:rsid w:val="000D3F60"/>
    <w:rsid w:val="000D4957"/>
    <w:rsid w:val="000D4DA8"/>
    <w:rsid w:val="000D556F"/>
    <w:rsid w:val="000D6067"/>
    <w:rsid w:val="000D6B02"/>
    <w:rsid w:val="000D7222"/>
    <w:rsid w:val="000D77DC"/>
    <w:rsid w:val="000D7E74"/>
    <w:rsid w:val="000D7FBC"/>
    <w:rsid w:val="000E0274"/>
    <w:rsid w:val="000E0DD9"/>
    <w:rsid w:val="000E1084"/>
    <w:rsid w:val="000E1B83"/>
    <w:rsid w:val="000E1C27"/>
    <w:rsid w:val="000E298B"/>
    <w:rsid w:val="000E314D"/>
    <w:rsid w:val="000E34E9"/>
    <w:rsid w:val="000E39DB"/>
    <w:rsid w:val="000E4F80"/>
    <w:rsid w:val="000E5229"/>
    <w:rsid w:val="000E67F2"/>
    <w:rsid w:val="000E6C73"/>
    <w:rsid w:val="000E73ED"/>
    <w:rsid w:val="000E76AA"/>
    <w:rsid w:val="000E7DE5"/>
    <w:rsid w:val="000F01E1"/>
    <w:rsid w:val="000F068E"/>
    <w:rsid w:val="000F116F"/>
    <w:rsid w:val="000F1230"/>
    <w:rsid w:val="000F1389"/>
    <w:rsid w:val="000F14AB"/>
    <w:rsid w:val="000F1703"/>
    <w:rsid w:val="000F1A36"/>
    <w:rsid w:val="000F2768"/>
    <w:rsid w:val="000F2F26"/>
    <w:rsid w:val="000F2F73"/>
    <w:rsid w:val="000F454C"/>
    <w:rsid w:val="000F4827"/>
    <w:rsid w:val="000F4BD3"/>
    <w:rsid w:val="000F4CAA"/>
    <w:rsid w:val="000F4F30"/>
    <w:rsid w:val="000F5340"/>
    <w:rsid w:val="000F5374"/>
    <w:rsid w:val="000F5F53"/>
    <w:rsid w:val="000F6134"/>
    <w:rsid w:val="000F65B3"/>
    <w:rsid w:val="00100598"/>
    <w:rsid w:val="00100C20"/>
    <w:rsid w:val="00100DDA"/>
    <w:rsid w:val="00100F92"/>
    <w:rsid w:val="0010106F"/>
    <w:rsid w:val="00101635"/>
    <w:rsid w:val="001025D2"/>
    <w:rsid w:val="0010369B"/>
    <w:rsid w:val="00103EBB"/>
    <w:rsid w:val="00104800"/>
    <w:rsid w:val="00104C61"/>
    <w:rsid w:val="001054F5"/>
    <w:rsid w:val="001057F0"/>
    <w:rsid w:val="00106547"/>
    <w:rsid w:val="001065FB"/>
    <w:rsid w:val="00106F82"/>
    <w:rsid w:val="001070D7"/>
    <w:rsid w:val="00107631"/>
    <w:rsid w:val="00107858"/>
    <w:rsid w:val="00110688"/>
    <w:rsid w:val="001107A8"/>
    <w:rsid w:val="001111A0"/>
    <w:rsid w:val="001115FD"/>
    <w:rsid w:val="0011269C"/>
    <w:rsid w:val="001128E3"/>
    <w:rsid w:val="0011333E"/>
    <w:rsid w:val="00113F11"/>
    <w:rsid w:val="00114053"/>
    <w:rsid w:val="001141F4"/>
    <w:rsid w:val="0011432F"/>
    <w:rsid w:val="00114C35"/>
    <w:rsid w:val="001150F0"/>
    <w:rsid w:val="001150FB"/>
    <w:rsid w:val="00116466"/>
    <w:rsid w:val="001166AF"/>
    <w:rsid w:val="00116832"/>
    <w:rsid w:val="00116A7A"/>
    <w:rsid w:val="00117237"/>
    <w:rsid w:val="001172FD"/>
    <w:rsid w:val="001175F8"/>
    <w:rsid w:val="00117E1A"/>
    <w:rsid w:val="00117F7F"/>
    <w:rsid w:val="0012013A"/>
    <w:rsid w:val="0012035B"/>
    <w:rsid w:val="0012080C"/>
    <w:rsid w:val="00120965"/>
    <w:rsid w:val="00120A95"/>
    <w:rsid w:val="00122335"/>
    <w:rsid w:val="001224F6"/>
    <w:rsid w:val="0012449B"/>
    <w:rsid w:val="001249B5"/>
    <w:rsid w:val="00124EE2"/>
    <w:rsid w:val="001258EB"/>
    <w:rsid w:val="00125DF0"/>
    <w:rsid w:val="0012656F"/>
    <w:rsid w:val="001269DF"/>
    <w:rsid w:val="0012703C"/>
    <w:rsid w:val="00127707"/>
    <w:rsid w:val="001277DC"/>
    <w:rsid w:val="001278F3"/>
    <w:rsid w:val="00127AC9"/>
    <w:rsid w:val="001309EB"/>
    <w:rsid w:val="00130C74"/>
    <w:rsid w:val="00130E0C"/>
    <w:rsid w:val="00130F4B"/>
    <w:rsid w:val="00131409"/>
    <w:rsid w:val="001318F0"/>
    <w:rsid w:val="0013209C"/>
    <w:rsid w:val="00132F5E"/>
    <w:rsid w:val="001335BB"/>
    <w:rsid w:val="00133A92"/>
    <w:rsid w:val="00133B2C"/>
    <w:rsid w:val="001341F7"/>
    <w:rsid w:val="00134877"/>
    <w:rsid w:val="00134D0A"/>
    <w:rsid w:val="0013603C"/>
    <w:rsid w:val="0013610F"/>
    <w:rsid w:val="001363D7"/>
    <w:rsid w:val="00136F67"/>
    <w:rsid w:val="00137436"/>
    <w:rsid w:val="001377F6"/>
    <w:rsid w:val="00140FE1"/>
    <w:rsid w:val="001410E6"/>
    <w:rsid w:val="001414C1"/>
    <w:rsid w:val="001415DA"/>
    <w:rsid w:val="001422F4"/>
    <w:rsid w:val="001427D1"/>
    <w:rsid w:val="0014296D"/>
    <w:rsid w:val="00142DF7"/>
    <w:rsid w:val="001442E9"/>
    <w:rsid w:val="0014444C"/>
    <w:rsid w:val="00144EE4"/>
    <w:rsid w:val="00145256"/>
    <w:rsid w:val="0014589E"/>
    <w:rsid w:val="00145BF9"/>
    <w:rsid w:val="0014629E"/>
    <w:rsid w:val="00147C1E"/>
    <w:rsid w:val="001504FB"/>
    <w:rsid w:val="001510FA"/>
    <w:rsid w:val="0015142B"/>
    <w:rsid w:val="00151A41"/>
    <w:rsid w:val="00151DC0"/>
    <w:rsid w:val="0015225B"/>
    <w:rsid w:val="00152359"/>
    <w:rsid w:val="00152DA0"/>
    <w:rsid w:val="00153236"/>
    <w:rsid w:val="00153487"/>
    <w:rsid w:val="00153555"/>
    <w:rsid w:val="0015443A"/>
    <w:rsid w:val="0015480C"/>
    <w:rsid w:val="00154A1C"/>
    <w:rsid w:val="00154D47"/>
    <w:rsid w:val="00154F7F"/>
    <w:rsid w:val="00155006"/>
    <w:rsid w:val="001558B4"/>
    <w:rsid w:val="001559F3"/>
    <w:rsid w:val="00155FA6"/>
    <w:rsid w:val="0015621A"/>
    <w:rsid w:val="00156E04"/>
    <w:rsid w:val="00156FAF"/>
    <w:rsid w:val="001570F6"/>
    <w:rsid w:val="00157C5F"/>
    <w:rsid w:val="001603AD"/>
    <w:rsid w:val="0016093A"/>
    <w:rsid w:val="00160A9C"/>
    <w:rsid w:val="00160EB8"/>
    <w:rsid w:val="00161685"/>
    <w:rsid w:val="001616ED"/>
    <w:rsid w:val="001617CC"/>
    <w:rsid w:val="00161E35"/>
    <w:rsid w:val="001620D9"/>
    <w:rsid w:val="00163DB8"/>
    <w:rsid w:val="00163E2E"/>
    <w:rsid w:val="00163EA0"/>
    <w:rsid w:val="00163F26"/>
    <w:rsid w:val="0016508C"/>
    <w:rsid w:val="00165274"/>
    <w:rsid w:val="00165495"/>
    <w:rsid w:val="00166D5A"/>
    <w:rsid w:val="001670EB"/>
    <w:rsid w:val="001671A5"/>
    <w:rsid w:val="001675E3"/>
    <w:rsid w:val="00167638"/>
    <w:rsid w:val="001676B5"/>
    <w:rsid w:val="001677C1"/>
    <w:rsid w:val="00167C49"/>
    <w:rsid w:val="00167DA6"/>
    <w:rsid w:val="001702F8"/>
    <w:rsid w:val="00170933"/>
    <w:rsid w:val="00170BED"/>
    <w:rsid w:val="00170C39"/>
    <w:rsid w:val="001713A2"/>
    <w:rsid w:val="00171A02"/>
    <w:rsid w:val="00171DFC"/>
    <w:rsid w:val="00171E78"/>
    <w:rsid w:val="00172277"/>
    <w:rsid w:val="00172DD9"/>
    <w:rsid w:val="00174501"/>
    <w:rsid w:val="00174779"/>
    <w:rsid w:val="0017484D"/>
    <w:rsid w:val="00174D90"/>
    <w:rsid w:val="0017522D"/>
    <w:rsid w:val="0017577A"/>
    <w:rsid w:val="00176706"/>
    <w:rsid w:val="001767CC"/>
    <w:rsid w:val="00176D8C"/>
    <w:rsid w:val="001772BC"/>
    <w:rsid w:val="001774D3"/>
    <w:rsid w:val="00177533"/>
    <w:rsid w:val="00177938"/>
    <w:rsid w:val="00177F6E"/>
    <w:rsid w:val="00180102"/>
    <w:rsid w:val="001804E7"/>
    <w:rsid w:val="0018072E"/>
    <w:rsid w:val="001807A0"/>
    <w:rsid w:val="001821AE"/>
    <w:rsid w:val="001829F9"/>
    <w:rsid w:val="00182D9D"/>
    <w:rsid w:val="00182E2F"/>
    <w:rsid w:val="00183291"/>
    <w:rsid w:val="00183FC9"/>
    <w:rsid w:val="00184A90"/>
    <w:rsid w:val="00184B75"/>
    <w:rsid w:val="00184D14"/>
    <w:rsid w:val="00184E50"/>
    <w:rsid w:val="0018657F"/>
    <w:rsid w:val="0018674B"/>
    <w:rsid w:val="00186B08"/>
    <w:rsid w:val="00187C46"/>
    <w:rsid w:val="00187CA3"/>
    <w:rsid w:val="0019017B"/>
    <w:rsid w:val="0019094F"/>
    <w:rsid w:val="00190C73"/>
    <w:rsid w:val="00190CE9"/>
    <w:rsid w:val="00191C08"/>
    <w:rsid w:val="00191F9D"/>
    <w:rsid w:val="0019338D"/>
    <w:rsid w:val="001939A5"/>
    <w:rsid w:val="00193A3C"/>
    <w:rsid w:val="00193BD6"/>
    <w:rsid w:val="00193DB5"/>
    <w:rsid w:val="00193DE6"/>
    <w:rsid w:val="001965B0"/>
    <w:rsid w:val="00196B15"/>
    <w:rsid w:val="00197209"/>
    <w:rsid w:val="00197AD1"/>
    <w:rsid w:val="00197C6F"/>
    <w:rsid w:val="001A06AE"/>
    <w:rsid w:val="001A0DA6"/>
    <w:rsid w:val="001A0EDE"/>
    <w:rsid w:val="001A1193"/>
    <w:rsid w:val="001A162A"/>
    <w:rsid w:val="001A1D48"/>
    <w:rsid w:val="001A2249"/>
    <w:rsid w:val="001A27ED"/>
    <w:rsid w:val="001A3662"/>
    <w:rsid w:val="001A3A01"/>
    <w:rsid w:val="001A3A8B"/>
    <w:rsid w:val="001A3C18"/>
    <w:rsid w:val="001A4343"/>
    <w:rsid w:val="001A483D"/>
    <w:rsid w:val="001A52AF"/>
    <w:rsid w:val="001A565D"/>
    <w:rsid w:val="001A5961"/>
    <w:rsid w:val="001A648F"/>
    <w:rsid w:val="001A66E6"/>
    <w:rsid w:val="001A6DD6"/>
    <w:rsid w:val="001A6F19"/>
    <w:rsid w:val="001A702D"/>
    <w:rsid w:val="001A71B7"/>
    <w:rsid w:val="001A7BF9"/>
    <w:rsid w:val="001A7EE4"/>
    <w:rsid w:val="001B0182"/>
    <w:rsid w:val="001B0A18"/>
    <w:rsid w:val="001B0B01"/>
    <w:rsid w:val="001B11D0"/>
    <w:rsid w:val="001B16AF"/>
    <w:rsid w:val="001B18C6"/>
    <w:rsid w:val="001B199B"/>
    <w:rsid w:val="001B1E95"/>
    <w:rsid w:val="001B216C"/>
    <w:rsid w:val="001B24CF"/>
    <w:rsid w:val="001B25A9"/>
    <w:rsid w:val="001B26A1"/>
    <w:rsid w:val="001B2F1E"/>
    <w:rsid w:val="001B32CD"/>
    <w:rsid w:val="001B32DD"/>
    <w:rsid w:val="001B3A92"/>
    <w:rsid w:val="001B42BE"/>
    <w:rsid w:val="001B4D27"/>
    <w:rsid w:val="001B5376"/>
    <w:rsid w:val="001B5C1E"/>
    <w:rsid w:val="001B631B"/>
    <w:rsid w:val="001B68DD"/>
    <w:rsid w:val="001B6948"/>
    <w:rsid w:val="001C0254"/>
    <w:rsid w:val="001C0C8D"/>
    <w:rsid w:val="001C1E20"/>
    <w:rsid w:val="001C1FE2"/>
    <w:rsid w:val="001C3137"/>
    <w:rsid w:val="001C37B5"/>
    <w:rsid w:val="001C4182"/>
    <w:rsid w:val="001C43D2"/>
    <w:rsid w:val="001C62C8"/>
    <w:rsid w:val="001C660A"/>
    <w:rsid w:val="001C67C8"/>
    <w:rsid w:val="001C6C6A"/>
    <w:rsid w:val="001C6CDF"/>
    <w:rsid w:val="001C7222"/>
    <w:rsid w:val="001C7B4B"/>
    <w:rsid w:val="001D004A"/>
    <w:rsid w:val="001D08F1"/>
    <w:rsid w:val="001D0AB7"/>
    <w:rsid w:val="001D1310"/>
    <w:rsid w:val="001D172F"/>
    <w:rsid w:val="001D1E1F"/>
    <w:rsid w:val="001D2438"/>
    <w:rsid w:val="001D2763"/>
    <w:rsid w:val="001D2D0F"/>
    <w:rsid w:val="001D2E38"/>
    <w:rsid w:val="001D2E5E"/>
    <w:rsid w:val="001D3F8E"/>
    <w:rsid w:val="001D3FAB"/>
    <w:rsid w:val="001D42E8"/>
    <w:rsid w:val="001D452B"/>
    <w:rsid w:val="001D4D85"/>
    <w:rsid w:val="001D5047"/>
    <w:rsid w:val="001D53BC"/>
    <w:rsid w:val="001D59B6"/>
    <w:rsid w:val="001D6A92"/>
    <w:rsid w:val="001D6BDF"/>
    <w:rsid w:val="001D7547"/>
    <w:rsid w:val="001E04B1"/>
    <w:rsid w:val="001E068C"/>
    <w:rsid w:val="001E17AF"/>
    <w:rsid w:val="001E1AD8"/>
    <w:rsid w:val="001E1E45"/>
    <w:rsid w:val="001E1F6B"/>
    <w:rsid w:val="001E1FE3"/>
    <w:rsid w:val="001E2307"/>
    <w:rsid w:val="001E28F0"/>
    <w:rsid w:val="001E2DA8"/>
    <w:rsid w:val="001E32DF"/>
    <w:rsid w:val="001E364F"/>
    <w:rsid w:val="001E39EF"/>
    <w:rsid w:val="001E4E96"/>
    <w:rsid w:val="001E5667"/>
    <w:rsid w:val="001E5CEE"/>
    <w:rsid w:val="001E5E59"/>
    <w:rsid w:val="001E6F02"/>
    <w:rsid w:val="001E70CC"/>
    <w:rsid w:val="001E734D"/>
    <w:rsid w:val="001E7589"/>
    <w:rsid w:val="001E75B2"/>
    <w:rsid w:val="001E7B2B"/>
    <w:rsid w:val="001E7B2D"/>
    <w:rsid w:val="001F060B"/>
    <w:rsid w:val="001F0706"/>
    <w:rsid w:val="001F084E"/>
    <w:rsid w:val="001F08F2"/>
    <w:rsid w:val="001F0A27"/>
    <w:rsid w:val="001F0A3F"/>
    <w:rsid w:val="001F12D3"/>
    <w:rsid w:val="001F1A0F"/>
    <w:rsid w:val="001F1FE7"/>
    <w:rsid w:val="001F3910"/>
    <w:rsid w:val="001F3B0C"/>
    <w:rsid w:val="001F3CF3"/>
    <w:rsid w:val="001F47CD"/>
    <w:rsid w:val="001F4B7E"/>
    <w:rsid w:val="001F4CE7"/>
    <w:rsid w:val="001F4DB8"/>
    <w:rsid w:val="001F5AF0"/>
    <w:rsid w:val="001F5E9B"/>
    <w:rsid w:val="001F62E7"/>
    <w:rsid w:val="001F65E6"/>
    <w:rsid w:val="001F6982"/>
    <w:rsid w:val="001F6B1D"/>
    <w:rsid w:val="001F6CFC"/>
    <w:rsid w:val="001F7D96"/>
    <w:rsid w:val="00200072"/>
    <w:rsid w:val="002006C9"/>
    <w:rsid w:val="00200A60"/>
    <w:rsid w:val="00200A7F"/>
    <w:rsid w:val="00200FD9"/>
    <w:rsid w:val="002019B0"/>
    <w:rsid w:val="00201B78"/>
    <w:rsid w:val="002024B0"/>
    <w:rsid w:val="0020253C"/>
    <w:rsid w:val="00202B01"/>
    <w:rsid w:val="00203005"/>
    <w:rsid w:val="0020315B"/>
    <w:rsid w:val="00203906"/>
    <w:rsid w:val="00203A2B"/>
    <w:rsid w:val="00203F13"/>
    <w:rsid w:val="00203FAF"/>
    <w:rsid w:val="00204290"/>
    <w:rsid w:val="0020481A"/>
    <w:rsid w:val="00204EE2"/>
    <w:rsid w:val="0020521F"/>
    <w:rsid w:val="00205526"/>
    <w:rsid w:val="00206D79"/>
    <w:rsid w:val="00206E22"/>
    <w:rsid w:val="002070C6"/>
    <w:rsid w:val="002071D4"/>
    <w:rsid w:val="0020763B"/>
    <w:rsid w:val="0020775A"/>
    <w:rsid w:val="002104B4"/>
    <w:rsid w:val="00210790"/>
    <w:rsid w:val="00210BB1"/>
    <w:rsid w:val="00210E7B"/>
    <w:rsid w:val="002116B3"/>
    <w:rsid w:val="00211D18"/>
    <w:rsid w:val="00212748"/>
    <w:rsid w:val="00213068"/>
    <w:rsid w:val="002130DB"/>
    <w:rsid w:val="002132DC"/>
    <w:rsid w:val="0021350F"/>
    <w:rsid w:val="00213A25"/>
    <w:rsid w:val="00213A9E"/>
    <w:rsid w:val="002145D8"/>
    <w:rsid w:val="002148BE"/>
    <w:rsid w:val="00214AA9"/>
    <w:rsid w:val="002164E1"/>
    <w:rsid w:val="00216CC2"/>
    <w:rsid w:val="00216D60"/>
    <w:rsid w:val="00217A6D"/>
    <w:rsid w:val="002205DC"/>
    <w:rsid w:val="00220C4B"/>
    <w:rsid w:val="00220D43"/>
    <w:rsid w:val="002216F7"/>
    <w:rsid w:val="00221CE3"/>
    <w:rsid w:val="00221DC8"/>
    <w:rsid w:val="00221ED8"/>
    <w:rsid w:val="00223394"/>
    <w:rsid w:val="00223C27"/>
    <w:rsid w:val="00224259"/>
    <w:rsid w:val="00224823"/>
    <w:rsid w:val="00224F50"/>
    <w:rsid w:val="00225751"/>
    <w:rsid w:val="0022591B"/>
    <w:rsid w:val="00225B62"/>
    <w:rsid w:val="002276D8"/>
    <w:rsid w:val="00227ABF"/>
    <w:rsid w:val="0023007D"/>
    <w:rsid w:val="0023024C"/>
    <w:rsid w:val="00230EE5"/>
    <w:rsid w:val="002310A0"/>
    <w:rsid w:val="00231236"/>
    <w:rsid w:val="00231EA6"/>
    <w:rsid w:val="0023242B"/>
    <w:rsid w:val="00232679"/>
    <w:rsid w:val="002326AB"/>
    <w:rsid w:val="00232D9B"/>
    <w:rsid w:val="0023362C"/>
    <w:rsid w:val="002337C9"/>
    <w:rsid w:val="002339B4"/>
    <w:rsid w:val="00233A0D"/>
    <w:rsid w:val="00233CA9"/>
    <w:rsid w:val="00234D4F"/>
    <w:rsid w:val="00234E5E"/>
    <w:rsid w:val="002352BD"/>
    <w:rsid w:val="002353B6"/>
    <w:rsid w:val="0023540D"/>
    <w:rsid w:val="00235845"/>
    <w:rsid w:val="00235989"/>
    <w:rsid w:val="00236294"/>
    <w:rsid w:val="002363D7"/>
    <w:rsid w:val="00236C7A"/>
    <w:rsid w:val="00236D77"/>
    <w:rsid w:val="00237255"/>
    <w:rsid w:val="002373D8"/>
    <w:rsid w:val="0023780A"/>
    <w:rsid w:val="00237B23"/>
    <w:rsid w:val="00240ABC"/>
    <w:rsid w:val="002417B9"/>
    <w:rsid w:val="00241958"/>
    <w:rsid w:val="00241F95"/>
    <w:rsid w:val="00242181"/>
    <w:rsid w:val="00242A7C"/>
    <w:rsid w:val="00242BAF"/>
    <w:rsid w:val="002432B8"/>
    <w:rsid w:val="002439AE"/>
    <w:rsid w:val="002442FB"/>
    <w:rsid w:val="00245085"/>
    <w:rsid w:val="002455F7"/>
    <w:rsid w:val="00245B43"/>
    <w:rsid w:val="00245D89"/>
    <w:rsid w:val="0024719C"/>
    <w:rsid w:val="00247899"/>
    <w:rsid w:val="0024794A"/>
    <w:rsid w:val="00247B3A"/>
    <w:rsid w:val="00247CA6"/>
    <w:rsid w:val="00250709"/>
    <w:rsid w:val="00250CDB"/>
    <w:rsid w:val="00250DAF"/>
    <w:rsid w:val="0025194F"/>
    <w:rsid w:val="00251BF8"/>
    <w:rsid w:val="00251CA0"/>
    <w:rsid w:val="002526DA"/>
    <w:rsid w:val="00253319"/>
    <w:rsid w:val="00253CF5"/>
    <w:rsid w:val="00254921"/>
    <w:rsid w:val="00254B0E"/>
    <w:rsid w:val="002552C0"/>
    <w:rsid w:val="00255829"/>
    <w:rsid w:val="00255987"/>
    <w:rsid w:val="00255DAF"/>
    <w:rsid w:val="00256224"/>
    <w:rsid w:val="00256769"/>
    <w:rsid w:val="002567EC"/>
    <w:rsid w:val="0025723A"/>
    <w:rsid w:val="00257944"/>
    <w:rsid w:val="00257F51"/>
    <w:rsid w:val="002604F2"/>
    <w:rsid w:val="00260888"/>
    <w:rsid w:val="00260E7D"/>
    <w:rsid w:val="00261062"/>
    <w:rsid w:val="002614B8"/>
    <w:rsid w:val="00262807"/>
    <w:rsid w:val="00262878"/>
    <w:rsid w:val="00262AE9"/>
    <w:rsid w:val="0026304E"/>
    <w:rsid w:val="002638C6"/>
    <w:rsid w:val="002642E9"/>
    <w:rsid w:val="00264BFC"/>
    <w:rsid w:val="00264FF9"/>
    <w:rsid w:val="002654AE"/>
    <w:rsid w:val="0026573A"/>
    <w:rsid w:val="00265EEF"/>
    <w:rsid w:val="00266AF0"/>
    <w:rsid w:val="00267483"/>
    <w:rsid w:val="00267904"/>
    <w:rsid w:val="002679FC"/>
    <w:rsid w:val="00270815"/>
    <w:rsid w:val="00271B0C"/>
    <w:rsid w:val="0027288D"/>
    <w:rsid w:val="002737D4"/>
    <w:rsid w:val="002744FB"/>
    <w:rsid w:val="00274772"/>
    <w:rsid w:val="00274897"/>
    <w:rsid w:val="0027496A"/>
    <w:rsid w:val="00274BE7"/>
    <w:rsid w:val="0027576F"/>
    <w:rsid w:val="00275A4C"/>
    <w:rsid w:val="00277AFE"/>
    <w:rsid w:val="00277B84"/>
    <w:rsid w:val="0028000C"/>
    <w:rsid w:val="002808F9"/>
    <w:rsid w:val="00280DEF"/>
    <w:rsid w:val="00280EA2"/>
    <w:rsid w:val="00280F1B"/>
    <w:rsid w:val="00281AC1"/>
    <w:rsid w:val="00281EA0"/>
    <w:rsid w:val="00281EAB"/>
    <w:rsid w:val="00282D35"/>
    <w:rsid w:val="002832CB"/>
    <w:rsid w:val="00283A37"/>
    <w:rsid w:val="00285A02"/>
    <w:rsid w:val="00286A0F"/>
    <w:rsid w:val="00286B42"/>
    <w:rsid w:val="00287329"/>
    <w:rsid w:val="0028771D"/>
    <w:rsid w:val="00287C7E"/>
    <w:rsid w:val="002907F5"/>
    <w:rsid w:val="0029135B"/>
    <w:rsid w:val="00291F61"/>
    <w:rsid w:val="00292525"/>
    <w:rsid w:val="002927C9"/>
    <w:rsid w:val="00292CCD"/>
    <w:rsid w:val="002939BF"/>
    <w:rsid w:val="0029404B"/>
    <w:rsid w:val="00294501"/>
    <w:rsid w:val="00294F88"/>
    <w:rsid w:val="00295027"/>
    <w:rsid w:val="00295912"/>
    <w:rsid w:val="00295C1A"/>
    <w:rsid w:val="002964C5"/>
    <w:rsid w:val="00296779"/>
    <w:rsid w:val="00296922"/>
    <w:rsid w:val="00296D21"/>
    <w:rsid w:val="00296D6A"/>
    <w:rsid w:val="00296DD6"/>
    <w:rsid w:val="002A0071"/>
    <w:rsid w:val="002A087A"/>
    <w:rsid w:val="002A0D28"/>
    <w:rsid w:val="002A1B21"/>
    <w:rsid w:val="002A1C59"/>
    <w:rsid w:val="002A219D"/>
    <w:rsid w:val="002A3A4F"/>
    <w:rsid w:val="002A4B85"/>
    <w:rsid w:val="002A52C2"/>
    <w:rsid w:val="002A5425"/>
    <w:rsid w:val="002A5450"/>
    <w:rsid w:val="002A56E5"/>
    <w:rsid w:val="002A5BDE"/>
    <w:rsid w:val="002A5D62"/>
    <w:rsid w:val="002A5DA8"/>
    <w:rsid w:val="002A68CE"/>
    <w:rsid w:val="002A68F6"/>
    <w:rsid w:val="002A6901"/>
    <w:rsid w:val="002A6AC0"/>
    <w:rsid w:val="002A6E4E"/>
    <w:rsid w:val="002A6FA6"/>
    <w:rsid w:val="002A72A9"/>
    <w:rsid w:val="002A77C3"/>
    <w:rsid w:val="002A79EA"/>
    <w:rsid w:val="002A7C7A"/>
    <w:rsid w:val="002B003A"/>
    <w:rsid w:val="002B03DF"/>
    <w:rsid w:val="002B0CC0"/>
    <w:rsid w:val="002B12A4"/>
    <w:rsid w:val="002B18FF"/>
    <w:rsid w:val="002B2037"/>
    <w:rsid w:val="002B20DB"/>
    <w:rsid w:val="002B236B"/>
    <w:rsid w:val="002B248A"/>
    <w:rsid w:val="002B28DD"/>
    <w:rsid w:val="002B29E4"/>
    <w:rsid w:val="002B2F0D"/>
    <w:rsid w:val="002B4376"/>
    <w:rsid w:val="002B52A4"/>
    <w:rsid w:val="002B5BFA"/>
    <w:rsid w:val="002B64D4"/>
    <w:rsid w:val="002B6932"/>
    <w:rsid w:val="002B752C"/>
    <w:rsid w:val="002C0040"/>
    <w:rsid w:val="002C015A"/>
    <w:rsid w:val="002C01D3"/>
    <w:rsid w:val="002C0280"/>
    <w:rsid w:val="002C0AB1"/>
    <w:rsid w:val="002C0DD1"/>
    <w:rsid w:val="002C1790"/>
    <w:rsid w:val="002C1F7E"/>
    <w:rsid w:val="002C37A4"/>
    <w:rsid w:val="002C39B0"/>
    <w:rsid w:val="002C3ED0"/>
    <w:rsid w:val="002C49C8"/>
    <w:rsid w:val="002C4BB3"/>
    <w:rsid w:val="002C5D8B"/>
    <w:rsid w:val="002C6B9F"/>
    <w:rsid w:val="002C6E97"/>
    <w:rsid w:val="002C7303"/>
    <w:rsid w:val="002C77C2"/>
    <w:rsid w:val="002C7AE0"/>
    <w:rsid w:val="002D01E1"/>
    <w:rsid w:val="002D08FE"/>
    <w:rsid w:val="002D0F55"/>
    <w:rsid w:val="002D1258"/>
    <w:rsid w:val="002D1EB2"/>
    <w:rsid w:val="002D23B4"/>
    <w:rsid w:val="002D2E3C"/>
    <w:rsid w:val="002D33FC"/>
    <w:rsid w:val="002D39A1"/>
    <w:rsid w:val="002D3BFE"/>
    <w:rsid w:val="002D3FFC"/>
    <w:rsid w:val="002D40B1"/>
    <w:rsid w:val="002D4421"/>
    <w:rsid w:val="002D48D5"/>
    <w:rsid w:val="002D4ECD"/>
    <w:rsid w:val="002D524B"/>
    <w:rsid w:val="002D54A6"/>
    <w:rsid w:val="002D560C"/>
    <w:rsid w:val="002D56FA"/>
    <w:rsid w:val="002D7A78"/>
    <w:rsid w:val="002E06D8"/>
    <w:rsid w:val="002E0AF4"/>
    <w:rsid w:val="002E11BF"/>
    <w:rsid w:val="002E1C36"/>
    <w:rsid w:val="002E1C83"/>
    <w:rsid w:val="002E1CA5"/>
    <w:rsid w:val="002E2173"/>
    <w:rsid w:val="002E21BC"/>
    <w:rsid w:val="002E2CF9"/>
    <w:rsid w:val="002E37CD"/>
    <w:rsid w:val="002E3F6A"/>
    <w:rsid w:val="002E42E8"/>
    <w:rsid w:val="002E44EC"/>
    <w:rsid w:val="002E45FB"/>
    <w:rsid w:val="002E5556"/>
    <w:rsid w:val="002E5FC4"/>
    <w:rsid w:val="002E6234"/>
    <w:rsid w:val="002E6779"/>
    <w:rsid w:val="002E691A"/>
    <w:rsid w:val="002E6C48"/>
    <w:rsid w:val="002E6FAE"/>
    <w:rsid w:val="002E75C3"/>
    <w:rsid w:val="002E76B7"/>
    <w:rsid w:val="002E7980"/>
    <w:rsid w:val="002E7E15"/>
    <w:rsid w:val="002F0871"/>
    <w:rsid w:val="002F0D5D"/>
    <w:rsid w:val="002F1AE0"/>
    <w:rsid w:val="002F20FF"/>
    <w:rsid w:val="002F2ED0"/>
    <w:rsid w:val="002F3660"/>
    <w:rsid w:val="002F366D"/>
    <w:rsid w:val="002F3874"/>
    <w:rsid w:val="002F3B4E"/>
    <w:rsid w:val="002F4107"/>
    <w:rsid w:val="002F42A1"/>
    <w:rsid w:val="002F4B57"/>
    <w:rsid w:val="002F52FC"/>
    <w:rsid w:val="002F57A0"/>
    <w:rsid w:val="002F658A"/>
    <w:rsid w:val="002F72EF"/>
    <w:rsid w:val="002F7FA3"/>
    <w:rsid w:val="003001F8"/>
    <w:rsid w:val="003006D9"/>
    <w:rsid w:val="003006DF"/>
    <w:rsid w:val="0030088D"/>
    <w:rsid w:val="00300AFD"/>
    <w:rsid w:val="003010F8"/>
    <w:rsid w:val="00301E14"/>
    <w:rsid w:val="00301E8A"/>
    <w:rsid w:val="003025BB"/>
    <w:rsid w:val="00302D9A"/>
    <w:rsid w:val="0030347E"/>
    <w:rsid w:val="003035EC"/>
    <w:rsid w:val="00303663"/>
    <w:rsid w:val="00303804"/>
    <w:rsid w:val="00303FA2"/>
    <w:rsid w:val="00304482"/>
    <w:rsid w:val="00304830"/>
    <w:rsid w:val="0030486C"/>
    <w:rsid w:val="00306B2E"/>
    <w:rsid w:val="003072DE"/>
    <w:rsid w:val="00307A50"/>
    <w:rsid w:val="00307A5B"/>
    <w:rsid w:val="0031013F"/>
    <w:rsid w:val="00310643"/>
    <w:rsid w:val="00310882"/>
    <w:rsid w:val="00310C8D"/>
    <w:rsid w:val="00311508"/>
    <w:rsid w:val="003135EF"/>
    <w:rsid w:val="003138A3"/>
    <w:rsid w:val="003146D7"/>
    <w:rsid w:val="00314CD1"/>
    <w:rsid w:val="00315043"/>
    <w:rsid w:val="00315B1E"/>
    <w:rsid w:val="00316B27"/>
    <w:rsid w:val="00317028"/>
    <w:rsid w:val="003173E4"/>
    <w:rsid w:val="003175F2"/>
    <w:rsid w:val="0031763B"/>
    <w:rsid w:val="0031764F"/>
    <w:rsid w:val="003200D1"/>
    <w:rsid w:val="0032071C"/>
    <w:rsid w:val="00320DB5"/>
    <w:rsid w:val="00321925"/>
    <w:rsid w:val="00321AB1"/>
    <w:rsid w:val="00321D0E"/>
    <w:rsid w:val="00321DC7"/>
    <w:rsid w:val="00322585"/>
    <w:rsid w:val="003228C8"/>
    <w:rsid w:val="00323866"/>
    <w:rsid w:val="00323903"/>
    <w:rsid w:val="00323F3B"/>
    <w:rsid w:val="003240EF"/>
    <w:rsid w:val="00325290"/>
    <w:rsid w:val="00325915"/>
    <w:rsid w:val="00325AAD"/>
    <w:rsid w:val="00326ED4"/>
    <w:rsid w:val="003274E3"/>
    <w:rsid w:val="00327C01"/>
    <w:rsid w:val="00327F27"/>
    <w:rsid w:val="00330B63"/>
    <w:rsid w:val="00330C2C"/>
    <w:rsid w:val="00330C5D"/>
    <w:rsid w:val="00330C64"/>
    <w:rsid w:val="0033116A"/>
    <w:rsid w:val="003316D5"/>
    <w:rsid w:val="00331995"/>
    <w:rsid w:val="003323C3"/>
    <w:rsid w:val="00333426"/>
    <w:rsid w:val="00333B0A"/>
    <w:rsid w:val="0033439A"/>
    <w:rsid w:val="0033482E"/>
    <w:rsid w:val="003350AE"/>
    <w:rsid w:val="00335CBF"/>
    <w:rsid w:val="00336696"/>
    <w:rsid w:val="0033681A"/>
    <w:rsid w:val="003368CE"/>
    <w:rsid w:val="00336AEC"/>
    <w:rsid w:val="00337440"/>
    <w:rsid w:val="003377DA"/>
    <w:rsid w:val="0034014D"/>
    <w:rsid w:val="00340189"/>
    <w:rsid w:val="00340E91"/>
    <w:rsid w:val="003416FB"/>
    <w:rsid w:val="003419D0"/>
    <w:rsid w:val="00341A6E"/>
    <w:rsid w:val="00341F7B"/>
    <w:rsid w:val="0034249E"/>
    <w:rsid w:val="00342A3F"/>
    <w:rsid w:val="003444C1"/>
    <w:rsid w:val="00344505"/>
    <w:rsid w:val="00344A56"/>
    <w:rsid w:val="00344A75"/>
    <w:rsid w:val="00344B76"/>
    <w:rsid w:val="00344BC7"/>
    <w:rsid w:val="00344EE8"/>
    <w:rsid w:val="00345AB1"/>
    <w:rsid w:val="003474F7"/>
    <w:rsid w:val="003507F4"/>
    <w:rsid w:val="00350A3F"/>
    <w:rsid w:val="00351614"/>
    <w:rsid w:val="00351B3C"/>
    <w:rsid w:val="00351C2B"/>
    <w:rsid w:val="00354362"/>
    <w:rsid w:val="003546EC"/>
    <w:rsid w:val="00354841"/>
    <w:rsid w:val="00354DFE"/>
    <w:rsid w:val="00355280"/>
    <w:rsid w:val="0035548B"/>
    <w:rsid w:val="003555D4"/>
    <w:rsid w:val="00355C10"/>
    <w:rsid w:val="00356018"/>
    <w:rsid w:val="0035642C"/>
    <w:rsid w:val="00356643"/>
    <w:rsid w:val="0035706A"/>
    <w:rsid w:val="00357C5D"/>
    <w:rsid w:val="00357DF3"/>
    <w:rsid w:val="00357FEA"/>
    <w:rsid w:val="00360AAD"/>
    <w:rsid w:val="00360EFD"/>
    <w:rsid w:val="00361293"/>
    <w:rsid w:val="00361418"/>
    <w:rsid w:val="00361CCD"/>
    <w:rsid w:val="003623C2"/>
    <w:rsid w:val="00362827"/>
    <w:rsid w:val="00362BFC"/>
    <w:rsid w:val="0036350F"/>
    <w:rsid w:val="003637BF"/>
    <w:rsid w:val="0036392A"/>
    <w:rsid w:val="0036415B"/>
    <w:rsid w:val="00364252"/>
    <w:rsid w:val="00364505"/>
    <w:rsid w:val="00364D77"/>
    <w:rsid w:val="0036503D"/>
    <w:rsid w:val="00365207"/>
    <w:rsid w:val="0036523A"/>
    <w:rsid w:val="003653B5"/>
    <w:rsid w:val="00365580"/>
    <w:rsid w:val="0036563D"/>
    <w:rsid w:val="00365FB7"/>
    <w:rsid w:val="00366A74"/>
    <w:rsid w:val="00366CEB"/>
    <w:rsid w:val="0036756F"/>
    <w:rsid w:val="0036761B"/>
    <w:rsid w:val="003678CB"/>
    <w:rsid w:val="00367BB1"/>
    <w:rsid w:val="00367D2D"/>
    <w:rsid w:val="003701DF"/>
    <w:rsid w:val="003707D1"/>
    <w:rsid w:val="00370A58"/>
    <w:rsid w:val="00370BD1"/>
    <w:rsid w:val="00371C53"/>
    <w:rsid w:val="003728EE"/>
    <w:rsid w:val="00372936"/>
    <w:rsid w:val="00373316"/>
    <w:rsid w:val="00374997"/>
    <w:rsid w:val="00374CAB"/>
    <w:rsid w:val="0037540F"/>
    <w:rsid w:val="00375786"/>
    <w:rsid w:val="00375845"/>
    <w:rsid w:val="003760B6"/>
    <w:rsid w:val="003767C8"/>
    <w:rsid w:val="00377026"/>
    <w:rsid w:val="00380369"/>
    <w:rsid w:val="00380444"/>
    <w:rsid w:val="0038056D"/>
    <w:rsid w:val="003807FB"/>
    <w:rsid w:val="00380891"/>
    <w:rsid w:val="003815AB"/>
    <w:rsid w:val="003815C8"/>
    <w:rsid w:val="0038247B"/>
    <w:rsid w:val="00382E81"/>
    <w:rsid w:val="00383106"/>
    <w:rsid w:val="00383301"/>
    <w:rsid w:val="00384231"/>
    <w:rsid w:val="00384335"/>
    <w:rsid w:val="00384805"/>
    <w:rsid w:val="00384AD7"/>
    <w:rsid w:val="00384E1D"/>
    <w:rsid w:val="00385393"/>
    <w:rsid w:val="003859A3"/>
    <w:rsid w:val="00387020"/>
    <w:rsid w:val="00387B1C"/>
    <w:rsid w:val="00387CC2"/>
    <w:rsid w:val="00387ECE"/>
    <w:rsid w:val="00390318"/>
    <w:rsid w:val="00390354"/>
    <w:rsid w:val="003905A1"/>
    <w:rsid w:val="00390FE7"/>
    <w:rsid w:val="00392728"/>
    <w:rsid w:val="00392DD1"/>
    <w:rsid w:val="00393042"/>
    <w:rsid w:val="00393096"/>
    <w:rsid w:val="003934C3"/>
    <w:rsid w:val="003936BB"/>
    <w:rsid w:val="00393A5E"/>
    <w:rsid w:val="0039408D"/>
    <w:rsid w:val="00394637"/>
    <w:rsid w:val="00394FDD"/>
    <w:rsid w:val="00394FF0"/>
    <w:rsid w:val="003951BC"/>
    <w:rsid w:val="003965F8"/>
    <w:rsid w:val="0039664C"/>
    <w:rsid w:val="00396655"/>
    <w:rsid w:val="00396A25"/>
    <w:rsid w:val="00396A8A"/>
    <w:rsid w:val="00396F28"/>
    <w:rsid w:val="00397221"/>
    <w:rsid w:val="003A031C"/>
    <w:rsid w:val="003A0C72"/>
    <w:rsid w:val="003A101A"/>
    <w:rsid w:val="003A12DD"/>
    <w:rsid w:val="003A18E5"/>
    <w:rsid w:val="003A2CF8"/>
    <w:rsid w:val="003A3D94"/>
    <w:rsid w:val="003A40B0"/>
    <w:rsid w:val="003A515D"/>
    <w:rsid w:val="003A51F6"/>
    <w:rsid w:val="003A52C4"/>
    <w:rsid w:val="003A5E55"/>
    <w:rsid w:val="003A5EE6"/>
    <w:rsid w:val="003A6E85"/>
    <w:rsid w:val="003A6F6F"/>
    <w:rsid w:val="003A715C"/>
    <w:rsid w:val="003A72CF"/>
    <w:rsid w:val="003A7CB5"/>
    <w:rsid w:val="003A7ED2"/>
    <w:rsid w:val="003A7FC9"/>
    <w:rsid w:val="003B0187"/>
    <w:rsid w:val="003B01D6"/>
    <w:rsid w:val="003B024C"/>
    <w:rsid w:val="003B09AF"/>
    <w:rsid w:val="003B0D5E"/>
    <w:rsid w:val="003B1211"/>
    <w:rsid w:val="003B14A7"/>
    <w:rsid w:val="003B169B"/>
    <w:rsid w:val="003B2495"/>
    <w:rsid w:val="003B27AC"/>
    <w:rsid w:val="003B28A4"/>
    <w:rsid w:val="003B2B94"/>
    <w:rsid w:val="003B2CFF"/>
    <w:rsid w:val="003B3118"/>
    <w:rsid w:val="003B321E"/>
    <w:rsid w:val="003B3DF4"/>
    <w:rsid w:val="003B4196"/>
    <w:rsid w:val="003B4A41"/>
    <w:rsid w:val="003B51C5"/>
    <w:rsid w:val="003B539A"/>
    <w:rsid w:val="003B66F5"/>
    <w:rsid w:val="003B6A9C"/>
    <w:rsid w:val="003B6C4B"/>
    <w:rsid w:val="003B70EB"/>
    <w:rsid w:val="003B7149"/>
    <w:rsid w:val="003B7373"/>
    <w:rsid w:val="003B78AE"/>
    <w:rsid w:val="003B79D0"/>
    <w:rsid w:val="003C0090"/>
    <w:rsid w:val="003C0152"/>
    <w:rsid w:val="003C12A2"/>
    <w:rsid w:val="003C12BB"/>
    <w:rsid w:val="003C1607"/>
    <w:rsid w:val="003C1759"/>
    <w:rsid w:val="003C1BE4"/>
    <w:rsid w:val="003C224F"/>
    <w:rsid w:val="003C23CF"/>
    <w:rsid w:val="003C34C3"/>
    <w:rsid w:val="003C4242"/>
    <w:rsid w:val="003C44BB"/>
    <w:rsid w:val="003C4B1F"/>
    <w:rsid w:val="003C51F4"/>
    <w:rsid w:val="003C54E7"/>
    <w:rsid w:val="003C5FBA"/>
    <w:rsid w:val="003C611E"/>
    <w:rsid w:val="003C6433"/>
    <w:rsid w:val="003C6BAE"/>
    <w:rsid w:val="003C6BD8"/>
    <w:rsid w:val="003C7080"/>
    <w:rsid w:val="003C73C7"/>
    <w:rsid w:val="003C7CAC"/>
    <w:rsid w:val="003C7DD1"/>
    <w:rsid w:val="003D023E"/>
    <w:rsid w:val="003D0462"/>
    <w:rsid w:val="003D12E3"/>
    <w:rsid w:val="003D13C4"/>
    <w:rsid w:val="003D1550"/>
    <w:rsid w:val="003D1C5A"/>
    <w:rsid w:val="003D261E"/>
    <w:rsid w:val="003D2E56"/>
    <w:rsid w:val="003D32C2"/>
    <w:rsid w:val="003D3D23"/>
    <w:rsid w:val="003D4077"/>
    <w:rsid w:val="003D4215"/>
    <w:rsid w:val="003D4276"/>
    <w:rsid w:val="003D4361"/>
    <w:rsid w:val="003D4515"/>
    <w:rsid w:val="003D5F4B"/>
    <w:rsid w:val="003D614E"/>
    <w:rsid w:val="003D6404"/>
    <w:rsid w:val="003E0BBB"/>
    <w:rsid w:val="003E123E"/>
    <w:rsid w:val="003E164A"/>
    <w:rsid w:val="003E19B9"/>
    <w:rsid w:val="003E1C3F"/>
    <w:rsid w:val="003E1F45"/>
    <w:rsid w:val="003E20AC"/>
    <w:rsid w:val="003E24E6"/>
    <w:rsid w:val="003E2C4C"/>
    <w:rsid w:val="003E2F8B"/>
    <w:rsid w:val="003E3107"/>
    <w:rsid w:val="003E38F7"/>
    <w:rsid w:val="003E3B5B"/>
    <w:rsid w:val="003E43BC"/>
    <w:rsid w:val="003E4666"/>
    <w:rsid w:val="003E4E5E"/>
    <w:rsid w:val="003E4FA2"/>
    <w:rsid w:val="003E5E80"/>
    <w:rsid w:val="003E690D"/>
    <w:rsid w:val="003E6FB9"/>
    <w:rsid w:val="003E72D7"/>
    <w:rsid w:val="003E7A20"/>
    <w:rsid w:val="003F01BF"/>
    <w:rsid w:val="003F081D"/>
    <w:rsid w:val="003F093D"/>
    <w:rsid w:val="003F0D58"/>
    <w:rsid w:val="003F0EDF"/>
    <w:rsid w:val="003F1132"/>
    <w:rsid w:val="003F1581"/>
    <w:rsid w:val="003F1EBB"/>
    <w:rsid w:val="003F2B0F"/>
    <w:rsid w:val="003F2C86"/>
    <w:rsid w:val="003F2D50"/>
    <w:rsid w:val="003F3BF5"/>
    <w:rsid w:val="003F45AB"/>
    <w:rsid w:val="003F47B8"/>
    <w:rsid w:val="00400208"/>
    <w:rsid w:val="0040025E"/>
    <w:rsid w:val="00400A86"/>
    <w:rsid w:val="0040102D"/>
    <w:rsid w:val="004013DB"/>
    <w:rsid w:val="004018ED"/>
    <w:rsid w:val="00401FDF"/>
    <w:rsid w:val="0040251B"/>
    <w:rsid w:val="00402C9F"/>
    <w:rsid w:val="00403498"/>
    <w:rsid w:val="00404C6C"/>
    <w:rsid w:val="00404F6E"/>
    <w:rsid w:val="004064A1"/>
    <w:rsid w:val="004072B6"/>
    <w:rsid w:val="004075A4"/>
    <w:rsid w:val="004076A6"/>
    <w:rsid w:val="00407BB2"/>
    <w:rsid w:val="00410062"/>
    <w:rsid w:val="004103E0"/>
    <w:rsid w:val="00410548"/>
    <w:rsid w:val="00410B10"/>
    <w:rsid w:val="00410B8E"/>
    <w:rsid w:val="00411852"/>
    <w:rsid w:val="00411A22"/>
    <w:rsid w:val="00411AD0"/>
    <w:rsid w:val="004120C6"/>
    <w:rsid w:val="00412568"/>
    <w:rsid w:val="0041258B"/>
    <w:rsid w:val="00412AE5"/>
    <w:rsid w:val="004130C5"/>
    <w:rsid w:val="00413C26"/>
    <w:rsid w:val="00414D85"/>
    <w:rsid w:val="004158E1"/>
    <w:rsid w:val="00415A9A"/>
    <w:rsid w:val="00415CE1"/>
    <w:rsid w:val="00415D7E"/>
    <w:rsid w:val="004162F2"/>
    <w:rsid w:val="004176E2"/>
    <w:rsid w:val="004178EE"/>
    <w:rsid w:val="00417B76"/>
    <w:rsid w:val="00420B91"/>
    <w:rsid w:val="004215DA"/>
    <w:rsid w:val="00421B7D"/>
    <w:rsid w:val="00422E1C"/>
    <w:rsid w:val="004233E5"/>
    <w:rsid w:val="004237A5"/>
    <w:rsid w:val="004240B8"/>
    <w:rsid w:val="004246B6"/>
    <w:rsid w:val="004246D0"/>
    <w:rsid w:val="00424A4E"/>
    <w:rsid w:val="00425E77"/>
    <w:rsid w:val="00426513"/>
    <w:rsid w:val="004265B3"/>
    <w:rsid w:val="004268EF"/>
    <w:rsid w:val="00426C1C"/>
    <w:rsid w:val="00427075"/>
    <w:rsid w:val="00427221"/>
    <w:rsid w:val="004272C3"/>
    <w:rsid w:val="004300D9"/>
    <w:rsid w:val="00430305"/>
    <w:rsid w:val="0043159D"/>
    <w:rsid w:val="00432E95"/>
    <w:rsid w:val="004331CC"/>
    <w:rsid w:val="00434215"/>
    <w:rsid w:val="00434B47"/>
    <w:rsid w:val="00434D9B"/>
    <w:rsid w:val="004354EF"/>
    <w:rsid w:val="00435A05"/>
    <w:rsid w:val="00435C71"/>
    <w:rsid w:val="00436487"/>
    <w:rsid w:val="0043688F"/>
    <w:rsid w:val="004400CD"/>
    <w:rsid w:val="004406C0"/>
    <w:rsid w:val="004407D9"/>
    <w:rsid w:val="00440B5F"/>
    <w:rsid w:val="00440BB5"/>
    <w:rsid w:val="00441173"/>
    <w:rsid w:val="004419E6"/>
    <w:rsid w:val="00441B1E"/>
    <w:rsid w:val="0044229D"/>
    <w:rsid w:val="004423A6"/>
    <w:rsid w:val="004424A8"/>
    <w:rsid w:val="0044259C"/>
    <w:rsid w:val="0044289E"/>
    <w:rsid w:val="00442924"/>
    <w:rsid w:val="00442B88"/>
    <w:rsid w:val="00442CC4"/>
    <w:rsid w:val="00442F25"/>
    <w:rsid w:val="00443172"/>
    <w:rsid w:val="004431C9"/>
    <w:rsid w:val="004437B7"/>
    <w:rsid w:val="00443D12"/>
    <w:rsid w:val="00443FDB"/>
    <w:rsid w:val="00444C01"/>
    <w:rsid w:val="00444E12"/>
    <w:rsid w:val="00445169"/>
    <w:rsid w:val="00445A98"/>
    <w:rsid w:val="00446255"/>
    <w:rsid w:val="004463F6"/>
    <w:rsid w:val="004464C3"/>
    <w:rsid w:val="004465B6"/>
    <w:rsid w:val="00446678"/>
    <w:rsid w:val="004466DF"/>
    <w:rsid w:val="0044678B"/>
    <w:rsid w:val="00446AF0"/>
    <w:rsid w:val="0044752E"/>
    <w:rsid w:val="0044765E"/>
    <w:rsid w:val="0045004B"/>
    <w:rsid w:val="00450717"/>
    <w:rsid w:val="00450E1B"/>
    <w:rsid w:val="00451F64"/>
    <w:rsid w:val="00451FB2"/>
    <w:rsid w:val="004520C5"/>
    <w:rsid w:val="004526DF"/>
    <w:rsid w:val="0045291B"/>
    <w:rsid w:val="0045305E"/>
    <w:rsid w:val="0045392C"/>
    <w:rsid w:val="00453A66"/>
    <w:rsid w:val="0045471A"/>
    <w:rsid w:val="004550D9"/>
    <w:rsid w:val="004559BB"/>
    <w:rsid w:val="00455E90"/>
    <w:rsid w:val="00456ADE"/>
    <w:rsid w:val="00456B90"/>
    <w:rsid w:val="00456F20"/>
    <w:rsid w:val="00457120"/>
    <w:rsid w:val="00457C6A"/>
    <w:rsid w:val="00457F5E"/>
    <w:rsid w:val="0046009D"/>
    <w:rsid w:val="00461369"/>
    <w:rsid w:val="00461554"/>
    <w:rsid w:val="0046177D"/>
    <w:rsid w:val="004620A3"/>
    <w:rsid w:val="00462331"/>
    <w:rsid w:val="004623B7"/>
    <w:rsid w:val="00462708"/>
    <w:rsid w:val="004628D9"/>
    <w:rsid w:val="00462E8A"/>
    <w:rsid w:val="00463724"/>
    <w:rsid w:val="00463793"/>
    <w:rsid w:val="00463CA3"/>
    <w:rsid w:val="00464199"/>
    <w:rsid w:val="004641D1"/>
    <w:rsid w:val="0046477E"/>
    <w:rsid w:val="004647FB"/>
    <w:rsid w:val="00465068"/>
    <w:rsid w:val="004658C6"/>
    <w:rsid w:val="00465CC0"/>
    <w:rsid w:val="004661E4"/>
    <w:rsid w:val="00466587"/>
    <w:rsid w:val="0046693E"/>
    <w:rsid w:val="0046728D"/>
    <w:rsid w:val="00467380"/>
    <w:rsid w:val="0046747F"/>
    <w:rsid w:val="00467B4A"/>
    <w:rsid w:val="004702B7"/>
    <w:rsid w:val="00470727"/>
    <w:rsid w:val="00471471"/>
    <w:rsid w:val="00471C90"/>
    <w:rsid w:val="00472E61"/>
    <w:rsid w:val="00472FF9"/>
    <w:rsid w:val="0047391D"/>
    <w:rsid w:val="00475107"/>
    <w:rsid w:val="00475940"/>
    <w:rsid w:val="00475A4C"/>
    <w:rsid w:val="00475FB3"/>
    <w:rsid w:val="004761CA"/>
    <w:rsid w:val="00476B0E"/>
    <w:rsid w:val="004770D6"/>
    <w:rsid w:val="004772FF"/>
    <w:rsid w:val="00477BE4"/>
    <w:rsid w:val="004800EA"/>
    <w:rsid w:val="0048030D"/>
    <w:rsid w:val="00480E64"/>
    <w:rsid w:val="00480F37"/>
    <w:rsid w:val="00480F94"/>
    <w:rsid w:val="004818A0"/>
    <w:rsid w:val="00481B9E"/>
    <w:rsid w:val="00481BEE"/>
    <w:rsid w:val="00481F18"/>
    <w:rsid w:val="004826DE"/>
    <w:rsid w:val="004827DF"/>
    <w:rsid w:val="00482F8B"/>
    <w:rsid w:val="004830EA"/>
    <w:rsid w:val="00483F97"/>
    <w:rsid w:val="00484209"/>
    <w:rsid w:val="00484939"/>
    <w:rsid w:val="004849F3"/>
    <w:rsid w:val="00486FCE"/>
    <w:rsid w:val="004874A0"/>
    <w:rsid w:val="0049078C"/>
    <w:rsid w:val="00490E63"/>
    <w:rsid w:val="00491738"/>
    <w:rsid w:val="00491B3E"/>
    <w:rsid w:val="00491E7F"/>
    <w:rsid w:val="00492036"/>
    <w:rsid w:val="004920AA"/>
    <w:rsid w:val="004922B2"/>
    <w:rsid w:val="004924C0"/>
    <w:rsid w:val="00492867"/>
    <w:rsid w:val="00492BAB"/>
    <w:rsid w:val="00494755"/>
    <w:rsid w:val="00495B72"/>
    <w:rsid w:val="00496720"/>
    <w:rsid w:val="00496AA6"/>
    <w:rsid w:val="00496C1D"/>
    <w:rsid w:val="00496D2A"/>
    <w:rsid w:val="00497118"/>
    <w:rsid w:val="004971C4"/>
    <w:rsid w:val="004A00B1"/>
    <w:rsid w:val="004A02A6"/>
    <w:rsid w:val="004A037D"/>
    <w:rsid w:val="004A08BE"/>
    <w:rsid w:val="004A0AF1"/>
    <w:rsid w:val="004A110B"/>
    <w:rsid w:val="004A1DB2"/>
    <w:rsid w:val="004A27DB"/>
    <w:rsid w:val="004A352D"/>
    <w:rsid w:val="004A3616"/>
    <w:rsid w:val="004A3B50"/>
    <w:rsid w:val="004A42CB"/>
    <w:rsid w:val="004A57EB"/>
    <w:rsid w:val="004A5AA6"/>
    <w:rsid w:val="004A67B5"/>
    <w:rsid w:val="004A73D7"/>
    <w:rsid w:val="004A7414"/>
    <w:rsid w:val="004A7ED2"/>
    <w:rsid w:val="004B00CD"/>
    <w:rsid w:val="004B1906"/>
    <w:rsid w:val="004B1960"/>
    <w:rsid w:val="004B1BC8"/>
    <w:rsid w:val="004B23AC"/>
    <w:rsid w:val="004B3111"/>
    <w:rsid w:val="004B3C20"/>
    <w:rsid w:val="004B449F"/>
    <w:rsid w:val="004B4554"/>
    <w:rsid w:val="004B45C7"/>
    <w:rsid w:val="004B4A34"/>
    <w:rsid w:val="004B4CFF"/>
    <w:rsid w:val="004B515F"/>
    <w:rsid w:val="004B5DA1"/>
    <w:rsid w:val="004B635D"/>
    <w:rsid w:val="004B65B9"/>
    <w:rsid w:val="004B6F09"/>
    <w:rsid w:val="004B73FB"/>
    <w:rsid w:val="004B75F4"/>
    <w:rsid w:val="004B7A58"/>
    <w:rsid w:val="004C0691"/>
    <w:rsid w:val="004C08A9"/>
    <w:rsid w:val="004C0B58"/>
    <w:rsid w:val="004C140F"/>
    <w:rsid w:val="004C1666"/>
    <w:rsid w:val="004C1887"/>
    <w:rsid w:val="004C2313"/>
    <w:rsid w:val="004C2F41"/>
    <w:rsid w:val="004C3B8B"/>
    <w:rsid w:val="004C3F08"/>
    <w:rsid w:val="004C55EE"/>
    <w:rsid w:val="004C5643"/>
    <w:rsid w:val="004C5C90"/>
    <w:rsid w:val="004C5F9C"/>
    <w:rsid w:val="004C6754"/>
    <w:rsid w:val="004C6A2B"/>
    <w:rsid w:val="004C6A98"/>
    <w:rsid w:val="004C70BB"/>
    <w:rsid w:val="004C7446"/>
    <w:rsid w:val="004C7623"/>
    <w:rsid w:val="004C7B76"/>
    <w:rsid w:val="004C7C1C"/>
    <w:rsid w:val="004C7F99"/>
    <w:rsid w:val="004D06DB"/>
    <w:rsid w:val="004D08CB"/>
    <w:rsid w:val="004D09BF"/>
    <w:rsid w:val="004D19EB"/>
    <w:rsid w:val="004D247E"/>
    <w:rsid w:val="004D27F5"/>
    <w:rsid w:val="004D31EE"/>
    <w:rsid w:val="004D3348"/>
    <w:rsid w:val="004D342C"/>
    <w:rsid w:val="004D3831"/>
    <w:rsid w:val="004D3C90"/>
    <w:rsid w:val="004D4207"/>
    <w:rsid w:val="004D4276"/>
    <w:rsid w:val="004D4416"/>
    <w:rsid w:val="004D691C"/>
    <w:rsid w:val="004D6CE5"/>
    <w:rsid w:val="004D7615"/>
    <w:rsid w:val="004D76D5"/>
    <w:rsid w:val="004E02A6"/>
    <w:rsid w:val="004E0768"/>
    <w:rsid w:val="004E0F08"/>
    <w:rsid w:val="004E1CB3"/>
    <w:rsid w:val="004E1FF4"/>
    <w:rsid w:val="004E212A"/>
    <w:rsid w:val="004E2187"/>
    <w:rsid w:val="004E28EF"/>
    <w:rsid w:val="004E2B94"/>
    <w:rsid w:val="004E3197"/>
    <w:rsid w:val="004E31E3"/>
    <w:rsid w:val="004E377D"/>
    <w:rsid w:val="004E4295"/>
    <w:rsid w:val="004E4BF7"/>
    <w:rsid w:val="004E4CA0"/>
    <w:rsid w:val="004E5581"/>
    <w:rsid w:val="004E560D"/>
    <w:rsid w:val="004E6218"/>
    <w:rsid w:val="004E6F89"/>
    <w:rsid w:val="004E7D1F"/>
    <w:rsid w:val="004F0004"/>
    <w:rsid w:val="004F074E"/>
    <w:rsid w:val="004F0B07"/>
    <w:rsid w:val="004F0E1E"/>
    <w:rsid w:val="004F15DA"/>
    <w:rsid w:val="004F194A"/>
    <w:rsid w:val="004F24C3"/>
    <w:rsid w:val="004F27D2"/>
    <w:rsid w:val="004F3461"/>
    <w:rsid w:val="004F3528"/>
    <w:rsid w:val="004F3627"/>
    <w:rsid w:val="004F4225"/>
    <w:rsid w:val="004F4B90"/>
    <w:rsid w:val="004F4D14"/>
    <w:rsid w:val="004F59E7"/>
    <w:rsid w:val="004F615D"/>
    <w:rsid w:val="004F615F"/>
    <w:rsid w:val="004F661B"/>
    <w:rsid w:val="004F685C"/>
    <w:rsid w:val="004F6BCF"/>
    <w:rsid w:val="004F6BE6"/>
    <w:rsid w:val="004F6CC1"/>
    <w:rsid w:val="004F71BF"/>
    <w:rsid w:val="004F738B"/>
    <w:rsid w:val="004F7CB3"/>
    <w:rsid w:val="004F7DF6"/>
    <w:rsid w:val="004F7FC8"/>
    <w:rsid w:val="005006C7"/>
    <w:rsid w:val="005006D1"/>
    <w:rsid w:val="00500D2B"/>
    <w:rsid w:val="005010FC"/>
    <w:rsid w:val="00501739"/>
    <w:rsid w:val="0050257C"/>
    <w:rsid w:val="005025EA"/>
    <w:rsid w:val="0050268C"/>
    <w:rsid w:val="0050323E"/>
    <w:rsid w:val="005033BD"/>
    <w:rsid w:val="00503562"/>
    <w:rsid w:val="00503750"/>
    <w:rsid w:val="005037AD"/>
    <w:rsid w:val="00504A4A"/>
    <w:rsid w:val="00504F0F"/>
    <w:rsid w:val="0050511C"/>
    <w:rsid w:val="00505CEC"/>
    <w:rsid w:val="00507552"/>
    <w:rsid w:val="00507788"/>
    <w:rsid w:val="00507C4A"/>
    <w:rsid w:val="005106A0"/>
    <w:rsid w:val="005118E4"/>
    <w:rsid w:val="00511B72"/>
    <w:rsid w:val="00512ACE"/>
    <w:rsid w:val="005135BE"/>
    <w:rsid w:val="0051394D"/>
    <w:rsid w:val="00513C27"/>
    <w:rsid w:val="005148B5"/>
    <w:rsid w:val="00514E7A"/>
    <w:rsid w:val="00515026"/>
    <w:rsid w:val="00515EA5"/>
    <w:rsid w:val="0051628B"/>
    <w:rsid w:val="005165BC"/>
    <w:rsid w:val="00517F16"/>
    <w:rsid w:val="00520497"/>
    <w:rsid w:val="00520A17"/>
    <w:rsid w:val="00521EFF"/>
    <w:rsid w:val="00522022"/>
    <w:rsid w:val="005223C3"/>
    <w:rsid w:val="00522B6B"/>
    <w:rsid w:val="00523097"/>
    <w:rsid w:val="005238CE"/>
    <w:rsid w:val="005239A0"/>
    <w:rsid w:val="00523DE2"/>
    <w:rsid w:val="005244D8"/>
    <w:rsid w:val="00524662"/>
    <w:rsid w:val="005249F9"/>
    <w:rsid w:val="00524A98"/>
    <w:rsid w:val="00524FB4"/>
    <w:rsid w:val="00525351"/>
    <w:rsid w:val="005254DB"/>
    <w:rsid w:val="00525729"/>
    <w:rsid w:val="005268E7"/>
    <w:rsid w:val="00526F24"/>
    <w:rsid w:val="00530074"/>
    <w:rsid w:val="00530CF0"/>
    <w:rsid w:val="00530F8E"/>
    <w:rsid w:val="005313A2"/>
    <w:rsid w:val="00531A39"/>
    <w:rsid w:val="00531B10"/>
    <w:rsid w:val="00531C03"/>
    <w:rsid w:val="00532C0E"/>
    <w:rsid w:val="00532C4D"/>
    <w:rsid w:val="00532E7A"/>
    <w:rsid w:val="00533D81"/>
    <w:rsid w:val="00533FB5"/>
    <w:rsid w:val="00534065"/>
    <w:rsid w:val="005343C8"/>
    <w:rsid w:val="0053518E"/>
    <w:rsid w:val="005357D0"/>
    <w:rsid w:val="00535AC6"/>
    <w:rsid w:val="00535F67"/>
    <w:rsid w:val="005361EC"/>
    <w:rsid w:val="00536CE8"/>
    <w:rsid w:val="00536D40"/>
    <w:rsid w:val="00537083"/>
    <w:rsid w:val="00537145"/>
    <w:rsid w:val="0054015C"/>
    <w:rsid w:val="00540C3E"/>
    <w:rsid w:val="00541A33"/>
    <w:rsid w:val="00541A5E"/>
    <w:rsid w:val="00541D18"/>
    <w:rsid w:val="0054247D"/>
    <w:rsid w:val="00542928"/>
    <w:rsid w:val="00543814"/>
    <w:rsid w:val="005439DB"/>
    <w:rsid w:val="00544323"/>
    <w:rsid w:val="00544471"/>
    <w:rsid w:val="00544DFB"/>
    <w:rsid w:val="00544F4D"/>
    <w:rsid w:val="005463BE"/>
    <w:rsid w:val="005477B5"/>
    <w:rsid w:val="00547B20"/>
    <w:rsid w:val="0055006B"/>
    <w:rsid w:val="0055138D"/>
    <w:rsid w:val="005516EC"/>
    <w:rsid w:val="00551CC7"/>
    <w:rsid w:val="00552149"/>
    <w:rsid w:val="0055254F"/>
    <w:rsid w:val="00553888"/>
    <w:rsid w:val="00553C6A"/>
    <w:rsid w:val="00553E42"/>
    <w:rsid w:val="005541AA"/>
    <w:rsid w:val="00554DE0"/>
    <w:rsid w:val="00555536"/>
    <w:rsid w:val="00555AD0"/>
    <w:rsid w:val="005560D3"/>
    <w:rsid w:val="005567EF"/>
    <w:rsid w:val="00556866"/>
    <w:rsid w:val="00557162"/>
    <w:rsid w:val="0055752D"/>
    <w:rsid w:val="00557671"/>
    <w:rsid w:val="00557A67"/>
    <w:rsid w:val="00557F58"/>
    <w:rsid w:val="00560000"/>
    <w:rsid w:val="0056019A"/>
    <w:rsid w:val="00560366"/>
    <w:rsid w:val="005603A3"/>
    <w:rsid w:val="0056047B"/>
    <w:rsid w:val="005609C4"/>
    <w:rsid w:val="00560EBE"/>
    <w:rsid w:val="0056116E"/>
    <w:rsid w:val="005613D7"/>
    <w:rsid w:val="005614C4"/>
    <w:rsid w:val="005614CD"/>
    <w:rsid w:val="0056155E"/>
    <w:rsid w:val="0056369F"/>
    <w:rsid w:val="005636ED"/>
    <w:rsid w:val="0056477B"/>
    <w:rsid w:val="0056478E"/>
    <w:rsid w:val="00564F62"/>
    <w:rsid w:val="005658FF"/>
    <w:rsid w:val="00565D65"/>
    <w:rsid w:val="00566658"/>
    <w:rsid w:val="00566FEB"/>
    <w:rsid w:val="00570009"/>
    <w:rsid w:val="005707B4"/>
    <w:rsid w:val="0057338D"/>
    <w:rsid w:val="00573B96"/>
    <w:rsid w:val="00573EF8"/>
    <w:rsid w:val="005742FF"/>
    <w:rsid w:val="005747AF"/>
    <w:rsid w:val="00574A10"/>
    <w:rsid w:val="00575054"/>
    <w:rsid w:val="005754CD"/>
    <w:rsid w:val="00575580"/>
    <w:rsid w:val="00575A7E"/>
    <w:rsid w:val="005764F9"/>
    <w:rsid w:val="00576F7D"/>
    <w:rsid w:val="00577DE9"/>
    <w:rsid w:val="00580350"/>
    <w:rsid w:val="00580359"/>
    <w:rsid w:val="00580A98"/>
    <w:rsid w:val="00581205"/>
    <w:rsid w:val="0058143E"/>
    <w:rsid w:val="00581913"/>
    <w:rsid w:val="00581939"/>
    <w:rsid w:val="00582299"/>
    <w:rsid w:val="0058241D"/>
    <w:rsid w:val="00582842"/>
    <w:rsid w:val="00583153"/>
    <w:rsid w:val="0058315E"/>
    <w:rsid w:val="0058495F"/>
    <w:rsid w:val="00584C90"/>
    <w:rsid w:val="00584D77"/>
    <w:rsid w:val="0058584B"/>
    <w:rsid w:val="00585937"/>
    <w:rsid w:val="00585C70"/>
    <w:rsid w:val="00586409"/>
    <w:rsid w:val="005864ED"/>
    <w:rsid w:val="005866E5"/>
    <w:rsid w:val="0058681A"/>
    <w:rsid w:val="00586A10"/>
    <w:rsid w:val="0059003E"/>
    <w:rsid w:val="0059045E"/>
    <w:rsid w:val="00591594"/>
    <w:rsid w:val="005919D8"/>
    <w:rsid w:val="00591F5F"/>
    <w:rsid w:val="005922B4"/>
    <w:rsid w:val="0059281E"/>
    <w:rsid w:val="00592E91"/>
    <w:rsid w:val="005933B8"/>
    <w:rsid w:val="005937D0"/>
    <w:rsid w:val="00593DC2"/>
    <w:rsid w:val="00594AC0"/>
    <w:rsid w:val="00594E3E"/>
    <w:rsid w:val="005952F1"/>
    <w:rsid w:val="00595894"/>
    <w:rsid w:val="0059612A"/>
    <w:rsid w:val="00596AF4"/>
    <w:rsid w:val="00596B28"/>
    <w:rsid w:val="00596B99"/>
    <w:rsid w:val="00597430"/>
    <w:rsid w:val="00597BE3"/>
    <w:rsid w:val="005A00FD"/>
    <w:rsid w:val="005A2146"/>
    <w:rsid w:val="005A243B"/>
    <w:rsid w:val="005A38CE"/>
    <w:rsid w:val="005A52A1"/>
    <w:rsid w:val="005A61CC"/>
    <w:rsid w:val="005A6618"/>
    <w:rsid w:val="005A680B"/>
    <w:rsid w:val="005A6C56"/>
    <w:rsid w:val="005A6F91"/>
    <w:rsid w:val="005A71B2"/>
    <w:rsid w:val="005B0A9A"/>
    <w:rsid w:val="005B0CC6"/>
    <w:rsid w:val="005B0E47"/>
    <w:rsid w:val="005B129B"/>
    <w:rsid w:val="005B14A1"/>
    <w:rsid w:val="005B1E08"/>
    <w:rsid w:val="005B1F53"/>
    <w:rsid w:val="005B1FD0"/>
    <w:rsid w:val="005B2349"/>
    <w:rsid w:val="005B2E56"/>
    <w:rsid w:val="005B39C1"/>
    <w:rsid w:val="005B3AEF"/>
    <w:rsid w:val="005B4221"/>
    <w:rsid w:val="005B44E5"/>
    <w:rsid w:val="005B57D5"/>
    <w:rsid w:val="005B5C5C"/>
    <w:rsid w:val="005B6210"/>
    <w:rsid w:val="005B629B"/>
    <w:rsid w:val="005B6846"/>
    <w:rsid w:val="005B69E0"/>
    <w:rsid w:val="005B6C8E"/>
    <w:rsid w:val="005B6FF1"/>
    <w:rsid w:val="005B7787"/>
    <w:rsid w:val="005C081B"/>
    <w:rsid w:val="005C08CA"/>
    <w:rsid w:val="005C0B2C"/>
    <w:rsid w:val="005C154B"/>
    <w:rsid w:val="005C1D1C"/>
    <w:rsid w:val="005C3293"/>
    <w:rsid w:val="005C36ED"/>
    <w:rsid w:val="005C381B"/>
    <w:rsid w:val="005C43BA"/>
    <w:rsid w:val="005C4815"/>
    <w:rsid w:val="005C4B33"/>
    <w:rsid w:val="005C5C83"/>
    <w:rsid w:val="005C64EB"/>
    <w:rsid w:val="005C6AB8"/>
    <w:rsid w:val="005C6DC0"/>
    <w:rsid w:val="005C6DF7"/>
    <w:rsid w:val="005C74F4"/>
    <w:rsid w:val="005C757E"/>
    <w:rsid w:val="005C7BB1"/>
    <w:rsid w:val="005D0712"/>
    <w:rsid w:val="005D08F5"/>
    <w:rsid w:val="005D1D4E"/>
    <w:rsid w:val="005D2056"/>
    <w:rsid w:val="005D31C4"/>
    <w:rsid w:val="005D33B5"/>
    <w:rsid w:val="005D426B"/>
    <w:rsid w:val="005D4416"/>
    <w:rsid w:val="005D445B"/>
    <w:rsid w:val="005D480F"/>
    <w:rsid w:val="005D4AF9"/>
    <w:rsid w:val="005D5B5A"/>
    <w:rsid w:val="005D5B80"/>
    <w:rsid w:val="005D6BC9"/>
    <w:rsid w:val="005D6F12"/>
    <w:rsid w:val="005D707C"/>
    <w:rsid w:val="005D7A6D"/>
    <w:rsid w:val="005D7DF9"/>
    <w:rsid w:val="005DECCD"/>
    <w:rsid w:val="005E0251"/>
    <w:rsid w:val="005E037B"/>
    <w:rsid w:val="005E075C"/>
    <w:rsid w:val="005E1046"/>
    <w:rsid w:val="005E2246"/>
    <w:rsid w:val="005E2938"/>
    <w:rsid w:val="005E4876"/>
    <w:rsid w:val="005E4ACE"/>
    <w:rsid w:val="005E4D8B"/>
    <w:rsid w:val="005E520E"/>
    <w:rsid w:val="005E5570"/>
    <w:rsid w:val="005E562D"/>
    <w:rsid w:val="005E5EB0"/>
    <w:rsid w:val="005E67AE"/>
    <w:rsid w:val="005E6E7B"/>
    <w:rsid w:val="005E724B"/>
    <w:rsid w:val="005E7785"/>
    <w:rsid w:val="005F0536"/>
    <w:rsid w:val="005F0BF3"/>
    <w:rsid w:val="005F116A"/>
    <w:rsid w:val="005F178E"/>
    <w:rsid w:val="005F17EE"/>
    <w:rsid w:val="005F1A17"/>
    <w:rsid w:val="005F2323"/>
    <w:rsid w:val="005F2EA4"/>
    <w:rsid w:val="005F3B8D"/>
    <w:rsid w:val="005F3B94"/>
    <w:rsid w:val="005F3E57"/>
    <w:rsid w:val="005F457B"/>
    <w:rsid w:val="005F4A83"/>
    <w:rsid w:val="005F4B16"/>
    <w:rsid w:val="005F4D35"/>
    <w:rsid w:val="005F500A"/>
    <w:rsid w:val="005F58C9"/>
    <w:rsid w:val="005F5DE1"/>
    <w:rsid w:val="005F6C75"/>
    <w:rsid w:val="00600787"/>
    <w:rsid w:val="006016B9"/>
    <w:rsid w:val="0060171A"/>
    <w:rsid w:val="00601742"/>
    <w:rsid w:val="00601A0F"/>
    <w:rsid w:val="00601A87"/>
    <w:rsid w:val="00601EAC"/>
    <w:rsid w:val="0060220F"/>
    <w:rsid w:val="006025CC"/>
    <w:rsid w:val="00602FDC"/>
    <w:rsid w:val="00603884"/>
    <w:rsid w:val="00603F9C"/>
    <w:rsid w:val="00604F3B"/>
    <w:rsid w:val="00605364"/>
    <w:rsid w:val="006053DD"/>
    <w:rsid w:val="006054B3"/>
    <w:rsid w:val="006054F8"/>
    <w:rsid w:val="00606184"/>
    <w:rsid w:val="006062AF"/>
    <w:rsid w:val="006079A9"/>
    <w:rsid w:val="00607B1A"/>
    <w:rsid w:val="006103BE"/>
    <w:rsid w:val="006109FD"/>
    <w:rsid w:val="00610EE7"/>
    <w:rsid w:val="00610F93"/>
    <w:rsid w:val="0061139E"/>
    <w:rsid w:val="00611743"/>
    <w:rsid w:val="00611DDA"/>
    <w:rsid w:val="00612229"/>
    <w:rsid w:val="00612818"/>
    <w:rsid w:val="00612BE9"/>
    <w:rsid w:val="00613D36"/>
    <w:rsid w:val="00614713"/>
    <w:rsid w:val="006168DC"/>
    <w:rsid w:val="00617618"/>
    <w:rsid w:val="0062204C"/>
    <w:rsid w:val="006222F3"/>
    <w:rsid w:val="00622559"/>
    <w:rsid w:val="00622B0D"/>
    <w:rsid w:val="00622E58"/>
    <w:rsid w:val="006238D0"/>
    <w:rsid w:val="00623D89"/>
    <w:rsid w:val="006244E1"/>
    <w:rsid w:val="00624587"/>
    <w:rsid w:val="006245D5"/>
    <w:rsid w:val="006247EE"/>
    <w:rsid w:val="00625F8F"/>
    <w:rsid w:val="006267CB"/>
    <w:rsid w:val="00627530"/>
    <w:rsid w:val="00630347"/>
    <w:rsid w:val="006309EC"/>
    <w:rsid w:val="006313D9"/>
    <w:rsid w:val="006320E3"/>
    <w:rsid w:val="00632303"/>
    <w:rsid w:val="0063359B"/>
    <w:rsid w:val="00633C32"/>
    <w:rsid w:val="00635875"/>
    <w:rsid w:val="006360AB"/>
    <w:rsid w:val="00636417"/>
    <w:rsid w:val="00636ED4"/>
    <w:rsid w:val="006377F5"/>
    <w:rsid w:val="0064007F"/>
    <w:rsid w:val="00640E68"/>
    <w:rsid w:val="006413A3"/>
    <w:rsid w:val="00641492"/>
    <w:rsid w:val="0064231B"/>
    <w:rsid w:val="006439D4"/>
    <w:rsid w:val="00644372"/>
    <w:rsid w:val="0064486B"/>
    <w:rsid w:val="006449C9"/>
    <w:rsid w:val="00644D21"/>
    <w:rsid w:val="00645344"/>
    <w:rsid w:val="00645410"/>
    <w:rsid w:val="00646024"/>
    <w:rsid w:val="00647538"/>
    <w:rsid w:val="006506F9"/>
    <w:rsid w:val="00650B10"/>
    <w:rsid w:val="00650B8E"/>
    <w:rsid w:val="00650C40"/>
    <w:rsid w:val="00650FDD"/>
    <w:rsid w:val="00652612"/>
    <w:rsid w:val="006526D2"/>
    <w:rsid w:val="006527FD"/>
    <w:rsid w:val="006529FD"/>
    <w:rsid w:val="00652E0F"/>
    <w:rsid w:val="006530CE"/>
    <w:rsid w:val="00655078"/>
    <w:rsid w:val="00655B8A"/>
    <w:rsid w:val="00656FC3"/>
    <w:rsid w:val="00657821"/>
    <w:rsid w:val="006579D1"/>
    <w:rsid w:val="00660041"/>
    <w:rsid w:val="0066016A"/>
    <w:rsid w:val="006604A6"/>
    <w:rsid w:val="0066054E"/>
    <w:rsid w:val="00660B99"/>
    <w:rsid w:val="00661861"/>
    <w:rsid w:val="00662F72"/>
    <w:rsid w:val="00662FAB"/>
    <w:rsid w:val="00663546"/>
    <w:rsid w:val="00663DF5"/>
    <w:rsid w:val="00663EE7"/>
    <w:rsid w:val="00664A04"/>
    <w:rsid w:val="0066538F"/>
    <w:rsid w:val="00665F2B"/>
    <w:rsid w:val="00666281"/>
    <w:rsid w:val="00666531"/>
    <w:rsid w:val="00666600"/>
    <w:rsid w:val="0066751C"/>
    <w:rsid w:val="006675E8"/>
    <w:rsid w:val="0066783C"/>
    <w:rsid w:val="00667ABB"/>
    <w:rsid w:val="00667D39"/>
    <w:rsid w:val="00667DCA"/>
    <w:rsid w:val="00670195"/>
    <w:rsid w:val="00670E7A"/>
    <w:rsid w:val="006714C6"/>
    <w:rsid w:val="0067199F"/>
    <w:rsid w:val="00671A5F"/>
    <w:rsid w:val="006722FB"/>
    <w:rsid w:val="00672755"/>
    <w:rsid w:val="00673DC4"/>
    <w:rsid w:val="006746F8"/>
    <w:rsid w:val="00674BC5"/>
    <w:rsid w:val="00674E42"/>
    <w:rsid w:val="0067512F"/>
    <w:rsid w:val="00675381"/>
    <w:rsid w:val="006757D5"/>
    <w:rsid w:val="00675A15"/>
    <w:rsid w:val="00676346"/>
    <w:rsid w:val="00677B5D"/>
    <w:rsid w:val="00677F45"/>
    <w:rsid w:val="00680205"/>
    <w:rsid w:val="00680629"/>
    <w:rsid w:val="0068096B"/>
    <w:rsid w:val="006811F2"/>
    <w:rsid w:val="00681B13"/>
    <w:rsid w:val="00682A36"/>
    <w:rsid w:val="00683CC4"/>
    <w:rsid w:val="0068434F"/>
    <w:rsid w:val="00684E7C"/>
    <w:rsid w:val="00684FF7"/>
    <w:rsid w:val="00685593"/>
    <w:rsid w:val="0068568E"/>
    <w:rsid w:val="00686381"/>
    <w:rsid w:val="0068664E"/>
    <w:rsid w:val="0068669E"/>
    <w:rsid w:val="00687187"/>
    <w:rsid w:val="006873DD"/>
    <w:rsid w:val="006877AE"/>
    <w:rsid w:val="006901AA"/>
    <w:rsid w:val="00690E0D"/>
    <w:rsid w:val="006916DC"/>
    <w:rsid w:val="00691715"/>
    <w:rsid w:val="006921AC"/>
    <w:rsid w:val="006922C1"/>
    <w:rsid w:val="00692FA9"/>
    <w:rsid w:val="006934F2"/>
    <w:rsid w:val="00693CF7"/>
    <w:rsid w:val="006946D7"/>
    <w:rsid w:val="00694ECA"/>
    <w:rsid w:val="006956E3"/>
    <w:rsid w:val="00695C6C"/>
    <w:rsid w:val="00695D3D"/>
    <w:rsid w:val="006960A5"/>
    <w:rsid w:val="0069650E"/>
    <w:rsid w:val="00696D42"/>
    <w:rsid w:val="006970F2"/>
    <w:rsid w:val="00697B67"/>
    <w:rsid w:val="006A08D1"/>
    <w:rsid w:val="006A0EB5"/>
    <w:rsid w:val="006A12EE"/>
    <w:rsid w:val="006A14C0"/>
    <w:rsid w:val="006A1974"/>
    <w:rsid w:val="006A1D9E"/>
    <w:rsid w:val="006A2411"/>
    <w:rsid w:val="006A281D"/>
    <w:rsid w:val="006A3181"/>
    <w:rsid w:val="006A3550"/>
    <w:rsid w:val="006A3D91"/>
    <w:rsid w:val="006A4904"/>
    <w:rsid w:val="006A4E21"/>
    <w:rsid w:val="006A50E9"/>
    <w:rsid w:val="006A54CA"/>
    <w:rsid w:val="006A61D1"/>
    <w:rsid w:val="006A6636"/>
    <w:rsid w:val="006A6B6C"/>
    <w:rsid w:val="006A741C"/>
    <w:rsid w:val="006A7C75"/>
    <w:rsid w:val="006A7E72"/>
    <w:rsid w:val="006A7F73"/>
    <w:rsid w:val="006B0882"/>
    <w:rsid w:val="006B1043"/>
    <w:rsid w:val="006B14B4"/>
    <w:rsid w:val="006B1717"/>
    <w:rsid w:val="006B1958"/>
    <w:rsid w:val="006B1B91"/>
    <w:rsid w:val="006B2300"/>
    <w:rsid w:val="006B24F7"/>
    <w:rsid w:val="006B2BEC"/>
    <w:rsid w:val="006B2DDD"/>
    <w:rsid w:val="006B3450"/>
    <w:rsid w:val="006B34C1"/>
    <w:rsid w:val="006B3BEF"/>
    <w:rsid w:val="006B4457"/>
    <w:rsid w:val="006B46BF"/>
    <w:rsid w:val="006B4950"/>
    <w:rsid w:val="006B4A5D"/>
    <w:rsid w:val="006B5126"/>
    <w:rsid w:val="006B5270"/>
    <w:rsid w:val="006B623A"/>
    <w:rsid w:val="006B63D2"/>
    <w:rsid w:val="006B69CB"/>
    <w:rsid w:val="006B6F5E"/>
    <w:rsid w:val="006B758E"/>
    <w:rsid w:val="006C0019"/>
    <w:rsid w:val="006C05CE"/>
    <w:rsid w:val="006C093D"/>
    <w:rsid w:val="006C0CD1"/>
    <w:rsid w:val="006C1290"/>
    <w:rsid w:val="006C1B59"/>
    <w:rsid w:val="006C27E9"/>
    <w:rsid w:val="006C28FB"/>
    <w:rsid w:val="006C33FA"/>
    <w:rsid w:val="006C3B4B"/>
    <w:rsid w:val="006C3BBC"/>
    <w:rsid w:val="006C4494"/>
    <w:rsid w:val="006C48EB"/>
    <w:rsid w:val="006C4BBB"/>
    <w:rsid w:val="006C4CFF"/>
    <w:rsid w:val="006C5007"/>
    <w:rsid w:val="006C50AB"/>
    <w:rsid w:val="006C56B6"/>
    <w:rsid w:val="006C5CC8"/>
    <w:rsid w:val="006C6483"/>
    <w:rsid w:val="006C7642"/>
    <w:rsid w:val="006C7804"/>
    <w:rsid w:val="006C7F2C"/>
    <w:rsid w:val="006C7FE4"/>
    <w:rsid w:val="006D0289"/>
    <w:rsid w:val="006D0A66"/>
    <w:rsid w:val="006D14CA"/>
    <w:rsid w:val="006D1AE4"/>
    <w:rsid w:val="006D27D5"/>
    <w:rsid w:val="006D28D6"/>
    <w:rsid w:val="006D2CA2"/>
    <w:rsid w:val="006D2CE6"/>
    <w:rsid w:val="006D381B"/>
    <w:rsid w:val="006D3950"/>
    <w:rsid w:val="006D432A"/>
    <w:rsid w:val="006D4956"/>
    <w:rsid w:val="006D55FB"/>
    <w:rsid w:val="006D5C33"/>
    <w:rsid w:val="006D67AA"/>
    <w:rsid w:val="006D691F"/>
    <w:rsid w:val="006D6ECB"/>
    <w:rsid w:val="006D797B"/>
    <w:rsid w:val="006D7C22"/>
    <w:rsid w:val="006E0169"/>
    <w:rsid w:val="006E03FD"/>
    <w:rsid w:val="006E0937"/>
    <w:rsid w:val="006E0B71"/>
    <w:rsid w:val="006E1722"/>
    <w:rsid w:val="006E1AF0"/>
    <w:rsid w:val="006E1B4D"/>
    <w:rsid w:val="006E2225"/>
    <w:rsid w:val="006E3211"/>
    <w:rsid w:val="006E3741"/>
    <w:rsid w:val="006E468B"/>
    <w:rsid w:val="006E523A"/>
    <w:rsid w:val="006E5352"/>
    <w:rsid w:val="006E5B1F"/>
    <w:rsid w:val="006E6121"/>
    <w:rsid w:val="006E6812"/>
    <w:rsid w:val="006E6A6B"/>
    <w:rsid w:val="006E6BFA"/>
    <w:rsid w:val="006E758F"/>
    <w:rsid w:val="006E794E"/>
    <w:rsid w:val="006E7D8B"/>
    <w:rsid w:val="006E7F0F"/>
    <w:rsid w:val="006F0738"/>
    <w:rsid w:val="006F0B13"/>
    <w:rsid w:val="006F1338"/>
    <w:rsid w:val="006F1DDD"/>
    <w:rsid w:val="006F2D4F"/>
    <w:rsid w:val="006F3192"/>
    <w:rsid w:val="006F359D"/>
    <w:rsid w:val="006F438D"/>
    <w:rsid w:val="006F43F0"/>
    <w:rsid w:val="006F49AE"/>
    <w:rsid w:val="006F4A79"/>
    <w:rsid w:val="006F575C"/>
    <w:rsid w:val="006F5A65"/>
    <w:rsid w:val="006F6076"/>
    <w:rsid w:val="006F62EF"/>
    <w:rsid w:val="006F6734"/>
    <w:rsid w:val="006F698E"/>
    <w:rsid w:val="006F7212"/>
    <w:rsid w:val="006F7218"/>
    <w:rsid w:val="006F73F9"/>
    <w:rsid w:val="006F7670"/>
    <w:rsid w:val="007005A6"/>
    <w:rsid w:val="007007B0"/>
    <w:rsid w:val="00701FA8"/>
    <w:rsid w:val="00701FEA"/>
    <w:rsid w:val="00702096"/>
    <w:rsid w:val="0070264C"/>
    <w:rsid w:val="00702680"/>
    <w:rsid w:val="00702877"/>
    <w:rsid w:val="00702EDF"/>
    <w:rsid w:val="00704573"/>
    <w:rsid w:val="0070498E"/>
    <w:rsid w:val="00704A3C"/>
    <w:rsid w:val="00704AF7"/>
    <w:rsid w:val="00705197"/>
    <w:rsid w:val="007056F5"/>
    <w:rsid w:val="0070571B"/>
    <w:rsid w:val="0070682D"/>
    <w:rsid w:val="007069F2"/>
    <w:rsid w:val="00707B44"/>
    <w:rsid w:val="00707C4C"/>
    <w:rsid w:val="00711FCA"/>
    <w:rsid w:val="00712630"/>
    <w:rsid w:val="00712A8B"/>
    <w:rsid w:val="00712E62"/>
    <w:rsid w:val="00712E9E"/>
    <w:rsid w:val="00712FCC"/>
    <w:rsid w:val="007136B7"/>
    <w:rsid w:val="0071377D"/>
    <w:rsid w:val="00713A20"/>
    <w:rsid w:val="00713B16"/>
    <w:rsid w:val="0071430C"/>
    <w:rsid w:val="007143AD"/>
    <w:rsid w:val="0071473A"/>
    <w:rsid w:val="00714975"/>
    <w:rsid w:val="00714A62"/>
    <w:rsid w:val="00714CAA"/>
    <w:rsid w:val="00714DF5"/>
    <w:rsid w:val="00715822"/>
    <w:rsid w:val="007159B4"/>
    <w:rsid w:val="00715A81"/>
    <w:rsid w:val="00715BF4"/>
    <w:rsid w:val="00715C11"/>
    <w:rsid w:val="00715D9A"/>
    <w:rsid w:val="00716231"/>
    <w:rsid w:val="00716456"/>
    <w:rsid w:val="007169D7"/>
    <w:rsid w:val="007171DA"/>
    <w:rsid w:val="007172C2"/>
    <w:rsid w:val="007178D6"/>
    <w:rsid w:val="007178D8"/>
    <w:rsid w:val="007207CE"/>
    <w:rsid w:val="00721348"/>
    <w:rsid w:val="007219FA"/>
    <w:rsid w:val="00722014"/>
    <w:rsid w:val="007220E7"/>
    <w:rsid w:val="0072236E"/>
    <w:rsid w:val="00722793"/>
    <w:rsid w:val="00724225"/>
    <w:rsid w:val="00724C86"/>
    <w:rsid w:val="00724E3D"/>
    <w:rsid w:val="00726077"/>
    <w:rsid w:val="007265D4"/>
    <w:rsid w:val="007278FF"/>
    <w:rsid w:val="00727A9D"/>
    <w:rsid w:val="00727B16"/>
    <w:rsid w:val="0073020A"/>
    <w:rsid w:val="00731FAB"/>
    <w:rsid w:val="007320F1"/>
    <w:rsid w:val="0073238C"/>
    <w:rsid w:val="00733090"/>
    <w:rsid w:val="00733E0C"/>
    <w:rsid w:val="00733F42"/>
    <w:rsid w:val="00734251"/>
    <w:rsid w:val="0073485C"/>
    <w:rsid w:val="00734FCC"/>
    <w:rsid w:val="00735D8A"/>
    <w:rsid w:val="00735F5E"/>
    <w:rsid w:val="00736185"/>
    <w:rsid w:val="00736C0A"/>
    <w:rsid w:val="007377D0"/>
    <w:rsid w:val="0073786E"/>
    <w:rsid w:val="00737AC6"/>
    <w:rsid w:val="00737C5E"/>
    <w:rsid w:val="00740249"/>
    <w:rsid w:val="007409AB"/>
    <w:rsid w:val="00740EB5"/>
    <w:rsid w:val="00741AC7"/>
    <w:rsid w:val="007429ED"/>
    <w:rsid w:val="00743807"/>
    <w:rsid w:val="00744354"/>
    <w:rsid w:val="0074443E"/>
    <w:rsid w:val="0074463F"/>
    <w:rsid w:val="00745344"/>
    <w:rsid w:val="007459C2"/>
    <w:rsid w:val="00745DA8"/>
    <w:rsid w:val="00746D34"/>
    <w:rsid w:val="00747A04"/>
    <w:rsid w:val="00750003"/>
    <w:rsid w:val="00750792"/>
    <w:rsid w:val="0075093D"/>
    <w:rsid w:val="00751B2F"/>
    <w:rsid w:val="00751D96"/>
    <w:rsid w:val="00751EF5"/>
    <w:rsid w:val="0075233A"/>
    <w:rsid w:val="007528D7"/>
    <w:rsid w:val="00752A42"/>
    <w:rsid w:val="00752E1C"/>
    <w:rsid w:val="00752EA4"/>
    <w:rsid w:val="00752FB5"/>
    <w:rsid w:val="0075307A"/>
    <w:rsid w:val="0075317D"/>
    <w:rsid w:val="007534C4"/>
    <w:rsid w:val="007536B9"/>
    <w:rsid w:val="00753B0B"/>
    <w:rsid w:val="00753E60"/>
    <w:rsid w:val="0075400B"/>
    <w:rsid w:val="00754F2A"/>
    <w:rsid w:val="00755C16"/>
    <w:rsid w:val="0075614A"/>
    <w:rsid w:val="007564D4"/>
    <w:rsid w:val="00756509"/>
    <w:rsid w:val="007565AF"/>
    <w:rsid w:val="00756A6B"/>
    <w:rsid w:val="0075728E"/>
    <w:rsid w:val="00757EEB"/>
    <w:rsid w:val="00760582"/>
    <w:rsid w:val="00761E74"/>
    <w:rsid w:val="00762089"/>
    <w:rsid w:val="007620E6"/>
    <w:rsid w:val="00762B8A"/>
    <w:rsid w:val="00762D45"/>
    <w:rsid w:val="00762D94"/>
    <w:rsid w:val="0076328D"/>
    <w:rsid w:val="00763737"/>
    <w:rsid w:val="00763934"/>
    <w:rsid w:val="00763E8E"/>
    <w:rsid w:val="00764A05"/>
    <w:rsid w:val="00764ED5"/>
    <w:rsid w:val="007650AF"/>
    <w:rsid w:val="007666BD"/>
    <w:rsid w:val="00766729"/>
    <w:rsid w:val="00766978"/>
    <w:rsid w:val="007674F7"/>
    <w:rsid w:val="00767738"/>
    <w:rsid w:val="00767775"/>
    <w:rsid w:val="00767A1E"/>
    <w:rsid w:val="007702AC"/>
    <w:rsid w:val="00770FA4"/>
    <w:rsid w:val="007711BC"/>
    <w:rsid w:val="007720E6"/>
    <w:rsid w:val="00772299"/>
    <w:rsid w:val="0077352C"/>
    <w:rsid w:val="00773D74"/>
    <w:rsid w:val="00773F93"/>
    <w:rsid w:val="007740BC"/>
    <w:rsid w:val="00774484"/>
    <w:rsid w:val="00774EB7"/>
    <w:rsid w:val="00776162"/>
    <w:rsid w:val="00776538"/>
    <w:rsid w:val="0077661A"/>
    <w:rsid w:val="00776990"/>
    <w:rsid w:val="00776A5C"/>
    <w:rsid w:val="0077707B"/>
    <w:rsid w:val="0077741A"/>
    <w:rsid w:val="00777440"/>
    <w:rsid w:val="00777522"/>
    <w:rsid w:val="00780D83"/>
    <w:rsid w:val="007816B3"/>
    <w:rsid w:val="00781D15"/>
    <w:rsid w:val="00781F52"/>
    <w:rsid w:val="00782136"/>
    <w:rsid w:val="007823F0"/>
    <w:rsid w:val="007838B2"/>
    <w:rsid w:val="00783FA6"/>
    <w:rsid w:val="0078403F"/>
    <w:rsid w:val="007841C8"/>
    <w:rsid w:val="00784E08"/>
    <w:rsid w:val="00785BF2"/>
    <w:rsid w:val="00786C5B"/>
    <w:rsid w:val="00786F3F"/>
    <w:rsid w:val="007872A2"/>
    <w:rsid w:val="00787518"/>
    <w:rsid w:val="007909F2"/>
    <w:rsid w:val="00790B7E"/>
    <w:rsid w:val="00790C0D"/>
    <w:rsid w:val="007910CD"/>
    <w:rsid w:val="00792CA8"/>
    <w:rsid w:val="00792F29"/>
    <w:rsid w:val="00793063"/>
    <w:rsid w:val="007935B7"/>
    <w:rsid w:val="00793746"/>
    <w:rsid w:val="00793FA4"/>
    <w:rsid w:val="00794858"/>
    <w:rsid w:val="00794F9E"/>
    <w:rsid w:val="0079599D"/>
    <w:rsid w:val="007965A2"/>
    <w:rsid w:val="00797EEB"/>
    <w:rsid w:val="007A0058"/>
    <w:rsid w:val="007A057C"/>
    <w:rsid w:val="007A0B55"/>
    <w:rsid w:val="007A126A"/>
    <w:rsid w:val="007A1AAC"/>
    <w:rsid w:val="007A204B"/>
    <w:rsid w:val="007A2CBE"/>
    <w:rsid w:val="007A2D70"/>
    <w:rsid w:val="007A33E7"/>
    <w:rsid w:val="007A35D4"/>
    <w:rsid w:val="007A3ECB"/>
    <w:rsid w:val="007A4E77"/>
    <w:rsid w:val="007A4FC4"/>
    <w:rsid w:val="007A5A4C"/>
    <w:rsid w:val="007A5E5E"/>
    <w:rsid w:val="007A5FB6"/>
    <w:rsid w:val="007A641A"/>
    <w:rsid w:val="007A6431"/>
    <w:rsid w:val="007A7078"/>
    <w:rsid w:val="007A7B45"/>
    <w:rsid w:val="007A7F62"/>
    <w:rsid w:val="007B0262"/>
    <w:rsid w:val="007B052E"/>
    <w:rsid w:val="007B0A0A"/>
    <w:rsid w:val="007B11D2"/>
    <w:rsid w:val="007B1B9D"/>
    <w:rsid w:val="007B2A6F"/>
    <w:rsid w:val="007B44D0"/>
    <w:rsid w:val="007B507D"/>
    <w:rsid w:val="007B5DE0"/>
    <w:rsid w:val="007B689A"/>
    <w:rsid w:val="007C01B9"/>
    <w:rsid w:val="007C108B"/>
    <w:rsid w:val="007C1C8D"/>
    <w:rsid w:val="007C2130"/>
    <w:rsid w:val="007C2758"/>
    <w:rsid w:val="007C2BAC"/>
    <w:rsid w:val="007C32F2"/>
    <w:rsid w:val="007C375B"/>
    <w:rsid w:val="007C393B"/>
    <w:rsid w:val="007C3A0C"/>
    <w:rsid w:val="007C4A5D"/>
    <w:rsid w:val="007C4AED"/>
    <w:rsid w:val="007C4C22"/>
    <w:rsid w:val="007C4E48"/>
    <w:rsid w:val="007C530B"/>
    <w:rsid w:val="007C56BB"/>
    <w:rsid w:val="007C5FF0"/>
    <w:rsid w:val="007C63BE"/>
    <w:rsid w:val="007C6BD0"/>
    <w:rsid w:val="007C7350"/>
    <w:rsid w:val="007C77F9"/>
    <w:rsid w:val="007C7B02"/>
    <w:rsid w:val="007C7BFF"/>
    <w:rsid w:val="007D0321"/>
    <w:rsid w:val="007D034E"/>
    <w:rsid w:val="007D0382"/>
    <w:rsid w:val="007D10F5"/>
    <w:rsid w:val="007D1752"/>
    <w:rsid w:val="007D1EC3"/>
    <w:rsid w:val="007D1F08"/>
    <w:rsid w:val="007D2037"/>
    <w:rsid w:val="007D2285"/>
    <w:rsid w:val="007D2343"/>
    <w:rsid w:val="007D2E99"/>
    <w:rsid w:val="007D32D3"/>
    <w:rsid w:val="007D3BCD"/>
    <w:rsid w:val="007D3E40"/>
    <w:rsid w:val="007D4020"/>
    <w:rsid w:val="007D48D0"/>
    <w:rsid w:val="007D51E0"/>
    <w:rsid w:val="007D5237"/>
    <w:rsid w:val="007D5E45"/>
    <w:rsid w:val="007D635E"/>
    <w:rsid w:val="007D686E"/>
    <w:rsid w:val="007D6A94"/>
    <w:rsid w:val="007D6F8B"/>
    <w:rsid w:val="007D6FA3"/>
    <w:rsid w:val="007D7686"/>
    <w:rsid w:val="007E0209"/>
    <w:rsid w:val="007E037A"/>
    <w:rsid w:val="007E0EE2"/>
    <w:rsid w:val="007E1CEF"/>
    <w:rsid w:val="007E1E5E"/>
    <w:rsid w:val="007E2AAB"/>
    <w:rsid w:val="007E32C3"/>
    <w:rsid w:val="007E3AB6"/>
    <w:rsid w:val="007E3D4B"/>
    <w:rsid w:val="007E3F75"/>
    <w:rsid w:val="007E56D5"/>
    <w:rsid w:val="007E5A3F"/>
    <w:rsid w:val="007E729D"/>
    <w:rsid w:val="007F0389"/>
    <w:rsid w:val="007F043F"/>
    <w:rsid w:val="007F19F9"/>
    <w:rsid w:val="007F2D63"/>
    <w:rsid w:val="007F355B"/>
    <w:rsid w:val="007F50B6"/>
    <w:rsid w:val="007F5309"/>
    <w:rsid w:val="007F5468"/>
    <w:rsid w:val="007F5880"/>
    <w:rsid w:val="007F71EE"/>
    <w:rsid w:val="007F7FF1"/>
    <w:rsid w:val="00800124"/>
    <w:rsid w:val="0080041D"/>
    <w:rsid w:val="008013C3"/>
    <w:rsid w:val="00801570"/>
    <w:rsid w:val="00801694"/>
    <w:rsid w:val="008017C6"/>
    <w:rsid w:val="00801886"/>
    <w:rsid w:val="00801A84"/>
    <w:rsid w:val="00801AB2"/>
    <w:rsid w:val="00801B88"/>
    <w:rsid w:val="00801BA7"/>
    <w:rsid w:val="00801BF5"/>
    <w:rsid w:val="00801D42"/>
    <w:rsid w:val="00801E09"/>
    <w:rsid w:val="00801E88"/>
    <w:rsid w:val="008027B4"/>
    <w:rsid w:val="00802951"/>
    <w:rsid w:val="00802E0F"/>
    <w:rsid w:val="008039C3"/>
    <w:rsid w:val="00803BEE"/>
    <w:rsid w:val="00803E1F"/>
    <w:rsid w:val="00804B7B"/>
    <w:rsid w:val="00804C23"/>
    <w:rsid w:val="0080516D"/>
    <w:rsid w:val="008053E2"/>
    <w:rsid w:val="00805457"/>
    <w:rsid w:val="0080557F"/>
    <w:rsid w:val="008059EC"/>
    <w:rsid w:val="00806446"/>
    <w:rsid w:val="008072E6"/>
    <w:rsid w:val="00807770"/>
    <w:rsid w:val="00810318"/>
    <w:rsid w:val="00810C4B"/>
    <w:rsid w:val="00811058"/>
    <w:rsid w:val="008111DF"/>
    <w:rsid w:val="00812502"/>
    <w:rsid w:val="008129D8"/>
    <w:rsid w:val="008130B0"/>
    <w:rsid w:val="00814ADE"/>
    <w:rsid w:val="00814B17"/>
    <w:rsid w:val="0081520B"/>
    <w:rsid w:val="00815240"/>
    <w:rsid w:val="0081531F"/>
    <w:rsid w:val="008158EB"/>
    <w:rsid w:val="00815D76"/>
    <w:rsid w:val="00815FBD"/>
    <w:rsid w:val="008173A3"/>
    <w:rsid w:val="008177C8"/>
    <w:rsid w:val="00817A90"/>
    <w:rsid w:val="00820072"/>
    <w:rsid w:val="00820915"/>
    <w:rsid w:val="00820E3F"/>
    <w:rsid w:val="00821B23"/>
    <w:rsid w:val="00821F61"/>
    <w:rsid w:val="008220CA"/>
    <w:rsid w:val="008225ED"/>
    <w:rsid w:val="00822D0C"/>
    <w:rsid w:val="00822F54"/>
    <w:rsid w:val="0082311F"/>
    <w:rsid w:val="008238AF"/>
    <w:rsid w:val="00823A22"/>
    <w:rsid w:val="00823BC3"/>
    <w:rsid w:val="00824520"/>
    <w:rsid w:val="00824B9E"/>
    <w:rsid w:val="00825163"/>
    <w:rsid w:val="008266C0"/>
    <w:rsid w:val="00826CAA"/>
    <w:rsid w:val="00826D1E"/>
    <w:rsid w:val="00827170"/>
    <w:rsid w:val="00827660"/>
    <w:rsid w:val="008278DD"/>
    <w:rsid w:val="00830027"/>
    <w:rsid w:val="00830F6B"/>
    <w:rsid w:val="008312C0"/>
    <w:rsid w:val="0083224E"/>
    <w:rsid w:val="00832ED0"/>
    <w:rsid w:val="008332EA"/>
    <w:rsid w:val="008338A0"/>
    <w:rsid w:val="00833BDE"/>
    <w:rsid w:val="00833CBC"/>
    <w:rsid w:val="0083507C"/>
    <w:rsid w:val="00835304"/>
    <w:rsid w:val="00835441"/>
    <w:rsid w:val="008355C5"/>
    <w:rsid w:val="00835CE1"/>
    <w:rsid w:val="00836C65"/>
    <w:rsid w:val="008371A9"/>
    <w:rsid w:val="00837465"/>
    <w:rsid w:val="0084043B"/>
    <w:rsid w:val="00840885"/>
    <w:rsid w:val="00840C64"/>
    <w:rsid w:val="008419B7"/>
    <w:rsid w:val="0084206C"/>
    <w:rsid w:val="0084227F"/>
    <w:rsid w:val="008423FC"/>
    <w:rsid w:val="00842765"/>
    <w:rsid w:val="00842CA4"/>
    <w:rsid w:val="00842D17"/>
    <w:rsid w:val="00842D1F"/>
    <w:rsid w:val="008437FA"/>
    <w:rsid w:val="00843D25"/>
    <w:rsid w:val="00843E64"/>
    <w:rsid w:val="008449A6"/>
    <w:rsid w:val="00844B1D"/>
    <w:rsid w:val="00844CD9"/>
    <w:rsid w:val="0084527A"/>
    <w:rsid w:val="00845B1C"/>
    <w:rsid w:val="00845D31"/>
    <w:rsid w:val="0084633B"/>
    <w:rsid w:val="0084637B"/>
    <w:rsid w:val="008472BD"/>
    <w:rsid w:val="008472EC"/>
    <w:rsid w:val="00847302"/>
    <w:rsid w:val="00847591"/>
    <w:rsid w:val="008475F5"/>
    <w:rsid w:val="008477AF"/>
    <w:rsid w:val="00847E71"/>
    <w:rsid w:val="00847EA8"/>
    <w:rsid w:val="00847F56"/>
    <w:rsid w:val="008506A0"/>
    <w:rsid w:val="008507EE"/>
    <w:rsid w:val="0085083B"/>
    <w:rsid w:val="00850AD1"/>
    <w:rsid w:val="00851848"/>
    <w:rsid w:val="00851A51"/>
    <w:rsid w:val="00852174"/>
    <w:rsid w:val="008525D4"/>
    <w:rsid w:val="00852B0C"/>
    <w:rsid w:val="00853543"/>
    <w:rsid w:val="0085399C"/>
    <w:rsid w:val="00853CE7"/>
    <w:rsid w:val="00853EFA"/>
    <w:rsid w:val="008548F4"/>
    <w:rsid w:val="0085490A"/>
    <w:rsid w:val="00854A47"/>
    <w:rsid w:val="008551CD"/>
    <w:rsid w:val="008557B4"/>
    <w:rsid w:val="008557F1"/>
    <w:rsid w:val="008558E3"/>
    <w:rsid w:val="00856A5A"/>
    <w:rsid w:val="00856AA7"/>
    <w:rsid w:val="00856CF6"/>
    <w:rsid w:val="00856FF7"/>
    <w:rsid w:val="00857354"/>
    <w:rsid w:val="008573D1"/>
    <w:rsid w:val="00857703"/>
    <w:rsid w:val="00857A2E"/>
    <w:rsid w:val="0086058E"/>
    <w:rsid w:val="00860A3C"/>
    <w:rsid w:val="0086103E"/>
    <w:rsid w:val="0086119D"/>
    <w:rsid w:val="008612A8"/>
    <w:rsid w:val="00861F55"/>
    <w:rsid w:val="00862B24"/>
    <w:rsid w:val="00862CC6"/>
    <w:rsid w:val="00863475"/>
    <w:rsid w:val="00863661"/>
    <w:rsid w:val="00863DDD"/>
    <w:rsid w:val="00863FC8"/>
    <w:rsid w:val="00864667"/>
    <w:rsid w:val="00864AEB"/>
    <w:rsid w:val="00864C1D"/>
    <w:rsid w:val="00864D6E"/>
    <w:rsid w:val="00865E8C"/>
    <w:rsid w:val="00866A55"/>
    <w:rsid w:val="00866B97"/>
    <w:rsid w:val="00866E65"/>
    <w:rsid w:val="008710C6"/>
    <w:rsid w:val="00871C98"/>
    <w:rsid w:val="00872FEE"/>
    <w:rsid w:val="00873811"/>
    <w:rsid w:val="0087446C"/>
    <w:rsid w:val="00874E16"/>
    <w:rsid w:val="0087558D"/>
    <w:rsid w:val="00875D99"/>
    <w:rsid w:val="008767FC"/>
    <w:rsid w:val="0087697D"/>
    <w:rsid w:val="0087746D"/>
    <w:rsid w:val="00880492"/>
    <w:rsid w:val="0088097B"/>
    <w:rsid w:val="00882271"/>
    <w:rsid w:val="008826E7"/>
    <w:rsid w:val="00882B07"/>
    <w:rsid w:val="00883A22"/>
    <w:rsid w:val="00884265"/>
    <w:rsid w:val="00884305"/>
    <w:rsid w:val="00884520"/>
    <w:rsid w:val="00884A33"/>
    <w:rsid w:val="00884F3A"/>
    <w:rsid w:val="00885A90"/>
    <w:rsid w:val="00885B3F"/>
    <w:rsid w:val="00885D3F"/>
    <w:rsid w:val="0088657C"/>
    <w:rsid w:val="00886B7D"/>
    <w:rsid w:val="008870BB"/>
    <w:rsid w:val="008872C7"/>
    <w:rsid w:val="008872DB"/>
    <w:rsid w:val="008879B8"/>
    <w:rsid w:val="00887B92"/>
    <w:rsid w:val="00891586"/>
    <w:rsid w:val="00891778"/>
    <w:rsid w:val="00892772"/>
    <w:rsid w:val="00892907"/>
    <w:rsid w:val="00893415"/>
    <w:rsid w:val="00893665"/>
    <w:rsid w:val="00894063"/>
    <w:rsid w:val="0089427A"/>
    <w:rsid w:val="00894E40"/>
    <w:rsid w:val="00894E49"/>
    <w:rsid w:val="00894F83"/>
    <w:rsid w:val="00895FFC"/>
    <w:rsid w:val="0089650F"/>
    <w:rsid w:val="00896621"/>
    <w:rsid w:val="00896CF6"/>
    <w:rsid w:val="00896FFF"/>
    <w:rsid w:val="00897357"/>
    <w:rsid w:val="0089770E"/>
    <w:rsid w:val="00897C5A"/>
    <w:rsid w:val="008A0D65"/>
    <w:rsid w:val="008A309A"/>
    <w:rsid w:val="008A3F5E"/>
    <w:rsid w:val="008A4020"/>
    <w:rsid w:val="008A40AF"/>
    <w:rsid w:val="008A43D2"/>
    <w:rsid w:val="008A4675"/>
    <w:rsid w:val="008A52E4"/>
    <w:rsid w:val="008A5ABD"/>
    <w:rsid w:val="008A6A79"/>
    <w:rsid w:val="008A6B01"/>
    <w:rsid w:val="008A6BF6"/>
    <w:rsid w:val="008A6C01"/>
    <w:rsid w:val="008A7B02"/>
    <w:rsid w:val="008A7DD3"/>
    <w:rsid w:val="008B0566"/>
    <w:rsid w:val="008B1193"/>
    <w:rsid w:val="008B1B24"/>
    <w:rsid w:val="008B1DE3"/>
    <w:rsid w:val="008B21A6"/>
    <w:rsid w:val="008B23D5"/>
    <w:rsid w:val="008B2435"/>
    <w:rsid w:val="008B324B"/>
    <w:rsid w:val="008B3DD1"/>
    <w:rsid w:val="008B46FD"/>
    <w:rsid w:val="008B4925"/>
    <w:rsid w:val="008B4B9D"/>
    <w:rsid w:val="008B51BB"/>
    <w:rsid w:val="008B661A"/>
    <w:rsid w:val="008B6F4C"/>
    <w:rsid w:val="008B701A"/>
    <w:rsid w:val="008B75D6"/>
    <w:rsid w:val="008B77D8"/>
    <w:rsid w:val="008B7D0C"/>
    <w:rsid w:val="008C1FD3"/>
    <w:rsid w:val="008C2869"/>
    <w:rsid w:val="008C4C70"/>
    <w:rsid w:val="008C52EE"/>
    <w:rsid w:val="008C5548"/>
    <w:rsid w:val="008C57CA"/>
    <w:rsid w:val="008C6D99"/>
    <w:rsid w:val="008C6ED3"/>
    <w:rsid w:val="008C72C0"/>
    <w:rsid w:val="008C76E7"/>
    <w:rsid w:val="008D03E1"/>
    <w:rsid w:val="008D0B52"/>
    <w:rsid w:val="008D0C83"/>
    <w:rsid w:val="008D1008"/>
    <w:rsid w:val="008D18C1"/>
    <w:rsid w:val="008D1B86"/>
    <w:rsid w:val="008D24AF"/>
    <w:rsid w:val="008D2869"/>
    <w:rsid w:val="008D328F"/>
    <w:rsid w:val="008D3580"/>
    <w:rsid w:val="008D3715"/>
    <w:rsid w:val="008D3C6D"/>
    <w:rsid w:val="008D4A58"/>
    <w:rsid w:val="008D6164"/>
    <w:rsid w:val="008D6459"/>
    <w:rsid w:val="008D70FE"/>
    <w:rsid w:val="008D7977"/>
    <w:rsid w:val="008D7F97"/>
    <w:rsid w:val="008E0596"/>
    <w:rsid w:val="008E1718"/>
    <w:rsid w:val="008E1776"/>
    <w:rsid w:val="008E2594"/>
    <w:rsid w:val="008E2879"/>
    <w:rsid w:val="008E2E70"/>
    <w:rsid w:val="008E308D"/>
    <w:rsid w:val="008E40E9"/>
    <w:rsid w:val="008E5473"/>
    <w:rsid w:val="008E54A0"/>
    <w:rsid w:val="008E5CB2"/>
    <w:rsid w:val="008E68FF"/>
    <w:rsid w:val="008E727A"/>
    <w:rsid w:val="008F005C"/>
    <w:rsid w:val="008F030F"/>
    <w:rsid w:val="008F04B1"/>
    <w:rsid w:val="008F07F5"/>
    <w:rsid w:val="008F0D7E"/>
    <w:rsid w:val="008F11E6"/>
    <w:rsid w:val="008F1569"/>
    <w:rsid w:val="008F1FC5"/>
    <w:rsid w:val="008F22FA"/>
    <w:rsid w:val="008F2BAF"/>
    <w:rsid w:val="008F3EF4"/>
    <w:rsid w:val="008F4125"/>
    <w:rsid w:val="008F4C16"/>
    <w:rsid w:val="008F5007"/>
    <w:rsid w:val="008F5BF3"/>
    <w:rsid w:val="008F6578"/>
    <w:rsid w:val="008F6933"/>
    <w:rsid w:val="008F6B64"/>
    <w:rsid w:val="008F6CE6"/>
    <w:rsid w:val="008F6DA9"/>
    <w:rsid w:val="008F70F4"/>
    <w:rsid w:val="008F7205"/>
    <w:rsid w:val="008F7406"/>
    <w:rsid w:val="008F74E8"/>
    <w:rsid w:val="008F77D5"/>
    <w:rsid w:val="008F781B"/>
    <w:rsid w:val="008F7B14"/>
    <w:rsid w:val="008F7FF7"/>
    <w:rsid w:val="009001E1"/>
    <w:rsid w:val="00900320"/>
    <w:rsid w:val="00900701"/>
    <w:rsid w:val="00900DA1"/>
    <w:rsid w:val="009013AD"/>
    <w:rsid w:val="00901B1C"/>
    <w:rsid w:val="00901E63"/>
    <w:rsid w:val="00903588"/>
    <w:rsid w:val="00903593"/>
    <w:rsid w:val="009035FC"/>
    <w:rsid w:val="00903619"/>
    <w:rsid w:val="0090369C"/>
    <w:rsid w:val="009038C7"/>
    <w:rsid w:val="009039DE"/>
    <w:rsid w:val="00903C86"/>
    <w:rsid w:val="00903E16"/>
    <w:rsid w:val="0090461E"/>
    <w:rsid w:val="00904908"/>
    <w:rsid w:val="009053D4"/>
    <w:rsid w:val="009058B5"/>
    <w:rsid w:val="0090626D"/>
    <w:rsid w:val="009063DA"/>
    <w:rsid w:val="009068FC"/>
    <w:rsid w:val="00906E08"/>
    <w:rsid w:val="009073F7"/>
    <w:rsid w:val="00907596"/>
    <w:rsid w:val="0090766B"/>
    <w:rsid w:val="00907B95"/>
    <w:rsid w:val="009105F8"/>
    <w:rsid w:val="00911C86"/>
    <w:rsid w:val="0091216C"/>
    <w:rsid w:val="00912C99"/>
    <w:rsid w:val="009137CE"/>
    <w:rsid w:val="0091458E"/>
    <w:rsid w:val="00914A8E"/>
    <w:rsid w:val="0091656B"/>
    <w:rsid w:val="00916BDC"/>
    <w:rsid w:val="00916DAC"/>
    <w:rsid w:val="009173D0"/>
    <w:rsid w:val="00917400"/>
    <w:rsid w:val="009176B3"/>
    <w:rsid w:val="009177AC"/>
    <w:rsid w:val="00917B68"/>
    <w:rsid w:val="00917B7D"/>
    <w:rsid w:val="00920C3C"/>
    <w:rsid w:val="00921817"/>
    <w:rsid w:val="009218C7"/>
    <w:rsid w:val="00922468"/>
    <w:rsid w:val="00922D74"/>
    <w:rsid w:val="00924181"/>
    <w:rsid w:val="00924369"/>
    <w:rsid w:val="00924489"/>
    <w:rsid w:val="0092532A"/>
    <w:rsid w:val="00925868"/>
    <w:rsid w:val="00926030"/>
    <w:rsid w:val="00926835"/>
    <w:rsid w:val="00926850"/>
    <w:rsid w:val="00926ACE"/>
    <w:rsid w:val="00926E6B"/>
    <w:rsid w:val="00926FFE"/>
    <w:rsid w:val="00930138"/>
    <w:rsid w:val="009308B7"/>
    <w:rsid w:val="00930A33"/>
    <w:rsid w:val="00931726"/>
    <w:rsid w:val="009328FB"/>
    <w:rsid w:val="00932B5B"/>
    <w:rsid w:val="00932EC5"/>
    <w:rsid w:val="00933148"/>
    <w:rsid w:val="00933189"/>
    <w:rsid w:val="009331AC"/>
    <w:rsid w:val="0093376F"/>
    <w:rsid w:val="00933C25"/>
    <w:rsid w:val="00933D9B"/>
    <w:rsid w:val="00933DC7"/>
    <w:rsid w:val="00934352"/>
    <w:rsid w:val="0093499A"/>
    <w:rsid w:val="009355A0"/>
    <w:rsid w:val="009361E4"/>
    <w:rsid w:val="00936705"/>
    <w:rsid w:val="00936CCD"/>
    <w:rsid w:val="009370BB"/>
    <w:rsid w:val="00937CF6"/>
    <w:rsid w:val="009405D7"/>
    <w:rsid w:val="0094174C"/>
    <w:rsid w:val="00942198"/>
    <w:rsid w:val="00942585"/>
    <w:rsid w:val="0094260D"/>
    <w:rsid w:val="009428B2"/>
    <w:rsid w:val="00942912"/>
    <w:rsid w:val="00942AC2"/>
    <w:rsid w:val="0094330A"/>
    <w:rsid w:val="00943430"/>
    <w:rsid w:val="00943E8E"/>
    <w:rsid w:val="00945F1F"/>
    <w:rsid w:val="00946282"/>
    <w:rsid w:val="009466BF"/>
    <w:rsid w:val="00947EBB"/>
    <w:rsid w:val="00947FAF"/>
    <w:rsid w:val="0095018D"/>
    <w:rsid w:val="00951123"/>
    <w:rsid w:val="00951321"/>
    <w:rsid w:val="00951559"/>
    <w:rsid w:val="009515C0"/>
    <w:rsid w:val="00951853"/>
    <w:rsid w:val="0095201C"/>
    <w:rsid w:val="00952DE1"/>
    <w:rsid w:val="009530CA"/>
    <w:rsid w:val="009536CE"/>
    <w:rsid w:val="00953A26"/>
    <w:rsid w:val="00953BDA"/>
    <w:rsid w:val="00954F06"/>
    <w:rsid w:val="00955122"/>
    <w:rsid w:val="00955553"/>
    <w:rsid w:val="00956398"/>
    <w:rsid w:val="0095680A"/>
    <w:rsid w:val="00956B42"/>
    <w:rsid w:val="0095758D"/>
    <w:rsid w:val="00957A02"/>
    <w:rsid w:val="00957B4C"/>
    <w:rsid w:val="00957E23"/>
    <w:rsid w:val="009602FC"/>
    <w:rsid w:val="00960C94"/>
    <w:rsid w:val="0096295B"/>
    <w:rsid w:val="00962CED"/>
    <w:rsid w:val="00963338"/>
    <w:rsid w:val="00963668"/>
    <w:rsid w:val="009637EE"/>
    <w:rsid w:val="00963FF6"/>
    <w:rsid w:val="00964C60"/>
    <w:rsid w:val="009653BF"/>
    <w:rsid w:val="00965B4A"/>
    <w:rsid w:val="00965E63"/>
    <w:rsid w:val="00966185"/>
    <w:rsid w:val="009677CF"/>
    <w:rsid w:val="00967DEE"/>
    <w:rsid w:val="00970DF0"/>
    <w:rsid w:val="009719C5"/>
    <w:rsid w:val="009719F2"/>
    <w:rsid w:val="00971CE9"/>
    <w:rsid w:val="00971F70"/>
    <w:rsid w:val="00972697"/>
    <w:rsid w:val="009729AD"/>
    <w:rsid w:val="00972F46"/>
    <w:rsid w:val="00972F76"/>
    <w:rsid w:val="009733E1"/>
    <w:rsid w:val="009739FB"/>
    <w:rsid w:val="00973E74"/>
    <w:rsid w:val="0097444C"/>
    <w:rsid w:val="0097449F"/>
    <w:rsid w:val="0097482D"/>
    <w:rsid w:val="00974C60"/>
    <w:rsid w:val="009756A6"/>
    <w:rsid w:val="00975C2D"/>
    <w:rsid w:val="00976239"/>
    <w:rsid w:val="00976A31"/>
    <w:rsid w:val="00976BE0"/>
    <w:rsid w:val="00976DCA"/>
    <w:rsid w:val="00976F97"/>
    <w:rsid w:val="009772A5"/>
    <w:rsid w:val="00980017"/>
    <w:rsid w:val="0098050D"/>
    <w:rsid w:val="0098082D"/>
    <w:rsid w:val="0098122E"/>
    <w:rsid w:val="009829F6"/>
    <w:rsid w:val="00982CD9"/>
    <w:rsid w:val="00982E19"/>
    <w:rsid w:val="009833AD"/>
    <w:rsid w:val="009834AC"/>
    <w:rsid w:val="0098405A"/>
    <w:rsid w:val="00984AB5"/>
    <w:rsid w:val="00984B85"/>
    <w:rsid w:val="009851CE"/>
    <w:rsid w:val="0098542A"/>
    <w:rsid w:val="00985A51"/>
    <w:rsid w:val="0098697A"/>
    <w:rsid w:val="00986B90"/>
    <w:rsid w:val="00990100"/>
    <w:rsid w:val="00990DA0"/>
    <w:rsid w:val="0099132A"/>
    <w:rsid w:val="00991BB1"/>
    <w:rsid w:val="009925CF"/>
    <w:rsid w:val="0099288B"/>
    <w:rsid w:val="00992CBD"/>
    <w:rsid w:val="009943F2"/>
    <w:rsid w:val="009945E6"/>
    <w:rsid w:val="0099476D"/>
    <w:rsid w:val="00994BEA"/>
    <w:rsid w:val="00995869"/>
    <w:rsid w:val="00995A98"/>
    <w:rsid w:val="009960A1"/>
    <w:rsid w:val="00996A61"/>
    <w:rsid w:val="00996D04"/>
    <w:rsid w:val="00997297"/>
    <w:rsid w:val="00997592"/>
    <w:rsid w:val="0099770F"/>
    <w:rsid w:val="009A0198"/>
    <w:rsid w:val="009A0742"/>
    <w:rsid w:val="009A12AE"/>
    <w:rsid w:val="009A15BE"/>
    <w:rsid w:val="009A193D"/>
    <w:rsid w:val="009A1C5A"/>
    <w:rsid w:val="009A1EA7"/>
    <w:rsid w:val="009A23A1"/>
    <w:rsid w:val="009A26A8"/>
    <w:rsid w:val="009A27B1"/>
    <w:rsid w:val="009A2FEC"/>
    <w:rsid w:val="009A3313"/>
    <w:rsid w:val="009A3662"/>
    <w:rsid w:val="009A38A5"/>
    <w:rsid w:val="009A3A64"/>
    <w:rsid w:val="009A5704"/>
    <w:rsid w:val="009A5777"/>
    <w:rsid w:val="009A5D34"/>
    <w:rsid w:val="009A608D"/>
    <w:rsid w:val="009A60A4"/>
    <w:rsid w:val="009A6A7B"/>
    <w:rsid w:val="009A6DD9"/>
    <w:rsid w:val="009A74DD"/>
    <w:rsid w:val="009B08CB"/>
    <w:rsid w:val="009B1DB8"/>
    <w:rsid w:val="009B2BF3"/>
    <w:rsid w:val="009B34AF"/>
    <w:rsid w:val="009B3797"/>
    <w:rsid w:val="009B3DCE"/>
    <w:rsid w:val="009B3DD8"/>
    <w:rsid w:val="009B3EE8"/>
    <w:rsid w:val="009B48C7"/>
    <w:rsid w:val="009B4CBC"/>
    <w:rsid w:val="009B568B"/>
    <w:rsid w:val="009B5E8B"/>
    <w:rsid w:val="009B64D6"/>
    <w:rsid w:val="009B65CA"/>
    <w:rsid w:val="009B66D6"/>
    <w:rsid w:val="009B6B3F"/>
    <w:rsid w:val="009B6BC6"/>
    <w:rsid w:val="009B6D2A"/>
    <w:rsid w:val="009B7A96"/>
    <w:rsid w:val="009C128E"/>
    <w:rsid w:val="009C13BC"/>
    <w:rsid w:val="009C1C89"/>
    <w:rsid w:val="009C1D4D"/>
    <w:rsid w:val="009C22BF"/>
    <w:rsid w:val="009C24ED"/>
    <w:rsid w:val="009C26CC"/>
    <w:rsid w:val="009C2746"/>
    <w:rsid w:val="009C3B74"/>
    <w:rsid w:val="009C40DF"/>
    <w:rsid w:val="009C51CD"/>
    <w:rsid w:val="009C55C7"/>
    <w:rsid w:val="009C5669"/>
    <w:rsid w:val="009C5C4D"/>
    <w:rsid w:val="009C6619"/>
    <w:rsid w:val="009C66B1"/>
    <w:rsid w:val="009C66E8"/>
    <w:rsid w:val="009C6A60"/>
    <w:rsid w:val="009C6A9A"/>
    <w:rsid w:val="009C72EB"/>
    <w:rsid w:val="009C737E"/>
    <w:rsid w:val="009C7701"/>
    <w:rsid w:val="009C792F"/>
    <w:rsid w:val="009D063B"/>
    <w:rsid w:val="009D0ABD"/>
    <w:rsid w:val="009D10C5"/>
    <w:rsid w:val="009D10D9"/>
    <w:rsid w:val="009D260F"/>
    <w:rsid w:val="009D2A19"/>
    <w:rsid w:val="009D304B"/>
    <w:rsid w:val="009D3874"/>
    <w:rsid w:val="009D393A"/>
    <w:rsid w:val="009D3B2B"/>
    <w:rsid w:val="009D3BEB"/>
    <w:rsid w:val="009D4DE7"/>
    <w:rsid w:val="009D4E0F"/>
    <w:rsid w:val="009D5004"/>
    <w:rsid w:val="009D52F8"/>
    <w:rsid w:val="009D5582"/>
    <w:rsid w:val="009D60AB"/>
    <w:rsid w:val="009D62FF"/>
    <w:rsid w:val="009D6621"/>
    <w:rsid w:val="009D707A"/>
    <w:rsid w:val="009D7306"/>
    <w:rsid w:val="009D73EA"/>
    <w:rsid w:val="009D77F8"/>
    <w:rsid w:val="009D7A77"/>
    <w:rsid w:val="009D7FB7"/>
    <w:rsid w:val="009E0442"/>
    <w:rsid w:val="009E11C7"/>
    <w:rsid w:val="009E16B6"/>
    <w:rsid w:val="009E197F"/>
    <w:rsid w:val="009E1A60"/>
    <w:rsid w:val="009E1BC9"/>
    <w:rsid w:val="009E1C4E"/>
    <w:rsid w:val="009E1FCC"/>
    <w:rsid w:val="009E2633"/>
    <w:rsid w:val="009E2B1F"/>
    <w:rsid w:val="009E3A28"/>
    <w:rsid w:val="009E4A4C"/>
    <w:rsid w:val="009E4B52"/>
    <w:rsid w:val="009E4C7D"/>
    <w:rsid w:val="009E4EF2"/>
    <w:rsid w:val="009E506C"/>
    <w:rsid w:val="009E519D"/>
    <w:rsid w:val="009E59C2"/>
    <w:rsid w:val="009E6349"/>
    <w:rsid w:val="009E6D27"/>
    <w:rsid w:val="009E6EEF"/>
    <w:rsid w:val="009E760F"/>
    <w:rsid w:val="009F0CD6"/>
    <w:rsid w:val="009F0E5C"/>
    <w:rsid w:val="009F11D4"/>
    <w:rsid w:val="009F1419"/>
    <w:rsid w:val="009F1964"/>
    <w:rsid w:val="009F2508"/>
    <w:rsid w:val="009F287E"/>
    <w:rsid w:val="009F2B39"/>
    <w:rsid w:val="009F2DC4"/>
    <w:rsid w:val="009F3A56"/>
    <w:rsid w:val="009F3DB1"/>
    <w:rsid w:val="009F40FE"/>
    <w:rsid w:val="009F530A"/>
    <w:rsid w:val="009F5510"/>
    <w:rsid w:val="009F5579"/>
    <w:rsid w:val="009F5A37"/>
    <w:rsid w:val="009F632C"/>
    <w:rsid w:val="009F6B15"/>
    <w:rsid w:val="009F6DCD"/>
    <w:rsid w:val="009F7038"/>
    <w:rsid w:val="009F75A3"/>
    <w:rsid w:val="009F7755"/>
    <w:rsid w:val="00A00271"/>
    <w:rsid w:val="00A00731"/>
    <w:rsid w:val="00A01A20"/>
    <w:rsid w:val="00A01AED"/>
    <w:rsid w:val="00A032D3"/>
    <w:rsid w:val="00A03B34"/>
    <w:rsid w:val="00A03F00"/>
    <w:rsid w:val="00A04944"/>
    <w:rsid w:val="00A04CCE"/>
    <w:rsid w:val="00A04E53"/>
    <w:rsid w:val="00A0541B"/>
    <w:rsid w:val="00A0545A"/>
    <w:rsid w:val="00A0549E"/>
    <w:rsid w:val="00A05DF3"/>
    <w:rsid w:val="00A061A6"/>
    <w:rsid w:val="00A06F61"/>
    <w:rsid w:val="00A0733A"/>
    <w:rsid w:val="00A07CD5"/>
    <w:rsid w:val="00A07F7E"/>
    <w:rsid w:val="00A10747"/>
    <w:rsid w:val="00A109E5"/>
    <w:rsid w:val="00A10A55"/>
    <w:rsid w:val="00A10D34"/>
    <w:rsid w:val="00A11475"/>
    <w:rsid w:val="00A11737"/>
    <w:rsid w:val="00A12529"/>
    <w:rsid w:val="00A12E32"/>
    <w:rsid w:val="00A12F40"/>
    <w:rsid w:val="00A13552"/>
    <w:rsid w:val="00A13C81"/>
    <w:rsid w:val="00A13E4F"/>
    <w:rsid w:val="00A14008"/>
    <w:rsid w:val="00A142FE"/>
    <w:rsid w:val="00A14BB4"/>
    <w:rsid w:val="00A14FDE"/>
    <w:rsid w:val="00A150D2"/>
    <w:rsid w:val="00A1585A"/>
    <w:rsid w:val="00A164D2"/>
    <w:rsid w:val="00A16D2B"/>
    <w:rsid w:val="00A16F57"/>
    <w:rsid w:val="00A170E6"/>
    <w:rsid w:val="00A200A5"/>
    <w:rsid w:val="00A205DD"/>
    <w:rsid w:val="00A224E6"/>
    <w:rsid w:val="00A22525"/>
    <w:rsid w:val="00A228EF"/>
    <w:rsid w:val="00A23581"/>
    <w:rsid w:val="00A23BC7"/>
    <w:rsid w:val="00A247AC"/>
    <w:rsid w:val="00A249F5"/>
    <w:rsid w:val="00A24CB8"/>
    <w:rsid w:val="00A24F12"/>
    <w:rsid w:val="00A250B2"/>
    <w:rsid w:val="00A25216"/>
    <w:rsid w:val="00A257A9"/>
    <w:rsid w:val="00A26181"/>
    <w:rsid w:val="00A26201"/>
    <w:rsid w:val="00A26894"/>
    <w:rsid w:val="00A271B5"/>
    <w:rsid w:val="00A27BDB"/>
    <w:rsid w:val="00A27C2E"/>
    <w:rsid w:val="00A304DC"/>
    <w:rsid w:val="00A30BF3"/>
    <w:rsid w:val="00A30CA1"/>
    <w:rsid w:val="00A31181"/>
    <w:rsid w:val="00A31402"/>
    <w:rsid w:val="00A31CDE"/>
    <w:rsid w:val="00A3224D"/>
    <w:rsid w:val="00A324D9"/>
    <w:rsid w:val="00A32942"/>
    <w:rsid w:val="00A33306"/>
    <w:rsid w:val="00A345E0"/>
    <w:rsid w:val="00A34611"/>
    <w:rsid w:val="00A3462F"/>
    <w:rsid w:val="00A35747"/>
    <w:rsid w:val="00A36164"/>
    <w:rsid w:val="00A3649D"/>
    <w:rsid w:val="00A4036A"/>
    <w:rsid w:val="00A4119B"/>
    <w:rsid w:val="00A4144D"/>
    <w:rsid w:val="00A41AB3"/>
    <w:rsid w:val="00A41CFE"/>
    <w:rsid w:val="00A422BE"/>
    <w:rsid w:val="00A42C57"/>
    <w:rsid w:val="00A42C82"/>
    <w:rsid w:val="00A42FE6"/>
    <w:rsid w:val="00A4329D"/>
    <w:rsid w:val="00A43439"/>
    <w:rsid w:val="00A43598"/>
    <w:rsid w:val="00A44646"/>
    <w:rsid w:val="00A44974"/>
    <w:rsid w:val="00A449AD"/>
    <w:rsid w:val="00A44A1C"/>
    <w:rsid w:val="00A4530E"/>
    <w:rsid w:val="00A4613F"/>
    <w:rsid w:val="00A46DED"/>
    <w:rsid w:val="00A471F7"/>
    <w:rsid w:val="00A47363"/>
    <w:rsid w:val="00A479F7"/>
    <w:rsid w:val="00A47EBF"/>
    <w:rsid w:val="00A50552"/>
    <w:rsid w:val="00A5056F"/>
    <w:rsid w:val="00A50B1C"/>
    <w:rsid w:val="00A51253"/>
    <w:rsid w:val="00A51E96"/>
    <w:rsid w:val="00A52DC9"/>
    <w:rsid w:val="00A537AA"/>
    <w:rsid w:val="00A53B67"/>
    <w:rsid w:val="00A55226"/>
    <w:rsid w:val="00A5628A"/>
    <w:rsid w:val="00A562AB"/>
    <w:rsid w:val="00A5646E"/>
    <w:rsid w:val="00A5658F"/>
    <w:rsid w:val="00A56717"/>
    <w:rsid w:val="00A567EE"/>
    <w:rsid w:val="00A56911"/>
    <w:rsid w:val="00A56F1B"/>
    <w:rsid w:val="00A57958"/>
    <w:rsid w:val="00A60441"/>
    <w:rsid w:val="00A61310"/>
    <w:rsid w:val="00A61329"/>
    <w:rsid w:val="00A61AD2"/>
    <w:rsid w:val="00A62399"/>
    <w:rsid w:val="00A6277A"/>
    <w:rsid w:val="00A62834"/>
    <w:rsid w:val="00A63459"/>
    <w:rsid w:val="00A639B9"/>
    <w:rsid w:val="00A64CC7"/>
    <w:rsid w:val="00A651A5"/>
    <w:rsid w:val="00A65A49"/>
    <w:rsid w:val="00A66834"/>
    <w:rsid w:val="00A66D26"/>
    <w:rsid w:val="00A67056"/>
    <w:rsid w:val="00A67677"/>
    <w:rsid w:val="00A67BC8"/>
    <w:rsid w:val="00A67DE6"/>
    <w:rsid w:val="00A67DEE"/>
    <w:rsid w:val="00A70462"/>
    <w:rsid w:val="00A70513"/>
    <w:rsid w:val="00A70FDE"/>
    <w:rsid w:val="00A7162A"/>
    <w:rsid w:val="00A72944"/>
    <w:rsid w:val="00A72D64"/>
    <w:rsid w:val="00A736DD"/>
    <w:rsid w:val="00A73B57"/>
    <w:rsid w:val="00A743C7"/>
    <w:rsid w:val="00A74717"/>
    <w:rsid w:val="00A74CD9"/>
    <w:rsid w:val="00A768DC"/>
    <w:rsid w:val="00A76FE3"/>
    <w:rsid w:val="00A80F3F"/>
    <w:rsid w:val="00A810AC"/>
    <w:rsid w:val="00A81341"/>
    <w:rsid w:val="00A82951"/>
    <w:rsid w:val="00A82C84"/>
    <w:rsid w:val="00A82C9A"/>
    <w:rsid w:val="00A83341"/>
    <w:rsid w:val="00A843D0"/>
    <w:rsid w:val="00A84B68"/>
    <w:rsid w:val="00A8593B"/>
    <w:rsid w:val="00A863EE"/>
    <w:rsid w:val="00A865CD"/>
    <w:rsid w:val="00A868B0"/>
    <w:rsid w:val="00A87B0F"/>
    <w:rsid w:val="00A90318"/>
    <w:rsid w:val="00A9083F"/>
    <w:rsid w:val="00A90A01"/>
    <w:rsid w:val="00A91421"/>
    <w:rsid w:val="00A927DB"/>
    <w:rsid w:val="00A92E28"/>
    <w:rsid w:val="00A93582"/>
    <w:rsid w:val="00A942B0"/>
    <w:rsid w:val="00A948E2"/>
    <w:rsid w:val="00A948FF"/>
    <w:rsid w:val="00A94A3F"/>
    <w:rsid w:val="00A9545C"/>
    <w:rsid w:val="00A956C5"/>
    <w:rsid w:val="00A95851"/>
    <w:rsid w:val="00A95E0A"/>
    <w:rsid w:val="00A96018"/>
    <w:rsid w:val="00A9639F"/>
    <w:rsid w:val="00A96849"/>
    <w:rsid w:val="00A96C32"/>
    <w:rsid w:val="00A9744A"/>
    <w:rsid w:val="00A97E81"/>
    <w:rsid w:val="00AA03C3"/>
    <w:rsid w:val="00AA0447"/>
    <w:rsid w:val="00AA0493"/>
    <w:rsid w:val="00AA0B16"/>
    <w:rsid w:val="00AA11E6"/>
    <w:rsid w:val="00AA13EC"/>
    <w:rsid w:val="00AA16C0"/>
    <w:rsid w:val="00AA1C23"/>
    <w:rsid w:val="00AA2286"/>
    <w:rsid w:val="00AA2B96"/>
    <w:rsid w:val="00AA2B9C"/>
    <w:rsid w:val="00AA2CA1"/>
    <w:rsid w:val="00AA367A"/>
    <w:rsid w:val="00AA3B63"/>
    <w:rsid w:val="00AA3C93"/>
    <w:rsid w:val="00AA3F76"/>
    <w:rsid w:val="00AA462A"/>
    <w:rsid w:val="00AA4729"/>
    <w:rsid w:val="00AA480E"/>
    <w:rsid w:val="00AA4E6A"/>
    <w:rsid w:val="00AA61BA"/>
    <w:rsid w:val="00AA6902"/>
    <w:rsid w:val="00AA6CAA"/>
    <w:rsid w:val="00AA72EA"/>
    <w:rsid w:val="00AB0250"/>
    <w:rsid w:val="00AB0313"/>
    <w:rsid w:val="00AB0348"/>
    <w:rsid w:val="00AB0457"/>
    <w:rsid w:val="00AB0757"/>
    <w:rsid w:val="00AB13B6"/>
    <w:rsid w:val="00AB1615"/>
    <w:rsid w:val="00AB16AC"/>
    <w:rsid w:val="00AB1749"/>
    <w:rsid w:val="00AB1930"/>
    <w:rsid w:val="00AB237C"/>
    <w:rsid w:val="00AB2C28"/>
    <w:rsid w:val="00AB30AE"/>
    <w:rsid w:val="00AB37F8"/>
    <w:rsid w:val="00AB4387"/>
    <w:rsid w:val="00AB4552"/>
    <w:rsid w:val="00AB555E"/>
    <w:rsid w:val="00AB579E"/>
    <w:rsid w:val="00AB5C33"/>
    <w:rsid w:val="00AB6934"/>
    <w:rsid w:val="00AC0109"/>
    <w:rsid w:val="00AC05E3"/>
    <w:rsid w:val="00AC0821"/>
    <w:rsid w:val="00AC21C2"/>
    <w:rsid w:val="00AC2C8E"/>
    <w:rsid w:val="00AC3071"/>
    <w:rsid w:val="00AC3D0D"/>
    <w:rsid w:val="00AC4AC8"/>
    <w:rsid w:val="00AC4BA0"/>
    <w:rsid w:val="00AC4E62"/>
    <w:rsid w:val="00AC59FF"/>
    <w:rsid w:val="00AC6552"/>
    <w:rsid w:val="00AC7556"/>
    <w:rsid w:val="00AC7633"/>
    <w:rsid w:val="00AC7664"/>
    <w:rsid w:val="00AC76A7"/>
    <w:rsid w:val="00AC7871"/>
    <w:rsid w:val="00AD0033"/>
    <w:rsid w:val="00AD0739"/>
    <w:rsid w:val="00AD1561"/>
    <w:rsid w:val="00AD32DA"/>
    <w:rsid w:val="00AD3FC8"/>
    <w:rsid w:val="00AD4DF0"/>
    <w:rsid w:val="00AD5A80"/>
    <w:rsid w:val="00AD5EB7"/>
    <w:rsid w:val="00AD78FD"/>
    <w:rsid w:val="00AE0048"/>
    <w:rsid w:val="00AE03B6"/>
    <w:rsid w:val="00AE0E31"/>
    <w:rsid w:val="00AE1015"/>
    <w:rsid w:val="00AE117A"/>
    <w:rsid w:val="00AE11C5"/>
    <w:rsid w:val="00AE15A5"/>
    <w:rsid w:val="00AE1B4D"/>
    <w:rsid w:val="00AE1CCA"/>
    <w:rsid w:val="00AE24C9"/>
    <w:rsid w:val="00AE2CF1"/>
    <w:rsid w:val="00AE37B8"/>
    <w:rsid w:val="00AE44B9"/>
    <w:rsid w:val="00AE4851"/>
    <w:rsid w:val="00AE49DD"/>
    <w:rsid w:val="00AE4BC4"/>
    <w:rsid w:val="00AE4E15"/>
    <w:rsid w:val="00AE4E4D"/>
    <w:rsid w:val="00AE61EC"/>
    <w:rsid w:val="00AE7945"/>
    <w:rsid w:val="00AE7E41"/>
    <w:rsid w:val="00AF0902"/>
    <w:rsid w:val="00AF0E5C"/>
    <w:rsid w:val="00AF133F"/>
    <w:rsid w:val="00AF1F07"/>
    <w:rsid w:val="00AF1FB9"/>
    <w:rsid w:val="00AF278E"/>
    <w:rsid w:val="00AF2A5C"/>
    <w:rsid w:val="00AF4057"/>
    <w:rsid w:val="00AF4140"/>
    <w:rsid w:val="00AF43BC"/>
    <w:rsid w:val="00AF45DF"/>
    <w:rsid w:val="00AF4743"/>
    <w:rsid w:val="00AF49B8"/>
    <w:rsid w:val="00AF5241"/>
    <w:rsid w:val="00AF58FE"/>
    <w:rsid w:val="00AF59FE"/>
    <w:rsid w:val="00AF5ADC"/>
    <w:rsid w:val="00AF5CB5"/>
    <w:rsid w:val="00AF61D1"/>
    <w:rsid w:val="00AF673E"/>
    <w:rsid w:val="00AF6CBA"/>
    <w:rsid w:val="00AF7F4A"/>
    <w:rsid w:val="00B004A8"/>
    <w:rsid w:val="00B004CA"/>
    <w:rsid w:val="00B0069E"/>
    <w:rsid w:val="00B01F6B"/>
    <w:rsid w:val="00B02145"/>
    <w:rsid w:val="00B02923"/>
    <w:rsid w:val="00B02A85"/>
    <w:rsid w:val="00B02ED2"/>
    <w:rsid w:val="00B02F4F"/>
    <w:rsid w:val="00B032CC"/>
    <w:rsid w:val="00B037DC"/>
    <w:rsid w:val="00B03841"/>
    <w:rsid w:val="00B04616"/>
    <w:rsid w:val="00B04FF7"/>
    <w:rsid w:val="00B053D2"/>
    <w:rsid w:val="00B054E9"/>
    <w:rsid w:val="00B05567"/>
    <w:rsid w:val="00B05EFC"/>
    <w:rsid w:val="00B06394"/>
    <w:rsid w:val="00B067C3"/>
    <w:rsid w:val="00B06E80"/>
    <w:rsid w:val="00B07110"/>
    <w:rsid w:val="00B0734F"/>
    <w:rsid w:val="00B076E2"/>
    <w:rsid w:val="00B07FA8"/>
    <w:rsid w:val="00B10DD4"/>
    <w:rsid w:val="00B113F7"/>
    <w:rsid w:val="00B11638"/>
    <w:rsid w:val="00B11E9F"/>
    <w:rsid w:val="00B1222F"/>
    <w:rsid w:val="00B12D7C"/>
    <w:rsid w:val="00B130C6"/>
    <w:rsid w:val="00B132DD"/>
    <w:rsid w:val="00B139E7"/>
    <w:rsid w:val="00B1449E"/>
    <w:rsid w:val="00B15614"/>
    <w:rsid w:val="00B1571B"/>
    <w:rsid w:val="00B15BB3"/>
    <w:rsid w:val="00B1613D"/>
    <w:rsid w:val="00B1622E"/>
    <w:rsid w:val="00B1659C"/>
    <w:rsid w:val="00B17170"/>
    <w:rsid w:val="00B20E0C"/>
    <w:rsid w:val="00B22487"/>
    <w:rsid w:val="00B22653"/>
    <w:rsid w:val="00B22D53"/>
    <w:rsid w:val="00B23073"/>
    <w:rsid w:val="00B233F3"/>
    <w:rsid w:val="00B23639"/>
    <w:rsid w:val="00B239B2"/>
    <w:rsid w:val="00B24AB3"/>
    <w:rsid w:val="00B24EAE"/>
    <w:rsid w:val="00B2504B"/>
    <w:rsid w:val="00B2559B"/>
    <w:rsid w:val="00B262F6"/>
    <w:rsid w:val="00B26BE1"/>
    <w:rsid w:val="00B279D6"/>
    <w:rsid w:val="00B30736"/>
    <w:rsid w:val="00B30993"/>
    <w:rsid w:val="00B30C55"/>
    <w:rsid w:val="00B30E45"/>
    <w:rsid w:val="00B31169"/>
    <w:rsid w:val="00B31460"/>
    <w:rsid w:val="00B31954"/>
    <w:rsid w:val="00B31B98"/>
    <w:rsid w:val="00B321FB"/>
    <w:rsid w:val="00B325BE"/>
    <w:rsid w:val="00B34541"/>
    <w:rsid w:val="00B34888"/>
    <w:rsid w:val="00B35102"/>
    <w:rsid w:val="00B35F06"/>
    <w:rsid w:val="00B363D9"/>
    <w:rsid w:val="00B366F0"/>
    <w:rsid w:val="00B36BC8"/>
    <w:rsid w:val="00B36D60"/>
    <w:rsid w:val="00B3791B"/>
    <w:rsid w:val="00B37D16"/>
    <w:rsid w:val="00B4136C"/>
    <w:rsid w:val="00B41B60"/>
    <w:rsid w:val="00B41CAC"/>
    <w:rsid w:val="00B41E3B"/>
    <w:rsid w:val="00B422A4"/>
    <w:rsid w:val="00B42EA3"/>
    <w:rsid w:val="00B43191"/>
    <w:rsid w:val="00B4323D"/>
    <w:rsid w:val="00B43ACF"/>
    <w:rsid w:val="00B43BAC"/>
    <w:rsid w:val="00B44280"/>
    <w:rsid w:val="00B44855"/>
    <w:rsid w:val="00B4489F"/>
    <w:rsid w:val="00B44C2F"/>
    <w:rsid w:val="00B44D7A"/>
    <w:rsid w:val="00B45084"/>
    <w:rsid w:val="00B4515F"/>
    <w:rsid w:val="00B45A4F"/>
    <w:rsid w:val="00B46525"/>
    <w:rsid w:val="00B467F9"/>
    <w:rsid w:val="00B47CCE"/>
    <w:rsid w:val="00B50C64"/>
    <w:rsid w:val="00B510EF"/>
    <w:rsid w:val="00B51B0F"/>
    <w:rsid w:val="00B51D57"/>
    <w:rsid w:val="00B51E2B"/>
    <w:rsid w:val="00B531E6"/>
    <w:rsid w:val="00B53976"/>
    <w:rsid w:val="00B54382"/>
    <w:rsid w:val="00B54A5D"/>
    <w:rsid w:val="00B5573F"/>
    <w:rsid w:val="00B55A78"/>
    <w:rsid w:val="00B56103"/>
    <w:rsid w:val="00B56121"/>
    <w:rsid w:val="00B561E1"/>
    <w:rsid w:val="00B561EF"/>
    <w:rsid w:val="00B56736"/>
    <w:rsid w:val="00B56CA3"/>
    <w:rsid w:val="00B571F2"/>
    <w:rsid w:val="00B6004B"/>
    <w:rsid w:val="00B60073"/>
    <w:rsid w:val="00B60BEE"/>
    <w:rsid w:val="00B60F28"/>
    <w:rsid w:val="00B617F6"/>
    <w:rsid w:val="00B61D4E"/>
    <w:rsid w:val="00B61D9A"/>
    <w:rsid w:val="00B62D22"/>
    <w:rsid w:val="00B632A7"/>
    <w:rsid w:val="00B63A57"/>
    <w:rsid w:val="00B63C83"/>
    <w:rsid w:val="00B63F5C"/>
    <w:rsid w:val="00B64188"/>
    <w:rsid w:val="00B644AC"/>
    <w:rsid w:val="00B64919"/>
    <w:rsid w:val="00B64B06"/>
    <w:rsid w:val="00B663C7"/>
    <w:rsid w:val="00B66901"/>
    <w:rsid w:val="00B66F14"/>
    <w:rsid w:val="00B67510"/>
    <w:rsid w:val="00B701E0"/>
    <w:rsid w:val="00B705B3"/>
    <w:rsid w:val="00B70E5D"/>
    <w:rsid w:val="00B721B9"/>
    <w:rsid w:val="00B72A41"/>
    <w:rsid w:val="00B72B5E"/>
    <w:rsid w:val="00B73A88"/>
    <w:rsid w:val="00B73B9F"/>
    <w:rsid w:val="00B7431D"/>
    <w:rsid w:val="00B743B6"/>
    <w:rsid w:val="00B74652"/>
    <w:rsid w:val="00B74A4F"/>
    <w:rsid w:val="00B75C38"/>
    <w:rsid w:val="00B75CFD"/>
    <w:rsid w:val="00B76177"/>
    <w:rsid w:val="00B763B5"/>
    <w:rsid w:val="00B76731"/>
    <w:rsid w:val="00B7688A"/>
    <w:rsid w:val="00B76EF3"/>
    <w:rsid w:val="00B804A2"/>
    <w:rsid w:val="00B8060A"/>
    <w:rsid w:val="00B81679"/>
    <w:rsid w:val="00B81D2A"/>
    <w:rsid w:val="00B8251C"/>
    <w:rsid w:val="00B826DC"/>
    <w:rsid w:val="00B8272D"/>
    <w:rsid w:val="00B836D6"/>
    <w:rsid w:val="00B83C7F"/>
    <w:rsid w:val="00B84639"/>
    <w:rsid w:val="00B848AF"/>
    <w:rsid w:val="00B855A6"/>
    <w:rsid w:val="00B856A4"/>
    <w:rsid w:val="00B856F4"/>
    <w:rsid w:val="00B866D0"/>
    <w:rsid w:val="00B86F2F"/>
    <w:rsid w:val="00B9043D"/>
    <w:rsid w:val="00B91A78"/>
    <w:rsid w:val="00B91C3E"/>
    <w:rsid w:val="00B91E14"/>
    <w:rsid w:val="00B9200B"/>
    <w:rsid w:val="00B93044"/>
    <w:rsid w:val="00B93176"/>
    <w:rsid w:val="00B9356B"/>
    <w:rsid w:val="00B93782"/>
    <w:rsid w:val="00B93906"/>
    <w:rsid w:val="00B94B8B"/>
    <w:rsid w:val="00B955E5"/>
    <w:rsid w:val="00B9591D"/>
    <w:rsid w:val="00B95BBD"/>
    <w:rsid w:val="00B9621F"/>
    <w:rsid w:val="00B9767E"/>
    <w:rsid w:val="00B97729"/>
    <w:rsid w:val="00B9779E"/>
    <w:rsid w:val="00B97BA3"/>
    <w:rsid w:val="00BA0979"/>
    <w:rsid w:val="00BA1011"/>
    <w:rsid w:val="00BA105F"/>
    <w:rsid w:val="00BA1628"/>
    <w:rsid w:val="00BA1F4D"/>
    <w:rsid w:val="00BA20F0"/>
    <w:rsid w:val="00BA29AE"/>
    <w:rsid w:val="00BA2A3E"/>
    <w:rsid w:val="00BA2B98"/>
    <w:rsid w:val="00BA2FAC"/>
    <w:rsid w:val="00BA315F"/>
    <w:rsid w:val="00BA3EAE"/>
    <w:rsid w:val="00BA4904"/>
    <w:rsid w:val="00BA5752"/>
    <w:rsid w:val="00BA6475"/>
    <w:rsid w:val="00BA710C"/>
    <w:rsid w:val="00BA72FA"/>
    <w:rsid w:val="00BB0711"/>
    <w:rsid w:val="00BB183C"/>
    <w:rsid w:val="00BB2236"/>
    <w:rsid w:val="00BB229B"/>
    <w:rsid w:val="00BB23FD"/>
    <w:rsid w:val="00BB28A8"/>
    <w:rsid w:val="00BB2EAC"/>
    <w:rsid w:val="00BB3818"/>
    <w:rsid w:val="00BB392E"/>
    <w:rsid w:val="00BB3956"/>
    <w:rsid w:val="00BB415A"/>
    <w:rsid w:val="00BB49AB"/>
    <w:rsid w:val="00BB5763"/>
    <w:rsid w:val="00BB60A2"/>
    <w:rsid w:val="00BB638D"/>
    <w:rsid w:val="00BB673F"/>
    <w:rsid w:val="00BB708E"/>
    <w:rsid w:val="00BB7699"/>
    <w:rsid w:val="00BC0351"/>
    <w:rsid w:val="00BC175F"/>
    <w:rsid w:val="00BC19E8"/>
    <w:rsid w:val="00BC1B3B"/>
    <w:rsid w:val="00BC1E8A"/>
    <w:rsid w:val="00BC2262"/>
    <w:rsid w:val="00BC27F3"/>
    <w:rsid w:val="00BC2D50"/>
    <w:rsid w:val="00BC37E6"/>
    <w:rsid w:val="00BC4A9A"/>
    <w:rsid w:val="00BC4C58"/>
    <w:rsid w:val="00BC5A05"/>
    <w:rsid w:val="00BC6583"/>
    <w:rsid w:val="00BC69A9"/>
    <w:rsid w:val="00BC6BB3"/>
    <w:rsid w:val="00BC6BCD"/>
    <w:rsid w:val="00BC6DF7"/>
    <w:rsid w:val="00BC7F27"/>
    <w:rsid w:val="00BD00FC"/>
    <w:rsid w:val="00BD16B3"/>
    <w:rsid w:val="00BD17B3"/>
    <w:rsid w:val="00BD2909"/>
    <w:rsid w:val="00BD2979"/>
    <w:rsid w:val="00BD2B78"/>
    <w:rsid w:val="00BD3DAA"/>
    <w:rsid w:val="00BD4114"/>
    <w:rsid w:val="00BD4152"/>
    <w:rsid w:val="00BD4C0C"/>
    <w:rsid w:val="00BD525B"/>
    <w:rsid w:val="00BD5667"/>
    <w:rsid w:val="00BD5ADD"/>
    <w:rsid w:val="00BD6191"/>
    <w:rsid w:val="00BD6BAD"/>
    <w:rsid w:val="00BD7F6A"/>
    <w:rsid w:val="00BE005E"/>
    <w:rsid w:val="00BE0499"/>
    <w:rsid w:val="00BE12F2"/>
    <w:rsid w:val="00BE13E0"/>
    <w:rsid w:val="00BE15FE"/>
    <w:rsid w:val="00BE18A9"/>
    <w:rsid w:val="00BE18B8"/>
    <w:rsid w:val="00BE1A11"/>
    <w:rsid w:val="00BE1B45"/>
    <w:rsid w:val="00BE1DF9"/>
    <w:rsid w:val="00BE1E6E"/>
    <w:rsid w:val="00BE2333"/>
    <w:rsid w:val="00BE2718"/>
    <w:rsid w:val="00BE275D"/>
    <w:rsid w:val="00BE2EC7"/>
    <w:rsid w:val="00BE30E3"/>
    <w:rsid w:val="00BE33D2"/>
    <w:rsid w:val="00BE38A1"/>
    <w:rsid w:val="00BE3BC5"/>
    <w:rsid w:val="00BE3D5A"/>
    <w:rsid w:val="00BE4282"/>
    <w:rsid w:val="00BE44AD"/>
    <w:rsid w:val="00BE4F70"/>
    <w:rsid w:val="00BE50D1"/>
    <w:rsid w:val="00BE58C1"/>
    <w:rsid w:val="00BE637D"/>
    <w:rsid w:val="00BE6709"/>
    <w:rsid w:val="00BE7076"/>
    <w:rsid w:val="00BE73DE"/>
    <w:rsid w:val="00BE7A73"/>
    <w:rsid w:val="00BE7CD6"/>
    <w:rsid w:val="00BF00AB"/>
    <w:rsid w:val="00BF012F"/>
    <w:rsid w:val="00BF06CD"/>
    <w:rsid w:val="00BF0848"/>
    <w:rsid w:val="00BF0D79"/>
    <w:rsid w:val="00BF0DD2"/>
    <w:rsid w:val="00BF1937"/>
    <w:rsid w:val="00BF1996"/>
    <w:rsid w:val="00BF2BA6"/>
    <w:rsid w:val="00BF3623"/>
    <w:rsid w:val="00BF40A2"/>
    <w:rsid w:val="00BF4FF5"/>
    <w:rsid w:val="00BF5FED"/>
    <w:rsid w:val="00BF6A8C"/>
    <w:rsid w:val="00BF701E"/>
    <w:rsid w:val="00BF75C1"/>
    <w:rsid w:val="00BF7B22"/>
    <w:rsid w:val="00BF7C43"/>
    <w:rsid w:val="00BF7FDD"/>
    <w:rsid w:val="00C000C0"/>
    <w:rsid w:val="00C009D5"/>
    <w:rsid w:val="00C01385"/>
    <w:rsid w:val="00C01653"/>
    <w:rsid w:val="00C01E7E"/>
    <w:rsid w:val="00C02DC0"/>
    <w:rsid w:val="00C030BE"/>
    <w:rsid w:val="00C040B2"/>
    <w:rsid w:val="00C04805"/>
    <w:rsid w:val="00C0506D"/>
    <w:rsid w:val="00C0522D"/>
    <w:rsid w:val="00C060C0"/>
    <w:rsid w:val="00C0624D"/>
    <w:rsid w:val="00C0632E"/>
    <w:rsid w:val="00C068D7"/>
    <w:rsid w:val="00C06DEA"/>
    <w:rsid w:val="00C0737C"/>
    <w:rsid w:val="00C07761"/>
    <w:rsid w:val="00C100EA"/>
    <w:rsid w:val="00C110AA"/>
    <w:rsid w:val="00C11C86"/>
    <w:rsid w:val="00C125B5"/>
    <w:rsid w:val="00C13B34"/>
    <w:rsid w:val="00C14B0F"/>
    <w:rsid w:val="00C14EA1"/>
    <w:rsid w:val="00C15514"/>
    <w:rsid w:val="00C15821"/>
    <w:rsid w:val="00C15BEF"/>
    <w:rsid w:val="00C16A3C"/>
    <w:rsid w:val="00C17B0A"/>
    <w:rsid w:val="00C17CD0"/>
    <w:rsid w:val="00C20F35"/>
    <w:rsid w:val="00C21448"/>
    <w:rsid w:val="00C218B0"/>
    <w:rsid w:val="00C21AC0"/>
    <w:rsid w:val="00C2255E"/>
    <w:rsid w:val="00C22CA4"/>
    <w:rsid w:val="00C22F0F"/>
    <w:rsid w:val="00C231AB"/>
    <w:rsid w:val="00C23B33"/>
    <w:rsid w:val="00C23F33"/>
    <w:rsid w:val="00C255CE"/>
    <w:rsid w:val="00C258EB"/>
    <w:rsid w:val="00C25C34"/>
    <w:rsid w:val="00C25EEF"/>
    <w:rsid w:val="00C2633E"/>
    <w:rsid w:val="00C2678E"/>
    <w:rsid w:val="00C26E04"/>
    <w:rsid w:val="00C277EC"/>
    <w:rsid w:val="00C309C2"/>
    <w:rsid w:val="00C30B7D"/>
    <w:rsid w:val="00C30F5C"/>
    <w:rsid w:val="00C31034"/>
    <w:rsid w:val="00C3167B"/>
    <w:rsid w:val="00C334CA"/>
    <w:rsid w:val="00C33739"/>
    <w:rsid w:val="00C3396A"/>
    <w:rsid w:val="00C33F16"/>
    <w:rsid w:val="00C34946"/>
    <w:rsid w:val="00C349E1"/>
    <w:rsid w:val="00C351A7"/>
    <w:rsid w:val="00C35338"/>
    <w:rsid w:val="00C353D6"/>
    <w:rsid w:val="00C35C72"/>
    <w:rsid w:val="00C36295"/>
    <w:rsid w:val="00C3710F"/>
    <w:rsid w:val="00C372AB"/>
    <w:rsid w:val="00C373B3"/>
    <w:rsid w:val="00C37CBD"/>
    <w:rsid w:val="00C40FD9"/>
    <w:rsid w:val="00C4185F"/>
    <w:rsid w:val="00C41FF7"/>
    <w:rsid w:val="00C42643"/>
    <w:rsid w:val="00C42D22"/>
    <w:rsid w:val="00C439AD"/>
    <w:rsid w:val="00C43E30"/>
    <w:rsid w:val="00C43F9A"/>
    <w:rsid w:val="00C45040"/>
    <w:rsid w:val="00C45F89"/>
    <w:rsid w:val="00C46C7F"/>
    <w:rsid w:val="00C46CFB"/>
    <w:rsid w:val="00C46F91"/>
    <w:rsid w:val="00C46FFE"/>
    <w:rsid w:val="00C47211"/>
    <w:rsid w:val="00C47506"/>
    <w:rsid w:val="00C475D7"/>
    <w:rsid w:val="00C47618"/>
    <w:rsid w:val="00C47B25"/>
    <w:rsid w:val="00C501BF"/>
    <w:rsid w:val="00C50486"/>
    <w:rsid w:val="00C50E88"/>
    <w:rsid w:val="00C510BB"/>
    <w:rsid w:val="00C519A5"/>
    <w:rsid w:val="00C51D1D"/>
    <w:rsid w:val="00C51E4D"/>
    <w:rsid w:val="00C5233F"/>
    <w:rsid w:val="00C52936"/>
    <w:rsid w:val="00C52E9E"/>
    <w:rsid w:val="00C531AD"/>
    <w:rsid w:val="00C53C14"/>
    <w:rsid w:val="00C5439F"/>
    <w:rsid w:val="00C54B0A"/>
    <w:rsid w:val="00C55C99"/>
    <w:rsid w:val="00C55F0C"/>
    <w:rsid w:val="00C563F4"/>
    <w:rsid w:val="00C56C20"/>
    <w:rsid w:val="00C570CF"/>
    <w:rsid w:val="00C57D78"/>
    <w:rsid w:val="00C60173"/>
    <w:rsid w:val="00C601D1"/>
    <w:rsid w:val="00C60562"/>
    <w:rsid w:val="00C6132F"/>
    <w:rsid w:val="00C61595"/>
    <w:rsid w:val="00C61AD1"/>
    <w:rsid w:val="00C61D00"/>
    <w:rsid w:val="00C62A22"/>
    <w:rsid w:val="00C6376E"/>
    <w:rsid w:val="00C63A63"/>
    <w:rsid w:val="00C64ABA"/>
    <w:rsid w:val="00C65FE7"/>
    <w:rsid w:val="00C66156"/>
    <w:rsid w:val="00C6639B"/>
    <w:rsid w:val="00C6791D"/>
    <w:rsid w:val="00C67B7C"/>
    <w:rsid w:val="00C67BD1"/>
    <w:rsid w:val="00C715CC"/>
    <w:rsid w:val="00C71606"/>
    <w:rsid w:val="00C7261A"/>
    <w:rsid w:val="00C72840"/>
    <w:rsid w:val="00C739F6"/>
    <w:rsid w:val="00C73AB8"/>
    <w:rsid w:val="00C7520B"/>
    <w:rsid w:val="00C7537F"/>
    <w:rsid w:val="00C7668B"/>
    <w:rsid w:val="00C76B30"/>
    <w:rsid w:val="00C7759E"/>
    <w:rsid w:val="00C77CDD"/>
    <w:rsid w:val="00C77D8E"/>
    <w:rsid w:val="00C80759"/>
    <w:rsid w:val="00C8087F"/>
    <w:rsid w:val="00C8095E"/>
    <w:rsid w:val="00C81782"/>
    <w:rsid w:val="00C81A2B"/>
    <w:rsid w:val="00C81F3D"/>
    <w:rsid w:val="00C82DB7"/>
    <w:rsid w:val="00C83394"/>
    <w:rsid w:val="00C83B70"/>
    <w:rsid w:val="00C8459A"/>
    <w:rsid w:val="00C847E9"/>
    <w:rsid w:val="00C84EC2"/>
    <w:rsid w:val="00C85DF9"/>
    <w:rsid w:val="00C861E4"/>
    <w:rsid w:val="00C86283"/>
    <w:rsid w:val="00C86BD3"/>
    <w:rsid w:val="00C86C15"/>
    <w:rsid w:val="00C875A5"/>
    <w:rsid w:val="00C87E74"/>
    <w:rsid w:val="00C904AC"/>
    <w:rsid w:val="00C90E6C"/>
    <w:rsid w:val="00C91F94"/>
    <w:rsid w:val="00C91FC1"/>
    <w:rsid w:val="00C931FB"/>
    <w:rsid w:val="00C9463B"/>
    <w:rsid w:val="00C9484A"/>
    <w:rsid w:val="00C94DBD"/>
    <w:rsid w:val="00C951E2"/>
    <w:rsid w:val="00C95D22"/>
    <w:rsid w:val="00C96C48"/>
    <w:rsid w:val="00C97176"/>
    <w:rsid w:val="00C97727"/>
    <w:rsid w:val="00CA0207"/>
    <w:rsid w:val="00CA045B"/>
    <w:rsid w:val="00CA0CBF"/>
    <w:rsid w:val="00CA17A3"/>
    <w:rsid w:val="00CA17AF"/>
    <w:rsid w:val="00CA2334"/>
    <w:rsid w:val="00CA280A"/>
    <w:rsid w:val="00CA2C1A"/>
    <w:rsid w:val="00CA2D86"/>
    <w:rsid w:val="00CA3CFB"/>
    <w:rsid w:val="00CA4505"/>
    <w:rsid w:val="00CA504C"/>
    <w:rsid w:val="00CA5323"/>
    <w:rsid w:val="00CA55EE"/>
    <w:rsid w:val="00CA5ADC"/>
    <w:rsid w:val="00CA5F2C"/>
    <w:rsid w:val="00CA652B"/>
    <w:rsid w:val="00CA6626"/>
    <w:rsid w:val="00CA6B0E"/>
    <w:rsid w:val="00CA74E8"/>
    <w:rsid w:val="00CA7CF5"/>
    <w:rsid w:val="00CB023C"/>
    <w:rsid w:val="00CB0864"/>
    <w:rsid w:val="00CB0D37"/>
    <w:rsid w:val="00CB18DF"/>
    <w:rsid w:val="00CB1A55"/>
    <w:rsid w:val="00CB2CCE"/>
    <w:rsid w:val="00CB2CF3"/>
    <w:rsid w:val="00CB36C2"/>
    <w:rsid w:val="00CB46AE"/>
    <w:rsid w:val="00CB49F1"/>
    <w:rsid w:val="00CB4A44"/>
    <w:rsid w:val="00CB5B04"/>
    <w:rsid w:val="00CB5F05"/>
    <w:rsid w:val="00CB5F76"/>
    <w:rsid w:val="00CB601E"/>
    <w:rsid w:val="00CB6844"/>
    <w:rsid w:val="00CB7C60"/>
    <w:rsid w:val="00CB7EEB"/>
    <w:rsid w:val="00CB7F44"/>
    <w:rsid w:val="00CC01AC"/>
    <w:rsid w:val="00CC0A7A"/>
    <w:rsid w:val="00CC0C5E"/>
    <w:rsid w:val="00CC0C78"/>
    <w:rsid w:val="00CC1434"/>
    <w:rsid w:val="00CC14EF"/>
    <w:rsid w:val="00CC180D"/>
    <w:rsid w:val="00CC1B78"/>
    <w:rsid w:val="00CC222D"/>
    <w:rsid w:val="00CC2ABC"/>
    <w:rsid w:val="00CC3123"/>
    <w:rsid w:val="00CC323C"/>
    <w:rsid w:val="00CC3514"/>
    <w:rsid w:val="00CC3F49"/>
    <w:rsid w:val="00CC4C74"/>
    <w:rsid w:val="00CC5D3B"/>
    <w:rsid w:val="00CC5E52"/>
    <w:rsid w:val="00CC6272"/>
    <w:rsid w:val="00CC7C7C"/>
    <w:rsid w:val="00CD00A5"/>
    <w:rsid w:val="00CD0158"/>
    <w:rsid w:val="00CD1718"/>
    <w:rsid w:val="00CD1DA7"/>
    <w:rsid w:val="00CD203D"/>
    <w:rsid w:val="00CD263B"/>
    <w:rsid w:val="00CD3634"/>
    <w:rsid w:val="00CD3934"/>
    <w:rsid w:val="00CD3AEB"/>
    <w:rsid w:val="00CD46CF"/>
    <w:rsid w:val="00CD4716"/>
    <w:rsid w:val="00CD4BAF"/>
    <w:rsid w:val="00CD512B"/>
    <w:rsid w:val="00CD5581"/>
    <w:rsid w:val="00CD5B62"/>
    <w:rsid w:val="00CD604C"/>
    <w:rsid w:val="00CD6280"/>
    <w:rsid w:val="00CD65F2"/>
    <w:rsid w:val="00CD6679"/>
    <w:rsid w:val="00CD6F83"/>
    <w:rsid w:val="00CD719D"/>
    <w:rsid w:val="00CD754F"/>
    <w:rsid w:val="00CE0768"/>
    <w:rsid w:val="00CE0CF8"/>
    <w:rsid w:val="00CE0D98"/>
    <w:rsid w:val="00CE13CA"/>
    <w:rsid w:val="00CE14E1"/>
    <w:rsid w:val="00CE156E"/>
    <w:rsid w:val="00CE2760"/>
    <w:rsid w:val="00CE2A76"/>
    <w:rsid w:val="00CE34D9"/>
    <w:rsid w:val="00CE398F"/>
    <w:rsid w:val="00CE46D2"/>
    <w:rsid w:val="00CE4B32"/>
    <w:rsid w:val="00CE5127"/>
    <w:rsid w:val="00CE564D"/>
    <w:rsid w:val="00CE58EC"/>
    <w:rsid w:val="00CE5A06"/>
    <w:rsid w:val="00CE64B2"/>
    <w:rsid w:val="00CE64D3"/>
    <w:rsid w:val="00CE6926"/>
    <w:rsid w:val="00CE6A3B"/>
    <w:rsid w:val="00CE7309"/>
    <w:rsid w:val="00CF0609"/>
    <w:rsid w:val="00CF0B33"/>
    <w:rsid w:val="00CF0BD2"/>
    <w:rsid w:val="00CF11A9"/>
    <w:rsid w:val="00CF2361"/>
    <w:rsid w:val="00CF26DD"/>
    <w:rsid w:val="00CF271C"/>
    <w:rsid w:val="00CF2829"/>
    <w:rsid w:val="00CF2B34"/>
    <w:rsid w:val="00CF2F04"/>
    <w:rsid w:val="00CF2F57"/>
    <w:rsid w:val="00CF322F"/>
    <w:rsid w:val="00CF354E"/>
    <w:rsid w:val="00CF35CB"/>
    <w:rsid w:val="00CF3C2E"/>
    <w:rsid w:val="00CF4903"/>
    <w:rsid w:val="00CF55E5"/>
    <w:rsid w:val="00CF5D65"/>
    <w:rsid w:val="00CF6D4B"/>
    <w:rsid w:val="00CF6F43"/>
    <w:rsid w:val="00CF758E"/>
    <w:rsid w:val="00D001EA"/>
    <w:rsid w:val="00D007D6"/>
    <w:rsid w:val="00D00ACB"/>
    <w:rsid w:val="00D013DE"/>
    <w:rsid w:val="00D019F2"/>
    <w:rsid w:val="00D01ACD"/>
    <w:rsid w:val="00D01C38"/>
    <w:rsid w:val="00D027A8"/>
    <w:rsid w:val="00D028C2"/>
    <w:rsid w:val="00D028DA"/>
    <w:rsid w:val="00D02A00"/>
    <w:rsid w:val="00D03404"/>
    <w:rsid w:val="00D03419"/>
    <w:rsid w:val="00D034B5"/>
    <w:rsid w:val="00D035FA"/>
    <w:rsid w:val="00D03674"/>
    <w:rsid w:val="00D0416B"/>
    <w:rsid w:val="00D042F2"/>
    <w:rsid w:val="00D046B0"/>
    <w:rsid w:val="00D04A28"/>
    <w:rsid w:val="00D04DDA"/>
    <w:rsid w:val="00D04FF7"/>
    <w:rsid w:val="00D051EF"/>
    <w:rsid w:val="00D053F9"/>
    <w:rsid w:val="00D0575C"/>
    <w:rsid w:val="00D057FC"/>
    <w:rsid w:val="00D05802"/>
    <w:rsid w:val="00D05A7B"/>
    <w:rsid w:val="00D063D4"/>
    <w:rsid w:val="00D06745"/>
    <w:rsid w:val="00D07AB2"/>
    <w:rsid w:val="00D105E9"/>
    <w:rsid w:val="00D108EC"/>
    <w:rsid w:val="00D10AC5"/>
    <w:rsid w:val="00D10D1D"/>
    <w:rsid w:val="00D1137E"/>
    <w:rsid w:val="00D11630"/>
    <w:rsid w:val="00D119A7"/>
    <w:rsid w:val="00D129E9"/>
    <w:rsid w:val="00D1365D"/>
    <w:rsid w:val="00D1387D"/>
    <w:rsid w:val="00D13BDE"/>
    <w:rsid w:val="00D14989"/>
    <w:rsid w:val="00D14996"/>
    <w:rsid w:val="00D14A5B"/>
    <w:rsid w:val="00D15B71"/>
    <w:rsid w:val="00D15C9F"/>
    <w:rsid w:val="00D16120"/>
    <w:rsid w:val="00D165C6"/>
    <w:rsid w:val="00D16941"/>
    <w:rsid w:val="00D16DED"/>
    <w:rsid w:val="00D16E65"/>
    <w:rsid w:val="00D17254"/>
    <w:rsid w:val="00D17D90"/>
    <w:rsid w:val="00D17EC3"/>
    <w:rsid w:val="00D20A18"/>
    <w:rsid w:val="00D20ADC"/>
    <w:rsid w:val="00D213BC"/>
    <w:rsid w:val="00D214E8"/>
    <w:rsid w:val="00D21820"/>
    <w:rsid w:val="00D21933"/>
    <w:rsid w:val="00D21A96"/>
    <w:rsid w:val="00D21D41"/>
    <w:rsid w:val="00D2298D"/>
    <w:rsid w:val="00D22A5A"/>
    <w:rsid w:val="00D22CA3"/>
    <w:rsid w:val="00D22DE8"/>
    <w:rsid w:val="00D22F25"/>
    <w:rsid w:val="00D24C15"/>
    <w:rsid w:val="00D25117"/>
    <w:rsid w:val="00D25371"/>
    <w:rsid w:val="00D25379"/>
    <w:rsid w:val="00D25728"/>
    <w:rsid w:val="00D25A15"/>
    <w:rsid w:val="00D25B5D"/>
    <w:rsid w:val="00D25CAC"/>
    <w:rsid w:val="00D25D0A"/>
    <w:rsid w:val="00D26299"/>
    <w:rsid w:val="00D2667B"/>
    <w:rsid w:val="00D27066"/>
    <w:rsid w:val="00D27E8D"/>
    <w:rsid w:val="00D301F0"/>
    <w:rsid w:val="00D30689"/>
    <w:rsid w:val="00D30993"/>
    <w:rsid w:val="00D30C42"/>
    <w:rsid w:val="00D30E62"/>
    <w:rsid w:val="00D31126"/>
    <w:rsid w:val="00D31753"/>
    <w:rsid w:val="00D31838"/>
    <w:rsid w:val="00D31D11"/>
    <w:rsid w:val="00D31E38"/>
    <w:rsid w:val="00D31FB2"/>
    <w:rsid w:val="00D3202A"/>
    <w:rsid w:val="00D32162"/>
    <w:rsid w:val="00D336F7"/>
    <w:rsid w:val="00D34D0E"/>
    <w:rsid w:val="00D34EE3"/>
    <w:rsid w:val="00D352AC"/>
    <w:rsid w:val="00D35C86"/>
    <w:rsid w:val="00D3671E"/>
    <w:rsid w:val="00D367C7"/>
    <w:rsid w:val="00D3760B"/>
    <w:rsid w:val="00D37F83"/>
    <w:rsid w:val="00D40BEB"/>
    <w:rsid w:val="00D40FCE"/>
    <w:rsid w:val="00D412A0"/>
    <w:rsid w:val="00D4180D"/>
    <w:rsid w:val="00D418E8"/>
    <w:rsid w:val="00D41DA7"/>
    <w:rsid w:val="00D4262B"/>
    <w:rsid w:val="00D42726"/>
    <w:rsid w:val="00D4290A"/>
    <w:rsid w:val="00D43428"/>
    <w:rsid w:val="00D43AF0"/>
    <w:rsid w:val="00D4461B"/>
    <w:rsid w:val="00D44F6F"/>
    <w:rsid w:val="00D454B9"/>
    <w:rsid w:val="00D45A3D"/>
    <w:rsid w:val="00D45EF8"/>
    <w:rsid w:val="00D46221"/>
    <w:rsid w:val="00D46A04"/>
    <w:rsid w:val="00D46B50"/>
    <w:rsid w:val="00D47DDF"/>
    <w:rsid w:val="00D50970"/>
    <w:rsid w:val="00D50C45"/>
    <w:rsid w:val="00D50EC8"/>
    <w:rsid w:val="00D51090"/>
    <w:rsid w:val="00D51C42"/>
    <w:rsid w:val="00D5241C"/>
    <w:rsid w:val="00D5262C"/>
    <w:rsid w:val="00D53B76"/>
    <w:rsid w:val="00D53E92"/>
    <w:rsid w:val="00D54285"/>
    <w:rsid w:val="00D54973"/>
    <w:rsid w:val="00D54E02"/>
    <w:rsid w:val="00D553B2"/>
    <w:rsid w:val="00D5562C"/>
    <w:rsid w:val="00D56BA7"/>
    <w:rsid w:val="00D570ED"/>
    <w:rsid w:val="00D5757D"/>
    <w:rsid w:val="00D57A1D"/>
    <w:rsid w:val="00D60778"/>
    <w:rsid w:val="00D607B3"/>
    <w:rsid w:val="00D614C2"/>
    <w:rsid w:val="00D61632"/>
    <w:rsid w:val="00D61837"/>
    <w:rsid w:val="00D6190E"/>
    <w:rsid w:val="00D62B3A"/>
    <w:rsid w:val="00D63672"/>
    <w:rsid w:val="00D63B93"/>
    <w:rsid w:val="00D63F98"/>
    <w:rsid w:val="00D64328"/>
    <w:rsid w:val="00D64517"/>
    <w:rsid w:val="00D6467F"/>
    <w:rsid w:val="00D6471C"/>
    <w:rsid w:val="00D64CD5"/>
    <w:rsid w:val="00D65123"/>
    <w:rsid w:val="00D651A6"/>
    <w:rsid w:val="00D65DDB"/>
    <w:rsid w:val="00D6717B"/>
    <w:rsid w:val="00D67E62"/>
    <w:rsid w:val="00D67F08"/>
    <w:rsid w:val="00D70775"/>
    <w:rsid w:val="00D7120D"/>
    <w:rsid w:val="00D71381"/>
    <w:rsid w:val="00D71770"/>
    <w:rsid w:val="00D71B1F"/>
    <w:rsid w:val="00D72467"/>
    <w:rsid w:val="00D73ACE"/>
    <w:rsid w:val="00D74AB6"/>
    <w:rsid w:val="00D77074"/>
    <w:rsid w:val="00D77738"/>
    <w:rsid w:val="00D777AB"/>
    <w:rsid w:val="00D77CCA"/>
    <w:rsid w:val="00D77F8F"/>
    <w:rsid w:val="00D80435"/>
    <w:rsid w:val="00D80D6E"/>
    <w:rsid w:val="00D81A54"/>
    <w:rsid w:val="00D81BEE"/>
    <w:rsid w:val="00D81C92"/>
    <w:rsid w:val="00D81D1D"/>
    <w:rsid w:val="00D82A95"/>
    <w:rsid w:val="00D82F28"/>
    <w:rsid w:val="00D840B1"/>
    <w:rsid w:val="00D84788"/>
    <w:rsid w:val="00D85046"/>
    <w:rsid w:val="00D8596E"/>
    <w:rsid w:val="00D85DF8"/>
    <w:rsid w:val="00D85FA4"/>
    <w:rsid w:val="00D8616B"/>
    <w:rsid w:val="00D86C75"/>
    <w:rsid w:val="00D86DFC"/>
    <w:rsid w:val="00D86E15"/>
    <w:rsid w:val="00D873D2"/>
    <w:rsid w:val="00D90399"/>
    <w:rsid w:val="00D91C64"/>
    <w:rsid w:val="00D921B3"/>
    <w:rsid w:val="00D93632"/>
    <w:rsid w:val="00D93E0B"/>
    <w:rsid w:val="00D94668"/>
    <w:rsid w:val="00D94C9D"/>
    <w:rsid w:val="00D94D57"/>
    <w:rsid w:val="00D94E55"/>
    <w:rsid w:val="00D95102"/>
    <w:rsid w:val="00D95400"/>
    <w:rsid w:val="00D97145"/>
    <w:rsid w:val="00D97492"/>
    <w:rsid w:val="00D978C7"/>
    <w:rsid w:val="00D97FD7"/>
    <w:rsid w:val="00DA011F"/>
    <w:rsid w:val="00DA08AD"/>
    <w:rsid w:val="00DA1487"/>
    <w:rsid w:val="00DA16B3"/>
    <w:rsid w:val="00DA21E3"/>
    <w:rsid w:val="00DA2AD5"/>
    <w:rsid w:val="00DA3017"/>
    <w:rsid w:val="00DA31B4"/>
    <w:rsid w:val="00DA3417"/>
    <w:rsid w:val="00DA3B90"/>
    <w:rsid w:val="00DA3BBE"/>
    <w:rsid w:val="00DA52A8"/>
    <w:rsid w:val="00DA5477"/>
    <w:rsid w:val="00DA599E"/>
    <w:rsid w:val="00DA5FBC"/>
    <w:rsid w:val="00DA616A"/>
    <w:rsid w:val="00DA662C"/>
    <w:rsid w:val="00DA6A2F"/>
    <w:rsid w:val="00DA6F34"/>
    <w:rsid w:val="00DA7101"/>
    <w:rsid w:val="00DA7E40"/>
    <w:rsid w:val="00DB00C6"/>
    <w:rsid w:val="00DB0417"/>
    <w:rsid w:val="00DB05D5"/>
    <w:rsid w:val="00DB09A3"/>
    <w:rsid w:val="00DB0FF6"/>
    <w:rsid w:val="00DB193E"/>
    <w:rsid w:val="00DB1CA9"/>
    <w:rsid w:val="00DB1E67"/>
    <w:rsid w:val="00DB2037"/>
    <w:rsid w:val="00DB274B"/>
    <w:rsid w:val="00DB2A6E"/>
    <w:rsid w:val="00DB34A6"/>
    <w:rsid w:val="00DB3908"/>
    <w:rsid w:val="00DB3A03"/>
    <w:rsid w:val="00DB3A2E"/>
    <w:rsid w:val="00DB3D29"/>
    <w:rsid w:val="00DB411E"/>
    <w:rsid w:val="00DB53AB"/>
    <w:rsid w:val="00DB5599"/>
    <w:rsid w:val="00DB5C1F"/>
    <w:rsid w:val="00DB6B7D"/>
    <w:rsid w:val="00DB745D"/>
    <w:rsid w:val="00DB7851"/>
    <w:rsid w:val="00DB7957"/>
    <w:rsid w:val="00DB7E0C"/>
    <w:rsid w:val="00DC0703"/>
    <w:rsid w:val="00DC0C7A"/>
    <w:rsid w:val="00DC0F5F"/>
    <w:rsid w:val="00DC10FA"/>
    <w:rsid w:val="00DC14A9"/>
    <w:rsid w:val="00DC1868"/>
    <w:rsid w:val="00DC1D62"/>
    <w:rsid w:val="00DC2092"/>
    <w:rsid w:val="00DC2416"/>
    <w:rsid w:val="00DC2B8F"/>
    <w:rsid w:val="00DC3373"/>
    <w:rsid w:val="00DC4733"/>
    <w:rsid w:val="00DC49BD"/>
    <w:rsid w:val="00DC4AA9"/>
    <w:rsid w:val="00DC4C8F"/>
    <w:rsid w:val="00DC5266"/>
    <w:rsid w:val="00DC5B7A"/>
    <w:rsid w:val="00DC6038"/>
    <w:rsid w:val="00DC6147"/>
    <w:rsid w:val="00DC699B"/>
    <w:rsid w:val="00DD08EC"/>
    <w:rsid w:val="00DD11A5"/>
    <w:rsid w:val="00DD140D"/>
    <w:rsid w:val="00DD172A"/>
    <w:rsid w:val="00DD1EE3"/>
    <w:rsid w:val="00DD242D"/>
    <w:rsid w:val="00DD3229"/>
    <w:rsid w:val="00DD372D"/>
    <w:rsid w:val="00DD3A0C"/>
    <w:rsid w:val="00DD3BA1"/>
    <w:rsid w:val="00DD3CE6"/>
    <w:rsid w:val="00DD513D"/>
    <w:rsid w:val="00DD5416"/>
    <w:rsid w:val="00DD582A"/>
    <w:rsid w:val="00DD6E6F"/>
    <w:rsid w:val="00DD6EB8"/>
    <w:rsid w:val="00DD791F"/>
    <w:rsid w:val="00DD7C7B"/>
    <w:rsid w:val="00DE01C9"/>
    <w:rsid w:val="00DE068D"/>
    <w:rsid w:val="00DE09F0"/>
    <w:rsid w:val="00DE139C"/>
    <w:rsid w:val="00DE14E5"/>
    <w:rsid w:val="00DE1647"/>
    <w:rsid w:val="00DE1698"/>
    <w:rsid w:val="00DE1862"/>
    <w:rsid w:val="00DE29E3"/>
    <w:rsid w:val="00DE2DEA"/>
    <w:rsid w:val="00DE350D"/>
    <w:rsid w:val="00DE36E7"/>
    <w:rsid w:val="00DE3A86"/>
    <w:rsid w:val="00DE4335"/>
    <w:rsid w:val="00DE49D6"/>
    <w:rsid w:val="00DE4B99"/>
    <w:rsid w:val="00DE5162"/>
    <w:rsid w:val="00DE64A6"/>
    <w:rsid w:val="00DE654B"/>
    <w:rsid w:val="00DE6739"/>
    <w:rsid w:val="00DE6D26"/>
    <w:rsid w:val="00DE75DD"/>
    <w:rsid w:val="00DF10B7"/>
    <w:rsid w:val="00DF2019"/>
    <w:rsid w:val="00DF291E"/>
    <w:rsid w:val="00DF2933"/>
    <w:rsid w:val="00DF376D"/>
    <w:rsid w:val="00DF5262"/>
    <w:rsid w:val="00DF58AB"/>
    <w:rsid w:val="00DF61E3"/>
    <w:rsid w:val="00DF6553"/>
    <w:rsid w:val="00DF6CEA"/>
    <w:rsid w:val="00DF73B1"/>
    <w:rsid w:val="00E005E0"/>
    <w:rsid w:val="00E020AE"/>
    <w:rsid w:val="00E02B08"/>
    <w:rsid w:val="00E02ED8"/>
    <w:rsid w:val="00E030E8"/>
    <w:rsid w:val="00E03214"/>
    <w:rsid w:val="00E03498"/>
    <w:rsid w:val="00E04011"/>
    <w:rsid w:val="00E04599"/>
    <w:rsid w:val="00E04641"/>
    <w:rsid w:val="00E04931"/>
    <w:rsid w:val="00E04B11"/>
    <w:rsid w:val="00E0579D"/>
    <w:rsid w:val="00E06F53"/>
    <w:rsid w:val="00E06F91"/>
    <w:rsid w:val="00E07979"/>
    <w:rsid w:val="00E1037E"/>
    <w:rsid w:val="00E110C4"/>
    <w:rsid w:val="00E11105"/>
    <w:rsid w:val="00E1144C"/>
    <w:rsid w:val="00E11A8A"/>
    <w:rsid w:val="00E123F5"/>
    <w:rsid w:val="00E12801"/>
    <w:rsid w:val="00E12C3F"/>
    <w:rsid w:val="00E13002"/>
    <w:rsid w:val="00E142FE"/>
    <w:rsid w:val="00E14311"/>
    <w:rsid w:val="00E14859"/>
    <w:rsid w:val="00E14921"/>
    <w:rsid w:val="00E14F12"/>
    <w:rsid w:val="00E1559C"/>
    <w:rsid w:val="00E15BCB"/>
    <w:rsid w:val="00E15D7F"/>
    <w:rsid w:val="00E15D97"/>
    <w:rsid w:val="00E177AB"/>
    <w:rsid w:val="00E17A8F"/>
    <w:rsid w:val="00E17AA7"/>
    <w:rsid w:val="00E17E72"/>
    <w:rsid w:val="00E17F84"/>
    <w:rsid w:val="00E20431"/>
    <w:rsid w:val="00E212A8"/>
    <w:rsid w:val="00E218AD"/>
    <w:rsid w:val="00E218EF"/>
    <w:rsid w:val="00E22483"/>
    <w:rsid w:val="00E22908"/>
    <w:rsid w:val="00E23C65"/>
    <w:rsid w:val="00E245B6"/>
    <w:rsid w:val="00E24DFE"/>
    <w:rsid w:val="00E24E6E"/>
    <w:rsid w:val="00E26220"/>
    <w:rsid w:val="00E262DE"/>
    <w:rsid w:val="00E270E1"/>
    <w:rsid w:val="00E27880"/>
    <w:rsid w:val="00E301B2"/>
    <w:rsid w:val="00E30208"/>
    <w:rsid w:val="00E304BD"/>
    <w:rsid w:val="00E30A1D"/>
    <w:rsid w:val="00E30CD6"/>
    <w:rsid w:val="00E3156A"/>
    <w:rsid w:val="00E324C0"/>
    <w:rsid w:val="00E325B0"/>
    <w:rsid w:val="00E336E4"/>
    <w:rsid w:val="00E33910"/>
    <w:rsid w:val="00E339CE"/>
    <w:rsid w:val="00E33FB4"/>
    <w:rsid w:val="00E3617D"/>
    <w:rsid w:val="00E36ABB"/>
    <w:rsid w:val="00E36CCA"/>
    <w:rsid w:val="00E37588"/>
    <w:rsid w:val="00E37B88"/>
    <w:rsid w:val="00E402EF"/>
    <w:rsid w:val="00E40929"/>
    <w:rsid w:val="00E415FE"/>
    <w:rsid w:val="00E426FA"/>
    <w:rsid w:val="00E42BAF"/>
    <w:rsid w:val="00E42C18"/>
    <w:rsid w:val="00E43158"/>
    <w:rsid w:val="00E435E9"/>
    <w:rsid w:val="00E43802"/>
    <w:rsid w:val="00E4519B"/>
    <w:rsid w:val="00E45781"/>
    <w:rsid w:val="00E46232"/>
    <w:rsid w:val="00E469EE"/>
    <w:rsid w:val="00E46D81"/>
    <w:rsid w:val="00E4700A"/>
    <w:rsid w:val="00E47311"/>
    <w:rsid w:val="00E4753A"/>
    <w:rsid w:val="00E50363"/>
    <w:rsid w:val="00E50BA7"/>
    <w:rsid w:val="00E50E95"/>
    <w:rsid w:val="00E51BB4"/>
    <w:rsid w:val="00E52115"/>
    <w:rsid w:val="00E5285C"/>
    <w:rsid w:val="00E5299B"/>
    <w:rsid w:val="00E52BFD"/>
    <w:rsid w:val="00E52C61"/>
    <w:rsid w:val="00E531D7"/>
    <w:rsid w:val="00E53826"/>
    <w:rsid w:val="00E539A7"/>
    <w:rsid w:val="00E53E02"/>
    <w:rsid w:val="00E53E38"/>
    <w:rsid w:val="00E54DEC"/>
    <w:rsid w:val="00E54EE7"/>
    <w:rsid w:val="00E551D1"/>
    <w:rsid w:val="00E56626"/>
    <w:rsid w:val="00E56ACF"/>
    <w:rsid w:val="00E56C3F"/>
    <w:rsid w:val="00E56FDC"/>
    <w:rsid w:val="00E57EBD"/>
    <w:rsid w:val="00E604E9"/>
    <w:rsid w:val="00E610ED"/>
    <w:rsid w:val="00E61597"/>
    <w:rsid w:val="00E61C4B"/>
    <w:rsid w:val="00E6289D"/>
    <w:rsid w:val="00E62A57"/>
    <w:rsid w:val="00E62E81"/>
    <w:rsid w:val="00E63160"/>
    <w:rsid w:val="00E63B17"/>
    <w:rsid w:val="00E64B20"/>
    <w:rsid w:val="00E64D58"/>
    <w:rsid w:val="00E65345"/>
    <w:rsid w:val="00E654A1"/>
    <w:rsid w:val="00E65FE3"/>
    <w:rsid w:val="00E67CF7"/>
    <w:rsid w:val="00E67E39"/>
    <w:rsid w:val="00E70403"/>
    <w:rsid w:val="00E71339"/>
    <w:rsid w:val="00E71970"/>
    <w:rsid w:val="00E71BE3"/>
    <w:rsid w:val="00E71F7A"/>
    <w:rsid w:val="00E721D0"/>
    <w:rsid w:val="00E73202"/>
    <w:rsid w:val="00E735CB"/>
    <w:rsid w:val="00E7379F"/>
    <w:rsid w:val="00E738F0"/>
    <w:rsid w:val="00E73D62"/>
    <w:rsid w:val="00E73ED0"/>
    <w:rsid w:val="00E74896"/>
    <w:rsid w:val="00E74A51"/>
    <w:rsid w:val="00E74F12"/>
    <w:rsid w:val="00E74F88"/>
    <w:rsid w:val="00E76280"/>
    <w:rsid w:val="00E763A1"/>
    <w:rsid w:val="00E766B9"/>
    <w:rsid w:val="00E769DE"/>
    <w:rsid w:val="00E76A6D"/>
    <w:rsid w:val="00E80365"/>
    <w:rsid w:val="00E80563"/>
    <w:rsid w:val="00E80F57"/>
    <w:rsid w:val="00E80F9B"/>
    <w:rsid w:val="00E8104B"/>
    <w:rsid w:val="00E81171"/>
    <w:rsid w:val="00E813BF"/>
    <w:rsid w:val="00E8182C"/>
    <w:rsid w:val="00E81839"/>
    <w:rsid w:val="00E82185"/>
    <w:rsid w:val="00E82417"/>
    <w:rsid w:val="00E82662"/>
    <w:rsid w:val="00E831E4"/>
    <w:rsid w:val="00E8374D"/>
    <w:rsid w:val="00E837CC"/>
    <w:rsid w:val="00E83E40"/>
    <w:rsid w:val="00E84C8A"/>
    <w:rsid w:val="00E84CB9"/>
    <w:rsid w:val="00E84FA2"/>
    <w:rsid w:val="00E85268"/>
    <w:rsid w:val="00E854A5"/>
    <w:rsid w:val="00E85848"/>
    <w:rsid w:val="00E86B31"/>
    <w:rsid w:val="00E8722D"/>
    <w:rsid w:val="00E874C1"/>
    <w:rsid w:val="00E87C7E"/>
    <w:rsid w:val="00E87DB2"/>
    <w:rsid w:val="00E90FA3"/>
    <w:rsid w:val="00E9106A"/>
    <w:rsid w:val="00E91623"/>
    <w:rsid w:val="00E91DD6"/>
    <w:rsid w:val="00E92472"/>
    <w:rsid w:val="00E925EA"/>
    <w:rsid w:val="00E93443"/>
    <w:rsid w:val="00E93C36"/>
    <w:rsid w:val="00E9427F"/>
    <w:rsid w:val="00E94440"/>
    <w:rsid w:val="00E94D83"/>
    <w:rsid w:val="00E9570E"/>
    <w:rsid w:val="00E9588A"/>
    <w:rsid w:val="00E95C34"/>
    <w:rsid w:val="00E96213"/>
    <w:rsid w:val="00E9650A"/>
    <w:rsid w:val="00E9696C"/>
    <w:rsid w:val="00E96AD2"/>
    <w:rsid w:val="00E974E5"/>
    <w:rsid w:val="00E97586"/>
    <w:rsid w:val="00E9799C"/>
    <w:rsid w:val="00E97F25"/>
    <w:rsid w:val="00EA12EA"/>
    <w:rsid w:val="00EA1946"/>
    <w:rsid w:val="00EA21A3"/>
    <w:rsid w:val="00EA2916"/>
    <w:rsid w:val="00EA3AB9"/>
    <w:rsid w:val="00EA42BC"/>
    <w:rsid w:val="00EA4CA9"/>
    <w:rsid w:val="00EA4FE4"/>
    <w:rsid w:val="00EA59E3"/>
    <w:rsid w:val="00EA5F21"/>
    <w:rsid w:val="00EA62AE"/>
    <w:rsid w:val="00EA664B"/>
    <w:rsid w:val="00EA6693"/>
    <w:rsid w:val="00EA6B3C"/>
    <w:rsid w:val="00EA7063"/>
    <w:rsid w:val="00EA758F"/>
    <w:rsid w:val="00EB03EA"/>
    <w:rsid w:val="00EB084F"/>
    <w:rsid w:val="00EB0AC2"/>
    <w:rsid w:val="00EB0D49"/>
    <w:rsid w:val="00EB1646"/>
    <w:rsid w:val="00EB20B1"/>
    <w:rsid w:val="00EB2E8E"/>
    <w:rsid w:val="00EB2F95"/>
    <w:rsid w:val="00EB32B8"/>
    <w:rsid w:val="00EB34DD"/>
    <w:rsid w:val="00EB4029"/>
    <w:rsid w:val="00EB4FBA"/>
    <w:rsid w:val="00EB6D62"/>
    <w:rsid w:val="00EB6DE6"/>
    <w:rsid w:val="00EB7099"/>
    <w:rsid w:val="00EB7361"/>
    <w:rsid w:val="00EB7499"/>
    <w:rsid w:val="00EC0462"/>
    <w:rsid w:val="00EC04D0"/>
    <w:rsid w:val="00EC0764"/>
    <w:rsid w:val="00EC0839"/>
    <w:rsid w:val="00EC098D"/>
    <w:rsid w:val="00EC1312"/>
    <w:rsid w:val="00EC17D7"/>
    <w:rsid w:val="00EC1C8D"/>
    <w:rsid w:val="00EC1E48"/>
    <w:rsid w:val="00EC1F5F"/>
    <w:rsid w:val="00EC2119"/>
    <w:rsid w:val="00EC28AB"/>
    <w:rsid w:val="00EC2922"/>
    <w:rsid w:val="00EC38B9"/>
    <w:rsid w:val="00EC4078"/>
    <w:rsid w:val="00EC41D7"/>
    <w:rsid w:val="00EC4BF9"/>
    <w:rsid w:val="00EC56C9"/>
    <w:rsid w:val="00EC5BA1"/>
    <w:rsid w:val="00EC5F25"/>
    <w:rsid w:val="00EC6094"/>
    <w:rsid w:val="00EC6296"/>
    <w:rsid w:val="00EC6E1B"/>
    <w:rsid w:val="00EC6EAC"/>
    <w:rsid w:val="00EC79E2"/>
    <w:rsid w:val="00EC7B22"/>
    <w:rsid w:val="00EC7BC3"/>
    <w:rsid w:val="00EC7C6C"/>
    <w:rsid w:val="00EC7DD7"/>
    <w:rsid w:val="00ED074B"/>
    <w:rsid w:val="00ED0B1B"/>
    <w:rsid w:val="00ED0D96"/>
    <w:rsid w:val="00ED1061"/>
    <w:rsid w:val="00ED19A0"/>
    <w:rsid w:val="00ED1DF6"/>
    <w:rsid w:val="00ED283B"/>
    <w:rsid w:val="00ED289A"/>
    <w:rsid w:val="00ED2B10"/>
    <w:rsid w:val="00ED2E71"/>
    <w:rsid w:val="00ED31DF"/>
    <w:rsid w:val="00ED386B"/>
    <w:rsid w:val="00ED3A31"/>
    <w:rsid w:val="00ED4057"/>
    <w:rsid w:val="00ED499A"/>
    <w:rsid w:val="00ED50CE"/>
    <w:rsid w:val="00ED543C"/>
    <w:rsid w:val="00ED5B23"/>
    <w:rsid w:val="00ED5B62"/>
    <w:rsid w:val="00ED5C6D"/>
    <w:rsid w:val="00ED60D8"/>
    <w:rsid w:val="00ED6ED1"/>
    <w:rsid w:val="00ED6F6A"/>
    <w:rsid w:val="00ED73A7"/>
    <w:rsid w:val="00ED7B80"/>
    <w:rsid w:val="00EE01E3"/>
    <w:rsid w:val="00EE0867"/>
    <w:rsid w:val="00EE0A60"/>
    <w:rsid w:val="00EE0D0F"/>
    <w:rsid w:val="00EE1285"/>
    <w:rsid w:val="00EE2411"/>
    <w:rsid w:val="00EE36ED"/>
    <w:rsid w:val="00EE36F4"/>
    <w:rsid w:val="00EE38F4"/>
    <w:rsid w:val="00EE3ED4"/>
    <w:rsid w:val="00EE42E8"/>
    <w:rsid w:val="00EE4463"/>
    <w:rsid w:val="00EE4BFF"/>
    <w:rsid w:val="00EE4FC6"/>
    <w:rsid w:val="00EE5987"/>
    <w:rsid w:val="00EE5E36"/>
    <w:rsid w:val="00EE6C51"/>
    <w:rsid w:val="00EE6FE3"/>
    <w:rsid w:val="00EE7234"/>
    <w:rsid w:val="00EF032A"/>
    <w:rsid w:val="00EF20FB"/>
    <w:rsid w:val="00EF2E0E"/>
    <w:rsid w:val="00EF3E1E"/>
    <w:rsid w:val="00EF40CB"/>
    <w:rsid w:val="00EF423C"/>
    <w:rsid w:val="00EF433F"/>
    <w:rsid w:val="00EF520D"/>
    <w:rsid w:val="00EF53B2"/>
    <w:rsid w:val="00EF5C08"/>
    <w:rsid w:val="00EF5C1E"/>
    <w:rsid w:val="00EF5D3D"/>
    <w:rsid w:val="00EF6014"/>
    <w:rsid w:val="00EF6189"/>
    <w:rsid w:val="00EF636D"/>
    <w:rsid w:val="00EF7152"/>
    <w:rsid w:val="00EF79E3"/>
    <w:rsid w:val="00F00AF1"/>
    <w:rsid w:val="00F023FF"/>
    <w:rsid w:val="00F02CFE"/>
    <w:rsid w:val="00F04A7E"/>
    <w:rsid w:val="00F04BFD"/>
    <w:rsid w:val="00F04F59"/>
    <w:rsid w:val="00F05C63"/>
    <w:rsid w:val="00F060D5"/>
    <w:rsid w:val="00F061AE"/>
    <w:rsid w:val="00F0693C"/>
    <w:rsid w:val="00F06E30"/>
    <w:rsid w:val="00F07672"/>
    <w:rsid w:val="00F079C6"/>
    <w:rsid w:val="00F079F3"/>
    <w:rsid w:val="00F07A9B"/>
    <w:rsid w:val="00F10003"/>
    <w:rsid w:val="00F103A4"/>
    <w:rsid w:val="00F108E4"/>
    <w:rsid w:val="00F10A3C"/>
    <w:rsid w:val="00F10B95"/>
    <w:rsid w:val="00F10C20"/>
    <w:rsid w:val="00F10DB1"/>
    <w:rsid w:val="00F111E7"/>
    <w:rsid w:val="00F11983"/>
    <w:rsid w:val="00F11C5B"/>
    <w:rsid w:val="00F11DF0"/>
    <w:rsid w:val="00F12584"/>
    <w:rsid w:val="00F127D3"/>
    <w:rsid w:val="00F12872"/>
    <w:rsid w:val="00F1295F"/>
    <w:rsid w:val="00F13367"/>
    <w:rsid w:val="00F13B3E"/>
    <w:rsid w:val="00F14105"/>
    <w:rsid w:val="00F145E4"/>
    <w:rsid w:val="00F16655"/>
    <w:rsid w:val="00F16E4C"/>
    <w:rsid w:val="00F20108"/>
    <w:rsid w:val="00F2056C"/>
    <w:rsid w:val="00F2139B"/>
    <w:rsid w:val="00F22E1D"/>
    <w:rsid w:val="00F23AB7"/>
    <w:rsid w:val="00F23ABE"/>
    <w:rsid w:val="00F23CB3"/>
    <w:rsid w:val="00F24187"/>
    <w:rsid w:val="00F255BE"/>
    <w:rsid w:val="00F2587F"/>
    <w:rsid w:val="00F262B4"/>
    <w:rsid w:val="00F26475"/>
    <w:rsid w:val="00F26E21"/>
    <w:rsid w:val="00F272BF"/>
    <w:rsid w:val="00F27D0F"/>
    <w:rsid w:val="00F27D96"/>
    <w:rsid w:val="00F27F1A"/>
    <w:rsid w:val="00F27F5B"/>
    <w:rsid w:val="00F30DAD"/>
    <w:rsid w:val="00F311A8"/>
    <w:rsid w:val="00F31983"/>
    <w:rsid w:val="00F31EEC"/>
    <w:rsid w:val="00F32022"/>
    <w:rsid w:val="00F329AE"/>
    <w:rsid w:val="00F329ED"/>
    <w:rsid w:val="00F32BB3"/>
    <w:rsid w:val="00F33045"/>
    <w:rsid w:val="00F33283"/>
    <w:rsid w:val="00F3352C"/>
    <w:rsid w:val="00F33F54"/>
    <w:rsid w:val="00F33FBC"/>
    <w:rsid w:val="00F34331"/>
    <w:rsid w:val="00F344A1"/>
    <w:rsid w:val="00F34A10"/>
    <w:rsid w:val="00F358C5"/>
    <w:rsid w:val="00F36011"/>
    <w:rsid w:val="00F362D9"/>
    <w:rsid w:val="00F36D95"/>
    <w:rsid w:val="00F375D9"/>
    <w:rsid w:val="00F377FA"/>
    <w:rsid w:val="00F40C38"/>
    <w:rsid w:val="00F40D63"/>
    <w:rsid w:val="00F4138D"/>
    <w:rsid w:val="00F42C62"/>
    <w:rsid w:val="00F43397"/>
    <w:rsid w:val="00F43890"/>
    <w:rsid w:val="00F439DB"/>
    <w:rsid w:val="00F43EAA"/>
    <w:rsid w:val="00F43EF6"/>
    <w:rsid w:val="00F4556C"/>
    <w:rsid w:val="00F459EE"/>
    <w:rsid w:val="00F46533"/>
    <w:rsid w:val="00F46D2C"/>
    <w:rsid w:val="00F472D2"/>
    <w:rsid w:val="00F479F4"/>
    <w:rsid w:val="00F47CFA"/>
    <w:rsid w:val="00F47DA0"/>
    <w:rsid w:val="00F47FE5"/>
    <w:rsid w:val="00F50CB9"/>
    <w:rsid w:val="00F51396"/>
    <w:rsid w:val="00F516AA"/>
    <w:rsid w:val="00F518B2"/>
    <w:rsid w:val="00F51976"/>
    <w:rsid w:val="00F51D23"/>
    <w:rsid w:val="00F52269"/>
    <w:rsid w:val="00F530F2"/>
    <w:rsid w:val="00F54A8B"/>
    <w:rsid w:val="00F55095"/>
    <w:rsid w:val="00F55A41"/>
    <w:rsid w:val="00F55F77"/>
    <w:rsid w:val="00F56399"/>
    <w:rsid w:val="00F566D8"/>
    <w:rsid w:val="00F57B82"/>
    <w:rsid w:val="00F57D3A"/>
    <w:rsid w:val="00F6000C"/>
    <w:rsid w:val="00F6019F"/>
    <w:rsid w:val="00F60475"/>
    <w:rsid w:val="00F60AA1"/>
    <w:rsid w:val="00F60B2E"/>
    <w:rsid w:val="00F61BB5"/>
    <w:rsid w:val="00F62D77"/>
    <w:rsid w:val="00F63EE1"/>
    <w:rsid w:val="00F653D3"/>
    <w:rsid w:val="00F653EC"/>
    <w:rsid w:val="00F66A52"/>
    <w:rsid w:val="00F66BA9"/>
    <w:rsid w:val="00F67090"/>
    <w:rsid w:val="00F67A8E"/>
    <w:rsid w:val="00F67DAF"/>
    <w:rsid w:val="00F7031A"/>
    <w:rsid w:val="00F71A83"/>
    <w:rsid w:val="00F726EE"/>
    <w:rsid w:val="00F72785"/>
    <w:rsid w:val="00F729E0"/>
    <w:rsid w:val="00F72AB9"/>
    <w:rsid w:val="00F72C38"/>
    <w:rsid w:val="00F72D4A"/>
    <w:rsid w:val="00F73224"/>
    <w:rsid w:val="00F73332"/>
    <w:rsid w:val="00F75183"/>
    <w:rsid w:val="00F7676E"/>
    <w:rsid w:val="00F76A63"/>
    <w:rsid w:val="00F771EA"/>
    <w:rsid w:val="00F772A1"/>
    <w:rsid w:val="00F7785F"/>
    <w:rsid w:val="00F77BA6"/>
    <w:rsid w:val="00F8000C"/>
    <w:rsid w:val="00F8000D"/>
    <w:rsid w:val="00F8112E"/>
    <w:rsid w:val="00F81749"/>
    <w:rsid w:val="00F81C30"/>
    <w:rsid w:val="00F81ED0"/>
    <w:rsid w:val="00F820C5"/>
    <w:rsid w:val="00F8462C"/>
    <w:rsid w:val="00F8580A"/>
    <w:rsid w:val="00F85E09"/>
    <w:rsid w:val="00F8621D"/>
    <w:rsid w:val="00F864C8"/>
    <w:rsid w:val="00F86664"/>
    <w:rsid w:val="00F86A81"/>
    <w:rsid w:val="00F86D11"/>
    <w:rsid w:val="00F8701D"/>
    <w:rsid w:val="00F872CC"/>
    <w:rsid w:val="00F8761D"/>
    <w:rsid w:val="00F87C84"/>
    <w:rsid w:val="00F87F56"/>
    <w:rsid w:val="00F90969"/>
    <w:rsid w:val="00F91F00"/>
    <w:rsid w:val="00F925C3"/>
    <w:rsid w:val="00F927BA"/>
    <w:rsid w:val="00F929FD"/>
    <w:rsid w:val="00F92BB8"/>
    <w:rsid w:val="00F92E17"/>
    <w:rsid w:val="00F932B4"/>
    <w:rsid w:val="00F934B4"/>
    <w:rsid w:val="00F934BD"/>
    <w:rsid w:val="00F9401D"/>
    <w:rsid w:val="00F943FA"/>
    <w:rsid w:val="00F947EF"/>
    <w:rsid w:val="00F97CE4"/>
    <w:rsid w:val="00F97FD7"/>
    <w:rsid w:val="00FA002D"/>
    <w:rsid w:val="00FA0902"/>
    <w:rsid w:val="00FA0C8B"/>
    <w:rsid w:val="00FA11C8"/>
    <w:rsid w:val="00FA1A92"/>
    <w:rsid w:val="00FA1EA4"/>
    <w:rsid w:val="00FA217F"/>
    <w:rsid w:val="00FA226A"/>
    <w:rsid w:val="00FA2610"/>
    <w:rsid w:val="00FA2B5D"/>
    <w:rsid w:val="00FA33C7"/>
    <w:rsid w:val="00FA33C8"/>
    <w:rsid w:val="00FA3522"/>
    <w:rsid w:val="00FA37B4"/>
    <w:rsid w:val="00FA443D"/>
    <w:rsid w:val="00FA4A14"/>
    <w:rsid w:val="00FA4E92"/>
    <w:rsid w:val="00FA52F4"/>
    <w:rsid w:val="00FA532E"/>
    <w:rsid w:val="00FA5484"/>
    <w:rsid w:val="00FA556D"/>
    <w:rsid w:val="00FA61F6"/>
    <w:rsid w:val="00FA62D5"/>
    <w:rsid w:val="00FA66E1"/>
    <w:rsid w:val="00FA68D8"/>
    <w:rsid w:val="00FA6A29"/>
    <w:rsid w:val="00FA733C"/>
    <w:rsid w:val="00FA7523"/>
    <w:rsid w:val="00FA77BE"/>
    <w:rsid w:val="00FA77D4"/>
    <w:rsid w:val="00FA78B7"/>
    <w:rsid w:val="00FB0916"/>
    <w:rsid w:val="00FB0938"/>
    <w:rsid w:val="00FB12F5"/>
    <w:rsid w:val="00FB1B94"/>
    <w:rsid w:val="00FB25AA"/>
    <w:rsid w:val="00FB268D"/>
    <w:rsid w:val="00FB312B"/>
    <w:rsid w:val="00FB389B"/>
    <w:rsid w:val="00FB3944"/>
    <w:rsid w:val="00FB3ECF"/>
    <w:rsid w:val="00FB43F3"/>
    <w:rsid w:val="00FB4695"/>
    <w:rsid w:val="00FB4994"/>
    <w:rsid w:val="00FB5384"/>
    <w:rsid w:val="00FB7149"/>
    <w:rsid w:val="00FB7386"/>
    <w:rsid w:val="00FB7E98"/>
    <w:rsid w:val="00FC07A6"/>
    <w:rsid w:val="00FC0CA8"/>
    <w:rsid w:val="00FC1AF1"/>
    <w:rsid w:val="00FC211A"/>
    <w:rsid w:val="00FC23BA"/>
    <w:rsid w:val="00FC24A3"/>
    <w:rsid w:val="00FC2943"/>
    <w:rsid w:val="00FC2B5F"/>
    <w:rsid w:val="00FC2BE9"/>
    <w:rsid w:val="00FC34CA"/>
    <w:rsid w:val="00FC3667"/>
    <w:rsid w:val="00FC3B2F"/>
    <w:rsid w:val="00FC3DDC"/>
    <w:rsid w:val="00FC3F74"/>
    <w:rsid w:val="00FC4A24"/>
    <w:rsid w:val="00FC50EF"/>
    <w:rsid w:val="00FC649C"/>
    <w:rsid w:val="00FC6AB4"/>
    <w:rsid w:val="00FC6D96"/>
    <w:rsid w:val="00FC7285"/>
    <w:rsid w:val="00FC7325"/>
    <w:rsid w:val="00FC7443"/>
    <w:rsid w:val="00FD000A"/>
    <w:rsid w:val="00FD0351"/>
    <w:rsid w:val="00FD03F5"/>
    <w:rsid w:val="00FD113C"/>
    <w:rsid w:val="00FD2182"/>
    <w:rsid w:val="00FD22B8"/>
    <w:rsid w:val="00FD2336"/>
    <w:rsid w:val="00FD2D8F"/>
    <w:rsid w:val="00FD31A7"/>
    <w:rsid w:val="00FD32C2"/>
    <w:rsid w:val="00FD36FB"/>
    <w:rsid w:val="00FD4317"/>
    <w:rsid w:val="00FD49D9"/>
    <w:rsid w:val="00FD4D1F"/>
    <w:rsid w:val="00FD57CB"/>
    <w:rsid w:val="00FD5BD4"/>
    <w:rsid w:val="00FD602D"/>
    <w:rsid w:val="00FD66B0"/>
    <w:rsid w:val="00FD78F3"/>
    <w:rsid w:val="00FE00AB"/>
    <w:rsid w:val="00FE00DE"/>
    <w:rsid w:val="00FE014C"/>
    <w:rsid w:val="00FE0215"/>
    <w:rsid w:val="00FE0C0C"/>
    <w:rsid w:val="00FE0FF2"/>
    <w:rsid w:val="00FE1B78"/>
    <w:rsid w:val="00FE20FD"/>
    <w:rsid w:val="00FE26AA"/>
    <w:rsid w:val="00FE2E40"/>
    <w:rsid w:val="00FE3578"/>
    <w:rsid w:val="00FE37AA"/>
    <w:rsid w:val="00FE4195"/>
    <w:rsid w:val="00FE4D2F"/>
    <w:rsid w:val="00FE4F03"/>
    <w:rsid w:val="00FE5138"/>
    <w:rsid w:val="00FE5158"/>
    <w:rsid w:val="00FE5A84"/>
    <w:rsid w:val="00FE61CA"/>
    <w:rsid w:val="00FE6379"/>
    <w:rsid w:val="00FE7376"/>
    <w:rsid w:val="00FE77E4"/>
    <w:rsid w:val="00FE7943"/>
    <w:rsid w:val="00FE795A"/>
    <w:rsid w:val="00FE7FAA"/>
    <w:rsid w:val="00FF0094"/>
    <w:rsid w:val="00FF0B31"/>
    <w:rsid w:val="00FF1BC7"/>
    <w:rsid w:val="00FF20CA"/>
    <w:rsid w:val="00FF20F9"/>
    <w:rsid w:val="00FF23F1"/>
    <w:rsid w:val="00FF283C"/>
    <w:rsid w:val="00FF3176"/>
    <w:rsid w:val="00FF31AD"/>
    <w:rsid w:val="00FF32E7"/>
    <w:rsid w:val="00FF3694"/>
    <w:rsid w:val="00FF38DC"/>
    <w:rsid w:val="00FF39C6"/>
    <w:rsid w:val="00FF43C5"/>
    <w:rsid w:val="00FF5B5C"/>
    <w:rsid w:val="00FF635A"/>
    <w:rsid w:val="0128DBBB"/>
    <w:rsid w:val="01538176"/>
    <w:rsid w:val="037C6787"/>
    <w:rsid w:val="0438205C"/>
    <w:rsid w:val="050E83A3"/>
    <w:rsid w:val="07F46F9F"/>
    <w:rsid w:val="141A3765"/>
    <w:rsid w:val="188DF2E2"/>
    <w:rsid w:val="18D00A56"/>
    <w:rsid w:val="20BA6093"/>
    <w:rsid w:val="21C8D857"/>
    <w:rsid w:val="23D5F4E4"/>
    <w:rsid w:val="273D8B94"/>
    <w:rsid w:val="2B1F1747"/>
    <w:rsid w:val="2D67A2BC"/>
    <w:rsid w:val="33FE2ADB"/>
    <w:rsid w:val="3C8E1E14"/>
    <w:rsid w:val="44D195DB"/>
    <w:rsid w:val="47753869"/>
    <w:rsid w:val="509AB09D"/>
    <w:rsid w:val="51093EF6"/>
    <w:rsid w:val="533D2FF4"/>
    <w:rsid w:val="550F0D4A"/>
    <w:rsid w:val="62C2B793"/>
    <w:rsid w:val="6331CC12"/>
    <w:rsid w:val="6FB9670F"/>
    <w:rsid w:val="7589F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8E755"/>
  <w15:docId w15:val="{3146E370-E1F8-4DF3-9A4D-705C3FD8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77CDD"/>
    <w:pPr>
      <w:jc w:val="both"/>
    </w:pPr>
    <w:rPr>
      <w:rFonts w:asciiTheme="minorHAnsi" w:eastAsiaTheme="minorHAnsi" w:hAnsiTheme="minorHAnsi"/>
    </w:rPr>
  </w:style>
  <w:style w:type="paragraph" w:styleId="Nadpis1">
    <w:name w:val="heading 1"/>
    <w:basedOn w:val="TextKZ"/>
    <w:next w:val="TextKP"/>
    <w:link w:val="Nadpis1Char"/>
    <w:qFormat/>
    <w:rsid w:val="00B41CAC"/>
    <w:pPr>
      <w:widowControl w:val="0"/>
      <w:numPr>
        <w:numId w:val="10"/>
      </w:numPr>
      <w:spacing w:after="120"/>
      <w:jc w:val="left"/>
      <w:outlineLvl w:val="0"/>
    </w:pPr>
    <w:rPr>
      <w:b/>
    </w:rPr>
  </w:style>
  <w:style w:type="paragraph" w:styleId="Nadpis2">
    <w:name w:val="heading 2"/>
    <w:basedOn w:val="TextKZ"/>
    <w:next w:val="TextKP"/>
    <w:link w:val="Nadpis2Char"/>
    <w:qFormat/>
    <w:rsid w:val="003E24E6"/>
    <w:pPr>
      <w:widowControl w:val="0"/>
      <w:numPr>
        <w:numId w:val="24"/>
      </w:numPr>
      <w:spacing w:after="120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TextKZ"/>
    <w:next w:val="TextKP"/>
    <w:link w:val="Nadpis3Char"/>
    <w:autoRedefine/>
    <w:uiPriority w:val="9"/>
    <w:qFormat/>
    <w:rsid w:val="00064C07"/>
    <w:pPr>
      <w:widowControl w:val="0"/>
      <w:numPr>
        <w:ilvl w:val="2"/>
        <w:numId w:val="10"/>
      </w:numPr>
      <w:spacing w:after="120"/>
      <w:outlineLvl w:val="2"/>
    </w:pPr>
    <w:rPr>
      <w:rFonts w:eastAsiaTheme="majorEastAsia" w:cstheme="majorBidi"/>
      <w:b/>
    </w:rPr>
  </w:style>
  <w:style w:type="paragraph" w:styleId="Nadpis4">
    <w:name w:val="heading 4"/>
    <w:basedOn w:val="TextKZ"/>
    <w:next w:val="TextKP"/>
    <w:link w:val="Nadpis4Char"/>
    <w:autoRedefine/>
    <w:uiPriority w:val="9"/>
    <w:qFormat/>
    <w:rsid w:val="008557F1"/>
    <w:pPr>
      <w:widowControl w:val="0"/>
      <w:numPr>
        <w:ilvl w:val="3"/>
        <w:numId w:val="10"/>
      </w:numPr>
      <w:spacing w:after="120"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8477AF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79C6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79C6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79C6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79C6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KZ">
    <w:name w:val="Text KZ"/>
    <w:basedOn w:val="Normln"/>
    <w:link w:val="TextKZChar"/>
    <w:unhideWhenUsed/>
    <w:qFormat/>
    <w:rsid w:val="00127707"/>
    <w:pPr>
      <w:spacing w:before="120"/>
    </w:pPr>
    <w:rPr>
      <w:rFonts w:cstheme="minorHAnsi"/>
    </w:rPr>
  </w:style>
  <w:style w:type="character" w:customStyle="1" w:styleId="TextKZChar">
    <w:name w:val="Text KZ Char"/>
    <w:basedOn w:val="Standardnpsmoodstavce"/>
    <w:link w:val="TextKZ"/>
    <w:rsid w:val="00127707"/>
    <w:rPr>
      <w:rFonts w:asciiTheme="minorHAnsi" w:eastAsiaTheme="minorHAnsi" w:hAnsiTheme="minorHAnsi" w:cstheme="minorHAnsi"/>
    </w:rPr>
  </w:style>
  <w:style w:type="paragraph" w:customStyle="1" w:styleId="TextKP">
    <w:name w:val="Text KP"/>
    <w:basedOn w:val="Normln"/>
    <w:link w:val="TextKPChar"/>
    <w:qFormat/>
    <w:rsid w:val="00D5757D"/>
    <w:pPr>
      <w:spacing w:before="120"/>
    </w:pPr>
    <w:rPr>
      <w:rFonts w:cstheme="minorHAnsi"/>
    </w:rPr>
  </w:style>
  <w:style w:type="character" w:customStyle="1" w:styleId="TextKPChar">
    <w:name w:val="Text KP Char"/>
    <w:basedOn w:val="Standardnpsmoodstavce"/>
    <w:link w:val="TextKP"/>
    <w:rsid w:val="00D5757D"/>
    <w:rPr>
      <w:rFonts w:asciiTheme="minorHAnsi" w:eastAsiaTheme="minorHAnsi" w:hAnsiTheme="minorHAnsi" w:cstheme="minorHAnsi"/>
    </w:rPr>
  </w:style>
  <w:style w:type="character" w:customStyle="1" w:styleId="Nadpis1Char">
    <w:name w:val="Nadpis 1 Char"/>
    <w:basedOn w:val="Standardnpsmoodstavce"/>
    <w:link w:val="Nadpis1"/>
    <w:rsid w:val="005B6FF1"/>
    <w:rPr>
      <w:rFonts w:asciiTheme="minorHAnsi" w:eastAsiaTheme="minorHAnsi" w:hAnsiTheme="minorHAnsi" w:cstheme="minorHAnsi"/>
      <w:b/>
    </w:rPr>
  </w:style>
  <w:style w:type="character" w:customStyle="1" w:styleId="Nadpis2Char">
    <w:name w:val="Nadpis 2 Char"/>
    <w:basedOn w:val="Standardnpsmoodstavce"/>
    <w:link w:val="Nadpis2"/>
    <w:rsid w:val="003E24E6"/>
    <w:rPr>
      <w:rFonts w:asciiTheme="minorHAnsi" w:eastAsiaTheme="majorEastAsia" w:hAnsiTheme="minorHAnsi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64C07"/>
    <w:rPr>
      <w:rFonts w:asciiTheme="minorHAnsi" w:eastAsiaTheme="majorEastAsia" w:hAnsiTheme="minorHAnsi" w:cstheme="majorBidi"/>
      <w:b/>
    </w:rPr>
  </w:style>
  <w:style w:type="character" w:customStyle="1" w:styleId="Nadpis4Char">
    <w:name w:val="Nadpis 4 Char"/>
    <w:basedOn w:val="Standardnpsmoodstavce"/>
    <w:link w:val="Nadpis4"/>
    <w:uiPriority w:val="9"/>
    <w:rsid w:val="008557F1"/>
    <w:rPr>
      <w:rFonts w:asciiTheme="minorHAnsi" w:eastAsiaTheme="majorEastAsia" w:hAnsiTheme="minorHAnsi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477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079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079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079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079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normln">
    <w:name w:val="Text normální"/>
    <w:basedOn w:val="Normln"/>
    <w:link w:val="TextnormlnChar"/>
    <w:unhideWhenUsed/>
    <w:rsid w:val="008477AF"/>
  </w:style>
  <w:style w:type="character" w:customStyle="1" w:styleId="TextnormlnChar">
    <w:name w:val="Text normální Char"/>
    <w:basedOn w:val="Standardnpsmoodstavce"/>
    <w:link w:val="Textnormln"/>
    <w:rsid w:val="008477AF"/>
    <w:rPr>
      <w:rFonts w:asciiTheme="minorHAnsi" w:hAnsiTheme="minorHAnsi"/>
    </w:rPr>
  </w:style>
  <w:style w:type="paragraph" w:customStyle="1" w:styleId="Zdrojeapozn">
    <w:name w:val="Zdroje a pozn."/>
    <w:basedOn w:val="Normln"/>
    <w:next w:val="Normln"/>
    <w:link w:val="ZdrojeapoznChar"/>
    <w:qFormat/>
    <w:rsid w:val="00D25728"/>
    <w:rPr>
      <w:bCs/>
      <w:sz w:val="20"/>
    </w:rPr>
  </w:style>
  <w:style w:type="character" w:customStyle="1" w:styleId="ZdrojeapoznChar">
    <w:name w:val="Zdroje a pozn. Char"/>
    <w:basedOn w:val="Standardnpsmoodstavce"/>
    <w:link w:val="Zdrojeapozn"/>
    <w:rsid w:val="00D25728"/>
    <w:rPr>
      <w:rFonts w:asciiTheme="minorHAnsi" w:eastAsiaTheme="minorHAnsi" w:hAnsiTheme="minorHAnsi"/>
      <w:bCs/>
      <w:sz w:val="20"/>
    </w:rPr>
  </w:style>
  <w:style w:type="paragraph" w:styleId="Citt">
    <w:name w:val="Quote"/>
    <w:basedOn w:val="Normln"/>
    <w:next w:val="Normln"/>
    <w:link w:val="CittChar"/>
    <w:uiPriority w:val="29"/>
    <w:unhideWhenUsed/>
    <w:rsid w:val="008477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7AF"/>
    <w:rPr>
      <w:rFonts w:asciiTheme="minorHAnsi" w:hAnsiTheme="minorHAnsi"/>
      <w:i/>
      <w:iCs/>
      <w:color w:val="404040" w:themeColor="text1" w:themeTint="BF"/>
    </w:rPr>
  </w:style>
  <w:style w:type="paragraph" w:styleId="Bezmezer">
    <w:name w:val="No Spacing"/>
    <w:link w:val="BezmezerChar"/>
    <w:uiPriority w:val="1"/>
    <w:unhideWhenUsed/>
    <w:rsid w:val="008477AF"/>
    <w:pPr>
      <w:jc w:val="both"/>
    </w:pPr>
  </w:style>
  <w:style w:type="character" w:customStyle="1" w:styleId="BezmezerChar">
    <w:name w:val="Bez mezer Char"/>
    <w:basedOn w:val="ZhlavChar"/>
    <w:link w:val="Bezmezer"/>
    <w:uiPriority w:val="1"/>
    <w:rsid w:val="00BE15FE"/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8477AF"/>
    <w:rPr>
      <w:rFonts w:asciiTheme="minorHAnsi" w:hAnsiTheme="minorHAnsi"/>
    </w:rPr>
  </w:style>
  <w:style w:type="paragraph" w:styleId="Zhlav">
    <w:name w:val="header"/>
    <w:basedOn w:val="Normln"/>
    <w:link w:val="ZhlavChar"/>
    <w:unhideWhenUsed/>
    <w:rsid w:val="008477AF"/>
    <w:pPr>
      <w:tabs>
        <w:tab w:val="center" w:pos="4536"/>
        <w:tab w:val="right" w:pos="9072"/>
      </w:tabs>
    </w:pPr>
  </w:style>
  <w:style w:type="paragraph" w:styleId="Nzev">
    <w:name w:val="Title"/>
    <w:aliases w:val="Graf č.,Pod čarou"/>
    <w:basedOn w:val="Normln"/>
    <w:next w:val="Normln"/>
    <w:link w:val="NzevChar"/>
    <w:uiPriority w:val="10"/>
    <w:unhideWhenUsed/>
    <w:qFormat/>
    <w:rsid w:val="00847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Graf č. Char,Pod čarou Char"/>
    <w:basedOn w:val="Standardnpsmoodstavce"/>
    <w:link w:val="Nzev"/>
    <w:uiPriority w:val="10"/>
    <w:rsid w:val="0084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nadpis 3"/>
    <w:basedOn w:val="Normln"/>
    <w:next w:val="Normln"/>
    <w:link w:val="PodnadpisChar"/>
    <w:uiPriority w:val="11"/>
    <w:unhideWhenUsed/>
    <w:rsid w:val="00064C07"/>
    <w:pPr>
      <w:spacing w:before="120" w:after="120"/>
      <w:outlineLvl w:val="2"/>
    </w:pPr>
    <w:rPr>
      <w:rFonts w:ascii="Calibri" w:eastAsiaTheme="minorEastAsia" w:hAnsi="Calibri"/>
      <w:b/>
      <w:szCs w:val="22"/>
    </w:rPr>
  </w:style>
  <w:style w:type="character" w:customStyle="1" w:styleId="PodnadpisChar">
    <w:name w:val="Podnadpis Char"/>
    <w:aliases w:val="nadpis 3 Char"/>
    <w:basedOn w:val="Standardnpsmoodstavce"/>
    <w:link w:val="Podnadpis"/>
    <w:uiPriority w:val="11"/>
    <w:rsid w:val="00064C07"/>
    <w:rPr>
      <w:rFonts w:eastAsiaTheme="minorEastAsia"/>
      <w:b/>
      <w:szCs w:val="22"/>
    </w:rPr>
  </w:style>
  <w:style w:type="character" w:styleId="Zdraznnjemn">
    <w:name w:val="Subtle Emphasis"/>
    <w:basedOn w:val="Standardnpsmoodstavce"/>
    <w:uiPriority w:val="19"/>
    <w:unhideWhenUsed/>
    <w:rsid w:val="008477AF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unhideWhenUsed/>
    <w:rsid w:val="008477AF"/>
    <w:rPr>
      <w:i/>
      <w:iCs/>
    </w:rPr>
  </w:style>
  <w:style w:type="character" w:styleId="Zdraznnintenzivn">
    <w:name w:val="Intense Emphasis"/>
    <w:basedOn w:val="Standardnpsmoodstavce"/>
    <w:uiPriority w:val="21"/>
    <w:unhideWhenUsed/>
    <w:rsid w:val="008477AF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unhideWhenUsed/>
    <w:rsid w:val="008477AF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unhideWhenUsed/>
    <w:rsid w:val="008477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7AF"/>
    <w:rPr>
      <w:rFonts w:asciiTheme="minorHAnsi" w:hAnsiTheme="minorHAnsi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unhideWhenUsed/>
    <w:rsid w:val="008477A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unhideWhenUsed/>
    <w:rsid w:val="008477AF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unhideWhenUsed/>
    <w:rsid w:val="008477AF"/>
    <w:rPr>
      <w:b/>
      <w:bCs/>
      <w:i/>
      <w:iCs/>
      <w:spacing w:val="5"/>
    </w:rPr>
  </w:style>
  <w:style w:type="paragraph" w:styleId="Odstavecseseznamem">
    <w:name w:val="List Paragraph"/>
    <w:aliases w:val="A-Odrážky1,List Paragraph1,List Paragraph_0,List Paragraph_0_0,List Paragraph_0_0_0,List Paragraph_0_0_0_0,Nad,Nad1,Nad2,Nadpis pro KZ,Odstavec cíl se seznamem,Odstavec se seznamem1,Odstavec se seznamem2,Odstavec_muj,můj Nadpis 2"/>
    <w:basedOn w:val="Normln"/>
    <w:next w:val="TextKP"/>
    <w:link w:val="OdstavecseseznamemChar"/>
    <w:uiPriority w:val="34"/>
    <w:qFormat/>
    <w:rsid w:val="00E50BA7"/>
    <w:pPr>
      <w:tabs>
        <w:tab w:val="num" w:pos="720"/>
      </w:tabs>
      <w:spacing w:before="60"/>
      <w:ind w:left="709" w:hanging="425"/>
    </w:pPr>
  </w:style>
  <w:style w:type="character" w:customStyle="1" w:styleId="OdstavecseseznamemChar">
    <w:name w:val="Odstavec se seznamem Char"/>
    <w:aliases w:val="A-Odrážky1 Char,List Paragraph1 Char,List Paragraph_0 Char,List Paragraph_0_0 Char,List Paragraph_0_0_0 Char,List Paragraph_0_0_0_0 Char,Nad Char,Nad1 Char,Nad2 Char,Nadpis pro KZ Char,Odstavec cíl se seznamem Char"/>
    <w:link w:val="Odstavecseseznamem"/>
    <w:uiPriority w:val="34"/>
    <w:qFormat/>
    <w:locked/>
    <w:rsid w:val="00E50BA7"/>
    <w:rPr>
      <w:rFonts w:asciiTheme="minorHAnsi" w:hAnsiTheme="minorHAnsi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0043BD"/>
    <w:pPr>
      <w:spacing w:before="120"/>
    </w:pPr>
    <w:rPr>
      <w:b/>
      <w:iCs/>
      <w:szCs w:val="18"/>
    </w:rPr>
  </w:style>
  <w:style w:type="character" w:customStyle="1" w:styleId="TitulekChar">
    <w:name w:val="Titulek Char"/>
    <w:link w:val="Titulek"/>
    <w:uiPriority w:val="35"/>
    <w:locked/>
    <w:rsid w:val="00D77F8F"/>
    <w:rPr>
      <w:rFonts w:asciiTheme="minorHAnsi" w:eastAsiaTheme="minorHAnsi" w:hAnsiTheme="minorHAnsi"/>
      <w:b/>
      <w:iCs/>
      <w:szCs w:val="18"/>
    </w:rPr>
  </w:style>
  <w:style w:type="paragraph" w:styleId="Nadpisobsahu">
    <w:name w:val="TOC Heading"/>
    <w:basedOn w:val="Nadpis1"/>
    <w:next w:val="Normln"/>
    <w:uiPriority w:val="39"/>
    <w:unhideWhenUsed/>
    <w:rsid w:val="00F079C6"/>
    <w:pPr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extpoznpodarou">
    <w:name w:val="footnote text"/>
    <w:aliases w:val="Boston 10,Char,Char Char Char1,Char1,Font: Geneva 9,Footnote,Footnote Text Char1,Fußnotentextf,Geneva 9,Schriftart: 10 pt,Schriftart: 8 pt,Schriftart: 9 pt,Text pozn. pod čarou1,Text poznámky pod čiarou 007,f,fn,o,pozn. pod čarou"/>
    <w:basedOn w:val="Normln"/>
    <w:link w:val="TextpoznpodarouChar"/>
    <w:uiPriority w:val="99"/>
    <w:unhideWhenUsed/>
    <w:qFormat/>
    <w:rsid w:val="00542928"/>
    <w:rPr>
      <w:sz w:val="20"/>
      <w:szCs w:val="20"/>
    </w:rPr>
  </w:style>
  <w:style w:type="character" w:customStyle="1" w:styleId="TextpoznpodarouChar">
    <w:name w:val="Text pozn. pod čarou Char"/>
    <w:aliases w:val="Boston 10 Char,Char Char,Char Char Char1 Char,Char1 Char,Font: Geneva 9 Char,Footnote Char,Footnote Text Char1 Char,Fußnotentextf Char,Geneva 9 Char,Schriftart: 10 pt Char,Schriftart: 8 pt Char,Schriftart: 9 pt Char,f Char"/>
    <w:basedOn w:val="Standardnpsmoodstavce"/>
    <w:link w:val="Textpoznpodarou"/>
    <w:uiPriority w:val="99"/>
    <w:qFormat/>
    <w:rsid w:val="00542928"/>
    <w:rPr>
      <w:rFonts w:asciiTheme="minorHAnsi" w:eastAsiaTheme="minorHAnsi" w:hAnsiTheme="minorHAns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47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7AF"/>
    <w:rPr>
      <w:rFonts w:asciiTheme="minorHAnsi" w:hAnsiTheme="minorHAnsi"/>
    </w:rPr>
  </w:style>
  <w:style w:type="character" w:styleId="Znakapoznpodarou">
    <w:name w:val="footnote reference"/>
    <w:aliases w:val="12 b.,4_G,Appel note de bas de p,Appel note de bas de page,BVI fnr,Char Car Car Car Car,Footnote Reference Superscript,Footnote symbol,Légende,Légende.Char Car Car Car Car,PGI Fußnote Ziffer,SUPE,Voetnootverwijzing,Zúžené o ...,fr"/>
    <w:basedOn w:val="Standardnpsmoodstavce"/>
    <w:link w:val="BVIfnrCharChar"/>
    <w:uiPriority w:val="99"/>
    <w:unhideWhenUsed/>
    <w:qFormat/>
    <w:rsid w:val="008477AF"/>
    <w:rPr>
      <w:vertAlign w:val="superscript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D84788"/>
    <w:pPr>
      <w:spacing w:after="160" w:line="240" w:lineRule="exact"/>
    </w:pPr>
    <w:rPr>
      <w:rFonts w:ascii="Calibri" w:eastAsia="Times New Roman" w:hAnsi="Calibri"/>
      <w:vertAlign w:val="superscript"/>
    </w:rPr>
  </w:style>
  <w:style w:type="paragraph" w:customStyle="1" w:styleId="TextPL">
    <w:name w:val="Text PL"/>
    <w:basedOn w:val="Normln"/>
    <w:link w:val="TextPLChar"/>
    <w:autoRedefine/>
    <w:rsid w:val="0050257C"/>
    <w:pPr>
      <w:spacing w:before="120"/>
    </w:pPr>
    <w:rPr>
      <w:lang w:val="en-US"/>
    </w:rPr>
  </w:style>
  <w:style w:type="character" w:customStyle="1" w:styleId="TextPLChar">
    <w:name w:val="Text PL Char"/>
    <w:basedOn w:val="Standardnpsmoodstavce"/>
    <w:link w:val="TextPL"/>
    <w:rsid w:val="0050257C"/>
    <w:rPr>
      <w:lang w:val="en-US"/>
    </w:rPr>
  </w:style>
  <w:style w:type="table" w:styleId="Mkatabulky">
    <w:name w:val="Table Grid"/>
    <w:basedOn w:val="Normlntabulka"/>
    <w:uiPriority w:val="39"/>
    <w:rsid w:val="00CA2C1A"/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CA2C1A"/>
    <w:rPr>
      <w:color w:val="000000"/>
      <w:sz w:val="28"/>
      <w:szCs w:val="28"/>
    </w:rPr>
  </w:style>
  <w:style w:type="character" w:customStyle="1" w:styleId="A4">
    <w:name w:val="A4"/>
    <w:uiPriority w:val="99"/>
    <w:rsid w:val="00CA2C1A"/>
    <w:rPr>
      <w:color w:val="000000"/>
      <w:sz w:val="60"/>
      <w:szCs w:val="60"/>
    </w:rPr>
  </w:style>
  <w:style w:type="table" w:customStyle="1" w:styleId="Mkatabulky11">
    <w:name w:val="Mřížka tabulky11"/>
    <w:basedOn w:val="Normlntabulka"/>
    <w:next w:val="Mkatabulky"/>
    <w:uiPriority w:val="39"/>
    <w:rsid w:val="00FA2B5D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7028"/>
    <w:rPr>
      <w:color w:val="0563C1" w:themeColor="hyperlink"/>
      <w:u w:val="single"/>
    </w:rPr>
  </w:style>
  <w:style w:type="paragraph" w:customStyle="1" w:styleId="Zdroj">
    <w:name w:val="Zdroj"/>
    <w:basedOn w:val="TextPL"/>
    <w:link w:val="ZdrojChar"/>
    <w:rsid w:val="00317028"/>
    <w:pPr>
      <w:spacing w:before="0"/>
    </w:pPr>
    <w:rPr>
      <w:rFonts w:ascii="Calibri" w:eastAsia="Times New Roman" w:hAnsi="Calibri" w:cs="Times New Roman"/>
      <w:sz w:val="20"/>
      <w:szCs w:val="22"/>
    </w:rPr>
  </w:style>
  <w:style w:type="character" w:customStyle="1" w:styleId="ZdrojChar">
    <w:name w:val="Zdroj Char"/>
    <w:basedOn w:val="TextPLChar"/>
    <w:link w:val="Zdroj"/>
    <w:rsid w:val="00317028"/>
    <w:rPr>
      <w:rFonts w:cs="Times New Roman"/>
      <w:sz w:val="20"/>
      <w:szCs w:val="22"/>
      <w:lang w:val="en-US"/>
    </w:rPr>
  </w:style>
  <w:style w:type="paragraph" w:customStyle="1" w:styleId="Zdrojapozn">
    <w:name w:val="Zdroj a pozn."/>
    <w:basedOn w:val="Normln"/>
    <w:next w:val="TextKZ"/>
    <w:link w:val="ZdrojapoznChar"/>
    <w:qFormat/>
    <w:rsid w:val="00CB7C60"/>
    <w:rPr>
      <w:rFonts w:ascii="Calibri" w:eastAsia="Times New Roman" w:hAnsi="Calibri" w:cs="Times New Roman"/>
      <w:sz w:val="20"/>
      <w:lang w:eastAsia="cs-CZ"/>
    </w:rPr>
  </w:style>
  <w:style w:type="character" w:customStyle="1" w:styleId="ZdrojapoznChar">
    <w:name w:val="Zdroj a pozn. Char"/>
    <w:basedOn w:val="Standardnpsmoodstavce"/>
    <w:link w:val="Zdrojapozn"/>
    <w:rsid w:val="00CB7C60"/>
    <w:rPr>
      <w:rFonts w:cs="Times New Roman"/>
      <w:sz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AD3FC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4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4B1"/>
    <w:rPr>
      <w:rFonts w:ascii="Segoe UI" w:eastAsiaTheme="minorHAns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rsid w:val="004034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451F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1F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F64"/>
    <w:rPr>
      <w:rFonts w:asciiTheme="minorHAnsi" w:eastAsia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F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F64"/>
    <w:rPr>
      <w:rFonts w:asciiTheme="minorHAnsi" w:eastAsiaTheme="minorHAnsi" w:hAnsiTheme="minorHAns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66E65"/>
    <w:rPr>
      <w:rFonts w:asciiTheme="minorHAnsi" w:eastAsiaTheme="minorHAnsi" w:hAnsiTheme="minorHAns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526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526DF"/>
    <w:rPr>
      <w:rFonts w:asciiTheme="minorHAnsi" w:eastAsiaTheme="minorHAnsi" w:hAnsiTheme="min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526DF"/>
    <w:rPr>
      <w:vertAlign w:val="superscript"/>
    </w:rPr>
  </w:style>
  <w:style w:type="paragraph" w:customStyle="1" w:styleId="Default">
    <w:name w:val="Default"/>
    <w:link w:val="DefaultChar"/>
    <w:rsid w:val="00856AA7"/>
    <w:pPr>
      <w:autoSpaceDE w:val="0"/>
      <w:autoSpaceDN w:val="0"/>
      <w:adjustRightInd w:val="0"/>
    </w:pPr>
    <w:rPr>
      <w:rFonts w:cs="Calibri"/>
      <w:color w:val="000000"/>
      <w:lang w:eastAsia="cs-CZ"/>
    </w:rPr>
  </w:style>
  <w:style w:type="character" w:customStyle="1" w:styleId="NzevtabulkaChar">
    <w:name w:val="Název tabulka Char"/>
    <w:basedOn w:val="Standardnpsmoodstavce"/>
    <w:link w:val="Nzevtabulka"/>
    <w:locked/>
    <w:rsid w:val="00FA0C8B"/>
    <w:rPr>
      <w:rFonts w:cstheme="minorHAnsi"/>
    </w:rPr>
  </w:style>
  <w:style w:type="paragraph" w:customStyle="1" w:styleId="Nzevtabulka">
    <w:name w:val="Název tabulka"/>
    <w:basedOn w:val="Normln"/>
    <w:link w:val="NzevtabulkaChar"/>
    <w:rsid w:val="00FA0C8B"/>
    <w:pPr>
      <w:keepNext/>
      <w:numPr>
        <w:numId w:val="1"/>
      </w:numPr>
      <w:spacing w:after="120"/>
    </w:pPr>
    <w:rPr>
      <w:rFonts w:ascii="Calibri" w:eastAsia="Times New Roman" w:hAnsi="Calibri" w:cstheme="minorHAnsi"/>
    </w:rPr>
  </w:style>
  <w:style w:type="paragraph" w:styleId="Obsah1">
    <w:name w:val="toc 1"/>
    <w:basedOn w:val="Normln"/>
    <w:next w:val="Normln"/>
    <w:autoRedefine/>
    <w:uiPriority w:val="39"/>
    <w:unhideWhenUsed/>
    <w:rsid w:val="00BE15FE"/>
    <w:pPr>
      <w:tabs>
        <w:tab w:val="left" w:pos="993"/>
        <w:tab w:val="right" w:leader="dot" w:pos="9060"/>
      </w:tabs>
      <w:spacing w:before="120"/>
    </w:pPr>
    <w:rPr>
      <w:rFonts w:eastAsia="Calibri" w:cstheme="minorHAnsi"/>
      <w:b/>
      <w:bCs/>
      <w:i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BE15FE"/>
    <w:pPr>
      <w:tabs>
        <w:tab w:val="left" w:pos="960"/>
        <w:tab w:val="right" w:leader="dot" w:pos="9062"/>
      </w:tabs>
      <w:spacing w:before="120"/>
      <w:ind w:left="993" w:hanging="753"/>
    </w:pPr>
    <w:rPr>
      <w:rFonts w:eastAsia="Times New Roman" w:cstheme="minorHAnsi"/>
      <w:b/>
      <w:b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BE15FE"/>
    <w:pPr>
      <w:tabs>
        <w:tab w:val="left" w:pos="1200"/>
        <w:tab w:val="right" w:leader="dot" w:pos="9062"/>
      </w:tabs>
      <w:ind w:left="1134" w:hanging="654"/>
    </w:pPr>
    <w:rPr>
      <w:rFonts w:eastAsia="Calibr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BE15FE"/>
    <w:pPr>
      <w:ind w:left="720"/>
    </w:pPr>
    <w:rPr>
      <w:rFonts w:eastAsia="Calibr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BE15FE"/>
    <w:pPr>
      <w:ind w:left="960"/>
    </w:pPr>
    <w:rPr>
      <w:rFonts w:eastAsia="Calibr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BE15FE"/>
    <w:pPr>
      <w:ind w:left="1200"/>
    </w:pPr>
    <w:rPr>
      <w:rFonts w:eastAsia="Calibr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BE15FE"/>
    <w:pPr>
      <w:ind w:left="1440"/>
    </w:pPr>
    <w:rPr>
      <w:rFonts w:eastAsia="Calibr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BE15FE"/>
    <w:pPr>
      <w:ind w:left="1680"/>
    </w:pPr>
    <w:rPr>
      <w:rFonts w:eastAsia="Calibr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BE15FE"/>
    <w:pPr>
      <w:ind w:left="1920"/>
    </w:pPr>
    <w:rPr>
      <w:rFonts w:eastAsia="Calibri" w:cstheme="minorHAnsi"/>
      <w:sz w:val="20"/>
      <w:szCs w:val="20"/>
    </w:rPr>
  </w:style>
  <w:style w:type="paragraph" w:customStyle="1" w:styleId="TextProgramu">
    <w:name w:val="Text Programu"/>
    <w:basedOn w:val="Normln"/>
    <w:link w:val="TextProgramuChar"/>
    <w:rsid w:val="00BE15FE"/>
    <w:pPr>
      <w:spacing w:after="120"/>
    </w:pPr>
    <w:rPr>
      <w:rFonts w:ascii="Calibri" w:eastAsia="Times New Roman" w:hAnsi="Calibri" w:cs="Times New Roman"/>
    </w:rPr>
  </w:style>
  <w:style w:type="character" w:customStyle="1" w:styleId="TextProgramuChar">
    <w:name w:val="Text Programu Char"/>
    <w:basedOn w:val="Standardnpsmoodstavce"/>
    <w:link w:val="TextProgramu"/>
    <w:rsid w:val="00BE15FE"/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E15FE"/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semiHidden/>
    <w:rsid w:val="00BE15FE"/>
    <w:pPr>
      <w:overflowPunct w:val="0"/>
      <w:autoSpaceDE w:val="0"/>
      <w:autoSpaceDN w:val="0"/>
      <w:adjustRightInd w:val="0"/>
      <w:ind w:firstLine="737"/>
    </w:pPr>
    <w:rPr>
      <w:rFonts w:ascii="Arial" w:eastAsia="Times New Roman" w:hAnsi="Arial" w:cs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E15FE"/>
    <w:rPr>
      <w:rFonts w:eastAsia="Calibri" w:cs="Calibri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E15FE"/>
    <w:pPr>
      <w:spacing w:after="120"/>
      <w:ind w:left="283"/>
    </w:pPr>
    <w:rPr>
      <w:rFonts w:ascii="Calibri" w:eastAsia="Calibri" w:hAnsi="Calibri" w:cs="Calibri"/>
      <w:sz w:val="16"/>
      <w:szCs w:val="16"/>
    </w:rPr>
  </w:style>
  <w:style w:type="paragraph" w:customStyle="1" w:styleId="Doplkovtext">
    <w:name w:val="Doplňkový text"/>
    <w:rsid w:val="00BE15FE"/>
    <w:pPr>
      <w:suppressAutoHyphens/>
      <w:jc w:val="both"/>
    </w:pPr>
    <w:rPr>
      <w:rFonts w:ascii="Times New Roman" w:hAnsi="Times New Roman" w:cs="Times New Roman"/>
      <w:lang w:eastAsia="ar-SA"/>
    </w:rPr>
  </w:style>
  <w:style w:type="paragraph" w:customStyle="1" w:styleId="Kritria">
    <w:name w:val="Kritéria"/>
    <w:basedOn w:val="TextKP"/>
    <w:next w:val="TextKP"/>
    <w:link w:val="KritriaChar"/>
    <w:rsid w:val="00BE15FE"/>
    <w:pPr>
      <w:spacing w:before="0"/>
    </w:pPr>
    <w:rPr>
      <w:rFonts w:eastAsia="Times New Roman"/>
      <w:i/>
    </w:rPr>
  </w:style>
  <w:style w:type="character" w:customStyle="1" w:styleId="KritriaChar">
    <w:name w:val="Kritéria Char"/>
    <w:basedOn w:val="TextKPChar"/>
    <w:link w:val="Kritria"/>
    <w:rsid w:val="00BE15FE"/>
    <w:rPr>
      <w:rFonts w:asciiTheme="minorHAnsi" w:eastAsia="Times New Roman" w:hAnsiTheme="minorHAnsi" w:cstheme="minorHAnsi"/>
      <w:i/>
    </w:rPr>
  </w:style>
  <w:style w:type="character" w:customStyle="1" w:styleId="ZkladntextChar">
    <w:name w:val="Základní text Char"/>
    <w:basedOn w:val="Standardnpsmoodstavce"/>
    <w:link w:val="Zkladntext"/>
    <w:semiHidden/>
    <w:rsid w:val="00BE15FE"/>
    <w:rPr>
      <w:rFonts w:ascii="Arial" w:hAnsi="Arial" w:cs="Arial"/>
      <w:i/>
      <w:iCs/>
      <w:sz w:val="18"/>
    </w:rPr>
  </w:style>
  <w:style w:type="paragraph" w:styleId="Zkladntext">
    <w:name w:val="Body Text"/>
    <w:basedOn w:val="Normln"/>
    <w:link w:val="ZkladntextChar"/>
    <w:semiHidden/>
    <w:rsid w:val="00BE15FE"/>
    <w:rPr>
      <w:rFonts w:ascii="Arial" w:eastAsia="Times New Roman" w:hAnsi="Arial" w:cs="Arial"/>
      <w:i/>
      <w:iCs/>
      <w:sz w:val="18"/>
    </w:rPr>
  </w:style>
  <w:style w:type="paragraph" w:customStyle="1" w:styleId="Zkonoobalech">
    <w:name w:val="Zákon o obalech"/>
    <w:basedOn w:val="TextPL"/>
    <w:rsid w:val="00BE15FE"/>
    <w:rPr>
      <w:rFonts w:ascii="Calibri" w:eastAsia="Calibri" w:hAnsi="Calibri" w:cs="Calibri"/>
      <w:szCs w:val="22"/>
      <w:lang w:val="cs-CZ"/>
    </w:rPr>
  </w:style>
  <w:style w:type="character" w:customStyle="1" w:styleId="Zkladntext0">
    <w:name w:val="Základní text_"/>
    <w:basedOn w:val="Standardnpsmoodstavce"/>
    <w:link w:val="Zkladntext1"/>
    <w:rsid w:val="00BE15FE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E15FE"/>
    <w:pPr>
      <w:widowControl w:val="0"/>
      <w:shd w:val="clear" w:color="auto" w:fill="FFFFFF"/>
      <w:spacing w:after="100" w:line="264" w:lineRule="auto"/>
    </w:pPr>
    <w:rPr>
      <w:rFonts w:ascii="Calibri" w:eastAsia="Times New Roman" w:hAnsi="Calibri"/>
    </w:rPr>
  </w:style>
  <w:style w:type="character" w:customStyle="1" w:styleId="Nadpis20">
    <w:name w:val="Nadpis #2_"/>
    <w:basedOn w:val="Standardnpsmoodstavce"/>
    <w:link w:val="Nadpis21"/>
    <w:rsid w:val="00BE15FE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BE15FE"/>
    <w:pPr>
      <w:widowControl w:val="0"/>
      <w:shd w:val="clear" w:color="auto" w:fill="FFFFFF"/>
      <w:spacing w:after="100" w:line="264" w:lineRule="auto"/>
      <w:ind w:left="380" w:hanging="380"/>
      <w:outlineLvl w:val="1"/>
    </w:pPr>
    <w:rPr>
      <w:rFonts w:ascii="Calibri" w:eastAsia="Times New Roman" w:hAnsi="Calibri"/>
      <w:b/>
      <w:bCs/>
    </w:rPr>
  </w:style>
  <w:style w:type="character" w:customStyle="1" w:styleId="Titulektabulky">
    <w:name w:val="Titulek tabulky_"/>
    <w:basedOn w:val="Standardnpsmoodstavce"/>
    <w:link w:val="Titulektabulky0"/>
    <w:rsid w:val="00BE15FE"/>
    <w:rPr>
      <w:rFonts w:eastAsia="Calibri" w:cs="Calibri"/>
      <w:b/>
      <w:bCs/>
      <w:sz w:val="8"/>
      <w:szCs w:val="8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BE15FE"/>
    <w:pPr>
      <w:widowControl w:val="0"/>
      <w:shd w:val="clear" w:color="auto" w:fill="FFFFFF"/>
    </w:pPr>
    <w:rPr>
      <w:rFonts w:ascii="Calibri" w:eastAsia="Calibri" w:hAnsi="Calibri" w:cs="Calibri"/>
      <w:b/>
      <w:bCs/>
      <w:sz w:val="8"/>
      <w:szCs w:val="8"/>
    </w:rPr>
  </w:style>
  <w:style w:type="paragraph" w:customStyle="1" w:styleId="CM1">
    <w:name w:val="CM1"/>
    <w:basedOn w:val="Default"/>
    <w:next w:val="Default"/>
    <w:uiPriority w:val="99"/>
    <w:rsid w:val="00BE15FE"/>
  </w:style>
  <w:style w:type="paragraph" w:customStyle="1" w:styleId="CM3">
    <w:name w:val="CM3"/>
    <w:basedOn w:val="Default"/>
    <w:next w:val="Default"/>
    <w:uiPriority w:val="99"/>
    <w:rsid w:val="00BE15FE"/>
  </w:style>
  <w:style w:type="paragraph" w:customStyle="1" w:styleId="CM4">
    <w:name w:val="CM4"/>
    <w:basedOn w:val="Default"/>
    <w:next w:val="Default"/>
    <w:uiPriority w:val="99"/>
    <w:rsid w:val="00BE15FE"/>
  </w:style>
  <w:style w:type="paragraph" w:customStyle="1" w:styleId="Standard">
    <w:name w:val="Standard"/>
    <w:rsid w:val="00BE15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eastAsia="cs-CZ"/>
    </w:rPr>
  </w:style>
  <w:style w:type="paragraph" w:customStyle="1" w:styleId="Bodydosti">
    <w:name w:val="Body žádosti"/>
    <w:basedOn w:val="Odstavecseseznamem"/>
    <w:next w:val="Normln"/>
    <w:link w:val="BodydostiChar"/>
    <w:rsid w:val="00BE15FE"/>
    <w:pPr>
      <w:keepNext/>
      <w:numPr>
        <w:numId w:val="2"/>
      </w:numPr>
      <w:spacing w:before="120" w:after="120"/>
      <w:ind w:left="357" w:hanging="357"/>
    </w:pPr>
    <w:rPr>
      <w:rFonts w:ascii="Segoe UI" w:eastAsia="Times New Roman" w:hAnsi="Segoe UI" w:cs="Segoe UI"/>
      <w:b/>
      <w:sz w:val="20"/>
      <w:szCs w:val="20"/>
      <w:lang w:eastAsia="cs-CZ"/>
    </w:rPr>
  </w:style>
  <w:style w:type="character" w:customStyle="1" w:styleId="BodydostiChar">
    <w:name w:val="Body žádosti Char"/>
    <w:basedOn w:val="Standardnpsmoodstavce"/>
    <w:link w:val="Bodydosti"/>
    <w:rsid w:val="00BE15FE"/>
    <w:rPr>
      <w:rFonts w:ascii="Segoe UI" w:hAnsi="Segoe UI" w:cs="Segoe UI"/>
      <w:b/>
      <w:sz w:val="20"/>
      <w:szCs w:val="20"/>
      <w:lang w:eastAsia="cs-CZ"/>
    </w:rPr>
  </w:style>
  <w:style w:type="paragraph" w:customStyle="1" w:styleId="Tabulka">
    <w:name w:val="Tabulka č."/>
    <w:basedOn w:val="Nzevtabulka"/>
    <w:link w:val="TabulkaChar"/>
    <w:rsid w:val="00BE15FE"/>
    <w:pPr>
      <w:numPr>
        <w:numId w:val="3"/>
      </w:numPr>
      <w:ind w:left="357" w:hanging="357"/>
      <w:jc w:val="left"/>
    </w:pPr>
    <w:rPr>
      <w:rFonts w:asciiTheme="minorHAnsi" w:hAnsiTheme="minorHAnsi"/>
    </w:rPr>
  </w:style>
  <w:style w:type="character" w:customStyle="1" w:styleId="TabulkaChar">
    <w:name w:val="Tabulka č. Char"/>
    <w:basedOn w:val="NzevtabulkaChar"/>
    <w:link w:val="Tabulka"/>
    <w:rsid w:val="00BE15FE"/>
    <w:rPr>
      <w:rFonts w:asciiTheme="minorHAnsi" w:hAnsiTheme="minorHAnsi" w:cstheme="minorHAnsi"/>
    </w:rPr>
  </w:style>
  <w:style w:type="paragraph" w:customStyle="1" w:styleId="doc-ti">
    <w:name w:val="doc-ti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customStyle="1" w:styleId="Obrzek">
    <w:name w:val="Obrázek č."/>
    <w:basedOn w:val="TextKZ"/>
    <w:link w:val="ObrzekChar"/>
    <w:rsid w:val="00BE15FE"/>
    <w:pPr>
      <w:spacing w:after="120"/>
    </w:pPr>
    <w:rPr>
      <w:rFonts w:eastAsia="Calibri"/>
      <w:b/>
      <w:szCs w:val="22"/>
    </w:rPr>
  </w:style>
  <w:style w:type="character" w:customStyle="1" w:styleId="ObrzekChar">
    <w:name w:val="Obrázek č. Char"/>
    <w:basedOn w:val="TextKZChar"/>
    <w:link w:val="Obrzek"/>
    <w:rsid w:val="00BE15FE"/>
    <w:rPr>
      <w:rFonts w:asciiTheme="minorHAnsi" w:eastAsia="Calibri" w:hAnsiTheme="minorHAnsi" w:cstheme="minorHAnsi"/>
      <w:b/>
      <w:szCs w:val="22"/>
    </w:rPr>
  </w:style>
  <w:style w:type="paragraph" w:customStyle="1" w:styleId="OM-normln">
    <w:name w:val="OM - normální"/>
    <w:basedOn w:val="Normln"/>
    <w:uiPriority w:val="99"/>
    <w:rsid w:val="00BE15FE"/>
    <w:pPr>
      <w:spacing w:after="120"/>
    </w:pPr>
    <w:rPr>
      <w:rFonts w:ascii="Arial" w:eastAsia="Calibri" w:hAnsi="Arial" w:cs="Arial"/>
      <w:sz w:val="20"/>
      <w:szCs w:val="20"/>
    </w:rPr>
  </w:style>
  <w:style w:type="paragraph" w:customStyle="1" w:styleId="msonormal0">
    <w:name w:val="msonormal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 w:bidi="bn-BD"/>
    </w:rPr>
  </w:style>
  <w:style w:type="paragraph" w:customStyle="1" w:styleId="xl65">
    <w:name w:val="xl6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66">
    <w:name w:val="xl6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67">
    <w:name w:val="xl6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68">
    <w:name w:val="xl6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69">
    <w:name w:val="xl69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0">
    <w:name w:val="xl7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1">
    <w:name w:val="xl71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2">
    <w:name w:val="xl72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3">
    <w:name w:val="xl7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4">
    <w:name w:val="xl7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5">
    <w:name w:val="xl7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6">
    <w:name w:val="xl7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77">
    <w:name w:val="xl7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78">
    <w:name w:val="xl7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6C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4"/>
      <w:szCs w:val="14"/>
      <w:lang w:eastAsia="cs-CZ"/>
    </w:rPr>
  </w:style>
  <w:style w:type="paragraph" w:customStyle="1" w:styleId="xl79">
    <w:name w:val="xl79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xl80">
    <w:name w:val="xl8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1">
    <w:name w:val="xl81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2">
    <w:name w:val="xl82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83">
    <w:name w:val="xl8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4">
    <w:name w:val="xl8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5">
    <w:name w:val="xl85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6">
    <w:name w:val="xl86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cs-CZ"/>
    </w:rPr>
  </w:style>
  <w:style w:type="paragraph" w:customStyle="1" w:styleId="xl87">
    <w:name w:val="xl8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88">
    <w:name w:val="xl88"/>
    <w:basedOn w:val="Normln"/>
    <w:rsid w:val="00BE15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89">
    <w:name w:val="xl89"/>
    <w:basedOn w:val="Normln"/>
    <w:rsid w:val="00BE15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90">
    <w:name w:val="xl90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1">
    <w:name w:val="xl91"/>
    <w:basedOn w:val="Normln"/>
    <w:rsid w:val="00BE15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2">
    <w:name w:val="xl92"/>
    <w:basedOn w:val="Normln"/>
    <w:rsid w:val="00BE15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3">
    <w:name w:val="xl93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cs-CZ"/>
    </w:rPr>
  </w:style>
  <w:style w:type="paragraph" w:customStyle="1" w:styleId="xl94">
    <w:name w:val="xl94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5">
    <w:name w:val="xl95"/>
    <w:basedOn w:val="Normln"/>
    <w:rsid w:val="00BE15FE"/>
    <w:pPr>
      <w:pBdr>
        <w:top w:val="single" w:sz="4" w:space="0" w:color="auto"/>
        <w:bottom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6">
    <w:name w:val="xl96"/>
    <w:basedOn w:val="Normln"/>
    <w:rsid w:val="00BE15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7">
    <w:name w:val="xl97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customStyle="1" w:styleId="xl98">
    <w:name w:val="xl98"/>
    <w:basedOn w:val="Normln"/>
    <w:rsid w:val="00BE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F1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cs-CZ"/>
    </w:rPr>
  </w:style>
  <w:style w:type="paragraph" w:styleId="Normlnweb">
    <w:name w:val="Normal (Web)"/>
    <w:basedOn w:val="Normln"/>
    <w:uiPriority w:val="99"/>
    <w:unhideWhenUsed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ws-datelabel">
    <w:name w:val="news-date__label"/>
    <w:basedOn w:val="Standardnpsmoodstavce"/>
    <w:rsid w:val="00BE15FE"/>
  </w:style>
  <w:style w:type="paragraph" w:customStyle="1" w:styleId="l2">
    <w:name w:val="l2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3">
    <w:name w:val="l3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4">
    <w:name w:val="l4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5">
    <w:name w:val="l5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aragraph">
    <w:name w:val="paragraph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BE15FE"/>
  </w:style>
  <w:style w:type="character" w:customStyle="1" w:styleId="eop">
    <w:name w:val="eop"/>
    <w:basedOn w:val="Standardnpsmoodstavce"/>
    <w:rsid w:val="00BE15FE"/>
  </w:style>
  <w:style w:type="character" w:customStyle="1" w:styleId="scxw63391518">
    <w:name w:val="scxw63391518"/>
    <w:basedOn w:val="Standardnpsmoodstavce"/>
    <w:rsid w:val="00BE15FE"/>
  </w:style>
  <w:style w:type="character" w:customStyle="1" w:styleId="document-description">
    <w:name w:val="document-description"/>
    <w:basedOn w:val="Standardnpsmoodstavce"/>
    <w:rsid w:val="00BE15FE"/>
  </w:style>
  <w:style w:type="paragraph" w:customStyle="1" w:styleId="toclevel-1">
    <w:name w:val="toclevel-1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tocnumber">
    <w:name w:val="tocnumber"/>
    <w:basedOn w:val="Standardnpsmoodstavce"/>
    <w:rsid w:val="00BE15FE"/>
  </w:style>
  <w:style w:type="character" w:customStyle="1" w:styleId="toctext">
    <w:name w:val="toctext"/>
    <w:basedOn w:val="Standardnpsmoodstavce"/>
    <w:rsid w:val="00BE15FE"/>
  </w:style>
  <w:style w:type="paragraph" w:customStyle="1" w:styleId="toclevel-2">
    <w:name w:val="toclevel-2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mw-headline">
    <w:name w:val="mw-headline"/>
    <w:basedOn w:val="Standardnpsmoodstavce"/>
    <w:rsid w:val="00BE15FE"/>
  </w:style>
  <w:style w:type="character" w:customStyle="1" w:styleId="mw-editsection">
    <w:name w:val="mw-editsection"/>
    <w:basedOn w:val="Standardnpsmoodstavce"/>
    <w:rsid w:val="00BE15FE"/>
  </w:style>
  <w:style w:type="character" w:customStyle="1" w:styleId="mw-editsection-bracket">
    <w:name w:val="mw-editsection-bracket"/>
    <w:basedOn w:val="Standardnpsmoodstavce"/>
    <w:rsid w:val="00BE15FE"/>
  </w:style>
  <w:style w:type="character" w:customStyle="1" w:styleId="mw-editsection-divider">
    <w:name w:val="mw-editsection-divider"/>
    <w:basedOn w:val="Standardnpsmoodstavce"/>
    <w:rsid w:val="00BE15FE"/>
  </w:style>
  <w:style w:type="paragraph" w:customStyle="1" w:styleId="perex">
    <w:name w:val="perex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Titulek1">
    <w:name w:val="Titulek1"/>
    <w:basedOn w:val="Standardnpsmoodstavce"/>
    <w:rsid w:val="00BE15FE"/>
  </w:style>
  <w:style w:type="paragraph" w:customStyle="1" w:styleId="otzky">
    <w:name w:val="otázky"/>
    <w:basedOn w:val="Normln"/>
    <w:link w:val="otzkyChar"/>
    <w:rsid w:val="00BE15FE"/>
    <w:pPr>
      <w:numPr>
        <w:numId w:val="4"/>
      </w:numPr>
      <w:tabs>
        <w:tab w:val="left" w:pos="360"/>
      </w:tabs>
      <w:spacing w:after="200" w:line="276" w:lineRule="auto"/>
    </w:pPr>
    <w:rPr>
      <w:szCs w:val="22"/>
    </w:rPr>
  </w:style>
  <w:style w:type="character" w:customStyle="1" w:styleId="otzkyChar">
    <w:name w:val="otázky Char"/>
    <w:basedOn w:val="Standardnpsmoodstavce"/>
    <w:link w:val="otzky"/>
    <w:rsid w:val="00BE15FE"/>
    <w:rPr>
      <w:rFonts w:asciiTheme="minorHAnsi" w:eastAsiaTheme="minorHAnsi" w:hAnsiTheme="minorHAnsi"/>
      <w:szCs w:val="22"/>
    </w:rPr>
  </w:style>
  <w:style w:type="paragraph" w:customStyle="1" w:styleId="Vc">
    <w:name w:val="Věc"/>
    <w:basedOn w:val="Nadpis1"/>
    <w:link w:val="VcChar"/>
    <w:rsid w:val="00BE15FE"/>
    <w:pPr>
      <w:widowControl/>
      <w:spacing w:before="720" w:line="276" w:lineRule="auto"/>
      <w:ind w:left="0" w:firstLine="0"/>
      <w:jc w:val="both"/>
    </w:pPr>
    <w:rPr>
      <w:rFonts w:ascii="Verdana" w:eastAsia="Calibri" w:hAnsi="Verdana" w:cs="Arial"/>
      <w:sz w:val="22"/>
      <w:szCs w:val="18"/>
    </w:rPr>
  </w:style>
  <w:style w:type="character" w:customStyle="1" w:styleId="VcChar">
    <w:name w:val="Věc Char"/>
    <w:basedOn w:val="Standardnpsmoodstavce"/>
    <w:link w:val="Vc"/>
    <w:rsid w:val="00BE15FE"/>
    <w:rPr>
      <w:rFonts w:ascii="Verdana" w:eastAsia="Calibri" w:hAnsi="Verdana" w:cs="Arial"/>
      <w:b/>
      <w:sz w:val="22"/>
      <w:szCs w:val="18"/>
    </w:rPr>
  </w:style>
  <w:style w:type="paragraph" w:customStyle="1" w:styleId="j">
    <w:name w:val="Č. j."/>
    <w:link w:val="jChar"/>
    <w:uiPriority w:val="1"/>
    <w:rsid w:val="00BE15FE"/>
    <w:pPr>
      <w:spacing w:after="600" w:line="276" w:lineRule="auto"/>
      <w:ind w:firstLine="6521"/>
    </w:pPr>
    <w:rPr>
      <w:rFonts w:ascii="Verdana" w:eastAsia="Calibri" w:hAnsi="Verdana" w:cs="Arial"/>
      <w:sz w:val="18"/>
      <w:szCs w:val="16"/>
      <w:lang w:val="en-US"/>
    </w:rPr>
  </w:style>
  <w:style w:type="character" w:customStyle="1" w:styleId="jChar">
    <w:name w:val="Č. j. Char"/>
    <w:basedOn w:val="Standardnpsmoodstavce"/>
    <w:link w:val="j"/>
    <w:uiPriority w:val="1"/>
    <w:rsid w:val="00BE15FE"/>
    <w:rPr>
      <w:rFonts w:ascii="Verdana" w:eastAsia="Calibri" w:hAnsi="Verdana" w:cs="Arial"/>
      <w:sz w:val="18"/>
      <w:szCs w:val="16"/>
      <w:lang w:val="en-US"/>
    </w:rPr>
  </w:style>
  <w:style w:type="paragraph" w:customStyle="1" w:styleId="Datumpodpisu">
    <w:name w:val="Datum podpisu"/>
    <w:basedOn w:val="j"/>
    <w:link w:val="DatumpodpisuChar"/>
    <w:uiPriority w:val="2"/>
    <w:rsid w:val="00BE15FE"/>
    <w:pPr>
      <w:spacing w:before="840" w:after="0"/>
    </w:pPr>
  </w:style>
  <w:style w:type="character" w:customStyle="1" w:styleId="DatumpodpisuChar">
    <w:name w:val="Datum podpisu Char"/>
    <w:basedOn w:val="jChar"/>
    <w:link w:val="Datumpodpisu"/>
    <w:uiPriority w:val="2"/>
    <w:rsid w:val="00BE15FE"/>
    <w:rPr>
      <w:rFonts w:ascii="Verdana" w:eastAsia="Calibri" w:hAnsi="Verdana" w:cs="Arial"/>
      <w:sz w:val="18"/>
      <w:szCs w:val="16"/>
      <w:lang w:val="en-US"/>
    </w:rPr>
  </w:style>
  <w:style w:type="paragraph" w:customStyle="1" w:styleId="Polepodpisu">
    <w:name w:val="Pole podpisu"/>
    <w:basedOn w:val="Bezmezer"/>
    <w:uiPriority w:val="1"/>
    <w:rsid w:val="00BE15FE"/>
    <w:pPr>
      <w:spacing w:line="276" w:lineRule="auto"/>
      <w:ind w:firstLine="6521"/>
      <w:jc w:val="left"/>
    </w:pPr>
    <w:rPr>
      <w:rFonts w:ascii="Verdana" w:eastAsia="Calibri" w:hAnsi="Verdana" w:cs="Arial"/>
      <w:sz w:val="20"/>
      <w:szCs w:val="18"/>
    </w:rPr>
  </w:style>
  <w:style w:type="paragraph" w:styleId="Prosttext">
    <w:name w:val="Plain Text"/>
    <w:basedOn w:val="Normln"/>
    <w:link w:val="ProsttextChar"/>
    <w:uiPriority w:val="99"/>
    <w:rsid w:val="00BE15FE"/>
    <w:pPr>
      <w:spacing w:after="120" w:line="264" w:lineRule="auto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E15FE"/>
    <w:rPr>
      <w:rFonts w:asciiTheme="minorHAnsi" w:eastAsiaTheme="minorHAnsi" w:hAnsiTheme="minorHAnsi"/>
      <w:sz w:val="22"/>
      <w:szCs w:val="21"/>
    </w:rPr>
  </w:style>
  <w:style w:type="character" w:customStyle="1" w:styleId="Heading31">
    <w:name w:val="Heading #3|1_"/>
    <w:basedOn w:val="Standardnpsmoodstavce"/>
    <w:link w:val="Heading310"/>
    <w:rsid w:val="00BE15FE"/>
    <w:rPr>
      <w:b/>
    </w:rPr>
  </w:style>
  <w:style w:type="paragraph" w:customStyle="1" w:styleId="Heading310">
    <w:name w:val="Heading #3|1"/>
    <w:basedOn w:val="Normln"/>
    <w:link w:val="Heading31"/>
    <w:rsid w:val="00BE15FE"/>
    <w:pPr>
      <w:widowControl w:val="0"/>
      <w:outlineLvl w:val="2"/>
    </w:pPr>
    <w:rPr>
      <w:rFonts w:ascii="Calibri" w:eastAsia="Times New Roman" w:hAnsi="Calibri"/>
      <w:b/>
    </w:rPr>
  </w:style>
  <w:style w:type="character" w:customStyle="1" w:styleId="Poznmkapodarou">
    <w:name w:val="Poznámka pod čarou_"/>
    <w:basedOn w:val="Standardnpsmoodstavce"/>
    <w:link w:val="Poznmkapodarou0"/>
    <w:rsid w:val="00BE15FE"/>
    <w:rPr>
      <w:rFonts w:eastAsia="Arial" w:cs="Arial"/>
      <w:sz w:val="20"/>
      <w:szCs w:val="20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BE15FE"/>
    <w:pPr>
      <w:widowControl w:val="0"/>
      <w:shd w:val="clear" w:color="auto" w:fill="FFFFFF"/>
      <w:spacing w:line="271" w:lineRule="auto"/>
    </w:pPr>
    <w:rPr>
      <w:rFonts w:ascii="Calibri" w:eastAsia="Arial" w:hAnsi="Calibri" w:cs="Arial"/>
      <w:sz w:val="20"/>
      <w:szCs w:val="20"/>
    </w:rPr>
  </w:style>
  <w:style w:type="character" w:customStyle="1" w:styleId="Nadpis30">
    <w:name w:val="Nadpis #3_"/>
    <w:basedOn w:val="Standardnpsmoodstavce"/>
    <w:link w:val="Nadpis31"/>
    <w:rsid w:val="00BE15FE"/>
    <w:rPr>
      <w:rFonts w:ascii="Arial" w:eastAsia="Arial" w:hAnsi="Arial" w:cs="Arial"/>
      <w:b/>
      <w:bCs/>
      <w:shd w:val="clear" w:color="auto" w:fill="FFFFFF"/>
    </w:rPr>
  </w:style>
  <w:style w:type="paragraph" w:customStyle="1" w:styleId="Nadpis31">
    <w:name w:val="Nadpis #3"/>
    <w:basedOn w:val="Normln"/>
    <w:link w:val="Nadpis30"/>
    <w:rsid w:val="00BE15FE"/>
    <w:pPr>
      <w:widowControl w:val="0"/>
      <w:shd w:val="clear" w:color="auto" w:fill="FFFFFF"/>
      <w:spacing w:line="276" w:lineRule="auto"/>
      <w:outlineLvl w:val="2"/>
    </w:pPr>
    <w:rPr>
      <w:rFonts w:ascii="Arial" w:eastAsia="Arial" w:hAnsi="Arial" w:cs="Arial"/>
      <w:b/>
      <w:bCs/>
    </w:rPr>
  </w:style>
  <w:style w:type="character" w:customStyle="1" w:styleId="Zkladntext2">
    <w:name w:val="Základní text (2)_"/>
    <w:basedOn w:val="Standardnpsmoodstavce"/>
    <w:link w:val="Zkladntext20"/>
    <w:rsid w:val="00BE15F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E15FE"/>
    <w:pPr>
      <w:widowControl w:val="0"/>
      <w:shd w:val="clear" w:color="auto" w:fill="FFFFFF"/>
      <w:spacing w:line="254" w:lineRule="auto"/>
    </w:pPr>
    <w:rPr>
      <w:rFonts w:ascii="Arial" w:eastAsia="Arial" w:hAnsi="Arial" w:cs="Arial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sid w:val="00BE15FE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BE15FE"/>
    <w:pPr>
      <w:widowControl w:val="0"/>
      <w:shd w:val="clear" w:color="auto" w:fill="FFFFFF"/>
    </w:pPr>
    <w:rPr>
      <w:rFonts w:ascii="Arial" w:eastAsia="Arial" w:hAnsi="Arial" w:cs="Arial"/>
      <w:sz w:val="13"/>
      <w:szCs w:val="13"/>
    </w:rPr>
  </w:style>
  <w:style w:type="character" w:customStyle="1" w:styleId="Jin">
    <w:name w:val="Jiné_"/>
    <w:basedOn w:val="Standardnpsmoodstavce"/>
    <w:link w:val="Jin0"/>
    <w:rsid w:val="00BE15FE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BE15FE"/>
    <w:pPr>
      <w:widowControl w:val="0"/>
      <w:shd w:val="clear" w:color="auto" w:fill="FFFFFF"/>
      <w:spacing w:line="276" w:lineRule="auto"/>
    </w:pPr>
    <w:rPr>
      <w:rFonts w:ascii="Arial" w:eastAsia="Arial" w:hAnsi="Arial" w:cs="Arial"/>
    </w:rPr>
  </w:style>
  <w:style w:type="paragraph" w:customStyle="1" w:styleId="Podmnky">
    <w:name w:val="Podmínky"/>
    <w:basedOn w:val="Odstavecseseznamem"/>
    <w:link w:val="PodmnkyChar"/>
    <w:rsid w:val="00BE15FE"/>
    <w:pPr>
      <w:numPr>
        <w:numId w:val="5"/>
      </w:numPr>
      <w:spacing w:before="120" w:after="120" w:line="276" w:lineRule="auto"/>
    </w:pPr>
    <w:rPr>
      <w:rFonts w:ascii="Segoe UI" w:hAnsi="Segoe UI"/>
      <w:sz w:val="20"/>
      <w:szCs w:val="22"/>
    </w:rPr>
  </w:style>
  <w:style w:type="character" w:customStyle="1" w:styleId="PodmnkyChar">
    <w:name w:val="Podmínky Char"/>
    <w:basedOn w:val="Standardnpsmoodstavce"/>
    <w:link w:val="Podmnky"/>
    <w:rsid w:val="00BE15FE"/>
    <w:rPr>
      <w:rFonts w:ascii="Segoe UI" w:eastAsiaTheme="minorHAnsi" w:hAnsi="Segoe UI"/>
      <w:sz w:val="20"/>
      <w:szCs w:val="22"/>
    </w:rPr>
  </w:style>
  <w:style w:type="paragraph" w:customStyle="1" w:styleId="Odvolacaadresndaje">
    <w:name w:val="Odvolací a adresní údaje"/>
    <w:link w:val="OdvolacaadresndajeChar"/>
    <w:uiPriority w:val="1"/>
    <w:rsid w:val="00BE15FE"/>
    <w:pPr>
      <w:spacing w:line="276" w:lineRule="auto"/>
    </w:pPr>
    <w:rPr>
      <w:rFonts w:ascii="Verdana" w:eastAsia="Calibri" w:hAnsi="Verdana" w:cs="Arial"/>
      <w:noProof/>
      <w:sz w:val="18"/>
      <w:szCs w:val="16"/>
      <w:lang w:eastAsia="cs-CZ"/>
    </w:rPr>
  </w:style>
  <w:style w:type="character" w:customStyle="1" w:styleId="OdvolacaadresndajeChar">
    <w:name w:val="Odvolací a adresní údaje Char"/>
    <w:link w:val="Odvolacaadresndaje"/>
    <w:uiPriority w:val="1"/>
    <w:rsid w:val="00BE15FE"/>
    <w:rPr>
      <w:rFonts w:ascii="Verdana" w:eastAsia="Calibri" w:hAnsi="Verdana" w:cs="Arial"/>
      <w:noProof/>
      <w:sz w:val="18"/>
      <w:szCs w:val="16"/>
      <w:lang w:eastAsia="cs-CZ"/>
    </w:rPr>
  </w:style>
  <w:style w:type="character" w:customStyle="1" w:styleId="epsmall">
    <w:name w:val="ep_small"/>
    <w:basedOn w:val="Standardnpsmoodstavce"/>
    <w:rsid w:val="00BE15FE"/>
  </w:style>
  <w:style w:type="character" w:customStyle="1" w:styleId="epmedium">
    <w:name w:val="ep_medium"/>
    <w:basedOn w:val="Standardnpsmoodstavce"/>
    <w:rsid w:val="00BE15FE"/>
  </w:style>
  <w:style w:type="character" w:customStyle="1" w:styleId="eplarge">
    <w:name w:val="ep_large"/>
    <w:basedOn w:val="Standardnpsmoodstavce"/>
    <w:rsid w:val="00BE15FE"/>
  </w:style>
  <w:style w:type="character" w:customStyle="1" w:styleId="epname">
    <w:name w:val="ep_name"/>
    <w:basedOn w:val="Standardnpsmoodstavce"/>
    <w:rsid w:val="00BE15FE"/>
  </w:style>
  <w:style w:type="paragraph" w:customStyle="1" w:styleId="ep-wysiwigparagraph">
    <w:name w:val="ep-wysiwig_paragraph"/>
    <w:basedOn w:val="Normln"/>
    <w:rsid w:val="00BE15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kladntext21">
    <w:name w:val="Body Text 2"/>
    <w:basedOn w:val="Normln"/>
    <w:link w:val="Zkladntext2Char"/>
    <w:unhideWhenUsed/>
    <w:rsid w:val="00004505"/>
    <w:pPr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1"/>
    <w:rsid w:val="00004505"/>
    <w:rPr>
      <w:rFonts w:ascii="Arial" w:hAnsi="Arial" w:cs="Times New Roman"/>
      <w:b/>
      <w:szCs w:val="20"/>
      <w:lang w:eastAsia="cs-CZ"/>
    </w:rPr>
  </w:style>
  <w:style w:type="paragraph" w:customStyle="1" w:styleId="Bul4">
    <w:name w:val="Bul4"/>
    <w:basedOn w:val="Normln"/>
    <w:uiPriority w:val="99"/>
    <w:rsid w:val="00004505"/>
    <w:pPr>
      <w:numPr>
        <w:numId w:val="6"/>
      </w:numPr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P-normlntextChar">
    <w:name w:val="KP-normální text Char"/>
    <w:link w:val="KP-normlntext"/>
    <w:locked/>
    <w:rsid w:val="00004505"/>
    <w:rPr>
      <w:rFonts w:cs="Arial"/>
      <w:color w:val="000000"/>
    </w:rPr>
  </w:style>
  <w:style w:type="paragraph" w:customStyle="1" w:styleId="KP-normlntext">
    <w:name w:val="KP-normální text"/>
    <w:basedOn w:val="Normln"/>
    <w:link w:val="KP-normlntextChar"/>
    <w:rsid w:val="00004505"/>
    <w:rPr>
      <w:rFonts w:ascii="Calibri" w:eastAsia="Times New Roman" w:hAnsi="Calibri" w:cs="Arial"/>
      <w:color w:val="000000"/>
    </w:rPr>
  </w:style>
  <w:style w:type="character" w:customStyle="1" w:styleId="nadpismjChar">
    <w:name w:val="nadpis můj Char"/>
    <w:link w:val="nadpismj"/>
    <w:locked/>
    <w:rsid w:val="00004505"/>
    <w:rPr>
      <w:rFonts w:ascii="Arial" w:hAnsi="Arial" w:cs="Arial"/>
      <w:b/>
      <w:bCs/>
      <w:spacing w:val="16"/>
      <w:kern w:val="28"/>
    </w:rPr>
  </w:style>
  <w:style w:type="paragraph" w:customStyle="1" w:styleId="nadpismj">
    <w:name w:val="nadpis můj"/>
    <w:basedOn w:val="Nadpis2"/>
    <w:link w:val="nadpismjChar"/>
    <w:rsid w:val="00004505"/>
    <w:pPr>
      <w:keepNext/>
      <w:widowControl/>
      <w:numPr>
        <w:numId w:val="7"/>
      </w:numPr>
      <w:spacing w:before="480" w:after="360" w:line="260" w:lineRule="exact"/>
      <w:jc w:val="center"/>
    </w:pPr>
    <w:rPr>
      <w:rFonts w:ascii="Arial" w:eastAsia="Times New Roman" w:hAnsi="Arial" w:cs="Arial"/>
      <w:bCs/>
      <w:spacing w:val="16"/>
      <w:kern w:val="28"/>
      <w:szCs w:val="24"/>
    </w:rPr>
  </w:style>
  <w:style w:type="paragraph" w:customStyle="1" w:styleId="StylVpravo05cmPed6b">
    <w:name w:val="Styl Vpravo:  05 cm Před:  6 b."/>
    <w:basedOn w:val="Normln"/>
    <w:rsid w:val="00004505"/>
    <w:pPr>
      <w:spacing w:before="120" w:after="2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04505"/>
    <w:pPr>
      <w:spacing w:line="276" w:lineRule="auto"/>
      <w:ind w:left="283"/>
    </w:pPr>
    <w:rPr>
      <w:rFonts w:ascii="Calibri" w:eastAsia="Calibri" w:hAnsi="Calibri" w:cs="Times New Roman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04505"/>
    <w:rPr>
      <w:rFonts w:eastAsia="Calibri" w:cs="Times New Roman"/>
      <w:sz w:val="22"/>
      <w:szCs w:val="22"/>
    </w:rPr>
  </w:style>
  <w:style w:type="paragraph" w:customStyle="1" w:styleId="Odrkybod">
    <w:name w:val="Odrážky_bod"/>
    <w:basedOn w:val="Odstavecseseznamem"/>
    <w:uiPriority w:val="99"/>
    <w:qFormat/>
    <w:rsid w:val="00004505"/>
    <w:pPr>
      <w:numPr>
        <w:numId w:val="8"/>
      </w:numPr>
      <w:spacing w:before="120" w:after="120" w:line="360" w:lineRule="auto"/>
      <w:contextualSpacing/>
    </w:pPr>
    <w:rPr>
      <w:rFonts w:ascii="Arial" w:hAnsi="Arial" w:cs="Arial"/>
      <w:sz w:val="20"/>
      <w:szCs w:val="20"/>
    </w:rPr>
  </w:style>
  <w:style w:type="paragraph" w:customStyle="1" w:styleId="Normlnslovna">
    <w:name w:val="Normální Číslování a)"/>
    <w:basedOn w:val="Normln"/>
    <w:uiPriority w:val="99"/>
    <w:rsid w:val="00004505"/>
    <w:pPr>
      <w:numPr>
        <w:numId w:val="9"/>
      </w:numPr>
      <w:tabs>
        <w:tab w:val="left" w:pos="624"/>
      </w:tabs>
      <w:suppressAutoHyphens/>
      <w:spacing w:before="20"/>
    </w:pPr>
    <w:rPr>
      <w:rFonts w:ascii="Times New Roman" w:eastAsia="Times New Roman" w:hAnsi="Times New Roman" w:cs="Times New Roman"/>
      <w:lang w:eastAsia="cs-CZ"/>
    </w:rPr>
  </w:style>
  <w:style w:type="paragraph" w:customStyle="1" w:styleId="Hlavnnadpis">
    <w:name w:val="Hlavní nadpis"/>
    <w:basedOn w:val="Normln"/>
    <w:next w:val="TextKP"/>
    <w:link w:val="HlavnnadpisChar"/>
    <w:qFormat/>
    <w:rsid w:val="000043BD"/>
    <w:pPr>
      <w:numPr>
        <w:numId w:val="11"/>
      </w:numPr>
      <w:spacing w:before="240" w:after="240"/>
      <w:jc w:val="center"/>
      <w:outlineLvl w:val="0"/>
    </w:pPr>
    <w:rPr>
      <w:b/>
      <w:sz w:val="28"/>
    </w:rPr>
  </w:style>
  <w:style w:type="character" w:customStyle="1" w:styleId="HlavnnadpisChar">
    <w:name w:val="Hlavní nadpis Char"/>
    <w:basedOn w:val="Nadpis1Char"/>
    <w:link w:val="Hlavnnadpis"/>
    <w:rsid w:val="000043BD"/>
    <w:rPr>
      <w:rFonts w:asciiTheme="minorHAnsi" w:eastAsiaTheme="minorHAnsi" w:hAnsiTheme="minorHAnsi" w:cstheme="minorHAnsi"/>
      <w:b/>
      <w:sz w:val="28"/>
    </w:rPr>
  </w:style>
  <w:style w:type="character" w:customStyle="1" w:styleId="ui-provider">
    <w:name w:val="ui-provider"/>
    <w:basedOn w:val="Standardnpsmoodstavce"/>
    <w:rsid w:val="002A79EA"/>
  </w:style>
  <w:style w:type="paragraph" w:customStyle="1" w:styleId="tabulka0">
    <w:name w:val="tabulka"/>
    <w:basedOn w:val="Normln"/>
    <w:uiPriority w:val="7"/>
    <w:rsid w:val="00F52269"/>
    <w:pPr>
      <w:numPr>
        <w:numId w:val="12"/>
      </w:numPr>
      <w:spacing w:after="120" w:line="240" w:lineRule="atLeast"/>
      <w:ind w:left="357" w:hanging="357"/>
    </w:pPr>
    <w:rPr>
      <w:b/>
    </w:rPr>
  </w:style>
  <w:style w:type="paragraph" w:customStyle="1" w:styleId="Citace">
    <w:name w:val="Citace"/>
    <w:basedOn w:val="Normln"/>
    <w:next w:val="TextKP"/>
    <w:qFormat/>
    <w:rsid w:val="00C15821"/>
    <w:pPr>
      <w:spacing w:before="60"/>
    </w:pPr>
    <w:rPr>
      <w:rFonts w:ascii="Calibri" w:eastAsia="Times New Roman" w:hAnsi="Calibri" w:cs="Times New Roman"/>
      <w:i/>
    </w:rPr>
  </w:style>
  <w:style w:type="character" w:styleId="Zstupntext">
    <w:name w:val="Placeholder Text"/>
    <w:basedOn w:val="Standardnpsmoodstavce"/>
    <w:uiPriority w:val="99"/>
    <w:semiHidden/>
    <w:rsid w:val="00C15821"/>
    <w:rPr>
      <w:color w:val="666666"/>
    </w:rPr>
  </w:style>
  <w:style w:type="table" w:customStyle="1" w:styleId="TableGrid">
    <w:name w:val="TableGrid"/>
    <w:rsid w:val="00C15821"/>
    <w:rPr>
      <w:rFonts w:asciiTheme="minorHAnsi" w:eastAsiaTheme="minorEastAsia" w:hAnsiTheme="minorHAnsi"/>
      <w:kern w:val="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ostrnky">
    <w:name w:val="page number"/>
    <w:basedOn w:val="Standardnpsmoodstavce"/>
    <w:semiHidden/>
    <w:rsid w:val="00C15821"/>
  </w:style>
  <w:style w:type="numbering" w:customStyle="1" w:styleId="Bezseznamu1">
    <w:name w:val="Bez seznamu1"/>
    <w:next w:val="Bezseznamu"/>
    <w:uiPriority w:val="99"/>
    <w:semiHidden/>
    <w:unhideWhenUsed/>
    <w:rsid w:val="00C15821"/>
  </w:style>
  <w:style w:type="character" w:customStyle="1" w:styleId="DefaultChar">
    <w:name w:val="Default Char"/>
    <w:link w:val="Default"/>
    <w:locked/>
    <w:rsid w:val="00C15821"/>
    <w:rPr>
      <w:rFonts w:cs="Calibri"/>
      <w:color w:val="00000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C15821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-slovan">
    <w:name w:val="Odstavec - číslovaný"/>
    <w:basedOn w:val="Odstavecseseznamem"/>
    <w:uiPriority w:val="1"/>
    <w:rsid w:val="00C15821"/>
    <w:pPr>
      <w:widowControl w:val="0"/>
      <w:numPr>
        <w:numId w:val="13"/>
      </w:numPr>
      <w:spacing w:before="0" w:after="120" w:line="240" w:lineRule="atLeast"/>
      <w:ind w:right="-2"/>
    </w:pPr>
    <w:rPr>
      <w:rFonts w:ascii="Verdana" w:hAnsi="Verdana" w:cs="Times New Roman"/>
      <w:sz w:val="20"/>
      <w:szCs w:val="20"/>
    </w:rPr>
  </w:style>
  <w:style w:type="paragraph" w:customStyle="1" w:styleId="pododstavec">
    <w:name w:val="pododstavec"/>
    <w:basedOn w:val="Odstavec-slovan"/>
    <w:uiPriority w:val="2"/>
    <w:rsid w:val="00C15821"/>
    <w:pPr>
      <w:numPr>
        <w:ilvl w:val="1"/>
      </w:numPr>
    </w:pPr>
  </w:style>
  <w:style w:type="table" w:styleId="Prosttabulka2">
    <w:name w:val="Plain Table 2"/>
    <w:basedOn w:val="Normlntabulka"/>
    <w:uiPriority w:val="42"/>
    <w:rsid w:val="00C15821"/>
    <w:pPr>
      <w:spacing w:before="100" w:beforeAutospacing="1" w:afterAutospacing="1"/>
      <w:ind w:left="357" w:hanging="357"/>
      <w:jc w:val="center"/>
    </w:pPr>
    <w:rPr>
      <w:rFonts w:asciiTheme="minorHAnsi" w:eastAsiaTheme="minorHAnsi" w:hAnsiTheme="minorHAnsi"/>
      <w:kern w:val="2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">
    <w:name w:val="para"/>
    <w:basedOn w:val="Normln"/>
    <w:rsid w:val="00C158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q4">
    <w:name w:val="q4"/>
    <w:basedOn w:val="Normln"/>
    <w:rsid w:val="00C158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15821"/>
    <w:rPr>
      <w:i/>
      <w:iCs/>
    </w:rPr>
  </w:style>
  <w:style w:type="character" w:customStyle="1" w:styleId="no-parag">
    <w:name w:val="no-parag"/>
    <w:basedOn w:val="Standardnpsmoodstavce"/>
    <w:rsid w:val="00C15821"/>
  </w:style>
  <w:style w:type="character" w:customStyle="1" w:styleId="Styl1-IChar">
    <w:name w:val="Styl1 - I. Char"/>
    <w:link w:val="Styl1-I"/>
    <w:locked/>
    <w:rsid w:val="00C15821"/>
    <w:rPr>
      <w:rFonts w:ascii="Arial" w:hAnsi="Arial" w:cs="Arial"/>
    </w:rPr>
  </w:style>
  <w:style w:type="paragraph" w:customStyle="1" w:styleId="Styl1-I">
    <w:name w:val="Styl1 - I."/>
    <w:basedOn w:val="Normln"/>
    <w:link w:val="Styl1-IChar"/>
    <w:rsid w:val="00C15821"/>
    <w:pPr>
      <w:numPr>
        <w:numId w:val="14"/>
      </w:numPr>
      <w:overflowPunct w:val="0"/>
      <w:autoSpaceDE w:val="0"/>
      <w:autoSpaceDN w:val="0"/>
      <w:adjustRightInd w:val="0"/>
      <w:spacing w:before="120" w:after="240"/>
      <w:ind w:left="357" w:hanging="357"/>
    </w:pPr>
    <w:rPr>
      <w:rFonts w:ascii="Arial" w:eastAsia="Times New Roman" w:hAnsi="Arial" w:cs="Arial"/>
    </w:rPr>
  </w:style>
  <w:style w:type="character" w:customStyle="1" w:styleId="Styl1-1Char">
    <w:name w:val="Styl1 - 1. Char"/>
    <w:link w:val="Styl1-1"/>
    <w:locked/>
    <w:rsid w:val="00C15821"/>
    <w:rPr>
      <w:rFonts w:ascii="Arial" w:hAnsi="Arial" w:cs="Arial"/>
    </w:rPr>
  </w:style>
  <w:style w:type="paragraph" w:customStyle="1" w:styleId="Styl1-1">
    <w:name w:val="Styl1 - 1."/>
    <w:basedOn w:val="Normln"/>
    <w:link w:val="Styl1-1Char"/>
    <w:rsid w:val="00C15821"/>
    <w:pPr>
      <w:numPr>
        <w:numId w:val="15"/>
      </w:numPr>
      <w:overflowPunct w:val="0"/>
      <w:autoSpaceDE w:val="0"/>
      <w:autoSpaceDN w:val="0"/>
      <w:adjustRightInd w:val="0"/>
      <w:spacing w:before="120" w:after="240"/>
      <w:ind w:left="357" w:hanging="357"/>
    </w:pPr>
    <w:rPr>
      <w:rFonts w:ascii="Arial" w:eastAsia="Times New Roman" w:hAnsi="Arial" w:cs="Arial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15821"/>
    <w:pPr>
      <w:spacing w:after="160" w:line="240" w:lineRule="exact"/>
    </w:pPr>
    <w:rPr>
      <w:rFonts w:ascii="Times New Roman Bold" w:eastAsia="Times New Roman" w:hAnsi="Times New Roman Bold" w:cs="Times New Roman"/>
      <w:sz w:val="22"/>
      <w:szCs w:val="26"/>
      <w:lang w:val="sk-SK"/>
    </w:rPr>
  </w:style>
  <w:style w:type="paragraph" w:customStyle="1" w:styleId="Styl1-a">
    <w:name w:val="Styl1 - a)"/>
    <w:basedOn w:val="Styl1-1"/>
    <w:link w:val="Styl1-aChar"/>
    <w:rsid w:val="00C15821"/>
    <w:pPr>
      <w:numPr>
        <w:numId w:val="16"/>
      </w:numPr>
      <w:ind w:left="357" w:hanging="357"/>
      <w:textAlignment w:val="baseline"/>
    </w:pPr>
  </w:style>
  <w:style w:type="character" w:customStyle="1" w:styleId="Styl1-aChar">
    <w:name w:val="Styl1 - a) Char"/>
    <w:basedOn w:val="Styl1-1Char"/>
    <w:link w:val="Styl1-a"/>
    <w:rsid w:val="00C15821"/>
    <w:rPr>
      <w:rFonts w:ascii="Arial" w:hAnsi="Arial" w:cs="Arial"/>
    </w:rPr>
  </w:style>
  <w:style w:type="numbering" w:customStyle="1" w:styleId="StylI-aa">
    <w:name w:val="Styl I-aa)"/>
    <w:uiPriority w:val="99"/>
    <w:rsid w:val="00C15821"/>
    <w:pPr>
      <w:numPr>
        <w:numId w:val="18"/>
      </w:numPr>
    </w:pPr>
  </w:style>
  <w:style w:type="paragraph" w:customStyle="1" w:styleId="StylI">
    <w:name w:val="Styl I."/>
    <w:basedOn w:val="Odstavecseseznamem"/>
    <w:link w:val="StylIChar"/>
    <w:rsid w:val="00C15821"/>
    <w:pPr>
      <w:numPr>
        <w:numId w:val="17"/>
      </w:numPr>
      <w:spacing w:before="120" w:after="240"/>
      <w:ind w:left="357" w:hanging="357"/>
    </w:pPr>
    <w:rPr>
      <w:rFonts w:ascii="Arial" w:eastAsia="Calibri" w:hAnsi="Arial" w:cs="Arial"/>
      <w:sz w:val="22"/>
      <w:szCs w:val="22"/>
    </w:rPr>
  </w:style>
  <w:style w:type="character" w:customStyle="1" w:styleId="StylIChar">
    <w:name w:val="Styl I. Char"/>
    <w:link w:val="StylI"/>
    <w:rsid w:val="00C15821"/>
    <w:rPr>
      <w:rFonts w:ascii="Arial" w:eastAsia="Calibri" w:hAnsi="Arial" w:cs="Arial"/>
      <w:sz w:val="22"/>
      <w:szCs w:val="22"/>
    </w:rPr>
  </w:style>
  <w:style w:type="paragraph" w:customStyle="1" w:styleId="Stylaa">
    <w:name w:val="Styl aa)"/>
    <w:basedOn w:val="Odstavecseseznamem"/>
    <w:rsid w:val="00C15821"/>
    <w:pPr>
      <w:numPr>
        <w:ilvl w:val="3"/>
        <w:numId w:val="17"/>
      </w:numPr>
      <w:tabs>
        <w:tab w:val="num" w:pos="360"/>
      </w:tabs>
      <w:spacing w:before="120" w:after="240"/>
      <w:ind w:left="357" w:hanging="357"/>
    </w:pPr>
    <w:rPr>
      <w:rFonts w:ascii="Arial" w:eastAsia="Calibri" w:hAnsi="Arial" w:cs="Arial"/>
      <w:sz w:val="22"/>
      <w:szCs w:val="22"/>
    </w:rPr>
  </w:style>
  <w:style w:type="paragraph" w:customStyle="1" w:styleId="Styla">
    <w:name w:val="Styl a)"/>
    <w:basedOn w:val="Odstavecseseznamem"/>
    <w:link w:val="StylaChar"/>
    <w:rsid w:val="00C15821"/>
    <w:pPr>
      <w:numPr>
        <w:ilvl w:val="2"/>
        <w:numId w:val="17"/>
      </w:numPr>
      <w:spacing w:before="120" w:after="240"/>
      <w:ind w:left="357" w:hanging="357"/>
    </w:pPr>
    <w:rPr>
      <w:rFonts w:ascii="Arial" w:eastAsia="Calibri" w:hAnsi="Arial" w:cs="Arial"/>
      <w:sz w:val="22"/>
      <w:szCs w:val="22"/>
    </w:rPr>
  </w:style>
  <w:style w:type="character" w:customStyle="1" w:styleId="StylaChar">
    <w:name w:val="Styl a) Char"/>
    <w:link w:val="Styla"/>
    <w:rsid w:val="00C15821"/>
    <w:rPr>
      <w:rFonts w:ascii="Arial" w:eastAsia="Calibri" w:hAnsi="Arial" w:cs="Arial"/>
      <w:sz w:val="22"/>
      <w:szCs w:val="22"/>
    </w:rPr>
  </w:style>
  <w:style w:type="paragraph" w:customStyle="1" w:styleId="FirstParagraph">
    <w:name w:val="First Paragraph"/>
    <w:basedOn w:val="Zkladntext"/>
    <w:next w:val="Zkladntext"/>
    <w:rsid w:val="00C15821"/>
    <w:pPr>
      <w:spacing w:before="120" w:after="120"/>
    </w:pPr>
    <w:rPr>
      <w:rFonts w:ascii="Fira Sans" w:eastAsiaTheme="minorHAnsi" w:hAnsi="Fira Sans" w:cstheme="minorBidi"/>
      <w:i w:val="0"/>
      <w:iCs w:val="0"/>
      <w:color w:val="232323"/>
      <w:sz w:val="20"/>
      <w:lang w:val="en-US"/>
    </w:rPr>
  </w:style>
  <w:style w:type="paragraph" w:customStyle="1" w:styleId="Odstavec-posun-minus1r">
    <w:name w:val="Odstavec-posun-minus_1r"/>
    <w:basedOn w:val="Normln"/>
    <w:rsid w:val="00C15821"/>
    <w:pPr>
      <w:spacing w:before="120" w:after="120"/>
      <w:ind w:left="851" w:hanging="284"/>
    </w:pPr>
    <w:rPr>
      <w:rFonts w:ascii="Fira Sans" w:hAnsi="Fira Sans"/>
      <w:color w:val="232323"/>
      <w:sz w:val="20"/>
      <w:lang w:val="en-US"/>
    </w:rPr>
  </w:style>
  <w:style w:type="paragraph" w:customStyle="1" w:styleId="Nmitky">
    <w:name w:val="Námitky"/>
    <w:basedOn w:val="Normln"/>
    <w:link w:val="NmitkyChar"/>
    <w:rsid w:val="00C15821"/>
    <w:pPr>
      <w:overflowPunct w:val="0"/>
      <w:autoSpaceDE w:val="0"/>
      <w:autoSpaceDN w:val="0"/>
      <w:adjustRightInd w:val="0"/>
      <w:spacing w:before="120"/>
    </w:pPr>
    <w:rPr>
      <w:rFonts w:cstheme="minorHAnsi"/>
    </w:rPr>
  </w:style>
  <w:style w:type="character" w:customStyle="1" w:styleId="NmitkyChar">
    <w:name w:val="Námitky Char"/>
    <w:basedOn w:val="Standardnpsmoodstavce"/>
    <w:link w:val="Nmitky"/>
    <w:rsid w:val="00C15821"/>
    <w:rPr>
      <w:rFonts w:asciiTheme="minorHAnsi" w:eastAsiaTheme="minorHAnsi" w:hAnsiTheme="minorHAnsi" w:cstheme="minorHAnsi"/>
    </w:rPr>
  </w:style>
  <w:style w:type="paragraph" w:customStyle="1" w:styleId="TextvrokuKZ">
    <w:name w:val="Text výroku KZ"/>
    <w:basedOn w:val="TextKZ"/>
    <w:link w:val="TextvrokuKZChar"/>
    <w:rsid w:val="00C77CDD"/>
    <w:rPr>
      <w:b/>
      <w:bCs/>
    </w:rPr>
  </w:style>
  <w:style w:type="character" w:customStyle="1" w:styleId="TextvrokuKZChar">
    <w:name w:val="Text výroku KZ Char"/>
    <w:basedOn w:val="TextKZChar"/>
    <w:link w:val="TextvrokuKZ"/>
    <w:rsid w:val="00C77CDD"/>
    <w:rPr>
      <w:rFonts w:asciiTheme="minorHAnsi" w:eastAsiaTheme="minorHAnsi" w:hAnsiTheme="minorHAnsi" w:cstheme="minorHAnsi"/>
      <w:b/>
      <w:bCs/>
    </w:rPr>
  </w:style>
  <w:style w:type="character" w:styleId="Nevyeenzmnka">
    <w:name w:val="Unresolved Mention"/>
    <w:basedOn w:val="Standardnpsmoodstavce"/>
    <w:uiPriority w:val="99"/>
    <w:rsid w:val="00C372AB"/>
    <w:rPr>
      <w:color w:val="605E5C"/>
      <w:shd w:val="clear" w:color="auto" w:fill="E1DFDD"/>
    </w:rPr>
  </w:style>
  <w:style w:type="paragraph" w:customStyle="1" w:styleId="JK3">
    <w:name w:val="JK3"/>
    <w:basedOn w:val="Normln"/>
    <w:rsid w:val="009E4A4C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qFormat/>
    <w:rsid w:val="00DB3908"/>
    <w:pPr>
      <w:numPr>
        <w:numId w:val="21"/>
      </w:numPr>
      <w:tabs>
        <w:tab w:val="clear" w:pos="360"/>
      </w:tabs>
      <w:spacing w:before="60"/>
      <w:ind w:left="568" w:hanging="284"/>
    </w:pPr>
    <w:rPr>
      <w:rFonts w:ascii="Calibri" w:hAnsi="Calibri" w:cstheme="minorHAnsi"/>
      <w:kern w:val="2"/>
      <w14:ligatures w14:val="standardContextual"/>
    </w:rPr>
  </w:style>
  <w:style w:type="paragraph" w:styleId="slovanseznam">
    <w:name w:val="List Number"/>
    <w:basedOn w:val="Normln"/>
    <w:uiPriority w:val="99"/>
    <w:unhideWhenUsed/>
    <w:qFormat/>
    <w:rsid w:val="00DB3908"/>
    <w:pPr>
      <w:numPr>
        <w:numId w:val="22"/>
      </w:numPr>
      <w:spacing w:before="60"/>
      <w:ind w:left="568" w:hanging="284"/>
    </w:pPr>
    <w:rPr>
      <w:rFonts w:ascii="Calibri" w:hAnsi="Calibri" w:cstheme="minorHAnsi"/>
      <w:kern w:val="2"/>
      <w14:ligatures w14:val="standardContextual"/>
    </w:rPr>
  </w:style>
  <w:style w:type="paragraph" w:styleId="slovanseznam2">
    <w:name w:val="List Number 2"/>
    <w:basedOn w:val="Normln"/>
    <w:uiPriority w:val="99"/>
    <w:unhideWhenUsed/>
    <w:qFormat/>
    <w:rsid w:val="00DB3908"/>
    <w:pPr>
      <w:numPr>
        <w:numId w:val="23"/>
      </w:numPr>
      <w:spacing w:before="60"/>
    </w:pPr>
    <w:rPr>
      <w:rFonts w:ascii="Calibri" w:hAnsi="Calibri" w:cstheme="minorHAnsi"/>
      <w:kern w:val="2"/>
      <w14:ligatures w14:val="standardContextual"/>
    </w:rPr>
  </w:style>
  <w:style w:type="character" w:customStyle="1" w:styleId="cf01">
    <w:name w:val="cf01"/>
    <w:basedOn w:val="Standardnpsmoodstavce"/>
    <w:rsid w:val="00AC307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C3071"/>
    <w:rPr>
      <w:rFonts w:ascii="Segoe UI" w:hAnsi="Segoe UI" w:cs="Segoe UI" w:hint="default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fb-greenroof.eu/publicati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E5F1FF"/>
        </a:solidFill>
        <a:ln w="12700">
          <a:solidFill>
            <a:srgbClr val="000000"/>
          </a:solidFill>
          <a:miter lim="800000"/>
          <a:headEnd/>
          <a:tailEnd/>
        </a:ln>
        <a:effectLst>
          <a:reflection endPos="0" dir="5400000" sy="-100000" algn="bl" rotWithShape="0"/>
        </a:effectLst>
      </a:spPr>
      <a:bodyPr rot="0" vert="horz" wrap="square" lIns="9000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C21B2-8116-455E-A6B9-599C7777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8B9B-FC9B-4BC9-A035-1A8F1661B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43B1D-966F-4535-B1EB-39166D7394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7316CF-BAD3-4937-B8E4-1BEE1EA1AE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a5ca00b-f9dd-452b-9d75-e1b2c69cf7c5}" enabled="1" method="Privileged" siteId="{e6d36204-fa0a-4bdb-9b60-80f84bb090c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9351</Words>
  <Characters>53025</Characters>
  <Application>Microsoft Office Word</Application>
  <DocSecurity>0</DocSecurity>
  <Lines>1606</Lines>
  <Paragraphs>1057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NKÚ</Company>
  <LinksUpToDate>false</LinksUpToDate>
  <CharactersWithSpaces>61319</CharactersWithSpaces>
  <SharedDoc>false</SharedDoc>
  <HLinks>
    <vt:vector size="24" baseType="variant">
      <vt:variant>
        <vt:i4>5374057</vt:i4>
      </vt:variant>
      <vt:variant>
        <vt:i4>33</vt:i4>
      </vt:variant>
      <vt:variant>
        <vt:i4>0</vt:i4>
      </vt:variant>
      <vt:variant>
        <vt:i4>5</vt:i4>
      </vt:variant>
      <vt:variant>
        <vt:lpwstr>https://climate.ec.europa.eu/eu-action/eu-funding-climate-action/modernisation-fund_en</vt:lpwstr>
      </vt:variant>
      <vt:variant>
        <vt:lpwstr/>
      </vt:variant>
      <vt:variant>
        <vt:i4>3342405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cs&amp;rs=cs-CZ&amp;wopisrc=https%3A%2F%2Fnkucz-my.sharepoint.com%2Fpersonal%2Fbenjamin_groll_nku_gov_cz%2F_vti_bin%2Fwopi.ashx%2Ffiles%2F54d04be7c074439abc7dce09db4ed253&amp;wdenableroaming=1&amp;mscc=1&amp;wdodb=1&amp;hid=FDCBEEA1-70E0-E000-D343-EA9211B64857.0&amp;uih=sharepointcom&amp;wdlcid=cs&amp;jsapi=1&amp;jsapiver=v2&amp;corrid=6fa07673-e395-485c-72a7-5d50bd6a18d8&amp;usid=6fa07673-e395-485c-72a7-5d50bd6a18d8&amp;newsession=1&amp;sftc=1&amp;uihit=docaspx&amp;muv=1&amp;ats=PairwiseBroker&amp;cac=1&amp;sams=1&amp;mtf=1&amp;sfp=1&amp;sdp=1&amp;hch=1&amp;hwfh=1&amp;dchat=1&amp;sc=%7B%22pmo%22%3A%22https%3A%2F%2Fnkucz-my.sharepoint.com%22%2C%22pmshare%22%3Atrue%7D&amp;ctp=LeastProtected&amp;rct=Normal&amp;wdorigin=ItemsView&amp;wdhostclicktime=1768898626849&amp;afdflight=58&amp;csiro=1&amp;instantedit=1&amp;wopicomplete=1&amp;wdredirectionreason=Unified_SingleFlush</vt:lpwstr>
      </vt:variant>
      <vt:variant>
        <vt:lpwstr>_ftnref1</vt:lpwstr>
      </vt:variant>
      <vt:variant>
        <vt:i4>6750289</vt:i4>
      </vt:variant>
      <vt:variant>
        <vt:i4>21</vt:i4>
      </vt:variant>
      <vt:variant>
        <vt:i4>0</vt:i4>
      </vt:variant>
      <vt:variant>
        <vt:i4>5</vt:i4>
      </vt:variant>
      <vt:variant>
        <vt:lpwstr>https://euc-word-edit.officeapps.live.com/we/wordeditorframe.aspx?ui=cs&amp;rs=cs-CZ&amp;wopisrc=https%3A%2F%2Fnkucz-my.sharepoint.com%2Fpersonal%2Fbenjamin_groll_nku_gov_cz%2F_vti_bin%2Fwopi.ashx%2Ffiles%2F54d04be7c074439abc7dce09db4ed253&amp;wdenableroaming=1&amp;mscc=1&amp;wdodb=1&amp;hid=FDCBEEA1-70E0-E000-D343-EA9211B64857.0&amp;uih=sharepointcom&amp;wdlcid=cs&amp;jsapi=1&amp;jsapiver=v2&amp;corrid=6fa07673-e395-485c-72a7-5d50bd6a18d8&amp;usid=6fa07673-e395-485c-72a7-5d50bd6a18d8&amp;newsession=1&amp;sftc=1&amp;uihit=docaspx&amp;muv=1&amp;ats=PairwiseBroker&amp;cac=1&amp;sams=1&amp;mtf=1&amp;sfp=1&amp;sdp=1&amp;hch=1&amp;hwfh=1&amp;dchat=1&amp;sc=%7B%22pmo%22%3A%22https%3A%2F%2Fnkucz-my.sharepoint.com%22%2C%22pmshare%22%3Atrue%7D&amp;ctp=LeastProtected&amp;rct=Normal&amp;wdorigin=ItemsView&amp;wdhostclicktime=1768898626849&amp;afdflight=58&amp;csiro=1&amp;instantedit=1&amp;wopicomplete=1&amp;wdredirectionreason=Unified_SingleFlush</vt:lpwstr>
      </vt:variant>
      <vt:variant>
        <vt:lpwstr>_ftn1</vt:lpwstr>
      </vt:variant>
      <vt:variant>
        <vt:i4>3735674</vt:i4>
      </vt:variant>
      <vt:variant>
        <vt:i4>12</vt:i4>
      </vt:variant>
      <vt:variant>
        <vt:i4>0</vt:i4>
      </vt:variant>
      <vt:variant>
        <vt:i4>5</vt:i4>
      </vt:variant>
      <vt:variant>
        <vt:lpwstr>https://efb-greenroof.eu/publications/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25/08 - Peněžní prostředky určené na podporu opatření k přizpůsobení se změně klimatu při hospodaření se srážkovými vodami</dc:title>
  <dc:subject>Kontrolní závěr z kontrolní akce NKÚ č. 25/08 - Peněžní prostředky určené na podporu opatření k přizpůsobení se změně klimatu při hospodaření se srážkovými vodami</dc:subject>
  <dc:creator>Nejvyšší kontrolní úřad</dc:creator>
  <cp:keywords>kontrolní závěr;srážkové vody;změna klimatu;hospodaření s vodou</cp:keywords>
  <cp:lastModifiedBy>KOKRDA Daniel</cp:lastModifiedBy>
  <cp:revision>3</cp:revision>
  <cp:lastPrinted>2026-03-30T07:03:00Z</cp:lastPrinted>
  <dcterms:created xsi:type="dcterms:W3CDTF">2026-05-26T05:32:00Z</dcterms:created>
  <dcterms:modified xsi:type="dcterms:W3CDTF">2026-05-26T05:34:00Z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24/06-NKU30/374/25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510/123/23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14.4.2025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&lt;TABLE&gt;&lt;TR&gt;&lt;TD&gt;Č.j.:&lt;/TD&gt;&lt;TD&gt;24/06-NKU30/374/25&lt;/TD&gt;&lt;/TR&gt;&lt;TR&gt;&lt;TD&gt;&lt;/TD&gt;&lt;TD&gt;&lt;/TD&gt;&lt;/TR&gt;&lt;/TABLE&gt;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25-5054/NKU</vt:lpwstr>
  </property>
  <property fmtid="{D5CDD505-2E9C-101B-9397-08002B2CF9AE}" pid="20" name="Key_BarCode_Pisemnost">
    <vt:lpwstr>*B000498991*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SIP_Label_577fbee6-ebd8-4412-8950-2ac0a4298383_ActionId">
    <vt:lpwstr>a867148d-3dc7-4b36-aee6-f06f836b42ff</vt:lpwstr>
  </property>
  <property fmtid="{D5CDD505-2E9C-101B-9397-08002B2CF9AE}" pid="24" name="MSIP_Label_577fbee6-ebd8-4412-8950-2ac0a4298383_ContentBits">
    <vt:lpwstr>0</vt:lpwstr>
  </property>
  <property fmtid="{D5CDD505-2E9C-101B-9397-08002B2CF9AE}" pid="25" name="MSIP_Label_577fbee6-ebd8-4412-8950-2ac0a4298383_Enabled">
    <vt:lpwstr>true</vt:lpwstr>
  </property>
  <property fmtid="{D5CDD505-2E9C-101B-9397-08002B2CF9AE}" pid="26" name="MSIP_Label_577fbee6-ebd8-4412-8950-2ac0a4298383_Method">
    <vt:lpwstr>Standard</vt:lpwstr>
  </property>
  <property fmtid="{D5CDD505-2E9C-101B-9397-08002B2CF9AE}" pid="27" name="MSIP_Label_577fbee6-ebd8-4412-8950-2ac0a4298383_Name">
    <vt:lpwstr>Střední</vt:lpwstr>
  </property>
  <property fmtid="{D5CDD505-2E9C-101B-9397-08002B2CF9AE}" pid="28" name="MSIP_Label_577fbee6-ebd8-4412-8950-2ac0a4298383_SetDate">
    <vt:lpwstr>2025-02-04T07:34:00Z</vt:lpwstr>
  </property>
  <property fmtid="{D5CDD505-2E9C-101B-9397-08002B2CF9AE}" pid="29" name="MSIP_Label_577fbee6-ebd8-4412-8950-2ac0a4298383_SiteId">
    <vt:lpwstr>e6d36204-fa0a-4bdb-9b60-80f84bb090cf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1</vt:lpwstr>
  </property>
  <property fmtid="{D5CDD505-2E9C-101B-9397-08002B2CF9AE}" pid="35" name="PocetListu_Pisemnost">
    <vt:lpwstr>1</vt:lpwstr>
  </property>
  <property fmtid="{D5CDD505-2E9C-101B-9397-08002B2CF9AE}" pid="36" name="PocetPriloh_Pisemnost">
    <vt:lpwstr>POČET PŘÍLOH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25-5054/NKU</vt:lpwstr>
  </property>
  <property fmtid="{D5CDD505-2E9C-101B-9397-08002B2CF9AE}" pid="41" name="RC">
    <vt:lpwstr/>
  </property>
  <property fmtid="{D5CDD505-2E9C-101B-9397-08002B2CF9AE}" pid="42" name="SkartacniZnakLhuta_PisemnostZnak">
    <vt:lpwstr>?/?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24/06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Návrh kontrolního závěru z KA č. 24/06 do PŘ</vt:lpwstr>
  </property>
  <property fmtid="{D5CDD505-2E9C-101B-9397-08002B2CF9AE}" pid="49" name="Zkratka_SpisovyUzel_PoziceZodpo_Pisemnost">
    <vt:lpwstr>30</vt:lpwstr>
  </property>
  <property fmtid="{D5CDD505-2E9C-101B-9397-08002B2CF9AE}" pid="50" name="ClassificationContentMarkingFooterShapeIds">
    <vt:lpwstr>48ac7626,399063c8,5c51efc7,26960659,6d93e5a3,4032589d,7496fe22,339ca798,49c30bdf</vt:lpwstr>
  </property>
  <property fmtid="{D5CDD505-2E9C-101B-9397-08002B2CF9AE}" pid="51" name="ClassificationContentMarkingFooterFontProps">
    <vt:lpwstr>#828282,12,Aptos</vt:lpwstr>
  </property>
  <property fmtid="{D5CDD505-2E9C-101B-9397-08002B2CF9AE}" pid="52" name="ClassificationContentMarkingFooterText">
    <vt:lpwstr>TLP:CLEAR</vt:lpwstr>
  </property>
</Properties>
</file>