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81569" w14:textId="77777777" w:rsidR="00D55F31" w:rsidRDefault="00455CD6" w:rsidP="00876EE8">
      <w:pPr>
        <w:jc w:val="center"/>
        <w:rPr>
          <w:rFonts w:cstheme="minorHAnsi"/>
          <w:color w:val="000000" w:themeColor="text1"/>
        </w:rPr>
      </w:pPr>
      <w:bookmarkStart w:id="0" w:name="_GoBack"/>
      <w:bookmarkEnd w:id="0"/>
      <w:r w:rsidRPr="00A22856">
        <w:rPr>
          <w:rFonts w:cstheme="minorHAnsi"/>
          <w:noProof/>
          <w:color w:val="000000" w:themeColor="text1"/>
        </w:rPr>
        <w:drawing>
          <wp:anchor distT="0" distB="0" distL="114300" distR="114300" simplePos="0" relativeHeight="251658240" behindDoc="0" locked="0" layoutInCell="1" allowOverlap="1" wp14:anchorId="0D101B92" wp14:editId="3DFE6A2F">
            <wp:simplePos x="0" y="0"/>
            <wp:positionH relativeFrom="column">
              <wp:posOffset>2480310</wp:posOffset>
            </wp:positionH>
            <wp:positionV relativeFrom="paragraph">
              <wp:posOffset>8559</wp:posOffset>
            </wp:positionV>
            <wp:extent cx="791210" cy="559435"/>
            <wp:effectExtent l="0" t="0" r="8890" b="0"/>
            <wp:wrapTopAndBottom/>
            <wp:docPr id="2"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08651" name="Picture 2" descr="NKU_LOGO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1210" cy="559435"/>
                    </a:xfrm>
                    <a:prstGeom prst="rect">
                      <a:avLst/>
                    </a:prstGeom>
                    <a:noFill/>
                  </pic:spPr>
                </pic:pic>
              </a:graphicData>
            </a:graphic>
          </wp:anchor>
        </w:drawing>
      </w:r>
    </w:p>
    <w:p w14:paraId="21BA5F5F" w14:textId="77777777" w:rsidR="00876EE8" w:rsidRDefault="00876EE8" w:rsidP="00876EE8">
      <w:pPr>
        <w:jc w:val="center"/>
        <w:rPr>
          <w:rFonts w:cstheme="minorHAnsi"/>
          <w:color w:val="000000" w:themeColor="text1"/>
        </w:rPr>
      </w:pPr>
    </w:p>
    <w:p w14:paraId="05E98D84" w14:textId="77777777" w:rsidR="00D55F31" w:rsidRPr="006E635F" w:rsidRDefault="00455CD6" w:rsidP="00D06914">
      <w:pPr>
        <w:pStyle w:val="TextKP"/>
        <w:jc w:val="center"/>
        <w:outlineLvl w:val="0"/>
        <w:rPr>
          <w:b/>
          <w:sz w:val="28"/>
        </w:rPr>
      </w:pPr>
      <w:r w:rsidRPr="006E635F">
        <w:rPr>
          <w:b/>
          <w:sz w:val="28"/>
        </w:rPr>
        <w:t>Kontrolní závěr z kontrolní akce</w:t>
      </w:r>
    </w:p>
    <w:p w14:paraId="6BE6B7CC" w14:textId="77777777" w:rsidR="005278A2" w:rsidRDefault="00455CD6" w:rsidP="1BDD3FC5">
      <w:pPr>
        <w:pStyle w:val="TextKP"/>
        <w:spacing w:line="259" w:lineRule="auto"/>
        <w:jc w:val="center"/>
        <w:rPr>
          <w:b/>
          <w:bCs/>
          <w:sz w:val="28"/>
          <w:szCs w:val="28"/>
        </w:rPr>
      </w:pPr>
      <w:r w:rsidRPr="1BDD3FC5">
        <w:rPr>
          <w:b/>
          <w:bCs/>
          <w:sz w:val="28"/>
          <w:szCs w:val="28"/>
        </w:rPr>
        <w:t>2</w:t>
      </w:r>
      <w:r w:rsidR="00970A70">
        <w:rPr>
          <w:b/>
          <w:bCs/>
          <w:sz w:val="28"/>
          <w:szCs w:val="28"/>
        </w:rPr>
        <w:t>2</w:t>
      </w:r>
      <w:r w:rsidR="001D7420" w:rsidRPr="1BDD3FC5">
        <w:rPr>
          <w:b/>
          <w:bCs/>
          <w:sz w:val="28"/>
          <w:szCs w:val="28"/>
        </w:rPr>
        <w:t>/</w:t>
      </w:r>
      <w:r w:rsidR="00970A70">
        <w:rPr>
          <w:b/>
          <w:bCs/>
          <w:sz w:val="28"/>
          <w:szCs w:val="28"/>
        </w:rPr>
        <w:t>27</w:t>
      </w:r>
    </w:p>
    <w:p w14:paraId="0D260BD1" w14:textId="77777777" w:rsidR="00D55F31" w:rsidRDefault="00455CD6" w:rsidP="00912B63">
      <w:pPr>
        <w:jc w:val="center"/>
        <w:rPr>
          <w:rFonts w:ascii="Calibri" w:hAnsi="Calibri" w:cs="Calibri"/>
          <w:b/>
          <w:color w:val="000000" w:themeColor="text1"/>
          <w:sz w:val="28"/>
        </w:rPr>
      </w:pPr>
      <w:r w:rsidRPr="009F5A43">
        <w:rPr>
          <w:rFonts w:ascii="Calibri" w:hAnsi="Calibri" w:cs="Calibri"/>
          <w:b/>
          <w:color w:val="000000" w:themeColor="text1"/>
          <w:sz w:val="28"/>
        </w:rPr>
        <w:t xml:space="preserve">Peněžní prostředky </w:t>
      </w:r>
      <w:r w:rsidR="00970A70">
        <w:rPr>
          <w:rFonts w:ascii="Calibri" w:hAnsi="Calibri" w:cs="Calibri"/>
          <w:b/>
          <w:color w:val="000000" w:themeColor="text1"/>
          <w:sz w:val="28"/>
        </w:rPr>
        <w:t>státu určené</w:t>
      </w:r>
      <w:r w:rsidRPr="009F5A43">
        <w:rPr>
          <w:rFonts w:ascii="Calibri" w:hAnsi="Calibri" w:cs="Calibri"/>
          <w:b/>
          <w:color w:val="000000" w:themeColor="text1"/>
          <w:sz w:val="28"/>
        </w:rPr>
        <w:t xml:space="preserve"> na podporu bydlení </w:t>
      </w:r>
    </w:p>
    <w:p w14:paraId="07A00A66" w14:textId="77777777" w:rsidR="00876EE8" w:rsidRDefault="00876EE8" w:rsidP="00876EE8">
      <w:pPr>
        <w:rPr>
          <w:rFonts w:cstheme="minorHAnsi"/>
          <w:color w:val="000000" w:themeColor="text1"/>
        </w:rPr>
      </w:pPr>
    </w:p>
    <w:p w14:paraId="21BBAABF" w14:textId="77777777" w:rsidR="00876EE8" w:rsidRDefault="00876EE8" w:rsidP="00876EE8">
      <w:pPr>
        <w:rPr>
          <w:rFonts w:cstheme="minorHAnsi"/>
          <w:color w:val="000000" w:themeColor="text1"/>
        </w:rPr>
      </w:pPr>
    </w:p>
    <w:p w14:paraId="37922400" w14:textId="77777777" w:rsidR="00CC5413" w:rsidRDefault="00CC5413" w:rsidP="00876EE8">
      <w:pPr>
        <w:rPr>
          <w:rFonts w:cstheme="minorHAnsi"/>
          <w:color w:val="000000" w:themeColor="text1"/>
        </w:rPr>
      </w:pPr>
    </w:p>
    <w:p w14:paraId="7C7BD9D4" w14:textId="0175A07A" w:rsidR="00ED1848" w:rsidRPr="00626AE4" w:rsidRDefault="00455CD6" w:rsidP="001B18A3">
      <w:pPr>
        <w:spacing w:after="120"/>
        <w:rPr>
          <w:rFonts w:cstheme="minorHAnsi"/>
          <w:color w:val="000000" w:themeColor="text1"/>
          <w:szCs w:val="24"/>
        </w:rPr>
      </w:pPr>
      <w:r w:rsidRPr="00B16ECD">
        <w:rPr>
          <w:rFonts w:cstheme="minorHAnsi"/>
          <w:color w:val="000000" w:themeColor="text1"/>
          <w:szCs w:val="24"/>
        </w:rPr>
        <w:t xml:space="preserve">Kontrolní </w:t>
      </w:r>
      <w:r w:rsidRPr="00626AE4">
        <w:rPr>
          <w:rFonts w:cstheme="minorHAnsi"/>
          <w:color w:val="000000" w:themeColor="text1"/>
          <w:szCs w:val="24"/>
        </w:rPr>
        <w:t xml:space="preserve">akce byla zařazena do plánu kontrolní činnosti Nejvyššího kontrolního úřadu </w:t>
      </w:r>
      <w:r w:rsidR="00913E40" w:rsidRPr="00626AE4">
        <w:rPr>
          <w:rFonts w:cstheme="minorHAnsi"/>
          <w:color w:val="000000" w:themeColor="text1"/>
          <w:szCs w:val="24"/>
        </w:rPr>
        <w:br/>
      </w:r>
      <w:r w:rsidRPr="00626AE4">
        <w:rPr>
          <w:rFonts w:cstheme="minorHAnsi"/>
          <w:color w:val="000000" w:themeColor="text1"/>
          <w:szCs w:val="24"/>
        </w:rPr>
        <w:t>(dále</w:t>
      </w:r>
      <w:r w:rsidR="00913E40" w:rsidRPr="00626AE4">
        <w:rPr>
          <w:rFonts w:cstheme="minorHAnsi"/>
          <w:color w:val="000000" w:themeColor="text1"/>
          <w:szCs w:val="24"/>
        </w:rPr>
        <w:t xml:space="preserve"> </w:t>
      </w:r>
      <w:r w:rsidRPr="00626AE4">
        <w:rPr>
          <w:rFonts w:cstheme="minorHAnsi"/>
          <w:color w:val="000000" w:themeColor="text1"/>
          <w:szCs w:val="24"/>
        </w:rPr>
        <w:t>t</w:t>
      </w:r>
      <w:r w:rsidR="00832FA7">
        <w:rPr>
          <w:rFonts w:cstheme="minorHAnsi"/>
          <w:color w:val="000000" w:themeColor="text1"/>
          <w:szCs w:val="24"/>
        </w:rPr>
        <w:t>éž</w:t>
      </w:r>
      <w:r w:rsidRPr="00626AE4">
        <w:rPr>
          <w:rFonts w:cstheme="minorHAnsi"/>
          <w:color w:val="000000" w:themeColor="text1"/>
          <w:szCs w:val="24"/>
        </w:rPr>
        <w:t xml:space="preserve"> „NKÚ“) na rok 20</w:t>
      </w:r>
      <w:r w:rsidR="005278A2" w:rsidRPr="00626AE4">
        <w:rPr>
          <w:rFonts w:cstheme="minorHAnsi"/>
          <w:color w:val="000000" w:themeColor="text1"/>
          <w:szCs w:val="24"/>
        </w:rPr>
        <w:t>2</w:t>
      </w:r>
      <w:r w:rsidR="00970A70" w:rsidRPr="00626AE4">
        <w:rPr>
          <w:rFonts w:cstheme="minorHAnsi"/>
          <w:color w:val="000000" w:themeColor="text1"/>
          <w:szCs w:val="24"/>
        </w:rPr>
        <w:t>2</w:t>
      </w:r>
      <w:r w:rsidRPr="00626AE4">
        <w:rPr>
          <w:rFonts w:cstheme="minorHAnsi"/>
          <w:color w:val="000000" w:themeColor="text1"/>
          <w:szCs w:val="24"/>
        </w:rPr>
        <w:t xml:space="preserve"> pod číslem </w:t>
      </w:r>
      <w:r w:rsidR="005278A2" w:rsidRPr="00626AE4">
        <w:rPr>
          <w:rFonts w:cstheme="minorHAnsi"/>
          <w:color w:val="000000" w:themeColor="text1"/>
          <w:szCs w:val="24"/>
        </w:rPr>
        <w:t>2</w:t>
      </w:r>
      <w:r w:rsidR="00970A70" w:rsidRPr="00626AE4">
        <w:rPr>
          <w:rFonts w:cstheme="minorHAnsi"/>
          <w:color w:val="000000" w:themeColor="text1"/>
          <w:szCs w:val="24"/>
        </w:rPr>
        <w:t>2</w:t>
      </w:r>
      <w:r w:rsidRPr="00626AE4">
        <w:rPr>
          <w:rFonts w:cstheme="minorHAnsi"/>
          <w:color w:val="000000" w:themeColor="text1"/>
          <w:szCs w:val="24"/>
        </w:rPr>
        <w:t>/</w:t>
      </w:r>
      <w:r w:rsidR="00970A70" w:rsidRPr="00626AE4">
        <w:rPr>
          <w:rFonts w:cstheme="minorHAnsi"/>
          <w:color w:val="000000" w:themeColor="text1"/>
          <w:szCs w:val="24"/>
        </w:rPr>
        <w:t>27</w:t>
      </w:r>
      <w:r w:rsidRPr="00626AE4">
        <w:rPr>
          <w:rFonts w:cstheme="minorHAnsi"/>
          <w:color w:val="000000" w:themeColor="text1"/>
          <w:szCs w:val="24"/>
        </w:rPr>
        <w:t>. Kontrolní akci řídil a</w:t>
      </w:r>
      <w:r w:rsidR="00E34290" w:rsidRPr="00626AE4">
        <w:rPr>
          <w:rFonts w:cstheme="minorHAnsi"/>
          <w:color w:val="000000" w:themeColor="text1"/>
          <w:szCs w:val="24"/>
        </w:rPr>
        <w:t xml:space="preserve"> </w:t>
      </w:r>
      <w:r w:rsidRPr="00626AE4">
        <w:rPr>
          <w:rFonts w:cstheme="minorHAnsi"/>
          <w:color w:val="000000" w:themeColor="text1"/>
          <w:szCs w:val="24"/>
        </w:rPr>
        <w:t xml:space="preserve">kontrolní závěr vypracoval člen NKÚ </w:t>
      </w:r>
      <w:r w:rsidR="009F5A43" w:rsidRPr="00626AE4">
        <w:rPr>
          <w:rFonts w:cstheme="minorHAnsi"/>
          <w:color w:val="000000" w:themeColor="text1"/>
          <w:szCs w:val="24"/>
        </w:rPr>
        <w:t>JUDr. Ing. Jiří Kalivoda</w:t>
      </w:r>
      <w:r w:rsidR="005278A2" w:rsidRPr="00626AE4">
        <w:rPr>
          <w:rFonts w:cstheme="minorHAnsi"/>
          <w:color w:val="000000" w:themeColor="text1"/>
          <w:szCs w:val="24"/>
        </w:rPr>
        <w:t>.</w:t>
      </w:r>
    </w:p>
    <w:p w14:paraId="3660A54F" w14:textId="77777777" w:rsidR="00ED1848" w:rsidRPr="00626AE4" w:rsidRDefault="00455CD6" w:rsidP="001B18A3">
      <w:pPr>
        <w:spacing w:after="120"/>
        <w:rPr>
          <w:rFonts w:cstheme="minorHAnsi"/>
          <w:color w:val="000000" w:themeColor="text1"/>
          <w:szCs w:val="24"/>
        </w:rPr>
      </w:pPr>
      <w:r w:rsidRPr="00626AE4">
        <w:t xml:space="preserve">Cílem kontrolní akce bylo </w:t>
      </w:r>
      <w:r w:rsidRPr="00626AE4">
        <w:rPr>
          <w:rFonts w:eastAsia="Calibri"/>
        </w:rPr>
        <w:t>prověřit</w:t>
      </w:r>
      <w:r w:rsidR="005278A2" w:rsidRPr="00626AE4">
        <w:rPr>
          <w:rFonts w:eastAsia="Calibri"/>
        </w:rPr>
        <w:t xml:space="preserve">, </w:t>
      </w:r>
      <w:r w:rsidR="00970A70" w:rsidRPr="00626AE4">
        <w:t>zda</w:t>
      </w:r>
      <w:r w:rsidR="009F1DCB">
        <w:t xml:space="preserve"> </w:t>
      </w:r>
      <w:r w:rsidR="00C85CF9">
        <w:t xml:space="preserve">byly </w:t>
      </w:r>
      <w:r w:rsidR="00970A70" w:rsidRPr="00626AE4">
        <w:t>peněžní prostředky státu určené na podporu bydlení poskytovány</w:t>
      </w:r>
      <w:r w:rsidR="00747598" w:rsidRPr="00626AE4">
        <w:t xml:space="preserve"> a čerpány</w:t>
      </w:r>
      <w:r w:rsidR="00970A70" w:rsidRPr="00626AE4">
        <w:t xml:space="preserve"> účelně, hospodárně a v souladu s právními předpisy.</w:t>
      </w:r>
    </w:p>
    <w:p w14:paraId="34B294F4" w14:textId="77777777" w:rsidR="003435D8" w:rsidRPr="00626AE4" w:rsidRDefault="00455CD6" w:rsidP="001B18A3">
      <w:pPr>
        <w:spacing w:after="120"/>
        <w:rPr>
          <w:rFonts w:cstheme="minorHAnsi"/>
          <w:color w:val="000000" w:themeColor="text1"/>
          <w:szCs w:val="24"/>
        </w:rPr>
      </w:pPr>
      <w:r w:rsidRPr="00626AE4">
        <w:rPr>
          <w:rFonts w:cstheme="minorHAnsi"/>
          <w:color w:val="000000" w:themeColor="text1"/>
          <w:szCs w:val="24"/>
        </w:rPr>
        <w:t>Kontrola byla prov</w:t>
      </w:r>
      <w:r w:rsidR="00046471" w:rsidRPr="00626AE4">
        <w:rPr>
          <w:rFonts w:cstheme="minorHAnsi"/>
          <w:color w:val="000000" w:themeColor="text1"/>
          <w:szCs w:val="24"/>
        </w:rPr>
        <w:t>áděna</w:t>
      </w:r>
      <w:r w:rsidRPr="00626AE4">
        <w:rPr>
          <w:rFonts w:cstheme="minorHAnsi"/>
          <w:color w:val="000000" w:themeColor="text1"/>
          <w:szCs w:val="24"/>
        </w:rPr>
        <w:t xml:space="preserve"> u kontrolovan</w:t>
      </w:r>
      <w:r w:rsidR="00D74A3D" w:rsidRPr="00626AE4">
        <w:rPr>
          <w:rFonts w:cstheme="minorHAnsi"/>
          <w:color w:val="000000" w:themeColor="text1"/>
          <w:szCs w:val="24"/>
        </w:rPr>
        <w:t>ých</w:t>
      </w:r>
      <w:r w:rsidRPr="00626AE4">
        <w:rPr>
          <w:rFonts w:cstheme="minorHAnsi"/>
          <w:color w:val="000000" w:themeColor="text1"/>
          <w:szCs w:val="24"/>
        </w:rPr>
        <w:t xml:space="preserve"> osob v době od </w:t>
      </w:r>
      <w:r w:rsidR="00970A70" w:rsidRPr="00626AE4">
        <w:rPr>
          <w:rFonts w:cstheme="minorHAnsi"/>
          <w:color w:val="000000" w:themeColor="text1"/>
          <w:szCs w:val="24"/>
        </w:rPr>
        <w:t>listopadu 2022</w:t>
      </w:r>
      <w:r w:rsidR="009221B7" w:rsidRPr="00626AE4">
        <w:rPr>
          <w:rFonts w:cstheme="minorHAnsi"/>
          <w:color w:val="000000" w:themeColor="text1"/>
          <w:szCs w:val="24"/>
        </w:rPr>
        <w:t xml:space="preserve"> </w:t>
      </w:r>
      <w:r w:rsidR="0011208A" w:rsidRPr="00626AE4">
        <w:rPr>
          <w:rFonts w:cstheme="minorHAnsi"/>
          <w:color w:val="000000" w:themeColor="text1"/>
          <w:szCs w:val="24"/>
        </w:rPr>
        <w:t xml:space="preserve">do </w:t>
      </w:r>
      <w:r w:rsidR="00970A70" w:rsidRPr="00626AE4">
        <w:rPr>
          <w:rFonts w:cstheme="minorHAnsi"/>
          <w:color w:val="000000" w:themeColor="text1"/>
          <w:szCs w:val="24"/>
        </w:rPr>
        <w:t>červ</w:t>
      </w:r>
      <w:r w:rsidR="009F5A43" w:rsidRPr="00626AE4">
        <w:rPr>
          <w:rFonts w:cstheme="minorHAnsi"/>
          <w:color w:val="000000" w:themeColor="text1"/>
          <w:szCs w:val="24"/>
        </w:rPr>
        <w:t>na</w:t>
      </w:r>
      <w:r w:rsidR="009221B7" w:rsidRPr="00626AE4">
        <w:rPr>
          <w:rFonts w:cstheme="minorHAnsi"/>
          <w:color w:val="000000" w:themeColor="text1"/>
          <w:szCs w:val="24"/>
        </w:rPr>
        <w:t xml:space="preserve"> 20</w:t>
      </w:r>
      <w:r w:rsidR="00EC2E5F" w:rsidRPr="00626AE4">
        <w:rPr>
          <w:rFonts w:cstheme="minorHAnsi"/>
          <w:color w:val="000000" w:themeColor="text1"/>
          <w:szCs w:val="24"/>
        </w:rPr>
        <w:t>2</w:t>
      </w:r>
      <w:r w:rsidR="00970A70" w:rsidRPr="00626AE4">
        <w:rPr>
          <w:rFonts w:cstheme="minorHAnsi"/>
          <w:color w:val="000000" w:themeColor="text1"/>
          <w:szCs w:val="24"/>
        </w:rPr>
        <w:t>3</w:t>
      </w:r>
      <w:r w:rsidR="00E05DA7" w:rsidRPr="00626AE4">
        <w:rPr>
          <w:rFonts w:cstheme="minorHAnsi"/>
          <w:color w:val="000000" w:themeColor="text1"/>
          <w:szCs w:val="24"/>
        </w:rPr>
        <w:t>.</w:t>
      </w:r>
    </w:p>
    <w:p w14:paraId="42091288" w14:textId="77777777" w:rsidR="00D55F31" w:rsidRPr="00626AE4" w:rsidRDefault="00455CD6" w:rsidP="001B18A3">
      <w:pPr>
        <w:spacing w:after="120"/>
        <w:rPr>
          <w:rFonts w:cstheme="minorHAnsi"/>
          <w:color w:val="000000" w:themeColor="text1"/>
          <w:szCs w:val="24"/>
        </w:rPr>
      </w:pPr>
      <w:r w:rsidRPr="00626AE4">
        <w:rPr>
          <w:rFonts w:cstheme="minorHAnsi"/>
          <w:color w:val="000000" w:themeColor="text1"/>
          <w:szCs w:val="24"/>
        </w:rPr>
        <w:t>Kontrolovaným obdobím byl</w:t>
      </w:r>
      <w:r w:rsidR="00AA23BE" w:rsidRPr="00626AE4">
        <w:rPr>
          <w:rFonts w:cstheme="minorHAnsi"/>
          <w:color w:val="000000" w:themeColor="text1"/>
          <w:szCs w:val="24"/>
        </w:rPr>
        <w:t xml:space="preserve">o období od roku </w:t>
      </w:r>
      <w:r w:rsidRPr="00626AE4">
        <w:rPr>
          <w:rFonts w:cstheme="minorHAnsi"/>
          <w:color w:val="000000" w:themeColor="text1"/>
          <w:szCs w:val="24"/>
        </w:rPr>
        <w:t>201</w:t>
      </w:r>
      <w:r w:rsidR="009F5A43" w:rsidRPr="00626AE4">
        <w:rPr>
          <w:rFonts w:cstheme="minorHAnsi"/>
          <w:color w:val="000000" w:themeColor="text1"/>
          <w:szCs w:val="24"/>
        </w:rPr>
        <w:t>6</w:t>
      </w:r>
      <w:r w:rsidRPr="00626AE4">
        <w:rPr>
          <w:rFonts w:cstheme="minorHAnsi"/>
          <w:color w:val="000000" w:themeColor="text1"/>
          <w:szCs w:val="24"/>
        </w:rPr>
        <w:t xml:space="preserve"> </w:t>
      </w:r>
      <w:r w:rsidR="00AA23BE" w:rsidRPr="00626AE4">
        <w:rPr>
          <w:rFonts w:cstheme="minorHAnsi"/>
          <w:color w:val="000000" w:themeColor="text1"/>
          <w:szCs w:val="24"/>
        </w:rPr>
        <w:t xml:space="preserve">do </w:t>
      </w:r>
      <w:r w:rsidR="00C35F0E" w:rsidRPr="00626AE4">
        <w:rPr>
          <w:rFonts w:cstheme="minorHAnsi"/>
          <w:color w:val="000000" w:themeColor="text1"/>
          <w:szCs w:val="24"/>
        </w:rPr>
        <w:t xml:space="preserve">roku </w:t>
      </w:r>
      <w:r w:rsidR="00356688" w:rsidRPr="00626AE4">
        <w:rPr>
          <w:rFonts w:cstheme="minorHAnsi"/>
          <w:color w:val="000000" w:themeColor="text1"/>
          <w:szCs w:val="24"/>
        </w:rPr>
        <w:t>202</w:t>
      </w:r>
      <w:r w:rsidR="00970A70" w:rsidRPr="00626AE4">
        <w:rPr>
          <w:rFonts w:cstheme="minorHAnsi"/>
          <w:color w:val="000000" w:themeColor="text1"/>
          <w:szCs w:val="24"/>
        </w:rPr>
        <w:t>2</w:t>
      </w:r>
      <w:r w:rsidR="00AA23BE" w:rsidRPr="00626AE4">
        <w:rPr>
          <w:rFonts w:cstheme="minorHAnsi"/>
          <w:color w:val="000000" w:themeColor="text1"/>
          <w:szCs w:val="24"/>
        </w:rPr>
        <w:t xml:space="preserve">, </w:t>
      </w:r>
      <w:r w:rsidRPr="00626AE4">
        <w:rPr>
          <w:rFonts w:cstheme="minorHAnsi"/>
          <w:color w:val="000000" w:themeColor="text1"/>
          <w:szCs w:val="24"/>
        </w:rPr>
        <w:t>v případě věcných souvislostí i</w:t>
      </w:r>
      <w:r w:rsidR="00046F33" w:rsidRPr="00626AE4">
        <w:rPr>
          <w:rFonts w:cstheme="minorHAnsi"/>
          <w:color w:val="000000" w:themeColor="text1"/>
          <w:szCs w:val="24"/>
        </w:rPr>
        <w:t> </w:t>
      </w:r>
      <w:r w:rsidRPr="00626AE4">
        <w:rPr>
          <w:rFonts w:cstheme="minorHAnsi"/>
          <w:color w:val="000000" w:themeColor="text1"/>
          <w:szCs w:val="24"/>
        </w:rPr>
        <w:t>období předch</w:t>
      </w:r>
      <w:r w:rsidR="00AA23BE" w:rsidRPr="00626AE4">
        <w:rPr>
          <w:rFonts w:cstheme="minorHAnsi"/>
          <w:color w:val="000000" w:themeColor="text1"/>
          <w:szCs w:val="24"/>
        </w:rPr>
        <w:t>ázející</w:t>
      </w:r>
      <w:r w:rsidR="00C35F0E" w:rsidRPr="00626AE4">
        <w:rPr>
          <w:rFonts w:cstheme="minorHAnsi"/>
          <w:color w:val="000000" w:themeColor="text1"/>
          <w:szCs w:val="24"/>
        </w:rPr>
        <w:t xml:space="preserve"> a následující</w:t>
      </w:r>
      <w:r w:rsidR="00AA23BE" w:rsidRPr="00626AE4">
        <w:rPr>
          <w:rFonts w:cstheme="minorHAnsi"/>
          <w:color w:val="000000" w:themeColor="text1"/>
          <w:szCs w:val="24"/>
        </w:rPr>
        <w:t>.</w:t>
      </w:r>
    </w:p>
    <w:p w14:paraId="7118C697" w14:textId="77777777" w:rsidR="00ED1848" w:rsidRPr="00626AE4" w:rsidRDefault="00ED1848" w:rsidP="00876EE8">
      <w:pPr>
        <w:rPr>
          <w:rFonts w:cstheme="minorHAnsi"/>
          <w:color w:val="000000" w:themeColor="text1"/>
          <w:szCs w:val="24"/>
        </w:rPr>
      </w:pPr>
    </w:p>
    <w:p w14:paraId="5E87913B" w14:textId="77777777" w:rsidR="00D55F31" w:rsidRPr="00626AE4" w:rsidRDefault="00455CD6" w:rsidP="00876EE8">
      <w:pPr>
        <w:rPr>
          <w:b/>
        </w:rPr>
      </w:pPr>
      <w:r w:rsidRPr="00626AE4">
        <w:rPr>
          <w:b/>
        </w:rPr>
        <w:t>Kontrolovan</w:t>
      </w:r>
      <w:r w:rsidR="00EC2E5F" w:rsidRPr="00626AE4">
        <w:rPr>
          <w:b/>
        </w:rPr>
        <w:t>é</w:t>
      </w:r>
      <w:r w:rsidRPr="00626AE4">
        <w:rPr>
          <w:b/>
        </w:rPr>
        <w:t xml:space="preserve"> osob</w:t>
      </w:r>
      <w:r w:rsidR="00EC2E5F" w:rsidRPr="00626AE4">
        <w:rPr>
          <w:b/>
        </w:rPr>
        <w:t>y:</w:t>
      </w:r>
    </w:p>
    <w:p w14:paraId="11DB6060" w14:textId="77777777" w:rsidR="00970A70" w:rsidRPr="00626AE4" w:rsidRDefault="00455CD6" w:rsidP="00912BA1">
      <w:pPr>
        <w:rPr>
          <w:lang w:eastAsia="en-US"/>
        </w:rPr>
      </w:pPr>
      <w:r w:rsidRPr="00626AE4">
        <w:rPr>
          <w:lang w:eastAsia="en-US"/>
        </w:rPr>
        <w:t xml:space="preserve">Ministerstvo </w:t>
      </w:r>
      <w:r w:rsidR="00004762" w:rsidRPr="00626AE4">
        <w:rPr>
          <w:lang w:eastAsia="en-US"/>
        </w:rPr>
        <w:t>pro místní rozvoj (dále též</w:t>
      </w:r>
      <w:r w:rsidRPr="00626AE4">
        <w:rPr>
          <w:lang w:eastAsia="en-US"/>
        </w:rPr>
        <w:t xml:space="preserve"> „M</w:t>
      </w:r>
      <w:r w:rsidR="00004762" w:rsidRPr="00626AE4">
        <w:rPr>
          <w:lang w:eastAsia="en-US"/>
        </w:rPr>
        <w:t>MR</w:t>
      </w:r>
      <w:r w:rsidRPr="00626AE4">
        <w:rPr>
          <w:lang w:eastAsia="en-US"/>
        </w:rPr>
        <w:t>“)</w:t>
      </w:r>
      <w:r w:rsidR="00F75393" w:rsidRPr="00626AE4">
        <w:rPr>
          <w:lang w:eastAsia="en-US"/>
        </w:rPr>
        <w:t>;</w:t>
      </w:r>
      <w:r w:rsidR="00FC6E33" w:rsidRPr="00626AE4">
        <w:rPr>
          <w:lang w:eastAsia="en-US"/>
        </w:rPr>
        <w:t xml:space="preserve"> </w:t>
      </w:r>
    </w:p>
    <w:p w14:paraId="280CF17B" w14:textId="77777777" w:rsidR="008B0FAE" w:rsidRDefault="00455CD6" w:rsidP="00912BA1">
      <w:pPr>
        <w:rPr>
          <w:rFonts w:cstheme="minorHAnsi"/>
        </w:rPr>
      </w:pPr>
      <w:r w:rsidRPr="00626AE4">
        <w:rPr>
          <w:rFonts w:cstheme="minorHAnsi"/>
        </w:rPr>
        <w:t>Státní fond podpory investic</w:t>
      </w:r>
      <w:r w:rsidR="000D4676">
        <w:rPr>
          <w:rFonts w:cstheme="minorHAnsi"/>
        </w:rPr>
        <w:t>, Praha</w:t>
      </w:r>
      <w:r w:rsidRPr="00626AE4">
        <w:rPr>
          <w:rFonts w:cstheme="minorHAnsi"/>
        </w:rPr>
        <w:t xml:space="preserve"> (dále též „SFPI“);</w:t>
      </w:r>
    </w:p>
    <w:p w14:paraId="1398D4C7" w14:textId="189A1A73" w:rsidR="00970A70" w:rsidRPr="00EF181D" w:rsidRDefault="00755A7C" w:rsidP="00912BA1">
      <w:r>
        <w:t>v</w:t>
      </w:r>
      <w:r w:rsidR="00455CD6" w:rsidRPr="00970A70">
        <w:t xml:space="preserve">ybraní příjemci podpory: </w:t>
      </w:r>
      <w:r w:rsidR="00455CD6">
        <w:t>REGOS M, spol. s r.o.</w:t>
      </w:r>
      <w:r w:rsidR="00705343">
        <w:t xml:space="preserve">, </w:t>
      </w:r>
      <w:r w:rsidR="000D4676">
        <w:t>Ostrava</w:t>
      </w:r>
      <w:r w:rsidR="00455CD6">
        <w:t xml:space="preserve">; </w:t>
      </w:r>
      <w:r w:rsidR="000D4676">
        <w:t>o</w:t>
      </w:r>
      <w:r w:rsidR="00455CD6">
        <w:t>bec Branka u Opavy;</w:t>
      </w:r>
      <w:r w:rsidR="00572D3B">
        <w:t xml:space="preserve"> </w:t>
      </w:r>
      <w:r w:rsidR="000D4676">
        <w:t>s</w:t>
      </w:r>
      <w:r w:rsidR="00455CD6">
        <w:t>tatutární město Ostrava, městský obvod Moravská Ostrava a Přívoz;</w:t>
      </w:r>
      <w:r w:rsidR="00572D3B">
        <w:t xml:space="preserve"> </w:t>
      </w:r>
      <w:r w:rsidR="000D4676">
        <w:t>m</w:t>
      </w:r>
      <w:r w:rsidR="00455CD6">
        <w:t>ěsto Frýdlant;</w:t>
      </w:r>
      <w:r w:rsidR="00572D3B">
        <w:t xml:space="preserve"> </w:t>
      </w:r>
      <w:r w:rsidR="000D4676">
        <w:t>m</w:t>
      </w:r>
      <w:r w:rsidR="00455CD6">
        <w:t>ěsto Harrachov;</w:t>
      </w:r>
      <w:r w:rsidR="00572D3B">
        <w:t xml:space="preserve"> </w:t>
      </w:r>
      <w:proofErr w:type="spellStart"/>
      <w:r w:rsidR="00455CD6">
        <w:t>Suprost</w:t>
      </w:r>
      <w:proofErr w:type="spellEnd"/>
      <w:r w:rsidR="00455CD6">
        <w:t xml:space="preserve"> s.r.o.</w:t>
      </w:r>
      <w:r w:rsidR="005D011B">
        <w:t>,</w:t>
      </w:r>
      <w:r w:rsidR="000D4676">
        <w:t xml:space="preserve"> Nové Město pod Smrkem</w:t>
      </w:r>
      <w:r w:rsidR="00455CD6">
        <w:t>; Společenství vlastníků Nisa – Jáchymovská 240,</w:t>
      </w:r>
      <w:r w:rsidR="000D4676">
        <w:t xml:space="preserve"> </w:t>
      </w:r>
      <w:r w:rsidR="00455CD6">
        <w:t>241,</w:t>
      </w:r>
      <w:r w:rsidR="000D4676">
        <w:t xml:space="preserve"> </w:t>
      </w:r>
      <w:r w:rsidR="00455CD6">
        <w:t>242</w:t>
      </w:r>
      <w:r w:rsidR="000D4676">
        <w:t>, Liberec</w:t>
      </w:r>
      <w:r w:rsidR="00572D3B">
        <w:t xml:space="preserve">; </w:t>
      </w:r>
      <w:r w:rsidR="000D4676">
        <w:rPr>
          <w:rFonts w:ascii="Calibri" w:hAnsi="Calibri" w:cs="Calibri"/>
        </w:rPr>
        <w:t>s</w:t>
      </w:r>
      <w:r w:rsidR="00455CD6" w:rsidRPr="007527F4">
        <w:rPr>
          <w:rFonts w:ascii="Calibri" w:hAnsi="Calibri" w:cs="Calibri"/>
        </w:rPr>
        <w:t>tatutární město Brno</w:t>
      </w:r>
      <w:r w:rsidR="00455CD6">
        <w:rPr>
          <w:rFonts w:ascii="Calibri" w:hAnsi="Calibri" w:cs="Calibri"/>
          <w:color w:val="000000"/>
        </w:rPr>
        <w:t>;</w:t>
      </w:r>
      <w:r w:rsidR="00572D3B">
        <w:rPr>
          <w:rFonts w:ascii="Calibri" w:hAnsi="Calibri" w:cs="Calibri"/>
          <w:color w:val="000000"/>
        </w:rPr>
        <w:t xml:space="preserve"> </w:t>
      </w:r>
      <w:r w:rsidR="00455CD6" w:rsidRPr="00572D3B">
        <w:rPr>
          <w:rFonts w:ascii="Calibri" w:hAnsi="Calibri" w:cs="Calibri"/>
        </w:rPr>
        <w:t>Bytové družstvo DRUŽBA</w:t>
      </w:r>
      <w:r w:rsidR="000D4676">
        <w:rPr>
          <w:rFonts w:ascii="Calibri" w:hAnsi="Calibri" w:cs="Calibri"/>
        </w:rPr>
        <w:t xml:space="preserve">, </w:t>
      </w:r>
      <w:r w:rsidR="00705343">
        <w:rPr>
          <w:rFonts w:ascii="Calibri" w:hAnsi="Calibri" w:cs="Calibri"/>
        </w:rPr>
        <w:t>Ústí nad Labem</w:t>
      </w:r>
      <w:r w:rsidR="00455CD6" w:rsidRPr="00572D3B">
        <w:rPr>
          <w:rFonts w:ascii="Calibri" w:hAnsi="Calibri" w:cs="Calibri"/>
          <w:color w:val="444444"/>
        </w:rPr>
        <w:t>;</w:t>
      </w:r>
      <w:r w:rsidR="00572D3B">
        <w:t xml:space="preserve"> </w:t>
      </w:r>
      <w:r>
        <w:br/>
      </w:r>
      <w:proofErr w:type="spellStart"/>
      <w:r w:rsidR="00455CD6" w:rsidRPr="00572D3B">
        <w:rPr>
          <w:rFonts w:ascii="Calibri" w:hAnsi="Calibri" w:cs="Calibri"/>
        </w:rPr>
        <w:t>HANNAinvest</w:t>
      </w:r>
      <w:proofErr w:type="spellEnd"/>
      <w:r>
        <w:rPr>
          <w:rFonts w:ascii="Calibri" w:hAnsi="Calibri" w:cs="Calibri"/>
        </w:rPr>
        <w:t xml:space="preserve"> </w:t>
      </w:r>
      <w:r w:rsidR="00455CD6" w:rsidRPr="00572D3B">
        <w:rPr>
          <w:rFonts w:ascii="Calibri" w:hAnsi="Calibri" w:cs="Calibri"/>
        </w:rPr>
        <w:t>s.r.o.</w:t>
      </w:r>
      <w:r w:rsidR="00705343">
        <w:rPr>
          <w:rFonts w:ascii="Calibri" w:hAnsi="Calibri" w:cs="Calibri"/>
        </w:rPr>
        <w:t>, Praha</w:t>
      </w:r>
      <w:r w:rsidR="00455CD6" w:rsidRPr="00572D3B">
        <w:rPr>
          <w:rFonts w:ascii="Calibri" w:hAnsi="Calibri" w:cs="Calibri"/>
          <w:color w:val="000000"/>
        </w:rPr>
        <w:t>;</w:t>
      </w:r>
      <w:r w:rsidR="00572D3B">
        <w:t xml:space="preserve"> </w:t>
      </w:r>
      <w:r w:rsidR="00455CD6" w:rsidRPr="00572D3B">
        <w:rPr>
          <w:rFonts w:ascii="Calibri" w:hAnsi="Calibri" w:cs="Calibri"/>
        </w:rPr>
        <w:t>KALISAX s.r.o.</w:t>
      </w:r>
      <w:r w:rsidR="00705343">
        <w:rPr>
          <w:rFonts w:ascii="Calibri" w:hAnsi="Calibri" w:cs="Calibri"/>
        </w:rPr>
        <w:t>, Svitavy</w:t>
      </w:r>
      <w:r w:rsidR="00455CD6" w:rsidRPr="00572D3B">
        <w:rPr>
          <w:rFonts w:ascii="Calibri" w:hAnsi="Calibri" w:cs="Calibri"/>
          <w:color w:val="000000"/>
        </w:rPr>
        <w:t>;</w:t>
      </w:r>
      <w:r w:rsidR="00572D3B">
        <w:t xml:space="preserve"> </w:t>
      </w:r>
      <w:r w:rsidR="00705343">
        <w:rPr>
          <w:rFonts w:ascii="Calibri" w:hAnsi="Calibri" w:cs="Calibri"/>
        </w:rPr>
        <w:t>o</w:t>
      </w:r>
      <w:r w:rsidR="00455CD6" w:rsidRPr="00572D3B">
        <w:rPr>
          <w:rFonts w:ascii="Calibri" w:hAnsi="Calibri" w:cs="Calibri"/>
        </w:rPr>
        <w:t>bec Opočnice</w:t>
      </w:r>
      <w:r w:rsidR="00455CD6" w:rsidRPr="00572D3B">
        <w:rPr>
          <w:rFonts w:ascii="Calibri" w:hAnsi="Calibri" w:cs="Calibri"/>
          <w:color w:val="000000"/>
        </w:rPr>
        <w:t>;</w:t>
      </w:r>
      <w:r w:rsidR="00572D3B">
        <w:rPr>
          <w:rFonts w:ascii="Calibri" w:hAnsi="Calibri" w:cs="Calibri"/>
          <w:color w:val="000000"/>
        </w:rPr>
        <w:t xml:space="preserve"> </w:t>
      </w:r>
      <w:r w:rsidR="00455CD6" w:rsidRPr="00572D3B">
        <w:rPr>
          <w:rFonts w:ascii="Calibri" w:hAnsi="Calibri" w:cs="Calibri"/>
        </w:rPr>
        <w:t>US Rival s.r.o.</w:t>
      </w:r>
      <w:r w:rsidR="00705343">
        <w:rPr>
          <w:rFonts w:ascii="Calibri" w:hAnsi="Calibri" w:cs="Calibri"/>
        </w:rPr>
        <w:t>, Dubňany</w:t>
      </w:r>
      <w:r w:rsidR="00455CD6" w:rsidRPr="00572D3B">
        <w:rPr>
          <w:rFonts w:ascii="Calibri" w:hAnsi="Calibri" w:cs="Calibri"/>
          <w:color w:val="000000"/>
        </w:rPr>
        <w:t>;</w:t>
      </w:r>
      <w:r w:rsidR="00572D3B">
        <w:t xml:space="preserve"> </w:t>
      </w:r>
      <w:r w:rsidR="00705343">
        <w:rPr>
          <w:rFonts w:ascii="Calibri" w:hAnsi="Calibri" w:cs="Calibri"/>
        </w:rPr>
        <w:t>m</w:t>
      </w:r>
      <w:r w:rsidR="00455CD6" w:rsidRPr="00572D3B">
        <w:rPr>
          <w:rFonts w:ascii="Calibri" w:hAnsi="Calibri" w:cs="Calibri"/>
        </w:rPr>
        <w:t>ěsto Příbram</w:t>
      </w:r>
      <w:r w:rsidR="00455CD6" w:rsidRPr="00572D3B">
        <w:rPr>
          <w:rFonts w:ascii="Calibri" w:hAnsi="Calibri" w:cs="Calibri"/>
          <w:color w:val="000000"/>
        </w:rPr>
        <w:t>;</w:t>
      </w:r>
      <w:r w:rsidR="00572D3B">
        <w:t xml:space="preserve"> </w:t>
      </w:r>
      <w:r w:rsidR="00705343">
        <w:rPr>
          <w:rFonts w:ascii="Calibri" w:hAnsi="Calibri" w:cs="Calibri"/>
        </w:rPr>
        <w:t>m</w:t>
      </w:r>
      <w:r w:rsidR="00455CD6" w:rsidRPr="00572D3B">
        <w:rPr>
          <w:rFonts w:ascii="Calibri" w:hAnsi="Calibri" w:cs="Calibri"/>
        </w:rPr>
        <w:t>ěsto Svitavy</w:t>
      </w:r>
      <w:r w:rsidR="00455CD6" w:rsidRPr="00572D3B">
        <w:rPr>
          <w:rFonts w:ascii="Calibri" w:hAnsi="Calibri" w:cs="Calibri"/>
          <w:color w:val="000000"/>
        </w:rPr>
        <w:t>;</w:t>
      </w:r>
      <w:r w:rsidR="00C039FD">
        <w:t xml:space="preserve"> </w:t>
      </w:r>
      <w:r w:rsidR="00705343">
        <w:rPr>
          <w:rFonts w:ascii="Calibri" w:hAnsi="Calibri" w:cs="Calibri"/>
        </w:rPr>
        <w:t>o</w:t>
      </w:r>
      <w:r w:rsidR="00455CD6" w:rsidRPr="00C039FD">
        <w:rPr>
          <w:rFonts w:ascii="Calibri" w:hAnsi="Calibri" w:cs="Calibri"/>
        </w:rPr>
        <w:t>bec Skuhrov nad Bělou</w:t>
      </w:r>
      <w:r w:rsidR="00455CD6" w:rsidRPr="00C039FD">
        <w:rPr>
          <w:rFonts w:ascii="Calibri" w:hAnsi="Calibri" w:cs="Calibri"/>
          <w:color w:val="000000"/>
        </w:rPr>
        <w:t>;</w:t>
      </w:r>
      <w:r w:rsidR="00C039FD">
        <w:t xml:space="preserve"> </w:t>
      </w:r>
      <w:r w:rsidR="00705343">
        <w:t>o</w:t>
      </w:r>
      <w:r w:rsidR="00455CD6" w:rsidRPr="00C701A4">
        <w:t>bec Lichkov</w:t>
      </w:r>
      <w:r w:rsidR="00C039FD">
        <w:t xml:space="preserve">; </w:t>
      </w:r>
      <w:r w:rsidR="00705343">
        <w:t>o</w:t>
      </w:r>
      <w:r w:rsidR="00455CD6">
        <w:t xml:space="preserve">bec </w:t>
      </w:r>
      <w:r w:rsidR="00455CD6" w:rsidRPr="00C701A4">
        <w:t>Albrechtice nad Vltavou</w:t>
      </w:r>
      <w:r w:rsidR="00455CD6">
        <w:t>;</w:t>
      </w:r>
      <w:r w:rsidR="00C039FD">
        <w:t xml:space="preserve"> </w:t>
      </w:r>
      <w:r w:rsidR="00705343">
        <w:t>o</w:t>
      </w:r>
      <w:r w:rsidR="00455CD6">
        <w:t>bec Branice;</w:t>
      </w:r>
      <w:r w:rsidR="00C039FD">
        <w:t xml:space="preserve"> </w:t>
      </w:r>
      <w:r w:rsidR="00705343">
        <w:t>m</w:t>
      </w:r>
      <w:r w:rsidR="00455CD6" w:rsidRPr="00C701A4">
        <w:t>ěsto Uničov</w:t>
      </w:r>
      <w:r w:rsidR="00455CD6">
        <w:t>;</w:t>
      </w:r>
      <w:r w:rsidR="00C039FD">
        <w:t xml:space="preserve"> </w:t>
      </w:r>
      <w:r w:rsidR="00705343">
        <w:t>m</w:t>
      </w:r>
      <w:r w:rsidR="00455CD6" w:rsidRPr="00C701A4">
        <w:t>ěsto Horažďovice</w:t>
      </w:r>
      <w:r w:rsidR="00455CD6">
        <w:t>;</w:t>
      </w:r>
      <w:r w:rsidR="00C039FD">
        <w:t xml:space="preserve"> </w:t>
      </w:r>
      <w:r w:rsidR="00455CD6" w:rsidRPr="00C701A4">
        <w:t>SENIOR PARK HOUSE a.s.</w:t>
      </w:r>
      <w:r w:rsidR="00705343">
        <w:t>, Praha</w:t>
      </w:r>
      <w:r w:rsidR="00C039FD">
        <w:t xml:space="preserve">; </w:t>
      </w:r>
      <w:proofErr w:type="spellStart"/>
      <w:r w:rsidR="00455CD6" w:rsidRPr="0005222F">
        <w:t>Spa</w:t>
      </w:r>
      <w:proofErr w:type="spellEnd"/>
      <w:r w:rsidR="00455CD6" w:rsidRPr="0005222F">
        <w:t xml:space="preserve"> </w:t>
      </w:r>
      <w:proofErr w:type="spellStart"/>
      <w:r w:rsidR="00455CD6" w:rsidRPr="0005222F">
        <w:t>Living</w:t>
      </w:r>
      <w:proofErr w:type="spellEnd"/>
      <w:r w:rsidR="00455CD6" w:rsidRPr="0005222F">
        <w:t xml:space="preserve"> s.r.o.</w:t>
      </w:r>
      <w:r w:rsidR="00705343">
        <w:t>, Praha</w:t>
      </w:r>
      <w:r w:rsidR="00C039FD">
        <w:t xml:space="preserve">; </w:t>
      </w:r>
      <w:r w:rsidR="00455CD6" w:rsidRPr="0005222F">
        <w:t>PANTHA REI s.r.o.</w:t>
      </w:r>
      <w:r w:rsidR="00705343">
        <w:t>, Chýnov.</w:t>
      </w:r>
    </w:p>
    <w:p w14:paraId="692788A5" w14:textId="77777777" w:rsidR="00970A70" w:rsidRPr="00970A70" w:rsidRDefault="00970A70" w:rsidP="00970A70">
      <w:pPr>
        <w:pStyle w:val="BodyText21"/>
        <w:rPr>
          <w:rFonts w:cstheme="minorHAnsi"/>
          <w:bCs/>
          <w:color w:val="000000" w:themeColor="text1"/>
          <w:szCs w:val="24"/>
        </w:rPr>
      </w:pPr>
    </w:p>
    <w:p w14:paraId="2CB1FE2E" w14:textId="77777777" w:rsidR="00F83B3D" w:rsidRDefault="00F83B3D" w:rsidP="00876EE8">
      <w:pPr>
        <w:pStyle w:val="Zkladntext"/>
        <w:rPr>
          <w:rFonts w:cstheme="minorHAnsi"/>
          <w:b w:val="0"/>
          <w:bCs w:val="0"/>
          <w:color w:val="000000" w:themeColor="text1"/>
          <w:sz w:val="24"/>
          <w:szCs w:val="24"/>
        </w:rPr>
      </w:pPr>
    </w:p>
    <w:p w14:paraId="4370F531" w14:textId="4ACAADF7" w:rsidR="00D55F31" w:rsidRPr="007C4801" w:rsidRDefault="00455CD6" w:rsidP="00876EE8">
      <w:pPr>
        <w:pStyle w:val="Zkladntext"/>
        <w:spacing w:after="120"/>
        <w:rPr>
          <w:rFonts w:cstheme="minorHAnsi"/>
          <w:b w:val="0"/>
          <w:bCs w:val="0"/>
          <w:color w:val="000000" w:themeColor="text1"/>
          <w:sz w:val="24"/>
          <w:szCs w:val="24"/>
        </w:rPr>
      </w:pPr>
      <w:r w:rsidRPr="00A438C7">
        <w:rPr>
          <w:rFonts w:cstheme="minorHAnsi"/>
          <w:i/>
          <w:iCs/>
          <w:color w:val="000000" w:themeColor="text1"/>
          <w:sz w:val="24"/>
          <w:szCs w:val="24"/>
        </w:rPr>
        <w:t>K o l e g i u m   N</w:t>
      </w:r>
      <w:r w:rsidR="00046471" w:rsidRPr="00A438C7">
        <w:rPr>
          <w:rFonts w:cstheme="minorHAnsi"/>
          <w:i/>
          <w:iCs/>
          <w:color w:val="000000" w:themeColor="text1"/>
          <w:sz w:val="24"/>
          <w:szCs w:val="24"/>
        </w:rPr>
        <w:t xml:space="preserve"> </w:t>
      </w:r>
      <w:r w:rsidRPr="00A438C7">
        <w:rPr>
          <w:rFonts w:cstheme="minorHAnsi"/>
          <w:i/>
          <w:iCs/>
          <w:color w:val="000000" w:themeColor="text1"/>
          <w:sz w:val="24"/>
          <w:szCs w:val="24"/>
        </w:rPr>
        <w:t>K</w:t>
      </w:r>
      <w:r w:rsidR="00046471" w:rsidRPr="00A438C7">
        <w:rPr>
          <w:rFonts w:cstheme="minorHAnsi"/>
          <w:i/>
          <w:iCs/>
          <w:color w:val="000000" w:themeColor="text1"/>
          <w:sz w:val="24"/>
          <w:szCs w:val="24"/>
        </w:rPr>
        <w:t xml:space="preserve"> </w:t>
      </w:r>
      <w:r w:rsidRPr="00A438C7">
        <w:rPr>
          <w:rFonts w:cstheme="minorHAnsi"/>
          <w:i/>
          <w:iCs/>
          <w:color w:val="000000" w:themeColor="text1"/>
          <w:sz w:val="24"/>
          <w:szCs w:val="24"/>
        </w:rPr>
        <w:t>Ú</w:t>
      </w:r>
      <w:r w:rsidRPr="00A438C7">
        <w:rPr>
          <w:rFonts w:cstheme="minorHAnsi"/>
          <w:b w:val="0"/>
          <w:i/>
          <w:iCs/>
          <w:color w:val="000000" w:themeColor="text1"/>
          <w:sz w:val="24"/>
          <w:szCs w:val="24"/>
        </w:rPr>
        <w:t xml:space="preserve"> </w:t>
      </w:r>
      <w:r w:rsidR="00C44D5A" w:rsidRPr="00A438C7">
        <w:rPr>
          <w:rFonts w:cstheme="minorHAnsi"/>
          <w:b w:val="0"/>
          <w:i/>
          <w:iCs/>
          <w:color w:val="000000" w:themeColor="text1"/>
          <w:sz w:val="24"/>
          <w:szCs w:val="24"/>
        </w:rPr>
        <w:t xml:space="preserve">  </w:t>
      </w:r>
      <w:r w:rsidRPr="00A438C7">
        <w:rPr>
          <w:rFonts w:cstheme="minorHAnsi"/>
          <w:b w:val="0"/>
          <w:bCs w:val="0"/>
          <w:color w:val="000000" w:themeColor="text1"/>
          <w:sz w:val="24"/>
          <w:szCs w:val="24"/>
        </w:rPr>
        <w:t xml:space="preserve">na </w:t>
      </w:r>
      <w:r w:rsidRPr="007C4801">
        <w:rPr>
          <w:rFonts w:cstheme="minorHAnsi"/>
          <w:b w:val="0"/>
          <w:bCs w:val="0"/>
          <w:color w:val="000000" w:themeColor="text1"/>
          <w:sz w:val="24"/>
          <w:szCs w:val="24"/>
        </w:rPr>
        <w:t xml:space="preserve">svém </w:t>
      </w:r>
      <w:r w:rsidR="007C4801" w:rsidRPr="007C4801">
        <w:rPr>
          <w:rFonts w:cstheme="minorHAnsi"/>
          <w:b w:val="0"/>
          <w:bCs w:val="0"/>
          <w:color w:val="000000" w:themeColor="text1"/>
          <w:sz w:val="24"/>
          <w:szCs w:val="24"/>
        </w:rPr>
        <w:t>XVII</w:t>
      </w:r>
      <w:r w:rsidR="0013337B" w:rsidRPr="007C4801">
        <w:rPr>
          <w:rFonts w:cstheme="minorHAnsi"/>
          <w:b w:val="0"/>
          <w:bCs w:val="0"/>
          <w:color w:val="000000" w:themeColor="text1"/>
          <w:sz w:val="24"/>
          <w:szCs w:val="24"/>
        </w:rPr>
        <w:t>.</w:t>
      </w:r>
      <w:r w:rsidR="00B53D7A" w:rsidRPr="007C4801">
        <w:rPr>
          <w:rFonts w:cstheme="minorHAnsi"/>
          <w:b w:val="0"/>
          <w:bCs w:val="0"/>
          <w:color w:val="000000" w:themeColor="text1"/>
          <w:sz w:val="24"/>
          <w:szCs w:val="24"/>
        </w:rPr>
        <w:t xml:space="preserve"> </w:t>
      </w:r>
      <w:r w:rsidR="00D54E1D" w:rsidRPr="007C4801">
        <w:rPr>
          <w:rFonts w:cstheme="minorHAnsi"/>
          <w:b w:val="0"/>
          <w:bCs w:val="0"/>
          <w:color w:val="000000" w:themeColor="text1"/>
          <w:sz w:val="24"/>
          <w:szCs w:val="24"/>
        </w:rPr>
        <w:t xml:space="preserve">jednání, které se konalo dne </w:t>
      </w:r>
      <w:r w:rsidR="007C4801" w:rsidRPr="007C4801">
        <w:rPr>
          <w:rFonts w:cstheme="minorHAnsi"/>
          <w:b w:val="0"/>
          <w:bCs w:val="0"/>
          <w:color w:val="000000" w:themeColor="text1"/>
          <w:sz w:val="24"/>
          <w:szCs w:val="24"/>
        </w:rPr>
        <w:t>27</w:t>
      </w:r>
      <w:r w:rsidR="004E12BE" w:rsidRPr="007C4801">
        <w:rPr>
          <w:rFonts w:cstheme="minorHAnsi"/>
          <w:b w:val="0"/>
          <w:bCs w:val="0"/>
          <w:color w:val="000000" w:themeColor="text1"/>
          <w:sz w:val="24"/>
          <w:szCs w:val="24"/>
        </w:rPr>
        <w:t xml:space="preserve">. </w:t>
      </w:r>
      <w:r w:rsidR="007C4801" w:rsidRPr="007C4801">
        <w:rPr>
          <w:rFonts w:cstheme="minorHAnsi"/>
          <w:b w:val="0"/>
          <w:bCs w:val="0"/>
          <w:color w:val="000000" w:themeColor="text1"/>
          <w:sz w:val="24"/>
          <w:szCs w:val="24"/>
        </w:rPr>
        <w:t>listopadu</w:t>
      </w:r>
      <w:r w:rsidR="0013337B" w:rsidRPr="007C4801">
        <w:rPr>
          <w:rFonts w:cstheme="minorHAnsi"/>
          <w:b w:val="0"/>
          <w:bCs w:val="0"/>
          <w:color w:val="000000" w:themeColor="text1"/>
          <w:sz w:val="24"/>
          <w:szCs w:val="24"/>
        </w:rPr>
        <w:t xml:space="preserve"> </w:t>
      </w:r>
      <w:r w:rsidR="006E084B" w:rsidRPr="007C4801">
        <w:rPr>
          <w:rFonts w:cstheme="minorHAnsi"/>
          <w:b w:val="0"/>
          <w:bCs w:val="0"/>
          <w:color w:val="000000" w:themeColor="text1"/>
          <w:sz w:val="24"/>
          <w:szCs w:val="24"/>
        </w:rPr>
        <w:t>2</w:t>
      </w:r>
      <w:r w:rsidR="00C44D5A" w:rsidRPr="007C4801">
        <w:rPr>
          <w:rFonts w:cstheme="minorHAnsi"/>
          <w:b w:val="0"/>
          <w:bCs w:val="0"/>
          <w:color w:val="000000" w:themeColor="text1"/>
          <w:sz w:val="24"/>
          <w:szCs w:val="24"/>
        </w:rPr>
        <w:t>0</w:t>
      </w:r>
      <w:r w:rsidR="00EC2E5F" w:rsidRPr="007C4801">
        <w:rPr>
          <w:rFonts w:cstheme="minorHAnsi"/>
          <w:b w:val="0"/>
          <w:bCs w:val="0"/>
          <w:color w:val="000000" w:themeColor="text1"/>
          <w:sz w:val="24"/>
          <w:szCs w:val="24"/>
        </w:rPr>
        <w:t>2</w:t>
      </w:r>
      <w:r w:rsidR="00970A70" w:rsidRPr="007C4801">
        <w:rPr>
          <w:rFonts w:cstheme="minorHAnsi"/>
          <w:b w:val="0"/>
          <w:bCs w:val="0"/>
          <w:color w:val="000000" w:themeColor="text1"/>
          <w:sz w:val="24"/>
          <w:szCs w:val="24"/>
        </w:rPr>
        <w:t>3</w:t>
      </w:r>
      <w:r w:rsidR="00046471" w:rsidRPr="007C4801">
        <w:rPr>
          <w:rFonts w:cstheme="minorHAnsi"/>
          <w:b w:val="0"/>
          <w:bCs w:val="0"/>
          <w:color w:val="000000" w:themeColor="text1"/>
          <w:sz w:val="24"/>
          <w:szCs w:val="24"/>
        </w:rPr>
        <w:t>,</w:t>
      </w:r>
    </w:p>
    <w:p w14:paraId="5F7B2168" w14:textId="2F833E48" w:rsidR="00D55F31" w:rsidRPr="007C4801" w:rsidRDefault="00455CD6" w:rsidP="00876EE8">
      <w:pPr>
        <w:spacing w:after="120"/>
        <w:rPr>
          <w:rFonts w:cstheme="minorHAnsi"/>
          <w:color w:val="000000" w:themeColor="text1"/>
        </w:rPr>
      </w:pPr>
      <w:r w:rsidRPr="007C4801">
        <w:rPr>
          <w:rFonts w:cstheme="minorHAnsi"/>
          <w:b/>
          <w:bCs/>
          <w:i/>
          <w:iCs/>
          <w:color w:val="000000" w:themeColor="text1"/>
        </w:rPr>
        <w:t>s c h v á l i l o</w:t>
      </w:r>
      <w:r w:rsidRPr="007C4801">
        <w:rPr>
          <w:rFonts w:cstheme="minorHAnsi"/>
          <w:color w:val="000000" w:themeColor="text1"/>
        </w:rPr>
        <w:t xml:space="preserve">   usnesením č</w:t>
      </w:r>
      <w:r w:rsidR="00CE4415" w:rsidRPr="007C4801">
        <w:rPr>
          <w:rFonts w:cstheme="minorHAnsi"/>
          <w:color w:val="000000" w:themeColor="text1"/>
        </w:rPr>
        <w:t>.</w:t>
      </w:r>
      <w:r w:rsidR="009233E7" w:rsidRPr="007C4801">
        <w:rPr>
          <w:rFonts w:cstheme="minorHAnsi"/>
          <w:color w:val="000000" w:themeColor="text1"/>
        </w:rPr>
        <w:t xml:space="preserve"> </w:t>
      </w:r>
      <w:r w:rsidR="00555547">
        <w:rPr>
          <w:rFonts w:cstheme="minorHAnsi"/>
          <w:color w:val="000000" w:themeColor="text1"/>
        </w:rPr>
        <w:t>8</w:t>
      </w:r>
      <w:r w:rsidR="00747598" w:rsidRPr="007C4801">
        <w:rPr>
          <w:rFonts w:cstheme="minorHAnsi"/>
          <w:color w:val="000000" w:themeColor="text1"/>
        </w:rPr>
        <w:t>/</w:t>
      </w:r>
      <w:r w:rsidR="007C4801" w:rsidRPr="007C4801">
        <w:rPr>
          <w:rFonts w:cstheme="minorHAnsi"/>
          <w:color w:val="000000" w:themeColor="text1"/>
        </w:rPr>
        <w:t>XVII</w:t>
      </w:r>
      <w:r w:rsidR="00747598" w:rsidRPr="007C4801">
        <w:rPr>
          <w:rFonts w:cstheme="minorHAnsi"/>
          <w:color w:val="000000" w:themeColor="text1"/>
        </w:rPr>
        <w:t>/2023</w:t>
      </w:r>
    </w:p>
    <w:p w14:paraId="11BD6D00" w14:textId="77777777" w:rsidR="00D55F31" w:rsidRDefault="00455CD6" w:rsidP="00876EE8">
      <w:pPr>
        <w:spacing w:after="120"/>
        <w:rPr>
          <w:rFonts w:cstheme="minorHAnsi"/>
          <w:color w:val="000000" w:themeColor="text1"/>
        </w:rPr>
      </w:pPr>
      <w:r w:rsidRPr="007C4801">
        <w:rPr>
          <w:rFonts w:cstheme="minorHAnsi"/>
          <w:b/>
          <w:bCs/>
          <w:i/>
          <w:iCs/>
          <w:color w:val="000000" w:themeColor="text1"/>
        </w:rPr>
        <w:t>k o n t r o l n í   z á v ě r</w:t>
      </w:r>
      <w:r w:rsidRPr="007C4801">
        <w:rPr>
          <w:rFonts w:cstheme="minorHAnsi"/>
          <w:color w:val="000000" w:themeColor="text1"/>
        </w:rPr>
        <w:t xml:space="preserve">   v tomto znění:</w:t>
      </w:r>
    </w:p>
    <w:p w14:paraId="2B0B40CA" w14:textId="77777777" w:rsidR="002934E6" w:rsidRDefault="002934E6" w:rsidP="00876EE8">
      <w:pPr>
        <w:spacing w:after="120"/>
        <w:rPr>
          <w:rFonts w:cstheme="minorHAnsi"/>
          <w:color w:val="000000" w:themeColor="text1"/>
        </w:rPr>
      </w:pPr>
    </w:p>
    <w:p w14:paraId="69C14A2A" w14:textId="77777777" w:rsidR="005B664A" w:rsidRDefault="005B664A" w:rsidP="00876EE8">
      <w:pPr>
        <w:spacing w:after="120"/>
        <w:rPr>
          <w:rFonts w:cstheme="minorHAnsi"/>
          <w:color w:val="000000" w:themeColor="text1"/>
        </w:rPr>
      </w:pPr>
    </w:p>
    <w:p w14:paraId="374723B8" w14:textId="77777777" w:rsidR="005B664A" w:rsidRPr="00C44D5A" w:rsidRDefault="005B664A" w:rsidP="00876EE8">
      <w:pPr>
        <w:spacing w:after="120"/>
        <w:rPr>
          <w:rFonts w:cstheme="minorHAnsi"/>
          <w:color w:val="000000" w:themeColor="text1"/>
        </w:rPr>
      </w:pPr>
    </w:p>
    <w:p w14:paraId="3F322A5A" w14:textId="77777777" w:rsidR="002934E6" w:rsidRDefault="002934E6" w:rsidP="00912B63">
      <w:pPr>
        <w:rPr>
          <w:rFonts w:cstheme="minorHAnsi"/>
          <w:b/>
          <w:noProof/>
          <w:color w:val="000000" w:themeColor="text1"/>
        </w:rPr>
      </w:pPr>
    </w:p>
    <w:p w14:paraId="028F96BD" w14:textId="77777777" w:rsidR="00B5392F" w:rsidRDefault="00B5392F" w:rsidP="00912B63">
      <w:pPr>
        <w:rPr>
          <w:rFonts w:cstheme="minorHAnsi"/>
          <w:b/>
          <w:noProof/>
          <w:color w:val="000000" w:themeColor="text1"/>
        </w:rPr>
      </w:pPr>
    </w:p>
    <w:p w14:paraId="5996948B" w14:textId="77777777" w:rsidR="00B5392F" w:rsidRPr="00B5392F" w:rsidRDefault="00B5392F" w:rsidP="00912B63">
      <w:pPr>
        <w:rPr>
          <w:rFonts w:cstheme="minorHAnsi"/>
          <w:b/>
          <w:noProof/>
          <w:color w:val="FF0000"/>
        </w:rPr>
        <w:sectPr w:rsidR="00B5392F" w:rsidRPr="00B5392F" w:rsidSect="005B2566">
          <w:headerReference w:type="default" r:id="rId12"/>
          <w:footerReference w:type="even" r:id="rId13"/>
          <w:footerReference w:type="default" r:id="rId14"/>
          <w:footerReference w:type="first" r:id="rId15"/>
          <w:pgSz w:w="11906" w:h="16838" w:code="9"/>
          <w:pgMar w:top="1418" w:right="1418" w:bottom="1418" w:left="1418" w:header="709" w:footer="709" w:gutter="0"/>
          <w:cols w:space="708"/>
          <w:titlePg/>
          <w:docGrid w:linePitch="360"/>
        </w:sectPr>
      </w:pPr>
    </w:p>
    <w:p w14:paraId="00CD8812" w14:textId="77777777" w:rsidR="00BC79CC" w:rsidRDefault="00455CD6" w:rsidP="00BC79CC">
      <w:pPr>
        <w:jc w:val="center"/>
        <w:rPr>
          <w:b/>
          <w:sz w:val="32"/>
          <w:szCs w:val="32"/>
        </w:rPr>
      </w:pPr>
      <w:r w:rsidRPr="00B70A0E">
        <w:rPr>
          <w:b/>
          <w:sz w:val="32"/>
          <w:szCs w:val="32"/>
        </w:rPr>
        <w:lastRenderedPageBreak/>
        <w:t>Podpora bydlení</w:t>
      </w:r>
      <w:r>
        <w:rPr>
          <w:b/>
          <w:sz w:val="32"/>
          <w:szCs w:val="32"/>
        </w:rPr>
        <w:t xml:space="preserve"> v resortu M</w:t>
      </w:r>
      <w:r w:rsidR="003A006F">
        <w:rPr>
          <w:b/>
          <w:sz w:val="32"/>
          <w:szCs w:val="32"/>
        </w:rPr>
        <w:t>inisterstva pro místní rozvoj</w:t>
      </w:r>
    </w:p>
    <w:p w14:paraId="67E9D069" w14:textId="70F815A5" w:rsidR="001F6572" w:rsidRDefault="00597C7C" w:rsidP="00597C7C">
      <w:pPr>
        <w:tabs>
          <w:tab w:val="right" w:pos="4536"/>
        </w:tabs>
        <w:ind w:right="-2"/>
        <w:jc w:val="left"/>
        <w:rPr>
          <w:b/>
          <w:sz w:val="32"/>
          <w:szCs w:val="32"/>
        </w:rPr>
      </w:pPr>
      <w:r w:rsidRPr="00597C7C">
        <w:rPr>
          <w:rStyle w:val="Znakapoznpodarou"/>
          <w:b/>
          <w:color w:val="FFFFFF" w:themeColor="background1"/>
          <w:sz w:val="32"/>
          <w:szCs w:val="32"/>
        </w:rPr>
        <w:footnoteReference w:id="2"/>
      </w:r>
      <w:r w:rsidRPr="00597C7C">
        <w:rPr>
          <w:b/>
          <w:color w:val="FFFFFF" w:themeColor="background1"/>
          <w:sz w:val="32"/>
          <w:szCs w:val="32"/>
        </w:rPr>
        <w:t xml:space="preserve"> </w:t>
      </w:r>
      <w:r w:rsidRPr="00597C7C">
        <w:rPr>
          <w:rStyle w:val="Znakapoznpodarou"/>
          <w:b/>
          <w:color w:val="FFFFFF" w:themeColor="background1"/>
          <w:sz w:val="32"/>
          <w:szCs w:val="32"/>
        </w:rPr>
        <w:footnoteReference w:id="3"/>
      </w:r>
      <w:r w:rsidRPr="00597C7C">
        <w:rPr>
          <w:b/>
          <w:color w:val="FFFFFF" w:themeColor="background1"/>
          <w:sz w:val="32"/>
          <w:szCs w:val="32"/>
        </w:rPr>
        <w:t xml:space="preserve"> </w:t>
      </w:r>
      <w:r w:rsidRPr="00597C7C">
        <w:rPr>
          <w:rStyle w:val="Znakapoznpodarou"/>
          <w:b/>
          <w:color w:val="FFFFFF" w:themeColor="background1"/>
          <w:sz w:val="32"/>
          <w:szCs w:val="32"/>
        </w:rPr>
        <w:footnoteReference w:id="4"/>
      </w:r>
      <w:r>
        <w:rPr>
          <w:b/>
          <w:color w:val="FFFFFF" w:themeColor="background1"/>
          <w:sz w:val="32"/>
          <w:szCs w:val="32"/>
        </w:rPr>
        <w:tab/>
      </w:r>
    </w:p>
    <w:p w14:paraId="0FED3CFE" w14:textId="3FB7DF9B" w:rsidR="001F6572" w:rsidRPr="00B70A0E" w:rsidRDefault="001F6572" w:rsidP="00BC79CC">
      <w:pPr>
        <w:jc w:val="center"/>
        <w:rPr>
          <w:b/>
          <w:sz w:val="32"/>
          <w:szCs w:val="32"/>
        </w:rPr>
      </w:pPr>
    </w:p>
    <w:p w14:paraId="1B4989FB" w14:textId="5D967BA4" w:rsidR="00BC79CC" w:rsidRDefault="00A705B4" w:rsidP="00BC79CC">
      <w:r>
        <w:rPr>
          <w:noProof/>
        </w:rPr>
        <mc:AlternateContent>
          <mc:Choice Requires="wps">
            <w:drawing>
              <wp:anchor distT="0" distB="0" distL="114300" distR="114300" simplePos="0" relativeHeight="251658242" behindDoc="0" locked="0" layoutInCell="1" allowOverlap="1" wp14:anchorId="25382F3A" wp14:editId="2DD646F9">
                <wp:simplePos x="0" y="0"/>
                <wp:positionH relativeFrom="column">
                  <wp:posOffset>3148330</wp:posOffset>
                </wp:positionH>
                <wp:positionV relativeFrom="paragraph">
                  <wp:posOffset>43180</wp:posOffset>
                </wp:positionV>
                <wp:extent cx="2720340" cy="830580"/>
                <wp:effectExtent l="0" t="0" r="22860" b="26670"/>
                <wp:wrapNone/>
                <wp:docPr id="6" name="Obdélník: se zakulacenými rohy 6"/>
                <wp:cNvGraphicFramePr/>
                <a:graphic xmlns:a="http://schemas.openxmlformats.org/drawingml/2006/main">
                  <a:graphicData uri="http://schemas.microsoft.com/office/word/2010/wordprocessingShape">
                    <wps:wsp>
                      <wps:cNvSpPr/>
                      <wps:spPr>
                        <a:xfrm>
                          <a:off x="0" y="0"/>
                          <a:ext cx="2720340" cy="830580"/>
                        </a:xfrm>
                        <a:prstGeom prst="roundRect">
                          <a:avLst/>
                        </a:prstGeom>
                        <a:solidFill>
                          <a:srgbClr val="004595"/>
                        </a:solidFill>
                        <a:ln>
                          <a:solidFill>
                            <a:srgbClr val="00459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2BA10" w14:textId="77777777" w:rsidR="0043588E" w:rsidRPr="00766E52" w:rsidRDefault="0043588E" w:rsidP="00BC79CC">
                            <w:pPr>
                              <w:jc w:val="center"/>
                              <w:rPr>
                                <w:b/>
                                <w:color w:val="FFFFFF" w:themeColor="background1"/>
                                <w:sz w:val="36"/>
                                <w:szCs w:val="36"/>
                              </w:rPr>
                            </w:pPr>
                            <w:r>
                              <w:rPr>
                                <w:b/>
                                <w:color w:val="FFFFFF" w:themeColor="background1"/>
                                <w:sz w:val="36"/>
                                <w:szCs w:val="36"/>
                              </w:rPr>
                              <w:t>234</w:t>
                            </w:r>
                            <w:r w:rsidRPr="00766E52">
                              <w:rPr>
                                <w:b/>
                                <w:color w:val="FFFFFF" w:themeColor="background1"/>
                                <w:sz w:val="36"/>
                                <w:szCs w:val="36"/>
                              </w:rPr>
                              <w:t xml:space="preserve"> </w:t>
                            </w:r>
                            <w:r>
                              <w:rPr>
                                <w:b/>
                                <w:color w:val="FFFFFF" w:themeColor="background1"/>
                                <w:sz w:val="36"/>
                                <w:szCs w:val="36"/>
                              </w:rPr>
                              <w:t>538</w:t>
                            </w:r>
                          </w:p>
                          <w:p w14:paraId="5978C85C" w14:textId="61655792" w:rsidR="0043588E" w:rsidRPr="00766E52" w:rsidRDefault="0043588E" w:rsidP="00BC79CC">
                            <w:pPr>
                              <w:jc w:val="center"/>
                              <w:rPr>
                                <w:color w:val="FFFFFF" w:themeColor="background1"/>
                              </w:rPr>
                            </w:pPr>
                            <w:r w:rsidRPr="00766E52">
                              <w:rPr>
                                <w:color w:val="FFFFFF" w:themeColor="background1"/>
                              </w:rPr>
                              <w:t>Počet</w:t>
                            </w:r>
                            <w:r>
                              <w:rPr>
                                <w:color w:val="FFFFFF" w:themeColor="background1"/>
                              </w:rPr>
                              <w:t xml:space="preserve"> všech</w:t>
                            </w:r>
                            <w:r w:rsidRPr="00766E52">
                              <w:rPr>
                                <w:color w:val="FFFFFF" w:themeColor="background1"/>
                              </w:rPr>
                              <w:t xml:space="preserve"> dokončených bytů v ČR v období 2016</w:t>
                            </w:r>
                            <w:r w:rsidRPr="00AE5377">
                              <w:rPr>
                                <w:color w:val="FFFFFF" w:themeColor="background1"/>
                              </w:rPr>
                              <w:t>–</w:t>
                            </w:r>
                            <w:r w:rsidRPr="00766E52">
                              <w:rPr>
                                <w:color w:val="FFFFFF" w:themeColor="background1"/>
                              </w:rPr>
                              <w:t>202</w:t>
                            </w:r>
                            <w:r>
                              <w:rPr>
                                <w:color w:val="FFFFFF" w:themeColor="background1"/>
                              </w:rPr>
                              <w:t>2</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25382F3A" id="Obdélník: se zakulacenými rohy 6" o:spid="_x0000_s1026" style="position:absolute;left:0;text-align:left;margin-left:247.9pt;margin-top:3.4pt;width:214.2pt;height:6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" fillcolor="#004595" strokecolor="#004595" strokeweight="2pt">
                <v:textbox>
                  <w:txbxContent>
                    <w:p w14:paraId="3012BA10" w14:textId="77777777" w:rsidR="0043588E" w:rsidRPr="00766E52" w:rsidRDefault="0043588E" w:rsidP="00BC79CC">
                      <w:pPr>
                        <w:jc w:val="center"/>
                        <w:rPr>
                          <w:b/>
                          <w:color w:val="FFFFFF" w:themeColor="background1"/>
                          <w:sz w:val="36"/>
                          <w:szCs w:val="36"/>
                        </w:rPr>
                      </w:pPr>
                      <w:r>
                        <w:rPr>
                          <w:b/>
                          <w:color w:val="FFFFFF" w:themeColor="background1"/>
                          <w:sz w:val="36"/>
                          <w:szCs w:val="36"/>
                        </w:rPr>
                        <w:t>234</w:t>
                      </w:r>
                      <w:r w:rsidRPr="00766E52">
                        <w:rPr>
                          <w:b/>
                          <w:color w:val="FFFFFF" w:themeColor="background1"/>
                          <w:sz w:val="36"/>
                          <w:szCs w:val="36"/>
                        </w:rPr>
                        <w:t xml:space="preserve"> </w:t>
                      </w:r>
                      <w:r>
                        <w:rPr>
                          <w:b/>
                          <w:color w:val="FFFFFF" w:themeColor="background1"/>
                          <w:sz w:val="36"/>
                          <w:szCs w:val="36"/>
                        </w:rPr>
                        <w:t>538</w:t>
                      </w:r>
                    </w:p>
                    <w:p w14:paraId="5978C85C" w14:textId="61655792" w:rsidR="0043588E" w:rsidRPr="00766E52" w:rsidRDefault="0043588E" w:rsidP="00BC79CC">
                      <w:pPr>
                        <w:jc w:val="center"/>
                        <w:rPr>
                          <w:color w:val="FFFFFF" w:themeColor="background1"/>
                        </w:rPr>
                      </w:pPr>
                      <w:r w:rsidRPr="00766E52">
                        <w:rPr>
                          <w:color w:val="FFFFFF" w:themeColor="background1"/>
                        </w:rPr>
                        <w:t>Počet</w:t>
                      </w:r>
                      <w:r>
                        <w:rPr>
                          <w:color w:val="FFFFFF" w:themeColor="background1"/>
                        </w:rPr>
                        <w:t xml:space="preserve"> všech</w:t>
                      </w:r>
                      <w:r w:rsidRPr="00766E52">
                        <w:rPr>
                          <w:color w:val="FFFFFF" w:themeColor="background1"/>
                        </w:rPr>
                        <w:t xml:space="preserve"> dokončených bytů v ČR v období 2016</w:t>
                      </w:r>
                      <w:r w:rsidRPr="00AE5377">
                        <w:rPr>
                          <w:color w:val="FFFFFF" w:themeColor="background1"/>
                        </w:rPr>
                        <w:t>–</w:t>
                      </w:r>
                      <w:r w:rsidRPr="00766E52">
                        <w:rPr>
                          <w:color w:val="FFFFFF" w:themeColor="background1"/>
                        </w:rPr>
                        <w:t>202</w:t>
                      </w:r>
                      <w:r>
                        <w:rPr>
                          <w:color w:val="FFFFFF" w:themeColor="background1"/>
                        </w:rPr>
                        <w:t>2</w:t>
                      </w:r>
                    </w:p>
                  </w:txbxContent>
                </v:textbox>
              </v:roundrect>
            </w:pict>
          </mc:Fallback>
        </mc:AlternateContent>
      </w:r>
      <w:r>
        <w:rPr>
          <w:noProof/>
        </w:rPr>
        <mc:AlternateContent>
          <mc:Choice Requires="wps">
            <w:drawing>
              <wp:anchor distT="0" distB="0" distL="114300" distR="114300" simplePos="0" relativeHeight="251658241" behindDoc="0" locked="0" layoutInCell="1" allowOverlap="1" wp14:anchorId="663B28C0" wp14:editId="4A060DB4">
                <wp:simplePos x="0" y="0"/>
                <wp:positionH relativeFrom="margin">
                  <wp:posOffset>-59055</wp:posOffset>
                </wp:positionH>
                <wp:positionV relativeFrom="paragraph">
                  <wp:posOffset>43180</wp:posOffset>
                </wp:positionV>
                <wp:extent cx="2750820" cy="822960"/>
                <wp:effectExtent l="0" t="0" r="11430" b="15240"/>
                <wp:wrapNone/>
                <wp:docPr id="3" name="Obdélník: se zakulacenými rohy 3"/>
                <wp:cNvGraphicFramePr/>
                <a:graphic xmlns:a="http://schemas.openxmlformats.org/drawingml/2006/main">
                  <a:graphicData uri="http://schemas.microsoft.com/office/word/2010/wordprocessingShape">
                    <wps:wsp>
                      <wps:cNvSpPr/>
                      <wps:spPr>
                        <a:xfrm>
                          <a:off x="0" y="0"/>
                          <a:ext cx="2750820" cy="822960"/>
                        </a:xfrm>
                        <a:prstGeom prst="roundRect">
                          <a:avLst/>
                        </a:prstGeom>
                        <a:solidFill>
                          <a:srgbClr val="004595"/>
                        </a:solidFill>
                        <a:ln>
                          <a:solidFill>
                            <a:srgbClr val="00459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F7298E" w14:textId="77777777" w:rsidR="0043588E" w:rsidRPr="00CC6E24" w:rsidRDefault="0043588E" w:rsidP="00BC79CC">
                            <w:pPr>
                              <w:jc w:val="center"/>
                              <w:rPr>
                                <w:b/>
                                <w:color w:val="FFFFFF" w:themeColor="background1"/>
                                <w:sz w:val="36"/>
                                <w:szCs w:val="40"/>
                              </w:rPr>
                            </w:pPr>
                            <w:r w:rsidRPr="00CC6E24">
                              <w:rPr>
                                <w:b/>
                                <w:color w:val="FFFFFF" w:themeColor="background1"/>
                                <w:sz w:val="36"/>
                                <w:szCs w:val="40"/>
                              </w:rPr>
                              <w:t>4 480 139</w:t>
                            </w:r>
                            <w:r w:rsidRPr="005B664A">
                              <w:rPr>
                                <w:b/>
                                <w:color w:val="FFFFFF" w:themeColor="background1"/>
                                <w:sz w:val="36"/>
                                <w:szCs w:val="40"/>
                                <w:vertAlign w:val="superscript"/>
                              </w:rPr>
                              <w:t>1</w:t>
                            </w:r>
                          </w:p>
                          <w:p w14:paraId="0101F2B9" w14:textId="77777777" w:rsidR="0043588E" w:rsidRPr="00766E52" w:rsidRDefault="0043588E" w:rsidP="00BC79CC">
                            <w:pPr>
                              <w:jc w:val="center"/>
                              <w:rPr>
                                <w:color w:val="FFFFFF" w:themeColor="background1"/>
                              </w:rPr>
                            </w:pPr>
                            <w:r>
                              <w:rPr>
                                <w:color w:val="FFFFFF" w:themeColor="background1"/>
                              </w:rPr>
                              <w:t>Počet o</w:t>
                            </w:r>
                            <w:r w:rsidRPr="00766E52">
                              <w:rPr>
                                <w:color w:val="FFFFFF" w:themeColor="background1"/>
                              </w:rPr>
                              <w:t xml:space="preserve">bydlených bytů v ČR podle </w:t>
                            </w:r>
                            <w:r>
                              <w:rPr>
                                <w:color w:val="FFFFFF" w:themeColor="background1"/>
                              </w:rPr>
                              <w:t>Sčítání lidu, domů a bytů</w:t>
                            </w:r>
                            <w:r w:rsidRPr="00766E52">
                              <w:rPr>
                                <w:color w:val="FFFFFF" w:themeColor="background1"/>
                              </w:rPr>
                              <w:t xml:space="preserve"> 2021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63B28C0" id="Obdélník: se zakulacenými rohy 3" o:spid="_x0000_s1027" style="position:absolute;left:0;text-align:left;margin-left:-4.65pt;margin-top:3.4pt;width:216.6pt;height:64.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" fillcolor="#004595" strokecolor="#004595" strokeweight="2pt">
                <v:textbox>
                  <w:txbxContent>
                    <w:p w14:paraId="0CF7298E" w14:textId="77777777" w:rsidR="0043588E" w:rsidRPr="00CC6E24" w:rsidRDefault="0043588E" w:rsidP="00BC79CC">
                      <w:pPr>
                        <w:jc w:val="center"/>
                        <w:rPr>
                          <w:b/>
                          <w:color w:val="FFFFFF" w:themeColor="background1"/>
                          <w:sz w:val="36"/>
                          <w:szCs w:val="40"/>
                        </w:rPr>
                      </w:pPr>
                      <w:r w:rsidRPr="00CC6E24">
                        <w:rPr>
                          <w:b/>
                          <w:color w:val="FFFFFF" w:themeColor="background1"/>
                          <w:sz w:val="36"/>
                          <w:szCs w:val="40"/>
                        </w:rPr>
                        <w:t>4 480 139</w:t>
                      </w:r>
                      <w:r w:rsidRPr="005B664A">
                        <w:rPr>
                          <w:b/>
                          <w:color w:val="FFFFFF" w:themeColor="background1"/>
                          <w:sz w:val="36"/>
                          <w:szCs w:val="40"/>
                          <w:vertAlign w:val="superscript"/>
                        </w:rPr>
                        <w:t>1</w:t>
                      </w:r>
                    </w:p>
                    <w:p w14:paraId="0101F2B9" w14:textId="77777777" w:rsidR="0043588E" w:rsidRPr="00766E52" w:rsidRDefault="0043588E" w:rsidP="00BC79CC">
                      <w:pPr>
                        <w:jc w:val="center"/>
                        <w:rPr>
                          <w:color w:val="FFFFFF" w:themeColor="background1"/>
                        </w:rPr>
                      </w:pPr>
                      <w:r>
                        <w:rPr>
                          <w:color w:val="FFFFFF" w:themeColor="background1"/>
                        </w:rPr>
                        <w:t>Počet o</w:t>
                      </w:r>
                      <w:r w:rsidRPr="00766E52">
                        <w:rPr>
                          <w:color w:val="FFFFFF" w:themeColor="background1"/>
                        </w:rPr>
                        <w:t xml:space="preserve">bydlených bytů v ČR podle </w:t>
                      </w:r>
                      <w:r>
                        <w:rPr>
                          <w:color w:val="FFFFFF" w:themeColor="background1"/>
                        </w:rPr>
                        <w:t>Sčítání lidu, domů a bytů</w:t>
                      </w:r>
                      <w:r w:rsidRPr="00766E52">
                        <w:rPr>
                          <w:color w:val="FFFFFF" w:themeColor="background1"/>
                        </w:rPr>
                        <w:t xml:space="preserve"> 2021</w:t>
                      </w:r>
                    </w:p>
                  </w:txbxContent>
                </v:textbox>
                <w10:wrap anchorx="margin"/>
              </v:roundrect>
            </w:pict>
          </mc:Fallback>
        </mc:AlternateContent>
      </w:r>
      <w:r w:rsidR="00455CD6">
        <w:t xml:space="preserve"> </w:t>
      </w:r>
    </w:p>
    <w:p w14:paraId="6F3F3461" w14:textId="600A639C" w:rsidR="00BC79CC" w:rsidRDefault="00BC79CC" w:rsidP="00BC79CC"/>
    <w:p w14:paraId="66C9510A" w14:textId="1CFBD768" w:rsidR="00BC79CC" w:rsidRDefault="00BC79CC" w:rsidP="00BC79CC"/>
    <w:p w14:paraId="5436EABC" w14:textId="1AF285B9" w:rsidR="00BC79CC" w:rsidRDefault="00BC79CC" w:rsidP="00BC79CC"/>
    <w:p w14:paraId="59D82309" w14:textId="272ADCEA" w:rsidR="00BC79CC" w:rsidRDefault="00BC79CC" w:rsidP="00BC79CC"/>
    <w:p w14:paraId="53C4E9F5" w14:textId="13344AA1" w:rsidR="00BC79CC" w:rsidRDefault="00BC79CC" w:rsidP="00BC79CC"/>
    <w:p w14:paraId="4450461A" w14:textId="74DB9BB2" w:rsidR="001F6572" w:rsidRDefault="00920892" w:rsidP="00A705B4">
      <w:r>
        <w:rPr>
          <w:noProof/>
        </w:rPr>
        <mc:AlternateContent>
          <mc:Choice Requires="wps">
            <w:drawing>
              <wp:anchor distT="0" distB="0" distL="114300" distR="114300" simplePos="0" relativeHeight="251658244" behindDoc="0" locked="0" layoutInCell="1" allowOverlap="1" wp14:anchorId="72438197" wp14:editId="6D3EBD9F">
                <wp:simplePos x="0" y="0"/>
                <wp:positionH relativeFrom="column">
                  <wp:posOffset>3148965</wp:posOffset>
                </wp:positionH>
                <wp:positionV relativeFrom="paragraph">
                  <wp:posOffset>180340</wp:posOffset>
                </wp:positionV>
                <wp:extent cx="2720340" cy="1518616"/>
                <wp:effectExtent l="0" t="0" r="22860" b="24765"/>
                <wp:wrapNone/>
                <wp:docPr id="8" name="Obdélník: se zakulacenými rohy 8"/>
                <wp:cNvGraphicFramePr/>
                <a:graphic xmlns:a="http://schemas.openxmlformats.org/drawingml/2006/main">
                  <a:graphicData uri="http://schemas.microsoft.com/office/word/2010/wordprocessingShape">
                    <wps:wsp>
                      <wps:cNvSpPr/>
                      <wps:spPr>
                        <a:xfrm>
                          <a:off x="0" y="0"/>
                          <a:ext cx="2720340" cy="1518616"/>
                        </a:xfrm>
                        <a:prstGeom prst="roundRect">
                          <a:avLst/>
                        </a:prstGeom>
                        <a:solidFill>
                          <a:srgbClr val="BD2A33"/>
                        </a:solidFill>
                        <a:ln>
                          <a:solidFill>
                            <a:srgbClr val="BD2A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264836" w14:textId="77777777" w:rsidR="0043588E" w:rsidRPr="005B2566" w:rsidRDefault="0043588E" w:rsidP="00BC79CC">
                            <w:pPr>
                              <w:jc w:val="center"/>
                              <w:rPr>
                                <w:b/>
                                <w:color w:val="FFFFFF" w:themeColor="background1"/>
                                <w:sz w:val="36"/>
                                <w:szCs w:val="36"/>
                              </w:rPr>
                            </w:pPr>
                            <w:r w:rsidRPr="003F61B5">
                              <w:rPr>
                                <w:b/>
                                <w:sz w:val="36"/>
                                <w:szCs w:val="36"/>
                              </w:rPr>
                              <w:t>2</w:t>
                            </w:r>
                            <w:r>
                              <w:rPr>
                                <w:b/>
                                <w:sz w:val="36"/>
                                <w:szCs w:val="36"/>
                              </w:rPr>
                              <w:t>26</w:t>
                            </w:r>
                            <w:r w:rsidRPr="005B664A">
                              <w:rPr>
                                <w:b/>
                                <w:sz w:val="36"/>
                                <w:szCs w:val="36"/>
                                <w:vertAlign w:val="superscript"/>
                              </w:rPr>
                              <w:t>3</w:t>
                            </w:r>
                          </w:p>
                          <w:p w14:paraId="322BF2DB" w14:textId="659A9583" w:rsidR="0043588E" w:rsidRDefault="0043588E" w:rsidP="00585790">
                            <w:pPr>
                              <w:ind w:left="-142" w:right="-247"/>
                              <w:jc w:val="center"/>
                            </w:pPr>
                            <w:r>
                              <w:t xml:space="preserve">Počet dokončených sociálních </w:t>
                            </w:r>
                            <w:r>
                              <w:br/>
                              <w:t>a dostupných bytů v období 2019</w:t>
                            </w:r>
                            <w:r w:rsidRPr="00166BC5">
                              <w:t>–</w:t>
                            </w:r>
                            <w:r>
                              <w:t xml:space="preserve">2022 podpořených z dotačně-úvěrového programu SFPI </w:t>
                            </w:r>
                            <w:r>
                              <w:br/>
                            </w:r>
                            <w:r w:rsidRPr="00933433">
                              <w:rPr>
                                <w:i/>
                              </w:rPr>
                              <w:t>Výstavba pro obce</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38197" id="Obdélník: se zakulacenými rohy 8" o:spid="_x0000_s1028" style="position:absolute;left:0;text-align:left;margin-left:247.95pt;margin-top:14.2pt;width:214.2pt;height:119.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" fillcolor="#bd2a33" strokecolor="#bd2a33" strokeweight="2pt">
                <v:textbox>
                  <w:txbxContent>
                    <w:p w14:paraId="41264836" w14:textId="77777777" w:rsidR="0043588E" w:rsidRPr="005B2566" w:rsidRDefault="0043588E" w:rsidP="00BC79CC">
                      <w:pPr>
                        <w:jc w:val="center"/>
                        <w:rPr>
                          <w:b/>
                          <w:color w:val="FFFFFF" w:themeColor="background1"/>
                          <w:sz w:val="36"/>
                          <w:szCs w:val="36"/>
                        </w:rPr>
                      </w:pPr>
                      <w:r w:rsidRPr="003F61B5">
                        <w:rPr>
                          <w:b/>
                          <w:sz w:val="36"/>
                          <w:szCs w:val="36"/>
                        </w:rPr>
                        <w:t>2</w:t>
                      </w:r>
                      <w:r>
                        <w:rPr>
                          <w:b/>
                          <w:sz w:val="36"/>
                          <w:szCs w:val="36"/>
                        </w:rPr>
                        <w:t>26</w:t>
                      </w:r>
                      <w:r w:rsidRPr="005B664A">
                        <w:rPr>
                          <w:b/>
                          <w:sz w:val="36"/>
                          <w:szCs w:val="36"/>
                          <w:vertAlign w:val="superscript"/>
                        </w:rPr>
                        <w:t>3</w:t>
                      </w:r>
                    </w:p>
                    <w:p w14:paraId="322BF2DB" w14:textId="659A9583" w:rsidR="0043588E" w:rsidRDefault="0043588E" w:rsidP="00585790">
                      <w:pPr>
                        <w:ind w:left="-142" w:right="-247"/>
                        <w:jc w:val="center"/>
                      </w:pPr>
                      <w:r>
                        <w:t xml:space="preserve">Počet dokončených sociálních </w:t>
                      </w:r>
                      <w:r>
                        <w:br/>
                        <w:t>a dostupných bytů v období 2019</w:t>
                      </w:r>
                      <w:r w:rsidRPr="00166BC5">
                        <w:t>–</w:t>
                      </w:r>
                      <w:r>
                        <w:t xml:space="preserve">2022 podpořených z dotačně-úvěrového programu SFPI </w:t>
                      </w:r>
                      <w:r>
                        <w:br/>
                      </w:r>
                      <w:r w:rsidRPr="00933433">
                        <w:rPr>
                          <w:i/>
                        </w:rPr>
                        <w:t>Výstavba pro obce</w:t>
                      </w:r>
                    </w:p>
                  </w:txbxContent>
                </v:textbox>
              </v:roundrect>
            </w:pict>
          </mc:Fallback>
        </mc:AlternateContent>
      </w:r>
      <w:r>
        <w:rPr>
          <w:noProof/>
        </w:rPr>
        <mc:AlternateContent>
          <mc:Choice Requires="wps">
            <w:drawing>
              <wp:anchor distT="0" distB="0" distL="114300" distR="114300" simplePos="0" relativeHeight="251658243" behindDoc="0" locked="0" layoutInCell="1" allowOverlap="1" wp14:anchorId="0BE7A56D" wp14:editId="64098346">
                <wp:simplePos x="0" y="0"/>
                <wp:positionH relativeFrom="margin">
                  <wp:posOffset>-57150</wp:posOffset>
                </wp:positionH>
                <wp:positionV relativeFrom="paragraph">
                  <wp:posOffset>186055</wp:posOffset>
                </wp:positionV>
                <wp:extent cx="2712720" cy="1510748"/>
                <wp:effectExtent l="0" t="0" r="11430" b="13335"/>
                <wp:wrapNone/>
                <wp:docPr id="10" name="Obdélník: se zakulacenými rohy 10"/>
                <wp:cNvGraphicFramePr/>
                <a:graphic xmlns:a="http://schemas.openxmlformats.org/drawingml/2006/main">
                  <a:graphicData uri="http://schemas.microsoft.com/office/word/2010/wordprocessingShape">
                    <wps:wsp>
                      <wps:cNvSpPr/>
                      <wps:spPr>
                        <a:xfrm>
                          <a:off x="0" y="0"/>
                          <a:ext cx="2712720" cy="1510748"/>
                        </a:xfrm>
                        <a:prstGeom prst="roundRect">
                          <a:avLst/>
                        </a:prstGeom>
                        <a:solidFill>
                          <a:srgbClr val="004595"/>
                        </a:solidFill>
                        <a:ln>
                          <a:solidFill>
                            <a:srgbClr val="00459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2C9F2A" w14:textId="77777777" w:rsidR="0043588E" w:rsidRDefault="0043588E" w:rsidP="00BC79CC">
                            <w:pPr>
                              <w:jc w:val="center"/>
                              <w:rPr>
                                <w:b/>
                                <w:sz w:val="36"/>
                                <w:szCs w:val="36"/>
                              </w:rPr>
                            </w:pPr>
                            <w:r>
                              <w:rPr>
                                <w:b/>
                                <w:sz w:val="36"/>
                                <w:szCs w:val="36"/>
                              </w:rPr>
                              <w:t>1 894</w:t>
                            </w:r>
                            <w:r w:rsidRPr="005B664A">
                              <w:rPr>
                                <w:b/>
                                <w:sz w:val="36"/>
                                <w:szCs w:val="36"/>
                                <w:vertAlign w:val="superscript"/>
                              </w:rPr>
                              <w:t>2</w:t>
                            </w:r>
                          </w:p>
                          <w:p w14:paraId="01E2D1EC" w14:textId="5EC1BDA0" w:rsidR="0043588E" w:rsidRDefault="0043588E" w:rsidP="00BC79CC">
                            <w:pPr>
                              <w:jc w:val="center"/>
                            </w:pPr>
                            <w:r>
                              <w:t>Počet dokončených sociálních bytů v období 2016</w:t>
                            </w:r>
                            <w:r w:rsidRPr="00AE5377">
                              <w:t>–</w:t>
                            </w:r>
                            <w:r>
                              <w:t xml:space="preserve">2021 podpořených </w:t>
                            </w:r>
                            <w:r>
                              <w:br/>
                              <w:t xml:space="preserve">z dotačního programu MMR </w:t>
                            </w:r>
                            <w:r>
                              <w:br/>
                            </w:r>
                            <w:r w:rsidRPr="00933433">
                              <w:rPr>
                                <w:i/>
                              </w:rPr>
                              <w:t>Podpora bydlení</w:t>
                            </w:r>
                            <w:r w:rsidRPr="005B2566">
                              <w:t>,</w:t>
                            </w:r>
                            <w:r>
                              <w:rPr>
                                <w:i/>
                              </w:rPr>
                              <w:t xml:space="preserve"> </w:t>
                            </w:r>
                            <w:r>
                              <w:t xml:space="preserve">resp. </w:t>
                            </w:r>
                            <w:r w:rsidRPr="005B2566">
                              <w:t>podprogramu</w:t>
                            </w:r>
                            <w:r>
                              <w:rPr>
                                <w:i/>
                              </w:rPr>
                              <w:t xml:space="preserve"> Podporované byty</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7A56D" id="Obdélník: se zakulacenými rohy 10" o:spid="_x0000_s1029" style="position:absolute;left:0;text-align:left;margin-left:-4.5pt;margin-top:14.65pt;width:213.6pt;height:118.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" fillcolor="#004595" strokecolor="#004595" strokeweight="2pt">
                <v:textbox>
                  <w:txbxContent>
                    <w:p w14:paraId="232C9F2A" w14:textId="77777777" w:rsidR="0043588E" w:rsidRDefault="0043588E" w:rsidP="00BC79CC">
                      <w:pPr>
                        <w:jc w:val="center"/>
                        <w:rPr>
                          <w:b/>
                          <w:sz w:val="36"/>
                          <w:szCs w:val="36"/>
                        </w:rPr>
                      </w:pPr>
                      <w:r>
                        <w:rPr>
                          <w:b/>
                          <w:sz w:val="36"/>
                          <w:szCs w:val="36"/>
                        </w:rPr>
                        <w:t>1 894</w:t>
                      </w:r>
                      <w:r w:rsidRPr="005B664A">
                        <w:rPr>
                          <w:b/>
                          <w:sz w:val="36"/>
                          <w:szCs w:val="36"/>
                          <w:vertAlign w:val="superscript"/>
                        </w:rPr>
                        <w:t>2</w:t>
                      </w:r>
                    </w:p>
                    <w:p w14:paraId="01E2D1EC" w14:textId="5EC1BDA0" w:rsidR="0043588E" w:rsidRDefault="0043588E" w:rsidP="00BC79CC">
                      <w:pPr>
                        <w:jc w:val="center"/>
                      </w:pPr>
                      <w:r>
                        <w:t>Počet dokončených sociálních bytů v období 2016</w:t>
                      </w:r>
                      <w:r w:rsidRPr="00AE5377">
                        <w:t>–</w:t>
                      </w:r>
                      <w:r>
                        <w:t xml:space="preserve">2021 podpořených </w:t>
                      </w:r>
                      <w:r>
                        <w:br/>
                        <w:t xml:space="preserve">z dotačního programu MMR </w:t>
                      </w:r>
                      <w:r>
                        <w:br/>
                      </w:r>
                      <w:r w:rsidRPr="00933433">
                        <w:rPr>
                          <w:i/>
                        </w:rPr>
                        <w:t>Podpora bydlení</w:t>
                      </w:r>
                      <w:r w:rsidRPr="005B2566">
                        <w:t>,</w:t>
                      </w:r>
                      <w:r>
                        <w:rPr>
                          <w:i/>
                        </w:rPr>
                        <w:t xml:space="preserve"> </w:t>
                      </w:r>
                      <w:r>
                        <w:t xml:space="preserve">resp. </w:t>
                      </w:r>
                      <w:r w:rsidRPr="005B2566">
                        <w:t>podprogramu</w:t>
                      </w:r>
                      <w:r>
                        <w:rPr>
                          <w:i/>
                        </w:rPr>
                        <w:t xml:space="preserve"> Podporované byty</w:t>
                      </w:r>
                    </w:p>
                  </w:txbxContent>
                </v:textbox>
                <w10:wrap anchorx="margin"/>
              </v:roundrect>
            </w:pict>
          </mc:Fallback>
        </mc:AlternateContent>
      </w:r>
    </w:p>
    <w:p w14:paraId="569E3513" w14:textId="371226C4" w:rsidR="001F6572" w:rsidRDefault="001F6572" w:rsidP="00BC79CC"/>
    <w:p w14:paraId="0E670DBF" w14:textId="72653606" w:rsidR="001F6572" w:rsidRDefault="001F6572" w:rsidP="00BC79CC"/>
    <w:p w14:paraId="228704D2" w14:textId="4D40E21F" w:rsidR="001F6572" w:rsidRDefault="001F6572" w:rsidP="00BC79CC"/>
    <w:p w14:paraId="30D0BB1D" w14:textId="1F76C476" w:rsidR="00BC79CC" w:rsidRDefault="00BC79CC" w:rsidP="00BC79CC"/>
    <w:p w14:paraId="52A724AC" w14:textId="3115CB20" w:rsidR="00BC79CC" w:rsidRDefault="00BC79CC" w:rsidP="00BC79CC"/>
    <w:p w14:paraId="7136ABDB" w14:textId="77602707" w:rsidR="00BC79CC" w:rsidRDefault="00BC79CC" w:rsidP="00BC79CC"/>
    <w:p w14:paraId="596BD470" w14:textId="7361DB17" w:rsidR="00BC79CC" w:rsidRDefault="00BC79CC" w:rsidP="00BC79CC"/>
    <w:p w14:paraId="18C1AB79" w14:textId="41317F2A" w:rsidR="00BC79CC" w:rsidRDefault="00BC79CC" w:rsidP="00BC79CC"/>
    <w:p w14:paraId="58DC122E" w14:textId="415855AD" w:rsidR="00BC79CC" w:rsidRDefault="00BC79CC" w:rsidP="00BC79CC"/>
    <w:p w14:paraId="0DB244A8" w14:textId="3ACDF04A" w:rsidR="00BC79CC" w:rsidRDefault="00BC79CC" w:rsidP="00471DE4"/>
    <w:p w14:paraId="0B00A19F" w14:textId="155314CC" w:rsidR="00A20386" w:rsidRDefault="007E71B8" w:rsidP="0090160A">
      <w:pPr>
        <w:jc w:val="right"/>
        <w:rPr>
          <w:b/>
        </w:rPr>
      </w:pPr>
      <w:r>
        <w:rPr>
          <w:noProof/>
        </w:rPr>
        <mc:AlternateContent>
          <mc:Choice Requires="wps">
            <w:drawing>
              <wp:anchor distT="0" distB="0" distL="114300" distR="114300" simplePos="0" relativeHeight="251658246" behindDoc="0" locked="0" layoutInCell="1" allowOverlap="1" wp14:anchorId="3C8F5D7B" wp14:editId="133CF3EE">
                <wp:simplePos x="0" y="0"/>
                <wp:positionH relativeFrom="page">
                  <wp:posOffset>849495</wp:posOffset>
                </wp:positionH>
                <wp:positionV relativeFrom="paragraph">
                  <wp:posOffset>125095</wp:posOffset>
                </wp:positionV>
                <wp:extent cx="5920335" cy="619760"/>
                <wp:effectExtent l="0" t="0" r="23495" b="27940"/>
                <wp:wrapNone/>
                <wp:docPr id="1" name="Obdélník: se zakulacenými rohy 1"/>
                <wp:cNvGraphicFramePr/>
                <a:graphic xmlns:a="http://schemas.openxmlformats.org/drawingml/2006/main">
                  <a:graphicData uri="http://schemas.microsoft.com/office/word/2010/wordprocessingShape">
                    <wps:wsp>
                      <wps:cNvSpPr/>
                      <wps:spPr>
                        <a:xfrm>
                          <a:off x="0" y="0"/>
                          <a:ext cx="5920335" cy="619760"/>
                        </a:xfrm>
                        <a:prstGeom prst="roundRect">
                          <a:avLst>
                            <a:gd name="adj" fmla="val 16667"/>
                          </a:avLst>
                        </a:prstGeom>
                        <a:solidFill>
                          <a:srgbClr val="BD2A33"/>
                        </a:solidFill>
                        <a:ln>
                          <a:solidFill>
                            <a:srgbClr val="BD2A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3CDDE" w14:textId="2AF5A565" w:rsidR="0043588E" w:rsidRPr="00525B9E" w:rsidRDefault="0043588E" w:rsidP="005B2566">
                            <w:pPr>
                              <w:jc w:val="center"/>
                              <w:rPr>
                                <w:b/>
                                <w:color w:val="FFFFFF" w:themeColor="background1"/>
                                <w:szCs w:val="24"/>
                              </w:rPr>
                            </w:pPr>
                            <w:r w:rsidRPr="00525B9E">
                              <w:rPr>
                                <w:b/>
                                <w:color w:val="FFFFFF" w:themeColor="background1"/>
                                <w:sz w:val="32"/>
                                <w:szCs w:val="32"/>
                              </w:rPr>
                              <w:t>15</w:t>
                            </w:r>
                            <w:r>
                              <w:rPr>
                                <w:b/>
                                <w:color w:val="FFFFFF" w:themeColor="background1"/>
                                <w:sz w:val="32"/>
                                <w:szCs w:val="32"/>
                              </w:rPr>
                              <w:t xml:space="preserve"> </w:t>
                            </w:r>
                            <w:r w:rsidRPr="00525B9E">
                              <w:rPr>
                                <w:b/>
                                <w:color w:val="FFFFFF" w:themeColor="background1"/>
                                <w:sz w:val="32"/>
                                <w:szCs w:val="32"/>
                              </w:rPr>
                              <w:t>%</w:t>
                            </w:r>
                            <w:r>
                              <w:rPr>
                                <w:b/>
                                <w:color w:val="FFFFFF" w:themeColor="background1"/>
                                <w:sz w:val="32"/>
                                <w:szCs w:val="32"/>
                              </w:rPr>
                              <w:tab/>
                              <w:t xml:space="preserve"> </w:t>
                            </w:r>
                            <w:r>
                              <w:rPr>
                                <w:b/>
                                <w:color w:val="FFFFFF" w:themeColor="background1"/>
                                <w:szCs w:val="24"/>
                              </w:rPr>
                              <w:t xml:space="preserve">je očekávané naplnění cílového indikátoru programu </w:t>
                            </w:r>
                            <w:r w:rsidRPr="00A20386">
                              <w:rPr>
                                <w:b/>
                                <w:i/>
                                <w:color w:val="FFFFFF" w:themeColor="background1"/>
                                <w:szCs w:val="24"/>
                              </w:rPr>
                              <w:t>Výstavba pro obce</w:t>
                            </w:r>
                            <w:r>
                              <w:rPr>
                                <w:b/>
                                <w:color w:val="FFFFFF" w:themeColor="background1"/>
                                <w:szCs w:val="24"/>
                              </w:rPr>
                              <w:t>, tzn. že program místo 2 375 zajistí a zlepší bydlení pouze 356 domácnostem.</w:t>
                            </w:r>
                          </w:p>
                          <w:p w14:paraId="4D4DA712" w14:textId="77777777" w:rsidR="0043588E" w:rsidRPr="00A8428B" w:rsidRDefault="0043588E" w:rsidP="00525B9E">
                            <w:pPr>
                              <w:jc w:val="left"/>
                              <w:rPr>
                                <w:b/>
                                <w:color w:val="FFFFFF" w:themeColor="background1"/>
                              </w:rPr>
                            </w:pPr>
                          </w:p>
                          <w:p w14:paraId="370F4D42" w14:textId="77777777" w:rsidR="0043588E" w:rsidRPr="00175A39" w:rsidRDefault="0043588E" w:rsidP="00525B9E">
                            <w:pPr>
                              <w:jc w:val="left"/>
                              <w:rPr>
                                <w:b/>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F5D7B" id="Obdélník: se zakulacenými rohy 1" o:spid="_x0000_s1030" style="position:absolute;left:0;text-align:left;margin-left:66.9pt;margin-top:9.85pt;width:466.15pt;height:4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" fillcolor="#bd2a33" strokecolor="#bd2a33" strokeweight="2pt">
                <v:textbox>
                  <w:txbxContent>
                    <w:p w14:paraId="7C93CDDE" w14:textId="2AF5A565" w:rsidR="0043588E" w:rsidRPr="00525B9E" w:rsidRDefault="0043588E" w:rsidP="005B2566">
                      <w:pPr>
                        <w:jc w:val="center"/>
                        <w:rPr>
                          <w:b/>
                          <w:color w:val="FFFFFF" w:themeColor="background1"/>
                          <w:szCs w:val="24"/>
                        </w:rPr>
                      </w:pPr>
                      <w:r w:rsidRPr="00525B9E">
                        <w:rPr>
                          <w:b/>
                          <w:color w:val="FFFFFF" w:themeColor="background1"/>
                          <w:sz w:val="32"/>
                          <w:szCs w:val="32"/>
                        </w:rPr>
                        <w:t>15</w:t>
                      </w:r>
                      <w:r>
                        <w:rPr>
                          <w:b/>
                          <w:color w:val="FFFFFF" w:themeColor="background1"/>
                          <w:sz w:val="32"/>
                          <w:szCs w:val="32"/>
                        </w:rPr>
                        <w:t xml:space="preserve"> </w:t>
                      </w:r>
                      <w:r w:rsidRPr="00525B9E">
                        <w:rPr>
                          <w:b/>
                          <w:color w:val="FFFFFF" w:themeColor="background1"/>
                          <w:sz w:val="32"/>
                          <w:szCs w:val="32"/>
                        </w:rPr>
                        <w:t>%</w:t>
                      </w:r>
                      <w:r>
                        <w:rPr>
                          <w:b/>
                          <w:color w:val="FFFFFF" w:themeColor="background1"/>
                          <w:sz w:val="32"/>
                          <w:szCs w:val="32"/>
                        </w:rPr>
                        <w:tab/>
                        <w:t xml:space="preserve"> </w:t>
                      </w:r>
                      <w:r>
                        <w:rPr>
                          <w:b/>
                          <w:color w:val="FFFFFF" w:themeColor="background1"/>
                          <w:szCs w:val="24"/>
                        </w:rPr>
                        <w:t xml:space="preserve">je očekávané naplnění cílového indikátoru programu </w:t>
                      </w:r>
                      <w:r w:rsidRPr="00A20386">
                        <w:rPr>
                          <w:b/>
                          <w:i/>
                          <w:color w:val="FFFFFF" w:themeColor="background1"/>
                          <w:szCs w:val="24"/>
                        </w:rPr>
                        <w:t>Výstavba pro obce</w:t>
                      </w:r>
                      <w:r>
                        <w:rPr>
                          <w:b/>
                          <w:color w:val="FFFFFF" w:themeColor="background1"/>
                          <w:szCs w:val="24"/>
                        </w:rPr>
                        <w:t>, tzn. že program místo 2 375 zajistí a zlepší bydlení pouze 356 domácnostem.</w:t>
                      </w:r>
                    </w:p>
                    <w:p w14:paraId="4D4DA712" w14:textId="77777777" w:rsidR="0043588E" w:rsidRPr="00A8428B" w:rsidRDefault="0043588E" w:rsidP="00525B9E">
                      <w:pPr>
                        <w:jc w:val="left"/>
                        <w:rPr>
                          <w:b/>
                          <w:color w:val="FFFFFF" w:themeColor="background1"/>
                        </w:rPr>
                      </w:pPr>
                    </w:p>
                    <w:p w14:paraId="370F4D42" w14:textId="77777777" w:rsidR="0043588E" w:rsidRPr="00175A39" w:rsidRDefault="0043588E" w:rsidP="00525B9E">
                      <w:pPr>
                        <w:jc w:val="left"/>
                        <w:rPr>
                          <w:b/>
                          <w:color w:val="000000" w:themeColor="text1"/>
                        </w:rPr>
                      </w:pPr>
                    </w:p>
                  </w:txbxContent>
                </v:textbox>
                <w10:wrap anchorx="page"/>
              </v:roundrect>
            </w:pict>
          </mc:Fallback>
        </mc:AlternateContent>
      </w:r>
    </w:p>
    <w:p w14:paraId="32451A44" w14:textId="4156FB54" w:rsidR="00A20386" w:rsidRDefault="00A20386" w:rsidP="00BC79CC">
      <w:pPr>
        <w:jc w:val="center"/>
        <w:rPr>
          <w:b/>
        </w:rPr>
      </w:pPr>
    </w:p>
    <w:p w14:paraId="200D83D0" w14:textId="15F9A02E" w:rsidR="007403A7" w:rsidRDefault="002563D4" w:rsidP="00BC79CC">
      <w:r>
        <w:tab/>
      </w:r>
      <w:r>
        <w:tab/>
      </w:r>
      <w:r>
        <w:tab/>
      </w:r>
      <w:r>
        <w:tab/>
      </w:r>
      <w:r>
        <w:tab/>
      </w:r>
      <w:r>
        <w:tab/>
      </w:r>
      <w:r>
        <w:tab/>
      </w:r>
    </w:p>
    <w:p w14:paraId="418685A0" w14:textId="6537A17F" w:rsidR="001F6572" w:rsidRDefault="001F6572" w:rsidP="00BC79CC"/>
    <w:p w14:paraId="60C11467" w14:textId="01DA9698" w:rsidR="001F6572" w:rsidRDefault="001F6572" w:rsidP="00BC79CC"/>
    <w:p w14:paraId="6A38A5FB" w14:textId="3FC8F9A8" w:rsidR="001F6572" w:rsidRDefault="001F6572" w:rsidP="00BC79CC"/>
    <w:p w14:paraId="1A4483F9" w14:textId="1C1E88E9" w:rsidR="00525B9E" w:rsidRDefault="00AC182B" w:rsidP="00BC79CC">
      <w:r>
        <w:rPr>
          <w:noProof/>
        </w:rPr>
        <mc:AlternateContent>
          <mc:Choice Requires="wps">
            <w:drawing>
              <wp:anchor distT="0" distB="0" distL="114300" distR="114300" simplePos="0" relativeHeight="251658245" behindDoc="0" locked="0" layoutInCell="1" allowOverlap="1" wp14:anchorId="5FE8C48D" wp14:editId="362889B8">
                <wp:simplePos x="0" y="0"/>
                <wp:positionH relativeFrom="margin">
                  <wp:posOffset>-49665</wp:posOffset>
                </wp:positionH>
                <wp:positionV relativeFrom="paragraph">
                  <wp:posOffset>78740</wp:posOffset>
                </wp:positionV>
                <wp:extent cx="5922000" cy="719847"/>
                <wp:effectExtent l="0" t="0" r="22225" b="23495"/>
                <wp:wrapNone/>
                <wp:docPr id="17" name="Obdélník: se zakulacenými rohy 17"/>
                <wp:cNvGraphicFramePr/>
                <a:graphic xmlns:a="http://schemas.openxmlformats.org/drawingml/2006/main">
                  <a:graphicData uri="http://schemas.microsoft.com/office/word/2010/wordprocessingShape">
                    <wps:wsp>
                      <wps:cNvSpPr/>
                      <wps:spPr>
                        <a:xfrm>
                          <a:off x="0" y="0"/>
                          <a:ext cx="5922000" cy="719847"/>
                        </a:xfrm>
                        <a:prstGeom prst="roundRect">
                          <a:avLst>
                            <a:gd name="adj" fmla="val 10188"/>
                          </a:avLst>
                        </a:prstGeom>
                        <a:solidFill>
                          <a:srgbClr val="BD2A33"/>
                        </a:solidFill>
                        <a:ln>
                          <a:solidFill>
                            <a:srgbClr val="BD2A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96D1B" w14:textId="604F4289" w:rsidR="0043588E" w:rsidRPr="00E52F42" w:rsidRDefault="0043588E" w:rsidP="00E97630">
                            <w:pPr>
                              <w:jc w:val="center"/>
                              <w:rPr>
                                <w:b/>
                                <w:color w:val="FFFFFF" w:themeColor="background1"/>
                              </w:rPr>
                            </w:pPr>
                            <w:r w:rsidRPr="0061150C">
                              <w:rPr>
                                <w:b/>
                                <w:color w:val="FFFFFF" w:themeColor="background1"/>
                              </w:rPr>
                              <w:t>M</w:t>
                            </w:r>
                            <w:r>
                              <w:rPr>
                                <w:b/>
                                <w:color w:val="FFFFFF" w:themeColor="background1"/>
                              </w:rPr>
                              <w:t xml:space="preserve">MR </w:t>
                            </w:r>
                            <w:r w:rsidRPr="0061150C">
                              <w:rPr>
                                <w:b/>
                                <w:color w:val="FFFFFF" w:themeColor="background1"/>
                              </w:rPr>
                              <w:t xml:space="preserve">nestanovilo monitorovací indikátory </w:t>
                            </w:r>
                            <w:r w:rsidRPr="007F7E1F">
                              <w:rPr>
                                <w:b/>
                                <w:color w:val="FFFFFF" w:themeColor="background1"/>
                              </w:rPr>
                              <w:t>a časové termíny</w:t>
                            </w:r>
                            <w:r w:rsidRPr="00E52F42">
                              <w:rPr>
                                <w:b/>
                                <w:color w:val="FFFFFF" w:themeColor="background1"/>
                              </w:rPr>
                              <w:t xml:space="preserve"> </w:t>
                            </w:r>
                            <w:r>
                              <w:rPr>
                                <w:b/>
                                <w:color w:val="FFFFFF" w:themeColor="background1"/>
                              </w:rPr>
                              <w:t xml:space="preserve">pro žádný z cílů </w:t>
                            </w:r>
                            <w:r w:rsidRPr="00E52F42">
                              <w:rPr>
                                <w:b/>
                                <w:i/>
                                <w:color w:val="FFFFFF" w:themeColor="background1"/>
                              </w:rPr>
                              <w:t>Koncepce bydlení ČR do roku 2020</w:t>
                            </w:r>
                            <w:r>
                              <w:rPr>
                                <w:b/>
                                <w:color w:val="FFFFFF" w:themeColor="background1"/>
                              </w:rPr>
                              <w:t xml:space="preserve"> a </w:t>
                            </w:r>
                            <w:r w:rsidRPr="00E52F42">
                              <w:rPr>
                                <w:b/>
                                <w:i/>
                                <w:color w:val="FFFFFF" w:themeColor="background1"/>
                              </w:rPr>
                              <w:t>Koncepce bydlení České republiky 2021+</w:t>
                            </w:r>
                            <w:r>
                              <w:rPr>
                                <w:b/>
                                <w:color w:val="FFFFFF" w:themeColor="background1"/>
                              </w:rPr>
                              <w:t>, a to ani v těchto dvou koncepcích, ani v návazných dokumentech.</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8C48D" id="Obdélník: se zakulacenými rohy 17" o:spid="_x0000_s1031" style="position:absolute;left:0;text-align:left;margin-left:-3.9pt;margin-top:6.2pt;width:466.3pt;height:56.7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" fillcolor="#bd2a33" strokecolor="#bd2a33" strokeweight="2pt">
                <v:textbox>
                  <w:txbxContent>
                    <w:p w14:paraId="4B596D1B" w14:textId="604F4289" w:rsidR="0043588E" w:rsidRPr="00E52F42" w:rsidRDefault="0043588E" w:rsidP="00E97630">
                      <w:pPr>
                        <w:jc w:val="center"/>
                        <w:rPr>
                          <w:b/>
                          <w:color w:val="FFFFFF" w:themeColor="background1"/>
                        </w:rPr>
                      </w:pPr>
                      <w:r w:rsidRPr="0061150C">
                        <w:rPr>
                          <w:b/>
                          <w:color w:val="FFFFFF" w:themeColor="background1"/>
                        </w:rPr>
                        <w:t>M</w:t>
                      </w:r>
                      <w:r>
                        <w:rPr>
                          <w:b/>
                          <w:color w:val="FFFFFF" w:themeColor="background1"/>
                        </w:rPr>
                        <w:t xml:space="preserve">MR </w:t>
                      </w:r>
                      <w:r w:rsidRPr="0061150C">
                        <w:rPr>
                          <w:b/>
                          <w:color w:val="FFFFFF" w:themeColor="background1"/>
                        </w:rPr>
                        <w:t xml:space="preserve">nestanovilo monitorovací indikátory </w:t>
                      </w:r>
                      <w:r w:rsidRPr="007F7E1F">
                        <w:rPr>
                          <w:b/>
                          <w:color w:val="FFFFFF" w:themeColor="background1"/>
                        </w:rPr>
                        <w:t>a časové termíny</w:t>
                      </w:r>
                      <w:r w:rsidRPr="00E52F42">
                        <w:rPr>
                          <w:b/>
                          <w:color w:val="FFFFFF" w:themeColor="background1"/>
                        </w:rPr>
                        <w:t xml:space="preserve"> </w:t>
                      </w:r>
                      <w:r>
                        <w:rPr>
                          <w:b/>
                          <w:color w:val="FFFFFF" w:themeColor="background1"/>
                        </w:rPr>
                        <w:t xml:space="preserve">pro žádný z cílů </w:t>
                      </w:r>
                      <w:r w:rsidRPr="00E52F42">
                        <w:rPr>
                          <w:b/>
                          <w:i/>
                          <w:color w:val="FFFFFF" w:themeColor="background1"/>
                        </w:rPr>
                        <w:t>Koncepce bydlení ČR do roku 2020</w:t>
                      </w:r>
                      <w:r>
                        <w:rPr>
                          <w:b/>
                          <w:color w:val="FFFFFF" w:themeColor="background1"/>
                        </w:rPr>
                        <w:t xml:space="preserve"> a </w:t>
                      </w:r>
                      <w:r w:rsidRPr="00E52F42">
                        <w:rPr>
                          <w:b/>
                          <w:i/>
                          <w:color w:val="FFFFFF" w:themeColor="background1"/>
                        </w:rPr>
                        <w:t>Koncepce bydlení České republiky 2021+</w:t>
                      </w:r>
                      <w:r>
                        <w:rPr>
                          <w:b/>
                          <w:color w:val="FFFFFF" w:themeColor="background1"/>
                        </w:rPr>
                        <w:t>, a to ani v těchto dvou koncepcích, ani v návazných dokumentech.</w:t>
                      </w:r>
                    </w:p>
                  </w:txbxContent>
                </v:textbox>
                <w10:wrap anchorx="margin"/>
              </v:roundrect>
            </w:pict>
          </mc:Fallback>
        </mc:AlternateContent>
      </w:r>
    </w:p>
    <w:p w14:paraId="5187AF9D" w14:textId="1E909F26" w:rsidR="00525B9E" w:rsidRDefault="00525B9E" w:rsidP="00BC79CC"/>
    <w:p w14:paraId="5D68F0CD" w14:textId="5900BAE9" w:rsidR="00525B9E" w:rsidRDefault="00525B9E" w:rsidP="0090160A">
      <w:pPr>
        <w:jc w:val="right"/>
      </w:pPr>
    </w:p>
    <w:p w14:paraId="1DEACF5A" w14:textId="1A0668B3" w:rsidR="00A20386" w:rsidRDefault="00A20386" w:rsidP="00BC79CC"/>
    <w:p w14:paraId="5421723B" w14:textId="390F04F3" w:rsidR="001F6572" w:rsidRDefault="001F6572" w:rsidP="00BC79CC"/>
    <w:p w14:paraId="222826AA" w14:textId="3721494D" w:rsidR="001F6572" w:rsidRDefault="001F6572" w:rsidP="00BC79CC"/>
    <w:p w14:paraId="79600A71" w14:textId="1305ECDC" w:rsidR="00A20386" w:rsidRDefault="00585790" w:rsidP="00933433">
      <w:pPr>
        <w:spacing w:line="276" w:lineRule="auto"/>
      </w:pPr>
      <w:r>
        <w:rPr>
          <w:noProof/>
        </w:rPr>
        <mc:AlternateContent>
          <mc:Choice Requires="wps">
            <w:drawing>
              <wp:anchor distT="0" distB="0" distL="114300" distR="114300" simplePos="0" relativeHeight="251658248" behindDoc="0" locked="0" layoutInCell="1" allowOverlap="1" wp14:anchorId="643C651D" wp14:editId="78DCCD90">
                <wp:simplePos x="0" y="0"/>
                <wp:positionH relativeFrom="margin">
                  <wp:posOffset>-46855</wp:posOffset>
                </wp:positionH>
                <wp:positionV relativeFrom="paragraph">
                  <wp:posOffset>130175</wp:posOffset>
                </wp:positionV>
                <wp:extent cx="5922000" cy="1038758"/>
                <wp:effectExtent l="0" t="0" r="22225" b="28575"/>
                <wp:wrapNone/>
                <wp:docPr id="4" name="Obdélník: se zakulacenými rohy 4"/>
                <wp:cNvGraphicFramePr/>
                <a:graphic xmlns:a="http://schemas.openxmlformats.org/drawingml/2006/main">
                  <a:graphicData uri="http://schemas.microsoft.com/office/word/2010/wordprocessingShape">
                    <wps:wsp>
                      <wps:cNvSpPr/>
                      <wps:spPr>
                        <a:xfrm>
                          <a:off x="0" y="0"/>
                          <a:ext cx="5922000" cy="1038758"/>
                        </a:xfrm>
                        <a:prstGeom prst="roundRect">
                          <a:avLst>
                            <a:gd name="adj" fmla="val 27891"/>
                          </a:avLst>
                        </a:prstGeom>
                        <a:solidFill>
                          <a:srgbClr val="BD2A33"/>
                        </a:solidFill>
                        <a:ln>
                          <a:solidFill>
                            <a:srgbClr val="BD2A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6D518" w14:textId="37409281" w:rsidR="0043588E" w:rsidRPr="00A8428B" w:rsidRDefault="0043588E" w:rsidP="00A705B4">
                            <w:pPr>
                              <w:jc w:val="center"/>
                              <w:rPr>
                                <w:b/>
                                <w:color w:val="FFFFFF" w:themeColor="background1"/>
                              </w:rPr>
                            </w:pPr>
                            <w:r w:rsidRPr="005431AA">
                              <w:rPr>
                                <w:b/>
                              </w:rPr>
                              <w:t>Z údajů Č</w:t>
                            </w:r>
                            <w:r>
                              <w:rPr>
                                <w:b/>
                              </w:rPr>
                              <w:t>eského statistického úřadu,</w:t>
                            </w:r>
                            <w:r w:rsidRPr="005431AA">
                              <w:rPr>
                                <w:b/>
                              </w:rPr>
                              <w:t xml:space="preserve"> M</w:t>
                            </w:r>
                            <w:r>
                              <w:rPr>
                                <w:b/>
                              </w:rPr>
                              <w:t>inisterstva pro místní rozvoj</w:t>
                            </w:r>
                            <w:r w:rsidRPr="005431AA">
                              <w:rPr>
                                <w:b/>
                              </w:rPr>
                              <w:t xml:space="preserve"> a S</w:t>
                            </w:r>
                            <w:r>
                              <w:rPr>
                                <w:b/>
                              </w:rPr>
                              <w:t>tátního fondu podpory investic</w:t>
                            </w:r>
                            <w:r w:rsidRPr="005431AA">
                              <w:rPr>
                                <w:b/>
                              </w:rPr>
                              <w:t xml:space="preserve"> vyplývá, že role výstavby podpořených bytů</w:t>
                            </w:r>
                            <w:r>
                              <w:rPr>
                                <w:b/>
                              </w:rPr>
                              <w:t xml:space="preserve"> </w:t>
                            </w:r>
                            <w:r w:rsidRPr="005431AA">
                              <w:rPr>
                                <w:b/>
                              </w:rPr>
                              <w:t>ve</w:t>
                            </w:r>
                            <w:r>
                              <w:rPr>
                                <w:b/>
                              </w:rPr>
                              <w:t xml:space="preserve"> </w:t>
                            </w:r>
                            <w:r w:rsidRPr="005431AA">
                              <w:rPr>
                                <w:b/>
                              </w:rPr>
                              <w:t>v</w:t>
                            </w:r>
                            <w:r>
                              <w:rPr>
                                <w:b/>
                              </w:rPr>
                              <w:t>z</w:t>
                            </w:r>
                            <w:r w:rsidRPr="005431AA">
                              <w:rPr>
                                <w:b/>
                              </w:rPr>
                              <w:t>tahu</w:t>
                            </w:r>
                            <w:r>
                              <w:rPr>
                                <w:b/>
                              </w:rPr>
                              <w:t xml:space="preserve"> </w:t>
                            </w:r>
                            <w:r>
                              <w:rPr>
                                <w:b/>
                              </w:rPr>
                              <w:br/>
                            </w:r>
                            <w:r w:rsidRPr="005431AA">
                              <w:rPr>
                                <w:b/>
                              </w:rPr>
                              <w:t>k celkovému objemu</w:t>
                            </w:r>
                            <w:r>
                              <w:rPr>
                                <w:b/>
                              </w:rPr>
                              <w:t xml:space="preserve"> </w:t>
                            </w:r>
                            <w:r w:rsidRPr="005431AA">
                              <w:rPr>
                                <w:b/>
                              </w:rPr>
                              <w:t>dokončených</w:t>
                            </w:r>
                            <w:r>
                              <w:rPr>
                                <w:b/>
                              </w:rPr>
                              <w:t xml:space="preserve"> </w:t>
                            </w:r>
                            <w:r w:rsidRPr="005431AA">
                              <w:rPr>
                                <w:b/>
                              </w:rPr>
                              <w:t>byt</w:t>
                            </w:r>
                            <w:r>
                              <w:rPr>
                                <w:b/>
                              </w:rPr>
                              <w:t xml:space="preserve">ů </w:t>
                            </w:r>
                            <w:r w:rsidRPr="005431AA">
                              <w:rPr>
                                <w:b/>
                              </w:rPr>
                              <w:t>a k</w:t>
                            </w:r>
                            <w:r>
                              <w:rPr>
                                <w:b/>
                              </w:rPr>
                              <w:t xml:space="preserve"> počtu </w:t>
                            </w:r>
                            <w:r w:rsidRPr="005431AA">
                              <w:rPr>
                                <w:b/>
                              </w:rPr>
                              <w:t>obydlený</w:t>
                            </w:r>
                            <w:r>
                              <w:rPr>
                                <w:b/>
                              </w:rPr>
                              <w:t>ch</w:t>
                            </w:r>
                            <w:r w:rsidRPr="005431AA">
                              <w:rPr>
                                <w:b/>
                              </w:rPr>
                              <w:t xml:space="preserve"> byt</w:t>
                            </w:r>
                            <w:r>
                              <w:rPr>
                                <w:b/>
                              </w:rPr>
                              <w:t>ů</w:t>
                            </w:r>
                            <w:r w:rsidRPr="005431AA">
                              <w:rPr>
                                <w:b/>
                              </w:rPr>
                              <w:t xml:space="preserve"> je marginální</w:t>
                            </w:r>
                            <w:r>
                              <w:rPr>
                                <w:b/>
                              </w:rPr>
                              <w:t>. S</w:t>
                            </w:r>
                            <w:r w:rsidRPr="005431AA">
                              <w:rPr>
                                <w:b/>
                              </w:rPr>
                              <w:t>ituaci na trhu bydlení</w:t>
                            </w:r>
                            <w:r>
                              <w:rPr>
                                <w:b/>
                              </w:rPr>
                              <w:t xml:space="preserve"> </w:t>
                            </w:r>
                            <w:r w:rsidRPr="005431AA">
                              <w:rPr>
                                <w:b/>
                              </w:rPr>
                              <w:t>výstavba podpořených bytů není schopna</w:t>
                            </w:r>
                            <w:r>
                              <w:rPr>
                                <w:b/>
                              </w:rPr>
                              <w:t xml:space="preserve"> zásadně</w:t>
                            </w:r>
                            <w:r w:rsidRPr="005431AA">
                              <w:rPr>
                                <w:b/>
                              </w:rPr>
                              <w:t xml:space="preserve"> ovlivnit</w:t>
                            </w:r>
                            <w:r>
                              <w:rPr>
                                <w:b/>
                              </w:rPr>
                              <w:t>.</w:t>
                            </w:r>
                          </w:p>
                          <w:p w14:paraId="53F9BD01" w14:textId="77777777" w:rsidR="0043588E" w:rsidRPr="00175A39" w:rsidRDefault="0043588E" w:rsidP="005725CA">
                            <w:pPr>
                              <w:jc w:val="left"/>
                              <w:rPr>
                                <w:b/>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C651D" id="Obdélník: se zakulacenými rohy 4" o:spid="_x0000_s1032" style="position:absolute;left:0;text-align:left;margin-left:-3.7pt;margin-top:10.25pt;width:466.3pt;height:81.8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" fillcolor="#bd2a33" strokecolor="#bd2a33" strokeweight="2pt">
                <v:textbox>
                  <w:txbxContent>
                    <w:p w14:paraId="3116D518" w14:textId="37409281" w:rsidR="0043588E" w:rsidRPr="00A8428B" w:rsidRDefault="0043588E" w:rsidP="00A705B4">
                      <w:pPr>
                        <w:jc w:val="center"/>
                        <w:rPr>
                          <w:b/>
                          <w:color w:val="FFFFFF" w:themeColor="background1"/>
                        </w:rPr>
                      </w:pPr>
                      <w:r w:rsidRPr="005431AA">
                        <w:rPr>
                          <w:b/>
                        </w:rPr>
                        <w:t>Z údajů Č</w:t>
                      </w:r>
                      <w:r>
                        <w:rPr>
                          <w:b/>
                        </w:rPr>
                        <w:t>eského statistického úřadu,</w:t>
                      </w:r>
                      <w:r w:rsidRPr="005431AA">
                        <w:rPr>
                          <w:b/>
                        </w:rPr>
                        <w:t xml:space="preserve"> M</w:t>
                      </w:r>
                      <w:r>
                        <w:rPr>
                          <w:b/>
                        </w:rPr>
                        <w:t>inisterstva pro místní rozvoj</w:t>
                      </w:r>
                      <w:r w:rsidRPr="005431AA">
                        <w:rPr>
                          <w:b/>
                        </w:rPr>
                        <w:t xml:space="preserve"> a S</w:t>
                      </w:r>
                      <w:r>
                        <w:rPr>
                          <w:b/>
                        </w:rPr>
                        <w:t>tátního fondu podpory investic</w:t>
                      </w:r>
                      <w:r w:rsidRPr="005431AA">
                        <w:rPr>
                          <w:b/>
                        </w:rPr>
                        <w:t xml:space="preserve"> vyplývá, že role výstavby podpořených bytů</w:t>
                      </w:r>
                      <w:r>
                        <w:rPr>
                          <w:b/>
                        </w:rPr>
                        <w:t xml:space="preserve"> </w:t>
                      </w:r>
                      <w:r w:rsidRPr="005431AA">
                        <w:rPr>
                          <w:b/>
                        </w:rPr>
                        <w:t>ve</w:t>
                      </w:r>
                      <w:r>
                        <w:rPr>
                          <w:b/>
                        </w:rPr>
                        <w:t xml:space="preserve"> </w:t>
                      </w:r>
                      <w:r w:rsidRPr="005431AA">
                        <w:rPr>
                          <w:b/>
                        </w:rPr>
                        <w:t>v</w:t>
                      </w:r>
                      <w:r>
                        <w:rPr>
                          <w:b/>
                        </w:rPr>
                        <w:t>z</w:t>
                      </w:r>
                      <w:r w:rsidRPr="005431AA">
                        <w:rPr>
                          <w:b/>
                        </w:rPr>
                        <w:t>tahu</w:t>
                      </w:r>
                      <w:r>
                        <w:rPr>
                          <w:b/>
                        </w:rPr>
                        <w:t xml:space="preserve"> </w:t>
                      </w:r>
                      <w:r>
                        <w:rPr>
                          <w:b/>
                        </w:rPr>
                        <w:br/>
                      </w:r>
                      <w:r w:rsidRPr="005431AA">
                        <w:rPr>
                          <w:b/>
                        </w:rPr>
                        <w:t>k celkovému objemu</w:t>
                      </w:r>
                      <w:r>
                        <w:rPr>
                          <w:b/>
                        </w:rPr>
                        <w:t xml:space="preserve"> </w:t>
                      </w:r>
                      <w:r w:rsidRPr="005431AA">
                        <w:rPr>
                          <w:b/>
                        </w:rPr>
                        <w:t>dokončených</w:t>
                      </w:r>
                      <w:r>
                        <w:rPr>
                          <w:b/>
                        </w:rPr>
                        <w:t xml:space="preserve"> </w:t>
                      </w:r>
                      <w:r w:rsidRPr="005431AA">
                        <w:rPr>
                          <w:b/>
                        </w:rPr>
                        <w:t>byt</w:t>
                      </w:r>
                      <w:r>
                        <w:rPr>
                          <w:b/>
                        </w:rPr>
                        <w:t xml:space="preserve">ů </w:t>
                      </w:r>
                      <w:r w:rsidRPr="005431AA">
                        <w:rPr>
                          <w:b/>
                        </w:rPr>
                        <w:t>a k</w:t>
                      </w:r>
                      <w:r>
                        <w:rPr>
                          <w:b/>
                        </w:rPr>
                        <w:t xml:space="preserve"> počtu </w:t>
                      </w:r>
                      <w:r w:rsidRPr="005431AA">
                        <w:rPr>
                          <w:b/>
                        </w:rPr>
                        <w:t>obydlený</w:t>
                      </w:r>
                      <w:r>
                        <w:rPr>
                          <w:b/>
                        </w:rPr>
                        <w:t>ch</w:t>
                      </w:r>
                      <w:r w:rsidRPr="005431AA">
                        <w:rPr>
                          <w:b/>
                        </w:rPr>
                        <w:t xml:space="preserve"> byt</w:t>
                      </w:r>
                      <w:r>
                        <w:rPr>
                          <w:b/>
                        </w:rPr>
                        <w:t>ů</w:t>
                      </w:r>
                      <w:r w:rsidRPr="005431AA">
                        <w:rPr>
                          <w:b/>
                        </w:rPr>
                        <w:t xml:space="preserve"> je marginální</w:t>
                      </w:r>
                      <w:r>
                        <w:rPr>
                          <w:b/>
                        </w:rPr>
                        <w:t>. S</w:t>
                      </w:r>
                      <w:r w:rsidRPr="005431AA">
                        <w:rPr>
                          <w:b/>
                        </w:rPr>
                        <w:t>ituaci na trhu bydlení</w:t>
                      </w:r>
                      <w:r>
                        <w:rPr>
                          <w:b/>
                        </w:rPr>
                        <w:t xml:space="preserve"> </w:t>
                      </w:r>
                      <w:r w:rsidRPr="005431AA">
                        <w:rPr>
                          <w:b/>
                        </w:rPr>
                        <w:t>výstavba podpořených bytů není schopna</w:t>
                      </w:r>
                      <w:r>
                        <w:rPr>
                          <w:b/>
                        </w:rPr>
                        <w:t xml:space="preserve"> zásadně</w:t>
                      </w:r>
                      <w:r w:rsidRPr="005431AA">
                        <w:rPr>
                          <w:b/>
                        </w:rPr>
                        <w:t xml:space="preserve"> ovlivnit</w:t>
                      </w:r>
                      <w:r>
                        <w:rPr>
                          <w:b/>
                        </w:rPr>
                        <w:t>.</w:t>
                      </w:r>
                    </w:p>
                    <w:p w14:paraId="53F9BD01" w14:textId="77777777" w:rsidR="0043588E" w:rsidRPr="00175A39" w:rsidRDefault="0043588E" w:rsidP="005725CA">
                      <w:pPr>
                        <w:jc w:val="left"/>
                        <w:rPr>
                          <w:b/>
                          <w:color w:val="000000" w:themeColor="text1"/>
                        </w:rPr>
                      </w:pPr>
                    </w:p>
                  </w:txbxContent>
                </v:textbox>
                <w10:wrap anchorx="margin"/>
              </v:roundrect>
            </w:pict>
          </mc:Fallback>
        </mc:AlternateContent>
      </w:r>
    </w:p>
    <w:p w14:paraId="747D8436" w14:textId="491DA5AF" w:rsidR="001F6572" w:rsidRDefault="001F6572" w:rsidP="00933433">
      <w:pPr>
        <w:spacing w:line="276" w:lineRule="auto"/>
      </w:pPr>
    </w:p>
    <w:p w14:paraId="0E4612DE" w14:textId="532F5904" w:rsidR="00BC79CC" w:rsidRDefault="00BC79CC" w:rsidP="00BC79CC"/>
    <w:p w14:paraId="314E7CE1" w14:textId="0CC29CCD" w:rsidR="00BC79CC" w:rsidRDefault="00BC79CC" w:rsidP="00BC79CC"/>
    <w:p w14:paraId="2B19A05A" w14:textId="5F405DE6" w:rsidR="00BC79CC" w:rsidRDefault="00BC79CC" w:rsidP="00BC79CC"/>
    <w:p w14:paraId="112963A8" w14:textId="786D372C" w:rsidR="00BC79CC" w:rsidRDefault="00BC79CC" w:rsidP="00BC79CC">
      <w:pPr>
        <w:spacing w:after="120"/>
        <w:jc w:val="left"/>
        <w:rPr>
          <w:sz w:val="16"/>
          <w:vertAlign w:val="superscript"/>
        </w:rPr>
      </w:pPr>
    </w:p>
    <w:p w14:paraId="7BE0D807" w14:textId="09616731" w:rsidR="00764C87" w:rsidRDefault="00764C87" w:rsidP="00410011">
      <w:pPr>
        <w:pStyle w:val="Hlava"/>
        <w:rPr>
          <w:b/>
          <w:sz w:val="28"/>
          <w:szCs w:val="28"/>
        </w:rPr>
      </w:pPr>
    </w:p>
    <w:p w14:paraId="7BCC86FD" w14:textId="77777777" w:rsidR="005B664A" w:rsidRDefault="005B664A" w:rsidP="00410011">
      <w:pPr>
        <w:pStyle w:val="Hlava"/>
        <w:rPr>
          <w:b/>
          <w:sz w:val="28"/>
          <w:szCs w:val="28"/>
        </w:rPr>
      </w:pPr>
    </w:p>
    <w:p w14:paraId="7063A140" w14:textId="77777777" w:rsidR="005B664A" w:rsidRDefault="005B664A" w:rsidP="00410011">
      <w:pPr>
        <w:pStyle w:val="Hlava"/>
        <w:rPr>
          <w:b/>
          <w:sz w:val="28"/>
          <w:szCs w:val="28"/>
        </w:rPr>
      </w:pPr>
    </w:p>
    <w:p w14:paraId="58A41E02" w14:textId="16985E28" w:rsidR="009221B7" w:rsidRDefault="00455CD6" w:rsidP="00117492">
      <w:pPr>
        <w:pStyle w:val="Hlava"/>
        <w:spacing w:before="240" w:after="240"/>
        <w:rPr>
          <w:b/>
          <w:sz w:val="28"/>
          <w:szCs w:val="28"/>
        </w:rPr>
      </w:pPr>
      <w:r w:rsidRPr="00732FAA">
        <w:rPr>
          <w:b/>
          <w:sz w:val="28"/>
          <w:szCs w:val="28"/>
        </w:rPr>
        <w:lastRenderedPageBreak/>
        <w:t xml:space="preserve">I. </w:t>
      </w:r>
      <w:r w:rsidR="00BB7322" w:rsidRPr="00732FAA">
        <w:rPr>
          <w:b/>
          <w:sz w:val="28"/>
          <w:szCs w:val="28"/>
        </w:rPr>
        <w:t>S</w:t>
      </w:r>
      <w:r w:rsidR="00A12809" w:rsidRPr="00732FAA">
        <w:rPr>
          <w:b/>
          <w:sz w:val="28"/>
          <w:szCs w:val="28"/>
        </w:rPr>
        <w:t>hrnutí a vyhodnocení</w:t>
      </w:r>
    </w:p>
    <w:p w14:paraId="2B202033" w14:textId="77777777" w:rsidR="009116D4" w:rsidRDefault="00455CD6" w:rsidP="001E126B">
      <w:pPr>
        <w:spacing w:after="120"/>
      </w:pPr>
      <w:r w:rsidRPr="00FF6B26">
        <w:t>NKÚ provedl kontrolu peněžních prostředků</w:t>
      </w:r>
      <w:r w:rsidRPr="00166BC5">
        <w:t xml:space="preserve"> státu určených na podporu bydlení poskytovaných prostřednictvím MMR a SFPI. V rámci podpory bydlení </w:t>
      </w:r>
      <w:r w:rsidR="006E4BE7">
        <w:t xml:space="preserve">poskytlo </w:t>
      </w:r>
      <w:r w:rsidRPr="00166BC5">
        <w:t xml:space="preserve">MMR v období 2016–2021 </w:t>
      </w:r>
      <w:r w:rsidR="006E4BE7">
        <w:t xml:space="preserve">dotační podporu </w:t>
      </w:r>
      <w:r w:rsidRPr="00166BC5">
        <w:t>1 199 projektů</w:t>
      </w:r>
      <w:r w:rsidR="006E4BE7">
        <w:t>m</w:t>
      </w:r>
      <w:r w:rsidRPr="00166BC5">
        <w:t xml:space="preserve"> </w:t>
      </w:r>
      <w:r w:rsidR="005E55A6" w:rsidRPr="00166BC5">
        <w:t>v</w:t>
      </w:r>
      <w:r w:rsidR="001A6DCB" w:rsidRPr="00166BC5">
        <w:t xml:space="preserve"> celkové</w:t>
      </w:r>
      <w:r w:rsidR="005E55A6" w:rsidRPr="00166BC5">
        <w:t xml:space="preserve"> výši</w:t>
      </w:r>
      <w:r w:rsidRPr="00166BC5">
        <w:t xml:space="preserve"> 2,8 mld. Kč a SFPI poskytl dotační a</w:t>
      </w:r>
      <w:r w:rsidR="00046F33" w:rsidRPr="00166BC5">
        <w:t> </w:t>
      </w:r>
      <w:r w:rsidRPr="00166BC5">
        <w:t>úvěrovou podporu 3 338 projektům v</w:t>
      </w:r>
      <w:r w:rsidR="001A6DCB" w:rsidRPr="00166BC5">
        <w:t xml:space="preserve"> celkové</w:t>
      </w:r>
      <w:r w:rsidRPr="00166BC5">
        <w:t xml:space="preserve"> výši 11</w:t>
      </w:r>
      <w:r w:rsidR="00055BC2" w:rsidRPr="00166BC5">
        <w:t>,</w:t>
      </w:r>
      <w:r w:rsidRPr="00166BC5">
        <w:t xml:space="preserve">1 mld. Kč. </w:t>
      </w:r>
    </w:p>
    <w:p w14:paraId="0A800678" w14:textId="16F67814" w:rsidR="00A63D6B" w:rsidRDefault="00455CD6" w:rsidP="001E126B">
      <w:pPr>
        <w:spacing w:after="120"/>
      </w:pPr>
      <w:r w:rsidRPr="00232D37">
        <w:t>NKÚ zjišťoval,</w:t>
      </w:r>
      <w:r w:rsidR="00FE2926" w:rsidRPr="00232D37">
        <w:t xml:space="preserve"> zda peněžní prostředky státu určené na podporu bydlení</w:t>
      </w:r>
      <w:r w:rsidRPr="00232D37">
        <w:t xml:space="preserve"> </w:t>
      </w:r>
      <w:r w:rsidR="00FE2926" w:rsidRPr="00232D37">
        <w:t xml:space="preserve">jsou poskytovány </w:t>
      </w:r>
      <w:r w:rsidR="004C3C24">
        <w:br/>
      </w:r>
      <w:r w:rsidR="00FE2926" w:rsidRPr="00232D37">
        <w:t>a</w:t>
      </w:r>
      <w:r w:rsidR="004C3C24">
        <w:t xml:space="preserve"> </w:t>
      </w:r>
      <w:r w:rsidR="00FE2926" w:rsidRPr="00232D37">
        <w:t>čerpány účelně, hospodárně a v souladu s právními předpisy.</w:t>
      </w:r>
      <w:r w:rsidR="001A6DCB">
        <w:t xml:space="preserve"> </w:t>
      </w:r>
      <w:r w:rsidR="00D31EF3" w:rsidRPr="001A145E">
        <w:t>Dále prověřoval říd</w:t>
      </w:r>
      <w:r w:rsidR="00DC4368">
        <w:t>i</w:t>
      </w:r>
      <w:r w:rsidR="00D31EF3" w:rsidRPr="001A145E">
        <w:t>cí a</w:t>
      </w:r>
      <w:r w:rsidR="00832FA7">
        <w:t> </w:t>
      </w:r>
      <w:r w:rsidR="00D31EF3" w:rsidRPr="001A145E">
        <w:t>kontrolní činnost MMR a SFPI</w:t>
      </w:r>
      <w:r w:rsidR="00C72081" w:rsidRPr="001A145E">
        <w:t xml:space="preserve"> jako správců programů. Dodržování pravidel a</w:t>
      </w:r>
      <w:r w:rsidR="00832FA7">
        <w:t xml:space="preserve"> </w:t>
      </w:r>
      <w:r w:rsidR="00C72081" w:rsidRPr="001A145E">
        <w:t xml:space="preserve">dosažení cílů ověřil na vzorku </w:t>
      </w:r>
      <w:r w:rsidR="00D92218" w:rsidRPr="001A145E">
        <w:t>25 projektů.</w:t>
      </w:r>
    </w:p>
    <w:p w14:paraId="6C84D713" w14:textId="532E894E" w:rsidR="00F37EF3" w:rsidRDefault="00F37EF3" w:rsidP="001E126B">
      <w:pPr>
        <w:rPr>
          <w:b/>
        </w:rPr>
      </w:pPr>
      <w:r w:rsidRPr="00F366DC">
        <w:rPr>
          <w:b/>
        </w:rPr>
        <w:t>Hlavní problémy bytové politiky, zejména dostupnost a kvalita bytového fondu, dlouhodobě přetrvávají a dosavadní plnění cílů</w:t>
      </w:r>
      <w:r w:rsidR="00F77254" w:rsidRPr="00F366DC">
        <w:rPr>
          <w:b/>
        </w:rPr>
        <w:t xml:space="preserve"> strategických materiálů</w:t>
      </w:r>
      <w:r w:rsidR="00FF3FB4" w:rsidRPr="00F366DC">
        <w:rPr>
          <w:rStyle w:val="Znakapoznpodarou"/>
          <w:b/>
        </w:rPr>
        <w:footnoteReference w:id="5"/>
      </w:r>
      <w:r w:rsidRPr="00F366DC">
        <w:rPr>
          <w:b/>
        </w:rPr>
        <w:t xml:space="preserve"> k jejich odstranění</w:t>
      </w:r>
      <w:r w:rsidR="00F77254" w:rsidRPr="00F366DC">
        <w:rPr>
          <w:b/>
        </w:rPr>
        <w:t xml:space="preserve"> n</w:t>
      </w:r>
      <w:r w:rsidRPr="00F366DC">
        <w:rPr>
          <w:b/>
        </w:rPr>
        <w:t>evedlo.</w:t>
      </w:r>
      <w:r w:rsidR="00F77254" w:rsidRPr="00F366DC">
        <w:rPr>
          <w:b/>
        </w:rPr>
        <w:t xml:space="preserve"> </w:t>
      </w:r>
      <w:r w:rsidRPr="00F366DC">
        <w:rPr>
          <w:b/>
        </w:rPr>
        <w:t>Objem peněžních prostředků, který stát vkládá do řešení problematiky bydlení</w:t>
      </w:r>
      <w:r w:rsidR="00924ECB">
        <w:rPr>
          <w:b/>
        </w:rPr>
        <w:t>,</w:t>
      </w:r>
      <w:r w:rsidRPr="00F366DC">
        <w:rPr>
          <w:b/>
        </w:rPr>
        <w:t xml:space="preserve"> sice </w:t>
      </w:r>
      <w:r w:rsidR="008549BB">
        <w:rPr>
          <w:b/>
        </w:rPr>
        <w:t xml:space="preserve">dosahuje téměř </w:t>
      </w:r>
      <w:r w:rsidRPr="00F366DC">
        <w:rPr>
          <w:b/>
        </w:rPr>
        <w:t xml:space="preserve">3 mld. Kč/rok, ale vliv na trh bydlení je marginální. Bez většího společného a dobře koordinovaného úsilí státu </w:t>
      </w:r>
      <w:r w:rsidR="00832FA7">
        <w:rPr>
          <w:b/>
        </w:rPr>
        <w:t>a</w:t>
      </w:r>
      <w:r w:rsidRPr="00F366DC">
        <w:rPr>
          <w:b/>
        </w:rPr>
        <w:t xml:space="preserve"> </w:t>
      </w:r>
      <w:r w:rsidR="00924ECB" w:rsidRPr="00F366DC">
        <w:rPr>
          <w:b/>
        </w:rPr>
        <w:t>aktivn</w:t>
      </w:r>
      <w:r w:rsidR="00924ECB">
        <w:rPr>
          <w:b/>
        </w:rPr>
        <w:t>ího</w:t>
      </w:r>
      <w:r w:rsidR="00924ECB" w:rsidRPr="00F366DC">
        <w:rPr>
          <w:b/>
        </w:rPr>
        <w:t xml:space="preserve"> </w:t>
      </w:r>
      <w:r w:rsidRPr="00F366DC">
        <w:rPr>
          <w:b/>
        </w:rPr>
        <w:t>zapojen</w:t>
      </w:r>
      <w:r w:rsidR="00924ECB">
        <w:rPr>
          <w:b/>
        </w:rPr>
        <w:t>í</w:t>
      </w:r>
      <w:r w:rsidRPr="00F366DC">
        <w:rPr>
          <w:b/>
        </w:rPr>
        <w:t xml:space="preserve"> </w:t>
      </w:r>
      <w:r w:rsidR="0024019D">
        <w:rPr>
          <w:b/>
        </w:rPr>
        <w:t xml:space="preserve">územních </w:t>
      </w:r>
      <w:r w:rsidR="00737DAA">
        <w:rPr>
          <w:b/>
        </w:rPr>
        <w:t>samosprávn</w:t>
      </w:r>
      <w:r w:rsidR="00832FA7">
        <w:rPr>
          <w:b/>
        </w:rPr>
        <w:t>ý</w:t>
      </w:r>
      <w:r w:rsidR="00737DAA">
        <w:rPr>
          <w:b/>
        </w:rPr>
        <w:t>ch celků</w:t>
      </w:r>
      <w:r w:rsidRPr="00F366DC">
        <w:rPr>
          <w:b/>
        </w:rPr>
        <w:t xml:space="preserve"> nemůže dojít k výraznějšímu posunu v oblasti bydlení.</w:t>
      </w:r>
    </w:p>
    <w:p w14:paraId="3F3BD78F" w14:textId="77777777" w:rsidR="00F366DC" w:rsidRPr="00F366DC" w:rsidRDefault="00F366DC" w:rsidP="001E126B">
      <w:pPr>
        <w:rPr>
          <w:rFonts w:ascii="Calibri" w:hAnsi="Calibri"/>
          <w:b/>
          <w:sz w:val="22"/>
        </w:rPr>
      </w:pPr>
    </w:p>
    <w:p w14:paraId="75C952E7" w14:textId="77777777" w:rsidR="00055BC2" w:rsidRDefault="00455CD6" w:rsidP="001E126B">
      <w:pPr>
        <w:spacing w:after="120"/>
        <w:rPr>
          <w:b/>
        </w:rPr>
      </w:pPr>
      <w:r>
        <w:rPr>
          <w:b/>
        </w:rPr>
        <w:t xml:space="preserve">Na základě kontroly provedené u MMR, SFPI a vybraných příjemců dotací </w:t>
      </w:r>
      <w:r w:rsidR="00B84A07" w:rsidRPr="001A145E">
        <w:rPr>
          <w:b/>
        </w:rPr>
        <w:t xml:space="preserve">NKÚ </w:t>
      </w:r>
      <w:r>
        <w:rPr>
          <w:b/>
        </w:rPr>
        <w:t>konstatuje:</w:t>
      </w:r>
    </w:p>
    <w:p w14:paraId="477E4C79" w14:textId="7AAF316E" w:rsidR="002C5230" w:rsidRDefault="006E4BE7" w:rsidP="001E126B">
      <w:pPr>
        <w:spacing w:after="120"/>
      </w:pPr>
      <w:r w:rsidRPr="00AA4557">
        <w:rPr>
          <w:b/>
        </w:rPr>
        <w:t xml:space="preserve">MMR nedisponuje </w:t>
      </w:r>
      <w:r w:rsidR="00BB4488">
        <w:rPr>
          <w:b/>
        </w:rPr>
        <w:t xml:space="preserve">funkční </w:t>
      </w:r>
      <w:r w:rsidRPr="00AA4557">
        <w:rPr>
          <w:b/>
        </w:rPr>
        <w:t xml:space="preserve">datovou základnou pro oblast řízení bytové politiky státu, zahrnující </w:t>
      </w:r>
      <w:r>
        <w:rPr>
          <w:b/>
        </w:rPr>
        <w:t xml:space="preserve">údaje o </w:t>
      </w:r>
      <w:r w:rsidR="00397E8D">
        <w:rPr>
          <w:b/>
        </w:rPr>
        <w:t>početnosti</w:t>
      </w:r>
      <w:r>
        <w:rPr>
          <w:b/>
        </w:rPr>
        <w:t xml:space="preserve"> cílových skupin</w:t>
      </w:r>
      <w:r w:rsidR="00E20A03">
        <w:rPr>
          <w:b/>
        </w:rPr>
        <w:t xml:space="preserve"> </w:t>
      </w:r>
      <w:r>
        <w:rPr>
          <w:b/>
        </w:rPr>
        <w:t xml:space="preserve">a </w:t>
      </w:r>
      <w:r w:rsidRPr="00AA4557">
        <w:rPr>
          <w:b/>
        </w:rPr>
        <w:t>souhrnné údaje o velikosti a kvalitě bytového fondu</w:t>
      </w:r>
      <w:r>
        <w:rPr>
          <w:b/>
        </w:rPr>
        <w:t>, zvláště bytového fondu</w:t>
      </w:r>
      <w:r w:rsidRPr="00AA4557">
        <w:rPr>
          <w:b/>
        </w:rPr>
        <w:t xml:space="preserve"> využívaného k sociálnímu bydlení</w:t>
      </w:r>
      <w:r>
        <w:rPr>
          <w:b/>
        </w:rPr>
        <w:t>.</w:t>
      </w:r>
      <w:r w:rsidRPr="00AA4557">
        <w:rPr>
          <w:b/>
        </w:rPr>
        <w:t xml:space="preserve"> </w:t>
      </w:r>
      <w:r w:rsidR="002C5230" w:rsidRPr="005431AA">
        <w:rPr>
          <w:b/>
        </w:rPr>
        <w:t xml:space="preserve">Proto NKÚ považuje za důležité, aby </w:t>
      </w:r>
      <w:r w:rsidR="00A52DC9">
        <w:rPr>
          <w:b/>
        </w:rPr>
        <w:t xml:space="preserve">MMR ve své působnosti analyzovalo potřebnost </w:t>
      </w:r>
      <w:r w:rsidR="002C5230" w:rsidRPr="005431AA">
        <w:rPr>
          <w:b/>
        </w:rPr>
        <w:t>dotační a úvěrov</w:t>
      </w:r>
      <w:r w:rsidR="00A52DC9">
        <w:rPr>
          <w:b/>
        </w:rPr>
        <w:t>é</w:t>
      </w:r>
      <w:r w:rsidR="002C5230" w:rsidRPr="005431AA">
        <w:rPr>
          <w:b/>
        </w:rPr>
        <w:t xml:space="preserve"> podpo</w:t>
      </w:r>
      <w:r w:rsidR="000D3DF0">
        <w:rPr>
          <w:b/>
        </w:rPr>
        <w:t>r</w:t>
      </w:r>
      <w:r w:rsidR="00A52DC9">
        <w:rPr>
          <w:b/>
        </w:rPr>
        <w:t>y a</w:t>
      </w:r>
      <w:r w:rsidR="00471DE4">
        <w:rPr>
          <w:b/>
        </w:rPr>
        <w:t> </w:t>
      </w:r>
      <w:r w:rsidR="00A52DC9">
        <w:rPr>
          <w:b/>
        </w:rPr>
        <w:t xml:space="preserve">ta </w:t>
      </w:r>
      <w:r w:rsidR="002C5230" w:rsidRPr="005431AA">
        <w:rPr>
          <w:b/>
        </w:rPr>
        <w:t>byla zaměřena na konkrétní cílové skupiny</w:t>
      </w:r>
      <w:r w:rsidR="002C5230" w:rsidRPr="00A15C92">
        <w:t>.</w:t>
      </w:r>
    </w:p>
    <w:p w14:paraId="53488ECE" w14:textId="54A78DF1" w:rsidR="005431AA" w:rsidRPr="00A15C92" w:rsidRDefault="00455CD6" w:rsidP="001E126B">
      <w:pPr>
        <w:spacing w:after="120"/>
        <w:rPr>
          <w:b/>
        </w:rPr>
      </w:pPr>
      <w:r w:rsidRPr="00AA4557">
        <w:rPr>
          <w:b/>
        </w:rPr>
        <w:t>Ne</w:t>
      </w:r>
      <w:r w:rsidR="00E5188B" w:rsidRPr="00AA4557">
        <w:rPr>
          <w:b/>
        </w:rPr>
        <w:t>e</w:t>
      </w:r>
      <w:r w:rsidRPr="00AA4557">
        <w:rPr>
          <w:b/>
        </w:rPr>
        <w:t>xistuje systémové řešení problematiky</w:t>
      </w:r>
      <w:r w:rsidR="00920892">
        <w:rPr>
          <w:b/>
        </w:rPr>
        <w:t xml:space="preserve"> </w:t>
      </w:r>
      <w:r w:rsidR="00A6619C">
        <w:rPr>
          <w:b/>
        </w:rPr>
        <w:t xml:space="preserve">podpory </w:t>
      </w:r>
      <w:r w:rsidR="00737DAA">
        <w:rPr>
          <w:b/>
        </w:rPr>
        <w:t>bydlení</w:t>
      </w:r>
      <w:r w:rsidRPr="00AA4557">
        <w:rPr>
          <w:b/>
        </w:rPr>
        <w:t xml:space="preserve"> vč. jeho zákonné úpravy</w:t>
      </w:r>
      <w:r w:rsidR="005431AA">
        <w:rPr>
          <w:b/>
        </w:rPr>
        <w:t>, na což NKÚ upozorňoval již</w:t>
      </w:r>
      <w:r w:rsidR="00E72DE6">
        <w:rPr>
          <w:b/>
        </w:rPr>
        <w:t xml:space="preserve"> od roku 2016</w:t>
      </w:r>
      <w:r w:rsidR="000041C5">
        <w:rPr>
          <w:rStyle w:val="Znakapoznpodarou"/>
          <w:b/>
          <w:shd w:val="clear" w:color="auto" w:fill="FFFFFF"/>
        </w:rPr>
        <w:footnoteReference w:id="6"/>
      </w:r>
      <w:r w:rsidR="00E72DE6">
        <w:rPr>
          <w:b/>
        </w:rPr>
        <w:t>.</w:t>
      </w:r>
    </w:p>
    <w:p w14:paraId="219B4E4D" w14:textId="2E083156" w:rsidR="004B33A2" w:rsidRDefault="00455CD6" w:rsidP="001E126B">
      <w:pPr>
        <w:spacing w:after="120"/>
        <w:rPr>
          <w:b/>
        </w:rPr>
      </w:pPr>
      <w:r w:rsidRPr="004D4440">
        <w:rPr>
          <w:b/>
        </w:rPr>
        <w:t>Přetrvává problém kompetenční mezire</w:t>
      </w:r>
      <w:r w:rsidR="00832FA7">
        <w:rPr>
          <w:b/>
        </w:rPr>
        <w:t>s</w:t>
      </w:r>
      <w:r w:rsidRPr="004D4440">
        <w:rPr>
          <w:b/>
        </w:rPr>
        <w:t xml:space="preserve">ortní roztříštěnosti provázené nedostatečným prosazováním koordinační role MMR. Příkladem může být </w:t>
      </w:r>
      <w:r w:rsidR="00920892">
        <w:rPr>
          <w:b/>
        </w:rPr>
        <w:t xml:space="preserve">obdobné </w:t>
      </w:r>
      <w:r w:rsidRPr="004D4440">
        <w:rPr>
          <w:b/>
        </w:rPr>
        <w:t>zaměření dotačních titulů různých poskytovatelů na stejnou cílovou skupinu</w:t>
      </w:r>
      <w:r w:rsidR="00A6619C">
        <w:rPr>
          <w:b/>
        </w:rPr>
        <w:t>,</w:t>
      </w:r>
      <w:r w:rsidR="003D55FC" w:rsidRPr="00A705B4">
        <w:rPr>
          <w:b/>
          <w:szCs w:val="24"/>
        </w:rPr>
        <w:t xml:space="preserve"> což ve svém důsledku způsobuje zvýšené výdaje na správu </w:t>
      </w:r>
      <w:r w:rsidR="003D55FC">
        <w:rPr>
          <w:b/>
          <w:szCs w:val="24"/>
        </w:rPr>
        <w:t>peněžních prostředků určených na podporu bydlení</w:t>
      </w:r>
      <w:r w:rsidR="00DC673D" w:rsidRPr="003D55FC">
        <w:rPr>
          <w:b/>
        </w:rPr>
        <w:t>.</w:t>
      </w:r>
      <w:r w:rsidRPr="004D4440">
        <w:rPr>
          <w:b/>
        </w:rPr>
        <w:t xml:space="preserve"> </w:t>
      </w:r>
    </w:p>
    <w:p w14:paraId="5E17B52A" w14:textId="77777777" w:rsidR="001B3684" w:rsidRDefault="001B3684" w:rsidP="001E126B">
      <w:pPr>
        <w:spacing w:after="120"/>
        <w:rPr>
          <w:b/>
        </w:rPr>
      </w:pPr>
      <w:r w:rsidRPr="005431AA">
        <w:rPr>
          <w:b/>
        </w:rPr>
        <w:t xml:space="preserve">MMR nestanovilo monitorovací indikátory pro naplňování strategických cílů bytové politiky státu. </w:t>
      </w:r>
      <w:r w:rsidRPr="00982BFE">
        <w:rPr>
          <w:b/>
        </w:rPr>
        <w:t xml:space="preserve">Dosažení cílů tak není možné měřit z kvantitativního ani </w:t>
      </w:r>
      <w:r w:rsidRPr="006A04B7">
        <w:rPr>
          <w:b/>
        </w:rPr>
        <w:t xml:space="preserve">časového hlediska. </w:t>
      </w:r>
      <w:r>
        <w:rPr>
          <w:b/>
        </w:rPr>
        <w:t>Z téhož důvodu nelze zjistit míru přispění dotační a úvěrové podpory k naplňování</w:t>
      </w:r>
      <w:r w:rsidRPr="00A57776">
        <w:rPr>
          <w:b/>
        </w:rPr>
        <w:t xml:space="preserve"> </w:t>
      </w:r>
      <w:r>
        <w:rPr>
          <w:b/>
        </w:rPr>
        <w:t xml:space="preserve">nastavených cílů. </w:t>
      </w:r>
    </w:p>
    <w:p w14:paraId="4E8DFA41" w14:textId="0B598B22" w:rsidR="00987A4B" w:rsidRDefault="00B06AAF" w:rsidP="001E126B">
      <w:pPr>
        <w:spacing w:after="120"/>
        <w:rPr>
          <w:b/>
        </w:rPr>
      </w:pPr>
      <w:r>
        <w:rPr>
          <w:b/>
        </w:rPr>
        <w:t xml:space="preserve">MMR </w:t>
      </w:r>
      <w:r w:rsidR="00987A4B">
        <w:rPr>
          <w:b/>
        </w:rPr>
        <w:t>p</w:t>
      </w:r>
      <w:r w:rsidR="00E96747" w:rsidRPr="00E96747">
        <w:rPr>
          <w:b/>
        </w:rPr>
        <w:t>ři nastavení podmínek podpory zpracovalo analýzu potřeb pouze u části podprogramů</w:t>
      </w:r>
      <w:r w:rsidR="007529A9">
        <w:rPr>
          <w:b/>
        </w:rPr>
        <w:t>, nemá nástroje pro analýzu rizik a nevede záznamy o všech operacích.</w:t>
      </w:r>
    </w:p>
    <w:p w14:paraId="37C65BF7" w14:textId="77777777" w:rsidR="00E96747" w:rsidRPr="00AD7114" w:rsidRDefault="007529A9" w:rsidP="001E126B">
      <w:pPr>
        <w:spacing w:after="120"/>
        <w:rPr>
          <w:b/>
        </w:rPr>
      </w:pPr>
      <w:r>
        <w:rPr>
          <w:b/>
        </w:rPr>
        <w:t xml:space="preserve">SFPI </w:t>
      </w:r>
      <w:r w:rsidR="00E840CE">
        <w:rPr>
          <w:b/>
        </w:rPr>
        <w:t xml:space="preserve">v kontrolovaném období </w:t>
      </w:r>
      <w:r>
        <w:rPr>
          <w:b/>
        </w:rPr>
        <w:t xml:space="preserve">nevyhodnocoval </w:t>
      </w:r>
      <w:r w:rsidR="00E840CE">
        <w:rPr>
          <w:b/>
        </w:rPr>
        <w:t xml:space="preserve">finanční, </w:t>
      </w:r>
      <w:r w:rsidR="00E840CE" w:rsidRPr="005005F6">
        <w:rPr>
          <w:b/>
        </w:rPr>
        <w:t>právní ani jiná rizika</w:t>
      </w:r>
      <w:r w:rsidR="003E099B">
        <w:rPr>
          <w:b/>
        </w:rPr>
        <w:t xml:space="preserve">. </w:t>
      </w:r>
    </w:p>
    <w:p w14:paraId="4FC2F017" w14:textId="0678F654" w:rsidR="005C074F" w:rsidRDefault="009F631B" w:rsidP="001E126B">
      <w:pPr>
        <w:rPr>
          <w:b/>
        </w:rPr>
      </w:pPr>
      <w:r>
        <w:rPr>
          <w:b/>
        </w:rPr>
        <w:lastRenderedPageBreak/>
        <w:t>Na kontrolním vzorku projektů NKÚ prověřil v</w:t>
      </w:r>
      <w:r w:rsidR="007A07CA">
        <w:rPr>
          <w:b/>
        </w:rPr>
        <w:t xml:space="preserve">ynakládání </w:t>
      </w:r>
      <w:r w:rsidR="00230AAA" w:rsidRPr="00724C9A">
        <w:rPr>
          <w:b/>
        </w:rPr>
        <w:t xml:space="preserve">peněžních prostředků z dotační </w:t>
      </w:r>
      <w:r w:rsidR="00832FA7">
        <w:rPr>
          <w:b/>
        </w:rPr>
        <w:br/>
      </w:r>
      <w:r w:rsidR="00230AAA" w:rsidRPr="00724C9A">
        <w:rPr>
          <w:b/>
        </w:rPr>
        <w:t>a</w:t>
      </w:r>
      <w:r w:rsidR="00832FA7">
        <w:rPr>
          <w:b/>
        </w:rPr>
        <w:t xml:space="preserve"> </w:t>
      </w:r>
      <w:r w:rsidR="00230AAA" w:rsidRPr="00724C9A">
        <w:rPr>
          <w:b/>
        </w:rPr>
        <w:t xml:space="preserve">úvěrové podpory </w:t>
      </w:r>
      <w:r w:rsidR="00724C9A" w:rsidRPr="00724C9A">
        <w:rPr>
          <w:b/>
        </w:rPr>
        <w:t>a zjistil</w:t>
      </w:r>
      <w:r w:rsidR="00230AAA" w:rsidRPr="00724C9A">
        <w:rPr>
          <w:b/>
        </w:rPr>
        <w:t>, že peněžní prostředky byly čerpány</w:t>
      </w:r>
      <w:r w:rsidR="0005324B">
        <w:rPr>
          <w:b/>
        </w:rPr>
        <w:t xml:space="preserve"> většinou účelně </w:t>
      </w:r>
      <w:r w:rsidR="00832FA7">
        <w:rPr>
          <w:b/>
        </w:rPr>
        <w:br/>
      </w:r>
      <w:r w:rsidR="0005324B">
        <w:rPr>
          <w:b/>
        </w:rPr>
        <w:t>a</w:t>
      </w:r>
      <w:r w:rsidR="00832FA7">
        <w:rPr>
          <w:b/>
        </w:rPr>
        <w:t xml:space="preserve"> </w:t>
      </w:r>
      <w:r w:rsidR="0005324B">
        <w:rPr>
          <w:b/>
        </w:rPr>
        <w:t>hospodárně</w:t>
      </w:r>
      <w:r w:rsidR="00A36124">
        <w:rPr>
          <w:rStyle w:val="Znakapoznpodarou"/>
          <w:b/>
        </w:rPr>
        <w:footnoteReference w:id="7"/>
      </w:r>
      <w:r w:rsidR="00A6619C">
        <w:rPr>
          <w:b/>
        </w:rPr>
        <w:t>.</w:t>
      </w:r>
      <w:r w:rsidR="0005324B">
        <w:rPr>
          <w:b/>
        </w:rPr>
        <w:t xml:space="preserve"> </w:t>
      </w:r>
      <w:r w:rsidR="00A36124">
        <w:rPr>
          <w:b/>
        </w:rPr>
        <w:t>V</w:t>
      </w:r>
      <w:r w:rsidR="00832FA7">
        <w:rPr>
          <w:b/>
        </w:rPr>
        <w:t xml:space="preserve"> </w:t>
      </w:r>
      <w:r w:rsidR="0005324B">
        <w:rPr>
          <w:b/>
        </w:rPr>
        <w:t xml:space="preserve">některých </w:t>
      </w:r>
      <w:r w:rsidR="004F6851">
        <w:rPr>
          <w:b/>
        </w:rPr>
        <w:t xml:space="preserve">případech </w:t>
      </w:r>
      <w:r w:rsidR="00A36124">
        <w:rPr>
          <w:b/>
        </w:rPr>
        <w:t xml:space="preserve">však příjemci podpory postupovali </w:t>
      </w:r>
      <w:r w:rsidR="004F6851">
        <w:rPr>
          <w:b/>
        </w:rPr>
        <w:t>v</w:t>
      </w:r>
      <w:r w:rsidR="00832FA7">
        <w:rPr>
          <w:b/>
        </w:rPr>
        <w:t xml:space="preserve"> </w:t>
      </w:r>
      <w:r w:rsidR="004F6851">
        <w:rPr>
          <w:b/>
        </w:rPr>
        <w:t xml:space="preserve">rozporu </w:t>
      </w:r>
      <w:r w:rsidR="00230AAA" w:rsidRPr="00724C9A">
        <w:rPr>
          <w:b/>
        </w:rPr>
        <w:t xml:space="preserve">s právními předpisy. </w:t>
      </w:r>
    </w:p>
    <w:p w14:paraId="048188A3" w14:textId="77777777" w:rsidR="0005324B" w:rsidRPr="005C074F" w:rsidRDefault="0005324B" w:rsidP="001E126B">
      <w:pPr>
        <w:rPr>
          <w:b/>
        </w:rPr>
      </w:pPr>
    </w:p>
    <w:p w14:paraId="7863865D" w14:textId="216AC5F7" w:rsidR="00230AAA" w:rsidRPr="004D4440" w:rsidRDefault="005C5F16" w:rsidP="001E126B">
      <w:pPr>
        <w:spacing w:after="240"/>
        <w:rPr>
          <w:b/>
        </w:rPr>
      </w:pPr>
      <w:r w:rsidRPr="005C5F16">
        <w:rPr>
          <w:b/>
        </w:rPr>
        <w:t>P</w:t>
      </w:r>
      <w:r w:rsidR="00230AAA" w:rsidRPr="005C5F16">
        <w:rPr>
          <w:b/>
        </w:rPr>
        <w:t>o</w:t>
      </w:r>
      <w:r w:rsidR="00230AAA" w:rsidRPr="004D4440">
        <w:rPr>
          <w:b/>
        </w:rPr>
        <w:t>dmínky pro poskytování úvěrové podpory</w:t>
      </w:r>
      <w:r>
        <w:rPr>
          <w:b/>
        </w:rPr>
        <w:t xml:space="preserve"> v </w:t>
      </w:r>
      <w:r w:rsidRPr="004D4440">
        <w:rPr>
          <w:b/>
        </w:rPr>
        <w:t>programu</w:t>
      </w:r>
      <w:r>
        <w:rPr>
          <w:b/>
        </w:rPr>
        <w:t xml:space="preserve"> </w:t>
      </w:r>
      <w:r w:rsidRPr="004D4440">
        <w:rPr>
          <w:b/>
          <w:i/>
        </w:rPr>
        <w:t>Nájemní by</w:t>
      </w:r>
      <w:r>
        <w:rPr>
          <w:b/>
          <w:i/>
        </w:rPr>
        <w:t xml:space="preserve">ty </w:t>
      </w:r>
      <w:r w:rsidRPr="00D47F78">
        <w:rPr>
          <w:b/>
        </w:rPr>
        <w:t>spravovan</w:t>
      </w:r>
      <w:r w:rsidR="00832FA7">
        <w:rPr>
          <w:b/>
        </w:rPr>
        <w:t>é</w:t>
      </w:r>
      <w:r w:rsidRPr="00D47F78">
        <w:rPr>
          <w:b/>
        </w:rPr>
        <w:t>m SFPI</w:t>
      </w:r>
      <w:r w:rsidR="00230AAA" w:rsidRPr="004D4440">
        <w:rPr>
          <w:b/>
        </w:rPr>
        <w:t xml:space="preserve"> </w:t>
      </w:r>
      <w:r w:rsidR="00230AAA">
        <w:rPr>
          <w:b/>
        </w:rPr>
        <w:t>vyvolávají</w:t>
      </w:r>
      <w:r w:rsidR="00FB6CC1">
        <w:rPr>
          <w:b/>
        </w:rPr>
        <w:t xml:space="preserve"> </w:t>
      </w:r>
      <w:r w:rsidR="00230AAA" w:rsidRPr="004D4440">
        <w:rPr>
          <w:b/>
        </w:rPr>
        <w:t>u</w:t>
      </w:r>
      <w:r w:rsidR="00A36124">
        <w:rPr>
          <w:b/>
        </w:rPr>
        <w:t xml:space="preserve"> některých</w:t>
      </w:r>
      <w:r w:rsidR="00230AAA" w:rsidRPr="004D4440">
        <w:rPr>
          <w:b/>
        </w:rPr>
        <w:t xml:space="preserve"> </w:t>
      </w:r>
      <w:r w:rsidR="00230AAA">
        <w:rPr>
          <w:b/>
        </w:rPr>
        <w:t xml:space="preserve">realizovaných </w:t>
      </w:r>
      <w:r w:rsidR="00230AAA" w:rsidRPr="004D4440">
        <w:rPr>
          <w:b/>
        </w:rPr>
        <w:t>projektů další finanční nároky na státní rozpočet</w:t>
      </w:r>
      <w:r w:rsidR="002850E0">
        <w:rPr>
          <w:b/>
        </w:rPr>
        <w:t xml:space="preserve"> </w:t>
      </w:r>
      <w:r w:rsidR="00230AAA" w:rsidRPr="004D4440">
        <w:rPr>
          <w:b/>
        </w:rPr>
        <w:t>ve formě vzniku</w:t>
      </w:r>
      <w:r w:rsidR="00107219">
        <w:rPr>
          <w:b/>
        </w:rPr>
        <w:t xml:space="preserve"> n</w:t>
      </w:r>
      <w:r w:rsidR="00230AAA" w:rsidRPr="004D4440">
        <w:rPr>
          <w:b/>
        </w:rPr>
        <w:t>ároku na příspěvek</w:t>
      </w:r>
      <w:r w:rsidR="00230AAA">
        <w:rPr>
          <w:b/>
        </w:rPr>
        <w:t xml:space="preserve"> na bydlení</w:t>
      </w:r>
      <w:r w:rsidR="00230AAA" w:rsidRPr="004D4440">
        <w:rPr>
          <w:b/>
        </w:rPr>
        <w:t>, resp. doplat</w:t>
      </w:r>
      <w:r w:rsidR="00EC0E51">
        <w:rPr>
          <w:b/>
        </w:rPr>
        <w:t>e</w:t>
      </w:r>
      <w:r w:rsidR="00230AAA" w:rsidRPr="004D4440">
        <w:rPr>
          <w:b/>
        </w:rPr>
        <w:t xml:space="preserve">k </w:t>
      </w:r>
      <w:r w:rsidR="00230AAA">
        <w:rPr>
          <w:b/>
        </w:rPr>
        <w:t xml:space="preserve">na </w:t>
      </w:r>
      <w:r w:rsidR="00230AAA" w:rsidRPr="004D4440">
        <w:rPr>
          <w:b/>
        </w:rPr>
        <w:t>bydlení</w:t>
      </w:r>
      <w:r w:rsidR="00140E79">
        <w:rPr>
          <w:rStyle w:val="Znakapoznpodarou"/>
          <w:b/>
        </w:rPr>
        <w:footnoteReference w:id="8"/>
      </w:r>
      <w:r w:rsidR="00230AAA" w:rsidRPr="004D4440">
        <w:rPr>
          <w:b/>
        </w:rPr>
        <w:t>.</w:t>
      </w:r>
      <w:r w:rsidR="00140E79">
        <w:rPr>
          <w:b/>
        </w:rPr>
        <w:t xml:space="preserve"> </w:t>
      </w:r>
      <w:r w:rsidR="002850E0">
        <w:rPr>
          <w:b/>
        </w:rPr>
        <w:t xml:space="preserve">Podle podmínek </w:t>
      </w:r>
      <w:r w:rsidR="00BC7D7B">
        <w:rPr>
          <w:b/>
        </w:rPr>
        <w:t xml:space="preserve">programu </w:t>
      </w:r>
      <w:r w:rsidR="00BD19F2">
        <w:rPr>
          <w:b/>
        </w:rPr>
        <w:t>není</w:t>
      </w:r>
      <w:r w:rsidR="00EC0E51">
        <w:rPr>
          <w:b/>
        </w:rPr>
        <w:t xml:space="preserve"> </w:t>
      </w:r>
      <w:r w:rsidR="002850E0">
        <w:rPr>
          <w:b/>
        </w:rPr>
        <w:t xml:space="preserve">prioritou </w:t>
      </w:r>
      <w:r w:rsidR="00EC0E51">
        <w:rPr>
          <w:b/>
        </w:rPr>
        <w:t>ochrana osob z</w:t>
      </w:r>
      <w:r w:rsidR="00832FA7">
        <w:rPr>
          <w:b/>
        </w:rPr>
        <w:t xml:space="preserve"> </w:t>
      </w:r>
      <w:r w:rsidR="00EC0E51">
        <w:rPr>
          <w:b/>
        </w:rPr>
        <w:t>cílové skupiny, ale</w:t>
      </w:r>
      <w:r w:rsidR="00BC7D7B">
        <w:rPr>
          <w:b/>
        </w:rPr>
        <w:t xml:space="preserve"> návratnost peněžních prostředků</w:t>
      </w:r>
      <w:r w:rsidR="00B7201B">
        <w:rPr>
          <w:b/>
        </w:rPr>
        <w:t>.</w:t>
      </w:r>
      <w:r w:rsidR="000F46E4">
        <w:rPr>
          <w:b/>
        </w:rPr>
        <w:t xml:space="preserve"> </w:t>
      </w:r>
      <w:r w:rsidR="00B7201B">
        <w:rPr>
          <w:b/>
        </w:rPr>
        <w:t>U podpořených bytů není výše nájemného limitována.</w:t>
      </w:r>
      <w:r w:rsidR="00CA2CF5">
        <w:rPr>
          <w:b/>
        </w:rPr>
        <w:t xml:space="preserve"> </w:t>
      </w:r>
      <w:r w:rsidR="00B21826">
        <w:rPr>
          <w:b/>
        </w:rPr>
        <w:t>K</w:t>
      </w:r>
      <w:r w:rsidR="00B7201B">
        <w:rPr>
          <w:b/>
        </w:rPr>
        <w:t>e zv</w:t>
      </w:r>
      <w:r w:rsidR="00CA2CF5">
        <w:rPr>
          <w:b/>
        </w:rPr>
        <w:t xml:space="preserve">ýšení výnosnosti projektu </w:t>
      </w:r>
      <w:r w:rsidR="00B7201B">
        <w:rPr>
          <w:b/>
        </w:rPr>
        <w:t>pro příjemce podpory</w:t>
      </w:r>
      <w:r w:rsidR="00B21826">
        <w:rPr>
          <w:b/>
        </w:rPr>
        <w:t xml:space="preserve"> tak</w:t>
      </w:r>
      <w:r w:rsidR="00B7201B">
        <w:rPr>
          <w:b/>
        </w:rPr>
        <w:t xml:space="preserve"> dochází za cenu vynaložení</w:t>
      </w:r>
      <w:r w:rsidR="00CA2CF5">
        <w:rPr>
          <w:b/>
        </w:rPr>
        <w:t xml:space="preserve"> </w:t>
      </w:r>
      <w:r w:rsidR="00EC0E51">
        <w:rPr>
          <w:b/>
        </w:rPr>
        <w:t>další</w:t>
      </w:r>
      <w:r w:rsidR="00CA2CF5">
        <w:rPr>
          <w:b/>
        </w:rPr>
        <w:t>ch</w:t>
      </w:r>
      <w:r w:rsidR="00EC0E51">
        <w:rPr>
          <w:b/>
        </w:rPr>
        <w:t xml:space="preserve"> peněžn</w:t>
      </w:r>
      <w:r w:rsidR="00CA2CF5">
        <w:rPr>
          <w:b/>
        </w:rPr>
        <w:t>ích</w:t>
      </w:r>
      <w:r w:rsidR="00EC0E51">
        <w:rPr>
          <w:b/>
        </w:rPr>
        <w:t xml:space="preserve"> prostředk</w:t>
      </w:r>
      <w:r w:rsidR="00CA2CF5">
        <w:rPr>
          <w:b/>
        </w:rPr>
        <w:t>ů</w:t>
      </w:r>
      <w:r w:rsidR="00EC0E51">
        <w:rPr>
          <w:b/>
        </w:rPr>
        <w:t xml:space="preserve"> státu</w:t>
      </w:r>
      <w:r w:rsidR="0008632D">
        <w:rPr>
          <w:b/>
        </w:rPr>
        <w:t>.</w:t>
      </w:r>
      <w:r w:rsidR="00107219">
        <w:rPr>
          <w:b/>
        </w:rPr>
        <w:t xml:space="preserve"> </w:t>
      </w:r>
    </w:p>
    <w:p w14:paraId="1D26A3FC" w14:textId="20BB5654" w:rsidR="00177A6E" w:rsidRPr="00B309C0" w:rsidRDefault="00832FA7" w:rsidP="001E126B">
      <w:pPr>
        <w:pStyle w:val="Nadpis2"/>
        <w:numPr>
          <w:ilvl w:val="0"/>
          <w:numId w:val="0"/>
        </w:numPr>
        <w:ind w:left="576" w:hanging="216"/>
        <w:jc w:val="center"/>
        <w:rPr>
          <w:sz w:val="28"/>
          <w:szCs w:val="28"/>
        </w:rPr>
      </w:pPr>
      <w:r>
        <w:rPr>
          <w:sz w:val="28"/>
          <w:szCs w:val="28"/>
        </w:rPr>
        <w:t>Výše uvedené</w:t>
      </w:r>
      <w:r w:rsidR="00455CD6" w:rsidRPr="00B309C0">
        <w:rPr>
          <w:sz w:val="28"/>
          <w:szCs w:val="28"/>
        </w:rPr>
        <w:t xml:space="preserve"> vyhodnocení vyplýv</w:t>
      </w:r>
      <w:r>
        <w:rPr>
          <w:sz w:val="28"/>
          <w:szCs w:val="28"/>
        </w:rPr>
        <w:t>á</w:t>
      </w:r>
      <w:r w:rsidR="00455CD6" w:rsidRPr="00B309C0">
        <w:rPr>
          <w:sz w:val="28"/>
          <w:szCs w:val="28"/>
        </w:rPr>
        <w:t xml:space="preserve"> z následujících zjištěn</w:t>
      </w:r>
      <w:r>
        <w:rPr>
          <w:sz w:val="28"/>
          <w:szCs w:val="28"/>
        </w:rPr>
        <w:t>í</w:t>
      </w:r>
      <w:r w:rsidR="00455CD6" w:rsidRPr="00B309C0">
        <w:rPr>
          <w:sz w:val="28"/>
          <w:szCs w:val="28"/>
        </w:rPr>
        <w:t>:</w:t>
      </w:r>
    </w:p>
    <w:p w14:paraId="6E6DBA4F" w14:textId="77777777" w:rsidR="00DD442F" w:rsidRPr="002535F1" w:rsidRDefault="00455CD6" w:rsidP="005C3EC9">
      <w:pPr>
        <w:pStyle w:val="Styl1-1"/>
        <w:spacing w:after="120"/>
        <w:ind w:left="426" w:hanging="426"/>
        <w:rPr>
          <w:rFonts w:asciiTheme="minorHAnsi" w:hAnsiTheme="minorHAnsi" w:cstheme="minorHAnsi"/>
          <w:b/>
          <w:sz w:val="24"/>
          <w:szCs w:val="24"/>
        </w:rPr>
      </w:pPr>
      <w:r w:rsidRPr="002535F1">
        <w:rPr>
          <w:rFonts w:asciiTheme="minorHAnsi" w:hAnsiTheme="minorHAnsi" w:cstheme="minorHAnsi"/>
          <w:b/>
          <w:sz w:val="24"/>
          <w:szCs w:val="24"/>
        </w:rPr>
        <w:t>Plnění cílů bytové politiky státu</w:t>
      </w:r>
    </w:p>
    <w:p w14:paraId="029158A5" w14:textId="6295CCDF" w:rsidR="004819C8" w:rsidRPr="00283872" w:rsidRDefault="00455CD6" w:rsidP="00AF6629">
      <w:pPr>
        <w:spacing w:before="60" w:after="120"/>
      </w:pPr>
      <w:r w:rsidRPr="00527D38">
        <w:rPr>
          <w:color w:val="000000"/>
          <w:shd w:val="clear" w:color="auto" w:fill="FFFFFF"/>
        </w:rPr>
        <w:t xml:space="preserve">MMR </w:t>
      </w:r>
      <w:r w:rsidRPr="00527D38">
        <w:t>jako gestor</w:t>
      </w:r>
      <w:r>
        <w:t xml:space="preserve"> </w:t>
      </w:r>
      <w:r w:rsidRPr="00527D38">
        <w:t>bytové politiky státu koordinova</w:t>
      </w:r>
      <w:r w:rsidR="007A6A16">
        <w:t>lo</w:t>
      </w:r>
      <w:r w:rsidRPr="00527D38">
        <w:t xml:space="preserve"> spolupráci</w:t>
      </w:r>
      <w:r w:rsidR="007A6A16">
        <w:t xml:space="preserve"> </w:t>
      </w:r>
      <w:r w:rsidRPr="00527D38">
        <w:t>s dalšími resorty a subjekty,</w:t>
      </w:r>
      <w:r>
        <w:t xml:space="preserve"> </w:t>
      </w:r>
      <w:r w:rsidR="00832FA7">
        <w:br/>
      </w:r>
      <w:r>
        <w:t>a to zejména v</w:t>
      </w:r>
      <w:r w:rsidR="00832FA7">
        <w:t xml:space="preserve"> </w:t>
      </w:r>
      <w:r>
        <w:t>oblasti legislativně právní a analytické</w:t>
      </w:r>
      <w:r w:rsidR="007A6A16">
        <w:t>. N</w:t>
      </w:r>
      <w:r w:rsidR="00440EC5">
        <w:t xml:space="preserve">ebylo úspěšné </w:t>
      </w:r>
      <w:r w:rsidR="00283872" w:rsidRPr="00283872">
        <w:t>v</w:t>
      </w:r>
      <w:r w:rsidR="00832FA7">
        <w:t xml:space="preserve"> </w:t>
      </w:r>
      <w:r w:rsidR="001B7F70">
        <w:t xml:space="preserve">řešení </w:t>
      </w:r>
      <w:r w:rsidRPr="00283872">
        <w:t>základních a</w:t>
      </w:r>
      <w:r w:rsidR="00832FA7">
        <w:t> </w:t>
      </w:r>
      <w:r w:rsidRPr="00283872">
        <w:t>dlouhodobě se opakujících problém</w:t>
      </w:r>
      <w:r w:rsidR="002500E3">
        <w:t>ů</w:t>
      </w:r>
      <w:r w:rsidR="00440EC5">
        <w:t>:</w:t>
      </w:r>
    </w:p>
    <w:p w14:paraId="1D0273CE" w14:textId="0A75EA38" w:rsidR="008B4994" w:rsidRDefault="00455CD6" w:rsidP="008210E2">
      <w:pPr>
        <w:pStyle w:val="KP-normlnbezodsazen"/>
        <w:numPr>
          <w:ilvl w:val="1"/>
          <w:numId w:val="18"/>
        </w:numPr>
        <w:spacing w:after="120"/>
        <w:ind w:left="709" w:hanging="425"/>
      </w:pPr>
      <w:r w:rsidRPr="004D4440">
        <w:rPr>
          <w:shd w:val="clear" w:color="auto" w:fill="FFFFFF"/>
        </w:rPr>
        <w:t>Neexistují</w:t>
      </w:r>
      <w:r w:rsidR="004819C8" w:rsidRPr="004D4440">
        <w:rPr>
          <w:shd w:val="clear" w:color="auto" w:fill="FFFFFF"/>
        </w:rPr>
        <w:t xml:space="preserve"> </w:t>
      </w:r>
      <w:r w:rsidR="00AA201A" w:rsidRPr="004D4440">
        <w:rPr>
          <w:shd w:val="clear" w:color="auto" w:fill="FFFFFF"/>
        </w:rPr>
        <w:t xml:space="preserve">komplexní </w:t>
      </w:r>
      <w:r w:rsidR="004819C8" w:rsidRPr="004D4440">
        <w:rPr>
          <w:shd w:val="clear" w:color="auto" w:fill="FFFFFF"/>
        </w:rPr>
        <w:t>informace</w:t>
      </w:r>
      <w:r w:rsidR="00AA201A" w:rsidRPr="004D4440">
        <w:rPr>
          <w:shd w:val="clear" w:color="auto" w:fill="FFFFFF"/>
        </w:rPr>
        <w:t xml:space="preserve"> z oblasti politiky bydlení vč.</w:t>
      </w:r>
      <w:r w:rsidR="004819C8" w:rsidRPr="004D4440">
        <w:rPr>
          <w:shd w:val="clear" w:color="auto" w:fill="FFFFFF"/>
        </w:rPr>
        <w:t xml:space="preserve"> </w:t>
      </w:r>
      <w:r w:rsidR="00AA201A" w:rsidRPr="004D4440">
        <w:rPr>
          <w:shd w:val="clear" w:color="auto" w:fill="FFFFFF"/>
        </w:rPr>
        <w:t xml:space="preserve">sběru, </w:t>
      </w:r>
      <w:r w:rsidR="004819C8" w:rsidRPr="004D4440">
        <w:rPr>
          <w:shd w:val="clear" w:color="auto" w:fill="FFFFFF"/>
        </w:rPr>
        <w:t>výzkum</w:t>
      </w:r>
      <w:r w:rsidR="00AA201A" w:rsidRPr="004D4440">
        <w:rPr>
          <w:shd w:val="clear" w:color="auto" w:fill="FFFFFF"/>
        </w:rPr>
        <w:t>u</w:t>
      </w:r>
      <w:r w:rsidR="00AA201A" w:rsidRPr="004D4440">
        <w:rPr>
          <w:shd w:val="clear" w:color="auto" w:fill="FFFFFF"/>
        </w:rPr>
        <w:br/>
      </w:r>
      <w:r w:rsidR="00440EC5" w:rsidRPr="004D4440">
        <w:rPr>
          <w:shd w:val="clear" w:color="auto" w:fill="FFFFFF"/>
        </w:rPr>
        <w:t>a vyhodnocování dat z</w:t>
      </w:r>
      <w:r w:rsidR="00832FA7">
        <w:rPr>
          <w:shd w:val="clear" w:color="auto" w:fill="FFFFFF"/>
        </w:rPr>
        <w:t xml:space="preserve"> </w:t>
      </w:r>
      <w:r w:rsidR="00440EC5" w:rsidRPr="004D4440">
        <w:rPr>
          <w:shd w:val="clear" w:color="auto" w:fill="FFFFFF"/>
        </w:rPr>
        <w:t xml:space="preserve">jiných resortů, institucí a nestátních neziskových organizací. </w:t>
      </w:r>
      <w:r w:rsidR="00380DF3">
        <w:t>U</w:t>
      </w:r>
      <w:r w:rsidR="00832FA7">
        <w:t> </w:t>
      </w:r>
      <w:r w:rsidR="00380DF3" w:rsidRPr="00380DF3">
        <w:t>projektů z program</w:t>
      </w:r>
      <w:r w:rsidR="00F614E7">
        <w:t>u</w:t>
      </w:r>
      <w:r w:rsidR="00380DF3" w:rsidRPr="00380DF3">
        <w:t xml:space="preserve"> </w:t>
      </w:r>
      <w:r w:rsidR="00380DF3" w:rsidRPr="00380DF3">
        <w:rPr>
          <w:i/>
        </w:rPr>
        <w:t>Podpora bydlení</w:t>
      </w:r>
      <w:r w:rsidR="00380DF3">
        <w:t xml:space="preserve"> spravovaného MMR a projektů z</w:t>
      </w:r>
      <w:r w:rsidR="00832FA7">
        <w:t xml:space="preserve"> </w:t>
      </w:r>
      <w:r w:rsidR="00380DF3">
        <w:t>program</w:t>
      </w:r>
      <w:r w:rsidR="00832FA7">
        <w:t>ů</w:t>
      </w:r>
      <w:r w:rsidR="00380DF3">
        <w:t xml:space="preserve"> </w:t>
      </w:r>
      <w:r w:rsidR="00380DF3" w:rsidRPr="00380DF3">
        <w:rPr>
          <w:i/>
        </w:rPr>
        <w:t>Výstavba pro obce</w:t>
      </w:r>
      <w:r w:rsidR="00380DF3" w:rsidRPr="00380DF3">
        <w:t xml:space="preserve"> a </w:t>
      </w:r>
      <w:r w:rsidR="00380DF3" w:rsidRPr="00380DF3">
        <w:rPr>
          <w:i/>
        </w:rPr>
        <w:t>Nájemní byty</w:t>
      </w:r>
      <w:r w:rsidR="00380DF3" w:rsidRPr="00380DF3">
        <w:t xml:space="preserve"> </w:t>
      </w:r>
      <w:r w:rsidR="00380DF3">
        <w:t xml:space="preserve">spravovaných SFPI poskytovatelé </w:t>
      </w:r>
      <w:r w:rsidR="00380DF3" w:rsidRPr="00380DF3">
        <w:t>nedisponují přehledem o skutečné obsazenosti sociálních a nájemních bytů</w:t>
      </w:r>
      <w:r w:rsidR="00380DF3">
        <w:t xml:space="preserve">. </w:t>
      </w:r>
      <w:r w:rsidR="00380DF3" w:rsidRPr="00380DF3">
        <w:t xml:space="preserve">Absenci průběžného monitoringu a vyhodnocování obsazenosti bytů osobami/domácnostmi z cílových skupin považuje </w:t>
      </w:r>
      <w:r w:rsidR="00832FA7" w:rsidRPr="00380DF3">
        <w:t xml:space="preserve">NKÚ </w:t>
      </w:r>
      <w:r w:rsidR="00380DF3" w:rsidRPr="00380DF3">
        <w:t>za zásadní nedostatek.</w:t>
      </w:r>
    </w:p>
    <w:p w14:paraId="68A729B4" w14:textId="5BB49EB3" w:rsidR="00787C12" w:rsidRPr="004D4440" w:rsidRDefault="00787C12" w:rsidP="008210E2">
      <w:pPr>
        <w:pStyle w:val="KP-normlnbezodsazen"/>
        <w:numPr>
          <w:ilvl w:val="1"/>
          <w:numId w:val="18"/>
        </w:numPr>
        <w:spacing w:after="120"/>
        <w:ind w:left="709" w:hanging="425"/>
      </w:pPr>
      <w:bookmarkStart w:id="1" w:name="_Hlk151462603"/>
      <w:r w:rsidRPr="008C519A">
        <w:rPr>
          <w:shd w:val="clear" w:color="auto" w:fill="FFFFFF"/>
        </w:rPr>
        <w:t>V oblasti podpory bydlení stále chybí odpovídající legislativní úprava</w:t>
      </w:r>
      <w:bookmarkEnd w:id="1"/>
      <w:r w:rsidRPr="008C519A">
        <w:rPr>
          <w:shd w:val="clear" w:color="auto" w:fill="FFFFFF"/>
        </w:rPr>
        <w:t>. Za dobu</w:t>
      </w:r>
      <w:r w:rsidRPr="004D4440">
        <w:rPr>
          <w:shd w:val="clear" w:color="auto" w:fill="FFFFFF"/>
        </w:rPr>
        <w:t xml:space="preserve"> neexistence zákon</w:t>
      </w:r>
      <w:r>
        <w:rPr>
          <w:shd w:val="clear" w:color="auto" w:fill="FFFFFF"/>
        </w:rPr>
        <w:t>né úpravy</w:t>
      </w:r>
      <w:r w:rsidRPr="004D4440">
        <w:rPr>
          <w:shd w:val="clear" w:color="auto" w:fill="FFFFFF"/>
        </w:rPr>
        <w:t xml:space="preserve"> narostl počet domácností s nárokem na příspěvek na bydlení v souvislosti s postupnou deregulací nájemného a</w:t>
      </w:r>
      <w:r>
        <w:rPr>
          <w:shd w:val="clear" w:color="auto" w:fill="FFFFFF"/>
        </w:rPr>
        <w:t xml:space="preserve"> </w:t>
      </w:r>
      <w:r w:rsidRPr="004D4440">
        <w:rPr>
          <w:shd w:val="clear" w:color="auto" w:fill="FFFFFF"/>
        </w:rPr>
        <w:t xml:space="preserve">zněkolikanásobil se i počet příjemců doplatků na bydlení v jiných prostorech, než jsou byty (např. na ubytovnách). MMR a </w:t>
      </w:r>
      <w:r>
        <w:rPr>
          <w:shd w:val="clear" w:color="auto" w:fill="FFFFFF"/>
        </w:rPr>
        <w:t>Ministerstvo práce a sociálních věcí (dále též „</w:t>
      </w:r>
      <w:r w:rsidRPr="004D4440">
        <w:rPr>
          <w:shd w:val="clear" w:color="auto" w:fill="FFFFFF"/>
        </w:rPr>
        <w:t>MPSV</w:t>
      </w:r>
      <w:r>
        <w:rPr>
          <w:shd w:val="clear" w:color="auto" w:fill="FFFFFF"/>
        </w:rPr>
        <w:t>“)</w:t>
      </w:r>
      <w:r w:rsidRPr="004D4440">
        <w:rPr>
          <w:shd w:val="clear" w:color="auto" w:fill="FFFFFF"/>
        </w:rPr>
        <w:t xml:space="preserve"> zpracoval</w:t>
      </w:r>
      <w:r>
        <w:rPr>
          <w:shd w:val="clear" w:color="auto" w:fill="FFFFFF"/>
        </w:rPr>
        <w:t>y</w:t>
      </w:r>
      <w:r w:rsidRPr="004D4440">
        <w:rPr>
          <w:shd w:val="clear" w:color="auto" w:fill="FFFFFF"/>
        </w:rPr>
        <w:t xml:space="preserve"> </w:t>
      </w:r>
      <w:r>
        <w:rPr>
          <w:shd w:val="clear" w:color="auto" w:fill="FFFFFF"/>
        </w:rPr>
        <w:t>v roce 2023</w:t>
      </w:r>
      <w:r w:rsidRPr="004D4440">
        <w:rPr>
          <w:shd w:val="clear" w:color="auto" w:fill="FFFFFF"/>
        </w:rPr>
        <w:t xml:space="preserve"> návrh zákona o </w:t>
      </w:r>
      <w:r>
        <w:rPr>
          <w:shd w:val="clear" w:color="auto" w:fill="FFFFFF"/>
        </w:rPr>
        <w:t>podpoře</w:t>
      </w:r>
      <w:r w:rsidRPr="004D4440">
        <w:rPr>
          <w:shd w:val="clear" w:color="auto" w:fill="FFFFFF"/>
        </w:rPr>
        <w:t xml:space="preserve"> v bydlení a předpokládají jeho přijetí v</w:t>
      </w:r>
      <w:r>
        <w:rPr>
          <w:shd w:val="clear" w:color="auto" w:fill="FFFFFF"/>
        </w:rPr>
        <w:t> </w:t>
      </w:r>
      <w:r w:rsidRPr="004D4440">
        <w:rPr>
          <w:shd w:val="clear" w:color="auto" w:fill="FFFFFF"/>
        </w:rPr>
        <w:t>roce 2024, s</w:t>
      </w:r>
      <w:r>
        <w:rPr>
          <w:shd w:val="clear" w:color="auto" w:fill="FFFFFF"/>
        </w:rPr>
        <w:t> </w:t>
      </w:r>
      <w:r w:rsidRPr="004D4440">
        <w:rPr>
          <w:shd w:val="clear" w:color="auto" w:fill="FFFFFF"/>
        </w:rPr>
        <w:t xml:space="preserve">účinností od </w:t>
      </w:r>
      <w:r>
        <w:rPr>
          <w:shd w:val="clear" w:color="auto" w:fill="FFFFFF"/>
        </w:rPr>
        <w:t xml:space="preserve">druhé poloviny </w:t>
      </w:r>
      <w:r w:rsidRPr="004D4440">
        <w:rPr>
          <w:shd w:val="clear" w:color="auto" w:fill="FFFFFF"/>
        </w:rPr>
        <w:t>roku 2025.</w:t>
      </w:r>
    </w:p>
    <w:p w14:paraId="6023DCA8" w14:textId="6F97EAF0" w:rsidR="005C3EC9" w:rsidRDefault="005C3EC9">
      <w:pPr>
        <w:pStyle w:val="Styl1-a"/>
        <w:numPr>
          <w:ilvl w:val="1"/>
          <w:numId w:val="18"/>
        </w:numPr>
        <w:spacing w:after="120"/>
        <w:ind w:left="709" w:hanging="425"/>
        <w:contextualSpacing/>
        <w:rPr>
          <w:rFonts w:asciiTheme="minorHAnsi" w:hAnsiTheme="minorHAnsi"/>
          <w:sz w:val="24"/>
          <w:szCs w:val="24"/>
        </w:rPr>
      </w:pPr>
      <w:r>
        <w:rPr>
          <w:rFonts w:asciiTheme="minorHAnsi" w:hAnsiTheme="minorHAnsi"/>
          <w:sz w:val="24"/>
          <w:szCs w:val="24"/>
        </w:rPr>
        <w:t>MMR o</w:t>
      </w:r>
      <w:r w:rsidRPr="00E9734A">
        <w:rPr>
          <w:rFonts w:asciiTheme="minorHAnsi" w:hAnsiTheme="minorHAnsi"/>
          <w:sz w:val="24"/>
          <w:szCs w:val="24"/>
        </w:rPr>
        <w:t>patření v oblasti bydlení ne</w:t>
      </w:r>
      <w:r>
        <w:rPr>
          <w:rFonts w:asciiTheme="minorHAnsi" w:hAnsiTheme="minorHAnsi"/>
          <w:sz w:val="24"/>
          <w:szCs w:val="24"/>
        </w:rPr>
        <w:t>dostatečně</w:t>
      </w:r>
      <w:r w:rsidRPr="00E9734A">
        <w:rPr>
          <w:rFonts w:asciiTheme="minorHAnsi" w:hAnsiTheme="minorHAnsi"/>
          <w:sz w:val="24"/>
          <w:szCs w:val="24"/>
        </w:rPr>
        <w:t xml:space="preserve"> koordinova</w:t>
      </w:r>
      <w:r>
        <w:rPr>
          <w:rFonts w:asciiTheme="minorHAnsi" w:hAnsiTheme="minorHAnsi"/>
          <w:sz w:val="24"/>
          <w:szCs w:val="24"/>
        </w:rPr>
        <w:t>lo. N</w:t>
      </w:r>
      <w:r w:rsidRPr="00E9734A">
        <w:rPr>
          <w:rFonts w:asciiTheme="minorHAnsi" w:hAnsiTheme="minorHAnsi"/>
          <w:sz w:val="24"/>
          <w:szCs w:val="24"/>
        </w:rPr>
        <w:t>a stejnou skupinu</w:t>
      </w:r>
      <w:r>
        <w:rPr>
          <w:rFonts w:asciiTheme="minorHAnsi" w:hAnsiTheme="minorHAnsi"/>
          <w:sz w:val="24"/>
          <w:szCs w:val="24"/>
        </w:rPr>
        <w:t xml:space="preserve"> tak</w:t>
      </w:r>
      <w:r w:rsidRPr="00E9734A">
        <w:rPr>
          <w:rFonts w:asciiTheme="minorHAnsi" w:hAnsiTheme="minorHAnsi"/>
          <w:sz w:val="24"/>
          <w:szCs w:val="24"/>
        </w:rPr>
        <w:t xml:space="preserve"> </w:t>
      </w:r>
      <w:r>
        <w:rPr>
          <w:rFonts w:asciiTheme="minorHAnsi" w:hAnsiTheme="minorHAnsi"/>
          <w:sz w:val="24"/>
          <w:szCs w:val="24"/>
        </w:rPr>
        <w:t>byly zacíleny</w:t>
      </w:r>
      <w:r w:rsidRPr="00E9734A">
        <w:rPr>
          <w:rFonts w:asciiTheme="minorHAnsi" w:hAnsiTheme="minorHAnsi"/>
          <w:sz w:val="24"/>
          <w:szCs w:val="24"/>
        </w:rPr>
        <w:t xml:space="preserve"> o</w:t>
      </w:r>
      <w:r>
        <w:rPr>
          <w:rFonts w:asciiTheme="minorHAnsi" w:hAnsiTheme="minorHAnsi"/>
          <w:sz w:val="24"/>
          <w:szCs w:val="24"/>
        </w:rPr>
        <w:t>b</w:t>
      </w:r>
      <w:r w:rsidRPr="00E9734A">
        <w:rPr>
          <w:rFonts w:asciiTheme="minorHAnsi" w:hAnsiTheme="minorHAnsi"/>
          <w:sz w:val="24"/>
          <w:szCs w:val="24"/>
        </w:rPr>
        <w:t xml:space="preserve">dobné intervence. Například </w:t>
      </w:r>
      <w:r>
        <w:rPr>
          <w:rFonts w:asciiTheme="minorHAnsi" w:hAnsiTheme="minorHAnsi"/>
          <w:sz w:val="24"/>
          <w:szCs w:val="24"/>
        </w:rPr>
        <w:t xml:space="preserve">podpora </w:t>
      </w:r>
      <w:r w:rsidRPr="00E9734A">
        <w:rPr>
          <w:rFonts w:asciiTheme="minorHAnsi" w:hAnsiTheme="minorHAnsi"/>
          <w:sz w:val="24"/>
          <w:szCs w:val="24"/>
        </w:rPr>
        <w:t xml:space="preserve">snížení energetické </w:t>
      </w:r>
      <w:r w:rsidRPr="00E32382">
        <w:rPr>
          <w:rFonts w:asciiTheme="minorHAnsi" w:hAnsiTheme="minorHAnsi"/>
          <w:sz w:val="24"/>
          <w:szCs w:val="24"/>
        </w:rPr>
        <w:t xml:space="preserve">náročnosti budov byla zacílena na majitele </w:t>
      </w:r>
      <w:r w:rsidRPr="00E32382">
        <w:rPr>
          <w:rFonts w:asciiTheme="minorHAnsi" w:hAnsiTheme="minorHAnsi" w:cstheme="minorHAnsi"/>
          <w:sz w:val="24"/>
          <w:szCs w:val="24"/>
        </w:rPr>
        <w:t>budov určených k bydlení</w:t>
      </w:r>
      <w:r w:rsidRPr="00E32382">
        <w:rPr>
          <w:rFonts w:asciiTheme="minorHAnsi" w:hAnsiTheme="minorHAnsi"/>
          <w:sz w:val="24"/>
          <w:szCs w:val="24"/>
        </w:rPr>
        <w:t xml:space="preserve">, </w:t>
      </w:r>
      <w:r w:rsidRPr="00E32382">
        <w:rPr>
          <w:rFonts w:asciiTheme="minorHAnsi" w:hAnsiTheme="minorHAnsi" w:cstheme="minorHAnsi"/>
          <w:sz w:val="24"/>
          <w:szCs w:val="24"/>
        </w:rPr>
        <w:t xml:space="preserve">částečně </w:t>
      </w:r>
      <w:r w:rsidRPr="00E32382">
        <w:rPr>
          <w:rFonts w:asciiTheme="minorHAnsi" w:hAnsiTheme="minorHAnsi"/>
          <w:sz w:val="24"/>
          <w:szCs w:val="24"/>
        </w:rPr>
        <w:t xml:space="preserve">se </w:t>
      </w:r>
      <w:r>
        <w:rPr>
          <w:rFonts w:asciiTheme="minorHAnsi" w:hAnsiTheme="minorHAnsi"/>
          <w:sz w:val="24"/>
          <w:szCs w:val="24"/>
        </w:rPr>
        <w:t xml:space="preserve">však </w:t>
      </w:r>
      <w:r w:rsidRPr="00E32382">
        <w:rPr>
          <w:rFonts w:asciiTheme="minorHAnsi" w:hAnsiTheme="minorHAnsi" w:cstheme="minorHAnsi"/>
          <w:sz w:val="24"/>
          <w:szCs w:val="24"/>
        </w:rPr>
        <w:t>překrýv</w:t>
      </w:r>
      <w:r>
        <w:rPr>
          <w:rFonts w:asciiTheme="minorHAnsi" w:hAnsiTheme="minorHAnsi" w:cstheme="minorHAnsi"/>
          <w:sz w:val="24"/>
          <w:szCs w:val="24"/>
        </w:rPr>
        <w:t>ala</w:t>
      </w:r>
      <w:r w:rsidRPr="00E32382">
        <w:rPr>
          <w:rFonts w:asciiTheme="minorHAnsi" w:hAnsiTheme="minorHAnsi" w:cstheme="minorHAnsi"/>
          <w:sz w:val="24"/>
          <w:szCs w:val="24"/>
        </w:rPr>
        <w:t xml:space="preserve"> </w:t>
      </w:r>
      <w:r>
        <w:rPr>
          <w:rFonts w:asciiTheme="minorHAnsi" w:hAnsiTheme="minorHAnsi" w:cstheme="minorHAnsi"/>
          <w:sz w:val="24"/>
          <w:szCs w:val="24"/>
        </w:rPr>
        <w:t>s jinými programy</w:t>
      </w:r>
      <w:r w:rsidR="00787C12">
        <w:rPr>
          <w:rStyle w:val="Znakapoznpodarou"/>
          <w:rFonts w:asciiTheme="minorHAnsi" w:hAnsiTheme="minorHAnsi"/>
          <w:sz w:val="24"/>
          <w:szCs w:val="24"/>
        </w:rPr>
        <w:footnoteReference w:id="9"/>
      </w:r>
      <w:r w:rsidR="00787C12" w:rsidRPr="003D55FC">
        <w:rPr>
          <w:rFonts w:asciiTheme="minorHAnsi" w:hAnsiTheme="minorHAnsi" w:cstheme="minorHAnsi"/>
          <w:sz w:val="24"/>
          <w:szCs w:val="24"/>
        </w:rPr>
        <w:t xml:space="preserve">, </w:t>
      </w:r>
      <w:r w:rsidR="00787C12" w:rsidRPr="000F46E4">
        <w:rPr>
          <w:rFonts w:asciiTheme="minorHAnsi" w:hAnsiTheme="minorHAnsi" w:cstheme="minorHAnsi"/>
          <w:sz w:val="24"/>
          <w:szCs w:val="24"/>
        </w:rPr>
        <w:t>což ve svém důsledku způsob</w:t>
      </w:r>
      <w:r w:rsidR="00787C12">
        <w:rPr>
          <w:rFonts w:asciiTheme="minorHAnsi" w:hAnsiTheme="minorHAnsi" w:cstheme="minorHAnsi"/>
          <w:sz w:val="24"/>
          <w:szCs w:val="24"/>
        </w:rPr>
        <w:t>ilo</w:t>
      </w:r>
      <w:r w:rsidR="00787C12" w:rsidRPr="000F46E4">
        <w:rPr>
          <w:rFonts w:asciiTheme="minorHAnsi" w:hAnsiTheme="minorHAnsi" w:cstheme="minorHAnsi"/>
          <w:sz w:val="24"/>
          <w:szCs w:val="24"/>
        </w:rPr>
        <w:t xml:space="preserve"> zvýšené výdaje na správu </w:t>
      </w:r>
      <w:r w:rsidR="00787C12" w:rsidRPr="003D55FC">
        <w:rPr>
          <w:rFonts w:asciiTheme="minorHAnsi" w:hAnsiTheme="minorHAnsi" w:cstheme="minorHAnsi"/>
          <w:sz w:val="24"/>
          <w:szCs w:val="24"/>
        </w:rPr>
        <w:t>dotačních</w:t>
      </w:r>
      <w:r w:rsidR="00787C12" w:rsidRPr="000F46E4">
        <w:rPr>
          <w:rFonts w:asciiTheme="minorHAnsi" w:hAnsiTheme="minorHAnsi" w:cstheme="minorHAnsi"/>
          <w:sz w:val="24"/>
          <w:szCs w:val="24"/>
        </w:rPr>
        <w:t xml:space="preserve"> prostředk</w:t>
      </w:r>
      <w:r w:rsidR="00787C12">
        <w:rPr>
          <w:rFonts w:asciiTheme="minorHAnsi" w:hAnsiTheme="minorHAnsi" w:cstheme="minorHAnsi"/>
          <w:sz w:val="24"/>
          <w:szCs w:val="24"/>
        </w:rPr>
        <w:t>ů</w:t>
      </w:r>
    </w:p>
    <w:p w14:paraId="5E546DEB" w14:textId="6D18A046" w:rsidR="002531EE" w:rsidRPr="003E7CA4" w:rsidRDefault="00455CD6" w:rsidP="005C3EC9">
      <w:pPr>
        <w:pStyle w:val="KP-normlnbezodsazen"/>
        <w:numPr>
          <w:ilvl w:val="1"/>
          <w:numId w:val="18"/>
        </w:numPr>
        <w:spacing w:after="120"/>
        <w:ind w:left="709" w:hanging="425"/>
      </w:pPr>
      <w:r w:rsidRPr="004D4440">
        <w:rPr>
          <w:bCs/>
          <w:shd w:val="clear" w:color="auto" w:fill="FFFFFF"/>
        </w:rPr>
        <w:lastRenderedPageBreak/>
        <w:t xml:space="preserve">Při kontrole 25 projektů u 24 příjemců podpory </w:t>
      </w:r>
      <w:r w:rsidR="008230C6" w:rsidRPr="004D4440">
        <w:rPr>
          <w:bCs/>
          <w:shd w:val="clear" w:color="auto" w:fill="FFFFFF"/>
        </w:rPr>
        <w:t>vyhodnoti</w:t>
      </w:r>
      <w:r w:rsidRPr="004D4440">
        <w:rPr>
          <w:bCs/>
          <w:shd w:val="clear" w:color="auto" w:fill="FFFFFF"/>
        </w:rPr>
        <w:t xml:space="preserve">l </w:t>
      </w:r>
      <w:r w:rsidR="00751355" w:rsidRPr="004D4440">
        <w:rPr>
          <w:bCs/>
          <w:shd w:val="clear" w:color="auto" w:fill="FFFFFF"/>
        </w:rPr>
        <w:t xml:space="preserve">NKÚ </w:t>
      </w:r>
      <w:r w:rsidRPr="004D4440">
        <w:rPr>
          <w:bCs/>
          <w:shd w:val="clear" w:color="auto" w:fill="FFFFFF"/>
        </w:rPr>
        <w:t>zjištěné nedostatky</w:t>
      </w:r>
      <w:r w:rsidR="00A2005F" w:rsidRPr="004D4440">
        <w:rPr>
          <w:bCs/>
          <w:shd w:val="clear" w:color="auto" w:fill="FFFFFF"/>
        </w:rPr>
        <w:t xml:space="preserve"> </w:t>
      </w:r>
      <w:r w:rsidR="004C3C24">
        <w:rPr>
          <w:bCs/>
          <w:shd w:val="clear" w:color="auto" w:fill="FFFFFF"/>
        </w:rPr>
        <w:br/>
      </w:r>
      <w:r w:rsidR="00A2005F" w:rsidRPr="004D4440">
        <w:rPr>
          <w:bCs/>
          <w:shd w:val="clear" w:color="auto" w:fill="FFFFFF"/>
        </w:rPr>
        <w:t>z</w:t>
      </w:r>
      <w:r w:rsidR="004C3C24">
        <w:rPr>
          <w:bCs/>
          <w:shd w:val="clear" w:color="auto" w:fill="FFFFFF"/>
        </w:rPr>
        <w:t xml:space="preserve"> </w:t>
      </w:r>
      <w:r w:rsidR="00A2005F" w:rsidRPr="004D4440">
        <w:rPr>
          <w:bCs/>
          <w:shd w:val="clear" w:color="auto" w:fill="FFFFFF"/>
        </w:rPr>
        <w:t>hlediska účelnosti a hospodárnosti</w:t>
      </w:r>
      <w:r w:rsidRPr="004D4440">
        <w:rPr>
          <w:bCs/>
          <w:shd w:val="clear" w:color="auto" w:fill="FFFFFF"/>
        </w:rPr>
        <w:t>. Dodržování lhůt při</w:t>
      </w:r>
      <w:r w:rsidR="00751355">
        <w:rPr>
          <w:bCs/>
          <w:shd w:val="clear" w:color="auto" w:fill="FFFFFF"/>
        </w:rPr>
        <w:t xml:space="preserve"> </w:t>
      </w:r>
      <w:r w:rsidRPr="004D4440">
        <w:rPr>
          <w:bCs/>
          <w:shd w:val="clear" w:color="auto" w:fill="FFFFFF"/>
        </w:rPr>
        <w:t>obsazování</w:t>
      </w:r>
      <w:r w:rsidR="00064045" w:rsidRPr="004D4440">
        <w:rPr>
          <w:bCs/>
          <w:shd w:val="clear" w:color="auto" w:fill="FFFFFF"/>
        </w:rPr>
        <w:t>,</w:t>
      </w:r>
      <w:r w:rsidR="00974907" w:rsidRPr="004D4440">
        <w:rPr>
          <w:bCs/>
          <w:shd w:val="clear" w:color="auto" w:fill="FFFFFF"/>
        </w:rPr>
        <w:t xml:space="preserve"> </w:t>
      </w:r>
      <w:r w:rsidRPr="004D4440">
        <w:rPr>
          <w:bCs/>
          <w:shd w:val="clear" w:color="auto" w:fill="FFFFFF"/>
        </w:rPr>
        <w:t>resp.</w:t>
      </w:r>
      <w:r w:rsidR="00974907" w:rsidRPr="004D4440">
        <w:rPr>
          <w:bCs/>
          <w:shd w:val="clear" w:color="auto" w:fill="FFFFFF"/>
        </w:rPr>
        <w:t xml:space="preserve"> </w:t>
      </w:r>
      <w:r w:rsidR="00064045" w:rsidRPr="004D4440">
        <w:rPr>
          <w:bCs/>
          <w:shd w:val="clear" w:color="auto" w:fill="FFFFFF"/>
        </w:rPr>
        <w:t xml:space="preserve">opakovaném </w:t>
      </w:r>
      <w:r w:rsidRPr="004D4440">
        <w:rPr>
          <w:bCs/>
          <w:shd w:val="clear" w:color="auto" w:fill="FFFFFF"/>
        </w:rPr>
        <w:t>obsazování podpořených bytů</w:t>
      </w:r>
      <w:r w:rsidR="00974907" w:rsidRPr="004D4440">
        <w:rPr>
          <w:bCs/>
          <w:shd w:val="clear" w:color="auto" w:fill="FFFFFF"/>
        </w:rPr>
        <w:t xml:space="preserve"> neodpovídalo </w:t>
      </w:r>
      <w:r w:rsidR="00751355">
        <w:rPr>
          <w:bCs/>
          <w:shd w:val="clear" w:color="auto" w:fill="FFFFFF"/>
        </w:rPr>
        <w:t xml:space="preserve">v některých případech </w:t>
      </w:r>
      <w:r w:rsidR="00974907" w:rsidRPr="004D4440">
        <w:rPr>
          <w:bCs/>
          <w:shd w:val="clear" w:color="auto" w:fill="FFFFFF"/>
        </w:rPr>
        <w:t xml:space="preserve">podmínkám pro poskytnutí podpory. </w:t>
      </w:r>
      <w:r w:rsidR="00592E2A">
        <w:rPr>
          <w:bCs/>
          <w:shd w:val="clear" w:color="auto" w:fill="FFFFFF"/>
        </w:rPr>
        <w:t xml:space="preserve">Dále byly zjištěny některé nedostatky, které však neměly vliv </w:t>
      </w:r>
      <w:r w:rsidRPr="004D4440">
        <w:rPr>
          <w:bCs/>
          <w:shd w:val="clear" w:color="auto" w:fill="FFFFFF"/>
        </w:rPr>
        <w:t xml:space="preserve">na </w:t>
      </w:r>
      <w:r w:rsidR="00E22E81" w:rsidRPr="004D4440">
        <w:rPr>
          <w:bCs/>
          <w:shd w:val="clear" w:color="auto" w:fill="FFFFFF"/>
        </w:rPr>
        <w:t>účelnost a</w:t>
      </w:r>
      <w:r w:rsidR="00265851" w:rsidRPr="004D4440">
        <w:rPr>
          <w:bCs/>
          <w:shd w:val="clear" w:color="auto" w:fill="FFFFFF"/>
        </w:rPr>
        <w:t> </w:t>
      </w:r>
      <w:r w:rsidR="00E22E81" w:rsidRPr="004D4440">
        <w:rPr>
          <w:bCs/>
          <w:shd w:val="clear" w:color="auto" w:fill="FFFFFF"/>
        </w:rPr>
        <w:t>hospodárnost vyna</w:t>
      </w:r>
      <w:r w:rsidR="00592E2A">
        <w:rPr>
          <w:bCs/>
          <w:shd w:val="clear" w:color="auto" w:fill="FFFFFF"/>
        </w:rPr>
        <w:t xml:space="preserve">ložených </w:t>
      </w:r>
      <w:r w:rsidR="00E22E81" w:rsidRPr="004D4440">
        <w:rPr>
          <w:bCs/>
          <w:shd w:val="clear" w:color="auto" w:fill="FFFFFF"/>
        </w:rPr>
        <w:t>peněžních prostředků</w:t>
      </w:r>
      <w:r w:rsidRPr="004D4440">
        <w:rPr>
          <w:bCs/>
          <w:shd w:val="clear" w:color="auto" w:fill="FFFFFF"/>
        </w:rPr>
        <w:t>.</w:t>
      </w:r>
    </w:p>
    <w:p w14:paraId="6809C256" w14:textId="77777777" w:rsidR="0093790E" w:rsidRPr="00823A5E" w:rsidRDefault="00ED1A2D" w:rsidP="008210E2">
      <w:pPr>
        <w:pStyle w:val="Styl1-1"/>
        <w:spacing w:before="0" w:after="120"/>
        <w:ind w:left="426" w:hanging="426"/>
        <w:rPr>
          <w:rFonts w:asciiTheme="minorHAnsi" w:hAnsiTheme="minorHAnsi" w:cstheme="minorHAnsi"/>
          <w:b/>
          <w:sz w:val="24"/>
          <w:szCs w:val="24"/>
        </w:rPr>
      </w:pPr>
      <w:r w:rsidRPr="00823A5E">
        <w:rPr>
          <w:rFonts w:asciiTheme="minorHAnsi" w:hAnsiTheme="minorHAnsi" w:cstheme="minorHAnsi"/>
          <w:b/>
          <w:sz w:val="24"/>
          <w:szCs w:val="24"/>
        </w:rPr>
        <w:t>Monitorování a vyhodnocování plnění cílů</w:t>
      </w:r>
      <w:r w:rsidR="00EC73F2">
        <w:rPr>
          <w:rFonts w:asciiTheme="minorHAnsi" w:hAnsiTheme="minorHAnsi" w:cstheme="minorHAnsi"/>
          <w:b/>
          <w:sz w:val="24"/>
          <w:szCs w:val="24"/>
        </w:rPr>
        <w:t xml:space="preserve"> bytové politiky státu</w:t>
      </w:r>
    </w:p>
    <w:p w14:paraId="597141A5" w14:textId="080E554A" w:rsidR="000D0F38" w:rsidRDefault="000D0F38" w:rsidP="008210E2">
      <w:pPr>
        <w:spacing w:before="60" w:after="120"/>
        <w:ind w:left="709" w:hanging="415"/>
      </w:pPr>
      <w:r>
        <w:t xml:space="preserve">2.1 </w:t>
      </w:r>
      <w:r>
        <w:tab/>
      </w:r>
      <w:r w:rsidR="00EC73F2" w:rsidRPr="00E44045">
        <w:rPr>
          <w:i/>
        </w:rPr>
        <w:t xml:space="preserve">Koncepce </w:t>
      </w:r>
      <w:r w:rsidR="009C6C78">
        <w:rPr>
          <w:i/>
        </w:rPr>
        <w:t xml:space="preserve">bydlení České republiky do roku </w:t>
      </w:r>
      <w:r w:rsidR="00EC73F2" w:rsidRPr="00E44045">
        <w:rPr>
          <w:i/>
        </w:rPr>
        <w:t>2020</w:t>
      </w:r>
      <w:r w:rsidR="00EC73F2" w:rsidRPr="00E44045">
        <w:t xml:space="preserve"> </w:t>
      </w:r>
      <w:r w:rsidR="00EC73F2" w:rsidRPr="00E44045">
        <w:rPr>
          <w:i/>
        </w:rPr>
        <w:t>(revidovan</w:t>
      </w:r>
      <w:r w:rsidR="00DE35C2">
        <w:rPr>
          <w:i/>
        </w:rPr>
        <w:t>á</w:t>
      </w:r>
      <w:r w:rsidR="00EC73F2" w:rsidRPr="00E44045">
        <w:rPr>
          <w:i/>
        </w:rPr>
        <w:t>)</w:t>
      </w:r>
      <w:r w:rsidR="009C6C78">
        <w:rPr>
          <w:i/>
        </w:rPr>
        <w:t xml:space="preserve"> </w:t>
      </w:r>
      <w:r w:rsidR="00751355">
        <w:t>(</w:t>
      </w:r>
      <w:r w:rsidR="009C6C78" w:rsidRPr="009C6C78">
        <w:t>dále</w:t>
      </w:r>
      <w:r w:rsidR="009C6C78">
        <w:rPr>
          <w:i/>
        </w:rPr>
        <w:t xml:space="preserve"> </w:t>
      </w:r>
      <w:r w:rsidR="009C6C78" w:rsidRPr="009C6C78">
        <w:t>t</w:t>
      </w:r>
      <w:r w:rsidR="00751355">
        <w:t>éž</w:t>
      </w:r>
      <w:r w:rsidR="009C6C78">
        <w:rPr>
          <w:i/>
        </w:rPr>
        <w:t xml:space="preserve"> </w:t>
      </w:r>
      <w:r w:rsidR="009C6C78" w:rsidRPr="005C3EC9">
        <w:t>„</w:t>
      </w:r>
      <w:r w:rsidR="009C6C78">
        <w:rPr>
          <w:i/>
        </w:rPr>
        <w:t>Koncepce 2020 (revidovaná)</w:t>
      </w:r>
      <w:r w:rsidR="0005324B" w:rsidRPr="005C3EC9">
        <w:t>“</w:t>
      </w:r>
      <w:r w:rsidR="00751355">
        <w:t>)</w:t>
      </w:r>
      <w:r w:rsidR="00EC73F2" w:rsidRPr="00E44045">
        <w:rPr>
          <w:i/>
        </w:rPr>
        <w:t xml:space="preserve"> </w:t>
      </w:r>
      <w:r w:rsidR="00EC73F2" w:rsidRPr="00E44045">
        <w:t xml:space="preserve">obdobně jako navazující </w:t>
      </w:r>
      <w:r w:rsidR="00EC73F2" w:rsidRPr="00E44045">
        <w:rPr>
          <w:i/>
        </w:rPr>
        <w:t>Koncepc</w:t>
      </w:r>
      <w:r w:rsidR="00DE35C2">
        <w:rPr>
          <w:i/>
        </w:rPr>
        <w:t>e</w:t>
      </w:r>
      <w:r w:rsidR="00EC73F2" w:rsidRPr="00E44045">
        <w:rPr>
          <w:i/>
        </w:rPr>
        <w:t xml:space="preserve"> bydlení České republiky 2021+</w:t>
      </w:r>
      <w:r w:rsidR="001A21A9">
        <w:t xml:space="preserve"> </w:t>
      </w:r>
      <w:r w:rsidRPr="000D0F38">
        <w:t>pro žádný z</w:t>
      </w:r>
      <w:r w:rsidR="00B67077">
        <w:t>e strategických</w:t>
      </w:r>
      <w:r w:rsidR="00CB61D0">
        <w:t xml:space="preserve"> </w:t>
      </w:r>
      <w:r w:rsidR="00DE35C2">
        <w:t>cílů</w:t>
      </w:r>
      <w:r w:rsidR="000F46E4">
        <w:t xml:space="preserve"> </w:t>
      </w:r>
      <w:r w:rsidR="001A21A9">
        <w:t>nestanov</w:t>
      </w:r>
      <w:r w:rsidR="000F46E4">
        <w:t>ila</w:t>
      </w:r>
      <w:r w:rsidR="006823E0">
        <w:t xml:space="preserve"> </w:t>
      </w:r>
      <w:r w:rsidR="001D61BD">
        <w:t xml:space="preserve">měřitelné </w:t>
      </w:r>
      <w:r w:rsidRPr="000D0F38">
        <w:t xml:space="preserve">cílové hodnoty. </w:t>
      </w:r>
      <w:r w:rsidR="00B67077">
        <w:t xml:space="preserve">Jednotlivé priority navazující na strategické cíle obsahují konkrétní </w:t>
      </w:r>
      <w:r w:rsidR="00DA44D3">
        <w:t xml:space="preserve">a časově ohraničené </w:t>
      </w:r>
      <w:r w:rsidR="00B67077">
        <w:t xml:space="preserve">úkoly. </w:t>
      </w:r>
      <w:r w:rsidRPr="000D0F38">
        <w:t xml:space="preserve">Pro </w:t>
      </w:r>
      <w:r w:rsidR="000B4FC9">
        <w:t xml:space="preserve">tyto </w:t>
      </w:r>
      <w:r w:rsidRPr="000D0F38">
        <w:t>úkoly</w:t>
      </w:r>
      <w:r w:rsidR="00DA44D3">
        <w:t>,</w:t>
      </w:r>
      <w:r w:rsidRPr="000D0F38">
        <w:t xml:space="preserve"> </w:t>
      </w:r>
      <w:r w:rsidR="00DA44D3">
        <w:t>prostřednictvím kterých mají být strategické cíle plněny,</w:t>
      </w:r>
      <w:r w:rsidRPr="000D0F38">
        <w:t xml:space="preserve"> </w:t>
      </w:r>
      <w:r w:rsidR="0020782F">
        <w:t xml:space="preserve">ale </w:t>
      </w:r>
      <w:r w:rsidRPr="000D0F38">
        <w:t>MMR nestanovilo monitorovací indikátory</w:t>
      </w:r>
      <w:r w:rsidR="00DA44D3">
        <w:t xml:space="preserve">. </w:t>
      </w:r>
      <w:r w:rsidRPr="000D0F38">
        <w:t>Nelze tak posoudit a</w:t>
      </w:r>
      <w:r w:rsidR="00FC2521">
        <w:t xml:space="preserve"> </w:t>
      </w:r>
      <w:r w:rsidRPr="000D0F38">
        <w:t>vyhodnotit, zda</w:t>
      </w:r>
      <w:r w:rsidR="00DA44D3">
        <w:t xml:space="preserve"> </w:t>
      </w:r>
      <w:r w:rsidRPr="000D0F38">
        <w:t>splnění</w:t>
      </w:r>
      <w:r w:rsidR="00DA44D3">
        <w:t xml:space="preserve"> </w:t>
      </w:r>
      <w:r w:rsidRPr="000D0F38">
        <w:t>úkolů</w:t>
      </w:r>
      <w:r w:rsidR="00DA44D3">
        <w:t xml:space="preserve"> </w:t>
      </w:r>
      <w:r w:rsidRPr="000D0F38">
        <w:t>přispělo</w:t>
      </w:r>
      <w:r w:rsidR="00DA44D3">
        <w:t xml:space="preserve"> </w:t>
      </w:r>
      <w:r w:rsidR="00787C12">
        <w:br/>
      </w:r>
      <w:r w:rsidRPr="000D0F38">
        <w:t>k</w:t>
      </w:r>
      <w:r w:rsidR="00787C12">
        <w:t xml:space="preserve"> </w:t>
      </w:r>
      <w:r w:rsidRPr="000D0F38">
        <w:t>dosažení strategických cílů a jakou měrou tyto cíle přispěly k</w:t>
      </w:r>
      <w:r w:rsidR="00787C12">
        <w:t xml:space="preserve"> </w:t>
      </w:r>
      <w:r w:rsidR="00D33376">
        <w:t>na</w:t>
      </w:r>
      <w:r w:rsidRPr="000D0F38">
        <w:t>pl</w:t>
      </w:r>
      <w:r w:rsidR="00D33376">
        <w:t>ňová</w:t>
      </w:r>
      <w:r w:rsidRPr="000D0F38">
        <w:t>ní bytové politiky státu.</w:t>
      </w:r>
      <w:r w:rsidR="00DA44D3">
        <w:t xml:space="preserve"> Monitorovací indikátory nejsou nastaveny ani v</w:t>
      </w:r>
      <w:r w:rsidR="00471DE4">
        <w:t xml:space="preserve"> </w:t>
      </w:r>
      <w:r w:rsidR="00DA44D3">
        <w:t>návazných dokumentech, s</w:t>
      </w:r>
      <w:r w:rsidR="00D33376">
        <w:t> </w:t>
      </w:r>
      <w:r w:rsidR="00DA44D3">
        <w:t>výjimkou</w:t>
      </w:r>
      <w:r w:rsidR="00D33376">
        <w:t xml:space="preserve"> projektů </w:t>
      </w:r>
      <w:r w:rsidR="00DA44D3">
        <w:t>investiční</w:t>
      </w:r>
      <w:r w:rsidR="0020782F">
        <w:t xml:space="preserve"> p</w:t>
      </w:r>
      <w:r w:rsidR="00DA44D3">
        <w:t>odpory.</w:t>
      </w:r>
      <w:r w:rsidR="0080157E">
        <w:t xml:space="preserve"> </w:t>
      </w:r>
      <w:r w:rsidRPr="000D0F38">
        <w:t>S</w:t>
      </w:r>
      <w:r w:rsidR="0080157E">
        <w:t xml:space="preserve"> </w:t>
      </w:r>
      <w:r w:rsidRPr="000D0F38">
        <w:t>kritériem úspěšnosti bytové politiky státu, tj. souhrnným vyjádřením jej</w:t>
      </w:r>
      <w:r w:rsidR="00751355">
        <w:t>í</w:t>
      </w:r>
      <w:r w:rsidRPr="000D0F38">
        <w:t>ch konkrétních účinků, se MMR potýká dlouhodobě</w:t>
      </w:r>
      <w:r w:rsidRPr="000D0F38">
        <w:rPr>
          <w:rStyle w:val="Znakapoznpodarou"/>
        </w:rPr>
        <w:footnoteReference w:id="10"/>
      </w:r>
      <w:r w:rsidR="00595833">
        <w:t>.</w:t>
      </w:r>
    </w:p>
    <w:p w14:paraId="68F04010" w14:textId="015B538D" w:rsidR="00BB5F76" w:rsidRPr="005D1064" w:rsidRDefault="00444971" w:rsidP="00FF05C5">
      <w:pPr>
        <w:spacing w:before="60" w:after="120"/>
        <w:ind w:left="709" w:hanging="415"/>
      </w:pPr>
      <w:r>
        <w:t>2.2</w:t>
      </w:r>
      <w:r>
        <w:tab/>
      </w:r>
      <w:r w:rsidR="00455CD6">
        <w:t xml:space="preserve">Kontrolou programové dokumentace </w:t>
      </w:r>
      <w:r w:rsidR="00455CD6" w:rsidRPr="00F605D5">
        <w:t>programu</w:t>
      </w:r>
      <w:r w:rsidR="00207DE5">
        <w:t xml:space="preserve"> </w:t>
      </w:r>
      <w:r w:rsidR="00455CD6" w:rsidRPr="00301E53">
        <w:rPr>
          <w:i/>
        </w:rPr>
        <w:t>Podpora bydlení</w:t>
      </w:r>
      <w:r w:rsidR="00455CD6" w:rsidRPr="00F605D5">
        <w:t xml:space="preserve"> NKÚ zjistil,</w:t>
      </w:r>
      <w:r w:rsidR="00301E53" w:rsidRPr="00301E53">
        <w:t xml:space="preserve"> </w:t>
      </w:r>
      <w:r w:rsidR="00301E53">
        <w:t xml:space="preserve">že MMR </w:t>
      </w:r>
      <w:r w:rsidR="00301E53" w:rsidRPr="00301E53">
        <w:t>nestanovilo pro jednotlivé podprogramy měřitelné a termínované cíle</w:t>
      </w:r>
      <w:r w:rsidR="00064D53">
        <w:t>.</w:t>
      </w:r>
      <w:r w:rsidR="00301E53" w:rsidRPr="00301E53">
        <w:t xml:space="preserve"> </w:t>
      </w:r>
      <w:r w:rsidR="00064D53">
        <w:t>Z</w:t>
      </w:r>
      <w:r w:rsidR="00471DE4">
        <w:t xml:space="preserve"> </w:t>
      </w:r>
      <w:r w:rsidR="00392D47">
        <w:t>toho</w:t>
      </w:r>
      <w:r w:rsidR="00064D53">
        <w:t>to</w:t>
      </w:r>
      <w:r w:rsidR="00392D47">
        <w:t xml:space="preserve"> důvodu ne</w:t>
      </w:r>
      <w:r w:rsidR="00301E53" w:rsidRPr="00301E53">
        <w:t xml:space="preserve">ní možné </w:t>
      </w:r>
      <w:r w:rsidR="009C6C78">
        <w:t>vy</w:t>
      </w:r>
      <w:r w:rsidR="00301E53" w:rsidRPr="00301E53">
        <w:t xml:space="preserve">hodnotit </w:t>
      </w:r>
      <w:r w:rsidR="009C6C78">
        <w:t>dosažení stanovených</w:t>
      </w:r>
      <w:r w:rsidR="007835AC">
        <w:t xml:space="preserve"> </w:t>
      </w:r>
      <w:r w:rsidR="00301E53" w:rsidRPr="00301E53">
        <w:t>cíl</w:t>
      </w:r>
      <w:r w:rsidR="007835AC">
        <w:t>ů</w:t>
      </w:r>
      <w:r w:rsidR="00301E53" w:rsidRPr="00301E53">
        <w:t>.</w:t>
      </w:r>
      <w:r w:rsidR="00455CD6" w:rsidRPr="00F605D5">
        <w:t xml:space="preserve"> </w:t>
      </w:r>
      <w:r w:rsidR="00455CD6">
        <w:t>Kontrolou</w:t>
      </w:r>
      <w:r w:rsidR="00207DE5">
        <w:t xml:space="preserve"> programové dokumentace</w:t>
      </w:r>
      <w:r w:rsidR="00455CD6">
        <w:t xml:space="preserve"> vybraných programů SFPI</w:t>
      </w:r>
      <w:r w:rsidR="00455CD6">
        <w:rPr>
          <w:rStyle w:val="Znakapoznpodarou"/>
        </w:rPr>
        <w:footnoteReference w:id="11"/>
      </w:r>
      <w:r w:rsidR="00455CD6">
        <w:t xml:space="preserve"> bylo zjištěno, že pro tyto programy nenastavil </w:t>
      </w:r>
      <w:r w:rsidR="00751355">
        <w:t xml:space="preserve">SFPI </w:t>
      </w:r>
      <w:r w:rsidR="00455CD6" w:rsidRPr="00F77876">
        <w:t xml:space="preserve">konkrétní </w:t>
      </w:r>
      <w:r w:rsidR="00751355">
        <w:t xml:space="preserve">a </w:t>
      </w:r>
      <w:r w:rsidR="00455CD6" w:rsidRPr="00F77876">
        <w:t>měřitelné cíle</w:t>
      </w:r>
      <w:r w:rsidR="00455CD6">
        <w:t xml:space="preserve"> a ty nebyly nastaveny ani v</w:t>
      </w:r>
      <w:r w:rsidR="00751355">
        <w:t> </w:t>
      </w:r>
      <w:r w:rsidR="00455CD6">
        <w:t>další</w:t>
      </w:r>
      <w:r w:rsidR="00751355">
        <w:t>,</w:t>
      </w:r>
      <w:r w:rsidR="00455CD6">
        <w:t xml:space="preserve"> navazující dokumentaci. </w:t>
      </w:r>
    </w:p>
    <w:p w14:paraId="63D69FF2" w14:textId="4788894B" w:rsidR="00FE1A3F" w:rsidRDefault="00D33376" w:rsidP="00FF05C5">
      <w:pPr>
        <w:spacing w:after="120"/>
        <w:ind w:left="709" w:hanging="426"/>
        <w:contextualSpacing/>
      </w:pPr>
      <w:r>
        <w:rPr>
          <w:rStyle w:val="normaltextrun"/>
          <w:shd w:val="clear" w:color="auto" w:fill="FFFFFF"/>
        </w:rPr>
        <w:t>2.</w:t>
      </w:r>
      <w:r w:rsidR="00444971">
        <w:rPr>
          <w:rStyle w:val="normaltextrun"/>
          <w:shd w:val="clear" w:color="auto" w:fill="FFFFFF"/>
        </w:rPr>
        <w:t>3</w:t>
      </w:r>
      <w:r>
        <w:rPr>
          <w:rStyle w:val="normaltextrun"/>
          <w:shd w:val="clear" w:color="auto" w:fill="FFFFFF"/>
        </w:rPr>
        <w:tab/>
      </w:r>
      <w:r w:rsidR="00654511">
        <w:rPr>
          <w:rStyle w:val="normaltextrun"/>
          <w:shd w:val="clear" w:color="auto" w:fill="FFFFFF"/>
        </w:rPr>
        <w:t>P</w:t>
      </w:r>
      <w:r w:rsidR="001060AF">
        <w:t>rogram</w:t>
      </w:r>
      <w:r w:rsidR="00654511">
        <w:t>y</w:t>
      </w:r>
      <w:r w:rsidR="001060AF">
        <w:t xml:space="preserve"> </w:t>
      </w:r>
      <w:r w:rsidR="006C6BD4" w:rsidRPr="00D33376">
        <w:rPr>
          <w:i/>
        </w:rPr>
        <w:t>Regenerace sídlišť, Nájemní byty</w:t>
      </w:r>
      <w:r w:rsidR="006C6BD4">
        <w:t xml:space="preserve"> a </w:t>
      </w:r>
      <w:r w:rsidR="006C6BD4" w:rsidRPr="00D33376">
        <w:rPr>
          <w:i/>
        </w:rPr>
        <w:t xml:space="preserve">Panel 2013+ </w:t>
      </w:r>
      <w:r w:rsidR="00593244" w:rsidRPr="00593244">
        <w:t xml:space="preserve">jsou financovány z rozpočtu SFPI a jejich implementace </w:t>
      </w:r>
      <w:r w:rsidR="006C6BD4" w:rsidRPr="00FF05C5">
        <w:t>s</w:t>
      </w:r>
      <w:r w:rsidR="006C6BD4" w:rsidRPr="00593244">
        <w:t>e</w:t>
      </w:r>
      <w:r w:rsidR="0030314E" w:rsidRPr="00593244">
        <w:t xml:space="preserve"> </w:t>
      </w:r>
      <w:r w:rsidR="006C6BD4" w:rsidRPr="00593244">
        <w:t>neřídí rozpočtovými pravidly</w:t>
      </w:r>
      <w:r w:rsidR="00423C79">
        <w:rPr>
          <w:rStyle w:val="Znakapoznpodarou"/>
        </w:rPr>
        <w:footnoteReference w:id="12"/>
      </w:r>
      <w:r w:rsidR="006C6BD4" w:rsidRPr="00593244">
        <w:t>, neboť</w:t>
      </w:r>
      <w:r w:rsidR="006C6BD4" w:rsidRPr="007F2017">
        <w:t xml:space="preserve"> na financování těchto programů neposkytlo</w:t>
      </w:r>
      <w:r w:rsidR="006C6BD4">
        <w:t xml:space="preserve"> </w:t>
      </w:r>
      <w:r w:rsidR="00751355" w:rsidRPr="007F2017">
        <w:t xml:space="preserve">MMR </w:t>
      </w:r>
      <w:r w:rsidR="006C6BD4">
        <w:t xml:space="preserve">peněžní prostředky ze své rozpočtové kapitoly. </w:t>
      </w:r>
      <w:r w:rsidR="003058FC">
        <w:br/>
      </w:r>
      <w:r w:rsidR="006C6BD4">
        <w:t xml:space="preserve">Z té je financován pouze program </w:t>
      </w:r>
      <w:r w:rsidR="006C6BD4" w:rsidRPr="00D33376">
        <w:rPr>
          <w:i/>
        </w:rPr>
        <w:t>Výstavba pro obce</w:t>
      </w:r>
      <w:r w:rsidR="006C6BD4">
        <w:t>.</w:t>
      </w:r>
      <w:r w:rsidR="006C6BD4" w:rsidRPr="00AA3A9F">
        <w:t xml:space="preserve"> </w:t>
      </w:r>
      <w:r w:rsidR="006C6BD4" w:rsidRPr="00552EBF">
        <w:t>Ze stejného důvodu MMR nemá</w:t>
      </w:r>
      <w:r w:rsidR="006C6BD4">
        <w:t xml:space="preserve">, </w:t>
      </w:r>
      <w:r w:rsidR="006C6BD4" w:rsidRPr="00552EBF">
        <w:t>v</w:t>
      </w:r>
      <w:r w:rsidR="003058FC">
        <w:t xml:space="preserve"> </w:t>
      </w:r>
      <w:r w:rsidR="006C6BD4" w:rsidRPr="00552EBF">
        <w:t xml:space="preserve">návaznosti na </w:t>
      </w:r>
      <w:r w:rsidR="006C6BD4">
        <w:t>rozpočtová pravidla</w:t>
      </w:r>
      <w:r w:rsidR="006C6BD4">
        <w:rPr>
          <w:rStyle w:val="Znakapoznpodarou"/>
        </w:rPr>
        <w:footnoteReference w:id="13"/>
      </w:r>
      <w:r w:rsidR="006C6BD4">
        <w:t>,</w:t>
      </w:r>
      <w:r w:rsidR="0030314E">
        <w:t xml:space="preserve"> </w:t>
      </w:r>
      <w:r w:rsidR="006C6BD4" w:rsidRPr="00552EBF">
        <w:t xml:space="preserve">povinnost </w:t>
      </w:r>
      <w:r w:rsidR="0005324B">
        <w:t xml:space="preserve">kontrolovat způsob hospodaření </w:t>
      </w:r>
      <w:r w:rsidR="003058FC">
        <w:br/>
      </w:r>
      <w:r w:rsidR="0005324B">
        <w:t>a</w:t>
      </w:r>
      <w:r w:rsidR="003058FC">
        <w:t xml:space="preserve"> </w:t>
      </w:r>
      <w:r w:rsidR="0005324B">
        <w:t>nakládání s</w:t>
      </w:r>
      <w:r w:rsidR="00751355">
        <w:t xml:space="preserve"> </w:t>
      </w:r>
      <w:r w:rsidR="0005324B">
        <w:t>výdaji SFPI na tyto programy.</w:t>
      </w:r>
      <w:r w:rsidR="001F7139">
        <w:t xml:space="preserve"> </w:t>
      </w:r>
      <w:r w:rsidR="00E22E81" w:rsidRPr="00D33376">
        <w:rPr>
          <w:rStyle w:val="normaltextrun"/>
          <w:shd w:val="clear" w:color="auto" w:fill="FFFFFF"/>
        </w:rPr>
        <w:t xml:space="preserve">MMR </w:t>
      </w:r>
      <w:r w:rsidR="00ED2065" w:rsidRPr="00D33376">
        <w:rPr>
          <w:rStyle w:val="normaltextrun"/>
          <w:shd w:val="clear" w:color="auto" w:fill="FFFFFF"/>
        </w:rPr>
        <w:t xml:space="preserve">u programů </w:t>
      </w:r>
      <w:r w:rsidR="006613A6" w:rsidRPr="00D33376">
        <w:rPr>
          <w:rStyle w:val="normaltextrun"/>
          <w:shd w:val="clear" w:color="auto" w:fill="FFFFFF"/>
        </w:rPr>
        <w:t>spravovaných</w:t>
      </w:r>
      <w:r w:rsidR="00ED2065" w:rsidRPr="00D33376">
        <w:rPr>
          <w:rStyle w:val="normaltextrun"/>
          <w:shd w:val="clear" w:color="auto" w:fill="FFFFFF"/>
        </w:rPr>
        <w:t xml:space="preserve"> SFPI </w:t>
      </w:r>
      <w:r w:rsidR="00E22E81" w:rsidRPr="00D33376">
        <w:rPr>
          <w:rStyle w:val="normaltextrun"/>
          <w:shd w:val="clear" w:color="auto" w:fill="FFFFFF"/>
        </w:rPr>
        <w:t>n</w:t>
      </w:r>
      <w:r w:rsidR="00455CD6" w:rsidRPr="004B4DF0">
        <w:t xml:space="preserve">esleduje indikátory </w:t>
      </w:r>
      <w:r w:rsidR="00E22E81" w:rsidRPr="004B4DF0">
        <w:t>výs</w:t>
      </w:r>
      <w:r w:rsidR="00E22E81">
        <w:t>ledku</w:t>
      </w:r>
      <w:r w:rsidR="00455CD6">
        <w:rPr>
          <w:rStyle w:val="Znakapoznpodarou"/>
        </w:rPr>
        <w:footnoteReference w:id="14"/>
      </w:r>
      <w:r w:rsidR="00E22E81" w:rsidRPr="004B4DF0">
        <w:t xml:space="preserve"> </w:t>
      </w:r>
      <w:r w:rsidR="00455CD6" w:rsidRPr="004B4DF0">
        <w:t>prováděných aktivit</w:t>
      </w:r>
      <w:r w:rsidR="00ED2065">
        <w:t>.</w:t>
      </w:r>
      <w:r w:rsidR="00E22E81">
        <w:t xml:space="preserve"> N</w:t>
      </w:r>
      <w:r w:rsidR="00455CD6" w:rsidRPr="004B4DF0">
        <w:t>emá nastaveny a</w:t>
      </w:r>
      <w:r w:rsidR="00751355">
        <w:t> </w:t>
      </w:r>
      <w:r w:rsidR="00455CD6" w:rsidRPr="004B4DF0">
        <w:t xml:space="preserve">nevyhodnocuje </w:t>
      </w:r>
      <w:r w:rsidR="001F7139">
        <w:t xml:space="preserve">ani </w:t>
      </w:r>
      <w:r w:rsidR="00455CD6" w:rsidRPr="004B4DF0">
        <w:t xml:space="preserve">indikátory dopadu, tj. přínosy programů </w:t>
      </w:r>
      <w:r w:rsidR="004B4DF0">
        <w:t xml:space="preserve">SFPI </w:t>
      </w:r>
      <w:r w:rsidR="00455CD6" w:rsidRPr="004B4DF0">
        <w:t>přesahující okamžité účinky na cílovou skupinu</w:t>
      </w:r>
      <w:r w:rsidR="00455CD6">
        <w:rPr>
          <w:rStyle w:val="Znakapoznpodarou"/>
        </w:rPr>
        <w:footnoteReference w:id="15"/>
      </w:r>
      <w:r w:rsidR="00455CD6" w:rsidRPr="004B4DF0">
        <w:t>.</w:t>
      </w:r>
      <w:r w:rsidR="004B4DF0">
        <w:t xml:space="preserve"> </w:t>
      </w:r>
    </w:p>
    <w:p w14:paraId="3BC2E39A" w14:textId="066A3A60" w:rsidR="001012C9" w:rsidRDefault="00FE1A3F" w:rsidP="008210E2">
      <w:pPr>
        <w:pStyle w:val="Odstavecseseznamem"/>
        <w:spacing w:after="120"/>
        <w:ind w:left="709"/>
        <w:contextualSpacing/>
      </w:pPr>
      <w:r w:rsidRPr="00956223">
        <w:lastRenderedPageBreak/>
        <w:t xml:space="preserve">NKÚ </w:t>
      </w:r>
      <w:r w:rsidR="00BA05BC">
        <w:t>konstatuje, že</w:t>
      </w:r>
      <w:r w:rsidR="00D11CB3">
        <w:t xml:space="preserve"> </w:t>
      </w:r>
      <w:r w:rsidRPr="00956223">
        <w:t>úprava kontrolních pravomocí MMR vůči hospodaření SFPI</w:t>
      </w:r>
      <w:r>
        <w:t xml:space="preserve"> </w:t>
      </w:r>
      <w:r w:rsidRPr="00956223">
        <w:t>v zákoně o SFPI</w:t>
      </w:r>
      <w:r>
        <w:rPr>
          <w:rStyle w:val="Znakapoznpodarou"/>
        </w:rPr>
        <w:footnoteReference w:id="16"/>
      </w:r>
      <w:r w:rsidRPr="00956223">
        <w:t xml:space="preserve"> </w:t>
      </w:r>
      <w:r w:rsidR="006B41EC">
        <w:t xml:space="preserve">není </w:t>
      </w:r>
      <w:r w:rsidRPr="00956223">
        <w:t>dostatečná.</w:t>
      </w:r>
      <w:r w:rsidR="00BA05BC">
        <w:rPr>
          <w:rStyle w:val="Znakapoznpodarou"/>
        </w:rPr>
        <w:footnoteReference w:id="17"/>
      </w:r>
    </w:p>
    <w:p w14:paraId="3EA258DF" w14:textId="77777777" w:rsidR="00DC4368" w:rsidRDefault="00DC4368" w:rsidP="001E126B">
      <w:pPr>
        <w:pStyle w:val="Odstavecseseznamem"/>
        <w:spacing w:after="120"/>
        <w:ind w:left="992"/>
        <w:contextualSpacing/>
      </w:pPr>
    </w:p>
    <w:p w14:paraId="75383940" w14:textId="77777777" w:rsidR="00AF2AC7" w:rsidRPr="001012C9" w:rsidRDefault="006613A6" w:rsidP="008210E2">
      <w:pPr>
        <w:pStyle w:val="Odstavecseseznamem"/>
        <w:spacing w:before="120" w:after="120"/>
        <w:ind w:left="426" w:hanging="426"/>
        <w:contextualSpacing/>
      </w:pPr>
      <w:r>
        <w:rPr>
          <w:rFonts w:cstheme="minorHAnsi"/>
          <w:b/>
          <w:szCs w:val="24"/>
        </w:rPr>
        <w:t xml:space="preserve">3. </w:t>
      </w:r>
      <w:r>
        <w:rPr>
          <w:rFonts w:cstheme="minorHAnsi"/>
          <w:b/>
          <w:szCs w:val="24"/>
        </w:rPr>
        <w:tab/>
      </w:r>
      <w:r w:rsidR="00455CD6" w:rsidRPr="0080004E">
        <w:rPr>
          <w:rFonts w:cstheme="minorHAnsi"/>
          <w:b/>
          <w:szCs w:val="24"/>
        </w:rPr>
        <w:t>Nastavování podmínek podpory a vyhlašování výzev</w:t>
      </w:r>
    </w:p>
    <w:p w14:paraId="08F94F14" w14:textId="344E35FD" w:rsidR="00736766" w:rsidRDefault="0080004E" w:rsidP="008210E2">
      <w:pPr>
        <w:pStyle w:val="Styl1-1"/>
        <w:numPr>
          <w:ilvl w:val="0"/>
          <w:numId w:val="0"/>
        </w:numPr>
        <w:spacing w:after="120"/>
        <w:ind w:left="709" w:hanging="425"/>
        <w:rPr>
          <w:rFonts w:asciiTheme="minorHAnsi" w:hAnsiTheme="minorHAnsi" w:cstheme="minorHAnsi"/>
          <w:sz w:val="24"/>
          <w:szCs w:val="24"/>
        </w:rPr>
      </w:pPr>
      <w:r w:rsidRPr="00AF2AC7">
        <w:rPr>
          <w:rFonts w:asciiTheme="minorHAnsi" w:hAnsiTheme="minorHAnsi" w:cstheme="minorHAnsi"/>
          <w:sz w:val="24"/>
          <w:szCs w:val="24"/>
        </w:rPr>
        <w:t>3.1</w:t>
      </w:r>
      <w:r w:rsidRPr="00AF2AC7">
        <w:rPr>
          <w:rFonts w:asciiTheme="minorHAnsi" w:hAnsiTheme="minorHAnsi" w:cstheme="minorHAnsi"/>
          <w:sz w:val="24"/>
          <w:szCs w:val="24"/>
        </w:rPr>
        <w:tab/>
      </w:r>
      <w:r w:rsidR="00736766">
        <w:rPr>
          <w:rFonts w:asciiTheme="minorHAnsi" w:hAnsiTheme="minorHAnsi" w:cstheme="minorHAnsi"/>
          <w:sz w:val="24"/>
          <w:szCs w:val="24"/>
        </w:rPr>
        <w:t xml:space="preserve">MMR analyzovalo potřeby příjemců podpory pouze v omezeném rozsahu. Definování cílových skupin a určení jejich velikosti se neopíralo o </w:t>
      </w:r>
      <w:r w:rsidR="00423C79">
        <w:rPr>
          <w:rFonts w:asciiTheme="minorHAnsi" w:hAnsiTheme="minorHAnsi" w:cstheme="minorHAnsi"/>
          <w:sz w:val="24"/>
          <w:szCs w:val="24"/>
        </w:rPr>
        <w:t xml:space="preserve">relevantní </w:t>
      </w:r>
      <w:r w:rsidR="00736766">
        <w:rPr>
          <w:rFonts w:asciiTheme="minorHAnsi" w:hAnsiTheme="minorHAnsi" w:cstheme="minorHAnsi"/>
          <w:sz w:val="24"/>
          <w:szCs w:val="24"/>
        </w:rPr>
        <w:t>data z</w:t>
      </w:r>
      <w:r w:rsidR="002A47DE">
        <w:rPr>
          <w:rFonts w:asciiTheme="minorHAnsi" w:hAnsiTheme="minorHAnsi" w:cstheme="minorHAnsi"/>
          <w:sz w:val="24"/>
          <w:szCs w:val="24"/>
        </w:rPr>
        <w:t xml:space="preserve"> </w:t>
      </w:r>
      <w:r w:rsidR="00736766">
        <w:rPr>
          <w:rFonts w:asciiTheme="minorHAnsi" w:hAnsiTheme="minorHAnsi" w:cstheme="minorHAnsi"/>
          <w:sz w:val="24"/>
          <w:szCs w:val="24"/>
        </w:rPr>
        <w:t>důvodu neexistence funkční datové základny.</w:t>
      </w:r>
    </w:p>
    <w:p w14:paraId="5F5B6B6F" w14:textId="0F998E6D" w:rsidR="009403FA" w:rsidRDefault="009403FA" w:rsidP="009E14A5">
      <w:pPr>
        <w:pStyle w:val="KP-normlnbezodsazen"/>
        <w:spacing w:after="120"/>
        <w:ind w:left="709" w:hanging="425"/>
      </w:pPr>
      <w:r w:rsidRPr="009403FA">
        <w:t>3.2</w:t>
      </w:r>
      <w:r>
        <w:tab/>
      </w:r>
      <w:r w:rsidR="00455CD6" w:rsidRPr="00DF74E0">
        <w:t xml:space="preserve">MMR </w:t>
      </w:r>
      <w:r w:rsidR="004E410B" w:rsidRPr="00DF74E0">
        <w:t xml:space="preserve">u svých programů </w:t>
      </w:r>
      <w:r w:rsidR="00455CD6" w:rsidRPr="00DF74E0">
        <w:t xml:space="preserve">nastavilo některé podmínky </w:t>
      </w:r>
      <w:r w:rsidR="00E36600" w:rsidRPr="00DF74E0">
        <w:t xml:space="preserve">pro poskytnutí </w:t>
      </w:r>
      <w:r w:rsidR="00462574" w:rsidRPr="00DF74E0">
        <w:t xml:space="preserve">a </w:t>
      </w:r>
      <w:r w:rsidR="00E36600" w:rsidRPr="00DF74E0">
        <w:t xml:space="preserve">použití </w:t>
      </w:r>
      <w:r w:rsidR="00A17A03" w:rsidRPr="00DF74E0">
        <w:t>podpory</w:t>
      </w:r>
      <w:r w:rsidR="00455CD6" w:rsidRPr="00DF74E0">
        <w:t xml:space="preserve"> nejednoznačně</w:t>
      </w:r>
      <w:r w:rsidRPr="009403FA">
        <w:t>. V</w:t>
      </w:r>
      <w:r w:rsidR="002A47DE">
        <w:t xml:space="preserve"> </w:t>
      </w:r>
      <w:r w:rsidRPr="009403FA">
        <w:t xml:space="preserve">případě jednoho </w:t>
      </w:r>
      <w:r w:rsidR="00E71ED9">
        <w:t xml:space="preserve">projektu </w:t>
      </w:r>
      <w:r w:rsidRPr="009403FA">
        <w:t>poskytlo příjemci dotaci v</w:t>
      </w:r>
      <w:r w:rsidR="002A47DE">
        <w:t xml:space="preserve"> </w:t>
      </w:r>
      <w:r w:rsidRPr="009403FA">
        <w:t>rozporu s podmínkami podprogramu.</w:t>
      </w:r>
    </w:p>
    <w:p w14:paraId="513571DE" w14:textId="10F9A871" w:rsidR="009403FA" w:rsidRDefault="009403FA" w:rsidP="009E14A5">
      <w:pPr>
        <w:pStyle w:val="Styl1-1"/>
        <w:numPr>
          <w:ilvl w:val="0"/>
          <w:numId w:val="0"/>
        </w:numPr>
        <w:spacing w:after="120"/>
        <w:ind w:left="709" w:hanging="425"/>
        <w:rPr>
          <w:rFonts w:asciiTheme="minorHAnsi" w:hAnsiTheme="minorHAnsi" w:cstheme="minorHAnsi"/>
          <w:sz w:val="24"/>
          <w:szCs w:val="24"/>
        </w:rPr>
      </w:pPr>
      <w:r w:rsidRPr="009403FA">
        <w:rPr>
          <w:rFonts w:asciiTheme="minorHAnsi" w:hAnsiTheme="minorHAnsi" w:cstheme="minorHAnsi"/>
          <w:sz w:val="24"/>
          <w:szCs w:val="24"/>
        </w:rPr>
        <w:t xml:space="preserve">3.3 </w:t>
      </w:r>
      <w:r w:rsidRPr="009403FA">
        <w:rPr>
          <w:rFonts w:asciiTheme="minorHAnsi" w:hAnsiTheme="minorHAnsi" w:cstheme="minorHAnsi"/>
          <w:sz w:val="24"/>
          <w:szCs w:val="24"/>
        </w:rPr>
        <w:tab/>
      </w:r>
      <w:r w:rsidRPr="009403FA">
        <w:rPr>
          <w:rFonts w:asciiTheme="minorHAnsi" w:hAnsiTheme="minorHAnsi" w:cstheme="minorHAnsi"/>
          <w:color w:val="000000"/>
          <w:sz w:val="24"/>
          <w:szCs w:val="24"/>
        </w:rPr>
        <w:t xml:space="preserve">MMR </w:t>
      </w:r>
      <w:r w:rsidRPr="009403FA">
        <w:rPr>
          <w:rFonts w:asciiTheme="minorHAnsi" w:hAnsiTheme="minorHAnsi" w:cstheme="minorHAnsi"/>
          <w:sz w:val="24"/>
          <w:szCs w:val="24"/>
        </w:rPr>
        <w:t xml:space="preserve">nestanovilo povinnost a postupy pro zpracování analýz potřeb potenciálních příjemců </w:t>
      </w:r>
      <w:r w:rsidRPr="009403FA">
        <w:rPr>
          <w:rFonts w:asciiTheme="minorHAnsi" w:eastAsia="Calibri" w:hAnsiTheme="minorHAnsi" w:cstheme="minorHAnsi"/>
          <w:sz w:val="24"/>
          <w:szCs w:val="24"/>
        </w:rPr>
        <w:t>vyhlašovaných programů. A</w:t>
      </w:r>
      <w:r w:rsidRPr="009403FA">
        <w:rPr>
          <w:rFonts w:asciiTheme="minorHAnsi" w:hAnsiTheme="minorHAnsi" w:cstheme="minorHAnsi"/>
          <w:sz w:val="24"/>
          <w:szCs w:val="24"/>
        </w:rPr>
        <w:t>nalýzu aktuálního stavu monitorovacích indikátorů na úrovni programu jako vstupní veličiny pro hodnocení potřeb potenciálních příjemců v</w:t>
      </w:r>
      <w:r w:rsidR="002A47DE">
        <w:rPr>
          <w:rFonts w:asciiTheme="minorHAnsi" w:hAnsiTheme="minorHAnsi" w:cstheme="minorHAnsi"/>
          <w:sz w:val="24"/>
          <w:szCs w:val="24"/>
        </w:rPr>
        <w:t xml:space="preserve"> </w:t>
      </w:r>
      <w:r w:rsidRPr="009403FA">
        <w:rPr>
          <w:rFonts w:asciiTheme="minorHAnsi" w:hAnsiTheme="minorHAnsi" w:cstheme="minorHAnsi"/>
          <w:sz w:val="24"/>
          <w:szCs w:val="24"/>
        </w:rPr>
        <w:t xml:space="preserve">dané věcné oblasti zpracovalo jen u části podprogramů programu </w:t>
      </w:r>
      <w:r w:rsidRPr="009403FA">
        <w:rPr>
          <w:rFonts w:asciiTheme="minorHAnsi" w:hAnsiTheme="minorHAnsi" w:cstheme="minorHAnsi"/>
          <w:i/>
          <w:sz w:val="24"/>
          <w:szCs w:val="24"/>
        </w:rPr>
        <w:t>Podpora bydlení</w:t>
      </w:r>
      <w:r w:rsidRPr="00AF2AC7">
        <w:rPr>
          <w:rFonts w:asciiTheme="minorHAnsi" w:hAnsiTheme="minorHAnsi" w:cstheme="minorHAnsi"/>
          <w:sz w:val="24"/>
          <w:szCs w:val="24"/>
        </w:rPr>
        <w:t xml:space="preserve">. </w:t>
      </w:r>
    </w:p>
    <w:p w14:paraId="0A5E24BF" w14:textId="5B88FB55" w:rsidR="009403FA" w:rsidRDefault="009403FA" w:rsidP="009E14A5">
      <w:pPr>
        <w:pStyle w:val="Styl1-1"/>
        <w:numPr>
          <w:ilvl w:val="0"/>
          <w:numId w:val="0"/>
        </w:numPr>
        <w:spacing w:after="120"/>
        <w:ind w:left="709" w:hanging="425"/>
        <w:rPr>
          <w:rFonts w:asciiTheme="minorHAnsi" w:hAnsiTheme="minorHAnsi" w:cstheme="minorHAnsi"/>
          <w:sz w:val="24"/>
          <w:szCs w:val="24"/>
        </w:rPr>
      </w:pPr>
      <w:r>
        <w:rPr>
          <w:rFonts w:asciiTheme="minorHAnsi" w:hAnsiTheme="minorHAnsi" w:cstheme="minorHAnsi"/>
          <w:sz w:val="24"/>
          <w:szCs w:val="24"/>
        </w:rPr>
        <w:t>3.4</w:t>
      </w:r>
      <w:r>
        <w:rPr>
          <w:rFonts w:asciiTheme="minorHAnsi" w:hAnsiTheme="minorHAnsi" w:cstheme="minorHAnsi"/>
          <w:sz w:val="24"/>
          <w:szCs w:val="24"/>
        </w:rPr>
        <w:tab/>
      </w:r>
      <w:r w:rsidRPr="009403FA">
        <w:rPr>
          <w:rFonts w:asciiTheme="minorHAnsi" w:hAnsiTheme="minorHAnsi" w:cstheme="minorHAnsi"/>
          <w:sz w:val="24"/>
          <w:szCs w:val="24"/>
        </w:rPr>
        <w:t xml:space="preserve">Nastavené podmínky programu </w:t>
      </w:r>
      <w:r w:rsidRPr="009403FA">
        <w:rPr>
          <w:rFonts w:asciiTheme="minorHAnsi" w:hAnsiTheme="minorHAnsi" w:cstheme="minorHAnsi"/>
          <w:i/>
          <w:sz w:val="24"/>
          <w:szCs w:val="24"/>
        </w:rPr>
        <w:t>Nájemní byty</w:t>
      </w:r>
      <w:r w:rsidR="00D47F78">
        <w:rPr>
          <w:rFonts w:asciiTheme="minorHAnsi" w:hAnsiTheme="minorHAnsi" w:cstheme="minorHAnsi"/>
          <w:i/>
          <w:sz w:val="24"/>
          <w:szCs w:val="24"/>
        </w:rPr>
        <w:t>,</w:t>
      </w:r>
      <w:r w:rsidR="008115EC">
        <w:rPr>
          <w:rFonts w:asciiTheme="minorHAnsi" w:hAnsiTheme="minorHAnsi" w:cstheme="minorHAnsi"/>
          <w:i/>
          <w:sz w:val="24"/>
          <w:szCs w:val="24"/>
        </w:rPr>
        <w:t xml:space="preserve"> </w:t>
      </w:r>
      <w:r w:rsidR="008115EC" w:rsidRPr="00D47F78">
        <w:rPr>
          <w:rFonts w:asciiTheme="minorHAnsi" w:hAnsiTheme="minorHAnsi" w:cstheme="minorHAnsi"/>
          <w:sz w:val="24"/>
          <w:szCs w:val="24"/>
        </w:rPr>
        <w:t>spravované</w:t>
      </w:r>
      <w:r w:rsidR="002A47DE">
        <w:rPr>
          <w:rFonts w:asciiTheme="minorHAnsi" w:hAnsiTheme="minorHAnsi" w:cstheme="minorHAnsi"/>
          <w:sz w:val="24"/>
          <w:szCs w:val="24"/>
        </w:rPr>
        <w:t>ho</w:t>
      </w:r>
      <w:r w:rsidR="008115EC" w:rsidRPr="00D47F78">
        <w:rPr>
          <w:rFonts w:asciiTheme="minorHAnsi" w:hAnsiTheme="minorHAnsi" w:cstheme="minorHAnsi"/>
          <w:sz w:val="24"/>
          <w:szCs w:val="24"/>
        </w:rPr>
        <w:t xml:space="preserve"> SFPI</w:t>
      </w:r>
      <w:r w:rsidR="00D47F78">
        <w:rPr>
          <w:rFonts w:asciiTheme="minorHAnsi" w:hAnsiTheme="minorHAnsi" w:cstheme="minorHAnsi"/>
          <w:sz w:val="24"/>
          <w:szCs w:val="24"/>
        </w:rPr>
        <w:t>,</w:t>
      </w:r>
      <w:r w:rsidRPr="00D47F78">
        <w:rPr>
          <w:rFonts w:asciiTheme="minorHAnsi" w:hAnsiTheme="minorHAnsi" w:cstheme="minorHAnsi"/>
          <w:sz w:val="24"/>
          <w:szCs w:val="24"/>
        </w:rPr>
        <w:t xml:space="preserve"> </w:t>
      </w:r>
      <w:r w:rsidRPr="009403FA">
        <w:rPr>
          <w:rFonts w:asciiTheme="minorHAnsi" w:hAnsiTheme="minorHAnsi" w:cstheme="minorHAnsi"/>
          <w:sz w:val="24"/>
          <w:szCs w:val="24"/>
        </w:rPr>
        <w:t>neomezovaly výši nájemného. Umožňovaly tak pronajímatelům (příjemcům podpory) ve smlouvách o</w:t>
      </w:r>
      <w:r w:rsidR="002A47DE">
        <w:rPr>
          <w:rFonts w:asciiTheme="minorHAnsi" w:hAnsiTheme="minorHAnsi" w:cstheme="minorHAnsi"/>
          <w:sz w:val="24"/>
          <w:szCs w:val="24"/>
        </w:rPr>
        <w:t> </w:t>
      </w:r>
      <w:r w:rsidRPr="009403FA">
        <w:rPr>
          <w:rFonts w:asciiTheme="minorHAnsi" w:hAnsiTheme="minorHAnsi" w:cstheme="minorHAnsi"/>
          <w:sz w:val="24"/>
          <w:szCs w:val="24"/>
        </w:rPr>
        <w:t>nájmu podpořených bytů nastavit nájemné vyšší, než bylo v místě a čase obvyklé.</w:t>
      </w:r>
      <w:r w:rsidR="00AF6629">
        <w:rPr>
          <w:rFonts w:asciiTheme="minorHAnsi" w:hAnsiTheme="minorHAnsi" w:cstheme="minorHAnsi"/>
          <w:sz w:val="24"/>
          <w:szCs w:val="24"/>
        </w:rPr>
        <w:t xml:space="preserve"> </w:t>
      </w:r>
      <w:r w:rsidR="000E422A">
        <w:rPr>
          <w:rFonts w:asciiTheme="minorHAnsi" w:hAnsiTheme="minorHAnsi" w:cstheme="minorHAnsi"/>
          <w:sz w:val="24"/>
          <w:szCs w:val="24"/>
        </w:rPr>
        <w:t>NKÚ konstatuje, že účel projektu podle na</w:t>
      </w:r>
      <w:r w:rsidR="00324A21">
        <w:rPr>
          <w:rFonts w:asciiTheme="minorHAnsi" w:hAnsiTheme="minorHAnsi" w:cstheme="minorHAnsi"/>
          <w:sz w:val="24"/>
          <w:szCs w:val="24"/>
        </w:rPr>
        <w:t>s</w:t>
      </w:r>
      <w:r w:rsidR="000E422A">
        <w:rPr>
          <w:rFonts w:asciiTheme="minorHAnsi" w:hAnsiTheme="minorHAnsi" w:cstheme="minorHAnsi"/>
          <w:sz w:val="24"/>
          <w:szCs w:val="24"/>
        </w:rPr>
        <w:t>tavených podmínek byl sice dosažen, avšak takto nastavené podmínky zakládají u osob s nižšími příjmy další finanční nároky na státní rozpočet, a to ve formě nároku na příspěvek na bydlení, popř. doplatek na bydlení.</w:t>
      </w:r>
    </w:p>
    <w:p w14:paraId="58B477B8" w14:textId="77777777" w:rsidR="00E20BEE" w:rsidRPr="009B6B37" w:rsidRDefault="000D0F38" w:rsidP="009E14A5">
      <w:pPr>
        <w:pStyle w:val="Styl1-1"/>
        <w:numPr>
          <w:ilvl w:val="0"/>
          <w:numId w:val="0"/>
        </w:numPr>
        <w:spacing w:after="120"/>
        <w:ind w:left="426" w:hanging="426"/>
        <w:rPr>
          <w:rFonts w:asciiTheme="minorHAnsi" w:hAnsiTheme="minorHAnsi" w:cstheme="minorHAnsi"/>
          <w:b/>
          <w:sz w:val="24"/>
          <w:szCs w:val="24"/>
        </w:rPr>
      </w:pPr>
      <w:r>
        <w:rPr>
          <w:rFonts w:asciiTheme="minorHAnsi" w:hAnsiTheme="minorHAnsi" w:cstheme="minorHAnsi"/>
          <w:b/>
          <w:sz w:val="24"/>
          <w:szCs w:val="24"/>
        </w:rPr>
        <w:t>4</w:t>
      </w:r>
      <w:r w:rsidR="00AF2AC7">
        <w:rPr>
          <w:rFonts w:asciiTheme="minorHAnsi" w:hAnsiTheme="minorHAnsi" w:cstheme="minorHAnsi"/>
          <w:b/>
          <w:sz w:val="24"/>
          <w:szCs w:val="24"/>
        </w:rPr>
        <w:t xml:space="preserve">. </w:t>
      </w:r>
      <w:r w:rsidR="001012C9">
        <w:rPr>
          <w:rFonts w:asciiTheme="minorHAnsi" w:hAnsiTheme="minorHAnsi" w:cstheme="minorHAnsi"/>
          <w:b/>
          <w:sz w:val="24"/>
          <w:szCs w:val="24"/>
        </w:rPr>
        <w:tab/>
      </w:r>
      <w:r w:rsidR="00455CD6" w:rsidRPr="009B6B37">
        <w:rPr>
          <w:rFonts w:asciiTheme="minorHAnsi" w:hAnsiTheme="minorHAnsi" w:cstheme="minorHAnsi"/>
          <w:b/>
          <w:sz w:val="24"/>
          <w:szCs w:val="24"/>
        </w:rPr>
        <w:t>Nastavení a funkčnost kontrolního systému</w:t>
      </w:r>
      <w:r w:rsidR="00AC58D6" w:rsidRPr="009B6B37">
        <w:rPr>
          <w:rFonts w:asciiTheme="minorHAnsi" w:hAnsiTheme="minorHAnsi" w:cstheme="minorHAnsi"/>
          <w:b/>
          <w:sz w:val="24"/>
          <w:szCs w:val="24"/>
        </w:rPr>
        <w:t xml:space="preserve"> </w:t>
      </w:r>
    </w:p>
    <w:p w14:paraId="1E61C0DC" w14:textId="0773D469" w:rsidR="0011513F" w:rsidRPr="00C12BA9" w:rsidRDefault="007800C8" w:rsidP="008210E2">
      <w:pPr>
        <w:pStyle w:val="KP-normlnbezodsazen"/>
        <w:spacing w:after="120"/>
        <w:ind w:left="709" w:hanging="425"/>
      </w:pPr>
      <w:r>
        <w:t>4.1</w:t>
      </w:r>
      <w:r>
        <w:tab/>
      </w:r>
      <w:r w:rsidR="00746F36">
        <w:t>MMR neprovádí při poskytování podpor v oblasti bytové politiky identifikaci rizikových oblastí, p</w:t>
      </w:r>
      <w:r w:rsidR="00455CD6" w:rsidRPr="00C12BA9">
        <w:t>řestož</w:t>
      </w:r>
      <w:r w:rsidR="0045724E" w:rsidRPr="00C12BA9">
        <w:t>e organizačním útvarům MMR vykonávajícím</w:t>
      </w:r>
      <w:r w:rsidR="00E86E1D" w:rsidRPr="004D4440">
        <w:t xml:space="preserve"> </w:t>
      </w:r>
      <w:r w:rsidR="000426A5" w:rsidRPr="004D4440">
        <w:t xml:space="preserve">veřejnosprávní </w:t>
      </w:r>
      <w:r w:rsidR="0045724E" w:rsidRPr="00C12BA9">
        <w:t xml:space="preserve">kontroly je uložena povinnost </w:t>
      </w:r>
      <w:r w:rsidR="002A47DE">
        <w:t>zpracovávat</w:t>
      </w:r>
      <w:r w:rsidR="0045724E" w:rsidRPr="00C12BA9">
        <w:t xml:space="preserve"> analýz</w:t>
      </w:r>
      <w:r w:rsidR="002A47DE">
        <w:t>y</w:t>
      </w:r>
      <w:r w:rsidR="0045724E" w:rsidRPr="00C12BA9">
        <w:t xml:space="preserve"> rizik</w:t>
      </w:r>
      <w:r w:rsidR="00455CD6">
        <w:rPr>
          <w:vertAlign w:val="superscript"/>
        </w:rPr>
        <w:footnoteReference w:id="18"/>
      </w:r>
      <w:r w:rsidR="00746F36">
        <w:t>.</w:t>
      </w:r>
    </w:p>
    <w:p w14:paraId="27308ACB" w14:textId="77777777" w:rsidR="0011513F" w:rsidRPr="000F746A" w:rsidRDefault="007800C8" w:rsidP="009E14A5">
      <w:pPr>
        <w:pStyle w:val="KP-normlnbezodsazen"/>
        <w:spacing w:after="120"/>
        <w:ind w:left="709" w:hanging="425"/>
      </w:pPr>
      <w:r>
        <w:t>4.2</w:t>
      </w:r>
      <w:r>
        <w:tab/>
      </w:r>
      <w:r w:rsidR="00455CD6" w:rsidRPr="007800C8">
        <w:t>MMR</w:t>
      </w:r>
      <w:r w:rsidR="00E92C8E" w:rsidRPr="007800C8">
        <w:t xml:space="preserve"> rovněž </w:t>
      </w:r>
      <w:r w:rsidR="00455CD6" w:rsidRPr="007800C8">
        <w:t>nezajistilo, aby o všech operacích a kontrolách byl proveden záznam a</w:t>
      </w:r>
      <w:r w:rsidR="00046F33" w:rsidRPr="007800C8">
        <w:t> </w:t>
      </w:r>
      <w:r w:rsidR="00455CD6" w:rsidRPr="007800C8">
        <w:t>vedena</w:t>
      </w:r>
      <w:r w:rsidR="002E7C8C">
        <w:t xml:space="preserve"> </w:t>
      </w:r>
      <w:r w:rsidR="00455CD6" w:rsidRPr="007800C8">
        <w:t>příslušná</w:t>
      </w:r>
      <w:r w:rsidR="002E7C8C">
        <w:t xml:space="preserve"> </w:t>
      </w:r>
      <w:r w:rsidR="00455CD6" w:rsidRPr="007800C8">
        <w:t>dokumentace</w:t>
      </w:r>
      <w:r w:rsidR="00E17BF9">
        <w:t>,</w:t>
      </w:r>
      <w:r w:rsidR="002E7C8C">
        <w:t xml:space="preserve"> </w:t>
      </w:r>
      <w:r w:rsidR="00E17BF9" w:rsidRPr="00996096">
        <w:t>přestože</w:t>
      </w:r>
      <w:r w:rsidR="002E7C8C">
        <w:t xml:space="preserve"> </w:t>
      </w:r>
      <w:r w:rsidR="00E17BF9" w:rsidRPr="00996096">
        <w:t>to</w:t>
      </w:r>
      <w:r w:rsidR="002E7C8C">
        <w:t xml:space="preserve"> </w:t>
      </w:r>
      <w:r w:rsidR="00E17BF9" w:rsidRPr="00996096">
        <w:t>ukládá</w:t>
      </w:r>
      <w:r w:rsidR="002E7C8C">
        <w:t xml:space="preserve"> </w:t>
      </w:r>
      <w:r w:rsidR="00E17BF9" w:rsidRPr="00996096">
        <w:t>zákon</w:t>
      </w:r>
      <w:r w:rsidR="002E7C8C">
        <w:t xml:space="preserve"> </w:t>
      </w:r>
      <w:r w:rsidR="00E17BF9" w:rsidRPr="000F746A">
        <w:t>o finanční kontrole</w:t>
      </w:r>
      <w:r w:rsidR="00E17BF9" w:rsidRPr="000F746A">
        <w:rPr>
          <w:rStyle w:val="Znakapoznpodarou"/>
          <w:rFonts w:ascii="Calibri" w:hAnsi="Calibri" w:cs="Calibri"/>
        </w:rPr>
        <w:footnoteReference w:id="19"/>
      </w:r>
      <w:r w:rsidR="00E17BF9" w:rsidRPr="000F746A">
        <w:t>.</w:t>
      </w:r>
    </w:p>
    <w:p w14:paraId="0C49638B" w14:textId="39370C1A" w:rsidR="005C5341" w:rsidRDefault="007800C8" w:rsidP="009E14A5">
      <w:pPr>
        <w:pStyle w:val="KP-normlnbezodsazen"/>
        <w:spacing w:after="120"/>
        <w:ind w:left="709" w:hanging="425"/>
      </w:pPr>
      <w:r w:rsidRPr="000F746A">
        <w:t>4.3</w:t>
      </w:r>
      <w:r w:rsidRPr="000F746A">
        <w:tab/>
      </w:r>
      <w:r w:rsidR="002E7C8C">
        <w:t>SFPI nevyhodnocoval v</w:t>
      </w:r>
      <w:r w:rsidR="00607EC6" w:rsidRPr="007800C8">
        <w:t xml:space="preserve"> kontrolované</w:t>
      </w:r>
      <w:r w:rsidR="002E7C8C">
        <w:t>m</w:t>
      </w:r>
      <w:r w:rsidR="00607EC6" w:rsidRPr="007800C8">
        <w:t xml:space="preserve"> </w:t>
      </w:r>
      <w:r w:rsidR="00455CD6" w:rsidRPr="007800C8">
        <w:t xml:space="preserve">období </w:t>
      </w:r>
      <w:r w:rsidR="0030510E" w:rsidRPr="007800C8">
        <w:t>2016–2022</w:t>
      </w:r>
      <w:r w:rsidR="002E7C8C">
        <w:t xml:space="preserve"> </w:t>
      </w:r>
      <w:r w:rsidR="002E7C8C" w:rsidRPr="007800C8">
        <w:t>provozní, finanční, právní ani jiná rizika</w:t>
      </w:r>
      <w:r w:rsidR="002E7C8C">
        <w:t xml:space="preserve"> </w:t>
      </w:r>
      <w:r w:rsidR="006A051F" w:rsidRPr="007800C8">
        <w:t>z hlediska účinnosti přijatých opatření</w:t>
      </w:r>
      <w:r w:rsidR="006A051F" w:rsidRPr="009B6B37">
        <w:t>.</w:t>
      </w:r>
    </w:p>
    <w:p w14:paraId="2100498E" w14:textId="77777777" w:rsidR="008939E3" w:rsidRDefault="00455CD6" w:rsidP="00FF6B26">
      <w:pPr>
        <w:pStyle w:val="Nadpis1"/>
        <w:numPr>
          <w:ilvl w:val="0"/>
          <w:numId w:val="0"/>
        </w:numPr>
        <w:spacing w:before="0"/>
      </w:pPr>
      <w:r w:rsidRPr="008939E3">
        <w:lastRenderedPageBreak/>
        <w:t>II. Informace o kontrolované oblasti</w:t>
      </w:r>
    </w:p>
    <w:p w14:paraId="231286A8" w14:textId="77777777" w:rsidR="00F304C6" w:rsidRPr="00F304C6" w:rsidRDefault="00455CD6" w:rsidP="009E14A5">
      <w:pPr>
        <w:pStyle w:val="Odstavecseseznamem"/>
        <w:numPr>
          <w:ilvl w:val="0"/>
          <w:numId w:val="21"/>
        </w:numPr>
        <w:spacing w:before="120" w:after="120"/>
        <w:ind w:left="425" w:hanging="425"/>
        <w:rPr>
          <w:b/>
        </w:rPr>
      </w:pPr>
      <w:r w:rsidRPr="00F304C6">
        <w:rPr>
          <w:b/>
        </w:rPr>
        <w:t>Kontrolované osoby</w:t>
      </w:r>
    </w:p>
    <w:p w14:paraId="18C4AC1B" w14:textId="6789CAF7" w:rsidR="00473F81" w:rsidRDefault="00455CD6" w:rsidP="001E126B">
      <w:pPr>
        <w:spacing w:after="120"/>
        <w:rPr>
          <w:rFonts w:ascii="Calibri" w:hAnsi="Calibri" w:cs="Calibri"/>
        </w:rPr>
      </w:pPr>
      <w:r w:rsidRPr="00A71CA6">
        <w:rPr>
          <w:b/>
        </w:rPr>
        <w:t>MMR</w:t>
      </w:r>
      <w:r w:rsidRPr="00796311">
        <w:t xml:space="preserve"> je podle </w:t>
      </w:r>
      <w:r w:rsidR="00604B79">
        <w:t xml:space="preserve">kompetenčního </w:t>
      </w:r>
      <w:r w:rsidRPr="00796311">
        <w:t>zákona</w:t>
      </w:r>
      <w:r>
        <w:rPr>
          <w:vertAlign w:val="superscript"/>
        </w:rPr>
        <w:footnoteReference w:id="20"/>
      </w:r>
      <w:r w:rsidRPr="00796311">
        <w:t xml:space="preserve"> ústředním orgánem státní správy </w:t>
      </w:r>
      <w:r w:rsidR="00604B79" w:rsidRPr="00417949">
        <w:t xml:space="preserve">mj. </w:t>
      </w:r>
      <w:r w:rsidRPr="002C4377">
        <w:rPr>
          <w:rFonts w:ascii="Calibri" w:hAnsi="Calibri" w:cs="Calibri"/>
        </w:rPr>
        <w:t>ve</w:t>
      </w:r>
      <w:r w:rsidR="008210E2">
        <w:rPr>
          <w:rFonts w:ascii="Calibri" w:hAnsi="Calibri" w:cs="Calibri"/>
        </w:rPr>
        <w:t xml:space="preserve"> </w:t>
      </w:r>
      <w:r w:rsidRPr="002C4377">
        <w:rPr>
          <w:rFonts w:ascii="Calibri" w:hAnsi="Calibri" w:cs="Calibri"/>
        </w:rPr>
        <w:t xml:space="preserve">věcech </w:t>
      </w:r>
      <w:r w:rsidRPr="00417949">
        <w:rPr>
          <w:rFonts w:ascii="Calibri" w:hAnsi="Calibri" w:cs="Calibri"/>
        </w:rPr>
        <w:t>regionální politiky, politiky bydlení, rozvoje domovního a bytového fondu a pro věci nájmu bytů a nebytových prostor.</w:t>
      </w:r>
      <w:r w:rsidR="00097D1D" w:rsidRPr="00417949">
        <w:rPr>
          <w:rFonts w:ascii="Calibri" w:hAnsi="Calibri" w:cs="Calibri"/>
        </w:rPr>
        <w:t xml:space="preserve"> </w:t>
      </w:r>
      <w:r w:rsidR="001F1CE6">
        <w:rPr>
          <w:rFonts w:ascii="Calibri" w:hAnsi="Calibri" w:cs="Calibri"/>
        </w:rPr>
        <w:t>P</w:t>
      </w:r>
      <w:r w:rsidR="00595C09" w:rsidRPr="00417949">
        <w:rPr>
          <w:rFonts w:ascii="Calibri" w:hAnsi="Calibri" w:cs="Calibri"/>
        </w:rPr>
        <w:t>ečuje o náležitou právní úpravu věcí patřících do působnosti</w:t>
      </w:r>
      <w:r w:rsidR="003D20A0">
        <w:rPr>
          <w:rFonts w:ascii="Calibri" w:hAnsi="Calibri" w:cs="Calibri"/>
        </w:rPr>
        <w:t xml:space="preserve"> </w:t>
      </w:r>
      <w:r w:rsidR="00DC4368">
        <w:rPr>
          <w:rFonts w:ascii="Calibri" w:hAnsi="Calibri" w:cs="Calibri"/>
        </w:rPr>
        <w:t>České republiky (dále též „</w:t>
      </w:r>
      <w:r w:rsidR="003D20A0">
        <w:rPr>
          <w:rFonts w:ascii="Calibri" w:hAnsi="Calibri" w:cs="Calibri"/>
        </w:rPr>
        <w:t>ČR</w:t>
      </w:r>
      <w:r w:rsidR="00DC4368">
        <w:rPr>
          <w:rFonts w:ascii="Calibri" w:hAnsi="Calibri" w:cs="Calibri"/>
        </w:rPr>
        <w:t>“)</w:t>
      </w:r>
      <w:r w:rsidR="006D250B" w:rsidRPr="00417949">
        <w:rPr>
          <w:rFonts w:ascii="Calibri" w:hAnsi="Calibri" w:cs="Calibri"/>
        </w:rPr>
        <w:t>,</w:t>
      </w:r>
      <w:r w:rsidR="00595C09" w:rsidRPr="00417949">
        <w:rPr>
          <w:rFonts w:ascii="Calibri" w:hAnsi="Calibri" w:cs="Calibri"/>
        </w:rPr>
        <w:t xml:space="preserve"> </w:t>
      </w:r>
      <w:r w:rsidR="00097D1D" w:rsidRPr="00417949">
        <w:rPr>
          <w:rFonts w:ascii="Calibri" w:hAnsi="Calibri" w:cs="Calibri"/>
        </w:rPr>
        <w:t>připravuje návrhy zákonů a jiných právních předpisů</w:t>
      </w:r>
      <w:r w:rsidR="007F585E">
        <w:rPr>
          <w:rFonts w:ascii="Calibri" w:hAnsi="Calibri" w:cs="Calibri"/>
        </w:rPr>
        <w:t xml:space="preserve"> týkajících se věcí, které patří do jeho působnosti, jakož i návrhy, jejichž přípravu mu vláda uložila; dbá o</w:t>
      </w:r>
      <w:r w:rsidR="00DC4368">
        <w:rPr>
          <w:rFonts w:ascii="Calibri" w:hAnsi="Calibri" w:cs="Calibri"/>
        </w:rPr>
        <w:t> </w:t>
      </w:r>
      <w:r w:rsidR="007F585E">
        <w:rPr>
          <w:rFonts w:ascii="Calibri" w:hAnsi="Calibri" w:cs="Calibri"/>
        </w:rPr>
        <w:t>zachovávání zákonnosti v okruhu své působnosti a činí podle zákonů potřebná opatření k nápravě. MMR spravuje finanční prostředky určené k</w:t>
      </w:r>
      <w:r w:rsidR="00B1399A">
        <w:rPr>
          <w:rFonts w:ascii="Calibri" w:hAnsi="Calibri" w:cs="Calibri"/>
        </w:rPr>
        <w:t xml:space="preserve"> </w:t>
      </w:r>
      <w:r w:rsidR="007F585E">
        <w:rPr>
          <w:rFonts w:ascii="Calibri" w:hAnsi="Calibri" w:cs="Calibri"/>
        </w:rPr>
        <w:t>zabezpečování politiky bydlení a</w:t>
      </w:r>
      <w:r w:rsidR="00DC4368">
        <w:rPr>
          <w:rFonts w:ascii="Calibri" w:hAnsi="Calibri" w:cs="Calibri"/>
        </w:rPr>
        <w:t> </w:t>
      </w:r>
      <w:r w:rsidR="007F585E">
        <w:rPr>
          <w:rFonts w:ascii="Calibri" w:hAnsi="Calibri" w:cs="Calibri"/>
        </w:rPr>
        <w:t>koordinuje činnost ministerstev a jiných ústředních orgánů státní správy při zabezpečování politiky bydlení, včetně koordinace financování této činnosti, pokud tyto prostředky přímo nespravuje.</w:t>
      </w:r>
      <w:r w:rsidR="007922CE" w:rsidRPr="00417949">
        <w:rPr>
          <w:rFonts w:ascii="Calibri" w:hAnsi="Calibri" w:cs="Calibri"/>
        </w:rPr>
        <w:t xml:space="preserve"> </w:t>
      </w:r>
    </w:p>
    <w:p w14:paraId="4C0B4FD0" w14:textId="0A2C9CF7" w:rsidR="00D4233D" w:rsidRPr="00473F81" w:rsidRDefault="00455CD6" w:rsidP="001E126B">
      <w:pPr>
        <w:spacing w:after="120"/>
        <w:rPr>
          <w:rFonts w:ascii="Calibri" w:hAnsi="Calibri" w:cs="Calibri"/>
        </w:rPr>
      </w:pPr>
      <w:r w:rsidRPr="00595C09">
        <w:rPr>
          <w:b/>
        </w:rPr>
        <w:t>SFPI</w:t>
      </w:r>
      <w:r w:rsidR="00DF2BCE">
        <w:rPr>
          <w:rStyle w:val="Znakapoznpodarou"/>
          <w:b/>
        </w:rPr>
        <w:footnoteReference w:id="21"/>
      </w:r>
      <w:r w:rsidRPr="00595C09">
        <w:t xml:space="preserve"> </w:t>
      </w:r>
      <w:r w:rsidR="00462574" w:rsidRPr="00595C09">
        <w:t xml:space="preserve">je státním fondem </w:t>
      </w:r>
      <w:r w:rsidRPr="00595C09">
        <w:t>zřízen</w:t>
      </w:r>
      <w:r w:rsidR="00462574" w:rsidRPr="00595C09">
        <w:t>ým</w:t>
      </w:r>
      <w:r w:rsidRPr="00595C09">
        <w:t xml:space="preserve"> </w:t>
      </w:r>
      <w:r w:rsidR="009B6B37" w:rsidRPr="00595C09">
        <w:t>zákonem</w:t>
      </w:r>
      <w:r>
        <w:rPr>
          <w:rStyle w:val="Znakapoznpodarou"/>
        </w:rPr>
        <w:footnoteReference w:id="22"/>
      </w:r>
      <w:r w:rsidR="009B6B37" w:rsidRPr="00595C09">
        <w:t xml:space="preserve"> </w:t>
      </w:r>
      <w:r w:rsidR="00B1399A">
        <w:t xml:space="preserve">a spadá do </w:t>
      </w:r>
      <w:r w:rsidRPr="00595C09">
        <w:t xml:space="preserve">působnosti MMR. </w:t>
      </w:r>
      <w:r w:rsidR="003D20A0">
        <w:t>Jeho účelem a</w:t>
      </w:r>
      <w:r w:rsidR="00B1399A">
        <w:t> </w:t>
      </w:r>
      <w:r w:rsidR="003D20A0">
        <w:t>veřejným posláním je mj. podporovat bydlení v souladu s veřejným zájmem a koncepcemi, strategickými dokumenty, programy a jinými dokumenty schválenými vládou Č</w:t>
      </w:r>
      <w:r w:rsidR="00552E56">
        <w:t>R</w:t>
      </w:r>
      <w:r w:rsidR="003D20A0">
        <w:t xml:space="preserve">. </w:t>
      </w:r>
      <w:r w:rsidR="00F64488" w:rsidRPr="00595C09">
        <w:t>Je</w:t>
      </w:r>
      <w:r w:rsidR="003D20A0">
        <w:t xml:space="preserve"> </w:t>
      </w:r>
      <w:r w:rsidR="00F64488" w:rsidRPr="00595C09">
        <w:t>právnickou osobou a</w:t>
      </w:r>
      <w:r w:rsidR="00B1399A">
        <w:t xml:space="preserve"> </w:t>
      </w:r>
      <w:r w:rsidR="00F64488" w:rsidRPr="00595C09">
        <w:t>p</w:t>
      </w:r>
      <w:r w:rsidRPr="00595C09">
        <w:t>oskytuje dotační, úvěrovou, popř. kombinovanou podporu (dotace i</w:t>
      </w:r>
      <w:r w:rsidR="00B1399A">
        <w:t> </w:t>
      </w:r>
      <w:r w:rsidRPr="00595C09">
        <w:t>úvěr v rámci jednoho programu) sociálního, nájemního i</w:t>
      </w:r>
      <w:r w:rsidR="00B1399A">
        <w:t xml:space="preserve"> </w:t>
      </w:r>
      <w:r w:rsidRPr="00595C09">
        <w:t>vlastnického bydlení. Tuto podporu poskytuje na základě příslušného nařízení vlády</w:t>
      </w:r>
      <w:r>
        <w:rPr>
          <w:rStyle w:val="Znakapoznpodarou"/>
        </w:rPr>
        <w:footnoteReference w:id="23"/>
      </w:r>
      <w:r w:rsidRPr="00595C09">
        <w:t>, které stanoví podmínky použití finančních prostředků na určený účel.</w:t>
      </w:r>
      <w:r w:rsidR="00462574" w:rsidRPr="00595C09">
        <w:t xml:space="preserve"> </w:t>
      </w:r>
    </w:p>
    <w:p w14:paraId="6901CDC1" w14:textId="57D111AF" w:rsidR="00A71CA6" w:rsidRPr="009B6B37" w:rsidRDefault="00455CD6" w:rsidP="001E126B">
      <w:pPr>
        <w:spacing w:after="120"/>
      </w:pPr>
      <w:r>
        <w:rPr>
          <w:b/>
        </w:rPr>
        <w:t>P</w:t>
      </w:r>
      <w:r w:rsidR="00F304C6" w:rsidRPr="009B6B37">
        <w:rPr>
          <w:b/>
        </w:rPr>
        <w:t>říjemci podpory</w:t>
      </w:r>
      <w:r w:rsidR="00F304C6" w:rsidRPr="009B6B37">
        <w:t xml:space="preserve"> </w:t>
      </w:r>
      <w:r w:rsidR="00857015" w:rsidRPr="009B6B37">
        <w:t>poskytnuté ve formě dotace n</w:t>
      </w:r>
      <w:r w:rsidR="00857015" w:rsidRPr="00392D47">
        <w:t xml:space="preserve">ebo úvěru </w:t>
      </w:r>
      <w:r w:rsidRPr="00392D47">
        <w:t>jsou</w:t>
      </w:r>
      <w:r w:rsidR="00857015" w:rsidRPr="00392D47">
        <w:t xml:space="preserve"> z řad obcí</w:t>
      </w:r>
      <w:r w:rsidR="00392D47" w:rsidRPr="00392D47">
        <w:t xml:space="preserve">, </w:t>
      </w:r>
      <w:r w:rsidR="00DF2BCE">
        <w:t>měst, statutárních měst</w:t>
      </w:r>
      <w:r w:rsidR="00C2280D">
        <w:t>, příp. jejich městských obvodů,</w:t>
      </w:r>
      <w:r w:rsidR="00DF2BCE">
        <w:t xml:space="preserve"> a </w:t>
      </w:r>
      <w:r w:rsidR="0004513B" w:rsidRPr="009B6B37">
        <w:t>právnických osob</w:t>
      </w:r>
      <w:r>
        <w:t>. P</w:t>
      </w:r>
      <w:r w:rsidR="0004513B" w:rsidRPr="009B6B37">
        <w:t xml:space="preserve">odrobný seznam příjemců </w:t>
      </w:r>
      <w:r>
        <w:t>vybraných ke kontrole</w:t>
      </w:r>
      <w:r w:rsidR="0004513B" w:rsidRPr="009B6B37">
        <w:t xml:space="preserve"> je uveden v </w:t>
      </w:r>
      <w:r w:rsidR="0004513B" w:rsidRPr="00392D47">
        <w:t>příloze č</w:t>
      </w:r>
      <w:r w:rsidR="003F389C" w:rsidRPr="00392D47">
        <w:t>.</w:t>
      </w:r>
      <w:r w:rsidR="0004513B" w:rsidRPr="00392D47">
        <w:t xml:space="preserve"> 1</w:t>
      </w:r>
      <w:r w:rsidR="003F389C">
        <w:t xml:space="preserve"> </w:t>
      </w:r>
      <w:r w:rsidR="00B1399A">
        <w:t xml:space="preserve">tohoto </w:t>
      </w:r>
      <w:r w:rsidR="003F389C">
        <w:t>kontrolního závěru</w:t>
      </w:r>
      <w:r w:rsidR="0004513B" w:rsidRPr="009B6B37">
        <w:t>.</w:t>
      </w:r>
    </w:p>
    <w:p w14:paraId="053F543C" w14:textId="77777777" w:rsidR="007D0E98" w:rsidRPr="00857015" w:rsidRDefault="00455CD6" w:rsidP="00756C02">
      <w:pPr>
        <w:pStyle w:val="Odstavecseseznamem"/>
        <w:numPr>
          <w:ilvl w:val="0"/>
          <w:numId w:val="21"/>
        </w:numPr>
        <w:spacing w:before="240" w:after="120"/>
        <w:ind w:left="425" w:hanging="425"/>
        <w:rPr>
          <w:b/>
        </w:rPr>
      </w:pPr>
      <w:r w:rsidRPr="00857015">
        <w:rPr>
          <w:b/>
        </w:rPr>
        <w:t xml:space="preserve">Strategické dokumenty </w:t>
      </w:r>
    </w:p>
    <w:p w14:paraId="698F4395" w14:textId="2FE7DE40" w:rsidR="007A291A" w:rsidRDefault="00455CD6" w:rsidP="001E126B">
      <w:pPr>
        <w:pStyle w:val="KP-normlntext"/>
        <w:rPr>
          <w:b/>
        </w:rPr>
      </w:pPr>
      <w:r>
        <w:t>M</w:t>
      </w:r>
      <w:r w:rsidRPr="00B80590">
        <w:t>MR se při naplňování své role koordinátora bytové politik</w:t>
      </w:r>
      <w:r>
        <w:t>y</w:t>
      </w:r>
      <w:r w:rsidRPr="00B80590">
        <w:t xml:space="preserve"> státu </w:t>
      </w:r>
      <w:r w:rsidR="00A93722">
        <w:t>v kontrolovaném období opíralo</w:t>
      </w:r>
      <w:r w:rsidRPr="00B80590">
        <w:t xml:space="preserve"> </w:t>
      </w:r>
      <w:r w:rsidR="00550ED8">
        <w:t xml:space="preserve">o </w:t>
      </w:r>
      <w:r w:rsidRPr="002C78A3">
        <w:rPr>
          <w:i/>
        </w:rPr>
        <w:t>Koncepci 2020 (revidovanou)</w:t>
      </w:r>
      <w:r w:rsidRPr="00B80590">
        <w:t xml:space="preserve"> a </w:t>
      </w:r>
      <w:r w:rsidRPr="002C78A3">
        <w:rPr>
          <w:i/>
        </w:rPr>
        <w:t xml:space="preserve">Koncepci </w:t>
      </w:r>
      <w:r w:rsidR="002E750F" w:rsidRPr="00E44045">
        <w:rPr>
          <w:i/>
        </w:rPr>
        <w:t>bydlení České republiky 2021+</w:t>
      </w:r>
      <w:r w:rsidR="002E750F">
        <w:rPr>
          <w:i/>
        </w:rPr>
        <w:t xml:space="preserve"> </w:t>
      </w:r>
      <w:r w:rsidR="002E750F" w:rsidRPr="002E750F">
        <w:t>(dále t</w:t>
      </w:r>
      <w:r w:rsidR="00B1399A">
        <w:t>éž</w:t>
      </w:r>
      <w:r w:rsidR="002E750F">
        <w:rPr>
          <w:i/>
        </w:rPr>
        <w:t xml:space="preserve"> </w:t>
      </w:r>
      <w:r w:rsidR="002E750F" w:rsidRPr="00756C02">
        <w:t>„</w:t>
      </w:r>
      <w:r w:rsidRPr="002C78A3">
        <w:rPr>
          <w:i/>
        </w:rPr>
        <w:t>Koncepc</w:t>
      </w:r>
      <w:r w:rsidR="002E750F">
        <w:rPr>
          <w:i/>
        </w:rPr>
        <w:t>e</w:t>
      </w:r>
      <w:r w:rsidRPr="002C78A3">
        <w:rPr>
          <w:i/>
        </w:rPr>
        <w:t xml:space="preserve"> 2021+</w:t>
      </w:r>
      <w:r w:rsidR="002E750F" w:rsidRPr="00756C02">
        <w:t>“</w:t>
      </w:r>
      <w:r w:rsidR="002E750F" w:rsidRPr="002E750F">
        <w:t>)</w:t>
      </w:r>
      <w:r w:rsidRPr="00B80590">
        <w:t xml:space="preserve">, které splňují charakteristiky strategického materiálu – koncepce rozvoje svěřených odvětví a řešení stěžejních otázek. Formou </w:t>
      </w:r>
      <w:r>
        <w:t>usnesení vlády</w:t>
      </w:r>
      <w:r w:rsidRPr="00B80590">
        <w:t xml:space="preserve"> jsou tyto koncepce schv</w:t>
      </w:r>
      <w:r>
        <w:t>alová</w:t>
      </w:r>
      <w:r w:rsidRPr="00B80590">
        <w:t xml:space="preserve">ny a stávají se </w:t>
      </w:r>
      <w:r w:rsidRPr="008C251C">
        <w:t>tak</w:t>
      </w:r>
      <w:r w:rsidR="003F389C">
        <w:t xml:space="preserve"> </w:t>
      </w:r>
      <w:r w:rsidR="004844BE">
        <w:t xml:space="preserve">závaznými </w:t>
      </w:r>
      <w:r w:rsidRPr="008C251C">
        <w:t>pro ostatní re</w:t>
      </w:r>
      <w:r w:rsidR="00B1399A">
        <w:t>s</w:t>
      </w:r>
      <w:r w:rsidRPr="008C251C">
        <w:t>orty.</w:t>
      </w:r>
    </w:p>
    <w:p w14:paraId="1EF85B68" w14:textId="77777777" w:rsidR="00FF6B26" w:rsidRDefault="00FF6B26">
      <w:pPr>
        <w:jc w:val="left"/>
        <w:rPr>
          <w:b/>
          <w:szCs w:val="24"/>
        </w:rPr>
      </w:pPr>
      <w:r>
        <w:rPr>
          <w:b/>
          <w:szCs w:val="24"/>
        </w:rPr>
        <w:br w:type="page"/>
      </w:r>
    </w:p>
    <w:p w14:paraId="38209767" w14:textId="55650186" w:rsidR="00E14413" w:rsidRPr="00F304C6" w:rsidRDefault="00455CD6" w:rsidP="00756C02">
      <w:pPr>
        <w:pStyle w:val="Odstavecseseznamem"/>
        <w:numPr>
          <w:ilvl w:val="0"/>
          <w:numId w:val="21"/>
        </w:numPr>
        <w:spacing w:before="240" w:after="120"/>
        <w:ind w:left="425" w:hanging="425"/>
        <w:rPr>
          <w:b/>
          <w:szCs w:val="24"/>
        </w:rPr>
      </w:pPr>
      <w:r>
        <w:rPr>
          <w:b/>
          <w:szCs w:val="24"/>
        </w:rPr>
        <w:lastRenderedPageBreak/>
        <w:t xml:space="preserve">Předchozí kontroly </w:t>
      </w:r>
      <w:r w:rsidR="008D4828">
        <w:rPr>
          <w:b/>
          <w:szCs w:val="24"/>
        </w:rPr>
        <w:t>oblasti bytové politiky státu</w:t>
      </w:r>
    </w:p>
    <w:p w14:paraId="555D0FF3" w14:textId="2B699CC1" w:rsidR="00126423" w:rsidRDefault="00871128" w:rsidP="001E126B">
      <w:pPr>
        <w:pStyle w:val="KP-normlntext"/>
      </w:pPr>
      <w:r>
        <w:t>Nejvyšší kontrolní úřad</w:t>
      </w:r>
      <w:r w:rsidR="00455CD6" w:rsidRPr="00595C09">
        <w:t xml:space="preserve"> nav</w:t>
      </w:r>
      <w:r w:rsidR="00F64488" w:rsidRPr="00595C09">
        <w:t>ázal na své</w:t>
      </w:r>
      <w:r w:rsidR="008D4828" w:rsidRPr="00595C09">
        <w:t xml:space="preserve"> dříve </w:t>
      </w:r>
      <w:r w:rsidR="00455CD6" w:rsidRPr="00595C09">
        <w:t>provedené kontro</w:t>
      </w:r>
      <w:r w:rsidR="008D4828" w:rsidRPr="00595C09">
        <w:t>l</w:t>
      </w:r>
      <w:r w:rsidR="00AF6F92" w:rsidRPr="00595C09">
        <w:t>ní akce</w:t>
      </w:r>
      <w:r w:rsidR="00F64488" w:rsidRPr="00595C09">
        <w:t xml:space="preserve"> (dále t</w:t>
      </w:r>
      <w:r w:rsidR="00B1399A">
        <w:t>éž</w:t>
      </w:r>
      <w:r w:rsidR="00F64488" w:rsidRPr="00595C09">
        <w:t xml:space="preserve"> „KA“)</w:t>
      </w:r>
      <w:r w:rsidR="002E7C8C">
        <w:t xml:space="preserve"> realizované v letech 2016</w:t>
      </w:r>
      <w:r>
        <w:t>–</w:t>
      </w:r>
      <w:r w:rsidR="002E7C8C">
        <w:t>2022</w:t>
      </w:r>
      <w:r>
        <w:t>.</w:t>
      </w:r>
      <w:r w:rsidR="002E7C8C" w:rsidRPr="002E7C8C">
        <w:rPr>
          <w:rStyle w:val="Znakapoznpodarou"/>
        </w:rPr>
        <w:footnoteReference w:id="24"/>
      </w:r>
    </w:p>
    <w:p w14:paraId="41EF9A17" w14:textId="77777777" w:rsidR="00550B9E" w:rsidRPr="00600F15" w:rsidRDefault="00455CD6" w:rsidP="00756C02">
      <w:pPr>
        <w:pStyle w:val="Odstavecseseznamem"/>
        <w:numPr>
          <w:ilvl w:val="0"/>
          <w:numId w:val="21"/>
        </w:numPr>
        <w:spacing w:before="240" w:after="120"/>
        <w:ind w:left="425" w:hanging="425"/>
        <w:rPr>
          <w:b/>
        </w:rPr>
      </w:pPr>
      <w:r w:rsidRPr="00600F15">
        <w:rPr>
          <w:b/>
        </w:rPr>
        <w:t xml:space="preserve">Informace o </w:t>
      </w:r>
      <w:r w:rsidR="003545D5" w:rsidRPr="00600F15">
        <w:rPr>
          <w:b/>
        </w:rPr>
        <w:t xml:space="preserve">klíčových </w:t>
      </w:r>
      <w:r w:rsidR="00303AE5">
        <w:rPr>
          <w:b/>
        </w:rPr>
        <w:t>dokumentech</w:t>
      </w:r>
      <w:r w:rsidR="003545D5" w:rsidRPr="00600F15">
        <w:rPr>
          <w:b/>
        </w:rPr>
        <w:t xml:space="preserve"> upravujících kontrolovanou oblast </w:t>
      </w:r>
    </w:p>
    <w:p w14:paraId="1FF73954" w14:textId="0DAF63DF" w:rsidR="00D410C3" w:rsidRPr="00756C02" w:rsidRDefault="007E1E6A" w:rsidP="001E126B">
      <w:pPr>
        <w:spacing w:after="120"/>
      </w:pPr>
      <w:r>
        <w:t>Dotační a úvěrové programy MMR a SFPI jsou mimo jiné</w:t>
      </w:r>
      <w:r>
        <w:rPr>
          <w:rStyle w:val="Znakapoznpodarou"/>
        </w:rPr>
        <w:footnoteReference w:id="25"/>
      </w:r>
      <w:r>
        <w:t xml:space="preserve"> zaměřeny i na investiční podporu pořízení sociálních a nájemních bytů. </w:t>
      </w:r>
      <w:r w:rsidR="00455CD6" w:rsidRPr="00595C09">
        <w:t xml:space="preserve">MMR jako gestor a MPSV jako </w:t>
      </w:r>
      <w:proofErr w:type="spellStart"/>
      <w:r w:rsidR="00455CD6" w:rsidRPr="00595C09">
        <w:t>spolugestor</w:t>
      </w:r>
      <w:proofErr w:type="spellEnd"/>
      <w:r w:rsidR="00455CD6" w:rsidRPr="00595C09">
        <w:t xml:space="preserve"> </w:t>
      </w:r>
      <w:r w:rsidR="0042693B" w:rsidRPr="00595C09">
        <w:t>zpracoval</w:t>
      </w:r>
      <w:r w:rsidR="004D4881">
        <w:t>y</w:t>
      </w:r>
      <w:r w:rsidR="0042693B" w:rsidRPr="00595C09">
        <w:t xml:space="preserve"> </w:t>
      </w:r>
      <w:r w:rsidR="00417949">
        <w:t>v roce 2023</w:t>
      </w:r>
      <w:r w:rsidR="002E5B8E">
        <w:t xml:space="preserve"> návrh </w:t>
      </w:r>
      <w:r w:rsidR="00455CD6" w:rsidRPr="00595C09">
        <w:t>zákona</w:t>
      </w:r>
      <w:r>
        <w:t xml:space="preserve"> o podpoře bydlení</w:t>
      </w:r>
      <w:r w:rsidR="0042693B" w:rsidRPr="00595C09">
        <w:t xml:space="preserve">, jehož přijetí </w:t>
      </w:r>
      <w:r w:rsidR="00455CD6" w:rsidRPr="00595C09">
        <w:t>předpokládají v</w:t>
      </w:r>
      <w:r w:rsidR="00471DE4">
        <w:t xml:space="preserve"> </w:t>
      </w:r>
      <w:r w:rsidR="00455CD6" w:rsidRPr="00595C09">
        <w:t>roce 2024</w:t>
      </w:r>
      <w:r w:rsidR="0042693B" w:rsidRPr="00595C09">
        <w:t xml:space="preserve"> s účinností od </w:t>
      </w:r>
      <w:r w:rsidR="00885998">
        <w:t xml:space="preserve">druhé poloviny </w:t>
      </w:r>
      <w:r w:rsidR="0042693B" w:rsidRPr="00595C09">
        <w:t>roku 2025.</w:t>
      </w:r>
    </w:p>
    <w:p w14:paraId="6A5EFE3D" w14:textId="77777777" w:rsidR="00E92534" w:rsidRPr="009E79E5" w:rsidRDefault="00455CD6" w:rsidP="001E126B">
      <w:pPr>
        <w:spacing w:after="120"/>
        <w:rPr>
          <w:rFonts w:eastAsia="Calibri"/>
        </w:rPr>
      </w:pPr>
      <w:r w:rsidRPr="009E79E5">
        <w:t>P</w:t>
      </w:r>
      <w:r w:rsidR="00BC0F8E" w:rsidRPr="009E79E5">
        <w:t xml:space="preserve">oskytování podpor spravovaných </w:t>
      </w:r>
      <w:r w:rsidRPr="009E79E5">
        <w:t>MMR je upraven</w:t>
      </w:r>
      <w:r w:rsidR="00BC0F8E" w:rsidRPr="009E79E5">
        <w:t>o</w:t>
      </w:r>
      <w:r w:rsidRPr="009E79E5">
        <w:t xml:space="preserve"> </w:t>
      </w:r>
      <w:r w:rsidRPr="009E79E5">
        <w:rPr>
          <w:rFonts w:ascii="Calibri" w:eastAsia="Calibri" w:hAnsi="Calibri" w:cs="Calibri"/>
        </w:rPr>
        <w:t>vnitřním předpisem</w:t>
      </w:r>
      <w:r w:rsidRPr="00756C02">
        <w:rPr>
          <w:rStyle w:val="Znakapoznpodarou"/>
          <w:rFonts w:ascii="Calibri" w:eastAsia="Calibri" w:hAnsi="Calibri" w:cs="Calibri"/>
        </w:rPr>
        <w:footnoteReference w:id="26"/>
      </w:r>
      <w:r w:rsidR="00595C09">
        <w:rPr>
          <w:rFonts w:ascii="Calibri" w:eastAsia="Calibri" w:hAnsi="Calibri" w:cs="Calibri"/>
        </w:rPr>
        <w:t>.</w:t>
      </w:r>
      <w:r w:rsidR="00097D1D">
        <w:rPr>
          <w:rFonts w:cstheme="minorHAnsi"/>
        </w:rPr>
        <w:t xml:space="preserve"> </w:t>
      </w:r>
      <w:r w:rsidR="00C700D4">
        <w:rPr>
          <w:rFonts w:eastAsia="Calibri"/>
        </w:rPr>
        <w:t>D</w:t>
      </w:r>
      <w:r w:rsidR="00BC0F8E" w:rsidRPr="009E79E5">
        <w:rPr>
          <w:rFonts w:eastAsia="Calibri"/>
        </w:rPr>
        <w:t>otační</w:t>
      </w:r>
      <w:r w:rsidR="00BC0F8E" w:rsidRPr="009E79E5">
        <w:rPr>
          <w:rFonts w:ascii="Calibri" w:eastAsia="Calibri" w:hAnsi="Calibri" w:cs="Calibri"/>
        </w:rPr>
        <w:t xml:space="preserve"> a úvěrové programy spravované SFPI se řídí </w:t>
      </w:r>
      <w:r w:rsidR="00BC0F8E" w:rsidRPr="00595C09">
        <w:rPr>
          <w:rFonts w:ascii="Calibri" w:eastAsia="Calibri" w:hAnsi="Calibri" w:cs="Calibri"/>
        </w:rPr>
        <w:t>příslušným</w:t>
      </w:r>
      <w:r w:rsidR="00676C01" w:rsidRPr="00595C09">
        <w:rPr>
          <w:rFonts w:ascii="Calibri" w:eastAsia="Calibri" w:hAnsi="Calibri" w:cs="Calibri"/>
        </w:rPr>
        <w:t>i</w:t>
      </w:r>
      <w:r w:rsidR="00BC0F8E" w:rsidRPr="00595C09">
        <w:rPr>
          <w:rFonts w:ascii="Calibri" w:eastAsia="Calibri" w:hAnsi="Calibri" w:cs="Calibri"/>
        </w:rPr>
        <w:t xml:space="preserve"> nařízením</w:t>
      </w:r>
      <w:r w:rsidR="00676C01" w:rsidRPr="00595C09">
        <w:rPr>
          <w:rFonts w:ascii="Calibri" w:eastAsia="Calibri" w:hAnsi="Calibri" w:cs="Calibri"/>
        </w:rPr>
        <w:t>i</w:t>
      </w:r>
      <w:r w:rsidR="00BC0F8E" w:rsidRPr="00595C09">
        <w:rPr>
          <w:rFonts w:ascii="Calibri" w:eastAsia="Calibri" w:hAnsi="Calibri" w:cs="Calibri"/>
        </w:rPr>
        <w:t xml:space="preserve"> </w:t>
      </w:r>
      <w:r w:rsidR="00BC0F8E" w:rsidRPr="009E79E5">
        <w:rPr>
          <w:rFonts w:ascii="Calibri" w:eastAsia="Calibri" w:hAnsi="Calibri" w:cs="Calibri"/>
        </w:rPr>
        <w:t>vlády</w:t>
      </w:r>
      <w:r>
        <w:rPr>
          <w:rStyle w:val="Znakapoznpodarou"/>
          <w:rFonts w:ascii="Calibri" w:eastAsia="Calibri" w:hAnsi="Calibri" w:cs="Calibri"/>
        </w:rPr>
        <w:footnoteReference w:id="27"/>
      </w:r>
      <w:r w:rsidR="00676C01">
        <w:rPr>
          <w:rFonts w:ascii="Calibri" w:eastAsia="Calibri" w:hAnsi="Calibri" w:cs="Calibri"/>
        </w:rPr>
        <w:t>.</w:t>
      </w:r>
    </w:p>
    <w:p w14:paraId="594C693D" w14:textId="30FB2E5B" w:rsidR="003108A8" w:rsidRDefault="00455CD6" w:rsidP="001E126B">
      <w:pPr>
        <w:spacing w:after="120"/>
      </w:pPr>
      <w:r>
        <w:t xml:space="preserve">Součástí </w:t>
      </w:r>
      <w:r w:rsidR="009B6B37">
        <w:t xml:space="preserve">právního </w:t>
      </w:r>
      <w:r>
        <w:t>prostřed</w:t>
      </w:r>
      <w:r w:rsidR="002231A7">
        <w:t>í,</w:t>
      </w:r>
      <w:r w:rsidR="002231A7" w:rsidRPr="002231A7">
        <w:t xml:space="preserve"> </w:t>
      </w:r>
      <w:r w:rsidR="002231A7">
        <w:t>která může výrazně ovlivnit oblast bydlení,</w:t>
      </w:r>
      <w:r>
        <w:t xml:space="preserve"> jsou i závazky plynoucí z práva </w:t>
      </w:r>
      <w:r w:rsidR="00D375D3">
        <w:t>Evropské unie (dále též „</w:t>
      </w:r>
      <w:r>
        <w:t>EU</w:t>
      </w:r>
      <w:r w:rsidR="00D375D3">
        <w:t>“)</w:t>
      </w:r>
      <w:r>
        <w:t>. Jedná se například o základní pravidla pro veřejnou podporu, jež jsou obsažena</w:t>
      </w:r>
      <w:r w:rsidR="00744D1F">
        <w:t xml:space="preserve"> </w:t>
      </w:r>
      <w:r w:rsidR="005676EA">
        <w:t>ve</w:t>
      </w:r>
      <w:r w:rsidR="00744D1F">
        <w:t xml:space="preserve"> </w:t>
      </w:r>
      <w:r w:rsidR="00744D1F" w:rsidRPr="00756C02">
        <w:rPr>
          <w:i/>
        </w:rPr>
        <w:t>Smlouvě o fungování EU</w:t>
      </w:r>
      <w:r>
        <w:rPr>
          <w:rStyle w:val="Znakapoznpodarou"/>
        </w:rPr>
        <w:footnoteReference w:id="28"/>
      </w:r>
      <w:r w:rsidR="00744D1F">
        <w:t>.</w:t>
      </w:r>
    </w:p>
    <w:p w14:paraId="2F2E288F" w14:textId="77777777" w:rsidR="00EE2F44" w:rsidRDefault="00EE2F44" w:rsidP="001E126B">
      <w:pPr>
        <w:spacing w:after="120"/>
      </w:pPr>
    </w:p>
    <w:p w14:paraId="636E2565" w14:textId="1842D51E" w:rsidR="003108A8" w:rsidRDefault="000723DD" w:rsidP="00756C02">
      <w:pPr>
        <w:pStyle w:val="Odstavecseseznamem"/>
        <w:numPr>
          <w:ilvl w:val="0"/>
          <w:numId w:val="21"/>
        </w:numPr>
        <w:spacing w:before="240" w:after="240"/>
        <w:ind w:left="425" w:hanging="425"/>
      </w:pPr>
      <w:bookmarkStart w:id="3" w:name="_Hlk148621783"/>
      <w:r>
        <w:rPr>
          <w:b/>
        </w:rPr>
        <w:lastRenderedPageBreak/>
        <w:t>Informace o c</w:t>
      </w:r>
      <w:r w:rsidR="00455CD6" w:rsidRPr="00600F15">
        <w:rPr>
          <w:b/>
        </w:rPr>
        <w:t>harakter</w:t>
      </w:r>
      <w:r>
        <w:rPr>
          <w:b/>
        </w:rPr>
        <w:t>u</w:t>
      </w:r>
      <w:r w:rsidR="00455CD6" w:rsidRPr="00600F15">
        <w:rPr>
          <w:b/>
        </w:rPr>
        <w:t xml:space="preserve"> a cíle</w:t>
      </w:r>
      <w:r>
        <w:rPr>
          <w:b/>
        </w:rPr>
        <w:t>ch</w:t>
      </w:r>
      <w:r w:rsidR="00455CD6" w:rsidRPr="00600F15">
        <w:rPr>
          <w:b/>
        </w:rPr>
        <w:t xml:space="preserve"> </w:t>
      </w:r>
      <w:r w:rsidR="006657B5" w:rsidRPr="00600F15">
        <w:rPr>
          <w:b/>
        </w:rPr>
        <w:t xml:space="preserve">kontrolovaných </w:t>
      </w:r>
      <w:r w:rsidR="00455CD6" w:rsidRPr="00600F15">
        <w:rPr>
          <w:b/>
        </w:rPr>
        <w:t xml:space="preserve">programů </w:t>
      </w:r>
      <w:r w:rsidR="00AF5F11" w:rsidRPr="00AF5F11">
        <w:t>jsou uvedeny v</w:t>
      </w:r>
      <w:r>
        <w:t xml:space="preserve"> </w:t>
      </w:r>
      <w:r w:rsidR="00AF5F11" w:rsidRPr="00AF5F11">
        <w:t>příloze č.</w:t>
      </w:r>
      <w:r>
        <w:t> </w:t>
      </w:r>
      <w:r w:rsidR="0070672C">
        <w:t>3</w:t>
      </w:r>
      <w:r>
        <w:t xml:space="preserve"> tohoto </w:t>
      </w:r>
      <w:r w:rsidR="00353DA8">
        <w:t>kontrolního závěru.</w:t>
      </w:r>
    </w:p>
    <w:bookmarkEnd w:id="3"/>
    <w:p w14:paraId="139D8489" w14:textId="77777777" w:rsidR="008939E3" w:rsidRPr="00600F15" w:rsidRDefault="00455CD6" w:rsidP="00756C02">
      <w:pPr>
        <w:pStyle w:val="KP-normlntun"/>
        <w:numPr>
          <w:ilvl w:val="0"/>
          <w:numId w:val="21"/>
        </w:numPr>
        <w:spacing w:before="240"/>
        <w:ind w:left="426" w:hanging="426"/>
        <w:rPr>
          <w:rFonts w:eastAsiaTheme="minorHAnsi"/>
        </w:rPr>
      </w:pPr>
      <w:r w:rsidRPr="00600F15">
        <w:rPr>
          <w:rFonts w:eastAsiaTheme="minorHAnsi"/>
        </w:rPr>
        <w:t>Vybrané statistické údaje o bydlení v Č</w:t>
      </w:r>
      <w:r w:rsidR="00FC646E" w:rsidRPr="00600F15">
        <w:rPr>
          <w:rFonts w:eastAsiaTheme="minorHAnsi"/>
        </w:rPr>
        <w:t>R</w:t>
      </w:r>
    </w:p>
    <w:p w14:paraId="1CF24461" w14:textId="4E507C28" w:rsidR="00CC7403" w:rsidRDefault="00455CD6" w:rsidP="001E126B">
      <w:pPr>
        <w:autoSpaceDE w:val="0"/>
        <w:autoSpaceDN w:val="0"/>
        <w:adjustRightInd w:val="0"/>
        <w:rPr>
          <w:rFonts w:ascii="Calibri" w:eastAsiaTheme="minorHAnsi" w:hAnsi="Calibri" w:cs="Calibri"/>
          <w:szCs w:val="24"/>
        </w:rPr>
      </w:pPr>
      <w:r w:rsidRPr="0004354F">
        <w:rPr>
          <w:rFonts w:ascii="Calibri" w:eastAsiaTheme="minorHAnsi" w:hAnsi="Calibri" w:cs="Calibri"/>
          <w:szCs w:val="24"/>
        </w:rPr>
        <w:t xml:space="preserve">Pro naplnění </w:t>
      </w:r>
      <w:r w:rsidR="00F83B7C">
        <w:rPr>
          <w:rFonts w:ascii="Calibri" w:eastAsiaTheme="minorHAnsi" w:hAnsi="Calibri" w:cs="Calibri"/>
          <w:szCs w:val="24"/>
        </w:rPr>
        <w:t>v</w:t>
      </w:r>
      <w:r w:rsidR="00110009">
        <w:rPr>
          <w:rFonts w:ascii="Calibri" w:eastAsiaTheme="minorHAnsi" w:hAnsi="Calibri" w:cs="Calibri"/>
          <w:szCs w:val="24"/>
        </w:rPr>
        <w:t> </w:t>
      </w:r>
      <w:r w:rsidR="00F83B7C" w:rsidRPr="00F83B7C">
        <w:rPr>
          <w:rFonts w:ascii="Calibri" w:eastAsiaTheme="minorHAnsi" w:hAnsi="Calibri" w:cs="Calibri"/>
          <w:i/>
          <w:szCs w:val="24"/>
        </w:rPr>
        <w:t>Koncepc</w:t>
      </w:r>
      <w:r w:rsidR="00110009">
        <w:rPr>
          <w:rFonts w:ascii="Calibri" w:eastAsiaTheme="minorHAnsi" w:hAnsi="Calibri" w:cs="Calibri"/>
          <w:i/>
          <w:szCs w:val="24"/>
        </w:rPr>
        <w:t>i 2020</w:t>
      </w:r>
      <w:r w:rsidR="00110009" w:rsidRPr="00756C02">
        <w:rPr>
          <w:rFonts w:ascii="Calibri" w:eastAsiaTheme="minorHAnsi" w:hAnsi="Calibri" w:cs="Calibri"/>
          <w:szCs w:val="24"/>
        </w:rPr>
        <w:t>,</w:t>
      </w:r>
      <w:r w:rsidR="00110009">
        <w:rPr>
          <w:rFonts w:ascii="Calibri" w:eastAsiaTheme="minorHAnsi" w:hAnsi="Calibri" w:cs="Calibri"/>
          <w:i/>
          <w:szCs w:val="24"/>
        </w:rPr>
        <w:t xml:space="preserve"> </w:t>
      </w:r>
      <w:r w:rsidR="00301E52">
        <w:rPr>
          <w:rFonts w:ascii="Calibri" w:eastAsiaTheme="minorHAnsi" w:hAnsi="Calibri" w:cs="Calibri"/>
          <w:i/>
          <w:szCs w:val="24"/>
        </w:rPr>
        <w:t xml:space="preserve">Koncepci </w:t>
      </w:r>
      <w:r w:rsidR="00110009">
        <w:rPr>
          <w:rFonts w:ascii="Calibri" w:eastAsiaTheme="minorHAnsi" w:hAnsi="Calibri" w:cs="Calibri"/>
          <w:i/>
          <w:szCs w:val="24"/>
        </w:rPr>
        <w:t xml:space="preserve">2020 (revidované) </w:t>
      </w:r>
      <w:r w:rsidR="00110009" w:rsidRPr="00756C02">
        <w:rPr>
          <w:rFonts w:ascii="Calibri" w:eastAsiaTheme="minorHAnsi" w:hAnsi="Calibri" w:cs="Calibri"/>
          <w:szCs w:val="24"/>
        </w:rPr>
        <w:t>i v</w:t>
      </w:r>
      <w:r w:rsidR="00110009">
        <w:rPr>
          <w:rFonts w:ascii="Calibri" w:eastAsiaTheme="minorHAnsi" w:hAnsi="Calibri" w:cs="Calibri"/>
          <w:i/>
          <w:szCs w:val="24"/>
        </w:rPr>
        <w:t> Koncepci 2021+</w:t>
      </w:r>
      <w:r w:rsidR="00F83B7C">
        <w:rPr>
          <w:rFonts w:ascii="Calibri" w:eastAsiaTheme="minorHAnsi" w:hAnsi="Calibri" w:cs="Calibri"/>
          <w:i/>
          <w:szCs w:val="24"/>
        </w:rPr>
        <w:t xml:space="preserve"> </w:t>
      </w:r>
      <w:r w:rsidR="00F83B7C" w:rsidRPr="00F83B7C">
        <w:rPr>
          <w:rFonts w:ascii="Calibri" w:eastAsiaTheme="minorHAnsi" w:hAnsi="Calibri" w:cs="Calibri"/>
          <w:szCs w:val="24"/>
        </w:rPr>
        <w:t xml:space="preserve">uvedeného </w:t>
      </w:r>
      <w:r w:rsidRPr="0004354F">
        <w:rPr>
          <w:rFonts w:ascii="Calibri" w:eastAsiaTheme="minorHAnsi" w:hAnsi="Calibri" w:cs="Calibri"/>
          <w:szCs w:val="24"/>
        </w:rPr>
        <w:t>cíle „</w:t>
      </w:r>
      <w:r w:rsidRPr="00756C02">
        <w:rPr>
          <w:rFonts w:ascii="Calibri" w:eastAsiaTheme="minorHAnsi" w:hAnsi="Calibri" w:cs="Calibri"/>
          <w:i/>
          <w:szCs w:val="24"/>
        </w:rPr>
        <w:t>zvýšení dostupnosti bydlení</w:t>
      </w:r>
      <w:r w:rsidRPr="0004354F">
        <w:rPr>
          <w:rFonts w:ascii="Calibri" w:eastAsiaTheme="minorHAnsi" w:hAnsi="Calibri" w:cs="Calibri"/>
          <w:szCs w:val="24"/>
        </w:rPr>
        <w:t>“</w:t>
      </w:r>
      <w:r w:rsidR="00F83B7C">
        <w:rPr>
          <w:rFonts w:ascii="Calibri" w:eastAsiaTheme="minorHAnsi" w:hAnsi="Calibri" w:cs="Calibri"/>
          <w:szCs w:val="24"/>
        </w:rPr>
        <w:t xml:space="preserve"> </w:t>
      </w:r>
      <w:r w:rsidRPr="0004354F">
        <w:rPr>
          <w:rFonts w:ascii="Calibri" w:eastAsiaTheme="minorHAnsi" w:hAnsi="Calibri" w:cs="Calibri"/>
          <w:szCs w:val="24"/>
        </w:rPr>
        <w:t>byla realizována řada opatření</w:t>
      </w:r>
      <w:r w:rsidR="00AF4E0B" w:rsidRPr="0004354F">
        <w:rPr>
          <w:rFonts w:ascii="Calibri" w:eastAsiaTheme="minorHAnsi" w:hAnsi="Calibri" w:cs="Calibri"/>
          <w:szCs w:val="24"/>
        </w:rPr>
        <w:t>,</w:t>
      </w:r>
      <w:r w:rsidR="003D05B7" w:rsidRPr="0004354F">
        <w:rPr>
          <w:rFonts w:ascii="Calibri" w:eastAsiaTheme="minorHAnsi" w:hAnsi="Calibri" w:cs="Calibri"/>
          <w:szCs w:val="24"/>
        </w:rPr>
        <w:t xml:space="preserve"> např. </w:t>
      </w:r>
      <w:r w:rsidRPr="0004354F">
        <w:rPr>
          <w:rFonts w:ascii="Calibri" w:eastAsiaTheme="minorHAnsi" w:hAnsi="Calibri" w:cs="Calibri"/>
          <w:szCs w:val="24"/>
        </w:rPr>
        <w:t>daňové</w:t>
      </w:r>
      <w:r w:rsidR="003D05B7" w:rsidRPr="0004354F">
        <w:rPr>
          <w:rFonts w:ascii="Calibri" w:eastAsiaTheme="minorHAnsi" w:hAnsi="Calibri" w:cs="Calibri"/>
          <w:szCs w:val="24"/>
        </w:rPr>
        <w:t xml:space="preserve"> </w:t>
      </w:r>
      <w:r w:rsidRPr="0004354F">
        <w:rPr>
          <w:rFonts w:ascii="Calibri" w:eastAsiaTheme="minorHAnsi" w:hAnsi="Calibri" w:cs="Calibri"/>
          <w:szCs w:val="24"/>
        </w:rPr>
        <w:t xml:space="preserve">zvýhodnění hypotečních úvěrů a úvěrů ze stavebního spoření, </w:t>
      </w:r>
      <w:r w:rsidR="003D05B7" w:rsidRPr="0004354F">
        <w:rPr>
          <w:rFonts w:ascii="Calibri" w:eastAsiaTheme="minorHAnsi" w:hAnsi="Calibri" w:cs="Calibri"/>
          <w:szCs w:val="24"/>
        </w:rPr>
        <w:t>státní příspěvek na stavební spoření (</w:t>
      </w:r>
      <w:r w:rsidR="005F397B" w:rsidRPr="0004354F">
        <w:rPr>
          <w:rFonts w:ascii="Calibri" w:eastAsiaTheme="minorHAnsi" w:hAnsi="Calibri" w:cs="Calibri"/>
          <w:szCs w:val="24"/>
        </w:rPr>
        <w:t>poskytovan</w:t>
      </w:r>
      <w:r w:rsidR="00F37E3E">
        <w:rPr>
          <w:rFonts w:ascii="Calibri" w:eastAsiaTheme="minorHAnsi" w:hAnsi="Calibri" w:cs="Calibri"/>
          <w:szCs w:val="24"/>
        </w:rPr>
        <w:t>ý</w:t>
      </w:r>
      <w:r w:rsidR="005F397B" w:rsidRPr="0004354F">
        <w:rPr>
          <w:rFonts w:ascii="Calibri" w:eastAsiaTheme="minorHAnsi" w:hAnsi="Calibri" w:cs="Calibri"/>
          <w:szCs w:val="24"/>
        </w:rPr>
        <w:t xml:space="preserve"> Ministerstvem financí</w:t>
      </w:r>
      <w:r w:rsidR="00FC6581">
        <w:rPr>
          <w:rFonts w:ascii="Calibri" w:eastAsiaTheme="minorHAnsi" w:hAnsi="Calibri" w:cs="Calibri"/>
          <w:szCs w:val="24"/>
        </w:rPr>
        <w:t>)</w:t>
      </w:r>
      <w:r w:rsidR="003D05B7" w:rsidRPr="0004354F">
        <w:rPr>
          <w:rFonts w:ascii="Calibri" w:eastAsiaTheme="minorHAnsi" w:hAnsi="Calibri" w:cs="Calibri"/>
          <w:szCs w:val="24"/>
        </w:rPr>
        <w:t xml:space="preserve">, sociální transfery v podobě příspěvků </w:t>
      </w:r>
      <w:r w:rsidR="00706E1D">
        <w:rPr>
          <w:rFonts w:ascii="Calibri" w:eastAsiaTheme="minorHAnsi" w:hAnsi="Calibri" w:cs="Calibri"/>
          <w:szCs w:val="24"/>
        </w:rPr>
        <w:t xml:space="preserve">na bydlení </w:t>
      </w:r>
      <w:r w:rsidR="003058FC">
        <w:rPr>
          <w:rFonts w:ascii="Calibri" w:eastAsiaTheme="minorHAnsi" w:hAnsi="Calibri" w:cs="Calibri"/>
          <w:szCs w:val="24"/>
        </w:rPr>
        <w:br/>
      </w:r>
      <w:r w:rsidR="003D05B7" w:rsidRPr="0004354F">
        <w:rPr>
          <w:rFonts w:ascii="Calibri" w:eastAsiaTheme="minorHAnsi" w:hAnsi="Calibri" w:cs="Calibri"/>
          <w:szCs w:val="24"/>
        </w:rPr>
        <w:t>a</w:t>
      </w:r>
      <w:r w:rsidR="003058FC">
        <w:rPr>
          <w:rFonts w:ascii="Calibri" w:eastAsiaTheme="minorHAnsi" w:hAnsi="Calibri" w:cs="Calibri"/>
          <w:szCs w:val="24"/>
        </w:rPr>
        <w:t xml:space="preserve"> </w:t>
      </w:r>
      <w:r w:rsidR="003D05B7" w:rsidRPr="0004354F">
        <w:rPr>
          <w:rFonts w:ascii="Calibri" w:eastAsiaTheme="minorHAnsi" w:hAnsi="Calibri" w:cs="Calibri"/>
          <w:szCs w:val="24"/>
        </w:rPr>
        <w:t>doplatků na bydlení (</w:t>
      </w:r>
      <w:r w:rsidR="005F397B" w:rsidRPr="0004354F">
        <w:rPr>
          <w:rFonts w:ascii="Calibri" w:eastAsiaTheme="minorHAnsi" w:hAnsi="Calibri" w:cs="Calibri"/>
          <w:szCs w:val="24"/>
        </w:rPr>
        <w:t>poskyt</w:t>
      </w:r>
      <w:r w:rsidR="000723DD">
        <w:rPr>
          <w:rFonts w:ascii="Calibri" w:eastAsiaTheme="minorHAnsi" w:hAnsi="Calibri" w:cs="Calibri"/>
          <w:szCs w:val="24"/>
        </w:rPr>
        <w:t>uje</w:t>
      </w:r>
      <w:r w:rsidR="005F397B" w:rsidRPr="0004354F">
        <w:rPr>
          <w:rFonts w:ascii="Calibri" w:eastAsiaTheme="minorHAnsi" w:hAnsi="Calibri" w:cs="Calibri"/>
          <w:szCs w:val="24"/>
        </w:rPr>
        <w:t xml:space="preserve"> </w:t>
      </w:r>
      <w:r w:rsidR="003D05B7" w:rsidRPr="0004354F">
        <w:rPr>
          <w:rFonts w:ascii="Calibri" w:eastAsiaTheme="minorHAnsi" w:hAnsi="Calibri" w:cs="Calibri"/>
          <w:szCs w:val="24"/>
        </w:rPr>
        <w:t>MPSV</w:t>
      </w:r>
      <w:r w:rsidR="005F397B" w:rsidRPr="0004354F">
        <w:rPr>
          <w:rFonts w:ascii="Calibri" w:eastAsiaTheme="minorHAnsi" w:hAnsi="Calibri" w:cs="Calibri"/>
          <w:szCs w:val="24"/>
        </w:rPr>
        <w:t>)</w:t>
      </w:r>
      <w:r w:rsidR="003D05B7" w:rsidRPr="0004354F">
        <w:rPr>
          <w:rFonts w:ascii="Calibri" w:eastAsiaTheme="minorHAnsi" w:hAnsi="Calibri" w:cs="Calibri"/>
          <w:szCs w:val="24"/>
        </w:rPr>
        <w:t>, dotační a úvěrová podpora zejména nájemního bydlení (</w:t>
      </w:r>
      <w:r w:rsidR="00301E52">
        <w:rPr>
          <w:rFonts w:ascii="Calibri" w:eastAsiaTheme="minorHAnsi" w:hAnsi="Calibri" w:cs="Calibri"/>
          <w:szCs w:val="24"/>
        </w:rPr>
        <w:t>poskyt</w:t>
      </w:r>
      <w:r w:rsidR="000723DD">
        <w:rPr>
          <w:rFonts w:ascii="Calibri" w:eastAsiaTheme="minorHAnsi" w:hAnsi="Calibri" w:cs="Calibri"/>
          <w:szCs w:val="24"/>
        </w:rPr>
        <w:t>ují</w:t>
      </w:r>
      <w:r w:rsidR="00301E52">
        <w:rPr>
          <w:rFonts w:ascii="Calibri" w:eastAsiaTheme="minorHAnsi" w:hAnsi="Calibri" w:cs="Calibri"/>
          <w:szCs w:val="24"/>
        </w:rPr>
        <w:t xml:space="preserve"> </w:t>
      </w:r>
      <w:r w:rsidR="003D05B7" w:rsidRPr="0004354F">
        <w:rPr>
          <w:rFonts w:ascii="Calibri" w:eastAsiaTheme="minorHAnsi" w:hAnsi="Calibri" w:cs="Calibri"/>
          <w:szCs w:val="24"/>
        </w:rPr>
        <w:t>MMR a SFPI)</w:t>
      </w:r>
      <w:r w:rsidR="003F46F9" w:rsidRPr="0004354F">
        <w:rPr>
          <w:rFonts w:ascii="Calibri" w:eastAsiaTheme="minorHAnsi" w:hAnsi="Calibri" w:cs="Calibri"/>
          <w:szCs w:val="24"/>
        </w:rPr>
        <w:t>, dotace na podporu snížení energetické náročnosti budov (</w:t>
      </w:r>
      <w:r w:rsidR="00301E52">
        <w:rPr>
          <w:rFonts w:ascii="Calibri" w:eastAsiaTheme="minorHAnsi" w:hAnsi="Calibri" w:cs="Calibri"/>
          <w:szCs w:val="24"/>
        </w:rPr>
        <w:t>poskyt</w:t>
      </w:r>
      <w:r w:rsidR="000723DD">
        <w:rPr>
          <w:rFonts w:ascii="Calibri" w:eastAsiaTheme="minorHAnsi" w:hAnsi="Calibri" w:cs="Calibri"/>
          <w:szCs w:val="24"/>
        </w:rPr>
        <w:t>ují</w:t>
      </w:r>
      <w:r w:rsidR="00301E52">
        <w:rPr>
          <w:rFonts w:ascii="Calibri" w:eastAsiaTheme="minorHAnsi" w:hAnsi="Calibri" w:cs="Calibri"/>
          <w:szCs w:val="24"/>
        </w:rPr>
        <w:t xml:space="preserve"> </w:t>
      </w:r>
      <w:r w:rsidR="003F46F9" w:rsidRPr="0004354F">
        <w:rPr>
          <w:rFonts w:ascii="Calibri" w:eastAsiaTheme="minorHAnsi" w:hAnsi="Calibri" w:cs="Calibri"/>
          <w:szCs w:val="24"/>
        </w:rPr>
        <w:t>MŽP/SFŽP)</w:t>
      </w:r>
      <w:r w:rsidR="00686406" w:rsidRPr="0004354F">
        <w:rPr>
          <w:rFonts w:ascii="Calibri" w:eastAsiaTheme="minorHAnsi" w:hAnsi="Calibri" w:cs="Calibri"/>
          <w:szCs w:val="24"/>
        </w:rPr>
        <w:t>. Za období let 201</w:t>
      </w:r>
      <w:r w:rsidR="00E50707">
        <w:rPr>
          <w:rFonts w:ascii="Calibri" w:eastAsiaTheme="minorHAnsi" w:hAnsi="Calibri" w:cs="Calibri"/>
          <w:szCs w:val="24"/>
        </w:rPr>
        <w:t>6</w:t>
      </w:r>
      <w:r w:rsidR="00686406" w:rsidRPr="0004354F">
        <w:rPr>
          <w:rFonts w:ascii="Calibri" w:eastAsiaTheme="minorHAnsi" w:hAnsi="Calibri" w:cs="Calibri"/>
          <w:szCs w:val="24"/>
        </w:rPr>
        <w:t xml:space="preserve">-2021 bylo </w:t>
      </w:r>
      <w:r w:rsidR="00FC6581">
        <w:rPr>
          <w:rFonts w:ascii="Calibri" w:eastAsiaTheme="minorHAnsi" w:hAnsi="Calibri" w:cs="Calibri"/>
          <w:szCs w:val="24"/>
        </w:rPr>
        <w:t xml:space="preserve">na bydlení </w:t>
      </w:r>
      <w:r w:rsidR="00686406" w:rsidRPr="0004354F">
        <w:rPr>
          <w:rFonts w:ascii="Calibri" w:eastAsiaTheme="minorHAnsi" w:hAnsi="Calibri" w:cs="Calibri"/>
          <w:szCs w:val="24"/>
        </w:rPr>
        <w:t>vynaloženo ze státního rozpočtu celkem 1</w:t>
      </w:r>
      <w:r w:rsidR="00C6398A">
        <w:rPr>
          <w:rFonts w:ascii="Calibri" w:eastAsiaTheme="minorHAnsi" w:hAnsi="Calibri" w:cs="Calibri"/>
          <w:szCs w:val="24"/>
        </w:rPr>
        <w:t>0</w:t>
      </w:r>
      <w:r w:rsidR="00686406" w:rsidRPr="0004354F">
        <w:rPr>
          <w:rFonts w:ascii="Calibri" w:eastAsiaTheme="minorHAnsi" w:hAnsi="Calibri" w:cs="Calibri"/>
          <w:szCs w:val="24"/>
        </w:rPr>
        <w:t>7,1</w:t>
      </w:r>
      <w:r w:rsidR="00C6398A">
        <w:rPr>
          <w:rFonts w:ascii="Calibri" w:eastAsiaTheme="minorHAnsi" w:hAnsi="Calibri" w:cs="Calibri"/>
          <w:szCs w:val="24"/>
        </w:rPr>
        <w:t>7</w:t>
      </w:r>
      <w:r w:rsidR="00686406" w:rsidRPr="0004354F">
        <w:rPr>
          <w:rFonts w:ascii="Calibri" w:eastAsiaTheme="minorHAnsi" w:hAnsi="Calibri" w:cs="Calibri"/>
          <w:szCs w:val="24"/>
        </w:rPr>
        <w:t xml:space="preserve"> mld. Kč</w:t>
      </w:r>
      <w:r w:rsidR="00686406" w:rsidRPr="00756C02">
        <w:rPr>
          <w:rFonts w:ascii="Calibri" w:eastAsiaTheme="minorHAnsi" w:hAnsi="Calibri" w:cs="Calibri"/>
          <w:szCs w:val="24"/>
        </w:rPr>
        <w:t xml:space="preserve">. </w:t>
      </w:r>
      <w:r w:rsidR="00686406" w:rsidRPr="00744D1F">
        <w:rPr>
          <w:rFonts w:ascii="Calibri" w:eastAsiaTheme="minorHAnsi" w:hAnsi="Calibri" w:cs="Calibri"/>
          <w:szCs w:val="24"/>
        </w:rPr>
        <w:t>Podrobn</w:t>
      </w:r>
      <w:r w:rsidR="0004354F" w:rsidRPr="00744D1F">
        <w:rPr>
          <w:rFonts w:ascii="Calibri" w:eastAsiaTheme="minorHAnsi" w:hAnsi="Calibri" w:cs="Calibri"/>
          <w:szCs w:val="24"/>
        </w:rPr>
        <w:t>ější data</w:t>
      </w:r>
      <w:r w:rsidR="00686406" w:rsidRPr="00744D1F">
        <w:rPr>
          <w:rFonts w:ascii="Calibri" w:eastAsiaTheme="minorHAnsi" w:hAnsi="Calibri" w:cs="Calibri"/>
          <w:szCs w:val="24"/>
        </w:rPr>
        <w:t xml:space="preserve"> j</w:t>
      </w:r>
      <w:r w:rsidR="0004354F" w:rsidRPr="00744D1F">
        <w:rPr>
          <w:rFonts w:ascii="Calibri" w:eastAsiaTheme="minorHAnsi" w:hAnsi="Calibri" w:cs="Calibri"/>
          <w:szCs w:val="24"/>
        </w:rPr>
        <w:t>sou</w:t>
      </w:r>
      <w:r w:rsidR="00686406" w:rsidRPr="00744D1F">
        <w:rPr>
          <w:rFonts w:ascii="Calibri" w:eastAsiaTheme="minorHAnsi" w:hAnsi="Calibri" w:cs="Calibri"/>
          <w:szCs w:val="24"/>
        </w:rPr>
        <w:t xml:space="preserve"> uveden</w:t>
      </w:r>
      <w:r w:rsidR="0017466C" w:rsidRPr="00744D1F">
        <w:rPr>
          <w:rFonts w:ascii="Calibri" w:eastAsiaTheme="minorHAnsi" w:hAnsi="Calibri" w:cs="Calibri"/>
          <w:szCs w:val="24"/>
        </w:rPr>
        <w:t>a</w:t>
      </w:r>
      <w:r w:rsidR="00686406" w:rsidRPr="00744D1F">
        <w:rPr>
          <w:rFonts w:ascii="Calibri" w:eastAsiaTheme="minorHAnsi" w:hAnsi="Calibri" w:cs="Calibri"/>
          <w:szCs w:val="24"/>
        </w:rPr>
        <w:t xml:space="preserve"> v tabulce č. 1</w:t>
      </w:r>
      <w:r w:rsidR="00301E52">
        <w:rPr>
          <w:rFonts w:ascii="Calibri" w:eastAsiaTheme="minorHAnsi" w:hAnsi="Calibri" w:cs="Calibri"/>
          <w:szCs w:val="24"/>
        </w:rPr>
        <w:t>.</w:t>
      </w:r>
    </w:p>
    <w:p w14:paraId="1535F117" w14:textId="77777777" w:rsidR="005140AE" w:rsidRDefault="005140AE" w:rsidP="001E126B">
      <w:pPr>
        <w:autoSpaceDE w:val="0"/>
        <w:autoSpaceDN w:val="0"/>
        <w:adjustRightInd w:val="0"/>
        <w:rPr>
          <w:rFonts w:ascii="Calibri" w:eastAsiaTheme="minorHAnsi" w:hAnsi="Calibri" w:cs="Calibri"/>
          <w:szCs w:val="24"/>
        </w:rPr>
      </w:pPr>
    </w:p>
    <w:p w14:paraId="6F9C7830" w14:textId="0BEAFFAC" w:rsidR="00AA2F55" w:rsidRPr="008775EC" w:rsidRDefault="00455CD6" w:rsidP="008775EC">
      <w:pPr>
        <w:pStyle w:val="Titulek"/>
        <w:keepNext/>
        <w:tabs>
          <w:tab w:val="right" w:pos="9212"/>
        </w:tabs>
        <w:spacing w:after="0"/>
        <w:jc w:val="left"/>
        <w:rPr>
          <w:rFonts w:asciiTheme="minorHAnsi" w:hAnsiTheme="minorHAnsi" w:cstheme="minorHAnsi"/>
          <w:color w:val="auto"/>
          <w:sz w:val="24"/>
          <w:szCs w:val="24"/>
          <w:shd w:val="clear" w:color="auto" w:fill="FFFFFF"/>
        </w:rPr>
      </w:pPr>
      <w:bookmarkStart w:id="4" w:name="OLE_LINK1"/>
      <w:r w:rsidRPr="008775EC">
        <w:rPr>
          <w:rFonts w:asciiTheme="minorHAnsi" w:hAnsiTheme="minorHAnsi" w:cstheme="minorHAnsi"/>
          <w:color w:val="auto"/>
          <w:sz w:val="24"/>
          <w:szCs w:val="24"/>
        </w:rPr>
        <w:t>Tabulka č. 1</w:t>
      </w:r>
      <w:r w:rsidRPr="008775EC">
        <w:rPr>
          <w:rFonts w:asciiTheme="minorHAnsi" w:hAnsiTheme="minorHAnsi" w:cstheme="minorHAnsi"/>
          <w:color w:val="auto"/>
          <w:sz w:val="24"/>
          <w:szCs w:val="24"/>
          <w:shd w:val="clear" w:color="auto" w:fill="FFFFFF"/>
        </w:rPr>
        <w:t xml:space="preserve">: Přehled výdajů státu </w:t>
      </w:r>
      <w:r w:rsidR="000723DD">
        <w:rPr>
          <w:rFonts w:asciiTheme="minorHAnsi" w:hAnsiTheme="minorHAnsi" w:cstheme="minorHAnsi"/>
          <w:color w:val="auto"/>
          <w:sz w:val="24"/>
          <w:szCs w:val="24"/>
          <w:shd w:val="clear" w:color="auto" w:fill="FFFFFF"/>
        </w:rPr>
        <w:t>v</w:t>
      </w:r>
      <w:r w:rsidRPr="008775EC">
        <w:rPr>
          <w:rFonts w:asciiTheme="minorHAnsi" w:hAnsiTheme="minorHAnsi" w:cstheme="minorHAnsi"/>
          <w:color w:val="auto"/>
          <w:sz w:val="24"/>
          <w:szCs w:val="24"/>
          <w:shd w:val="clear" w:color="auto" w:fill="FFFFFF"/>
        </w:rPr>
        <w:t xml:space="preserve"> oblasti bydlení v období 201</w:t>
      </w:r>
      <w:r w:rsidR="0008618C" w:rsidRPr="008775EC">
        <w:rPr>
          <w:rFonts w:asciiTheme="minorHAnsi" w:hAnsiTheme="minorHAnsi" w:cstheme="minorHAnsi"/>
          <w:color w:val="auto"/>
          <w:sz w:val="24"/>
          <w:szCs w:val="24"/>
          <w:shd w:val="clear" w:color="auto" w:fill="FFFFFF"/>
        </w:rPr>
        <w:t>6</w:t>
      </w:r>
      <w:r w:rsidR="008775EC">
        <w:rPr>
          <w:rFonts w:asciiTheme="minorHAnsi" w:hAnsiTheme="minorHAnsi" w:cstheme="minorHAnsi"/>
          <w:color w:val="auto"/>
          <w:sz w:val="24"/>
          <w:szCs w:val="24"/>
          <w:shd w:val="clear" w:color="auto" w:fill="FFFFFF"/>
        </w:rPr>
        <w:t>–</w:t>
      </w:r>
      <w:r w:rsidRPr="008775EC">
        <w:rPr>
          <w:rFonts w:asciiTheme="minorHAnsi" w:hAnsiTheme="minorHAnsi" w:cstheme="minorHAnsi"/>
          <w:color w:val="auto"/>
          <w:sz w:val="24"/>
          <w:szCs w:val="24"/>
          <w:shd w:val="clear" w:color="auto" w:fill="FFFFFF"/>
        </w:rPr>
        <w:t>2021</w:t>
      </w:r>
      <w:r w:rsidR="00B01DA3" w:rsidRPr="008775EC">
        <w:rPr>
          <w:rFonts w:asciiTheme="minorHAnsi" w:hAnsiTheme="minorHAnsi" w:cstheme="minorHAnsi"/>
          <w:color w:val="auto"/>
          <w:sz w:val="24"/>
          <w:szCs w:val="24"/>
          <w:shd w:val="clear" w:color="auto" w:fill="FFFFFF"/>
        </w:rPr>
        <w:t xml:space="preserve"> </w:t>
      </w:r>
      <w:r w:rsidR="008775EC">
        <w:rPr>
          <w:rFonts w:asciiTheme="minorHAnsi" w:hAnsiTheme="minorHAnsi" w:cstheme="minorHAnsi"/>
          <w:color w:val="auto"/>
          <w:sz w:val="24"/>
          <w:szCs w:val="24"/>
          <w:shd w:val="clear" w:color="auto" w:fill="FFFFFF"/>
        </w:rPr>
        <w:tab/>
      </w:r>
      <w:r w:rsidR="00713F9B" w:rsidRPr="008775EC">
        <w:rPr>
          <w:rFonts w:asciiTheme="minorHAnsi" w:hAnsiTheme="minorHAnsi" w:cstheme="minorHAnsi"/>
          <w:color w:val="auto"/>
          <w:sz w:val="24"/>
          <w:szCs w:val="24"/>
          <w:shd w:val="clear" w:color="auto" w:fill="FFFFFF"/>
        </w:rPr>
        <w:t>(</w:t>
      </w:r>
      <w:r w:rsidR="006740F8" w:rsidRPr="008775EC">
        <w:rPr>
          <w:rFonts w:asciiTheme="minorHAnsi" w:hAnsiTheme="minorHAnsi" w:cstheme="minorHAnsi"/>
          <w:color w:val="auto"/>
          <w:sz w:val="24"/>
          <w:szCs w:val="24"/>
          <w:shd w:val="clear" w:color="auto" w:fill="FFFFFF"/>
        </w:rPr>
        <w:t>v mil. Kč</w:t>
      </w:r>
      <w:r w:rsidR="00713F9B" w:rsidRPr="008775EC">
        <w:rPr>
          <w:rFonts w:asciiTheme="minorHAnsi" w:hAnsiTheme="minorHAnsi" w:cstheme="minorHAnsi"/>
          <w:color w:val="auto"/>
          <w:sz w:val="24"/>
          <w:szCs w:val="24"/>
          <w:shd w:val="clear" w:color="auto" w:fill="FFFFFF"/>
        </w:rPr>
        <w:t>)</w:t>
      </w:r>
    </w:p>
    <w:tbl>
      <w:tblPr>
        <w:tblW w:w="9099" w:type="dxa"/>
        <w:tblCellMar>
          <w:left w:w="70" w:type="dxa"/>
          <w:right w:w="70" w:type="dxa"/>
        </w:tblCellMar>
        <w:tblLook w:val="04A0" w:firstRow="1" w:lastRow="0" w:firstColumn="1" w:lastColumn="0" w:noHBand="0" w:noVBand="1"/>
      </w:tblPr>
      <w:tblGrid>
        <w:gridCol w:w="1304"/>
        <w:gridCol w:w="960"/>
        <w:gridCol w:w="960"/>
        <w:gridCol w:w="960"/>
        <w:gridCol w:w="960"/>
        <w:gridCol w:w="960"/>
        <w:gridCol w:w="960"/>
        <w:gridCol w:w="1077"/>
        <w:gridCol w:w="958"/>
      </w:tblGrid>
      <w:tr w:rsidR="006C2AA9" w:rsidRPr="006C2AA9" w14:paraId="12664CA9" w14:textId="77777777" w:rsidTr="00756C02">
        <w:trPr>
          <w:trHeight w:val="765"/>
        </w:trPr>
        <w:tc>
          <w:tcPr>
            <w:tcW w:w="1304"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60BBA9F2" w14:textId="77777777" w:rsidR="006C2AA9" w:rsidRPr="008775EC" w:rsidRDefault="006C2AA9" w:rsidP="001E126B">
            <w:pPr>
              <w:jc w:val="left"/>
              <w:rPr>
                <w:rFonts w:ascii="Calibri" w:hAnsi="Calibri" w:cs="Calibri"/>
                <w:b/>
                <w:bCs/>
                <w:color w:val="000000"/>
                <w:sz w:val="18"/>
                <w:szCs w:val="18"/>
              </w:rPr>
            </w:pPr>
          </w:p>
        </w:tc>
        <w:tc>
          <w:tcPr>
            <w:tcW w:w="960" w:type="dxa"/>
            <w:tcBorders>
              <w:top w:val="single" w:sz="4" w:space="0" w:color="auto"/>
              <w:left w:val="nil"/>
              <w:bottom w:val="single" w:sz="4" w:space="0" w:color="auto"/>
              <w:right w:val="single" w:sz="4" w:space="0" w:color="auto"/>
            </w:tcBorders>
            <w:shd w:val="clear" w:color="000000" w:fill="E5F1FF"/>
            <w:vAlign w:val="center"/>
            <w:hideMark/>
          </w:tcPr>
          <w:p w14:paraId="1A7380F5" w14:textId="77777777" w:rsidR="006C2AA9" w:rsidRPr="006C2AA9" w:rsidRDefault="006C2AA9" w:rsidP="001E126B">
            <w:pPr>
              <w:jc w:val="center"/>
              <w:rPr>
                <w:rFonts w:ascii="Calibri" w:hAnsi="Calibri" w:cs="Calibri"/>
                <w:b/>
                <w:bCs/>
                <w:color w:val="000000"/>
                <w:sz w:val="20"/>
              </w:rPr>
            </w:pPr>
            <w:r w:rsidRPr="006C2AA9">
              <w:rPr>
                <w:rFonts w:ascii="Calibri" w:hAnsi="Calibri" w:cs="Calibri"/>
                <w:b/>
                <w:bCs/>
                <w:color w:val="000000"/>
                <w:sz w:val="20"/>
              </w:rPr>
              <w:t>2016</w:t>
            </w:r>
          </w:p>
        </w:tc>
        <w:tc>
          <w:tcPr>
            <w:tcW w:w="960" w:type="dxa"/>
            <w:tcBorders>
              <w:top w:val="single" w:sz="4" w:space="0" w:color="auto"/>
              <w:left w:val="nil"/>
              <w:bottom w:val="single" w:sz="4" w:space="0" w:color="auto"/>
              <w:right w:val="single" w:sz="4" w:space="0" w:color="auto"/>
            </w:tcBorders>
            <w:shd w:val="clear" w:color="000000" w:fill="E5F1FF"/>
            <w:vAlign w:val="center"/>
            <w:hideMark/>
          </w:tcPr>
          <w:p w14:paraId="5C26FAE3" w14:textId="77777777" w:rsidR="006C2AA9" w:rsidRPr="006C2AA9" w:rsidRDefault="006C2AA9" w:rsidP="001E126B">
            <w:pPr>
              <w:jc w:val="center"/>
              <w:rPr>
                <w:rFonts w:ascii="Calibri" w:hAnsi="Calibri" w:cs="Calibri"/>
                <w:b/>
                <w:bCs/>
                <w:color w:val="000000"/>
                <w:sz w:val="20"/>
              </w:rPr>
            </w:pPr>
            <w:r w:rsidRPr="006C2AA9">
              <w:rPr>
                <w:rFonts w:ascii="Calibri" w:hAnsi="Calibri" w:cs="Calibri"/>
                <w:b/>
                <w:bCs/>
                <w:color w:val="000000"/>
                <w:sz w:val="20"/>
              </w:rPr>
              <w:t>2017</w:t>
            </w:r>
          </w:p>
        </w:tc>
        <w:tc>
          <w:tcPr>
            <w:tcW w:w="960" w:type="dxa"/>
            <w:tcBorders>
              <w:top w:val="single" w:sz="4" w:space="0" w:color="auto"/>
              <w:left w:val="nil"/>
              <w:bottom w:val="single" w:sz="4" w:space="0" w:color="auto"/>
              <w:right w:val="single" w:sz="4" w:space="0" w:color="auto"/>
            </w:tcBorders>
            <w:shd w:val="clear" w:color="000000" w:fill="E5F1FF"/>
            <w:vAlign w:val="center"/>
            <w:hideMark/>
          </w:tcPr>
          <w:p w14:paraId="5E73C608" w14:textId="77777777" w:rsidR="006C2AA9" w:rsidRPr="006C2AA9" w:rsidRDefault="006C2AA9" w:rsidP="001E126B">
            <w:pPr>
              <w:jc w:val="center"/>
              <w:rPr>
                <w:rFonts w:ascii="Calibri" w:hAnsi="Calibri" w:cs="Calibri"/>
                <w:b/>
                <w:bCs/>
                <w:color w:val="000000"/>
                <w:sz w:val="20"/>
              </w:rPr>
            </w:pPr>
            <w:r w:rsidRPr="006C2AA9">
              <w:rPr>
                <w:rFonts w:ascii="Calibri" w:hAnsi="Calibri" w:cs="Calibri"/>
                <w:b/>
                <w:bCs/>
                <w:color w:val="000000"/>
                <w:sz w:val="20"/>
              </w:rPr>
              <w:t>2018</w:t>
            </w:r>
          </w:p>
        </w:tc>
        <w:tc>
          <w:tcPr>
            <w:tcW w:w="960" w:type="dxa"/>
            <w:tcBorders>
              <w:top w:val="single" w:sz="4" w:space="0" w:color="auto"/>
              <w:left w:val="nil"/>
              <w:bottom w:val="single" w:sz="4" w:space="0" w:color="auto"/>
              <w:right w:val="single" w:sz="4" w:space="0" w:color="auto"/>
            </w:tcBorders>
            <w:shd w:val="clear" w:color="000000" w:fill="E5F1FF"/>
            <w:vAlign w:val="center"/>
            <w:hideMark/>
          </w:tcPr>
          <w:p w14:paraId="1A810C82" w14:textId="77777777" w:rsidR="006C2AA9" w:rsidRPr="006C2AA9" w:rsidRDefault="006C2AA9" w:rsidP="001E126B">
            <w:pPr>
              <w:jc w:val="center"/>
              <w:rPr>
                <w:rFonts w:ascii="Calibri" w:hAnsi="Calibri" w:cs="Calibri"/>
                <w:b/>
                <w:bCs/>
                <w:color w:val="000000"/>
                <w:sz w:val="20"/>
              </w:rPr>
            </w:pPr>
            <w:r w:rsidRPr="006C2AA9">
              <w:rPr>
                <w:rFonts w:ascii="Calibri" w:hAnsi="Calibri" w:cs="Calibri"/>
                <w:b/>
                <w:bCs/>
                <w:color w:val="000000"/>
                <w:sz w:val="20"/>
              </w:rPr>
              <w:t>2019</w:t>
            </w:r>
          </w:p>
        </w:tc>
        <w:tc>
          <w:tcPr>
            <w:tcW w:w="960" w:type="dxa"/>
            <w:tcBorders>
              <w:top w:val="single" w:sz="4" w:space="0" w:color="auto"/>
              <w:left w:val="nil"/>
              <w:bottom w:val="single" w:sz="4" w:space="0" w:color="auto"/>
              <w:right w:val="single" w:sz="4" w:space="0" w:color="auto"/>
            </w:tcBorders>
            <w:shd w:val="clear" w:color="000000" w:fill="E5F1FF"/>
            <w:vAlign w:val="center"/>
            <w:hideMark/>
          </w:tcPr>
          <w:p w14:paraId="63C98468" w14:textId="77777777" w:rsidR="006C2AA9" w:rsidRPr="006C2AA9" w:rsidRDefault="006C2AA9" w:rsidP="001E126B">
            <w:pPr>
              <w:jc w:val="center"/>
              <w:rPr>
                <w:rFonts w:ascii="Calibri" w:hAnsi="Calibri" w:cs="Calibri"/>
                <w:b/>
                <w:bCs/>
                <w:color w:val="000000"/>
                <w:sz w:val="20"/>
              </w:rPr>
            </w:pPr>
            <w:r w:rsidRPr="006C2AA9">
              <w:rPr>
                <w:rFonts w:ascii="Calibri" w:hAnsi="Calibri" w:cs="Calibri"/>
                <w:b/>
                <w:bCs/>
                <w:color w:val="000000"/>
                <w:sz w:val="20"/>
              </w:rPr>
              <w:t>2020</w:t>
            </w:r>
          </w:p>
        </w:tc>
        <w:tc>
          <w:tcPr>
            <w:tcW w:w="960" w:type="dxa"/>
            <w:tcBorders>
              <w:top w:val="single" w:sz="4" w:space="0" w:color="auto"/>
              <w:left w:val="nil"/>
              <w:bottom w:val="single" w:sz="4" w:space="0" w:color="auto"/>
              <w:right w:val="single" w:sz="4" w:space="0" w:color="auto"/>
            </w:tcBorders>
            <w:shd w:val="clear" w:color="000000" w:fill="E5F1FF"/>
            <w:vAlign w:val="center"/>
            <w:hideMark/>
          </w:tcPr>
          <w:p w14:paraId="44E977ED" w14:textId="77777777" w:rsidR="006C2AA9" w:rsidRPr="006C2AA9" w:rsidRDefault="006C2AA9" w:rsidP="001E126B">
            <w:pPr>
              <w:jc w:val="center"/>
              <w:rPr>
                <w:rFonts w:ascii="Calibri" w:hAnsi="Calibri" w:cs="Calibri"/>
                <w:b/>
                <w:bCs/>
                <w:color w:val="000000"/>
                <w:sz w:val="20"/>
              </w:rPr>
            </w:pPr>
            <w:r w:rsidRPr="006C2AA9">
              <w:rPr>
                <w:rFonts w:ascii="Calibri" w:hAnsi="Calibri" w:cs="Calibri"/>
                <w:b/>
                <w:bCs/>
                <w:color w:val="000000"/>
                <w:sz w:val="20"/>
              </w:rPr>
              <w:t>2021</w:t>
            </w:r>
          </w:p>
        </w:tc>
        <w:tc>
          <w:tcPr>
            <w:tcW w:w="1077" w:type="dxa"/>
            <w:tcBorders>
              <w:top w:val="single" w:sz="4" w:space="0" w:color="auto"/>
              <w:left w:val="nil"/>
              <w:bottom w:val="single" w:sz="4" w:space="0" w:color="auto"/>
              <w:right w:val="single" w:sz="4" w:space="0" w:color="auto"/>
            </w:tcBorders>
            <w:shd w:val="clear" w:color="000000" w:fill="E5F1FF"/>
            <w:vAlign w:val="center"/>
            <w:hideMark/>
          </w:tcPr>
          <w:p w14:paraId="4BAA9963" w14:textId="7B02D5F3" w:rsidR="006C2AA9" w:rsidRPr="006C2AA9" w:rsidRDefault="006C2AA9" w:rsidP="001E126B">
            <w:pPr>
              <w:jc w:val="center"/>
              <w:rPr>
                <w:rFonts w:ascii="Calibri" w:hAnsi="Calibri" w:cs="Calibri"/>
                <w:b/>
                <w:bCs/>
                <w:color w:val="000000"/>
                <w:sz w:val="20"/>
              </w:rPr>
            </w:pPr>
            <w:r w:rsidRPr="006C2AA9">
              <w:rPr>
                <w:rFonts w:ascii="Calibri" w:hAnsi="Calibri" w:cs="Calibri"/>
                <w:b/>
                <w:bCs/>
                <w:color w:val="000000"/>
                <w:sz w:val="20"/>
              </w:rPr>
              <w:t>Celkem 2016</w:t>
            </w:r>
            <w:r w:rsidR="00771D4C">
              <w:rPr>
                <w:rFonts w:ascii="Calibri" w:hAnsi="Calibri" w:cs="Calibri"/>
                <w:b/>
                <w:bCs/>
                <w:color w:val="000000"/>
                <w:sz w:val="20"/>
              </w:rPr>
              <w:t>–</w:t>
            </w:r>
            <w:r w:rsidRPr="006C2AA9">
              <w:rPr>
                <w:rFonts w:ascii="Calibri" w:hAnsi="Calibri" w:cs="Calibri"/>
                <w:b/>
                <w:bCs/>
                <w:color w:val="000000"/>
                <w:sz w:val="20"/>
              </w:rPr>
              <w:t>2021</w:t>
            </w:r>
          </w:p>
        </w:tc>
        <w:tc>
          <w:tcPr>
            <w:tcW w:w="958" w:type="dxa"/>
            <w:tcBorders>
              <w:top w:val="single" w:sz="4" w:space="0" w:color="auto"/>
              <w:left w:val="nil"/>
              <w:bottom w:val="single" w:sz="4" w:space="0" w:color="auto"/>
              <w:right w:val="single" w:sz="4" w:space="0" w:color="auto"/>
            </w:tcBorders>
            <w:shd w:val="clear" w:color="000000" w:fill="E5F1FF"/>
            <w:vAlign w:val="center"/>
            <w:hideMark/>
          </w:tcPr>
          <w:p w14:paraId="6ACB4015" w14:textId="77777777" w:rsidR="006C2AA9" w:rsidRPr="006C2AA9" w:rsidRDefault="006C2AA9" w:rsidP="001E126B">
            <w:pPr>
              <w:jc w:val="center"/>
              <w:rPr>
                <w:rFonts w:ascii="Calibri" w:hAnsi="Calibri" w:cs="Calibri"/>
                <w:b/>
                <w:bCs/>
                <w:color w:val="000000"/>
                <w:sz w:val="20"/>
              </w:rPr>
            </w:pPr>
            <w:r w:rsidRPr="006C2AA9">
              <w:rPr>
                <w:rFonts w:ascii="Calibri" w:hAnsi="Calibri" w:cs="Calibri"/>
                <w:b/>
                <w:bCs/>
                <w:color w:val="000000"/>
                <w:sz w:val="20"/>
              </w:rPr>
              <w:t>Podíl na celkových výdajích</w:t>
            </w:r>
          </w:p>
        </w:tc>
      </w:tr>
      <w:tr w:rsidR="006C2AA9" w:rsidRPr="006C2AA9" w14:paraId="1B5A9E13" w14:textId="77777777" w:rsidTr="00756C02">
        <w:trPr>
          <w:trHeight w:val="283"/>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14:paraId="79979993" w14:textId="77777777" w:rsidR="006C2AA9" w:rsidRPr="008775EC" w:rsidRDefault="006C2AA9" w:rsidP="001E126B">
            <w:pPr>
              <w:jc w:val="left"/>
              <w:rPr>
                <w:rFonts w:cstheme="minorHAnsi"/>
                <w:b/>
                <w:bCs/>
                <w:color w:val="000000"/>
                <w:sz w:val="18"/>
                <w:szCs w:val="18"/>
              </w:rPr>
            </w:pPr>
            <w:r w:rsidRPr="008775EC">
              <w:rPr>
                <w:rFonts w:cstheme="minorHAnsi"/>
                <w:b/>
                <w:bCs/>
                <w:color w:val="000000"/>
                <w:sz w:val="18"/>
                <w:szCs w:val="18"/>
              </w:rPr>
              <w:t>MMR</w:t>
            </w:r>
          </w:p>
        </w:tc>
        <w:tc>
          <w:tcPr>
            <w:tcW w:w="960" w:type="dxa"/>
            <w:tcBorders>
              <w:top w:val="nil"/>
              <w:left w:val="nil"/>
              <w:bottom w:val="single" w:sz="4" w:space="0" w:color="auto"/>
              <w:right w:val="single" w:sz="4" w:space="0" w:color="auto"/>
            </w:tcBorders>
            <w:shd w:val="clear" w:color="auto" w:fill="auto"/>
            <w:noWrap/>
            <w:vAlign w:val="bottom"/>
            <w:hideMark/>
          </w:tcPr>
          <w:p w14:paraId="47EBA6B8"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374,94</w:t>
            </w:r>
          </w:p>
        </w:tc>
        <w:tc>
          <w:tcPr>
            <w:tcW w:w="960" w:type="dxa"/>
            <w:tcBorders>
              <w:top w:val="nil"/>
              <w:left w:val="nil"/>
              <w:bottom w:val="single" w:sz="4" w:space="0" w:color="auto"/>
              <w:right w:val="single" w:sz="4" w:space="0" w:color="auto"/>
            </w:tcBorders>
            <w:shd w:val="clear" w:color="auto" w:fill="auto"/>
            <w:noWrap/>
            <w:vAlign w:val="bottom"/>
            <w:hideMark/>
          </w:tcPr>
          <w:p w14:paraId="3667C6AC"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422,00</w:t>
            </w:r>
          </w:p>
        </w:tc>
        <w:tc>
          <w:tcPr>
            <w:tcW w:w="960" w:type="dxa"/>
            <w:tcBorders>
              <w:top w:val="nil"/>
              <w:left w:val="nil"/>
              <w:bottom w:val="single" w:sz="4" w:space="0" w:color="auto"/>
              <w:right w:val="single" w:sz="4" w:space="0" w:color="auto"/>
            </w:tcBorders>
            <w:shd w:val="clear" w:color="auto" w:fill="auto"/>
            <w:noWrap/>
            <w:vAlign w:val="bottom"/>
            <w:hideMark/>
          </w:tcPr>
          <w:p w14:paraId="463D888E"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321,44</w:t>
            </w:r>
          </w:p>
        </w:tc>
        <w:tc>
          <w:tcPr>
            <w:tcW w:w="960" w:type="dxa"/>
            <w:tcBorders>
              <w:top w:val="nil"/>
              <w:left w:val="nil"/>
              <w:bottom w:val="single" w:sz="4" w:space="0" w:color="auto"/>
              <w:right w:val="single" w:sz="4" w:space="0" w:color="auto"/>
            </w:tcBorders>
            <w:shd w:val="clear" w:color="auto" w:fill="auto"/>
            <w:noWrap/>
            <w:vAlign w:val="bottom"/>
            <w:hideMark/>
          </w:tcPr>
          <w:p w14:paraId="41AC81C8"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382,44</w:t>
            </w:r>
          </w:p>
        </w:tc>
        <w:tc>
          <w:tcPr>
            <w:tcW w:w="960" w:type="dxa"/>
            <w:tcBorders>
              <w:top w:val="nil"/>
              <w:left w:val="nil"/>
              <w:bottom w:val="single" w:sz="4" w:space="0" w:color="auto"/>
              <w:right w:val="single" w:sz="4" w:space="0" w:color="auto"/>
            </w:tcBorders>
            <w:shd w:val="clear" w:color="auto" w:fill="auto"/>
            <w:noWrap/>
            <w:vAlign w:val="bottom"/>
            <w:hideMark/>
          </w:tcPr>
          <w:p w14:paraId="11FBB977"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518,07</w:t>
            </w:r>
          </w:p>
        </w:tc>
        <w:tc>
          <w:tcPr>
            <w:tcW w:w="960" w:type="dxa"/>
            <w:tcBorders>
              <w:top w:val="nil"/>
              <w:left w:val="nil"/>
              <w:bottom w:val="single" w:sz="4" w:space="0" w:color="auto"/>
              <w:right w:val="single" w:sz="4" w:space="0" w:color="auto"/>
            </w:tcBorders>
            <w:shd w:val="clear" w:color="auto" w:fill="auto"/>
            <w:noWrap/>
            <w:vAlign w:val="bottom"/>
            <w:hideMark/>
          </w:tcPr>
          <w:p w14:paraId="0106BB9D"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260,46</w:t>
            </w:r>
          </w:p>
        </w:tc>
        <w:tc>
          <w:tcPr>
            <w:tcW w:w="1077" w:type="dxa"/>
            <w:tcBorders>
              <w:top w:val="nil"/>
              <w:left w:val="nil"/>
              <w:bottom w:val="single" w:sz="4" w:space="0" w:color="auto"/>
              <w:right w:val="single" w:sz="4" w:space="0" w:color="auto"/>
            </w:tcBorders>
            <w:shd w:val="clear" w:color="auto" w:fill="auto"/>
            <w:noWrap/>
            <w:vAlign w:val="bottom"/>
            <w:hideMark/>
          </w:tcPr>
          <w:p w14:paraId="7A581E0B"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2 279,35</w:t>
            </w:r>
          </w:p>
        </w:tc>
        <w:tc>
          <w:tcPr>
            <w:tcW w:w="958" w:type="dxa"/>
            <w:tcBorders>
              <w:top w:val="nil"/>
              <w:left w:val="nil"/>
              <w:bottom w:val="single" w:sz="4" w:space="0" w:color="auto"/>
              <w:right w:val="single" w:sz="4" w:space="0" w:color="auto"/>
            </w:tcBorders>
            <w:shd w:val="clear" w:color="auto" w:fill="auto"/>
            <w:noWrap/>
            <w:vAlign w:val="bottom"/>
            <w:hideMark/>
          </w:tcPr>
          <w:p w14:paraId="21858C0D" w14:textId="6C43CD5E" w:rsidR="006C2AA9" w:rsidRPr="008775EC" w:rsidRDefault="006C2AA9" w:rsidP="001E126B">
            <w:pPr>
              <w:jc w:val="right"/>
              <w:rPr>
                <w:rFonts w:cstheme="minorHAnsi"/>
                <w:color w:val="000000"/>
                <w:sz w:val="18"/>
                <w:szCs w:val="18"/>
              </w:rPr>
            </w:pPr>
            <w:r w:rsidRPr="008775EC">
              <w:rPr>
                <w:rFonts w:cstheme="minorHAnsi"/>
                <w:color w:val="000000"/>
                <w:sz w:val="18"/>
                <w:szCs w:val="18"/>
              </w:rPr>
              <w:t>2,13</w:t>
            </w:r>
            <w:r w:rsidR="00771D4C">
              <w:rPr>
                <w:rFonts w:cstheme="minorHAnsi"/>
                <w:color w:val="000000"/>
                <w:sz w:val="18"/>
                <w:szCs w:val="18"/>
              </w:rPr>
              <w:t xml:space="preserve"> </w:t>
            </w:r>
            <w:r w:rsidRPr="008775EC">
              <w:rPr>
                <w:rFonts w:cstheme="minorHAnsi"/>
                <w:color w:val="000000"/>
                <w:sz w:val="18"/>
                <w:szCs w:val="18"/>
              </w:rPr>
              <w:t>%</w:t>
            </w:r>
          </w:p>
        </w:tc>
      </w:tr>
      <w:tr w:rsidR="006C2AA9" w:rsidRPr="006C2AA9" w14:paraId="034E1DF7" w14:textId="77777777" w:rsidTr="00756C02">
        <w:trPr>
          <w:trHeight w:val="283"/>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14:paraId="7E6F0016" w14:textId="77777777" w:rsidR="006C2AA9" w:rsidRPr="008775EC" w:rsidRDefault="006C2AA9" w:rsidP="001E126B">
            <w:pPr>
              <w:jc w:val="left"/>
              <w:rPr>
                <w:rFonts w:cstheme="minorHAnsi"/>
                <w:b/>
                <w:bCs/>
                <w:color w:val="000000"/>
                <w:sz w:val="18"/>
                <w:szCs w:val="18"/>
              </w:rPr>
            </w:pPr>
            <w:r w:rsidRPr="008775EC">
              <w:rPr>
                <w:rFonts w:cstheme="minorHAnsi"/>
                <w:b/>
                <w:bCs/>
                <w:color w:val="000000"/>
                <w:sz w:val="18"/>
                <w:szCs w:val="18"/>
              </w:rPr>
              <w:t>SFPI</w:t>
            </w:r>
          </w:p>
        </w:tc>
        <w:tc>
          <w:tcPr>
            <w:tcW w:w="960" w:type="dxa"/>
            <w:tcBorders>
              <w:top w:val="nil"/>
              <w:left w:val="nil"/>
              <w:bottom w:val="single" w:sz="4" w:space="0" w:color="auto"/>
              <w:right w:val="single" w:sz="4" w:space="0" w:color="auto"/>
            </w:tcBorders>
            <w:shd w:val="clear" w:color="auto" w:fill="auto"/>
            <w:noWrap/>
            <w:vAlign w:val="bottom"/>
            <w:hideMark/>
          </w:tcPr>
          <w:p w14:paraId="03634D3F"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1 262,74</w:t>
            </w:r>
          </w:p>
        </w:tc>
        <w:tc>
          <w:tcPr>
            <w:tcW w:w="960" w:type="dxa"/>
            <w:tcBorders>
              <w:top w:val="nil"/>
              <w:left w:val="nil"/>
              <w:bottom w:val="single" w:sz="4" w:space="0" w:color="auto"/>
              <w:right w:val="single" w:sz="4" w:space="0" w:color="auto"/>
            </w:tcBorders>
            <w:shd w:val="clear" w:color="auto" w:fill="auto"/>
            <w:noWrap/>
            <w:vAlign w:val="bottom"/>
            <w:hideMark/>
          </w:tcPr>
          <w:p w14:paraId="13972A1A"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1 082,40</w:t>
            </w:r>
          </w:p>
        </w:tc>
        <w:tc>
          <w:tcPr>
            <w:tcW w:w="960" w:type="dxa"/>
            <w:tcBorders>
              <w:top w:val="nil"/>
              <w:left w:val="nil"/>
              <w:bottom w:val="single" w:sz="4" w:space="0" w:color="auto"/>
              <w:right w:val="single" w:sz="4" w:space="0" w:color="auto"/>
            </w:tcBorders>
            <w:shd w:val="clear" w:color="auto" w:fill="auto"/>
            <w:noWrap/>
            <w:vAlign w:val="bottom"/>
            <w:hideMark/>
          </w:tcPr>
          <w:p w14:paraId="2936F479"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1 106,62</w:t>
            </w:r>
          </w:p>
        </w:tc>
        <w:tc>
          <w:tcPr>
            <w:tcW w:w="960" w:type="dxa"/>
            <w:tcBorders>
              <w:top w:val="nil"/>
              <w:left w:val="nil"/>
              <w:bottom w:val="single" w:sz="4" w:space="0" w:color="auto"/>
              <w:right w:val="single" w:sz="4" w:space="0" w:color="auto"/>
            </w:tcBorders>
            <w:shd w:val="clear" w:color="auto" w:fill="auto"/>
            <w:noWrap/>
            <w:vAlign w:val="bottom"/>
            <w:hideMark/>
          </w:tcPr>
          <w:p w14:paraId="3C4D954F"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1 532,99</w:t>
            </w:r>
          </w:p>
        </w:tc>
        <w:tc>
          <w:tcPr>
            <w:tcW w:w="960" w:type="dxa"/>
            <w:tcBorders>
              <w:top w:val="nil"/>
              <w:left w:val="nil"/>
              <w:bottom w:val="single" w:sz="4" w:space="0" w:color="auto"/>
              <w:right w:val="single" w:sz="4" w:space="0" w:color="auto"/>
            </w:tcBorders>
            <w:shd w:val="clear" w:color="auto" w:fill="auto"/>
            <w:noWrap/>
            <w:vAlign w:val="bottom"/>
            <w:hideMark/>
          </w:tcPr>
          <w:p w14:paraId="0765B8E4"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1 593,30</w:t>
            </w:r>
          </w:p>
        </w:tc>
        <w:tc>
          <w:tcPr>
            <w:tcW w:w="960" w:type="dxa"/>
            <w:tcBorders>
              <w:top w:val="nil"/>
              <w:left w:val="nil"/>
              <w:bottom w:val="single" w:sz="4" w:space="0" w:color="auto"/>
              <w:right w:val="single" w:sz="4" w:space="0" w:color="auto"/>
            </w:tcBorders>
            <w:shd w:val="clear" w:color="auto" w:fill="auto"/>
            <w:noWrap/>
            <w:vAlign w:val="bottom"/>
            <w:hideMark/>
          </w:tcPr>
          <w:p w14:paraId="6472B75A"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2 961,15</w:t>
            </w:r>
          </w:p>
        </w:tc>
        <w:tc>
          <w:tcPr>
            <w:tcW w:w="1077" w:type="dxa"/>
            <w:tcBorders>
              <w:top w:val="nil"/>
              <w:left w:val="nil"/>
              <w:bottom w:val="single" w:sz="4" w:space="0" w:color="auto"/>
              <w:right w:val="single" w:sz="4" w:space="0" w:color="auto"/>
            </w:tcBorders>
            <w:shd w:val="clear" w:color="auto" w:fill="auto"/>
            <w:noWrap/>
            <w:vAlign w:val="bottom"/>
            <w:hideMark/>
          </w:tcPr>
          <w:p w14:paraId="1FF0DE33"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9 539,20</w:t>
            </w:r>
          </w:p>
        </w:tc>
        <w:tc>
          <w:tcPr>
            <w:tcW w:w="958" w:type="dxa"/>
            <w:tcBorders>
              <w:top w:val="nil"/>
              <w:left w:val="nil"/>
              <w:bottom w:val="single" w:sz="4" w:space="0" w:color="auto"/>
              <w:right w:val="single" w:sz="4" w:space="0" w:color="auto"/>
            </w:tcBorders>
            <w:shd w:val="clear" w:color="auto" w:fill="auto"/>
            <w:noWrap/>
            <w:vAlign w:val="bottom"/>
            <w:hideMark/>
          </w:tcPr>
          <w:p w14:paraId="76891095" w14:textId="002A82C4" w:rsidR="006C2AA9" w:rsidRPr="008775EC" w:rsidRDefault="006C2AA9" w:rsidP="001E126B">
            <w:pPr>
              <w:jc w:val="right"/>
              <w:rPr>
                <w:rFonts w:cstheme="minorHAnsi"/>
                <w:color w:val="000000"/>
                <w:sz w:val="18"/>
                <w:szCs w:val="18"/>
              </w:rPr>
            </w:pPr>
            <w:r w:rsidRPr="008775EC">
              <w:rPr>
                <w:rFonts w:cstheme="minorHAnsi"/>
                <w:color w:val="000000"/>
                <w:sz w:val="18"/>
                <w:szCs w:val="18"/>
              </w:rPr>
              <w:t>8,90</w:t>
            </w:r>
            <w:r w:rsidR="00771D4C">
              <w:rPr>
                <w:rFonts w:cstheme="minorHAnsi"/>
                <w:color w:val="000000"/>
                <w:sz w:val="18"/>
                <w:szCs w:val="18"/>
              </w:rPr>
              <w:t xml:space="preserve"> </w:t>
            </w:r>
            <w:r w:rsidRPr="008775EC">
              <w:rPr>
                <w:rFonts w:cstheme="minorHAnsi"/>
                <w:color w:val="000000"/>
                <w:sz w:val="18"/>
                <w:szCs w:val="18"/>
              </w:rPr>
              <w:t>%</w:t>
            </w:r>
          </w:p>
        </w:tc>
      </w:tr>
      <w:tr w:rsidR="006C2AA9" w:rsidRPr="006C2AA9" w14:paraId="011C5707" w14:textId="77777777" w:rsidTr="00756C02">
        <w:trPr>
          <w:trHeight w:val="283"/>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14:paraId="66E04DB1" w14:textId="46A982AB" w:rsidR="006C2AA9" w:rsidRPr="008775EC" w:rsidRDefault="006C2AA9" w:rsidP="001E126B">
            <w:pPr>
              <w:jc w:val="left"/>
              <w:rPr>
                <w:rFonts w:cstheme="minorHAnsi"/>
                <w:b/>
                <w:bCs/>
                <w:color w:val="000000"/>
                <w:sz w:val="18"/>
                <w:szCs w:val="18"/>
              </w:rPr>
            </w:pPr>
            <w:r w:rsidRPr="008775EC">
              <w:rPr>
                <w:rFonts w:cstheme="minorHAnsi"/>
                <w:b/>
                <w:bCs/>
                <w:color w:val="000000"/>
                <w:sz w:val="18"/>
                <w:szCs w:val="18"/>
              </w:rPr>
              <w:t>M</w:t>
            </w:r>
            <w:r w:rsidR="00EF5D7F">
              <w:rPr>
                <w:rFonts w:cstheme="minorHAnsi"/>
                <w:b/>
                <w:bCs/>
                <w:color w:val="000000"/>
                <w:sz w:val="18"/>
                <w:szCs w:val="18"/>
              </w:rPr>
              <w:t>F</w:t>
            </w:r>
          </w:p>
        </w:tc>
        <w:tc>
          <w:tcPr>
            <w:tcW w:w="960" w:type="dxa"/>
            <w:tcBorders>
              <w:top w:val="nil"/>
              <w:left w:val="nil"/>
              <w:bottom w:val="single" w:sz="4" w:space="0" w:color="auto"/>
              <w:right w:val="single" w:sz="4" w:space="0" w:color="auto"/>
            </w:tcBorders>
            <w:shd w:val="clear" w:color="auto" w:fill="auto"/>
            <w:noWrap/>
            <w:vAlign w:val="bottom"/>
            <w:hideMark/>
          </w:tcPr>
          <w:p w14:paraId="46116BA6"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4 353,80</w:t>
            </w:r>
          </w:p>
        </w:tc>
        <w:tc>
          <w:tcPr>
            <w:tcW w:w="960" w:type="dxa"/>
            <w:tcBorders>
              <w:top w:val="nil"/>
              <w:left w:val="nil"/>
              <w:bottom w:val="single" w:sz="4" w:space="0" w:color="auto"/>
              <w:right w:val="single" w:sz="4" w:space="0" w:color="auto"/>
            </w:tcBorders>
            <w:shd w:val="clear" w:color="auto" w:fill="auto"/>
            <w:noWrap/>
            <w:vAlign w:val="bottom"/>
            <w:hideMark/>
          </w:tcPr>
          <w:p w14:paraId="255BA2D0"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4 033,12</w:t>
            </w:r>
          </w:p>
        </w:tc>
        <w:tc>
          <w:tcPr>
            <w:tcW w:w="960" w:type="dxa"/>
            <w:tcBorders>
              <w:top w:val="nil"/>
              <w:left w:val="nil"/>
              <w:bottom w:val="single" w:sz="4" w:space="0" w:color="auto"/>
              <w:right w:val="single" w:sz="4" w:space="0" w:color="auto"/>
            </w:tcBorders>
            <w:shd w:val="clear" w:color="auto" w:fill="auto"/>
            <w:noWrap/>
            <w:vAlign w:val="bottom"/>
            <w:hideMark/>
          </w:tcPr>
          <w:p w14:paraId="4781C16E"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3 995,10</w:t>
            </w:r>
          </w:p>
        </w:tc>
        <w:tc>
          <w:tcPr>
            <w:tcW w:w="960" w:type="dxa"/>
            <w:tcBorders>
              <w:top w:val="nil"/>
              <w:left w:val="nil"/>
              <w:bottom w:val="single" w:sz="4" w:space="0" w:color="auto"/>
              <w:right w:val="single" w:sz="4" w:space="0" w:color="auto"/>
            </w:tcBorders>
            <w:shd w:val="clear" w:color="auto" w:fill="auto"/>
            <w:noWrap/>
            <w:vAlign w:val="bottom"/>
            <w:hideMark/>
          </w:tcPr>
          <w:p w14:paraId="57E677D2"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4 056,71</w:t>
            </w:r>
          </w:p>
        </w:tc>
        <w:tc>
          <w:tcPr>
            <w:tcW w:w="960" w:type="dxa"/>
            <w:tcBorders>
              <w:top w:val="nil"/>
              <w:left w:val="nil"/>
              <w:bottom w:val="single" w:sz="4" w:space="0" w:color="auto"/>
              <w:right w:val="single" w:sz="4" w:space="0" w:color="auto"/>
            </w:tcBorders>
            <w:shd w:val="clear" w:color="auto" w:fill="auto"/>
            <w:noWrap/>
            <w:vAlign w:val="bottom"/>
            <w:hideMark/>
          </w:tcPr>
          <w:p w14:paraId="3F8F8B7B"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4 195,30</w:t>
            </w:r>
          </w:p>
        </w:tc>
        <w:tc>
          <w:tcPr>
            <w:tcW w:w="960" w:type="dxa"/>
            <w:tcBorders>
              <w:top w:val="nil"/>
              <w:left w:val="nil"/>
              <w:bottom w:val="single" w:sz="4" w:space="0" w:color="auto"/>
              <w:right w:val="single" w:sz="4" w:space="0" w:color="auto"/>
            </w:tcBorders>
            <w:shd w:val="clear" w:color="auto" w:fill="auto"/>
            <w:noWrap/>
            <w:vAlign w:val="bottom"/>
            <w:hideMark/>
          </w:tcPr>
          <w:p w14:paraId="00E6BF82"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4 304,00</w:t>
            </w:r>
          </w:p>
        </w:tc>
        <w:tc>
          <w:tcPr>
            <w:tcW w:w="1077" w:type="dxa"/>
            <w:tcBorders>
              <w:top w:val="nil"/>
              <w:left w:val="nil"/>
              <w:bottom w:val="single" w:sz="4" w:space="0" w:color="auto"/>
              <w:right w:val="single" w:sz="4" w:space="0" w:color="auto"/>
            </w:tcBorders>
            <w:shd w:val="clear" w:color="auto" w:fill="auto"/>
            <w:noWrap/>
            <w:vAlign w:val="bottom"/>
            <w:hideMark/>
          </w:tcPr>
          <w:p w14:paraId="2F4D9F31"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24 938,03</w:t>
            </w:r>
          </w:p>
        </w:tc>
        <w:tc>
          <w:tcPr>
            <w:tcW w:w="958" w:type="dxa"/>
            <w:tcBorders>
              <w:top w:val="nil"/>
              <w:left w:val="nil"/>
              <w:bottom w:val="single" w:sz="4" w:space="0" w:color="auto"/>
              <w:right w:val="single" w:sz="4" w:space="0" w:color="auto"/>
            </w:tcBorders>
            <w:shd w:val="clear" w:color="auto" w:fill="auto"/>
            <w:noWrap/>
            <w:vAlign w:val="bottom"/>
            <w:hideMark/>
          </w:tcPr>
          <w:p w14:paraId="4FE0E0C9" w14:textId="79E7572A" w:rsidR="006C2AA9" w:rsidRPr="008775EC" w:rsidRDefault="006C2AA9" w:rsidP="001E126B">
            <w:pPr>
              <w:jc w:val="right"/>
              <w:rPr>
                <w:rFonts w:cstheme="minorHAnsi"/>
                <w:color w:val="000000"/>
                <w:sz w:val="18"/>
                <w:szCs w:val="18"/>
              </w:rPr>
            </w:pPr>
            <w:r w:rsidRPr="008775EC">
              <w:rPr>
                <w:rFonts w:cstheme="minorHAnsi"/>
                <w:color w:val="000000"/>
                <w:sz w:val="18"/>
                <w:szCs w:val="18"/>
              </w:rPr>
              <w:t>23,27</w:t>
            </w:r>
            <w:r w:rsidR="00771D4C">
              <w:rPr>
                <w:rFonts w:cstheme="minorHAnsi"/>
                <w:color w:val="000000"/>
                <w:sz w:val="18"/>
                <w:szCs w:val="18"/>
              </w:rPr>
              <w:t xml:space="preserve"> </w:t>
            </w:r>
            <w:r w:rsidRPr="008775EC">
              <w:rPr>
                <w:rFonts w:cstheme="minorHAnsi"/>
                <w:color w:val="000000"/>
                <w:sz w:val="18"/>
                <w:szCs w:val="18"/>
              </w:rPr>
              <w:t>%</w:t>
            </w:r>
          </w:p>
        </w:tc>
      </w:tr>
      <w:tr w:rsidR="006C2AA9" w:rsidRPr="006C2AA9" w14:paraId="2E1ECBE5" w14:textId="77777777" w:rsidTr="00756C02">
        <w:trPr>
          <w:trHeight w:val="283"/>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14:paraId="374354CD" w14:textId="77777777" w:rsidR="006C2AA9" w:rsidRPr="008775EC" w:rsidRDefault="006C2AA9" w:rsidP="001E126B">
            <w:pPr>
              <w:jc w:val="left"/>
              <w:rPr>
                <w:rFonts w:cstheme="minorHAnsi"/>
                <w:b/>
                <w:bCs/>
                <w:color w:val="000000"/>
                <w:sz w:val="18"/>
                <w:szCs w:val="18"/>
              </w:rPr>
            </w:pPr>
            <w:r w:rsidRPr="008775EC">
              <w:rPr>
                <w:rFonts w:cstheme="minorHAnsi"/>
                <w:b/>
                <w:bCs/>
                <w:color w:val="000000"/>
                <w:sz w:val="18"/>
                <w:szCs w:val="18"/>
              </w:rPr>
              <w:t>MPSV</w:t>
            </w:r>
          </w:p>
        </w:tc>
        <w:tc>
          <w:tcPr>
            <w:tcW w:w="960" w:type="dxa"/>
            <w:tcBorders>
              <w:top w:val="nil"/>
              <w:left w:val="nil"/>
              <w:bottom w:val="single" w:sz="4" w:space="0" w:color="auto"/>
              <w:right w:val="single" w:sz="4" w:space="0" w:color="auto"/>
            </w:tcBorders>
            <w:shd w:val="clear" w:color="auto" w:fill="auto"/>
            <w:noWrap/>
            <w:vAlign w:val="bottom"/>
            <w:hideMark/>
          </w:tcPr>
          <w:p w14:paraId="2D190B3A"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12 440,80</w:t>
            </w:r>
          </w:p>
        </w:tc>
        <w:tc>
          <w:tcPr>
            <w:tcW w:w="960" w:type="dxa"/>
            <w:tcBorders>
              <w:top w:val="nil"/>
              <w:left w:val="nil"/>
              <w:bottom w:val="single" w:sz="4" w:space="0" w:color="auto"/>
              <w:right w:val="single" w:sz="4" w:space="0" w:color="auto"/>
            </w:tcBorders>
            <w:shd w:val="clear" w:color="auto" w:fill="auto"/>
            <w:noWrap/>
            <w:vAlign w:val="bottom"/>
            <w:hideMark/>
          </w:tcPr>
          <w:p w14:paraId="34D06B57"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10 396,10</w:t>
            </w:r>
          </w:p>
        </w:tc>
        <w:tc>
          <w:tcPr>
            <w:tcW w:w="960" w:type="dxa"/>
            <w:tcBorders>
              <w:top w:val="nil"/>
              <w:left w:val="nil"/>
              <w:bottom w:val="single" w:sz="4" w:space="0" w:color="auto"/>
              <w:right w:val="single" w:sz="4" w:space="0" w:color="auto"/>
            </w:tcBorders>
            <w:shd w:val="clear" w:color="auto" w:fill="auto"/>
            <w:noWrap/>
            <w:vAlign w:val="bottom"/>
            <w:hideMark/>
          </w:tcPr>
          <w:p w14:paraId="3AB2B615"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9 901,00</w:t>
            </w:r>
          </w:p>
        </w:tc>
        <w:tc>
          <w:tcPr>
            <w:tcW w:w="960" w:type="dxa"/>
            <w:tcBorders>
              <w:top w:val="nil"/>
              <w:left w:val="nil"/>
              <w:bottom w:val="single" w:sz="4" w:space="0" w:color="auto"/>
              <w:right w:val="single" w:sz="4" w:space="0" w:color="auto"/>
            </w:tcBorders>
            <w:shd w:val="clear" w:color="auto" w:fill="auto"/>
            <w:noWrap/>
            <w:vAlign w:val="bottom"/>
            <w:hideMark/>
          </w:tcPr>
          <w:p w14:paraId="7500166C"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8 975,31</w:t>
            </w:r>
          </w:p>
        </w:tc>
        <w:tc>
          <w:tcPr>
            <w:tcW w:w="960" w:type="dxa"/>
            <w:tcBorders>
              <w:top w:val="nil"/>
              <w:left w:val="nil"/>
              <w:bottom w:val="single" w:sz="4" w:space="0" w:color="auto"/>
              <w:right w:val="single" w:sz="4" w:space="0" w:color="auto"/>
            </w:tcBorders>
            <w:shd w:val="clear" w:color="auto" w:fill="auto"/>
            <w:noWrap/>
            <w:vAlign w:val="bottom"/>
            <w:hideMark/>
          </w:tcPr>
          <w:p w14:paraId="1F69226D"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8 863,00</w:t>
            </w:r>
          </w:p>
        </w:tc>
        <w:tc>
          <w:tcPr>
            <w:tcW w:w="960" w:type="dxa"/>
            <w:tcBorders>
              <w:top w:val="nil"/>
              <w:left w:val="nil"/>
              <w:bottom w:val="single" w:sz="4" w:space="0" w:color="auto"/>
              <w:right w:val="single" w:sz="4" w:space="0" w:color="auto"/>
            </w:tcBorders>
            <w:shd w:val="clear" w:color="auto" w:fill="auto"/>
            <w:noWrap/>
            <w:vAlign w:val="bottom"/>
            <w:hideMark/>
          </w:tcPr>
          <w:p w14:paraId="1F5A665F"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8 658,30</w:t>
            </w:r>
          </w:p>
        </w:tc>
        <w:tc>
          <w:tcPr>
            <w:tcW w:w="1077" w:type="dxa"/>
            <w:tcBorders>
              <w:top w:val="nil"/>
              <w:left w:val="nil"/>
              <w:bottom w:val="single" w:sz="4" w:space="0" w:color="auto"/>
              <w:right w:val="single" w:sz="4" w:space="0" w:color="auto"/>
            </w:tcBorders>
            <w:shd w:val="clear" w:color="auto" w:fill="auto"/>
            <w:noWrap/>
            <w:vAlign w:val="bottom"/>
            <w:hideMark/>
          </w:tcPr>
          <w:p w14:paraId="6A161BE2"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59 234,51</w:t>
            </w:r>
          </w:p>
        </w:tc>
        <w:tc>
          <w:tcPr>
            <w:tcW w:w="958" w:type="dxa"/>
            <w:tcBorders>
              <w:top w:val="nil"/>
              <w:left w:val="nil"/>
              <w:bottom w:val="single" w:sz="4" w:space="0" w:color="auto"/>
              <w:right w:val="single" w:sz="4" w:space="0" w:color="auto"/>
            </w:tcBorders>
            <w:shd w:val="clear" w:color="auto" w:fill="auto"/>
            <w:noWrap/>
            <w:vAlign w:val="bottom"/>
            <w:hideMark/>
          </w:tcPr>
          <w:p w14:paraId="6D3890FB" w14:textId="3B07EEC7" w:rsidR="006C2AA9" w:rsidRPr="008775EC" w:rsidRDefault="006C2AA9" w:rsidP="001E126B">
            <w:pPr>
              <w:jc w:val="right"/>
              <w:rPr>
                <w:rFonts w:cstheme="minorHAnsi"/>
                <w:color w:val="000000"/>
                <w:sz w:val="18"/>
                <w:szCs w:val="18"/>
              </w:rPr>
            </w:pPr>
            <w:r w:rsidRPr="008775EC">
              <w:rPr>
                <w:rFonts w:cstheme="minorHAnsi"/>
                <w:color w:val="000000"/>
                <w:sz w:val="18"/>
                <w:szCs w:val="18"/>
              </w:rPr>
              <w:t>55,27</w:t>
            </w:r>
            <w:r w:rsidR="00771D4C">
              <w:rPr>
                <w:rFonts w:cstheme="minorHAnsi"/>
                <w:color w:val="000000"/>
                <w:sz w:val="18"/>
                <w:szCs w:val="18"/>
              </w:rPr>
              <w:t xml:space="preserve"> </w:t>
            </w:r>
            <w:r w:rsidRPr="008775EC">
              <w:rPr>
                <w:rFonts w:cstheme="minorHAnsi"/>
                <w:color w:val="000000"/>
                <w:sz w:val="18"/>
                <w:szCs w:val="18"/>
              </w:rPr>
              <w:t>%</w:t>
            </w:r>
          </w:p>
        </w:tc>
      </w:tr>
      <w:tr w:rsidR="006C2AA9" w:rsidRPr="006C2AA9" w14:paraId="0EB3175C" w14:textId="77777777" w:rsidTr="00756C02">
        <w:trPr>
          <w:trHeight w:val="283"/>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14:paraId="6E80DA71" w14:textId="242A301E" w:rsidR="006C2AA9" w:rsidRPr="008775EC" w:rsidRDefault="006C2AA9" w:rsidP="001E126B">
            <w:pPr>
              <w:jc w:val="left"/>
              <w:rPr>
                <w:rFonts w:cstheme="minorHAnsi"/>
                <w:b/>
                <w:bCs/>
                <w:color w:val="000000"/>
                <w:sz w:val="18"/>
                <w:szCs w:val="18"/>
              </w:rPr>
            </w:pPr>
            <w:r w:rsidRPr="008775EC">
              <w:rPr>
                <w:rFonts w:cstheme="minorHAnsi"/>
                <w:b/>
                <w:bCs/>
                <w:color w:val="000000"/>
                <w:sz w:val="18"/>
                <w:szCs w:val="18"/>
              </w:rPr>
              <w:t>M</w:t>
            </w:r>
            <w:r w:rsidR="00EF5D7F">
              <w:rPr>
                <w:rFonts w:cstheme="minorHAnsi"/>
                <w:b/>
                <w:bCs/>
                <w:color w:val="000000"/>
                <w:sz w:val="18"/>
                <w:szCs w:val="18"/>
              </w:rPr>
              <w:t>V</w:t>
            </w:r>
          </w:p>
        </w:tc>
        <w:tc>
          <w:tcPr>
            <w:tcW w:w="960" w:type="dxa"/>
            <w:tcBorders>
              <w:top w:val="nil"/>
              <w:left w:val="nil"/>
              <w:bottom w:val="single" w:sz="4" w:space="0" w:color="auto"/>
              <w:right w:val="single" w:sz="4" w:space="0" w:color="auto"/>
            </w:tcBorders>
            <w:shd w:val="clear" w:color="auto" w:fill="auto"/>
            <w:noWrap/>
            <w:vAlign w:val="bottom"/>
            <w:hideMark/>
          </w:tcPr>
          <w:p w14:paraId="6049217A"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9,59</w:t>
            </w:r>
          </w:p>
        </w:tc>
        <w:tc>
          <w:tcPr>
            <w:tcW w:w="960" w:type="dxa"/>
            <w:tcBorders>
              <w:top w:val="nil"/>
              <w:left w:val="nil"/>
              <w:bottom w:val="single" w:sz="4" w:space="0" w:color="auto"/>
              <w:right w:val="single" w:sz="4" w:space="0" w:color="auto"/>
            </w:tcBorders>
            <w:shd w:val="clear" w:color="auto" w:fill="auto"/>
            <w:noWrap/>
            <w:vAlign w:val="bottom"/>
            <w:hideMark/>
          </w:tcPr>
          <w:p w14:paraId="70962C0B"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3,52</w:t>
            </w:r>
          </w:p>
        </w:tc>
        <w:tc>
          <w:tcPr>
            <w:tcW w:w="960" w:type="dxa"/>
            <w:tcBorders>
              <w:top w:val="nil"/>
              <w:left w:val="nil"/>
              <w:bottom w:val="single" w:sz="4" w:space="0" w:color="auto"/>
              <w:right w:val="single" w:sz="4" w:space="0" w:color="auto"/>
            </w:tcBorders>
            <w:shd w:val="clear" w:color="auto" w:fill="auto"/>
            <w:noWrap/>
            <w:vAlign w:val="bottom"/>
            <w:hideMark/>
          </w:tcPr>
          <w:p w14:paraId="4C24A352"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1,58</w:t>
            </w:r>
          </w:p>
        </w:tc>
        <w:tc>
          <w:tcPr>
            <w:tcW w:w="960" w:type="dxa"/>
            <w:tcBorders>
              <w:top w:val="nil"/>
              <w:left w:val="nil"/>
              <w:bottom w:val="single" w:sz="4" w:space="0" w:color="auto"/>
              <w:right w:val="single" w:sz="4" w:space="0" w:color="auto"/>
            </w:tcBorders>
            <w:shd w:val="clear" w:color="auto" w:fill="auto"/>
            <w:noWrap/>
            <w:vAlign w:val="bottom"/>
            <w:hideMark/>
          </w:tcPr>
          <w:p w14:paraId="349A6E69"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0,88</w:t>
            </w:r>
          </w:p>
        </w:tc>
        <w:tc>
          <w:tcPr>
            <w:tcW w:w="960" w:type="dxa"/>
            <w:tcBorders>
              <w:top w:val="nil"/>
              <w:left w:val="nil"/>
              <w:bottom w:val="single" w:sz="4" w:space="0" w:color="auto"/>
              <w:right w:val="single" w:sz="4" w:space="0" w:color="auto"/>
            </w:tcBorders>
            <w:shd w:val="clear" w:color="auto" w:fill="auto"/>
            <w:noWrap/>
            <w:vAlign w:val="bottom"/>
            <w:hideMark/>
          </w:tcPr>
          <w:p w14:paraId="238A8205"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1,80</w:t>
            </w:r>
          </w:p>
        </w:tc>
        <w:tc>
          <w:tcPr>
            <w:tcW w:w="960" w:type="dxa"/>
            <w:tcBorders>
              <w:top w:val="nil"/>
              <w:left w:val="nil"/>
              <w:bottom w:val="single" w:sz="4" w:space="0" w:color="auto"/>
              <w:right w:val="single" w:sz="4" w:space="0" w:color="auto"/>
            </w:tcBorders>
            <w:shd w:val="clear" w:color="auto" w:fill="auto"/>
            <w:noWrap/>
            <w:vAlign w:val="bottom"/>
            <w:hideMark/>
          </w:tcPr>
          <w:p w14:paraId="13AAC56C"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1,80</w:t>
            </w:r>
          </w:p>
        </w:tc>
        <w:tc>
          <w:tcPr>
            <w:tcW w:w="1077" w:type="dxa"/>
            <w:tcBorders>
              <w:top w:val="nil"/>
              <w:left w:val="nil"/>
              <w:bottom w:val="single" w:sz="4" w:space="0" w:color="auto"/>
              <w:right w:val="single" w:sz="4" w:space="0" w:color="auto"/>
            </w:tcBorders>
            <w:shd w:val="clear" w:color="auto" w:fill="auto"/>
            <w:noWrap/>
            <w:vAlign w:val="bottom"/>
            <w:hideMark/>
          </w:tcPr>
          <w:p w14:paraId="19647E47"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19,17</w:t>
            </w:r>
          </w:p>
        </w:tc>
        <w:tc>
          <w:tcPr>
            <w:tcW w:w="958" w:type="dxa"/>
            <w:tcBorders>
              <w:top w:val="nil"/>
              <w:left w:val="nil"/>
              <w:bottom w:val="single" w:sz="4" w:space="0" w:color="auto"/>
              <w:right w:val="single" w:sz="4" w:space="0" w:color="auto"/>
            </w:tcBorders>
            <w:shd w:val="clear" w:color="auto" w:fill="auto"/>
            <w:noWrap/>
            <w:vAlign w:val="bottom"/>
            <w:hideMark/>
          </w:tcPr>
          <w:p w14:paraId="3F4D2C8E" w14:textId="3A602E92" w:rsidR="006C2AA9" w:rsidRPr="008775EC" w:rsidRDefault="006C2AA9" w:rsidP="001E126B">
            <w:pPr>
              <w:jc w:val="right"/>
              <w:rPr>
                <w:rFonts w:cstheme="minorHAnsi"/>
                <w:color w:val="000000"/>
                <w:sz w:val="18"/>
                <w:szCs w:val="18"/>
              </w:rPr>
            </w:pPr>
            <w:r w:rsidRPr="008775EC">
              <w:rPr>
                <w:rFonts w:cstheme="minorHAnsi"/>
                <w:color w:val="000000"/>
                <w:sz w:val="18"/>
                <w:szCs w:val="18"/>
              </w:rPr>
              <w:t>0,02</w:t>
            </w:r>
            <w:r w:rsidR="00771D4C">
              <w:rPr>
                <w:rFonts w:cstheme="minorHAnsi"/>
                <w:color w:val="000000"/>
                <w:sz w:val="18"/>
                <w:szCs w:val="18"/>
              </w:rPr>
              <w:t xml:space="preserve"> </w:t>
            </w:r>
            <w:r w:rsidRPr="008775EC">
              <w:rPr>
                <w:rFonts w:cstheme="minorHAnsi"/>
                <w:color w:val="000000"/>
                <w:sz w:val="18"/>
                <w:szCs w:val="18"/>
              </w:rPr>
              <w:t>%</w:t>
            </w:r>
          </w:p>
        </w:tc>
      </w:tr>
      <w:tr w:rsidR="006C2AA9" w:rsidRPr="006C2AA9" w14:paraId="6581AA0B" w14:textId="77777777" w:rsidTr="00756C02">
        <w:trPr>
          <w:trHeight w:val="283"/>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14:paraId="0793DAC0" w14:textId="2F17F52E" w:rsidR="006C2AA9" w:rsidRPr="008775EC" w:rsidRDefault="006C2AA9" w:rsidP="001E126B">
            <w:pPr>
              <w:jc w:val="left"/>
              <w:rPr>
                <w:rFonts w:cstheme="minorHAnsi"/>
                <w:b/>
                <w:bCs/>
                <w:color w:val="000000"/>
                <w:sz w:val="18"/>
                <w:szCs w:val="18"/>
              </w:rPr>
            </w:pPr>
            <w:r w:rsidRPr="008775EC">
              <w:rPr>
                <w:rFonts w:cstheme="minorHAnsi"/>
                <w:b/>
                <w:bCs/>
                <w:color w:val="000000"/>
                <w:sz w:val="18"/>
                <w:szCs w:val="18"/>
              </w:rPr>
              <w:t>MŽP</w:t>
            </w:r>
            <w:r w:rsidR="00771D4C">
              <w:rPr>
                <w:rFonts w:cstheme="minorHAnsi"/>
                <w:b/>
                <w:bCs/>
                <w:color w:val="000000"/>
                <w:sz w:val="18"/>
                <w:szCs w:val="18"/>
              </w:rPr>
              <w:t>/</w:t>
            </w:r>
            <w:r w:rsidRPr="008775EC">
              <w:rPr>
                <w:rFonts w:cstheme="minorHAnsi"/>
                <w:b/>
                <w:bCs/>
                <w:color w:val="000000"/>
                <w:sz w:val="18"/>
                <w:szCs w:val="18"/>
              </w:rPr>
              <w:t>SFŽP</w:t>
            </w:r>
          </w:p>
        </w:tc>
        <w:tc>
          <w:tcPr>
            <w:tcW w:w="960" w:type="dxa"/>
            <w:tcBorders>
              <w:top w:val="nil"/>
              <w:left w:val="nil"/>
              <w:bottom w:val="single" w:sz="4" w:space="0" w:color="auto"/>
              <w:right w:val="single" w:sz="4" w:space="0" w:color="auto"/>
            </w:tcBorders>
            <w:shd w:val="clear" w:color="auto" w:fill="auto"/>
            <w:noWrap/>
            <w:vAlign w:val="bottom"/>
            <w:hideMark/>
          </w:tcPr>
          <w:p w14:paraId="4E3B9F50"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1 187,69</w:t>
            </w:r>
          </w:p>
        </w:tc>
        <w:tc>
          <w:tcPr>
            <w:tcW w:w="960" w:type="dxa"/>
            <w:tcBorders>
              <w:top w:val="nil"/>
              <w:left w:val="nil"/>
              <w:bottom w:val="single" w:sz="4" w:space="0" w:color="auto"/>
              <w:right w:val="single" w:sz="4" w:space="0" w:color="auto"/>
            </w:tcBorders>
            <w:shd w:val="clear" w:color="auto" w:fill="auto"/>
            <w:noWrap/>
            <w:vAlign w:val="bottom"/>
            <w:hideMark/>
          </w:tcPr>
          <w:p w14:paraId="605B964E"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1 635,68</w:t>
            </w:r>
          </w:p>
        </w:tc>
        <w:tc>
          <w:tcPr>
            <w:tcW w:w="960" w:type="dxa"/>
            <w:tcBorders>
              <w:top w:val="nil"/>
              <w:left w:val="nil"/>
              <w:bottom w:val="single" w:sz="4" w:space="0" w:color="auto"/>
              <w:right w:val="single" w:sz="4" w:space="0" w:color="auto"/>
            </w:tcBorders>
            <w:shd w:val="clear" w:color="auto" w:fill="auto"/>
            <w:noWrap/>
            <w:vAlign w:val="bottom"/>
            <w:hideMark/>
          </w:tcPr>
          <w:p w14:paraId="34A20ACC"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1 627,65</w:t>
            </w:r>
          </w:p>
        </w:tc>
        <w:tc>
          <w:tcPr>
            <w:tcW w:w="960" w:type="dxa"/>
            <w:tcBorders>
              <w:top w:val="nil"/>
              <w:left w:val="nil"/>
              <w:bottom w:val="single" w:sz="4" w:space="0" w:color="auto"/>
              <w:right w:val="single" w:sz="4" w:space="0" w:color="auto"/>
            </w:tcBorders>
            <w:shd w:val="clear" w:color="auto" w:fill="auto"/>
            <w:noWrap/>
            <w:vAlign w:val="bottom"/>
            <w:hideMark/>
          </w:tcPr>
          <w:p w14:paraId="4785137E"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1 835,36</w:t>
            </w:r>
          </w:p>
        </w:tc>
        <w:tc>
          <w:tcPr>
            <w:tcW w:w="960" w:type="dxa"/>
            <w:tcBorders>
              <w:top w:val="nil"/>
              <w:left w:val="nil"/>
              <w:bottom w:val="single" w:sz="4" w:space="0" w:color="auto"/>
              <w:right w:val="single" w:sz="4" w:space="0" w:color="auto"/>
            </w:tcBorders>
            <w:shd w:val="clear" w:color="auto" w:fill="auto"/>
            <w:noWrap/>
            <w:vAlign w:val="bottom"/>
            <w:hideMark/>
          </w:tcPr>
          <w:p w14:paraId="5749AB61"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2 267,80</w:t>
            </w:r>
          </w:p>
        </w:tc>
        <w:tc>
          <w:tcPr>
            <w:tcW w:w="960" w:type="dxa"/>
            <w:tcBorders>
              <w:top w:val="nil"/>
              <w:left w:val="nil"/>
              <w:bottom w:val="single" w:sz="4" w:space="0" w:color="auto"/>
              <w:right w:val="single" w:sz="4" w:space="0" w:color="auto"/>
            </w:tcBorders>
            <w:shd w:val="clear" w:color="auto" w:fill="auto"/>
            <w:noWrap/>
            <w:vAlign w:val="bottom"/>
            <w:hideMark/>
          </w:tcPr>
          <w:p w14:paraId="40408394"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2 604,30</w:t>
            </w:r>
          </w:p>
        </w:tc>
        <w:tc>
          <w:tcPr>
            <w:tcW w:w="1077" w:type="dxa"/>
            <w:tcBorders>
              <w:top w:val="nil"/>
              <w:left w:val="nil"/>
              <w:bottom w:val="single" w:sz="4" w:space="0" w:color="auto"/>
              <w:right w:val="single" w:sz="4" w:space="0" w:color="auto"/>
            </w:tcBorders>
            <w:shd w:val="clear" w:color="auto" w:fill="auto"/>
            <w:noWrap/>
            <w:vAlign w:val="bottom"/>
            <w:hideMark/>
          </w:tcPr>
          <w:p w14:paraId="0604885B" w14:textId="77777777" w:rsidR="006C2AA9" w:rsidRPr="008775EC" w:rsidRDefault="006C2AA9" w:rsidP="001E126B">
            <w:pPr>
              <w:jc w:val="right"/>
              <w:rPr>
                <w:rFonts w:cstheme="minorHAnsi"/>
                <w:color w:val="000000"/>
                <w:sz w:val="18"/>
                <w:szCs w:val="18"/>
              </w:rPr>
            </w:pPr>
            <w:r w:rsidRPr="008775EC">
              <w:rPr>
                <w:rFonts w:cstheme="minorHAnsi"/>
                <w:color w:val="000000"/>
                <w:sz w:val="18"/>
                <w:szCs w:val="18"/>
              </w:rPr>
              <w:t>11 158,48</w:t>
            </w:r>
          </w:p>
        </w:tc>
        <w:tc>
          <w:tcPr>
            <w:tcW w:w="958" w:type="dxa"/>
            <w:tcBorders>
              <w:top w:val="nil"/>
              <w:left w:val="nil"/>
              <w:bottom w:val="single" w:sz="4" w:space="0" w:color="auto"/>
              <w:right w:val="single" w:sz="4" w:space="0" w:color="auto"/>
            </w:tcBorders>
            <w:shd w:val="clear" w:color="auto" w:fill="auto"/>
            <w:noWrap/>
            <w:vAlign w:val="bottom"/>
            <w:hideMark/>
          </w:tcPr>
          <w:p w14:paraId="76EFB863" w14:textId="16E76E8F" w:rsidR="006C2AA9" w:rsidRPr="008775EC" w:rsidRDefault="006C2AA9" w:rsidP="001E126B">
            <w:pPr>
              <w:jc w:val="right"/>
              <w:rPr>
                <w:rFonts w:cstheme="minorHAnsi"/>
                <w:color w:val="000000"/>
                <w:sz w:val="18"/>
                <w:szCs w:val="18"/>
              </w:rPr>
            </w:pPr>
            <w:r w:rsidRPr="008775EC">
              <w:rPr>
                <w:rFonts w:cstheme="minorHAnsi"/>
                <w:color w:val="000000"/>
                <w:sz w:val="18"/>
                <w:szCs w:val="18"/>
              </w:rPr>
              <w:t>10,41</w:t>
            </w:r>
            <w:r w:rsidR="00771D4C">
              <w:rPr>
                <w:rFonts w:cstheme="minorHAnsi"/>
                <w:color w:val="000000"/>
                <w:sz w:val="18"/>
                <w:szCs w:val="18"/>
              </w:rPr>
              <w:t xml:space="preserve"> </w:t>
            </w:r>
            <w:r w:rsidRPr="008775EC">
              <w:rPr>
                <w:rFonts w:cstheme="minorHAnsi"/>
                <w:color w:val="000000"/>
                <w:sz w:val="18"/>
                <w:szCs w:val="18"/>
              </w:rPr>
              <w:t>%</w:t>
            </w:r>
          </w:p>
        </w:tc>
      </w:tr>
      <w:tr w:rsidR="006C2AA9" w:rsidRPr="006C2AA9" w14:paraId="51A66C22" w14:textId="77777777" w:rsidTr="00756C02">
        <w:trPr>
          <w:trHeight w:val="283"/>
        </w:trPr>
        <w:tc>
          <w:tcPr>
            <w:tcW w:w="1304" w:type="dxa"/>
            <w:tcBorders>
              <w:top w:val="nil"/>
              <w:left w:val="single" w:sz="4" w:space="0" w:color="auto"/>
              <w:bottom w:val="single" w:sz="4" w:space="0" w:color="auto"/>
              <w:right w:val="single" w:sz="4" w:space="0" w:color="auto"/>
            </w:tcBorders>
            <w:shd w:val="clear" w:color="000000" w:fill="F2C6C9"/>
            <w:noWrap/>
            <w:vAlign w:val="bottom"/>
            <w:hideMark/>
          </w:tcPr>
          <w:p w14:paraId="3A656068" w14:textId="77777777" w:rsidR="006C2AA9" w:rsidRPr="008775EC" w:rsidRDefault="00BF084D" w:rsidP="001E126B">
            <w:pPr>
              <w:jc w:val="left"/>
              <w:rPr>
                <w:rFonts w:cstheme="minorHAnsi"/>
                <w:b/>
                <w:bCs/>
                <w:sz w:val="18"/>
                <w:szCs w:val="18"/>
              </w:rPr>
            </w:pPr>
            <w:r w:rsidRPr="008775EC">
              <w:rPr>
                <w:rFonts w:cstheme="minorHAnsi"/>
                <w:b/>
                <w:bCs/>
                <w:color w:val="000000"/>
                <w:sz w:val="18"/>
                <w:szCs w:val="18"/>
              </w:rPr>
              <w:t>Celkem skutečnost</w:t>
            </w:r>
          </w:p>
        </w:tc>
        <w:tc>
          <w:tcPr>
            <w:tcW w:w="960" w:type="dxa"/>
            <w:tcBorders>
              <w:top w:val="nil"/>
              <w:left w:val="nil"/>
              <w:bottom w:val="single" w:sz="4" w:space="0" w:color="auto"/>
              <w:right w:val="single" w:sz="4" w:space="0" w:color="auto"/>
            </w:tcBorders>
            <w:shd w:val="clear" w:color="000000" w:fill="F2C6C9"/>
            <w:noWrap/>
            <w:vAlign w:val="bottom"/>
            <w:hideMark/>
          </w:tcPr>
          <w:p w14:paraId="5E304BA6" w14:textId="77777777" w:rsidR="006C2AA9" w:rsidRPr="008775EC" w:rsidRDefault="006C2AA9" w:rsidP="00771D4C">
            <w:pPr>
              <w:jc w:val="right"/>
              <w:rPr>
                <w:rFonts w:cstheme="minorHAnsi"/>
                <w:b/>
                <w:bCs/>
                <w:sz w:val="18"/>
                <w:szCs w:val="18"/>
              </w:rPr>
            </w:pPr>
            <w:r w:rsidRPr="008775EC">
              <w:rPr>
                <w:rFonts w:cstheme="minorHAnsi"/>
                <w:b/>
                <w:bCs/>
                <w:sz w:val="18"/>
                <w:szCs w:val="18"/>
              </w:rPr>
              <w:t>19 629,56</w:t>
            </w:r>
          </w:p>
        </w:tc>
        <w:tc>
          <w:tcPr>
            <w:tcW w:w="960" w:type="dxa"/>
            <w:tcBorders>
              <w:top w:val="nil"/>
              <w:left w:val="nil"/>
              <w:bottom w:val="single" w:sz="4" w:space="0" w:color="auto"/>
              <w:right w:val="single" w:sz="4" w:space="0" w:color="auto"/>
            </w:tcBorders>
            <w:shd w:val="clear" w:color="000000" w:fill="F2C6C9"/>
            <w:noWrap/>
            <w:vAlign w:val="bottom"/>
            <w:hideMark/>
          </w:tcPr>
          <w:p w14:paraId="7DD2FF49" w14:textId="77777777" w:rsidR="006C2AA9" w:rsidRPr="008775EC" w:rsidRDefault="006C2AA9" w:rsidP="00771D4C">
            <w:pPr>
              <w:jc w:val="right"/>
              <w:rPr>
                <w:rFonts w:cstheme="minorHAnsi"/>
                <w:b/>
                <w:bCs/>
                <w:sz w:val="18"/>
                <w:szCs w:val="18"/>
              </w:rPr>
            </w:pPr>
            <w:r w:rsidRPr="008775EC">
              <w:rPr>
                <w:rFonts w:cstheme="minorHAnsi"/>
                <w:b/>
                <w:bCs/>
                <w:sz w:val="18"/>
                <w:szCs w:val="18"/>
              </w:rPr>
              <w:t>17 572,82</w:t>
            </w:r>
          </w:p>
        </w:tc>
        <w:tc>
          <w:tcPr>
            <w:tcW w:w="960" w:type="dxa"/>
            <w:tcBorders>
              <w:top w:val="nil"/>
              <w:left w:val="nil"/>
              <w:bottom w:val="single" w:sz="4" w:space="0" w:color="auto"/>
              <w:right w:val="single" w:sz="4" w:space="0" w:color="auto"/>
            </w:tcBorders>
            <w:shd w:val="clear" w:color="000000" w:fill="F2C6C9"/>
            <w:noWrap/>
            <w:vAlign w:val="bottom"/>
            <w:hideMark/>
          </w:tcPr>
          <w:p w14:paraId="22988783" w14:textId="77777777" w:rsidR="006C2AA9" w:rsidRPr="008775EC" w:rsidRDefault="006C2AA9" w:rsidP="00771D4C">
            <w:pPr>
              <w:jc w:val="right"/>
              <w:rPr>
                <w:rFonts w:cstheme="minorHAnsi"/>
                <w:b/>
                <w:bCs/>
                <w:sz w:val="18"/>
                <w:szCs w:val="18"/>
              </w:rPr>
            </w:pPr>
            <w:r w:rsidRPr="008775EC">
              <w:rPr>
                <w:rFonts w:cstheme="minorHAnsi"/>
                <w:b/>
                <w:bCs/>
                <w:sz w:val="18"/>
                <w:szCs w:val="18"/>
              </w:rPr>
              <w:t>16 953,39</w:t>
            </w:r>
          </w:p>
        </w:tc>
        <w:tc>
          <w:tcPr>
            <w:tcW w:w="960" w:type="dxa"/>
            <w:tcBorders>
              <w:top w:val="nil"/>
              <w:left w:val="nil"/>
              <w:bottom w:val="single" w:sz="4" w:space="0" w:color="auto"/>
              <w:right w:val="single" w:sz="4" w:space="0" w:color="auto"/>
            </w:tcBorders>
            <w:shd w:val="clear" w:color="000000" w:fill="F2C6C9"/>
            <w:noWrap/>
            <w:vAlign w:val="bottom"/>
            <w:hideMark/>
          </w:tcPr>
          <w:p w14:paraId="509366F5" w14:textId="77777777" w:rsidR="006C2AA9" w:rsidRPr="008775EC" w:rsidRDefault="006C2AA9" w:rsidP="00771D4C">
            <w:pPr>
              <w:jc w:val="right"/>
              <w:rPr>
                <w:rFonts w:cstheme="minorHAnsi"/>
                <w:b/>
                <w:bCs/>
                <w:sz w:val="18"/>
                <w:szCs w:val="18"/>
              </w:rPr>
            </w:pPr>
            <w:r w:rsidRPr="008775EC">
              <w:rPr>
                <w:rFonts w:cstheme="minorHAnsi"/>
                <w:b/>
                <w:bCs/>
                <w:sz w:val="18"/>
                <w:szCs w:val="18"/>
              </w:rPr>
              <w:t>16 783,69</w:t>
            </w:r>
          </w:p>
        </w:tc>
        <w:tc>
          <w:tcPr>
            <w:tcW w:w="960" w:type="dxa"/>
            <w:tcBorders>
              <w:top w:val="nil"/>
              <w:left w:val="nil"/>
              <w:bottom w:val="single" w:sz="4" w:space="0" w:color="auto"/>
              <w:right w:val="single" w:sz="4" w:space="0" w:color="auto"/>
            </w:tcBorders>
            <w:shd w:val="clear" w:color="000000" w:fill="F2C6C9"/>
            <w:noWrap/>
            <w:vAlign w:val="bottom"/>
            <w:hideMark/>
          </w:tcPr>
          <w:p w14:paraId="41E1B1F3" w14:textId="77777777" w:rsidR="006C2AA9" w:rsidRPr="008775EC" w:rsidRDefault="006C2AA9" w:rsidP="00771D4C">
            <w:pPr>
              <w:jc w:val="right"/>
              <w:rPr>
                <w:rFonts w:cstheme="minorHAnsi"/>
                <w:b/>
                <w:bCs/>
                <w:sz w:val="18"/>
                <w:szCs w:val="18"/>
              </w:rPr>
            </w:pPr>
            <w:r w:rsidRPr="008775EC">
              <w:rPr>
                <w:rFonts w:cstheme="minorHAnsi"/>
                <w:b/>
                <w:bCs/>
                <w:sz w:val="18"/>
                <w:szCs w:val="18"/>
              </w:rPr>
              <w:t>17 439,27</w:t>
            </w:r>
          </w:p>
        </w:tc>
        <w:tc>
          <w:tcPr>
            <w:tcW w:w="960" w:type="dxa"/>
            <w:tcBorders>
              <w:top w:val="nil"/>
              <w:left w:val="nil"/>
              <w:bottom w:val="single" w:sz="4" w:space="0" w:color="auto"/>
              <w:right w:val="single" w:sz="4" w:space="0" w:color="auto"/>
            </w:tcBorders>
            <w:shd w:val="clear" w:color="000000" w:fill="F2C6C9"/>
            <w:noWrap/>
            <w:vAlign w:val="bottom"/>
            <w:hideMark/>
          </w:tcPr>
          <w:p w14:paraId="0A74952B" w14:textId="77777777" w:rsidR="006C2AA9" w:rsidRPr="008775EC" w:rsidRDefault="006C2AA9" w:rsidP="00771D4C">
            <w:pPr>
              <w:jc w:val="right"/>
              <w:rPr>
                <w:rFonts w:cstheme="minorHAnsi"/>
                <w:b/>
                <w:bCs/>
                <w:sz w:val="18"/>
                <w:szCs w:val="18"/>
              </w:rPr>
            </w:pPr>
            <w:r w:rsidRPr="008775EC">
              <w:rPr>
                <w:rFonts w:cstheme="minorHAnsi"/>
                <w:b/>
                <w:bCs/>
                <w:sz w:val="18"/>
                <w:szCs w:val="18"/>
              </w:rPr>
              <w:t>18 790,01</w:t>
            </w:r>
          </w:p>
        </w:tc>
        <w:tc>
          <w:tcPr>
            <w:tcW w:w="1077" w:type="dxa"/>
            <w:tcBorders>
              <w:top w:val="nil"/>
              <w:left w:val="nil"/>
              <w:bottom w:val="single" w:sz="4" w:space="0" w:color="auto"/>
              <w:right w:val="single" w:sz="4" w:space="0" w:color="auto"/>
            </w:tcBorders>
            <w:shd w:val="clear" w:color="000000" w:fill="F2C6C9"/>
            <w:noWrap/>
            <w:vAlign w:val="bottom"/>
            <w:hideMark/>
          </w:tcPr>
          <w:p w14:paraId="358B3696" w14:textId="77777777" w:rsidR="006C2AA9" w:rsidRPr="008775EC" w:rsidRDefault="006C2AA9" w:rsidP="001E126B">
            <w:pPr>
              <w:jc w:val="right"/>
              <w:rPr>
                <w:rFonts w:cstheme="minorHAnsi"/>
                <w:b/>
                <w:bCs/>
                <w:sz w:val="18"/>
                <w:szCs w:val="18"/>
              </w:rPr>
            </w:pPr>
            <w:r w:rsidRPr="008775EC">
              <w:rPr>
                <w:rFonts w:cstheme="minorHAnsi"/>
                <w:b/>
                <w:bCs/>
                <w:sz w:val="18"/>
                <w:szCs w:val="18"/>
              </w:rPr>
              <w:t>107 168,74</w:t>
            </w:r>
          </w:p>
        </w:tc>
        <w:tc>
          <w:tcPr>
            <w:tcW w:w="958" w:type="dxa"/>
            <w:tcBorders>
              <w:top w:val="nil"/>
              <w:left w:val="nil"/>
              <w:bottom w:val="single" w:sz="4" w:space="0" w:color="auto"/>
              <w:right w:val="single" w:sz="4" w:space="0" w:color="auto"/>
            </w:tcBorders>
            <w:shd w:val="clear" w:color="000000" w:fill="F2C6C9"/>
            <w:noWrap/>
            <w:vAlign w:val="bottom"/>
            <w:hideMark/>
          </w:tcPr>
          <w:p w14:paraId="38B9F986" w14:textId="47891D6B" w:rsidR="006C2AA9" w:rsidRPr="008775EC" w:rsidRDefault="006C2AA9" w:rsidP="001E126B">
            <w:pPr>
              <w:jc w:val="right"/>
              <w:rPr>
                <w:rFonts w:cstheme="minorHAnsi"/>
                <w:b/>
                <w:bCs/>
                <w:sz w:val="18"/>
                <w:szCs w:val="18"/>
              </w:rPr>
            </w:pPr>
            <w:r w:rsidRPr="008775EC">
              <w:rPr>
                <w:rFonts w:cstheme="minorHAnsi"/>
                <w:b/>
                <w:bCs/>
                <w:sz w:val="18"/>
                <w:szCs w:val="18"/>
              </w:rPr>
              <w:t>100,00</w:t>
            </w:r>
            <w:r w:rsidR="00771D4C">
              <w:rPr>
                <w:rFonts w:cstheme="minorHAnsi"/>
                <w:b/>
                <w:bCs/>
                <w:sz w:val="18"/>
                <w:szCs w:val="18"/>
              </w:rPr>
              <w:t xml:space="preserve"> </w:t>
            </w:r>
            <w:r w:rsidRPr="008775EC">
              <w:rPr>
                <w:rFonts w:cstheme="minorHAnsi"/>
                <w:b/>
                <w:bCs/>
                <w:sz w:val="18"/>
                <w:szCs w:val="18"/>
              </w:rPr>
              <w:t>%</w:t>
            </w:r>
          </w:p>
        </w:tc>
      </w:tr>
    </w:tbl>
    <w:p w14:paraId="788F481D" w14:textId="4DE32570" w:rsidR="00AA2F55" w:rsidRPr="00E32382" w:rsidRDefault="00455CD6" w:rsidP="00756C02">
      <w:pPr>
        <w:keepNext/>
        <w:spacing w:after="240"/>
        <w:ind w:left="539" w:hanging="539"/>
        <w:rPr>
          <w:rFonts w:ascii="Calibri" w:hAnsi="Calibri" w:cs="Calibri"/>
          <w:color w:val="000000"/>
          <w:sz w:val="20"/>
          <w:lang w:eastAsia="en-US"/>
        </w:rPr>
      </w:pPr>
      <w:r w:rsidRPr="00E32382">
        <w:rPr>
          <w:rFonts w:ascii="Calibri" w:hAnsi="Calibri" w:cs="Calibri"/>
          <w:b/>
          <w:color w:val="000000"/>
          <w:sz w:val="20"/>
          <w:lang w:eastAsia="en-US"/>
        </w:rPr>
        <w:t>Zdroj:</w:t>
      </w:r>
      <w:r w:rsidRPr="00E32382">
        <w:rPr>
          <w:rFonts w:ascii="Calibri" w:hAnsi="Calibri" w:cs="Calibri"/>
          <w:color w:val="000000"/>
          <w:sz w:val="20"/>
          <w:lang w:eastAsia="en-US"/>
        </w:rPr>
        <w:t xml:space="preserve"> </w:t>
      </w:r>
      <w:r w:rsidR="00771D4C">
        <w:rPr>
          <w:rFonts w:ascii="Calibri" w:hAnsi="Calibri" w:cs="Calibri"/>
          <w:color w:val="000000"/>
          <w:sz w:val="20"/>
          <w:lang w:eastAsia="en-US"/>
        </w:rPr>
        <w:tab/>
      </w:r>
      <w:r w:rsidRPr="00756C02">
        <w:rPr>
          <w:rFonts w:ascii="Calibri" w:hAnsi="Calibri" w:cs="Calibri"/>
          <w:i/>
          <w:color w:val="000000"/>
          <w:sz w:val="20"/>
          <w:lang w:eastAsia="en-US"/>
        </w:rPr>
        <w:t>Vybrané údaje o bydlení za rok 2021</w:t>
      </w:r>
      <w:r w:rsidRPr="00E32382">
        <w:rPr>
          <w:rFonts w:ascii="Calibri" w:hAnsi="Calibri" w:cs="Calibri"/>
          <w:color w:val="000000"/>
          <w:sz w:val="20"/>
          <w:lang w:eastAsia="en-US"/>
        </w:rPr>
        <w:t xml:space="preserve"> (</w:t>
      </w:r>
      <w:r w:rsidR="00771D4C">
        <w:rPr>
          <w:rFonts w:ascii="Calibri" w:hAnsi="Calibri" w:cs="Calibri"/>
          <w:color w:val="000000"/>
          <w:sz w:val="20"/>
          <w:lang w:eastAsia="en-US"/>
        </w:rPr>
        <w:t xml:space="preserve">vydalo </w:t>
      </w:r>
      <w:r w:rsidRPr="00E32382">
        <w:rPr>
          <w:rFonts w:ascii="Calibri" w:hAnsi="Calibri" w:cs="Calibri"/>
          <w:color w:val="000000"/>
          <w:sz w:val="20"/>
          <w:lang w:eastAsia="en-US"/>
        </w:rPr>
        <w:t>MMR</w:t>
      </w:r>
      <w:r w:rsidR="00771D4C">
        <w:rPr>
          <w:rFonts w:ascii="Calibri" w:hAnsi="Calibri" w:cs="Calibri"/>
          <w:color w:val="000000"/>
          <w:sz w:val="20"/>
          <w:lang w:eastAsia="en-US"/>
        </w:rPr>
        <w:t xml:space="preserve"> v roce 2022</w:t>
      </w:r>
      <w:r w:rsidRPr="00E32382">
        <w:rPr>
          <w:rFonts w:ascii="Calibri" w:hAnsi="Calibri" w:cs="Calibri"/>
          <w:color w:val="000000"/>
          <w:sz w:val="20"/>
          <w:lang w:eastAsia="en-US"/>
        </w:rPr>
        <w:t>)</w:t>
      </w:r>
      <w:r w:rsidR="00E32382">
        <w:rPr>
          <w:rFonts w:ascii="Calibri" w:hAnsi="Calibri" w:cs="Calibri"/>
          <w:color w:val="000000"/>
          <w:sz w:val="20"/>
          <w:lang w:eastAsia="en-US"/>
        </w:rPr>
        <w:t>.</w:t>
      </w:r>
      <w:r w:rsidR="00D84F7D">
        <w:rPr>
          <w:rFonts w:ascii="Calibri" w:hAnsi="Calibri" w:cs="Calibri"/>
          <w:color w:val="000000"/>
          <w:sz w:val="20"/>
          <w:lang w:eastAsia="en-US"/>
        </w:rPr>
        <w:t xml:space="preserve"> </w:t>
      </w:r>
      <w:r w:rsidR="00F37E3E">
        <w:rPr>
          <w:rFonts w:ascii="Calibri" w:hAnsi="Calibri" w:cs="Calibri"/>
          <w:color w:val="000000"/>
          <w:sz w:val="20"/>
          <w:lang w:eastAsia="en-US"/>
        </w:rPr>
        <w:t xml:space="preserve">Data </w:t>
      </w:r>
      <w:r w:rsidR="00D84F7D">
        <w:rPr>
          <w:rFonts w:ascii="Calibri" w:hAnsi="Calibri" w:cs="Calibri"/>
          <w:color w:val="000000"/>
          <w:sz w:val="20"/>
          <w:lang w:eastAsia="en-US"/>
        </w:rPr>
        <w:t>za rok 2022 nebyl</w:t>
      </w:r>
      <w:r w:rsidR="0062367D">
        <w:rPr>
          <w:rFonts w:ascii="Calibri" w:hAnsi="Calibri" w:cs="Calibri"/>
          <w:color w:val="000000"/>
          <w:sz w:val="20"/>
          <w:lang w:eastAsia="en-US"/>
        </w:rPr>
        <w:t>a</w:t>
      </w:r>
      <w:r w:rsidR="00D84F7D">
        <w:rPr>
          <w:rFonts w:ascii="Calibri" w:hAnsi="Calibri" w:cs="Calibri"/>
          <w:color w:val="000000"/>
          <w:sz w:val="20"/>
          <w:lang w:eastAsia="en-US"/>
        </w:rPr>
        <w:t xml:space="preserve"> ke dni ukončení kontroly </w:t>
      </w:r>
      <w:r w:rsidR="00F37E3E">
        <w:rPr>
          <w:rFonts w:ascii="Calibri" w:hAnsi="Calibri" w:cs="Calibri"/>
          <w:color w:val="000000"/>
          <w:sz w:val="20"/>
          <w:lang w:eastAsia="en-US"/>
        </w:rPr>
        <w:t>dostupná.</w:t>
      </w:r>
    </w:p>
    <w:bookmarkEnd w:id="4"/>
    <w:p w14:paraId="2BCE72BA" w14:textId="43196095" w:rsidR="00F70EEF" w:rsidRPr="0004354F" w:rsidRDefault="00455CD6" w:rsidP="001E126B">
      <w:pPr>
        <w:pStyle w:val="Titulek"/>
        <w:keepNext/>
        <w:spacing w:after="120"/>
        <w:rPr>
          <w:rFonts w:asciiTheme="minorHAnsi" w:hAnsiTheme="minorHAnsi" w:cstheme="minorHAnsi"/>
          <w:b w:val="0"/>
          <w:color w:val="auto"/>
          <w:sz w:val="24"/>
          <w:szCs w:val="24"/>
        </w:rPr>
      </w:pPr>
      <w:r w:rsidRPr="0004354F">
        <w:rPr>
          <w:rFonts w:asciiTheme="minorHAnsi" w:hAnsiTheme="minorHAnsi" w:cstheme="minorHAnsi"/>
          <w:b w:val="0"/>
          <w:color w:val="auto"/>
          <w:sz w:val="24"/>
          <w:szCs w:val="24"/>
        </w:rPr>
        <w:t>V období 2016</w:t>
      </w:r>
      <w:r w:rsidR="00F83D72" w:rsidRPr="00F83D72">
        <w:rPr>
          <w:rFonts w:asciiTheme="minorHAnsi" w:hAnsiTheme="minorHAnsi" w:cstheme="minorHAnsi"/>
          <w:b w:val="0"/>
          <w:color w:val="auto"/>
          <w:sz w:val="24"/>
          <w:szCs w:val="24"/>
        </w:rPr>
        <w:t>–</w:t>
      </w:r>
      <w:r w:rsidRPr="0004354F">
        <w:rPr>
          <w:rFonts w:asciiTheme="minorHAnsi" w:hAnsiTheme="minorHAnsi" w:cstheme="minorHAnsi"/>
          <w:b w:val="0"/>
          <w:color w:val="auto"/>
          <w:sz w:val="24"/>
          <w:szCs w:val="24"/>
        </w:rPr>
        <w:t>2021 byl</w:t>
      </w:r>
      <w:r w:rsidR="00D84F7D">
        <w:rPr>
          <w:rFonts w:asciiTheme="minorHAnsi" w:hAnsiTheme="minorHAnsi" w:cstheme="minorHAnsi"/>
          <w:b w:val="0"/>
          <w:color w:val="auto"/>
          <w:sz w:val="24"/>
          <w:szCs w:val="24"/>
        </w:rPr>
        <w:t>o</w:t>
      </w:r>
      <w:r w:rsidRPr="0004354F">
        <w:rPr>
          <w:rFonts w:asciiTheme="minorHAnsi" w:hAnsiTheme="minorHAnsi" w:cstheme="minorHAnsi"/>
          <w:b w:val="0"/>
          <w:color w:val="auto"/>
          <w:sz w:val="24"/>
          <w:szCs w:val="24"/>
        </w:rPr>
        <w:t xml:space="preserve"> z podpor poskytnutých z národních zdrojů a</w:t>
      </w:r>
      <w:r w:rsidR="00D84F7D">
        <w:rPr>
          <w:rFonts w:asciiTheme="minorHAnsi" w:hAnsiTheme="minorHAnsi" w:cstheme="minorHAnsi"/>
          <w:b w:val="0"/>
          <w:color w:val="auto"/>
          <w:sz w:val="24"/>
          <w:szCs w:val="24"/>
        </w:rPr>
        <w:t xml:space="preserve"> v rámci </w:t>
      </w:r>
      <w:r w:rsidRPr="0004354F">
        <w:rPr>
          <w:rFonts w:asciiTheme="minorHAnsi" w:hAnsiTheme="minorHAnsi" w:cstheme="minorHAnsi"/>
          <w:b w:val="0"/>
          <w:color w:val="auto"/>
          <w:sz w:val="24"/>
          <w:szCs w:val="24"/>
        </w:rPr>
        <w:t>IROP pořízen</w:t>
      </w:r>
      <w:r w:rsidR="00D84F7D">
        <w:rPr>
          <w:rFonts w:asciiTheme="minorHAnsi" w:hAnsiTheme="minorHAnsi" w:cstheme="minorHAnsi"/>
          <w:b w:val="0"/>
          <w:color w:val="auto"/>
          <w:sz w:val="24"/>
          <w:szCs w:val="24"/>
        </w:rPr>
        <w:t>o</w:t>
      </w:r>
      <w:r w:rsidRPr="0004354F">
        <w:rPr>
          <w:rFonts w:asciiTheme="minorHAnsi" w:hAnsiTheme="minorHAnsi" w:cstheme="minorHAnsi"/>
          <w:b w:val="0"/>
          <w:color w:val="auto"/>
          <w:sz w:val="24"/>
          <w:szCs w:val="24"/>
        </w:rPr>
        <w:t xml:space="preserve"> celkem 4 663 byt</w:t>
      </w:r>
      <w:r w:rsidR="00D84F7D">
        <w:rPr>
          <w:rFonts w:asciiTheme="minorHAnsi" w:hAnsiTheme="minorHAnsi" w:cstheme="minorHAnsi"/>
          <w:b w:val="0"/>
          <w:color w:val="auto"/>
          <w:sz w:val="24"/>
          <w:szCs w:val="24"/>
        </w:rPr>
        <w:t>ů</w:t>
      </w:r>
      <w:r w:rsidR="00301E52">
        <w:rPr>
          <w:rFonts w:asciiTheme="minorHAnsi" w:hAnsiTheme="minorHAnsi" w:cstheme="minorHAnsi"/>
          <w:b w:val="0"/>
          <w:color w:val="auto"/>
          <w:sz w:val="24"/>
          <w:szCs w:val="24"/>
        </w:rPr>
        <w:t>. V</w:t>
      </w:r>
      <w:r w:rsidRPr="0004354F">
        <w:rPr>
          <w:rFonts w:asciiTheme="minorHAnsi" w:hAnsiTheme="minorHAnsi" w:cstheme="minorHAnsi"/>
          <w:b w:val="0"/>
          <w:color w:val="auto"/>
          <w:sz w:val="24"/>
          <w:szCs w:val="24"/>
        </w:rPr>
        <w:t xml:space="preserve">e stejném období bylo v ČR dokončeno celkem 195 140 bytů. Podrobnější přehled </w:t>
      </w:r>
      <w:r w:rsidR="00686406" w:rsidRPr="0004354F">
        <w:rPr>
          <w:rFonts w:asciiTheme="minorHAnsi" w:hAnsiTheme="minorHAnsi" w:cstheme="minorHAnsi"/>
          <w:b w:val="0"/>
          <w:color w:val="auto"/>
          <w:sz w:val="24"/>
          <w:szCs w:val="24"/>
        </w:rPr>
        <w:t>dokončených bytů</w:t>
      </w:r>
      <w:r w:rsidRPr="0004354F">
        <w:rPr>
          <w:rFonts w:asciiTheme="minorHAnsi" w:hAnsiTheme="minorHAnsi" w:cstheme="minorHAnsi"/>
          <w:b w:val="0"/>
          <w:color w:val="auto"/>
          <w:sz w:val="24"/>
          <w:szCs w:val="24"/>
        </w:rPr>
        <w:t xml:space="preserve"> je uveden v tabulce č. 2.</w:t>
      </w:r>
    </w:p>
    <w:p w14:paraId="2A141C85" w14:textId="60550ABB" w:rsidR="00AA2F55" w:rsidRPr="00756C02" w:rsidRDefault="00455CD6" w:rsidP="00756C02">
      <w:pPr>
        <w:pStyle w:val="Titulek"/>
        <w:keepNext/>
        <w:spacing w:after="0"/>
        <w:ind w:left="1304" w:hanging="1304"/>
        <w:jc w:val="left"/>
        <w:rPr>
          <w:rFonts w:asciiTheme="minorHAnsi" w:hAnsiTheme="minorHAnsi" w:cstheme="minorHAnsi"/>
          <w:color w:val="auto"/>
          <w:sz w:val="24"/>
          <w:szCs w:val="24"/>
        </w:rPr>
      </w:pPr>
      <w:r w:rsidRPr="00756C02">
        <w:rPr>
          <w:rFonts w:asciiTheme="minorHAnsi" w:hAnsiTheme="minorHAnsi" w:cstheme="minorHAnsi"/>
          <w:color w:val="auto"/>
          <w:sz w:val="24"/>
          <w:szCs w:val="24"/>
        </w:rPr>
        <w:t xml:space="preserve">Tabulka č. </w:t>
      </w:r>
      <w:r w:rsidR="00393E4A" w:rsidRPr="00756C02">
        <w:rPr>
          <w:rFonts w:asciiTheme="minorHAnsi" w:hAnsiTheme="minorHAnsi" w:cstheme="minorHAnsi"/>
          <w:color w:val="auto"/>
          <w:sz w:val="24"/>
          <w:szCs w:val="24"/>
        </w:rPr>
        <w:t>2</w:t>
      </w:r>
      <w:r w:rsidRPr="00756C02">
        <w:rPr>
          <w:rFonts w:asciiTheme="minorHAnsi" w:eastAsiaTheme="minorHAnsi" w:hAnsiTheme="minorHAnsi" w:cstheme="minorHAnsi"/>
          <w:color w:val="auto"/>
          <w:sz w:val="24"/>
          <w:szCs w:val="24"/>
        </w:rPr>
        <w:t xml:space="preserve">: </w:t>
      </w:r>
      <w:r w:rsidR="00EF5D7F">
        <w:rPr>
          <w:rFonts w:asciiTheme="minorHAnsi" w:eastAsiaTheme="minorHAnsi" w:hAnsiTheme="minorHAnsi" w:cstheme="minorHAnsi"/>
          <w:color w:val="auto"/>
          <w:sz w:val="24"/>
          <w:szCs w:val="24"/>
        </w:rPr>
        <w:tab/>
      </w:r>
      <w:r w:rsidRPr="00756C02">
        <w:rPr>
          <w:rFonts w:asciiTheme="minorHAnsi" w:eastAsiaTheme="minorHAnsi" w:hAnsiTheme="minorHAnsi" w:cstheme="minorHAnsi"/>
          <w:color w:val="auto"/>
          <w:sz w:val="24"/>
          <w:szCs w:val="24"/>
        </w:rPr>
        <w:t xml:space="preserve">Byty pořízené v rámci </w:t>
      </w:r>
      <w:r w:rsidR="00A03032" w:rsidRPr="00756C02">
        <w:rPr>
          <w:rFonts w:asciiTheme="minorHAnsi" w:eastAsiaTheme="minorHAnsi" w:hAnsiTheme="minorHAnsi" w:cstheme="minorHAnsi"/>
          <w:color w:val="auto"/>
          <w:sz w:val="24"/>
          <w:szCs w:val="24"/>
        </w:rPr>
        <w:t>poskytnutých podpor</w:t>
      </w:r>
      <w:r w:rsidRPr="00756C02">
        <w:rPr>
          <w:rFonts w:asciiTheme="minorHAnsi" w:eastAsiaTheme="minorHAnsi" w:hAnsiTheme="minorHAnsi" w:cstheme="minorHAnsi"/>
          <w:color w:val="auto"/>
          <w:sz w:val="24"/>
          <w:szCs w:val="24"/>
        </w:rPr>
        <w:t xml:space="preserve"> MMR, SFPI a IROP v období </w:t>
      </w:r>
      <w:r w:rsidR="00EF5D7F">
        <w:rPr>
          <w:rFonts w:asciiTheme="minorHAnsi" w:eastAsiaTheme="minorHAnsi" w:hAnsiTheme="minorHAnsi" w:cstheme="minorHAnsi"/>
          <w:color w:val="auto"/>
          <w:sz w:val="24"/>
          <w:szCs w:val="24"/>
        </w:rPr>
        <w:br/>
      </w:r>
      <w:r w:rsidRPr="00756C02">
        <w:rPr>
          <w:rFonts w:asciiTheme="minorHAnsi" w:eastAsiaTheme="minorHAnsi" w:hAnsiTheme="minorHAnsi" w:cstheme="minorHAnsi"/>
          <w:color w:val="auto"/>
          <w:sz w:val="24"/>
          <w:szCs w:val="24"/>
        </w:rPr>
        <w:t>2016</w:t>
      </w:r>
      <w:r w:rsidR="00EF5D7F">
        <w:rPr>
          <w:rFonts w:asciiTheme="minorHAnsi" w:hAnsiTheme="minorHAnsi" w:cstheme="minorHAnsi"/>
          <w:color w:val="auto"/>
          <w:sz w:val="24"/>
          <w:szCs w:val="24"/>
          <w:shd w:val="clear" w:color="auto" w:fill="FFFFFF"/>
        </w:rPr>
        <w:t>–</w:t>
      </w:r>
      <w:r w:rsidRPr="00756C02">
        <w:rPr>
          <w:rFonts w:asciiTheme="minorHAnsi" w:eastAsiaTheme="minorHAnsi" w:hAnsiTheme="minorHAnsi" w:cstheme="minorHAnsi"/>
          <w:color w:val="auto"/>
          <w:sz w:val="24"/>
          <w:szCs w:val="24"/>
        </w:rPr>
        <w:t>2021</w:t>
      </w:r>
    </w:p>
    <w:tbl>
      <w:tblPr>
        <w:tblW w:w="9070" w:type="dxa"/>
        <w:tblInd w:w="-5" w:type="dxa"/>
        <w:tblCellMar>
          <w:left w:w="70" w:type="dxa"/>
          <w:right w:w="70" w:type="dxa"/>
        </w:tblCellMar>
        <w:tblLook w:val="04A0" w:firstRow="1" w:lastRow="0" w:firstColumn="1" w:lastColumn="0" w:noHBand="0" w:noVBand="1"/>
      </w:tblPr>
      <w:tblGrid>
        <w:gridCol w:w="7313"/>
        <w:gridCol w:w="1757"/>
      </w:tblGrid>
      <w:tr w:rsidR="008775EC" w14:paraId="505A21FF" w14:textId="77777777" w:rsidTr="00756C02">
        <w:trPr>
          <w:trHeight w:val="397"/>
        </w:trPr>
        <w:tc>
          <w:tcPr>
            <w:tcW w:w="7313" w:type="dxa"/>
            <w:tcBorders>
              <w:top w:val="single" w:sz="4" w:space="0" w:color="auto"/>
              <w:left w:val="single" w:sz="4" w:space="0" w:color="auto"/>
              <w:bottom w:val="single" w:sz="4" w:space="0" w:color="auto"/>
              <w:right w:val="single" w:sz="4" w:space="0" w:color="auto"/>
            </w:tcBorders>
            <w:shd w:val="clear" w:color="auto" w:fill="E5F1FF"/>
            <w:noWrap/>
            <w:vAlign w:val="center"/>
          </w:tcPr>
          <w:p w14:paraId="6096D0B6" w14:textId="77777777" w:rsidR="00F70EEF" w:rsidRPr="00D04B17" w:rsidRDefault="00455CD6" w:rsidP="00756C02">
            <w:pPr>
              <w:keepNext/>
              <w:keepLines/>
              <w:ind w:right="-21"/>
              <w:jc w:val="left"/>
              <w:rPr>
                <w:rFonts w:ascii="Calibri" w:hAnsi="Calibri" w:cs="Calibri"/>
                <w:b/>
                <w:color w:val="000000"/>
                <w:sz w:val="20"/>
                <w:szCs w:val="22"/>
              </w:rPr>
            </w:pPr>
            <w:r w:rsidRPr="00D04B17">
              <w:rPr>
                <w:rFonts w:ascii="Calibri" w:hAnsi="Calibri" w:cs="Calibri"/>
                <w:b/>
                <w:color w:val="000000"/>
                <w:sz w:val="20"/>
                <w:szCs w:val="22"/>
              </w:rPr>
              <w:t>Poskytovatel podpory</w:t>
            </w:r>
          </w:p>
        </w:tc>
        <w:tc>
          <w:tcPr>
            <w:tcW w:w="1757" w:type="dxa"/>
            <w:tcBorders>
              <w:top w:val="single" w:sz="4" w:space="0" w:color="auto"/>
              <w:left w:val="nil"/>
              <w:bottom w:val="single" w:sz="4" w:space="0" w:color="auto"/>
              <w:right w:val="single" w:sz="4" w:space="0" w:color="auto"/>
            </w:tcBorders>
            <w:shd w:val="clear" w:color="auto" w:fill="E5F1FF"/>
            <w:noWrap/>
            <w:vAlign w:val="center"/>
          </w:tcPr>
          <w:p w14:paraId="14D1D161" w14:textId="77777777" w:rsidR="00F70EEF" w:rsidRPr="00D04B17" w:rsidRDefault="00455CD6" w:rsidP="00756C02">
            <w:pPr>
              <w:keepNext/>
              <w:keepLines/>
              <w:jc w:val="center"/>
              <w:rPr>
                <w:rFonts w:ascii="Calibri" w:hAnsi="Calibri" w:cs="Calibri"/>
                <w:b/>
                <w:color w:val="000000"/>
                <w:sz w:val="20"/>
                <w:szCs w:val="22"/>
              </w:rPr>
            </w:pPr>
            <w:r w:rsidRPr="00D04B17">
              <w:rPr>
                <w:rFonts w:ascii="Calibri" w:hAnsi="Calibri" w:cs="Calibri"/>
                <w:b/>
                <w:color w:val="000000"/>
                <w:sz w:val="20"/>
                <w:szCs w:val="22"/>
              </w:rPr>
              <w:t>Počet bytů</w:t>
            </w:r>
          </w:p>
        </w:tc>
      </w:tr>
      <w:tr w:rsidR="008775EC" w14:paraId="7AA7BF49" w14:textId="77777777" w:rsidTr="00756C02">
        <w:trPr>
          <w:trHeight w:val="300"/>
        </w:trPr>
        <w:tc>
          <w:tcPr>
            <w:tcW w:w="7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71079" w14:textId="251F0CED" w:rsidR="00AA2F55" w:rsidRPr="00D04B17" w:rsidRDefault="00455CD6" w:rsidP="00756C02">
            <w:pPr>
              <w:keepNext/>
              <w:keepLines/>
              <w:ind w:right="-21"/>
              <w:jc w:val="left"/>
              <w:rPr>
                <w:rFonts w:ascii="Calibri" w:hAnsi="Calibri" w:cs="Calibri"/>
                <w:color w:val="000000"/>
                <w:sz w:val="20"/>
                <w:szCs w:val="22"/>
              </w:rPr>
            </w:pPr>
            <w:r w:rsidRPr="00D04B17">
              <w:rPr>
                <w:rFonts w:ascii="Calibri" w:hAnsi="Calibri" w:cs="Calibri"/>
                <w:color w:val="000000"/>
                <w:sz w:val="20"/>
                <w:szCs w:val="22"/>
              </w:rPr>
              <w:t>MMR</w:t>
            </w:r>
            <w:r w:rsidR="00EF5D7F">
              <w:rPr>
                <w:rFonts w:ascii="Calibri" w:hAnsi="Calibri" w:cs="Calibri"/>
                <w:color w:val="000000"/>
                <w:sz w:val="20"/>
                <w:szCs w:val="22"/>
              </w:rPr>
              <w:t xml:space="preserve"> – </w:t>
            </w:r>
            <w:r w:rsidR="00586C52" w:rsidRPr="00D04B17">
              <w:rPr>
                <w:rFonts w:ascii="Calibri" w:hAnsi="Calibri" w:cs="Calibri"/>
                <w:color w:val="000000"/>
                <w:sz w:val="20"/>
                <w:szCs w:val="22"/>
              </w:rPr>
              <w:t>národní dotace</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14:paraId="519FCDD2" w14:textId="77777777" w:rsidR="00AA2F55" w:rsidRPr="00D04B17" w:rsidRDefault="00455CD6" w:rsidP="001E126B">
            <w:pPr>
              <w:keepNext/>
              <w:keepLines/>
              <w:jc w:val="right"/>
              <w:rPr>
                <w:rFonts w:ascii="Calibri" w:hAnsi="Calibri" w:cs="Calibri"/>
                <w:color w:val="000000"/>
                <w:sz w:val="20"/>
                <w:szCs w:val="22"/>
              </w:rPr>
            </w:pPr>
            <w:r w:rsidRPr="00D04B17">
              <w:rPr>
                <w:rFonts w:ascii="Calibri" w:hAnsi="Calibri" w:cs="Calibri"/>
                <w:color w:val="000000"/>
                <w:sz w:val="20"/>
                <w:szCs w:val="22"/>
              </w:rPr>
              <w:t>1 894</w:t>
            </w:r>
          </w:p>
        </w:tc>
      </w:tr>
      <w:tr w:rsidR="008775EC" w14:paraId="413F7B35" w14:textId="77777777" w:rsidTr="00756C02">
        <w:trPr>
          <w:trHeight w:val="300"/>
        </w:trPr>
        <w:tc>
          <w:tcPr>
            <w:tcW w:w="7313" w:type="dxa"/>
            <w:tcBorders>
              <w:top w:val="nil"/>
              <w:left w:val="single" w:sz="4" w:space="0" w:color="auto"/>
              <w:bottom w:val="single" w:sz="4" w:space="0" w:color="auto"/>
              <w:right w:val="single" w:sz="4" w:space="0" w:color="auto"/>
            </w:tcBorders>
            <w:shd w:val="clear" w:color="auto" w:fill="auto"/>
            <w:noWrap/>
            <w:vAlign w:val="bottom"/>
            <w:hideMark/>
          </w:tcPr>
          <w:p w14:paraId="10625719" w14:textId="77777777" w:rsidR="00AA2F55" w:rsidRPr="00D04B17" w:rsidRDefault="00455CD6" w:rsidP="00756C02">
            <w:pPr>
              <w:keepNext/>
              <w:keepLines/>
              <w:ind w:right="-21"/>
              <w:jc w:val="left"/>
              <w:rPr>
                <w:rFonts w:ascii="Calibri" w:hAnsi="Calibri" w:cs="Calibri"/>
                <w:color w:val="000000"/>
                <w:sz w:val="20"/>
                <w:szCs w:val="22"/>
              </w:rPr>
            </w:pPr>
            <w:r w:rsidRPr="00D04B17">
              <w:rPr>
                <w:rFonts w:ascii="Calibri" w:hAnsi="Calibri" w:cs="Calibri"/>
                <w:color w:val="000000"/>
                <w:sz w:val="20"/>
                <w:szCs w:val="22"/>
              </w:rPr>
              <w:t>SFPI</w:t>
            </w:r>
            <w:r w:rsidR="00586C52" w:rsidRPr="00D04B17">
              <w:rPr>
                <w:rFonts w:ascii="Calibri" w:hAnsi="Calibri" w:cs="Calibri"/>
                <w:color w:val="000000"/>
                <w:sz w:val="20"/>
                <w:szCs w:val="22"/>
              </w:rPr>
              <w:t xml:space="preserve"> </w:t>
            </w:r>
          </w:p>
        </w:tc>
        <w:tc>
          <w:tcPr>
            <w:tcW w:w="1757" w:type="dxa"/>
            <w:tcBorders>
              <w:top w:val="nil"/>
              <w:left w:val="nil"/>
              <w:bottom w:val="single" w:sz="4" w:space="0" w:color="auto"/>
              <w:right w:val="single" w:sz="4" w:space="0" w:color="auto"/>
            </w:tcBorders>
            <w:shd w:val="clear" w:color="auto" w:fill="auto"/>
            <w:noWrap/>
            <w:vAlign w:val="bottom"/>
            <w:hideMark/>
          </w:tcPr>
          <w:p w14:paraId="27B40C10" w14:textId="77777777" w:rsidR="00AA2F55" w:rsidRPr="00D04B17" w:rsidRDefault="00455CD6" w:rsidP="001E126B">
            <w:pPr>
              <w:keepNext/>
              <w:keepLines/>
              <w:jc w:val="right"/>
              <w:rPr>
                <w:rFonts w:ascii="Calibri" w:hAnsi="Calibri" w:cs="Calibri"/>
                <w:color w:val="000000"/>
                <w:sz w:val="20"/>
                <w:szCs w:val="22"/>
              </w:rPr>
            </w:pPr>
            <w:r w:rsidRPr="00D04B17">
              <w:rPr>
                <w:rFonts w:ascii="Calibri" w:hAnsi="Calibri" w:cs="Calibri"/>
                <w:color w:val="000000"/>
                <w:sz w:val="20"/>
                <w:szCs w:val="22"/>
              </w:rPr>
              <w:t>557</w:t>
            </w:r>
          </w:p>
        </w:tc>
      </w:tr>
      <w:tr w:rsidR="008775EC" w14:paraId="58971610" w14:textId="77777777" w:rsidTr="00756C02">
        <w:trPr>
          <w:trHeight w:val="300"/>
        </w:trPr>
        <w:tc>
          <w:tcPr>
            <w:tcW w:w="7313" w:type="dxa"/>
            <w:tcBorders>
              <w:top w:val="nil"/>
              <w:left w:val="single" w:sz="4" w:space="0" w:color="auto"/>
              <w:bottom w:val="single" w:sz="4" w:space="0" w:color="auto"/>
              <w:right w:val="single" w:sz="4" w:space="0" w:color="auto"/>
            </w:tcBorders>
            <w:shd w:val="clear" w:color="auto" w:fill="auto"/>
            <w:noWrap/>
            <w:vAlign w:val="bottom"/>
          </w:tcPr>
          <w:p w14:paraId="3B667F57" w14:textId="77777777" w:rsidR="00AA2F55" w:rsidRPr="00E65A76" w:rsidRDefault="00455CD6" w:rsidP="00756C02">
            <w:pPr>
              <w:keepNext/>
              <w:keepLines/>
              <w:ind w:right="-21"/>
              <w:jc w:val="left"/>
              <w:rPr>
                <w:rFonts w:ascii="Calibri" w:hAnsi="Calibri" w:cs="Calibri"/>
                <w:i/>
                <w:color w:val="000000"/>
                <w:sz w:val="20"/>
                <w:szCs w:val="22"/>
              </w:rPr>
            </w:pPr>
            <w:r w:rsidRPr="00E65A76">
              <w:rPr>
                <w:rFonts w:ascii="Calibri" w:hAnsi="Calibri" w:cs="Calibri"/>
                <w:i/>
                <w:color w:val="000000"/>
                <w:sz w:val="20"/>
                <w:szCs w:val="22"/>
              </w:rPr>
              <w:t>Celkem</w:t>
            </w:r>
            <w:r w:rsidR="00257607" w:rsidRPr="00E65A76">
              <w:rPr>
                <w:rFonts w:ascii="Calibri" w:hAnsi="Calibri" w:cs="Calibri"/>
                <w:i/>
                <w:color w:val="000000"/>
                <w:sz w:val="20"/>
                <w:szCs w:val="22"/>
              </w:rPr>
              <w:t xml:space="preserve"> národní zdroje</w:t>
            </w:r>
          </w:p>
        </w:tc>
        <w:tc>
          <w:tcPr>
            <w:tcW w:w="1757" w:type="dxa"/>
            <w:tcBorders>
              <w:top w:val="nil"/>
              <w:left w:val="nil"/>
              <w:bottom w:val="single" w:sz="4" w:space="0" w:color="auto"/>
              <w:right w:val="single" w:sz="4" w:space="0" w:color="auto"/>
            </w:tcBorders>
            <w:shd w:val="clear" w:color="auto" w:fill="auto"/>
            <w:noWrap/>
            <w:vAlign w:val="bottom"/>
          </w:tcPr>
          <w:p w14:paraId="662FF356" w14:textId="77777777" w:rsidR="00AA2F55" w:rsidRPr="00E65A76" w:rsidRDefault="00455CD6" w:rsidP="001E126B">
            <w:pPr>
              <w:keepNext/>
              <w:keepLines/>
              <w:jc w:val="right"/>
              <w:rPr>
                <w:rFonts w:ascii="Calibri" w:hAnsi="Calibri" w:cs="Calibri"/>
                <w:i/>
                <w:color w:val="000000"/>
                <w:sz w:val="20"/>
                <w:szCs w:val="22"/>
              </w:rPr>
            </w:pPr>
            <w:r w:rsidRPr="00E65A76">
              <w:rPr>
                <w:rFonts w:ascii="Calibri" w:hAnsi="Calibri" w:cs="Calibri"/>
                <w:i/>
                <w:color w:val="000000"/>
                <w:sz w:val="20"/>
                <w:szCs w:val="22"/>
              </w:rPr>
              <w:t>2 451</w:t>
            </w:r>
          </w:p>
        </w:tc>
      </w:tr>
      <w:tr w:rsidR="008775EC" w14:paraId="7D2AE8AC" w14:textId="77777777" w:rsidTr="00756C02">
        <w:trPr>
          <w:trHeight w:val="300"/>
        </w:trPr>
        <w:tc>
          <w:tcPr>
            <w:tcW w:w="7313" w:type="dxa"/>
            <w:tcBorders>
              <w:top w:val="nil"/>
              <w:left w:val="single" w:sz="4" w:space="0" w:color="auto"/>
              <w:bottom w:val="single" w:sz="4" w:space="0" w:color="auto"/>
              <w:right w:val="single" w:sz="4" w:space="0" w:color="auto"/>
            </w:tcBorders>
            <w:shd w:val="clear" w:color="auto" w:fill="auto"/>
            <w:noWrap/>
            <w:vAlign w:val="bottom"/>
            <w:hideMark/>
          </w:tcPr>
          <w:p w14:paraId="37364C43" w14:textId="0B355E50" w:rsidR="00AA2F55" w:rsidRPr="00D04B17" w:rsidRDefault="00455CD6" w:rsidP="00756C02">
            <w:pPr>
              <w:keepNext/>
              <w:keepLines/>
              <w:ind w:right="-21"/>
              <w:jc w:val="left"/>
              <w:rPr>
                <w:rFonts w:ascii="Calibri" w:hAnsi="Calibri" w:cs="Calibri"/>
                <w:color w:val="000000"/>
                <w:sz w:val="20"/>
                <w:szCs w:val="22"/>
              </w:rPr>
            </w:pPr>
            <w:r w:rsidRPr="00D04B17">
              <w:rPr>
                <w:rFonts w:ascii="Calibri" w:hAnsi="Calibri" w:cs="Calibri"/>
                <w:color w:val="000000"/>
                <w:sz w:val="20"/>
                <w:szCs w:val="22"/>
              </w:rPr>
              <w:t>MMR</w:t>
            </w:r>
            <w:r w:rsidR="000723DD">
              <w:rPr>
                <w:rFonts w:ascii="Calibri" w:hAnsi="Calibri" w:cs="Calibri"/>
                <w:color w:val="000000"/>
                <w:sz w:val="20"/>
                <w:szCs w:val="22"/>
              </w:rPr>
              <w:t xml:space="preserve"> </w:t>
            </w:r>
            <w:r w:rsidR="000723DD" w:rsidRPr="00871128">
              <w:rPr>
                <w:sz w:val="20"/>
              </w:rPr>
              <w:t>–</w:t>
            </w:r>
            <w:r w:rsidR="000723DD">
              <w:rPr>
                <w:sz w:val="20"/>
              </w:rPr>
              <w:t xml:space="preserve"> </w:t>
            </w:r>
            <w:r w:rsidR="00E65A76">
              <w:rPr>
                <w:rFonts w:ascii="Calibri" w:hAnsi="Calibri" w:cs="Calibri"/>
                <w:color w:val="000000"/>
                <w:sz w:val="20"/>
                <w:szCs w:val="22"/>
              </w:rPr>
              <w:t xml:space="preserve">peněžní prostředky EU (IROP) </w:t>
            </w:r>
          </w:p>
        </w:tc>
        <w:tc>
          <w:tcPr>
            <w:tcW w:w="1757" w:type="dxa"/>
            <w:tcBorders>
              <w:top w:val="nil"/>
              <w:left w:val="nil"/>
              <w:bottom w:val="single" w:sz="4" w:space="0" w:color="auto"/>
              <w:right w:val="single" w:sz="4" w:space="0" w:color="auto"/>
            </w:tcBorders>
            <w:shd w:val="clear" w:color="auto" w:fill="auto"/>
            <w:noWrap/>
            <w:vAlign w:val="bottom"/>
            <w:hideMark/>
          </w:tcPr>
          <w:p w14:paraId="3918881F" w14:textId="77777777" w:rsidR="00AA2F55" w:rsidRPr="00D04B17" w:rsidRDefault="00455CD6" w:rsidP="001E126B">
            <w:pPr>
              <w:keepNext/>
              <w:keepLines/>
              <w:jc w:val="right"/>
              <w:rPr>
                <w:rFonts w:ascii="Calibri" w:hAnsi="Calibri" w:cs="Calibri"/>
                <w:color w:val="000000"/>
                <w:sz w:val="20"/>
                <w:szCs w:val="22"/>
              </w:rPr>
            </w:pPr>
            <w:r w:rsidRPr="00D04B17">
              <w:rPr>
                <w:rFonts w:ascii="Calibri" w:hAnsi="Calibri" w:cs="Calibri"/>
                <w:color w:val="000000"/>
                <w:sz w:val="20"/>
                <w:szCs w:val="22"/>
              </w:rPr>
              <w:t>2 212</w:t>
            </w:r>
          </w:p>
        </w:tc>
      </w:tr>
      <w:tr w:rsidR="008775EC" w14:paraId="44438350" w14:textId="77777777" w:rsidTr="00756C02">
        <w:trPr>
          <w:trHeight w:val="300"/>
        </w:trPr>
        <w:tc>
          <w:tcPr>
            <w:tcW w:w="7313" w:type="dxa"/>
            <w:tcBorders>
              <w:top w:val="nil"/>
              <w:left w:val="single" w:sz="4" w:space="0" w:color="auto"/>
              <w:bottom w:val="single" w:sz="4" w:space="0" w:color="auto"/>
              <w:right w:val="single" w:sz="4" w:space="0" w:color="auto"/>
            </w:tcBorders>
            <w:shd w:val="clear" w:color="auto" w:fill="auto"/>
            <w:noWrap/>
            <w:vAlign w:val="bottom"/>
            <w:hideMark/>
          </w:tcPr>
          <w:p w14:paraId="722CFF66" w14:textId="77777777" w:rsidR="00AA2F55" w:rsidRPr="00D04B17" w:rsidRDefault="00A03032" w:rsidP="00756C02">
            <w:pPr>
              <w:keepNext/>
              <w:keepLines/>
              <w:ind w:right="-21"/>
              <w:jc w:val="left"/>
              <w:rPr>
                <w:rFonts w:ascii="Calibri" w:hAnsi="Calibri" w:cs="Calibri"/>
                <w:b/>
                <w:i/>
                <w:color w:val="000000"/>
                <w:sz w:val="20"/>
                <w:szCs w:val="22"/>
              </w:rPr>
            </w:pPr>
            <w:r>
              <w:rPr>
                <w:rFonts w:ascii="Calibri" w:hAnsi="Calibri" w:cs="Calibri"/>
                <w:b/>
                <w:i/>
                <w:color w:val="000000"/>
                <w:sz w:val="20"/>
                <w:szCs w:val="22"/>
              </w:rPr>
              <w:t>Byty do</w:t>
            </w:r>
            <w:r w:rsidR="00455CD6">
              <w:rPr>
                <w:rFonts w:ascii="Calibri" w:hAnsi="Calibri" w:cs="Calibri"/>
                <w:b/>
                <w:i/>
                <w:color w:val="000000"/>
                <w:sz w:val="20"/>
                <w:szCs w:val="22"/>
              </w:rPr>
              <w:t>končené</w:t>
            </w:r>
            <w:r>
              <w:rPr>
                <w:rFonts w:ascii="Calibri" w:hAnsi="Calibri" w:cs="Calibri"/>
                <w:b/>
                <w:i/>
                <w:color w:val="000000"/>
                <w:sz w:val="20"/>
                <w:szCs w:val="22"/>
              </w:rPr>
              <w:t xml:space="preserve"> za finanční podpory </w:t>
            </w:r>
            <w:r w:rsidR="00B477E3" w:rsidRPr="00D04B17">
              <w:rPr>
                <w:rFonts w:ascii="Calibri" w:hAnsi="Calibri" w:cs="Calibri"/>
                <w:b/>
                <w:i/>
                <w:color w:val="000000"/>
                <w:sz w:val="20"/>
                <w:szCs w:val="22"/>
              </w:rPr>
              <w:t>resort</w:t>
            </w:r>
            <w:r w:rsidR="00455CD6">
              <w:rPr>
                <w:rFonts w:ascii="Calibri" w:hAnsi="Calibri" w:cs="Calibri"/>
                <w:b/>
                <w:i/>
                <w:color w:val="000000"/>
                <w:sz w:val="20"/>
                <w:szCs w:val="22"/>
              </w:rPr>
              <w:t>u</w:t>
            </w:r>
            <w:r w:rsidR="00455CD6" w:rsidRPr="00D04B17">
              <w:rPr>
                <w:rFonts w:ascii="Calibri" w:hAnsi="Calibri" w:cs="Calibri"/>
                <w:b/>
                <w:i/>
                <w:color w:val="000000"/>
                <w:sz w:val="20"/>
                <w:szCs w:val="22"/>
              </w:rPr>
              <w:t xml:space="preserve"> MMR</w:t>
            </w:r>
          </w:p>
        </w:tc>
        <w:tc>
          <w:tcPr>
            <w:tcW w:w="1757" w:type="dxa"/>
            <w:tcBorders>
              <w:top w:val="nil"/>
              <w:left w:val="nil"/>
              <w:bottom w:val="single" w:sz="4" w:space="0" w:color="auto"/>
              <w:right w:val="single" w:sz="4" w:space="0" w:color="auto"/>
            </w:tcBorders>
            <w:shd w:val="clear" w:color="auto" w:fill="auto"/>
            <w:noWrap/>
            <w:vAlign w:val="bottom"/>
            <w:hideMark/>
          </w:tcPr>
          <w:p w14:paraId="434EE211" w14:textId="77777777" w:rsidR="00AA2F55" w:rsidRPr="00D04B17" w:rsidRDefault="00455CD6" w:rsidP="001E126B">
            <w:pPr>
              <w:keepNext/>
              <w:keepLines/>
              <w:jc w:val="right"/>
              <w:rPr>
                <w:rFonts w:ascii="Calibri" w:hAnsi="Calibri" w:cs="Calibri"/>
                <w:b/>
                <w:i/>
                <w:sz w:val="20"/>
                <w:szCs w:val="22"/>
              </w:rPr>
            </w:pPr>
            <w:r w:rsidRPr="00D04B17">
              <w:rPr>
                <w:rFonts w:ascii="Calibri" w:hAnsi="Calibri" w:cs="Calibri"/>
                <w:b/>
                <w:i/>
                <w:sz w:val="20"/>
                <w:szCs w:val="22"/>
              </w:rPr>
              <w:t>4 663</w:t>
            </w:r>
          </w:p>
        </w:tc>
      </w:tr>
      <w:tr w:rsidR="008775EC" w14:paraId="2BEBA4AD" w14:textId="77777777" w:rsidTr="00756C02">
        <w:trPr>
          <w:trHeight w:val="315"/>
        </w:trPr>
        <w:tc>
          <w:tcPr>
            <w:tcW w:w="7313" w:type="dxa"/>
            <w:tcBorders>
              <w:top w:val="nil"/>
              <w:left w:val="single" w:sz="4" w:space="0" w:color="auto"/>
              <w:bottom w:val="single" w:sz="4" w:space="0" w:color="auto"/>
              <w:right w:val="single" w:sz="4" w:space="0" w:color="auto"/>
            </w:tcBorders>
            <w:shd w:val="clear" w:color="auto" w:fill="auto"/>
            <w:vAlign w:val="bottom"/>
            <w:hideMark/>
          </w:tcPr>
          <w:p w14:paraId="6D11656F" w14:textId="77777777" w:rsidR="00AA2F55" w:rsidRPr="00D04B17" w:rsidRDefault="00455CD6" w:rsidP="00756C02">
            <w:pPr>
              <w:keepNext/>
              <w:keepLines/>
              <w:ind w:right="-21"/>
              <w:jc w:val="left"/>
              <w:rPr>
                <w:rFonts w:ascii="Calibri" w:hAnsi="Calibri" w:cs="Calibri"/>
                <w:b/>
                <w:color w:val="000000"/>
                <w:sz w:val="20"/>
                <w:szCs w:val="22"/>
              </w:rPr>
            </w:pPr>
            <w:r w:rsidRPr="00D04B17">
              <w:rPr>
                <w:rFonts w:ascii="Calibri" w:hAnsi="Calibri" w:cs="Calibri"/>
                <w:b/>
                <w:color w:val="000000"/>
                <w:sz w:val="20"/>
                <w:szCs w:val="22"/>
              </w:rPr>
              <w:t>Dokončené byty v ČR celkem</w:t>
            </w:r>
          </w:p>
        </w:tc>
        <w:tc>
          <w:tcPr>
            <w:tcW w:w="1757" w:type="dxa"/>
            <w:tcBorders>
              <w:top w:val="nil"/>
              <w:left w:val="nil"/>
              <w:bottom w:val="single" w:sz="4" w:space="0" w:color="auto"/>
              <w:right w:val="single" w:sz="4" w:space="0" w:color="auto"/>
            </w:tcBorders>
            <w:shd w:val="clear" w:color="auto" w:fill="auto"/>
            <w:noWrap/>
            <w:vAlign w:val="bottom"/>
            <w:hideMark/>
          </w:tcPr>
          <w:p w14:paraId="4F6D3734" w14:textId="77777777" w:rsidR="00AA2F55" w:rsidRPr="00D04B17" w:rsidRDefault="00455CD6" w:rsidP="001E126B">
            <w:pPr>
              <w:keepNext/>
              <w:keepLines/>
              <w:jc w:val="right"/>
              <w:rPr>
                <w:rFonts w:ascii="Calibri" w:hAnsi="Calibri" w:cs="Calibri"/>
                <w:b/>
                <w:color w:val="000000"/>
                <w:sz w:val="20"/>
                <w:szCs w:val="22"/>
              </w:rPr>
            </w:pPr>
            <w:r w:rsidRPr="00D04B17">
              <w:rPr>
                <w:rFonts w:ascii="Calibri" w:hAnsi="Calibri" w:cs="Calibri"/>
                <w:b/>
                <w:color w:val="000000"/>
                <w:sz w:val="20"/>
                <w:szCs w:val="22"/>
              </w:rPr>
              <w:t>195 140</w:t>
            </w:r>
          </w:p>
        </w:tc>
      </w:tr>
    </w:tbl>
    <w:p w14:paraId="0A195213" w14:textId="1B976727" w:rsidR="00AA2F55" w:rsidRDefault="00455CD6" w:rsidP="001E126B">
      <w:pPr>
        <w:pStyle w:val="KP-normlntun"/>
        <w:keepNext/>
        <w:keepLines/>
        <w:rPr>
          <w:rFonts w:ascii="Calibri" w:hAnsi="Calibri" w:cs="Calibri"/>
          <w:b w:val="0"/>
          <w:color w:val="000000"/>
          <w:sz w:val="20"/>
          <w:szCs w:val="20"/>
        </w:rPr>
      </w:pPr>
      <w:r w:rsidRPr="00EC06C9">
        <w:rPr>
          <w:rFonts w:ascii="Calibri" w:hAnsi="Calibri" w:cs="Calibri"/>
          <w:color w:val="000000"/>
          <w:sz w:val="20"/>
          <w:szCs w:val="20"/>
        </w:rPr>
        <w:t>Zdroj:</w:t>
      </w:r>
      <w:r w:rsidRPr="00EC06C9">
        <w:rPr>
          <w:rFonts w:ascii="Calibri" w:hAnsi="Calibri" w:cs="Calibri"/>
          <w:b w:val="0"/>
          <w:color w:val="000000"/>
          <w:sz w:val="20"/>
          <w:szCs w:val="20"/>
        </w:rPr>
        <w:t xml:space="preserve"> Č</w:t>
      </w:r>
      <w:r w:rsidR="0004354F" w:rsidRPr="00EC06C9">
        <w:rPr>
          <w:rFonts w:ascii="Calibri" w:hAnsi="Calibri" w:cs="Calibri"/>
          <w:b w:val="0"/>
          <w:color w:val="000000"/>
          <w:sz w:val="20"/>
          <w:szCs w:val="20"/>
        </w:rPr>
        <w:t>eský statistický úřad</w:t>
      </w:r>
      <w:r w:rsidR="00746AFB">
        <w:rPr>
          <w:rFonts w:ascii="Calibri" w:hAnsi="Calibri" w:cs="Calibri"/>
          <w:b w:val="0"/>
          <w:color w:val="000000"/>
          <w:sz w:val="20"/>
          <w:szCs w:val="20"/>
        </w:rPr>
        <w:t>;</w:t>
      </w:r>
      <w:r w:rsidRPr="00EC06C9">
        <w:rPr>
          <w:rFonts w:ascii="Calibri" w:hAnsi="Calibri" w:cs="Calibri"/>
          <w:b w:val="0"/>
          <w:color w:val="000000"/>
          <w:sz w:val="20"/>
          <w:szCs w:val="20"/>
        </w:rPr>
        <w:t xml:space="preserve"> </w:t>
      </w:r>
      <w:r w:rsidRPr="00756C02">
        <w:rPr>
          <w:rFonts w:ascii="Calibri" w:hAnsi="Calibri" w:cs="Calibri"/>
          <w:b w:val="0"/>
          <w:i/>
          <w:color w:val="000000"/>
          <w:sz w:val="20"/>
          <w:szCs w:val="20"/>
        </w:rPr>
        <w:t>Vybrané údaje o bydlení za rok 2021</w:t>
      </w:r>
      <w:r w:rsidR="00746AFB">
        <w:rPr>
          <w:rFonts w:ascii="Calibri" w:hAnsi="Calibri" w:cs="Calibri"/>
          <w:b w:val="0"/>
          <w:color w:val="000000"/>
          <w:sz w:val="20"/>
          <w:szCs w:val="20"/>
        </w:rPr>
        <w:t xml:space="preserve"> (MMR</w:t>
      </w:r>
      <w:r w:rsidR="00771D4C">
        <w:rPr>
          <w:rFonts w:ascii="Calibri" w:hAnsi="Calibri" w:cs="Calibri"/>
          <w:b w:val="0"/>
          <w:color w:val="000000"/>
          <w:sz w:val="20"/>
          <w:szCs w:val="20"/>
        </w:rPr>
        <w:t xml:space="preserve"> 2022</w:t>
      </w:r>
      <w:r w:rsidR="00746AFB">
        <w:rPr>
          <w:rFonts w:ascii="Calibri" w:hAnsi="Calibri" w:cs="Calibri"/>
          <w:b w:val="0"/>
          <w:color w:val="000000"/>
          <w:sz w:val="20"/>
          <w:szCs w:val="20"/>
        </w:rPr>
        <w:t>);</w:t>
      </w:r>
      <w:r w:rsidRPr="00EC06C9">
        <w:rPr>
          <w:rFonts w:ascii="Calibri" w:hAnsi="Calibri" w:cs="Calibri"/>
          <w:b w:val="0"/>
          <w:color w:val="000000"/>
          <w:sz w:val="20"/>
          <w:szCs w:val="20"/>
        </w:rPr>
        <w:t xml:space="preserve"> vlastní zpracování</w:t>
      </w:r>
      <w:r w:rsidRPr="00EC06C9">
        <w:rPr>
          <w:rFonts w:ascii="Calibri" w:hAnsi="Calibri" w:cs="Calibri"/>
          <w:b w:val="0"/>
          <w:color w:val="000000"/>
          <w:sz w:val="22"/>
          <w:szCs w:val="22"/>
        </w:rPr>
        <w:t xml:space="preserve"> </w:t>
      </w:r>
      <w:r w:rsidRPr="00EC06C9">
        <w:rPr>
          <w:rFonts w:ascii="Calibri" w:hAnsi="Calibri" w:cs="Calibri"/>
          <w:b w:val="0"/>
          <w:color w:val="000000"/>
          <w:sz w:val="20"/>
          <w:szCs w:val="20"/>
        </w:rPr>
        <w:t>NKÚ</w:t>
      </w:r>
      <w:r w:rsidR="00EC06C9" w:rsidRPr="00EC06C9">
        <w:rPr>
          <w:rFonts w:ascii="Calibri" w:hAnsi="Calibri" w:cs="Calibri"/>
          <w:b w:val="0"/>
          <w:color w:val="000000"/>
          <w:sz w:val="20"/>
          <w:szCs w:val="20"/>
        </w:rPr>
        <w:t>.</w:t>
      </w:r>
    </w:p>
    <w:p w14:paraId="3ACA72A1" w14:textId="77777777" w:rsidR="00AF6629" w:rsidRDefault="00AF6629">
      <w:pPr>
        <w:jc w:val="left"/>
        <w:rPr>
          <w:rFonts w:ascii="Calibri" w:eastAsiaTheme="minorHAnsi" w:hAnsi="Calibri" w:cs="Calibri"/>
          <w:szCs w:val="24"/>
        </w:rPr>
      </w:pPr>
      <w:r>
        <w:rPr>
          <w:rFonts w:ascii="Calibri" w:eastAsiaTheme="minorHAnsi" w:hAnsi="Calibri" w:cs="Calibri"/>
          <w:szCs w:val="24"/>
        </w:rPr>
        <w:br w:type="page"/>
      </w:r>
    </w:p>
    <w:p w14:paraId="265BA464" w14:textId="7F1EB3B4" w:rsidR="00F32563" w:rsidRDefault="004D19E6" w:rsidP="00AF6629">
      <w:pPr>
        <w:autoSpaceDE w:val="0"/>
        <w:autoSpaceDN w:val="0"/>
        <w:adjustRightInd w:val="0"/>
        <w:spacing w:after="120"/>
        <w:rPr>
          <w:sz w:val="20"/>
        </w:rPr>
      </w:pPr>
      <w:r w:rsidRPr="004A51E0">
        <w:rPr>
          <w:rFonts w:ascii="Calibri" w:eastAsiaTheme="minorHAnsi" w:hAnsi="Calibri" w:cs="Calibri"/>
          <w:szCs w:val="24"/>
        </w:rPr>
        <w:lastRenderedPageBreak/>
        <w:t>Nařízením vlády</w:t>
      </w:r>
      <w:r>
        <w:rPr>
          <w:rStyle w:val="Znakapoznpodarou"/>
          <w:rFonts w:ascii="Calibri" w:eastAsiaTheme="minorHAnsi" w:hAnsi="Calibri" w:cs="Calibri"/>
          <w:szCs w:val="24"/>
        </w:rPr>
        <w:footnoteReference w:id="29"/>
      </w:r>
      <w:r w:rsidRPr="00711E10">
        <w:rPr>
          <w:rFonts w:ascii="Calibri" w:eastAsiaTheme="minorHAnsi" w:hAnsi="Calibri" w:cs="Calibri"/>
          <w:szCs w:val="24"/>
        </w:rPr>
        <w:t xml:space="preserve"> </w:t>
      </w:r>
      <w:r w:rsidRPr="004A51E0">
        <w:rPr>
          <w:rFonts w:ascii="Calibri" w:eastAsiaTheme="minorHAnsi" w:hAnsi="Calibri" w:cs="Calibri"/>
          <w:szCs w:val="24"/>
        </w:rPr>
        <w:t xml:space="preserve">došlo </w:t>
      </w:r>
      <w:r w:rsidRPr="00711E10">
        <w:rPr>
          <w:rFonts w:ascii="Calibri" w:eastAsiaTheme="minorHAnsi" w:hAnsi="Calibri" w:cs="Calibri"/>
          <w:szCs w:val="24"/>
        </w:rPr>
        <w:t xml:space="preserve">s účinností od 1. října 2022 </w:t>
      </w:r>
      <w:r w:rsidRPr="004A51E0">
        <w:rPr>
          <w:rFonts w:ascii="Calibri" w:eastAsiaTheme="minorHAnsi" w:hAnsi="Calibri" w:cs="Calibri"/>
          <w:szCs w:val="24"/>
        </w:rPr>
        <w:t>k navýšení normativních nákladů spojených s bydlením, a tak příspěvek na bydlení může čerpat výrazně širší okruh domácností</w:t>
      </w:r>
      <w:r w:rsidRPr="004A51E0">
        <w:rPr>
          <w:rFonts w:ascii="Calibri" w:eastAsiaTheme="minorHAnsi" w:hAnsi="Calibri" w:cs="Calibri"/>
          <w:b/>
          <w:szCs w:val="24"/>
        </w:rPr>
        <w:t xml:space="preserve"> </w:t>
      </w:r>
      <w:r w:rsidRPr="004A51E0">
        <w:rPr>
          <w:rFonts w:ascii="Calibri" w:eastAsiaTheme="minorHAnsi" w:hAnsi="Calibri" w:cs="Calibri"/>
          <w:szCs w:val="24"/>
        </w:rPr>
        <w:t>(v </w:t>
      </w:r>
      <w:r>
        <w:rPr>
          <w:rFonts w:ascii="Calibri" w:eastAsiaTheme="minorHAnsi" w:hAnsi="Calibri" w:cs="Calibri"/>
          <w:szCs w:val="24"/>
        </w:rPr>
        <w:t>první</w:t>
      </w:r>
      <w:r w:rsidR="000723DD">
        <w:rPr>
          <w:rFonts w:ascii="Calibri" w:eastAsiaTheme="minorHAnsi" w:hAnsi="Calibri" w:cs="Calibri"/>
          <w:szCs w:val="24"/>
        </w:rPr>
        <w:t xml:space="preserve"> </w:t>
      </w:r>
      <w:r w:rsidRPr="004A51E0">
        <w:rPr>
          <w:rFonts w:ascii="Calibri" w:eastAsiaTheme="minorHAnsi" w:hAnsi="Calibri" w:cs="Calibri"/>
          <w:szCs w:val="24"/>
        </w:rPr>
        <w:t xml:space="preserve">polovině roku 2023 bylo měsíčně vyplaceno průměrně 240 tisíc příspěvků v průměrné výši 5 670 Kč, což </w:t>
      </w:r>
      <w:r w:rsidR="000723DD">
        <w:rPr>
          <w:rFonts w:ascii="Calibri" w:eastAsiaTheme="minorHAnsi" w:hAnsi="Calibri" w:cs="Calibri"/>
          <w:szCs w:val="24"/>
        </w:rPr>
        <w:t>o</w:t>
      </w:r>
      <w:r w:rsidRPr="004A51E0">
        <w:rPr>
          <w:rFonts w:ascii="Calibri" w:eastAsiaTheme="minorHAnsi" w:hAnsi="Calibri" w:cs="Calibri"/>
          <w:szCs w:val="24"/>
        </w:rPr>
        <w:t xml:space="preserve">proti roku 2022 představuje nárůst počtu </w:t>
      </w:r>
      <w:r>
        <w:rPr>
          <w:rFonts w:ascii="Calibri" w:eastAsiaTheme="minorHAnsi" w:hAnsi="Calibri" w:cs="Calibri"/>
          <w:szCs w:val="24"/>
        </w:rPr>
        <w:t xml:space="preserve">průměrně měsíčně vyplacených příspěvků </w:t>
      </w:r>
      <w:r w:rsidRPr="004A51E0">
        <w:rPr>
          <w:rFonts w:ascii="Calibri" w:eastAsiaTheme="minorHAnsi" w:hAnsi="Calibri" w:cs="Calibri"/>
          <w:szCs w:val="24"/>
        </w:rPr>
        <w:t>o</w:t>
      </w:r>
      <w:r>
        <w:rPr>
          <w:rFonts w:ascii="Calibri" w:eastAsiaTheme="minorHAnsi" w:hAnsi="Calibri" w:cs="Calibri"/>
          <w:szCs w:val="24"/>
        </w:rPr>
        <w:t xml:space="preserve"> </w:t>
      </w:r>
      <w:r w:rsidRPr="004A51E0">
        <w:rPr>
          <w:rFonts w:ascii="Calibri" w:eastAsiaTheme="minorHAnsi" w:hAnsi="Calibri" w:cs="Calibri"/>
          <w:szCs w:val="24"/>
        </w:rPr>
        <w:t>43</w:t>
      </w:r>
      <w:r>
        <w:rPr>
          <w:rFonts w:ascii="Calibri" w:eastAsiaTheme="minorHAnsi" w:hAnsi="Calibri" w:cs="Calibri"/>
          <w:szCs w:val="24"/>
        </w:rPr>
        <w:t xml:space="preserve"> </w:t>
      </w:r>
      <w:r w:rsidRPr="004A51E0">
        <w:rPr>
          <w:rFonts w:ascii="Calibri" w:eastAsiaTheme="minorHAnsi" w:hAnsi="Calibri" w:cs="Calibri"/>
          <w:szCs w:val="24"/>
        </w:rPr>
        <w:t>%</w:t>
      </w:r>
      <w:r>
        <w:rPr>
          <w:rFonts w:ascii="Calibri" w:eastAsiaTheme="minorHAnsi" w:hAnsi="Calibri" w:cs="Calibri"/>
          <w:szCs w:val="24"/>
        </w:rPr>
        <w:t xml:space="preserve"> </w:t>
      </w:r>
      <w:r w:rsidRPr="004A51E0">
        <w:rPr>
          <w:rFonts w:ascii="Calibri" w:eastAsiaTheme="minorHAnsi" w:hAnsi="Calibri" w:cs="Calibri"/>
          <w:szCs w:val="24"/>
        </w:rPr>
        <w:t>a</w:t>
      </w:r>
      <w:r>
        <w:rPr>
          <w:rFonts w:ascii="Calibri" w:eastAsiaTheme="minorHAnsi" w:hAnsi="Calibri" w:cs="Calibri"/>
          <w:szCs w:val="24"/>
        </w:rPr>
        <w:t xml:space="preserve"> </w:t>
      </w:r>
      <w:r w:rsidRPr="004A51E0">
        <w:rPr>
          <w:rFonts w:ascii="Calibri" w:eastAsiaTheme="minorHAnsi" w:hAnsi="Calibri" w:cs="Calibri"/>
          <w:szCs w:val="24"/>
        </w:rPr>
        <w:t>j</w:t>
      </w:r>
      <w:r>
        <w:rPr>
          <w:rFonts w:ascii="Calibri" w:eastAsiaTheme="minorHAnsi" w:hAnsi="Calibri" w:cs="Calibri"/>
          <w:szCs w:val="24"/>
        </w:rPr>
        <w:t>e</w:t>
      </w:r>
      <w:r w:rsidRPr="004A51E0">
        <w:rPr>
          <w:rFonts w:ascii="Calibri" w:eastAsiaTheme="minorHAnsi" w:hAnsi="Calibri" w:cs="Calibri"/>
          <w:szCs w:val="24"/>
        </w:rPr>
        <w:t>jich</w:t>
      </w:r>
      <w:r>
        <w:rPr>
          <w:rFonts w:ascii="Calibri" w:eastAsiaTheme="minorHAnsi" w:hAnsi="Calibri" w:cs="Calibri"/>
          <w:szCs w:val="24"/>
        </w:rPr>
        <w:t xml:space="preserve"> </w:t>
      </w:r>
      <w:r w:rsidRPr="004A51E0">
        <w:rPr>
          <w:rFonts w:ascii="Calibri" w:eastAsiaTheme="minorHAnsi" w:hAnsi="Calibri" w:cs="Calibri"/>
          <w:szCs w:val="24"/>
        </w:rPr>
        <w:t>výše o 35 %)</w:t>
      </w:r>
      <w:r>
        <w:rPr>
          <w:rStyle w:val="Znakapoznpodarou"/>
          <w:rFonts w:ascii="Calibri" w:eastAsiaTheme="minorHAnsi" w:hAnsi="Calibri" w:cs="Calibri"/>
          <w:szCs w:val="24"/>
        </w:rPr>
        <w:footnoteReference w:id="30"/>
      </w:r>
      <w:r>
        <w:rPr>
          <w:rFonts w:ascii="Calibri" w:eastAsiaTheme="minorHAnsi" w:hAnsi="Calibri" w:cs="Calibri"/>
          <w:szCs w:val="24"/>
        </w:rPr>
        <w:t>. Příspěvek na bydlení je dávka státní sociální podpory a doplatek na bydlení je dávka pomoci v hmotné nouzi.</w:t>
      </w:r>
      <w:r w:rsidRPr="004A51E0">
        <w:rPr>
          <w:rFonts w:ascii="Calibri" w:eastAsiaTheme="minorHAnsi" w:hAnsi="Calibri" w:cs="Calibri"/>
          <w:szCs w:val="24"/>
        </w:rPr>
        <w:t xml:space="preserve"> </w:t>
      </w:r>
      <w:r w:rsidRPr="00711E10">
        <w:t>Podle šetření Českého statistického úřadu bylo v roce 2022 v ČR celkem 4 490 188 domácností</w:t>
      </w:r>
      <w:r>
        <w:t xml:space="preserve">, </w:t>
      </w:r>
      <w:r w:rsidRPr="00711E10">
        <w:t>z nich</w:t>
      </w:r>
      <w:r>
        <w:t>ž</w:t>
      </w:r>
      <w:r w:rsidRPr="00711E10">
        <w:t xml:space="preserve"> 240 tis. byl </w:t>
      </w:r>
      <w:r>
        <w:t xml:space="preserve">v následujícím období </w:t>
      </w:r>
      <w:r w:rsidRPr="00711E10">
        <w:t>vyplacen příspěvek</w:t>
      </w:r>
      <w:r>
        <w:t xml:space="preserve"> na bydlení ze státního rozpočtu. To</w:t>
      </w:r>
      <w:r w:rsidRPr="004A51E0">
        <w:t xml:space="preserve"> představuje</w:t>
      </w:r>
      <w:r>
        <w:t xml:space="preserve"> </w:t>
      </w:r>
      <w:r w:rsidRPr="004A51E0">
        <w:t>podíl</w:t>
      </w:r>
      <w:r>
        <w:t xml:space="preserve"> </w:t>
      </w:r>
      <w:r w:rsidRPr="004A51E0">
        <w:t>5,3</w:t>
      </w:r>
      <w:r w:rsidR="009679BC">
        <w:t> </w:t>
      </w:r>
      <w:r w:rsidRPr="004A51E0">
        <w:t>% z celkového počtu domácností.</w:t>
      </w:r>
      <w:r>
        <w:t xml:space="preserve"> Podrobnější údaje jsou uvedeny v tabulkách č. 3 a 4.</w:t>
      </w:r>
      <w:r w:rsidR="00F32563" w:rsidRPr="00F32563">
        <w:rPr>
          <w:sz w:val="20"/>
        </w:rPr>
        <w:t xml:space="preserve"> </w:t>
      </w:r>
    </w:p>
    <w:p w14:paraId="3A7EF917" w14:textId="5F9BC627" w:rsidR="00F32563" w:rsidRPr="00756C02" w:rsidRDefault="00F32563" w:rsidP="00756C02">
      <w:pPr>
        <w:tabs>
          <w:tab w:val="right" w:pos="9212"/>
        </w:tabs>
        <w:autoSpaceDE w:val="0"/>
        <w:autoSpaceDN w:val="0"/>
        <w:adjustRightInd w:val="0"/>
        <w:rPr>
          <w:b/>
          <w:szCs w:val="24"/>
        </w:rPr>
      </w:pPr>
      <w:r w:rsidRPr="00756C02">
        <w:rPr>
          <w:b/>
          <w:szCs w:val="24"/>
        </w:rPr>
        <w:t xml:space="preserve">Tabulka č. 3: Vyplacené dávky na bydlení </w:t>
      </w:r>
      <w:r w:rsidR="00EF5D7F">
        <w:rPr>
          <w:b/>
          <w:szCs w:val="24"/>
        </w:rPr>
        <w:tab/>
      </w:r>
      <w:r w:rsidRPr="00756C02">
        <w:rPr>
          <w:b/>
          <w:szCs w:val="24"/>
        </w:rPr>
        <w:t>(v mil. Kč)</w:t>
      </w:r>
    </w:p>
    <w:tbl>
      <w:tblPr>
        <w:tblpPr w:leftFromText="141" w:rightFromText="141" w:vertAnchor="text" w:tblpX="-5" w:tblpY="1"/>
        <w:tblOverlap w:val="never"/>
        <w:tblW w:w="9042" w:type="dxa"/>
        <w:tblLayout w:type="fixed"/>
        <w:tblCellMar>
          <w:left w:w="70" w:type="dxa"/>
          <w:right w:w="70" w:type="dxa"/>
        </w:tblCellMar>
        <w:tblLook w:val="04A0" w:firstRow="1" w:lastRow="0" w:firstColumn="1" w:lastColumn="0" w:noHBand="0" w:noVBand="1"/>
      </w:tblPr>
      <w:tblGrid>
        <w:gridCol w:w="2098"/>
        <w:gridCol w:w="992"/>
        <w:gridCol w:w="992"/>
        <w:gridCol w:w="992"/>
        <w:gridCol w:w="992"/>
        <w:gridCol w:w="992"/>
        <w:gridCol w:w="992"/>
        <w:gridCol w:w="992"/>
      </w:tblGrid>
      <w:tr w:rsidR="00F32563" w14:paraId="570CC4F0" w14:textId="77777777" w:rsidTr="00756C02">
        <w:trPr>
          <w:trHeight w:val="283"/>
        </w:trPr>
        <w:tc>
          <w:tcPr>
            <w:tcW w:w="2098" w:type="dxa"/>
            <w:tcBorders>
              <w:top w:val="single" w:sz="4" w:space="0" w:color="auto"/>
              <w:left w:val="single" w:sz="4" w:space="0" w:color="auto"/>
              <w:bottom w:val="nil"/>
              <w:right w:val="single" w:sz="4" w:space="0" w:color="auto"/>
            </w:tcBorders>
            <w:shd w:val="clear" w:color="000000" w:fill="E5F1FF"/>
            <w:vAlign w:val="center"/>
            <w:hideMark/>
          </w:tcPr>
          <w:p w14:paraId="16D531EE" w14:textId="77777777" w:rsidR="00F32563" w:rsidRPr="002F5313" w:rsidRDefault="00F32563" w:rsidP="001E126B">
            <w:pPr>
              <w:keepNext/>
              <w:jc w:val="left"/>
              <w:rPr>
                <w:rFonts w:cstheme="minorHAnsi"/>
                <w:b/>
                <w:bCs/>
                <w:color w:val="000000"/>
                <w:sz w:val="20"/>
              </w:rPr>
            </w:pPr>
            <w:r w:rsidRPr="002F5313">
              <w:rPr>
                <w:rFonts w:cstheme="minorHAnsi"/>
                <w:b/>
                <w:bCs/>
                <w:color w:val="000000"/>
                <w:sz w:val="20"/>
              </w:rPr>
              <w:t>Typ dávky</w:t>
            </w:r>
          </w:p>
        </w:tc>
        <w:tc>
          <w:tcPr>
            <w:tcW w:w="992" w:type="dxa"/>
            <w:tcBorders>
              <w:top w:val="single" w:sz="4" w:space="0" w:color="auto"/>
              <w:left w:val="nil"/>
              <w:bottom w:val="nil"/>
              <w:right w:val="single" w:sz="4" w:space="0" w:color="auto"/>
            </w:tcBorders>
            <w:shd w:val="clear" w:color="000000" w:fill="E5F1FF"/>
            <w:vAlign w:val="center"/>
            <w:hideMark/>
          </w:tcPr>
          <w:p w14:paraId="0BE9282B" w14:textId="77777777" w:rsidR="00F32563" w:rsidRPr="002F5313" w:rsidRDefault="00F32563" w:rsidP="001E126B">
            <w:pPr>
              <w:keepNext/>
              <w:jc w:val="center"/>
              <w:rPr>
                <w:rFonts w:cstheme="minorHAnsi"/>
                <w:b/>
                <w:bCs/>
                <w:color w:val="000000"/>
                <w:sz w:val="20"/>
              </w:rPr>
            </w:pPr>
            <w:r w:rsidRPr="002F5313">
              <w:rPr>
                <w:rFonts w:cstheme="minorHAnsi"/>
                <w:b/>
                <w:bCs/>
                <w:color w:val="000000"/>
                <w:sz w:val="20"/>
              </w:rPr>
              <w:t>2016</w:t>
            </w:r>
          </w:p>
        </w:tc>
        <w:tc>
          <w:tcPr>
            <w:tcW w:w="992" w:type="dxa"/>
            <w:tcBorders>
              <w:top w:val="single" w:sz="4" w:space="0" w:color="auto"/>
              <w:left w:val="nil"/>
              <w:bottom w:val="nil"/>
              <w:right w:val="single" w:sz="4" w:space="0" w:color="auto"/>
            </w:tcBorders>
            <w:shd w:val="clear" w:color="000000" w:fill="E5F1FF"/>
            <w:vAlign w:val="center"/>
            <w:hideMark/>
          </w:tcPr>
          <w:p w14:paraId="0AB6AFA6" w14:textId="77777777" w:rsidR="00F32563" w:rsidRPr="002F5313" w:rsidRDefault="00F32563" w:rsidP="001E126B">
            <w:pPr>
              <w:keepNext/>
              <w:jc w:val="center"/>
              <w:rPr>
                <w:rFonts w:cstheme="minorHAnsi"/>
                <w:b/>
                <w:bCs/>
                <w:color w:val="000000"/>
                <w:sz w:val="20"/>
              </w:rPr>
            </w:pPr>
            <w:r w:rsidRPr="002F5313">
              <w:rPr>
                <w:rFonts w:cstheme="minorHAnsi"/>
                <w:b/>
                <w:bCs/>
                <w:color w:val="000000"/>
                <w:sz w:val="20"/>
              </w:rPr>
              <w:t>2017</w:t>
            </w:r>
          </w:p>
        </w:tc>
        <w:tc>
          <w:tcPr>
            <w:tcW w:w="992" w:type="dxa"/>
            <w:tcBorders>
              <w:top w:val="single" w:sz="4" w:space="0" w:color="auto"/>
              <w:left w:val="nil"/>
              <w:bottom w:val="nil"/>
              <w:right w:val="single" w:sz="4" w:space="0" w:color="auto"/>
            </w:tcBorders>
            <w:shd w:val="clear" w:color="000000" w:fill="E5F1FF"/>
            <w:vAlign w:val="center"/>
            <w:hideMark/>
          </w:tcPr>
          <w:p w14:paraId="1D7D255C" w14:textId="77777777" w:rsidR="00F32563" w:rsidRPr="002F5313" w:rsidRDefault="00F32563" w:rsidP="001E126B">
            <w:pPr>
              <w:keepNext/>
              <w:jc w:val="center"/>
              <w:rPr>
                <w:rFonts w:cstheme="minorHAnsi"/>
                <w:b/>
                <w:bCs/>
                <w:color w:val="000000"/>
                <w:sz w:val="20"/>
              </w:rPr>
            </w:pPr>
            <w:r w:rsidRPr="002F5313">
              <w:rPr>
                <w:rFonts w:cstheme="minorHAnsi"/>
                <w:b/>
                <w:bCs/>
                <w:color w:val="000000"/>
                <w:sz w:val="20"/>
              </w:rPr>
              <w:t>2018</w:t>
            </w:r>
          </w:p>
        </w:tc>
        <w:tc>
          <w:tcPr>
            <w:tcW w:w="992" w:type="dxa"/>
            <w:tcBorders>
              <w:top w:val="single" w:sz="4" w:space="0" w:color="auto"/>
              <w:left w:val="nil"/>
              <w:bottom w:val="nil"/>
              <w:right w:val="single" w:sz="4" w:space="0" w:color="auto"/>
            </w:tcBorders>
            <w:shd w:val="clear" w:color="000000" w:fill="E5F1FF"/>
            <w:vAlign w:val="center"/>
            <w:hideMark/>
          </w:tcPr>
          <w:p w14:paraId="650EFAC9" w14:textId="77777777" w:rsidR="00F32563" w:rsidRPr="002F5313" w:rsidRDefault="00F32563" w:rsidP="001E126B">
            <w:pPr>
              <w:keepNext/>
              <w:jc w:val="center"/>
              <w:rPr>
                <w:rFonts w:cstheme="minorHAnsi"/>
                <w:b/>
                <w:bCs/>
                <w:color w:val="000000"/>
                <w:sz w:val="20"/>
              </w:rPr>
            </w:pPr>
            <w:r w:rsidRPr="002F5313">
              <w:rPr>
                <w:rFonts w:cstheme="minorHAnsi"/>
                <w:b/>
                <w:bCs/>
                <w:color w:val="000000"/>
                <w:sz w:val="20"/>
              </w:rPr>
              <w:t>2019</w:t>
            </w:r>
          </w:p>
        </w:tc>
        <w:tc>
          <w:tcPr>
            <w:tcW w:w="992" w:type="dxa"/>
            <w:tcBorders>
              <w:top w:val="single" w:sz="4" w:space="0" w:color="auto"/>
              <w:left w:val="nil"/>
              <w:bottom w:val="nil"/>
              <w:right w:val="single" w:sz="4" w:space="0" w:color="auto"/>
            </w:tcBorders>
            <w:shd w:val="clear" w:color="000000" w:fill="E5F1FF"/>
            <w:vAlign w:val="center"/>
            <w:hideMark/>
          </w:tcPr>
          <w:p w14:paraId="0AB7CBFC" w14:textId="77777777" w:rsidR="00F32563" w:rsidRPr="002F5313" w:rsidRDefault="00F32563" w:rsidP="001E126B">
            <w:pPr>
              <w:keepNext/>
              <w:jc w:val="center"/>
              <w:rPr>
                <w:rFonts w:cstheme="minorHAnsi"/>
                <w:b/>
                <w:bCs/>
                <w:color w:val="000000"/>
                <w:sz w:val="20"/>
              </w:rPr>
            </w:pPr>
            <w:r w:rsidRPr="002F5313">
              <w:rPr>
                <w:rFonts w:cstheme="minorHAnsi"/>
                <w:b/>
                <w:bCs/>
                <w:color w:val="000000"/>
                <w:sz w:val="20"/>
              </w:rPr>
              <w:t>2020</w:t>
            </w:r>
          </w:p>
        </w:tc>
        <w:tc>
          <w:tcPr>
            <w:tcW w:w="992" w:type="dxa"/>
            <w:tcBorders>
              <w:top w:val="single" w:sz="4" w:space="0" w:color="auto"/>
              <w:left w:val="nil"/>
              <w:bottom w:val="nil"/>
              <w:right w:val="single" w:sz="4" w:space="0" w:color="auto"/>
            </w:tcBorders>
            <w:shd w:val="clear" w:color="000000" w:fill="E5F1FF"/>
            <w:vAlign w:val="center"/>
            <w:hideMark/>
          </w:tcPr>
          <w:p w14:paraId="481949A7" w14:textId="77777777" w:rsidR="00F32563" w:rsidRPr="002F5313" w:rsidRDefault="00F32563" w:rsidP="001E126B">
            <w:pPr>
              <w:keepNext/>
              <w:jc w:val="center"/>
              <w:rPr>
                <w:rFonts w:cstheme="minorHAnsi"/>
                <w:b/>
                <w:bCs/>
                <w:color w:val="000000"/>
                <w:sz w:val="20"/>
              </w:rPr>
            </w:pPr>
            <w:r w:rsidRPr="002F5313">
              <w:rPr>
                <w:rFonts w:cstheme="minorHAnsi"/>
                <w:b/>
                <w:bCs/>
                <w:color w:val="000000"/>
                <w:sz w:val="20"/>
              </w:rPr>
              <w:t>2021</w:t>
            </w:r>
          </w:p>
        </w:tc>
        <w:tc>
          <w:tcPr>
            <w:tcW w:w="992" w:type="dxa"/>
            <w:tcBorders>
              <w:top w:val="single" w:sz="4" w:space="0" w:color="auto"/>
              <w:left w:val="nil"/>
              <w:bottom w:val="nil"/>
              <w:right w:val="single" w:sz="4" w:space="0" w:color="auto"/>
            </w:tcBorders>
            <w:shd w:val="clear" w:color="000000" w:fill="E5F1FF"/>
            <w:vAlign w:val="center"/>
            <w:hideMark/>
          </w:tcPr>
          <w:p w14:paraId="0D2B73F9" w14:textId="77777777" w:rsidR="00F32563" w:rsidRPr="002F5313" w:rsidRDefault="00F32563" w:rsidP="001E126B">
            <w:pPr>
              <w:keepNext/>
              <w:jc w:val="center"/>
              <w:rPr>
                <w:rFonts w:cstheme="minorHAnsi"/>
                <w:b/>
                <w:bCs/>
                <w:color w:val="000000"/>
                <w:sz w:val="20"/>
              </w:rPr>
            </w:pPr>
            <w:r w:rsidRPr="002F5313">
              <w:rPr>
                <w:rFonts w:cstheme="minorHAnsi"/>
                <w:b/>
                <w:bCs/>
                <w:color w:val="000000"/>
                <w:sz w:val="20"/>
              </w:rPr>
              <w:t>2022</w:t>
            </w:r>
          </w:p>
        </w:tc>
      </w:tr>
      <w:tr w:rsidR="00F32563" w14:paraId="7AC24124" w14:textId="77777777" w:rsidTr="00756C02">
        <w:trPr>
          <w:trHeight w:val="283"/>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C0ED8" w14:textId="77777777" w:rsidR="00F32563" w:rsidRPr="002F5313" w:rsidRDefault="00F32563" w:rsidP="001E126B">
            <w:pPr>
              <w:keepNext/>
              <w:jc w:val="left"/>
              <w:rPr>
                <w:rFonts w:cstheme="minorHAnsi"/>
                <w:color w:val="000000"/>
                <w:sz w:val="20"/>
              </w:rPr>
            </w:pPr>
            <w:r w:rsidRPr="002F5313">
              <w:rPr>
                <w:rFonts w:cstheme="minorHAnsi"/>
                <w:color w:val="000000"/>
                <w:sz w:val="20"/>
              </w:rPr>
              <w:t>Příspěvek na bydlení</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023E46" w14:textId="77777777" w:rsidR="00F32563" w:rsidRPr="002F5313" w:rsidRDefault="00F32563" w:rsidP="001E126B">
            <w:pPr>
              <w:keepNext/>
              <w:jc w:val="right"/>
              <w:rPr>
                <w:rFonts w:cstheme="minorHAnsi"/>
                <w:color w:val="000000"/>
                <w:sz w:val="20"/>
              </w:rPr>
            </w:pPr>
            <w:r w:rsidRPr="002F5313">
              <w:rPr>
                <w:rFonts w:cstheme="minorHAnsi"/>
                <w:color w:val="000000"/>
                <w:sz w:val="20"/>
              </w:rPr>
              <w:t>9 261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1BDA0B" w14:textId="77777777" w:rsidR="00F32563" w:rsidRPr="002F5313" w:rsidRDefault="00F32563" w:rsidP="001E126B">
            <w:pPr>
              <w:keepNext/>
              <w:jc w:val="right"/>
              <w:rPr>
                <w:rFonts w:cstheme="minorHAnsi"/>
                <w:color w:val="000000"/>
                <w:sz w:val="20"/>
              </w:rPr>
            </w:pPr>
            <w:r w:rsidRPr="002F5313">
              <w:rPr>
                <w:rFonts w:cstheme="minorHAnsi"/>
                <w:color w:val="000000"/>
                <w:sz w:val="20"/>
              </w:rPr>
              <w:t>8 622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88D74E" w14:textId="77777777" w:rsidR="00F32563" w:rsidRPr="002F5313" w:rsidRDefault="00F32563" w:rsidP="001E126B">
            <w:pPr>
              <w:keepNext/>
              <w:jc w:val="right"/>
              <w:rPr>
                <w:rFonts w:cstheme="minorHAnsi"/>
                <w:color w:val="000000"/>
                <w:sz w:val="20"/>
              </w:rPr>
            </w:pPr>
            <w:r w:rsidRPr="002F5313">
              <w:rPr>
                <w:rFonts w:cstheme="minorHAnsi"/>
                <w:color w:val="000000"/>
                <w:sz w:val="20"/>
              </w:rPr>
              <w:t>7 689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B86FD3" w14:textId="77777777" w:rsidR="00F32563" w:rsidRPr="002F5313" w:rsidRDefault="00F32563" w:rsidP="001E126B">
            <w:pPr>
              <w:keepNext/>
              <w:jc w:val="right"/>
              <w:rPr>
                <w:rFonts w:cstheme="minorHAnsi"/>
                <w:color w:val="000000"/>
                <w:sz w:val="20"/>
              </w:rPr>
            </w:pPr>
            <w:r w:rsidRPr="002F5313">
              <w:rPr>
                <w:rFonts w:cstheme="minorHAnsi"/>
                <w:color w:val="000000"/>
                <w:sz w:val="20"/>
              </w:rPr>
              <w:t>7 082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6DD19" w14:textId="77777777" w:rsidR="00F32563" w:rsidRPr="002F5313" w:rsidRDefault="00F32563" w:rsidP="001E126B">
            <w:pPr>
              <w:keepNext/>
              <w:jc w:val="right"/>
              <w:rPr>
                <w:rFonts w:cstheme="minorHAnsi"/>
                <w:color w:val="000000"/>
                <w:sz w:val="20"/>
              </w:rPr>
            </w:pPr>
            <w:r w:rsidRPr="002F5313">
              <w:rPr>
                <w:rFonts w:cstheme="minorHAnsi"/>
                <w:color w:val="000000"/>
                <w:sz w:val="20"/>
              </w:rPr>
              <w:t>6 952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7D0B0F" w14:textId="77777777" w:rsidR="00F32563" w:rsidRPr="002F5313" w:rsidRDefault="00F32563" w:rsidP="001E126B">
            <w:pPr>
              <w:keepNext/>
              <w:jc w:val="right"/>
              <w:rPr>
                <w:rFonts w:cstheme="minorHAnsi"/>
                <w:color w:val="000000"/>
                <w:sz w:val="20"/>
              </w:rPr>
            </w:pPr>
            <w:r w:rsidRPr="002F5313">
              <w:rPr>
                <w:rFonts w:cstheme="minorHAnsi"/>
                <w:color w:val="000000"/>
                <w:sz w:val="20"/>
              </w:rPr>
              <w:t>6 617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1E0568" w14:textId="77777777" w:rsidR="00F32563" w:rsidRPr="002F5313" w:rsidRDefault="00F32563" w:rsidP="001E126B">
            <w:pPr>
              <w:keepNext/>
              <w:jc w:val="right"/>
              <w:rPr>
                <w:rFonts w:cstheme="minorHAnsi"/>
                <w:color w:val="000000"/>
                <w:sz w:val="20"/>
              </w:rPr>
            </w:pPr>
            <w:r w:rsidRPr="002F5313">
              <w:rPr>
                <w:rFonts w:cstheme="minorHAnsi"/>
                <w:color w:val="000000"/>
                <w:sz w:val="20"/>
              </w:rPr>
              <w:t>8 516</w:t>
            </w:r>
          </w:p>
        </w:tc>
      </w:tr>
      <w:tr w:rsidR="00F32563" w14:paraId="4EC3F874" w14:textId="77777777" w:rsidTr="00756C02">
        <w:trPr>
          <w:trHeight w:val="283"/>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094A0488" w14:textId="77777777" w:rsidR="00F32563" w:rsidRPr="002F5313" w:rsidRDefault="00F32563" w:rsidP="001E126B">
            <w:pPr>
              <w:keepNext/>
              <w:jc w:val="left"/>
              <w:rPr>
                <w:rFonts w:cstheme="minorHAnsi"/>
                <w:color w:val="000000"/>
                <w:sz w:val="20"/>
              </w:rPr>
            </w:pPr>
            <w:r w:rsidRPr="002F5313">
              <w:rPr>
                <w:rFonts w:cstheme="minorHAnsi"/>
                <w:color w:val="000000"/>
                <w:sz w:val="20"/>
              </w:rPr>
              <w:t>Doplatek na bydlení</w:t>
            </w:r>
          </w:p>
        </w:tc>
        <w:tc>
          <w:tcPr>
            <w:tcW w:w="992" w:type="dxa"/>
            <w:tcBorders>
              <w:top w:val="nil"/>
              <w:left w:val="nil"/>
              <w:bottom w:val="single" w:sz="4" w:space="0" w:color="auto"/>
              <w:right w:val="single" w:sz="4" w:space="0" w:color="auto"/>
            </w:tcBorders>
            <w:shd w:val="clear" w:color="auto" w:fill="auto"/>
            <w:noWrap/>
            <w:vAlign w:val="bottom"/>
            <w:hideMark/>
          </w:tcPr>
          <w:p w14:paraId="779C9205" w14:textId="77777777" w:rsidR="00F32563" w:rsidRPr="002F5313" w:rsidRDefault="00F32563" w:rsidP="001E126B">
            <w:pPr>
              <w:keepNext/>
              <w:jc w:val="right"/>
              <w:rPr>
                <w:rFonts w:cstheme="minorHAnsi"/>
                <w:color w:val="000000"/>
                <w:sz w:val="20"/>
              </w:rPr>
            </w:pPr>
            <w:r w:rsidRPr="002F5313">
              <w:rPr>
                <w:rFonts w:cstheme="minorHAnsi"/>
                <w:color w:val="000000"/>
                <w:sz w:val="20"/>
              </w:rPr>
              <w:t>2 917</w:t>
            </w:r>
          </w:p>
        </w:tc>
        <w:tc>
          <w:tcPr>
            <w:tcW w:w="992" w:type="dxa"/>
            <w:tcBorders>
              <w:top w:val="nil"/>
              <w:left w:val="nil"/>
              <w:bottom w:val="single" w:sz="4" w:space="0" w:color="auto"/>
              <w:right w:val="single" w:sz="4" w:space="0" w:color="auto"/>
            </w:tcBorders>
            <w:shd w:val="clear" w:color="auto" w:fill="auto"/>
            <w:noWrap/>
            <w:vAlign w:val="bottom"/>
            <w:hideMark/>
          </w:tcPr>
          <w:p w14:paraId="4C9AC7FF" w14:textId="77777777" w:rsidR="00F32563" w:rsidRPr="002F5313" w:rsidRDefault="00F32563" w:rsidP="001E126B">
            <w:pPr>
              <w:keepNext/>
              <w:jc w:val="right"/>
              <w:rPr>
                <w:rFonts w:cstheme="minorHAnsi"/>
                <w:color w:val="000000"/>
                <w:sz w:val="20"/>
              </w:rPr>
            </w:pPr>
            <w:r w:rsidRPr="002F5313">
              <w:rPr>
                <w:rFonts w:cstheme="minorHAnsi"/>
                <w:color w:val="000000"/>
                <w:sz w:val="20"/>
              </w:rPr>
              <w:t>2 423</w:t>
            </w:r>
          </w:p>
        </w:tc>
        <w:tc>
          <w:tcPr>
            <w:tcW w:w="992" w:type="dxa"/>
            <w:tcBorders>
              <w:top w:val="nil"/>
              <w:left w:val="nil"/>
              <w:bottom w:val="single" w:sz="4" w:space="0" w:color="auto"/>
              <w:right w:val="single" w:sz="4" w:space="0" w:color="auto"/>
            </w:tcBorders>
            <w:shd w:val="clear" w:color="auto" w:fill="auto"/>
            <w:noWrap/>
            <w:vAlign w:val="bottom"/>
            <w:hideMark/>
          </w:tcPr>
          <w:p w14:paraId="68F756FA" w14:textId="77777777" w:rsidR="00F32563" w:rsidRPr="002F5313" w:rsidRDefault="00F32563" w:rsidP="001E126B">
            <w:pPr>
              <w:keepNext/>
              <w:jc w:val="right"/>
              <w:rPr>
                <w:rFonts w:cstheme="minorHAnsi"/>
                <w:color w:val="000000"/>
                <w:sz w:val="20"/>
              </w:rPr>
            </w:pPr>
            <w:r w:rsidRPr="002F5313">
              <w:rPr>
                <w:rFonts w:cstheme="minorHAnsi"/>
                <w:color w:val="000000"/>
                <w:sz w:val="20"/>
              </w:rPr>
              <w:t>1 894</w:t>
            </w:r>
          </w:p>
        </w:tc>
        <w:tc>
          <w:tcPr>
            <w:tcW w:w="992" w:type="dxa"/>
            <w:tcBorders>
              <w:top w:val="nil"/>
              <w:left w:val="nil"/>
              <w:bottom w:val="single" w:sz="4" w:space="0" w:color="auto"/>
              <w:right w:val="single" w:sz="4" w:space="0" w:color="auto"/>
            </w:tcBorders>
            <w:shd w:val="clear" w:color="auto" w:fill="auto"/>
            <w:noWrap/>
            <w:vAlign w:val="bottom"/>
            <w:hideMark/>
          </w:tcPr>
          <w:p w14:paraId="73D0B0C0" w14:textId="77777777" w:rsidR="00F32563" w:rsidRPr="002F5313" w:rsidRDefault="00F32563" w:rsidP="001E126B">
            <w:pPr>
              <w:keepNext/>
              <w:jc w:val="right"/>
              <w:rPr>
                <w:rFonts w:cstheme="minorHAnsi"/>
                <w:color w:val="000000"/>
                <w:sz w:val="20"/>
              </w:rPr>
            </w:pPr>
            <w:r w:rsidRPr="002F5313">
              <w:rPr>
                <w:rFonts w:cstheme="minorHAnsi"/>
                <w:color w:val="000000"/>
                <w:sz w:val="20"/>
              </w:rPr>
              <w:t>1 606</w:t>
            </w:r>
          </w:p>
        </w:tc>
        <w:tc>
          <w:tcPr>
            <w:tcW w:w="992" w:type="dxa"/>
            <w:tcBorders>
              <w:top w:val="nil"/>
              <w:left w:val="nil"/>
              <w:bottom w:val="single" w:sz="4" w:space="0" w:color="auto"/>
              <w:right w:val="single" w:sz="4" w:space="0" w:color="auto"/>
            </w:tcBorders>
            <w:shd w:val="clear" w:color="auto" w:fill="auto"/>
            <w:noWrap/>
            <w:vAlign w:val="bottom"/>
            <w:hideMark/>
          </w:tcPr>
          <w:p w14:paraId="2819A03A" w14:textId="77777777" w:rsidR="00F32563" w:rsidRPr="002F5313" w:rsidRDefault="00F32563" w:rsidP="001E126B">
            <w:pPr>
              <w:keepNext/>
              <w:jc w:val="right"/>
              <w:rPr>
                <w:rFonts w:cstheme="minorHAnsi"/>
                <w:color w:val="000000"/>
                <w:sz w:val="20"/>
              </w:rPr>
            </w:pPr>
            <w:r w:rsidRPr="002F5313">
              <w:rPr>
                <w:rFonts w:cstheme="minorHAnsi"/>
                <w:color w:val="000000"/>
                <w:sz w:val="20"/>
              </w:rPr>
              <w:t>1 628</w:t>
            </w:r>
          </w:p>
        </w:tc>
        <w:tc>
          <w:tcPr>
            <w:tcW w:w="992" w:type="dxa"/>
            <w:tcBorders>
              <w:top w:val="nil"/>
              <w:left w:val="nil"/>
              <w:bottom w:val="single" w:sz="4" w:space="0" w:color="auto"/>
              <w:right w:val="single" w:sz="4" w:space="0" w:color="auto"/>
            </w:tcBorders>
            <w:shd w:val="clear" w:color="auto" w:fill="auto"/>
            <w:noWrap/>
            <w:vAlign w:val="bottom"/>
            <w:hideMark/>
          </w:tcPr>
          <w:p w14:paraId="7A2488E3" w14:textId="77777777" w:rsidR="00F32563" w:rsidRPr="002F5313" w:rsidRDefault="00F32563" w:rsidP="001E126B">
            <w:pPr>
              <w:keepNext/>
              <w:jc w:val="right"/>
              <w:rPr>
                <w:rFonts w:cstheme="minorHAnsi"/>
                <w:color w:val="000000"/>
                <w:sz w:val="20"/>
              </w:rPr>
            </w:pPr>
            <w:r w:rsidRPr="002F5313">
              <w:rPr>
                <w:rFonts w:cstheme="minorHAnsi"/>
                <w:color w:val="000000"/>
                <w:sz w:val="20"/>
              </w:rPr>
              <w:t>1 765</w:t>
            </w:r>
          </w:p>
        </w:tc>
        <w:tc>
          <w:tcPr>
            <w:tcW w:w="992" w:type="dxa"/>
            <w:tcBorders>
              <w:top w:val="nil"/>
              <w:left w:val="nil"/>
              <w:bottom w:val="single" w:sz="4" w:space="0" w:color="auto"/>
              <w:right w:val="single" w:sz="4" w:space="0" w:color="auto"/>
            </w:tcBorders>
            <w:shd w:val="clear" w:color="auto" w:fill="auto"/>
            <w:noWrap/>
            <w:vAlign w:val="bottom"/>
            <w:hideMark/>
          </w:tcPr>
          <w:p w14:paraId="66A47907" w14:textId="77777777" w:rsidR="00F32563" w:rsidRPr="002F5313" w:rsidRDefault="00F32563" w:rsidP="001E126B">
            <w:pPr>
              <w:keepNext/>
              <w:jc w:val="right"/>
              <w:rPr>
                <w:rFonts w:cstheme="minorHAnsi"/>
                <w:color w:val="000000"/>
                <w:sz w:val="20"/>
              </w:rPr>
            </w:pPr>
            <w:r w:rsidRPr="002F5313">
              <w:rPr>
                <w:rFonts w:cstheme="minorHAnsi"/>
                <w:color w:val="000000"/>
                <w:sz w:val="20"/>
              </w:rPr>
              <w:t>1 839</w:t>
            </w:r>
          </w:p>
        </w:tc>
      </w:tr>
      <w:tr w:rsidR="00F32563" w14:paraId="05FB4372" w14:textId="77777777" w:rsidTr="00756C02">
        <w:trPr>
          <w:trHeight w:val="283"/>
        </w:trPr>
        <w:tc>
          <w:tcPr>
            <w:tcW w:w="2098" w:type="dxa"/>
            <w:tcBorders>
              <w:top w:val="nil"/>
              <w:left w:val="single" w:sz="4" w:space="0" w:color="auto"/>
              <w:bottom w:val="single" w:sz="4" w:space="0" w:color="auto"/>
              <w:right w:val="single" w:sz="4" w:space="0" w:color="auto"/>
            </w:tcBorders>
            <w:shd w:val="clear" w:color="000000" w:fill="F2C6C9"/>
            <w:noWrap/>
            <w:vAlign w:val="bottom"/>
            <w:hideMark/>
          </w:tcPr>
          <w:p w14:paraId="4F1F5E18" w14:textId="77777777" w:rsidR="00F32563" w:rsidRPr="002F5313" w:rsidRDefault="00F32563" w:rsidP="001E126B">
            <w:pPr>
              <w:keepNext/>
              <w:jc w:val="left"/>
              <w:rPr>
                <w:rFonts w:cstheme="minorHAnsi"/>
                <w:b/>
                <w:bCs/>
                <w:sz w:val="20"/>
              </w:rPr>
            </w:pPr>
            <w:r w:rsidRPr="002F5313">
              <w:rPr>
                <w:rFonts w:cstheme="minorHAnsi"/>
                <w:b/>
                <w:bCs/>
                <w:sz w:val="20"/>
              </w:rPr>
              <w:t>Celkem</w:t>
            </w:r>
          </w:p>
        </w:tc>
        <w:tc>
          <w:tcPr>
            <w:tcW w:w="992" w:type="dxa"/>
            <w:tcBorders>
              <w:top w:val="nil"/>
              <w:left w:val="nil"/>
              <w:bottom w:val="single" w:sz="4" w:space="0" w:color="auto"/>
              <w:right w:val="single" w:sz="4" w:space="0" w:color="auto"/>
            </w:tcBorders>
            <w:shd w:val="clear" w:color="000000" w:fill="F2C6C9"/>
            <w:noWrap/>
            <w:vAlign w:val="bottom"/>
            <w:hideMark/>
          </w:tcPr>
          <w:p w14:paraId="0169A467" w14:textId="77777777" w:rsidR="00F32563" w:rsidRPr="002F5313" w:rsidRDefault="00F32563" w:rsidP="001E126B">
            <w:pPr>
              <w:keepNext/>
              <w:jc w:val="right"/>
              <w:rPr>
                <w:rFonts w:cstheme="minorHAnsi"/>
                <w:b/>
                <w:bCs/>
                <w:sz w:val="20"/>
              </w:rPr>
            </w:pPr>
            <w:r w:rsidRPr="002F5313">
              <w:rPr>
                <w:rFonts w:cstheme="minorHAnsi"/>
                <w:b/>
                <w:bCs/>
                <w:sz w:val="20"/>
              </w:rPr>
              <w:t>12 178</w:t>
            </w:r>
          </w:p>
        </w:tc>
        <w:tc>
          <w:tcPr>
            <w:tcW w:w="992" w:type="dxa"/>
            <w:tcBorders>
              <w:top w:val="nil"/>
              <w:left w:val="nil"/>
              <w:bottom w:val="single" w:sz="4" w:space="0" w:color="auto"/>
              <w:right w:val="single" w:sz="4" w:space="0" w:color="auto"/>
            </w:tcBorders>
            <w:shd w:val="clear" w:color="000000" w:fill="F2C6C9"/>
            <w:noWrap/>
            <w:vAlign w:val="bottom"/>
            <w:hideMark/>
          </w:tcPr>
          <w:p w14:paraId="4CD4A330" w14:textId="77777777" w:rsidR="00F32563" w:rsidRPr="002F5313" w:rsidRDefault="00F32563" w:rsidP="001E126B">
            <w:pPr>
              <w:keepNext/>
              <w:jc w:val="right"/>
              <w:rPr>
                <w:rFonts w:cstheme="minorHAnsi"/>
                <w:b/>
                <w:bCs/>
                <w:sz w:val="20"/>
              </w:rPr>
            </w:pPr>
            <w:r w:rsidRPr="002F5313">
              <w:rPr>
                <w:rFonts w:cstheme="minorHAnsi"/>
                <w:b/>
                <w:bCs/>
                <w:sz w:val="20"/>
              </w:rPr>
              <w:t>11 045</w:t>
            </w:r>
          </w:p>
        </w:tc>
        <w:tc>
          <w:tcPr>
            <w:tcW w:w="992" w:type="dxa"/>
            <w:tcBorders>
              <w:top w:val="nil"/>
              <w:left w:val="nil"/>
              <w:bottom w:val="single" w:sz="4" w:space="0" w:color="auto"/>
              <w:right w:val="single" w:sz="4" w:space="0" w:color="auto"/>
            </w:tcBorders>
            <w:shd w:val="clear" w:color="000000" w:fill="F2C6C9"/>
            <w:noWrap/>
            <w:vAlign w:val="bottom"/>
            <w:hideMark/>
          </w:tcPr>
          <w:p w14:paraId="148542E1" w14:textId="77777777" w:rsidR="00F32563" w:rsidRPr="002F5313" w:rsidRDefault="00F32563" w:rsidP="001E126B">
            <w:pPr>
              <w:keepNext/>
              <w:jc w:val="right"/>
              <w:rPr>
                <w:rFonts w:cstheme="minorHAnsi"/>
                <w:b/>
                <w:bCs/>
                <w:sz w:val="20"/>
              </w:rPr>
            </w:pPr>
            <w:r w:rsidRPr="002F5313">
              <w:rPr>
                <w:rFonts w:cstheme="minorHAnsi"/>
                <w:b/>
                <w:bCs/>
                <w:sz w:val="20"/>
              </w:rPr>
              <w:t>9 583</w:t>
            </w:r>
          </w:p>
        </w:tc>
        <w:tc>
          <w:tcPr>
            <w:tcW w:w="992" w:type="dxa"/>
            <w:tcBorders>
              <w:top w:val="nil"/>
              <w:left w:val="nil"/>
              <w:bottom w:val="single" w:sz="4" w:space="0" w:color="auto"/>
              <w:right w:val="single" w:sz="4" w:space="0" w:color="auto"/>
            </w:tcBorders>
            <w:shd w:val="clear" w:color="000000" w:fill="F2C6C9"/>
            <w:noWrap/>
            <w:vAlign w:val="bottom"/>
            <w:hideMark/>
          </w:tcPr>
          <w:p w14:paraId="576379E5" w14:textId="77777777" w:rsidR="00F32563" w:rsidRPr="002F5313" w:rsidRDefault="00F32563" w:rsidP="001E126B">
            <w:pPr>
              <w:keepNext/>
              <w:jc w:val="right"/>
              <w:rPr>
                <w:rFonts w:cstheme="minorHAnsi"/>
                <w:b/>
                <w:bCs/>
                <w:sz w:val="20"/>
              </w:rPr>
            </w:pPr>
            <w:r w:rsidRPr="002F5313">
              <w:rPr>
                <w:rFonts w:cstheme="minorHAnsi"/>
                <w:b/>
                <w:bCs/>
                <w:sz w:val="20"/>
              </w:rPr>
              <w:t>8 688</w:t>
            </w:r>
          </w:p>
        </w:tc>
        <w:tc>
          <w:tcPr>
            <w:tcW w:w="992" w:type="dxa"/>
            <w:tcBorders>
              <w:top w:val="nil"/>
              <w:left w:val="nil"/>
              <w:bottom w:val="single" w:sz="4" w:space="0" w:color="auto"/>
              <w:right w:val="single" w:sz="4" w:space="0" w:color="auto"/>
            </w:tcBorders>
            <w:shd w:val="clear" w:color="000000" w:fill="F2C6C9"/>
            <w:noWrap/>
            <w:vAlign w:val="bottom"/>
            <w:hideMark/>
          </w:tcPr>
          <w:p w14:paraId="1E481CF6" w14:textId="77777777" w:rsidR="00F32563" w:rsidRPr="002F5313" w:rsidRDefault="00F32563" w:rsidP="001E126B">
            <w:pPr>
              <w:keepNext/>
              <w:jc w:val="right"/>
              <w:rPr>
                <w:rFonts w:cstheme="minorHAnsi"/>
                <w:b/>
                <w:bCs/>
                <w:sz w:val="20"/>
              </w:rPr>
            </w:pPr>
            <w:r w:rsidRPr="002F5313">
              <w:rPr>
                <w:rFonts w:cstheme="minorHAnsi"/>
                <w:b/>
                <w:bCs/>
                <w:sz w:val="20"/>
              </w:rPr>
              <w:t>8 580</w:t>
            </w:r>
          </w:p>
        </w:tc>
        <w:tc>
          <w:tcPr>
            <w:tcW w:w="992" w:type="dxa"/>
            <w:tcBorders>
              <w:top w:val="nil"/>
              <w:left w:val="nil"/>
              <w:bottom w:val="single" w:sz="4" w:space="0" w:color="auto"/>
              <w:right w:val="single" w:sz="4" w:space="0" w:color="auto"/>
            </w:tcBorders>
            <w:shd w:val="clear" w:color="000000" w:fill="F2C6C9"/>
            <w:noWrap/>
            <w:vAlign w:val="bottom"/>
            <w:hideMark/>
          </w:tcPr>
          <w:p w14:paraId="4F8BC9E1" w14:textId="77777777" w:rsidR="00F32563" w:rsidRPr="002F5313" w:rsidRDefault="00F32563" w:rsidP="001E126B">
            <w:pPr>
              <w:keepNext/>
              <w:jc w:val="right"/>
              <w:rPr>
                <w:rFonts w:cstheme="minorHAnsi"/>
                <w:b/>
                <w:bCs/>
                <w:sz w:val="20"/>
              </w:rPr>
            </w:pPr>
            <w:r w:rsidRPr="002F5313">
              <w:rPr>
                <w:rFonts w:cstheme="minorHAnsi"/>
                <w:b/>
                <w:bCs/>
                <w:sz w:val="20"/>
              </w:rPr>
              <w:t>8 382</w:t>
            </w:r>
          </w:p>
        </w:tc>
        <w:tc>
          <w:tcPr>
            <w:tcW w:w="992" w:type="dxa"/>
            <w:tcBorders>
              <w:top w:val="nil"/>
              <w:left w:val="nil"/>
              <w:bottom w:val="single" w:sz="4" w:space="0" w:color="auto"/>
              <w:right w:val="single" w:sz="4" w:space="0" w:color="auto"/>
            </w:tcBorders>
            <w:shd w:val="clear" w:color="000000" w:fill="F2C6C9"/>
            <w:noWrap/>
            <w:vAlign w:val="bottom"/>
            <w:hideMark/>
          </w:tcPr>
          <w:p w14:paraId="40CCA5A3" w14:textId="77777777" w:rsidR="00F32563" w:rsidRPr="002F5313" w:rsidRDefault="00F32563" w:rsidP="001E126B">
            <w:pPr>
              <w:keepNext/>
              <w:jc w:val="right"/>
              <w:rPr>
                <w:rFonts w:cstheme="minorHAnsi"/>
                <w:b/>
                <w:bCs/>
                <w:sz w:val="20"/>
              </w:rPr>
            </w:pPr>
            <w:r w:rsidRPr="002F5313">
              <w:rPr>
                <w:rFonts w:cstheme="minorHAnsi"/>
                <w:b/>
                <w:bCs/>
                <w:sz w:val="20"/>
              </w:rPr>
              <w:t>10 355</w:t>
            </w:r>
          </w:p>
        </w:tc>
      </w:tr>
    </w:tbl>
    <w:p w14:paraId="640AAB8F" w14:textId="2FD5BD6B" w:rsidR="00F32563" w:rsidRPr="00F32563" w:rsidRDefault="00F32563" w:rsidP="001E126B">
      <w:pPr>
        <w:rPr>
          <w:rFonts w:ascii="Calibri" w:hAnsi="Calibri" w:cs="Calibri"/>
          <w:color w:val="000000"/>
          <w:sz w:val="20"/>
          <w:lang w:eastAsia="en-US"/>
        </w:rPr>
      </w:pPr>
      <w:r w:rsidRPr="00F32563">
        <w:rPr>
          <w:rFonts w:ascii="Calibri" w:hAnsi="Calibri" w:cs="Calibri"/>
          <w:b/>
          <w:color w:val="000000"/>
          <w:sz w:val="20"/>
          <w:lang w:eastAsia="en-US"/>
        </w:rPr>
        <w:t xml:space="preserve">Zdroj: </w:t>
      </w:r>
      <w:r w:rsidRPr="00F32563">
        <w:rPr>
          <w:rFonts w:ascii="Calibri" w:hAnsi="Calibri" w:cs="Calibri"/>
          <w:color w:val="000000"/>
          <w:sz w:val="20"/>
          <w:lang w:eastAsia="en-US"/>
        </w:rPr>
        <w:t>Český statistický úřad, MPSV.</w:t>
      </w:r>
    </w:p>
    <w:p w14:paraId="7BD2AD4D" w14:textId="246DEB40" w:rsidR="00825AE4" w:rsidRPr="00756C02" w:rsidRDefault="00455CD6" w:rsidP="009679BC">
      <w:pPr>
        <w:keepNext/>
        <w:autoSpaceDE w:val="0"/>
        <w:autoSpaceDN w:val="0"/>
        <w:adjustRightInd w:val="0"/>
        <w:spacing w:before="240"/>
        <w:rPr>
          <w:b/>
          <w:szCs w:val="24"/>
        </w:rPr>
      </w:pPr>
      <w:r w:rsidRPr="00756C02">
        <w:rPr>
          <w:b/>
          <w:szCs w:val="24"/>
        </w:rPr>
        <w:t xml:space="preserve">Tabulka č. </w:t>
      </w:r>
      <w:r w:rsidR="00264E6D" w:rsidRPr="00756C02">
        <w:rPr>
          <w:b/>
          <w:szCs w:val="24"/>
        </w:rPr>
        <w:t>4</w:t>
      </w:r>
      <w:r w:rsidRPr="00756C02">
        <w:rPr>
          <w:rFonts w:eastAsiaTheme="minorHAnsi"/>
          <w:b/>
          <w:szCs w:val="24"/>
        </w:rPr>
        <w:t xml:space="preserve">: Dávky na bydlení meziročně </w:t>
      </w:r>
      <w:r w:rsidR="000723DD">
        <w:rPr>
          <w:rFonts w:eastAsiaTheme="minorHAnsi"/>
          <w:b/>
          <w:szCs w:val="24"/>
        </w:rPr>
        <w:t>(</w:t>
      </w:r>
      <w:r w:rsidRPr="00756C02">
        <w:rPr>
          <w:rFonts w:eastAsiaTheme="minorHAnsi"/>
          <w:b/>
          <w:szCs w:val="24"/>
        </w:rPr>
        <w:t>červenec 2022</w:t>
      </w:r>
      <w:r w:rsidR="00EF5D7F" w:rsidRPr="00756C02">
        <w:rPr>
          <w:rFonts w:cstheme="minorHAnsi"/>
          <w:b/>
          <w:szCs w:val="24"/>
          <w:shd w:val="clear" w:color="auto" w:fill="FFFFFF"/>
        </w:rPr>
        <w:t>–</w:t>
      </w:r>
      <w:r w:rsidRPr="00756C02">
        <w:rPr>
          <w:rFonts w:eastAsiaTheme="minorHAnsi"/>
          <w:b/>
          <w:szCs w:val="24"/>
        </w:rPr>
        <w:t>2023</w:t>
      </w:r>
      <w:r w:rsidR="000723DD">
        <w:rPr>
          <w:rFonts w:eastAsiaTheme="minorHAnsi"/>
          <w:b/>
          <w:szCs w:val="24"/>
        </w:rPr>
        <w:t>)</w:t>
      </w:r>
    </w:p>
    <w:tbl>
      <w:tblPr>
        <w:tblW w:w="9072" w:type="dxa"/>
        <w:tblInd w:w="-5" w:type="dxa"/>
        <w:tblCellMar>
          <w:left w:w="70" w:type="dxa"/>
          <w:right w:w="70" w:type="dxa"/>
        </w:tblCellMar>
        <w:tblLook w:val="04A0" w:firstRow="1" w:lastRow="0" w:firstColumn="1" w:lastColumn="0" w:noHBand="0" w:noVBand="1"/>
      </w:tblPr>
      <w:tblGrid>
        <w:gridCol w:w="1985"/>
        <w:gridCol w:w="992"/>
        <w:gridCol w:w="992"/>
        <w:gridCol w:w="883"/>
        <w:gridCol w:w="960"/>
        <w:gridCol w:w="1134"/>
        <w:gridCol w:w="1106"/>
        <w:gridCol w:w="1020"/>
      </w:tblGrid>
      <w:tr w:rsidR="009679BC" w14:paraId="4FE54619" w14:textId="77777777" w:rsidTr="009679BC">
        <w:trPr>
          <w:trHeight w:val="455"/>
        </w:trPr>
        <w:tc>
          <w:tcPr>
            <w:tcW w:w="1985" w:type="dxa"/>
            <w:vMerge w:val="restart"/>
            <w:tcBorders>
              <w:top w:val="single" w:sz="4" w:space="0" w:color="auto"/>
              <w:left w:val="single" w:sz="4" w:space="0" w:color="auto"/>
              <w:bottom w:val="single" w:sz="4" w:space="0" w:color="000000"/>
              <w:right w:val="single" w:sz="4" w:space="0" w:color="auto"/>
            </w:tcBorders>
            <w:shd w:val="clear" w:color="000000" w:fill="E5F1FF"/>
            <w:vAlign w:val="center"/>
            <w:hideMark/>
          </w:tcPr>
          <w:p w14:paraId="5C4F63EC" w14:textId="77777777" w:rsidR="009679BC" w:rsidRPr="00825AE4" w:rsidRDefault="009679BC" w:rsidP="001E126B">
            <w:pPr>
              <w:keepNext/>
              <w:jc w:val="left"/>
              <w:rPr>
                <w:rFonts w:ascii="Calibri" w:hAnsi="Calibri" w:cs="Calibri"/>
                <w:b/>
                <w:bCs/>
                <w:color w:val="000000"/>
                <w:sz w:val="20"/>
              </w:rPr>
            </w:pPr>
            <w:r w:rsidRPr="00825AE4">
              <w:rPr>
                <w:rFonts w:ascii="Calibri" w:hAnsi="Calibri" w:cs="Calibri"/>
                <w:b/>
                <w:bCs/>
                <w:color w:val="000000"/>
                <w:sz w:val="20"/>
              </w:rPr>
              <w:t>Typ dávky</w:t>
            </w:r>
          </w:p>
        </w:tc>
        <w:tc>
          <w:tcPr>
            <w:tcW w:w="1984" w:type="dxa"/>
            <w:gridSpan w:val="2"/>
            <w:tcBorders>
              <w:top w:val="single" w:sz="4" w:space="0" w:color="auto"/>
              <w:left w:val="nil"/>
              <w:bottom w:val="single" w:sz="4" w:space="0" w:color="auto"/>
              <w:right w:val="single" w:sz="4" w:space="0" w:color="000000"/>
            </w:tcBorders>
            <w:shd w:val="clear" w:color="000000" w:fill="E5F1FF"/>
            <w:vAlign w:val="center"/>
            <w:hideMark/>
          </w:tcPr>
          <w:p w14:paraId="6CB945CC" w14:textId="77777777" w:rsidR="009679BC" w:rsidRPr="00825AE4" w:rsidRDefault="009679BC" w:rsidP="001E126B">
            <w:pPr>
              <w:keepNext/>
              <w:jc w:val="center"/>
              <w:rPr>
                <w:rFonts w:ascii="Calibri" w:hAnsi="Calibri" w:cs="Calibri"/>
                <w:b/>
                <w:bCs/>
                <w:color w:val="000000"/>
                <w:sz w:val="20"/>
              </w:rPr>
            </w:pPr>
            <w:r w:rsidRPr="00825AE4">
              <w:rPr>
                <w:rFonts w:ascii="Calibri" w:hAnsi="Calibri" w:cs="Calibri"/>
                <w:b/>
                <w:bCs/>
                <w:color w:val="000000"/>
                <w:sz w:val="20"/>
              </w:rPr>
              <w:t>Počet vyplacených dávek (v tis.)</w:t>
            </w:r>
          </w:p>
        </w:tc>
        <w:tc>
          <w:tcPr>
            <w:tcW w:w="1843" w:type="dxa"/>
            <w:gridSpan w:val="2"/>
            <w:tcBorders>
              <w:top w:val="single" w:sz="4" w:space="0" w:color="auto"/>
              <w:left w:val="nil"/>
              <w:bottom w:val="single" w:sz="4" w:space="0" w:color="auto"/>
              <w:right w:val="single" w:sz="4" w:space="0" w:color="000000"/>
            </w:tcBorders>
            <w:shd w:val="clear" w:color="000000" w:fill="E5F1FF"/>
            <w:vAlign w:val="center"/>
            <w:hideMark/>
          </w:tcPr>
          <w:p w14:paraId="1AB7A6FC" w14:textId="77777777" w:rsidR="009679BC" w:rsidRPr="00825AE4" w:rsidRDefault="009679BC" w:rsidP="001E126B">
            <w:pPr>
              <w:keepNext/>
              <w:jc w:val="center"/>
              <w:rPr>
                <w:rFonts w:ascii="Calibri" w:hAnsi="Calibri" w:cs="Calibri"/>
                <w:b/>
                <w:bCs/>
                <w:color w:val="000000"/>
                <w:sz w:val="20"/>
              </w:rPr>
            </w:pPr>
            <w:r w:rsidRPr="00825AE4">
              <w:rPr>
                <w:rFonts w:ascii="Calibri" w:hAnsi="Calibri" w:cs="Calibri"/>
                <w:b/>
                <w:bCs/>
                <w:color w:val="000000"/>
                <w:sz w:val="20"/>
              </w:rPr>
              <w:t>Vyplaceno v měsíci (</w:t>
            </w:r>
            <w:r>
              <w:rPr>
                <w:rFonts w:ascii="Calibri" w:hAnsi="Calibri" w:cs="Calibri"/>
                <w:b/>
                <w:bCs/>
                <w:color w:val="000000"/>
                <w:sz w:val="20"/>
              </w:rPr>
              <w:t xml:space="preserve">v </w:t>
            </w:r>
            <w:r w:rsidRPr="00825AE4">
              <w:rPr>
                <w:rFonts w:ascii="Calibri" w:hAnsi="Calibri" w:cs="Calibri"/>
                <w:b/>
                <w:bCs/>
                <w:color w:val="000000"/>
                <w:sz w:val="20"/>
              </w:rPr>
              <w:t>mil. Kč)</w:t>
            </w:r>
          </w:p>
        </w:tc>
        <w:tc>
          <w:tcPr>
            <w:tcW w:w="2240" w:type="dxa"/>
            <w:gridSpan w:val="2"/>
            <w:tcBorders>
              <w:top w:val="single" w:sz="4" w:space="0" w:color="auto"/>
              <w:left w:val="nil"/>
              <w:bottom w:val="single" w:sz="4" w:space="0" w:color="auto"/>
              <w:right w:val="single" w:sz="4" w:space="0" w:color="000000"/>
            </w:tcBorders>
            <w:shd w:val="clear" w:color="000000" w:fill="E5F1FF"/>
            <w:vAlign w:val="center"/>
            <w:hideMark/>
          </w:tcPr>
          <w:p w14:paraId="128DDF67" w14:textId="77777777" w:rsidR="009679BC" w:rsidRPr="00825AE4" w:rsidRDefault="009679BC" w:rsidP="001E126B">
            <w:pPr>
              <w:keepNext/>
              <w:jc w:val="center"/>
              <w:rPr>
                <w:rFonts w:ascii="Calibri" w:hAnsi="Calibri" w:cs="Calibri"/>
                <w:b/>
                <w:bCs/>
                <w:color w:val="000000"/>
                <w:sz w:val="20"/>
              </w:rPr>
            </w:pPr>
            <w:r w:rsidRPr="00825AE4">
              <w:rPr>
                <w:rFonts w:ascii="Calibri" w:hAnsi="Calibri" w:cs="Calibri"/>
                <w:b/>
                <w:bCs/>
                <w:color w:val="000000"/>
                <w:sz w:val="20"/>
              </w:rPr>
              <w:t>Vyplaceno od počátku roku (</w:t>
            </w:r>
            <w:r>
              <w:rPr>
                <w:rFonts w:ascii="Calibri" w:hAnsi="Calibri" w:cs="Calibri"/>
                <w:b/>
                <w:bCs/>
                <w:color w:val="000000"/>
                <w:sz w:val="20"/>
              </w:rPr>
              <w:t xml:space="preserve">v </w:t>
            </w:r>
            <w:r w:rsidRPr="00825AE4">
              <w:rPr>
                <w:rFonts w:ascii="Calibri" w:hAnsi="Calibri" w:cs="Calibri"/>
                <w:b/>
                <w:bCs/>
                <w:color w:val="000000"/>
                <w:sz w:val="20"/>
              </w:rPr>
              <w:t>mil. Kč)</w:t>
            </w:r>
          </w:p>
        </w:tc>
        <w:tc>
          <w:tcPr>
            <w:tcW w:w="1020" w:type="dxa"/>
            <w:vMerge w:val="restart"/>
            <w:tcBorders>
              <w:top w:val="single" w:sz="4" w:space="0" w:color="auto"/>
              <w:left w:val="single" w:sz="4" w:space="0" w:color="auto"/>
              <w:right w:val="single" w:sz="4" w:space="0" w:color="auto"/>
            </w:tcBorders>
            <w:shd w:val="clear" w:color="000000" w:fill="E5F1FF"/>
            <w:vAlign w:val="center"/>
            <w:hideMark/>
          </w:tcPr>
          <w:p w14:paraId="67C01B54" w14:textId="1727B96C" w:rsidR="009679BC" w:rsidRPr="00825AE4" w:rsidRDefault="009679BC" w:rsidP="00756C02">
            <w:pPr>
              <w:keepNext/>
              <w:jc w:val="center"/>
              <w:rPr>
                <w:rFonts w:ascii="Calibri" w:hAnsi="Calibri" w:cs="Calibri"/>
                <w:b/>
                <w:bCs/>
                <w:color w:val="000000"/>
                <w:sz w:val="20"/>
              </w:rPr>
            </w:pPr>
            <w:r w:rsidRPr="00825AE4">
              <w:rPr>
                <w:rFonts w:ascii="Calibri" w:hAnsi="Calibri" w:cs="Calibri"/>
                <w:b/>
                <w:bCs/>
                <w:color w:val="000000"/>
                <w:sz w:val="20"/>
              </w:rPr>
              <w:t xml:space="preserve">Meziroční index </w:t>
            </w:r>
            <w:r>
              <w:rPr>
                <w:rFonts w:ascii="Calibri" w:hAnsi="Calibri" w:cs="Calibri"/>
                <w:b/>
                <w:bCs/>
                <w:color w:val="000000"/>
                <w:sz w:val="20"/>
              </w:rPr>
              <w:br/>
              <w:t>(</w:t>
            </w:r>
            <w:r w:rsidRPr="00825AE4">
              <w:rPr>
                <w:rFonts w:ascii="Calibri" w:hAnsi="Calibri" w:cs="Calibri"/>
                <w:b/>
                <w:bCs/>
                <w:color w:val="000000"/>
                <w:sz w:val="20"/>
              </w:rPr>
              <w:t>v %</w:t>
            </w:r>
            <w:r>
              <w:rPr>
                <w:rFonts w:ascii="Calibri" w:hAnsi="Calibri" w:cs="Calibri"/>
                <w:b/>
                <w:bCs/>
                <w:color w:val="000000"/>
                <w:sz w:val="20"/>
              </w:rPr>
              <w:t>)</w:t>
            </w:r>
          </w:p>
        </w:tc>
      </w:tr>
      <w:tr w:rsidR="009679BC" w14:paraId="6A20EEA3" w14:textId="77777777" w:rsidTr="009679BC">
        <w:trPr>
          <w:trHeight w:val="391"/>
        </w:trPr>
        <w:tc>
          <w:tcPr>
            <w:tcW w:w="1985" w:type="dxa"/>
            <w:vMerge/>
            <w:tcBorders>
              <w:top w:val="single" w:sz="4" w:space="0" w:color="auto"/>
              <w:left w:val="single" w:sz="4" w:space="0" w:color="auto"/>
              <w:bottom w:val="single" w:sz="4" w:space="0" w:color="000000"/>
              <w:right w:val="single" w:sz="4" w:space="0" w:color="auto"/>
            </w:tcBorders>
            <w:vAlign w:val="center"/>
            <w:hideMark/>
          </w:tcPr>
          <w:p w14:paraId="29BF0C18" w14:textId="77777777" w:rsidR="009679BC" w:rsidRPr="00825AE4" w:rsidRDefault="009679BC" w:rsidP="001E126B">
            <w:pPr>
              <w:keepNext/>
              <w:jc w:val="left"/>
              <w:rPr>
                <w:rFonts w:ascii="Calibri" w:hAnsi="Calibri" w:cs="Calibri"/>
                <w:b/>
                <w:bCs/>
                <w:color w:val="000000"/>
                <w:sz w:val="20"/>
              </w:rPr>
            </w:pPr>
          </w:p>
        </w:tc>
        <w:tc>
          <w:tcPr>
            <w:tcW w:w="992" w:type="dxa"/>
            <w:tcBorders>
              <w:top w:val="nil"/>
              <w:left w:val="nil"/>
              <w:bottom w:val="single" w:sz="4" w:space="0" w:color="auto"/>
              <w:right w:val="single" w:sz="4" w:space="0" w:color="auto"/>
            </w:tcBorders>
            <w:shd w:val="clear" w:color="000000" w:fill="E5F1FF"/>
            <w:vAlign w:val="center"/>
            <w:hideMark/>
          </w:tcPr>
          <w:p w14:paraId="213FB47C" w14:textId="77777777" w:rsidR="009679BC" w:rsidRPr="00825AE4" w:rsidRDefault="009679BC" w:rsidP="001E126B">
            <w:pPr>
              <w:keepNext/>
              <w:jc w:val="center"/>
              <w:rPr>
                <w:rFonts w:ascii="Calibri" w:hAnsi="Calibri" w:cs="Calibri"/>
                <w:b/>
                <w:bCs/>
                <w:color w:val="000000"/>
                <w:sz w:val="20"/>
              </w:rPr>
            </w:pPr>
            <w:r w:rsidRPr="00825AE4">
              <w:rPr>
                <w:rFonts w:ascii="Calibri" w:hAnsi="Calibri" w:cs="Calibri"/>
                <w:b/>
                <w:bCs/>
                <w:color w:val="000000"/>
                <w:sz w:val="20"/>
              </w:rPr>
              <w:t>červenec 2022</w:t>
            </w:r>
          </w:p>
        </w:tc>
        <w:tc>
          <w:tcPr>
            <w:tcW w:w="992" w:type="dxa"/>
            <w:tcBorders>
              <w:top w:val="nil"/>
              <w:left w:val="nil"/>
              <w:bottom w:val="single" w:sz="4" w:space="0" w:color="auto"/>
              <w:right w:val="single" w:sz="4" w:space="0" w:color="auto"/>
            </w:tcBorders>
            <w:shd w:val="clear" w:color="000000" w:fill="E5F1FF"/>
            <w:vAlign w:val="center"/>
            <w:hideMark/>
          </w:tcPr>
          <w:p w14:paraId="23FBC2A1" w14:textId="77777777" w:rsidR="009679BC" w:rsidRPr="00825AE4" w:rsidRDefault="009679BC" w:rsidP="001E126B">
            <w:pPr>
              <w:keepNext/>
              <w:jc w:val="center"/>
              <w:rPr>
                <w:rFonts w:ascii="Calibri" w:hAnsi="Calibri" w:cs="Calibri"/>
                <w:b/>
                <w:bCs/>
                <w:color w:val="000000"/>
                <w:sz w:val="20"/>
              </w:rPr>
            </w:pPr>
            <w:r w:rsidRPr="00825AE4">
              <w:rPr>
                <w:rFonts w:ascii="Calibri" w:hAnsi="Calibri" w:cs="Calibri"/>
                <w:b/>
                <w:bCs/>
                <w:color w:val="000000"/>
                <w:sz w:val="20"/>
              </w:rPr>
              <w:t>červenec 2023</w:t>
            </w:r>
          </w:p>
        </w:tc>
        <w:tc>
          <w:tcPr>
            <w:tcW w:w="883" w:type="dxa"/>
            <w:tcBorders>
              <w:top w:val="nil"/>
              <w:left w:val="nil"/>
              <w:bottom w:val="single" w:sz="4" w:space="0" w:color="auto"/>
              <w:right w:val="single" w:sz="4" w:space="0" w:color="auto"/>
            </w:tcBorders>
            <w:shd w:val="clear" w:color="000000" w:fill="E5F1FF"/>
            <w:vAlign w:val="center"/>
            <w:hideMark/>
          </w:tcPr>
          <w:p w14:paraId="0C665C34" w14:textId="77777777" w:rsidR="009679BC" w:rsidRPr="00825AE4" w:rsidRDefault="009679BC" w:rsidP="001E126B">
            <w:pPr>
              <w:keepNext/>
              <w:jc w:val="center"/>
              <w:rPr>
                <w:rFonts w:ascii="Calibri" w:hAnsi="Calibri" w:cs="Calibri"/>
                <w:b/>
                <w:bCs/>
                <w:color w:val="000000"/>
                <w:sz w:val="20"/>
              </w:rPr>
            </w:pPr>
            <w:r w:rsidRPr="00825AE4">
              <w:rPr>
                <w:rFonts w:ascii="Calibri" w:hAnsi="Calibri" w:cs="Calibri"/>
                <w:b/>
                <w:bCs/>
                <w:color w:val="000000"/>
                <w:sz w:val="20"/>
              </w:rPr>
              <w:t>červenec 2022</w:t>
            </w:r>
          </w:p>
        </w:tc>
        <w:tc>
          <w:tcPr>
            <w:tcW w:w="960" w:type="dxa"/>
            <w:tcBorders>
              <w:top w:val="nil"/>
              <w:left w:val="nil"/>
              <w:bottom w:val="single" w:sz="4" w:space="0" w:color="auto"/>
              <w:right w:val="single" w:sz="4" w:space="0" w:color="auto"/>
            </w:tcBorders>
            <w:shd w:val="clear" w:color="000000" w:fill="E5F1FF"/>
            <w:vAlign w:val="center"/>
            <w:hideMark/>
          </w:tcPr>
          <w:p w14:paraId="4DEBF5D4" w14:textId="77777777" w:rsidR="009679BC" w:rsidRPr="00825AE4" w:rsidRDefault="009679BC" w:rsidP="001E126B">
            <w:pPr>
              <w:keepNext/>
              <w:jc w:val="center"/>
              <w:rPr>
                <w:rFonts w:ascii="Calibri" w:hAnsi="Calibri" w:cs="Calibri"/>
                <w:b/>
                <w:bCs/>
                <w:color w:val="000000"/>
                <w:sz w:val="20"/>
              </w:rPr>
            </w:pPr>
            <w:r w:rsidRPr="00825AE4">
              <w:rPr>
                <w:rFonts w:ascii="Calibri" w:hAnsi="Calibri" w:cs="Calibri"/>
                <w:b/>
                <w:bCs/>
                <w:color w:val="000000"/>
                <w:sz w:val="20"/>
              </w:rPr>
              <w:t>červenec 2023</w:t>
            </w:r>
          </w:p>
        </w:tc>
        <w:tc>
          <w:tcPr>
            <w:tcW w:w="1134" w:type="dxa"/>
            <w:tcBorders>
              <w:top w:val="nil"/>
              <w:left w:val="nil"/>
              <w:bottom w:val="single" w:sz="4" w:space="0" w:color="auto"/>
              <w:right w:val="single" w:sz="4" w:space="0" w:color="auto"/>
            </w:tcBorders>
            <w:shd w:val="clear" w:color="000000" w:fill="E5F1FF"/>
            <w:vAlign w:val="center"/>
            <w:hideMark/>
          </w:tcPr>
          <w:p w14:paraId="7042B608" w14:textId="77777777" w:rsidR="009679BC" w:rsidRPr="00825AE4" w:rsidRDefault="009679BC" w:rsidP="001E126B">
            <w:pPr>
              <w:keepNext/>
              <w:jc w:val="center"/>
              <w:rPr>
                <w:rFonts w:ascii="Calibri" w:hAnsi="Calibri" w:cs="Calibri"/>
                <w:b/>
                <w:bCs/>
                <w:color w:val="000000"/>
                <w:sz w:val="20"/>
              </w:rPr>
            </w:pPr>
            <w:r w:rsidRPr="00825AE4">
              <w:rPr>
                <w:rFonts w:ascii="Calibri" w:hAnsi="Calibri" w:cs="Calibri"/>
                <w:b/>
                <w:bCs/>
                <w:color w:val="000000"/>
                <w:sz w:val="20"/>
              </w:rPr>
              <w:t>červenec 2022</w:t>
            </w:r>
          </w:p>
        </w:tc>
        <w:tc>
          <w:tcPr>
            <w:tcW w:w="1106" w:type="dxa"/>
            <w:tcBorders>
              <w:top w:val="nil"/>
              <w:left w:val="nil"/>
              <w:bottom w:val="single" w:sz="4" w:space="0" w:color="auto"/>
              <w:right w:val="single" w:sz="4" w:space="0" w:color="auto"/>
            </w:tcBorders>
            <w:shd w:val="clear" w:color="000000" w:fill="E5F1FF"/>
            <w:vAlign w:val="center"/>
            <w:hideMark/>
          </w:tcPr>
          <w:p w14:paraId="4A4E3FF3" w14:textId="77777777" w:rsidR="009679BC" w:rsidRPr="00825AE4" w:rsidRDefault="009679BC" w:rsidP="001E126B">
            <w:pPr>
              <w:keepNext/>
              <w:jc w:val="center"/>
              <w:rPr>
                <w:rFonts w:ascii="Calibri" w:hAnsi="Calibri" w:cs="Calibri"/>
                <w:b/>
                <w:bCs/>
                <w:color w:val="000000"/>
                <w:sz w:val="20"/>
              </w:rPr>
            </w:pPr>
            <w:r w:rsidRPr="00825AE4">
              <w:rPr>
                <w:rFonts w:ascii="Calibri" w:hAnsi="Calibri" w:cs="Calibri"/>
                <w:b/>
                <w:bCs/>
                <w:color w:val="000000"/>
                <w:sz w:val="20"/>
              </w:rPr>
              <w:t>červenec 2023</w:t>
            </w:r>
          </w:p>
        </w:tc>
        <w:tc>
          <w:tcPr>
            <w:tcW w:w="1020" w:type="dxa"/>
            <w:vMerge/>
            <w:tcBorders>
              <w:left w:val="single" w:sz="4" w:space="0" w:color="auto"/>
              <w:bottom w:val="single" w:sz="4" w:space="0" w:color="000000"/>
              <w:right w:val="single" w:sz="4" w:space="0" w:color="auto"/>
            </w:tcBorders>
            <w:vAlign w:val="center"/>
            <w:hideMark/>
          </w:tcPr>
          <w:p w14:paraId="36F82E9C" w14:textId="77777777" w:rsidR="009679BC" w:rsidRPr="00825AE4" w:rsidRDefault="009679BC" w:rsidP="001E126B">
            <w:pPr>
              <w:keepNext/>
              <w:jc w:val="left"/>
              <w:rPr>
                <w:rFonts w:ascii="Calibri" w:hAnsi="Calibri" w:cs="Calibri"/>
                <w:b/>
                <w:bCs/>
                <w:color w:val="000000"/>
                <w:sz w:val="20"/>
              </w:rPr>
            </w:pPr>
          </w:p>
        </w:tc>
      </w:tr>
      <w:tr w:rsidR="009960E7" w14:paraId="62FE4ED9" w14:textId="77777777" w:rsidTr="00756C02">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C6FC680" w14:textId="77777777" w:rsidR="00825AE4" w:rsidRPr="002F5313" w:rsidRDefault="00455CD6" w:rsidP="001E126B">
            <w:pPr>
              <w:keepNext/>
              <w:jc w:val="left"/>
              <w:rPr>
                <w:rFonts w:ascii="Calibri" w:hAnsi="Calibri" w:cs="Calibri"/>
                <w:color w:val="000000"/>
                <w:sz w:val="20"/>
                <w:szCs w:val="22"/>
              </w:rPr>
            </w:pPr>
            <w:r w:rsidRPr="002F5313">
              <w:rPr>
                <w:rFonts w:ascii="Calibri" w:hAnsi="Calibri" w:cs="Calibri"/>
                <w:color w:val="000000"/>
                <w:sz w:val="20"/>
                <w:szCs w:val="22"/>
              </w:rPr>
              <w:t>Příspěvek na bydlení</w:t>
            </w:r>
          </w:p>
        </w:tc>
        <w:tc>
          <w:tcPr>
            <w:tcW w:w="992" w:type="dxa"/>
            <w:tcBorders>
              <w:top w:val="nil"/>
              <w:left w:val="nil"/>
              <w:bottom w:val="single" w:sz="4" w:space="0" w:color="auto"/>
              <w:right w:val="single" w:sz="4" w:space="0" w:color="auto"/>
            </w:tcBorders>
            <w:shd w:val="clear" w:color="auto" w:fill="auto"/>
            <w:noWrap/>
            <w:vAlign w:val="bottom"/>
            <w:hideMark/>
          </w:tcPr>
          <w:p w14:paraId="371EC377" w14:textId="77777777" w:rsidR="00825AE4" w:rsidRPr="002F5313" w:rsidRDefault="00455CD6" w:rsidP="001E126B">
            <w:pPr>
              <w:keepNext/>
              <w:jc w:val="right"/>
              <w:rPr>
                <w:rFonts w:ascii="Calibri" w:hAnsi="Calibri" w:cs="Calibri"/>
                <w:color w:val="000000"/>
                <w:sz w:val="20"/>
                <w:szCs w:val="22"/>
              </w:rPr>
            </w:pPr>
            <w:r w:rsidRPr="002F5313">
              <w:rPr>
                <w:rFonts w:ascii="Calibri" w:hAnsi="Calibri" w:cs="Calibri"/>
                <w:color w:val="000000"/>
                <w:sz w:val="20"/>
                <w:szCs w:val="22"/>
              </w:rPr>
              <w:t>177,2</w:t>
            </w:r>
          </w:p>
        </w:tc>
        <w:tc>
          <w:tcPr>
            <w:tcW w:w="992" w:type="dxa"/>
            <w:tcBorders>
              <w:top w:val="nil"/>
              <w:left w:val="nil"/>
              <w:bottom w:val="single" w:sz="4" w:space="0" w:color="auto"/>
              <w:right w:val="single" w:sz="4" w:space="0" w:color="auto"/>
            </w:tcBorders>
            <w:shd w:val="clear" w:color="auto" w:fill="auto"/>
            <w:noWrap/>
            <w:vAlign w:val="bottom"/>
            <w:hideMark/>
          </w:tcPr>
          <w:p w14:paraId="323D7117" w14:textId="77777777" w:rsidR="00825AE4" w:rsidRPr="002F5313" w:rsidRDefault="00455CD6" w:rsidP="001E126B">
            <w:pPr>
              <w:keepNext/>
              <w:jc w:val="right"/>
              <w:rPr>
                <w:rFonts w:ascii="Calibri" w:hAnsi="Calibri" w:cs="Calibri"/>
                <w:color w:val="000000"/>
                <w:sz w:val="20"/>
                <w:szCs w:val="22"/>
              </w:rPr>
            </w:pPr>
            <w:r w:rsidRPr="002F5313">
              <w:rPr>
                <w:rFonts w:ascii="Calibri" w:hAnsi="Calibri" w:cs="Calibri"/>
                <w:color w:val="000000"/>
                <w:sz w:val="20"/>
                <w:szCs w:val="22"/>
              </w:rPr>
              <w:t>255,9</w:t>
            </w:r>
          </w:p>
        </w:tc>
        <w:tc>
          <w:tcPr>
            <w:tcW w:w="883" w:type="dxa"/>
            <w:tcBorders>
              <w:top w:val="nil"/>
              <w:left w:val="nil"/>
              <w:bottom w:val="single" w:sz="4" w:space="0" w:color="auto"/>
              <w:right w:val="single" w:sz="4" w:space="0" w:color="auto"/>
            </w:tcBorders>
            <w:shd w:val="clear" w:color="auto" w:fill="auto"/>
            <w:noWrap/>
            <w:vAlign w:val="bottom"/>
            <w:hideMark/>
          </w:tcPr>
          <w:p w14:paraId="7A28566B" w14:textId="77777777" w:rsidR="00825AE4" w:rsidRPr="002F5313" w:rsidRDefault="00455CD6" w:rsidP="001E126B">
            <w:pPr>
              <w:keepNext/>
              <w:jc w:val="right"/>
              <w:rPr>
                <w:rFonts w:ascii="Calibri" w:hAnsi="Calibri" w:cs="Calibri"/>
                <w:color w:val="000000"/>
                <w:sz w:val="20"/>
                <w:szCs w:val="22"/>
              </w:rPr>
            </w:pPr>
            <w:r w:rsidRPr="002F5313">
              <w:rPr>
                <w:rFonts w:ascii="Calibri" w:hAnsi="Calibri" w:cs="Calibri"/>
                <w:color w:val="000000"/>
                <w:sz w:val="20"/>
                <w:szCs w:val="22"/>
              </w:rPr>
              <w:t>732,1</w:t>
            </w:r>
          </w:p>
        </w:tc>
        <w:tc>
          <w:tcPr>
            <w:tcW w:w="960" w:type="dxa"/>
            <w:tcBorders>
              <w:top w:val="nil"/>
              <w:left w:val="nil"/>
              <w:bottom w:val="single" w:sz="4" w:space="0" w:color="auto"/>
              <w:right w:val="single" w:sz="4" w:space="0" w:color="auto"/>
            </w:tcBorders>
            <w:shd w:val="clear" w:color="auto" w:fill="auto"/>
            <w:noWrap/>
            <w:vAlign w:val="bottom"/>
            <w:hideMark/>
          </w:tcPr>
          <w:p w14:paraId="7888499E" w14:textId="77777777" w:rsidR="00825AE4" w:rsidRPr="002F5313" w:rsidRDefault="00455CD6" w:rsidP="001E126B">
            <w:pPr>
              <w:keepNext/>
              <w:jc w:val="right"/>
              <w:rPr>
                <w:rFonts w:ascii="Calibri" w:hAnsi="Calibri" w:cs="Calibri"/>
                <w:color w:val="000000"/>
                <w:sz w:val="20"/>
                <w:szCs w:val="22"/>
              </w:rPr>
            </w:pPr>
            <w:r w:rsidRPr="002F5313">
              <w:rPr>
                <w:rFonts w:ascii="Calibri" w:hAnsi="Calibri" w:cs="Calibri"/>
                <w:color w:val="000000"/>
                <w:sz w:val="20"/>
                <w:szCs w:val="22"/>
              </w:rPr>
              <w:t>1 579,1</w:t>
            </w:r>
          </w:p>
        </w:tc>
        <w:tc>
          <w:tcPr>
            <w:tcW w:w="1134" w:type="dxa"/>
            <w:tcBorders>
              <w:top w:val="nil"/>
              <w:left w:val="nil"/>
              <w:bottom w:val="single" w:sz="4" w:space="0" w:color="auto"/>
              <w:right w:val="single" w:sz="4" w:space="0" w:color="auto"/>
            </w:tcBorders>
            <w:shd w:val="clear" w:color="auto" w:fill="auto"/>
            <w:noWrap/>
            <w:vAlign w:val="bottom"/>
            <w:hideMark/>
          </w:tcPr>
          <w:p w14:paraId="1F7D3141" w14:textId="77777777" w:rsidR="00825AE4" w:rsidRPr="002F5313" w:rsidRDefault="00455CD6" w:rsidP="001E126B">
            <w:pPr>
              <w:keepNext/>
              <w:jc w:val="right"/>
              <w:rPr>
                <w:rFonts w:ascii="Calibri" w:hAnsi="Calibri" w:cs="Calibri"/>
                <w:color w:val="000000"/>
                <w:sz w:val="20"/>
                <w:szCs w:val="22"/>
              </w:rPr>
            </w:pPr>
            <w:r w:rsidRPr="002F5313">
              <w:rPr>
                <w:rFonts w:ascii="Calibri" w:hAnsi="Calibri" w:cs="Calibri"/>
                <w:color w:val="000000"/>
                <w:sz w:val="20"/>
                <w:szCs w:val="22"/>
              </w:rPr>
              <w:t>4 559,4</w:t>
            </w:r>
          </w:p>
        </w:tc>
        <w:tc>
          <w:tcPr>
            <w:tcW w:w="1106" w:type="dxa"/>
            <w:tcBorders>
              <w:top w:val="nil"/>
              <w:left w:val="nil"/>
              <w:bottom w:val="single" w:sz="4" w:space="0" w:color="auto"/>
              <w:right w:val="single" w:sz="4" w:space="0" w:color="auto"/>
            </w:tcBorders>
            <w:shd w:val="clear" w:color="auto" w:fill="auto"/>
            <w:noWrap/>
            <w:vAlign w:val="bottom"/>
            <w:hideMark/>
          </w:tcPr>
          <w:p w14:paraId="20D75206" w14:textId="77777777" w:rsidR="00825AE4" w:rsidRPr="002F5313" w:rsidRDefault="00455CD6" w:rsidP="001E126B">
            <w:pPr>
              <w:keepNext/>
              <w:jc w:val="right"/>
              <w:rPr>
                <w:rFonts w:ascii="Calibri" w:hAnsi="Calibri" w:cs="Calibri"/>
                <w:color w:val="000000"/>
                <w:sz w:val="20"/>
                <w:szCs w:val="22"/>
              </w:rPr>
            </w:pPr>
            <w:r w:rsidRPr="002F5313">
              <w:rPr>
                <w:rFonts w:ascii="Calibri" w:hAnsi="Calibri" w:cs="Calibri"/>
                <w:color w:val="000000"/>
                <w:sz w:val="20"/>
                <w:szCs w:val="22"/>
              </w:rPr>
              <w:t>9 758,0</w:t>
            </w:r>
          </w:p>
        </w:tc>
        <w:tc>
          <w:tcPr>
            <w:tcW w:w="1020" w:type="dxa"/>
            <w:tcBorders>
              <w:top w:val="nil"/>
              <w:left w:val="nil"/>
              <w:bottom w:val="single" w:sz="4" w:space="0" w:color="auto"/>
              <w:right w:val="single" w:sz="4" w:space="0" w:color="auto"/>
            </w:tcBorders>
            <w:shd w:val="clear" w:color="auto" w:fill="auto"/>
            <w:noWrap/>
            <w:vAlign w:val="bottom"/>
            <w:hideMark/>
          </w:tcPr>
          <w:p w14:paraId="7F7267A0" w14:textId="77777777" w:rsidR="00825AE4" w:rsidRPr="002F5313" w:rsidRDefault="00455CD6" w:rsidP="001E126B">
            <w:pPr>
              <w:keepNext/>
              <w:jc w:val="right"/>
              <w:rPr>
                <w:rFonts w:ascii="Calibri" w:hAnsi="Calibri" w:cs="Calibri"/>
                <w:color w:val="000000"/>
                <w:sz w:val="20"/>
                <w:szCs w:val="22"/>
              </w:rPr>
            </w:pPr>
            <w:r w:rsidRPr="002F5313">
              <w:rPr>
                <w:rFonts w:ascii="Calibri" w:hAnsi="Calibri" w:cs="Calibri"/>
                <w:color w:val="000000"/>
                <w:sz w:val="20"/>
                <w:szCs w:val="22"/>
              </w:rPr>
              <w:t>214,0</w:t>
            </w:r>
          </w:p>
        </w:tc>
      </w:tr>
      <w:tr w:rsidR="009960E7" w14:paraId="30E4F5DE" w14:textId="77777777" w:rsidTr="00756C02">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123C00F" w14:textId="77777777" w:rsidR="00825AE4" w:rsidRPr="002F5313" w:rsidRDefault="00455CD6" w:rsidP="001E126B">
            <w:pPr>
              <w:keepNext/>
              <w:jc w:val="left"/>
              <w:rPr>
                <w:rFonts w:ascii="Calibri" w:hAnsi="Calibri" w:cs="Calibri"/>
                <w:color w:val="000000"/>
                <w:sz w:val="20"/>
                <w:szCs w:val="22"/>
              </w:rPr>
            </w:pPr>
            <w:r w:rsidRPr="002F5313">
              <w:rPr>
                <w:rFonts w:ascii="Calibri" w:hAnsi="Calibri" w:cs="Calibri"/>
                <w:color w:val="000000"/>
                <w:sz w:val="20"/>
                <w:szCs w:val="22"/>
              </w:rPr>
              <w:t>Doplatek na bydlení</w:t>
            </w:r>
          </w:p>
        </w:tc>
        <w:tc>
          <w:tcPr>
            <w:tcW w:w="992" w:type="dxa"/>
            <w:tcBorders>
              <w:top w:val="nil"/>
              <w:left w:val="nil"/>
              <w:bottom w:val="single" w:sz="4" w:space="0" w:color="auto"/>
              <w:right w:val="single" w:sz="4" w:space="0" w:color="auto"/>
            </w:tcBorders>
            <w:shd w:val="clear" w:color="auto" w:fill="auto"/>
            <w:noWrap/>
            <w:vAlign w:val="bottom"/>
            <w:hideMark/>
          </w:tcPr>
          <w:p w14:paraId="638BE87F" w14:textId="77777777" w:rsidR="00825AE4" w:rsidRPr="002F5313" w:rsidRDefault="00455CD6" w:rsidP="001E126B">
            <w:pPr>
              <w:keepNext/>
              <w:jc w:val="right"/>
              <w:rPr>
                <w:rFonts w:ascii="Calibri" w:hAnsi="Calibri" w:cs="Calibri"/>
                <w:color w:val="000000"/>
                <w:sz w:val="20"/>
                <w:szCs w:val="22"/>
              </w:rPr>
            </w:pPr>
            <w:r w:rsidRPr="002F5313">
              <w:rPr>
                <w:rFonts w:ascii="Calibri" w:hAnsi="Calibri" w:cs="Calibri"/>
                <w:color w:val="000000"/>
                <w:sz w:val="20"/>
                <w:szCs w:val="22"/>
              </w:rPr>
              <w:t>31,6</w:t>
            </w:r>
          </w:p>
        </w:tc>
        <w:tc>
          <w:tcPr>
            <w:tcW w:w="992" w:type="dxa"/>
            <w:tcBorders>
              <w:top w:val="nil"/>
              <w:left w:val="nil"/>
              <w:bottom w:val="single" w:sz="4" w:space="0" w:color="auto"/>
              <w:right w:val="single" w:sz="4" w:space="0" w:color="auto"/>
            </w:tcBorders>
            <w:shd w:val="clear" w:color="auto" w:fill="auto"/>
            <w:noWrap/>
            <w:vAlign w:val="bottom"/>
            <w:hideMark/>
          </w:tcPr>
          <w:p w14:paraId="0963434E" w14:textId="77777777" w:rsidR="00825AE4" w:rsidRPr="002F5313" w:rsidRDefault="00455CD6" w:rsidP="001E126B">
            <w:pPr>
              <w:keepNext/>
              <w:jc w:val="right"/>
              <w:rPr>
                <w:rFonts w:ascii="Calibri" w:hAnsi="Calibri" w:cs="Calibri"/>
                <w:color w:val="000000"/>
                <w:sz w:val="20"/>
                <w:szCs w:val="22"/>
              </w:rPr>
            </w:pPr>
            <w:r w:rsidRPr="002F5313">
              <w:rPr>
                <w:rFonts w:ascii="Calibri" w:hAnsi="Calibri" w:cs="Calibri"/>
                <w:color w:val="000000"/>
                <w:sz w:val="20"/>
                <w:szCs w:val="22"/>
              </w:rPr>
              <w:t>23,7</w:t>
            </w:r>
          </w:p>
        </w:tc>
        <w:tc>
          <w:tcPr>
            <w:tcW w:w="883" w:type="dxa"/>
            <w:tcBorders>
              <w:top w:val="nil"/>
              <w:left w:val="nil"/>
              <w:bottom w:val="single" w:sz="4" w:space="0" w:color="auto"/>
              <w:right w:val="single" w:sz="4" w:space="0" w:color="auto"/>
            </w:tcBorders>
            <w:shd w:val="clear" w:color="auto" w:fill="auto"/>
            <w:noWrap/>
            <w:vAlign w:val="bottom"/>
            <w:hideMark/>
          </w:tcPr>
          <w:p w14:paraId="4019C1C8" w14:textId="77777777" w:rsidR="00825AE4" w:rsidRPr="002F5313" w:rsidRDefault="00455CD6" w:rsidP="001E126B">
            <w:pPr>
              <w:keepNext/>
              <w:jc w:val="right"/>
              <w:rPr>
                <w:rFonts w:ascii="Calibri" w:hAnsi="Calibri" w:cs="Calibri"/>
                <w:color w:val="000000"/>
                <w:sz w:val="20"/>
                <w:szCs w:val="22"/>
              </w:rPr>
            </w:pPr>
            <w:r w:rsidRPr="002F5313">
              <w:rPr>
                <w:rFonts w:ascii="Calibri" w:hAnsi="Calibri" w:cs="Calibri"/>
                <w:color w:val="000000"/>
                <w:sz w:val="20"/>
                <w:szCs w:val="22"/>
              </w:rPr>
              <w:t>135,7</w:t>
            </w:r>
          </w:p>
        </w:tc>
        <w:tc>
          <w:tcPr>
            <w:tcW w:w="960" w:type="dxa"/>
            <w:tcBorders>
              <w:top w:val="nil"/>
              <w:left w:val="nil"/>
              <w:bottom w:val="single" w:sz="4" w:space="0" w:color="auto"/>
              <w:right w:val="single" w:sz="4" w:space="0" w:color="auto"/>
            </w:tcBorders>
            <w:shd w:val="clear" w:color="auto" w:fill="auto"/>
            <w:noWrap/>
            <w:vAlign w:val="bottom"/>
            <w:hideMark/>
          </w:tcPr>
          <w:p w14:paraId="372BE335" w14:textId="77777777" w:rsidR="00825AE4" w:rsidRPr="002F5313" w:rsidRDefault="00455CD6" w:rsidP="001E126B">
            <w:pPr>
              <w:keepNext/>
              <w:jc w:val="right"/>
              <w:rPr>
                <w:rFonts w:ascii="Calibri" w:hAnsi="Calibri" w:cs="Calibri"/>
                <w:color w:val="000000"/>
                <w:sz w:val="20"/>
                <w:szCs w:val="22"/>
              </w:rPr>
            </w:pPr>
            <w:r w:rsidRPr="002F5313">
              <w:rPr>
                <w:rFonts w:ascii="Calibri" w:hAnsi="Calibri" w:cs="Calibri"/>
                <w:color w:val="000000"/>
                <w:sz w:val="20"/>
                <w:szCs w:val="22"/>
              </w:rPr>
              <w:t>128,0</w:t>
            </w:r>
          </w:p>
        </w:tc>
        <w:tc>
          <w:tcPr>
            <w:tcW w:w="1134" w:type="dxa"/>
            <w:tcBorders>
              <w:top w:val="nil"/>
              <w:left w:val="nil"/>
              <w:bottom w:val="single" w:sz="4" w:space="0" w:color="auto"/>
              <w:right w:val="single" w:sz="4" w:space="0" w:color="auto"/>
            </w:tcBorders>
            <w:shd w:val="clear" w:color="auto" w:fill="auto"/>
            <w:noWrap/>
            <w:vAlign w:val="bottom"/>
            <w:hideMark/>
          </w:tcPr>
          <w:p w14:paraId="29B84205" w14:textId="77777777" w:rsidR="00825AE4" w:rsidRPr="002F5313" w:rsidRDefault="00455CD6" w:rsidP="001E126B">
            <w:pPr>
              <w:keepNext/>
              <w:jc w:val="right"/>
              <w:rPr>
                <w:rFonts w:ascii="Calibri" w:hAnsi="Calibri" w:cs="Calibri"/>
                <w:color w:val="000000"/>
                <w:sz w:val="20"/>
                <w:szCs w:val="22"/>
              </w:rPr>
            </w:pPr>
            <w:r w:rsidRPr="002F5313">
              <w:rPr>
                <w:rFonts w:ascii="Calibri" w:hAnsi="Calibri" w:cs="Calibri"/>
                <w:color w:val="000000"/>
                <w:sz w:val="20"/>
                <w:szCs w:val="22"/>
              </w:rPr>
              <w:t>1 029,5</w:t>
            </w:r>
          </w:p>
        </w:tc>
        <w:tc>
          <w:tcPr>
            <w:tcW w:w="1106" w:type="dxa"/>
            <w:tcBorders>
              <w:top w:val="nil"/>
              <w:left w:val="nil"/>
              <w:bottom w:val="single" w:sz="4" w:space="0" w:color="auto"/>
              <w:right w:val="single" w:sz="4" w:space="0" w:color="auto"/>
            </w:tcBorders>
            <w:shd w:val="clear" w:color="auto" w:fill="auto"/>
            <w:noWrap/>
            <w:vAlign w:val="bottom"/>
            <w:hideMark/>
          </w:tcPr>
          <w:p w14:paraId="1CC98486" w14:textId="77777777" w:rsidR="00825AE4" w:rsidRPr="002F5313" w:rsidRDefault="00455CD6" w:rsidP="001E126B">
            <w:pPr>
              <w:keepNext/>
              <w:jc w:val="right"/>
              <w:rPr>
                <w:rFonts w:ascii="Calibri" w:hAnsi="Calibri" w:cs="Calibri"/>
                <w:color w:val="000000"/>
                <w:sz w:val="20"/>
                <w:szCs w:val="22"/>
              </w:rPr>
            </w:pPr>
            <w:r w:rsidRPr="002F5313">
              <w:rPr>
                <w:rFonts w:ascii="Calibri" w:hAnsi="Calibri" w:cs="Calibri"/>
                <w:color w:val="000000"/>
                <w:sz w:val="20"/>
                <w:szCs w:val="22"/>
              </w:rPr>
              <w:t>1 023,6</w:t>
            </w:r>
          </w:p>
        </w:tc>
        <w:tc>
          <w:tcPr>
            <w:tcW w:w="1020" w:type="dxa"/>
            <w:tcBorders>
              <w:top w:val="nil"/>
              <w:left w:val="nil"/>
              <w:bottom w:val="single" w:sz="4" w:space="0" w:color="auto"/>
              <w:right w:val="single" w:sz="4" w:space="0" w:color="auto"/>
            </w:tcBorders>
            <w:shd w:val="clear" w:color="auto" w:fill="auto"/>
            <w:noWrap/>
            <w:vAlign w:val="bottom"/>
            <w:hideMark/>
          </w:tcPr>
          <w:p w14:paraId="79EDBFD3" w14:textId="77777777" w:rsidR="00825AE4" w:rsidRPr="002F5313" w:rsidRDefault="00455CD6" w:rsidP="001E126B">
            <w:pPr>
              <w:keepNext/>
              <w:jc w:val="right"/>
              <w:rPr>
                <w:rFonts w:ascii="Calibri" w:hAnsi="Calibri" w:cs="Calibri"/>
                <w:color w:val="000000"/>
                <w:sz w:val="20"/>
                <w:szCs w:val="22"/>
              </w:rPr>
            </w:pPr>
            <w:r w:rsidRPr="002F5313">
              <w:rPr>
                <w:rFonts w:ascii="Calibri" w:hAnsi="Calibri" w:cs="Calibri"/>
                <w:color w:val="000000"/>
                <w:sz w:val="20"/>
                <w:szCs w:val="22"/>
              </w:rPr>
              <w:t>99,4</w:t>
            </w:r>
          </w:p>
        </w:tc>
      </w:tr>
      <w:tr w:rsidR="009960E7" w14:paraId="4E3D321F" w14:textId="77777777" w:rsidTr="00756C02">
        <w:trPr>
          <w:trHeight w:val="300"/>
        </w:trPr>
        <w:tc>
          <w:tcPr>
            <w:tcW w:w="1985" w:type="dxa"/>
            <w:tcBorders>
              <w:top w:val="nil"/>
              <w:left w:val="single" w:sz="4" w:space="0" w:color="auto"/>
              <w:bottom w:val="single" w:sz="4" w:space="0" w:color="auto"/>
              <w:right w:val="single" w:sz="4" w:space="0" w:color="auto"/>
            </w:tcBorders>
            <w:shd w:val="clear" w:color="000000" w:fill="F2C6C9"/>
            <w:noWrap/>
            <w:vAlign w:val="bottom"/>
            <w:hideMark/>
          </w:tcPr>
          <w:p w14:paraId="5AB914FF" w14:textId="77777777" w:rsidR="00825AE4" w:rsidRPr="002F5313" w:rsidRDefault="00455CD6" w:rsidP="001E126B">
            <w:pPr>
              <w:keepNext/>
              <w:jc w:val="left"/>
              <w:rPr>
                <w:rFonts w:ascii="Calibri" w:hAnsi="Calibri" w:cs="Calibri"/>
                <w:b/>
                <w:sz w:val="20"/>
                <w:szCs w:val="22"/>
              </w:rPr>
            </w:pPr>
            <w:r w:rsidRPr="002F5313">
              <w:rPr>
                <w:rFonts w:ascii="Calibri" w:hAnsi="Calibri" w:cs="Calibri"/>
                <w:b/>
                <w:sz w:val="20"/>
                <w:szCs w:val="22"/>
              </w:rPr>
              <w:t>Celkem</w:t>
            </w:r>
          </w:p>
        </w:tc>
        <w:tc>
          <w:tcPr>
            <w:tcW w:w="992" w:type="dxa"/>
            <w:tcBorders>
              <w:top w:val="nil"/>
              <w:left w:val="nil"/>
              <w:bottom w:val="single" w:sz="4" w:space="0" w:color="auto"/>
              <w:right w:val="single" w:sz="4" w:space="0" w:color="auto"/>
            </w:tcBorders>
            <w:shd w:val="clear" w:color="000000" w:fill="F2C6C9"/>
            <w:noWrap/>
            <w:vAlign w:val="bottom"/>
            <w:hideMark/>
          </w:tcPr>
          <w:p w14:paraId="09676231" w14:textId="77777777" w:rsidR="00825AE4" w:rsidRPr="002F5313" w:rsidRDefault="00455CD6" w:rsidP="001E126B">
            <w:pPr>
              <w:keepNext/>
              <w:jc w:val="right"/>
              <w:rPr>
                <w:rFonts w:ascii="Calibri" w:hAnsi="Calibri" w:cs="Calibri"/>
                <w:b/>
                <w:sz w:val="20"/>
                <w:szCs w:val="22"/>
              </w:rPr>
            </w:pPr>
            <w:r w:rsidRPr="002F5313">
              <w:rPr>
                <w:rFonts w:ascii="Calibri" w:hAnsi="Calibri" w:cs="Calibri"/>
                <w:b/>
                <w:sz w:val="20"/>
                <w:szCs w:val="22"/>
              </w:rPr>
              <w:t>208,8</w:t>
            </w:r>
          </w:p>
        </w:tc>
        <w:tc>
          <w:tcPr>
            <w:tcW w:w="992" w:type="dxa"/>
            <w:tcBorders>
              <w:top w:val="nil"/>
              <w:left w:val="nil"/>
              <w:bottom w:val="single" w:sz="4" w:space="0" w:color="auto"/>
              <w:right w:val="single" w:sz="4" w:space="0" w:color="auto"/>
            </w:tcBorders>
            <w:shd w:val="clear" w:color="000000" w:fill="F2C6C9"/>
            <w:noWrap/>
            <w:vAlign w:val="bottom"/>
            <w:hideMark/>
          </w:tcPr>
          <w:p w14:paraId="5E2EA653" w14:textId="77777777" w:rsidR="00825AE4" w:rsidRPr="002F5313" w:rsidRDefault="00455CD6" w:rsidP="001E126B">
            <w:pPr>
              <w:keepNext/>
              <w:jc w:val="right"/>
              <w:rPr>
                <w:rFonts w:ascii="Calibri" w:hAnsi="Calibri" w:cs="Calibri"/>
                <w:b/>
                <w:sz w:val="20"/>
                <w:szCs w:val="22"/>
              </w:rPr>
            </w:pPr>
            <w:r w:rsidRPr="002F5313">
              <w:rPr>
                <w:rFonts w:ascii="Calibri" w:hAnsi="Calibri" w:cs="Calibri"/>
                <w:b/>
                <w:sz w:val="20"/>
                <w:szCs w:val="22"/>
              </w:rPr>
              <w:t>279,6</w:t>
            </w:r>
          </w:p>
        </w:tc>
        <w:tc>
          <w:tcPr>
            <w:tcW w:w="883" w:type="dxa"/>
            <w:tcBorders>
              <w:top w:val="nil"/>
              <w:left w:val="nil"/>
              <w:bottom w:val="single" w:sz="4" w:space="0" w:color="auto"/>
              <w:right w:val="single" w:sz="4" w:space="0" w:color="auto"/>
            </w:tcBorders>
            <w:shd w:val="clear" w:color="000000" w:fill="F2C6C9"/>
            <w:noWrap/>
            <w:vAlign w:val="bottom"/>
            <w:hideMark/>
          </w:tcPr>
          <w:p w14:paraId="3EAFA4A8" w14:textId="77777777" w:rsidR="00825AE4" w:rsidRPr="002F5313" w:rsidRDefault="00455CD6" w:rsidP="001E126B">
            <w:pPr>
              <w:keepNext/>
              <w:jc w:val="right"/>
              <w:rPr>
                <w:rFonts w:ascii="Calibri" w:hAnsi="Calibri" w:cs="Calibri"/>
                <w:b/>
                <w:sz w:val="20"/>
                <w:szCs w:val="22"/>
              </w:rPr>
            </w:pPr>
            <w:r w:rsidRPr="002F5313">
              <w:rPr>
                <w:rFonts w:ascii="Calibri" w:hAnsi="Calibri" w:cs="Calibri"/>
                <w:b/>
                <w:sz w:val="20"/>
                <w:szCs w:val="22"/>
              </w:rPr>
              <w:t>867,8</w:t>
            </w:r>
          </w:p>
        </w:tc>
        <w:tc>
          <w:tcPr>
            <w:tcW w:w="960" w:type="dxa"/>
            <w:tcBorders>
              <w:top w:val="nil"/>
              <w:left w:val="nil"/>
              <w:bottom w:val="single" w:sz="4" w:space="0" w:color="auto"/>
              <w:right w:val="single" w:sz="4" w:space="0" w:color="auto"/>
            </w:tcBorders>
            <w:shd w:val="clear" w:color="000000" w:fill="F2C6C9"/>
            <w:noWrap/>
            <w:vAlign w:val="bottom"/>
            <w:hideMark/>
          </w:tcPr>
          <w:p w14:paraId="734C8716" w14:textId="77777777" w:rsidR="00825AE4" w:rsidRPr="002F5313" w:rsidRDefault="00455CD6" w:rsidP="001E126B">
            <w:pPr>
              <w:keepNext/>
              <w:jc w:val="right"/>
              <w:rPr>
                <w:rFonts w:ascii="Calibri" w:hAnsi="Calibri" w:cs="Calibri"/>
                <w:b/>
                <w:sz w:val="20"/>
                <w:szCs w:val="22"/>
              </w:rPr>
            </w:pPr>
            <w:r w:rsidRPr="002F5313">
              <w:rPr>
                <w:rFonts w:ascii="Calibri" w:hAnsi="Calibri" w:cs="Calibri"/>
                <w:b/>
                <w:sz w:val="20"/>
                <w:szCs w:val="22"/>
              </w:rPr>
              <w:t>1 707,1</w:t>
            </w:r>
          </w:p>
        </w:tc>
        <w:tc>
          <w:tcPr>
            <w:tcW w:w="1134" w:type="dxa"/>
            <w:tcBorders>
              <w:top w:val="nil"/>
              <w:left w:val="nil"/>
              <w:bottom w:val="single" w:sz="4" w:space="0" w:color="auto"/>
              <w:right w:val="single" w:sz="4" w:space="0" w:color="auto"/>
            </w:tcBorders>
            <w:shd w:val="clear" w:color="000000" w:fill="F2C6C9"/>
            <w:noWrap/>
            <w:vAlign w:val="bottom"/>
            <w:hideMark/>
          </w:tcPr>
          <w:p w14:paraId="59E750D3" w14:textId="77777777" w:rsidR="00825AE4" w:rsidRPr="002F5313" w:rsidRDefault="00455CD6" w:rsidP="001E126B">
            <w:pPr>
              <w:keepNext/>
              <w:jc w:val="right"/>
              <w:rPr>
                <w:rFonts w:ascii="Calibri" w:hAnsi="Calibri" w:cs="Calibri"/>
                <w:b/>
                <w:sz w:val="20"/>
                <w:szCs w:val="22"/>
              </w:rPr>
            </w:pPr>
            <w:r w:rsidRPr="002F5313">
              <w:rPr>
                <w:rFonts w:ascii="Calibri" w:hAnsi="Calibri" w:cs="Calibri"/>
                <w:b/>
                <w:sz w:val="20"/>
                <w:szCs w:val="22"/>
              </w:rPr>
              <w:t>5 588,9</w:t>
            </w:r>
          </w:p>
        </w:tc>
        <w:tc>
          <w:tcPr>
            <w:tcW w:w="1106" w:type="dxa"/>
            <w:tcBorders>
              <w:top w:val="nil"/>
              <w:left w:val="nil"/>
              <w:bottom w:val="single" w:sz="4" w:space="0" w:color="auto"/>
              <w:right w:val="single" w:sz="4" w:space="0" w:color="auto"/>
            </w:tcBorders>
            <w:shd w:val="clear" w:color="000000" w:fill="F2C6C9"/>
            <w:noWrap/>
            <w:vAlign w:val="bottom"/>
            <w:hideMark/>
          </w:tcPr>
          <w:p w14:paraId="1A1495FB" w14:textId="77777777" w:rsidR="00825AE4" w:rsidRPr="002F5313" w:rsidRDefault="00455CD6" w:rsidP="001E126B">
            <w:pPr>
              <w:keepNext/>
              <w:jc w:val="right"/>
              <w:rPr>
                <w:rFonts w:ascii="Calibri" w:hAnsi="Calibri" w:cs="Calibri"/>
                <w:b/>
                <w:sz w:val="20"/>
                <w:szCs w:val="22"/>
              </w:rPr>
            </w:pPr>
            <w:r w:rsidRPr="002F5313">
              <w:rPr>
                <w:rFonts w:ascii="Calibri" w:hAnsi="Calibri" w:cs="Calibri"/>
                <w:b/>
                <w:sz w:val="20"/>
                <w:szCs w:val="22"/>
              </w:rPr>
              <w:t>10 781,6</w:t>
            </w:r>
          </w:p>
        </w:tc>
        <w:tc>
          <w:tcPr>
            <w:tcW w:w="1020" w:type="dxa"/>
            <w:tcBorders>
              <w:top w:val="nil"/>
              <w:left w:val="nil"/>
              <w:bottom w:val="single" w:sz="4" w:space="0" w:color="auto"/>
              <w:right w:val="single" w:sz="4" w:space="0" w:color="auto"/>
            </w:tcBorders>
            <w:shd w:val="clear" w:color="000000" w:fill="F2C6C9"/>
            <w:noWrap/>
            <w:vAlign w:val="bottom"/>
            <w:hideMark/>
          </w:tcPr>
          <w:p w14:paraId="22CA842B" w14:textId="77777777" w:rsidR="00825AE4" w:rsidRPr="002F5313" w:rsidRDefault="00455CD6" w:rsidP="001E126B">
            <w:pPr>
              <w:keepNext/>
              <w:jc w:val="right"/>
              <w:rPr>
                <w:rFonts w:ascii="Calibri" w:hAnsi="Calibri" w:cs="Calibri"/>
                <w:b/>
                <w:sz w:val="20"/>
                <w:szCs w:val="22"/>
              </w:rPr>
            </w:pPr>
            <w:r w:rsidRPr="002F5313">
              <w:rPr>
                <w:rFonts w:ascii="Calibri" w:hAnsi="Calibri" w:cs="Calibri"/>
                <w:b/>
                <w:bCs/>
                <w:sz w:val="20"/>
                <w:szCs w:val="22"/>
              </w:rPr>
              <w:t>192,9 </w:t>
            </w:r>
          </w:p>
        </w:tc>
      </w:tr>
    </w:tbl>
    <w:p w14:paraId="2034228D" w14:textId="69E4D2C1" w:rsidR="009679BC" w:rsidRDefault="009679BC" w:rsidP="001E126B">
      <w:pPr>
        <w:spacing w:after="120"/>
        <w:rPr>
          <w:szCs w:val="24"/>
        </w:rPr>
      </w:pPr>
      <w:r w:rsidRPr="00EC06C9">
        <w:rPr>
          <w:rFonts w:ascii="Calibri" w:hAnsi="Calibri" w:cs="Calibri"/>
          <w:b/>
          <w:iCs/>
          <w:color w:val="000000"/>
          <w:sz w:val="20"/>
        </w:rPr>
        <w:t xml:space="preserve">Zdroj: </w:t>
      </w:r>
      <w:r w:rsidRPr="00756C02">
        <w:rPr>
          <w:rFonts w:ascii="Calibri" w:hAnsi="Calibri" w:cs="Calibri"/>
          <w:i/>
          <w:iCs/>
          <w:color w:val="000000"/>
          <w:sz w:val="20"/>
        </w:rPr>
        <w:t>Informace o vyplacených dávkách v rezortu MPSV ČR v červenci 2023</w:t>
      </w:r>
      <w:r w:rsidR="00DB6428">
        <w:rPr>
          <w:rFonts w:ascii="Calibri" w:hAnsi="Calibri" w:cs="Calibri"/>
          <w:iCs/>
          <w:color w:val="000000"/>
          <w:sz w:val="20"/>
        </w:rPr>
        <w:t xml:space="preserve"> (MPSV 2023)</w:t>
      </w:r>
      <w:r>
        <w:rPr>
          <w:rFonts w:ascii="Calibri" w:hAnsi="Calibri" w:cs="Calibri"/>
          <w:iCs/>
          <w:color w:val="000000"/>
          <w:sz w:val="20"/>
        </w:rPr>
        <w:t>.</w:t>
      </w:r>
    </w:p>
    <w:p w14:paraId="338365F6" w14:textId="77777777" w:rsidR="009679BC" w:rsidRPr="008A6293" w:rsidRDefault="009679BC" w:rsidP="00756C02">
      <w:pPr>
        <w:pStyle w:val="Odstavecseseznamem"/>
        <w:numPr>
          <w:ilvl w:val="0"/>
          <w:numId w:val="21"/>
        </w:numPr>
        <w:spacing w:before="240"/>
        <w:ind w:left="426" w:hanging="426"/>
        <w:rPr>
          <w:b/>
        </w:rPr>
      </w:pPr>
      <w:r w:rsidRPr="008A6293">
        <w:rPr>
          <w:b/>
        </w:rPr>
        <w:t>Mezinárodní srovnání</w:t>
      </w:r>
      <w:r w:rsidRPr="008A6293">
        <w:rPr>
          <w:rStyle w:val="Znakapoznpodarou"/>
          <w:b/>
        </w:rPr>
        <w:footnoteReference w:id="31"/>
      </w:r>
    </w:p>
    <w:p w14:paraId="5BCB530E" w14:textId="282FAB45" w:rsidR="00516F4A" w:rsidRPr="008A6293" w:rsidRDefault="00090193" w:rsidP="001E126B">
      <w:pPr>
        <w:spacing w:after="120"/>
      </w:pPr>
      <w:r w:rsidRPr="008A6293">
        <w:rPr>
          <w:szCs w:val="24"/>
        </w:rPr>
        <w:t>V</w:t>
      </w:r>
      <w:r w:rsidR="00E9656F" w:rsidRPr="008A6293">
        <w:rPr>
          <w:szCs w:val="24"/>
        </w:rPr>
        <w:t xml:space="preserve"> zemích EU </w:t>
      </w:r>
      <w:r w:rsidR="004E098C" w:rsidRPr="008A6293">
        <w:rPr>
          <w:szCs w:val="24"/>
        </w:rPr>
        <w:t>vzrostly v letech 2015</w:t>
      </w:r>
      <w:r w:rsidR="00DB6428" w:rsidRPr="00DB6428">
        <w:rPr>
          <w:szCs w:val="24"/>
        </w:rPr>
        <w:t>–</w:t>
      </w:r>
      <w:r w:rsidR="004E098C" w:rsidRPr="008A6293">
        <w:rPr>
          <w:szCs w:val="24"/>
        </w:rPr>
        <w:t>2022 ceny rezidenčních nemovitostí</w:t>
      </w:r>
      <w:r w:rsidR="002D35DC">
        <w:rPr>
          <w:szCs w:val="24"/>
        </w:rPr>
        <w:t xml:space="preserve"> cca</w:t>
      </w:r>
      <w:r w:rsidR="004E098C" w:rsidRPr="008A6293">
        <w:rPr>
          <w:szCs w:val="24"/>
        </w:rPr>
        <w:t xml:space="preserve"> </w:t>
      </w:r>
      <w:r w:rsidR="002D35DC">
        <w:rPr>
          <w:szCs w:val="24"/>
        </w:rPr>
        <w:t xml:space="preserve">o </w:t>
      </w:r>
      <w:r w:rsidR="004E098C" w:rsidRPr="008A6293">
        <w:rPr>
          <w:szCs w:val="24"/>
        </w:rPr>
        <w:t>48</w:t>
      </w:r>
      <w:r w:rsidR="002D35DC">
        <w:rPr>
          <w:szCs w:val="24"/>
        </w:rPr>
        <w:t xml:space="preserve"> </w:t>
      </w:r>
      <w:r w:rsidR="004E098C" w:rsidRPr="008A6293">
        <w:rPr>
          <w:szCs w:val="24"/>
        </w:rPr>
        <w:t xml:space="preserve">% a ceny nájemného </w:t>
      </w:r>
      <w:r w:rsidR="002D35DC">
        <w:rPr>
          <w:szCs w:val="24"/>
        </w:rPr>
        <w:t xml:space="preserve">cca </w:t>
      </w:r>
      <w:r w:rsidR="004E098C" w:rsidRPr="008A6293">
        <w:rPr>
          <w:szCs w:val="24"/>
        </w:rPr>
        <w:t>o 2</w:t>
      </w:r>
      <w:r w:rsidR="002D35DC">
        <w:rPr>
          <w:szCs w:val="24"/>
        </w:rPr>
        <w:t>4</w:t>
      </w:r>
      <w:r w:rsidR="004E098C" w:rsidRPr="008A6293">
        <w:rPr>
          <w:szCs w:val="24"/>
        </w:rPr>
        <w:t xml:space="preserve"> %. Ve stejném období v </w:t>
      </w:r>
      <w:r w:rsidRPr="008A6293">
        <w:rPr>
          <w:szCs w:val="24"/>
        </w:rPr>
        <w:t>ČR</w:t>
      </w:r>
      <w:r w:rsidR="00041D3A" w:rsidRPr="008A6293">
        <w:rPr>
          <w:szCs w:val="24"/>
        </w:rPr>
        <w:t xml:space="preserve"> </w:t>
      </w:r>
      <w:r w:rsidRPr="008A6293">
        <w:t xml:space="preserve">vzrostly ceny </w:t>
      </w:r>
      <w:r w:rsidR="004E098C" w:rsidRPr="008A6293">
        <w:t xml:space="preserve">rezidenčních nemovitostí </w:t>
      </w:r>
      <w:r w:rsidR="00F83D72">
        <w:br/>
      </w:r>
      <w:r w:rsidR="002D35DC">
        <w:t xml:space="preserve">cca </w:t>
      </w:r>
      <w:r w:rsidR="004E098C" w:rsidRPr="008A6293">
        <w:t>o</w:t>
      </w:r>
      <w:r w:rsidR="00F83D72">
        <w:t xml:space="preserve"> </w:t>
      </w:r>
      <w:r w:rsidR="00BA0814" w:rsidRPr="008A6293">
        <w:t>11</w:t>
      </w:r>
      <w:r w:rsidR="002D35DC">
        <w:t>5</w:t>
      </w:r>
      <w:r w:rsidR="00BA0814" w:rsidRPr="008A6293">
        <w:t xml:space="preserve"> %</w:t>
      </w:r>
      <w:r w:rsidR="004E098C" w:rsidRPr="008A6293">
        <w:t xml:space="preserve"> </w:t>
      </w:r>
      <w:r w:rsidR="00E9656F" w:rsidRPr="008A6293">
        <w:t xml:space="preserve">a ceny nájemného </w:t>
      </w:r>
      <w:r w:rsidR="002D35DC">
        <w:t xml:space="preserve">cca </w:t>
      </w:r>
      <w:r w:rsidR="00E9656F" w:rsidRPr="008A6293">
        <w:t>o 2</w:t>
      </w:r>
      <w:r w:rsidR="002D35DC">
        <w:t>6</w:t>
      </w:r>
      <w:r w:rsidR="004E098C" w:rsidRPr="008A6293">
        <w:t xml:space="preserve"> </w:t>
      </w:r>
      <w:r w:rsidR="00E9656F" w:rsidRPr="008A6293">
        <w:t>%</w:t>
      </w:r>
      <w:r w:rsidR="00E9656F" w:rsidRPr="008A6293">
        <w:rPr>
          <w:rStyle w:val="Znakapoznpodarou"/>
        </w:rPr>
        <w:footnoteReference w:id="32"/>
      </w:r>
      <w:r w:rsidR="00041D3A" w:rsidRPr="008A6293">
        <w:t xml:space="preserve">. </w:t>
      </w:r>
      <w:r w:rsidR="004E098C" w:rsidRPr="008A6293">
        <w:t>Celkové n</w:t>
      </w:r>
      <w:r w:rsidR="00041D3A" w:rsidRPr="008A6293">
        <w:t xml:space="preserve">áklady na bydlení (zahrnující </w:t>
      </w:r>
      <w:r w:rsidR="00DB6428">
        <w:t>kromě</w:t>
      </w:r>
      <w:r w:rsidR="00041D3A" w:rsidRPr="008A6293">
        <w:t xml:space="preserve"> nájemn</w:t>
      </w:r>
      <w:r w:rsidR="004E098C" w:rsidRPr="008A6293">
        <w:t>é</w:t>
      </w:r>
      <w:r w:rsidR="00041D3A" w:rsidRPr="008A6293">
        <w:t>ho i náklady na vodu, elektřinu a otop) vzrostly</w:t>
      </w:r>
      <w:r w:rsidR="004E098C" w:rsidRPr="008A6293">
        <w:t xml:space="preserve"> v ČR </w:t>
      </w:r>
      <w:r w:rsidR="002D35DC">
        <w:t xml:space="preserve">téměř </w:t>
      </w:r>
      <w:r w:rsidR="00041D3A" w:rsidRPr="008A6293">
        <w:t xml:space="preserve">o </w:t>
      </w:r>
      <w:r w:rsidR="002D35DC">
        <w:t xml:space="preserve">40 </w:t>
      </w:r>
      <w:r w:rsidR="00041D3A" w:rsidRPr="008A6293">
        <w:t>%</w:t>
      </w:r>
      <w:r w:rsidR="00041D3A" w:rsidRPr="008A6293">
        <w:rPr>
          <w:rStyle w:val="Znakapoznpodarou"/>
        </w:rPr>
        <w:footnoteReference w:id="33"/>
      </w:r>
      <w:r w:rsidR="00041D3A" w:rsidRPr="008A6293">
        <w:t xml:space="preserve">. </w:t>
      </w:r>
    </w:p>
    <w:p w14:paraId="223E302E" w14:textId="7135FB52" w:rsidR="005E02AA" w:rsidRPr="008A6293" w:rsidRDefault="00E9656F" w:rsidP="001E126B">
      <w:pPr>
        <w:spacing w:after="120"/>
        <w:rPr>
          <w:szCs w:val="24"/>
        </w:rPr>
      </w:pPr>
      <w:r w:rsidRPr="008A6293">
        <w:t xml:space="preserve">Podle studie </w:t>
      </w:r>
      <w:proofErr w:type="spellStart"/>
      <w:r w:rsidRPr="00756C02">
        <w:rPr>
          <w:i/>
          <w:szCs w:val="24"/>
        </w:rPr>
        <w:t>The</w:t>
      </w:r>
      <w:proofErr w:type="spellEnd"/>
      <w:r w:rsidRPr="00756C02">
        <w:rPr>
          <w:i/>
          <w:szCs w:val="24"/>
        </w:rPr>
        <w:t xml:space="preserve"> </w:t>
      </w:r>
      <w:proofErr w:type="spellStart"/>
      <w:r w:rsidRPr="00756C02">
        <w:rPr>
          <w:i/>
          <w:szCs w:val="24"/>
        </w:rPr>
        <w:t>state</w:t>
      </w:r>
      <w:proofErr w:type="spellEnd"/>
      <w:r w:rsidRPr="00756C02">
        <w:rPr>
          <w:i/>
          <w:szCs w:val="24"/>
        </w:rPr>
        <w:t xml:space="preserve"> </w:t>
      </w:r>
      <w:proofErr w:type="spellStart"/>
      <w:r w:rsidRPr="00756C02">
        <w:rPr>
          <w:i/>
          <w:szCs w:val="24"/>
        </w:rPr>
        <w:t>of</w:t>
      </w:r>
      <w:proofErr w:type="spellEnd"/>
      <w:r w:rsidRPr="00756C02">
        <w:rPr>
          <w:i/>
          <w:szCs w:val="24"/>
        </w:rPr>
        <w:t xml:space="preserve"> </w:t>
      </w:r>
      <w:proofErr w:type="spellStart"/>
      <w:r w:rsidRPr="00756C02">
        <w:rPr>
          <w:i/>
          <w:szCs w:val="24"/>
        </w:rPr>
        <w:t>housing</w:t>
      </w:r>
      <w:proofErr w:type="spellEnd"/>
      <w:r w:rsidRPr="00756C02">
        <w:rPr>
          <w:i/>
          <w:szCs w:val="24"/>
        </w:rPr>
        <w:t xml:space="preserve"> in </w:t>
      </w:r>
      <w:proofErr w:type="spellStart"/>
      <w:r w:rsidRPr="00756C02">
        <w:rPr>
          <w:i/>
          <w:szCs w:val="24"/>
        </w:rPr>
        <w:t>Europe</w:t>
      </w:r>
      <w:proofErr w:type="spellEnd"/>
      <w:r w:rsidRPr="00756C02">
        <w:rPr>
          <w:i/>
          <w:szCs w:val="24"/>
        </w:rPr>
        <w:t xml:space="preserve"> 2023</w:t>
      </w:r>
      <w:r w:rsidRPr="008A6293">
        <w:rPr>
          <w:rStyle w:val="Znakapoznpodarou"/>
          <w:szCs w:val="24"/>
        </w:rPr>
        <w:footnoteReference w:id="34"/>
      </w:r>
      <w:r w:rsidRPr="008A6293">
        <w:t xml:space="preserve"> </w:t>
      </w:r>
      <w:r w:rsidR="008A6293" w:rsidRPr="008A6293">
        <w:rPr>
          <w:szCs w:val="24"/>
        </w:rPr>
        <w:t>r</w:t>
      </w:r>
      <w:r w:rsidR="002D7EA8" w:rsidRPr="008A6293">
        <w:rPr>
          <w:szCs w:val="24"/>
        </w:rPr>
        <w:t>ů</w:t>
      </w:r>
      <w:r w:rsidR="00455CD6" w:rsidRPr="008A6293">
        <w:rPr>
          <w:szCs w:val="24"/>
        </w:rPr>
        <w:t xml:space="preserve">st cen stavebních </w:t>
      </w:r>
      <w:r w:rsidR="006C25AC" w:rsidRPr="008A6293">
        <w:rPr>
          <w:szCs w:val="24"/>
        </w:rPr>
        <w:t xml:space="preserve">materiálů </w:t>
      </w:r>
      <w:r w:rsidR="00455CD6" w:rsidRPr="008A6293">
        <w:rPr>
          <w:szCs w:val="24"/>
        </w:rPr>
        <w:t>a prací doprovázený zvýšenými finančními náklady</w:t>
      </w:r>
      <w:r w:rsidR="00455CD6" w:rsidRPr="008A6293">
        <w:rPr>
          <w:rStyle w:val="Znakapoznpodarou"/>
          <w:szCs w:val="24"/>
        </w:rPr>
        <w:footnoteReference w:id="35"/>
      </w:r>
      <w:r w:rsidR="006C25AC" w:rsidRPr="008A6293">
        <w:rPr>
          <w:szCs w:val="24"/>
        </w:rPr>
        <w:t xml:space="preserve"> </w:t>
      </w:r>
      <w:r w:rsidR="00455CD6" w:rsidRPr="008A6293">
        <w:rPr>
          <w:szCs w:val="24"/>
        </w:rPr>
        <w:t>znamenal snížení nabídky dostupného a</w:t>
      </w:r>
      <w:r w:rsidR="00DB6428">
        <w:rPr>
          <w:szCs w:val="24"/>
        </w:rPr>
        <w:t> </w:t>
      </w:r>
      <w:r w:rsidR="00455CD6" w:rsidRPr="008A6293">
        <w:rPr>
          <w:szCs w:val="24"/>
        </w:rPr>
        <w:t>sociálního bydlení. Ve stejn</w:t>
      </w:r>
      <w:r w:rsidR="00DB6428">
        <w:rPr>
          <w:szCs w:val="24"/>
        </w:rPr>
        <w:t>é</w:t>
      </w:r>
      <w:r w:rsidR="00455CD6" w:rsidRPr="008A6293">
        <w:rPr>
          <w:szCs w:val="24"/>
        </w:rPr>
        <w:t xml:space="preserve"> dob</w:t>
      </w:r>
      <w:r w:rsidR="00DB6428">
        <w:rPr>
          <w:szCs w:val="24"/>
        </w:rPr>
        <w:t>ě</w:t>
      </w:r>
      <w:r w:rsidR="00455CD6" w:rsidRPr="008A6293">
        <w:rPr>
          <w:szCs w:val="24"/>
        </w:rPr>
        <w:t xml:space="preserve"> obyvatelé EU </w:t>
      </w:r>
      <w:r w:rsidR="00DB6428">
        <w:rPr>
          <w:szCs w:val="24"/>
        </w:rPr>
        <w:t xml:space="preserve">čelili nárůstu </w:t>
      </w:r>
      <w:r w:rsidR="00455CD6" w:rsidRPr="008A6293">
        <w:rPr>
          <w:szCs w:val="24"/>
        </w:rPr>
        <w:t>životní</w:t>
      </w:r>
      <w:r w:rsidR="00DB6428">
        <w:rPr>
          <w:szCs w:val="24"/>
        </w:rPr>
        <w:t>ch</w:t>
      </w:r>
      <w:r w:rsidR="00455CD6" w:rsidRPr="008A6293">
        <w:rPr>
          <w:szCs w:val="24"/>
        </w:rPr>
        <w:t xml:space="preserve"> náklad</w:t>
      </w:r>
      <w:r w:rsidR="00DB6428">
        <w:rPr>
          <w:szCs w:val="24"/>
        </w:rPr>
        <w:t>ů</w:t>
      </w:r>
      <w:r w:rsidR="00455CD6" w:rsidRPr="008A6293">
        <w:rPr>
          <w:szCs w:val="24"/>
        </w:rPr>
        <w:t xml:space="preserve"> </w:t>
      </w:r>
      <w:r w:rsidR="00DB6428">
        <w:rPr>
          <w:szCs w:val="24"/>
        </w:rPr>
        <w:t xml:space="preserve">v důsledku </w:t>
      </w:r>
      <w:r w:rsidR="00DB6428">
        <w:rPr>
          <w:szCs w:val="24"/>
        </w:rPr>
        <w:lastRenderedPageBreak/>
        <w:t xml:space="preserve">zvyšující se </w:t>
      </w:r>
      <w:r w:rsidR="00455CD6" w:rsidRPr="008A6293">
        <w:rPr>
          <w:szCs w:val="24"/>
        </w:rPr>
        <w:t>inflac</w:t>
      </w:r>
      <w:r w:rsidR="00DB6428">
        <w:rPr>
          <w:szCs w:val="24"/>
        </w:rPr>
        <w:t>e</w:t>
      </w:r>
      <w:r w:rsidR="00455CD6" w:rsidRPr="008A6293">
        <w:rPr>
          <w:szCs w:val="24"/>
        </w:rPr>
        <w:t>, což nejvíce postih</w:t>
      </w:r>
      <w:r w:rsidR="00711E10" w:rsidRPr="008A6293">
        <w:rPr>
          <w:szCs w:val="24"/>
        </w:rPr>
        <w:t>ovalo</w:t>
      </w:r>
      <w:r w:rsidR="00455CD6" w:rsidRPr="008A6293">
        <w:rPr>
          <w:szCs w:val="24"/>
        </w:rPr>
        <w:t xml:space="preserve"> lidi bydlící v sociálních bytech. Současně počet žadatelů o sociální byty napříč Evropou roste. </w:t>
      </w:r>
    </w:p>
    <w:p w14:paraId="46CB245C" w14:textId="77777777" w:rsidR="00331A90" w:rsidRPr="008A6293" w:rsidRDefault="00455CD6" w:rsidP="001E126B">
      <w:pPr>
        <w:spacing w:after="120"/>
      </w:pPr>
      <w:r w:rsidRPr="008A6293">
        <w:t>Finanční dostupnost bydlení</w:t>
      </w:r>
      <w:r w:rsidR="00AF653A" w:rsidRPr="008A6293">
        <w:t xml:space="preserve"> </w:t>
      </w:r>
      <w:r w:rsidRPr="008A6293">
        <w:t>současně</w:t>
      </w:r>
      <w:r w:rsidR="00AF653A" w:rsidRPr="008A6293">
        <w:t xml:space="preserve"> negativně ovlivňuje</w:t>
      </w:r>
      <w:r w:rsidRPr="008A6293">
        <w:t xml:space="preserve"> i zvyšování úrokových sazeb</w:t>
      </w:r>
      <w:r w:rsidR="003D4996" w:rsidRPr="008A6293">
        <w:t xml:space="preserve"> investičních a hypotečních úvěrů</w:t>
      </w:r>
      <w:r w:rsidRPr="008A6293">
        <w:t xml:space="preserve"> a bez nových finančních nástrojů lze očekávat i snížení objemu výstavby. </w:t>
      </w:r>
    </w:p>
    <w:p w14:paraId="7A3EBA7B" w14:textId="77777777" w:rsidR="0082365F" w:rsidRDefault="00455CD6" w:rsidP="001E126B">
      <w:pPr>
        <w:spacing w:after="120"/>
        <w:rPr>
          <w:szCs w:val="24"/>
        </w:rPr>
      </w:pPr>
      <w:r w:rsidRPr="008A6293">
        <w:rPr>
          <w:szCs w:val="24"/>
        </w:rPr>
        <w:t xml:space="preserve">Poskytovatelé sociálního bydlení </w:t>
      </w:r>
      <w:r w:rsidR="00B8403F" w:rsidRPr="008A6293">
        <w:rPr>
          <w:szCs w:val="24"/>
        </w:rPr>
        <w:t>v některých státech EU</w:t>
      </w:r>
      <w:r w:rsidRPr="008A6293">
        <w:rPr>
          <w:rStyle w:val="Znakapoznpodarou"/>
          <w:szCs w:val="24"/>
        </w:rPr>
        <w:footnoteReference w:id="36"/>
      </w:r>
      <w:r w:rsidRPr="008A6293">
        <w:rPr>
          <w:szCs w:val="24"/>
        </w:rPr>
        <w:t xml:space="preserve"> musí respektovat </w:t>
      </w:r>
      <w:r w:rsidR="00BC4FA8" w:rsidRPr="008A6293">
        <w:rPr>
          <w:szCs w:val="24"/>
        </w:rPr>
        <w:t xml:space="preserve">maximální přípustné </w:t>
      </w:r>
      <w:r w:rsidRPr="008A6293">
        <w:rPr>
          <w:szCs w:val="24"/>
        </w:rPr>
        <w:t>ceny nové výstavby a</w:t>
      </w:r>
      <w:r w:rsidR="008F10D2" w:rsidRPr="008A6293">
        <w:rPr>
          <w:szCs w:val="24"/>
        </w:rPr>
        <w:t xml:space="preserve"> </w:t>
      </w:r>
      <w:r w:rsidRPr="008A6293">
        <w:rPr>
          <w:szCs w:val="24"/>
        </w:rPr>
        <w:t>renovací stanovené zákonem nebo dotačními programy</w:t>
      </w:r>
      <w:r w:rsidR="005E60E1" w:rsidRPr="008A6293">
        <w:rPr>
          <w:szCs w:val="24"/>
        </w:rPr>
        <w:t>.</w:t>
      </w:r>
      <w:r w:rsidR="005E60E1" w:rsidRPr="003D4996">
        <w:rPr>
          <w:szCs w:val="24"/>
        </w:rPr>
        <w:t xml:space="preserve"> </w:t>
      </w:r>
    </w:p>
    <w:p w14:paraId="5384F173" w14:textId="19355B01" w:rsidR="00981AB9" w:rsidRPr="00756C02" w:rsidRDefault="00981AB9" w:rsidP="00756C02">
      <w:pPr>
        <w:keepNext/>
        <w:ind w:left="1304" w:hanging="1304"/>
        <w:rPr>
          <w:b/>
          <w:color w:val="0070C0"/>
          <w:szCs w:val="24"/>
        </w:rPr>
      </w:pPr>
      <w:r w:rsidRPr="00756C02">
        <w:rPr>
          <w:b/>
          <w:szCs w:val="24"/>
        </w:rPr>
        <w:t xml:space="preserve">Tabulka č. 5: </w:t>
      </w:r>
      <w:r w:rsidR="00EF5D7F">
        <w:rPr>
          <w:b/>
          <w:szCs w:val="24"/>
        </w:rPr>
        <w:tab/>
      </w:r>
      <w:r w:rsidRPr="00756C02">
        <w:rPr>
          <w:b/>
          <w:szCs w:val="24"/>
        </w:rPr>
        <w:t xml:space="preserve">Procentuální podíl sociálních (nájemních) bytů </w:t>
      </w:r>
      <w:r w:rsidR="008008EB">
        <w:rPr>
          <w:b/>
          <w:szCs w:val="24"/>
        </w:rPr>
        <w:t xml:space="preserve">na </w:t>
      </w:r>
      <w:r w:rsidRPr="00756C02">
        <w:rPr>
          <w:b/>
          <w:szCs w:val="24"/>
        </w:rPr>
        <w:t>celkovém bytovém fondu ve vybraných zemích EU</w:t>
      </w:r>
    </w:p>
    <w:tbl>
      <w:tblPr>
        <w:tblW w:w="90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737"/>
        <w:gridCol w:w="964"/>
        <w:gridCol w:w="992"/>
        <w:gridCol w:w="907"/>
        <w:gridCol w:w="850"/>
        <w:gridCol w:w="850"/>
        <w:gridCol w:w="1077"/>
        <w:gridCol w:w="964"/>
      </w:tblGrid>
      <w:tr w:rsidR="009D3359" w:rsidRPr="00117492" w14:paraId="3D6F0E4F" w14:textId="77777777" w:rsidTr="00756C02">
        <w:trPr>
          <w:trHeight w:val="283"/>
        </w:trPr>
        <w:tc>
          <w:tcPr>
            <w:tcW w:w="1701" w:type="dxa"/>
            <w:shd w:val="clear" w:color="000000" w:fill="E5F1FF"/>
            <w:vAlign w:val="center"/>
            <w:hideMark/>
          </w:tcPr>
          <w:p w14:paraId="2E2FB0DB" w14:textId="77777777" w:rsidR="00117492" w:rsidRPr="00756C02" w:rsidRDefault="00117492" w:rsidP="00756C02">
            <w:pPr>
              <w:keepNext/>
              <w:jc w:val="center"/>
              <w:rPr>
                <w:rFonts w:cstheme="minorHAnsi"/>
                <w:b/>
                <w:bCs/>
                <w:color w:val="000000"/>
                <w:sz w:val="18"/>
                <w:szCs w:val="18"/>
              </w:rPr>
            </w:pPr>
          </w:p>
        </w:tc>
        <w:tc>
          <w:tcPr>
            <w:tcW w:w="737" w:type="dxa"/>
            <w:shd w:val="clear" w:color="000000" w:fill="E5F1FF"/>
            <w:vAlign w:val="center"/>
            <w:hideMark/>
          </w:tcPr>
          <w:p w14:paraId="76A0807F" w14:textId="77777777" w:rsidR="00117492" w:rsidRPr="00756C02" w:rsidRDefault="00117492" w:rsidP="009D3359">
            <w:pPr>
              <w:keepNext/>
              <w:jc w:val="center"/>
              <w:rPr>
                <w:rFonts w:cstheme="minorHAnsi"/>
                <w:b/>
                <w:bCs/>
                <w:color w:val="000000"/>
                <w:sz w:val="18"/>
                <w:szCs w:val="18"/>
              </w:rPr>
            </w:pPr>
            <w:r w:rsidRPr="00756C02">
              <w:rPr>
                <w:rFonts w:cstheme="minorHAnsi"/>
                <w:b/>
                <w:bCs/>
                <w:color w:val="000000"/>
                <w:sz w:val="18"/>
                <w:szCs w:val="18"/>
              </w:rPr>
              <w:t>ČR</w:t>
            </w:r>
          </w:p>
        </w:tc>
        <w:tc>
          <w:tcPr>
            <w:tcW w:w="964" w:type="dxa"/>
            <w:shd w:val="clear" w:color="000000" w:fill="E5F1FF"/>
            <w:vAlign w:val="center"/>
            <w:hideMark/>
          </w:tcPr>
          <w:p w14:paraId="066E7829" w14:textId="77777777" w:rsidR="00117492" w:rsidRPr="00756C02" w:rsidRDefault="00117492">
            <w:pPr>
              <w:keepNext/>
              <w:jc w:val="center"/>
              <w:rPr>
                <w:rFonts w:cstheme="minorHAnsi"/>
                <w:b/>
                <w:bCs/>
                <w:color w:val="000000"/>
                <w:sz w:val="18"/>
                <w:szCs w:val="18"/>
              </w:rPr>
            </w:pPr>
            <w:r w:rsidRPr="00756C02">
              <w:rPr>
                <w:rFonts w:cstheme="minorHAnsi"/>
                <w:b/>
                <w:bCs/>
                <w:color w:val="000000"/>
                <w:sz w:val="18"/>
                <w:szCs w:val="18"/>
              </w:rPr>
              <w:t>Rakousko</w:t>
            </w:r>
          </w:p>
        </w:tc>
        <w:tc>
          <w:tcPr>
            <w:tcW w:w="992" w:type="dxa"/>
            <w:shd w:val="clear" w:color="000000" w:fill="E5F1FF"/>
            <w:vAlign w:val="center"/>
            <w:hideMark/>
          </w:tcPr>
          <w:p w14:paraId="57045F49" w14:textId="77777777" w:rsidR="00117492" w:rsidRPr="00756C02" w:rsidRDefault="00117492">
            <w:pPr>
              <w:keepNext/>
              <w:jc w:val="center"/>
              <w:rPr>
                <w:rFonts w:cstheme="minorHAnsi"/>
                <w:b/>
                <w:bCs/>
                <w:color w:val="000000"/>
                <w:sz w:val="18"/>
                <w:szCs w:val="18"/>
              </w:rPr>
            </w:pPr>
            <w:r w:rsidRPr="00756C02">
              <w:rPr>
                <w:rFonts w:cstheme="minorHAnsi"/>
                <w:b/>
                <w:bCs/>
                <w:color w:val="000000"/>
                <w:sz w:val="18"/>
                <w:szCs w:val="18"/>
              </w:rPr>
              <w:t>Německo</w:t>
            </w:r>
          </w:p>
        </w:tc>
        <w:tc>
          <w:tcPr>
            <w:tcW w:w="907" w:type="dxa"/>
            <w:shd w:val="clear" w:color="000000" w:fill="E5F1FF"/>
            <w:vAlign w:val="center"/>
            <w:hideMark/>
          </w:tcPr>
          <w:p w14:paraId="5DC85BAB" w14:textId="77777777" w:rsidR="00117492" w:rsidRPr="00756C02" w:rsidRDefault="00117492">
            <w:pPr>
              <w:keepNext/>
              <w:jc w:val="center"/>
              <w:rPr>
                <w:rFonts w:cstheme="minorHAnsi"/>
                <w:b/>
                <w:bCs/>
                <w:color w:val="000000"/>
                <w:sz w:val="18"/>
                <w:szCs w:val="18"/>
              </w:rPr>
            </w:pPr>
            <w:r w:rsidRPr="00756C02">
              <w:rPr>
                <w:rFonts w:cstheme="minorHAnsi"/>
                <w:b/>
                <w:bCs/>
                <w:color w:val="000000"/>
                <w:sz w:val="18"/>
                <w:szCs w:val="18"/>
              </w:rPr>
              <w:t>Francie</w:t>
            </w:r>
          </w:p>
        </w:tc>
        <w:tc>
          <w:tcPr>
            <w:tcW w:w="850" w:type="dxa"/>
            <w:shd w:val="clear" w:color="000000" w:fill="E5F1FF"/>
            <w:vAlign w:val="center"/>
          </w:tcPr>
          <w:p w14:paraId="6A719B64" w14:textId="77777777" w:rsidR="00117492" w:rsidRPr="00756C02" w:rsidRDefault="00117492">
            <w:pPr>
              <w:keepNext/>
              <w:jc w:val="center"/>
              <w:rPr>
                <w:rFonts w:cstheme="minorHAnsi"/>
                <w:b/>
                <w:bCs/>
                <w:color w:val="000000"/>
                <w:sz w:val="18"/>
                <w:szCs w:val="18"/>
              </w:rPr>
            </w:pPr>
            <w:r w:rsidRPr="00756C02">
              <w:rPr>
                <w:rFonts w:cstheme="minorHAnsi"/>
                <w:b/>
                <w:bCs/>
                <w:color w:val="000000"/>
                <w:sz w:val="18"/>
                <w:szCs w:val="18"/>
              </w:rPr>
              <w:t>Belgie</w:t>
            </w:r>
          </w:p>
        </w:tc>
        <w:tc>
          <w:tcPr>
            <w:tcW w:w="850" w:type="dxa"/>
            <w:shd w:val="clear" w:color="000000" w:fill="E5F1FF"/>
            <w:vAlign w:val="center"/>
            <w:hideMark/>
          </w:tcPr>
          <w:p w14:paraId="2363373A" w14:textId="77777777" w:rsidR="00117492" w:rsidRPr="00756C02" w:rsidRDefault="00117492">
            <w:pPr>
              <w:keepNext/>
              <w:jc w:val="center"/>
              <w:rPr>
                <w:rFonts w:cstheme="minorHAnsi"/>
                <w:b/>
                <w:bCs/>
                <w:color w:val="000000"/>
                <w:sz w:val="18"/>
                <w:szCs w:val="18"/>
              </w:rPr>
            </w:pPr>
            <w:r w:rsidRPr="00756C02">
              <w:rPr>
                <w:rFonts w:cstheme="minorHAnsi"/>
                <w:b/>
                <w:bCs/>
                <w:color w:val="000000"/>
                <w:sz w:val="18"/>
                <w:szCs w:val="18"/>
              </w:rPr>
              <w:t>Itálie</w:t>
            </w:r>
          </w:p>
        </w:tc>
        <w:tc>
          <w:tcPr>
            <w:tcW w:w="1077" w:type="dxa"/>
            <w:shd w:val="clear" w:color="000000" w:fill="E5F1FF"/>
            <w:vAlign w:val="center"/>
            <w:hideMark/>
          </w:tcPr>
          <w:p w14:paraId="304A7520" w14:textId="2EF0FF52" w:rsidR="00117492" w:rsidRPr="00756C02" w:rsidRDefault="00117492">
            <w:pPr>
              <w:keepNext/>
              <w:jc w:val="center"/>
              <w:rPr>
                <w:rFonts w:cstheme="minorHAnsi"/>
                <w:b/>
                <w:bCs/>
                <w:color w:val="000000"/>
                <w:sz w:val="18"/>
                <w:szCs w:val="18"/>
              </w:rPr>
            </w:pPr>
            <w:r w:rsidRPr="00756C02">
              <w:rPr>
                <w:rFonts w:cstheme="minorHAnsi"/>
                <w:b/>
                <w:bCs/>
                <w:color w:val="000000"/>
                <w:sz w:val="18"/>
                <w:szCs w:val="18"/>
              </w:rPr>
              <w:t>Nizozem</w:t>
            </w:r>
            <w:r w:rsidR="009D3359" w:rsidRPr="00756C02">
              <w:rPr>
                <w:rFonts w:cstheme="minorHAnsi"/>
                <w:b/>
                <w:bCs/>
                <w:color w:val="000000"/>
                <w:sz w:val="18"/>
                <w:szCs w:val="18"/>
              </w:rPr>
              <w:t>sko</w:t>
            </w:r>
          </w:p>
        </w:tc>
        <w:tc>
          <w:tcPr>
            <w:tcW w:w="964" w:type="dxa"/>
            <w:shd w:val="clear" w:color="000000" w:fill="E5F1FF"/>
            <w:vAlign w:val="center"/>
            <w:hideMark/>
          </w:tcPr>
          <w:p w14:paraId="337C2A49" w14:textId="77777777" w:rsidR="00117492" w:rsidRPr="00756C02" w:rsidRDefault="00117492">
            <w:pPr>
              <w:keepNext/>
              <w:jc w:val="center"/>
              <w:rPr>
                <w:rFonts w:cstheme="minorHAnsi"/>
                <w:b/>
                <w:bCs/>
                <w:color w:val="000000"/>
                <w:sz w:val="18"/>
                <w:szCs w:val="18"/>
              </w:rPr>
            </w:pPr>
            <w:r w:rsidRPr="00756C02">
              <w:rPr>
                <w:rFonts w:cstheme="minorHAnsi"/>
                <w:b/>
                <w:bCs/>
                <w:color w:val="000000"/>
                <w:sz w:val="18"/>
                <w:szCs w:val="18"/>
              </w:rPr>
              <w:t>Slovinsko</w:t>
            </w:r>
          </w:p>
        </w:tc>
      </w:tr>
      <w:tr w:rsidR="009D3359" w14:paraId="0DC1BABC" w14:textId="77777777" w:rsidTr="009D3359">
        <w:trPr>
          <w:trHeight w:val="283"/>
        </w:trPr>
        <w:tc>
          <w:tcPr>
            <w:tcW w:w="1701" w:type="dxa"/>
            <w:shd w:val="clear" w:color="auto" w:fill="auto"/>
            <w:noWrap/>
            <w:vAlign w:val="bottom"/>
            <w:hideMark/>
          </w:tcPr>
          <w:p w14:paraId="6884B3BB" w14:textId="77777777" w:rsidR="00117492" w:rsidRPr="00756C02" w:rsidRDefault="00117492" w:rsidP="001E126B">
            <w:pPr>
              <w:keepNext/>
              <w:jc w:val="left"/>
              <w:rPr>
                <w:rFonts w:cstheme="minorHAnsi"/>
                <w:color w:val="000000"/>
                <w:sz w:val="18"/>
                <w:szCs w:val="18"/>
              </w:rPr>
            </w:pPr>
            <w:r w:rsidRPr="00756C02">
              <w:rPr>
                <w:sz w:val="18"/>
                <w:szCs w:val="18"/>
              </w:rPr>
              <w:t>Bytový fond v tis. ks</w:t>
            </w:r>
          </w:p>
        </w:tc>
        <w:tc>
          <w:tcPr>
            <w:tcW w:w="737" w:type="dxa"/>
            <w:shd w:val="clear" w:color="auto" w:fill="auto"/>
            <w:noWrap/>
            <w:vAlign w:val="center"/>
            <w:hideMark/>
          </w:tcPr>
          <w:p w14:paraId="45EFEE44" w14:textId="77777777" w:rsidR="00117492" w:rsidRPr="00756C02" w:rsidRDefault="00117492" w:rsidP="009D3359">
            <w:pPr>
              <w:keepNext/>
              <w:jc w:val="right"/>
              <w:rPr>
                <w:rFonts w:cstheme="minorHAnsi"/>
                <w:color w:val="000000"/>
                <w:sz w:val="18"/>
                <w:szCs w:val="18"/>
              </w:rPr>
            </w:pPr>
            <w:r w:rsidRPr="00756C02">
              <w:rPr>
                <w:rFonts w:cstheme="minorHAnsi"/>
                <w:color w:val="000000"/>
                <w:sz w:val="18"/>
                <w:szCs w:val="18"/>
              </w:rPr>
              <w:t>5 340</w:t>
            </w:r>
          </w:p>
        </w:tc>
        <w:tc>
          <w:tcPr>
            <w:tcW w:w="964" w:type="dxa"/>
            <w:shd w:val="clear" w:color="auto" w:fill="auto"/>
            <w:noWrap/>
            <w:vAlign w:val="center"/>
            <w:hideMark/>
          </w:tcPr>
          <w:p w14:paraId="20947EAC" w14:textId="77777777" w:rsidR="00117492" w:rsidRPr="00756C02" w:rsidRDefault="00117492" w:rsidP="009D3359">
            <w:pPr>
              <w:keepNext/>
              <w:jc w:val="right"/>
              <w:rPr>
                <w:rFonts w:cstheme="minorHAnsi"/>
                <w:color w:val="000000"/>
                <w:sz w:val="18"/>
                <w:szCs w:val="18"/>
              </w:rPr>
            </w:pPr>
            <w:r w:rsidRPr="00756C02">
              <w:rPr>
                <w:rFonts w:cstheme="minorHAnsi"/>
                <w:color w:val="000000"/>
                <w:sz w:val="18"/>
                <w:szCs w:val="18"/>
              </w:rPr>
              <w:t>3 988</w:t>
            </w:r>
          </w:p>
        </w:tc>
        <w:tc>
          <w:tcPr>
            <w:tcW w:w="992" w:type="dxa"/>
            <w:shd w:val="clear" w:color="auto" w:fill="auto"/>
            <w:noWrap/>
            <w:vAlign w:val="center"/>
            <w:hideMark/>
          </w:tcPr>
          <w:p w14:paraId="7BCC4966" w14:textId="77777777" w:rsidR="00117492" w:rsidRPr="00756C02" w:rsidRDefault="00117492">
            <w:pPr>
              <w:keepNext/>
              <w:jc w:val="right"/>
              <w:rPr>
                <w:rFonts w:cstheme="minorHAnsi"/>
                <w:color w:val="000000"/>
                <w:sz w:val="18"/>
                <w:szCs w:val="18"/>
              </w:rPr>
            </w:pPr>
            <w:r w:rsidRPr="00756C02">
              <w:rPr>
                <w:rFonts w:cstheme="minorHAnsi"/>
                <w:color w:val="000000"/>
                <w:sz w:val="18"/>
                <w:szCs w:val="18"/>
              </w:rPr>
              <w:t>43 100</w:t>
            </w:r>
          </w:p>
        </w:tc>
        <w:tc>
          <w:tcPr>
            <w:tcW w:w="907" w:type="dxa"/>
            <w:shd w:val="clear" w:color="auto" w:fill="auto"/>
            <w:noWrap/>
            <w:vAlign w:val="center"/>
            <w:hideMark/>
          </w:tcPr>
          <w:p w14:paraId="6728C1BE" w14:textId="77777777" w:rsidR="00117492" w:rsidRPr="00756C02" w:rsidRDefault="00117492">
            <w:pPr>
              <w:keepNext/>
              <w:jc w:val="right"/>
              <w:rPr>
                <w:rFonts w:cstheme="minorHAnsi"/>
                <w:color w:val="000000"/>
                <w:sz w:val="18"/>
                <w:szCs w:val="18"/>
              </w:rPr>
            </w:pPr>
            <w:r w:rsidRPr="00756C02">
              <w:rPr>
                <w:rFonts w:cstheme="minorHAnsi"/>
                <w:color w:val="000000"/>
                <w:sz w:val="18"/>
                <w:szCs w:val="18"/>
              </w:rPr>
              <w:t>37 400</w:t>
            </w:r>
          </w:p>
        </w:tc>
        <w:tc>
          <w:tcPr>
            <w:tcW w:w="850" w:type="dxa"/>
            <w:vAlign w:val="center"/>
          </w:tcPr>
          <w:p w14:paraId="219D813F" w14:textId="77777777" w:rsidR="00117492" w:rsidRPr="00756C02" w:rsidRDefault="00117492">
            <w:pPr>
              <w:keepNext/>
              <w:jc w:val="right"/>
              <w:rPr>
                <w:rFonts w:cstheme="minorHAnsi"/>
                <w:color w:val="000000"/>
                <w:sz w:val="18"/>
                <w:szCs w:val="18"/>
              </w:rPr>
            </w:pPr>
            <w:r w:rsidRPr="00756C02">
              <w:rPr>
                <w:rFonts w:cstheme="minorHAnsi"/>
                <w:color w:val="000000"/>
                <w:sz w:val="18"/>
                <w:szCs w:val="18"/>
              </w:rPr>
              <w:t>5 382</w:t>
            </w:r>
          </w:p>
        </w:tc>
        <w:tc>
          <w:tcPr>
            <w:tcW w:w="850" w:type="dxa"/>
            <w:shd w:val="clear" w:color="auto" w:fill="auto"/>
            <w:noWrap/>
            <w:vAlign w:val="center"/>
            <w:hideMark/>
          </w:tcPr>
          <w:p w14:paraId="327424F4" w14:textId="77777777" w:rsidR="00117492" w:rsidRPr="00756C02" w:rsidRDefault="00117492">
            <w:pPr>
              <w:keepNext/>
              <w:jc w:val="right"/>
              <w:rPr>
                <w:rFonts w:cstheme="minorHAnsi"/>
                <w:color w:val="000000"/>
                <w:sz w:val="18"/>
                <w:szCs w:val="18"/>
              </w:rPr>
            </w:pPr>
            <w:r w:rsidRPr="00756C02">
              <w:rPr>
                <w:rFonts w:cstheme="minorHAnsi"/>
                <w:color w:val="000000"/>
                <w:sz w:val="18"/>
                <w:szCs w:val="18"/>
              </w:rPr>
              <w:t>25 690</w:t>
            </w:r>
          </w:p>
        </w:tc>
        <w:tc>
          <w:tcPr>
            <w:tcW w:w="1077" w:type="dxa"/>
            <w:shd w:val="clear" w:color="auto" w:fill="auto"/>
            <w:noWrap/>
            <w:vAlign w:val="center"/>
            <w:hideMark/>
          </w:tcPr>
          <w:p w14:paraId="2CBA8107" w14:textId="77777777" w:rsidR="00117492" w:rsidRPr="00756C02" w:rsidRDefault="00117492">
            <w:pPr>
              <w:keepNext/>
              <w:jc w:val="right"/>
              <w:rPr>
                <w:rFonts w:cstheme="minorHAnsi"/>
                <w:color w:val="000000"/>
                <w:sz w:val="18"/>
                <w:szCs w:val="18"/>
              </w:rPr>
            </w:pPr>
            <w:r w:rsidRPr="00756C02">
              <w:rPr>
                <w:rFonts w:cstheme="minorHAnsi"/>
                <w:color w:val="000000"/>
                <w:sz w:val="18"/>
                <w:szCs w:val="18"/>
              </w:rPr>
              <w:t>8 046</w:t>
            </w:r>
          </w:p>
        </w:tc>
        <w:tc>
          <w:tcPr>
            <w:tcW w:w="964" w:type="dxa"/>
            <w:shd w:val="clear" w:color="auto" w:fill="auto"/>
            <w:noWrap/>
            <w:vAlign w:val="center"/>
            <w:hideMark/>
          </w:tcPr>
          <w:p w14:paraId="09F4C1F6" w14:textId="77777777" w:rsidR="00117492" w:rsidRPr="00756C02" w:rsidRDefault="00117492">
            <w:pPr>
              <w:keepNext/>
              <w:jc w:val="right"/>
              <w:rPr>
                <w:rFonts w:cstheme="minorHAnsi"/>
                <w:color w:val="000000"/>
                <w:sz w:val="18"/>
                <w:szCs w:val="18"/>
              </w:rPr>
            </w:pPr>
            <w:r w:rsidRPr="00756C02">
              <w:rPr>
                <w:rFonts w:cstheme="minorHAnsi"/>
                <w:color w:val="000000"/>
                <w:sz w:val="18"/>
                <w:szCs w:val="18"/>
              </w:rPr>
              <w:t>699</w:t>
            </w:r>
          </w:p>
        </w:tc>
      </w:tr>
      <w:tr w:rsidR="009D3359" w14:paraId="5323BDC3" w14:textId="77777777" w:rsidTr="009D3359">
        <w:trPr>
          <w:trHeight w:val="283"/>
        </w:trPr>
        <w:tc>
          <w:tcPr>
            <w:tcW w:w="1701" w:type="dxa"/>
            <w:shd w:val="clear" w:color="auto" w:fill="auto"/>
            <w:noWrap/>
            <w:vAlign w:val="bottom"/>
            <w:hideMark/>
          </w:tcPr>
          <w:p w14:paraId="5C2572E5" w14:textId="77777777" w:rsidR="00117492" w:rsidRPr="00756C02" w:rsidRDefault="00117492" w:rsidP="001E126B">
            <w:pPr>
              <w:keepNext/>
              <w:jc w:val="left"/>
              <w:rPr>
                <w:rFonts w:cstheme="minorHAnsi"/>
                <w:color w:val="000000"/>
                <w:sz w:val="18"/>
                <w:szCs w:val="18"/>
              </w:rPr>
            </w:pPr>
            <w:r w:rsidRPr="00756C02">
              <w:rPr>
                <w:sz w:val="18"/>
                <w:szCs w:val="18"/>
              </w:rPr>
              <w:t>Podíl sociálních bytů</w:t>
            </w:r>
          </w:p>
        </w:tc>
        <w:tc>
          <w:tcPr>
            <w:tcW w:w="737" w:type="dxa"/>
            <w:shd w:val="clear" w:color="auto" w:fill="auto"/>
            <w:noWrap/>
            <w:vAlign w:val="center"/>
            <w:hideMark/>
          </w:tcPr>
          <w:p w14:paraId="23B5A8AA" w14:textId="77777777" w:rsidR="00117492" w:rsidRPr="00756C02" w:rsidRDefault="00117492" w:rsidP="009D3359">
            <w:pPr>
              <w:keepNext/>
              <w:jc w:val="right"/>
              <w:rPr>
                <w:rFonts w:cstheme="minorHAnsi"/>
                <w:color w:val="000000"/>
                <w:sz w:val="18"/>
                <w:szCs w:val="18"/>
              </w:rPr>
            </w:pPr>
            <w:r w:rsidRPr="00756C02">
              <w:rPr>
                <w:rFonts w:cstheme="minorHAnsi"/>
                <w:color w:val="000000"/>
                <w:sz w:val="18"/>
                <w:szCs w:val="18"/>
              </w:rPr>
              <w:t>X</w:t>
            </w:r>
          </w:p>
        </w:tc>
        <w:tc>
          <w:tcPr>
            <w:tcW w:w="964" w:type="dxa"/>
            <w:shd w:val="clear" w:color="auto" w:fill="auto"/>
            <w:noWrap/>
            <w:vAlign w:val="center"/>
            <w:hideMark/>
          </w:tcPr>
          <w:p w14:paraId="0B1443B3" w14:textId="77777777" w:rsidR="00117492" w:rsidRPr="00756C02" w:rsidRDefault="00117492" w:rsidP="009D3359">
            <w:pPr>
              <w:keepNext/>
              <w:jc w:val="right"/>
              <w:rPr>
                <w:rFonts w:cstheme="minorHAnsi"/>
                <w:color w:val="000000"/>
                <w:sz w:val="18"/>
                <w:szCs w:val="18"/>
              </w:rPr>
            </w:pPr>
            <w:r w:rsidRPr="00756C02">
              <w:rPr>
                <w:rFonts w:cstheme="minorHAnsi"/>
                <w:color w:val="000000"/>
                <w:sz w:val="18"/>
                <w:szCs w:val="18"/>
              </w:rPr>
              <w:t>24 %</w:t>
            </w:r>
          </w:p>
        </w:tc>
        <w:tc>
          <w:tcPr>
            <w:tcW w:w="992" w:type="dxa"/>
            <w:shd w:val="clear" w:color="auto" w:fill="auto"/>
            <w:noWrap/>
            <w:vAlign w:val="center"/>
            <w:hideMark/>
          </w:tcPr>
          <w:p w14:paraId="2375D783" w14:textId="77777777" w:rsidR="00117492" w:rsidRPr="00756C02" w:rsidRDefault="00117492">
            <w:pPr>
              <w:keepNext/>
              <w:jc w:val="right"/>
              <w:rPr>
                <w:rFonts w:cstheme="minorHAnsi"/>
                <w:color w:val="000000"/>
                <w:sz w:val="18"/>
                <w:szCs w:val="18"/>
              </w:rPr>
            </w:pPr>
            <w:r w:rsidRPr="00756C02">
              <w:rPr>
                <w:rFonts w:cstheme="minorHAnsi"/>
                <w:color w:val="000000"/>
                <w:sz w:val="18"/>
                <w:szCs w:val="18"/>
              </w:rPr>
              <w:t>4 %</w:t>
            </w:r>
          </w:p>
        </w:tc>
        <w:tc>
          <w:tcPr>
            <w:tcW w:w="907" w:type="dxa"/>
            <w:shd w:val="clear" w:color="auto" w:fill="auto"/>
            <w:noWrap/>
            <w:vAlign w:val="center"/>
            <w:hideMark/>
          </w:tcPr>
          <w:p w14:paraId="7AD979E1" w14:textId="77777777" w:rsidR="00117492" w:rsidRPr="00756C02" w:rsidRDefault="00117492">
            <w:pPr>
              <w:keepNext/>
              <w:jc w:val="right"/>
              <w:rPr>
                <w:rFonts w:cstheme="minorHAnsi"/>
                <w:color w:val="000000"/>
                <w:sz w:val="18"/>
                <w:szCs w:val="18"/>
              </w:rPr>
            </w:pPr>
            <w:r w:rsidRPr="00756C02">
              <w:rPr>
                <w:rFonts w:cstheme="minorHAnsi"/>
                <w:color w:val="000000"/>
                <w:sz w:val="18"/>
                <w:szCs w:val="18"/>
              </w:rPr>
              <w:t>17 %</w:t>
            </w:r>
          </w:p>
        </w:tc>
        <w:tc>
          <w:tcPr>
            <w:tcW w:w="850" w:type="dxa"/>
            <w:vAlign w:val="center"/>
          </w:tcPr>
          <w:p w14:paraId="04259CE9" w14:textId="77777777" w:rsidR="00117492" w:rsidRPr="00756C02" w:rsidRDefault="00117492">
            <w:pPr>
              <w:keepNext/>
              <w:jc w:val="right"/>
              <w:rPr>
                <w:rFonts w:cstheme="minorHAnsi"/>
                <w:color w:val="000000"/>
                <w:sz w:val="18"/>
                <w:szCs w:val="18"/>
              </w:rPr>
            </w:pPr>
            <w:r w:rsidRPr="00756C02">
              <w:rPr>
                <w:rFonts w:cstheme="minorHAnsi"/>
                <w:color w:val="000000"/>
                <w:sz w:val="18"/>
                <w:szCs w:val="18"/>
              </w:rPr>
              <w:t>6 %</w:t>
            </w:r>
          </w:p>
        </w:tc>
        <w:tc>
          <w:tcPr>
            <w:tcW w:w="850" w:type="dxa"/>
            <w:shd w:val="clear" w:color="auto" w:fill="auto"/>
            <w:noWrap/>
            <w:vAlign w:val="center"/>
            <w:hideMark/>
          </w:tcPr>
          <w:p w14:paraId="320146F9" w14:textId="77777777" w:rsidR="00117492" w:rsidRPr="00756C02" w:rsidRDefault="00117492">
            <w:pPr>
              <w:keepNext/>
              <w:jc w:val="right"/>
              <w:rPr>
                <w:rFonts w:cstheme="minorHAnsi"/>
                <w:color w:val="000000"/>
                <w:sz w:val="18"/>
                <w:szCs w:val="18"/>
              </w:rPr>
            </w:pPr>
            <w:r w:rsidRPr="00756C02">
              <w:rPr>
                <w:rFonts w:cstheme="minorHAnsi"/>
                <w:color w:val="000000"/>
                <w:sz w:val="18"/>
                <w:szCs w:val="18"/>
              </w:rPr>
              <w:t xml:space="preserve">3,5 % </w:t>
            </w:r>
          </w:p>
        </w:tc>
        <w:tc>
          <w:tcPr>
            <w:tcW w:w="1077" w:type="dxa"/>
            <w:shd w:val="clear" w:color="auto" w:fill="auto"/>
            <w:noWrap/>
            <w:vAlign w:val="center"/>
            <w:hideMark/>
          </w:tcPr>
          <w:p w14:paraId="760C9E5D" w14:textId="77777777" w:rsidR="00117492" w:rsidRPr="00756C02" w:rsidRDefault="00117492">
            <w:pPr>
              <w:keepNext/>
              <w:jc w:val="right"/>
              <w:rPr>
                <w:rFonts w:cstheme="minorHAnsi"/>
                <w:color w:val="000000"/>
                <w:sz w:val="18"/>
                <w:szCs w:val="18"/>
              </w:rPr>
            </w:pPr>
            <w:r w:rsidRPr="00756C02">
              <w:rPr>
                <w:rFonts w:cstheme="minorHAnsi"/>
                <w:color w:val="000000"/>
                <w:sz w:val="18"/>
                <w:szCs w:val="18"/>
              </w:rPr>
              <w:t>29 %</w:t>
            </w:r>
          </w:p>
        </w:tc>
        <w:tc>
          <w:tcPr>
            <w:tcW w:w="964" w:type="dxa"/>
            <w:shd w:val="clear" w:color="auto" w:fill="auto"/>
            <w:noWrap/>
            <w:vAlign w:val="center"/>
            <w:hideMark/>
          </w:tcPr>
          <w:p w14:paraId="5D2442CE" w14:textId="77777777" w:rsidR="00117492" w:rsidRPr="00756C02" w:rsidRDefault="00117492">
            <w:pPr>
              <w:keepNext/>
              <w:jc w:val="right"/>
              <w:rPr>
                <w:rFonts w:cstheme="minorHAnsi"/>
                <w:color w:val="000000"/>
                <w:sz w:val="18"/>
                <w:szCs w:val="18"/>
              </w:rPr>
            </w:pPr>
            <w:r w:rsidRPr="00756C02">
              <w:rPr>
                <w:rFonts w:cstheme="minorHAnsi"/>
                <w:color w:val="000000"/>
                <w:sz w:val="18"/>
                <w:szCs w:val="18"/>
              </w:rPr>
              <w:t>5 %</w:t>
            </w:r>
          </w:p>
        </w:tc>
      </w:tr>
    </w:tbl>
    <w:p w14:paraId="1D33D562" w14:textId="6E7FAAFA" w:rsidR="00222535" w:rsidRDefault="00455CD6" w:rsidP="001E126B">
      <w:pPr>
        <w:pStyle w:val="KP-normlntext"/>
        <w:keepNext/>
        <w:rPr>
          <w:sz w:val="20"/>
          <w:szCs w:val="20"/>
        </w:rPr>
      </w:pPr>
      <w:r w:rsidRPr="00EC06C9">
        <w:rPr>
          <w:b/>
          <w:sz w:val="20"/>
          <w:szCs w:val="20"/>
        </w:rPr>
        <w:t>Zdroj</w:t>
      </w:r>
      <w:r w:rsidRPr="00AE5377">
        <w:rPr>
          <w:b/>
          <w:sz w:val="20"/>
          <w:szCs w:val="20"/>
          <w:lang w:val="en-GB"/>
        </w:rPr>
        <w:t>:</w:t>
      </w:r>
      <w:r w:rsidRPr="00AE5377">
        <w:rPr>
          <w:sz w:val="20"/>
          <w:szCs w:val="20"/>
          <w:lang w:val="en-GB"/>
        </w:rPr>
        <w:t xml:space="preserve"> </w:t>
      </w:r>
      <w:r w:rsidR="007C3DFB" w:rsidRPr="00756C02">
        <w:rPr>
          <w:i/>
          <w:sz w:val="20"/>
          <w:szCs w:val="20"/>
          <w:lang w:val="en-GB"/>
        </w:rPr>
        <w:t>The State of Housing in Europe</w:t>
      </w:r>
      <w:r w:rsidR="007C3DFB" w:rsidRPr="00756C02">
        <w:rPr>
          <w:i/>
          <w:sz w:val="20"/>
          <w:szCs w:val="20"/>
        </w:rPr>
        <w:t xml:space="preserve"> 2023</w:t>
      </w:r>
      <w:r w:rsidR="008008EB">
        <w:rPr>
          <w:sz w:val="20"/>
          <w:szCs w:val="20"/>
        </w:rPr>
        <w:t>;</w:t>
      </w:r>
      <w:r w:rsidR="00FB491D">
        <w:rPr>
          <w:sz w:val="20"/>
          <w:szCs w:val="20"/>
        </w:rPr>
        <w:t xml:space="preserve"> údaje </w:t>
      </w:r>
      <w:r w:rsidR="00F47335">
        <w:rPr>
          <w:sz w:val="20"/>
          <w:szCs w:val="20"/>
        </w:rPr>
        <w:t>za ČR zdroj neuvádí.</w:t>
      </w:r>
    </w:p>
    <w:p w14:paraId="222C3EFE" w14:textId="6E43F592" w:rsidR="00E50E00" w:rsidRDefault="00117492" w:rsidP="001E126B">
      <w:pPr>
        <w:pStyle w:val="KP-normlntext"/>
        <w:keepNext/>
        <w:rPr>
          <w:sz w:val="20"/>
          <w:szCs w:val="20"/>
        </w:rPr>
      </w:pPr>
      <w:r>
        <w:rPr>
          <w:sz w:val="20"/>
          <w:szCs w:val="20"/>
        </w:rPr>
        <w:t xml:space="preserve"> </w:t>
      </w:r>
    </w:p>
    <w:p w14:paraId="16794B8D" w14:textId="77777777" w:rsidR="002A6422" w:rsidRPr="008A1604" w:rsidRDefault="00455CD6" w:rsidP="009D3359">
      <w:pPr>
        <w:pStyle w:val="Nadpis1"/>
        <w:numPr>
          <w:ilvl w:val="0"/>
          <w:numId w:val="0"/>
        </w:numPr>
        <w:spacing w:before="120"/>
      </w:pPr>
      <w:r>
        <w:t xml:space="preserve">III. </w:t>
      </w:r>
      <w:r w:rsidRPr="008A1604">
        <w:t>Rozsah kontroly</w:t>
      </w:r>
    </w:p>
    <w:p w14:paraId="46541951" w14:textId="77777777" w:rsidR="002A6422" w:rsidRPr="000363FD" w:rsidRDefault="00455CD6" w:rsidP="001E126B">
      <w:pPr>
        <w:spacing w:after="120"/>
      </w:pPr>
      <w:r w:rsidRPr="000363FD">
        <w:t>Cílem kontrolní akce bylo prověřit, zda peněžní prostředky státu určené na podporu bydlení byly poskytovány a čerpány účelně, hospodárně a v souladu s právními předpisy.</w:t>
      </w:r>
    </w:p>
    <w:p w14:paraId="235C2200" w14:textId="4E074632" w:rsidR="002A6422" w:rsidRPr="00756C02" w:rsidRDefault="00455CD6" w:rsidP="001E126B">
      <w:pPr>
        <w:spacing w:after="120"/>
      </w:pPr>
      <w:r w:rsidRPr="000363FD">
        <w:rPr>
          <w:szCs w:val="24"/>
        </w:rPr>
        <w:t xml:space="preserve">NKÚ posuzoval, jak </w:t>
      </w:r>
      <w:r w:rsidRPr="000363FD">
        <w:rPr>
          <w:i/>
          <w:szCs w:val="24"/>
        </w:rPr>
        <w:t>Koncepc</w:t>
      </w:r>
      <w:r w:rsidR="00301E52">
        <w:rPr>
          <w:i/>
          <w:szCs w:val="24"/>
        </w:rPr>
        <w:t>e 2020</w:t>
      </w:r>
      <w:r w:rsidR="00301E52" w:rsidRPr="00756C02">
        <w:rPr>
          <w:szCs w:val="24"/>
        </w:rPr>
        <w:t>,</w:t>
      </w:r>
      <w:r w:rsidR="00301E52">
        <w:rPr>
          <w:i/>
          <w:szCs w:val="24"/>
        </w:rPr>
        <w:t xml:space="preserve"> Koncepce 2020 (revidovaná) </w:t>
      </w:r>
      <w:r w:rsidR="00301E52" w:rsidRPr="00756C02">
        <w:rPr>
          <w:szCs w:val="24"/>
        </w:rPr>
        <w:t xml:space="preserve">a </w:t>
      </w:r>
      <w:r w:rsidR="00301E52">
        <w:rPr>
          <w:i/>
          <w:szCs w:val="24"/>
        </w:rPr>
        <w:t>Koncepce 2021+</w:t>
      </w:r>
      <w:r w:rsidRPr="000363FD">
        <w:rPr>
          <w:szCs w:val="24"/>
        </w:rPr>
        <w:t xml:space="preserve"> a z</w:t>
      </w:r>
      <w:r w:rsidR="00301E52">
        <w:rPr>
          <w:szCs w:val="24"/>
        </w:rPr>
        <w:t> </w:t>
      </w:r>
      <w:r w:rsidRPr="000363FD">
        <w:rPr>
          <w:szCs w:val="24"/>
        </w:rPr>
        <w:t>n</w:t>
      </w:r>
      <w:r w:rsidR="00301E52">
        <w:rPr>
          <w:szCs w:val="24"/>
        </w:rPr>
        <w:t xml:space="preserve">ich </w:t>
      </w:r>
      <w:r w:rsidRPr="000363FD">
        <w:rPr>
          <w:szCs w:val="24"/>
        </w:rPr>
        <w:t xml:space="preserve">vycházející dotační a úvěrové podpory přispěly k </w:t>
      </w:r>
      <w:r w:rsidRPr="000363FD">
        <w:t xml:space="preserve">plnění dvou </w:t>
      </w:r>
      <w:r w:rsidR="00E12603">
        <w:t xml:space="preserve">strategických cílů </w:t>
      </w:r>
      <w:r w:rsidRPr="000363FD">
        <w:t xml:space="preserve">uvedených v těchto koncepcích, tj. zvýšení dostupnosti bydlení a zvýšení kvality bydlení. </w:t>
      </w:r>
      <w:r w:rsidRPr="000363FD">
        <w:rPr>
          <w:szCs w:val="24"/>
        </w:rPr>
        <w:t>K</w:t>
      </w:r>
      <w:r w:rsidRPr="000363FD">
        <w:t>ontrolní akce byla zaměřena na plnění cílů a úkolů strategických materiálů pro oblast bytové politiky státu a na dotační a úvěrovou podporu bydlení poskytovanou prostřednictvím programů MMR a</w:t>
      </w:r>
      <w:r w:rsidR="0065050D">
        <w:t> </w:t>
      </w:r>
      <w:r w:rsidRPr="000363FD">
        <w:t xml:space="preserve">SFPI z národních zdrojů v rámci plnění strategického cíle 3.1 </w:t>
      </w:r>
      <w:r w:rsidRPr="00756C02">
        <w:rPr>
          <w:i/>
        </w:rPr>
        <w:t>Zajištění přiměřené dostupnosti ve všech formách bydlení</w:t>
      </w:r>
      <w:r w:rsidR="00551685" w:rsidRPr="000363FD">
        <w:t xml:space="preserve"> </w:t>
      </w:r>
      <w:r w:rsidR="0065050D" w:rsidRPr="00756C02">
        <w:rPr>
          <w:szCs w:val="24"/>
        </w:rPr>
        <w:t>–</w:t>
      </w:r>
      <w:r w:rsidR="00551685" w:rsidRPr="000363FD">
        <w:t xml:space="preserve"> </w:t>
      </w:r>
      <w:r w:rsidRPr="000363FD">
        <w:t xml:space="preserve">priorita č. 2 dle </w:t>
      </w:r>
      <w:r w:rsidRPr="00AF653A">
        <w:rPr>
          <w:i/>
        </w:rPr>
        <w:t>Koncepce 2020 (revidované)</w:t>
      </w:r>
      <w:r w:rsidRPr="000363FD">
        <w:t>, resp. cíle 3.3.1</w:t>
      </w:r>
      <w:r w:rsidR="0065050D">
        <w:t> </w:t>
      </w:r>
      <w:r w:rsidRPr="00756C02">
        <w:rPr>
          <w:i/>
        </w:rPr>
        <w:t>Dostupné kvalitní bydlení</w:t>
      </w:r>
      <w:r w:rsidRPr="000363FD">
        <w:t xml:space="preserve"> </w:t>
      </w:r>
      <w:r w:rsidR="0065050D" w:rsidRPr="00756C02">
        <w:rPr>
          <w:szCs w:val="24"/>
        </w:rPr>
        <w:t>–</w:t>
      </w:r>
      <w:r w:rsidR="00551685" w:rsidRPr="000363FD">
        <w:t xml:space="preserve"> </w:t>
      </w:r>
      <w:r w:rsidRPr="000363FD">
        <w:t xml:space="preserve">opatření č. 4 </w:t>
      </w:r>
      <w:r w:rsidRPr="00756C02">
        <w:rPr>
          <w:i/>
        </w:rPr>
        <w:t>Zvýšení nabídky nájemních bytů a zvýšení jejich kvality</w:t>
      </w:r>
      <w:r w:rsidRPr="000363FD">
        <w:t xml:space="preserve"> dle </w:t>
      </w:r>
      <w:r w:rsidRPr="00910D54">
        <w:rPr>
          <w:i/>
        </w:rPr>
        <w:t>Koncepce 2021+</w:t>
      </w:r>
      <w:r w:rsidRPr="00756C02">
        <w:t>.</w:t>
      </w:r>
    </w:p>
    <w:p w14:paraId="20913138" w14:textId="3443BFB0" w:rsidR="002A6422" w:rsidRPr="000363FD" w:rsidRDefault="00455CD6" w:rsidP="001E126B">
      <w:pPr>
        <w:spacing w:after="120"/>
      </w:pPr>
      <w:r w:rsidRPr="000363FD">
        <w:t xml:space="preserve">Za tím účelem NKÚ prověřil činnost MMR při naplňování strategických cílů </w:t>
      </w:r>
      <w:r w:rsidR="00301E52">
        <w:t xml:space="preserve">těchto koncepcí </w:t>
      </w:r>
      <w:r w:rsidR="0065050D">
        <w:br/>
      </w:r>
      <w:r w:rsidRPr="000363FD">
        <w:t>a</w:t>
      </w:r>
      <w:r w:rsidR="0065050D">
        <w:t xml:space="preserve"> </w:t>
      </w:r>
      <w:r w:rsidRPr="000363FD">
        <w:t xml:space="preserve">zároveň činnost MMR a SFPI při výběru a hodnocení projektových žádostí, při kontrole realizace projektů, monitorování průběžných výsledků a </w:t>
      </w:r>
      <w:r w:rsidR="00B0639D">
        <w:t xml:space="preserve">při </w:t>
      </w:r>
      <w:r w:rsidRPr="000363FD">
        <w:t>závěrečné</w:t>
      </w:r>
      <w:r w:rsidR="00B0639D">
        <w:t>m</w:t>
      </w:r>
      <w:r w:rsidRPr="000363FD">
        <w:t xml:space="preserve"> vyhodnocování. </w:t>
      </w:r>
      <w:r w:rsidRPr="000363FD">
        <w:br/>
        <w:t>U vybraných 2</w:t>
      </w:r>
      <w:r w:rsidR="005F397B" w:rsidRPr="000363FD">
        <w:t>4</w:t>
      </w:r>
      <w:r w:rsidRPr="000363FD">
        <w:t xml:space="preserve"> příjemců podpory pak NKÚ ověřil použití poskytnutých peněžních prostředků z hlediska účelnosti, hospodárnosti a souladu s právními předpisy.</w:t>
      </w:r>
    </w:p>
    <w:p w14:paraId="7D19F54D" w14:textId="3F8A2B82" w:rsidR="002A6422" w:rsidRPr="000363FD" w:rsidRDefault="00455CD6" w:rsidP="001E126B">
      <w:pPr>
        <w:spacing w:after="120"/>
        <w:rPr>
          <w:szCs w:val="24"/>
        </w:rPr>
      </w:pPr>
      <w:r w:rsidRPr="000363FD">
        <w:rPr>
          <w:szCs w:val="24"/>
        </w:rPr>
        <w:t xml:space="preserve">Předmětem kontroly u MMR byly prostředky poskytnuté </w:t>
      </w:r>
      <w:r w:rsidR="0065050D">
        <w:rPr>
          <w:szCs w:val="24"/>
        </w:rPr>
        <w:t>na</w:t>
      </w:r>
      <w:r w:rsidRPr="000363FD">
        <w:rPr>
          <w:szCs w:val="24"/>
        </w:rPr>
        <w:t xml:space="preserve"> oblast bydlení z podprogramů </w:t>
      </w:r>
      <w:r w:rsidRPr="000363FD">
        <w:rPr>
          <w:i/>
          <w:szCs w:val="24"/>
        </w:rPr>
        <w:t>Regenerace sídlišť</w:t>
      </w:r>
      <w:r w:rsidRPr="00756C02">
        <w:rPr>
          <w:szCs w:val="24"/>
        </w:rPr>
        <w:t>,</w:t>
      </w:r>
      <w:r w:rsidRPr="000363FD">
        <w:rPr>
          <w:i/>
          <w:szCs w:val="24"/>
        </w:rPr>
        <w:t xml:space="preserve"> Bytové domy bez bariér</w:t>
      </w:r>
      <w:r w:rsidRPr="00756C02">
        <w:rPr>
          <w:szCs w:val="24"/>
        </w:rPr>
        <w:t>,</w:t>
      </w:r>
      <w:r w:rsidRPr="000363FD">
        <w:rPr>
          <w:i/>
          <w:szCs w:val="24"/>
        </w:rPr>
        <w:t xml:space="preserve"> Podporované byty</w:t>
      </w:r>
      <w:r w:rsidRPr="00756C02">
        <w:rPr>
          <w:szCs w:val="24"/>
        </w:rPr>
        <w:t>,</w:t>
      </w:r>
      <w:r w:rsidR="001858C7">
        <w:rPr>
          <w:i/>
          <w:szCs w:val="24"/>
        </w:rPr>
        <w:t xml:space="preserve"> Technická infrastruktura</w:t>
      </w:r>
      <w:r w:rsidR="001858C7" w:rsidRPr="00756C02">
        <w:rPr>
          <w:szCs w:val="24"/>
        </w:rPr>
        <w:t>,</w:t>
      </w:r>
      <w:r w:rsidRPr="000363FD">
        <w:rPr>
          <w:i/>
          <w:szCs w:val="24"/>
        </w:rPr>
        <w:t xml:space="preserve"> Výstavba bytů v oblastech se </w:t>
      </w:r>
      <w:r w:rsidR="00E12603">
        <w:rPr>
          <w:i/>
          <w:szCs w:val="24"/>
        </w:rPr>
        <w:t xml:space="preserve">strategickou průmyslovou zónou </w:t>
      </w:r>
      <w:r w:rsidR="00E12603" w:rsidRPr="00756C02">
        <w:rPr>
          <w:szCs w:val="24"/>
        </w:rPr>
        <w:t>(dále též „SPZ“)</w:t>
      </w:r>
      <w:r w:rsidR="001858C7">
        <w:rPr>
          <w:i/>
          <w:szCs w:val="24"/>
        </w:rPr>
        <w:t xml:space="preserve"> </w:t>
      </w:r>
      <w:r w:rsidR="001858C7" w:rsidRPr="00756C02">
        <w:rPr>
          <w:szCs w:val="24"/>
        </w:rPr>
        <w:t xml:space="preserve">a </w:t>
      </w:r>
      <w:r w:rsidRPr="000363FD">
        <w:rPr>
          <w:i/>
          <w:szCs w:val="24"/>
        </w:rPr>
        <w:t>Výstavba technické infrastruktury v oblastech se SPZ</w:t>
      </w:r>
      <w:r w:rsidR="001858C7" w:rsidRPr="00756C02">
        <w:rPr>
          <w:szCs w:val="24"/>
        </w:rPr>
        <w:t>.</w:t>
      </w:r>
      <w:r w:rsidRPr="000363FD">
        <w:rPr>
          <w:i/>
          <w:szCs w:val="24"/>
        </w:rPr>
        <w:t xml:space="preserve"> </w:t>
      </w:r>
      <w:r w:rsidRPr="000363FD">
        <w:rPr>
          <w:szCs w:val="24"/>
        </w:rPr>
        <w:t>U</w:t>
      </w:r>
      <w:r w:rsidR="0065050D">
        <w:rPr>
          <w:szCs w:val="24"/>
        </w:rPr>
        <w:t xml:space="preserve"> </w:t>
      </w:r>
      <w:r w:rsidR="00551685" w:rsidRPr="000363FD">
        <w:rPr>
          <w:szCs w:val="24"/>
        </w:rPr>
        <w:t>pěti</w:t>
      </w:r>
      <w:r w:rsidR="0065050D">
        <w:rPr>
          <w:szCs w:val="24"/>
        </w:rPr>
        <w:t xml:space="preserve"> </w:t>
      </w:r>
      <w:r w:rsidRPr="000363FD">
        <w:rPr>
          <w:szCs w:val="24"/>
        </w:rPr>
        <w:t>vybraných projektů z</w:t>
      </w:r>
      <w:r w:rsidR="0065050D">
        <w:rPr>
          <w:szCs w:val="24"/>
        </w:rPr>
        <w:t xml:space="preserve"> </w:t>
      </w:r>
      <w:r w:rsidRPr="000363FD">
        <w:rPr>
          <w:szCs w:val="24"/>
        </w:rPr>
        <w:t xml:space="preserve">podprogramu </w:t>
      </w:r>
      <w:r w:rsidRPr="000363FD">
        <w:rPr>
          <w:i/>
          <w:szCs w:val="24"/>
        </w:rPr>
        <w:t xml:space="preserve">Technická infrastruktura </w:t>
      </w:r>
      <w:r w:rsidRPr="000363FD">
        <w:rPr>
          <w:szCs w:val="24"/>
        </w:rPr>
        <w:t>byl prověřován proces administrace žádostí o dotaci, u 14 vybraných projektů z</w:t>
      </w:r>
      <w:r w:rsidR="0065050D">
        <w:rPr>
          <w:szCs w:val="24"/>
        </w:rPr>
        <w:t xml:space="preserve"> </w:t>
      </w:r>
      <w:r w:rsidRPr="000363FD">
        <w:rPr>
          <w:szCs w:val="24"/>
        </w:rPr>
        <w:t>ostatních podprogramů bylo zkontrolováno použití poskytnutých prostředků u</w:t>
      </w:r>
      <w:r w:rsidR="0065050D">
        <w:rPr>
          <w:szCs w:val="24"/>
        </w:rPr>
        <w:t> </w:t>
      </w:r>
      <w:r w:rsidRPr="000363FD">
        <w:rPr>
          <w:szCs w:val="24"/>
        </w:rPr>
        <w:t xml:space="preserve">příjemců. Pro účely kontroly oblasti hodnocení a výběru projektů doplnili kontrolující NKÚ základní kontrolní vzorek o </w:t>
      </w:r>
      <w:r w:rsidR="00476CC2" w:rsidRPr="000363FD">
        <w:rPr>
          <w:szCs w:val="24"/>
        </w:rPr>
        <w:t>šest</w:t>
      </w:r>
      <w:r w:rsidRPr="000363FD">
        <w:rPr>
          <w:szCs w:val="24"/>
        </w:rPr>
        <w:t xml:space="preserve"> projektů vyřazených z financování. </w:t>
      </w:r>
    </w:p>
    <w:p w14:paraId="67E48182" w14:textId="2F18FCF9" w:rsidR="002A6422" w:rsidRPr="00756C02" w:rsidRDefault="00455CD6" w:rsidP="001E126B">
      <w:pPr>
        <w:spacing w:after="120"/>
        <w:rPr>
          <w:szCs w:val="24"/>
        </w:rPr>
      </w:pPr>
      <w:r w:rsidRPr="000363FD">
        <w:rPr>
          <w:szCs w:val="24"/>
        </w:rPr>
        <w:t xml:space="preserve">Kontrola NKÚ u SFPI se zaměřila na prostředky programů </w:t>
      </w:r>
      <w:r w:rsidRPr="000363FD">
        <w:rPr>
          <w:i/>
        </w:rPr>
        <w:t>Výstavba pro obce</w:t>
      </w:r>
      <w:r w:rsidRPr="000363FD">
        <w:t xml:space="preserve">, </w:t>
      </w:r>
      <w:r w:rsidRPr="000363FD">
        <w:rPr>
          <w:i/>
        </w:rPr>
        <w:t>Regenerace sídlišť</w:t>
      </w:r>
      <w:r w:rsidRPr="00756C02">
        <w:rPr>
          <w:szCs w:val="24"/>
        </w:rPr>
        <w:t>,</w:t>
      </w:r>
      <w:r w:rsidRPr="000363FD">
        <w:rPr>
          <w:i/>
          <w:szCs w:val="24"/>
        </w:rPr>
        <w:t xml:space="preserve"> Nájemní byty </w:t>
      </w:r>
      <w:r w:rsidRPr="00756C02">
        <w:rPr>
          <w:szCs w:val="24"/>
        </w:rPr>
        <w:t xml:space="preserve">a </w:t>
      </w:r>
      <w:r w:rsidRPr="000363FD">
        <w:rPr>
          <w:i/>
          <w:szCs w:val="24"/>
        </w:rPr>
        <w:t>Panel 2013+</w:t>
      </w:r>
      <w:r w:rsidRPr="000363FD">
        <w:rPr>
          <w:szCs w:val="24"/>
        </w:rPr>
        <w:t xml:space="preserve">. U dotačně úvěrových programů (možnost kombinované </w:t>
      </w:r>
      <w:r w:rsidRPr="000363FD">
        <w:rPr>
          <w:szCs w:val="24"/>
        </w:rPr>
        <w:lastRenderedPageBreak/>
        <w:t xml:space="preserve">podpory) </w:t>
      </w:r>
      <w:r w:rsidRPr="000363FD">
        <w:rPr>
          <w:i/>
          <w:szCs w:val="24"/>
        </w:rPr>
        <w:t xml:space="preserve">Výstavba pro obce a Regenerace sídlišť </w:t>
      </w:r>
      <w:r w:rsidRPr="000363FD">
        <w:rPr>
          <w:szCs w:val="24"/>
        </w:rPr>
        <w:t>byly ke kontrole NKÚ vybrány jen dotační projekty, neboť o úvěrovou podporu z těchto programů projevovali příjemci (obce) malý zájem</w:t>
      </w:r>
      <w:r w:rsidR="00BC4FA8">
        <w:rPr>
          <w:szCs w:val="24"/>
        </w:rPr>
        <w:t>, protože</w:t>
      </w:r>
      <w:r w:rsidR="001858C7">
        <w:rPr>
          <w:szCs w:val="24"/>
        </w:rPr>
        <w:t xml:space="preserve"> </w:t>
      </w:r>
      <w:r w:rsidRPr="000363FD">
        <w:rPr>
          <w:szCs w:val="24"/>
        </w:rPr>
        <w:t xml:space="preserve">podmínkou pro získání úvěru bylo </w:t>
      </w:r>
      <w:r w:rsidR="00910D54">
        <w:rPr>
          <w:szCs w:val="24"/>
        </w:rPr>
        <w:t xml:space="preserve">současné </w:t>
      </w:r>
      <w:r w:rsidRPr="000363FD">
        <w:rPr>
          <w:szCs w:val="24"/>
        </w:rPr>
        <w:t>čerpání dotace z</w:t>
      </w:r>
      <w:r w:rsidR="00C15E21">
        <w:rPr>
          <w:szCs w:val="24"/>
        </w:rPr>
        <w:t xml:space="preserve"> </w:t>
      </w:r>
      <w:r w:rsidRPr="000363FD">
        <w:rPr>
          <w:szCs w:val="24"/>
        </w:rPr>
        <w:t>příslušného programu. U projektů z</w:t>
      </w:r>
      <w:r w:rsidR="00C15E21">
        <w:rPr>
          <w:szCs w:val="24"/>
        </w:rPr>
        <w:t xml:space="preserve"> </w:t>
      </w:r>
      <w:r w:rsidRPr="000363FD">
        <w:rPr>
          <w:szCs w:val="24"/>
        </w:rPr>
        <w:t xml:space="preserve">programu </w:t>
      </w:r>
      <w:r w:rsidRPr="000363FD">
        <w:rPr>
          <w:i/>
          <w:szCs w:val="24"/>
        </w:rPr>
        <w:t>Panel 2013+</w:t>
      </w:r>
      <w:r w:rsidRPr="000363FD">
        <w:rPr>
          <w:szCs w:val="24"/>
        </w:rPr>
        <w:t xml:space="preserve"> byly kontrolovány podmínky poskytování </w:t>
      </w:r>
      <w:r w:rsidR="00C15E21">
        <w:rPr>
          <w:szCs w:val="24"/>
        </w:rPr>
        <w:br/>
      </w:r>
      <w:r w:rsidRPr="000363FD">
        <w:rPr>
          <w:szCs w:val="24"/>
        </w:rPr>
        <w:t>a</w:t>
      </w:r>
      <w:r w:rsidR="00C15E21">
        <w:rPr>
          <w:szCs w:val="24"/>
        </w:rPr>
        <w:t xml:space="preserve"> </w:t>
      </w:r>
      <w:r w:rsidRPr="000363FD">
        <w:rPr>
          <w:szCs w:val="24"/>
        </w:rPr>
        <w:t xml:space="preserve">administrace úvěrové podpory, u ostatních projektů vybraných ke kontrole bylo zkontrolováno použití poskytnutých </w:t>
      </w:r>
      <w:r w:rsidRPr="00AA5E20">
        <w:rPr>
          <w:szCs w:val="24"/>
        </w:rPr>
        <w:t xml:space="preserve">prostředků u příjemců podpory. </w:t>
      </w:r>
      <w:r w:rsidR="004578FE" w:rsidRPr="00AA5E20">
        <w:rPr>
          <w:szCs w:val="24"/>
        </w:rPr>
        <w:t>H</w:t>
      </w:r>
      <w:r w:rsidRPr="00AA5E20">
        <w:rPr>
          <w:szCs w:val="24"/>
        </w:rPr>
        <w:t>odnocení a výběr projektů</w:t>
      </w:r>
      <w:r w:rsidR="00756C02">
        <w:rPr>
          <w:szCs w:val="24"/>
        </w:rPr>
        <w:t xml:space="preserve"> o</w:t>
      </w:r>
      <w:r w:rsidR="00A656F2">
        <w:rPr>
          <w:szCs w:val="24"/>
        </w:rPr>
        <w:t xml:space="preserve">věřili </w:t>
      </w:r>
      <w:r w:rsidRPr="00AA5E20">
        <w:rPr>
          <w:szCs w:val="24"/>
        </w:rPr>
        <w:t xml:space="preserve">kontrolující NKÚ </w:t>
      </w:r>
      <w:r w:rsidR="004578FE" w:rsidRPr="00AA5E20">
        <w:rPr>
          <w:szCs w:val="24"/>
        </w:rPr>
        <w:t>na</w:t>
      </w:r>
      <w:r w:rsidR="00AA5E20" w:rsidRPr="00AA5E20">
        <w:rPr>
          <w:szCs w:val="24"/>
        </w:rPr>
        <w:t xml:space="preserve"> </w:t>
      </w:r>
      <w:r w:rsidRPr="00AA5E20">
        <w:rPr>
          <w:szCs w:val="24"/>
        </w:rPr>
        <w:t>vzor</w:t>
      </w:r>
      <w:r w:rsidR="004578FE" w:rsidRPr="00AA5E20">
        <w:rPr>
          <w:szCs w:val="24"/>
        </w:rPr>
        <w:t>ku</w:t>
      </w:r>
      <w:r w:rsidRPr="00AA5E20">
        <w:rPr>
          <w:szCs w:val="24"/>
        </w:rPr>
        <w:t xml:space="preserve"> 1</w:t>
      </w:r>
      <w:r w:rsidR="004578FE" w:rsidRPr="00AA5E20">
        <w:rPr>
          <w:szCs w:val="24"/>
        </w:rPr>
        <w:t>4</w:t>
      </w:r>
      <w:r w:rsidRPr="00AA5E20">
        <w:rPr>
          <w:szCs w:val="24"/>
        </w:rPr>
        <w:t xml:space="preserve"> projektů</w:t>
      </w:r>
      <w:r w:rsidR="004578FE" w:rsidRPr="00AA5E20">
        <w:rPr>
          <w:szCs w:val="24"/>
        </w:rPr>
        <w:t xml:space="preserve"> (11 úspěšných, 3 neúspěšné)</w:t>
      </w:r>
      <w:r w:rsidRPr="00AA5E20">
        <w:rPr>
          <w:szCs w:val="24"/>
        </w:rPr>
        <w:t xml:space="preserve"> v rámci vybraných programů </w:t>
      </w:r>
      <w:r w:rsidRPr="00AA5E20">
        <w:rPr>
          <w:i/>
          <w:szCs w:val="24"/>
        </w:rPr>
        <w:t>Výstavba pro obce</w:t>
      </w:r>
      <w:r w:rsidRPr="00756C02">
        <w:rPr>
          <w:szCs w:val="24"/>
        </w:rPr>
        <w:t>,</w:t>
      </w:r>
      <w:r w:rsidRPr="00AA5E20">
        <w:rPr>
          <w:i/>
          <w:szCs w:val="24"/>
        </w:rPr>
        <w:t xml:space="preserve"> Regenerace sídlišť </w:t>
      </w:r>
      <w:r w:rsidRPr="00756C02">
        <w:rPr>
          <w:szCs w:val="24"/>
        </w:rPr>
        <w:t xml:space="preserve">a </w:t>
      </w:r>
      <w:r w:rsidRPr="00AA5E20">
        <w:rPr>
          <w:i/>
          <w:szCs w:val="24"/>
        </w:rPr>
        <w:t>Nájemní byty</w:t>
      </w:r>
      <w:r w:rsidRPr="00756C02">
        <w:rPr>
          <w:szCs w:val="24"/>
        </w:rPr>
        <w:t>.</w:t>
      </w:r>
    </w:p>
    <w:p w14:paraId="44493FDA" w14:textId="394D16E9" w:rsidR="002A6422" w:rsidRPr="000363FD" w:rsidRDefault="00455CD6" w:rsidP="001E126B">
      <w:pPr>
        <w:spacing w:after="120"/>
      </w:pPr>
      <w:r w:rsidRPr="000363FD">
        <w:t xml:space="preserve">Kontrolovaný objem činil </w:t>
      </w:r>
      <w:r w:rsidR="00AB6FBA" w:rsidRPr="000363FD">
        <w:t xml:space="preserve">celkem </w:t>
      </w:r>
      <w:r w:rsidRPr="000363FD">
        <w:t>402 269 627 Kč (tj. 7,5 % ze skutečně vyplacené a vyčerpané podpory z</w:t>
      </w:r>
      <w:r w:rsidR="00C15E21">
        <w:t xml:space="preserve"> </w:t>
      </w:r>
      <w:r w:rsidRPr="000363FD">
        <w:t>kontrolovaných programů v</w:t>
      </w:r>
      <w:r w:rsidR="00C15E21">
        <w:t xml:space="preserve"> </w:t>
      </w:r>
      <w:r w:rsidRPr="000363FD">
        <w:t>období 2016–2022</w:t>
      </w:r>
      <w:r w:rsidR="00476CC2" w:rsidRPr="000363FD">
        <w:t>)</w:t>
      </w:r>
      <w:r w:rsidRPr="000363FD">
        <w:t>, z</w:t>
      </w:r>
      <w:r w:rsidR="00C15E21">
        <w:t xml:space="preserve"> </w:t>
      </w:r>
      <w:r w:rsidRPr="000363FD">
        <w:t>toho kontrolovaný objem prověřený na úrovni poskytovatelů podpory činil 13</w:t>
      </w:r>
      <w:r w:rsidR="005F397B" w:rsidRPr="000363FD">
        <w:t>9</w:t>
      </w:r>
      <w:r w:rsidR="00C15E21">
        <w:t xml:space="preserve"> </w:t>
      </w:r>
      <w:r w:rsidR="005F397B" w:rsidRPr="000363FD">
        <w:t>887</w:t>
      </w:r>
      <w:r w:rsidRPr="000363FD">
        <w:t xml:space="preserve"> </w:t>
      </w:r>
      <w:r w:rsidR="005F397B" w:rsidRPr="000363FD">
        <w:t>963</w:t>
      </w:r>
      <w:r w:rsidRPr="000363FD">
        <w:t xml:space="preserve"> Kč</w:t>
      </w:r>
      <w:r w:rsidR="000F07B1">
        <w:t xml:space="preserve"> a</w:t>
      </w:r>
      <w:r w:rsidRPr="000363FD">
        <w:t xml:space="preserve"> kontrolovaný objem prověřený u schválených realizovaných projektů u příjemců činil 26</w:t>
      </w:r>
      <w:r w:rsidR="005F397B" w:rsidRPr="000363FD">
        <w:t>2 381 664</w:t>
      </w:r>
      <w:r w:rsidRPr="000363FD">
        <w:t xml:space="preserve"> Kč</w:t>
      </w:r>
      <w:r w:rsidR="00BC4FA8">
        <w:t>.</w:t>
      </w:r>
      <w:r>
        <w:rPr>
          <w:rStyle w:val="Znakapoznpodarou"/>
        </w:rPr>
        <w:footnoteReference w:id="37"/>
      </w:r>
    </w:p>
    <w:p w14:paraId="4923700D" w14:textId="77777777" w:rsidR="002A6422" w:rsidRDefault="00455CD6" w:rsidP="001E126B">
      <w:pPr>
        <w:spacing w:after="120"/>
      </w:pPr>
      <w:r>
        <w:t>Jako metoda výběru vzorku byl zvolen kvótní výběr, kdy kvóty představují předem specifikované skupiny, tj. žádosti o podporu vztahující se ke konkrétní oblasti intervence (program, podprogram, dotační titul). Přitom byla zajištěna shoda výběrového souboru se základním souborem z hlediska vybraných identifikačních znaků a zároveň shoda v rozdělení ostatních specifických znaků. Tím bylo zajištěno přiměřené zastoupení všech programů ve vzorku projektů.</w:t>
      </w:r>
    </w:p>
    <w:p w14:paraId="6F8E851A" w14:textId="4FB2F509" w:rsidR="0085661D" w:rsidRPr="003E3DCF" w:rsidRDefault="00AA11DD" w:rsidP="001E126B">
      <w:pPr>
        <w:spacing w:after="120"/>
        <w:rPr>
          <w:rFonts w:cstheme="minorHAnsi"/>
          <w:szCs w:val="24"/>
        </w:rPr>
      </w:pPr>
      <w:r w:rsidRPr="000363FD">
        <w:rPr>
          <w:rFonts w:cstheme="minorHAnsi"/>
          <w:szCs w:val="24"/>
        </w:rPr>
        <w:t>Poj</w:t>
      </w:r>
      <w:r w:rsidR="00C15E21">
        <w:rPr>
          <w:rFonts w:cstheme="minorHAnsi"/>
          <w:szCs w:val="24"/>
        </w:rPr>
        <w:t>my</w:t>
      </w:r>
      <w:r w:rsidRPr="000363FD">
        <w:rPr>
          <w:rFonts w:cstheme="minorHAnsi"/>
          <w:szCs w:val="24"/>
        </w:rPr>
        <w:t xml:space="preserve"> účelnost a hospodárnost j</w:t>
      </w:r>
      <w:r w:rsidR="00C15E21">
        <w:rPr>
          <w:rFonts w:cstheme="minorHAnsi"/>
          <w:szCs w:val="24"/>
        </w:rPr>
        <w:t>sou</w:t>
      </w:r>
      <w:r w:rsidRPr="000363FD">
        <w:rPr>
          <w:rFonts w:cstheme="minorHAnsi"/>
          <w:szCs w:val="24"/>
        </w:rPr>
        <w:t xml:space="preserve"> vymezen</w:t>
      </w:r>
      <w:r w:rsidR="00C15E21">
        <w:rPr>
          <w:rFonts w:cstheme="minorHAnsi"/>
          <w:szCs w:val="24"/>
        </w:rPr>
        <w:t>y</w:t>
      </w:r>
      <w:r w:rsidRPr="000363FD">
        <w:rPr>
          <w:rFonts w:cstheme="minorHAnsi"/>
          <w:szCs w:val="24"/>
        </w:rPr>
        <w:t xml:space="preserve"> v zákoně o finanční kontrole</w:t>
      </w:r>
      <w:r>
        <w:rPr>
          <w:rFonts w:cstheme="minorHAnsi"/>
          <w:szCs w:val="24"/>
          <w:vertAlign w:val="superscript"/>
        </w:rPr>
        <w:footnoteReference w:id="38"/>
      </w:r>
      <w:r w:rsidR="002D35DC">
        <w:rPr>
          <w:rFonts w:cstheme="minorHAnsi"/>
          <w:szCs w:val="24"/>
        </w:rPr>
        <w:t xml:space="preserve">. </w:t>
      </w:r>
      <w:r w:rsidR="00455CD6" w:rsidRPr="002A43EE">
        <w:rPr>
          <w:rFonts w:cstheme="minorHAnsi"/>
          <w:szCs w:val="24"/>
        </w:rPr>
        <w:t>K</w:t>
      </w:r>
      <w:r w:rsidR="00CC2970">
        <w:rPr>
          <w:rFonts w:cstheme="minorHAnsi"/>
          <w:szCs w:val="24"/>
        </w:rPr>
        <w:t> </w:t>
      </w:r>
      <w:r w:rsidR="00455CD6" w:rsidRPr="002A43EE">
        <w:rPr>
          <w:rFonts w:cstheme="minorHAnsi"/>
          <w:szCs w:val="24"/>
        </w:rPr>
        <w:t>vyhodnocení</w:t>
      </w:r>
      <w:r w:rsidR="00CC2970">
        <w:rPr>
          <w:rFonts w:cstheme="minorHAnsi"/>
          <w:szCs w:val="24"/>
        </w:rPr>
        <w:t xml:space="preserve"> účelnosti, hospodárnosti a souladu s</w:t>
      </w:r>
      <w:r w:rsidR="00C15E21">
        <w:rPr>
          <w:rFonts w:cstheme="minorHAnsi"/>
          <w:szCs w:val="24"/>
        </w:rPr>
        <w:t xml:space="preserve"> </w:t>
      </w:r>
      <w:r w:rsidR="00CC2970">
        <w:rPr>
          <w:rFonts w:cstheme="minorHAnsi"/>
          <w:szCs w:val="24"/>
        </w:rPr>
        <w:t xml:space="preserve">právními předpisy </w:t>
      </w:r>
      <w:r w:rsidR="00455CD6" w:rsidRPr="002A43EE">
        <w:rPr>
          <w:rFonts w:cstheme="minorHAnsi"/>
          <w:szCs w:val="24"/>
        </w:rPr>
        <w:t>vytvořil</w:t>
      </w:r>
      <w:r w:rsidR="00E45736" w:rsidRPr="002A43EE">
        <w:rPr>
          <w:rFonts w:cstheme="minorHAnsi"/>
          <w:szCs w:val="24"/>
        </w:rPr>
        <w:t xml:space="preserve"> </w:t>
      </w:r>
      <w:r w:rsidR="002A43EE">
        <w:rPr>
          <w:rFonts w:cstheme="minorHAnsi"/>
          <w:szCs w:val="24"/>
        </w:rPr>
        <w:t>NKÚ</w:t>
      </w:r>
      <w:r w:rsidR="00E45736">
        <w:rPr>
          <w:rFonts w:cstheme="minorHAnsi"/>
          <w:szCs w:val="24"/>
        </w:rPr>
        <w:t xml:space="preserve"> </w:t>
      </w:r>
      <w:r w:rsidR="00455CD6" w:rsidRPr="002A43EE">
        <w:rPr>
          <w:rFonts w:cstheme="minorHAnsi"/>
          <w:szCs w:val="24"/>
        </w:rPr>
        <w:t>stupnici</w:t>
      </w:r>
      <w:r w:rsidR="0094247A" w:rsidRPr="002A43EE">
        <w:rPr>
          <w:rFonts w:cstheme="minorHAnsi"/>
          <w:szCs w:val="24"/>
        </w:rPr>
        <w:t xml:space="preserve"> hodnocení</w:t>
      </w:r>
      <w:r w:rsidR="00CC2970" w:rsidRPr="002A43EE">
        <w:rPr>
          <w:rFonts w:cstheme="minorHAnsi"/>
          <w:szCs w:val="24"/>
        </w:rPr>
        <w:t xml:space="preserve"> </w:t>
      </w:r>
      <w:r w:rsidR="0094247A" w:rsidRPr="002A43EE">
        <w:rPr>
          <w:rFonts w:cstheme="minorHAnsi"/>
          <w:szCs w:val="24"/>
        </w:rPr>
        <w:t>kontrolovaných</w:t>
      </w:r>
      <w:r w:rsidR="00C15E21">
        <w:rPr>
          <w:rFonts w:cstheme="minorHAnsi"/>
          <w:szCs w:val="24"/>
        </w:rPr>
        <w:t xml:space="preserve"> </w:t>
      </w:r>
      <w:r w:rsidR="00D4233D" w:rsidRPr="002A43EE">
        <w:rPr>
          <w:rFonts w:cstheme="minorHAnsi"/>
          <w:szCs w:val="24"/>
        </w:rPr>
        <w:t>projektů</w:t>
      </w:r>
      <w:r w:rsidR="0094247A" w:rsidRPr="002A43EE">
        <w:rPr>
          <w:rFonts w:cstheme="minorHAnsi"/>
          <w:szCs w:val="24"/>
        </w:rPr>
        <w:t xml:space="preserve">. </w:t>
      </w:r>
      <w:r w:rsidR="00423D68" w:rsidRPr="002A43EE">
        <w:rPr>
          <w:rFonts w:cstheme="minorHAnsi"/>
          <w:szCs w:val="24"/>
        </w:rPr>
        <w:t xml:space="preserve">Kompletní hodnocení projektů je uvedeno </w:t>
      </w:r>
      <w:r w:rsidR="00423D68" w:rsidRPr="003E3DCF">
        <w:rPr>
          <w:rFonts w:cstheme="minorHAnsi"/>
          <w:szCs w:val="24"/>
        </w:rPr>
        <w:t>v</w:t>
      </w:r>
      <w:r w:rsidR="00C15E21">
        <w:rPr>
          <w:rFonts w:cstheme="minorHAnsi"/>
          <w:szCs w:val="24"/>
        </w:rPr>
        <w:t xml:space="preserve"> </w:t>
      </w:r>
      <w:r w:rsidR="00423D68" w:rsidRPr="003E3DCF">
        <w:rPr>
          <w:rFonts w:cstheme="minorHAnsi"/>
          <w:szCs w:val="24"/>
        </w:rPr>
        <w:t xml:space="preserve">příloze č. 1 </w:t>
      </w:r>
      <w:r w:rsidR="00C15E21">
        <w:rPr>
          <w:rFonts w:cstheme="minorHAnsi"/>
          <w:szCs w:val="24"/>
        </w:rPr>
        <w:t xml:space="preserve">tohoto </w:t>
      </w:r>
      <w:r w:rsidR="00423D68" w:rsidRPr="003E3DCF">
        <w:rPr>
          <w:rFonts w:cstheme="minorHAnsi"/>
          <w:szCs w:val="24"/>
        </w:rPr>
        <w:t>kontrolního závěr</w:t>
      </w:r>
      <w:r w:rsidR="00D01BB6">
        <w:rPr>
          <w:rFonts w:cstheme="minorHAnsi"/>
          <w:szCs w:val="24"/>
        </w:rPr>
        <w:t>u.</w:t>
      </w:r>
      <w:r w:rsidR="00645FA3">
        <w:rPr>
          <w:rFonts w:cstheme="minorHAnsi"/>
          <w:szCs w:val="24"/>
        </w:rPr>
        <w:t xml:space="preserve"> </w:t>
      </w:r>
      <w:r w:rsidR="00D01BB6">
        <w:rPr>
          <w:rFonts w:cstheme="minorHAnsi"/>
          <w:szCs w:val="24"/>
        </w:rPr>
        <w:t>K</w:t>
      </w:r>
      <w:r w:rsidR="00645FA3">
        <w:rPr>
          <w:rFonts w:cstheme="minorHAnsi"/>
          <w:szCs w:val="24"/>
        </w:rPr>
        <w:t>ritéria hodnocení jsou uvedena v přílo</w:t>
      </w:r>
      <w:r w:rsidR="002D35DC">
        <w:rPr>
          <w:rFonts w:cstheme="minorHAnsi"/>
          <w:szCs w:val="24"/>
        </w:rPr>
        <w:t>ze</w:t>
      </w:r>
      <w:r w:rsidR="00645FA3">
        <w:rPr>
          <w:rFonts w:cstheme="minorHAnsi"/>
          <w:szCs w:val="24"/>
        </w:rPr>
        <w:t xml:space="preserve"> č. </w:t>
      </w:r>
      <w:r w:rsidR="00330A1E">
        <w:rPr>
          <w:rFonts w:cstheme="minorHAnsi"/>
          <w:szCs w:val="24"/>
        </w:rPr>
        <w:t>2</w:t>
      </w:r>
      <w:r w:rsidR="00423D68" w:rsidRPr="003E3DCF">
        <w:rPr>
          <w:rFonts w:cstheme="minorHAnsi"/>
          <w:szCs w:val="24"/>
        </w:rPr>
        <w:t>.</w:t>
      </w:r>
    </w:p>
    <w:p w14:paraId="4995233E" w14:textId="33D1EFCB" w:rsidR="0085661D" w:rsidRPr="000363FD" w:rsidRDefault="00F614E7" w:rsidP="001E126B">
      <w:pPr>
        <w:spacing w:after="120"/>
        <w:rPr>
          <w:rFonts w:cstheme="minorHAnsi"/>
          <w:szCs w:val="24"/>
        </w:rPr>
      </w:pPr>
      <w:r>
        <w:rPr>
          <w:rFonts w:cstheme="minorHAnsi"/>
          <w:szCs w:val="24"/>
        </w:rPr>
        <w:t>NKÚ provedl h</w:t>
      </w:r>
      <w:r w:rsidR="00455CD6" w:rsidRPr="000363FD">
        <w:rPr>
          <w:rFonts w:cstheme="minorHAnsi"/>
          <w:szCs w:val="24"/>
        </w:rPr>
        <w:t xml:space="preserve">odnocení prostředků vynaložených na jednotlivé projekty v kontextu účelnosti a hospodárnosti </w:t>
      </w:r>
      <w:r w:rsidR="001677A1" w:rsidRPr="000363FD">
        <w:rPr>
          <w:rFonts w:cstheme="minorHAnsi"/>
          <w:szCs w:val="24"/>
        </w:rPr>
        <w:t>z hlediska</w:t>
      </w:r>
      <w:r w:rsidR="00455CD6" w:rsidRPr="000363FD">
        <w:rPr>
          <w:rFonts w:cstheme="minorHAnsi"/>
          <w:szCs w:val="24"/>
        </w:rPr>
        <w:t xml:space="preserve"> </w:t>
      </w:r>
      <w:r w:rsidR="00455CD6" w:rsidRPr="000363FD">
        <w:rPr>
          <w:rFonts w:cstheme="minorHAnsi"/>
          <w:szCs w:val="24"/>
          <w:u w:val="single"/>
        </w:rPr>
        <w:t>výstup</w:t>
      </w:r>
      <w:r w:rsidR="001677A1" w:rsidRPr="000363FD">
        <w:rPr>
          <w:rFonts w:cstheme="minorHAnsi"/>
          <w:szCs w:val="24"/>
          <w:u w:val="single"/>
        </w:rPr>
        <w:t>ů</w:t>
      </w:r>
      <w:r w:rsidR="00455CD6" w:rsidRPr="000363FD">
        <w:rPr>
          <w:rFonts w:cstheme="minorHAnsi"/>
          <w:szCs w:val="24"/>
        </w:rPr>
        <w:t xml:space="preserve"> (modernizace sídlišť, pořízení </w:t>
      </w:r>
      <w:r w:rsidR="003E6202" w:rsidRPr="000363FD">
        <w:rPr>
          <w:rFonts w:cstheme="minorHAnsi"/>
          <w:szCs w:val="24"/>
        </w:rPr>
        <w:t xml:space="preserve">sociálních nebo </w:t>
      </w:r>
      <w:r w:rsidR="00455CD6" w:rsidRPr="000363FD">
        <w:rPr>
          <w:rFonts w:cstheme="minorHAnsi"/>
          <w:szCs w:val="24"/>
        </w:rPr>
        <w:t xml:space="preserve">nájemních </w:t>
      </w:r>
      <w:r>
        <w:rPr>
          <w:rFonts w:cstheme="minorHAnsi"/>
          <w:szCs w:val="24"/>
        </w:rPr>
        <w:br/>
      </w:r>
      <w:r w:rsidR="003E6202" w:rsidRPr="000363FD">
        <w:rPr>
          <w:rFonts w:cstheme="minorHAnsi"/>
          <w:szCs w:val="24"/>
        </w:rPr>
        <w:t xml:space="preserve">a upravitelných </w:t>
      </w:r>
      <w:r w:rsidR="00455CD6" w:rsidRPr="000363FD">
        <w:rPr>
          <w:rFonts w:cstheme="minorHAnsi"/>
          <w:szCs w:val="24"/>
        </w:rPr>
        <w:t xml:space="preserve">bytů, pořízení výtahů, zainvestování pozemků pro následnou bytovou výstavbu), </w:t>
      </w:r>
      <w:r w:rsidR="00455CD6" w:rsidRPr="000363FD">
        <w:rPr>
          <w:rFonts w:cstheme="minorHAnsi"/>
          <w:szCs w:val="24"/>
          <w:u w:val="single"/>
        </w:rPr>
        <w:t>výsledk</w:t>
      </w:r>
      <w:r w:rsidR="001677A1" w:rsidRPr="000363FD">
        <w:rPr>
          <w:rFonts w:cstheme="minorHAnsi"/>
          <w:szCs w:val="24"/>
          <w:u w:val="single"/>
        </w:rPr>
        <w:t>ů</w:t>
      </w:r>
      <w:r w:rsidR="00455CD6" w:rsidRPr="000363FD">
        <w:rPr>
          <w:rFonts w:cstheme="minorHAnsi"/>
          <w:szCs w:val="24"/>
        </w:rPr>
        <w:t xml:space="preserve"> (zlepšení prostředí sídlišť, zajištění bydlení cílovou skupinou, bezbariérový přístup k</w:t>
      </w:r>
      <w:r w:rsidR="00F83D72">
        <w:rPr>
          <w:rFonts w:cstheme="minorHAnsi"/>
          <w:szCs w:val="24"/>
        </w:rPr>
        <w:t xml:space="preserve"> </w:t>
      </w:r>
      <w:r w:rsidR="00455CD6" w:rsidRPr="000363FD">
        <w:rPr>
          <w:rFonts w:cstheme="minorHAnsi"/>
          <w:szCs w:val="24"/>
        </w:rPr>
        <w:t xml:space="preserve">bydlení, nárůst trvale žijících obyvatel obcí v okolí </w:t>
      </w:r>
      <w:r w:rsidR="00423D68" w:rsidRPr="000363FD">
        <w:rPr>
          <w:rFonts w:cstheme="minorHAnsi"/>
          <w:szCs w:val="24"/>
        </w:rPr>
        <w:t>strategické průmyslové zóny</w:t>
      </w:r>
      <w:r w:rsidR="00455CD6" w:rsidRPr="000363FD">
        <w:rPr>
          <w:rFonts w:cstheme="minorHAnsi"/>
          <w:szCs w:val="24"/>
        </w:rPr>
        <w:t>) a</w:t>
      </w:r>
      <w:r w:rsidR="00C15E21">
        <w:rPr>
          <w:rFonts w:cstheme="minorHAnsi"/>
          <w:szCs w:val="24"/>
        </w:rPr>
        <w:t> </w:t>
      </w:r>
      <w:r w:rsidR="00455CD6" w:rsidRPr="000363FD">
        <w:rPr>
          <w:rFonts w:cstheme="minorHAnsi"/>
          <w:szCs w:val="24"/>
          <w:u w:val="single"/>
        </w:rPr>
        <w:t>přínos</w:t>
      </w:r>
      <w:r w:rsidR="001677A1" w:rsidRPr="000363FD">
        <w:rPr>
          <w:rFonts w:cstheme="minorHAnsi"/>
          <w:szCs w:val="24"/>
          <w:u w:val="single"/>
        </w:rPr>
        <w:t>ů</w:t>
      </w:r>
      <w:r w:rsidR="00455CD6" w:rsidRPr="000363FD">
        <w:rPr>
          <w:rFonts w:cstheme="minorHAnsi"/>
          <w:szCs w:val="24"/>
          <w:u w:val="single"/>
        </w:rPr>
        <w:t xml:space="preserve"> </w:t>
      </w:r>
      <w:r w:rsidR="00455CD6" w:rsidRPr="000363FD">
        <w:rPr>
          <w:rFonts w:cstheme="minorHAnsi"/>
          <w:szCs w:val="24"/>
        </w:rPr>
        <w:t>(dlouhodobější benefity pro dosažitelnost a kvalitu bydlení).</w:t>
      </w:r>
    </w:p>
    <w:p w14:paraId="7975D178" w14:textId="1D2316C7" w:rsidR="000B6889" w:rsidRDefault="00455CD6" w:rsidP="001E126B">
      <w:pPr>
        <w:spacing w:after="120"/>
      </w:pPr>
      <w:r w:rsidRPr="000363FD">
        <w:t xml:space="preserve">U příjemců ověřil </w:t>
      </w:r>
      <w:r w:rsidR="00C15E21" w:rsidRPr="000363FD">
        <w:t xml:space="preserve">NKÚ </w:t>
      </w:r>
      <w:r w:rsidR="00A42C8E" w:rsidRPr="000363FD">
        <w:t>rovněž</w:t>
      </w:r>
      <w:r w:rsidRPr="000363FD">
        <w:t xml:space="preserve"> dodržení podmínek poskytnuté podpory stanovených v</w:t>
      </w:r>
      <w:r w:rsidR="00423D68" w:rsidRPr="000363FD">
        <w:t> rozhodnutí o poskytnutí dotace</w:t>
      </w:r>
      <w:r w:rsidR="002A43EE">
        <w:t xml:space="preserve"> (dále též „</w:t>
      </w:r>
      <w:proofErr w:type="spellStart"/>
      <w:r w:rsidR="002A43EE">
        <w:t>RoPD</w:t>
      </w:r>
      <w:proofErr w:type="spellEnd"/>
      <w:r w:rsidR="002A43EE">
        <w:t>“)</w:t>
      </w:r>
      <w:r w:rsidR="001677A1" w:rsidRPr="000363FD">
        <w:t>, resp. smlouvě o úvěru</w:t>
      </w:r>
      <w:r w:rsidRPr="000363FD">
        <w:t>.</w:t>
      </w:r>
    </w:p>
    <w:p w14:paraId="37F1E187" w14:textId="3E784F0B" w:rsidR="00217B7C" w:rsidRDefault="00455CD6" w:rsidP="00EE63A2">
      <w:pPr>
        <w:spacing w:after="120"/>
        <w:ind w:left="709" w:hanging="709"/>
        <w:rPr>
          <w:rFonts w:cstheme="minorHAnsi"/>
          <w:sz w:val="22"/>
          <w:szCs w:val="22"/>
        </w:rPr>
      </w:pPr>
      <w:bookmarkStart w:id="5" w:name="_Hlk151991967"/>
      <w:r w:rsidRPr="00EE63A2">
        <w:rPr>
          <w:rFonts w:cstheme="minorHAnsi"/>
          <w:b/>
          <w:sz w:val="22"/>
          <w:szCs w:val="22"/>
        </w:rPr>
        <w:t>Pozn.:</w:t>
      </w:r>
      <w:r>
        <w:rPr>
          <w:rFonts w:cstheme="minorHAnsi"/>
          <w:sz w:val="22"/>
          <w:szCs w:val="22"/>
        </w:rPr>
        <w:t xml:space="preserve"> </w:t>
      </w:r>
      <w:r w:rsidR="00EE63A2">
        <w:rPr>
          <w:rFonts w:cstheme="minorHAnsi"/>
          <w:sz w:val="22"/>
          <w:szCs w:val="22"/>
        </w:rPr>
        <w:tab/>
      </w:r>
      <w:r>
        <w:rPr>
          <w:rFonts w:cstheme="minorHAnsi"/>
          <w:sz w:val="22"/>
          <w:szCs w:val="22"/>
        </w:rPr>
        <w:t>Právní předpisy uvedené v tomto kontrolním závěru jsou aplikovány ve znění účinném pro kontrolované období.</w:t>
      </w:r>
    </w:p>
    <w:bookmarkEnd w:id="5"/>
    <w:p w14:paraId="5565D87A" w14:textId="77777777" w:rsidR="000B6FF3" w:rsidRPr="00EC61A5" w:rsidRDefault="000B6FF3" w:rsidP="001E126B">
      <w:pPr>
        <w:spacing w:before="240" w:after="120"/>
        <w:rPr>
          <w:rFonts w:cstheme="minorHAnsi"/>
          <w:sz w:val="22"/>
          <w:szCs w:val="22"/>
        </w:rPr>
      </w:pPr>
    </w:p>
    <w:p w14:paraId="3F2E9165" w14:textId="77777777" w:rsidR="0044441C" w:rsidRDefault="00455CD6" w:rsidP="001E126B">
      <w:pPr>
        <w:pStyle w:val="Nadpis1"/>
        <w:numPr>
          <w:ilvl w:val="0"/>
          <w:numId w:val="0"/>
        </w:numPr>
        <w:ind w:left="1871" w:firstLine="289"/>
        <w:jc w:val="both"/>
      </w:pPr>
      <w:r>
        <w:t xml:space="preserve">IV. </w:t>
      </w:r>
      <w:r w:rsidR="009221B7" w:rsidRPr="008A1604">
        <w:t>Podrobné skutečnosti zjištěné kontrolou</w:t>
      </w:r>
    </w:p>
    <w:p w14:paraId="788C97B2" w14:textId="49FD947C" w:rsidR="008014B0" w:rsidRDefault="00455CD6" w:rsidP="001E126B">
      <w:pPr>
        <w:spacing w:before="240"/>
      </w:pPr>
      <w:r w:rsidRPr="00885A2E">
        <w:rPr>
          <w:b/>
        </w:rPr>
        <w:t>1</w:t>
      </w:r>
      <w:r w:rsidR="001677A1">
        <w:rPr>
          <w:b/>
        </w:rPr>
        <w:t>.</w:t>
      </w:r>
      <w:r w:rsidR="00344D3C">
        <w:t xml:space="preserve"> </w:t>
      </w:r>
      <w:r w:rsidR="00031849" w:rsidRPr="00885A2E">
        <w:rPr>
          <w:b/>
        </w:rPr>
        <w:t>Plnění cílů bytové politiky</w:t>
      </w:r>
      <w:r w:rsidR="00984A20">
        <w:rPr>
          <w:b/>
        </w:rPr>
        <w:t xml:space="preserve"> státu</w:t>
      </w:r>
    </w:p>
    <w:p w14:paraId="44A476DC" w14:textId="4CA071A9" w:rsidR="00A93722" w:rsidRDefault="00455CD6" w:rsidP="001E126B">
      <w:pPr>
        <w:spacing w:after="120"/>
      </w:pPr>
      <w:r w:rsidRPr="002B04E8">
        <w:t>MMR v</w:t>
      </w:r>
      <w:r w:rsidR="00B97727">
        <w:t xml:space="preserve"> </w:t>
      </w:r>
      <w:r w:rsidRPr="002B04E8">
        <w:t>průběhu let 2011</w:t>
      </w:r>
      <w:r w:rsidR="00B97727" w:rsidRPr="00B97727">
        <w:t>–</w:t>
      </w:r>
      <w:r w:rsidRPr="002B04E8">
        <w:t>2021 zpracovalo</w:t>
      </w:r>
      <w:r w:rsidR="002E6C6A">
        <w:t xml:space="preserve"> tři</w:t>
      </w:r>
      <w:r w:rsidRPr="002B04E8">
        <w:t xml:space="preserve"> strategické materiály</w:t>
      </w:r>
      <w:r w:rsidR="00B97727">
        <w:t xml:space="preserve">: </w:t>
      </w:r>
      <w:r w:rsidR="006D72A2" w:rsidRPr="00265851">
        <w:rPr>
          <w:rFonts w:ascii="Calibri" w:hAnsi="Calibri" w:cs="Calibri"/>
          <w:i/>
        </w:rPr>
        <w:t>Koncepci bydlení ČR do roku 2020</w:t>
      </w:r>
      <w:r w:rsidR="006D72A2" w:rsidRPr="002B04E8">
        <w:rPr>
          <w:rFonts w:ascii="Calibri" w:hAnsi="Calibri" w:cs="Calibri"/>
        </w:rPr>
        <w:t xml:space="preserve"> z</w:t>
      </w:r>
      <w:r w:rsidR="00B97727">
        <w:rPr>
          <w:rFonts w:ascii="Calibri" w:hAnsi="Calibri" w:cs="Calibri"/>
        </w:rPr>
        <w:t xml:space="preserve"> </w:t>
      </w:r>
      <w:r w:rsidR="006D72A2" w:rsidRPr="002B04E8">
        <w:rPr>
          <w:rFonts w:ascii="Calibri" w:hAnsi="Calibri" w:cs="Calibri"/>
        </w:rPr>
        <w:t xml:space="preserve">roku 2011, </w:t>
      </w:r>
      <w:r w:rsidR="006D72A2" w:rsidRPr="00265851">
        <w:rPr>
          <w:rFonts w:ascii="Calibri" w:hAnsi="Calibri" w:cs="Calibri"/>
          <w:i/>
        </w:rPr>
        <w:t>Koncepci bydlení České republiky do roku 2020 (revidovanou)</w:t>
      </w:r>
      <w:r w:rsidR="006D72A2" w:rsidRPr="002B04E8">
        <w:rPr>
          <w:rFonts w:ascii="Calibri" w:hAnsi="Calibri" w:cs="Calibri"/>
        </w:rPr>
        <w:t xml:space="preserve"> z</w:t>
      </w:r>
      <w:r w:rsidR="00B97727">
        <w:rPr>
          <w:rFonts w:ascii="Calibri" w:hAnsi="Calibri" w:cs="Calibri"/>
        </w:rPr>
        <w:t xml:space="preserve"> </w:t>
      </w:r>
      <w:r w:rsidR="006D72A2" w:rsidRPr="002B04E8">
        <w:rPr>
          <w:rFonts w:ascii="Calibri" w:hAnsi="Calibri" w:cs="Calibri"/>
        </w:rPr>
        <w:t>roku 2016 a</w:t>
      </w:r>
      <w:r w:rsidR="00B97727">
        <w:rPr>
          <w:rFonts w:ascii="Calibri" w:hAnsi="Calibri" w:cs="Calibri"/>
        </w:rPr>
        <w:t xml:space="preserve"> </w:t>
      </w:r>
      <w:r w:rsidR="006D72A2" w:rsidRPr="00265851">
        <w:rPr>
          <w:rFonts w:ascii="Calibri" w:hAnsi="Calibri" w:cs="Calibri"/>
          <w:i/>
        </w:rPr>
        <w:t>Koncepci bydlení Č</w:t>
      </w:r>
      <w:r w:rsidR="00C15E21">
        <w:rPr>
          <w:rFonts w:ascii="Calibri" w:hAnsi="Calibri" w:cs="Calibri"/>
          <w:i/>
        </w:rPr>
        <w:t>eské republiky</w:t>
      </w:r>
      <w:r w:rsidR="006D72A2" w:rsidRPr="00265851">
        <w:rPr>
          <w:rFonts w:ascii="Calibri" w:hAnsi="Calibri" w:cs="Calibri"/>
          <w:i/>
        </w:rPr>
        <w:t xml:space="preserve"> 2021+</w:t>
      </w:r>
      <w:r w:rsidR="006D72A2" w:rsidRPr="002B04E8">
        <w:rPr>
          <w:rFonts w:ascii="Calibri" w:hAnsi="Calibri" w:cs="Calibri"/>
        </w:rPr>
        <w:t xml:space="preserve"> z</w:t>
      </w:r>
      <w:r w:rsidR="00B97727">
        <w:rPr>
          <w:rFonts w:ascii="Calibri" w:hAnsi="Calibri" w:cs="Calibri"/>
        </w:rPr>
        <w:t xml:space="preserve"> </w:t>
      </w:r>
      <w:r w:rsidR="006D72A2" w:rsidRPr="002B04E8">
        <w:rPr>
          <w:rFonts w:ascii="Calibri" w:hAnsi="Calibri" w:cs="Calibri"/>
        </w:rPr>
        <w:t>roku 2021. Z</w:t>
      </w:r>
      <w:r w:rsidR="00B97727">
        <w:rPr>
          <w:rFonts w:ascii="Calibri" w:hAnsi="Calibri" w:cs="Calibri"/>
        </w:rPr>
        <w:t xml:space="preserve"> </w:t>
      </w:r>
      <w:r w:rsidR="006D72A2" w:rsidRPr="002B04E8">
        <w:rPr>
          <w:rFonts w:ascii="Calibri" w:hAnsi="Calibri" w:cs="Calibri"/>
        </w:rPr>
        <w:t xml:space="preserve">porovnání údajů uvedených </w:t>
      </w:r>
      <w:r w:rsidR="00B97727">
        <w:rPr>
          <w:rFonts w:ascii="Calibri" w:hAnsi="Calibri" w:cs="Calibri"/>
        </w:rPr>
        <w:lastRenderedPageBreak/>
        <w:t xml:space="preserve">v těchto materiálech </w:t>
      </w:r>
      <w:r w:rsidR="006D72A2" w:rsidRPr="002B04E8">
        <w:rPr>
          <w:rFonts w:ascii="Calibri" w:hAnsi="Calibri" w:cs="Calibri"/>
        </w:rPr>
        <w:t>vyplývá, že</w:t>
      </w:r>
      <w:r w:rsidR="00B97727">
        <w:rPr>
          <w:rFonts w:ascii="Calibri" w:hAnsi="Calibri" w:cs="Calibri"/>
        </w:rPr>
        <w:t xml:space="preserve"> </w:t>
      </w:r>
      <w:r w:rsidR="006D72A2" w:rsidRPr="002B04E8">
        <w:rPr>
          <w:rFonts w:ascii="Calibri" w:hAnsi="Calibri" w:cs="Calibri"/>
        </w:rPr>
        <w:t>v</w:t>
      </w:r>
      <w:r w:rsidR="00B97727">
        <w:rPr>
          <w:rFonts w:ascii="Calibri" w:hAnsi="Calibri" w:cs="Calibri"/>
        </w:rPr>
        <w:t xml:space="preserve"> </w:t>
      </w:r>
      <w:r w:rsidRPr="002B04E8">
        <w:t xml:space="preserve">oblasti bydlení dlouhodobě přetrvávají stejné </w:t>
      </w:r>
      <w:r w:rsidR="00B97727">
        <w:t>nebo</w:t>
      </w:r>
      <w:r w:rsidRPr="002B04E8">
        <w:t xml:space="preserve"> obdobné problémy, a to i v oblastech, které může stát přímo ovlivnit. </w:t>
      </w:r>
      <w:r w:rsidR="008A1EAE" w:rsidRPr="000363FD">
        <w:t xml:space="preserve">Některé problémy </w:t>
      </w:r>
      <w:r w:rsidR="00B97727">
        <w:t>navíc</w:t>
      </w:r>
      <w:r w:rsidR="008A1EAE" w:rsidRPr="000363FD">
        <w:t xml:space="preserve"> přibývají – viz tabulka č. </w:t>
      </w:r>
      <w:r w:rsidR="00DE7172" w:rsidRPr="000363FD">
        <w:t>6</w:t>
      </w:r>
      <w:r w:rsidR="003E7CA4">
        <w:t>.</w:t>
      </w:r>
    </w:p>
    <w:p w14:paraId="6FD0EA44" w14:textId="1996CDC2" w:rsidR="003479B0" w:rsidRPr="00756C02" w:rsidRDefault="00455CD6" w:rsidP="00756C02">
      <w:pPr>
        <w:pStyle w:val="Titulek"/>
        <w:keepNext/>
        <w:spacing w:after="0"/>
        <w:ind w:left="1304" w:hanging="1304"/>
        <w:rPr>
          <w:rFonts w:asciiTheme="minorHAnsi" w:hAnsiTheme="minorHAnsi" w:cstheme="minorHAnsi"/>
          <w:color w:val="auto"/>
          <w:sz w:val="24"/>
          <w:szCs w:val="24"/>
        </w:rPr>
      </w:pPr>
      <w:r w:rsidRPr="00756C02">
        <w:rPr>
          <w:rFonts w:asciiTheme="minorHAnsi" w:hAnsiTheme="minorHAnsi" w:cstheme="minorHAnsi"/>
          <w:color w:val="auto"/>
          <w:sz w:val="24"/>
          <w:szCs w:val="24"/>
        </w:rPr>
        <w:t xml:space="preserve">Tabulka č. </w:t>
      </w:r>
      <w:r w:rsidR="00DE7172" w:rsidRPr="00756C02">
        <w:rPr>
          <w:rFonts w:asciiTheme="minorHAnsi" w:hAnsiTheme="minorHAnsi" w:cstheme="minorHAnsi"/>
          <w:color w:val="auto"/>
          <w:sz w:val="24"/>
          <w:szCs w:val="24"/>
        </w:rPr>
        <w:t>6</w:t>
      </w:r>
      <w:r w:rsidRPr="00756C02">
        <w:rPr>
          <w:rFonts w:asciiTheme="minorHAnsi" w:hAnsiTheme="minorHAnsi" w:cstheme="minorHAnsi"/>
          <w:color w:val="auto"/>
          <w:sz w:val="24"/>
          <w:szCs w:val="24"/>
        </w:rPr>
        <w:t xml:space="preserve">: </w:t>
      </w:r>
      <w:r w:rsidR="00FB7CDA">
        <w:rPr>
          <w:rFonts w:asciiTheme="minorHAnsi" w:hAnsiTheme="minorHAnsi" w:cstheme="minorHAnsi"/>
          <w:color w:val="auto"/>
          <w:sz w:val="24"/>
          <w:szCs w:val="24"/>
        </w:rPr>
        <w:tab/>
      </w:r>
      <w:r w:rsidRPr="00756C02">
        <w:rPr>
          <w:rFonts w:asciiTheme="minorHAnsi" w:hAnsiTheme="minorHAnsi" w:cstheme="minorHAnsi"/>
          <w:color w:val="auto"/>
          <w:sz w:val="24"/>
          <w:szCs w:val="24"/>
          <w:shd w:val="clear" w:color="auto" w:fill="FFFFFF"/>
        </w:rPr>
        <w:t>Dlouhodobé probl</w:t>
      </w:r>
      <w:r w:rsidR="00B97727">
        <w:rPr>
          <w:rFonts w:asciiTheme="minorHAnsi" w:hAnsiTheme="minorHAnsi" w:cstheme="minorHAnsi"/>
          <w:color w:val="auto"/>
          <w:sz w:val="24"/>
          <w:szCs w:val="24"/>
          <w:shd w:val="clear" w:color="auto" w:fill="FFFFFF"/>
        </w:rPr>
        <w:t>émy</w:t>
      </w:r>
      <w:r w:rsidRPr="00756C02">
        <w:rPr>
          <w:rFonts w:asciiTheme="minorHAnsi" w:hAnsiTheme="minorHAnsi" w:cstheme="minorHAnsi"/>
          <w:color w:val="auto"/>
          <w:sz w:val="24"/>
          <w:szCs w:val="24"/>
          <w:shd w:val="clear" w:color="auto" w:fill="FFFFFF"/>
        </w:rPr>
        <w:t xml:space="preserve"> </w:t>
      </w:r>
      <w:r w:rsidR="00B97727">
        <w:rPr>
          <w:rFonts w:asciiTheme="minorHAnsi" w:hAnsiTheme="minorHAnsi" w:cstheme="minorHAnsi"/>
          <w:color w:val="auto"/>
          <w:sz w:val="24"/>
          <w:szCs w:val="24"/>
          <w:shd w:val="clear" w:color="auto" w:fill="FFFFFF"/>
        </w:rPr>
        <w:t xml:space="preserve">v </w:t>
      </w:r>
      <w:r w:rsidRPr="00756C02">
        <w:rPr>
          <w:rFonts w:asciiTheme="minorHAnsi" w:hAnsiTheme="minorHAnsi" w:cstheme="minorHAnsi"/>
          <w:color w:val="auto"/>
          <w:sz w:val="24"/>
          <w:szCs w:val="24"/>
          <w:shd w:val="clear" w:color="auto" w:fill="FFFFFF"/>
        </w:rPr>
        <w:t xml:space="preserve">oblasti bydlení a bytové politiky dle </w:t>
      </w:r>
      <w:r w:rsidR="000F07B1" w:rsidRPr="00756C02">
        <w:rPr>
          <w:rFonts w:asciiTheme="minorHAnsi" w:hAnsiTheme="minorHAnsi" w:cstheme="minorHAnsi"/>
          <w:color w:val="auto"/>
          <w:sz w:val="24"/>
          <w:szCs w:val="24"/>
          <w:shd w:val="clear" w:color="auto" w:fill="FFFFFF"/>
        </w:rPr>
        <w:t>jednotlivých koncepcí</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61"/>
        <w:gridCol w:w="3061"/>
        <w:gridCol w:w="3118"/>
      </w:tblGrid>
      <w:tr w:rsidR="009960E7" w14:paraId="50C4963C" w14:textId="77777777" w:rsidTr="00756C02">
        <w:trPr>
          <w:trHeight w:val="397"/>
          <w:tblHeader/>
          <w:jc w:val="center"/>
        </w:trPr>
        <w:tc>
          <w:tcPr>
            <w:tcW w:w="3061" w:type="dxa"/>
            <w:shd w:val="clear" w:color="auto" w:fill="E5F1FF"/>
            <w:vAlign w:val="center"/>
          </w:tcPr>
          <w:p w14:paraId="3CB82DD0" w14:textId="77777777" w:rsidR="003479B0" w:rsidRPr="00DE7172" w:rsidRDefault="00455CD6" w:rsidP="00C047FB">
            <w:pPr>
              <w:jc w:val="center"/>
              <w:rPr>
                <w:rFonts w:cstheme="minorHAnsi"/>
                <w:b/>
                <w:sz w:val="20"/>
              </w:rPr>
            </w:pPr>
            <w:r w:rsidRPr="00DE7172">
              <w:rPr>
                <w:rFonts w:cstheme="minorHAnsi"/>
                <w:b/>
                <w:sz w:val="20"/>
              </w:rPr>
              <w:t>2011</w:t>
            </w:r>
          </w:p>
        </w:tc>
        <w:tc>
          <w:tcPr>
            <w:tcW w:w="3061" w:type="dxa"/>
            <w:shd w:val="clear" w:color="auto" w:fill="E5F1FF"/>
            <w:vAlign w:val="center"/>
          </w:tcPr>
          <w:p w14:paraId="00C248D4" w14:textId="77777777" w:rsidR="003479B0" w:rsidRPr="00DE7172" w:rsidRDefault="00455CD6" w:rsidP="00C047FB">
            <w:pPr>
              <w:jc w:val="center"/>
              <w:rPr>
                <w:rFonts w:cstheme="minorHAnsi"/>
                <w:b/>
                <w:sz w:val="20"/>
              </w:rPr>
            </w:pPr>
            <w:r w:rsidRPr="00DE7172">
              <w:rPr>
                <w:rFonts w:cstheme="minorHAnsi"/>
                <w:b/>
                <w:sz w:val="20"/>
              </w:rPr>
              <w:t>2016</w:t>
            </w:r>
          </w:p>
        </w:tc>
        <w:tc>
          <w:tcPr>
            <w:tcW w:w="3118" w:type="dxa"/>
            <w:shd w:val="clear" w:color="auto" w:fill="E5F1FF"/>
            <w:vAlign w:val="center"/>
          </w:tcPr>
          <w:p w14:paraId="38708C56" w14:textId="77777777" w:rsidR="003479B0" w:rsidRPr="00DE7172" w:rsidRDefault="00455CD6" w:rsidP="00C047FB">
            <w:pPr>
              <w:jc w:val="center"/>
              <w:rPr>
                <w:rFonts w:cstheme="minorHAnsi"/>
                <w:b/>
                <w:sz w:val="20"/>
              </w:rPr>
            </w:pPr>
            <w:r w:rsidRPr="00DE7172">
              <w:rPr>
                <w:rFonts w:cstheme="minorHAnsi"/>
                <w:b/>
                <w:sz w:val="20"/>
              </w:rPr>
              <w:t>2021</w:t>
            </w:r>
          </w:p>
        </w:tc>
      </w:tr>
      <w:tr w:rsidR="009960E7" w14:paraId="4C48B2D8" w14:textId="77777777" w:rsidTr="000327EB">
        <w:trPr>
          <w:jc w:val="center"/>
        </w:trPr>
        <w:tc>
          <w:tcPr>
            <w:tcW w:w="3061" w:type="dxa"/>
            <w:shd w:val="clear" w:color="auto" w:fill="auto"/>
            <w:vAlign w:val="center"/>
          </w:tcPr>
          <w:p w14:paraId="20C45CAE" w14:textId="77777777" w:rsidR="003479B0" w:rsidRPr="00DE7172" w:rsidRDefault="00455CD6" w:rsidP="001E126B">
            <w:pPr>
              <w:jc w:val="center"/>
              <w:rPr>
                <w:rFonts w:cstheme="minorHAnsi"/>
                <w:sz w:val="20"/>
              </w:rPr>
            </w:pPr>
            <w:r w:rsidRPr="00DE7172">
              <w:rPr>
                <w:rFonts w:cstheme="minorHAnsi"/>
                <w:sz w:val="20"/>
              </w:rPr>
              <w:t>Zanedbanost bytového fondu</w:t>
            </w:r>
          </w:p>
        </w:tc>
        <w:tc>
          <w:tcPr>
            <w:tcW w:w="3061" w:type="dxa"/>
            <w:shd w:val="clear" w:color="auto" w:fill="auto"/>
            <w:vAlign w:val="center"/>
          </w:tcPr>
          <w:p w14:paraId="282453BB" w14:textId="77777777" w:rsidR="003479B0" w:rsidRPr="00DE7172" w:rsidRDefault="00455CD6" w:rsidP="001E126B">
            <w:pPr>
              <w:jc w:val="center"/>
              <w:rPr>
                <w:rFonts w:cstheme="minorHAnsi"/>
                <w:sz w:val="20"/>
              </w:rPr>
            </w:pPr>
            <w:r w:rsidRPr="00DE7172">
              <w:rPr>
                <w:rFonts w:cstheme="minorHAnsi"/>
                <w:sz w:val="20"/>
              </w:rPr>
              <w:t>V porovnání se zeměmi EU má ČR spíše starší bytový fond</w:t>
            </w:r>
          </w:p>
        </w:tc>
        <w:tc>
          <w:tcPr>
            <w:tcW w:w="3118" w:type="dxa"/>
            <w:shd w:val="clear" w:color="auto" w:fill="auto"/>
            <w:vAlign w:val="center"/>
          </w:tcPr>
          <w:p w14:paraId="14AD0294" w14:textId="77777777" w:rsidR="003479B0" w:rsidRPr="00DE7172" w:rsidRDefault="00455CD6" w:rsidP="001E126B">
            <w:pPr>
              <w:jc w:val="center"/>
              <w:rPr>
                <w:rFonts w:cstheme="minorHAnsi"/>
                <w:sz w:val="20"/>
              </w:rPr>
            </w:pPr>
            <w:r w:rsidRPr="00DE7172">
              <w:rPr>
                <w:rFonts w:cstheme="minorHAnsi"/>
                <w:sz w:val="20"/>
              </w:rPr>
              <w:t>Pomalá obměna bytového fondu</w:t>
            </w:r>
          </w:p>
        </w:tc>
      </w:tr>
      <w:tr w:rsidR="009960E7" w14:paraId="1CB9FF8D" w14:textId="77777777" w:rsidTr="000327EB">
        <w:trPr>
          <w:trHeight w:val="541"/>
          <w:jc w:val="center"/>
        </w:trPr>
        <w:tc>
          <w:tcPr>
            <w:tcW w:w="3061" w:type="dxa"/>
            <w:shd w:val="clear" w:color="auto" w:fill="auto"/>
            <w:vAlign w:val="center"/>
          </w:tcPr>
          <w:p w14:paraId="1C01E276" w14:textId="77777777" w:rsidR="003479B0" w:rsidRPr="00DE7172" w:rsidRDefault="00455CD6" w:rsidP="001E126B">
            <w:pPr>
              <w:jc w:val="center"/>
              <w:rPr>
                <w:rFonts w:cstheme="minorHAnsi"/>
                <w:sz w:val="20"/>
              </w:rPr>
            </w:pPr>
            <w:r w:rsidRPr="00DE7172">
              <w:rPr>
                <w:rFonts w:cstheme="minorHAnsi"/>
                <w:sz w:val="20"/>
              </w:rPr>
              <w:t>Energetická náročnost bytového fondu</w:t>
            </w:r>
          </w:p>
        </w:tc>
        <w:tc>
          <w:tcPr>
            <w:tcW w:w="3061" w:type="dxa"/>
            <w:shd w:val="clear" w:color="auto" w:fill="auto"/>
            <w:vAlign w:val="center"/>
          </w:tcPr>
          <w:p w14:paraId="0F59821E" w14:textId="77777777" w:rsidR="003479B0" w:rsidRPr="00DE7172" w:rsidRDefault="00455CD6" w:rsidP="001E126B">
            <w:pPr>
              <w:jc w:val="center"/>
              <w:rPr>
                <w:rFonts w:cstheme="minorHAnsi"/>
                <w:sz w:val="20"/>
              </w:rPr>
            </w:pPr>
            <w:r w:rsidRPr="00DE7172">
              <w:rPr>
                <w:rFonts w:cstheme="minorHAnsi"/>
                <w:sz w:val="20"/>
              </w:rPr>
              <w:t>Růst cen energií, tepla a vody</w:t>
            </w:r>
          </w:p>
        </w:tc>
        <w:tc>
          <w:tcPr>
            <w:tcW w:w="3118" w:type="dxa"/>
            <w:shd w:val="clear" w:color="auto" w:fill="auto"/>
            <w:vAlign w:val="center"/>
          </w:tcPr>
          <w:p w14:paraId="77E163AE" w14:textId="77777777" w:rsidR="003479B0" w:rsidRPr="00DE7172" w:rsidRDefault="00455CD6" w:rsidP="001E126B">
            <w:pPr>
              <w:jc w:val="center"/>
              <w:rPr>
                <w:rFonts w:cstheme="minorHAnsi"/>
                <w:sz w:val="20"/>
              </w:rPr>
            </w:pPr>
            <w:r w:rsidRPr="00DE7172">
              <w:rPr>
                <w:rFonts w:cstheme="minorHAnsi"/>
                <w:sz w:val="20"/>
              </w:rPr>
              <w:t>Vysoká energetická náročnost stávajícího bytového fondu</w:t>
            </w:r>
          </w:p>
        </w:tc>
      </w:tr>
      <w:tr w:rsidR="009960E7" w14:paraId="1E9F3A72" w14:textId="77777777" w:rsidTr="000327EB">
        <w:trPr>
          <w:jc w:val="center"/>
        </w:trPr>
        <w:tc>
          <w:tcPr>
            <w:tcW w:w="3061" w:type="dxa"/>
            <w:shd w:val="clear" w:color="auto" w:fill="auto"/>
            <w:vAlign w:val="center"/>
          </w:tcPr>
          <w:p w14:paraId="268D8915" w14:textId="77777777" w:rsidR="003479B0" w:rsidRPr="00DE7172" w:rsidRDefault="00455CD6" w:rsidP="001E126B">
            <w:pPr>
              <w:jc w:val="center"/>
              <w:rPr>
                <w:rFonts w:cstheme="minorHAnsi"/>
                <w:sz w:val="20"/>
              </w:rPr>
            </w:pPr>
            <w:r w:rsidRPr="00DE7172">
              <w:rPr>
                <w:rFonts w:cstheme="minorHAnsi"/>
                <w:sz w:val="20"/>
              </w:rPr>
              <w:t>Vysoké zatížení některých domácností výdaji na bydlení</w:t>
            </w:r>
          </w:p>
        </w:tc>
        <w:tc>
          <w:tcPr>
            <w:tcW w:w="3061" w:type="dxa"/>
            <w:shd w:val="clear" w:color="auto" w:fill="auto"/>
            <w:vAlign w:val="center"/>
          </w:tcPr>
          <w:p w14:paraId="1ED0C1B3" w14:textId="77777777" w:rsidR="003479B0" w:rsidRPr="00DE7172" w:rsidRDefault="00455CD6" w:rsidP="001E126B">
            <w:pPr>
              <w:jc w:val="center"/>
              <w:rPr>
                <w:rFonts w:cstheme="minorHAnsi"/>
                <w:sz w:val="20"/>
              </w:rPr>
            </w:pPr>
            <w:r w:rsidRPr="00DE7172">
              <w:rPr>
                <w:rFonts w:cstheme="minorHAnsi"/>
                <w:sz w:val="20"/>
              </w:rPr>
              <w:t>Mírný růst podílu výdajů domácností na bydlení na čistých měsíčních příjmech domácností</w:t>
            </w:r>
          </w:p>
        </w:tc>
        <w:tc>
          <w:tcPr>
            <w:tcW w:w="3118" w:type="dxa"/>
            <w:shd w:val="clear" w:color="auto" w:fill="auto"/>
            <w:vAlign w:val="center"/>
          </w:tcPr>
          <w:p w14:paraId="49A3A60D" w14:textId="439D1EF4" w:rsidR="003479B0" w:rsidRPr="00DE7172" w:rsidRDefault="00455CD6" w:rsidP="001E126B">
            <w:pPr>
              <w:jc w:val="center"/>
              <w:rPr>
                <w:rFonts w:cstheme="minorHAnsi"/>
                <w:sz w:val="20"/>
              </w:rPr>
            </w:pPr>
            <w:r w:rsidRPr="00DE7172">
              <w:rPr>
                <w:rFonts w:cstheme="minorHAnsi"/>
                <w:sz w:val="20"/>
              </w:rPr>
              <w:t>Nevhodné nastavení parametrů systému sociálních dávek na bydlení</w:t>
            </w:r>
            <w:r w:rsidR="006446FC">
              <w:rPr>
                <w:rFonts w:cstheme="minorHAnsi"/>
                <w:sz w:val="20"/>
              </w:rPr>
              <w:t>;</w:t>
            </w:r>
          </w:p>
          <w:p w14:paraId="26261924" w14:textId="75A38A12" w:rsidR="003479B0" w:rsidRPr="00DE7172" w:rsidRDefault="006446FC" w:rsidP="001E126B">
            <w:pPr>
              <w:jc w:val="center"/>
              <w:rPr>
                <w:rFonts w:cstheme="minorHAnsi"/>
                <w:sz w:val="20"/>
              </w:rPr>
            </w:pPr>
            <w:r>
              <w:rPr>
                <w:rFonts w:cstheme="minorHAnsi"/>
                <w:sz w:val="20"/>
              </w:rPr>
              <w:t>š</w:t>
            </w:r>
            <w:r w:rsidR="00455CD6" w:rsidRPr="00DE7172">
              <w:rPr>
                <w:rFonts w:cstheme="minorHAnsi"/>
                <w:sz w:val="20"/>
              </w:rPr>
              <w:t>iroké nastavení cílové skupiny sociálního bydlení jinými re</w:t>
            </w:r>
            <w:r>
              <w:rPr>
                <w:rFonts w:cstheme="minorHAnsi"/>
                <w:sz w:val="20"/>
              </w:rPr>
              <w:t>s</w:t>
            </w:r>
            <w:r w:rsidR="00455CD6" w:rsidRPr="00DE7172">
              <w:rPr>
                <w:rFonts w:cstheme="minorHAnsi"/>
                <w:sz w:val="20"/>
              </w:rPr>
              <w:t>orty</w:t>
            </w:r>
          </w:p>
        </w:tc>
      </w:tr>
      <w:tr w:rsidR="009960E7" w14:paraId="45665D60" w14:textId="77777777" w:rsidTr="000327EB">
        <w:trPr>
          <w:jc w:val="center"/>
        </w:trPr>
        <w:tc>
          <w:tcPr>
            <w:tcW w:w="3061" w:type="dxa"/>
            <w:shd w:val="clear" w:color="auto" w:fill="auto"/>
            <w:vAlign w:val="center"/>
          </w:tcPr>
          <w:p w14:paraId="5D91DC03" w14:textId="77777777" w:rsidR="003479B0" w:rsidRPr="00DE7172" w:rsidRDefault="00455CD6" w:rsidP="001E126B">
            <w:pPr>
              <w:jc w:val="center"/>
              <w:rPr>
                <w:rFonts w:cstheme="minorHAnsi"/>
                <w:sz w:val="20"/>
              </w:rPr>
            </w:pPr>
            <w:r w:rsidRPr="00DE7172">
              <w:rPr>
                <w:rFonts w:cstheme="minorHAnsi"/>
                <w:sz w:val="20"/>
              </w:rPr>
              <w:t>Nižší dostupnost některých forem bydlení</w:t>
            </w:r>
          </w:p>
        </w:tc>
        <w:tc>
          <w:tcPr>
            <w:tcW w:w="3061" w:type="dxa"/>
            <w:shd w:val="clear" w:color="auto" w:fill="auto"/>
            <w:vAlign w:val="center"/>
          </w:tcPr>
          <w:p w14:paraId="3FB24C8F" w14:textId="630D7BE8" w:rsidR="003479B0" w:rsidRPr="00DE7172" w:rsidRDefault="00455CD6" w:rsidP="001E126B">
            <w:pPr>
              <w:jc w:val="center"/>
              <w:rPr>
                <w:rFonts w:cstheme="minorHAnsi"/>
                <w:sz w:val="20"/>
              </w:rPr>
            </w:pPr>
            <w:r w:rsidRPr="00DE7172">
              <w:rPr>
                <w:rFonts w:cstheme="minorHAnsi"/>
                <w:sz w:val="20"/>
              </w:rPr>
              <w:t xml:space="preserve">Zhoršení finanční dostupnosti bydlení </w:t>
            </w:r>
            <w:r w:rsidR="006446FC">
              <w:rPr>
                <w:rFonts w:cstheme="minorHAnsi"/>
                <w:sz w:val="20"/>
              </w:rPr>
              <w:t xml:space="preserve">pro </w:t>
            </w:r>
            <w:r w:rsidRPr="00DE7172">
              <w:rPr>
                <w:rFonts w:cstheme="minorHAnsi"/>
                <w:sz w:val="20"/>
              </w:rPr>
              <w:t>velk</w:t>
            </w:r>
            <w:r w:rsidR="006446FC">
              <w:rPr>
                <w:rFonts w:cstheme="minorHAnsi"/>
                <w:sz w:val="20"/>
              </w:rPr>
              <w:t>ou</w:t>
            </w:r>
            <w:r w:rsidRPr="00DE7172">
              <w:rPr>
                <w:rFonts w:cstheme="minorHAnsi"/>
                <w:sz w:val="20"/>
              </w:rPr>
              <w:t xml:space="preserve"> část domácností</w:t>
            </w:r>
          </w:p>
        </w:tc>
        <w:tc>
          <w:tcPr>
            <w:tcW w:w="3118" w:type="dxa"/>
            <w:shd w:val="clear" w:color="auto" w:fill="auto"/>
            <w:vAlign w:val="center"/>
          </w:tcPr>
          <w:p w14:paraId="362FF240" w14:textId="248184C1" w:rsidR="003479B0" w:rsidRPr="00DE7172" w:rsidRDefault="00455CD6" w:rsidP="001E126B">
            <w:pPr>
              <w:jc w:val="center"/>
              <w:rPr>
                <w:rFonts w:cstheme="minorHAnsi"/>
                <w:sz w:val="20"/>
              </w:rPr>
            </w:pPr>
            <w:r w:rsidRPr="00DE7172">
              <w:rPr>
                <w:rFonts w:cstheme="minorHAnsi"/>
                <w:sz w:val="20"/>
              </w:rPr>
              <w:t>Chybějící segment sociálního bydlení pro osoby postižené tržním selháním v oblasti bydlení</w:t>
            </w:r>
            <w:r w:rsidR="006446FC">
              <w:rPr>
                <w:rFonts w:cstheme="minorHAnsi"/>
                <w:sz w:val="20"/>
              </w:rPr>
              <w:t>;</w:t>
            </w:r>
          </w:p>
          <w:p w14:paraId="686D5518" w14:textId="136DF8B3" w:rsidR="003479B0" w:rsidRPr="00DE7172" w:rsidRDefault="006446FC" w:rsidP="001E126B">
            <w:pPr>
              <w:jc w:val="center"/>
              <w:rPr>
                <w:rFonts w:cstheme="minorHAnsi"/>
                <w:sz w:val="20"/>
              </w:rPr>
            </w:pPr>
            <w:r>
              <w:rPr>
                <w:rFonts w:cstheme="minorHAnsi"/>
                <w:sz w:val="20"/>
              </w:rPr>
              <w:t>n</w:t>
            </w:r>
            <w:r w:rsidR="00455CD6" w:rsidRPr="00DE7172">
              <w:rPr>
                <w:rFonts w:cstheme="minorHAnsi"/>
                <w:sz w:val="20"/>
              </w:rPr>
              <w:t>ízká finanční dostupnost bydlení</w:t>
            </w:r>
          </w:p>
        </w:tc>
      </w:tr>
      <w:tr w:rsidR="009960E7" w14:paraId="7A2B5BC8" w14:textId="77777777" w:rsidTr="000327EB">
        <w:trPr>
          <w:jc w:val="center"/>
        </w:trPr>
        <w:tc>
          <w:tcPr>
            <w:tcW w:w="3061" w:type="dxa"/>
            <w:shd w:val="clear" w:color="auto" w:fill="auto"/>
            <w:vAlign w:val="center"/>
          </w:tcPr>
          <w:p w14:paraId="0318F5AF" w14:textId="77777777" w:rsidR="003479B0" w:rsidRPr="00DE7172" w:rsidRDefault="00455CD6" w:rsidP="001E126B">
            <w:pPr>
              <w:jc w:val="center"/>
              <w:rPr>
                <w:rFonts w:cstheme="minorHAnsi"/>
                <w:sz w:val="20"/>
              </w:rPr>
            </w:pPr>
            <w:r w:rsidRPr="00DE7172">
              <w:rPr>
                <w:rFonts w:cstheme="minorHAnsi"/>
                <w:sz w:val="20"/>
              </w:rPr>
              <w:t>Omezené finanční zdroje na provádění bytové politiky</w:t>
            </w:r>
          </w:p>
        </w:tc>
        <w:tc>
          <w:tcPr>
            <w:tcW w:w="3061" w:type="dxa"/>
            <w:shd w:val="clear" w:color="auto" w:fill="auto"/>
            <w:vAlign w:val="center"/>
          </w:tcPr>
          <w:p w14:paraId="6F95EAD3" w14:textId="77777777" w:rsidR="003479B0" w:rsidRPr="00DE7172" w:rsidRDefault="00455CD6" w:rsidP="001E126B">
            <w:pPr>
              <w:jc w:val="center"/>
              <w:rPr>
                <w:rFonts w:cstheme="minorHAnsi"/>
                <w:sz w:val="20"/>
              </w:rPr>
            </w:pPr>
            <w:r w:rsidRPr="00DE7172">
              <w:rPr>
                <w:rFonts w:cstheme="minorHAnsi"/>
                <w:sz w:val="20"/>
              </w:rPr>
              <w:t>Omezené veřejné prostředky</w:t>
            </w:r>
          </w:p>
        </w:tc>
        <w:tc>
          <w:tcPr>
            <w:tcW w:w="3118" w:type="dxa"/>
            <w:shd w:val="clear" w:color="auto" w:fill="auto"/>
            <w:vAlign w:val="center"/>
          </w:tcPr>
          <w:p w14:paraId="655E9FF5" w14:textId="77777777" w:rsidR="003479B0" w:rsidRPr="00DE7172" w:rsidRDefault="00455CD6" w:rsidP="001E126B">
            <w:pPr>
              <w:jc w:val="center"/>
              <w:rPr>
                <w:rFonts w:cstheme="minorHAnsi"/>
                <w:sz w:val="20"/>
              </w:rPr>
            </w:pPr>
            <w:r w:rsidRPr="00DE7172">
              <w:rPr>
                <w:rFonts w:cstheme="minorHAnsi"/>
                <w:sz w:val="20"/>
              </w:rPr>
              <w:t>Podfinancování podpory bydlení (dotační i úvěrové)</w:t>
            </w:r>
          </w:p>
        </w:tc>
      </w:tr>
      <w:tr w:rsidR="009960E7" w14:paraId="320BB707" w14:textId="77777777" w:rsidTr="000327EB">
        <w:trPr>
          <w:jc w:val="center"/>
        </w:trPr>
        <w:tc>
          <w:tcPr>
            <w:tcW w:w="3061" w:type="dxa"/>
            <w:shd w:val="clear" w:color="auto" w:fill="auto"/>
            <w:vAlign w:val="center"/>
          </w:tcPr>
          <w:p w14:paraId="6C6D096E" w14:textId="77777777" w:rsidR="003479B0" w:rsidRPr="00DE7172" w:rsidRDefault="00455CD6" w:rsidP="001E126B">
            <w:pPr>
              <w:jc w:val="center"/>
              <w:rPr>
                <w:rFonts w:cstheme="minorHAnsi"/>
                <w:sz w:val="20"/>
              </w:rPr>
            </w:pPr>
            <w:r w:rsidRPr="00DE7172">
              <w:rPr>
                <w:rFonts w:cstheme="minorHAnsi"/>
                <w:sz w:val="20"/>
              </w:rPr>
              <w:t>Kompetenční roztříštěnost a nízká stabilita nástrojů bytové politiky</w:t>
            </w:r>
          </w:p>
        </w:tc>
        <w:tc>
          <w:tcPr>
            <w:tcW w:w="3061" w:type="dxa"/>
            <w:shd w:val="clear" w:color="auto" w:fill="auto"/>
            <w:vAlign w:val="center"/>
          </w:tcPr>
          <w:p w14:paraId="2E0FB1E1" w14:textId="3B049179" w:rsidR="003479B0" w:rsidRPr="00DE7172" w:rsidRDefault="00455CD6" w:rsidP="001E126B">
            <w:pPr>
              <w:jc w:val="center"/>
              <w:rPr>
                <w:rFonts w:cstheme="minorHAnsi"/>
                <w:sz w:val="20"/>
              </w:rPr>
            </w:pPr>
            <w:r w:rsidRPr="00DE7172">
              <w:rPr>
                <w:rFonts w:cstheme="minorHAnsi"/>
                <w:sz w:val="20"/>
              </w:rPr>
              <w:t>Kompetenční mezire</w:t>
            </w:r>
            <w:r w:rsidR="006446FC">
              <w:rPr>
                <w:rFonts w:cstheme="minorHAnsi"/>
                <w:sz w:val="20"/>
              </w:rPr>
              <w:t>s</w:t>
            </w:r>
            <w:r w:rsidRPr="00DE7172">
              <w:rPr>
                <w:rFonts w:cstheme="minorHAnsi"/>
                <w:sz w:val="20"/>
              </w:rPr>
              <w:t>ortní roztříštěnost provázená nedostatečným prosazováním koordinační role MMR</w:t>
            </w:r>
          </w:p>
        </w:tc>
        <w:tc>
          <w:tcPr>
            <w:tcW w:w="3118" w:type="dxa"/>
            <w:shd w:val="clear" w:color="auto" w:fill="auto"/>
            <w:vAlign w:val="center"/>
          </w:tcPr>
          <w:p w14:paraId="2B27D463" w14:textId="105A7E6F" w:rsidR="003479B0" w:rsidRPr="00DE7172" w:rsidRDefault="00455CD6" w:rsidP="001E126B">
            <w:pPr>
              <w:jc w:val="center"/>
              <w:rPr>
                <w:rFonts w:cstheme="minorHAnsi"/>
                <w:sz w:val="20"/>
              </w:rPr>
            </w:pPr>
            <w:r w:rsidRPr="00DE7172">
              <w:rPr>
                <w:rFonts w:cstheme="minorHAnsi"/>
                <w:sz w:val="20"/>
              </w:rPr>
              <w:t>Kompetenční mezire</w:t>
            </w:r>
            <w:r w:rsidR="006446FC">
              <w:rPr>
                <w:rFonts w:cstheme="minorHAnsi"/>
                <w:sz w:val="20"/>
              </w:rPr>
              <w:t>s</w:t>
            </w:r>
            <w:r w:rsidRPr="00DE7172">
              <w:rPr>
                <w:rFonts w:cstheme="minorHAnsi"/>
                <w:sz w:val="20"/>
              </w:rPr>
              <w:t>ortní roztříštěnost provázená nedostatečným prosazováním koordinační role MMR, překračování kompetencí jiných re</w:t>
            </w:r>
            <w:r w:rsidR="006446FC">
              <w:rPr>
                <w:rFonts w:cstheme="minorHAnsi"/>
                <w:sz w:val="20"/>
              </w:rPr>
              <w:t>s</w:t>
            </w:r>
            <w:r w:rsidRPr="00DE7172">
              <w:rPr>
                <w:rFonts w:cstheme="minorHAnsi"/>
                <w:sz w:val="20"/>
              </w:rPr>
              <w:t>ortů</w:t>
            </w:r>
          </w:p>
        </w:tc>
      </w:tr>
      <w:tr w:rsidR="009960E7" w14:paraId="7EFE28D1" w14:textId="77777777" w:rsidTr="000327EB">
        <w:trPr>
          <w:jc w:val="center"/>
        </w:trPr>
        <w:tc>
          <w:tcPr>
            <w:tcW w:w="3061" w:type="dxa"/>
            <w:shd w:val="clear" w:color="auto" w:fill="auto"/>
            <w:vAlign w:val="center"/>
          </w:tcPr>
          <w:p w14:paraId="067951F3" w14:textId="77777777" w:rsidR="003479B0" w:rsidRPr="00DE7172" w:rsidRDefault="00455CD6" w:rsidP="001E126B">
            <w:pPr>
              <w:jc w:val="center"/>
              <w:rPr>
                <w:rFonts w:cstheme="minorHAnsi"/>
                <w:sz w:val="20"/>
              </w:rPr>
            </w:pPr>
            <w:r w:rsidRPr="00DE7172">
              <w:rPr>
                <w:rFonts w:cstheme="minorHAnsi"/>
                <w:sz w:val="20"/>
              </w:rPr>
              <w:t>Nedostatečné zdroje aktuálních dat</w:t>
            </w:r>
          </w:p>
        </w:tc>
        <w:tc>
          <w:tcPr>
            <w:tcW w:w="3061" w:type="dxa"/>
            <w:shd w:val="clear" w:color="auto" w:fill="auto"/>
            <w:vAlign w:val="center"/>
          </w:tcPr>
          <w:p w14:paraId="774998E9" w14:textId="77777777" w:rsidR="003479B0" w:rsidRPr="00DE7172" w:rsidRDefault="00455CD6" w:rsidP="001E126B">
            <w:pPr>
              <w:jc w:val="center"/>
              <w:rPr>
                <w:rFonts w:cstheme="minorHAnsi"/>
                <w:sz w:val="20"/>
              </w:rPr>
            </w:pPr>
            <w:r w:rsidRPr="00DE7172">
              <w:rPr>
                <w:rFonts w:cstheme="minorHAnsi"/>
                <w:sz w:val="20"/>
              </w:rPr>
              <w:t>Nedostatečné hodnocení vynakládání prostředků na podporu bydlení v důsledku chybějících informací a monitorování</w:t>
            </w:r>
          </w:p>
        </w:tc>
        <w:tc>
          <w:tcPr>
            <w:tcW w:w="3118" w:type="dxa"/>
            <w:shd w:val="clear" w:color="auto" w:fill="auto"/>
            <w:vAlign w:val="center"/>
          </w:tcPr>
          <w:p w14:paraId="5D7C2757" w14:textId="77777777" w:rsidR="003479B0" w:rsidRPr="00DE7172" w:rsidRDefault="00455CD6" w:rsidP="001E126B">
            <w:pPr>
              <w:jc w:val="center"/>
              <w:rPr>
                <w:rFonts w:cstheme="minorHAnsi"/>
                <w:sz w:val="20"/>
              </w:rPr>
            </w:pPr>
            <w:r w:rsidRPr="00DE7172">
              <w:rPr>
                <w:rFonts w:cstheme="minorHAnsi"/>
                <w:sz w:val="20"/>
              </w:rPr>
              <w:t>Nedostatečný sběr dat, chybějící výzkum a informace</w:t>
            </w:r>
          </w:p>
        </w:tc>
      </w:tr>
      <w:tr w:rsidR="009960E7" w14:paraId="3685CD4F" w14:textId="77777777" w:rsidTr="000327EB">
        <w:trPr>
          <w:cantSplit/>
          <w:jc w:val="center"/>
        </w:trPr>
        <w:tc>
          <w:tcPr>
            <w:tcW w:w="3061" w:type="dxa"/>
            <w:shd w:val="clear" w:color="auto" w:fill="auto"/>
            <w:vAlign w:val="center"/>
          </w:tcPr>
          <w:p w14:paraId="7770CF8F" w14:textId="77777777" w:rsidR="003479B0" w:rsidRPr="00DE7172" w:rsidRDefault="00455CD6" w:rsidP="001E126B">
            <w:pPr>
              <w:jc w:val="center"/>
              <w:rPr>
                <w:rFonts w:cstheme="minorHAnsi"/>
                <w:sz w:val="20"/>
              </w:rPr>
            </w:pPr>
            <w:r w:rsidRPr="00DE7172">
              <w:rPr>
                <w:rFonts w:cstheme="minorHAnsi"/>
                <w:sz w:val="20"/>
              </w:rPr>
              <w:t>Nedostatečná legislativa</w:t>
            </w:r>
          </w:p>
        </w:tc>
        <w:tc>
          <w:tcPr>
            <w:tcW w:w="3061" w:type="dxa"/>
            <w:shd w:val="clear" w:color="auto" w:fill="auto"/>
            <w:vAlign w:val="center"/>
          </w:tcPr>
          <w:p w14:paraId="3DD7A80C" w14:textId="77777777" w:rsidR="003479B0" w:rsidRPr="00DE7172" w:rsidRDefault="00455CD6" w:rsidP="001E126B">
            <w:pPr>
              <w:jc w:val="center"/>
              <w:rPr>
                <w:rFonts w:cstheme="minorHAnsi"/>
                <w:sz w:val="20"/>
              </w:rPr>
            </w:pPr>
            <w:r w:rsidRPr="00DE7172">
              <w:rPr>
                <w:rFonts w:cstheme="minorHAnsi"/>
                <w:sz w:val="20"/>
              </w:rPr>
              <w:t>Časté legislativní změny</w:t>
            </w:r>
          </w:p>
        </w:tc>
        <w:tc>
          <w:tcPr>
            <w:tcW w:w="3118" w:type="dxa"/>
            <w:shd w:val="clear" w:color="auto" w:fill="auto"/>
            <w:vAlign w:val="center"/>
          </w:tcPr>
          <w:p w14:paraId="15569B05" w14:textId="7AB110B5" w:rsidR="003479B0" w:rsidRPr="00DE7172" w:rsidRDefault="00455CD6" w:rsidP="001E126B">
            <w:pPr>
              <w:jc w:val="center"/>
              <w:rPr>
                <w:rFonts w:cstheme="minorHAnsi"/>
                <w:sz w:val="20"/>
              </w:rPr>
            </w:pPr>
            <w:r w:rsidRPr="00DE7172">
              <w:rPr>
                <w:rFonts w:cstheme="minorHAnsi"/>
                <w:sz w:val="20"/>
              </w:rPr>
              <w:t>Nedostatečné legislativní vymezení kompetencí státu, krajů a obcí v</w:t>
            </w:r>
            <w:r w:rsidR="00E7372A">
              <w:rPr>
                <w:rFonts w:cstheme="minorHAnsi"/>
                <w:sz w:val="20"/>
              </w:rPr>
              <w:t> </w:t>
            </w:r>
            <w:r w:rsidRPr="00DE7172">
              <w:rPr>
                <w:rFonts w:cstheme="minorHAnsi"/>
                <w:sz w:val="20"/>
              </w:rPr>
              <w:t>oblasti bydlení vč. sociálního, kde je silná neprovázanost kompetencí</w:t>
            </w:r>
          </w:p>
        </w:tc>
      </w:tr>
      <w:tr w:rsidR="009960E7" w14:paraId="3E9253D6" w14:textId="77777777" w:rsidTr="000327EB">
        <w:trPr>
          <w:jc w:val="center"/>
        </w:trPr>
        <w:tc>
          <w:tcPr>
            <w:tcW w:w="3061" w:type="dxa"/>
            <w:shd w:val="clear" w:color="auto" w:fill="auto"/>
            <w:vAlign w:val="center"/>
          </w:tcPr>
          <w:p w14:paraId="462215E8" w14:textId="77777777" w:rsidR="003479B0" w:rsidRPr="00DE7172" w:rsidRDefault="00455CD6" w:rsidP="001E126B">
            <w:pPr>
              <w:jc w:val="center"/>
              <w:rPr>
                <w:rFonts w:cstheme="minorHAnsi"/>
                <w:sz w:val="20"/>
              </w:rPr>
            </w:pPr>
            <w:r w:rsidRPr="00DE7172">
              <w:rPr>
                <w:rFonts w:cstheme="minorHAnsi"/>
                <w:sz w:val="20"/>
              </w:rPr>
              <w:t>Kvalita výstavby</w:t>
            </w:r>
          </w:p>
        </w:tc>
        <w:tc>
          <w:tcPr>
            <w:tcW w:w="3061" w:type="dxa"/>
            <w:shd w:val="clear" w:color="auto" w:fill="auto"/>
            <w:vAlign w:val="center"/>
          </w:tcPr>
          <w:p w14:paraId="24AF46B1" w14:textId="13F453A8" w:rsidR="003479B0" w:rsidRPr="00DE7172" w:rsidRDefault="00455CD6" w:rsidP="001E126B">
            <w:pPr>
              <w:jc w:val="center"/>
              <w:rPr>
                <w:rFonts w:cstheme="minorHAnsi"/>
                <w:sz w:val="20"/>
              </w:rPr>
            </w:pPr>
            <w:r w:rsidRPr="00DE7172">
              <w:rPr>
                <w:rFonts w:cstheme="minorHAnsi"/>
                <w:sz w:val="20"/>
              </w:rPr>
              <w:t>Snižování investičního dluhu a</w:t>
            </w:r>
            <w:r w:rsidR="006446FC">
              <w:rPr>
                <w:rFonts w:cstheme="minorHAnsi"/>
                <w:sz w:val="20"/>
              </w:rPr>
              <w:t> </w:t>
            </w:r>
            <w:r w:rsidRPr="00DE7172">
              <w:rPr>
                <w:rFonts w:cstheme="minorHAnsi"/>
                <w:sz w:val="20"/>
              </w:rPr>
              <w:t>kvalita vnějšího prostředí</w:t>
            </w:r>
          </w:p>
        </w:tc>
        <w:tc>
          <w:tcPr>
            <w:tcW w:w="3118" w:type="dxa"/>
            <w:shd w:val="clear" w:color="auto" w:fill="auto"/>
            <w:vAlign w:val="center"/>
          </w:tcPr>
          <w:p w14:paraId="7337ACDE" w14:textId="57232251" w:rsidR="003479B0" w:rsidRPr="00DE7172" w:rsidRDefault="00455CD6" w:rsidP="001E126B">
            <w:pPr>
              <w:jc w:val="center"/>
              <w:rPr>
                <w:rFonts w:cstheme="minorHAnsi"/>
                <w:sz w:val="20"/>
              </w:rPr>
            </w:pPr>
            <w:r w:rsidRPr="00DE7172">
              <w:rPr>
                <w:rFonts w:cstheme="minorHAnsi"/>
                <w:sz w:val="20"/>
              </w:rPr>
              <w:t>Nedostatky ve stavební a</w:t>
            </w:r>
            <w:r w:rsidR="00E7372A">
              <w:rPr>
                <w:rFonts w:cstheme="minorHAnsi"/>
                <w:sz w:val="20"/>
              </w:rPr>
              <w:t> </w:t>
            </w:r>
            <w:r w:rsidRPr="00DE7172">
              <w:rPr>
                <w:rFonts w:cstheme="minorHAnsi"/>
                <w:sz w:val="20"/>
              </w:rPr>
              <w:t>technologické oblasti výstavby</w:t>
            </w:r>
            <w:r w:rsidR="006446FC">
              <w:rPr>
                <w:rFonts w:cstheme="minorHAnsi"/>
                <w:sz w:val="20"/>
              </w:rPr>
              <w:t>;</w:t>
            </w:r>
          </w:p>
          <w:p w14:paraId="39EFC62C" w14:textId="59B0F8BE" w:rsidR="003479B0" w:rsidRPr="00DE7172" w:rsidRDefault="006446FC" w:rsidP="001E126B">
            <w:pPr>
              <w:jc w:val="center"/>
              <w:rPr>
                <w:rFonts w:cstheme="minorHAnsi"/>
                <w:sz w:val="20"/>
              </w:rPr>
            </w:pPr>
            <w:r>
              <w:rPr>
                <w:rFonts w:cstheme="minorHAnsi"/>
                <w:sz w:val="20"/>
              </w:rPr>
              <w:t>r</w:t>
            </w:r>
            <w:r w:rsidR="00455CD6" w:rsidRPr="00DE7172">
              <w:rPr>
                <w:rFonts w:cstheme="minorHAnsi"/>
                <w:sz w:val="20"/>
              </w:rPr>
              <w:t>ůst nákladů na výstavbu v důsledku změn podmínek ve stavebnictví</w:t>
            </w:r>
          </w:p>
        </w:tc>
      </w:tr>
      <w:tr w:rsidR="004D19E6" w14:paraId="21BBD3EC" w14:textId="77777777" w:rsidTr="000327EB">
        <w:trPr>
          <w:jc w:val="center"/>
        </w:trPr>
        <w:tc>
          <w:tcPr>
            <w:tcW w:w="3061" w:type="dxa"/>
            <w:tcBorders>
              <w:bottom w:val="single" w:sz="4" w:space="0" w:color="FFFFFF" w:themeColor="background1"/>
            </w:tcBorders>
            <w:shd w:val="clear" w:color="auto" w:fill="auto"/>
            <w:vAlign w:val="center"/>
          </w:tcPr>
          <w:p w14:paraId="0EA70805" w14:textId="77777777" w:rsidR="004D19E6" w:rsidRPr="00DE7172" w:rsidRDefault="004D19E6" w:rsidP="001E126B">
            <w:pPr>
              <w:jc w:val="center"/>
              <w:rPr>
                <w:rFonts w:cstheme="minorHAnsi"/>
                <w:sz w:val="20"/>
              </w:rPr>
            </w:pPr>
          </w:p>
        </w:tc>
        <w:tc>
          <w:tcPr>
            <w:tcW w:w="3061" w:type="dxa"/>
            <w:tcBorders>
              <w:bottom w:val="single" w:sz="4" w:space="0" w:color="FFFFFF" w:themeColor="background1"/>
            </w:tcBorders>
            <w:shd w:val="clear" w:color="auto" w:fill="auto"/>
            <w:vAlign w:val="center"/>
          </w:tcPr>
          <w:p w14:paraId="38EB6209" w14:textId="77777777" w:rsidR="004D19E6" w:rsidRPr="00DE7172" w:rsidRDefault="004D19E6" w:rsidP="001E126B">
            <w:pPr>
              <w:jc w:val="center"/>
              <w:rPr>
                <w:rFonts w:cstheme="minorHAnsi"/>
                <w:sz w:val="20"/>
              </w:rPr>
            </w:pPr>
          </w:p>
        </w:tc>
        <w:tc>
          <w:tcPr>
            <w:tcW w:w="3118" w:type="dxa"/>
            <w:shd w:val="clear" w:color="auto" w:fill="auto"/>
            <w:vAlign w:val="center"/>
          </w:tcPr>
          <w:p w14:paraId="391CD248" w14:textId="77777777" w:rsidR="004D19E6" w:rsidRPr="00DE7172" w:rsidRDefault="004D19E6" w:rsidP="001E126B">
            <w:pPr>
              <w:jc w:val="center"/>
              <w:rPr>
                <w:rFonts w:cstheme="minorHAnsi"/>
                <w:sz w:val="20"/>
              </w:rPr>
            </w:pPr>
            <w:r w:rsidRPr="00DE7172">
              <w:rPr>
                <w:rFonts w:cstheme="minorHAnsi"/>
                <w:sz w:val="20"/>
              </w:rPr>
              <w:t>Nízká míra výstavby bytových domů v aglomeracích</w:t>
            </w:r>
          </w:p>
        </w:tc>
      </w:tr>
      <w:tr w:rsidR="004D19E6" w14:paraId="6C3E7078" w14:textId="77777777" w:rsidTr="000327EB">
        <w:trPr>
          <w:jc w:val="center"/>
        </w:trPr>
        <w:tc>
          <w:tcPr>
            <w:tcW w:w="3061" w:type="dxa"/>
            <w:tcBorders>
              <w:top w:val="single" w:sz="4" w:space="0" w:color="FFFFFF" w:themeColor="background1"/>
              <w:bottom w:val="single" w:sz="4" w:space="0" w:color="FFFFFF" w:themeColor="background1"/>
            </w:tcBorders>
            <w:shd w:val="clear" w:color="auto" w:fill="auto"/>
            <w:vAlign w:val="center"/>
          </w:tcPr>
          <w:p w14:paraId="3DBDCE50" w14:textId="77777777" w:rsidR="004D19E6" w:rsidRPr="00DE7172" w:rsidRDefault="004D19E6" w:rsidP="001E126B">
            <w:pPr>
              <w:jc w:val="center"/>
              <w:rPr>
                <w:rFonts w:cstheme="minorHAnsi"/>
                <w:sz w:val="20"/>
              </w:rPr>
            </w:pPr>
          </w:p>
        </w:tc>
        <w:tc>
          <w:tcPr>
            <w:tcW w:w="3061" w:type="dxa"/>
            <w:tcBorders>
              <w:top w:val="single" w:sz="4" w:space="0" w:color="FFFFFF" w:themeColor="background1"/>
              <w:bottom w:val="single" w:sz="4" w:space="0" w:color="FFFFFF" w:themeColor="background1"/>
            </w:tcBorders>
            <w:shd w:val="clear" w:color="auto" w:fill="auto"/>
            <w:vAlign w:val="center"/>
          </w:tcPr>
          <w:p w14:paraId="35A0BB24" w14:textId="77777777" w:rsidR="004D19E6" w:rsidRPr="00DE7172" w:rsidRDefault="004D19E6" w:rsidP="001E126B">
            <w:pPr>
              <w:jc w:val="center"/>
              <w:rPr>
                <w:rFonts w:cstheme="minorHAnsi"/>
                <w:sz w:val="20"/>
              </w:rPr>
            </w:pPr>
          </w:p>
        </w:tc>
        <w:tc>
          <w:tcPr>
            <w:tcW w:w="3118" w:type="dxa"/>
            <w:shd w:val="clear" w:color="auto" w:fill="auto"/>
            <w:vAlign w:val="center"/>
          </w:tcPr>
          <w:p w14:paraId="72381304" w14:textId="77777777" w:rsidR="004D19E6" w:rsidRPr="00DE7172" w:rsidRDefault="004D19E6" w:rsidP="001E126B">
            <w:pPr>
              <w:jc w:val="center"/>
              <w:rPr>
                <w:rFonts w:cstheme="minorHAnsi"/>
                <w:sz w:val="20"/>
              </w:rPr>
            </w:pPr>
            <w:r w:rsidRPr="00DE7172">
              <w:rPr>
                <w:rFonts w:cstheme="minorHAnsi"/>
                <w:sz w:val="20"/>
              </w:rPr>
              <w:t>Řídnoucí hustota osídlení</w:t>
            </w:r>
          </w:p>
        </w:tc>
      </w:tr>
      <w:tr w:rsidR="004D19E6" w14:paraId="27FBF23F" w14:textId="77777777" w:rsidTr="000327EB">
        <w:trPr>
          <w:jc w:val="center"/>
        </w:trPr>
        <w:tc>
          <w:tcPr>
            <w:tcW w:w="3061" w:type="dxa"/>
            <w:tcBorders>
              <w:top w:val="single" w:sz="4" w:space="0" w:color="FFFFFF" w:themeColor="background1"/>
              <w:bottom w:val="single" w:sz="4" w:space="0" w:color="FFFFFF" w:themeColor="background1"/>
            </w:tcBorders>
            <w:shd w:val="clear" w:color="auto" w:fill="auto"/>
            <w:vAlign w:val="center"/>
          </w:tcPr>
          <w:p w14:paraId="326D9AB7" w14:textId="77777777" w:rsidR="004D19E6" w:rsidRPr="00DE7172" w:rsidRDefault="004D19E6" w:rsidP="001E126B">
            <w:pPr>
              <w:jc w:val="center"/>
              <w:rPr>
                <w:rFonts w:cstheme="minorHAnsi"/>
                <w:sz w:val="20"/>
              </w:rPr>
            </w:pPr>
          </w:p>
        </w:tc>
        <w:tc>
          <w:tcPr>
            <w:tcW w:w="3061" w:type="dxa"/>
            <w:tcBorders>
              <w:top w:val="single" w:sz="4" w:space="0" w:color="FFFFFF" w:themeColor="background1"/>
              <w:bottom w:val="single" w:sz="4" w:space="0" w:color="FFFFFF" w:themeColor="background1"/>
            </w:tcBorders>
            <w:shd w:val="clear" w:color="auto" w:fill="auto"/>
            <w:vAlign w:val="center"/>
          </w:tcPr>
          <w:p w14:paraId="31D52058" w14:textId="77777777" w:rsidR="004D19E6" w:rsidRPr="00DE7172" w:rsidRDefault="004D19E6" w:rsidP="001E126B">
            <w:pPr>
              <w:jc w:val="center"/>
              <w:rPr>
                <w:rFonts w:cstheme="minorHAnsi"/>
                <w:sz w:val="20"/>
              </w:rPr>
            </w:pPr>
          </w:p>
        </w:tc>
        <w:tc>
          <w:tcPr>
            <w:tcW w:w="3118" w:type="dxa"/>
            <w:shd w:val="clear" w:color="auto" w:fill="auto"/>
            <w:vAlign w:val="center"/>
          </w:tcPr>
          <w:p w14:paraId="58469CD8" w14:textId="77777777" w:rsidR="004D19E6" w:rsidRPr="00DE7172" w:rsidRDefault="004D19E6" w:rsidP="001E126B">
            <w:pPr>
              <w:jc w:val="center"/>
              <w:rPr>
                <w:rFonts w:cstheme="minorHAnsi"/>
                <w:sz w:val="20"/>
              </w:rPr>
            </w:pPr>
            <w:r w:rsidRPr="00DE7172">
              <w:rPr>
                <w:rFonts w:cstheme="minorHAnsi"/>
                <w:sz w:val="20"/>
              </w:rPr>
              <w:t>Nájemní bydlení není stabilní dlouhodobou alternativou vlastnického bydlení v atraktivních regionech</w:t>
            </w:r>
          </w:p>
        </w:tc>
      </w:tr>
      <w:tr w:rsidR="004D19E6" w14:paraId="0811F6D5" w14:textId="77777777" w:rsidTr="000327EB">
        <w:trPr>
          <w:jc w:val="center"/>
        </w:trPr>
        <w:tc>
          <w:tcPr>
            <w:tcW w:w="3061" w:type="dxa"/>
            <w:tcBorders>
              <w:top w:val="single" w:sz="4" w:space="0" w:color="FFFFFF" w:themeColor="background1"/>
              <w:bottom w:val="single" w:sz="4" w:space="0" w:color="FFFFFF" w:themeColor="background1"/>
            </w:tcBorders>
            <w:shd w:val="clear" w:color="auto" w:fill="auto"/>
            <w:vAlign w:val="center"/>
          </w:tcPr>
          <w:p w14:paraId="07892452" w14:textId="77777777" w:rsidR="004D19E6" w:rsidRPr="00DE7172" w:rsidRDefault="004D19E6" w:rsidP="001E126B">
            <w:pPr>
              <w:jc w:val="center"/>
              <w:rPr>
                <w:rFonts w:cstheme="minorHAnsi"/>
                <w:sz w:val="20"/>
              </w:rPr>
            </w:pPr>
          </w:p>
        </w:tc>
        <w:tc>
          <w:tcPr>
            <w:tcW w:w="3061" w:type="dxa"/>
            <w:tcBorders>
              <w:top w:val="single" w:sz="4" w:space="0" w:color="FFFFFF" w:themeColor="background1"/>
              <w:bottom w:val="single" w:sz="4" w:space="0" w:color="FFFFFF" w:themeColor="background1"/>
            </w:tcBorders>
            <w:shd w:val="clear" w:color="auto" w:fill="auto"/>
            <w:vAlign w:val="center"/>
          </w:tcPr>
          <w:p w14:paraId="33431191" w14:textId="77777777" w:rsidR="004D19E6" w:rsidRPr="00DE7172" w:rsidRDefault="004D19E6" w:rsidP="001E126B">
            <w:pPr>
              <w:jc w:val="center"/>
              <w:rPr>
                <w:rFonts w:cstheme="minorHAnsi"/>
                <w:sz w:val="20"/>
              </w:rPr>
            </w:pPr>
          </w:p>
        </w:tc>
        <w:tc>
          <w:tcPr>
            <w:tcW w:w="3118" w:type="dxa"/>
            <w:shd w:val="clear" w:color="auto" w:fill="auto"/>
            <w:vAlign w:val="center"/>
          </w:tcPr>
          <w:p w14:paraId="2F05AEDC" w14:textId="77777777" w:rsidR="004D19E6" w:rsidRPr="00DE7172" w:rsidRDefault="004D19E6" w:rsidP="001E126B">
            <w:pPr>
              <w:jc w:val="center"/>
              <w:rPr>
                <w:rFonts w:cstheme="minorHAnsi"/>
                <w:sz w:val="20"/>
              </w:rPr>
            </w:pPr>
            <w:r w:rsidRPr="00DE7172">
              <w:rPr>
                <w:rFonts w:cstheme="minorHAnsi"/>
                <w:sz w:val="20"/>
              </w:rPr>
              <w:t>Prohlubování regionální diferenciace ekonomického postavení domácností</w:t>
            </w:r>
          </w:p>
        </w:tc>
      </w:tr>
      <w:tr w:rsidR="004D19E6" w14:paraId="400DF881" w14:textId="77777777" w:rsidTr="000327EB">
        <w:trPr>
          <w:jc w:val="center"/>
        </w:trPr>
        <w:tc>
          <w:tcPr>
            <w:tcW w:w="3061" w:type="dxa"/>
            <w:tcBorders>
              <w:top w:val="single" w:sz="4" w:space="0" w:color="FFFFFF" w:themeColor="background1"/>
            </w:tcBorders>
            <w:shd w:val="clear" w:color="auto" w:fill="auto"/>
            <w:vAlign w:val="center"/>
          </w:tcPr>
          <w:p w14:paraId="3436F2BE" w14:textId="77777777" w:rsidR="004D19E6" w:rsidRPr="00DE7172" w:rsidRDefault="004D19E6" w:rsidP="001E126B">
            <w:pPr>
              <w:jc w:val="center"/>
              <w:rPr>
                <w:rFonts w:cstheme="minorHAnsi"/>
                <w:sz w:val="20"/>
              </w:rPr>
            </w:pPr>
          </w:p>
        </w:tc>
        <w:tc>
          <w:tcPr>
            <w:tcW w:w="3061" w:type="dxa"/>
            <w:tcBorders>
              <w:top w:val="single" w:sz="4" w:space="0" w:color="FFFFFF" w:themeColor="background1"/>
            </w:tcBorders>
            <w:shd w:val="clear" w:color="auto" w:fill="auto"/>
            <w:vAlign w:val="center"/>
          </w:tcPr>
          <w:p w14:paraId="3B0B20B1" w14:textId="77777777" w:rsidR="004D19E6" w:rsidRPr="00DE7172" w:rsidRDefault="004D19E6" w:rsidP="001E126B">
            <w:pPr>
              <w:jc w:val="center"/>
              <w:rPr>
                <w:rFonts w:cstheme="minorHAnsi"/>
                <w:sz w:val="20"/>
              </w:rPr>
            </w:pPr>
          </w:p>
        </w:tc>
        <w:tc>
          <w:tcPr>
            <w:tcW w:w="3118" w:type="dxa"/>
            <w:shd w:val="clear" w:color="auto" w:fill="auto"/>
            <w:vAlign w:val="center"/>
          </w:tcPr>
          <w:p w14:paraId="34F1EC96" w14:textId="34249F4A" w:rsidR="004D19E6" w:rsidRPr="00DE7172" w:rsidRDefault="004D19E6" w:rsidP="001E126B">
            <w:pPr>
              <w:jc w:val="center"/>
              <w:rPr>
                <w:rFonts w:cstheme="minorHAnsi"/>
                <w:sz w:val="20"/>
              </w:rPr>
            </w:pPr>
            <w:r w:rsidRPr="00DE7172">
              <w:rPr>
                <w:rFonts w:cstheme="minorHAnsi"/>
                <w:sz w:val="20"/>
              </w:rPr>
              <w:t xml:space="preserve">Ekonomický vývoj ovlivněný pandemií </w:t>
            </w:r>
            <w:r w:rsidR="00B97727">
              <w:rPr>
                <w:rFonts w:cstheme="minorHAnsi"/>
                <w:sz w:val="20"/>
              </w:rPr>
              <w:t>covidu-</w:t>
            </w:r>
            <w:r w:rsidRPr="00DE7172">
              <w:rPr>
                <w:rFonts w:cstheme="minorHAnsi"/>
                <w:sz w:val="20"/>
              </w:rPr>
              <w:t>19</w:t>
            </w:r>
          </w:p>
        </w:tc>
      </w:tr>
    </w:tbl>
    <w:p w14:paraId="730347AC" w14:textId="3FF0D1B0" w:rsidR="003E7CA4" w:rsidRPr="00EC06C9" w:rsidRDefault="003E7CA4" w:rsidP="00756C02">
      <w:pPr>
        <w:spacing w:after="120"/>
        <w:ind w:left="567" w:hanging="567"/>
        <w:rPr>
          <w:rFonts w:ascii="Calibri" w:hAnsi="Calibri" w:cs="Calibri"/>
          <w:sz w:val="20"/>
        </w:rPr>
      </w:pPr>
      <w:r w:rsidRPr="00EC06C9">
        <w:rPr>
          <w:rFonts w:ascii="Calibri" w:hAnsi="Calibri" w:cs="Calibri"/>
          <w:b/>
          <w:sz w:val="20"/>
        </w:rPr>
        <w:t xml:space="preserve">Zdroj: </w:t>
      </w:r>
      <w:r w:rsidR="00FB7CDA">
        <w:rPr>
          <w:rFonts w:ascii="Calibri" w:hAnsi="Calibri" w:cs="Calibri"/>
          <w:b/>
          <w:sz w:val="20"/>
        </w:rPr>
        <w:tab/>
      </w:r>
      <w:r w:rsidR="00B97727">
        <w:rPr>
          <w:rFonts w:ascii="Calibri" w:hAnsi="Calibri" w:cs="Calibri"/>
          <w:sz w:val="20"/>
        </w:rPr>
        <w:t>v</w:t>
      </w:r>
      <w:r w:rsidRPr="00EC06C9">
        <w:rPr>
          <w:rFonts w:ascii="Calibri" w:hAnsi="Calibri" w:cs="Calibri"/>
          <w:sz w:val="20"/>
        </w:rPr>
        <w:t xml:space="preserve">lastní zpracování NKÚ na základě vyhodnocení </w:t>
      </w:r>
      <w:r w:rsidRPr="00756C02">
        <w:rPr>
          <w:rFonts w:ascii="Calibri" w:hAnsi="Calibri" w:cs="Calibri"/>
          <w:i/>
          <w:sz w:val="20"/>
        </w:rPr>
        <w:t>Koncepce bydlení ČR do roku 2020</w:t>
      </w:r>
      <w:r w:rsidRPr="00EC06C9">
        <w:rPr>
          <w:rFonts w:ascii="Calibri" w:hAnsi="Calibri" w:cs="Calibri"/>
          <w:sz w:val="20"/>
        </w:rPr>
        <w:t xml:space="preserve"> (z roku 2011), </w:t>
      </w:r>
      <w:r w:rsidRPr="00756C02">
        <w:rPr>
          <w:rFonts w:ascii="Calibri" w:hAnsi="Calibri" w:cs="Calibri"/>
          <w:i/>
          <w:sz w:val="20"/>
        </w:rPr>
        <w:t>Koncepce bydlení České republiky do roku 2020 (revidovan</w:t>
      </w:r>
      <w:r w:rsidR="00B97727">
        <w:rPr>
          <w:rFonts w:ascii="Calibri" w:hAnsi="Calibri" w:cs="Calibri"/>
          <w:i/>
          <w:sz w:val="20"/>
        </w:rPr>
        <w:t>é</w:t>
      </w:r>
      <w:r w:rsidRPr="00756C02">
        <w:rPr>
          <w:rFonts w:ascii="Calibri" w:hAnsi="Calibri" w:cs="Calibri"/>
          <w:i/>
          <w:sz w:val="20"/>
        </w:rPr>
        <w:t>)</w:t>
      </w:r>
      <w:r w:rsidRPr="00EC06C9">
        <w:rPr>
          <w:rFonts w:ascii="Calibri" w:hAnsi="Calibri" w:cs="Calibri"/>
          <w:sz w:val="20"/>
        </w:rPr>
        <w:t xml:space="preserve"> z roku 2016 </w:t>
      </w:r>
      <w:r w:rsidR="00B97727">
        <w:rPr>
          <w:rFonts w:ascii="Calibri" w:hAnsi="Calibri" w:cs="Calibri"/>
          <w:sz w:val="20"/>
        </w:rPr>
        <w:t xml:space="preserve">a </w:t>
      </w:r>
      <w:r w:rsidRPr="00756C02">
        <w:rPr>
          <w:rFonts w:ascii="Calibri" w:hAnsi="Calibri" w:cs="Calibri"/>
          <w:i/>
          <w:sz w:val="20"/>
        </w:rPr>
        <w:t>Koncepce bydlení České republiky 2021+</w:t>
      </w:r>
      <w:r w:rsidR="00B97727">
        <w:rPr>
          <w:rFonts w:ascii="Calibri" w:hAnsi="Calibri" w:cs="Calibri"/>
          <w:sz w:val="20"/>
        </w:rPr>
        <w:t xml:space="preserve"> (z roku 2021)</w:t>
      </w:r>
      <w:r>
        <w:rPr>
          <w:rFonts w:ascii="Calibri" w:hAnsi="Calibri" w:cs="Calibri"/>
          <w:sz w:val="20"/>
        </w:rPr>
        <w:t>.</w:t>
      </w:r>
    </w:p>
    <w:p w14:paraId="5FE19761" w14:textId="08C9A31D" w:rsidR="003C6488" w:rsidRDefault="00455CD6" w:rsidP="009D3359">
      <w:pPr>
        <w:spacing w:before="240" w:after="120"/>
        <w:ind w:left="992" w:hanging="567"/>
        <w:rPr>
          <w:szCs w:val="24"/>
        </w:rPr>
      </w:pPr>
      <w:r w:rsidRPr="00B311EA">
        <w:lastRenderedPageBreak/>
        <w:t>1.1</w:t>
      </w:r>
      <w:r w:rsidR="00A77CE9" w:rsidRPr="00B311EA">
        <w:t xml:space="preserve"> </w:t>
      </w:r>
      <w:r w:rsidR="007F28B8">
        <w:tab/>
      </w:r>
      <w:r w:rsidR="00033061" w:rsidRPr="004D4440">
        <w:t>Vznik databáze</w:t>
      </w:r>
      <w:r w:rsidR="00033061" w:rsidRPr="004D4440">
        <w:rPr>
          <w:shd w:val="clear" w:color="auto" w:fill="FFFFFF"/>
        </w:rPr>
        <w:t xml:space="preserve"> údajů o podporách poskytnutých MMR a SFPI</w:t>
      </w:r>
      <w:r w:rsidR="00033061" w:rsidRPr="004D4440">
        <w:t xml:space="preserve"> z</w:t>
      </w:r>
      <w:r w:rsidR="00F83D72">
        <w:t xml:space="preserve"> </w:t>
      </w:r>
      <w:r w:rsidR="00033061" w:rsidRPr="004D4440">
        <w:t>pozice MMR představuje pouze formální splnění úkolu</w:t>
      </w:r>
      <w:r w:rsidR="00033061">
        <w:rPr>
          <w:rStyle w:val="Znakapoznpodarou"/>
        </w:rPr>
        <w:footnoteReference w:id="39"/>
      </w:r>
      <w:r w:rsidR="00033061" w:rsidRPr="004D4440">
        <w:t>. Datová základna je nedostatečná a za sledované období nejsou spolehlivá data</w:t>
      </w:r>
      <w:r w:rsidR="00033061">
        <w:t xml:space="preserve"> k dispozici</w:t>
      </w:r>
      <w:r w:rsidR="00033061" w:rsidRPr="004D4440">
        <w:t>.</w:t>
      </w:r>
      <w:r w:rsidR="00033061">
        <w:t xml:space="preserve"> </w:t>
      </w:r>
      <w:r w:rsidR="007914D8" w:rsidRPr="009A4A71">
        <w:t>Stále ch</w:t>
      </w:r>
      <w:r w:rsidR="00A77CE9" w:rsidRPr="009A4A71">
        <w:rPr>
          <w:szCs w:val="24"/>
        </w:rPr>
        <w:t>ybějí komplexní informace z</w:t>
      </w:r>
      <w:r w:rsidR="00F83D72">
        <w:rPr>
          <w:szCs w:val="24"/>
        </w:rPr>
        <w:t xml:space="preserve"> </w:t>
      </w:r>
      <w:r w:rsidR="00A77CE9" w:rsidRPr="009A4A71">
        <w:rPr>
          <w:szCs w:val="24"/>
        </w:rPr>
        <w:t>oblasti politiky bydlení vč</w:t>
      </w:r>
      <w:r w:rsidR="00305897" w:rsidRPr="009A4A71">
        <w:rPr>
          <w:szCs w:val="24"/>
        </w:rPr>
        <w:t>etně</w:t>
      </w:r>
      <w:r w:rsidR="00A77CE9" w:rsidRPr="009A4A71">
        <w:rPr>
          <w:szCs w:val="24"/>
        </w:rPr>
        <w:t xml:space="preserve"> sběru, výzkumu</w:t>
      </w:r>
      <w:r w:rsidR="00FB7CDA">
        <w:rPr>
          <w:szCs w:val="24"/>
        </w:rPr>
        <w:t xml:space="preserve"> </w:t>
      </w:r>
      <w:r w:rsidR="00A77CE9" w:rsidRPr="00375520">
        <w:rPr>
          <w:szCs w:val="24"/>
        </w:rPr>
        <w:t>a vyhodnocování dat z jiných resortů, institucí a nestátních neziskových organizací</w:t>
      </w:r>
      <w:r w:rsidR="00084C6C">
        <w:rPr>
          <w:szCs w:val="24"/>
        </w:rPr>
        <w:t>.</w:t>
      </w:r>
      <w:r>
        <w:rPr>
          <w:rStyle w:val="Znakapoznpodarou"/>
          <w:szCs w:val="24"/>
        </w:rPr>
        <w:footnoteReference w:id="40"/>
      </w:r>
      <w:r w:rsidR="00401906" w:rsidRPr="00375520">
        <w:rPr>
          <w:szCs w:val="24"/>
        </w:rPr>
        <w:t xml:space="preserve"> V kontrolovaném období se MMR potýkalo s nedostatkem </w:t>
      </w:r>
      <w:r w:rsidR="00344798">
        <w:rPr>
          <w:szCs w:val="24"/>
        </w:rPr>
        <w:t>dat</w:t>
      </w:r>
      <w:r w:rsidR="00984A20">
        <w:rPr>
          <w:szCs w:val="24"/>
        </w:rPr>
        <w:t xml:space="preserve"> a </w:t>
      </w:r>
      <w:r w:rsidR="00344798">
        <w:rPr>
          <w:szCs w:val="24"/>
        </w:rPr>
        <w:t>informací a jejich</w:t>
      </w:r>
      <w:r w:rsidR="00401906" w:rsidRPr="00375520">
        <w:rPr>
          <w:szCs w:val="24"/>
        </w:rPr>
        <w:t xml:space="preserve"> spolehlivostí</w:t>
      </w:r>
      <w:r w:rsidR="00BF214C" w:rsidRPr="00375520">
        <w:rPr>
          <w:szCs w:val="24"/>
        </w:rPr>
        <w:t>.</w:t>
      </w:r>
      <w:r w:rsidR="00EC79E1" w:rsidRPr="00375520">
        <w:rPr>
          <w:szCs w:val="24"/>
        </w:rPr>
        <w:t xml:space="preserve"> </w:t>
      </w:r>
      <w:r w:rsidR="007914D8" w:rsidRPr="00375520">
        <w:rPr>
          <w:szCs w:val="24"/>
        </w:rPr>
        <w:t xml:space="preserve">Databáze </w:t>
      </w:r>
      <w:r w:rsidR="003B6E93" w:rsidRPr="00375520">
        <w:rPr>
          <w:szCs w:val="24"/>
        </w:rPr>
        <w:t>vytvořená MMR jako opatření k nápravě nedostatků z</w:t>
      </w:r>
      <w:r w:rsidR="008A1EAE" w:rsidRPr="00375520">
        <w:rPr>
          <w:szCs w:val="24"/>
        </w:rPr>
        <w:t> </w:t>
      </w:r>
      <w:r w:rsidR="003B6E93" w:rsidRPr="00375520">
        <w:rPr>
          <w:szCs w:val="24"/>
        </w:rPr>
        <w:t>kontrol</w:t>
      </w:r>
      <w:r w:rsidR="008A1EAE" w:rsidRPr="00375520">
        <w:rPr>
          <w:szCs w:val="24"/>
        </w:rPr>
        <w:t xml:space="preserve">ní akce </w:t>
      </w:r>
      <w:r w:rsidR="003B6E93" w:rsidRPr="00375520">
        <w:rPr>
          <w:szCs w:val="24"/>
        </w:rPr>
        <w:t xml:space="preserve">NKÚ </w:t>
      </w:r>
      <w:r w:rsidR="008A1EAE" w:rsidRPr="00375520">
        <w:rPr>
          <w:szCs w:val="24"/>
        </w:rPr>
        <w:t xml:space="preserve">č. </w:t>
      </w:r>
      <w:r w:rsidR="003B6E93" w:rsidRPr="00375520">
        <w:rPr>
          <w:szCs w:val="24"/>
        </w:rPr>
        <w:t xml:space="preserve">15/18 </w:t>
      </w:r>
      <w:r w:rsidR="007914D8" w:rsidRPr="00375520">
        <w:rPr>
          <w:szCs w:val="24"/>
        </w:rPr>
        <w:t>z</w:t>
      </w:r>
      <w:r w:rsidR="00EC79E1" w:rsidRPr="00375520">
        <w:rPr>
          <w:szCs w:val="24"/>
        </w:rPr>
        <w:t xml:space="preserve">ahrnovala jen několik projektů, které ke dni </w:t>
      </w:r>
      <w:r w:rsidR="007914D8" w:rsidRPr="00375520">
        <w:rPr>
          <w:szCs w:val="24"/>
        </w:rPr>
        <w:t xml:space="preserve">jejího </w:t>
      </w:r>
      <w:r w:rsidR="00EC79E1" w:rsidRPr="00375520">
        <w:rPr>
          <w:szCs w:val="24"/>
        </w:rPr>
        <w:t>vzniku měl</w:t>
      </w:r>
      <w:r w:rsidR="00B311EA" w:rsidRPr="00375520">
        <w:rPr>
          <w:szCs w:val="24"/>
        </w:rPr>
        <w:t>y ukončenou realizaci.</w:t>
      </w:r>
      <w:r w:rsidR="00401906" w:rsidRPr="00375520">
        <w:rPr>
          <w:szCs w:val="24"/>
        </w:rPr>
        <w:t xml:space="preserve"> Jej</w:t>
      </w:r>
      <w:r w:rsidR="007914D8" w:rsidRPr="00375520">
        <w:rPr>
          <w:szCs w:val="24"/>
        </w:rPr>
        <w:t xml:space="preserve">í </w:t>
      </w:r>
      <w:r w:rsidR="00401906" w:rsidRPr="00375520">
        <w:rPr>
          <w:szCs w:val="24"/>
        </w:rPr>
        <w:t xml:space="preserve">využitelnost pro korekce a případnou aktualizaci programů </w:t>
      </w:r>
      <w:r w:rsidR="00984A20">
        <w:rPr>
          <w:szCs w:val="24"/>
        </w:rPr>
        <w:t>byla</w:t>
      </w:r>
      <w:r w:rsidR="00401906" w:rsidRPr="00375520">
        <w:rPr>
          <w:szCs w:val="24"/>
        </w:rPr>
        <w:t xml:space="preserve"> nízká. </w:t>
      </w:r>
      <w:r w:rsidR="00CE3828" w:rsidRPr="00375520">
        <w:rPr>
          <w:szCs w:val="24"/>
        </w:rPr>
        <w:t xml:space="preserve">Příjemci měli povinnost vyplňovat údaje </w:t>
      </w:r>
      <w:r w:rsidR="003D4BCF" w:rsidRPr="00375520">
        <w:rPr>
          <w:szCs w:val="24"/>
        </w:rPr>
        <w:t>do</w:t>
      </w:r>
      <w:r w:rsidR="00CE3828" w:rsidRPr="00375520">
        <w:rPr>
          <w:szCs w:val="24"/>
        </w:rPr>
        <w:t xml:space="preserve"> této databáz</w:t>
      </w:r>
      <w:r w:rsidR="003D4BCF" w:rsidRPr="00375520">
        <w:rPr>
          <w:szCs w:val="24"/>
        </w:rPr>
        <w:t>e</w:t>
      </w:r>
      <w:r w:rsidR="00CE3828" w:rsidRPr="00375520">
        <w:rPr>
          <w:szCs w:val="24"/>
        </w:rPr>
        <w:t xml:space="preserve"> stanovenou</w:t>
      </w:r>
      <w:r w:rsidR="00C921E9">
        <w:rPr>
          <w:szCs w:val="24"/>
        </w:rPr>
        <w:t xml:space="preserve"> </w:t>
      </w:r>
      <w:r w:rsidR="00CE3828" w:rsidRPr="00375520">
        <w:rPr>
          <w:szCs w:val="24"/>
        </w:rPr>
        <w:t>v</w:t>
      </w:r>
      <w:r w:rsidR="00046F33" w:rsidRPr="00375520">
        <w:rPr>
          <w:szCs w:val="24"/>
        </w:rPr>
        <w:t> </w:t>
      </w:r>
      <w:r w:rsidR="00870E7B">
        <w:rPr>
          <w:szCs w:val="24"/>
        </w:rPr>
        <w:t>r</w:t>
      </w:r>
      <w:r w:rsidR="00CE3828" w:rsidRPr="00375520">
        <w:rPr>
          <w:szCs w:val="24"/>
        </w:rPr>
        <w:t>ozhodnutích o poskytnutí dotace</w:t>
      </w:r>
      <w:r w:rsidR="00870E7B">
        <w:rPr>
          <w:szCs w:val="24"/>
        </w:rPr>
        <w:t xml:space="preserve"> </w:t>
      </w:r>
      <w:r w:rsidR="00CE3828" w:rsidRPr="00375520">
        <w:rPr>
          <w:szCs w:val="24"/>
        </w:rPr>
        <w:t xml:space="preserve">vydávaných </w:t>
      </w:r>
      <w:r w:rsidR="00C921E9">
        <w:rPr>
          <w:szCs w:val="24"/>
        </w:rPr>
        <w:t xml:space="preserve">až </w:t>
      </w:r>
      <w:r w:rsidR="00CE3828" w:rsidRPr="00375520">
        <w:rPr>
          <w:szCs w:val="24"/>
        </w:rPr>
        <w:t xml:space="preserve">od roku 2019. </w:t>
      </w:r>
      <w:r w:rsidR="008A1EAE" w:rsidRPr="00375520">
        <w:rPr>
          <w:szCs w:val="24"/>
        </w:rPr>
        <w:t xml:space="preserve">Dokončení </w:t>
      </w:r>
      <w:r w:rsidR="00401906" w:rsidRPr="00375520">
        <w:rPr>
          <w:szCs w:val="24"/>
        </w:rPr>
        <w:t>relevantní databáze a</w:t>
      </w:r>
      <w:r w:rsidR="00084C6C">
        <w:rPr>
          <w:szCs w:val="24"/>
        </w:rPr>
        <w:t xml:space="preserve"> </w:t>
      </w:r>
      <w:r w:rsidR="00401906" w:rsidRPr="00375520">
        <w:rPr>
          <w:szCs w:val="24"/>
        </w:rPr>
        <w:t xml:space="preserve">její využívání předpokládá </w:t>
      </w:r>
      <w:r w:rsidR="00084C6C" w:rsidRPr="00375520">
        <w:rPr>
          <w:szCs w:val="24"/>
        </w:rPr>
        <w:t xml:space="preserve">MMR </w:t>
      </w:r>
      <w:r w:rsidR="00401906" w:rsidRPr="00375520">
        <w:rPr>
          <w:szCs w:val="24"/>
        </w:rPr>
        <w:t>v roce 2024</w:t>
      </w:r>
      <w:r w:rsidR="008A1EAE" w:rsidRPr="00375520">
        <w:rPr>
          <w:szCs w:val="24"/>
        </w:rPr>
        <w:t>.</w:t>
      </w:r>
      <w:r w:rsidRPr="00375520">
        <w:rPr>
          <w:szCs w:val="24"/>
        </w:rPr>
        <w:t xml:space="preserve"> </w:t>
      </w:r>
      <w:r w:rsidR="003C6488">
        <w:rPr>
          <w:szCs w:val="24"/>
        </w:rPr>
        <w:t xml:space="preserve">Poskytnuté podpory sice </w:t>
      </w:r>
      <w:r w:rsidR="007641F5">
        <w:rPr>
          <w:szCs w:val="24"/>
        </w:rPr>
        <w:t xml:space="preserve">přispěly ke zvýšení obecné dostupnosti bydlení, ale bez </w:t>
      </w:r>
      <w:r w:rsidR="007641F5" w:rsidRPr="00375520">
        <w:rPr>
          <w:rFonts w:cstheme="minorHAnsi"/>
        </w:rPr>
        <w:t>přehled</w:t>
      </w:r>
      <w:r w:rsidR="007641F5">
        <w:rPr>
          <w:rFonts w:cstheme="minorHAnsi"/>
        </w:rPr>
        <w:t>u</w:t>
      </w:r>
      <w:r w:rsidR="007641F5" w:rsidRPr="00375520">
        <w:rPr>
          <w:rFonts w:cstheme="minorHAnsi"/>
        </w:rPr>
        <w:t xml:space="preserve"> o</w:t>
      </w:r>
      <w:r w:rsidR="00084C6C">
        <w:rPr>
          <w:rFonts w:cstheme="minorHAnsi"/>
        </w:rPr>
        <w:t> </w:t>
      </w:r>
      <w:r w:rsidR="007641F5" w:rsidRPr="00375520">
        <w:rPr>
          <w:rFonts w:cstheme="minorHAnsi"/>
        </w:rPr>
        <w:t>skutečné obsazenosti sociálních a nájemních bytů</w:t>
      </w:r>
      <w:r w:rsidR="007641F5">
        <w:rPr>
          <w:rFonts w:cstheme="minorHAnsi"/>
        </w:rPr>
        <w:t xml:space="preserve"> nelze ověřit, do jaké míry byla cílová skupina podpořena.</w:t>
      </w:r>
      <w:r w:rsidR="00033061" w:rsidRPr="00033061">
        <w:t xml:space="preserve"> </w:t>
      </w:r>
    </w:p>
    <w:p w14:paraId="05B92FA0" w14:textId="073D6922" w:rsidR="00011E71" w:rsidRPr="00870E7B" w:rsidRDefault="00455CD6" w:rsidP="001E126B">
      <w:pPr>
        <w:pStyle w:val="Textkomente"/>
        <w:spacing w:after="120"/>
        <w:ind w:left="992" w:hanging="567"/>
        <w:rPr>
          <w:szCs w:val="24"/>
        </w:rPr>
      </w:pPr>
      <w:r w:rsidRPr="00FF2315">
        <w:t>1.2</w:t>
      </w:r>
      <w:r w:rsidR="00A77CE9" w:rsidRPr="00FF2315">
        <w:t xml:space="preserve"> </w:t>
      </w:r>
      <w:r w:rsidR="00C047FB">
        <w:tab/>
      </w:r>
      <w:r w:rsidR="0066310B" w:rsidRPr="0066310B">
        <w:rPr>
          <w:szCs w:val="24"/>
        </w:rPr>
        <w:t>V oblasti podpory bydlení stále chybí odpovídající legislativní úprava</w:t>
      </w:r>
      <w:r w:rsidR="0066310B">
        <w:rPr>
          <w:szCs w:val="24"/>
        </w:rPr>
        <w:t>.</w:t>
      </w:r>
      <w:r w:rsidR="0044743B" w:rsidRPr="007B3657">
        <w:t xml:space="preserve"> </w:t>
      </w:r>
      <w:r w:rsidR="0044743B" w:rsidRPr="007B3657">
        <w:rPr>
          <w:szCs w:val="24"/>
        </w:rPr>
        <w:t>O</w:t>
      </w:r>
      <w:r w:rsidR="0044743B" w:rsidRPr="007B3657">
        <w:rPr>
          <w:szCs w:val="24"/>
          <w:shd w:val="clear" w:color="auto" w:fill="FFFFFF"/>
        </w:rPr>
        <w:t xml:space="preserve">dpovědnost za </w:t>
      </w:r>
      <w:r w:rsidR="0066310B">
        <w:rPr>
          <w:szCs w:val="24"/>
          <w:shd w:val="clear" w:color="auto" w:fill="FFFFFF"/>
        </w:rPr>
        <w:t>zpracování legislativních návrhů</w:t>
      </w:r>
      <w:r w:rsidR="0044743B" w:rsidRPr="007B3657">
        <w:rPr>
          <w:szCs w:val="24"/>
          <w:shd w:val="clear" w:color="auto" w:fill="FFFFFF"/>
        </w:rPr>
        <w:t xml:space="preserve"> se přesouvala mezi MPSV a MMR</w:t>
      </w:r>
      <w:r w:rsidR="00153243" w:rsidRPr="007B3657">
        <w:rPr>
          <w:szCs w:val="24"/>
          <w:shd w:val="clear" w:color="auto" w:fill="FFFFFF"/>
        </w:rPr>
        <w:t>.</w:t>
      </w:r>
      <w:r w:rsidR="0066310B">
        <w:rPr>
          <w:szCs w:val="24"/>
          <w:shd w:val="clear" w:color="auto" w:fill="FFFFFF"/>
        </w:rPr>
        <w:t xml:space="preserve"> </w:t>
      </w:r>
      <w:r w:rsidR="0066310B" w:rsidRPr="004D4440">
        <w:rPr>
          <w:shd w:val="clear" w:color="auto" w:fill="FFFFFF"/>
        </w:rPr>
        <w:t>Za dobu neexistence zákon</w:t>
      </w:r>
      <w:r w:rsidR="0066310B">
        <w:rPr>
          <w:shd w:val="clear" w:color="auto" w:fill="FFFFFF"/>
        </w:rPr>
        <w:t>né úpravy</w:t>
      </w:r>
      <w:r w:rsidR="0066310B" w:rsidRPr="004D4440">
        <w:rPr>
          <w:shd w:val="clear" w:color="auto" w:fill="FFFFFF"/>
        </w:rPr>
        <w:t xml:space="preserve"> narostl počet domácností s nárokem na příspěvek na bydlení v souvislosti s postupnou deregulací nájemného a</w:t>
      </w:r>
      <w:r w:rsidR="0066310B">
        <w:rPr>
          <w:shd w:val="clear" w:color="auto" w:fill="FFFFFF"/>
        </w:rPr>
        <w:t xml:space="preserve"> </w:t>
      </w:r>
      <w:r w:rsidR="0066310B" w:rsidRPr="004D4440">
        <w:rPr>
          <w:shd w:val="clear" w:color="auto" w:fill="FFFFFF"/>
        </w:rPr>
        <w:t>zněkolikanásobil se i</w:t>
      </w:r>
      <w:r w:rsidR="00084C6C">
        <w:rPr>
          <w:shd w:val="clear" w:color="auto" w:fill="FFFFFF"/>
        </w:rPr>
        <w:t> </w:t>
      </w:r>
      <w:r w:rsidR="0066310B" w:rsidRPr="004D4440">
        <w:rPr>
          <w:shd w:val="clear" w:color="auto" w:fill="FFFFFF"/>
        </w:rPr>
        <w:t>počet příjemců doplatků na bydlení v jiných prostorech, než jsou byty (např. na ubytovnách). MMR a MPSV zpracoval</w:t>
      </w:r>
      <w:r w:rsidR="005F4374">
        <w:rPr>
          <w:shd w:val="clear" w:color="auto" w:fill="FFFFFF"/>
        </w:rPr>
        <w:t>y</w:t>
      </w:r>
      <w:r w:rsidR="0066310B" w:rsidRPr="004D4440">
        <w:rPr>
          <w:shd w:val="clear" w:color="auto" w:fill="FFFFFF"/>
        </w:rPr>
        <w:t xml:space="preserve"> </w:t>
      </w:r>
      <w:r w:rsidR="0066310B">
        <w:rPr>
          <w:shd w:val="clear" w:color="auto" w:fill="FFFFFF"/>
        </w:rPr>
        <w:t>v roce 2023</w:t>
      </w:r>
      <w:r w:rsidR="0066310B" w:rsidRPr="004D4440">
        <w:rPr>
          <w:shd w:val="clear" w:color="auto" w:fill="FFFFFF"/>
        </w:rPr>
        <w:t xml:space="preserve"> návrh zákona o </w:t>
      </w:r>
      <w:r w:rsidR="0066310B">
        <w:rPr>
          <w:shd w:val="clear" w:color="auto" w:fill="FFFFFF"/>
        </w:rPr>
        <w:t>podpoře</w:t>
      </w:r>
      <w:r w:rsidR="0066310B" w:rsidRPr="004D4440">
        <w:rPr>
          <w:shd w:val="clear" w:color="auto" w:fill="FFFFFF"/>
        </w:rPr>
        <w:t xml:space="preserve"> v bydlení a předpokládají jeho přijetí v</w:t>
      </w:r>
      <w:r w:rsidR="0066310B">
        <w:rPr>
          <w:shd w:val="clear" w:color="auto" w:fill="FFFFFF"/>
        </w:rPr>
        <w:t> </w:t>
      </w:r>
      <w:r w:rsidR="0066310B" w:rsidRPr="004D4440">
        <w:rPr>
          <w:shd w:val="clear" w:color="auto" w:fill="FFFFFF"/>
        </w:rPr>
        <w:t xml:space="preserve">roce 2024, s účinností od </w:t>
      </w:r>
      <w:r w:rsidR="0066310B">
        <w:rPr>
          <w:shd w:val="clear" w:color="auto" w:fill="FFFFFF"/>
        </w:rPr>
        <w:t xml:space="preserve">druhé poloviny </w:t>
      </w:r>
      <w:r w:rsidR="0066310B" w:rsidRPr="004D4440">
        <w:rPr>
          <w:shd w:val="clear" w:color="auto" w:fill="FFFFFF"/>
        </w:rPr>
        <w:t>roku</w:t>
      </w:r>
      <w:r w:rsidR="00084C6C">
        <w:rPr>
          <w:shd w:val="clear" w:color="auto" w:fill="FFFFFF"/>
        </w:rPr>
        <w:t> </w:t>
      </w:r>
      <w:r w:rsidR="0066310B" w:rsidRPr="004D4440">
        <w:rPr>
          <w:shd w:val="clear" w:color="auto" w:fill="FFFFFF"/>
        </w:rPr>
        <w:t>2025.</w:t>
      </w:r>
      <w:r w:rsidR="00153243" w:rsidRPr="007B3657">
        <w:rPr>
          <w:szCs w:val="24"/>
          <w:shd w:val="clear" w:color="auto" w:fill="FFFFFF"/>
        </w:rPr>
        <w:t xml:space="preserve"> </w:t>
      </w:r>
      <w:bookmarkStart w:id="6" w:name="_Hlk146622964"/>
    </w:p>
    <w:bookmarkEnd w:id="6"/>
    <w:p w14:paraId="2C64CD7D" w14:textId="5171AFB6" w:rsidR="004E3EC1" w:rsidRPr="0080361E" w:rsidRDefault="00455CD6" w:rsidP="001E126B">
      <w:pPr>
        <w:pStyle w:val="Textkomente"/>
        <w:spacing w:after="120"/>
        <w:ind w:left="992" w:hanging="567"/>
        <w:rPr>
          <w:szCs w:val="24"/>
        </w:rPr>
      </w:pPr>
      <w:r w:rsidRPr="00FF2315">
        <w:t>1.</w:t>
      </w:r>
      <w:r w:rsidRPr="00EC147E">
        <w:t xml:space="preserve">3 </w:t>
      </w:r>
      <w:r w:rsidR="00C047FB">
        <w:tab/>
      </w:r>
      <w:r w:rsidR="007C33DB">
        <w:t>MMR nedostatečně koordin</w:t>
      </w:r>
      <w:r w:rsidR="005F4374">
        <w:t>ovalo</w:t>
      </w:r>
      <w:r w:rsidR="007C33DB">
        <w:t xml:space="preserve"> o</w:t>
      </w:r>
      <w:r w:rsidRPr="00EC147E">
        <w:t>patření</w:t>
      </w:r>
      <w:r w:rsidR="007C33DB">
        <w:t xml:space="preserve"> směřující do</w:t>
      </w:r>
      <w:r w:rsidRPr="00EC147E">
        <w:t xml:space="preserve"> oblasti bydlení. Některá opatření </w:t>
      </w:r>
      <w:r w:rsidR="007C33DB">
        <w:t>zaměřená</w:t>
      </w:r>
      <w:r w:rsidRPr="00EC147E">
        <w:t xml:space="preserve"> </w:t>
      </w:r>
      <w:r w:rsidR="007C33DB">
        <w:t>na</w:t>
      </w:r>
      <w:r w:rsidRPr="00EC147E">
        <w:t xml:space="preserve"> zvýšení kvality bydlení </w:t>
      </w:r>
      <w:r w:rsidR="005F4374">
        <w:t>byla</w:t>
      </w:r>
      <w:r w:rsidR="005F4374" w:rsidRPr="00EC147E">
        <w:t xml:space="preserve"> </w:t>
      </w:r>
      <w:r w:rsidRPr="00EC147E">
        <w:t xml:space="preserve">zacílena na stejnou cílovou skupinu. Programy mají různé podmínky </w:t>
      </w:r>
      <w:r w:rsidR="00084C6C">
        <w:t xml:space="preserve">a </w:t>
      </w:r>
      <w:r w:rsidRPr="00EC147E">
        <w:t xml:space="preserve">potenciální příjemci si volí </w:t>
      </w:r>
      <w:r w:rsidR="00084C6C">
        <w:t xml:space="preserve">taková opatření, která jsou </w:t>
      </w:r>
      <w:r w:rsidRPr="00EC147E">
        <w:t>pro ně nejvhodnější</w:t>
      </w:r>
      <w:r w:rsidR="002E6C6A" w:rsidRPr="00EC147E">
        <w:t>. A</w:t>
      </w:r>
      <w:r w:rsidRPr="00EC147E">
        <w:t>bsorpční kapacita</w:t>
      </w:r>
      <w:r w:rsidR="00BE594E">
        <w:rPr>
          <w:rStyle w:val="Znakapoznpodarou"/>
        </w:rPr>
        <w:footnoteReference w:id="41"/>
      </w:r>
      <w:r w:rsidRPr="00EC147E">
        <w:t xml:space="preserve"> se </w:t>
      </w:r>
      <w:r w:rsidR="00C01A47">
        <w:t xml:space="preserve">tak tříští </w:t>
      </w:r>
      <w:r w:rsidRPr="00EC147E">
        <w:t>mezi jednotlivé programy</w:t>
      </w:r>
      <w:r w:rsidR="0080361E" w:rsidRPr="00EC147E">
        <w:t>.</w:t>
      </w:r>
      <w:r w:rsidRPr="00EC147E">
        <w:t xml:space="preserve"> </w:t>
      </w:r>
      <w:r w:rsidR="0080361E" w:rsidRPr="00EC147E">
        <w:t>N</w:t>
      </w:r>
      <w:r w:rsidRPr="00EC147E">
        <w:t xml:space="preserve">apř. zájem o program </w:t>
      </w:r>
      <w:r w:rsidRPr="00016954">
        <w:rPr>
          <w:i/>
        </w:rPr>
        <w:t>Panel 2013+</w:t>
      </w:r>
      <w:r>
        <w:rPr>
          <w:vertAlign w:val="superscript"/>
        </w:rPr>
        <w:footnoteReference w:id="42"/>
      </w:r>
      <w:r w:rsidRPr="00EC147E">
        <w:rPr>
          <w:vertAlign w:val="superscript"/>
        </w:rPr>
        <w:t xml:space="preserve"> </w:t>
      </w:r>
      <w:r w:rsidRPr="00EC147E">
        <w:t xml:space="preserve">financovaný ze SFPI byl v roce 2020 velmi negativně ovlivněn vznikem programu </w:t>
      </w:r>
      <w:r w:rsidRPr="00016954">
        <w:rPr>
          <w:i/>
        </w:rPr>
        <w:t>Zateplování</w:t>
      </w:r>
      <w:r>
        <w:rPr>
          <w:vertAlign w:val="superscript"/>
        </w:rPr>
        <w:footnoteReference w:id="43"/>
      </w:r>
      <w:r w:rsidR="00016954">
        <w:t>,</w:t>
      </w:r>
      <w:r w:rsidRPr="00EC147E">
        <w:t xml:space="preserve"> který </w:t>
      </w:r>
      <w:r w:rsidR="0080361E" w:rsidRPr="00EC147E">
        <w:t>byl</w:t>
      </w:r>
      <w:r w:rsidRPr="00EC147E">
        <w:t xml:space="preserve"> zacílen na stejnou cílovou skupinu</w:t>
      </w:r>
      <w:r w:rsidR="002E6C6A" w:rsidRPr="00EC147E">
        <w:t xml:space="preserve"> (tj.</w:t>
      </w:r>
      <w:r w:rsidRPr="00EC147E">
        <w:t xml:space="preserve"> majitele bytových domů, kteří je chtějí zejména energeticky modernizovat</w:t>
      </w:r>
      <w:r w:rsidR="002E6C6A" w:rsidRPr="00EC147E">
        <w:t>)</w:t>
      </w:r>
      <w:r w:rsidRPr="00EC147E">
        <w:t xml:space="preserve">. O podporu z programu </w:t>
      </w:r>
      <w:r w:rsidRPr="00016954">
        <w:rPr>
          <w:i/>
        </w:rPr>
        <w:t>Panel 2013+</w:t>
      </w:r>
      <w:r w:rsidRPr="00EC147E">
        <w:t xml:space="preserve"> </w:t>
      </w:r>
      <w:r w:rsidR="00130063">
        <w:t xml:space="preserve">tak nadále </w:t>
      </w:r>
      <w:r w:rsidRPr="00EC147E">
        <w:t xml:space="preserve">žádali </w:t>
      </w:r>
      <w:r w:rsidR="00130063">
        <w:t xml:space="preserve">pouze ti majitelé bytových domů, kteří chtěli provést </w:t>
      </w:r>
      <w:r w:rsidRPr="00EC147E">
        <w:t xml:space="preserve">stavební úpravy, </w:t>
      </w:r>
      <w:r w:rsidR="00084C6C">
        <w:t>jež</w:t>
      </w:r>
      <w:r w:rsidRPr="00EC147E">
        <w:t xml:space="preserve"> podmínky programu </w:t>
      </w:r>
      <w:r w:rsidRPr="00756C02">
        <w:rPr>
          <w:i/>
        </w:rPr>
        <w:t>Z</w:t>
      </w:r>
      <w:r w:rsidRPr="00016954">
        <w:rPr>
          <w:i/>
        </w:rPr>
        <w:t>ateplování</w:t>
      </w:r>
      <w:r w:rsidR="00130063">
        <w:rPr>
          <w:i/>
        </w:rPr>
        <w:t xml:space="preserve"> </w:t>
      </w:r>
      <w:r w:rsidR="00130063" w:rsidRPr="00130063">
        <w:t>neumož</w:t>
      </w:r>
      <w:r w:rsidR="00553F1E">
        <w:t>ň</w:t>
      </w:r>
      <w:r w:rsidR="00130063" w:rsidRPr="00130063">
        <w:t>ovaly</w:t>
      </w:r>
      <w:r w:rsidRPr="00EC147E">
        <w:t>, např. výstavbu nového výtahu.</w:t>
      </w:r>
    </w:p>
    <w:p w14:paraId="322C0F60" w14:textId="17387706" w:rsidR="00042238" w:rsidRPr="00EC147E" w:rsidRDefault="00455CD6" w:rsidP="001E126B">
      <w:pPr>
        <w:spacing w:after="60"/>
        <w:ind w:left="992" w:hanging="567"/>
      </w:pPr>
      <w:r w:rsidRPr="00FF2315">
        <w:lastRenderedPageBreak/>
        <w:t xml:space="preserve">1.4 </w:t>
      </w:r>
      <w:r w:rsidR="00C047FB">
        <w:tab/>
      </w:r>
      <w:r w:rsidRPr="0080361E">
        <w:t xml:space="preserve">U příjemců podpory </w:t>
      </w:r>
      <w:r w:rsidR="00DC5870" w:rsidRPr="0080361E">
        <w:t>v rámci 24 projektů</w:t>
      </w:r>
      <w:r>
        <w:rPr>
          <w:rStyle w:val="Znakapoznpodarou"/>
        </w:rPr>
        <w:footnoteReference w:id="44"/>
      </w:r>
      <w:r w:rsidR="003A439C" w:rsidRPr="0080361E">
        <w:t xml:space="preserve"> </w:t>
      </w:r>
      <w:r w:rsidRPr="0080361E">
        <w:t xml:space="preserve">NKÚ vyhodnotil účelnost a hospodárnost </w:t>
      </w:r>
      <w:r w:rsidRPr="00EC147E">
        <w:t xml:space="preserve">vynaložených peněžních prostředků podle čtyřstupňové škály (detaily hodnocení jednotlivých projektů jsou uvedeny </w:t>
      </w:r>
      <w:r w:rsidRPr="003E3DCF">
        <w:t>v příloze č. 1</w:t>
      </w:r>
      <w:r w:rsidR="00016954">
        <w:t xml:space="preserve"> </w:t>
      </w:r>
      <w:r w:rsidR="00385EAF">
        <w:t xml:space="preserve">tohoto </w:t>
      </w:r>
      <w:r w:rsidR="00016954">
        <w:t>kontrolního závěru</w:t>
      </w:r>
      <w:r w:rsidRPr="00EC147E">
        <w:t>).</w:t>
      </w:r>
      <w:r w:rsidR="00423FF3" w:rsidRPr="00EC147E">
        <w:t xml:space="preserve"> </w:t>
      </w:r>
    </w:p>
    <w:p w14:paraId="5F569CFB" w14:textId="658B07DD" w:rsidR="000E3D4E" w:rsidRPr="00EC147E" w:rsidRDefault="00455CD6" w:rsidP="001E126B">
      <w:pPr>
        <w:ind w:left="992" w:hanging="567"/>
      </w:pPr>
      <w:r w:rsidRPr="00EC147E">
        <w:tab/>
      </w:r>
      <w:r w:rsidR="00656801" w:rsidRPr="00EC147E">
        <w:rPr>
          <w:szCs w:val="24"/>
        </w:rPr>
        <w:t>P</w:t>
      </w:r>
      <w:r w:rsidRPr="00EC147E">
        <w:rPr>
          <w:szCs w:val="24"/>
        </w:rPr>
        <w:t>oužití peněžních prostředků</w:t>
      </w:r>
      <w:r w:rsidR="00E2384A" w:rsidRPr="00EC147E">
        <w:rPr>
          <w:szCs w:val="24"/>
        </w:rPr>
        <w:t xml:space="preserve"> bylo</w:t>
      </w:r>
      <w:r w:rsidRPr="00EC147E">
        <w:rPr>
          <w:szCs w:val="24"/>
        </w:rPr>
        <w:t xml:space="preserve"> </w:t>
      </w:r>
      <w:r w:rsidR="002F7A77" w:rsidRPr="00EC147E">
        <w:rPr>
          <w:szCs w:val="24"/>
        </w:rPr>
        <w:t>vyhodnoceno</w:t>
      </w:r>
      <w:r w:rsidR="00B47792" w:rsidRPr="00EC147E">
        <w:rPr>
          <w:szCs w:val="24"/>
        </w:rPr>
        <w:t>:</w:t>
      </w:r>
    </w:p>
    <w:p w14:paraId="18D1317D" w14:textId="77777777" w:rsidR="000E3D4E" w:rsidRPr="00EC147E" w:rsidRDefault="00455CD6" w:rsidP="001E126B">
      <w:pPr>
        <w:pStyle w:val="Odstavecseseznamem"/>
        <w:numPr>
          <w:ilvl w:val="0"/>
          <w:numId w:val="22"/>
        </w:numPr>
        <w:spacing w:after="60"/>
        <w:ind w:left="1349" w:hanging="357"/>
        <w:rPr>
          <w:szCs w:val="24"/>
        </w:rPr>
      </w:pPr>
      <w:r w:rsidRPr="00EC147E">
        <w:rPr>
          <w:szCs w:val="24"/>
        </w:rPr>
        <w:t>u</w:t>
      </w:r>
      <w:r w:rsidR="002F7A77" w:rsidRPr="00EC147E">
        <w:rPr>
          <w:szCs w:val="24"/>
        </w:rPr>
        <w:t xml:space="preserve"> </w:t>
      </w:r>
      <w:r w:rsidR="00870E7B">
        <w:rPr>
          <w:szCs w:val="24"/>
        </w:rPr>
        <w:t>17</w:t>
      </w:r>
      <w:r w:rsidR="00016954">
        <w:rPr>
          <w:szCs w:val="24"/>
        </w:rPr>
        <w:t xml:space="preserve"> </w:t>
      </w:r>
      <w:r w:rsidR="00B63815" w:rsidRPr="00EC147E">
        <w:rPr>
          <w:szCs w:val="24"/>
        </w:rPr>
        <w:t xml:space="preserve">projektů </w:t>
      </w:r>
      <w:r w:rsidR="002F7A77" w:rsidRPr="00EC147E">
        <w:rPr>
          <w:szCs w:val="24"/>
        </w:rPr>
        <w:t>jako</w:t>
      </w:r>
      <w:r w:rsidR="00B63815" w:rsidRPr="00EC147E">
        <w:rPr>
          <w:szCs w:val="24"/>
        </w:rPr>
        <w:t xml:space="preserve"> účelné</w:t>
      </w:r>
      <w:r w:rsidR="003E3DCF">
        <w:rPr>
          <w:szCs w:val="24"/>
        </w:rPr>
        <w:t>;</w:t>
      </w:r>
    </w:p>
    <w:p w14:paraId="2C6435E5" w14:textId="77777777" w:rsidR="002F7A77" w:rsidRPr="00EC147E" w:rsidRDefault="00455CD6" w:rsidP="001E126B">
      <w:pPr>
        <w:pStyle w:val="Odstavecseseznamem"/>
        <w:numPr>
          <w:ilvl w:val="0"/>
          <w:numId w:val="22"/>
        </w:numPr>
        <w:spacing w:after="60"/>
        <w:ind w:left="1349" w:hanging="357"/>
        <w:rPr>
          <w:szCs w:val="24"/>
        </w:rPr>
      </w:pPr>
      <w:r w:rsidRPr="00EC147E">
        <w:rPr>
          <w:szCs w:val="24"/>
        </w:rPr>
        <w:t xml:space="preserve">u </w:t>
      </w:r>
      <w:r w:rsidR="00B162D6" w:rsidRPr="00EC147E">
        <w:rPr>
          <w:szCs w:val="24"/>
        </w:rPr>
        <w:t>sedmi</w:t>
      </w:r>
      <w:r w:rsidRPr="00EC147E">
        <w:rPr>
          <w:szCs w:val="24"/>
        </w:rPr>
        <w:t xml:space="preserve"> projektů </w:t>
      </w:r>
      <w:r w:rsidR="00B63815" w:rsidRPr="00EC147E">
        <w:rPr>
          <w:szCs w:val="24"/>
        </w:rPr>
        <w:t>účelné</w:t>
      </w:r>
      <w:r w:rsidRPr="00EC147E">
        <w:rPr>
          <w:szCs w:val="24"/>
        </w:rPr>
        <w:t xml:space="preserve"> </w:t>
      </w:r>
      <w:r w:rsidR="00B63815" w:rsidRPr="00EC147E">
        <w:rPr>
          <w:szCs w:val="24"/>
        </w:rPr>
        <w:t>s mírnými nedostatky</w:t>
      </w:r>
      <w:r w:rsidR="003E3DCF">
        <w:rPr>
          <w:szCs w:val="24"/>
        </w:rPr>
        <w:t>;</w:t>
      </w:r>
    </w:p>
    <w:p w14:paraId="1B744F7C" w14:textId="77777777" w:rsidR="002F7A77" w:rsidRPr="00EC147E" w:rsidRDefault="00455CD6" w:rsidP="001E126B">
      <w:pPr>
        <w:pStyle w:val="Odstavecseseznamem"/>
        <w:numPr>
          <w:ilvl w:val="0"/>
          <w:numId w:val="22"/>
        </w:numPr>
        <w:spacing w:after="60"/>
        <w:ind w:left="1349" w:hanging="357"/>
        <w:rPr>
          <w:szCs w:val="24"/>
        </w:rPr>
      </w:pPr>
      <w:r w:rsidRPr="00EC147E">
        <w:rPr>
          <w:szCs w:val="24"/>
        </w:rPr>
        <w:t xml:space="preserve">u </w:t>
      </w:r>
      <w:r w:rsidR="00870E7B">
        <w:rPr>
          <w:szCs w:val="24"/>
        </w:rPr>
        <w:t>16</w:t>
      </w:r>
      <w:r w:rsidRPr="00EC147E">
        <w:rPr>
          <w:szCs w:val="24"/>
        </w:rPr>
        <w:t xml:space="preserve"> projektů jako hospodárné</w:t>
      </w:r>
      <w:r w:rsidR="003E3DCF">
        <w:rPr>
          <w:szCs w:val="24"/>
        </w:rPr>
        <w:t>;</w:t>
      </w:r>
    </w:p>
    <w:p w14:paraId="581A11DA" w14:textId="77777777" w:rsidR="002F7A77" w:rsidRPr="00EC147E" w:rsidRDefault="00455CD6" w:rsidP="001E126B">
      <w:pPr>
        <w:pStyle w:val="Odstavecseseznamem"/>
        <w:numPr>
          <w:ilvl w:val="0"/>
          <w:numId w:val="22"/>
        </w:numPr>
        <w:spacing w:after="60"/>
        <w:ind w:left="1349" w:hanging="357"/>
        <w:rPr>
          <w:szCs w:val="24"/>
        </w:rPr>
      </w:pPr>
      <w:r w:rsidRPr="00EC147E">
        <w:rPr>
          <w:szCs w:val="24"/>
        </w:rPr>
        <w:t xml:space="preserve">u </w:t>
      </w:r>
      <w:r w:rsidR="00B162D6" w:rsidRPr="00EC147E">
        <w:rPr>
          <w:szCs w:val="24"/>
        </w:rPr>
        <w:t>tří</w:t>
      </w:r>
      <w:r w:rsidRPr="00EC147E">
        <w:rPr>
          <w:szCs w:val="24"/>
        </w:rPr>
        <w:t xml:space="preserve"> projektů </w:t>
      </w:r>
      <w:r w:rsidR="00B63815" w:rsidRPr="00EC147E">
        <w:rPr>
          <w:szCs w:val="24"/>
        </w:rPr>
        <w:t>hospodárné s mírnými nedostatky</w:t>
      </w:r>
      <w:r w:rsidR="003E3DCF">
        <w:rPr>
          <w:szCs w:val="24"/>
        </w:rPr>
        <w:t>;</w:t>
      </w:r>
      <w:r w:rsidR="00B63815" w:rsidRPr="00EC147E">
        <w:rPr>
          <w:szCs w:val="24"/>
        </w:rPr>
        <w:t xml:space="preserve"> </w:t>
      </w:r>
    </w:p>
    <w:p w14:paraId="7B2BAECF" w14:textId="77777777" w:rsidR="00E93572" w:rsidRPr="00EC147E" w:rsidRDefault="00455CD6" w:rsidP="001E126B">
      <w:pPr>
        <w:pStyle w:val="Odstavecseseznamem"/>
        <w:numPr>
          <w:ilvl w:val="0"/>
          <w:numId w:val="22"/>
        </w:numPr>
        <w:spacing w:after="60"/>
        <w:ind w:left="1349" w:hanging="357"/>
        <w:rPr>
          <w:szCs w:val="24"/>
        </w:rPr>
      </w:pPr>
      <w:r w:rsidRPr="00EC147E">
        <w:rPr>
          <w:szCs w:val="24"/>
        </w:rPr>
        <w:t xml:space="preserve">u </w:t>
      </w:r>
      <w:r w:rsidR="00B162D6" w:rsidRPr="00EC147E">
        <w:rPr>
          <w:szCs w:val="24"/>
        </w:rPr>
        <w:t>jednoho</w:t>
      </w:r>
      <w:r w:rsidRPr="00EC147E">
        <w:rPr>
          <w:szCs w:val="24"/>
        </w:rPr>
        <w:t xml:space="preserve"> projektu omezeně hospodárné</w:t>
      </w:r>
      <w:r w:rsidR="003E3DCF">
        <w:rPr>
          <w:szCs w:val="24"/>
        </w:rPr>
        <w:t>;</w:t>
      </w:r>
    </w:p>
    <w:p w14:paraId="55DE3A80" w14:textId="77777777" w:rsidR="002F7A77" w:rsidRPr="00EC147E" w:rsidRDefault="00455CD6" w:rsidP="001E126B">
      <w:pPr>
        <w:pStyle w:val="Odstavecseseznamem"/>
        <w:numPr>
          <w:ilvl w:val="0"/>
          <w:numId w:val="22"/>
        </w:numPr>
        <w:spacing w:after="60"/>
        <w:ind w:left="1349" w:hanging="357"/>
        <w:rPr>
          <w:szCs w:val="24"/>
        </w:rPr>
      </w:pPr>
      <w:r w:rsidRPr="00EC147E">
        <w:rPr>
          <w:szCs w:val="24"/>
        </w:rPr>
        <w:t xml:space="preserve">u </w:t>
      </w:r>
      <w:r w:rsidR="00B162D6" w:rsidRPr="00EC147E">
        <w:rPr>
          <w:szCs w:val="24"/>
        </w:rPr>
        <w:t>čtyř</w:t>
      </w:r>
      <w:r w:rsidR="00E93572" w:rsidRPr="00EC147E">
        <w:rPr>
          <w:szCs w:val="24"/>
        </w:rPr>
        <w:t xml:space="preserve"> </w:t>
      </w:r>
      <w:r w:rsidRPr="00EC147E">
        <w:rPr>
          <w:szCs w:val="24"/>
        </w:rPr>
        <w:t>projektů nebyla hospodárnost posuzován</w:t>
      </w:r>
      <w:r w:rsidR="00E876C1">
        <w:rPr>
          <w:szCs w:val="24"/>
        </w:rPr>
        <w:t>a</w:t>
      </w:r>
      <w:r>
        <w:rPr>
          <w:rStyle w:val="Znakapoznpodarou"/>
          <w:szCs w:val="24"/>
        </w:rPr>
        <w:footnoteReference w:id="45"/>
      </w:r>
      <w:r w:rsidR="00E876C1">
        <w:rPr>
          <w:szCs w:val="24"/>
        </w:rPr>
        <w:t>.</w:t>
      </w:r>
      <w:r w:rsidRPr="00EC147E">
        <w:rPr>
          <w:szCs w:val="24"/>
        </w:rPr>
        <w:t xml:space="preserve"> </w:t>
      </w:r>
    </w:p>
    <w:p w14:paraId="497731B7" w14:textId="25DFA7C4" w:rsidR="003974DF" w:rsidRDefault="00455CD6" w:rsidP="00756C02">
      <w:pPr>
        <w:pStyle w:val="Odstavecseseznamem"/>
        <w:spacing w:before="120" w:after="120"/>
        <w:ind w:left="993"/>
        <w:rPr>
          <w:szCs w:val="24"/>
        </w:rPr>
      </w:pPr>
      <w:r w:rsidRPr="00EC147E">
        <w:t xml:space="preserve">Dále NKÚ ověřil u příjemců i dodržení podmínek poskytnuté podpory stanovených </w:t>
      </w:r>
      <w:r w:rsidR="00F83D72">
        <w:br/>
      </w:r>
      <w:r w:rsidRPr="00EC147E">
        <w:t>v</w:t>
      </w:r>
      <w:r w:rsidR="00F83D72">
        <w:t xml:space="preserve"> </w:t>
      </w:r>
      <w:r w:rsidR="004009EC" w:rsidRPr="00EC147E">
        <w:t>rozhodnutích o</w:t>
      </w:r>
      <w:r w:rsidRPr="00EC147E">
        <w:t xml:space="preserve"> poskytnutí dotace</w:t>
      </w:r>
      <w:r w:rsidR="004009EC" w:rsidRPr="00EC147E">
        <w:t>, resp. smlouvách o</w:t>
      </w:r>
      <w:r w:rsidRPr="00EC147E">
        <w:t xml:space="preserve"> úvěru. </w:t>
      </w:r>
      <w:r w:rsidR="00B63815" w:rsidRPr="00EC147E">
        <w:rPr>
          <w:szCs w:val="24"/>
        </w:rPr>
        <w:t>Nejčastějším porušením podmínek příjemci bylo nedodržení stanovené lhůty p</w:t>
      </w:r>
      <w:r w:rsidR="00744F09" w:rsidRPr="00EC147E">
        <w:rPr>
          <w:szCs w:val="24"/>
        </w:rPr>
        <w:t>ři</w:t>
      </w:r>
      <w:r w:rsidR="00B63815" w:rsidRPr="00EC147E">
        <w:rPr>
          <w:szCs w:val="24"/>
        </w:rPr>
        <w:t xml:space="preserve"> obsaz</w:t>
      </w:r>
      <w:r w:rsidR="00744F09" w:rsidRPr="00EC147E">
        <w:rPr>
          <w:szCs w:val="24"/>
        </w:rPr>
        <w:t>ování bytů</w:t>
      </w:r>
      <w:r w:rsidR="00B63815" w:rsidRPr="00EC147E">
        <w:rPr>
          <w:szCs w:val="24"/>
        </w:rPr>
        <w:t xml:space="preserve">. </w:t>
      </w:r>
    </w:p>
    <w:p w14:paraId="0B6D1979" w14:textId="1033D403" w:rsidR="00EE2F44" w:rsidRDefault="002D1A96" w:rsidP="001108C2">
      <w:pPr>
        <w:pStyle w:val="Odstavecseseznamem"/>
        <w:spacing w:after="240"/>
        <w:ind w:left="993"/>
        <w:rPr>
          <w:szCs w:val="24"/>
        </w:rPr>
      </w:pPr>
      <w:r w:rsidRPr="004009EC">
        <w:rPr>
          <w:szCs w:val="24"/>
        </w:rPr>
        <w:t>Obsazenost pořízených sociálních bytů v souladu se stanovenými podmínkami</w:t>
      </w:r>
      <w:r>
        <w:rPr>
          <w:rStyle w:val="Znakapoznpodarou"/>
          <w:szCs w:val="24"/>
        </w:rPr>
        <w:footnoteReference w:id="46"/>
      </w:r>
      <w:r w:rsidRPr="004009EC">
        <w:rPr>
          <w:szCs w:val="24"/>
        </w:rPr>
        <w:t xml:space="preserve"> se u 15 kontrolovaných projektů pohybovala od 81 % (u jednoho projektu) až po 100 % (u šesti projektů), obsazenost cílovou skupinou</w:t>
      </w:r>
      <w:r>
        <w:rPr>
          <w:rStyle w:val="Znakapoznpodarou"/>
          <w:szCs w:val="24"/>
        </w:rPr>
        <w:footnoteReference w:id="47"/>
      </w:r>
      <w:r w:rsidRPr="004009EC">
        <w:rPr>
          <w:szCs w:val="24"/>
        </w:rPr>
        <w:t xml:space="preserve"> se pohybovala od 55 % do 100 %. Mezi ostatní pochybení patřilo uveřejnění dodatku ke smlouvě o dílo v registru smluv bez uveřejnění původní smlouvy, uzavření nájemní smlouvy na dva roky místo jednoho nebo nepojištění rozestavěné stavby po celou dobu</w:t>
      </w:r>
      <w:r>
        <w:rPr>
          <w:szCs w:val="24"/>
        </w:rPr>
        <w:t xml:space="preserve"> výstavby</w:t>
      </w:r>
      <w:r w:rsidRPr="004009EC">
        <w:rPr>
          <w:szCs w:val="24"/>
        </w:rPr>
        <w:t xml:space="preserve">. </w:t>
      </w:r>
      <w:r w:rsidRPr="004009EC">
        <w:rPr>
          <w:bCs/>
          <w:shd w:val="clear" w:color="auto" w:fill="FFFFFF"/>
        </w:rPr>
        <w:t>Tato pochybení neměla vliv na užití podpory z</w:t>
      </w:r>
      <w:r w:rsidR="00F83D72">
        <w:rPr>
          <w:bCs/>
          <w:shd w:val="clear" w:color="auto" w:fill="FFFFFF"/>
        </w:rPr>
        <w:t xml:space="preserve"> </w:t>
      </w:r>
      <w:r w:rsidRPr="004009EC">
        <w:rPr>
          <w:bCs/>
          <w:shd w:val="clear" w:color="auto" w:fill="FFFFFF"/>
        </w:rPr>
        <w:t>hlediska účelnosti a hospodárnosti vynaložených peněžních prostředků.</w:t>
      </w:r>
      <w:r w:rsidRPr="004009EC">
        <w:rPr>
          <w:szCs w:val="24"/>
        </w:rPr>
        <w:t xml:space="preserve"> </w:t>
      </w:r>
    </w:p>
    <w:p w14:paraId="32848412" w14:textId="77777777" w:rsidR="00B4279F" w:rsidRPr="00132D76" w:rsidRDefault="00455CD6" w:rsidP="000327EB">
      <w:pPr>
        <w:pStyle w:val="Odstavecseseznamem"/>
        <w:keepNext/>
        <w:pBdr>
          <w:top w:val="single" w:sz="4" w:space="1" w:color="auto"/>
          <w:left w:val="single" w:sz="4" w:space="4" w:color="auto"/>
          <w:bottom w:val="single" w:sz="4" w:space="1" w:color="auto"/>
          <w:right w:val="single" w:sz="4" w:space="4" w:color="auto"/>
        </w:pBdr>
        <w:shd w:val="clear" w:color="auto" w:fill="F2DBDB" w:themeFill="accent2" w:themeFillTint="33"/>
        <w:spacing w:after="120"/>
        <w:ind w:left="425"/>
        <w:jc w:val="left"/>
        <w:rPr>
          <w:b/>
          <w:color w:val="000000" w:themeColor="text1"/>
          <w:shd w:val="clear" w:color="auto" w:fill="FFFFFF"/>
        </w:rPr>
      </w:pPr>
      <w:r w:rsidRPr="000E63CC">
        <w:rPr>
          <w:b/>
          <w:color w:val="000000" w:themeColor="text1"/>
          <w:shd w:val="clear" w:color="auto" w:fill="F2DBDB" w:themeFill="accent2" w:themeFillTint="33"/>
        </w:rPr>
        <w:t>Příklad č. 1</w:t>
      </w:r>
    </w:p>
    <w:p w14:paraId="20CB76A4" w14:textId="67947BC0" w:rsidR="003974DF" w:rsidRPr="004757C3" w:rsidRDefault="00455CD6" w:rsidP="00AF3586">
      <w:pPr>
        <w:pStyle w:val="Odstavecseseznamem"/>
        <w:pBdr>
          <w:top w:val="single" w:sz="4" w:space="1" w:color="auto"/>
          <w:left w:val="single" w:sz="4" w:space="4" w:color="auto"/>
          <w:bottom w:val="single" w:sz="4" w:space="1" w:color="auto"/>
          <w:right w:val="single" w:sz="4" w:space="4" w:color="auto"/>
        </w:pBdr>
        <w:shd w:val="clear" w:color="auto" w:fill="F2DBDB" w:themeFill="accent2" w:themeFillTint="33"/>
        <w:spacing w:after="240"/>
        <w:ind w:left="425"/>
        <w:rPr>
          <w:i/>
          <w:szCs w:val="24"/>
        </w:rPr>
      </w:pPr>
      <w:r w:rsidRPr="000E63CC">
        <w:rPr>
          <w:i/>
          <w:sz w:val="22"/>
          <w:shd w:val="clear" w:color="auto" w:fill="F2DBDB" w:themeFill="accent2" w:themeFillTint="33"/>
        </w:rPr>
        <w:t xml:space="preserve">Např. jeden příjemce </w:t>
      </w:r>
      <w:r w:rsidR="002E6C6A" w:rsidRPr="000E63CC">
        <w:rPr>
          <w:i/>
          <w:sz w:val="22"/>
          <w:shd w:val="clear" w:color="auto" w:fill="F2DBDB" w:themeFill="accent2" w:themeFillTint="33"/>
        </w:rPr>
        <w:t>podpory z</w:t>
      </w:r>
      <w:r w:rsidR="0041184A" w:rsidRPr="000E63CC">
        <w:rPr>
          <w:i/>
          <w:sz w:val="22"/>
          <w:shd w:val="clear" w:color="auto" w:fill="F2DBDB" w:themeFill="accent2" w:themeFillTint="33"/>
        </w:rPr>
        <w:t xml:space="preserve"> podprogramu </w:t>
      </w:r>
      <w:r w:rsidR="00385EAF">
        <w:rPr>
          <w:i/>
          <w:sz w:val="22"/>
          <w:shd w:val="clear" w:color="auto" w:fill="F2DBDB" w:themeFill="accent2" w:themeFillTint="33"/>
        </w:rPr>
        <w:t>„</w:t>
      </w:r>
      <w:r w:rsidR="0041184A" w:rsidRPr="000E63CC">
        <w:rPr>
          <w:i/>
          <w:sz w:val="22"/>
          <w:shd w:val="clear" w:color="auto" w:fill="F2DBDB" w:themeFill="accent2" w:themeFillTint="33"/>
        </w:rPr>
        <w:t>Podporované byty</w:t>
      </w:r>
      <w:r w:rsidR="00385EAF">
        <w:rPr>
          <w:i/>
          <w:sz w:val="22"/>
          <w:shd w:val="clear" w:color="auto" w:fill="F2DBDB" w:themeFill="accent2" w:themeFillTint="33"/>
        </w:rPr>
        <w:t>“</w:t>
      </w:r>
      <w:r w:rsidR="0041184A" w:rsidRPr="000E63CC">
        <w:rPr>
          <w:i/>
          <w:sz w:val="22"/>
          <w:shd w:val="clear" w:color="auto" w:fill="F2DBDB" w:themeFill="accent2" w:themeFillTint="33"/>
        </w:rPr>
        <w:t xml:space="preserve"> </w:t>
      </w:r>
      <w:r w:rsidR="00385EAF" w:rsidRPr="000E63CC">
        <w:rPr>
          <w:i/>
          <w:sz w:val="22"/>
          <w:shd w:val="clear" w:color="auto" w:fill="F2DBDB" w:themeFill="accent2" w:themeFillTint="33"/>
        </w:rPr>
        <w:t xml:space="preserve">financoval </w:t>
      </w:r>
      <w:r w:rsidR="001D3F58" w:rsidRPr="000E63CC">
        <w:rPr>
          <w:i/>
          <w:sz w:val="22"/>
          <w:shd w:val="clear" w:color="auto" w:fill="F2DBDB" w:themeFill="accent2" w:themeFillTint="33"/>
        </w:rPr>
        <w:t xml:space="preserve">z projektu výstavbu celkem 21 bytů. Přitom jeden z těchto bytů </w:t>
      </w:r>
      <w:r w:rsidRPr="000E63CC">
        <w:rPr>
          <w:i/>
          <w:sz w:val="22"/>
          <w:shd w:val="clear" w:color="auto" w:fill="F2DBDB" w:themeFill="accent2" w:themeFillTint="33"/>
        </w:rPr>
        <w:t xml:space="preserve">od konce roku 2019 do </w:t>
      </w:r>
      <w:r w:rsidR="005F1790" w:rsidRPr="000E63CC">
        <w:rPr>
          <w:i/>
          <w:sz w:val="22"/>
          <w:shd w:val="clear" w:color="auto" w:fill="F2DBDB" w:themeFill="accent2" w:themeFillTint="33"/>
        </w:rPr>
        <w:t>srpna 2023 (</w:t>
      </w:r>
      <w:r w:rsidR="00385EAF">
        <w:rPr>
          <w:i/>
          <w:sz w:val="22"/>
          <w:shd w:val="clear" w:color="auto" w:fill="F2DBDB" w:themeFill="accent2" w:themeFillTint="33"/>
        </w:rPr>
        <w:t xml:space="preserve">tj. do </w:t>
      </w:r>
      <w:r w:rsidRPr="000E63CC">
        <w:rPr>
          <w:i/>
          <w:sz w:val="22"/>
          <w:shd w:val="clear" w:color="auto" w:fill="F2DBDB" w:themeFill="accent2" w:themeFillTint="33"/>
        </w:rPr>
        <w:t>doby ukončení kontrol</w:t>
      </w:r>
      <w:r w:rsidR="00645F10" w:rsidRPr="000E63CC">
        <w:rPr>
          <w:i/>
          <w:sz w:val="22"/>
          <w:shd w:val="clear" w:color="auto" w:fill="F2DBDB" w:themeFill="accent2" w:themeFillTint="33"/>
        </w:rPr>
        <w:t>y NKÚ</w:t>
      </w:r>
      <w:r w:rsidR="005F1790" w:rsidRPr="000E63CC">
        <w:rPr>
          <w:i/>
          <w:sz w:val="22"/>
          <w:shd w:val="clear" w:color="auto" w:fill="F2DBDB" w:themeFill="accent2" w:themeFillTint="33"/>
        </w:rPr>
        <w:t>)</w:t>
      </w:r>
      <w:r w:rsidRPr="000E63CC">
        <w:rPr>
          <w:i/>
          <w:sz w:val="22"/>
          <w:shd w:val="clear" w:color="auto" w:fill="F2DBDB" w:themeFill="accent2" w:themeFillTint="33"/>
        </w:rPr>
        <w:t xml:space="preserve"> </w:t>
      </w:r>
      <w:r w:rsidR="001D3F58" w:rsidRPr="000E63CC">
        <w:rPr>
          <w:i/>
          <w:sz w:val="22"/>
          <w:shd w:val="clear" w:color="auto" w:fill="F2DBDB" w:themeFill="accent2" w:themeFillTint="33"/>
        </w:rPr>
        <w:t>vůbec neobsadil</w:t>
      </w:r>
      <w:r w:rsidRPr="000E63CC">
        <w:rPr>
          <w:i/>
          <w:sz w:val="22"/>
          <w:shd w:val="clear" w:color="auto" w:fill="F2DBDB" w:themeFill="accent2" w:themeFillTint="33"/>
        </w:rPr>
        <w:t>.</w:t>
      </w:r>
    </w:p>
    <w:p w14:paraId="38932BB9" w14:textId="185DE09D" w:rsidR="00031849" w:rsidRPr="004009EC" w:rsidRDefault="00455CD6" w:rsidP="001108C2">
      <w:pPr>
        <w:pStyle w:val="Odstavecseseznamem"/>
        <w:keepNext/>
        <w:spacing w:before="240"/>
        <w:ind w:left="425" w:hanging="425"/>
        <w:rPr>
          <w:szCs w:val="24"/>
        </w:rPr>
      </w:pPr>
      <w:r>
        <w:rPr>
          <w:b/>
        </w:rPr>
        <w:t xml:space="preserve">2. </w:t>
      </w:r>
      <w:r w:rsidR="003479B0" w:rsidRPr="004009EC">
        <w:rPr>
          <w:b/>
        </w:rPr>
        <w:t>Monitorování a vyhodnocování</w:t>
      </w:r>
    </w:p>
    <w:p w14:paraId="01013040" w14:textId="77777777" w:rsidR="00592E2A" w:rsidRPr="000D0F38" w:rsidRDefault="00455CD6" w:rsidP="001108C2">
      <w:pPr>
        <w:ind w:left="993" w:hanging="567"/>
      </w:pPr>
      <w:r w:rsidRPr="00D2699C">
        <w:t>2.1</w:t>
      </w:r>
      <w:r w:rsidRPr="00FF2315">
        <w:t xml:space="preserve"> </w:t>
      </w:r>
      <w:r w:rsidR="004009EC">
        <w:tab/>
      </w:r>
      <w:r w:rsidR="00592E2A">
        <w:t>S</w:t>
      </w:r>
      <w:r w:rsidR="00592E2A" w:rsidRPr="000D0F38">
        <w:t>trategické cíle</w:t>
      </w:r>
      <w:r w:rsidR="00592E2A">
        <w:t xml:space="preserve"> </w:t>
      </w:r>
      <w:r w:rsidR="00592E2A" w:rsidRPr="000D0F38">
        <w:rPr>
          <w:i/>
        </w:rPr>
        <w:t>Koncepce 2020 (revidovan</w:t>
      </w:r>
      <w:r w:rsidR="00BA46E4">
        <w:rPr>
          <w:i/>
        </w:rPr>
        <w:t xml:space="preserve">é) </w:t>
      </w:r>
      <w:r w:rsidR="00592E2A">
        <w:t>jsou</w:t>
      </w:r>
      <w:r w:rsidR="00592E2A" w:rsidRPr="000D0F38">
        <w:t xml:space="preserve">: </w:t>
      </w:r>
    </w:p>
    <w:p w14:paraId="25A4CB23" w14:textId="77777777" w:rsidR="00592E2A" w:rsidRPr="000D0F38" w:rsidRDefault="00592E2A" w:rsidP="001108C2">
      <w:pPr>
        <w:pStyle w:val="Odstavecseseznamem"/>
        <w:numPr>
          <w:ilvl w:val="3"/>
          <w:numId w:val="45"/>
        </w:numPr>
        <w:spacing w:after="60"/>
        <w:ind w:left="1276" w:hanging="283"/>
      </w:pPr>
      <w:r w:rsidRPr="000D0F38">
        <w:t xml:space="preserve">zajištění přiměřené dostupnosti ve všech formách bydlení; </w:t>
      </w:r>
    </w:p>
    <w:p w14:paraId="3E11C6EC" w14:textId="77777777" w:rsidR="00592E2A" w:rsidRPr="000D0F38" w:rsidRDefault="00592E2A" w:rsidP="001108C2">
      <w:pPr>
        <w:pStyle w:val="Odstavecseseznamem"/>
        <w:numPr>
          <w:ilvl w:val="3"/>
          <w:numId w:val="45"/>
        </w:numPr>
        <w:spacing w:after="60"/>
        <w:ind w:left="1276" w:hanging="283"/>
      </w:pPr>
      <w:r w:rsidRPr="000D0F38">
        <w:t xml:space="preserve">vytvoření stabilního prostředí v oblasti financí, legislativy a institucí pro všechny účastníky trhu s bydlením; </w:t>
      </w:r>
    </w:p>
    <w:p w14:paraId="4B091C78" w14:textId="77777777" w:rsidR="00592E2A" w:rsidRPr="000D0F38" w:rsidRDefault="00592E2A" w:rsidP="001108C2">
      <w:pPr>
        <w:pStyle w:val="Odstavecseseznamem"/>
        <w:numPr>
          <w:ilvl w:val="3"/>
          <w:numId w:val="45"/>
        </w:numPr>
        <w:spacing w:after="60"/>
        <w:ind w:left="1276" w:hanging="283"/>
      </w:pPr>
      <w:r w:rsidRPr="000D0F38">
        <w:t>snižování investičního dluhu v bydlení včetně zvyšování kvality vnějšího prostředí rezidenčních oblastí</w:t>
      </w:r>
      <w:r w:rsidR="001E7348">
        <w:t>.</w:t>
      </w:r>
      <w:r w:rsidRPr="000D0F38">
        <w:t xml:space="preserve"> </w:t>
      </w:r>
    </w:p>
    <w:p w14:paraId="379609C0" w14:textId="64E20EEC" w:rsidR="009C6C78" w:rsidRDefault="00455CD6" w:rsidP="00AF3586">
      <w:pPr>
        <w:spacing w:after="120"/>
        <w:ind w:left="993"/>
      </w:pPr>
      <w:r w:rsidRPr="004009EC">
        <w:rPr>
          <w:szCs w:val="24"/>
        </w:rPr>
        <w:t xml:space="preserve">Při </w:t>
      </w:r>
      <w:r w:rsidR="00385EAF">
        <w:rPr>
          <w:szCs w:val="24"/>
        </w:rPr>
        <w:t>kontrole</w:t>
      </w:r>
      <w:r w:rsidRPr="004009EC">
        <w:rPr>
          <w:szCs w:val="24"/>
        </w:rPr>
        <w:t xml:space="preserve"> plnění úkolů </w:t>
      </w:r>
      <w:r w:rsidRPr="00184951">
        <w:rPr>
          <w:szCs w:val="24"/>
        </w:rPr>
        <w:t>stanovených ve strategických dokumentech</w:t>
      </w:r>
      <w:r w:rsidRPr="004009EC">
        <w:rPr>
          <w:szCs w:val="24"/>
        </w:rPr>
        <w:t xml:space="preserve"> posuzoval </w:t>
      </w:r>
      <w:r w:rsidR="00385EAF" w:rsidRPr="004009EC">
        <w:rPr>
          <w:szCs w:val="24"/>
        </w:rPr>
        <w:t xml:space="preserve">NKÚ </w:t>
      </w:r>
      <w:r w:rsidRPr="004009EC">
        <w:rPr>
          <w:i/>
          <w:szCs w:val="24"/>
        </w:rPr>
        <w:t>Koncepci 2020 (revidovanou)</w:t>
      </w:r>
      <w:r w:rsidRPr="004009EC">
        <w:rPr>
          <w:szCs w:val="24"/>
        </w:rPr>
        <w:t xml:space="preserve"> a</w:t>
      </w:r>
      <w:r w:rsidRPr="004009EC">
        <w:t xml:space="preserve"> navazující programy </w:t>
      </w:r>
      <w:r w:rsidRPr="004009EC">
        <w:rPr>
          <w:i/>
        </w:rPr>
        <w:t>Podpora bydlení</w:t>
      </w:r>
      <w:r w:rsidRPr="004009EC">
        <w:t xml:space="preserve"> a </w:t>
      </w:r>
      <w:r w:rsidRPr="004009EC">
        <w:rPr>
          <w:i/>
        </w:rPr>
        <w:t xml:space="preserve">Podpora bydlení v oblastech se </w:t>
      </w:r>
      <w:r w:rsidR="00645F10">
        <w:rPr>
          <w:i/>
        </w:rPr>
        <w:t>SPZ</w:t>
      </w:r>
      <w:r w:rsidRPr="004009EC">
        <w:t xml:space="preserve">. </w:t>
      </w:r>
      <w:r w:rsidRPr="004009EC">
        <w:rPr>
          <w:szCs w:val="24"/>
        </w:rPr>
        <w:t>NKÚ zjistil, že</w:t>
      </w:r>
      <w:r w:rsidRPr="004009EC">
        <w:t xml:space="preserve"> pro cíle těchto strategických dokumentů </w:t>
      </w:r>
      <w:r w:rsidR="004009EC" w:rsidRPr="00184951">
        <w:lastRenderedPageBreak/>
        <w:t xml:space="preserve">nestanovilo </w:t>
      </w:r>
      <w:r w:rsidR="00385EAF" w:rsidRPr="00184951">
        <w:t xml:space="preserve">MMR </w:t>
      </w:r>
      <w:r w:rsidRPr="004009EC">
        <w:t>měřitelné monitorovací indikátory, s</w:t>
      </w:r>
      <w:r w:rsidR="00385EAF">
        <w:t xml:space="preserve"> </w:t>
      </w:r>
      <w:r w:rsidRPr="004009EC">
        <w:t xml:space="preserve">jejichž pomocí by bylo možné </w:t>
      </w:r>
      <w:r w:rsidRPr="004009EC">
        <w:rPr>
          <w:szCs w:val="24"/>
        </w:rPr>
        <w:t>průběžně vyhodnocovat věcný pokrok a úroveň zlepšení, které měl</w:t>
      </w:r>
      <w:r w:rsidR="00736288">
        <w:rPr>
          <w:szCs w:val="24"/>
        </w:rPr>
        <w:t>y</w:t>
      </w:r>
      <w:r w:rsidRPr="004009EC">
        <w:rPr>
          <w:szCs w:val="24"/>
        </w:rPr>
        <w:t xml:space="preserve"> konkrétní úkoly a opatření při plnění strategických cílů </w:t>
      </w:r>
      <w:r w:rsidRPr="004009EC">
        <w:t>v určeném termínu</w:t>
      </w:r>
      <w:r w:rsidR="00736288">
        <w:t xml:space="preserve"> přinést</w:t>
      </w:r>
      <w:r w:rsidR="001D3F58" w:rsidRPr="004009EC">
        <w:t>. Výjimkou byly</w:t>
      </w:r>
      <w:r w:rsidRPr="004009EC">
        <w:t xml:space="preserve"> podprogram</w:t>
      </w:r>
      <w:r w:rsidR="001D3F58" w:rsidRPr="004009EC">
        <w:t>y</w:t>
      </w:r>
      <w:r w:rsidRPr="004009EC">
        <w:t xml:space="preserve"> </w:t>
      </w:r>
      <w:r w:rsidRPr="004009EC">
        <w:rPr>
          <w:rFonts w:ascii="Calibri" w:eastAsia="Arial" w:hAnsi="Calibri" w:cs="Calibri"/>
          <w:i/>
        </w:rPr>
        <w:t xml:space="preserve">Výstavba bytů v oblastech se </w:t>
      </w:r>
      <w:r w:rsidR="00645F10">
        <w:rPr>
          <w:rFonts w:ascii="Calibri" w:eastAsia="Arial" w:hAnsi="Calibri" w:cs="Calibri"/>
          <w:i/>
        </w:rPr>
        <w:t>SPZ</w:t>
      </w:r>
      <w:r w:rsidRPr="004009EC">
        <w:rPr>
          <w:rFonts w:ascii="Calibri" w:eastAsia="Arial" w:hAnsi="Calibri" w:cs="Calibri"/>
        </w:rPr>
        <w:t xml:space="preserve"> a </w:t>
      </w:r>
      <w:r w:rsidRPr="004009EC">
        <w:rPr>
          <w:rFonts w:ascii="Calibri" w:eastAsia="Arial" w:hAnsi="Calibri" w:cs="Calibri"/>
          <w:i/>
        </w:rPr>
        <w:t xml:space="preserve">Výstavba technické infrastruktury v oblastech se </w:t>
      </w:r>
      <w:r w:rsidR="007F21DC">
        <w:rPr>
          <w:rFonts w:ascii="Calibri" w:eastAsia="Arial" w:hAnsi="Calibri" w:cs="Calibri"/>
          <w:i/>
        </w:rPr>
        <w:t>SPZ</w:t>
      </w:r>
      <w:r w:rsidRPr="004009EC">
        <w:rPr>
          <w:rFonts w:ascii="Calibri" w:eastAsia="Arial" w:hAnsi="Calibri" w:cs="Calibri"/>
        </w:rPr>
        <w:t xml:space="preserve">. U těchto dvou podprogramů byl stanoven monitorovací indikátor </w:t>
      </w:r>
      <w:r w:rsidRPr="003B3B26">
        <w:rPr>
          <w:rFonts w:ascii="Calibri" w:eastAsia="Arial" w:hAnsi="Calibri" w:cs="Calibri"/>
        </w:rPr>
        <w:t>„</w:t>
      </w:r>
      <w:r w:rsidR="00385EAF">
        <w:rPr>
          <w:i/>
        </w:rPr>
        <w:t>p</w:t>
      </w:r>
      <w:r w:rsidRPr="004009EC">
        <w:rPr>
          <w:i/>
        </w:rPr>
        <w:t>řírůstek obyvatel s trvalým bydlištěm</w:t>
      </w:r>
      <w:r w:rsidRPr="003B3B26">
        <w:t>“</w:t>
      </w:r>
      <w:r w:rsidRPr="00385EAF">
        <w:t xml:space="preserve"> </w:t>
      </w:r>
      <w:r w:rsidRPr="004009EC">
        <w:t>s cílovou hodnotou 1</w:t>
      </w:r>
      <w:r w:rsidR="00385EAF">
        <w:t> </w:t>
      </w:r>
      <w:r w:rsidRPr="004009EC">
        <w:t>200 osob.</w:t>
      </w:r>
      <w:r w:rsidR="009C6C78">
        <w:t xml:space="preserve"> Monitorovací indikátory nejsou nastaveny ani v</w:t>
      </w:r>
      <w:r w:rsidR="00385EAF">
        <w:t xml:space="preserve"> </w:t>
      </w:r>
      <w:r w:rsidR="009C6C78">
        <w:t>návazných dokumentech, s</w:t>
      </w:r>
      <w:r w:rsidR="00385EAF">
        <w:t xml:space="preserve"> </w:t>
      </w:r>
      <w:r w:rsidR="009C6C78">
        <w:t xml:space="preserve">výjimkou projektů investiční podpory. </w:t>
      </w:r>
      <w:r w:rsidR="009C6C78" w:rsidRPr="000D0F38">
        <w:t>S</w:t>
      </w:r>
      <w:r w:rsidR="00385EAF">
        <w:t xml:space="preserve"> </w:t>
      </w:r>
      <w:r w:rsidR="009C6C78" w:rsidRPr="000D0F38">
        <w:t>kritériem úspěšnosti bytové politiky státu, tj. souhrnným vyjádřením jej</w:t>
      </w:r>
      <w:r w:rsidR="00385EAF">
        <w:t>í</w:t>
      </w:r>
      <w:r w:rsidR="009C6C78" w:rsidRPr="000D0F38">
        <w:t>ch konkrétních účinků, se MMR potýká dlouhodobě.</w:t>
      </w:r>
      <w:r w:rsidR="009C6C78" w:rsidRPr="000D0F38">
        <w:rPr>
          <w:rStyle w:val="Znakapoznpodarou"/>
        </w:rPr>
        <w:footnoteReference w:id="48"/>
      </w:r>
    </w:p>
    <w:p w14:paraId="1200E2A5" w14:textId="6741023B" w:rsidR="00B33C76" w:rsidRDefault="00CB3822" w:rsidP="00AF3586">
      <w:pPr>
        <w:spacing w:after="120"/>
        <w:ind w:left="993"/>
      </w:pPr>
      <w:r w:rsidRPr="004009EC">
        <w:t>NKÚ dále konstatuje, že</w:t>
      </w:r>
      <w:r w:rsidR="00455CD6" w:rsidRPr="004009EC">
        <w:t xml:space="preserve"> obdobně jako v předch</w:t>
      </w:r>
      <w:r w:rsidR="00385EAF">
        <w:t>ozí</w:t>
      </w:r>
      <w:r w:rsidR="00455CD6" w:rsidRPr="004009EC">
        <w:t xml:space="preserve"> </w:t>
      </w:r>
      <w:r w:rsidR="00455CD6" w:rsidRPr="004009EC">
        <w:rPr>
          <w:i/>
        </w:rPr>
        <w:t>Koncepci 2020 (revidované)</w:t>
      </w:r>
      <w:r w:rsidR="00455CD6" w:rsidRPr="004009EC">
        <w:t xml:space="preserve"> </w:t>
      </w:r>
      <w:r w:rsidR="00DF41F4" w:rsidRPr="004009EC">
        <w:t>an</w:t>
      </w:r>
      <w:r w:rsidRPr="004009EC">
        <w:t xml:space="preserve">i </w:t>
      </w:r>
      <w:r w:rsidR="00CC5C86" w:rsidRPr="004009EC">
        <w:t>v</w:t>
      </w:r>
      <w:r w:rsidR="00AF6629">
        <w:t> </w:t>
      </w:r>
      <w:r w:rsidRPr="004009EC">
        <w:rPr>
          <w:i/>
        </w:rPr>
        <w:t>Koncepc</w:t>
      </w:r>
      <w:r w:rsidR="00DF41F4" w:rsidRPr="004009EC">
        <w:rPr>
          <w:i/>
        </w:rPr>
        <w:t>i</w:t>
      </w:r>
      <w:r w:rsidRPr="004009EC">
        <w:rPr>
          <w:i/>
        </w:rPr>
        <w:t xml:space="preserve"> 2021+</w:t>
      </w:r>
      <w:r w:rsidRPr="004009EC">
        <w:t xml:space="preserve"> </w:t>
      </w:r>
      <w:r w:rsidR="00385EAF">
        <w:t xml:space="preserve">Ministerstvo pro místní rozvoj </w:t>
      </w:r>
      <w:r w:rsidR="00455CD6" w:rsidRPr="004009EC">
        <w:t>pro žádný z</w:t>
      </w:r>
      <w:r w:rsidR="00E17FBF">
        <w:t xml:space="preserve">e strategických </w:t>
      </w:r>
      <w:r w:rsidR="00455CD6" w:rsidRPr="004009EC">
        <w:t>cílů ne</w:t>
      </w:r>
      <w:r w:rsidR="00B30BC0">
        <w:t xml:space="preserve">nastavilo </w:t>
      </w:r>
      <w:r w:rsidR="00E17FBF">
        <w:t>cílov</w:t>
      </w:r>
      <w:r w:rsidR="00B30BC0">
        <w:t>é</w:t>
      </w:r>
      <w:r w:rsidR="00E17FBF">
        <w:t xml:space="preserve"> hodnot</w:t>
      </w:r>
      <w:r w:rsidR="00B30BC0">
        <w:t>y</w:t>
      </w:r>
      <w:r w:rsidR="00E17FBF">
        <w:t xml:space="preserve"> </w:t>
      </w:r>
      <w:r w:rsidR="00455CD6" w:rsidRPr="007F21DC">
        <w:t xml:space="preserve">ani </w:t>
      </w:r>
      <w:r w:rsidR="00455CD6" w:rsidRPr="004009EC">
        <w:t>časový termín pro je</w:t>
      </w:r>
      <w:r w:rsidR="00736288">
        <w:t>jich</w:t>
      </w:r>
      <w:r w:rsidR="00455CD6" w:rsidRPr="004009EC">
        <w:t xml:space="preserve"> splnění. Nelze tak</w:t>
      </w:r>
      <w:r w:rsidR="00E876C1">
        <w:t xml:space="preserve"> posoudit a </w:t>
      </w:r>
      <w:r w:rsidR="00455CD6" w:rsidRPr="004009EC">
        <w:t>vyhodnotit, zda a jakou měrou splnění úkolů přispělo k dosažení c</w:t>
      </w:r>
      <w:r w:rsidR="00455CD6" w:rsidRPr="00F96CC8">
        <w:t>ílů.</w:t>
      </w:r>
      <w:r w:rsidR="00455CD6">
        <w:rPr>
          <w:rStyle w:val="Znakapoznpodarou"/>
        </w:rPr>
        <w:footnoteReference w:id="49"/>
      </w:r>
    </w:p>
    <w:p w14:paraId="470389E4" w14:textId="20EAE5A5" w:rsidR="00716BD7" w:rsidRPr="004009EC" w:rsidRDefault="00080799" w:rsidP="00AF6629">
      <w:pPr>
        <w:spacing w:after="120"/>
        <w:ind w:left="993" w:hanging="567"/>
      </w:pPr>
      <w:r>
        <w:t>2.2</w:t>
      </w:r>
      <w:r w:rsidR="00B33C76">
        <w:tab/>
        <w:t>P</w:t>
      </w:r>
      <w:r w:rsidR="00455CD6" w:rsidRPr="004009EC">
        <w:t>okud jde o</w:t>
      </w:r>
      <w:r>
        <w:t xml:space="preserve"> </w:t>
      </w:r>
      <w:r w:rsidR="00455CD6" w:rsidRPr="004009EC">
        <w:t>dotační a úvěrovou podporu</w:t>
      </w:r>
      <w:r w:rsidR="00FC6E60" w:rsidRPr="004009EC">
        <w:t>,</w:t>
      </w:r>
      <w:r w:rsidR="00455CD6" w:rsidRPr="004009EC">
        <w:t xml:space="preserve"> MMR monitoruje finanční a věcné</w:t>
      </w:r>
      <w:r w:rsidR="00455CD6" w:rsidRPr="004009EC">
        <w:rPr>
          <w:b/>
        </w:rPr>
        <w:t xml:space="preserve"> </w:t>
      </w:r>
      <w:r w:rsidR="00455CD6" w:rsidRPr="00071C23">
        <w:t>ukazatele programů</w:t>
      </w:r>
      <w:r w:rsidR="00455CD6" w:rsidRPr="004009EC">
        <w:t xml:space="preserve"> (počty podaných žádostí o podporu a jejich finanční hodnotu) </w:t>
      </w:r>
      <w:r w:rsidR="00B30BC0">
        <w:t xml:space="preserve">spravovaných </w:t>
      </w:r>
      <w:r w:rsidR="00455CD6" w:rsidRPr="004009EC">
        <w:t>MMR</w:t>
      </w:r>
      <w:r w:rsidR="00300825" w:rsidRPr="004009EC">
        <w:t xml:space="preserve"> a</w:t>
      </w:r>
      <w:r w:rsidR="00455CD6" w:rsidRPr="004009EC">
        <w:t xml:space="preserve"> SFPI </w:t>
      </w:r>
      <w:r w:rsidR="00B2227A">
        <w:t xml:space="preserve">a zveřejňuje je </w:t>
      </w:r>
      <w:r w:rsidR="00455CD6" w:rsidRPr="004009EC">
        <w:t xml:space="preserve">v každoročně vydávané publikaci </w:t>
      </w:r>
      <w:r w:rsidR="00455CD6" w:rsidRPr="004009EC">
        <w:rPr>
          <w:i/>
        </w:rPr>
        <w:t xml:space="preserve">Vybrané údaje o bydlení. </w:t>
      </w:r>
      <w:r w:rsidR="0030764A" w:rsidRPr="00071C23">
        <w:t xml:space="preserve">MMR v programu </w:t>
      </w:r>
      <w:r w:rsidR="0030764A" w:rsidRPr="00071C23">
        <w:rPr>
          <w:i/>
        </w:rPr>
        <w:t>Podpor</w:t>
      </w:r>
      <w:r w:rsidR="000757A0" w:rsidRPr="00071C23">
        <w:rPr>
          <w:i/>
        </w:rPr>
        <w:t>a</w:t>
      </w:r>
      <w:r w:rsidR="0030764A" w:rsidRPr="00071C23">
        <w:rPr>
          <w:i/>
        </w:rPr>
        <w:t xml:space="preserve"> bydlení </w:t>
      </w:r>
      <w:r w:rsidR="0030764A" w:rsidRPr="00071C23">
        <w:t>stanovilo</w:t>
      </w:r>
      <w:r w:rsidR="000757A0" w:rsidRPr="00071C23">
        <w:t xml:space="preserve"> cíle</w:t>
      </w:r>
      <w:r w:rsidR="0030764A" w:rsidRPr="00071C23">
        <w:t xml:space="preserve"> pro jednotlivé podprogramy</w:t>
      </w:r>
      <w:r w:rsidR="000757A0" w:rsidRPr="00071C23">
        <w:t xml:space="preserve"> jako konkrétní, relevantní a dosažitelné, nikoli však </w:t>
      </w:r>
      <w:r w:rsidR="0030764A" w:rsidRPr="00071C23">
        <w:t xml:space="preserve">měřitelné </w:t>
      </w:r>
      <w:r w:rsidR="000757A0" w:rsidRPr="00071C23">
        <w:t>a</w:t>
      </w:r>
      <w:r w:rsidR="00AF6629">
        <w:t> </w:t>
      </w:r>
      <w:r w:rsidR="0030764A" w:rsidRPr="00071C23">
        <w:t>termínované</w:t>
      </w:r>
      <w:r w:rsidR="000757A0" w:rsidRPr="00071C23">
        <w:t>.</w:t>
      </w:r>
      <w:r w:rsidR="00455CD6">
        <w:rPr>
          <w:rStyle w:val="Znakapoznpodarou"/>
        </w:rPr>
        <w:footnoteReference w:id="50"/>
      </w:r>
      <w:r w:rsidR="0030764A" w:rsidRPr="00071C23">
        <w:t xml:space="preserve"> </w:t>
      </w:r>
      <w:r w:rsidR="007835AC">
        <w:t xml:space="preserve">Není </w:t>
      </w:r>
      <w:r w:rsidR="00BA46E4">
        <w:t xml:space="preserve">tak </w:t>
      </w:r>
      <w:r w:rsidR="007835AC">
        <w:t xml:space="preserve">možné vyhodnotit dosažení </w:t>
      </w:r>
      <w:r w:rsidR="0030764A" w:rsidRPr="004009EC">
        <w:t>stanovených cílů.</w:t>
      </w:r>
    </w:p>
    <w:p w14:paraId="6DCDC146" w14:textId="7F3FCE21" w:rsidR="00CB3822" w:rsidRPr="00BA003B" w:rsidRDefault="00455CD6" w:rsidP="003B3B26">
      <w:pPr>
        <w:spacing w:after="120"/>
        <w:ind w:left="993"/>
      </w:pPr>
      <w:r w:rsidRPr="00BA003B">
        <w:t>U</w:t>
      </w:r>
      <w:r w:rsidR="00716BD7" w:rsidRPr="00BA003B">
        <w:t xml:space="preserve"> programu </w:t>
      </w:r>
      <w:r w:rsidR="001D2EAF" w:rsidRPr="00BA003B">
        <w:rPr>
          <w:i/>
        </w:rPr>
        <w:t>Výstavba pro obce</w:t>
      </w:r>
      <w:r w:rsidR="001D2EAF" w:rsidRPr="00BA003B">
        <w:t xml:space="preserve">, </w:t>
      </w:r>
      <w:r w:rsidR="00716BD7" w:rsidRPr="00BA003B">
        <w:t xml:space="preserve">financovaného </w:t>
      </w:r>
      <w:r w:rsidR="00B428B0" w:rsidRPr="00BA003B">
        <w:t>z</w:t>
      </w:r>
      <w:r w:rsidR="00691219">
        <w:t xml:space="preserve"> </w:t>
      </w:r>
      <w:r w:rsidR="00B428B0" w:rsidRPr="00BA003B">
        <w:t xml:space="preserve">rozpočtové kapitoly </w:t>
      </w:r>
      <w:r w:rsidR="00305897" w:rsidRPr="00BA003B">
        <w:t>MMR</w:t>
      </w:r>
      <w:r w:rsidRPr="00BA003B">
        <w:t xml:space="preserve"> </w:t>
      </w:r>
      <w:r w:rsidR="00716BD7" w:rsidRPr="00BA003B">
        <w:t>a</w:t>
      </w:r>
      <w:r w:rsidR="00265851" w:rsidRPr="00BA003B">
        <w:t> </w:t>
      </w:r>
      <w:r w:rsidR="001F751F">
        <w:t>spravovaného</w:t>
      </w:r>
      <w:r w:rsidR="00716BD7" w:rsidRPr="00BA003B">
        <w:t xml:space="preserve"> SFPI</w:t>
      </w:r>
      <w:r w:rsidR="00C02AC8" w:rsidRPr="00BA003B">
        <w:t>,</w:t>
      </w:r>
      <w:r w:rsidR="00667422" w:rsidRPr="00BA003B">
        <w:t xml:space="preserve"> neuvádělo </w:t>
      </w:r>
      <w:r w:rsidR="00385EAF" w:rsidRPr="00BA003B">
        <w:t xml:space="preserve">MMR </w:t>
      </w:r>
      <w:r w:rsidR="00667422" w:rsidRPr="00BA003B">
        <w:t xml:space="preserve">vyhodnocení míry plnění </w:t>
      </w:r>
      <w:r w:rsidR="00301E53" w:rsidRPr="00BA003B">
        <w:t xml:space="preserve">monitorovacího </w:t>
      </w:r>
      <w:r w:rsidR="00667422" w:rsidRPr="00BA003B">
        <w:t>indikátoru</w:t>
      </w:r>
      <w:r w:rsidR="00301E53" w:rsidRPr="00BA003B">
        <w:t xml:space="preserve"> </w:t>
      </w:r>
      <w:r w:rsidR="00385EAF" w:rsidRPr="00BA003B">
        <w:t xml:space="preserve">zachycujícího </w:t>
      </w:r>
      <w:r w:rsidR="00301E53" w:rsidRPr="00BA003B">
        <w:t>na úrovni programu</w:t>
      </w:r>
      <w:r w:rsidR="00667422" w:rsidRPr="00BA003B">
        <w:t xml:space="preserve"> účelnost vynakládaných prostředků</w:t>
      </w:r>
      <w:r>
        <w:rPr>
          <w:rStyle w:val="Znakapoznpodarou"/>
        </w:rPr>
        <w:footnoteReference w:id="51"/>
      </w:r>
      <w:r w:rsidR="00667422" w:rsidRPr="00BA003B">
        <w:t>.</w:t>
      </w:r>
      <w:r w:rsidR="00C02AC8" w:rsidRPr="00BA003B">
        <w:t xml:space="preserve"> </w:t>
      </w:r>
      <w:r w:rsidR="00667422" w:rsidRPr="00BA003B">
        <w:t>Míra plnění programového indikátoru nebyla uveden</w:t>
      </w:r>
      <w:r w:rsidR="00EC2C8B" w:rsidRPr="00BA003B">
        <w:t>a</w:t>
      </w:r>
      <w:r w:rsidR="00667422" w:rsidRPr="00BA003B">
        <w:t xml:space="preserve"> ani ve výročních zprávách SFPI.</w:t>
      </w:r>
      <w:r w:rsidR="00C02AC8" w:rsidRPr="00BA003B">
        <w:t xml:space="preserve"> </w:t>
      </w:r>
      <w:r w:rsidR="00E6121C" w:rsidRPr="00BA003B">
        <w:t>Vlastním výpočtem</w:t>
      </w:r>
      <w:r>
        <w:rPr>
          <w:rStyle w:val="Znakapoznpodarou"/>
        </w:rPr>
        <w:footnoteReference w:id="52"/>
      </w:r>
      <w:r w:rsidR="00C02AC8" w:rsidRPr="00BA003B">
        <w:t xml:space="preserve"> </w:t>
      </w:r>
      <w:r w:rsidRPr="00BA003B">
        <w:t>NKÚ</w:t>
      </w:r>
      <w:r w:rsidR="000D1411" w:rsidRPr="00BA003B">
        <w:t xml:space="preserve"> </w:t>
      </w:r>
      <w:r w:rsidR="00E6121C" w:rsidRPr="00BA003B">
        <w:t xml:space="preserve">zjistil, že míra plnění </w:t>
      </w:r>
      <w:r w:rsidR="000D1411" w:rsidRPr="00BA003B">
        <w:t xml:space="preserve">tohoto </w:t>
      </w:r>
      <w:r w:rsidR="00E6121C" w:rsidRPr="00BA003B">
        <w:t>programového indikátoru představovala k 31.</w:t>
      </w:r>
      <w:r w:rsidR="006A37EB" w:rsidRPr="00BA003B">
        <w:t xml:space="preserve"> </w:t>
      </w:r>
      <w:r w:rsidR="00E6121C" w:rsidRPr="00BA003B">
        <w:t>12.</w:t>
      </w:r>
      <w:r w:rsidR="006A37EB" w:rsidRPr="00BA003B">
        <w:t xml:space="preserve"> </w:t>
      </w:r>
      <w:r w:rsidR="00E6121C" w:rsidRPr="00BA003B">
        <w:t>2022 cca 9,52</w:t>
      </w:r>
      <w:r w:rsidR="001C6682" w:rsidRPr="00BA003B">
        <w:t xml:space="preserve"> </w:t>
      </w:r>
      <w:r w:rsidR="00E6121C" w:rsidRPr="00BA003B">
        <w:t>% cílové hodnoty</w:t>
      </w:r>
      <w:r w:rsidR="000D1411" w:rsidRPr="00BA003B">
        <w:t xml:space="preserve">. Vzhledem ke skutečnosti, že </w:t>
      </w:r>
      <w:r w:rsidR="00F61216">
        <w:t>příjem žádostí byl ukončen k 31.</w:t>
      </w:r>
      <w:r w:rsidR="00706E1D">
        <w:t xml:space="preserve"> </w:t>
      </w:r>
      <w:r w:rsidR="00F61216">
        <w:t>3.</w:t>
      </w:r>
      <w:r w:rsidR="00706E1D">
        <w:t xml:space="preserve"> </w:t>
      </w:r>
      <w:r w:rsidR="00F61216">
        <w:t>2023</w:t>
      </w:r>
      <w:r w:rsidR="006A37EB" w:rsidRPr="00BA003B">
        <w:t>,</w:t>
      </w:r>
      <w:r w:rsidR="000D1411" w:rsidRPr="00BA003B">
        <w:t xml:space="preserve"> NKÚ </w:t>
      </w:r>
      <w:r w:rsidRPr="00BA003B">
        <w:t>konstatuje, že</w:t>
      </w:r>
      <w:r w:rsidR="008D4854" w:rsidRPr="00BA003B">
        <w:t xml:space="preserve"> </w:t>
      </w:r>
      <w:r w:rsidR="00D527A2">
        <w:t xml:space="preserve">plnění </w:t>
      </w:r>
      <w:r w:rsidR="00385EAF">
        <w:t xml:space="preserve">uvedeného indikátoru </w:t>
      </w:r>
      <w:r w:rsidR="008D4854" w:rsidRPr="00BA003B">
        <w:t xml:space="preserve">je </w:t>
      </w:r>
      <w:r w:rsidRPr="00BA003B">
        <w:t xml:space="preserve">nepřiměřeně nízké. </w:t>
      </w:r>
    </w:p>
    <w:p w14:paraId="097C8548" w14:textId="2CA8C4C2" w:rsidR="00667422" w:rsidRPr="00BA003B" w:rsidRDefault="00B33C76" w:rsidP="001E126B">
      <w:pPr>
        <w:spacing w:after="120"/>
        <w:ind w:left="993" w:hanging="142"/>
        <w:rPr>
          <w:szCs w:val="24"/>
        </w:rPr>
      </w:pPr>
      <w:r>
        <w:rPr>
          <w:szCs w:val="24"/>
        </w:rPr>
        <w:lastRenderedPageBreak/>
        <w:tab/>
      </w:r>
      <w:r w:rsidR="00455CD6" w:rsidRPr="00BA003B">
        <w:rPr>
          <w:szCs w:val="24"/>
        </w:rPr>
        <w:t xml:space="preserve">Podmínky </w:t>
      </w:r>
      <w:r w:rsidR="002D2CEF" w:rsidRPr="00BA003B">
        <w:rPr>
          <w:szCs w:val="24"/>
        </w:rPr>
        <w:t xml:space="preserve">ostatních </w:t>
      </w:r>
      <w:r w:rsidR="00455CD6" w:rsidRPr="00BA003B">
        <w:rPr>
          <w:szCs w:val="24"/>
        </w:rPr>
        <w:t>kontrolovaných programů</w:t>
      </w:r>
      <w:r w:rsidR="00455CD6">
        <w:rPr>
          <w:rStyle w:val="Znakapoznpodarou"/>
          <w:szCs w:val="24"/>
        </w:rPr>
        <w:footnoteReference w:id="53"/>
      </w:r>
      <w:r w:rsidR="00455CD6" w:rsidRPr="00BA003B">
        <w:rPr>
          <w:szCs w:val="24"/>
        </w:rPr>
        <w:t xml:space="preserve"> SFPI neobsahují konkrétní měřitelné cíle, </w:t>
      </w:r>
      <w:r w:rsidR="003457D5" w:rsidRPr="00BA003B">
        <w:rPr>
          <w:szCs w:val="24"/>
        </w:rPr>
        <w:t>ale</w:t>
      </w:r>
      <w:r w:rsidR="00455CD6" w:rsidRPr="00BA003B">
        <w:rPr>
          <w:szCs w:val="24"/>
        </w:rPr>
        <w:t xml:space="preserve"> pouze obecné cíle těchto programů</w:t>
      </w:r>
      <w:r w:rsidR="003457D5" w:rsidRPr="00BA003B">
        <w:rPr>
          <w:szCs w:val="24"/>
        </w:rPr>
        <w:t xml:space="preserve">. SFPI </w:t>
      </w:r>
      <w:r w:rsidR="00D30657" w:rsidRPr="00BA003B">
        <w:rPr>
          <w:szCs w:val="24"/>
        </w:rPr>
        <w:t>tudíž nemůže vyhodnocovat</w:t>
      </w:r>
      <w:r w:rsidR="00455CD6" w:rsidRPr="00BA003B">
        <w:rPr>
          <w:szCs w:val="24"/>
        </w:rPr>
        <w:t xml:space="preserve"> přínosy poskytnuté podpory</w:t>
      </w:r>
      <w:r w:rsidR="00305897" w:rsidRPr="00BA003B">
        <w:rPr>
          <w:szCs w:val="24"/>
        </w:rPr>
        <w:t>,</w:t>
      </w:r>
      <w:r w:rsidR="00D30657" w:rsidRPr="00BA003B">
        <w:rPr>
          <w:szCs w:val="24"/>
        </w:rPr>
        <w:t xml:space="preserve"> neboť </w:t>
      </w:r>
      <w:r w:rsidR="00455CD6" w:rsidRPr="00BA003B">
        <w:rPr>
          <w:szCs w:val="24"/>
        </w:rPr>
        <w:t xml:space="preserve">k jednotlivým programům sleduje </w:t>
      </w:r>
      <w:r w:rsidR="00D30657" w:rsidRPr="00BA003B">
        <w:rPr>
          <w:szCs w:val="24"/>
        </w:rPr>
        <w:t xml:space="preserve">pouze </w:t>
      </w:r>
      <w:r w:rsidR="00455CD6" w:rsidRPr="00BA003B">
        <w:rPr>
          <w:szCs w:val="24"/>
        </w:rPr>
        <w:t xml:space="preserve">data statistické povahy, </w:t>
      </w:r>
      <w:r w:rsidR="009A76C1">
        <w:rPr>
          <w:szCs w:val="24"/>
        </w:rPr>
        <w:t>jež</w:t>
      </w:r>
      <w:r w:rsidR="00455CD6" w:rsidRPr="00BA003B">
        <w:rPr>
          <w:szCs w:val="24"/>
        </w:rPr>
        <w:t xml:space="preserve"> vypovídají o počtu schválených žádostí </w:t>
      </w:r>
      <w:r w:rsidR="007B626B">
        <w:rPr>
          <w:szCs w:val="24"/>
        </w:rPr>
        <w:br/>
      </w:r>
      <w:r w:rsidR="00455CD6" w:rsidRPr="00BA003B">
        <w:rPr>
          <w:szCs w:val="24"/>
        </w:rPr>
        <w:t>o</w:t>
      </w:r>
      <w:r w:rsidR="007B626B">
        <w:rPr>
          <w:szCs w:val="24"/>
        </w:rPr>
        <w:t xml:space="preserve"> </w:t>
      </w:r>
      <w:r w:rsidR="00455CD6" w:rsidRPr="00BA003B">
        <w:rPr>
          <w:szCs w:val="24"/>
        </w:rPr>
        <w:t xml:space="preserve">podporu, počtu uzavřených smluv a objemu </w:t>
      </w:r>
      <w:r w:rsidR="00763E5C">
        <w:rPr>
          <w:szCs w:val="24"/>
        </w:rPr>
        <w:t>smluvně vázaných</w:t>
      </w:r>
      <w:r w:rsidR="00455CD6" w:rsidRPr="00BA003B">
        <w:rPr>
          <w:szCs w:val="24"/>
        </w:rPr>
        <w:t xml:space="preserve"> peněžních prostředků.</w:t>
      </w:r>
    </w:p>
    <w:p w14:paraId="0911CF89" w14:textId="77777777" w:rsidR="006E6258" w:rsidRPr="00BA003B" w:rsidRDefault="00B33C76" w:rsidP="001E126B">
      <w:pPr>
        <w:spacing w:after="120"/>
        <w:ind w:left="993" w:hanging="142"/>
        <w:rPr>
          <w:highlight w:val="green"/>
        </w:rPr>
      </w:pPr>
      <w:r>
        <w:tab/>
      </w:r>
      <w:r w:rsidR="00455CD6" w:rsidRPr="00BA003B">
        <w:t>NKÚ dále konstatuje, že</w:t>
      </w:r>
      <w:r w:rsidR="00E27E3E" w:rsidRPr="00BA003B">
        <w:t xml:space="preserve"> </w:t>
      </w:r>
      <w:r w:rsidR="00080799">
        <w:t xml:space="preserve">na úrovni projektů jsou </w:t>
      </w:r>
      <w:r w:rsidR="00E27E3E" w:rsidRPr="00FA263C">
        <w:t>u programů SFPI nastaveny</w:t>
      </w:r>
      <w:r w:rsidR="00455CD6" w:rsidRPr="00FA263C">
        <w:t xml:space="preserve"> měřitelné a termínované cíle</w:t>
      </w:r>
      <w:r w:rsidR="00455CD6" w:rsidRPr="00BA003B">
        <w:rPr>
          <w:b/>
        </w:rPr>
        <w:t xml:space="preserve"> </w:t>
      </w:r>
      <w:r w:rsidR="00455CD6" w:rsidRPr="00BA003B">
        <w:t>(např. kolik bytů má být z poskytnuté dotace či úvěru pořízeno, jaká plocha sídliště má být regenerována, kolik bude pořízeno výtahů či bezbariérových vstupů do</w:t>
      </w:r>
      <w:r w:rsidR="00265851" w:rsidRPr="00BA003B">
        <w:t> </w:t>
      </w:r>
      <w:r w:rsidR="00455CD6" w:rsidRPr="00BA003B">
        <w:t>domů).</w:t>
      </w:r>
    </w:p>
    <w:p w14:paraId="0B536CFA" w14:textId="271B073C" w:rsidR="00526FE9" w:rsidRPr="00BA003B" w:rsidRDefault="00B33C76" w:rsidP="001E126B">
      <w:pPr>
        <w:spacing w:after="120"/>
        <w:ind w:left="993" w:hanging="142"/>
        <w:rPr>
          <w:highlight w:val="green"/>
        </w:rPr>
      </w:pPr>
      <w:r>
        <w:tab/>
      </w:r>
      <w:r w:rsidR="00455CD6" w:rsidRPr="00BA003B">
        <w:t xml:space="preserve">MMR ani </w:t>
      </w:r>
      <w:r w:rsidR="006E6258" w:rsidRPr="00BA003B">
        <w:t>SFPI nem</w:t>
      </w:r>
      <w:r w:rsidR="00455CD6" w:rsidRPr="00BA003B">
        <w:t>ají</w:t>
      </w:r>
      <w:r w:rsidR="006E6258" w:rsidRPr="00BA003B">
        <w:t xml:space="preserve"> nastaven systém pro sledování účinků/dopadů/přínosů poskytnuté podpory a nesleduj</w:t>
      </w:r>
      <w:r w:rsidR="00455CD6" w:rsidRPr="00BA003B">
        <w:t>í</w:t>
      </w:r>
      <w:r w:rsidR="006E6258" w:rsidRPr="00BA003B">
        <w:t xml:space="preserve"> dopad na cílové skupiny, pro které je státní podpora bydlení určena</w:t>
      </w:r>
      <w:r w:rsidR="009543F2" w:rsidRPr="00BA003B">
        <w:t xml:space="preserve">, tedy zda </w:t>
      </w:r>
      <w:r w:rsidR="0020483B">
        <w:t xml:space="preserve">z pohledu </w:t>
      </w:r>
      <w:r w:rsidR="0020483B" w:rsidRPr="00BA003B">
        <w:t xml:space="preserve">cílových skupin </w:t>
      </w:r>
      <w:r w:rsidR="009543F2" w:rsidRPr="00BA003B">
        <w:t xml:space="preserve">došlo ke </w:t>
      </w:r>
      <w:r w:rsidR="006E6258" w:rsidRPr="00BA003B">
        <w:t>zvýšení dostupnosti bydlení</w:t>
      </w:r>
      <w:r w:rsidR="0003312C" w:rsidRPr="00BA003B">
        <w:t>.</w:t>
      </w:r>
      <w:r w:rsidR="006E6258" w:rsidRPr="00BA003B">
        <w:t xml:space="preserve"> </w:t>
      </w:r>
      <w:r w:rsidR="003B6E93" w:rsidRPr="00BA003B">
        <w:t>Na</w:t>
      </w:r>
      <w:r w:rsidR="0020483B">
        <w:t xml:space="preserve"> </w:t>
      </w:r>
      <w:r w:rsidR="003B6E93" w:rsidRPr="00BA003B">
        <w:t xml:space="preserve">chybějící ukazatele pro hodnocení cílů a dopadů podpor </w:t>
      </w:r>
      <w:r w:rsidR="0020483B">
        <w:t>v oblasti</w:t>
      </w:r>
      <w:r w:rsidR="003B6E93" w:rsidRPr="00BA003B">
        <w:t xml:space="preserve"> bytov</w:t>
      </w:r>
      <w:r w:rsidR="0020483B">
        <w:t>é</w:t>
      </w:r>
      <w:r w:rsidR="003B6E93" w:rsidRPr="00BA003B">
        <w:t xml:space="preserve"> politik</w:t>
      </w:r>
      <w:r w:rsidR="0020483B">
        <w:t>y</w:t>
      </w:r>
      <w:r w:rsidR="003B6E93" w:rsidRPr="00BA003B">
        <w:t xml:space="preserve"> upozornil </w:t>
      </w:r>
      <w:r w:rsidR="00E27E3E" w:rsidRPr="00BA003B">
        <w:t xml:space="preserve">NKÚ </w:t>
      </w:r>
      <w:r w:rsidR="003B6E93" w:rsidRPr="00BA003B">
        <w:t>již v</w:t>
      </w:r>
      <w:r w:rsidR="00E876C1">
        <w:t> roce 2016</w:t>
      </w:r>
      <w:r w:rsidR="00E876C1">
        <w:rPr>
          <w:rStyle w:val="Znakapoznpodarou"/>
        </w:rPr>
        <w:footnoteReference w:id="54"/>
      </w:r>
      <w:r w:rsidR="00E876C1">
        <w:t xml:space="preserve">, </w:t>
      </w:r>
      <w:r w:rsidR="003B6E93" w:rsidRPr="00BA003B">
        <w:t xml:space="preserve">kdy byla kontrolována i </w:t>
      </w:r>
      <w:r w:rsidR="003B6E93" w:rsidRPr="00BA003B">
        <w:rPr>
          <w:i/>
        </w:rPr>
        <w:t>Koncepce bydlení ČR do</w:t>
      </w:r>
      <w:r w:rsidR="00265851" w:rsidRPr="00BA003B">
        <w:rPr>
          <w:i/>
        </w:rPr>
        <w:t> </w:t>
      </w:r>
      <w:r w:rsidR="003B6E93" w:rsidRPr="00BA003B">
        <w:rPr>
          <w:i/>
        </w:rPr>
        <w:t>roku 2020</w:t>
      </w:r>
      <w:r w:rsidR="003B6E93" w:rsidRPr="00BA003B">
        <w:t>.</w:t>
      </w:r>
    </w:p>
    <w:p w14:paraId="1A885AC2" w14:textId="487E5E7E" w:rsidR="00427B41" w:rsidRDefault="00455CD6" w:rsidP="001E126B">
      <w:pPr>
        <w:spacing w:after="120"/>
        <w:ind w:left="993"/>
      </w:pPr>
      <w:r w:rsidRPr="00BA003B">
        <w:t>SFPI nesleduje obsazenost sociálních a nájemních bytů (byty pro osoby s nízkými příjmy</w:t>
      </w:r>
      <w:r w:rsidR="0020483B">
        <w:t> </w:t>
      </w:r>
      <w:r w:rsidRPr="00BA003B">
        <w:t>/</w:t>
      </w:r>
      <w:r w:rsidR="0020483B">
        <w:t> </w:t>
      </w:r>
      <w:r w:rsidRPr="00BA003B">
        <w:t xml:space="preserve">způsobilé domácnosti), </w:t>
      </w:r>
      <w:r w:rsidR="0020483B">
        <w:t>které</w:t>
      </w:r>
      <w:r w:rsidRPr="00BA003B">
        <w:t xml:space="preserve"> byly dotačně nebo úvěrově podpořeny z</w:t>
      </w:r>
      <w:r w:rsidR="001108C2">
        <w:t> </w:t>
      </w:r>
      <w:r w:rsidRPr="00BA003B">
        <w:t>vybraných programů. Ne</w:t>
      </w:r>
      <w:r w:rsidR="003135D3">
        <w:t xml:space="preserve">může tudíž </w:t>
      </w:r>
      <w:r w:rsidRPr="00BA003B">
        <w:t xml:space="preserve">posoudit a vyhodnotit, do jaké míry poskytnuté peněžní prostředky podpořily vymezené cílové skupiny. SFPI </w:t>
      </w:r>
      <w:r w:rsidR="00E876C1">
        <w:t xml:space="preserve">dle svého vyjádření </w:t>
      </w:r>
      <w:r w:rsidRPr="00BA003B">
        <w:t xml:space="preserve">plánuje sledovat </w:t>
      </w:r>
      <w:r w:rsidR="0020483B">
        <w:t>údaje</w:t>
      </w:r>
      <w:r w:rsidRPr="00BA003B">
        <w:t xml:space="preserve"> </w:t>
      </w:r>
      <w:r w:rsidRPr="003413A1">
        <w:t>o</w:t>
      </w:r>
      <w:r w:rsidR="0020483B">
        <w:t xml:space="preserve"> </w:t>
      </w:r>
      <w:r w:rsidRPr="003413A1">
        <w:t>obsazenosti bytů v</w:t>
      </w:r>
      <w:r w:rsidR="0020483B">
        <w:t xml:space="preserve"> </w:t>
      </w:r>
      <w:r w:rsidRPr="003413A1">
        <w:t xml:space="preserve">budoucnosti, </w:t>
      </w:r>
      <w:r w:rsidRPr="00840825">
        <w:t xml:space="preserve">ale data nebudou </w:t>
      </w:r>
      <w:r w:rsidR="003413A1" w:rsidRPr="00840825">
        <w:t xml:space="preserve">muset být </w:t>
      </w:r>
      <w:r w:rsidRPr="00840825">
        <w:t xml:space="preserve">vyplňována </w:t>
      </w:r>
      <w:r w:rsidR="00CE2232" w:rsidRPr="00840825">
        <w:t>zpětně</w:t>
      </w:r>
      <w:r w:rsidR="00670235" w:rsidRPr="00840825">
        <w:t xml:space="preserve"> </w:t>
      </w:r>
      <w:r w:rsidR="00670235" w:rsidRPr="003413A1">
        <w:t>k</w:t>
      </w:r>
      <w:r w:rsidR="00325AD1">
        <w:t> </w:t>
      </w:r>
      <w:r w:rsidR="00670235" w:rsidRPr="003413A1">
        <w:t>dříve podpořeným bytům</w:t>
      </w:r>
      <w:r w:rsidR="00CE2232" w:rsidRPr="003413A1">
        <w:t xml:space="preserve">. </w:t>
      </w:r>
    </w:p>
    <w:p w14:paraId="7C0E9732" w14:textId="2C5F61A6" w:rsidR="00692876" w:rsidRDefault="00844D7B" w:rsidP="00AF6629">
      <w:pPr>
        <w:spacing w:after="120"/>
        <w:ind w:left="993" w:hanging="567"/>
        <w:rPr>
          <w:rFonts w:cs="Arial"/>
          <w:color w:val="000000"/>
          <w:szCs w:val="24"/>
          <w:shd w:val="clear" w:color="auto" w:fill="FFFFFF"/>
        </w:rPr>
      </w:pPr>
      <w:r w:rsidRPr="00956223">
        <w:rPr>
          <w:rStyle w:val="normaltextrun"/>
          <w:shd w:val="clear" w:color="auto" w:fill="FFFFFF"/>
        </w:rPr>
        <w:t>2.</w:t>
      </w:r>
      <w:r w:rsidR="00B33C76">
        <w:rPr>
          <w:rStyle w:val="normaltextrun"/>
          <w:shd w:val="clear" w:color="auto" w:fill="FFFFFF"/>
        </w:rPr>
        <w:t>3</w:t>
      </w:r>
      <w:r w:rsidRPr="00956223">
        <w:rPr>
          <w:rStyle w:val="normaltextrun"/>
          <w:shd w:val="clear" w:color="auto" w:fill="FFFFFF"/>
        </w:rPr>
        <w:t xml:space="preserve"> </w:t>
      </w:r>
      <w:r w:rsidR="00455CD6" w:rsidRPr="00956223">
        <w:rPr>
          <w:rStyle w:val="normaltextrun"/>
          <w:shd w:val="clear" w:color="auto" w:fill="FFFFFF"/>
        </w:rPr>
        <w:tab/>
      </w:r>
      <w:r w:rsidR="007835AC" w:rsidRPr="00956223">
        <w:t>SFPI je</w:t>
      </w:r>
      <w:r w:rsidR="007835AC">
        <w:t xml:space="preserve"> </w:t>
      </w:r>
      <w:r w:rsidR="007835AC" w:rsidRPr="00956223">
        <w:rPr>
          <w:rStyle w:val="normaltextrun"/>
          <w:shd w:val="clear" w:color="auto" w:fill="FFFFFF"/>
        </w:rPr>
        <w:t xml:space="preserve">právnickou osobou v působnosti </w:t>
      </w:r>
      <w:r w:rsidR="007835AC" w:rsidRPr="00956223">
        <w:t>MMR</w:t>
      </w:r>
      <w:r w:rsidR="007835AC">
        <w:rPr>
          <w:rStyle w:val="Znakapoznpodarou"/>
        </w:rPr>
        <w:footnoteReference w:id="55"/>
      </w:r>
      <w:r w:rsidR="007835AC" w:rsidRPr="00956223">
        <w:t xml:space="preserve"> </w:t>
      </w:r>
      <w:r w:rsidR="007835AC" w:rsidRPr="00956223">
        <w:rPr>
          <w:rStyle w:val="normaltextrun"/>
          <w:shd w:val="clear" w:color="auto" w:fill="FFFFFF"/>
        </w:rPr>
        <w:t>a dle kompetenčního</w:t>
      </w:r>
      <w:r w:rsidR="007835AC" w:rsidRPr="00956223">
        <w:t xml:space="preserve"> zákona</w:t>
      </w:r>
      <w:r w:rsidR="007835AC">
        <w:rPr>
          <w:rStyle w:val="Znakapoznpodarou"/>
        </w:rPr>
        <w:footnoteReference w:id="56"/>
      </w:r>
      <w:r w:rsidR="007835AC" w:rsidRPr="00956223">
        <w:t xml:space="preserve"> </w:t>
      </w:r>
      <w:r w:rsidR="007835AC" w:rsidRPr="00956223">
        <w:rPr>
          <w:rStyle w:val="normaltextrun"/>
          <w:shd w:val="clear" w:color="auto" w:fill="FFFFFF"/>
        </w:rPr>
        <w:t xml:space="preserve">je MMR povinno </w:t>
      </w:r>
      <w:r w:rsidR="007835AC">
        <w:rPr>
          <w:rStyle w:val="normaltextrun"/>
          <w:shd w:val="clear" w:color="auto" w:fill="FFFFFF"/>
        </w:rPr>
        <w:t xml:space="preserve">zkoumat společenskou problematiku v okruhu své působnosti, analyzovat dosahované výsledky a činit opatření k řešení aktuálních otázek. </w:t>
      </w:r>
      <w:r w:rsidR="00472976">
        <w:rPr>
          <w:rStyle w:val="normaltextrun"/>
          <w:shd w:val="clear" w:color="auto" w:fill="FFFFFF"/>
        </w:rPr>
        <w:t>Všechny programy SFPI jsou financovány z</w:t>
      </w:r>
      <w:r w:rsidR="00FB7CDA">
        <w:rPr>
          <w:rStyle w:val="normaltextrun"/>
          <w:shd w:val="clear" w:color="auto" w:fill="FFFFFF"/>
        </w:rPr>
        <w:t xml:space="preserve"> </w:t>
      </w:r>
      <w:r w:rsidR="00472976">
        <w:rPr>
          <w:rStyle w:val="normaltextrun"/>
          <w:shd w:val="clear" w:color="auto" w:fill="FFFFFF"/>
        </w:rPr>
        <w:t>rozpočtu SFPI, který schvaluje vláda Č</w:t>
      </w:r>
      <w:r w:rsidR="00E876C1">
        <w:rPr>
          <w:rStyle w:val="normaltextrun"/>
          <w:shd w:val="clear" w:color="auto" w:fill="FFFFFF"/>
        </w:rPr>
        <w:t>R</w:t>
      </w:r>
      <w:r w:rsidR="00472976">
        <w:rPr>
          <w:rStyle w:val="normaltextrun"/>
          <w:shd w:val="clear" w:color="auto" w:fill="FFFFFF"/>
        </w:rPr>
        <w:t xml:space="preserve"> a</w:t>
      </w:r>
      <w:r w:rsidR="00FB7CDA">
        <w:rPr>
          <w:rStyle w:val="normaltextrun"/>
          <w:shd w:val="clear" w:color="auto" w:fill="FFFFFF"/>
        </w:rPr>
        <w:t> </w:t>
      </w:r>
      <w:r w:rsidR="00472976">
        <w:rPr>
          <w:rStyle w:val="normaltextrun"/>
          <w:shd w:val="clear" w:color="auto" w:fill="FFFFFF"/>
        </w:rPr>
        <w:t>Poslanecká sněmovna Parlamentu Č</w:t>
      </w:r>
      <w:r w:rsidR="0068059B">
        <w:rPr>
          <w:rStyle w:val="normaltextrun"/>
          <w:shd w:val="clear" w:color="auto" w:fill="FFFFFF"/>
        </w:rPr>
        <w:t>R</w:t>
      </w:r>
      <w:r w:rsidR="00472976">
        <w:rPr>
          <w:rStyle w:val="normaltextrun"/>
          <w:shd w:val="clear" w:color="auto" w:fill="FFFFFF"/>
        </w:rPr>
        <w:t>. V kontrolovaném období SFPI hospodařil výhradně</w:t>
      </w:r>
      <w:r w:rsidR="00472976">
        <w:rPr>
          <w:rStyle w:val="Znakapoznpodarou"/>
          <w:shd w:val="clear" w:color="auto" w:fill="FFFFFF"/>
        </w:rPr>
        <w:footnoteReference w:id="57"/>
      </w:r>
      <w:r w:rsidR="00BB2414">
        <w:rPr>
          <w:rStyle w:val="normaltextrun"/>
          <w:shd w:val="clear" w:color="auto" w:fill="FFFFFF"/>
        </w:rPr>
        <w:t xml:space="preserve"> </w:t>
      </w:r>
      <w:r w:rsidR="00472976">
        <w:rPr>
          <w:rStyle w:val="normaltextrun"/>
          <w:shd w:val="clear" w:color="auto" w:fill="FFFFFF"/>
        </w:rPr>
        <w:t>s</w:t>
      </w:r>
      <w:r w:rsidR="00FB7CDA">
        <w:rPr>
          <w:rStyle w:val="normaltextrun"/>
          <w:shd w:val="clear" w:color="auto" w:fill="FFFFFF"/>
        </w:rPr>
        <w:t xml:space="preserve"> </w:t>
      </w:r>
      <w:r w:rsidR="00472976">
        <w:rPr>
          <w:rStyle w:val="normaltextrun"/>
          <w:shd w:val="clear" w:color="auto" w:fill="FFFFFF"/>
        </w:rPr>
        <w:t>majetkem</w:t>
      </w:r>
      <w:r w:rsidR="00BB2414">
        <w:rPr>
          <w:rStyle w:val="normaltextrun"/>
          <w:shd w:val="clear" w:color="auto" w:fill="FFFFFF"/>
        </w:rPr>
        <w:t xml:space="preserve"> </w:t>
      </w:r>
      <w:r w:rsidR="00472976">
        <w:rPr>
          <w:rStyle w:val="normaltextrun"/>
          <w:shd w:val="clear" w:color="auto" w:fill="FFFFFF"/>
        </w:rPr>
        <w:t>ve</w:t>
      </w:r>
      <w:r w:rsidR="00BB2414">
        <w:rPr>
          <w:rStyle w:val="normaltextrun"/>
          <w:shd w:val="clear" w:color="auto" w:fill="FFFFFF"/>
        </w:rPr>
        <w:t xml:space="preserve"> </w:t>
      </w:r>
      <w:r w:rsidR="00472976">
        <w:rPr>
          <w:rStyle w:val="normaltextrun"/>
          <w:shd w:val="clear" w:color="auto" w:fill="FFFFFF"/>
        </w:rPr>
        <w:t>vlastnictví</w:t>
      </w:r>
      <w:r w:rsidR="00BB2414">
        <w:rPr>
          <w:rStyle w:val="normaltextrun"/>
          <w:shd w:val="clear" w:color="auto" w:fill="FFFFFF"/>
        </w:rPr>
        <w:t xml:space="preserve"> </w:t>
      </w:r>
      <w:r w:rsidR="00472976">
        <w:rPr>
          <w:rStyle w:val="normaltextrun"/>
          <w:shd w:val="clear" w:color="auto" w:fill="FFFFFF"/>
        </w:rPr>
        <w:t>státu</w:t>
      </w:r>
      <w:r w:rsidR="00BB2414">
        <w:rPr>
          <w:rStyle w:val="normaltextrun"/>
          <w:shd w:val="clear" w:color="auto" w:fill="FFFFFF"/>
        </w:rPr>
        <w:t xml:space="preserve"> </w:t>
      </w:r>
      <w:r w:rsidR="00472976">
        <w:rPr>
          <w:rStyle w:val="normaltextrun"/>
          <w:shd w:val="clear" w:color="auto" w:fill="FFFFFF"/>
        </w:rPr>
        <w:t>podle</w:t>
      </w:r>
      <w:r w:rsidR="00BB2414">
        <w:rPr>
          <w:rStyle w:val="normaltextrun"/>
          <w:shd w:val="clear" w:color="auto" w:fill="FFFFFF"/>
        </w:rPr>
        <w:t xml:space="preserve"> </w:t>
      </w:r>
      <w:r w:rsidR="00472976">
        <w:rPr>
          <w:rFonts w:cs="Arial"/>
          <w:color w:val="000000"/>
          <w:szCs w:val="24"/>
          <w:shd w:val="clear" w:color="auto" w:fill="FFFFFF"/>
        </w:rPr>
        <w:t>z</w:t>
      </w:r>
      <w:r w:rsidR="00472976" w:rsidRPr="00FC46A4">
        <w:rPr>
          <w:rFonts w:cs="Arial"/>
          <w:color w:val="000000"/>
          <w:szCs w:val="24"/>
          <w:shd w:val="clear" w:color="auto" w:fill="FFFFFF"/>
        </w:rPr>
        <w:t>ákon</w:t>
      </w:r>
      <w:r w:rsidR="00472976">
        <w:rPr>
          <w:rFonts w:cs="Arial"/>
          <w:color w:val="000000"/>
          <w:szCs w:val="24"/>
          <w:shd w:val="clear" w:color="auto" w:fill="FFFFFF"/>
        </w:rPr>
        <w:t>a</w:t>
      </w:r>
      <w:r w:rsidR="00BB2414">
        <w:rPr>
          <w:rFonts w:cs="Arial"/>
          <w:color w:val="000000"/>
          <w:szCs w:val="24"/>
          <w:shd w:val="clear" w:color="auto" w:fill="FFFFFF"/>
        </w:rPr>
        <w:t xml:space="preserve"> </w:t>
      </w:r>
      <w:r w:rsidR="0068059B">
        <w:rPr>
          <w:rFonts w:cs="Arial"/>
          <w:color w:val="000000"/>
          <w:szCs w:val="24"/>
          <w:shd w:val="clear" w:color="auto" w:fill="FFFFFF"/>
        </w:rPr>
        <w:t>o majetku ČR</w:t>
      </w:r>
      <w:r w:rsidR="00472976">
        <w:rPr>
          <w:rStyle w:val="Znakapoznpodarou"/>
          <w:rFonts w:cs="Arial"/>
          <w:color w:val="000000"/>
          <w:sz w:val="20"/>
          <w:shd w:val="clear" w:color="auto" w:fill="FFFFFF"/>
        </w:rPr>
        <w:footnoteReference w:id="58"/>
      </w:r>
      <w:r w:rsidR="000D039D" w:rsidRPr="003B3B26">
        <w:rPr>
          <w:rFonts w:cs="Arial"/>
          <w:color w:val="000000"/>
          <w:szCs w:val="24"/>
          <w:shd w:val="clear" w:color="auto" w:fill="FFFFFF"/>
        </w:rPr>
        <w:t xml:space="preserve">. </w:t>
      </w:r>
      <w:r w:rsidR="00E30840">
        <w:rPr>
          <w:rFonts w:cs="Arial"/>
          <w:color w:val="000000"/>
          <w:szCs w:val="24"/>
          <w:shd w:val="clear" w:color="auto" w:fill="FFFFFF"/>
        </w:rPr>
        <w:t>U</w:t>
      </w:r>
      <w:r w:rsidR="00FB7CDA">
        <w:rPr>
          <w:rFonts w:cs="Arial"/>
          <w:color w:val="000000"/>
          <w:szCs w:val="24"/>
          <w:shd w:val="clear" w:color="auto" w:fill="FFFFFF"/>
        </w:rPr>
        <w:t> </w:t>
      </w:r>
      <w:r w:rsidR="00E30840">
        <w:rPr>
          <w:rFonts w:cs="Arial"/>
          <w:color w:val="000000"/>
          <w:szCs w:val="24"/>
          <w:shd w:val="clear" w:color="auto" w:fill="FFFFFF"/>
        </w:rPr>
        <w:t>kontrolovaných programů</w:t>
      </w:r>
      <w:r w:rsidR="008D21C1">
        <w:rPr>
          <w:rFonts w:cs="Arial"/>
          <w:color w:val="000000"/>
          <w:szCs w:val="24"/>
          <w:shd w:val="clear" w:color="auto" w:fill="FFFFFF"/>
        </w:rPr>
        <w:t>, které nejsou financovány</w:t>
      </w:r>
      <w:r w:rsidR="008C045A">
        <w:rPr>
          <w:rFonts w:cs="Arial"/>
          <w:color w:val="000000"/>
          <w:szCs w:val="24"/>
          <w:shd w:val="clear" w:color="auto" w:fill="FFFFFF"/>
        </w:rPr>
        <w:t xml:space="preserve"> </w:t>
      </w:r>
      <w:r w:rsidR="00E30840">
        <w:rPr>
          <w:rFonts w:cs="Arial"/>
          <w:color w:val="000000"/>
          <w:szCs w:val="24"/>
          <w:shd w:val="clear" w:color="auto" w:fill="FFFFFF"/>
        </w:rPr>
        <w:t>z rozpočtu MMR</w:t>
      </w:r>
      <w:r w:rsidR="008D21C1">
        <w:rPr>
          <w:rFonts w:cs="Arial"/>
          <w:color w:val="000000"/>
          <w:szCs w:val="24"/>
          <w:shd w:val="clear" w:color="auto" w:fill="FFFFFF"/>
        </w:rPr>
        <w:t xml:space="preserve">, </w:t>
      </w:r>
      <w:r w:rsidR="00C271C0">
        <w:rPr>
          <w:rFonts w:cs="Arial"/>
          <w:color w:val="000000"/>
          <w:szCs w:val="24"/>
          <w:shd w:val="clear" w:color="auto" w:fill="FFFFFF"/>
        </w:rPr>
        <w:t>nestanovil</w:t>
      </w:r>
      <w:r w:rsidR="00E30840">
        <w:rPr>
          <w:rFonts w:cs="Arial"/>
          <w:color w:val="000000"/>
          <w:szCs w:val="24"/>
          <w:shd w:val="clear" w:color="auto" w:fill="FFFFFF"/>
        </w:rPr>
        <w:t xml:space="preserve"> SFPI konkrétní </w:t>
      </w:r>
      <w:r w:rsidR="0020483B">
        <w:rPr>
          <w:rFonts w:cs="Arial"/>
          <w:color w:val="000000"/>
          <w:szCs w:val="24"/>
          <w:shd w:val="clear" w:color="auto" w:fill="FFFFFF"/>
        </w:rPr>
        <w:t xml:space="preserve">a </w:t>
      </w:r>
      <w:r w:rsidR="00E30840">
        <w:rPr>
          <w:rFonts w:cs="Arial"/>
          <w:color w:val="000000"/>
          <w:szCs w:val="24"/>
          <w:shd w:val="clear" w:color="auto" w:fill="FFFFFF"/>
        </w:rPr>
        <w:t>měřitelné cíle</w:t>
      </w:r>
      <w:r w:rsidR="008D21C1">
        <w:rPr>
          <w:rFonts w:cs="Arial"/>
          <w:color w:val="000000"/>
          <w:szCs w:val="24"/>
          <w:shd w:val="clear" w:color="auto" w:fill="FFFFFF"/>
        </w:rPr>
        <w:t xml:space="preserve">. K jednotlivým programům sleduje pouze data statistické povahy, nevyhodnocuje přínosy poskytnuté podpory a nesleduje obsazenost sociálních bytů, které byly dotačně nebo úvěrově podpořeny. </w:t>
      </w:r>
    </w:p>
    <w:p w14:paraId="56CB4762" w14:textId="30BC9E5B" w:rsidR="002749A8" w:rsidRPr="00CC47FA" w:rsidRDefault="00692876" w:rsidP="001E126B">
      <w:pPr>
        <w:spacing w:after="120"/>
        <w:ind w:left="993" w:hanging="709"/>
        <w:rPr>
          <w:rStyle w:val="normaltextrun"/>
        </w:rPr>
      </w:pPr>
      <w:r>
        <w:rPr>
          <w:rFonts w:cs="Arial"/>
          <w:color w:val="000000"/>
          <w:szCs w:val="24"/>
          <w:shd w:val="clear" w:color="auto" w:fill="FFFFFF"/>
        </w:rPr>
        <w:tab/>
      </w:r>
      <w:r w:rsidR="002749A8" w:rsidRPr="00956223">
        <w:rPr>
          <w:rStyle w:val="normaltextrun"/>
          <w:shd w:val="clear" w:color="auto" w:fill="FFFFFF"/>
        </w:rPr>
        <w:t>NKÚ</w:t>
      </w:r>
      <w:r w:rsidR="002749A8">
        <w:rPr>
          <w:rStyle w:val="normaltextrun"/>
          <w:shd w:val="clear" w:color="auto" w:fill="FFFFFF"/>
        </w:rPr>
        <w:t xml:space="preserve"> </w:t>
      </w:r>
      <w:r w:rsidR="002749A8" w:rsidRPr="00956223">
        <w:rPr>
          <w:rStyle w:val="normaltextrun"/>
          <w:shd w:val="clear" w:color="auto" w:fill="FFFFFF"/>
        </w:rPr>
        <w:t>konstatuje, že</w:t>
      </w:r>
      <w:r w:rsidR="002749A8">
        <w:rPr>
          <w:rStyle w:val="normaltextrun"/>
          <w:shd w:val="clear" w:color="auto" w:fill="FFFFFF"/>
        </w:rPr>
        <w:t xml:space="preserve"> </w:t>
      </w:r>
      <w:r w:rsidR="002749A8" w:rsidRPr="00956223">
        <w:rPr>
          <w:rStyle w:val="normaltextrun"/>
          <w:shd w:val="clear" w:color="auto" w:fill="FFFFFF"/>
        </w:rPr>
        <w:t xml:space="preserve">MMR </w:t>
      </w:r>
      <w:r w:rsidR="002749A8">
        <w:rPr>
          <w:rStyle w:val="normaltextrun"/>
          <w:shd w:val="clear" w:color="auto" w:fill="FFFFFF"/>
        </w:rPr>
        <w:t xml:space="preserve">nemůže postupovat </w:t>
      </w:r>
      <w:r w:rsidR="002749A8" w:rsidRPr="00956223">
        <w:rPr>
          <w:rStyle w:val="normaltextrun"/>
          <w:shd w:val="clear" w:color="auto" w:fill="FFFFFF"/>
        </w:rPr>
        <w:t>podle rozpočtových pravidel</w:t>
      </w:r>
      <w:r w:rsidR="002749A8">
        <w:rPr>
          <w:rStyle w:val="normaltextrun"/>
          <w:shd w:val="clear" w:color="auto" w:fill="FFFFFF"/>
          <w:vertAlign w:val="superscript"/>
        </w:rPr>
        <w:footnoteReference w:id="59"/>
      </w:r>
      <w:r w:rsidR="002749A8">
        <w:rPr>
          <w:rStyle w:val="normaltextrun"/>
          <w:shd w:val="clear" w:color="auto" w:fill="FFFFFF"/>
        </w:rPr>
        <w:t xml:space="preserve"> </w:t>
      </w:r>
      <w:r w:rsidR="002749A8">
        <w:rPr>
          <w:rStyle w:val="normaltextrun"/>
          <w:shd w:val="clear" w:color="auto" w:fill="FFFFFF"/>
        </w:rPr>
        <w:br/>
        <w:t xml:space="preserve">a </w:t>
      </w:r>
      <w:r w:rsidR="002749A8" w:rsidRPr="00956223">
        <w:rPr>
          <w:rStyle w:val="normaltextrun"/>
          <w:shd w:val="clear" w:color="auto" w:fill="FFFFFF"/>
        </w:rPr>
        <w:t>hodnotit</w:t>
      </w:r>
      <w:r w:rsidR="002749A8">
        <w:rPr>
          <w:rStyle w:val="normaltextrun"/>
          <w:shd w:val="clear" w:color="auto" w:fill="FFFFFF"/>
        </w:rPr>
        <w:t xml:space="preserve"> </w:t>
      </w:r>
      <w:r w:rsidR="002749A8" w:rsidRPr="00956223">
        <w:rPr>
          <w:rStyle w:val="normaltextrun"/>
          <w:shd w:val="clear" w:color="auto" w:fill="FFFFFF"/>
        </w:rPr>
        <w:t>účelnost, hospodárnost a efektivnost</w:t>
      </w:r>
      <w:r w:rsidR="002749A8">
        <w:rPr>
          <w:rStyle w:val="normaltextrun"/>
          <w:shd w:val="clear" w:color="auto" w:fill="FFFFFF"/>
        </w:rPr>
        <w:t xml:space="preserve"> použití </w:t>
      </w:r>
      <w:r w:rsidR="002749A8">
        <w:t xml:space="preserve">peněžních prostředků </w:t>
      </w:r>
      <w:r w:rsidR="00AD7C80">
        <w:br/>
      </w:r>
      <w:r w:rsidR="002749A8">
        <w:lastRenderedPageBreak/>
        <w:t xml:space="preserve">u </w:t>
      </w:r>
      <w:r w:rsidR="002749A8" w:rsidRPr="00956223">
        <w:rPr>
          <w:rStyle w:val="normaltextrun"/>
          <w:shd w:val="clear" w:color="auto" w:fill="FFFFFF"/>
        </w:rPr>
        <w:t>těch</w:t>
      </w:r>
      <w:r w:rsidR="002749A8">
        <w:rPr>
          <w:rStyle w:val="normaltextrun"/>
          <w:shd w:val="clear" w:color="auto" w:fill="FFFFFF"/>
        </w:rPr>
        <w:t xml:space="preserve"> p</w:t>
      </w:r>
      <w:r w:rsidR="002749A8" w:rsidRPr="00956223">
        <w:rPr>
          <w:rStyle w:val="normaltextrun"/>
          <w:shd w:val="clear" w:color="auto" w:fill="FFFFFF"/>
        </w:rPr>
        <w:t xml:space="preserve">rogramů </w:t>
      </w:r>
      <w:r w:rsidR="002749A8" w:rsidRPr="00956223">
        <w:t>SFPI</w:t>
      </w:r>
      <w:r w:rsidR="002749A8">
        <w:rPr>
          <w:rStyle w:val="Znakapoznpodarou"/>
        </w:rPr>
        <w:footnoteReference w:id="60"/>
      </w:r>
      <w:r w:rsidR="002749A8" w:rsidRPr="00956223">
        <w:rPr>
          <w:rStyle w:val="normaltextrun"/>
          <w:shd w:val="clear" w:color="auto" w:fill="FFFFFF"/>
        </w:rPr>
        <w:t>, které</w:t>
      </w:r>
      <w:r w:rsidR="002749A8">
        <w:rPr>
          <w:rStyle w:val="normaltextrun"/>
          <w:shd w:val="clear" w:color="auto" w:fill="FFFFFF"/>
        </w:rPr>
        <w:t xml:space="preserve"> nefinancovalo</w:t>
      </w:r>
      <w:r w:rsidR="002749A8" w:rsidRPr="00956223">
        <w:t xml:space="preserve"> ze své rozpočtové kapitoly</w:t>
      </w:r>
      <w:r w:rsidR="002749A8">
        <w:t>.</w:t>
      </w:r>
      <w:r w:rsidR="002749A8" w:rsidRPr="00956223">
        <w:rPr>
          <w:rStyle w:val="normaltextrun"/>
          <w:shd w:val="clear" w:color="auto" w:fill="FFFFFF"/>
        </w:rPr>
        <w:t xml:space="preserve"> U programů financovaných pouze z</w:t>
      </w:r>
      <w:r w:rsidR="00FB7CDA">
        <w:rPr>
          <w:rStyle w:val="normaltextrun"/>
          <w:shd w:val="clear" w:color="auto" w:fill="FFFFFF"/>
        </w:rPr>
        <w:t xml:space="preserve"> </w:t>
      </w:r>
      <w:r w:rsidR="002749A8" w:rsidRPr="00956223">
        <w:rPr>
          <w:rStyle w:val="normaltextrun"/>
          <w:shd w:val="clear" w:color="auto" w:fill="FFFFFF"/>
        </w:rPr>
        <w:t xml:space="preserve">rozpočtu SFPI není MMR oprávněno provádět </w:t>
      </w:r>
      <w:r w:rsidR="002749A8">
        <w:rPr>
          <w:rStyle w:val="normaltextrun"/>
          <w:shd w:val="clear" w:color="auto" w:fill="FFFFFF"/>
        </w:rPr>
        <w:t xml:space="preserve">ani </w:t>
      </w:r>
      <w:r w:rsidR="002749A8" w:rsidRPr="00956223">
        <w:rPr>
          <w:rStyle w:val="normaltextrun"/>
          <w:shd w:val="clear" w:color="auto" w:fill="FFFFFF"/>
        </w:rPr>
        <w:t>veřejnosprávní kontroly těchto programů.</w:t>
      </w:r>
      <w:r w:rsidR="002749A8">
        <w:rPr>
          <w:rStyle w:val="normaltextrun"/>
          <w:shd w:val="clear" w:color="auto" w:fill="FFFFFF"/>
        </w:rPr>
        <w:t xml:space="preserve"> </w:t>
      </w:r>
    </w:p>
    <w:p w14:paraId="4F7E5BEF" w14:textId="6068B86B" w:rsidR="0074333E" w:rsidRDefault="001658D3" w:rsidP="001E126B">
      <w:pPr>
        <w:spacing w:after="120"/>
        <w:ind w:left="993" w:hanging="720"/>
      </w:pPr>
      <w:r>
        <w:rPr>
          <w:rStyle w:val="normaltextrun"/>
          <w:shd w:val="clear" w:color="auto" w:fill="FFFFFF"/>
        </w:rPr>
        <w:tab/>
      </w:r>
      <w:r w:rsidR="000D039D" w:rsidRPr="00956223">
        <w:rPr>
          <w:rStyle w:val="normaltextrun"/>
          <w:shd w:val="clear" w:color="auto" w:fill="FFFFFF"/>
        </w:rPr>
        <w:t xml:space="preserve">MMR nemá směrem k SFPI stanoveny jiné indikátory než </w:t>
      </w:r>
      <w:r w:rsidR="000D039D" w:rsidRPr="00956223">
        <w:rPr>
          <w:rStyle w:val="normaltextrun"/>
        </w:rPr>
        <w:t>objem vynaložených finančních prostředků a počet opravených nebo nově dokončených bytů.</w:t>
      </w:r>
      <w:r w:rsidR="000D039D" w:rsidRPr="00956223">
        <w:rPr>
          <w:rStyle w:val="normaltextrun"/>
          <w:shd w:val="clear" w:color="auto" w:fill="FFFFFF"/>
        </w:rPr>
        <w:t xml:space="preserve"> MMR n</w:t>
      </w:r>
      <w:r w:rsidR="000D039D" w:rsidRPr="00956223">
        <w:t xml:space="preserve">esleduje </w:t>
      </w:r>
      <w:r w:rsidR="009D51C4">
        <w:t xml:space="preserve">u </w:t>
      </w:r>
      <w:r w:rsidR="009D51C4" w:rsidRPr="00956223">
        <w:t xml:space="preserve">programů SFPI </w:t>
      </w:r>
      <w:r w:rsidR="000D039D" w:rsidRPr="00956223">
        <w:t xml:space="preserve">indikátory výsledku (například počet </w:t>
      </w:r>
      <w:r w:rsidR="009D51C4" w:rsidRPr="00956223">
        <w:t xml:space="preserve">bytů </w:t>
      </w:r>
      <w:r w:rsidR="000D039D" w:rsidRPr="00956223">
        <w:t>obsazených cílovou skupinou). Nemá nastaveny a nevyhodnocuje indikátory dopadu, tj. přínosy programů SFPI přesahující okamžité účinky na cílovou skupinu</w:t>
      </w:r>
      <w:r w:rsidR="0074333E">
        <w:t xml:space="preserve"> (</w:t>
      </w:r>
      <w:r w:rsidR="000D039D" w:rsidRPr="00956223">
        <w:t>např</w:t>
      </w:r>
      <w:r w:rsidR="0074333E">
        <w:t>íklad</w:t>
      </w:r>
      <w:r w:rsidR="000D039D" w:rsidRPr="00956223">
        <w:t xml:space="preserve"> zvýšení obecné míry</w:t>
      </w:r>
      <w:r w:rsidR="000D039D">
        <w:t xml:space="preserve"> </w:t>
      </w:r>
      <w:r w:rsidR="000D039D" w:rsidRPr="00956223">
        <w:t>dostupnosti</w:t>
      </w:r>
      <w:r w:rsidR="000D039D">
        <w:t xml:space="preserve"> </w:t>
      </w:r>
      <w:r w:rsidR="000D039D" w:rsidRPr="00956223">
        <w:t>bydlení</w:t>
      </w:r>
      <w:r w:rsidR="000D039D">
        <w:t xml:space="preserve"> </w:t>
      </w:r>
      <w:r w:rsidR="009D51C4">
        <w:t xml:space="preserve">pro </w:t>
      </w:r>
      <w:r w:rsidR="000D039D" w:rsidRPr="00956223">
        <w:t>cílovou</w:t>
      </w:r>
      <w:r w:rsidR="000D039D">
        <w:t xml:space="preserve"> </w:t>
      </w:r>
      <w:r w:rsidR="000D039D" w:rsidRPr="00956223">
        <w:t>skupinu</w:t>
      </w:r>
      <w:r w:rsidR="0074333E">
        <w:t>)</w:t>
      </w:r>
      <w:r w:rsidR="000D039D">
        <w:t xml:space="preserve">. </w:t>
      </w:r>
    </w:p>
    <w:p w14:paraId="4D2CA3AA" w14:textId="2C77BD69" w:rsidR="006F5685" w:rsidRPr="006F5685" w:rsidRDefault="00455CD6" w:rsidP="001108C2">
      <w:pPr>
        <w:spacing w:before="240"/>
      </w:pPr>
      <w:r>
        <w:rPr>
          <w:b/>
        </w:rPr>
        <w:t>3.</w:t>
      </w:r>
      <w:r w:rsidR="00DF41F4" w:rsidRPr="00956223">
        <w:rPr>
          <w:b/>
        </w:rPr>
        <w:t xml:space="preserve"> </w:t>
      </w:r>
      <w:r w:rsidRPr="00956223">
        <w:rPr>
          <w:b/>
        </w:rPr>
        <w:t>Nastavování podmínek podpory</w:t>
      </w:r>
    </w:p>
    <w:p w14:paraId="448F7E15" w14:textId="211F5875" w:rsidR="00A028D5" w:rsidRPr="00FF2315" w:rsidRDefault="004C17E1" w:rsidP="00AF6629">
      <w:pPr>
        <w:pStyle w:val="KP-normlnbezodsazen"/>
        <w:numPr>
          <w:ilvl w:val="1"/>
          <w:numId w:val="32"/>
        </w:numPr>
        <w:spacing w:after="120"/>
        <w:ind w:left="993" w:hanging="567"/>
        <w:rPr>
          <w:b/>
        </w:rPr>
      </w:pPr>
      <w:r w:rsidRPr="006F5685">
        <w:t>MMR analyzovalo potřeby příjemců podpory pouze v omezeném rozsahu, neprovádělo výkon veřejné správy z tohoto hlediska účelně dle zákona o finanční kontrole</w:t>
      </w:r>
      <w:r w:rsidRPr="004C17E1">
        <w:rPr>
          <w:vertAlign w:val="superscript"/>
        </w:rPr>
        <w:footnoteReference w:id="61"/>
      </w:r>
      <w:r w:rsidRPr="006F5685">
        <w:t>. V době schvalování kontrolovaných programů nestanovilo postupy pro hodnocení potřeb potenciálních příjemců a nestanovilo</w:t>
      </w:r>
      <w:r w:rsidR="009D51C4">
        <w:t xml:space="preserve"> ani</w:t>
      </w:r>
      <w:r w:rsidRPr="006F5685">
        <w:t xml:space="preserve"> kritéria pro účelný výkon veřejné správy podle téhož zákona</w:t>
      </w:r>
      <w:r w:rsidRPr="004C17E1">
        <w:rPr>
          <w:vertAlign w:val="superscript"/>
        </w:rPr>
        <w:footnoteReference w:id="62"/>
      </w:r>
      <w:r w:rsidRPr="006F5685">
        <w:t>. Definování cílových skupin a určení jejich velikosti se neopíralo o</w:t>
      </w:r>
      <w:r w:rsidR="009D51C4">
        <w:t xml:space="preserve"> </w:t>
      </w:r>
      <w:r w:rsidRPr="006F5685">
        <w:t>prověřená data z důvodu neexistence funkční datové základny</w:t>
      </w:r>
      <w:r w:rsidRPr="004C17E1">
        <w:rPr>
          <w:vertAlign w:val="superscript"/>
        </w:rPr>
        <w:footnoteReference w:id="63"/>
      </w:r>
      <w:r w:rsidRPr="006F5685">
        <w:t>.</w:t>
      </w:r>
    </w:p>
    <w:p w14:paraId="4FE4D6DA" w14:textId="77777777" w:rsidR="00CD5905" w:rsidRDefault="00455CD6" w:rsidP="00AF6629">
      <w:pPr>
        <w:pStyle w:val="KP-normlntext"/>
        <w:ind w:left="993" w:hanging="567"/>
      </w:pPr>
      <w:r w:rsidRPr="00D967B0">
        <w:t>3.2</w:t>
      </w:r>
      <w:bookmarkStart w:id="7" w:name="_Hlk145945571"/>
      <w:r w:rsidR="00956223">
        <w:tab/>
      </w:r>
      <w:r>
        <w:t xml:space="preserve">NKÚ </w:t>
      </w:r>
      <w:r w:rsidR="0068059B">
        <w:t xml:space="preserve">zjistil, že MMR nastavilo některé podmínky pro poskytnutí a použití podpory </w:t>
      </w:r>
      <w:r>
        <w:t>nejednoznačn</w:t>
      </w:r>
      <w:r w:rsidR="0068059B">
        <w:t>ě. Např.</w:t>
      </w:r>
      <w:r w:rsidR="00DB6A0D">
        <w:t>:</w:t>
      </w:r>
    </w:p>
    <w:bookmarkEnd w:id="7"/>
    <w:p w14:paraId="19134044" w14:textId="6F75C867" w:rsidR="001F73DB" w:rsidRDefault="00455CD6" w:rsidP="001E126B">
      <w:pPr>
        <w:pStyle w:val="KP-normlntext"/>
        <w:numPr>
          <w:ilvl w:val="0"/>
          <w:numId w:val="34"/>
        </w:numPr>
      </w:pPr>
      <w:r w:rsidRPr="00FA263C">
        <w:t xml:space="preserve">V dokumentaci programu </w:t>
      </w:r>
      <w:r w:rsidRPr="00FA263C">
        <w:rPr>
          <w:i/>
        </w:rPr>
        <w:t>Podpora bydlení v</w:t>
      </w:r>
      <w:r w:rsidR="009D51C4">
        <w:rPr>
          <w:i/>
        </w:rPr>
        <w:t xml:space="preserve"> </w:t>
      </w:r>
      <w:r w:rsidRPr="00FA263C">
        <w:rPr>
          <w:i/>
        </w:rPr>
        <w:t xml:space="preserve">oblastech se </w:t>
      </w:r>
      <w:r w:rsidR="00726222">
        <w:rPr>
          <w:i/>
        </w:rPr>
        <w:t>SPZ</w:t>
      </w:r>
      <w:r w:rsidRPr="00FA263C">
        <w:rPr>
          <w:i/>
        </w:rPr>
        <w:t xml:space="preserve"> </w:t>
      </w:r>
      <w:r w:rsidRPr="00FA263C">
        <w:t>uvádí</w:t>
      </w:r>
      <w:r w:rsidR="00726222">
        <w:t xml:space="preserve"> MMR</w:t>
      </w:r>
      <w:r w:rsidRPr="00FA263C">
        <w:t xml:space="preserve"> indikátor </w:t>
      </w:r>
      <w:r w:rsidR="009D51C4">
        <w:t>„</w:t>
      </w:r>
      <w:r w:rsidR="009D51C4">
        <w:rPr>
          <w:i/>
        </w:rPr>
        <w:t>p</w:t>
      </w:r>
      <w:r w:rsidRPr="00FA263C">
        <w:rPr>
          <w:i/>
        </w:rPr>
        <w:t>řírůstek obyvatel s</w:t>
      </w:r>
      <w:r w:rsidR="009D51C4">
        <w:rPr>
          <w:i/>
        </w:rPr>
        <w:t xml:space="preserve"> </w:t>
      </w:r>
      <w:r w:rsidRPr="00FA263C">
        <w:rPr>
          <w:i/>
        </w:rPr>
        <w:t>trvalým bydlištěm</w:t>
      </w:r>
      <w:r w:rsidR="009D51C4">
        <w:t>“</w:t>
      </w:r>
      <w:r w:rsidRPr="00FA263C">
        <w:t>, který má zohledňovat přírůstek obyvatel v bytech postavených</w:t>
      </w:r>
      <w:r w:rsidR="009D51C4">
        <w:t xml:space="preserve"> s využitím</w:t>
      </w:r>
      <w:r w:rsidRPr="00FA263C">
        <w:t xml:space="preserve"> dotace</w:t>
      </w:r>
      <w:r w:rsidR="009D51C4">
        <w:t xml:space="preserve"> z</w:t>
      </w:r>
      <w:r w:rsidRPr="00FA263C">
        <w:t xml:space="preserve"> tohoto programu. </w:t>
      </w:r>
      <w:r w:rsidR="007B626B">
        <w:br/>
      </w:r>
      <w:r w:rsidRPr="00FA263C">
        <w:t>V</w:t>
      </w:r>
      <w:r w:rsidR="007B626B">
        <w:t xml:space="preserve"> </w:t>
      </w:r>
      <w:r w:rsidRPr="00FA263C">
        <w:t xml:space="preserve">dokumentech určených pro příjemce </w:t>
      </w:r>
      <w:r w:rsidR="009D51C4">
        <w:t>však</w:t>
      </w:r>
      <w:r w:rsidRPr="00FA263C">
        <w:t xml:space="preserve"> </w:t>
      </w:r>
      <w:r w:rsidR="009D51C4" w:rsidRPr="00FA263C">
        <w:t xml:space="preserve">není uvedena </w:t>
      </w:r>
      <w:r w:rsidRPr="00FA263C">
        <w:t xml:space="preserve">informace </w:t>
      </w:r>
      <w:r w:rsidR="007B626B">
        <w:br/>
      </w:r>
      <w:r w:rsidRPr="00FA263C">
        <w:t>o</w:t>
      </w:r>
      <w:r w:rsidR="007B626B">
        <w:t xml:space="preserve"> </w:t>
      </w:r>
      <w:r w:rsidRPr="00FA263C">
        <w:t xml:space="preserve">významu indikátoru. Podle sdělení MMR dodržení indikátoru není nijak sledováno a nedodržení hodnot není </w:t>
      </w:r>
      <w:r w:rsidR="000F24FA" w:rsidRPr="00FA263C">
        <w:t xml:space="preserve">ze strany MMR </w:t>
      </w:r>
      <w:r w:rsidRPr="00FA263C">
        <w:t>sankcionováno</w:t>
      </w:r>
      <w:r w:rsidR="0001172A">
        <w:t>.</w:t>
      </w:r>
      <w:r w:rsidRPr="00FA263C">
        <w:t xml:space="preserve"> </w:t>
      </w:r>
      <w:r w:rsidR="0001172A">
        <w:t>T</w:t>
      </w:r>
      <w:r w:rsidRPr="00FA263C">
        <w:t xml:space="preserve">ento indikátor je </w:t>
      </w:r>
      <w:r w:rsidR="0001172A">
        <w:t xml:space="preserve">však </w:t>
      </w:r>
      <w:r w:rsidRPr="00FA263C">
        <w:t>uveden v</w:t>
      </w:r>
      <w:r w:rsidR="009D51C4">
        <w:t xml:space="preserve"> </w:t>
      </w:r>
      <w:proofErr w:type="spellStart"/>
      <w:r w:rsidRPr="00FA263C">
        <w:t>Ro</w:t>
      </w:r>
      <w:r w:rsidR="00BE5060" w:rsidRPr="00FA263C">
        <w:t>PD</w:t>
      </w:r>
      <w:proofErr w:type="spellEnd"/>
      <w:r w:rsidRPr="00FA263C">
        <w:t xml:space="preserve"> jako závazný a jeho nedodržením příjemce porušuje podmínky poskytnutí dotace.</w:t>
      </w:r>
      <w:r w:rsidR="00980883" w:rsidRPr="00FA263C">
        <w:t xml:space="preserve"> </w:t>
      </w:r>
    </w:p>
    <w:p w14:paraId="129526BB" w14:textId="5E037AE9" w:rsidR="008A530B" w:rsidRPr="008A530B" w:rsidRDefault="008A530B" w:rsidP="00E83EF1">
      <w:pPr>
        <w:pStyle w:val="KP-normlntext"/>
        <w:numPr>
          <w:ilvl w:val="0"/>
          <w:numId w:val="34"/>
        </w:numPr>
        <w:ind w:left="1434" w:hanging="357"/>
      </w:pPr>
      <w:r w:rsidRPr="008A530B">
        <w:t>MMR nemělo u</w:t>
      </w:r>
      <w:r w:rsidR="009D51C4">
        <w:t xml:space="preserve"> </w:t>
      </w:r>
      <w:r w:rsidRPr="008A530B">
        <w:t xml:space="preserve">podprogramu </w:t>
      </w:r>
      <w:r w:rsidRPr="008A530B">
        <w:rPr>
          <w:i/>
        </w:rPr>
        <w:t>Výstavba bytů v</w:t>
      </w:r>
      <w:r w:rsidR="009D51C4">
        <w:rPr>
          <w:i/>
        </w:rPr>
        <w:t xml:space="preserve"> </w:t>
      </w:r>
      <w:r w:rsidRPr="008A530B">
        <w:rPr>
          <w:i/>
        </w:rPr>
        <w:t xml:space="preserve">oblastech se SPZ </w:t>
      </w:r>
      <w:r w:rsidRPr="008A530B">
        <w:t>jednotný</w:t>
      </w:r>
      <w:r w:rsidR="001108C2">
        <w:t xml:space="preserve"> </w:t>
      </w:r>
      <w:r w:rsidRPr="008A530B">
        <w:t>a</w:t>
      </w:r>
      <w:r w:rsidR="009D51C4">
        <w:rPr>
          <w:i/>
        </w:rPr>
        <w:t> </w:t>
      </w:r>
      <w:r w:rsidRPr="008A530B">
        <w:t>srozumitelný výklad podmínek podprogramu, zejména uplatnění podmínky pro povinnost připravit jeden byt jako upravitelný (bezbariérový)</w:t>
      </w:r>
      <w:r w:rsidRPr="008A530B">
        <w:rPr>
          <w:rStyle w:val="Znakapoznpodarou"/>
        </w:rPr>
        <w:footnoteReference w:id="64"/>
      </w:r>
      <w:r w:rsidRPr="008A530B">
        <w:t>. NKÚ zjistil, že jednomu příjemci byla poskytnuta dotace na čtyři byty, z nichž ani jeden nebyl upravitelný</w:t>
      </w:r>
      <w:r w:rsidRPr="008A530B">
        <w:rPr>
          <w:rStyle w:val="Znakapoznpodarou"/>
        </w:rPr>
        <w:footnoteReference w:id="65"/>
      </w:r>
      <w:r w:rsidRPr="008A530B">
        <w:t xml:space="preserve">. Příjemce v rámci podání žádosti nenabyl jistoty, zda pro </w:t>
      </w:r>
      <w:r w:rsidRPr="008A530B">
        <w:lastRenderedPageBreak/>
        <w:t>získání podpory musí postavit pět bytů (</w:t>
      </w:r>
      <w:r w:rsidR="000D78A9">
        <w:t>z toho</w:t>
      </w:r>
      <w:r w:rsidRPr="008A530B">
        <w:t xml:space="preserve"> jeden upravitelný)</w:t>
      </w:r>
      <w:r w:rsidR="000D78A9">
        <w:t>,</w:t>
      </w:r>
      <w:r w:rsidRPr="008A530B">
        <w:t xml:space="preserve"> nebo zda</w:t>
      </w:r>
      <w:r w:rsidR="000D78A9">
        <w:t xml:space="preserve"> se</w:t>
      </w:r>
      <w:r w:rsidRPr="008A530B">
        <w:t xml:space="preserve"> podmínka povinnosti připravit jeden byt jako upravitelný vztahuje až na pátý </w:t>
      </w:r>
      <w:r w:rsidR="000D78A9">
        <w:t>byt</w:t>
      </w:r>
      <w:r w:rsidRPr="008A530B">
        <w:t xml:space="preserve">. Z tohoto důvodu předložil </w:t>
      </w:r>
      <w:r w:rsidR="000D78A9">
        <w:t xml:space="preserve">žadatel </w:t>
      </w:r>
      <w:r w:rsidRPr="008A530B">
        <w:t xml:space="preserve">projektovou dokumentaci k výstavbě pátého bytu, který by upravitelný byl. MMR tuto změnu nepožadovalo a vydalo </w:t>
      </w:r>
      <w:proofErr w:type="spellStart"/>
      <w:r w:rsidRPr="008A530B">
        <w:t>RoPD</w:t>
      </w:r>
      <w:proofErr w:type="spellEnd"/>
      <w:r w:rsidRPr="008A530B">
        <w:t xml:space="preserve"> na čtyři byty. V</w:t>
      </w:r>
      <w:r w:rsidR="000D78A9">
        <w:t xml:space="preserve"> </w:t>
      </w:r>
      <w:r w:rsidRPr="008A530B">
        <w:t xml:space="preserve">průběhu kontrolní akce </w:t>
      </w:r>
      <w:r w:rsidR="000D78A9" w:rsidRPr="008A530B">
        <w:t xml:space="preserve">podalo </w:t>
      </w:r>
      <w:r w:rsidRPr="008A530B">
        <w:t>MMR</w:t>
      </w:r>
      <w:r w:rsidR="000D78A9">
        <w:t xml:space="preserve"> Nejvyššímu kontrolnímu úřadu</w:t>
      </w:r>
      <w:r w:rsidRPr="008A530B">
        <w:t xml:space="preserve"> vysvětlení, že i v případě pořízení pouze čtyř bytů měl být jeden byt upravitelný. Podporu tak MMR nemělo poskytnout pro nesplnění podmínek podprogramu </w:t>
      </w:r>
      <w:r w:rsidRPr="008A530B">
        <w:rPr>
          <w:i/>
        </w:rPr>
        <w:t>Výstavba bytů v oblast</w:t>
      </w:r>
      <w:r w:rsidR="009D51C4">
        <w:rPr>
          <w:i/>
        </w:rPr>
        <w:t>ech</w:t>
      </w:r>
      <w:r w:rsidRPr="008A530B">
        <w:rPr>
          <w:i/>
        </w:rPr>
        <w:t xml:space="preserve"> se SPZ</w:t>
      </w:r>
      <w:r w:rsidRPr="008A530B">
        <w:t>.</w:t>
      </w:r>
    </w:p>
    <w:p w14:paraId="7EFB85FB" w14:textId="586F918D" w:rsidR="00706ED2" w:rsidRPr="002F52C9" w:rsidRDefault="00455CD6" w:rsidP="00AF6629">
      <w:pPr>
        <w:spacing w:after="120"/>
        <w:ind w:left="993" w:hanging="567"/>
        <w:rPr>
          <w:rFonts w:cstheme="minorHAnsi"/>
          <w:szCs w:val="24"/>
          <w:lang w:eastAsia="en-US"/>
        </w:rPr>
      </w:pPr>
      <w:r w:rsidRPr="00FF2315">
        <w:t>3.3</w:t>
      </w:r>
      <w:r w:rsidR="002F52C9">
        <w:tab/>
      </w:r>
      <w:r w:rsidR="000D78A9">
        <w:t>MMR u programů, které samo spravuje,</w:t>
      </w:r>
      <w:r w:rsidR="000E5ADE" w:rsidRPr="002F52C9">
        <w:rPr>
          <w:rFonts w:cstheme="minorHAnsi"/>
          <w:szCs w:val="24"/>
          <w:lang w:eastAsia="en-US"/>
        </w:rPr>
        <w:t xml:space="preserve"> </w:t>
      </w:r>
      <w:r w:rsidR="00E31F01" w:rsidRPr="002F52C9">
        <w:rPr>
          <w:rFonts w:cstheme="minorHAnsi"/>
          <w:szCs w:val="24"/>
          <w:lang w:eastAsia="en-US"/>
        </w:rPr>
        <w:t>provedlo analýzu</w:t>
      </w:r>
      <w:r w:rsidR="000E5ADE" w:rsidRPr="002F52C9">
        <w:rPr>
          <w:rFonts w:cstheme="minorHAnsi"/>
          <w:szCs w:val="24"/>
          <w:lang w:eastAsia="en-US"/>
        </w:rPr>
        <w:t xml:space="preserve"> potřeb potenciálních příjemců podpory</w:t>
      </w:r>
      <w:r w:rsidR="00E31F01" w:rsidRPr="002F52C9">
        <w:rPr>
          <w:rFonts w:cstheme="minorHAnsi"/>
          <w:szCs w:val="24"/>
          <w:lang w:eastAsia="en-US"/>
        </w:rPr>
        <w:t xml:space="preserve"> </w:t>
      </w:r>
      <w:r w:rsidR="000E5ADE" w:rsidRPr="002F52C9">
        <w:rPr>
          <w:rFonts w:cstheme="minorHAnsi"/>
          <w:szCs w:val="24"/>
          <w:lang w:eastAsia="en-US"/>
        </w:rPr>
        <w:t xml:space="preserve">pouze v omezeném rozsahu. </w:t>
      </w:r>
      <w:r w:rsidR="00D93CF1" w:rsidRPr="002F52C9">
        <w:rPr>
          <w:rFonts w:cstheme="minorHAnsi"/>
          <w:szCs w:val="24"/>
          <w:lang w:eastAsia="en-US"/>
        </w:rPr>
        <w:t>P</w:t>
      </w:r>
      <w:r w:rsidR="00B7641E" w:rsidRPr="002F52C9">
        <w:rPr>
          <w:rFonts w:cstheme="minorHAnsi"/>
          <w:szCs w:val="24"/>
          <w:lang w:eastAsia="en-US"/>
        </w:rPr>
        <w:t xml:space="preserve">ři stanovení podmínek programu </w:t>
      </w:r>
      <w:r w:rsidR="00B7641E" w:rsidRPr="002F52C9">
        <w:rPr>
          <w:rFonts w:cstheme="minorHAnsi"/>
          <w:i/>
          <w:szCs w:val="24"/>
          <w:lang w:eastAsia="en-US"/>
        </w:rPr>
        <w:t xml:space="preserve">Podpora bydlení </w:t>
      </w:r>
      <w:r w:rsidR="00B7641E" w:rsidRPr="002F52C9">
        <w:rPr>
          <w:rFonts w:cstheme="minorHAnsi"/>
          <w:szCs w:val="24"/>
          <w:lang w:eastAsia="en-US"/>
        </w:rPr>
        <w:t xml:space="preserve">na období 2016–2023 vycházelo z předchozího programu </w:t>
      </w:r>
      <w:r w:rsidR="00B7641E" w:rsidRPr="002F52C9">
        <w:rPr>
          <w:rFonts w:cstheme="minorHAnsi"/>
          <w:i/>
          <w:szCs w:val="24"/>
          <w:lang w:eastAsia="en-US"/>
        </w:rPr>
        <w:t>Podpora rozvoje bydlení</w:t>
      </w:r>
      <w:r w:rsidR="000D78A9">
        <w:rPr>
          <w:rFonts w:cstheme="minorHAnsi"/>
          <w:szCs w:val="24"/>
          <w:lang w:eastAsia="en-US"/>
        </w:rPr>
        <w:t>,</w:t>
      </w:r>
      <w:r w:rsidR="00B7641E" w:rsidRPr="002F52C9">
        <w:rPr>
          <w:rFonts w:cstheme="minorHAnsi"/>
          <w:szCs w:val="24"/>
          <w:lang w:eastAsia="en-US"/>
        </w:rPr>
        <w:t xml:space="preserve"> </w:t>
      </w:r>
      <w:r w:rsidR="002633E8" w:rsidRPr="002F52C9">
        <w:rPr>
          <w:rFonts w:cstheme="minorHAnsi"/>
          <w:szCs w:val="24"/>
          <w:lang w:eastAsia="en-US"/>
        </w:rPr>
        <w:t>a</w:t>
      </w:r>
      <w:r w:rsidR="000D78A9">
        <w:rPr>
          <w:rFonts w:cstheme="minorHAnsi"/>
          <w:szCs w:val="24"/>
          <w:lang w:eastAsia="en-US"/>
        </w:rPr>
        <w:t>však</w:t>
      </w:r>
      <w:r w:rsidR="002633E8" w:rsidRPr="002F52C9">
        <w:rPr>
          <w:rFonts w:cstheme="minorHAnsi"/>
          <w:szCs w:val="24"/>
          <w:lang w:eastAsia="en-US"/>
        </w:rPr>
        <w:t xml:space="preserve"> </w:t>
      </w:r>
      <w:r w:rsidR="00B7641E" w:rsidRPr="002F52C9">
        <w:rPr>
          <w:rFonts w:cstheme="minorHAnsi"/>
          <w:szCs w:val="24"/>
          <w:lang w:eastAsia="en-US"/>
        </w:rPr>
        <w:t>nemělo k dispozici analýzy, ze</w:t>
      </w:r>
      <w:r w:rsidR="000D78A9">
        <w:rPr>
          <w:rFonts w:cstheme="minorHAnsi"/>
          <w:szCs w:val="24"/>
          <w:lang w:eastAsia="en-US"/>
        </w:rPr>
        <w:t xml:space="preserve"> </w:t>
      </w:r>
      <w:r w:rsidR="00B7641E" w:rsidRPr="002F52C9">
        <w:rPr>
          <w:rFonts w:cstheme="minorHAnsi"/>
          <w:szCs w:val="24"/>
          <w:lang w:eastAsia="en-US"/>
        </w:rPr>
        <w:t>kterých by vyplynuly důvody pro zachování podmínek pro cílové skupiny</w:t>
      </w:r>
      <w:r w:rsidR="00D93CF1" w:rsidRPr="002F52C9">
        <w:rPr>
          <w:rFonts w:cstheme="minorHAnsi"/>
          <w:szCs w:val="24"/>
          <w:lang w:eastAsia="en-US"/>
        </w:rPr>
        <w:t xml:space="preserve">. Při přípravě programů </w:t>
      </w:r>
      <w:r w:rsidR="000D78A9" w:rsidRPr="002F52C9">
        <w:rPr>
          <w:rFonts w:cstheme="minorHAnsi"/>
          <w:szCs w:val="24"/>
          <w:lang w:eastAsia="en-US"/>
        </w:rPr>
        <w:t xml:space="preserve">neprovedlo </w:t>
      </w:r>
      <w:r w:rsidR="00D93CF1" w:rsidRPr="002F52C9">
        <w:rPr>
          <w:rFonts w:cstheme="minorHAnsi"/>
          <w:szCs w:val="24"/>
          <w:lang w:eastAsia="en-US"/>
        </w:rPr>
        <w:t>u tří ze sedmi kontrolovaných podprogramů analýzu potřeb příjemců</w:t>
      </w:r>
      <w:r w:rsidR="002633E8" w:rsidRPr="002F52C9">
        <w:rPr>
          <w:rFonts w:cstheme="minorHAnsi"/>
          <w:szCs w:val="24"/>
          <w:lang w:eastAsia="en-US"/>
        </w:rPr>
        <w:t xml:space="preserve"> vůbec.</w:t>
      </w:r>
      <w:r w:rsidR="00D93CF1" w:rsidRPr="002F52C9">
        <w:rPr>
          <w:rFonts w:cstheme="minorHAnsi"/>
          <w:szCs w:val="24"/>
          <w:lang w:eastAsia="en-US"/>
        </w:rPr>
        <w:t xml:space="preserve"> </w:t>
      </w:r>
      <w:r w:rsidR="0068059B">
        <w:rPr>
          <w:rFonts w:cstheme="minorHAnsi"/>
          <w:szCs w:val="24"/>
          <w:lang w:eastAsia="en-US"/>
        </w:rPr>
        <w:t xml:space="preserve">MMR </w:t>
      </w:r>
      <w:r w:rsidRPr="002F52C9">
        <w:rPr>
          <w:rFonts w:cstheme="minorHAnsi"/>
          <w:szCs w:val="24"/>
          <w:lang w:eastAsia="en-US"/>
        </w:rPr>
        <w:t>stanovilo povinnost hodnotit schvalované programy z hlediska potřeb potenciálních příjemců až v roce 2018.</w:t>
      </w:r>
      <w:r w:rsidR="00CE284D" w:rsidRPr="002F52C9">
        <w:rPr>
          <w:rFonts w:cstheme="minorHAnsi"/>
          <w:szCs w:val="24"/>
          <w:lang w:eastAsia="en-US"/>
        </w:rPr>
        <w:t xml:space="preserve"> </w:t>
      </w:r>
    </w:p>
    <w:p w14:paraId="124FFB47" w14:textId="15BED6F5" w:rsidR="00396BA9" w:rsidRPr="002F52C9" w:rsidRDefault="00455CD6" w:rsidP="00AF6629">
      <w:pPr>
        <w:pStyle w:val="KP-normlntext"/>
        <w:ind w:left="993"/>
      </w:pPr>
      <w:r w:rsidRPr="002F52C9">
        <w:t>U</w:t>
      </w:r>
      <w:r w:rsidR="005137FD" w:rsidRPr="002F52C9">
        <w:t xml:space="preserve"> programů</w:t>
      </w:r>
      <w:r w:rsidR="00E31F01" w:rsidRPr="002F52C9">
        <w:t xml:space="preserve"> spravovaných </w:t>
      </w:r>
      <w:r w:rsidR="00CE284D" w:rsidRPr="002F52C9">
        <w:t>SFPI</w:t>
      </w:r>
      <w:r w:rsidR="00E31F01" w:rsidRPr="002F52C9">
        <w:t xml:space="preserve"> </w:t>
      </w:r>
      <w:r w:rsidR="00E31F01" w:rsidRPr="00FA263C">
        <w:t>(</w:t>
      </w:r>
      <w:r w:rsidR="005137FD" w:rsidRPr="00FA263C">
        <w:rPr>
          <w:i/>
        </w:rPr>
        <w:t>Výstavba pro obce</w:t>
      </w:r>
      <w:r w:rsidR="005137FD" w:rsidRPr="00AD4A7D">
        <w:t>,</w:t>
      </w:r>
      <w:r w:rsidR="005137FD" w:rsidRPr="00FA263C">
        <w:rPr>
          <w:i/>
        </w:rPr>
        <w:t xml:space="preserve"> Nájemní byty</w:t>
      </w:r>
      <w:r w:rsidR="005137FD" w:rsidRPr="00AD4A7D">
        <w:t>,</w:t>
      </w:r>
      <w:r w:rsidR="005137FD" w:rsidRPr="00FA263C">
        <w:rPr>
          <w:i/>
        </w:rPr>
        <w:t xml:space="preserve"> Regenerace sídlišť</w:t>
      </w:r>
      <w:r w:rsidR="0043761D" w:rsidRPr="00FA263C">
        <w:rPr>
          <w:i/>
        </w:rPr>
        <w:t xml:space="preserve"> </w:t>
      </w:r>
      <w:r w:rsidR="005137FD" w:rsidRPr="00FA263C">
        <w:t>a</w:t>
      </w:r>
      <w:r w:rsidR="005137FD" w:rsidRPr="00FA263C">
        <w:rPr>
          <w:i/>
        </w:rPr>
        <w:t xml:space="preserve"> Panel 2013+</w:t>
      </w:r>
      <w:r w:rsidR="00E31F01" w:rsidRPr="00AD4A7D">
        <w:t>)</w:t>
      </w:r>
      <w:r w:rsidR="0078177D">
        <w:rPr>
          <w:i/>
        </w:rPr>
        <w:t xml:space="preserve"> </w:t>
      </w:r>
      <w:r w:rsidR="0078177D">
        <w:t xml:space="preserve">nastavilo </w:t>
      </w:r>
      <w:r w:rsidR="000D78A9" w:rsidRPr="0078177D">
        <w:t>MMR</w:t>
      </w:r>
      <w:r w:rsidR="000D78A9">
        <w:t xml:space="preserve"> </w:t>
      </w:r>
      <w:r w:rsidR="002633E8" w:rsidRPr="00FA263C">
        <w:t>podmínky podpor</w:t>
      </w:r>
      <w:r w:rsidR="0078177D">
        <w:t xml:space="preserve">, jejichž parametry byly </w:t>
      </w:r>
      <w:r w:rsidR="002633E8" w:rsidRPr="00FA263C">
        <w:t>stanoveny v</w:t>
      </w:r>
      <w:r w:rsidR="00E31F01" w:rsidRPr="00FA263C">
        <w:t xml:space="preserve"> příslušných </w:t>
      </w:r>
      <w:r w:rsidR="002F52C9" w:rsidRPr="00FA263C">
        <w:t>nařízeních vlády</w:t>
      </w:r>
      <w:r w:rsidR="00E31F01" w:rsidRPr="002F52C9">
        <w:t>.</w:t>
      </w:r>
      <w:r w:rsidR="002633E8" w:rsidRPr="002F52C9">
        <w:t xml:space="preserve"> </w:t>
      </w:r>
      <w:r w:rsidR="003E3DCF">
        <w:t>MMR zpracovalo an</w:t>
      </w:r>
      <w:r w:rsidRPr="002F52C9">
        <w:t>alýz</w:t>
      </w:r>
      <w:r w:rsidR="003E3DCF">
        <w:t>u</w:t>
      </w:r>
      <w:r w:rsidRPr="002F52C9">
        <w:t xml:space="preserve"> potřebnosti</w:t>
      </w:r>
      <w:r w:rsidR="003E3DCF">
        <w:t xml:space="preserve">, která </w:t>
      </w:r>
      <w:r w:rsidR="002633E8" w:rsidRPr="002F52C9">
        <w:t xml:space="preserve">byla </w:t>
      </w:r>
      <w:r w:rsidR="00E31F01" w:rsidRPr="002F52C9">
        <w:t xml:space="preserve">povinnou </w:t>
      </w:r>
      <w:r w:rsidR="005137FD" w:rsidRPr="002F52C9">
        <w:t xml:space="preserve">součástí </w:t>
      </w:r>
      <w:r w:rsidR="000D78A9">
        <w:t>„</w:t>
      </w:r>
      <w:r w:rsidR="000D78A9" w:rsidRPr="00AD4A7D">
        <w:rPr>
          <w:i/>
        </w:rPr>
        <w:t>z</w:t>
      </w:r>
      <w:r w:rsidR="005137FD" w:rsidRPr="00AD4A7D">
        <w:rPr>
          <w:i/>
        </w:rPr>
        <w:t>ávěrečn</w:t>
      </w:r>
      <w:r w:rsidR="000D78A9" w:rsidRPr="00AD4A7D">
        <w:rPr>
          <w:i/>
        </w:rPr>
        <w:t>é</w:t>
      </w:r>
      <w:r w:rsidR="005137FD" w:rsidRPr="00AD4A7D">
        <w:rPr>
          <w:i/>
        </w:rPr>
        <w:t xml:space="preserve"> zpráv</w:t>
      </w:r>
      <w:r w:rsidR="000D78A9" w:rsidRPr="00AD4A7D">
        <w:rPr>
          <w:i/>
        </w:rPr>
        <w:t>y</w:t>
      </w:r>
      <w:r w:rsidR="005137FD" w:rsidRPr="00AD4A7D">
        <w:rPr>
          <w:i/>
        </w:rPr>
        <w:t xml:space="preserve"> </w:t>
      </w:r>
      <w:r w:rsidR="000D78A9" w:rsidRPr="00AD4A7D">
        <w:rPr>
          <w:i/>
        </w:rPr>
        <w:t xml:space="preserve">z </w:t>
      </w:r>
      <w:r w:rsidR="005137FD" w:rsidRPr="00AD4A7D">
        <w:rPr>
          <w:i/>
        </w:rPr>
        <w:t>hodnocení dopadů regulace</w:t>
      </w:r>
      <w:r w:rsidR="000D78A9">
        <w:t>“</w:t>
      </w:r>
      <w:r w:rsidR="005137FD" w:rsidRPr="002F52C9">
        <w:t xml:space="preserve"> </w:t>
      </w:r>
      <w:r w:rsidR="0038384E">
        <w:br/>
      </w:r>
      <w:r w:rsidR="000D78A9">
        <w:t>a</w:t>
      </w:r>
      <w:r w:rsidR="0038384E">
        <w:t xml:space="preserve"> </w:t>
      </w:r>
      <w:r w:rsidR="000D78A9">
        <w:t>byla uvedena také v</w:t>
      </w:r>
      <w:r w:rsidR="005137FD" w:rsidRPr="002F52C9">
        <w:t xml:space="preserve"> </w:t>
      </w:r>
      <w:r w:rsidR="000D78A9">
        <w:t>„o</w:t>
      </w:r>
      <w:r w:rsidR="005137FD" w:rsidRPr="002F52C9">
        <w:t>důvodnění</w:t>
      </w:r>
      <w:r w:rsidR="000D78A9">
        <w:t>“</w:t>
      </w:r>
      <w:r w:rsidR="005137FD" w:rsidRPr="002F52C9">
        <w:t xml:space="preserve"> k</w:t>
      </w:r>
      <w:r w:rsidR="0038384E">
        <w:t xml:space="preserve"> </w:t>
      </w:r>
      <w:r w:rsidR="005137FD" w:rsidRPr="002F52C9">
        <w:t>danému nařízení vlády, podle kterého je podpora poskytována.</w:t>
      </w:r>
      <w:r w:rsidR="00715D38" w:rsidRPr="002F52C9">
        <w:t xml:space="preserve"> </w:t>
      </w:r>
    </w:p>
    <w:p w14:paraId="21678778" w14:textId="632266A4" w:rsidR="001108C2" w:rsidRDefault="00455CD6" w:rsidP="001108C2">
      <w:pPr>
        <w:spacing w:after="120"/>
        <w:ind w:left="993" w:hanging="567"/>
      </w:pPr>
      <w:r w:rsidRPr="00524102">
        <w:rPr>
          <w:rFonts w:ascii="Calibri" w:hAnsi="Calibri" w:cs="Calibri"/>
        </w:rPr>
        <w:t>3.</w:t>
      </w:r>
      <w:r w:rsidR="00BB33C0" w:rsidRPr="00524102">
        <w:rPr>
          <w:rFonts w:ascii="Calibri" w:hAnsi="Calibri" w:cs="Calibri"/>
        </w:rPr>
        <w:t>4</w:t>
      </w:r>
      <w:r w:rsidR="002F52C9">
        <w:rPr>
          <w:rFonts w:ascii="Calibri" w:hAnsi="Calibri" w:cs="Calibri"/>
        </w:rPr>
        <w:tab/>
      </w:r>
      <w:r w:rsidR="001D13F1" w:rsidRPr="001D569A">
        <w:t xml:space="preserve">Účelem programu </w:t>
      </w:r>
      <w:r w:rsidR="001D13F1" w:rsidRPr="001D569A">
        <w:rPr>
          <w:i/>
        </w:rPr>
        <w:t>Nájemní byty</w:t>
      </w:r>
      <w:r w:rsidR="001D13F1" w:rsidRPr="001D569A">
        <w:t xml:space="preserve"> je podpora výstavby nájemních bytů a domů pro vymezenou skupinu obyvatel (senioři </w:t>
      </w:r>
      <w:r w:rsidR="00726222">
        <w:t xml:space="preserve">starší </w:t>
      </w:r>
      <w:r w:rsidR="001D13F1" w:rsidRPr="001D569A">
        <w:t>65</w:t>
      </w:r>
      <w:r w:rsidR="00726222">
        <w:t xml:space="preserve"> let</w:t>
      </w:r>
      <w:r w:rsidR="001D13F1" w:rsidRPr="001D569A">
        <w:t xml:space="preserve">, zdravotně či příjmově vymezené osoby, zletilé osoby do 30 let a osoby, jejichž obydlí zničila živelní pohroma). </w:t>
      </w:r>
      <w:r w:rsidR="001D13F1">
        <w:t xml:space="preserve">Podle podmínek pro poskytnutí úvěru u </w:t>
      </w:r>
      <w:r w:rsidR="00726222">
        <w:t>s</w:t>
      </w:r>
      <w:r w:rsidR="001D13F1">
        <w:t>mluv o úvěru u</w:t>
      </w:r>
      <w:r w:rsidR="001D13F1" w:rsidRPr="00524102">
        <w:t>zavíran</w:t>
      </w:r>
      <w:r w:rsidR="001D13F1">
        <w:t>ých</w:t>
      </w:r>
      <w:r w:rsidR="001D13F1" w:rsidRPr="00524102">
        <w:t xml:space="preserve"> v programu </w:t>
      </w:r>
      <w:r w:rsidR="001D13F1" w:rsidRPr="00524102">
        <w:rPr>
          <w:i/>
        </w:rPr>
        <w:t>Nájemní byty</w:t>
      </w:r>
      <w:r w:rsidR="001D13F1" w:rsidRPr="00524102">
        <w:t xml:space="preserve"> </w:t>
      </w:r>
      <w:r w:rsidR="001D13F1">
        <w:t>byl příjemce podpory</w:t>
      </w:r>
      <w:r w:rsidR="00720AAC">
        <w:t xml:space="preserve"> </w:t>
      </w:r>
      <w:r w:rsidR="00720AAC" w:rsidRPr="00524102">
        <w:t>v první nájemní smlouvě</w:t>
      </w:r>
      <w:r w:rsidR="001D13F1">
        <w:t xml:space="preserve"> zavázán</w:t>
      </w:r>
      <w:r w:rsidR="00720AAC">
        <w:t>, s ohledem na danou lokalitu,</w:t>
      </w:r>
      <w:r w:rsidR="001D13F1">
        <w:t xml:space="preserve"> </w:t>
      </w:r>
      <w:r w:rsidR="001D13F1" w:rsidRPr="00524102">
        <w:t>k</w:t>
      </w:r>
      <w:r w:rsidR="001D13F1">
        <w:t xml:space="preserve"> dodržení </w:t>
      </w:r>
      <w:r w:rsidR="001D13F1" w:rsidRPr="00524102">
        <w:t>určité maximální výš</w:t>
      </w:r>
      <w:r w:rsidR="001D13F1">
        <w:t>e</w:t>
      </w:r>
      <w:r w:rsidR="001D13F1" w:rsidRPr="00524102">
        <w:t xml:space="preserve"> nájemného</w:t>
      </w:r>
      <w:r w:rsidR="001D13F1">
        <w:t>.</w:t>
      </w:r>
      <w:r w:rsidR="001D13F1" w:rsidRPr="00524102">
        <w:t xml:space="preserve"> U dalších nájemních smluv </w:t>
      </w:r>
      <w:r w:rsidR="00547B61">
        <w:t>mohl</w:t>
      </w:r>
      <w:r w:rsidR="00547B61" w:rsidRPr="00524102">
        <w:t xml:space="preserve"> </w:t>
      </w:r>
      <w:r w:rsidR="001D13F1" w:rsidRPr="00524102">
        <w:t>příjemce</w:t>
      </w:r>
      <w:r w:rsidR="001D13F1">
        <w:t xml:space="preserve"> </w:t>
      </w:r>
      <w:r w:rsidR="00A41C4D">
        <w:t xml:space="preserve">stanovit </w:t>
      </w:r>
      <w:r w:rsidR="001D13F1" w:rsidRPr="00524102">
        <w:t>nájemn</w:t>
      </w:r>
      <w:r w:rsidR="00A41C4D">
        <w:t>é ve výši,</w:t>
      </w:r>
      <w:r w:rsidR="001D13F1" w:rsidRPr="00524102">
        <w:t xml:space="preserve"> kter</w:t>
      </w:r>
      <w:r w:rsidR="00A41C4D">
        <w:t>á</w:t>
      </w:r>
      <w:r w:rsidR="001D13F1" w:rsidRPr="00524102">
        <w:t xml:space="preserve"> </w:t>
      </w:r>
      <w:r w:rsidR="00D506DE">
        <w:t>mohla i značně přes</w:t>
      </w:r>
      <w:r w:rsidR="00885998">
        <w:t>ahova</w:t>
      </w:r>
      <w:r w:rsidR="00D506DE">
        <w:t xml:space="preserve">t výši nájemného z původní smlouvy. </w:t>
      </w:r>
      <w:r w:rsidR="001D13F1">
        <w:t>Tím se stává</w:t>
      </w:r>
      <w:r w:rsidR="001D13F1" w:rsidRPr="00524102">
        <w:t xml:space="preserve"> </w:t>
      </w:r>
      <w:r w:rsidR="00704CCF">
        <w:t xml:space="preserve">toto bydlení </w:t>
      </w:r>
      <w:r w:rsidR="001D13F1" w:rsidRPr="00524102">
        <w:t>pro zamýšlenou cílovou skupinu</w:t>
      </w:r>
      <w:r w:rsidR="001D13F1">
        <w:t xml:space="preserve"> </w:t>
      </w:r>
      <w:r w:rsidR="00704CCF">
        <w:t>fina</w:t>
      </w:r>
      <w:r w:rsidR="005F1C7E">
        <w:t>n</w:t>
      </w:r>
      <w:r w:rsidR="00704CCF">
        <w:t xml:space="preserve">čně </w:t>
      </w:r>
      <w:r w:rsidR="001D13F1">
        <w:t>nedostupné, resp.</w:t>
      </w:r>
      <w:r w:rsidR="001D13F1" w:rsidRPr="00524102">
        <w:t xml:space="preserve"> vyvolá</w:t>
      </w:r>
      <w:r w:rsidR="001D13F1">
        <w:t>vá</w:t>
      </w:r>
      <w:r w:rsidR="001D13F1" w:rsidRPr="00524102">
        <w:t xml:space="preserve"> </w:t>
      </w:r>
      <w:r w:rsidR="00547B61">
        <w:t xml:space="preserve">u </w:t>
      </w:r>
      <w:r w:rsidR="001D13F1" w:rsidRPr="00524102">
        <w:t>nájemce</w:t>
      </w:r>
      <w:r w:rsidR="001D13F1">
        <w:t xml:space="preserve"> z cílové skupiny</w:t>
      </w:r>
      <w:r w:rsidR="001D13F1" w:rsidRPr="00524102">
        <w:t xml:space="preserve"> </w:t>
      </w:r>
      <w:r w:rsidR="00547B61" w:rsidRPr="00524102">
        <w:t xml:space="preserve">potřebu </w:t>
      </w:r>
      <w:r w:rsidR="001D13F1" w:rsidRPr="00524102">
        <w:t xml:space="preserve">žádat o příspěvek na </w:t>
      </w:r>
      <w:r w:rsidR="001D13F1" w:rsidRPr="00715D38">
        <w:t>bydlení až do maximálně možné výše</w:t>
      </w:r>
      <w:r w:rsidR="001D13F1" w:rsidRPr="00002904">
        <w:t xml:space="preserve">. U úvěrů poskytnutých </w:t>
      </w:r>
      <w:r w:rsidR="002F52C9" w:rsidRPr="00002904">
        <w:t>od 15.</w:t>
      </w:r>
      <w:r w:rsidR="00650736">
        <w:t xml:space="preserve"> </w:t>
      </w:r>
      <w:r w:rsidR="002F52C9" w:rsidRPr="00002904">
        <w:t xml:space="preserve">ledna 2021 </w:t>
      </w:r>
      <w:r w:rsidR="001D13F1" w:rsidRPr="00002904">
        <w:t xml:space="preserve">podle </w:t>
      </w:r>
      <w:r w:rsidR="002F52C9" w:rsidRPr="00002904">
        <w:t>nařízení</w:t>
      </w:r>
      <w:r w:rsidR="00726222">
        <w:t xml:space="preserve"> </w:t>
      </w:r>
      <w:r w:rsidR="002F52C9" w:rsidRPr="00002904">
        <w:t>vlády</w:t>
      </w:r>
      <w:r>
        <w:rPr>
          <w:rStyle w:val="Znakapoznpodarou"/>
        </w:rPr>
        <w:footnoteReference w:id="66"/>
      </w:r>
      <w:r w:rsidR="002F52C9" w:rsidRPr="002863ED">
        <w:t xml:space="preserve"> </w:t>
      </w:r>
      <w:r w:rsidR="001D13F1" w:rsidRPr="00524102">
        <w:t>již není příjemce</w:t>
      </w:r>
      <w:r w:rsidR="001D13F1">
        <w:t xml:space="preserve"> touto podmínkou v</w:t>
      </w:r>
      <w:r w:rsidR="001D13F1" w:rsidRPr="00524102">
        <w:t>ázán ani u</w:t>
      </w:r>
      <w:r w:rsidR="00265851">
        <w:t> </w:t>
      </w:r>
      <w:r w:rsidR="001D13F1" w:rsidRPr="00524102">
        <w:t>prvních nájemních smluv.</w:t>
      </w:r>
    </w:p>
    <w:p w14:paraId="691F884C" w14:textId="77777777" w:rsidR="00E61C8F" w:rsidRPr="00132D76" w:rsidRDefault="00455CD6" w:rsidP="00FB7CDA">
      <w:pPr>
        <w:keepNext/>
        <w:pBdr>
          <w:top w:val="single" w:sz="2" w:space="1" w:color="auto"/>
          <w:left w:val="single" w:sz="2" w:space="4" w:color="auto"/>
          <w:bottom w:val="single" w:sz="2" w:space="1" w:color="auto"/>
          <w:right w:val="single" w:sz="2" w:space="4" w:color="auto"/>
        </w:pBdr>
        <w:shd w:val="clear" w:color="auto" w:fill="F2DBDB" w:themeFill="accent2" w:themeFillTint="33"/>
        <w:spacing w:after="120"/>
        <w:ind w:left="851"/>
        <w:rPr>
          <w:b/>
          <w:color w:val="000000" w:themeColor="text1"/>
        </w:rPr>
      </w:pPr>
      <w:r w:rsidRPr="00132D76">
        <w:rPr>
          <w:b/>
          <w:color w:val="000000" w:themeColor="text1"/>
        </w:rPr>
        <w:t>Příklad č. 2</w:t>
      </w:r>
    </w:p>
    <w:p w14:paraId="79BCC630" w14:textId="6079D505" w:rsidR="00E61C8F" w:rsidRPr="00B4279F" w:rsidRDefault="00455CD6" w:rsidP="001E126B">
      <w:pPr>
        <w:pBdr>
          <w:top w:val="single" w:sz="2" w:space="1" w:color="auto"/>
          <w:left w:val="single" w:sz="2" w:space="4" w:color="auto"/>
          <w:bottom w:val="single" w:sz="2" w:space="1" w:color="auto"/>
          <w:right w:val="single" w:sz="2" w:space="4" w:color="auto"/>
        </w:pBdr>
        <w:shd w:val="clear" w:color="auto" w:fill="F2DBDB" w:themeFill="accent2" w:themeFillTint="33"/>
        <w:ind w:left="851"/>
        <w:rPr>
          <w:i/>
          <w:sz w:val="22"/>
        </w:rPr>
      </w:pPr>
      <w:r w:rsidRPr="00B4279F">
        <w:rPr>
          <w:i/>
          <w:sz w:val="22"/>
        </w:rPr>
        <w:t>U jednoho projektu financovaného z programu Nájemní byty byla ve smlouvě o úvěru s</w:t>
      </w:r>
      <w:r w:rsidR="00547B61">
        <w:rPr>
          <w:i/>
          <w:sz w:val="22"/>
        </w:rPr>
        <w:t> </w:t>
      </w:r>
      <w:r w:rsidRPr="00B4279F">
        <w:rPr>
          <w:i/>
          <w:sz w:val="22"/>
        </w:rPr>
        <w:t>příjemcem podpory sjednána u první nájemní smlouvy výše nájemného 135 Kč/m</w:t>
      </w:r>
      <w:r w:rsidRPr="00B4279F">
        <w:rPr>
          <w:i/>
          <w:sz w:val="22"/>
          <w:vertAlign w:val="superscript"/>
        </w:rPr>
        <w:t>2</w:t>
      </w:r>
      <w:r w:rsidRPr="00B4279F">
        <w:rPr>
          <w:i/>
          <w:sz w:val="22"/>
        </w:rPr>
        <w:t>, kterou příjemce při uzavírání nájemních smluv s nájemci dodržel. V</w:t>
      </w:r>
      <w:r w:rsidR="00547B61">
        <w:rPr>
          <w:i/>
          <w:sz w:val="22"/>
        </w:rPr>
        <w:t> </w:t>
      </w:r>
      <w:r w:rsidRPr="00B4279F">
        <w:rPr>
          <w:i/>
          <w:sz w:val="22"/>
        </w:rPr>
        <w:t>dalších</w:t>
      </w:r>
      <w:r w:rsidR="00547B61">
        <w:rPr>
          <w:i/>
          <w:sz w:val="22"/>
        </w:rPr>
        <w:t>,</w:t>
      </w:r>
      <w:r w:rsidRPr="00B4279F">
        <w:rPr>
          <w:i/>
          <w:sz w:val="22"/>
        </w:rPr>
        <w:t xml:space="preserve"> navazujících smlouvách příjemce úvěru výrazně zvýšil nájemné až na 569 Kč/m</w:t>
      </w:r>
      <w:r w:rsidRPr="00B4279F">
        <w:rPr>
          <w:i/>
          <w:sz w:val="22"/>
          <w:vertAlign w:val="superscript"/>
        </w:rPr>
        <w:t>2</w:t>
      </w:r>
      <w:r w:rsidRPr="00B4279F">
        <w:rPr>
          <w:i/>
          <w:sz w:val="22"/>
        </w:rPr>
        <w:t xml:space="preserve">. Příjemce na internetových stránkách nabízejících ubytování v zařízení pořízeném z poskytnutého úvěru uvádí, že nájemci mohou po posouzení </w:t>
      </w:r>
      <w:r w:rsidR="00547B61">
        <w:rPr>
          <w:i/>
          <w:sz w:val="22"/>
        </w:rPr>
        <w:t>své</w:t>
      </w:r>
      <w:r w:rsidRPr="00B4279F">
        <w:rPr>
          <w:i/>
          <w:sz w:val="22"/>
        </w:rPr>
        <w:t xml:space="preserve"> situace čerpat příspěvek na bydlení a že někteří stávající nájemci pobírají příspěvek na bydlení až 10 tis. Kč. Výše nájemného pro jednotlivce je od 19 tis. Kč a nezahrnuje např. náklady na energie, odpady nebo případné asistenční služby.</w:t>
      </w:r>
    </w:p>
    <w:p w14:paraId="5A0C25EF" w14:textId="77777777" w:rsidR="00041FE4" w:rsidRDefault="00455CD6" w:rsidP="00AF6629">
      <w:pPr>
        <w:spacing w:before="120" w:after="120"/>
        <w:ind w:left="993"/>
      </w:pPr>
      <w:r w:rsidRPr="005F1C7E">
        <w:lastRenderedPageBreak/>
        <w:t xml:space="preserve">NKÚ konstatuje, že účel projektu podle nastavených podmínek byl </w:t>
      </w:r>
      <w:r w:rsidR="004F4223" w:rsidRPr="005F1C7E">
        <w:t>dosažen</w:t>
      </w:r>
      <w:r w:rsidRPr="005F1C7E">
        <w:t>, avšak takto nastavené podmínky zakládají další finanční nároky na státní rozpočet ve formě vzniku nároku na příspěvek</w:t>
      </w:r>
      <w:r w:rsidR="004F12A9">
        <w:t xml:space="preserve"> na bydlení</w:t>
      </w:r>
      <w:r w:rsidR="00031BDD">
        <w:t>,</w:t>
      </w:r>
      <w:r w:rsidR="009C221F">
        <w:t xml:space="preserve"> popř. </w:t>
      </w:r>
      <w:r w:rsidR="00031BDD">
        <w:t xml:space="preserve">i </w:t>
      </w:r>
      <w:r w:rsidR="009C221F">
        <w:t>doplatek</w:t>
      </w:r>
      <w:r w:rsidRPr="005F1C7E">
        <w:t xml:space="preserve"> na bydlení. </w:t>
      </w:r>
    </w:p>
    <w:p w14:paraId="5B881ADC" w14:textId="3CEE1255" w:rsidR="0029420C" w:rsidRDefault="0053405F" w:rsidP="00AF6629">
      <w:pPr>
        <w:spacing w:before="240"/>
        <w:ind w:left="284" w:hanging="284"/>
        <w:rPr>
          <w:b/>
        </w:rPr>
      </w:pPr>
      <w:r>
        <w:rPr>
          <w:b/>
        </w:rPr>
        <w:t>4</w:t>
      </w:r>
      <w:r w:rsidR="00455CD6">
        <w:rPr>
          <w:b/>
        </w:rPr>
        <w:t>.</w:t>
      </w:r>
      <w:r w:rsidR="00AF6629">
        <w:rPr>
          <w:b/>
        </w:rPr>
        <w:t xml:space="preserve"> </w:t>
      </w:r>
      <w:r w:rsidR="00455CD6" w:rsidRPr="00131363">
        <w:rPr>
          <w:b/>
        </w:rPr>
        <w:t xml:space="preserve">Nastavení a funkčnost kontrolního systému </w:t>
      </w:r>
    </w:p>
    <w:p w14:paraId="0F7B5B37" w14:textId="6E2AF90B" w:rsidR="0029420C" w:rsidRDefault="0053405F" w:rsidP="00AF6629">
      <w:pPr>
        <w:spacing w:after="120"/>
        <w:ind w:left="993" w:hanging="567"/>
        <w:rPr>
          <w:b/>
        </w:rPr>
      </w:pPr>
      <w:r>
        <w:rPr>
          <w:szCs w:val="18"/>
        </w:rPr>
        <w:t>4</w:t>
      </w:r>
      <w:r w:rsidR="00455CD6" w:rsidRPr="006E24E2">
        <w:rPr>
          <w:szCs w:val="18"/>
        </w:rPr>
        <w:t>.1</w:t>
      </w:r>
      <w:r w:rsidR="00455CD6">
        <w:rPr>
          <w:szCs w:val="18"/>
        </w:rPr>
        <w:tab/>
      </w:r>
      <w:r w:rsidR="009C509C">
        <w:rPr>
          <w:szCs w:val="18"/>
        </w:rPr>
        <w:t>N</w:t>
      </w:r>
      <w:r w:rsidR="00483DF7" w:rsidRPr="006E24E2">
        <w:t>KÚ zjistil, že MMR ne</w:t>
      </w:r>
      <w:r w:rsidR="00FF2315">
        <w:t>provádí</w:t>
      </w:r>
      <w:r w:rsidR="00483DF7" w:rsidRPr="006E24E2">
        <w:t xml:space="preserve"> pro oblast bytové politiky státu analýzu rizik</w:t>
      </w:r>
      <w:r w:rsidR="00E45C1D">
        <w:t xml:space="preserve">. </w:t>
      </w:r>
      <w:r w:rsidR="00E45C1D" w:rsidRPr="00E45C1D">
        <w:rPr>
          <w:bCs/>
        </w:rPr>
        <w:t xml:space="preserve">MMR </w:t>
      </w:r>
      <w:r w:rsidR="00E45C1D">
        <w:rPr>
          <w:bCs/>
        </w:rPr>
        <w:t xml:space="preserve">tak </w:t>
      </w:r>
      <w:r w:rsidR="00E45C1D" w:rsidRPr="00E45C1D">
        <w:rPr>
          <w:bCs/>
        </w:rPr>
        <w:t xml:space="preserve">nevyhovělo požadavku na </w:t>
      </w:r>
      <w:r w:rsidR="00547B61">
        <w:rPr>
          <w:bCs/>
        </w:rPr>
        <w:t>plnění jednoho z</w:t>
      </w:r>
      <w:r w:rsidR="00E45C1D" w:rsidRPr="00E45C1D">
        <w:rPr>
          <w:bCs/>
        </w:rPr>
        <w:t xml:space="preserve"> hlavních cílů finanční kontroly podle </w:t>
      </w:r>
      <w:r w:rsidR="0078177D">
        <w:rPr>
          <w:bCs/>
        </w:rPr>
        <w:t>zákona</w:t>
      </w:r>
      <w:r w:rsidR="00E45C1D" w:rsidRPr="00E45C1D">
        <w:rPr>
          <w:bCs/>
        </w:rPr>
        <w:t xml:space="preserve"> o finanční kontrole</w:t>
      </w:r>
      <w:r w:rsidR="0078177D">
        <w:rPr>
          <w:rStyle w:val="Znakapoznpodarou"/>
          <w:bCs/>
        </w:rPr>
        <w:footnoteReference w:id="67"/>
      </w:r>
      <w:r w:rsidR="00547B61">
        <w:rPr>
          <w:bCs/>
        </w:rPr>
        <w:t>;</w:t>
      </w:r>
      <w:r w:rsidR="007B2AA7" w:rsidRPr="007B2AA7">
        <w:t xml:space="preserve"> </w:t>
      </w:r>
      <w:r w:rsidR="00547B61">
        <w:t>přitom</w:t>
      </w:r>
      <w:r w:rsidR="008350AB" w:rsidRPr="00C12BA9">
        <w:t xml:space="preserve"> organizační útvar</w:t>
      </w:r>
      <w:r w:rsidR="008350AB">
        <w:t>y</w:t>
      </w:r>
      <w:r w:rsidR="008350AB" w:rsidRPr="00C12BA9">
        <w:t xml:space="preserve"> MMR vykonávající</w:t>
      </w:r>
      <w:r w:rsidR="008350AB" w:rsidRPr="004D4440">
        <w:t xml:space="preserve"> veřejnosprávní </w:t>
      </w:r>
      <w:r w:rsidR="008350AB" w:rsidRPr="00C12BA9">
        <w:t>kontroly</w:t>
      </w:r>
      <w:r w:rsidR="008350AB">
        <w:t xml:space="preserve"> mají </w:t>
      </w:r>
      <w:r w:rsidR="008350AB" w:rsidRPr="00C12BA9">
        <w:t>povinnost</w:t>
      </w:r>
      <w:r w:rsidR="008350AB">
        <w:t xml:space="preserve"> </w:t>
      </w:r>
      <w:r w:rsidR="008350AB" w:rsidRPr="00C12BA9">
        <w:t>analýzu rizik</w:t>
      </w:r>
      <w:r w:rsidR="008350AB">
        <w:rPr>
          <w:vertAlign w:val="superscript"/>
        </w:rPr>
        <w:footnoteReference w:id="68"/>
      </w:r>
      <w:r w:rsidR="008350AB">
        <w:t xml:space="preserve"> </w:t>
      </w:r>
      <w:r w:rsidR="00547B61">
        <w:t>provádět</w:t>
      </w:r>
      <w:r w:rsidR="008350AB">
        <w:t xml:space="preserve">. </w:t>
      </w:r>
      <w:r w:rsidR="007B2AA7" w:rsidRPr="006E24E2">
        <w:t>Identifikace a</w:t>
      </w:r>
      <w:r w:rsidR="007B2AA7">
        <w:t> </w:t>
      </w:r>
      <w:r w:rsidR="007B2AA7" w:rsidRPr="006E24E2">
        <w:t xml:space="preserve">vyhodnocování rizik je zásadní pro nastavení podmínek programů a podprogramů. </w:t>
      </w:r>
    </w:p>
    <w:p w14:paraId="0A671909" w14:textId="0CDB9598" w:rsidR="002422BC" w:rsidRPr="00002904" w:rsidRDefault="0053405F" w:rsidP="00AF6629">
      <w:pPr>
        <w:spacing w:after="120"/>
        <w:ind w:left="993" w:hanging="567"/>
        <w:rPr>
          <w:b/>
        </w:rPr>
      </w:pPr>
      <w:r>
        <w:rPr>
          <w:szCs w:val="24"/>
        </w:rPr>
        <w:t>4</w:t>
      </w:r>
      <w:r w:rsidR="00455CD6" w:rsidRPr="00794BF0">
        <w:rPr>
          <w:szCs w:val="24"/>
        </w:rPr>
        <w:t>.</w:t>
      </w:r>
      <w:r w:rsidR="00455CD6" w:rsidRPr="00794BF0">
        <w:rPr>
          <w:rFonts w:cstheme="minorHAnsi"/>
          <w:szCs w:val="18"/>
          <w:lang w:eastAsia="en-US"/>
        </w:rPr>
        <w:t xml:space="preserve">2 </w:t>
      </w:r>
      <w:r w:rsidR="00794BF0">
        <w:rPr>
          <w:rFonts w:cstheme="minorHAnsi"/>
          <w:szCs w:val="18"/>
          <w:lang w:eastAsia="en-US"/>
        </w:rPr>
        <w:tab/>
      </w:r>
      <w:r w:rsidR="00483DF7" w:rsidRPr="00002904">
        <w:rPr>
          <w:rFonts w:cstheme="minorHAnsi"/>
          <w:szCs w:val="18"/>
          <w:lang w:eastAsia="en-US"/>
        </w:rPr>
        <w:t>MMR nevytvořilo</w:t>
      </w:r>
      <w:r w:rsidR="00483DF7" w:rsidRPr="00002904">
        <w:rPr>
          <w:szCs w:val="24"/>
        </w:rPr>
        <w:t xml:space="preserve"> závazné postupy pro uchování auditní stopy po vydání </w:t>
      </w:r>
      <w:proofErr w:type="spellStart"/>
      <w:r w:rsidR="00381977" w:rsidRPr="00002904">
        <w:rPr>
          <w:szCs w:val="24"/>
        </w:rPr>
        <w:t>Ro</w:t>
      </w:r>
      <w:r w:rsidR="0029420C" w:rsidRPr="00002904">
        <w:rPr>
          <w:szCs w:val="24"/>
        </w:rPr>
        <w:t>PD</w:t>
      </w:r>
      <w:proofErr w:type="spellEnd"/>
      <w:r w:rsidR="00483DF7" w:rsidRPr="00002904">
        <w:rPr>
          <w:szCs w:val="24"/>
        </w:rPr>
        <w:t>,</w:t>
      </w:r>
      <w:r w:rsidR="00AD7C80">
        <w:rPr>
          <w:szCs w:val="24"/>
        </w:rPr>
        <w:t xml:space="preserve"> </w:t>
      </w:r>
      <w:r w:rsidR="008E4FEF">
        <w:rPr>
          <w:szCs w:val="24"/>
        </w:rPr>
        <w:br/>
      </w:r>
      <w:r w:rsidR="00483DF7" w:rsidRPr="00002904">
        <w:rPr>
          <w:szCs w:val="24"/>
        </w:rPr>
        <w:t>mj. o kontrole výdajů vyplývajících z</w:t>
      </w:r>
      <w:r w:rsidR="00C96125">
        <w:rPr>
          <w:szCs w:val="24"/>
        </w:rPr>
        <w:t>e smluv uzavřených</w:t>
      </w:r>
      <w:r w:rsidR="00547B61">
        <w:rPr>
          <w:szCs w:val="24"/>
        </w:rPr>
        <w:t xml:space="preserve"> s</w:t>
      </w:r>
      <w:r w:rsidR="0001172A">
        <w:rPr>
          <w:szCs w:val="24"/>
        </w:rPr>
        <w:t xml:space="preserve"> příjemcem </w:t>
      </w:r>
      <w:r w:rsidR="00C96125">
        <w:rPr>
          <w:szCs w:val="24"/>
        </w:rPr>
        <w:t xml:space="preserve">na základě </w:t>
      </w:r>
      <w:r w:rsidR="00483DF7" w:rsidRPr="00002904">
        <w:rPr>
          <w:szCs w:val="24"/>
        </w:rPr>
        <w:t xml:space="preserve">provedeného </w:t>
      </w:r>
      <w:r w:rsidR="0001172A">
        <w:rPr>
          <w:szCs w:val="24"/>
        </w:rPr>
        <w:t>zadávacího</w:t>
      </w:r>
      <w:r w:rsidR="00483DF7" w:rsidRPr="00002904">
        <w:rPr>
          <w:szCs w:val="24"/>
        </w:rPr>
        <w:t xml:space="preserve"> řízení, splnění účelu dotace, dodržení maximálních limitů a požadovaného podílu vlastních zdrojů, dodržení termínů stanovených v</w:t>
      </w:r>
      <w:r w:rsidR="009B7178">
        <w:rPr>
          <w:szCs w:val="24"/>
        </w:rPr>
        <w:t xml:space="preserve"> </w:t>
      </w:r>
      <w:proofErr w:type="spellStart"/>
      <w:r w:rsidR="00483DF7" w:rsidRPr="00002904">
        <w:rPr>
          <w:szCs w:val="24"/>
        </w:rPr>
        <w:t>RoPD</w:t>
      </w:r>
      <w:proofErr w:type="spellEnd"/>
      <w:r w:rsidR="00483DF7" w:rsidRPr="00002904">
        <w:rPr>
          <w:szCs w:val="24"/>
        </w:rPr>
        <w:t>, případně dalších podmínek</w:t>
      </w:r>
      <w:r w:rsidR="009C221F">
        <w:rPr>
          <w:szCs w:val="24"/>
        </w:rPr>
        <w:t xml:space="preserve"> v</w:t>
      </w:r>
      <w:r w:rsidR="009B7178">
        <w:rPr>
          <w:szCs w:val="24"/>
        </w:rPr>
        <w:t xml:space="preserve"> </w:t>
      </w:r>
      <w:proofErr w:type="spellStart"/>
      <w:r w:rsidR="00483DF7" w:rsidRPr="00002904">
        <w:rPr>
          <w:szCs w:val="24"/>
        </w:rPr>
        <w:t>RoPD</w:t>
      </w:r>
      <w:proofErr w:type="spellEnd"/>
      <w:r w:rsidR="009C221F">
        <w:rPr>
          <w:szCs w:val="24"/>
        </w:rPr>
        <w:t xml:space="preserve"> uvedených</w:t>
      </w:r>
      <w:r w:rsidR="00483DF7" w:rsidRPr="00002904">
        <w:rPr>
          <w:szCs w:val="24"/>
        </w:rPr>
        <w:t xml:space="preserve">. NKÚ na vzorku kontrolovaných projektů zjistil, že auditní stopa </w:t>
      </w:r>
      <w:r w:rsidR="00547B61">
        <w:rPr>
          <w:szCs w:val="24"/>
        </w:rPr>
        <w:t xml:space="preserve">o </w:t>
      </w:r>
      <w:r w:rsidR="00483DF7" w:rsidRPr="00002904">
        <w:rPr>
          <w:szCs w:val="24"/>
        </w:rPr>
        <w:t>výše uvedených kro</w:t>
      </w:r>
      <w:r w:rsidR="00547B61">
        <w:rPr>
          <w:szCs w:val="24"/>
        </w:rPr>
        <w:t>cích</w:t>
      </w:r>
      <w:r w:rsidR="00483DF7" w:rsidRPr="00002904">
        <w:rPr>
          <w:szCs w:val="24"/>
        </w:rPr>
        <w:t xml:space="preserve"> byla uchovávána na nezávazných kontrolních listech</w:t>
      </w:r>
      <w:r w:rsidR="00455CD6" w:rsidRPr="00002904">
        <w:rPr>
          <w:szCs w:val="24"/>
        </w:rPr>
        <w:t>, a to jen</w:t>
      </w:r>
      <w:r w:rsidR="00483DF7" w:rsidRPr="00002904">
        <w:rPr>
          <w:szCs w:val="24"/>
        </w:rPr>
        <w:t xml:space="preserve"> do roku 2019</w:t>
      </w:r>
      <w:r w:rsidR="00455CD6" w:rsidRPr="00002904">
        <w:rPr>
          <w:szCs w:val="24"/>
        </w:rPr>
        <w:t>.</w:t>
      </w:r>
      <w:r w:rsidR="00483DF7" w:rsidRPr="00002904">
        <w:rPr>
          <w:szCs w:val="24"/>
        </w:rPr>
        <w:t xml:space="preserve"> </w:t>
      </w:r>
      <w:r w:rsidR="00455CD6" w:rsidRPr="00002904">
        <w:rPr>
          <w:szCs w:val="24"/>
        </w:rPr>
        <w:t>P</w:t>
      </w:r>
      <w:r w:rsidR="00483DF7" w:rsidRPr="00002904">
        <w:rPr>
          <w:szCs w:val="24"/>
        </w:rPr>
        <w:t>ozději nebyly ani nezávazné kontrolní listy do spisové dokumentace přikládány.</w:t>
      </w:r>
      <w:r w:rsidR="00BB33C0" w:rsidRPr="00002904">
        <w:rPr>
          <w:szCs w:val="24"/>
        </w:rPr>
        <w:t xml:space="preserve"> </w:t>
      </w:r>
    </w:p>
    <w:p w14:paraId="30382FC2" w14:textId="19AE5300" w:rsidR="007A265B" w:rsidRDefault="0053405F" w:rsidP="00AF6629">
      <w:pPr>
        <w:spacing w:after="120"/>
        <w:ind w:left="993" w:hanging="567"/>
      </w:pPr>
      <w:r>
        <w:rPr>
          <w:bCs/>
        </w:rPr>
        <w:t>4</w:t>
      </w:r>
      <w:r w:rsidR="00455CD6" w:rsidRPr="00002904">
        <w:rPr>
          <w:bCs/>
        </w:rPr>
        <w:t>.</w:t>
      </w:r>
      <w:r w:rsidR="004C7EA0" w:rsidRPr="00002904">
        <w:rPr>
          <w:bCs/>
        </w:rPr>
        <w:t>3</w:t>
      </w:r>
      <w:r w:rsidR="002422BC" w:rsidRPr="00002904">
        <w:rPr>
          <w:bCs/>
        </w:rPr>
        <w:tab/>
      </w:r>
      <w:r w:rsidR="00483DF7" w:rsidRPr="00002904">
        <w:t xml:space="preserve">NKÚ zjistil, že </w:t>
      </w:r>
      <w:r w:rsidR="00105670" w:rsidRPr="00002904">
        <w:t>SFPI</w:t>
      </w:r>
      <w:r w:rsidR="00483DF7" w:rsidRPr="00002904">
        <w:t xml:space="preserve"> </w:t>
      </w:r>
      <w:r w:rsidR="0037714A">
        <w:t xml:space="preserve">v kontrolovaném období </w:t>
      </w:r>
      <w:r w:rsidR="00483DF7" w:rsidRPr="00002904">
        <w:t xml:space="preserve">nevyhodnocoval </w:t>
      </w:r>
      <w:r w:rsidR="006E24E2" w:rsidRPr="00002904">
        <w:t>a</w:t>
      </w:r>
      <w:r w:rsidR="00483DF7" w:rsidRPr="00002904">
        <w:t xml:space="preserve">nalýzy rizik </w:t>
      </w:r>
      <w:r w:rsidR="004D6DE0" w:rsidRPr="00002904">
        <w:t>z hlediska účinnosti přijatých opatření</w:t>
      </w:r>
      <w:r w:rsidR="00483DF7" w:rsidRPr="00002904">
        <w:t xml:space="preserve"> a </w:t>
      </w:r>
      <w:r w:rsidR="00105670" w:rsidRPr="00002904">
        <w:t>nevyužíval je při</w:t>
      </w:r>
      <w:r w:rsidR="00483DF7" w:rsidRPr="00002904">
        <w:t xml:space="preserve"> řízení dotačních a úvěrových program</w:t>
      </w:r>
      <w:r w:rsidR="00F15C56">
        <w:t>ů</w:t>
      </w:r>
      <w:r w:rsidR="00483DF7" w:rsidRPr="00002904">
        <w:t xml:space="preserve">. V </w:t>
      </w:r>
      <w:r w:rsidR="00BD2230">
        <w:t>a</w:t>
      </w:r>
      <w:r w:rsidR="00483DF7" w:rsidRPr="00002904">
        <w:t xml:space="preserve">nalýzách rizik byla rizika popisována ve všech letech totožně, </w:t>
      </w:r>
      <w:r w:rsidR="009B7178">
        <w:t>stejná byla i</w:t>
      </w:r>
      <w:r w:rsidR="00483DF7" w:rsidRPr="00002904">
        <w:t xml:space="preserve"> doporučení k jejich eliminaci. V </w:t>
      </w:r>
      <w:r w:rsidR="000F24FA" w:rsidRPr="00002904">
        <w:t>k</w:t>
      </w:r>
      <w:r w:rsidR="00483DF7" w:rsidRPr="00002904">
        <w:t xml:space="preserve">atalozích rizik byla opakovaně jako rizika se střední nebo vysokou hladinou významnosti identifikována </w:t>
      </w:r>
      <w:r w:rsidR="00F15C56">
        <w:t xml:space="preserve">např. </w:t>
      </w:r>
      <w:r w:rsidR="00483DF7" w:rsidRPr="00002904">
        <w:t>rizika nedostatečné kontroly žadatelů/příjemců nebo nedostatečného výkonu říd</w:t>
      </w:r>
      <w:r w:rsidR="009B7178">
        <w:t>i</w:t>
      </w:r>
      <w:r w:rsidR="00483DF7" w:rsidRPr="00002904">
        <w:t xml:space="preserve">cí kontroly. </w:t>
      </w:r>
    </w:p>
    <w:p w14:paraId="768CF5DF" w14:textId="08AF8E72" w:rsidR="00C61D20" w:rsidRDefault="00C647A2" w:rsidP="00AF6629">
      <w:pPr>
        <w:spacing w:after="120"/>
        <w:ind w:left="993"/>
      </w:pPr>
      <w:r>
        <w:t>NKÚ n</w:t>
      </w:r>
      <w:r w:rsidR="0037714A">
        <w:t xml:space="preserve">a kontrolním vzorku podpořených projektů </w:t>
      </w:r>
      <w:r>
        <w:t xml:space="preserve">rovněž </w:t>
      </w:r>
      <w:r w:rsidR="0037714A">
        <w:t xml:space="preserve">ověřil, že kontroly nejsou prováděny </w:t>
      </w:r>
      <w:r w:rsidR="009B7178">
        <w:t>s takovou četností</w:t>
      </w:r>
      <w:r w:rsidR="0037714A">
        <w:t>, kter</w:t>
      </w:r>
      <w:r w:rsidR="009B7178">
        <w:t>á</w:t>
      </w:r>
      <w:r w:rsidR="0037714A">
        <w:t xml:space="preserve"> byl</w:t>
      </w:r>
      <w:r w:rsidR="009B7178">
        <w:t>a</w:t>
      </w:r>
      <w:r w:rsidR="0037714A">
        <w:t xml:space="preserve"> nastaven</w:t>
      </w:r>
      <w:r w:rsidR="009B7178">
        <w:t>a</w:t>
      </w:r>
      <w:r w:rsidR="0037714A">
        <w:t xml:space="preserve"> jako mechanism</w:t>
      </w:r>
      <w:r w:rsidR="009B7178">
        <w:t>us</w:t>
      </w:r>
      <w:r w:rsidR="0037714A">
        <w:t xml:space="preserve"> ke zmírnění nebo eliminaci identifikovaných rizik.</w:t>
      </w:r>
    </w:p>
    <w:p w14:paraId="79B88B34" w14:textId="77777777" w:rsidR="00C61D20" w:rsidRDefault="00C61D20" w:rsidP="001E126B">
      <w:pPr>
        <w:jc w:val="left"/>
      </w:pPr>
      <w:r>
        <w:br w:type="page"/>
      </w:r>
    </w:p>
    <w:p w14:paraId="620B8623" w14:textId="77777777" w:rsidR="004C0F3E" w:rsidRDefault="00455CD6" w:rsidP="00C05940">
      <w:pPr>
        <w:rPr>
          <w:b/>
          <w:noProof/>
        </w:rPr>
      </w:pPr>
      <w:r w:rsidRPr="00827872">
        <w:rPr>
          <w:b/>
        </w:rPr>
        <w:lastRenderedPageBreak/>
        <w:t>S</w:t>
      </w:r>
      <w:r w:rsidR="001D7420" w:rsidRPr="00827872">
        <w:rPr>
          <w:b/>
          <w:noProof/>
        </w:rPr>
        <w:t xml:space="preserve">eznam </w:t>
      </w:r>
      <w:r w:rsidR="00C249F4" w:rsidRPr="00827872">
        <w:rPr>
          <w:b/>
          <w:noProof/>
        </w:rPr>
        <w:t xml:space="preserve">použitých </w:t>
      </w:r>
      <w:r w:rsidR="001D7420" w:rsidRPr="00827872">
        <w:rPr>
          <w:b/>
          <w:noProof/>
        </w:rPr>
        <w:t>zkratek:</w:t>
      </w:r>
    </w:p>
    <w:tbl>
      <w:tblPr>
        <w:tblW w:w="89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6740"/>
      </w:tblGrid>
      <w:tr w:rsidR="009960E7" w14:paraId="00BFDD5A"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6F25E99E" w14:textId="77777777" w:rsidR="007B4F87" w:rsidRPr="004B6365" w:rsidRDefault="00455CD6" w:rsidP="007B4F87">
            <w:pPr>
              <w:spacing w:before="40" w:after="40"/>
              <w:rPr>
                <w:rFonts w:cstheme="minorHAnsi"/>
                <w:szCs w:val="24"/>
              </w:rPr>
            </w:pPr>
            <w:r w:rsidRPr="004B6365">
              <w:rPr>
                <w:rFonts w:cstheme="minorHAnsi"/>
                <w:szCs w:val="24"/>
              </w:rPr>
              <w:t>ČR</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1C804ABC" w14:textId="77777777" w:rsidR="007B4F87" w:rsidRPr="004B6365" w:rsidRDefault="00455CD6" w:rsidP="00AD4A7D">
            <w:pPr>
              <w:spacing w:before="40" w:after="40"/>
              <w:jc w:val="left"/>
              <w:rPr>
                <w:rFonts w:cstheme="minorHAnsi"/>
                <w:color w:val="000000"/>
                <w:szCs w:val="24"/>
              </w:rPr>
            </w:pPr>
            <w:r w:rsidRPr="004B6365">
              <w:rPr>
                <w:rFonts w:cstheme="minorHAnsi"/>
                <w:color w:val="000000"/>
                <w:szCs w:val="24"/>
              </w:rPr>
              <w:t>Česká republika</w:t>
            </w:r>
          </w:p>
        </w:tc>
      </w:tr>
      <w:tr w:rsidR="009960E7" w14:paraId="65340A8C"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5B9B6B02" w14:textId="77777777" w:rsidR="007B4F87" w:rsidRPr="004B6365" w:rsidRDefault="00455CD6" w:rsidP="007B4F87">
            <w:pPr>
              <w:spacing w:before="40" w:after="40"/>
              <w:rPr>
                <w:rFonts w:cstheme="minorHAnsi"/>
                <w:szCs w:val="24"/>
              </w:rPr>
            </w:pPr>
            <w:r w:rsidRPr="004B6365">
              <w:rPr>
                <w:rFonts w:cstheme="minorHAnsi"/>
                <w:szCs w:val="24"/>
              </w:rPr>
              <w:t>EU</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74651719" w14:textId="77777777" w:rsidR="007B4F87" w:rsidRPr="004B6365" w:rsidRDefault="00455CD6" w:rsidP="00AD4A7D">
            <w:pPr>
              <w:spacing w:before="40" w:after="40"/>
              <w:jc w:val="left"/>
              <w:rPr>
                <w:rFonts w:cstheme="minorHAnsi"/>
                <w:color w:val="000000"/>
                <w:szCs w:val="24"/>
              </w:rPr>
            </w:pPr>
            <w:r w:rsidRPr="004B6365">
              <w:rPr>
                <w:rFonts w:cstheme="minorHAnsi"/>
                <w:szCs w:val="24"/>
              </w:rPr>
              <w:t>Evropská unie</w:t>
            </w:r>
          </w:p>
        </w:tc>
      </w:tr>
      <w:tr w:rsidR="009960E7" w14:paraId="54926656" w14:textId="77777777" w:rsidTr="00C647A2">
        <w:trPr>
          <w:trHeight w:val="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18858F6D" w14:textId="77777777" w:rsidR="007B4F87" w:rsidRPr="004B6365" w:rsidRDefault="00455CD6" w:rsidP="007B4F87">
            <w:pPr>
              <w:spacing w:before="40" w:after="40"/>
              <w:rPr>
                <w:rFonts w:cstheme="minorHAnsi"/>
                <w:szCs w:val="24"/>
              </w:rPr>
            </w:pPr>
            <w:r w:rsidRPr="004B6365">
              <w:rPr>
                <w:rFonts w:cstheme="minorHAnsi"/>
                <w:szCs w:val="24"/>
              </w:rPr>
              <w:t>IROP</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56DC1805" w14:textId="77777777" w:rsidR="007B4F87" w:rsidRPr="00AD4A7D" w:rsidRDefault="00455CD6" w:rsidP="00AD4A7D">
            <w:pPr>
              <w:spacing w:before="40" w:after="40"/>
              <w:jc w:val="left"/>
              <w:rPr>
                <w:rFonts w:cstheme="minorHAnsi"/>
                <w:i/>
                <w:color w:val="000000"/>
                <w:szCs w:val="24"/>
              </w:rPr>
            </w:pPr>
            <w:r w:rsidRPr="00AD4A7D">
              <w:rPr>
                <w:rFonts w:cstheme="minorHAnsi"/>
                <w:i/>
                <w:color w:val="000000"/>
                <w:szCs w:val="24"/>
              </w:rPr>
              <w:t xml:space="preserve">Integrovaný </w:t>
            </w:r>
            <w:r w:rsidR="0002762A" w:rsidRPr="00AD4A7D">
              <w:rPr>
                <w:rFonts w:cstheme="minorHAnsi"/>
                <w:i/>
                <w:color w:val="000000"/>
                <w:szCs w:val="24"/>
              </w:rPr>
              <w:t xml:space="preserve">regionální </w:t>
            </w:r>
            <w:r w:rsidRPr="00AD4A7D">
              <w:rPr>
                <w:rFonts w:cstheme="minorHAnsi"/>
                <w:i/>
                <w:color w:val="000000"/>
                <w:szCs w:val="24"/>
              </w:rPr>
              <w:t>operační program</w:t>
            </w:r>
          </w:p>
        </w:tc>
      </w:tr>
      <w:tr w:rsidR="009960E7" w14:paraId="08928BD9"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0F6CC803" w14:textId="77777777" w:rsidR="00E7288D" w:rsidRPr="004B6365" w:rsidRDefault="00455CD6" w:rsidP="007B4F87">
            <w:pPr>
              <w:spacing w:before="40" w:after="40"/>
              <w:rPr>
                <w:rFonts w:cstheme="minorHAnsi"/>
                <w:szCs w:val="24"/>
              </w:rPr>
            </w:pPr>
            <w:r w:rsidRPr="004B6365">
              <w:rPr>
                <w:rFonts w:cstheme="minorHAnsi"/>
                <w:szCs w:val="24"/>
              </w:rPr>
              <w:t>KA</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5B41DB9A" w14:textId="77777777" w:rsidR="00E7288D" w:rsidRPr="004B6365" w:rsidRDefault="00455CD6" w:rsidP="00AD4A7D">
            <w:pPr>
              <w:spacing w:before="40" w:after="40"/>
              <w:jc w:val="left"/>
              <w:rPr>
                <w:rFonts w:cstheme="minorHAnsi"/>
                <w:color w:val="000000"/>
                <w:szCs w:val="24"/>
              </w:rPr>
            </w:pPr>
            <w:r w:rsidRPr="004B6365">
              <w:rPr>
                <w:rFonts w:cstheme="minorHAnsi"/>
                <w:color w:val="000000"/>
                <w:szCs w:val="24"/>
              </w:rPr>
              <w:t>Kontrolní akce</w:t>
            </w:r>
          </w:p>
        </w:tc>
      </w:tr>
      <w:tr w:rsidR="009960E7" w14:paraId="4F1CAC6E"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790BC2B2" w14:textId="77777777" w:rsidR="007B4F87" w:rsidRPr="004B6365" w:rsidRDefault="00455CD6" w:rsidP="007B4F87">
            <w:pPr>
              <w:spacing w:before="40" w:after="40"/>
              <w:rPr>
                <w:rFonts w:cstheme="minorHAnsi"/>
                <w:szCs w:val="24"/>
              </w:rPr>
            </w:pPr>
            <w:r w:rsidRPr="004B6365">
              <w:rPr>
                <w:rFonts w:cstheme="minorHAnsi"/>
                <w:szCs w:val="24"/>
              </w:rPr>
              <w:t>Kompetenční zákon</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53390FB6" w14:textId="7FE743DC" w:rsidR="007B4F87" w:rsidRPr="004B6365" w:rsidRDefault="00455CD6" w:rsidP="00AD4A7D">
            <w:pPr>
              <w:spacing w:before="40" w:after="40"/>
              <w:jc w:val="left"/>
              <w:rPr>
                <w:rFonts w:cstheme="minorHAnsi"/>
                <w:color w:val="000000"/>
                <w:szCs w:val="24"/>
              </w:rPr>
            </w:pPr>
            <w:r w:rsidRPr="004B6365">
              <w:rPr>
                <w:rFonts w:cstheme="minorHAnsi"/>
                <w:szCs w:val="24"/>
              </w:rPr>
              <w:t>Zákon </w:t>
            </w:r>
            <w:r w:rsidR="0002762A">
              <w:rPr>
                <w:rFonts w:cstheme="minorHAnsi"/>
                <w:szCs w:val="24"/>
              </w:rPr>
              <w:t xml:space="preserve">České národní rady </w:t>
            </w:r>
            <w:r w:rsidRPr="004B6365">
              <w:rPr>
                <w:rFonts w:cstheme="minorHAnsi"/>
                <w:szCs w:val="24"/>
              </w:rPr>
              <w:t xml:space="preserve">č. 2/1969 Sb., </w:t>
            </w:r>
            <w:bookmarkStart w:id="8" w:name="_Hlk147233385"/>
            <w:r w:rsidRPr="004B6365">
              <w:rPr>
                <w:rFonts w:cstheme="minorHAnsi"/>
                <w:szCs w:val="24"/>
              </w:rPr>
              <w:t>o zřízení ministerstev a</w:t>
            </w:r>
            <w:r w:rsidR="00763BBE">
              <w:rPr>
                <w:rFonts w:cstheme="minorHAnsi"/>
                <w:szCs w:val="24"/>
              </w:rPr>
              <w:t> </w:t>
            </w:r>
            <w:r w:rsidRPr="004B6365">
              <w:rPr>
                <w:rFonts w:cstheme="minorHAnsi"/>
                <w:szCs w:val="24"/>
              </w:rPr>
              <w:t>jiných ústředních orgánů státní správy České republiky</w:t>
            </w:r>
            <w:bookmarkEnd w:id="8"/>
          </w:p>
        </w:tc>
      </w:tr>
      <w:tr w:rsidR="009960E7" w14:paraId="31D50754"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1A0FE6B5" w14:textId="77777777" w:rsidR="007B4F87" w:rsidRPr="00AD4A7D" w:rsidRDefault="00455CD6" w:rsidP="007B4F87">
            <w:pPr>
              <w:spacing w:before="40" w:after="40"/>
              <w:rPr>
                <w:rFonts w:cstheme="minorHAnsi"/>
                <w:i/>
                <w:szCs w:val="24"/>
              </w:rPr>
            </w:pPr>
            <w:r w:rsidRPr="00AD4A7D">
              <w:rPr>
                <w:rFonts w:cstheme="minorHAnsi"/>
                <w:i/>
                <w:szCs w:val="24"/>
              </w:rPr>
              <w:t>Koncepce</w:t>
            </w:r>
            <w:r w:rsidR="00D506DE" w:rsidRPr="00AD4A7D">
              <w:rPr>
                <w:rFonts w:cstheme="minorHAnsi"/>
                <w:i/>
                <w:szCs w:val="24"/>
              </w:rPr>
              <w:t xml:space="preserve"> 2020</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6F12730F" w14:textId="77777777" w:rsidR="007B4F87" w:rsidRPr="00AD4A7D" w:rsidRDefault="00455CD6" w:rsidP="00AD4A7D">
            <w:pPr>
              <w:spacing w:before="40" w:after="40"/>
              <w:jc w:val="left"/>
              <w:rPr>
                <w:rFonts w:cstheme="minorHAnsi"/>
                <w:i/>
                <w:szCs w:val="24"/>
              </w:rPr>
            </w:pPr>
            <w:r w:rsidRPr="00AD4A7D">
              <w:rPr>
                <w:rFonts w:cstheme="minorHAnsi"/>
                <w:i/>
                <w:szCs w:val="24"/>
              </w:rPr>
              <w:t>Koncepce bydlení ČR do roku 2020</w:t>
            </w:r>
          </w:p>
        </w:tc>
      </w:tr>
      <w:tr w:rsidR="009960E7" w14:paraId="29DCA6B0"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5486E52D" w14:textId="77777777" w:rsidR="007B4F87" w:rsidRPr="00AD4A7D" w:rsidRDefault="00455CD6" w:rsidP="00F83B7C">
            <w:pPr>
              <w:spacing w:before="40" w:after="40"/>
              <w:jc w:val="left"/>
              <w:rPr>
                <w:rFonts w:cstheme="minorHAnsi"/>
                <w:i/>
                <w:szCs w:val="24"/>
              </w:rPr>
            </w:pPr>
            <w:r w:rsidRPr="00AD4A7D">
              <w:rPr>
                <w:rFonts w:cstheme="minorHAnsi"/>
                <w:i/>
                <w:szCs w:val="24"/>
              </w:rPr>
              <w:t>Koncepce 2020 (revidovaná)</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5612CA03" w14:textId="77777777" w:rsidR="007B4F87" w:rsidRPr="00AD4A7D" w:rsidRDefault="00455CD6" w:rsidP="00AD4A7D">
            <w:pPr>
              <w:spacing w:before="40" w:after="40"/>
              <w:jc w:val="left"/>
              <w:rPr>
                <w:rFonts w:cstheme="minorHAnsi"/>
                <w:i/>
                <w:color w:val="000000"/>
                <w:szCs w:val="24"/>
              </w:rPr>
            </w:pPr>
            <w:r w:rsidRPr="00AD4A7D">
              <w:rPr>
                <w:rFonts w:cstheme="minorHAnsi"/>
                <w:i/>
                <w:szCs w:val="24"/>
              </w:rPr>
              <w:t>Koncepce bydlení České republiky do roku 2020 (revidovaná)</w:t>
            </w:r>
          </w:p>
        </w:tc>
      </w:tr>
      <w:tr w:rsidR="009960E7" w14:paraId="7B861FF1"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10F3805D" w14:textId="77777777" w:rsidR="007B4F87" w:rsidRPr="00AD4A7D" w:rsidRDefault="00455CD6" w:rsidP="007B4F87">
            <w:pPr>
              <w:spacing w:before="40" w:after="40"/>
              <w:rPr>
                <w:rFonts w:cstheme="minorHAnsi"/>
                <w:i/>
                <w:szCs w:val="24"/>
              </w:rPr>
            </w:pPr>
            <w:r w:rsidRPr="00AD4A7D">
              <w:rPr>
                <w:rFonts w:cstheme="minorHAnsi"/>
                <w:i/>
                <w:szCs w:val="24"/>
              </w:rPr>
              <w:t>Koncepce 2021+</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68901BC4" w14:textId="77777777" w:rsidR="007B4F87" w:rsidRPr="00AD4A7D" w:rsidRDefault="00455CD6" w:rsidP="00AD4A7D">
            <w:pPr>
              <w:spacing w:before="40" w:after="40"/>
              <w:jc w:val="left"/>
              <w:rPr>
                <w:rFonts w:cstheme="minorHAnsi"/>
                <w:i/>
                <w:color w:val="000000"/>
                <w:szCs w:val="24"/>
              </w:rPr>
            </w:pPr>
            <w:r w:rsidRPr="00AD4A7D">
              <w:rPr>
                <w:rFonts w:cstheme="minorHAnsi"/>
                <w:i/>
                <w:szCs w:val="24"/>
              </w:rPr>
              <w:t>Koncepce bydlení České republiky 2021+</w:t>
            </w:r>
          </w:p>
        </w:tc>
      </w:tr>
      <w:tr w:rsidR="00FB7CDA" w14:paraId="74956EB3"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1437C269" w14:textId="4CB9AD04" w:rsidR="00FB7CDA" w:rsidRPr="004B6365" w:rsidRDefault="00FB7CDA" w:rsidP="007B4F87">
            <w:pPr>
              <w:spacing w:before="40" w:after="40"/>
              <w:rPr>
                <w:rFonts w:cstheme="minorHAnsi"/>
                <w:szCs w:val="24"/>
              </w:rPr>
            </w:pPr>
            <w:r>
              <w:rPr>
                <w:rFonts w:cstheme="minorHAnsi"/>
                <w:szCs w:val="24"/>
              </w:rPr>
              <w:t>MF</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tcPr>
          <w:p w14:paraId="3A29E726" w14:textId="4158E8A3" w:rsidR="00FB7CDA" w:rsidRPr="004B6365" w:rsidRDefault="00FB7CDA" w:rsidP="00AD4A7D">
            <w:pPr>
              <w:spacing w:before="40" w:after="40"/>
              <w:jc w:val="left"/>
              <w:rPr>
                <w:rFonts w:cstheme="minorHAnsi"/>
                <w:color w:val="000000"/>
                <w:szCs w:val="24"/>
              </w:rPr>
            </w:pPr>
            <w:r w:rsidRPr="004B6365">
              <w:rPr>
                <w:rFonts w:cstheme="minorHAnsi"/>
                <w:color w:val="000000"/>
                <w:szCs w:val="24"/>
              </w:rPr>
              <w:t>Ministerstvo</w:t>
            </w:r>
            <w:r>
              <w:rPr>
                <w:rFonts w:cstheme="minorHAnsi"/>
                <w:color w:val="000000"/>
                <w:szCs w:val="24"/>
              </w:rPr>
              <w:t xml:space="preserve"> financí</w:t>
            </w:r>
          </w:p>
        </w:tc>
      </w:tr>
      <w:tr w:rsidR="009960E7" w14:paraId="373FCC5E"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63845669" w14:textId="77777777" w:rsidR="007B4F87" w:rsidRPr="004B6365" w:rsidRDefault="00455CD6" w:rsidP="007B4F87">
            <w:pPr>
              <w:spacing w:before="40" w:after="40"/>
              <w:rPr>
                <w:rFonts w:cstheme="minorHAnsi"/>
                <w:szCs w:val="24"/>
              </w:rPr>
            </w:pPr>
            <w:r w:rsidRPr="004B6365">
              <w:rPr>
                <w:rFonts w:cstheme="minorHAnsi"/>
                <w:szCs w:val="24"/>
              </w:rPr>
              <w:t>MMR</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tcPr>
          <w:p w14:paraId="66F3EFB4" w14:textId="77777777" w:rsidR="007B4F87" w:rsidRPr="004B6365" w:rsidRDefault="00455CD6" w:rsidP="00AD4A7D">
            <w:pPr>
              <w:spacing w:before="40" w:after="40"/>
              <w:jc w:val="left"/>
              <w:rPr>
                <w:rFonts w:cstheme="minorHAnsi"/>
                <w:color w:val="000000"/>
                <w:szCs w:val="24"/>
              </w:rPr>
            </w:pPr>
            <w:r w:rsidRPr="004B6365">
              <w:rPr>
                <w:rFonts w:cstheme="minorHAnsi"/>
                <w:color w:val="000000"/>
                <w:szCs w:val="24"/>
              </w:rPr>
              <w:t>Ministerstvo pro místní rozvoj</w:t>
            </w:r>
          </w:p>
        </w:tc>
      </w:tr>
      <w:tr w:rsidR="009960E7" w14:paraId="79A609F5"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25901548" w14:textId="77777777" w:rsidR="007B4F87" w:rsidRPr="004B6365" w:rsidRDefault="00455CD6" w:rsidP="007B4F87">
            <w:pPr>
              <w:spacing w:before="40" w:after="40"/>
              <w:rPr>
                <w:rFonts w:cstheme="minorHAnsi"/>
                <w:szCs w:val="24"/>
              </w:rPr>
            </w:pPr>
            <w:r w:rsidRPr="004B6365">
              <w:rPr>
                <w:rFonts w:cstheme="minorHAnsi"/>
                <w:szCs w:val="24"/>
              </w:rPr>
              <w:t>MPSV</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238D2A8C" w14:textId="77777777" w:rsidR="007B4F87" w:rsidRPr="004B6365" w:rsidRDefault="00455CD6" w:rsidP="00AD4A7D">
            <w:pPr>
              <w:spacing w:before="40" w:after="40"/>
              <w:jc w:val="left"/>
              <w:rPr>
                <w:rFonts w:cstheme="minorHAnsi"/>
                <w:color w:val="000000"/>
                <w:szCs w:val="24"/>
              </w:rPr>
            </w:pPr>
            <w:r w:rsidRPr="004B6365">
              <w:rPr>
                <w:rFonts w:cstheme="minorHAnsi"/>
                <w:color w:val="000000"/>
                <w:szCs w:val="24"/>
              </w:rPr>
              <w:t>Ministerstvo práce a sociálních věcí</w:t>
            </w:r>
          </w:p>
        </w:tc>
      </w:tr>
      <w:tr w:rsidR="00FB7CDA" w14:paraId="7FE8C31A"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0A897D06" w14:textId="3546DABF" w:rsidR="00FB7CDA" w:rsidRPr="004B6365" w:rsidRDefault="00FB7CDA" w:rsidP="007B4F87">
            <w:pPr>
              <w:spacing w:before="40" w:after="40"/>
              <w:rPr>
                <w:rFonts w:cstheme="minorHAnsi"/>
                <w:szCs w:val="24"/>
              </w:rPr>
            </w:pPr>
            <w:r>
              <w:rPr>
                <w:rFonts w:cstheme="minorHAnsi"/>
                <w:szCs w:val="24"/>
              </w:rPr>
              <w:t>MV</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578E0F2B" w14:textId="76C93C85" w:rsidR="00FB7CDA" w:rsidRPr="004B6365" w:rsidRDefault="00FB7CDA" w:rsidP="00AD4A7D">
            <w:pPr>
              <w:spacing w:before="40" w:after="40"/>
              <w:jc w:val="left"/>
              <w:rPr>
                <w:rFonts w:cstheme="minorHAnsi"/>
                <w:color w:val="000000"/>
                <w:szCs w:val="24"/>
              </w:rPr>
            </w:pPr>
            <w:r w:rsidRPr="004B6365">
              <w:rPr>
                <w:rFonts w:cstheme="minorHAnsi"/>
                <w:color w:val="000000"/>
                <w:szCs w:val="24"/>
              </w:rPr>
              <w:t>Ministerstvo</w:t>
            </w:r>
            <w:r>
              <w:rPr>
                <w:rFonts w:cstheme="minorHAnsi"/>
                <w:color w:val="000000"/>
                <w:szCs w:val="24"/>
              </w:rPr>
              <w:t xml:space="preserve"> vnitra</w:t>
            </w:r>
          </w:p>
        </w:tc>
      </w:tr>
      <w:tr w:rsidR="009960E7" w14:paraId="610342B3"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71D8F8AF" w14:textId="77777777" w:rsidR="007B4F87" w:rsidRPr="004B6365" w:rsidRDefault="00455CD6" w:rsidP="007B4F87">
            <w:pPr>
              <w:spacing w:before="40" w:after="40"/>
              <w:rPr>
                <w:rFonts w:cstheme="minorHAnsi"/>
                <w:szCs w:val="24"/>
              </w:rPr>
            </w:pPr>
            <w:r w:rsidRPr="004B6365">
              <w:rPr>
                <w:rFonts w:cstheme="minorHAnsi"/>
                <w:szCs w:val="24"/>
              </w:rPr>
              <w:t>MŽP</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2BC93501" w14:textId="77777777" w:rsidR="007B4F87" w:rsidRPr="004B6365" w:rsidRDefault="00455CD6" w:rsidP="00AD4A7D">
            <w:pPr>
              <w:spacing w:before="40" w:after="40"/>
              <w:jc w:val="left"/>
              <w:rPr>
                <w:rFonts w:cstheme="minorHAnsi"/>
                <w:color w:val="000000"/>
                <w:szCs w:val="24"/>
              </w:rPr>
            </w:pPr>
            <w:r w:rsidRPr="004B6365">
              <w:rPr>
                <w:rFonts w:cstheme="minorHAnsi"/>
                <w:color w:val="000000"/>
                <w:szCs w:val="24"/>
              </w:rPr>
              <w:t>Ministerstvo životního prostředí</w:t>
            </w:r>
          </w:p>
        </w:tc>
      </w:tr>
      <w:tr w:rsidR="009960E7" w14:paraId="360065AC"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5522B6FA" w14:textId="77777777" w:rsidR="007B4F87" w:rsidRPr="004B6365" w:rsidRDefault="00455CD6" w:rsidP="007B4F87">
            <w:pPr>
              <w:spacing w:before="40" w:after="40"/>
              <w:rPr>
                <w:rFonts w:cstheme="minorHAnsi"/>
                <w:szCs w:val="24"/>
              </w:rPr>
            </w:pPr>
            <w:r w:rsidRPr="004B6365">
              <w:rPr>
                <w:rFonts w:cstheme="minorHAnsi"/>
                <w:szCs w:val="24"/>
              </w:rPr>
              <w:t>NKÚ</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2FD26884" w14:textId="77777777" w:rsidR="007B4F87" w:rsidRPr="004B6365" w:rsidRDefault="00455CD6" w:rsidP="00AD4A7D">
            <w:pPr>
              <w:spacing w:before="40" w:after="40"/>
              <w:jc w:val="left"/>
              <w:rPr>
                <w:rFonts w:cstheme="minorHAnsi"/>
                <w:color w:val="000000"/>
                <w:szCs w:val="24"/>
              </w:rPr>
            </w:pPr>
            <w:r w:rsidRPr="004B6365">
              <w:rPr>
                <w:rFonts w:cstheme="minorHAnsi"/>
                <w:color w:val="000000"/>
                <w:szCs w:val="24"/>
              </w:rPr>
              <w:t>Nejvyšší kontrolní úřad</w:t>
            </w:r>
          </w:p>
        </w:tc>
      </w:tr>
      <w:tr w:rsidR="009960E7" w14:paraId="37C1A96A"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48494988" w14:textId="77777777" w:rsidR="007B4F87" w:rsidRPr="004B6365" w:rsidRDefault="00455CD6" w:rsidP="007B4F87">
            <w:pPr>
              <w:spacing w:before="40" w:after="40"/>
              <w:jc w:val="left"/>
              <w:rPr>
                <w:rFonts w:cstheme="minorHAnsi"/>
                <w:szCs w:val="24"/>
              </w:rPr>
            </w:pPr>
            <w:proofErr w:type="spellStart"/>
            <w:r w:rsidRPr="004B6365">
              <w:rPr>
                <w:rFonts w:cstheme="minorHAnsi"/>
                <w:szCs w:val="24"/>
              </w:rPr>
              <w:t>RoPD</w:t>
            </w:r>
            <w:proofErr w:type="spellEnd"/>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3E96BC46" w14:textId="77777777" w:rsidR="007B4F87" w:rsidRPr="004B6365" w:rsidRDefault="00455CD6" w:rsidP="00AD4A7D">
            <w:pPr>
              <w:spacing w:before="40" w:after="40"/>
              <w:jc w:val="left"/>
              <w:rPr>
                <w:rFonts w:cstheme="minorHAnsi"/>
                <w:color w:val="000000"/>
                <w:szCs w:val="24"/>
              </w:rPr>
            </w:pPr>
            <w:r w:rsidRPr="004B6365">
              <w:rPr>
                <w:rFonts w:cstheme="minorHAnsi"/>
                <w:color w:val="000000"/>
                <w:szCs w:val="24"/>
              </w:rPr>
              <w:t>Rozhodnutí o poskytnutí dotace</w:t>
            </w:r>
          </w:p>
        </w:tc>
      </w:tr>
      <w:tr w:rsidR="009960E7" w14:paraId="10D40494"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1B8D1523" w14:textId="77777777" w:rsidR="007B4F87" w:rsidRPr="004B6365" w:rsidRDefault="00455CD6" w:rsidP="007B4F87">
            <w:pPr>
              <w:spacing w:before="40" w:after="40"/>
              <w:rPr>
                <w:rFonts w:cstheme="minorHAnsi"/>
                <w:szCs w:val="24"/>
              </w:rPr>
            </w:pPr>
            <w:r w:rsidRPr="004B6365">
              <w:rPr>
                <w:rFonts w:cstheme="minorHAnsi"/>
                <w:color w:val="000000"/>
                <w:szCs w:val="24"/>
              </w:rPr>
              <w:t>Rozpočtová pravidla</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0E709A16" w14:textId="77777777" w:rsidR="007B4F87" w:rsidRPr="004B6365" w:rsidRDefault="00455CD6" w:rsidP="00AD4A7D">
            <w:pPr>
              <w:spacing w:before="40" w:after="40"/>
              <w:jc w:val="left"/>
              <w:rPr>
                <w:rFonts w:cstheme="minorHAnsi"/>
                <w:color w:val="000000"/>
                <w:szCs w:val="24"/>
              </w:rPr>
            </w:pPr>
            <w:r w:rsidRPr="004B6365">
              <w:rPr>
                <w:rFonts w:cstheme="minorHAnsi"/>
                <w:color w:val="000000"/>
                <w:szCs w:val="24"/>
              </w:rPr>
              <w:t xml:space="preserve">Zákon č. 218/2000 Sb., </w:t>
            </w:r>
            <w:bookmarkStart w:id="9" w:name="_Hlk147233451"/>
            <w:r w:rsidRPr="004B6365">
              <w:rPr>
                <w:rFonts w:cstheme="minorHAnsi"/>
                <w:color w:val="000000"/>
                <w:szCs w:val="24"/>
              </w:rPr>
              <w:t>o rozpočtových pravidlech a o změně některých souvisejících zákonů</w:t>
            </w:r>
            <w:bookmarkEnd w:id="9"/>
            <w:r w:rsidR="007B2B23">
              <w:rPr>
                <w:rFonts w:cstheme="minorHAnsi"/>
                <w:color w:val="000000"/>
                <w:szCs w:val="24"/>
              </w:rPr>
              <w:t xml:space="preserve"> (rozpočtová pravidla)</w:t>
            </w:r>
          </w:p>
        </w:tc>
      </w:tr>
      <w:tr w:rsidR="009960E7" w14:paraId="2DE296A7"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30C0594A" w14:textId="77777777" w:rsidR="007B4F87" w:rsidRPr="004B6365" w:rsidRDefault="00455CD6" w:rsidP="007B4F87">
            <w:pPr>
              <w:spacing w:before="40" w:after="40"/>
              <w:rPr>
                <w:rFonts w:cstheme="minorHAnsi"/>
                <w:szCs w:val="24"/>
              </w:rPr>
            </w:pPr>
            <w:r w:rsidRPr="004B6365">
              <w:rPr>
                <w:rFonts w:cstheme="minorHAnsi"/>
                <w:szCs w:val="24"/>
              </w:rPr>
              <w:t>SFPI</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5E2E3636" w14:textId="77777777" w:rsidR="007B4F87" w:rsidRPr="004B6365" w:rsidRDefault="00455CD6" w:rsidP="00AD4A7D">
            <w:pPr>
              <w:spacing w:before="40" w:after="40"/>
              <w:jc w:val="left"/>
              <w:rPr>
                <w:rFonts w:cstheme="minorHAnsi"/>
                <w:color w:val="000000"/>
                <w:szCs w:val="24"/>
              </w:rPr>
            </w:pPr>
            <w:r w:rsidRPr="004B6365">
              <w:rPr>
                <w:rFonts w:cstheme="minorHAnsi"/>
                <w:szCs w:val="24"/>
              </w:rPr>
              <w:t>Státní fond podpory investic</w:t>
            </w:r>
          </w:p>
        </w:tc>
      </w:tr>
      <w:tr w:rsidR="009960E7" w14:paraId="31BA845A"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68BA40C2" w14:textId="77777777" w:rsidR="007B4F87" w:rsidRPr="004B6365" w:rsidRDefault="00455CD6" w:rsidP="007B4F87">
            <w:pPr>
              <w:spacing w:before="40" w:after="40"/>
              <w:rPr>
                <w:rFonts w:cstheme="minorHAnsi"/>
                <w:szCs w:val="24"/>
              </w:rPr>
            </w:pPr>
            <w:r w:rsidRPr="004B6365">
              <w:rPr>
                <w:rFonts w:cstheme="minorHAnsi"/>
                <w:szCs w:val="24"/>
              </w:rPr>
              <w:t>SPZ</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4C53463E" w14:textId="77777777" w:rsidR="007B4F87" w:rsidRPr="004B6365" w:rsidRDefault="00455CD6" w:rsidP="00FB7CDA">
            <w:pPr>
              <w:spacing w:after="160" w:line="259" w:lineRule="auto"/>
              <w:contextualSpacing/>
              <w:jc w:val="left"/>
              <w:rPr>
                <w:rFonts w:cstheme="minorHAnsi"/>
                <w:szCs w:val="24"/>
              </w:rPr>
            </w:pPr>
            <w:r w:rsidRPr="004B6365">
              <w:rPr>
                <w:rFonts w:cstheme="minorHAnsi"/>
                <w:szCs w:val="24"/>
              </w:rPr>
              <w:t>Strategická průmyslová zóna</w:t>
            </w:r>
          </w:p>
        </w:tc>
      </w:tr>
      <w:tr w:rsidR="009960E7" w14:paraId="27132980"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5B7443A4" w14:textId="77777777" w:rsidR="007B4F87" w:rsidRPr="004B6365" w:rsidRDefault="00455CD6" w:rsidP="007B4F87">
            <w:pPr>
              <w:spacing w:before="40" w:after="40"/>
              <w:rPr>
                <w:rFonts w:cstheme="minorHAnsi"/>
                <w:szCs w:val="24"/>
              </w:rPr>
            </w:pPr>
            <w:r w:rsidRPr="004B6365">
              <w:rPr>
                <w:rFonts w:cstheme="minorHAnsi"/>
                <w:szCs w:val="24"/>
              </w:rPr>
              <w:t>SFŽP</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1653C758" w14:textId="77777777" w:rsidR="007B4F87" w:rsidRPr="004B6365" w:rsidRDefault="00455CD6" w:rsidP="00AD4A7D">
            <w:pPr>
              <w:spacing w:before="40" w:after="40"/>
              <w:jc w:val="left"/>
              <w:rPr>
                <w:rFonts w:cstheme="minorHAnsi"/>
                <w:color w:val="000000"/>
                <w:szCs w:val="24"/>
              </w:rPr>
            </w:pPr>
            <w:r w:rsidRPr="004B6365">
              <w:rPr>
                <w:rFonts w:cstheme="minorHAnsi"/>
                <w:color w:val="000000"/>
                <w:szCs w:val="24"/>
              </w:rPr>
              <w:t>Státní fond životního prostředí</w:t>
            </w:r>
          </w:p>
        </w:tc>
      </w:tr>
      <w:tr w:rsidR="009960E7" w14:paraId="5C1F8671"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252BE5A0" w14:textId="77777777" w:rsidR="007B4F87" w:rsidRPr="004B6365" w:rsidRDefault="00455CD6" w:rsidP="007B4F87">
            <w:pPr>
              <w:spacing w:before="40" w:after="40"/>
              <w:rPr>
                <w:rFonts w:cstheme="minorHAnsi"/>
                <w:szCs w:val="24"/>
              </w:rPr>
            </w:pPr>
            <w:r w:rsidRPr="004B6365">
              <w:rPr>
                <w:rFonts w:cstheme="minorHAnsi"/>
                <w:szCs w:val="24"/>
              </w:rPr>
              <w:t>SZIF</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2014E19A" w14:textId="77777777" w:rsidR="007B4F87" w:rsidRPr="004B6365" w:rsidRDefault="00455CD6" w:rsidP="00AD4A7D">
            <w:pPr>
              <w:spacing w:before="40" w:after="40"/>
              <w:jc w:val="left"/>
              <w:rPr>
                <w:rFonts w:cstheme="minorHAnsi"/>
                <w:color w:val="000000"/>
                <w:szCs w:val="24"/>
              </w:rPr>
            </w:pPr>
            <w:r w:rsidRPr="004B6365">
              <w:rPr>
                <w:rFonts w:cstheme="minorHAnsi"/>
                <w:color w:val="000000"/>
                <w:szCs w:val="24"/>
              </w:rPr>
              <w:t>Státní zemědělský intervenční fond</w:t>
            </w:r>
          </w:p>
        </w:tc>
      </w:tr>
      <w:tr w:rsidR="009960E7" w14:paraId="504FA72F"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4075916A" w14:textId="77777777" w:rsidR="004B6365" w:rsidRPr="004B6365" w:rsidRDefault="00455CD6" w:rsidP="00AD4A7D">
            <w:pPr>
              <w:spacing w:before="40" w:after="40"/>
              <w:jc w:val="left"/>
              <w:rPr>
                <w:rFonts w:cstheme="minorHAnsi"/>
                <w:szCs w:val="24"/>
              </w:rPr>
            </w:pPr>
            <w:r>
              <w:rPr>
                <w:rFonts w:cstheme="minorHAnsi"/>
                <w:szCs w:val="24"/>
              </w:rPr>
              <w:t>Zákon o finanční kontrole</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79586CB7" w14:textId="71D36510" w:rsidR="004B6365" w:rsidRPr="004B6365" w:rsidRDefault="00455CD6" w:rsidP="00AD4A7D">
            <w:pPr>
              <w:spacing w:before="40" w:after="40"/>
              <w:jc w:val="left"/>
              <w:rPr>
                <w:szCs w:val="24"/>
              </w:rPr>
            </w:pPr>
            <w:r w:rsidRPr="004B6365">
              <w:rPr>
                <w:szCs w:val="24"/>
              </w:rPr>
              <w:t>Zákon č. 320/2001 Sb., o finanční kontrole ve veřejné správě a</w:t>
            </w:r>
            <w:r w:rsidR="00FB7CDA">
              <w:rPr>
                <w:szCs w:val="24"/>
              </w:rPr>
              <w:t> </w:t>
            </w:r>
            <w:r w:rsidRPr="004B6365">
              <w:rPr>
                <w:szCs w:val="24"/>
              </w:rPr>
              <w:t>o</w:t>
            </w:r>
            <w:r w:rsidR="00FB7CDA">
              <w:rPr>
                <w:szCs w:val="24"/>
              </w:rPr>
              <w:t> </w:t>
            </w:r>
            <w:r w:rsidRPr="004B6365">
              <w:rPr>
                <w:szCs w:val="24"/>
              </w:rPr>
              <w:t>změně některých zákonů (zákon o finanční kontrole)</w:t>
            </w:r>
          </w:p>
        </w:tc>
      </w:tr>
      <w:tr w:rsidR="008350AB" w14:paraId="0C1164DB"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1ACD95E9" w14:textId="77777777" w:rsidR="008350AB" w:rsidRDefault="008350AB" w:rsidP="007B4F87">
            <w:pPr>
              <w:spacing w:before="40" w:after="40"/>
              <w:rPr>
                <w:rFonts w:cstheme="minorHAnsi"/>
                <w:szCs w:val="24"/>
              </w:rPr>
            </w:pPr>
            <w:r>
              <w:rPr>
                <w:rFonts w:cstheme="minorHAnsi"/>
                <w:szCs w:val="24"/>
              </w:rPr>
              <w:t>Zákon o majetku ČR</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5BFCCB55" w14:textId="77777777" w:rsidR="008350AB" w:rsidRPr="004B6365" w:rsidRDefault="008350AB" w:rsidP="00AD4A7D">
            <w:pPr>
              <w:spacing w:before="40" w:after="40"/>
              <w:jc w:val="left"/>
              <w:rPr>
                <w:szCs w:val="24"/>
              </w:rPr>
            </w:pPr>
            <w:r>
              <w:rPr>
                <w:szCs w:val="24"/>
              </w:rPr>
              <w:t>Zákon č. 219/2000 Sb., o majetku České republiky a jejím vystupování v právních vztazích</w:t>
            </w:r>
          </w:p>
        </w:tc>
      </w:tr>
      <w:tr w:rsidR="009960E7" w14:paraId="7E5AF126"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1256EB65" w14:textId="77777777" w:rsidR="0028207F" w:rsidRPr="004B6365" w:rsidRDefault="00455CD6" w:rsidP="007B4F87">
            <w:pPr>
              <w:spacing w:before="40" w:after="40"/>
              <w:rPr>
                <w:rFonts w:cstheme="minorHAnsi"/>
                <w:szCs w:val="24"/>
              </w:rPr>
            </w:pPr>
            <w:r w:rsidRPr="004B6365">
              <w:rPr>
                <w:rFonts w:cstheme="minorHAnsi"/>
                <w:szCs w:val="24"/>
              </w:rPr>
              <w:t>Zákon o SFPI</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2B914042" w14:textId="77777777" w:rsidR="0028207F" w:rsidRPr="004B6365" w:rsidRDefault="00455CD6" w:rsidP="00AD4A7D">
            <w:pPr>
              <w:spacing w:before="40" w:after="40"/>
              <w:jc w:val="left"/>
              <w:rPr>
                <w:rFonts w:cstheme="minorHAnsi"/>
                <w:color w:val="000000"/>
                <w:szCs w:val="24"/>
              </w:rPr>
            </w:pPr>
            <w:r w:rsidRPr="004B6365">
              <w:rPr>
                <w:szCs w:val="24"/>
              </w:rPr>
              <w:t>Zákon č. 211/2000 Sb.</w:t>
            </w:r>
            <w:r w:rsidR="00723F42">
              <w:rPr>
                <w:szCs w:val="24"/>
              </w:rPr>
              <w:t>,</w:t>
            </w:r>
            <w:r w:rsidRPr="004B6365">
              <w:rPr>
                <w:szCs w:val="24"/>
              </w:rPr>
              <w:t xml:space="preserve"> </w:t>
            </w:r>
            <w:bookmarkStart w:id="10" w:name="_Hlk147233308"/>
            <w:r w:rsidRPr="004B6365">
              <w:rPr>
                <w:szCs w:val="24"/>
              </w:rPr>
              <w:t>o Státním fondu podpory investic</w:t>
            </w:r>
            <w:bookmarkEnd w:id="10"/>
          </w:p>
        </w:tc>
      </w:tr>
      <w:tr w:rsidR="009960E7" w14:paraId="3624664A"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01E24275" w14:textId="77777777" w:rsidR="0028207F" w:rsidRPr="004B6365" w:rsidRDefault="00455CD6" w:rsidP="007B4F87">
            <w:pPr>
              <w:spacing w:before="40" w:after="40"/>
              <w:rPr>
                <w:rFonts w:cstheme="minorHAnsi"/>
                <w:szCs w:val="24"/>
              </w:rPr>
            </w:pPr>
            <w:r w:rsidRPr="004B6365">
              <w:rPr>
                <w:rFonts w:cstheme="minorHAnsi"/>
                <w:szCs w:val="24"/>
              </w:rPr>
              <w:t>Zákon o SZIF</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601C3B86" w14:textId="77777777" w:rsidR="0028207F" w:rsidRPr="004B6365" w:rsidRDefault="00455CD6" w:rsidP="00AD4A7D">
            <w:pPr>
              <w:spacing w:before="40" w:after="40"/>
              <w:jc w:val="left"/>
              <w:rPr>
                <w:rFonts w:cstheme="minorHAnsi"/>
                <w:color w:val="000000"/>
                <w:szCs w:val="24"/>
              </w:rPr>
            </w:pPr>
            <w:r w:rsidRPr="004B6365">
              <w:rPr>
                <w:szCs w:val="24"/>
              </w:rPr>
              <w:t>Zákon č. 256/2000 Sb., o Státním zemědělském intervenčním fondu</w:t>
            </w:r>
            <w:r w:rsidR="0002762A">
              <w:rPr>
                <w:szCs w:val="24"/>
              </w:rPr>
              <w:t xml:space="preserve"> a o změně některých dalších zákonů (zákon o Státním zemědělském intervenčním fondu)</w:t>
            </w:r>
          </w:p>
        </w:tc>
      </w:tr>
      <w:tr w:rsidR="003E43D5" w14:paraId="7D5694E7" w14:textId="77777777" w:rsidTr="004C72A7">
        <w:trPr>
          <w:trHeight w:val="36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27D7820C" w14:textId="5F96DF0B" w:rsidR="003E43D5" w:rsidRPr="004B6365" w:rsidRDefault="003E43D5" w:rsidP="007B4F87">
            <w:pPr>
              <w:spacing w:before="40" w:after="40"/>
              <w:rPr>
                <w:rFonts w:cstheme="minorHAnsi"/>
                <w:szCs w:val="24"/>
              </w:rPr>
            </w:pPr>
            <w:r>
              <w:rPr>
                <w:rFonts w:cstheme="minorHAnsi"/>
                <w:szCs w:val="24"/>
              </w:rPr>
              <w:t>ZZVZ</w:t>
            </w:r>
          </w:p>
        </w:tc>
        <w:tc>
          <w:tcPr>
            <w:tcW w:w="6740" w:type="dxa"/>
            <w:tcBorders>
              <w:top w:val="single" w:sz="4" w:space="0" w:color="auto"/>
              <w:left w:val="single" w:sz="4" w:space="0" w:color="auto"/>
              <w:bottom w:val="single" w:sz="4" w:space="0" w:color="auto"/>
              <w:right w:val="single" w:sz="4" w:space="0" w:color="auto"/>
            </w:tcBorders>
            <w:shd w:val="clear" w:color="auto" w:fill="auto"/>
          </w:tcPr>
          <w:p w14:paraId="11A4E0F3" w14:textId="379FF2A5" w:rsidR="003E43D5" w:rsidRPr="004B6365" w:rsidRDefault="003E43D5">
            <w:pPr>
              <w:spacing w:before="40" w:after="40"/>
              <w:jc w:val="left"/>
              <w:rPr>
                <w:szCs w:val="24"/>
              </w:rPr>
            </w:pPr>
            <w:r>
              <w:rPr>
                <w:szCs w:val="24"/>
              </w:rPr>
              <w:t xml:space="preserve">Zákon o zadávání veřejných zakázek </w:t>
            </w:r>
            <w:r>
              <w:rPr>
                <w:szCs w:val="24"/>
              </w:rPr>
              <w:br/>
              <w:t>(</w:t>
            </w:r>
            <w:r w:rsidRPr="003E43D5">
              <w:rPr>
                <w:szCs w:val="24"/>
              </w:rPr>
              <w:t>zákon č. 134/2016 Sb., o</w:t>
            </w:r>
            <w:r>
              <w:rPr>
                <w:szCs w:val="24"/>
              </w:rPr>
              <w:t> </w:t>
            </w:r>
            <w:r w:rsidRPr="003E43D5">
              <w:rPr>
                <w:szCs w:val="24"/>
              </w:rPr>
              <w:t>zadávání veřejných zakázek</w:t>
            </w:r>
            <w:r>
              <w:rPr>
                <w:szCs w:val="24"/>
              </w:rPr>
              <w:t>)</w:t>
            </w:r>
          </w:p>
        </w:tc>
      </w:tr>
    </w:tbl>
    <w:p w14:paraId="2D74F0DD" w14:textId="77777777" w:rsidR="001E7348" w:rsidRDefault="001E7348" w:rsidP="00BA17A2">
      <w:pPr>
        <w:keepNext/>
        <w:keepLines/>
        <w:jc w:val="right"/>
        <w:rPr>
          <w:b/>
        </w:rPr>
      </w:pPr>
    </w:p>
    <w:p w14:paraId="7A4908CD" w14:textId="77777777" w:rsidR="00FE61FC" w:rsidRDefault="00FE61FC">
      <w:pPr>
        <w:jc w:val="left"/>
        <w:rPr>
          <w:b/>
        </w:rPr>
      </w:pPr>
      <w:r>
        <w:rPr>
          <w:b/>
        </w:rPr>
        <w:br w:type="page"/>
      </w:r>
    </w:p>
    <w:p w14:paraId="5EE39B5A" w14:textId="77777777" w:rsidR="00E7128E" w:rsidRDefault="00455CD6" w:rsidP="00BA17A2">
      <w:pPr>
        <w:keepNext/>
        <w:keepLines/>
        <w:jc w:val="right"/>
        <w:rPr>
          <w:b/>
        </w:rPr>
      </w:pPr>
      <w:r w:rsidRPr="00E7288D">
        <w:rPr>
          <w:b/>
        </w:rPr>
        <w:lastRenderedPageBreak/>
        <w:t>Příloha č. 1</w:t>
      </w:r>
    </w:p>
    <w:p w14:paraId="5CCBC7B3" w14:textId="77777777" w:rsidR="00E7288D" w:rsidRPr="00AD4A7D" w:rsidRDefault="00455CD6" w:rsidP="00BA17A2">
      <w:pPr>
        <w:keepNext/>
        <w:keepLines/>
        <w:jc w:val="left"/>
        <w:rPr>
          <w:b/>
          <w:szCs w:val="24"/>
        </w:rPr>
      </w:pPr>
      <w:r w:rsidRPr="00AD4A7D">
        <w:rPr>
          <w:b/>
          <w:szCs w:val="24"/>
        </w:rPr>
        <w:t xml:space="preserve">Přehled </w:t>
      </w:r>
      <w:r w:rsidR="00A73E19" w:rsidRPr="00AD4A7D">
        <w:rPr>
          <w:b/>
          <w:szCs w:val="24"/>
        </w:rPr>
        <w:t xml:space="preserve">a hodnocení </w:t>
      </w:r>
      <w:r w:rsidRPr="00AD4A7D">
        <w:rPr>
          <w:b/>
          <w:szCs w:val="24"/>
        </w:rPr>
        <w:t>kontrolovaných projektů</w:t>
      </w:r>
    </w:p>
    <w:tbl>
      <w:tblPr>
        <w:tblW w:w="9411" w:type="dxa"/>
        <w:tblInd w:w="-5" w:type="dxa"/>
        <w:tblCellMar>
          <w:left w:w="70" w:type="dxa"/>
          <w:right w:w="70" w:type="dxa"/>
        </w:tblCellMar>
        <w:tblLook w:val="04A0" w:firstRow="1" w:lastRow="0" w:firstColumn="1" w:lastColumn="0" w:noHBand="0" w:noVBand="1"/>
      </w:tblPr>
      <w:tblGrid>
        <w:gridCol w:w="1554"/>
        <w:gridCol w:w="2841"/>
        <w:gridCol w:w="1559"/>
        <w:gridCol w:w="1276"/>
        <w:gridCol w:w="869"/>
        <w:gridCol w:w="1312"/>
      </w:tblGrid>
      <w:tr w:rsidR="009960E7" w14:paraId="1B5BA901" w14:textId="77777777" w:rsidTr="00AD4A7D">
        <w:trPr>
          <w:cantSplit/>
          <w:trHeight w:val="300"/>
          <w:tblHeader/>
        </w:trPr>
        <w:tc>
          <w:tcPr>
            <w:tcW w:w="1554" w:type="dxa"/>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10B90F79" w14:textId="77777777" w:rsidR="00E7288D" w:rsidRPr="00E7288D" w:rsidRDefault="00455CD6" w:rsidP="00BA17A2">
            <w:pPr>
              <w:keepNext/>
              <w:keepLines/>
              <w:jc w:val="center"/>
              <w:rPr>
                <w:rFonts w:ascii="Calibri" w:hAnsi="Calibri" w:cs="Calibri"/>
                <w:b/>
                <w:bCs/>
                <w:color w:val="000000"/>
                <w:sz w:val="20"/>
              </w:rPr>
            </w:pPr>
            <w:r w:rsidRPr="00E7288D">
              <w:rPr>
                <w:rFonts w:ascii="Calibri" w:hAnsi="Calibri" w:cs="Calibri"/>
                <w:b/>
                <w:bCs/>
                <w:color w:val="000000"/>
                <w:sz w:val="20"/>
              </w:rPr>
              <w:t>Číslo projektu/ smlouvy (SFPI)</w:t>
            </w:r>
          </w:p>
        </w:tc>
        <w:tc>
          <w:tcPr>
            <w:tcW w:w="2841" w:type="dxa"/>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26934896" w14:textId="77777777" w:rsidR="00E7288D" w:rsidRPr="00E7288D" w:rsidRDefault="00455CD6" w:rsidP="00BA17A2">
            <w:pPr>
              <w:keepNext/>
              <w:keepLines/>
              <w:jc w:val="center"/>
              <w:rPr>
                <w:rFonts w:ascii="Calibri" w:hAnsi="Calibri" w:cs="Calibri"/>
                <w:b/>
                <w:bCs/>
                <w:color w:val="000000"/>
                <w:sz w:val="20"/>
              </w:rPr>
            </w:pPr>
            <w:r w:rsidRPr="00E7288D">
              <w:rPr>
                <w:rFonts w:ascii="Calibri" w:hAnsi="Calibri" w:cs="Calibri"/>
                <w:b/>
                <w:bCs/>
                <w:color w:val="000000"/>
                <w:sz w:val="20"/>
              </w:rPr>
              <w:t>Název a stručný popis projektu</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7B545BBC" w14:textId="77777777" w:rsidR="00E7288D" w:rsidRPr="00E7288D" w:rsidRDefault="00455CD6" w:rsidP="00BA17A2">
            <w:pPr>
              <w:keepNext/>
              <w:keepLines/>
              <w:jc w:val="center"/>
              <w:rPr>
                <w:rFonts w:ascii="Calibri" w:hAnsi="Calibri" w:cs="Calibri"/>
                <w:b/>
                <w:bCs/>
                <w:color w:val="000000"/>
                <w:sz w:val="20"/>
              </w:rPr>
            </w:pPr>
            <w:r w:rsidRPr="00E7288D">
              <w:rPr>
                <w:rFonts w:ascii="Calibri" w:hAnsi="Calibri" w:cs="Calibri"/>
                <w:b/>
                <w:bCs/>
                <w:color w:val="000000"/>
                <w:sz w:val="20"/>
              </w:rPr>
              <w:t>Příjemce</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6E5032CE" w14:textId="77777777" w:rsidR="00E7288D" w:rsidRPr="00E7288D" w:rsidRDefault="00455CD6" w:rsidP="00763BBE">
            <w:pPr>
              <w:keepNext/>
              <w:keepLines/>
              <w:jc w:val="center"/>
              <w:rPr>
                <w:rFonts w:ascii="Calibri" w:hAnsi="Calibri" w:cs="Calibri"/>
                <w:b/>
                <w:bCs/>
                <w:color w:val="000000"/>
                <w:sz w:val="20"/>
              </w:rPr>
            </w:pPr>
            <w:r w:rsidRPr="00E7288D">
              <w:rPr>
                <w:rFonts w:ascii="Calibri" w:hAnsi="Calibri" w:cs="Calibri"/>
                <w:b/>
                <w:bCs/>
                <w:color w:val="000000"/>
                <w:sz w:val="20"/>
              </w:rPr>
              <w:t>Výše dotace/ úvěru v Kč</w:t>
            </w:r>
          </w:p>
        </w:tc>
        <w:tc>
          <w:tcPr>
            <w:tcW w:w="2181" w:type="dxa"/>
            <w:gridSpan w:val="2"/>
            <w:tcBorders>
              <w:top w:val="single" w:sz="4" w:space="0" w:color="auto"/>
              <w:left w:val="nil"/>
              <w:bottom w:val="single" w:sz="4" w:space="0" w:color="auto"/>
              <w:right w:val="single" w:sz="4" w:space="0" w:color="auto"/>
            </w:tcBorders>
            <w:shd w:val="clear" w:color="000000" w:fill="E5F1FF"/>
            <w:vAlign w:val="center"/>
            <w:hideMark/>
          </w:tcPr>
          <w:p w14:paraId="15B9FE40" w14:textId="77777777" w:rsidR="00E7288D" w:rsidRPr="00E7288D" w:rsidRDefault="00455CD6" w:rsidP="00BA17A2">
            <w:pPr>
              <w:keepNext/>
              <w:keepLines/>
              <w:jc w:val="center"/>
              <w:rPr>
                <w:rFonts w:ascii="Calibri" w:hAnsi="Calibri" w:cs="Calibri"/>
                <w:b/>
                <w:bCs/>
                <w:color w:val="000000"/>
                <w:sz w:val="20"/>
              </w:rPr>
            </w:pPr>
            <w:r w:rsidRPr="00E7288D">
              <w:rPr>
                <w:rFonts w:ascii="Calibri" w:hAnsi="Calibri" w:cs="Calibri"/>
                <w:b/>
                <w:bCs/>
                <w:color w:val="000000"/>
                <w:sz w:val="20"/>
              </w:rPr>
              <w:t>Hodnocení</w:t>
            </w:r>
          </w:p>
        </w:tc>
      </w:tr>
      <w:tr w:rsidR="009960E7" w14:paraId="00F34DC1" w14:textId="77777777" w:rsidTr="00AD4A7D">
        <w:trPr>
          <w:cantSplit/>
          <w:trHeight w:val="300"/>
          <w:tblHeader/>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266F5758" w14:textId="77777777" w:rsidR="00E7288D" w:rsidRPr="00E7288D" w:rsidRDefault="00E7288D" w:rsidP="00BA17A2">
            <w:pPr>
              <w:keepNext/>
              <w:keepLines/>
              <w:jc w:val="left"/>
              <w:rPr>
                <w:rFonts w:ascii="Calibri" w:hAnsi="Calibri" w:cs="Calibri"/>
                <w:b/>
                <w:bCs/>
                <w:color w:val="000000"/>
                <w:sz w:val="20"/>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14:paraId="1876857E" w14:textId="77777777" w:rsidR="00E7288D" w:rsidRPr="00E7288D" w:rsidRDefault="00E7288D" w:rsidP="00BA17A2">
            <w:pPr>
              <w:keepNext/>
              <w:keepLines/>
              <w:jc w:val="left"/>
              <w:rPr>
                <w:rFonts w:ascii="Calibri" w:hAnsi="Calibri" w:cs="Calibri"/>
                <w:b/>
                <w:bCs/>
                <w:color w:val="000000"/>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5EBE0EF" w14:textId="77777777" w:rsidR="00E7288D" w:rsidRPr="00E7288D" w:rsidRDefault="00E7288D" w:rsidP="00BA17A2">
            <w:pPr>
              <w:keepNext/>
              <w:keepLines/>
              <w:jc w:val="left"/>
              <w:rPr>
                <w:rFonts w:ascii="Calibri" w:hAnsi="Calibri" w:cs="Calibri"/>
                <w:b/>
                <w:bCs/>
                <w:color w:val="000000"/>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520E01B" w14:textId="77777777" w:rsidR="00E7288D" w:rsidRPr="00E7288D" w:rsidRDefault="00E7288D" w:rsidP="00AD4A7D">
            <w:pPr>
              <w:keepNext/>
              <w:keepLines/>
              <w:jc w:val="right"/>
              <w:rPr>
                <w:rFonts w:ascii="Calibri" w:hAnsi="Calibri" w:cs="Calibri"/>
                <w:b/>
                <w:bCs/>
                <w:color w:val="000000"/>
                <w:sz w:val="20"/>
              </w:rPr>
            </w:pPr>
          </w:p>
        </w:tc>
        <w:tc>
          <w:tcPr>
            <w:tcW w:w="869" w:type="dxa"/>
            <w:tcBorders>
              <w:top w:val="nil"/>
              <w:left w:val="nil"/>
              <w:bottom w:val="single" w:sz="4" w:space="0" w:color="auto"/>
              <w:right w:val="single" w:sz="4" w:space="0" w:color="auto"/>
            </w:tcBorders>
            <w:shd w:val="clear" w:color="000000" w:fill="E5F1FF"/>
            <w:noWrap/>
            <w:vAlign w:val="center"/>
            <w:hideMark/>
          </w:tcPr>
          <w:p w14:paraId="294236E3" w14:textId="77777777" w:rsidR="00E7288D" w:rsidRPr="00E7288D" w:rsidRDefault="00455CD6" w:rsidP="00BA17A2">
            <w:pPr>
              <w:keepNext/>
              <w:keepLines/>
              <w:jc w:val="center"/>
              <w:rPr>
                <w:rFonts w:ascii="Calibri" w:hAnsi="Calibri" w:cs="Calibri"/>
                <w:b/>
                <w:bCs/>
                <w:color w:val="000000"/>
                <w:sz w:val="20"/>
              </w:rPr>
            </w:pPr>
            <w:r w:rsidRPr="00E7288D">
              <w:rPr>
                <w:rFonts w:ascii="Calibri" w:hAnsi="Calibri" w:cs="Calibri"/>
                <w:b/>
                <w:bCs/>
                <w:color w:val="000000"/>
                <w:sz w:val="20"/>
              </w:rPr>
              <w:t>Účelnost</w:t>
            </w:r>
          </w:p>
        </w:tc>
        <w:tc>
          <w:tcPr>
            <w:tcW w:w="1312" w:type="dxa"/>
            <w:tcBorders>
              <w:top w:val="nil"/>
              <w:left w:val="nil"/>
              <w:bottom w:val="single" w:sz="4" w:space="0" w:color="auto"/>
              <w:right w:val="single" w:sz="4" w:space="0" w:color="auto"/>
            </w:tcBorders>
            <w:shd w:val="clear" w:color="000000" w:fill="E5F1FF"/>
            <w:noWrap/>
            <w:vAlign w:val="center"/>
            <w:hideMark/>
          </w:tcPr>
          <w:p w14:paraId="6C407C74" w14:textId="77777777" w:rsidR="00E7288D" w:rsidRPr="00E7288D" w:rsidRDefault="00455CD6" w:rsidP="00BA17A2">
            <w:pPr>
              <w:keepNext/>
              <w:keepLines/>
              <w:jc w:val="center"/>
              <w:rPr>
                <w:rFonts w:ascii="Calibri" w:hAnsi="Calibri" w:cs="Calibri"/>
                <w:b/>
                <w:bCs/>
                <w:color w:val="000000"/>
                <w:sz w:val="20"/>
              </w:rPr>
            </w:pPr>
            <w:r w:rsidRPr="00E7288D">
              <w:rPr>
                <w:rFonts w:ascii="Calibri" w:hAnsi="Calibri" w:cs="Calibri"/>
                <w:b/>
                <w:bCs/>
                <w:color w:val="000000"/>
                <w:sz w:val="20"/>
              </w:rPr>
              <w:t>Hospodárnost</w:t>
            </w:r>
          </w:p>
        </w:tc>
      </w:tr>
      <w:tr w:rsidR="009960E7" w14:paraId="056DF4BD" w14:textId="77777777" w:rsidTr="00AD4A7D">
        <w:trPr>
          <w:cantSplit/>
          <w:trHeight w:val="51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10FA8FE7" w14:textId="77777777" w:rsidR="00E7288D" w:rsidRPr="00BA17A2" w:rsidRDefault="00455CD6" w:rsidP="00E7288D">
            <w:pPr>
              <w:jc w:val="left"/>
              <w:rPr>
                <w:rFonts w:ascii="Calibri" w:hAnsi="Calibri" w:cs="Calibri"/>
                <w:color w:val="000000"/>
                <w:sz w:val="20"/>
              </w:rPr>
            </w:pPr>
            <w:r w:rsidRPr="00BA17A2">
              <w:rPr>
                <w:rFonts w:ascii="Calibri" w:hAnsi="Calibri" w:cs="Calibri"/>
                <w:color w:val="000000"/>
                <w:sz w:val="20"/>
              </w:rPr>
              <w:t>117D062000038</w:t>
            </w:r>
          </w:p>
        </w:tc>
        <w:tc>
          <w:tcPr>
            <w:tcW w:w="2841" w:type="dxa"/>
            <w:tcBorders>
              <w:top w:val="nil"/>
              <w:left w:val="nil"/>
              <w:bottom w:val="single" w:sz="4" w:space="0" w:color="auto"/>
              <w:right w:val="single" w:sz="4" w:space="0" w:color="auto"/>
            </w:tcBorders>
            <w:shd w:val="clear" w:color="auto" w:fill="auto"/>
            <w:vAlign w:val="center"/>
            <w:hideMark/>
          </w:tcPr>
          <w:p w14:paraId="776F3987" w14:textId="00A310D4" w:rsidR="00E7288D" w:rsidRPr="00BA17A2" w:rsidRDefault="00455CD6" w:rsidP="00E7288D">
            <w:pPr>
              <w:jc w:val="left"/>
              <w:rPr>
                <w:rFonts w:ascii="Calibri" w:hAnsi="Calibri" w:cs="Calibri"/>
                <w:color w:val="000000"/>
                <w:sz w:val="20"/>
              </w:rPr>
            </w:pPr>
            <w:r w:rsidRPr="00BA17A2">
              <w:rPr>
                <w:rFonts w:ascii="Calibri" w:hAnsi="Calibri" w:cs="Calibri"/>
                <w:color w:val="000000"/>
                <w:sz w:val="20"/>
              </w:rPr>
              <w:t>RS-Frýdlant, sídliště U</w:t>
            </w:r>
            <w:r w:rsidR="00763BBE">
              <w:rPr>
                <w:rFonts w:ascii="Calibri" w:hAnsi="Calibri" w:cs="Calibri"/>
                <w:color w:val="000000"/>
                <w:sz w:val="20"/>
              </w:rPr>
              <w:t> </w:t>
            </w:r>
            <w:r w:rsidRPr="00BA17A2">
              <w:rPr>
                <w:rFonts w:ascii="Calibri" w:hAnsi="Calibri" w:cs="Calibri"/>
                <w:color w:val="000000"/>
                <w:sz w:val="20"/>
              </w:rPr>
              <w:t xml:space="preserve">Nemocnice </w:t>
            </w:r>
            <w:r w:rsidR="005336D0" w:rsidRPr="005336D0">
              <w:rPr>
                <w:rFonts w:ascii="Calibri" w:hAnsi="Calibri" w:cs="Calibri"/>
                <w:color w:val="000000"/>
                <w:sz w:val="20"/>
              </w:rPr>
              <w:t>–</w:t>
            </w:r>
            <w:r w:rsidRPr="00BA17A2">
              <w:rPr>
                <w:rFonts w:ascii="Calibri" w:hAnsi="Calibri" w:cs="Calibri"/>
                <w:color w:val="000000"/>
                <w:sz w:val="20"/>
              </w:rPr>
              <w:t xml:space="preserve"> 1. etapa</w:t>
            </w:r>
            <w:r w:rsidR="00763BBE">
              <w:rPr>
                <w:rFonts w:ascii="Calibri" w:hAnsi="Calibri" w:cs="Calibri"/>
                <w:color w:val="000000"/>
                <w:sz w:val="20"/>
              </w:rPr>
              <w:t>.</w:t>
            </w:r>
            <w:r w:rsidRPr="00BA17A2">
              <w:rPr>
                <w:rFonts w:ascii="Calibri" w:hAnsi="Calibri" w:cs="Calibri"/>
                <w:color w:val="000000"/>
                <w:sz w:val="20"/>
              </w:rPr>
              <w:br/>
            </w:r>
            <w:r w:rsidRPr="00AD4A7D">
              <w:rPr>
                <w:rFonts w:ascii="Calibri" w:hAnsi="Calibri" w:cs="Calibri"/>
                <w:i/>
                <w:color w:val="000000"/>
                <w:sz w:val="20"/>
              </w:rPr>
              <w:t>Regenerace sídlišť</w:t>
            </w:r>
          </w:p>
        </w:tc>
        <w:tc>
          <w:tcPr>
            <w:tcW w:w="1559" w:type="dxa"/>
            <w:tcBorders>
              <w:top w:val="nil"/>
              <w:left w:val="nil"/>
              <w:bottom w:val="single" w:sz="4" w:space="0" w:color="auto"/>
              <w:right w:val="single" w:sz="4" w:space="0" w:color="auto"/>
            </w:tcBorders>
            <w:shd w:val="clear" w:color="auto" w:fill="auto"/>
            <w:vAlign w:val="center"/>
            <w:hideMark/>
          </w:tcPr>
          <w:p w14:paraId="00FEE69F" w14:textId="77777777" w:rsidR="00E7288D" w:rsidRPr="00BA17A2" w:rsidRDefault="00455CD6" w:rsidP="00E7288D">
            <w:pPr>
              <w:jc w:val="center"/>
              <w:rPr>
                <w:rFonts w:ascii="Calibri" w:hAnsi="Calibri" w:cs="Calibri"/>
                <w:color w:val="000000"/>
                <w:sz w:val="20"/>
              </w:rPr>
            </w:pPr>
            <w:r w:rsidRPr="00BA17A2">
              <w:rPr>
                <w:rFonts w:ascii="Calibri" w:hAnsi="Calibri" w:cs="Calibri"/>
                <w:color w:val="000000"/>
                <w:sz w:val="20"/>
              </w:rPr>
              <w:t>Město Frýdlant</w:t>
            </w:r>
          </w:p>
        </w:tc>
        <w:tc>
          <w:tcPr>
            <w:tcW w:w="1276" w:type="dxa"/>
            <w:tcBorders>
              <w:top w:val="nil"/>
              <w:left w:val="nil"/>
              <w:bottom w:val="single" w:sz="4" w:space="0" w:color="auto"/>
              <w:right w:val="single" w:sz="4" w:space="0" w:color="auto"/>
            </w:tcBorders>
            <w:shd w:val="clear" w:color="auto" w:fill="auto"/>
            <w:noWrap/>
            <w:vAlign w:val="center"/>
            <w:hideMark/>
          </w:tcPr>
          <w:p w14:paraId="4DE2134A" w14:textId="77777777" w:rsidR="00E7288D" w:rsidRPr="00BA17A2" w:rsidRDefault="00455CD6" w:rsidP="00AD4A7D">
            <w:pPr>
              <w:jc w:val="right"/>
              <w:rPr>
                <w:rFonts w:ascii="Calibri" w:hAnsi="Calibri" w:cs="Calibri"/>
                <w:color w:val="000000"/>
                <w:sz w:val="20"/>
              </w:rPr>
            </w:pPr>
            <w:r w:rsidRPr="00BA17A2">
              <w:rPr>
                <w:rFonts w:ascii="Calibri" w:hAnsi="Calibri" w:cs="Calibri"/>
                <w:color w:val="000000"/>
                <w:sz w:val="20"/>
              </w:rPr>
              <w:t>4 000 000</w:t>
            </w:r>
          </w:p>
        </w:tc>
        <w:tc>
          <w:tcPr>
            <w:tcW w:w="869" w:type="dxa"/>
            <w:tcBorders>
              <w:top w:val="nil"/>
              <w:left w:val="nil"/>
              <w:bottom w:val="single" w:sz="4" w:space="0" w:color="auto"/>
              <w:right w:val="single" w:sz="4" w:space="0" w:color="auto"/>
            </w:tcBorders>
            <w:shd w:val="clear" w:color="000000" w:fill="A9D08E"/>
            <w:noWrap/>
            <w:vAlign w:val="center"/>
            <w:hideMark/>
          </w:tcPr>
          <w:p w14:paraId="750ADA31" w14:textId="77777777" w:rsidR="00E7288D" w:rsidRPr="00BA17A2" w:rsidRDefault="00455CD6" w:rsidP="00E7288D">
            <w:pPr>
              <w:jc w:val="center"/>
              <w:rPr>
                <w:rFonts w:ascii="Calibri" w:hAnsi="Calibri" w:cs="Calibri"/>
                <w:color w:val="000000"/>
                <w:sz w:val="20"/>
              </w:rPr>
            </w:pPr>
            <w:r w:rsidRPr="00BA17A2">
              <w:rPr>
                <w:rFonts w:ascii="Calibri" w:hAnsi="Calibri" w:cs="Calibri"/>
                <w:color w:val="000000"/>
                <w:sz w:val="20"/>
              </w:rPr>
              <w:t>1</w:t>
            </w:r>
          </w:p>
        </w:tc>
        <w:tc>
          <w:tcPr>
            <w:tcW w:w="1312" w:type="dxa"/>
            <w:tcBorders>
              <w:top w:val="nil"/>
              <w:left w:val="nil"/>
              <w:bottom w:val="single" w:sz="4" w:space="0" w:color="auto"/>
              <w:right w:val="single" w:sz="4" w:space="0" w:color="auto"/>
            </w:tcBorders>
            <w:shd w:val="clear" w:color="000000" w:fill="A9D08E"/>
            <w:noWrap/>
            <w:vAlign w:val="center"/>
            <w:hideMark/>
          </w:tcPr>
          <w:p w14:paraId="3C618D13" w14:textId="77777777" w:rsidR="00E7288D" w:rsidRPr="00BA17A2" w:rsidRDefault="00455CD6" w:rsidP="00E7288D">
            <w:pPr>
              <w:jc w:val="center"/>
              <w:rPr>
                <w:rFonts w:ascii="Calibri" w:hAnsi="Calibri" w:cs="Calibri"/>
                <w:color w:val="000000"/>
                <w:sz w:val="20"/>
              </w:rPr>
            </w:pPr>
            <w:r w:rsidRPr="00BA17A2">
              <w:rPr>
                <w:rFonts w:ascii="Calibri" w:hAnsi="Calibri" w:cs="Calibri"/>
                <w:color w:val="000000"/>
                <w:sz w:val="20"/>
              </w:rPr>
              <w:t>1</w:t>
            </w:r>
          </w:p>
        </w:tc>
      </w:tr>
      <w:tr w:rsidR="009960E7" w14:paraId="340D34C4" w14:textId="77777777" w:rsidTr="00AD4A7D">
        <w:trPr>
          <w:cantSplit/>
          <w:trHeight w:val="51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66529A2D"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117D062000003</w:t>
            </w:r>
          </w:p>
        </w:tc>
        <w:tc>
          <w:tcPr>
            <w:tcW w:w="2841" w:type="dxa"/>
            <w:tcBorders>
              <w:top w:val="nil"/>
              <w:left w:val="nil"/>
              <w:bottom w:val="single" w:sz="4" w:space="0" w:color="auto"/>
              <w:right w:val="single" w:sz="4" w:space="0" w:color="auto"/>
            </w:tcBorders>
            <w:shd w:val="clear" w:color="auto" w:fill="auto"/>
            <w:vAlign w:val="center"/>
            <w:hideMark/>
          </w:tcPr>
          <w:p w14:paraId="09F18DF0" w14:textId="54B88CE6"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RPS-Brno-Bohunice, X. etapa</w:t>
            </w:r>
            <w:r w:rsidR="00763BBE">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Regenerace sídlišť</w:t>
            </w:r>
          </w:p>
        </w:tc>
        <w:tc>
          <w:tcPr>
            <w:tcW w:w="1559" w:type="dxa"/>
            <w:tcBorders>
              <w:top w:val="nil"/>
              <w:left w:val="nil"/>
              <w:bottom w:val="single" w:sz="4" w:space="0" w:color="auto"/>
              <w:right w:val="single" w:sz="4" w:space="0" w:color="auto"/>
            </w:tcBorders>
            <w:shd w:val="clear" w:color="auto" w:fill="auto"/>
            <w:vAlign w:val="center"/>
            <w:hideMark/>
          </w:tcPr>
          <w:p w14:paraId="12DEDEA5"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Statutární město Brno</w:t>
            </w:r>
          </w:p>
        </w:tc>
        <w:tc>
          <w:tcPr>
            <w:tcW w:w="1276" w:type="dxa"/>
            <w:tcBorders>
              <w:top w:val="nil"/>
              <w:left w:val="nil"/>
              <w:bottom w:val="single" w:sz="4" w:space="0" w:color="auto"/>
              <w:right w:val="single" w:sz="4" w:space="0" w:color="auto"/>
            </w:tcBorders>
            <w:shd w:val="clear" w:color="auto" w:fill="auto"/>
            <w:noWrap/>
            <w:vAlign w:val="center"/>
            <w:hideMark/>
          </w:tcPr>
          <w:p w14:paraId="0B102B19"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3 154 000</w:t>
            </w:r>
          </w:p>
        </w:tc>
        <w:tc>
          <w:tcPr>
            <w:tcW w:w="869" w:type="dxa"/>
            <w:tcBorders>
              <w:top w:val="nil"/>
              <w:left w:val="nil"/>
              <w:bottom w:val="single" w:sz="4" w:space="0" w:color="auto"/>
              <w:right w:val="single" w:sz="4" w:space="0" w:color="auto"/>
            </w:tcBorders>
            <w:shd w:val="clear" w:color="000000" w:fill="A9D08E"/>
            <w:vAlign w:val="center"/>
            <w:hideMark/>
          </w:tcPr>
          <w:p w14:paraId="065218AE"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c>
          <w:tcPr>
            <w:tcW w:w="1312" w:type="dxa"/>
            <w:tcBorders>
              <w:top w:val="nil"/>
              <w:left w:val="nil"/>
              <w:bottom w:val="single" w:sz="4" w:space="0" w:color="auto"/>
              <w:right w:val="single" w:sz="4" w:space="0" w:color="auto"/>
            </w:tcBorders>
            <w:shd w:val="clear" w:color="000000" w:fill="A9D08E"/>
            <w:noWrap/>
            <w:vAlign w:val="center"/>
            <w:hideMark/>
          </w:tcPr>
          <w:p w14:paraId="16898057"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r>
      <w:tr w:rsidR="009960E7" w14:paraId="1DD55F68" w14:textId="77777777" w:rsidTr="00AD4A7D">
        <w:trPr>
          <w:cantSplit/>
          <w:trHeight w:val="102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79AE0EA7"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117D066000409</w:t>
            </w:r>
          </w:p>
        </w:tc>
        <w:tc>
          <w:tcPr>
            <w:tcW w:w="2841" w:type="dxa"/>
            <w:tcBorders>
              <w:top w:val="nil"/>
              <w:left w:val="nil"/>
              <w:bottom w:val="single" w:sz="4" w:space="0" w:color="auto"/>
              <w:right w:val="single" w:sz="4" w:space="0" w:color="auto"/>
            </w:tcBorders>
            <w:shd w:val="clear" w:color="auto" w:fill="auto"/>
            <w:vAlign w:val="center"/>
            <w:hideMark/>
          </w:tcPr>
          <w:p w14:paraId="25751980" w14:textId="0AC93CBB" w:rsidR="00E7288D" w:rsidRPr="00E7288D" w:rsidRDefault="00455CD6" w:rsidP="00AD4A7D">
            <w:pPr>
              <w:ind w:right="-75"/>
              <w:jc w:val="left"/>
              <w:rPr>
                <w:rFonts w:ascii="Calibri" w:hAnsi="Calibri" w:cs="Calibri"/>
                <w:color w:val="000000"/>
                <w:sz w:val="20"/>
              </w:rPr>
            </w:pPr>
            <w:proofErr w:type="spellStart"/>
            <w:r w:rsidRPr="00E7288D">
              <w:rPr>
                <w:rFonts w:ascii="Calibri" w:hAnsi="Calibri" w:cs="Calibri"/>
                <w:color w:val="000000"/>
                <w:sz w:val="20"/>
              </w:rPr>
              <w:t>Bezbariéry</w:t>
            </w:r>
            <w:proofErr w:type="spellEnd"/>
            <w:r w:rsidRPr="00E7288D">
              <w:rPr>
                <w:rFonts w:ascii="Calibri" w:hAnsi="Calibri" w:cs="Calibri"/>
                <w:color w:val="000000"/>
                <w:sz w:val="20"/>
              </w:rPr>
              <w:t xml:space="preserve"> – </w:t>
            </w:r>
            <w:r w:rsidR="00763BBE">
              <w:rPr>
                <w:rFonts w:ascii="Calibri" w:hAnsi="Calibri" w:cs="Calibri"/>
                <w:color w:val="000000"/>
                <w:sz w:val="20"/>
              </w:rPr>
              <w:br/>
            </w:r>
            <w:r w:rsidRPr="00E7288D">
              <w:rPr>
                <w:rFonts w:ascii="Calibri" w:hAnsi="Calibri" w:cs="Calibri"/>
                <w:color w:val="000000"/>
                <w:sz w:val="20"/>
              </w:rPr>
              <w:t>Jáchymovská 240</w:t>
            </w:r>
            <w:r w:rsidR="005336D0" w:rsidRPr="005336D0">
              <w:rPr>
                <w:rFonts w:ascii="Calibri" w:hAnsi="Calibri" w:cs="Calibri"/>
                <w:color w:val="000000"/>
                <w:sz w:val="20"/>
              </w:rPr>
              <w:t>–</w:t>
            </w:r>
            <w:r w:rsidRPr="00E7288D">
              <w:rPr>
                <w:rFonts w:ascii="Calibri" w:hAnsi="Calibri" w:cs="Calibri"/>
                <w:color w:val="000000"/>
                <w:sz w:val="20"/>
              </w:rPr>
              <w:t>242, Liberec</w:t>
            </w:r>
            <w:r w:rsidR="00763BBE">
              <w:rPr>
                <w:rFonts w:ascii="Calibri" w:hAnsi="Calibri" w:cs="Calibri"/>
                <w:color w:val="000000"/>
                <w:sz w:val="20"/>
              </w:rPr>
              <w:t>.</w:t>
            </w:r>
            <w:r w:rsidRPr="00E7288D">
              <w:rPr>
                <w:rFonts w:ascii="Calibri" w:hAnsi="Calibri" w:cs="Calibri"/>
                <w:color w:val="000000"/>
                <w:sz w:val="20"/>
              </w:rPr>
              <w:br/>
              <w:t>Tři výtahy v bytovém domě</w:t>
            </w:r>
            <w:r w:rsidR="00763BBE">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Bytové domy bez bariér</w:t>
            </w:r>
            <w:r w:rsidRPr="00E7288D">
              <w:rPr>
                <w:rFonts w:ascii="Calibri" w:hAnsi="Calibri" w:cs="Calibri"/>
                <w:color w:val="000000"/>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8600EA8" w14:textId="4ADF46FA"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Společenství vlastníků Nisa-Jáchymovská 240,</w:t>
            </w:r>
            <w:r w:rsidR="005336D0">
              <w:rPr>
                <w:rFonts w:ascii="Calibri" w:hAnsi="Calibri" w:cs="Calibri"/>
                <w:color w:val="000000"/>
                <w:sz w:val="20"/>
              </w:rPr>
              <w:t xml:space="preserve"> </w:t>
            </w:r>
            <w:r w:rsidRPr="00E7288D">
              <w:rPr>
                <w:rFonts w:ascii="Calibri" w:hAnsi="Calibri" w:cs="Calibri"/>
                <w:color w:val="000000"/>
                <w:sz w:val="20"/>
              </w:rPr>
              <w:t>241,</w:t>
            </w:r>
            <w:r w:rsidR="005336D0">
              <w:rPr>
                <w:rFonts w:ascii="Calibri" w:hAnsi="Calibri" w:cs="Calibri"/>
                <w:color w:val="000000"/>
                <w:sz w:val="20"/>
              </w:rPr>
              <w:t xml:space="preserve"> </w:t>
            </w:r>
            <w:r w:rsidRPr="00E7288D">
              <w:rPr>
                <w:rFonts w:ascii="Calibri" w:hAnsi="Calibri" w:cs="Calibri"/>
                <w:color w:val="000000"/>
                <w:sz w:val="20"/>
              </w:rPr>
              <w:t>242</w:t>
            </w:r>
          </w:p>
        </w:tc>
        <w:tc>
          <w:tcPr>
            <w:tcW w:w="1276" w:type="dxa"/>
            <w:tcBorders>
              <w:top w:val="nil"/>
              <w:left w:val="nil"/>
              <w:bottom w:val="single" w:sz="4" w:space="0" w:color="auto"/>
              <w:right w:val="single" w:sz="4" w:space="0" w:color="auto"/>
            </w:tcBorders>
            <w:shd w:val="clear" w:color="auto" w:fill="auto"/>
            <w:noWrap/>
            <w:vAlign w:val="center"/>
            <w:hideMark/>
          </w:tcPr>
          <w:p w14:paraId="381EFDA0"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2 400 000</w:t>
            </w:r>
          </w:p>
        </w:tc>
        <w:tc>
          <w:tcPr>
            <w:tcW w:w="869" w:type="dxa"/>
            <w:tcBorders>
              <w:top w:val="nil"/>
              <w:left w:val="nil"/>
              <w:bottom w:val="single" w:sz="4" w:space="0" w:color="auto"/>
              <w:right w:val="single" w:sz="4" w:space="0" w:color="auto"/>
            </w:tcBorders>
            <w:shd w:val="clear" w:color="000000" w:fill="A9D08E"/>
            <w:noWrap/>
            <w:vAlign w:val="center"/>
            <w:hideMark/>
          </w:tcPr>
          <w:p w14:paraId="17F4BE9D"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c>
          <w:tcPr>
            <w:tcW w:w="1312" w:type="dxa"/>
            <w:tcBorders>
              <w:top w:val="nil"/>
              <w:left w:val="nil"/>
              <w:bottom w:val="single" w:sz="4" w:space="0" w:color="auto"/>
              <w:right w:val="single" w:sz="4" w:space="0" w:color="auto"/>
            </w:tcBorders>
            <w:shd w:val="clear" w:color="000000" w:fill="A9D08E"/>
            <w:noWrap/>
            <w:vAlign w:val="center"/>
            <w:hideMark/>
          </w:tcPr>
          <w:p w14:paraId="23415E8F"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r>
      <w:tr w:rsidR="009960E7" w14:paraId="1C97937C" w14:textId="77777777" w:rsidTr="00AD4A7D">
        <w:trPr>
          <w:cantSplit/>
          <w:trHeight w:val="765"/>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1DB9C8E3"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117D066000510</w:t>
            </w:r>
          </w:p>
        </w:tc>
        <w:tc>
          <w:tcPr>
            <w:tcW w:w="2841" w:type="dxa"/>
            <w:tcBorders>
              <w:top w:val="nil"/>
              <w:left w:val="nil"/>
              <w:bottom w:val="single" w:sz="4" w:space="0" w:color="auto"/>
              <w:right w:val="single" w:sz="4" w:space="0" w:color="auto"/>
            </w:tcBorders>
            <w:shd w:val="clear" w:color="auto" w:fill="auto"/>
            <w:vAlign w:val="center"/>
            <w:hideMark/>
          </w:tcPr>
          <w:p w14:paraId="7B5C7777" w14:textId="6EF3ED7F" w:rsidR="00E7288D" w:rsidRPr="00E7288D" w:rsidRDefault="00455CD6" w:rsidP="00E7288D">
            <w:pPr>
              <w:jc w:val="left"/>
              <w:rPr>
                <w:rFonts w:ascii="Calibri" w:hAnsi="Calibri" w:cs="Calibri"/>
                <w:color w:val="000000"/>
                <w:sz w:val="20"/>
              </w:rPr>
            </w:pPr>
            <w:proofErr w:type="spellStart"/>
            <w:r w:rsidRPr="00E7288D">
              <w:rPr>
                <w:rFonts w:ascii="Calibri" w:hAnsi="Calibri" w:cs="Calibri"/>
                <w:color w:val="000000"/>
                <w:sz w:val="20"/>
              </w:rPr>
              <w:t>Bezbariéry</w:t>
            </w:r>
            <w:proofErr w:type="spellEnd"/>
            <w:r w:rsidRPr="00E7288D">
              <w:rPr>
                <w:rFonts w:ascii="Calibri" w:hAnsi="Calibri" w:cs="Calibri"/>
                <w:color w:val="000000"/>
                <w:sz w:val="20"/>
              </w:rPr>
              <w:t xml:space="preserve"> – Ústí nad Labem, Karla IV. 33, 35, 37, </w:t>
            </w:r>
            <w:r w:rsidR="00F802DD" w:rsidRPr="00E7288D">
              <w:rPr>
                <w:rFonts w:ascii="Calibri" w:hAnsi="Calibri" w:cs="Calibri"/>
                <w:color w:val="000000"/>
                <w:sz w:val="20"/>
              </w:rPr>
              <w:t>39</w:t>
            </w:r>
            <w:r w:rsidR="00763BBE">
              <w:rPr>
                <w:rFonts w:ascii="Calibri" w:hAnsi="Calibri" w:cs="Calibri"/>
                <w:color w:val="000000"/>
                <w:sz w:val="20"/>
              </w:rPr>
              <w:t>.</w:t>
            </w:r>
            <w:r w:rsidR="00F802DD" w:rsidRPr="00E7288D">
              <w:rPr>
                <w:rFonts w:ascii="Calibri" w:hAnsi="Calibri" w:cs="Calibri"/>
                <w:color w:val="000000"/>
                <w:sz w:val="20"/>
              </w:rPr>
              <w:t xml:space="preserve"> Výtahy</w:t>
            </w:r>
            <w:r w:rsidRPr="00E7288D">
              <w:rPr>
                <w:rFonts w:ascii="Calibri" w:hAnsi="Calibri" w:cs="Calibri"/>
                <w:color w:val="000000"/>
                <w:sz w:val="20"/>
              </w:rPr>
              <w:t xml:space="preserve"> ve 4 vchodech bytového domu</w:t>
            </w:r>
            <w:r w:rsidR="00763BBE">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Bytové domy bez bariér</w:t>
            </w:r>
          </w:p>
        </w:tc>
        <w:tc>
          <w:tcPr>
            <w:tcW w:w="1559" w:type="dxa"/>
            <w:tcBorders>
              <w:top w:val="nil"/>
              <w:left w:val="nil"/>
              <w:bottom w:val="single" w:sz="4" w:space="0" w:color="auto"/>
              <w:right w:val="single" w:sz="4" w:space="0" w:color="auto"/>
            </w:tcBorders>
            <w:shd w:val="clear" w:color="auto" w:fill="auto"/>
            <w:vAlign w:val="center"/>
            <w:hideMark/>
          </w:tcPr>
          <w:p w14:paraId="2560099E"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Bytové družstvo Družba</w:t>
            </w:r>
          </w:p>
        </w:tc>
        <w:tc>
          <w:tcPr>
            <w:tcW w:w="1276" w:type="dxa"/>
            <w:tcBorders>
              <w:top w:val="nil"/>
              <w:left w:val="nil"/>
              <w:bottom w:val="single" w:sz="4" w:space="0" w:color="auto"/>
              <w:right w:val="single" w:sz="4" w:space="0" w:color="auto"/>
            </w:tcBorders>
            <w:shd w:val="clear" w:color="auto" w:fill="auto"/>
            <w:noWrap/>
            <w:vAlign w:val="center"/>
            <w:hideMark/>
          </w:tcPr>
          <w:p w14:paraId="705DAFC3"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3 224 427</w:t>
            </w:r>
          </w:p>
        </w:tc>
        <w:tc>
          <w:tcPr>
            <w:tcW w:w="869" w:type="dxa"/>
            <w:tcBorders>
              <w:top w:val="nil"/>
              <w:left w:val="nil"/>
              <w:bottom w:val="single" w:sz="4" w:space="0" w:color="auto"/>
              <w:right w:val="single" w:sz="4" w:space="0" w:color="auto"/>
            </w:tcBorders>
            <w:shd w:val="clear" w:color="000000" w:fill="A9D08E"/>
            <w:noWrap/>
            <w:vAlign w:val="center"/>
            <w:hideMark/>
          </w:tcPr>
          <w:p w14:paraId="552CC2FA"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c>
          <w:tcPr>
            <w:tcW w:w="1312" w:type="dxa"/>
            <w:tcBorders>
              <w:top w:val="nil"/>
              <w:left w:val="nil"/>
              <w:bottom w:val="single" w:sz="4" w:space="0" w:color="auto"/>
              <w:right w:val="single" w:sz="4" w:space="0" w:color="auto"/>
            </w:tcBorders>
            <w:shd w:val="clear" w:color="000000" w:fill="A9D08E"/>
            <w:noWrap/>
            <w:vAlign w:val="center"/>
            <w:hideMark/>
          </w:tcPr>
          <w:p w14:paraId="3140C378"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r>
      <w:tr w:rsidR="009960E7" w14:paraId="3840780D" w14:textId="77777777" w:rsidTr="00AD4A7D">
        <w:trPr>
          <w:cantSplit/>
          <w:trHeight w:val="765"/>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7E01BB0F"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117D064000021</w:t>
            </w:r>
          </w:p>
        </w:tc>
        <w:tc>
          <w:tcPr>
            <w:tcW w:w="2841" w:type="dxa"/>
            <w:tcBorders>
              <w:top w:val="nil"/>
              <w:left w:val="nil"/>
              <w:bottom w:val="single" w:sz="4" w:space="0" w:color="auto"/>
              <w:right w:val="single" w:sz="4" w:space="0" w:color="auto"/>
            </w:tcBorders>
            <w:shd w:val="clear" w:color="auto" w:fill="auto"/>
            <w:vAlign w:val="center"/>
            <w:hideMark/>
          </w:tcPr>
          <w:p w14:paraId="23722570" w14:textId="53369878"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 xml:space="preserve">B. j. 10 PB-VB Nové </w:t>
            </w:r>
            <w:r w:rsidR="00763BBE">
              <w:rPr>
                <w:rFonts w:ascii="Calibri" w:hAnsi="Calibri" w:cs="Calibri"/>
                <w:color w:val="000000"/>
                <w:sz w:val="20"/>
              </w:rPr>
              <w:t>M</w:t>
            </w:r>
            <w:r w:rsidRPr="00E7288D">
              <w:rPr>
                <w:rFonts w:ascii="Calibri" w:hAnsi="Calibri" w:cs="Calibri"/>
                <w:color w:val="000000"/>
                <w:sz w:val="20"/>
              </w:rPr>
              <w:t>ěsto pod Smrkem č.</w:t>
            </w:r>
            <w:r w:rsidR="00763BBE">
              <w:rPr>
                <w:rFonts w:ascii="Calibri" w:hAnsi="Calibri" w:cs="Calibri"/>
                <w:color w:val="000000"/>
                <w:sz w:val="20"/>
              </w:rPr>
              <w:t xml:space="preserve"> </w:t>
            </w:r>
            <w:r w:rsidRPr="00E7288D">
              <w:rPr>
                <w:rFonts w:ascii="Calibri" w:hAnsi="Calibri" w:cs="Calibri"/>
                <w:color w:val="000000"/>
                <w:sz w:val="20"/>
              </w:rPr>
              <w:t>p. 804</w:t>
            </w:r>
            <w:r w:rsidR="00763BBE">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Podporované byty</w:t>
            </w:r>
            <w:r w:rsidR="005336D0">
              <w:rPr>
                <w:rFonts w:ascii="Calibri" w:hAnsi="Calibri" w:cs="Calibri"/>
                <w:color w:val="000000"/>
                <w:sz w:val="20"/>
              </w:rPr>
              <w:t xml:space="preserve"> </w:t>
            </w:r>
            <w:r w:rsidR="005336D0" w:rsidRPr="005336D0">
              <w:rPr>
                <w:rFonts w:ascii="Calibri" w:hAnsi="Calibri" w:cs="Calibri"/>
                <w:color w:val="000000"/>
                <w:sz w:val="20"/>
              </w:rPr>
              <w:t>–</w:t>
            </w:r>
            <w:r w:rsidR="005336D0">
              <w:rPr>
                <w:rFonts w:ascii="Calibri" w:hAnsi="Calibri" w:cs="Calibri"/>
                <w:color w:val="000000"/>
                <w:sz w:val="20"/>
              </w:rPr>
              <w:t xml:space="preserve"> </w:t>
            </w:r>
            <w:r w:rsidRPr="00E7288D">
              <w:rPr>
                <w:rFonts w:ascii="Calibri" w:hAnsi="Calibri" w:cs="Calibri"/>
                <w:color w:val="000000"/>
                <w:sz w:val="20"/>
              </w:rPr>
              <w:t>vstupní byty</w:t>
            </w:r>
          </w:p>
        </w:tc>
        <w:tc>
          <w:tcPr>
            <w:tcW w:w="1559" w:type="dxa"/>
            <w:tcBorders>
              <w:top w:val="nil"/>
              <w:left w:val="nil"/>
              <w:bottom w:val="single" w:sz="4" w:space="0" w:color="auto"/>
              <w:right w:val="single" w:sz="4" w:space="0" w:color="auto"/>
            </w:tcBorders>
            <w:shd w:val="clear" w:color="auto" w:fill="auto"/>
            <w:vAlign w:val="center"/>
            <w:hideMark/>
          </w:tcPr>
          <w:p w14:paraId="6D12FE3F" w14:textId="77777777" w:rsidR="00E7288D" w:rsidRPr="00E7288D" w:rsidRDefault="00455CD6" w:rsidP="00E7288D">
            <w:pPr>
              <w:jc w:val="center"/>
              <w:rPr>
                <w:rFonts w:ascii="Calibri" w:hAnsi="Calibri" w:cs="Calibri"/>
                <w:color w:val="000000"/>
                <w:sz w:val="20"/>
              </w:rPr>
            </w:pPr>
            <w:proofErr w:type="spellStart"/>
            <w:r w:rsidRPr="00E7288D">
              <w:rPr>
                <w:rFonts w:ascii="Calibri" w:hAnsi="Calibri" w:cs="Calibri"/>
                <w:color w:val="000000"/>
                <w:sz w:val="20"/>
              </w:rPr>
              <w:t>Suprost</w:t>
            </w:r>
            <w:proofErr w:type="spellEnd"/>
            <w:r w:rsidRPr="00E7288D">
              <w:rPr>
                <w:rFonts w:ascii="Calibri" w:hAnsi="Calibri" w:cs="Calibri"/>
                <w:color w:val="000000"/>
                <w:sz w:val="20"/>
              </w:rPr>
              <w:t xml:space="preserve"> s.r.o.</w:t>
            </w:r>
          </w:p>
        </w:tc>
        <w:tc>
          <w:tcPr>
            <w:tcW w:w="1276" w:type="dxa"/>
            <w:tcBorders>
              <w:top w:val="nil"/>
              <w:left w:val="nil"/>
              <w:bottom w:val="single" w:sz="4" w:space="0" w:color="auto"/>
              <w:right w:val="single" w:sz="4" w:space="0" w:color="auto"/>
            </w:tcBorders>
            <w:shd w:val="clear" w:color="auto" w:fill="auto"/>
            <w:noWrap/>
            <w:vAlign w:val="center"/>
            <w:hideMark/>
          </w:tcPr>
          <w:p w14:paraId="0CB09872"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5 400 000</w:t>
            </w:r>
          </w:p>
        </w:tc>
        <w:tc>
          <w:tcPr>
            <w:tcW w:w="869" w:type="dxa"/>
            <w:tcBorders>
              <w:top w:val="nil"/>
              <w:left w:val="nil"/>
              <w:bottom w:val="single" w:sz="4" w:space="0" w:color="auto"/>
              <w:right w:val="single" w:sz="4" w:space="0" w:color="auto"/>
            </w:tcBorders>
            <w:shd w:val="clear" w:color="000000" w:fill="A9D08E"/>
            <w:noWrap/>
            <w:vAlign w:val="center"/>
            <w:hideMark/>
          </w:tcPr>
          <w:p w14:paraId="6DD51412"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c>
          <w:tcPr>
            <w:tcW w:w="1312" w:type="dxa"/>
            <w:tcBorders>
              <w:top w:val="nil"/>
              <w:left w:val="nil"/>
              <w:bottom w:val="single" w:sz="4" w:space="0" w:color="auto"/>
              <w:right w:val="single" w:sz="4" w:space="0" w:color="auto"/>
            </w:tcBorders>
            <w:shd w:val="clear" w:color="000000" w:fill="FFE699"/>
            <w:noWrap/>
            <w:vAlign w:val="center"/>
            <w:hideMark/>
          </w:tcPr>
          <w:p w14:paraId="226FDB65"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3</w:t>
            </w:r>
          </w:p>
        </w:tc>
      </w:tr>
      <w:tr w:rsidR="009960E7" w14:paraId="325EF78E" w14:textId="77777777" w:rsidTr="00AD4A7D">
        <w:trPr>
          <w:cantSplit/>
          <w:trHeight w:val="51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1C4A53B5"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117D064000078</w:t>
            </w:r>
          </w:p>
        </w:tc>
        <w:tc>
          <w:tcPr>
            <w:tcW w:w="2841" w:type="dxa"/>
            <w:tcBorders>
              <w:top w:val="nil"/>
              <w:left w:val="nil"/>
              <w:bottom w:val="single" w:sz="4" w:space="0" w:color="auto"/>
              <w:right w:val="single" w:sz="4" w:space="0" w:color="auto"/>
            </w:tcBorders>
            <w:shd w:val="clear" w:color="auto" w:fill="auto"/>
            <w:vAlign w:val="center"/>
            <w:hideMark/>
          </w:tcPr>
          <w:p w14:paraId="6A79F715" w14:textId="182628EB"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B. j. 10 PB-VB Ústí nad Labem</w:t>
            </w:r>
            <w:r w:rsidR="00763BBE">
              <w:rPr>
                <w:rFonts w:ascii="Calibri" w:hAnsi="Calibri" w:cs="Calibri"/>
                <w:color w:val="000000"/>
                <w:sz w:val="20"/>
              </w:rPr>
              <w:t xml:space="preserve"> </w:t>
            </w:r>
            <w:r w:rsidR="00763BBE" w:rsidRPr="005336D0">
              <w:rPr>
                <w:rFonts w:ascii="Calibri" w:hAnsi="Calibri" w:cs="Calibri"/>
                <w:color w:val="000000"/>
                <w:sz w:val="20"/>
              </w:rPr>
              <w:t>–</w:t>
            </w:r>
            <w:r w:rsidRPr="00E7288D">
              <w:rPr>
                <w:rFonts w:ascii="Calibri" w:hAnsi="Calibri" w:cs="Calibri"/>
                <w:color w:val="000000"/>
                <w:sz w:val="20"/>
              </w:rPr>
              <w:t>Krásné Březno</w:t>
            </w:r>
            <w:r w:rsidR="00763BBE">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Podporované byty</w:t>
            </w:r>
            <w:r w:rsidR="005336D0">
              <w:rPr>
                <w:rFonts w:ascii="Calibri" w:hAnsi="Calibri" w:cs="Calibri"/>
                <w:color w:val="000000"/>
                <w:sz w:val="20"/>
              </w:rPr>
              <w:t xml:space="preserve"> </w:t>
            </w:r>
            <w:r w:rsidR="005336D0" w:rsidRPr="005336D0">
              <w:rPr>
                <w:rFonts w:ascii="Calibri" w:hAnsi="Calibri" w:cs="Calibri"/>
                <w:color w:val="000000"/>
                <w:sz w:val="20"/>
              </w:rPr>
              <w:t>–</w:t>
            </w:r>
            <w:r w:rsidR="005336D0">
              <w:rPr>
                <w:rFonts w:ascii="Calibri" w:hAnsi="Calibri" w:cs="Calibri"/>
                <w:color w:val="000000"/>
                <w:sz w:val="20"/>
              </w:rPr>
              <w:t xml:space="preserve"> </w:t>
            </w:r>
            <w:r w:rsidRPr="00E7288D">
              <w:rPr>
                <w:rFonts w:ascii="Calibri" w:hAnsi="Calibri" w:cs="Calibri"/>
                <w:color w:val="000000"/>
                <w:sz w:val="20"/>
              </w:rPr>
              <w:t>vstupní byty</w:t>
            </w:r>
          </w:p>
        </w:tc>
        <w:tc>
          <w:tcPr>
            <w:tcW w:w="1559" w:type="dxa"/>
            <w:tcBorders>
              <w:top w:val="nil"/>
              <w:left w:val="nil"/>
              <w:bottom w:val="single" w:sz="4" w:space="0" w:color="auto"/>
              <w:right w:val="single" w:sz="4" w:space="0" w:color="auto"/>
            </w:tcBorders>
            <w:shd w:val="clear" w:color="auto" w:fill="auto"/>
            <w:vAlign w:val="center"/>
            <w:hideMark/>
          </w:tcPr>
          <w:p w14:paraId="6408C089" w14:textId="77777777" w:rsidR="00E7288D" w:rsidRPr="00E7288D" w:rsidRDefault="00455CD6" w:rsidP="00E7288D">
            <w:pPr>
              <w:jc w:val="center"/>
              <w:rPr>
                <w:rFonts w:ascii="Calibri" w:hAnsi="Calibri" w:cs="Calibri"/>
                <w:color w:val="000000"/>
                <w:sz w:val="20"/>
              </w:rPr>
            </w:pPr>
            <w:proofErr w:type="spellStart"/>
            <w:r w:rsidRPr="00E7288D">
              <w:rPr>
                <w:rFonts w:ascii="Calibri" w:hAnsi="Calibri" w:cs="Calibri"/>
                <w:color w:val="000000"/>
                <w:sz w:val="20"/>
              </w:rPr>
              <w:t>HANNAinvest</w:t>
            </w:r>
            <w:proofErr w:type="spellEnd"/>
            <w:r w:rsidRPr="00E7288D">
              <w:rPr>
                <w:rFonts w:ascii="Calibri" w:hAnsi="Calibri" w:cs="Calibri"/>
                <w:color w:val="000000"/>
                <w:sz w:val="20"/>
              </w:rPr>
              <w:t xml:space="preserve"> s.r.o.</w:t>
            </w:r>
          </w:p>
        </w:tc>
        <w:tc>
          <w:tcPr>
            <w:tcW w:w="1276" w:type="dxa"/>
            <w:tcBorders>
              <w:top w:val="nil"/>
              <w:left w:val="nil"/>
              <w:bottom w:val="single" w:sz="4" w:space="0" w:color="auto"/>
              <w:right w:val="single" w:sz="4" w:space="0" w:color="auto"/>
            </w:tcBorders>
            <w:shd w:val="clear" w:color="auto" w:fill="auto"/>
            <w:noWrap/>
            <w:vAlign w:val="center"/>
            <w:hideMark/>
          </w:tcPr>
          <w:p w14:paraId="3ECF34CA"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5 216 600</w:t>
            </w:r>
          </w:p>
        </w:tc>
        <w:tc>
          <w:tcPr>
            <w:tcW w:w="869" w:type="dxa"/>
            <w:tcBorders>
              <w:top w:val="nil"/>
              <w:left w:val="nil"/>
              <w:bottom w:val="single" w:sz="4" w:space="0" w:color="auto"/>
              <w:right w:val="single" w:sz="4" w:space="0" w:color="auto"/>
            </w:tcBorders>
            <w:shd w:val="clear" w:color="000000" w:fill="E2EFDA"/>
            <w:noWrap/>
            <w:vAlign w:val="center"/>
            <w:hideMark/>
          </w:tcPr>
          <w:p w14:paraId="2E290E3D"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2</w:t>
            </w:r>
          </w:p>
        </w:tc>
        <w:tc>
          <w:tcPr>
            <w:tcW w:w="1312" w:type="dxa"/>
            <w:tcBorders>
              <w:top w:val="nil"/>
              <w:left w:val="nil"/>
              <w:bottom w:val="single" w:sz="4" w:space="0" w:color="auto"/>
              <w:right w:val="single" w:sz="4" w:space="0" w:color="auto"/>
            </w:tcBorders>
            <w:shd w:val="clear" w:color="000000" w:fill="A9D08E"/>
            <w:noWrap/>
            <w:vAlign w:val="center"/>
            <w:hideMark/>
          </w:tcPr>
          <w:p w14:paraId="7814005D"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r>
      <w:tr w:rsidR="009960E7" w14:paraId="53470A6B" w14:textId="77777777" w:rsidTr="00AD4A7D">
        <w:trPr>
          <w:cantSplit/>
          <w:trHeight w:val="51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004BE186"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117D064000081</w:t>
            </w:r>
          </w:p>
        </w:tc>
        <w:tc>
          <w:tcPr>
            <w:tcW w:w="2841" w:type="dxa"/>
            <w:tcBorders>
              <w:top w:val="nil"/>
              <w:left w:val="nil"/>
              <w:bottom w:val="single" w:sz="4" w:space="0" w:color="auto"/>
              <w:right w:val="single" w:sz="4" w:space="0" w:color="auto"/>
            </w:tcBorders>
            <w:shd w:val="clear" w:color="auto" w:fill="auto"/>
            <w:vAlign w:val="center"/>
            <w:hideMark/>
          </w:tcPr>
          <w:p w14:paraId="7A178A79" w14:textId="0AFC739A"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B. j. 6 PB-VB Koclířov</w:t>
            </w:r>
            <w:r w:rsidR="00763BBE">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Podporované byty</w:t>
            </w:r>
            <w:r w:rsidR="005336D0">
              <w:rPr>
                <w:rFonts w:ascii="Calibri" w:hAnsi="Calibri" w:cs="Calibri"/>
                <w:color w:val="000000"/>
                <w:sz w:val="20"/>
              </w:rPr>
              <w:t xml:space="preserve"> </w:t>
            </w:r>
            <w:r w:rsidR="005336D0" w:rsidRPr="005336D0">
              <w:rPr>
                <w:rFonts w:ascii="Calibri" w:hAnsi="Calibri" w:cs="Calibri"/>
                <w:color w:val="000000"/>
                <w:sz w:val="20"/>
              </w:rPr>
              <w:t>–</w:t>
            </w:r>
            <w:r w:rsidR="005336D0">
              <w:rPr>
                <w:rFonts w:ascii="Calibri" w:hAnsi="Calibri" w:cs="Calibri"/>
                <w:color w:val="000000"/>
                <w:sz w:val="20"/>
              </w:rPr>
              <w:t xml:space="preserve"> </w:t>
            </w:r>
            <w:r w:rsidRPr="00E7288D">
              <w:rPr>
                <w:rFonts w:ascii="Calibri" w:hAnsi="Calibri" w:cs="Calibri"/>
                <w:color w:val="000000"/>
                <w:sz w:val="20"/>
              </w:rPr>
              <w:t>vstupní byty</w:t>
            </w:r>
          </w:p>
        </w:tc>
        <w:tc>
          <w:tcPr>
            <w:tcW w:w="1559" w:type="dxa"/>
            <w:tcBorders>
              <w:top w:val="nil"/>
              <w:left w:val="nil"/>
              <w:bottom w:val="single" w:sz="4" w:space="0" w:color="auto"/>
              <w:right w:val="single" w:sz="4" w:space="0" w:color="auto"/>
            </w:tcBorders>
            <w:shd w:val="clear" w:color="auto" w:fill="auto"/>
            <w:vAlign w:val="center"/>
            <w:hideMark/>
          </w:tcPr>
          <w:p w14:paraId="74283805" w14:textId="77777777" w:rsidR="00E7288D" w:rsidRPr="00E7288D" w:rsidRDefault="00455CD6" w:rsidP="00E7288D">
            <w:pPr>
              <w:jc w:val="center"/>
              <w:rPr>
                <w:rFonts w:ascii="Calibri" w:hAnsi="Calibri" w:cs="Calibri"/>
                <w:color w:val="000000"/>
                <w:sz w:val="20"/>
              </w:rPr>
            </w:pPr>
            <w:proofErr w:type="spellStart"/>
            <w:r w:rsidRPr="00E7288D">
              <w:rPr>
                <w:rFonts w:ascii="Calibri" w:hAnsi="Calibri" w:cs="Calibri"/>
                <w:color w:val="000000"/>
                <w:sz w:val="20"/>
              </w:rPr>
              <w:t>Kalisax</w:t>
            </w:r>
            <w:proofErr w:type="spellEnd"/>
            <w:r w:rsidRPr="00E7288D">
              <w:rPr>
                <w:rFonts w:ascii="Calibri" w:hAnsi="Calibri" w:cs="Calibri"/>
                <w:color w:val="000000"/>
                <w:sz w:val="20"/>
              </w:rPr>
              <w:t xml:space="preserve"> s.r.o.</w:t>
            </w:r>
          </w:p>
        </w:tc>
        <w:tc>
          <w:tcPr>
            <w:tcW w:w="1276" w:type="dxa"/>
            <w:tcBorders>
              <w:top w:val="nil"/>
              <w:left w:val="nil"/>
              <w:bottom w:val="single" w:sz="4" w:space="0" w:color="auto"/>
              <w:right w:val="single" w:sz="4" w:space="0" w:color="auto"/>
            </w:tcBorders>
            <w:shd w:val="clear" w:color="auto" w:fill="auto"/>
            <w:noWrap/>
            <w:vAlign w:val="center"/>
            <w:hideMark/>
          </w:tcPr>
          <w:p w14:paraId="45FA0DFA"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3 300 000</w:t>
            </w:r>
          </w:p>
        </w:tc>
        <w:tc>
          <w:tcPr>
            <w:tcW w:w="869" w:type="dxa"/>
            <w:tcBorders>
              <w:top w:val="nil"/>
              <w:left w:val="nil"/>
              <w:bottom w:val="single" w:sz="4" w:space="0" w:color="auto"/>
              <w:right w:val="single" w:sz="4" w:space="0" w:color="auto"/>
            </w:tcBorders>
            <w:shd w:val="clear" w:color="000000" w:fill="E2EFDA"/>
            <w:vAlign w:val="center"/>
            <w:hideMark/>
          </w:tcPr>
          <w:p w14:paraId="24F71AE5"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2</w:t>
            </w:r>
          </w:p>
        </w:tc>
        <w:tc>
          <w:tcPr>
            <w:tcW w:w="1312" w:type="dxa"/>
            <w:tcBorders>
              <w:top w:val="nil"/>
              <w:left w:val="nil"/>
              <w:bottom w:val="single" w:sz="4" w:space="0" w:color="auto"/>
              <w:right w:val="single" w:sz="4" w:space="0" w:color="auto"/>
            </w:tcBorders>
            <w:shd w:val="clear" w:color="000000" w:fill="A9D08E"/>
            <w:noWrap/>
            <w:vAlign w:val="center"/>
            <w:hideMark/>
          </w:tcPr>
          <w:p w14:paraId="36CF8C53"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r>
      <w:tr w:rsidR="009960E7" w14:paraId="69F7199D" w14:textId="77777777" w:rsidTr="00AD4A7D">
        <w:trPr>
          <w:cantSplit/>
          <w:trHeight w:val="51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67678289"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117D064000096</w:t>
            </w:r>
          </w:p>
        </w:tc>
        <w:tc>
          <w:tcPr>
            <w:tcW w:w="2841" w:type="dxa"/>
            <w:tcBorders>
              <w:top w:val="nil"/>
              <w:left w:val="nil"/>
              <w:bottom w:val="single" w:sz="4" w:space="0" w:color="auto"/>
              <w:right w:val="single" w:sz="4" w:space="0" w:color="auto"/>
            </w:tcBorders>
            <w:shd w:val="clear" w:color="auto" w:fill="auto"/>
            <w:vAlign w:val="center"/>
            <w:hideMark/>
          </w:tcPr>
          <w:p w14:paraId="0907AF8B" w14:textId="11EB7F3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B. j. 21 PB-PČB Harrachov</w:t>
            </w:r>
            <w:r w:rsidR="00763BBE">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Podporované byty</w:t>
            </w:r>
            <w:r w:rsidR="005336D0">
              <w:rPr>
                <w:rFonts w:ascii="Calibri" w:hAnsi="Calibri" w:cs="Calibri"/>
                <w:color w:val="000000"/>
                <w:sz w:val="20"/>
              </w:rPr>
              <w:t xml:space="preserve"> </w:t>
            </w:r>
            <w:r w:rsidR="005336D0" w:rsidRPr="005336D0">
              <w:rPr>
                <w:rFonts w:ascii="Calibri" w:hAnsi="Calibri" w:cs="Calibri"/>
                <w:color w:val="000000"/>
                <w:sz w:val="20"/>
              </w:rPr>
              <w:t>–</w:t>
            </w:r>
            <w:r w:rsidR="005336D0">
              <w:rPr>
                <w:rFonts w:ascii="Calibri" w:hAnsi="Calibri" w:cs="Calibri"/>
                <w:color w:val="000000"/>
                <w:sz w:val="20"/>
              </w:rPr>
              <w:t xml:space="preserve"> </w:t>
            </w:r>
            <w:r w:rsidRPr="00E7288D">
              <w:rPr>
                <w:rFonts w:ascii="Calibri" w:hAnsi="Calibri" w:cs="Calibri"/>
                <w:color w:val="000000"/>
                <w:sz w:val="20"/>
              </w:rPr>
              <w:t>pečovatelské byty</w:t>
            </w:r>
          </w:p>
        </w:tc>
        <w:tc>
          <w:tcPr>
            <w:tcW w:w="1559" w:type="dxa"/>
            <w:tcBorders>
              <w:top w:val="nil"/>
              <w:left w:val="nil"/>
              <w:bottom w:val="single" w:sz="4" w:space="0" w:color="auto"/>
              <w:right w:val="single" w:sz="4" w:space="0" w:color="auto"/>
            </w:tcBorders>
            <w:shd w:val="clear" w:color="auto" w:fill="auto"/>
            <w:vAlign w:val="center"/>
            <w:hideMark/>
          </w:tcPr>
          <w:p w14:paraId="06E61EF2" w14:textId="127C112A"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Město Harrachov</w:t>
            </w:r>
          </w:p>
        </w:tc>
        <w:tc>
          <w:tcPr>
            <w:tcW w:w="1276" w:type="dxa"/>
            <w:tcBorders>
              <w:top w:val="nil"/>
              <w:left w:val="nil"/>
              <w:bottom w:val="single" w:sz="4" w:space="0" w:color="auto"/>
              <w:right w:val="single" w:sz="4" w:space="0" w:color="auto"/>
            </w:tcBorders>
            <w:shd w:val="clear" w:color="auto" w:fill="auto"/>
            <w:noWrap/>
            <w:vAlign w:val="center"/>
            <w:hideMark/>
          </w:tcPr>
          <w:p w14:paraId="453DED46"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12 600 000</w:t>
            </w:r>
          </w:p>
        </w:tc>
        <w:tc>
          <w:tcPr>
            <w:tcW w:w="869" w:type="dxa"/>
            <w:tcBorders>
              <w:top w:val="nil"/>
              <w:left w:val="nil"/>
              <w:bottom w:val="single" w:sz="4" w:space="0" w:color="auto"/>
              <w:right w:val="single" w:sz="4" w:space="0" w:color="auto"/>
            </w:tcBorders>
            <w:shd w:val="clear" w:color="000000" w:fill="E2EFDA"/>
            <w:noWrap/>
            <w:vAlign w:val="center"/>
            <w:hideMark/>
          </w:tcPr>
          <w:p w14:paraId="73C47B94"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2</w:t>
            </w:r>
          </w:p>
        </w:tc>
        <w:tc>
          <w:tcPr>
            <w:tcW w:w="1312" w:type="dxa"/>
            <w:tcBorders>
              <w:top w:val="nil"/>
              <w:left w:val="nil"/>
              <w:bottom w:val="single" w:sz="4" w:space="0" w:color="auto"/>
              <w:right w:val="single" w:sz="4" w:space="0" w:color="auto"/>
            </w:tcBorders>
            <w:shd w:val="clear" w:color="000000" w:fill="E2EFDA"/>
            <w:noWrap/>
            <w:vAlign w:val="center"/>
            <w:hideMark/>
          </w:tcPr>
          <w:p w14:paraId="53C5E536"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2</w:t>
            </w:r>
          </w:p>
        </w:tc>
      </w:tr>
      <w:tr w:rsidR="009960E7" w14:paraId="2D1E6714" w14:textId="77777777" w:rsidTr="00AD4A7D">
        <w:trPr>
          <w:cantSplit/>
          <w:trHeight w:val="51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479E8370"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117D064000152</w:t>
            </w:r>
          </w:p>
        </w:tc>
        <w:tc>
          <w:tcPr>
            <w:tcW w:w="2841" w:type="dxa"/>
            <w:tcBorders>
              <w:top w:val="nil"/>
              <w:left w:val="nil"/>
              <w:bottom w:val="single" w:sz="4" w:space="0" w:color="auto"/>
              <w:right w:val="single" w:sz="4" w:space="0" w:color="auto"/>
            </w:tcBorders>
            <w:shd w:val="clear" w:color="auto" w:fill="auto"/>
            <w:vAlign w:val="center"/>
            <w:hideMark/>
          </w:tcPr>
          <w:p w14:paraId="27252CA4" w14:textId="3CAB23DE"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B. j. 10 PB-PČB Opočnice</w:t>
            </w:r>
            <w:r w:rsidR="00763BBE">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Podporované byty</w:t>
            </w:r>
            <w:r w:rsidR="005336D0">
              <w:rPr>
                <w:rFonts w:ascii="Calibri" w:hAnsi="Calibri" w:cs="Calibri"/>
                <w:color w:val="000000"/>
                <w:sz w:val="20"/>
              </w:rPr>
              <w:t xml:space="preserve"> </w:t>
            </w:r>
            <w:r w:rsidR="005336D0" w:rsidRPr="005336D0">
              <w:rPr>
                <w:rFonts w:ascii="Calibri" w:hAnsi="Calibri" w:cs="Calibri"/>
                <w:color w:val="000000"/>
                <w:sz w:val="20"/>
              </w:rPr>
              <w:t>–</w:t>
            </w:r>
            <w:r w:rsidR="005336D0">
              <w:rPr>
                <w:rFonts w:ascii="Calibri" w:hAnsi="Calibri" w:cs="Calibri"/>
                <w:color w:val="000000"/>
                <w:sz w:val="20"/>
              </w:rPr>
              <w:t xml:space="preserve"> </w:t>
            </w:r>
            <w:r w:rsidRPr="00E7288D">
              <w:rPr>
                <w:rFonts w:ascii="Calibri" w:hAnsi="Calibri" w:cs="Calibri"/>
                <w:color w:val="000000"/>
                <w:sz w:val="20"/>
              </w:rPr>
              <w:t>pečovatelské byty</w:t>
            </w:r>
          </w:p>
        </w:tc>
        <w:tc>
          <w:tcPr>
            <w:tcW w:w="1559" w:type="dxa"/>
            <w:tcBorders>
              <w:top w:val="nil"/>
              <w:left w:val="nil"/>
              <w:bottom w:val="single" w:sz="4" w:space="0" w:color="auto"/>
              <w:right w:val="single" w:sz="4" w:space="0" w:color="auto"/>
            </w:tcBorders>
            <w:shd w:val="clear" w:color="auto" w:fill="auto"/>
            <w:vAlign w:val="center"/>
            <w:hideMark/>
          </w:tcPr>
          <w:p w14:paraId="582E57F5"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Obec Opočnice</w:t>
            </w:r>
          </w:p>
        </w:tc>
        <w:tc>
          <w:tcPr>
            <w:tcW w:w="1276" w:type="dxa"/>
            <w:tcBorders>
              <w:top w:val="nil"/>
              <w:left w:val="nil"/>
              <w:bottom w:val="single" w:sz="4" w:space="0" w:color="auto"/>
              <w:right w:val="single" w:sz="4" w:space="0" w:color="auto"/>
            </w:tcBorders>
            <w:shd w:val="clear" w:color="auto" w:fill="auto"/>
            <w:noWrap/>
            <w:vAlign w:val="center"/>
            <w:hideMark/>
          </w:tcPr>
          <w:p w14:paraId="04F13DAE"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6 000 000</w:t>
            </w:r>
          </w:p>
        </w:tc>
        <w:tc>
          <w:tcPr>
            <w:tcW w:w="869" w:type="dxa"/>
            <w:tcBorders>
              <w:top w:val="nil"/>
              <w:left w:val="nil"/>
              <w:bottom w:val="single" w:sz="4" w:space="0" w:color="auto"/>
              <w:right w:val="single" w:sz="4" w:space="0" w:color="auto"/>
            </w:tcBorders>
            <w:shd w:val="clear" w:color="000000" w:fill="A9D08E"/>
            <w:noWrap/>
            <w:vAlign w:val="center"/>
            <w:hideMark/>
          </w:tcPr>
          <w:p w14:paraId="35D7F05D"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c>
          <w:tcPr>
            <w:tcW w:w="1312" w:type="dxa"/>
            <w:tcBorders>
              <w:top w:val="nil"/>
              <w:left w:val="nil"/>
              <w:bottom w:val="single" w:sz="4" w:space="0" w:color="auto"/>
              <w:right w:val="single" w:sz="4" w:space="0" w:color="auto"/>
            </w:tcBorders>
            <w:shd w:val="clear" w:color="000000" w:fill="A9D08E"/>
            <w:noWrap/>
            <w:vAlign w:val="center"/>
            <w:hideMark/>
          </w:tcPr>
          <w:p w14:paraId="382CE372"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r>
      <w:tr w:rsidR="009960E7" w14:paraId="41B8D9E0" w14:textId="77777777" w:rsidTr="00AD4A7D">
        <w:trPr>
          <w:cantSplit/>
          <w:trHeight w:val="510"/>
        </w:trPr>
        <w:tc>
          <w:tcPr>
            <w:tcW w:w="1554" w:type="dxa"/>
            <w:tcBorders>
              <w:top w:val="nil"/>
              <w:left w:val="single" w:sz="4" w:space="0" w:color="auto"/>
              <w:bottom w:val="single" w:sz="4" w:space="0" w:color="auto"/>
              <w:right w:val="single" w:sz="4" w:space="0" w:color="auto"/>
            </w:tcBorders>
            <w:shd w:val="clear" w:color="auto" w:fill="auto"/>
            <w:noWrap/>
            <w:vAlign w:val="center"/>
            <w:hideMark/>
          </w:tcPr>
          <w:p w14:paraId="02653BDE"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117D064000140</w:t>
            </w:r>
          </w:p>
        </w:tc>
        <w:tc>
          <w:tcPr>
            <w:tcW w:w="2841" w:type="dxa"/>
            <w:tcBorders>
              <w:top w:val="nil"/>
              <w:left w:val="nil"/>
              <w:bottom w:val="single" w:sz="4" w:space="0" w:color="auto"/>
              <w:right w:val="single" w:sz="4" w:space="0" w:color="auto"/>
            </w:tcBorders>
            <w:shd w:val="clear" w:color="auto" w:fill="auto"/>
            <w:vAlign w:val="center"/>
            <w:hideMark/>
          </w:tcPr>
          <w:p w14:paraId="00B65FB6" w14:textId="0C8BCA8D"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B. j. 11 PB-PČB Dubňany</w:t>
            </w:r>
            <w:r w:rsidR="00763BBE">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Podporované byty</w:t>
            </w:r>
            <w:r w:rsidR="005336D0">
              <w:rPr>
                <w:rFonts w:ascii="Calibri" w:hAnsi="Calibri" w:cs="Calibri"/>
                <w:color w:val="000000"/>
                <w:sz w:val="20"/>
              </w:rPr>
              <w:t xml:space="preserve"> </w:t>
            </w:r>
            <w:r w:rsidR="005336D0" w:rsidRPr="005336D0">
              <w:rPr>
                <w:rFonts w:ascii="Calibri" w:hAnsi="Calibri" w:cs="Calibri"/>
                <w:color w:val="000000"/>
                <w:sz w:val="20"/>
              </w:rPr>
              <w:t>–</w:t>
            </w:r>
            <w:r w:rsidR="005336D0">
              <w:rPr>
                <w:rFonts w:ascii="Calibri" w:hAnsi="Calibri" w:cs="Calibri"/>
                <w:color w:val="000000"/>
                <w:sz w:val="20"/>
              </w:rPr>
              <w:t xml:space="preserve"> </w:t>
            </w:r>
            <w:r w:rsidRPr="00E7288D">
              <w:rPr>
                <w:rFonts w:ascii="Calibri" w:hAnsi="Calibri" w:cs="Calibri"/>
                <w:color w:val="000000"/>
                <w:sz w:val="20"/>
              </w:rPr>
              <w:t>pečovatelské byty</w:t>
            </w:r>
          </w:p>
        </w:tc>
        <w:tc>
          <w:tcPr>
            <w:tcW w:w="1559" w:type="dxa"/>
            <w:tcBorders>
              <w:top w:val="nil"/>
              <w:left w:val="nil"/>
              <w:bottom w:val="single" w:sz="4" w:space="0" w:color="auto"/>
              <w:right w:val="single" w:sz="4" w:space="0" w:color="auto"/>
            </w:tcBorders>
            <w:shd w:val="clear" w:color="auto" w:fill="auto"/>
            <w:noWrap/>
            <w:vAlign w:val="center"/>
            <w:hideMark/>
          </w:tcPr>
          <w:p w14:paraId="6F82751A" w14:textId="29D237E2"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US Rival s.r.o</w:t>
            </w:r>
            <w:r w:rsidR="00AE5377">
              <w:rPr>
                <w:rFonts w:ascii="Calibri" w:hAnsi="Calibri" w:cs="Calibri"/>
                <w:color w:val="000000"/>
                <w:sz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AD348D1"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6 600 000</w:t>
            </w:r>
          </w:p>
        </w:tc>
        <w:tc>
          <w:tcPr>
            <w:tcW w:w="869" w:type="dxa"/>
            <w:tcBorders>
              <w:top w:val="nil"/>
              <w:left w:val="nil"/>
              <w:bottom w:val="single" w:sz="4" w:space="0" w:color="auto"/>
              <w:right w:val="single" w:sz="4" w:space="0" w:color="auto"/>
            </w:tcBorders>
            <w:shd w:val="clear" w:color="000000" w:fill="A9D08E"/>
            <w:noWrap/>
            <w:vAlign w:val="center"/>
            <w:hideMark/>
          </w:tcPr>
          <w:p w14:paraId="169D79FB"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c>
          <w:tcPr>
            <w:tcW w:w="1312" w:type="dxa"/>
            <w:tcBorders>
              <w:top w:val="nil"/>
              <w:left w:val="nil"/>
              <w:bottom w:val="single" w:sz="4" w:space="0" w:color="auto"/>
              <w:right w:val="single" w:sz="4" w:space="0" w:color="auto"/>
            </w:tcBorders>
            <w:shd w:val="clear" w:color="000000" w:fill="A9D08E"/>
            <w:noWrap/>
            <w:vAlign w:val="center"/>
            <w:hideMark/>
          </w:tcPr>
          <w:p w14:paraId="325D55FF"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r>
      <w:tr w:rsidR="009960E7" w14:paraId="48988A60" w14:textId="77777777" w:rsidTr="00AD4A7D">
        <w:trPr>
          <w:cantSplit/>
          <w:trHeight w:val="51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6B8B2FBA"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117D064000045</w:t>
            </w:r>
          </w:p>
        </w:tc>
        <w:tc>
          <w:tcPr>
            <w:tcW w:w="2841" w:type="dxa"/>
            <w:tcBorders>
              <w:top w:val="nil"/>
              <w:left w:val="nil"/>
              <w:bottom w:val="single" w:sz="4" w:space="0" w:color="auto"/>
              <w:right w:val="single" w:sz="4" w:space="0" w:color="auto"/>
            </w:tcBorders>
            <w:shd w:val="clear" w:color="auto" w:fill="auto"/>
            <w:vAlign w:val="center"/>
            <w:hideMark/>
          </w:tcPr>
          <w:p w14:paraId="55B2EC1A" w14:textId="69E640F6"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B. j. 23 PB-KODUS Příbram</w:t>
            </w:r>
            <w:r w:rsidR="00763BBE">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Podporované byty</w:t>
            </w:r>
            <w:r w:rsidR="005336D0">
              <w:rPr>
                <w:rFonts w:ascii="Calibri" w:hAnsi="Calibri" w:cs="Calibri"/>
                <w:color w:val="000000"/>
                <w:sz w:val="20"/>
              </w:rPr>
              <w:t xml:space="preserve"> </w:t>
            </w:r>
            <w:r w:rsidR="005336D0" w:rsidRPr="005336D0">
              <w:rPr>
                <w:rFonts w:ascii="Calibri" w:hAnsi="Calibri" w:cs="Calibri"/>
                <w:color w:val="000000"/>
                <w:sz w:val="20"/>
              </w:rPr>
              <w:t>–</w:t>
            </w:r>
            <w:r w:rsidR="005336D0">
              <w:rPr>
                <w:rFonts w:ascii="Calibri" w:hAnsi="Calibri" w:cs="Calibri"/>
                <w:color w:val="000000"/>
                <w:sz w:val="20"/>
              </w:rPr>
              <w:t xml:space="preserve"> </w:t>
            </w:r>
            <w:r w:rsidRPr="00E7288D">
              <w:rPr>
                <w:rFonts w:ascii="Calibri" w:hAnsi="Calibri" w:cs="Calibri"/>
                <w:color w:val="000000"/>
                <w:sz w:val="20"/>
              </w:rPr>
              <w:t>komunitní dům seniorů</w:t>
            </w:r>
          </w:p>
        </w:tc>
        <w:tc>
          <w:tcPr>
            <w:tcW w:w="1559" w:type="dxa"/>
            <w:tcBorders>
              <w:top w:val="nil"/>
              <w:left w:val="nil"/>
              <w:bottom w:val="single" w:sz="4" w:space="0" w:color="auto"/>
              <w:right w:val="single" w:sz="4" w:space="0" w:color="auto"/>
            </w:tcBorders>
            <w:shd w:val="clear" w:color="auto" w:fill="auto"/>
            <w:vAlign w:val="center"/>
            <w:hideMark/>
          </w:tcPr>
          <w:p w14:paraId="4C189343"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Město Příbram</w:t>
            </w:r>
          </w:p>
        </w:tc>
        <w:tc>
          <w:tcPr>
            <w:tcW w:w="1276" w:type="dxa"/>
            <w:tcBorders>
              <w:top w:val="nil"/>
              <w:left w:val="nil"/>
              <w:bottom w:val="single" w:sz="4" w:space="0" w:color="auto"/>
              <w:right w:val="single" w:sz="4" w:space="0" w:color="auto"/>
            </w:tcBorders>
            <w:shd w:val="clear" w:color="auto" w:fill="auto"/>
            <w:noWrap/>
            <w:vAlign w:val="center"/>
            <w:hideMark/>
          </w:tcPr>
          <w:p w14:paraId="65D647CE"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12 607 895</w:t>
            </w:r>
          </w:p>
        </w:tc>
        <w:tc>
          <w:tcPr>
            <w:tcW w:w="869" w:type="dxa"/>
            <w:tcBorders>
              <w:top w:val="nil"/>
              <w:left w:val="nil"/>
              <w:bottom w:val="single" w:sz="4" w:space="0" w:color="auto"/>
              <w:right w:val="single" w:sz="4" w:space="0" w:color="auto"/>
            </w:tcBorders>
            <w:shd w:val="clear" w:color="000000" w:fill="A9D08E"/>
            <w:noWrap/>
            <w:vAlign w:val="center"/>
            <w:hideMark/>
          </w:tcPr>
          <w:p w14:paraId="688D9B33"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c>
          <w:tcPr>
            <w:tcW w:w="1312" w:type="dxa"/>
            <w:tcBorders>
              <w:top w:val="nil"/>
              <w:left w:val="nil"/>
              <w:bottom w:val="single" w:sz="4" w:space="0" w:color="auto"/>
              <w:right w:val="single" w:sz="4" w:space="0" w:color="auto"/>
            </w:tcBorders>
            <w:shd w:val="clear" w:color="000000" w:fill="A9D08E"/>
            <w:noWrap/>
            <w:vAlign w:val="center"/>
            <w:hideMark/>
          </w:tcPr>
          <w:p w14:paraId="1B87ECEA"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r>
      <w:tr w:rsidR="009960E7" w14:paraId="2C2E256E" w14:textId="77777777" w:rsidTr="00AD4A7D">
        <w:trPr>
          <w:cantSplit/>
          <w:trHeight w:val="51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1F0155A6"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117D064000171</w:t>
            </w:r>
          </w:p>
        </w:tc>
        <w:tc>
          <w:tcPr>
            <w:tcW w:w="2841" w:type="dxa"/>
            <w:tcBorders>
              <w:top w:val="nil"/>
              <w:left w:val="nil"/>
              <w:bottom w:val="single" w:sz="4" w:space="0" w:color="auto"/>
              <w:right w:val="single" w:sz="4" w:space="0" w:color="auto"/>
            </w:tcBorders>
            <w:shd w:val="clear" w:color="auto" w:fill="auto"/>
            <w:vAlign w:val="center"/>
            <w:hideMark/>
          </w:tcPr>
          <w:p w14:paraId="113F93CE" w14:textId="415710FB"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B. j. 15 PB-</w:t>
            </w:r>
            <w:proofErr w:type="spellStart"/>
            <w:r w:rsidRPr="00E7288D">
              <w:rPr>
                <w:rFonts w:ascii="Calibri" w:hAnsi="Calibri" w:cs="Calibri"/>
                <w:color w:val="000000"/>
                <w:sz w:val="20"/>
              </w:rPr>
              <w:t>KoDuS</w:t>
            </w:r>
            <w:proofErr w:type="spellEnd"/>
            <w:r w:rsidRPr="00E7288D">
              <w:rPr>
                <w:rFonts w:ascii="Calibri" w:hAnsi="Calibri" w:cs="Calibri"/>
                <w:color w:val="000000"/>
                <w:sz w:val="20"/>
              </w:rPr>
              <w:t xml:space="preserve"> Svitavy</w:t>
            </w:r>
            <w:r w:rsidR="00763BBE">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Podporované byty</w:t>
            </w:r>
            <w:r w:rsidR="00AE5377">
              <w:rPr>
                <w:rFonts w:ascii="Calibri" w:hAnsi="Calibri" w:cs="Calibri"/>
                <w:color w:val="000000"/>
                <w:sz w:val="20"/>
              </w:rPr>
              <w:t xml:space="preserve"> </w:t>
            </w:r>
            <w:r w:rsidR="00AE5377" w:rsidRPr="00AE5377">
              <w:rPr>
                <w:rFonts w:ascii="Calibri" w:hAnsi="Calibri" w:cs="Calibri"/>
                <w:color w:val="000000"/>
                <w:sz w:val="20"/>
              </w:rPr>
              <w:t>–</w:t>
            </w:r>
            <w:r w:rsidR="00AE5377">
              <w:rPr>
                <w:rFonts w:ascii="Calibri" w:hAnsi="Calibri" w:cs="Calibri"/>
                <w:color w:val="000000"/>
                <w:sz w:val="20"/>
              </w:rPr>
              <w:t xml:space="preserve"> </w:t>
            </w:r>
            <w:r w:rsidRPr="00E7288D">
              <w:rPr>
                <w:rFonts w:ascii="Calibri" w:hAnsi="Calibri" w:cs="Calibri"/>
                <w:color w:val="000000"/>
                <w:sz w:val="20"/>
              </w:rPr>
              <w:t>komunitní dům seniorů</w:t>
            </w:r>
          </w:p>
        </w:tc>
        <w:tc>
          <w:tcPr>
            <w:tcW w:w="1559" w:type="dxa"/>
            <w:tcBorders>
              <w:top w:val="nil"/>
              <w:left w:val="nil"/>
              <w:bottom w:val="single" w:sz="4" w:space="0" w:color="auto"/>
              <w:right w:val="single" w:sz="4" w:space="0" w:color="auto"/>
            </w:tcBorders>
            <w:shd w:val="clear" w:color="auto" w:fill="auto"/>
            <w:vAlign w:val="center"/>
            <w:hideMark/>
          </w:tcPr>
          <w:p w14:paraId="4F15F8C9"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Město Svitavy</w:t>
            </w:r>
          </w:p>
        </w:tc>
        <w:tc>
          <w:tcPr>
            <w:tcW w:w="1276" w:type="dxa"/>
            <w:tcBorders>
              <w:top w:val="nil"/>
              <w:left w:val="nil"/>
              <w:bottom w:val="single" w:sz="4" w:space="0" w:color="auto"/>
              <w:right w:val="single" w:sz="4" w:space="0" w:color="auto"/>
            </w:tcBorders>
            <w:shd w:val="clear" w:color="auto" w:fill="auto"/>
            <w:noWrap/>
            <w:vAlign w:val="center"/>
            <w:hideMark/>
          </w:tcPr>
          <w:p w14:paraId="18F624A4"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9 000 000</w:t>
            </w:r>
          </w:p>
        </w:tc>
        <w:tc>
          <w:tcPr>
            <w:tcW w:w="869" w:type="dxa"/>
            <w:tcBorders>
              <w:top w:val="nil"/>
              <w:left w:val="nil"/>
              <w:bottom w:val="single" w:sz="4" w:space="0" w:color="auto"/>
              <w:right w:val="single" w:sz="4" w:space="0" w:color="auto"/>
            </w:tcBorders>
            <w:shd w:val="clear" w:color="000000" w:fill="E2EFDA"/>
            <w:noWrap/>
            <w:vAlign w:val="center"/>
            <w:hideMark/>
          </w:tcPr>
          <w:p w14:paraId="35E87774"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2</w:t>
            </w:r>
          </w:p>
        </w:tc>
        <w:tc>
          <w:tcPr>
            <w:tcW w:w="1312" w:type="dxa"/>
            <w:tcBorders>
              <w:top w:val="nil"/>
              <w:left w:val="nil"/>
              <w:bottom w:val="single" w:sz="4" w:space="0" w:color="auto"/>
              <w:right w:val="single" w:sz="4" w:space="0" w:color="auto"/>
            </w:tcBorders>
            <w:shd w:val="clear" w:color="000000" w:fill="A9D08E"/>
            <w:noWrap/>
            <w:vAlign w:val="center"/>
            <w:hideMark/>
          </w:tcPr>
          <w:p w14:paraId="323B68BF"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r>
      <w:tr w:rsidR="009960E7" w14:paraId="196859C1" w14:textId="77777777" w:rsidTr="00AD4A7D">
        <w:trPr>
          <w:cantSplit/>
          <w:trHeight w:val="51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015EAFBA"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117D161000006</w:t>
            </w:r>
          </w:p>
        </w:tc>
        <w:tc>
          <w:tcPr>
            <w:tcW w:w="2841" w:type="dxa"/>
            <w:tcBorders>
              <w:top w:val="nil"/>
              <w:left w:val="nil"/>
              <w:bottom w:val="single" w:sz="4" w:space="0" w:color="auto"/>
              <w:right w:val="single" w:sz="4" w:space="0" w:color="auto"/>
            </w:tcBorders>
            <w:shd w:val="clear" w:color="auto" w:fill="auto"/>
            <w:vAlign w:val="center"/>
            <w:hideMark/>
          </w:tcPr>
          <w:p w14:paraId="28881FFB" w14:textId="05434FE4"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 xml:space="preserve">4 </w:t>
            </w:r>
            <w:r w:rsidR="00F802DD" w:rsidRPr="00E7288D">
              <w:rPr>
                <w:rFonts w:ascii="Calibri" w:hAnsi="Calibri" w:cs="Calibri"/>
                <w:color w:val="000000"/>
                <w:sz w:val="20"/>
              </w:rPr>
              <w:t xml:space="preserve">BJ – </w:t>
            </w:r>
            <w:proofErr w:type="spellStart"/>
            <w:r w:rsidR="00F802DD" w:rsidRPr="00E7288D">
              <w:rPr>
                <w:rFonts w:ascii="Calibri" w:hAnsi="Calibri" w:cs="Calibri"/>
                <w:color w:val="000000"/>
                <w:sz w:val="20"/>
              </w:rPr>
              <w:t>Brocná</w:t>
            </w:r>
            <w:proofErr w:type="spellEnd"/>
            <w:r w:rsidRPr="00E7288D">
              <w:rPr>
                <w:rFonts w:ascii="Calibri" w:hAnsi="Calibri" w:cs="Calibri"/>
                <w:color w:val="000000"/>
                <w:sz w:val="20"/>
              </w:rPr>
              <w:t>, Skuhrov nad Bělou</w:t>
            </w:r>
            <w:r w:rsidR="00763BBE">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Výstavba bytů v oblastech se SPZ</w:t>
            </w:r>
          </w:p>
        </w:tc>
        <w:tc>
          <w:tcPr>
            <w:tcW w:w="1559" w:type="dxa"/>
            <w:tcBorders>
              <w:top w:val="nil"/>
              <w:left w:val="nil"/>
              <w:bottom w:val="single" w:sz="4" w:space="0" w:color="auto"/>
              <w:right w:val="single" w:sz="4" w:space="0" w:color="auto"/>
            </w:tcBorders>
            <w:shd w:val="clear" w:color="auto" w:fill="auto"/>
            <w:vAlign w:val="center"/>
            <w:hideMark/>
          </w:tcPr>
          <w:p w14:paraId="093F9683"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Skuhrov nad Bělou</w:t>
            </w:r>
          </w:p>
        </w:tc>
        <w:tc>
          <w:tcPr>
            <w:tcW w:w="1276" w:type="dxa"/>
            <w:tcBorders>
              <w:top w:val="nil"/>
              <w:left w:val="nil"/>
              <w:bottom w:val="single" w:sz="4" w:space="0" w:color="auto"/>
              <w:right w:val="single" w:sz="4" w:space="0" w:color="auto"/>
            </w:tcBorders>
            <w:shd w:val="clear" w:color="auto" w:fill="auto"/>
            <w:noWrap/>
            <w:vAlign w:val="center"/>
            <w:hideMark/>
          </w:tcPr>
          <w:p w14:paraId="677DD2A7"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8 468 924</w:t>
            </w:r>
          </w:p>
        </w:tc>
        <w:tc>
          <w:tcPr>
            <w:tcW w:w="869" w:type="dxa"/>
            <w:tcBorders>
              <w:top w:val="nil"/>
              <w:left w:val="nil"/>
              <w:bottom w:val="single" w:sz="4" w:space="0" w:color="auto"/>
              <w:right w:val="single" w:sz="4" w:space="0" w:color="auto"/>
            </w:tcBorders>
            <w:shd w:val="clear" w:color="000000" w:fill="E2EFDA"/>
            <w:noWrap/>
            <w:vAlign w:val="center"/>
            <w:hideMark/>
          </w:tcPr>
          <w:p w14:paraId="6107358F"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2</w:t>
            </w:r>
          </w:p>
        </w:tc>
        <w:tc>
          <w:tcPr>
            <w:tcW w:w="1312" w:type="dxa"/>
            <w:tcBorders>
              <w:top w:val="nil"/>
              <w:left w:val="nil"/>
              <w:bottom w:val="single" w:sz="4" w:space="0" w:color="auto"/>
              <w:right w:val="single" w:sz="4" w:space="0" w:color="auto"/>
            </w:tcBorders>
            <w:shd w:val="clear" w:color="000000" w:fill="E2EFDA"/>
            <w:noWrap/>
            <w:vAlign w:val="center"/>
            <w:hideMark/>
          </w:tcPr>
          <w:p w14:paraId="6C9E8BDC"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2</w:t>
            </w:r>
          </w:p>
        </w:tc>
      </w:tr>
      <w:tr w:rsidR="009960E7" w14:paraId="6ACB41A0" w14:textId="77777777" w:rsidTr="00AD4A7D">
        <w:trPr>
          <w:cantSplit/>
          <w:trHeight w:val="765"/>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53480B11"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117D162000001</w:t>
            </w:r>
          </w:p>
        </w:tc>
        <w:tc>
          <w:tcPr>
            <w:tcW w:w="2841" w:type="dxa"/>
            <w:tcBorders>
              <w:top w:val="nil"/>
              <w:left w:val="nil"/>
              <w:bottom w:val="single" w:sz="4" w:space="0" w:color="auto"/>
              <w:right w:val="single" w:sz="4" w:space="0" w:color="auto"/>
            </w:tcBorders>
            <w:shd w:val="clear" w:color="auto" w:fill="auto"/>
            <w:vAlign w:val="center"/>
            <w:hideMark/>
          </w:tcPr>
          <w:p w14:paraId="0DDD6FBC" w14:textId="7FC810DF"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6P – Březina, Skuhrov nad Bělou</w:t>
            </w:r>
            <w:r w:rsidR="00763BBE">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Výstavba technické infrastruktury v oblastech se SPZ</w:t>
            </w:r>
            <w:r w:rsidRPr="00E7288D">
              <w:rPr>
                <w:rFonts w:ascii="Calibri" w:hAnsi="Calibri" w:cs="Calibri"/>
                <w:color w:val="000000"/>
                <w:sz w:val="20"/>
              </w:rPr>
              <w:t xml:space="preserve"> (zainvestované pozemky)</w:t>
            </w:r>
          </w:p>
        </w:tc>
        <w:tc>
          <w:tcPr>
            <w:tcW w:w="1559" w:type="dxa"/>
            <w:tcBorders>
              <w:top w:val="nil"/>
              <w:left w:val="nil"/>
              <w:bottom w:val="single" w:sz="4" w:space="0" w:color="auto"/>
              <w:right w:val="single" w:sz="4" w:space="0" w:color="auto"/>
            </w:tcBorders>
            <w:shd w:val="clear" w:color="auto" w:fill="auto"/>
            <w:vAlign w:val="center"/>
            <w:hideMark/>
          </w:tcPr>
          <w:p w14:paraId="031429A3"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Skuhrov nad Bělou</w:t>
            </w:r>
          </w:p>
        </w:tc>
        <w:tc>
          <w:tcPr>
            <w:tcW w:w="1276" w:type="dxa"/>
            <w:tcBorders>
              <w:top w:val="nil"/>
              <w:left w:val="nil"/>
              <w:bottom w:val="single" w:sz="4" w:space="0" w:color="auto"/>
              <w:right w:val="single" w:sz="4" w:space="0" w:color="auto"/>
            </w:tcBorders>
            <w:shd w:val="clear" w:color="auto" w:fill="auto"/>
            <w:noWrap/>
            <w:vAlign w:val="center"/>
            <w:hideMark/>
          </w:tcPr>
          <w:p w14:paraId="378DF761"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6 274 725</w:t>
            </w:r>
          </w:p>
        </w:tc>
        <w:tc>
          <w:tcPr>
            <w:tcW w:w="869" w:type="dxa"/>
            <w:tcBorders>
              <w:top w:val="nil"/>
              <w:left w:val="nil"/>
              <w:bottom w:val="single" w:sz="4" w:space="0" w:color="auto"/>
              <w:right w:val="single" w:sz="4" w:space="0" w:color="auto"/>
            </w:tcBorders>
            <w:shd w:val="clear" w:color="000000" w:fill="A9D08E"/>
            <w:noWrap/>
            <w:vAlign w:val="center"/>
            <w:hideMark/>
          </w:tcPr>
          <w:p w14:paraId="5C5821AD"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c>
          <w:tcPr>
            <w:tcW w:w="1312" w:type="dxa"/>
            <w:tcBorders>
              <w:top w:val="nil"/>
              <w:left w:val="nil"/>
              <w:bottom w:val="single" w:sz="4" w:space="0" w:color="auto"/>
              <w:right w:val="single" w:sz="4" w:space="0" w:color="auto"/>
            </w:tcBorders>
            <w:shd w:val="clear" w:color="000000" w:fill="E2EFDA"/>
            <w:noWrap/>
            <w:vAlign w:val="center"/>
            <w:hideMark/>
          </w:tcPr>
          <w:p w14:paraId="3C10C7BC"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2</w:t>
            </w:r>
          </w:p>
        </w:tc>
      </w:tr>
      <w:tr w:rsidR="009960E7" w14:paraId="1DE1121A" w14:textId="77777777" w:rsidTr="00AD4A7D">
        <w:trPr>
          <w:cantSplit/>
          <w:trHeight w:val="102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12A17829"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1128110023</w:t>
            </w:r>
          </w:p>
        </w:tc>
        <w:tc>
          <w:tcPr>
            <w:tcW w:w="2841" w:type="dxa"/>
            <w:tcBorders>
              <w:top w:val="nil"/>
              <w:left w:val="nil"/>
              <w:bottom w:val="single" w:sz="4" w:space="0" w:color="auto"/>
              <w:right w:val="single" w:sz="4" w:space="0" w:color="auto"/>
            </w:tcBorders>
            <w:shd w:val="clear" w:color="auto" w:fill="auto"/>
            <w:vAlign w:val="center"/>
            <w:hideMark/>
          </w:tcPr>
          <w:p w14:paraId="578B7910" w14:textId="4497718E"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Sociální bydlení Havlíčkova čp.</w:t>
            </w:r>
            <w:r w:rsidR="00CB4877">
              <w:rPr>
                <w:rFonts w:ascii="Calibri" w:hAnsi="Calibri" w:cs="Calibri"/>
                <w:color w:val="000000"/>
                <w:sz w:val="20"/>
              </w:rPr>
              <w:t> </w:t>
            </w:r>
            <w:r w:rsidRPr="00E7288D">
              <w:rPr>
                <w:rFonts w:ascii="Calibri" w:hAnsi="Calibri" w:cs="Calibri"/>
                <w:color w:val="000000"/>
                <w:sz w:val="20"/>
              </w:rPr>
              <w:t>1 v Brance u Opavy</w:t>
            </w:r>
            <w:r w:rsidR="00763BBE">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Výstavba pro obce</w:t>
            </w:r>
            <w:r w:rsidRPr="00E7288D">
              <w:rPr>
                <w:rFonts w:ascii="Calibri" w:hAnsi="Calibri" w:cs="Calibri"/>
                <w:color w:val="000000"/>
                <w:sz w:val="20"/>
              </w:rPr>
              <w:t xml:space="preserve"> (dotace)</w:t>
            </w:r>
            <w:r w:rsidR="005336D0" w:rsidRPr="005336D0">
              <w:rPr>
                <w:rFonts w:ascii="Calibri" w:hAnsi="Calibri" w:cs="Calibri"/>
                <w:color w:val="000000"/>
                <w:sz w:val="20"/>
              </w:rPr>
              <w:t xml:space="preserve"> –</w:t>
            </w:r>
            <w:r w:rsidRPr="00E7288D">
              <w:rPr>
                <w:rFonts w:ascii="Calibri" w:hAnsi="Calibri" w:cs="Calibri"/>
                <w:color w:val="000000"/>
                <w:sz w:val="20"/>
              </w:rPr>
              <w:t xml:space="preserve"> sociální dům s 12 nájemními byty</w:t>
            </w:r>
          </w:p>
        </w:tc>
        <w:tc>
          <w:tcPr>
            <w:tcW w:w="1559" w:type="dxa"/>
            <w:tcBorders>
              <w:top w:val="nil"/>
              <w:left w:val="nil"/>
              <w:bottom w:val="single" w:sz="4" w:space="0" w:color="auto"/>
              <w:right w:val="single" w:sz="4" w:space="0" w:color="auto"/>
            </w:tcBorders>
            <w:shd w:val="clear" w:color="auto" w:fill="auto"/>
            <w:vAlign w:val="center"/>
            <w:hideMark/>
          </w:tcPr>
          <w:p w14:paraId="1CB02F2F" w14:textId="00EC2D61"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Obec Branka u</w:t>
            </w:r>
            <w:r w:rsidR="008A4B9D">
              <w:rPr>
                <w:rFonts w:ascii="Calibri" w:hAnsi="Calibri" w:cs="Calibri"/>
                <w:color w:val="000000"/>
                <w:sz w:val="20"/>
              </w:rPr>
              <w:t> </w:t>
            </w:r>
            <w:r w:rsidRPr="00E7288D">
              <w:rPr>
                <w:rFonts w:ascii="Calibri" w:hAnsi="Calibri" w:cs="Calibri"/>
                <w:color w:val="000000"/>
                <w:sz w:val="20"/>
              </w:rPr>
              <w:t>Opavy</w:t>
            </w:r>
          </w:p>
        </w:tc>
        <w:tc>
          <w:tcPr>
            <w:tcW w:w="1276" w:type="dxa"/>
            <w:tcBorders>
              <w:top w:val="nil"/>
              <w:left w:val="nil"/>
              <w:bottom w:val="single" w:sz="4" w:space="0" w:color="auto"/>
              <w:right w:val="single" w:sz="4" w:space="0" w:color="auto"/>
            </w:tcBorders>
            <w:shd w:val="clear" w:color="auto" w:fill="auto"/>
            <w:noWrap/>
            <w:vAlign w:val="center"/>
            <w:hideMark/>
          </w:tcPr>
          <w:p w14:paraId="2E0EE5C8"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15 114 206</w:t>
            </w:r>
          </w:p>
        </w:tc>
        <w:tc>
          <w:tcPr>
            <w:tcW w:w="869" w:type="dxa"/>
            <w:tcBorders>
              <w:top w:val="nil"/>
              <w:left w:val="nil"/>
              <w:bottom w:val="single" w:sz="4" w:space="0" w:color="auto"/>
              <w:right w:val="single" w:sz="4" w:space="0" w:color="auto"/>
            </w:tcBorders>
            <w:shd w:val="clear" w:color="000000" w:fill="E2EFDA"/>
            <w:noWrap/>
            <w:vAlign w:val="center"/>
            <w:hideMark/>
          </w:tcPr>
          <w:p w14:paraId="0C91FCFB"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2</w:t>
            </w:r>
          </w:p>
        </w:tc>
        <w:tc>
          <w:tcPr>
            <w:tcW w:w="1312" w:type="dxa"/>
            <w:tcBorders>
              <w:top w:val="nil"/>
              <w:left w:val="nil"/>
              <w:bottom w:val="single" w:sz="4" w:space="0" w:color="auto"/>
              <w:right w:val="single" w:sz="4" w:space="0" w:color="auto"/>
            </w:tcBorders>
            <w:shd w:val="clear" w:color="000000" w:fill="A9D08E"/>
            <w:noWrap/>
            <w:vAlign w:val="center"/>
            <w:hideMark/>
          </w:tcPr>
          <w:p w14:paraId="57A2DC0F"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r>
      <w:tr w:rsidR="009960E7" w14:paraId="2E6DDEC3" w14:textId="77777777" w:rsidTr="00AD4A7D">
        <w:trPr>
          <w:trHeight w:val="504"/>
        </w:trPr>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81147" w14:textId="77777777" w:rsidR="00E7288D" w:rsidRPr="00E7288D" w:rsidRDefault="00455CD6" w:rsidP="00F802DD">
            <w:pPr>
              <w:spacing w:after="240"/>
              <w:jc w:val="left"/>
              <w:rPr>
                <w:rFonts w:ascii="Calibri" w:hAnsi="Calibri" w:cs="Calibri"/>
                <w:color w:val="000000"/>
                <w:sz w:val="20"/>
              </w:rPr>
            </w:pPr>
            <w:r w:rsidRPr="00E7288D">
              <w:rPr>
                <w:rFonts w:ascii="Calibri" w:hAnsi="Calibri" w:cs="Calibri"/>
                <w:color w:val="000000"/>
                <w:sz w:val="20"/>
              </w:rPr>
              <w:lastRenderedPageBreak/>
              <w:t>1128110006</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14:paraId="3FABB8B8" w14:textId="10B9F482" w:rsidR="00F802DD" w:rsidRPr="00E7288D" w:rsidRDefault="00455CD6" w:rsidP="00AD4A7D">
            <w:pPr>
              <w:keepNext/>
              <w:keepLines/>
              <w:jc w:val="left"/>
              <w:rPr>
                <w:rFonts w:ascii="Calibri" w:hAnsi="Calibri" w:cs="Calibri"/>
                <w:color w:val="000000"/>
                <w:sz w:val="20"/>
              </w:rPr>
            </w:pPr>
            <w:r w:rsidRPr="00E7288D">
              <w:rPr>
                <w:rFonts w:ascii="Calibri" w:hAnsi="Calibri" w:cs="Calibri"/>
                <w:color w:val="000000"/>
                <w:sz w:val="20"/>
              </w:rPr>
              <w:t xml:space="preserve">Sociální byty v </w:t>
            </w:r>
            <w:r w:rsidR="008A4B9D">
              <w:rPr>
                <w:rFonts w:ascii="Calibri" w:hAnsi="Calibri" w:cs="Calibri"/>
                <w:color w:val="000000"/>
                <w:sz w:val="20"/>
              </w:rPr>
              <w:t>o</w:t>
            </w:r>
            <w:r w:rsidRPr="00E7288D">
              <w:rPr>
                <w:rFonts w:ascii="Calibri" w:hAnsi="Calibri" w:cs="Calibri"/>
                <w:color w:val="000000"/>
                <w:sz w:val="20"/>
              </w:rPr>
              <w:t>bci Lichkov</w:t>
            </w:r>
            <w:r w:rsidR="00763BBE">
              <w:rPr>
                <w:rFonts w:ascii="Calibri" w:hAnsi="Calibri" w:cs="Calibri"/>
                <w:color w:val="000000"/>
                <w:sz w:val="20"/>
              </w:rPr>
              <w:t>.</w:t>
            </w:r>
            <w:r w:rsidRPr="00E7288D">
              <w:rPr>
                <w:rFonts w:ascii="Calibri" w:hAnsi="Calibri" w:cs="Calibri"/>
                <w:color w:val="000000"/>
                <w:sz w:val="20"/>
              </w:rPr>
              <w:br/>
              <w:t xml:space="preserve">Půdní vestavbou vznikly </w:t>
            </w:r>
            <w:r w:rsidR="0058740D">
              <w:rPr>
                <w:rFonts w:ascii="Calibri" w:hAnsi="Calibri" w:cs="Calibri"/>
                <w:color w:val="000000"/>
                <w:sz w:val="20"/>
              </w:rPr>
              <w:t xml:space="preserve">dva </w:t>
            </w:r>
            <w:r w:rsidRPr="00E7288D">
              <w:rPr>
                <w:rFonts w:ascii="Calibri" w:hAnsi="Calibri" w:cs="Calibri"/>
                <w:color w:val="000000"/>
                <w:sz w:val="20"/>
              </w:rPr>
              <w:t>sociální byty</w:t>
            </w:r>
            <w:r w:rsidR="002F5E14">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Výstavba pro obce</w:t>
            </w:r>
            <w:r w:rsidRPr="00E7288D">
              <w:rPr>
                <w:rFonts w:ascii="Calibri" w:hAnsi="Calibri" w:cs="Calibri"/>
                <w:color w:val="000000"/>
                <w:sz w:val="20"/>
              </w:rPr>
              <w:t xml:space="preserve"> (dotace)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DA4249" w14:textId="77777777" w:rsidR="00E7288D" w:rsidRPr="00E7288D" w:rsidRDefault="00455CD6" w:rsidP="00F802DD">
            <w:pPr>
              <w:spacing w:after="240"/>
              <w:jc w:val="center"/>
              <w:rPr>
                <w:rFonts w:ascii="Calibri" w:hAnsi="Calibri" w:cs="Calibri"/>
                <w:color w:val="000000"/>
                <w:sz w:val="20"/>
              </w:rPr>
            </w:pPr>
            <w:r w:rsidRPr="00E7288D">
              <w:rPr>
                <w:rFonts w:ascii="Calibri" w:hAnsi="Calibri" w:cs="Calibri"/>
                <w:color w:val="000000"/>
                <w:sz w:val="20"/>
              </w:rPr>
              <w:t>Obec Lichkov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2DC363" w14:textId="77777777" w:rsidR="00E7288D" w:rsidRPr="00E7288D" w:rsidRDefault="00455CD6" w:rsidP="00AD4A7D">
            <w:pPr>
              <w:spacing w:after="240"/>
              <w:jc w:val="right"/>
              <w:rPr>
                <w:rFonts w:ascii="Calibri" w:hAnsi="Calibri" w:cs="Calibri"/>
                <w:color w:val="000000"/>
                <w:sz w:val="20"/>
              </w:rPr>
            </w:pPr>
            <w:r w:rsidRPr="00E7288D">
              <w:rPr>
                <w:rFonts w:ascii="Calibri" w:hAnsi="Calibri" w:cs="Calibri"/>
                <w:color w:val="000000"/>
                <w:sz w:val="20"/>
              </w:rPr>
              <w:t>3 112 770</w:t>
            </w:r>
          </w:p>
        </w:tc>
        <w:tc>
          <w:tcPr>
            <w:tcW w:w="869" w:type="dxa"/>
            <w:tcBorders>
              <w:top w:val="single" w:sz="4" w:space="0" w:color="auto"/>
              <w:left w:val="nil"/>
              <w:bottom w:val="single" w:sz="4" w:space="0" w:color="auto"/>
              <w:right w:val="single" w:sz="4" w:space="0" w:color="auto"/>
            </w:tcBorders>
            <w:shd w:val="clear" w:color="000000" w:fill="A9D08E"/>
            <w:noWrap/>
            <w:vAlign w:val="center"/>
            <w:hideMark/>
          </w:tcPr>
          <w:p w14:paraId="47AD70C6" w14:textId="77777777" w:rsidR="00E7288D" w:rsidRPr="00E7288D" w:rsidRDefault="00455CD6" w:rsidP="00F802DD">
            <w:pPr>
              <w:spacing w:after="240"/>
              <w:jc w:val="center"/>
              <w:rPr>
                <w:rFonts w:ascii="Calibri" w:hAnsi="Calibri" w:cs="Calibri"/>
                <w:color w:val="000000"/>
                <w:sz w:val="20"/>
              </w:rPr>
            </w:pPr>
            <w:r w:rsidRPr="00E7288D">
              <w:rPr>
                <w:rFonts w:ascii="Calibri" w:hAnsi="Calibri" w:cs="Calibri"/>
                <w:color w:val="000000"/>
                <w:sz w:val="20"/>
              </w:rPr>
              <w:t>1</w:t>
            </w:r>
          </w:p>
        </w:tc>
        <w:tc>
          <w:tcPr>
            <w:tcW w:w="1312" w:type="dxa"/>
            <w:tcBorders>
              <w:top w:val="single" w:sz="4" w:space="0" w:color="auto"/>
              <w:left w:val="nil"/>
              <w:bottom w:val="single" w:sz="4" w:space="0" w:color="auto"/>
              <w:right w:val="single" w:sz="4" w:space="0" w:color="auto"/>
            </w:tcBorders>
            <w:shd w:val="clear" w:color="000000" w:fill="A9D08E"/>
            <w:noWrap/>
            <w:vAlign w:val="center"/>
            <w:hideMark/>
          </w:tcPr>
          <w:p w14:paraId="63CC4487" w14:textId="77777777" w:rsidR="00E7288D" w:rsidRPr="00E7288D" w:rsidRDefault="00455CD6" w:rsidP="00F802DD">
            <w:pPr>
              <w:spacing w:after="240"/>
              <w:jc w:val="center"/>
              <w:rPr>
                <w:rFonts w:ascii="Calibri" w:hAnsi="Calibri" w:cs="Calibri"/>
                <w:color w:val="000000"/>
                <w:sz w:val="20"/>
              </w:rPr>
            </w:pPr>
            <w:r w:rsidRPr="00E7288D">
              <w:rPr>
                <w:rFonts w:ascii="Calibri" w:hAnsi="Calibri" w:cs="Calibri"/>
                <w:color w:val="000000"/>
                <w:sz w:val="20"/>
              </w:rPr>
              <w:t>1</w:t>
            </w:r>
          </w:p>
        </w:tc>
      </w:tr>
      <w:tr w:rsidR="009960E7" w14:paraId="391718EC" w14:textId="77777777" w:rsidTr="00AD4A7D">
        <w:trPr>
          <w:cantSplit/>
          <w:trHeight w:val="102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4807B203"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1128110001</w:t>
            </w:r>
          </w:p>
        </w:tc>
        <w:tc>
          <w:tcPr>
            <w:tcW w:w="2841" w:type="dxa"/>
            <w:tcBorders>
              <w:top w:val="nil"/>
              <w:left w:val="nil"/>
              <w:bottom w:val="single" w:sz="4" w:space="0" w:color="auto"/>
              <w:right w:val="single" w:sz="4" w:space="0" w:color="auto"/>
            </w:tcBorders>
            <w:shd w:val="clear" w:color="auto" w:fill="auto"/>
            <w:vAlign w:val="center"/>
            <w:hideMark/>
          </w:tcPr>
          <w:p w14:paraId="6A44E864" w14:textId="343B704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 xml:space="preserve">Dostupné a sociální bydlení </w:t>
            </w:r>
            <w:proofErr w:type="spellStart"/>
            <w:r w:rsidRPr="00E7288D">
              <w:rPr>
                <w:rFonts w:ascii="Calibri" w:hAnsi="Calibri" w:cs="Calibri"/>
                <w:color w:val="000000"/>
                <w:sz w:val="20"/>
              </w:rPr>
              <w:t>Údraž</w:t>
            </w:r>
            <w:proofErr w:type="spellEnd"/>
            <w:r w:rsidR="002F5E14">
              <w:rPr>
                <w:rFonts w:ascii="Calibri" w:hAnsi="Calibri" w:cs="Calibri"/>
                <w:color w:val="000000"/>
                <w:sz w:val="20"/>
              </w:rPr>
              <w:t>.</w:t>
            </w:r>
            <w:r w:rsidRPr="00E7288D">
              <w:rPr>
                <w:rFonts w:ascii="Calibri" w:hAnsi="Calibri" w:cs="Calibri"/>
                <w:color w:val="000000"/>
                <w:sz w:val="20"/>
              </w:rPr>
              <w:br/>
              <w:t>Dotace poskytnut</w:t>
            </w:r>
            <w:r w:rsidR="005336D0">
              <w:rPr>
                <w:rFonts w:ascii="Calibri" w:hAnsi="Calibri" w:cs="Calibri"/>
                <w:color w:val="000000"/>
                <w:sz w:val="20"/>
              </w:rPr>
              <w:t>a</w:t>
            </w:r>
            <w:r w:rsidRPr="00E7288D">
              <w:rPr>
                <w:rFonts w:ascii="Calibri" w:hAnsi="Calibri" w:cs="Calibri"/>
                <w:color w:val="000000"/>
                <w:sz w:val="20"/>
              </w:rPr>
              <w:t xml:space="preserve"> na stavební úpravy </w:t>
            </w:r>
            <w:r w:rsidR="0058740D">
              <w:rPr>
                <w:rFonts w:ascii="Calibri" w:hAnsi="Calibri" w:cs="Calibri"/>
                <w:color w:val="000000"/>
                <w:sz w:val="20"/>
              </w:rPr>
              <w:t>dvou</w:t>
            </w:r>
            <w:r w:rsidRPr="00E7288D">
              <w:rPr>
                <w:rFonts w:ascii="Calibri" w:hAnsi="Calibri" w:cs="Calibri"/>
                <w:color w:val="000000"/>
                <w:sz w:val="20"/>
              </w:rPr>
              <w:t xml:space="preserve"> sociálních bytů.</w:t>
            </w:r>
            <w:r w:rsidRPr="00E7288D">
              <w:rPr>
                <w:rFonts w:ascii="Calibri" w:hAnsi="Calibri" w:cs="Calibri"/>
                <w:color w:val="000000"/>
                <w:sz w:val="20"/>
              </w:rPr>
              <w:br/>
            </w:r>
            <w:r w:rsidRPr="00AD4A7D">
              <w:rPr>
                <w:rFonts w:ascii="Calibri" w:hAnsi="Calibri" w:cs="Calibri"/>
                <w:i/>
                <w:color w:val="000000"/>
                <w:sz w:val="20"/>
              </w:rPr>
              <w:t>Výstavba pro obce</w:t>
            </w:r>
            <w:r w:rsidRPr="00E7288D">
              <w:rPr>
                <w:rFonts w:ascii="Calibri" w:hAnsi="Calibri" w:cs="Calibri"/>
                <w:color w:val="000000"/>
                <w:sz w:val="20"/>
              </w:rPr>
              <w:t xml:space="preserve"> (dotace)</w:t>
            </w:r>
          </w:p>
        </w:tc>
        <w:tc>
          <w:tcPr>
            <w:tcW w:w="1559" w:type="dxa"/>
            <w:tcBorders>
              <w:top w:val="nil"/>
              <w:left w:val="nil"/>
              <w:bottom w:val="single" w:sz="4" w:space="0" w:color="auto"/>
              <w:right w:val="single" w:sz="4" w:space="0" w:color="auto"/>
            </w:tcBorders>
            <w:shd w:val="clear" w:color="auto" w:fill="auto"/>
            <w:vAlign w:val="center"/>
            <w:hideMark/>
          </w:tcPr>
          <w:p w14:paraId="70943338"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Albrechtice nad Vltavou</w:t>
            </w:r>
          </w:p>
        </w:tc>
        <w:tc>
          <w:tcPr>
            <w:tcW w:w="1276" w:type="dxa"/>
            <w:tcBorders>
              <w:top w:val="nil"/>
              <w:left w:val="nil"/>
              <w:bottom w:val="single" w:sz="4" w:space="0" w:color="auto"/>
              <w:right w:val="single" w:sz="4" w:space="0" w:color="auto"/>
            </w:tcBorders>
            <w:shd w:val="clear" w:color="auto" w:fill="auto"/>
            <w:noWrap/>
            <w:vAlign w:val="center"/>
            <w:hideMark/>
          </w:tcPr>
          <w:p w14:paraId="007DE4F5"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3 607 457</w:t>
            </w:r>
          </w:p>
        </w:tc>
        <w:tc>
          <w:tcPr>
            <w:tcW w:w="869" w:type="dxa"/>
            <w:tcBorders>
              <w:top w:val="nil"/>
              <w:left w:val="nil"/>
              <w:bottom w:val="single" w:sz="4" w:space="0" w:color="auto"/>
              <w:right w:val="single" w:sz="4" w:space="0" w:color="auto"/>
            </w:tcBorders>
            <w:shd w:val="clear" w:color="000000" w:fill="A9D08E"/>
            <w:noWrap/>
            <w:vAlign w:val="center"/>
            <w:hideMark/>
          </w:tcPr>
          <w:p w14:paraId="78C536FC"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c>
          <w:tcPr>
            <w:tcW w:w="1312" w:type="dxa"/>
            <w:tcBorders>
              <w:top w:val="nil"/>
              <w:left w:val="nil"/>
              <w:bottom w:val="single" w:sz="4" w:space="0" w:color="auto"/>
              <w:right w:val="single" w:sz="4" w:space="0" w:color="auto"/>
            </w:tcBorders>
            <w:shd w:val="clear" w:color="000000" w:fill="A9D08E"/>
            <w:noWrap/>
            <w:vAlign w:val="center"/>
            <w:hideMark/>
          </w:tcPr>
          <w:p w14:paraId="40DB534A"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r>
      <w:tr w:rsidR="009960E7" w14:paraId="45E86F3E" w14:textId="77777777" w:rsidTr="00AD4A7D">
        <w:trPr>
          <w:cantSplit/>
          <w:trHeight w:val="765"/>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4623E3CF"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1128110007</w:t>
            </w:r>
          </w:p>
        </w:tc>
        <w:tc>
          <w:tcPr>
            <w:tcW w:w="2841" w:type="dxa"/>
            <w:tcBorders>
              <w:top w:val="nil"/>
              <w:left w:val="nil"/>
              <w:bottom w:val="single" w:sz="4" w:space="0" w:color="auto"/>
              <w:right w:val="single" w:sz="4" w:space="0" w:color="auto"/>
            </w:tcBorders>
            <w:shd w:val="clear" w:color="auto" w:fill="auto"/>
            <w:vAlign w:val="center"/>
            <w:hideMark/>
          </w:tcPr>
          <w:p w14:paraId="69E76060" w14:textId="674F2E28"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Sociální byty Branice</w:t>
            </w:r>
            <w:r w:rsidR="002F5E14">
              <w:rPr>
                <w:rFonts w:ascii="Calibri" w:hAnsi="Calibri" w:cs="Calibri"/>
                <w:color w:val="000000"/>
                <w:sz w:val="20"/>
              </w:rPr>
              <w:t>.</w:t>
            </w:r>
            <w:r w:rsidRPr="00E7288D">
              <w:rPr>
                <w:rFonts w:ascii="Calibri" w:hAnsi="Calibri" w:cs="Calibri"/>
                <w:color w:val="000000"/>
                <w:sz w:val="20"/>
              </w:rPr>
              <w:br/>
              <w:t xml:space="preserve">Pořízení </w:t>
            </w:r>
            <w:r w:rsidR="0058740D">
              <w:rPr>
                <w:rFonts w:ascii="Calibri" w:hAnsi="Calibri" w:cs="Calibri"/>
                <w:color w:val="000000"/>
                <w:sz w:val="20"/>
              </w:rPr>
              <w:t>šesti</w:t>
            </w:r>
            <w:r w:rsidRPr="00E7288D">
              <w:rPr>
                <w:rFonts w:ascii="Calibri" w:hAnsi="Calibri" w:cs="Calibri"/>
                <w:color w:val="000000"/>
                <w:sz w:val="20"/>
              </w:rPr>
              <w:t xml:space="preserve"> sociálních bytů</w:t>
            </w:r>
            <w:r w:rsidR="002F5E14">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Výstavba pro obce</w:t>
            </w:r>
            <w:r w:rsidRPr="00E7288D">
              <w:rPr>
                <w:rFonts w:ascii="Calibri" w:hAnsi="Calibri" w:cs="Calibri"/>
                <w:color w:val="000000"/>
                <w:sz w:val="20"/>
              </w:rPr>
              <w:t xml:space="preserve"> (dotace)</w:t>
            </w:r>
          </w:p>
        </w:tc>
        <w:tc>
          <w:tcPr>
            <w:tcW w:w="1559" w:type="dxa"/>
            <w:tcBorders>
              <w:top w:val="nil"/>
              <w:left w:val="nil"/>
              <w:bottom w:val="single" w:sz="4" w:space="0" w:color="auto"/>
              <w:right w:val="single" w:sz="4" w:space="0" w:color="auto"/>
            </w:tcBorders>
            <w:shd w:val="clear" w:color="auto" w:fill="auto"/>
            <w:vAlign w:val="center"/>
            <w:hideMark/>
          </w:tcPr>
          <w:p w14:paraId="6C693D75"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Obec Branice</w:t>
            </w:r>
          </w:p>
        </w:tc>
        <w:tc>
          <w:tcPr>
            <w:tcW w:w="1276" w:type="dxa"/>
            <w:tcBorders>
              <w:top w:val="nil"/>
              <w:left w:val="nil"/>
              <w:bottom w:val="single" w:sz="4" w:space="0" w:color="auto"/>
              <w:right w:val="single" w:sz="4" w:space="0" w:color="auto"/>
            </w:tcBorders>
            <w:shd w:val="clear" w:color="auto" w:fill="auto"/>
            <w:noWrap/>
            <w:vAlign w:val="center"/>
            <w:hideMark/>
          </w:tcPr>
          <w:p w14:paraId="1C6791A4"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7 998 173</w:t>
            </w:r>
          </w:p>
        </w:tc>
        <w:tc>
          <w:tcPr>
            <w:tcW w:w="869" w:type="dxa"/>
            <w:tcBorders>
              <w:top w:val="nil"/>
              <w:left w:val="nil"/>
              <w:bottom w:val="single" w:sz="4" w:space="0" w:color="auto"/>
              <w:right w:val="single" w:sz="4" w:space="0" w:color="auto"/>
            </w:tcBorders>
            <w:shd w:val="clear" w:color="auto" w:fill="auto"/>
            <w:noWrap/>
            <w:vAlign w:val="center"/>
            <w:hideMark/>
          </w:tcPr>
          <w:p w14:paraId="4C4AF5DA"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x</w:t>
            </w:r>
          </w:p>
        </w:tc>
        <w:tc>
          <w:tcPr>
            <w:tcW w:w="1312" w:type="dxa"/>
            <w:tcBorders>
              <w:top w:val="nil"/>
              <w:left w:val="nil"/>
              <w:bottom w:val="single" w:sz="4" w:space="0" w:color="auto"/>
              <w:right w:val="single" w:sz="4" w:space="0" w:color="auto"/>
            </w:tcBorders>
            <w:shd w:val="clear" w:color="auto" w:fill="auto"/>
            <w:noWrap/>
            <w:vAlign w:val="center"/>
            <w:hideMark/>
          </w:tcPr>
          <w:p w14:paraId="72C68BA7"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x</w:t>
            </w:r>
          </w:p>
        </w:tc>
      </w:tr>
      <w:tr w:rsidR="009960E7" w14:paraId="26ABD234" w14:textId="77777777" w:rsidTr="00AD4A7D">
        <w:trPr>
          <w:cantSplit/>
          <w:trHeight w:val="1275"/>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010074D2"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28431064</w:t>
            </w:r>
          </w:p>
        </w:tc>
        <w:tc>
          <w:tcPr>
            <w:tcW w:w="2841" w:type="dxa"/>
            <w:tcBorders>
              <w:top w:val="nil"/>
              <w:left w:val="nil"/>
              <w:bottom w:val="single" w:sz="4" w:space="0" w:color="auto"/>
              <w:right w:val="single" w:sz="4" w:space="0" w:color="auto"/>
            </w:tcBorders>
            <w:shd w:val="clear" w:color="auto" w:fill="auto"/>
            <w:vAlign w:val="center"/>
            <w:hideMark/>
          </w:tcPr>
          <w:p w14:paraId="098E40DC" w14:textId="507CD3D6"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Polyfunkční dům, Čujkovova 30, Ostrava</w:t>
            </w:r>
            <w:r w:rsidR="0033613D">
              <w:rPr>
                <w:rFonts w:ascii="Calibri" w:hAnsi="Calibri" w:cs="Calibri"/>
                <w:color w:val="000000"/>
                <w:sz w:val="20"/>
              </w:rPr>
              <w:t>-</w:t>
            </w:r>
            <w:r w:rsidRPr="00E7288D">
              <w:rPr>
                <w:rFonts w:ascii="Calibri" w:hAnsi="Calibri" w:cs="Calibri"/>
                <w:color w:val="000000"/>
                <w:sz w:val="20"/>
              </w:rPr>
              <w:t>Zábřeh</w:t>
            </w:r>
            <w:r w:rsidR="002F5E14">
              <w:rPr>
                <w:rFonts w:ascii="Calibri" w:hAnsi="Calibri" w:cs="Calibri"/>
                <w:color w:val="000000"/>
                <w:sz w:val="20"/>
              </w:rPr>
              <w:t>.</w:t>
            </w:r>
            <w:r w:rsidRPr="00E7288D">
              <w:rPr>
                <w:rFonts w:ascii="Calibri" w:hAnsi="Calibri" w:cs="Calibri"/>
                <w:color w:val="000000"/>
                <w:sz w:val="20"/>
              </w:rPr>
              <w:br/>
              <w:t>Stavebními úpravami vznikl nájemní bytový dům s</w:t>
            </w:r>
            <w:r w:rsidR="0033613D">
              <w:rPr>
                <w:rFonts w:ascii="Calibri" w:hAnsi="Calibri" w:cs="Calibri"/>
                <w:color w:val="000000"/>
                <w:sz w:val="20"/>
              </w:rPr>
              <w:t> </w:t>
            </w:r>
            <w:r w:rsidRPr="00E7288D">
              <w:rPr>
                <w:rFonts w:ascii="Calibri" w:hAnsi="Calibri" w:cs="Calibri"/>
                <w:color w:val="000000"/>
                <w:sz w:val="20"/>
              </w:rPr>
              <w:t>60 byty</w:t>
            </w:r>
            <w:r w:rsidR="002F5E14">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Nájemní byty</w:t>
            </w:r>
            <w:r w:rsidRPr="00E7288D">
              <w:rPr>
                <w:rFonts w:ascii="Calibri" w:hAnsi="Calibri" w:cs="Calibri"/>
                <w:color w:val="000000"/>
                <w:sz w:val="20"/>
              </w:rPr>
              <w:t xml:space="preserve"> (úvěr)</w:t>
            </w:r>
          </w:p>
        </w:tc>
        <w:tc>
          <w:tcPr>
            <w:tcW w:w="1559" w:type="dxa"/>
            <w:tcBorders>
              <w:top w:val="nil"/>
              <w:left w:val="nil"/>
              <w:bottom w:val="single" w:sz="4" w:space="0" w:color="auto"/>
              <w:right w:val="single" w:sz="4" w:space="0" w:color="auto"/>
            </w:tcBorders>
            <w:shd w:val="clear" w:color="auto" w:fill="auto"/>
            <w:vAlign w:val="center"/>
            <w:hideMark/>
          </w:tcPr>
          <w:p w14:paraId="315ADD9D" w14:textId="63AA909E"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REGOS M, spol.</w:t>
            </w:r>
            <w:r w:rsidR="002F5E14">
              <w:rPr>
                <w:rFonts w:ascii="Calibri" w:hAnsi="Calibri" w:cs="Calibri"/>
                <w:color w:val="000000"/>
                <w:sz w:val="20"/>
              </w:rPr>
              <w:t> </w:t>
            </w:r>
            <w:r w:rsidRPr="00E7288D">
              <w:rPr>
                <w:rFonts w:ascii="Calibri" w:hAnsi="Calibri" w:cs="Calibri"/>
                <w:color w:val="000000"/>
                <w:sz w:val="20"/>
              </w:rPr>
              <w:t>s</w:t>
            </w:r>
            <w:r w:rsidR="0033613D">
              <w:rPr>
                <w:rFonts w:ascii="Calibri" w:hAnsi="Calibri" w:cs="Calibri"/>
                <w:color w:val="000000"/>
                <w:sz w:val="20"/>
              </w:rPr>
              <w:t> </w:t>
            </w:r>
            <w:r w:rsidRPr="00E7288D">
              <w:rPr>
                <w:rFonts w:ascii="Calibri" w:hAnsi="Calibri" w:cs="Calibri"/>
                <w:color w:val="000000"/>
                <w:sz w:val="20"/>
              </w:rPr>
              <w:t>r.o.</w:t>
            </w:r>
          </w:p>
        </w:tc>
        <w:tc>
          <w:tcPr>
            <w:tcW w:w="1276" w:type="dxa"/>
            <w:tcBorders>
              <w:top w:val="nil"/>
              <w:left w:val="nil"/>
              <w:bottom w:val="single" w:sz="4" w:space="0" w:color="auto"/>
              <w:right w:val="single" w:sz="4" w:space="0" w:color="auto"/>
            </w:tcBorders>
            <w:shd w:val="clear" w:color="auto" w:fill="auto"/>
            <w:noWrap/>
            <w:vAlign w:val="center"/>
            <w:hideMark/>
          </w:tcPr>
          <w:p w14:paraId="05F49D07"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40 039 000</w:t>
            </w:r>
          </w:p>
        </w:tc>
        <w:tc>
          <w:tcPr>
            <w:tcW w:w="869" w:type="dxa"/>
            <w:tcBorders>
              <w:top w:val="nil"/>
              <w:left w:val="nil"/>
              <w:bottom w:val="single" w:sz="4" w:space="0" w:color="auto"/>
              <w:right w:val="single" w:sz="4" w:space="0" w:color="auto"/>
            </w:tcBorders>
            <w:shd w:val="clear" w:color="000000" w:fill="A9D08E"/>
            <w:noWrap/>
            <w:vAlign w:val="center"/>
            <w:hideMark/>
          </w:tcPr>
          <w:p w14:paraId="1438CE3B"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c>
          <w:tcPr>
            <w:tcW w:w="1312" w:type="dxa"/>
            <w:tcBorders>
              <w:top w:val="nil"/>
              <w:left w:val="nil"/>
              <w:bottom w:val="single" w:sz="4" w:space="0" w:color="auto"/>
              <w:right w:val="single" w:sz="4" w:space="0" w:color="auto"/>
            </w:tcBorders>
            <w:shd w:val="clear" w:color="auto" w:fill="auto"/>
            <w:noWrap/>
            <w:vAlign w:val="center"/>
            <w:hideMark/>
          </w:tcPr>
          <w:p w14:paraId="624C5D80"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x</w:t>
            </w:r>
          </w:p>
        </w:tc>
      </w:tr>
      <w:tr w:rsidR="009960E7" w14:paraId="02E0D750" w14:textId="77777777" w:rsidTr="00AD4A7D">
        <w:trPr>
          <w:cantSplit/>
          <w:trHeight w:val="102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28ABD6D4"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28421075</w:t>
            </w:r>
          </w:p>
        </w:tc>
        <w:tc>
          <w:tcPr>
            <w:tcW w:w="2841" w:type="dxa"/>
            <w:tcBorders>
              <w:top w:val="nil"/>
              <w:left w:val="nil"/>
              <w:bottom w:val="single" w:sz="4" w:space="0" w:color="auto"/>
              <w:right w:val="single" w:sz="4" w:space="0" w:color="auto"/>
            </w:tcBorders>
            <w:shd w:val="clear" w:color="auto" w:fill="auto"/>
            <w:vAlign w:val="center"/>
            <w:hideMark/>
          </w:tcPr>
          <w:p w14:paraId="635D56DC" w14:textId="2E1E0351"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SENIOR PARK Hlušovice</w:t>
            </w:r>
            <w:r w:rsidR="002F5E14">
              <w:rPr>
                <w:rFonts w:ascii="Calibri" w:hAnsi="Calibri" w:cs="Calibri"/>
                <w:color w:val="000000"/>
                <w:sz w:val="20"/>
              </w:rPr>
              <w:t xml:space="preserve"> </w:t>
            </w:r>
            <w:r w:rsidR="002F5E14" w:rsidRPr="002F5E14">
              <w:rPr>
                <w:rFonts w:ascii="Calibri" w:hAnsi="Calibri" w:cs="Calibri"/>
                <w:color w:val="000000"/>
                <w:sz w:val="20"/>
              </w:rPr>
              <w:t>–</w:t>
            </w:r>
            <w:r w:rsidR="002F5E14">
              <w:rPr>
                <w:rFonts w:ascii="Calibri" w:hAnsi="Calibri" w:cs="Calibri"/>
                <w:color w:val="000000"/>
                <w:sz w:val="20"/>
              </w:rPr>
              <w:t xml:space="preserve"> </w:t>
            </w:r>
            <w:r w:rsidRPr="00E7288D">
              <w:rPr>
                <w:rFonts w:ascii="Calibri" w:hAnsi="Calibri" w:cs="Calibri"/>
                <w:color w:val="000000"/>
                <w:sz w:val="20"/>
              </w:rPr>
              <w:br/>
              <w:t xml:space="preserve">výstavba bytového domu </w:t>
            </w:r>
            <w:r w:rsidR="004665D5">
              <w:rPr>
                <w:rFonts w:ascii="Calibri" w:hAnsi="Calibri" w:cs="Calibri"/>
                <w:color w:val="000000"/>
                <w:sz w:val="20"/>
              </w:rPr>
              <w:br/>
            </w:r>
            <w:r w:rsidRPr="00E7288D">
              <w:rPr>
                <w:rFonts w:ascii="Calibri" w:hAnsi="Calibri" w:cs="Calibri"/>
                <w:color w:val="000000"/>
                <w:sz w:val="20"/>
              </w:rPr>
              <w:t>se 40 nájemními byty</w:t>
            </w:r>
            <w:r w:rsidR="002F5E14">
              <w:rPr>
                <w:rFonts w:ascii="Calibri" w:hAnsi="Calibri" w:cs="Calibri"/>
                <w:color w:val="000000"/>
                <w:sz w:val="20"/>
              </w:rPr>
              <w:t>.</w:t>
            </w:r>
            <w:r w:rsidRPr="00E7288D">
              <w:rPr>
                <w:rFonts w:ascii="Calibri" w:hAnsi="Calibri" w:cs="Calibri"/>
                <w:color w:val="000000"/>
                <w:sz w:val="20"/>
              </w:rPr>
              <w:t xml:space="preserve"> </w:t>
            </w:r>
            <w:r w:rsidRPr="00E7288D">
              <w:rPr>
                <w:rFonts w:ascii="Calibri" w:hAnsi="Calibri" w:cs="Calibri"/>
                <w:color w:val="000000"/>
                <w:sz w:val="20"/>
              </w:rPr>
              <w:br/>
            </w:r>
            <w:r w:rsidRPr="00AD4A7D">
              <w:rPr>
                <w:rFonts w:ascii="Calibri" w:hAnsi="Calibri" w:cs="Calibri"/>
                <w:i/>
                <w:color w:val="000000"/>
                <w:sz w:val="20"/>
              </w:rPr>
              <w:t>Nájemní byty</w:t>
            </w:r>
            <w:r w:rsidRPr="00E7288D">
              <w:rPr>
                <w:rFonts w:ascii="Calibri" w:hAnsi="Calibri" w:cs="Calibri"/>
                <w:color w:val="000000"/>
                <w:sz w:val="20"/>
              </w:rPr>
              <w:t xml:space="preserve"> (úvěr)</w:t>
            </w:r>
          </w:p>
        </w:tc>
        <w:tc>
          <w:tcPr>
            <w:tcW w:w="1559" w:type="dxa"/>
            <w:tcBorders>
              <w:top w:val="nil"/>
              <w:left w:val="nil"/>
              <w:bottom w:val="single" w:sz="4" w:space="0" w:color="auto"/>
              <w:right w:val="single" w:sz="4" w:space="0" w:color="auto"/>
            </w:tcBorders>
            <w:shd w:val="clear" w:color="auto" w:fill="auto"/>
            <w:vAlign w:val="center"/>
            <w:hideMark/>
          </w:tcPr>
          <w:p w14:paraId="0EDA1994"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SENIOR PARK HOUSE a.s.</w:t>
            </w:r>
          </w:p>
        </w:tc>
        <w:tc>
          <w:tcPr>
            <w:tcW w:w="1276" w:type="dxa"/>
            <w:tcBorders>
              <w:top w:val="nil"/>
              <w:left w:val="nil"/>
              <w:bottom w:val="single" w:sz="4" w:space="0" w:color="auto"/>
              <w:right w:val="single" w:sz="4" w:space="0" w:color="auto"/>
            </w:tcBorders>
            <w:shd w:val="clear" w:color="auto" w:fill="auto"/>
            <w:noWrap/>
            <w:vAlign w:val="center"/>
            <w:hideMark/>
          </w:tcPr>
          <w:p w14:paraId="60140C92"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52 000 000</w:t>
            </w:r>
          </w:p>
        </w:tc>
        <w:tc>
          <w:tcPr>
            <w:tcW w:w="869" w:type="dxa"/>
            <w:tcBorders>
              <w:top w:val="nil"/>
              <w:left w:val="nil"/>
              <w:bottom w:val="single" w:sz="4" w:space="0" w:color="auto"/>
              <w:right w:val="single" w:sz="4" w:space="0" w:color="auto"/>
            </w:tcBorders>
            <w:shd w:val="clear" w:color="000000" w:fill="A9D08E"/>
            <w:noWrap/>
            <w:vAlign w:val="center"/>
            <w:hideMark/>
          </w:tcPr>
          <w:p w14:paraId="7C3313A7"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c>
          <w:tcPr>
            <w:tcW w:w="1312" w:type="dxa"/>
            <w:tcBorders>
              <w:top w:val="nil"/>
              <w:left w:val="nil"/>
              <w:bottom w:val="single" w:sz="4" w:space="0" w:color="auto"/>
              <w:right w:val="single" w:sz="4" w:space="0" w:color="auto"/>
            </w:tcBorders>
            <w:shd w:val="clear" w:color="auto" w:fill="auto"/>
            <w:noWrap/>
            <w:vAlign w:val="center"/>
            <w:hideMark/>
          </w:tcPr>
          <w:p w14:paraId="4E85ECF8"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x</w:t>
            </w:r>
          </w:p>
        </w:tc>
      </w:tr>
      <w:tr w:rsidR="009960E7" w14:paraId="4C06FA4E" w14:textId="77777777" w:rsidTr="00AD4A7D">
        <w:trPr>
          <w:cantSplit/>
          <w:trHeight w:val="765"/>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06B0DD26"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28431087</w:t>
            </w:r>
          </w:p>
        </w:tc>
        <w:tc>
          <w:tcPr>
            <w:tcW w:w="2841" w:type="dxa"/>
            <w:tcBorders>
              <w:top w:val="nil"/>
              <w:left w:val="nil"/>
              <w:bottom w:val="single" w:sz="4" w:space="0" w:color="auto"/>
              <w:right w:val="single" w:sz="4" w:space="0" w:color="auto"/>
            </w:tcBorders>
            <w:shd w:val="clear" w:color="auto" w:fill="auto"/>
            <w:vAlign w:val="center"/>
            <w:hideMark/>
          </w:tcPr>
          <w:p w14:paraId="4A20C06A" w14:textId="601CDB53"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Výstavba 19 bytů v</w:t>
            </w:r>
            <w:r w:rsidR="0033613D">
              <w:rPr>
                <w:rFonts w:ascii="Calibri" w:hAnsi="Calibri" w:cs="Calibri"/>
                <w:color w:val="000000"/>
                <w:sz w:val="20"/>
              </w:rPr>
              <w:t> </w:t>
            </w:r>
            <w:r w:rsidRPr="00E7288D">
              <w:rPr>
                <w:rFonts w:ascii="Calibri" w:hAnsi="Calibri" w:cs="Calibri"/>
                <w:color w:val="000000"/>
                <w:sz w:val="20"/>
              </w:rPr>
              <w:t xml:space="preserve">bytovém domě na pozemku </w:t>
            </w:r>
            <w:proofErr w:type="spellStart"/>
            <w:r w:rsidRPr="00E7288D">
              <w:rPr>
                <w:rFonts w:ascii="Calibri" w:hAnsi="Calibri" w:cs="Calibri"/>
                <w:color w:val="000000"/>
                <w:sz w:val="20"/>
              </w:rPr>
              <w:t>parc</w:t>
            </w:r>
            <w:proofErr w:type="spellEnd"/>
            <w:r w:rsidRPr="00E7288D">
              <w:rPr>
                <w:rFonts w:ascii="Calibri" w:hAnsi="Calibri" w:cs="Calibri"/>
                <w:color w:val="000000"/>
                <w:sz w:val="20"/>
              </w:rPr>
              <w:t xml:space="preserve">. </w:t>
            </w:r>
            <w:r w:rsidR="00031BDD">
              <w:rPr>
                <w:rFonts w:ascii="Calibri" w:hAnsi="Calibri" w:cs="Calibri"/>
                <w:color w:val="000000"/>
                <w:sz w:val="20"/>
              </w:rPr>
              <w:t>č</w:t>
            </w:r>
            <w:r w:rsidRPr="00E7288D">
              <w:rPr>
                <w:rFonts w:ascii="Calibri" w:hAnsi="Calibri" w:cs="Calibri"/>
                <w:color w:val="000000"/>
                <w:sz w:val="20"/>
              </w:rPr>
              <w:t>. 577/4 v</w:t>
            </w:r>
            <w:r w:rsidR="0033613D">
              <w:rPr>
                <w:rFonts w:ascii="Calibri" w:hAnsi="Calibri" w:cs="Calibri"/>
                <w:color w:val="000000"/>
                <w:sz w:val="20"/>
              </w:rPr>
              <w:t> </w:t>
            </w:r>
            <w:r w:rsidRPr="00E7288D">
              <w:rPr>
                <w:rFonts w:ascii="Calibri" w:hAnsi="Calibri" w:cs="Calibri"/>
                <w:color w:val="000000"/>
                <w:sz w:val="20"/>
              </w:rPr>
              <w:t>obci Chýnov</w:t>
            </w:r>
            <w:r w:rsidR="002F5E14">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Nájemní byty</w:t>
            </w:r>
            <w:r w:rsidRPr="00E7288D">
              <w:rPr>
                <w:rFonts w:ascii="Calibri" w:hAnsi="Calibri" w:cs="Calibri"/>
                <w:color w:val="000000"/>
                <w:sz w:val="20"/>
              </w:rPr>
              <w:t xml:space="preserve"> (úvěr)</w:t>
            </w:r>
          </w:p>
        </w:tc>
        <w:tc>
          <w:tcPr>
            <w:tcW w:w="1559" w:type="dxa"/>
            <w:tcBorders>
              <w:top w:val="nil"/>
              <w:left w:val="nil"/>
              <w:bottom w:val="single" w:sz="4" w:space="0" w:color="auto"/>
              <w:right w:val="single" w:sz="4" w:space="0" w:color="auto"/>
            </w:tcBorders>
            <w:shd w:val="clear" w:color="auto" w:fill="auto"/>
            <w:vAlign w:val="center"/>
            <w:hideMark/>
          </w:tcPr>
          <w:p w14:paraId="65828986"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PANTHA REI s.r.o.</w:t>
            </w:r>
          </w:p>
        </w:tc>
        <w:tc>
          <w:tcPr>
            <w:tcW w:w="1276" w:type="dxa"/>
            <w:tcBorders>
              <w:top w:val="nil"/>
              <w:left w:val="nil"/>
              <w:bottom w:val="single" w:sz="4" w:space="0" w:color="auto"/>
              <w:right w:val="single" w:sz="4" w:space="0" w:color="auto"/>
            </w:tcBorders>
            <w:shd w:val="clear" w:color="auto" w:fill="auto"/>
            <w:noWrap/>
            <w:vAlign w:val="center"/>
            <w:hideMark/>
          </w:tcPr>
          <w:p w14:paraId="5BE2C13B"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10 918 524</w:t>
            </w:r>
          </w:p>
        </w:tc>
        <w:tc>
          <w:tcPr>
            <w:tcW w:w="869" w:type="dxa"/>
            <w:tcBorders>
              <w:top w:val="nil"/>
              <w:left w:val="nil"/>
              <w:bottom w:val="single" w:sz="4" w:space="0" w:color="auto"/>
              <w:right w:val="single" w:sz="4" w:space="0" w:color="auto"/>
            </w:tcBorders>
            <w:shd w:val="clear" w:color="000000" w:fill="E2EFDA"/>
            <w:noWrap/>
            <w:vAlign w:val="center"/>
            <w:hideMark/>
          </w:tcPr>
          <w:p w14:paraId="251BCF53"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2</w:t>
            </w:r>
          </w:p>
        </w:tc>
        <w:tc>
          <w:tcPr>
            <w:tcW w:w="1312" w:type="dxa"/>
            <w:tcBorders>
              <w:top w:val="nil"/>
              <w:left w:val="nil"/>
              <w:bottom w:val="single" w:sz="4" w:space="0" w:color="auto"/>
              <w:right w:val="single" w:sz="4" w:space="0" w:color="auto"/>
            </w:tcBorders>
            <w:shd w:val="clear" w:color="auto" w:fill="auto"/>
            <w:noWrap/>
            <w:vAlign w:val="center"/>
            <w:hideMark/>
          </w:tcPr>
          <w:p w14:paraId="36ED634B"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x</w:t>
            </w:r>
          </w:p>
        </w:tc>
      </w:tr>
      <w:tr w:rsidR="009960E7" w14:paraId="6CB2CB95" w14:textId="77777777" w:rsidTr="00AD4A7D">
        <w:trPr>
          <w:cantSplit/>
          <w:trHeight w:val="102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42BD55CE"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28431050</w:t>
            </w:r>
          </w:p>
        </w:tc>
        <w:tc>
          <w:tcPr>
            <w:tcW w:w="2841" w:type="dxa"/>
            <w:tcBorders>
              <w:top w:val="nil"/>
              <w:left w:val="nil"/>
              <w:bottom w:val="single" w:sz="4" w:space="0" w:color="auto"/>
              <w:right w:val="single" w:sz="4" w:space="0" w:color="auto"/>
            </w:tcBorders>
            <w:shd w:val="clear" w:color="auto" w:fill="auto"/>
            <w:vAlign w:val="center"/>
            <w:hideMark/>
          </w:tcPr>
          <w:p w14:paraId="7491A702" w14:textId="01FBE130"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Bytový dům s</w:t>
            </w:r>
            <w:r w:rsidR="0033613D">
              <w:rPr>
                <w:rFonts w:ascii="Calibri" w:hAnsi="Calibri" w:cs="Calibri"/>
                <w:color w:val="000000"/>
                <w:sz w:val="20"/>
              </w:rPr>
              <w:t> </w:t>
            </w:r>
            <w:r w:rsidRPr="00E7288D">
              <w:rPr>
                <w:rFonts w:ascii="Calibri" w:hAnsi="Calibri" w:cs="Calibri"/>
                <w:color w:val="000000"/>
                <w:sz w:val="20"/>
              </w:rPr>
              <w:t>nájemními byty pro seniory</w:t>
            </w:r>
            <w:r w:rsidR="002F5E14">
              <w:rPr>
                <w:rFonts w:ascii="Calibri" w:hAnsi="Calibri" w:cs="Calibri"/>
                <w:color w:val="000000"/>
                <w:sz w:val="20"/>
              </w:rPr>
              <w:t xml:space="preserve"> </w:t>
            </w:r>
            <w:r w:rsidR="002F5E14" w:rsidRPr="005336D0">
              <w:rPr>
                <w:rFonts w:ascii="Calibri" w:hAnsi="Calibri" w:cs="Calibri"/>
                <w:color w:val="000000"/>
                <w:sz w:val="20"/>
              </w:rPr>
              <w:t>–</w:t>
            </w:r>
            <w:r w:rsidR="002F5E14">
              <w:rPr>
                <w:rFonts w:ascii="Calibri" w:hAnsi="Calibri" w:cs="Calibri"/>
                <w:color w:val="000000"/>
                <w:sz w:val="20"/>
              </w:rPr>
              <w:t xml:space="preserve"> </w:t>
            </w:r>
            <w:r w:rsidRPr="00E7288D">
              <w:rPr>
                <w:rFonts w:ascii="Calibri" w:hAnsi="Calibri" w:cs="Calibri"/>
                <w:color w:val="000000"/>
                <w:sz w:val="20"/>
              </w:rPr>
              <w:t>Slatinice</w:t>
            </w:r>
            <w:r w:rsidR="002F5E14">
              <w:rPr>
                <w:rFonts w:ascii="Calibri" w:hAnsi="Calibri" w:cs="Calibri"/>
                <w:color w:val="000000"/>
                <w:sz w:val="20"/>
              </w:rPr>
              <w:t>.</w:t>
            </w:r>
            <w:r w:rsidRPr="00E7288D">
              <w:rPr>
                <w:rFonts w:ascii="Calibri" w:hAnsi="Calibri" w:cs="Calibri"/>
                <w:color w:val="000000"/>
                <w:sz w:val="20"/>
              </w:rPr>
              <w:br/>
              <w:t>Výstavba bytového domu s</w:t>
            </w:r>
            <w:r w:rsidR="0033613D">
              <w:rPr>
                <w:rFonts w:ascii="Calibri" w:hAnsi="Calibri" w:cs="Calibri"/>
                <w:color w:val="000000"/>
                <w:sz w:val="20"/>
              </w:rPr>
              <w:t> </w:t>
            </w:r>
            <w:r w:rsidRPr="00E7288D">
              <w:rPr>
                <w:rFonts w:ascii="Calibri" w:hAnsi="Calibri" w:cs="Calibri"/>
                <w:color w:val="000000"/>
                <w:sz w:val="20"/>
              </w:rPr>
              <w:t>33</w:t>
            </w:r>
            <w:r w:rsidR="002F5E14">
              <w:rPr>
                <w:rFonts w:ascii="Calibri" w:hAnsi="Calibri" w:cs="Calibri"/>
                <w:color w:val="000000"/>
                <w:sz w:val="20"/>
              </w:rPr>
              <w:t> </w:t>
            </w:r>
            <w:r w:rsidRPr="00E7288D">
              <w:rPr>
                <w:rFonts w:ascii="Calibri" w:hAnsi="Calibri" w:cs="Calibri"/>
                <w:color w:val="000000"/>
                <w:sz w:val="20"/>
              </w:rPr>
              <w:t>nájemními byty</w:t>
            </w:r>
            <w:r w:rsidR="002F5E14">
              <w:rPr>
                <w:rFonts w:ascii="Calibri" w:hAnsi="Calibri" w:cs="Calibri"/>
                <w:color w:val="000000"/>
                <w:sz w:val="20"/>
              </w:rPr>
              <w:t>.</w:t>
            </w:r>
            <w:r w:rsidRPr="00E7288D">
              <w:rPr>
                <w:rFonts w:ascii="Calibri" w:hAnsi="Calibri" w:cs="Calibri"/>
                <w:color w:val="000000"/>
                <w:sz w:val="20"/>
              </w:rPr>
              <w:t xml:space="preserve"> </w:t>
            </w:r>
            <w:r w:rsidRPr="00E7288D">
              <w:rPr>
                <w:rFonts w:ascii="Calibri" w:hAnsi="Calibri" w:cs="Calibri"/>
                <w:color w:val="000000"/>
                <w:sz w:val="20"/>
              </w:rPr>
              <w:br/>
            </w:r>
            <w:r w:rsidRPr="00AD4A7D">
              <w:rPr>
                <w:rFonts w:ascii="Calibri" w:hAnsi="Calibri" w:cs="Calibri"/>
                <w:i/>
                <w:color w:val="000000"/>
                <w:sz w:val="20"/>
              </w:rPr>
              <w:t>Nájemní byty</w:t>
            </w:r>
            <w:r w:rsidRPr="00E7288D">
              <w:rPr>
                <w:rFonts w:ascii="Calibri" w:hAnsi="Calibri" w:cs="Calibri"/>
                <w:color w:val="000000"/>
                <w:sz w:val="20"/>
              </w:rPr>
              <w:t xml:space="preserve"> (úvěr)</w:t>
            </w:r>
          </w:p>
        </w:tc>
        <w:tc>
          <w:tcPr>
            <w:tcW w:w="1559" w:type="dxa"/>
            <w:tcBorders>
              <w:top w:val="nil"/>
              <w:left w:val="nil"/>
              <w:bottom w:val="single" w:sz="4" w:space="0" w:color="auto"/>
              <w:right w:val="single" w:sz="4" w:space="0" w:color="auto"/>
            </w:tcBorders>
            <w:shd w:val="clear" w:color="auto" w:fill="auto"/>
            <w:vAlign w:val="center"/>
            <w:hideMark/>
          </w:tcPr>
          <w:p w14:paraId="12C0FC81" w14:textId="77777777" w:rsidR="00E7288D" w:rsidRPr="00E7288D" w:rsidRDefault="00455CD6" w:rsidP="00E7288D">
            <w:pPr>
              <w:jc w:val="center"/>
              <w:rPr>
                <w:rFonts w:ascii="Calibri" w:hAnsi="Calibri" w:cs="Calibri"/>
                <w:color w:val="000000"/>
                <w:sz w:val="20"/>
              </w:rPr>
            </w:pPr>
            <w:proofErr w:type="spellStart"/>
            <w:r w:rsidRPr="00E7288D">
              <w:rPr>
                <w:rFonts w:ascii="Calibri" w:hAnsi="Calibri" w:cs="Calibri"/>
                <w:color w:val="000000"/>
                <w:sz w:val="20"/>
              </w:rPr>
              <w:t>Spa</w:t>
            </w:r>
            <w:proofErr w:type="spellEnd"/>
            <w:r w:rsidRPr="00E7288D">
              <w:rPr>
                <w:rFonts w:ascii="Calibri" w:hAnsi="Calibri" w:cs="Calibri"/>
                <w:color w:val="000000"/>
                <w:sz w:val="20"/>
              </w:rPr>
              <w:t xml:space="preserve"> </w:t>
            </w:r>
            <w:proofErr w:type="spellStart"/>
            <w:r w:rsidRPr="00E7288D">
              <w:rPr>
                <w:rFonts w:ascii="Calibri" w:hAnsi="Calibri" w:cs="Calibri"/>
                <w:color w:val="000000"/>
                <w:sz w:val="20"/>
              </w:rPr>
              <w:t>Living</w:t>
            </w:r>
            <w:proofErr w:type="spellEnd"/>
            <w:r w:rsidRPr="00E7288D">
              <w:rPr>
                <w:rFonts w:ascii="Calibri" w:hAnsi="Calibri" w:cs="Calibri"/>
                <w:color w:val="000000"/>
                <w:sz w:val="20"/>
              </w:rPr>
              <w:t xml:space="preserve"> s.r.o.</w:t>
            </w:r>
          </w:p>
        </w:tc>
        <w:tc>
          <w:tcPr>
            <w:tcW w:w="1276" w:type="dxa"/>
            <w:tcBorders>
              <w:top w:val="nil"/>
              <w:left w:val="nil"/>
              <w:bottom w:val="single" w:sz="4" w:space="0" w:color="auto"/>
              <w:right w:val="single" w:sz="4" w:space="0" w:color="auto"/>
            </w:tcBorders>
            <w:shd w:val="clear" w:color="auto" w:fill="auto"/>
            <w:noWrap/>
            <w:vAlign w:val="center"/>
            <w:hideMark/>
          </w:tcPr>
          <w:p w14:paraId="10A38F3F"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24 560 794</w:t>
            </w:r>
          </w:p>
        </w:tc>
        <w:tc>
          <w:tcPr>
            <w:tcW w:w="869" w:type="dxa"/>
            <w:tcBorders>
              <w:top w:val="nil"/>
              <w:left w:val="nil"/>
              <w:bottom w:val="single" w:sz="4" w:space="0" w:color="auto"/>
              <w:right w:val="single" w:sz="4" w:space="0" w:color="auto"/>
            </w:tcBorders>
            <w:shd w:val="clear" w:color="000000" w:fill="A9D08E"/>
            <w:noWrap/>
            <w:vAlign w:val="center"/>
            <w:hideMark/>
          </w:tcPr>
          <w:p w14:paraId="6DBB2812"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c>
          <w:tcPr>
            <w:tcW w:w="1312" w:type="dxa"/>
            <w:tcBorders>
              <w:top w:val="nil"/>
              <w:left w:val="nil"/>
              <w:bottom w:val="single" w:sz="4" w:space="0" w:color="auto"/>
              <w:right w:val="single" w:sz="4" w:space="0" w:color="auto"/>
            </w:tcBorders>
            <w:shd w:val="clear" w:color="auto" w:fill="auto"/>
            <w:noWrap/>
            <w:vAlign w:val="center"/>
            <w:hideMark/>
          </w:tcPr>
          <w:p w14:paraId="3FFD1F9E"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x</w:t>
            </w:r>
          </w:p>
        </w:tc>
      </w:tr>
      <w:tr w:rsidR="009960E7" w14:paraId="5A0EBC75" w14:textId="77777777" w:rsidTr="00AD4A7D">
        <w:trPr>
          <w:cantSplit/>
          <w:trHeight w:val="1064"/>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22391582"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3908110005</w:t>
            </w:r>
          </w:p>
        </w:tc>
        <w:tc>
          <w:tcPr>
            <w:tcW w:w="2841" w:type="dxa"/>
            <w:tcBorders>
              <w:top w:val="nil"/>
              <w:left w:val="nil"/>
              <w:bottom w:val="single" w:sz="4" w:space="0" w:color="auto"/>
              <w:right w:val="single" w:sz="4" w:space="0" w:color="auto"/>
            </w:tcBorders>
            <w:shd w:val="clear" w:color="auto" w:fill="auto"/>
            <w:vAlign w:val="center"/>
            <w:hideMark/>
          </w:tcPr>
          <w:p w14:paraId="02FAD1CE" w14:textId="425D7526"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 xml:space="preserve">RS – Ostrava, </w:t>
            </w:r>
            <w:proofErr w:type="spellStart"/>
            <w:r w:rsidRPr="00E7288D">
              <w:rPr>
                <w:rFonts w:ascii="Calibri" w:hAnsi="Calibri" w:cs="Calibri"/>
                <w:color w:val="000000"/>
                <w:sz w:val="20"/>
              </w:rPr>
              <w:t>Fifejdy</w:t>
            </w:r>
            <w:proofErr w:type="spellEnd"/>
            <w:r w:rsidRPr="00E7288D">
              <w:rPr>
                <w:rFonts w:ascii="Calibri" w:hAnsi="Calibri" w:cs="Calibri"/>
                <w:color w:val="000000"/>
                <w:sz w:val="20"/>
              </w:rPr>
              <w:t xml:space="preserve"> II–XIII. </w:t>
            </w:r>
            <w:r w:rsidR="002F5E14">
              <w:rPr>
                <w:rFonts w:ascii="Calibri" w:hAnsi="Calibri" w:cs="Calibri"/>
                <w:color w:val="000000"/>
                <w:sz w:val="20"/>
              </w:rPr>
              <w:t>e</w:t>
            </w:r>
            <w:r w:rsidRPr="00E7288D">
              <w:rPr>
                <w:rFonts w:ascii="Calibri" w:hAnsi="Calibri" w:cs="Calibri"/>
                <w:color w:val="000000"/>
                <w:sz w:val="20"/>
              </w:rPr>
              <w:t>tapa</w:t>
            </w:r>
            <w:r w:rsidR="002F5E14">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Regenerace sídlišť</w:t>
            </w:r>
            <w:r w:rsidRPr="00E7288D">
              <w:rPr>
                <w:rFonts w:ascii="Calibri" w:hAnsi="Calibri" w:cs="Calibri"/>
                <w:color w:val="000000"/>
                <w:sz w:val="20"/>
              </w:rPr>
              <w:t xml:space="preserve"> (dotace)</w:t>
            </w:r>
          </w:p>
        </w:tc>
        <w:tc>
          <w:tcPr>
            <w:tcW w:w="1559" w:type="dxa"/>
            <w:tcBorders>
              <w:top w:val="nil"/>
              <w:left w:val="nil"/>
              <w:bottom w:val="single" w:sz="4" w:space="0" w:color="auto"/>
              <w:right w:val="single" w:sz="4" w:space="0" w:color="auto"/>
            </w:tcBorders>
            <w:shd w:val="clear" w:color="auto" w:fill="auto"/>
            <w:vAlign w:val="center"/>
            <w:hideMark/>
          </w:tcPr>
          <w:p w14:paraId="6B4F7A70"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Statutární město Ostrava, městský obvod Moravská Ostrava a Přívoz</w:t>
            </w:r>
          </w:p>
        </w:tc>
        <w:tc>
          <w:tcPr>
            <w:tcW w:w="1276" w:type="dxa"/>
            <w:tcBorders>
              <w:top w:val="nil"/>
              <w:left w:val="nil"/>
              <w:bottom w:val="single" w:sz="4" w:space="0" w:color="auto"/>
              <w:right w:val="single" w:sz="4" w:space="0" w:color="auto"/>
            </w:tcBorders>
            <w:shd w:val="clear" w:color="auto" w:fill="auto"/>
            <w:noWrap/>
            <w:vAlign w:val="center"/>
            <w:hideMark/>
          </w:tcPr>
          <w:p w14:paraId="63191A24"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5 719 921</w:t>
            </w:r>
          </w:p>
        </w:tc>
        <w:tc>
          <w:tcPr>
            <w:tcW w:w="869" w:type="dxa"/>
            <w:tcBorders>
              <w:top w:val="nil"/>
              <w:left w:val="nil"/>
              <w:bottom w:val="single" w:sz="4" w:space="0" w:color="auto"/>
              <w:right w:val="single" w:sz="4" w:space="0" w:color="auto"/>
            </w:tcBorders>
            <w:shd w:val="clear" w:color="000000" w:fill="A9D08E"/>
            <w:noWrap/>
            <w:vAlign w:val="center"/>
            <w:hideMark/>
          </w:tcPr>
          <w:p w14:paraId="550CC6CC"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c>
          <w:tcPr>
            <w:tcW w:w="1312" w:type="dxa"/>
            <w:tcBorders>
              <w:top w:val="nil"/>
              <w:left w:val="nil"/>
              <w:bottom w:val="single" w:sz="4" w:space="0" w:color="auto"/>
              <w:right w:val="single" w:sz="4" w:space="0" w:color="auto"/>
            </w:tcBorders>
            <w:shd w:val="clear" w:color="000000" w:fill="A9D08E"/>
            <w:noWrap/>
            <w:vAlign w:val="center"/>
            <w:hideMark/>
          </w:tcPr>
          <w:p w14:paraId="66335347"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r>
      <w:tr w:rsidR="009960E7" w14:paraId="36EEA8A4" w14:textId="77777777" w:rsidTr="00AD4A7D">
        <w:trPr>
          <w:cantSplit/>
          <w:trHeight w:val="102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0260C367"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3908110070</w:t>
            </w:r>
          </w:p>
        </w:tc>
        <w:tc>
          <w:tcPr>
            <w:tcW w:w="2841" w:type="dxa"/>
            <w:tcBorders>
              <w:top w:val="nil"/>
              <w:left w:val="nil"/>
              <w:bottom w:val="single" w:sz="4" w:space="0" w:color="auto"/>
              <w:right w:val="single" w:sz="4" w:space="0" w:color="auto"/>
            </w:tcBorders>
            <w:shd w:val="clear" w:color="auto" w:fill="auto"/>
            <w:vAlign w:val="center"/>
            <w:hideMark/>
          </w:tcPr>
          <w:p w14:paraId="5534F34D" w14:textId="43B41259"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Regenerace veřejného prostranství sídliště v</w:t>
            </w:r>
            <w:r w:rsidR="0033613D">
              <w:rPr>
                <w:rFonts w:ascii="Calibri" w:hAnsi="Calibri" w:cs="Calibri"/>
                <w:color w:val="000000"/>
                <w:sz w:val="20"/>
              </w:rPr>
              <w:t> </w:t>
            </w:r>
            <w:r w:rsidRPr="00E7288D">
              <w:rPr>
                <w:rFonts w:ascii="Calibri" w:hAnsi="Calibri" w:cs="Calibri"/>
                <w:color w:val="000000"/>
                <w:sz w:val="20"/>
              </w:rPr>
              <w:t xml:space="preserve">Uničově mezi ulicemi Dukelská, Litovelská, Pionýrů </w:t>
            </w:r>
            <w:r w:rsidR="0033613D">
              <w:rPr>
                <w:rFonts w:ascii="Calibri" w:hAnsi="Calibri" w:cs="Calibri"/>
                <w:color w:val="000000"/>
                <w:sz w:val="20"/>
              </w:rPr>
              <w:t>–</w:t>
            </w:r>
            <w:r w:rsidRPr="00E7288D">
              <w:rPr>
                <w:rFonts w:ascii="Calibri" w:hAnsi="Calibri" w:cs="Calibri"/>
                <w:color w:val="000000"/>
                <w:sz w:val="20"/>
              </w:rPr>
              <w:t xml:space="preserve"> 3. etapa</w:t>
            </w:r>
            <w:r w:rsidR="002F5E14">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Regenerace sídlišť</w:t>
            </w:r>
            <w:r w:rsidRPr="00E7288D">
              <w:rPr>
                <w:rFonts w:ascii="Calibri" w:hAnsi="Calibri" w:cs="Calibri"/>
                <w:color w:val="000000"/>
                <w:sz w:val="20"/>
              </w:rPr>
              <w:t xml:space="preserve"> (dotace)</w:t>
            </w:r>
          </w:p>
        </w:tc>
        <w:tc>
          <w:tcPr>
            <w:tcW w:w="1559" w:type="dxa"/>
            <w:tcBorders>
              <w:top w:val="nil"/>
              <w:left w:val="nil"/>
              <w:bottom w:val="single" w:sz="4" w:space="0" w:color="auto"/>
              <w:right w:val="single" w:sz="4" w:space="0" w:color="auto"/>
            </w:tcBorders>
            <w:shd w:val="clear" w:color="auto" w:fill="auto"/>
            <w:vAlign w:val="center"/>
            <w:hideMark/>
          </w:tcPr>
          <w:p w14:paraId="6B66A33E"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Město Uničov</w:t>
            </w:r>
          </w:p>
        </w:tc>
        <w:tc>
          <w:tcPr>
            <w:tcW w:w="1276" w:type="dxa"/>
            <w:tcBorders>
              <w:top w:val="nil"/>
              <w:left w:val="nil"/>
              <w:bottom w:val="single" w:sz="4" w:space="0" w:color="auto"/>
              <w:right w:val="single" w:sz="4" w:space="0" w:color="auto"/>
            </w:tcBorders>
            <w:shd w:val="clear" w:color="auto" w:fill="auto"/>
            <w:noWrap/>
            <w:vAlign w:val="center"/>
            <w:hideMark/>
          </w:tcPr>
          <w:p w14:paraId="5B91834C"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5 810 146</w:t>
            </w:r>
          </w:p>
        </w:tc>
        <w:tc>
          <w:tcPr>
            <w:tcW w:w="869" w:type="dxa"/>
            <w:tcBorders>
              <w:top w:val="nil"/>
              <w:left w:val="nil"/>
              <w:bottom w:val="single" w:sz="4" w:space="0" w:color="auto"/>
              <w:right w:val="single" w:sz="4" w:space="0" w:color="auto"/>
            </w:tcBorders>
            <w:shd w:val="clear" w:color="000000" w:fill="A9D08E"/>
            <w:noWrap/>
            <w:vAlign w:val="center"/>
            <w:hideMark/>
          </w:tcPr>
          <w:p w14:paraId="7866EB86"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c>
          <w:tcPr>
            <w:tcW w:w="1312" w:type="dxa"/>
            <w:tcBorders>
              <w:top w:val="nil"/>
              <w:left w:val="nil"/>
              <w:bottom w:val="single" w:sz="4" w:space="0" w:color="auto"/>
              <w:right w:val="single" w:sz="4" w:space="0" w:color="auto"/>
            </w:tcBorders>
            <w:shd w:val="clear" w:color="000000" w:fill="A9D08E"/>
            <w:noWrap/>
            <w:vAlign w:val="center"/>
            <w:hideMark/>
          </w:tcPr>
          <w:p w14:paraId="1F66699F"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r>
      <w:tr w:rsidR="009960E7" w14:paraId="59DB8C78" w14:textId="77777777" w:rsidTr="00AD4A7D">
        <w:trPr>
          <w:cantSplit/>
          <w:trHeight w:val="102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7CC87809" w14:textId="77777777"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3908110045</w:t>
            </w:r>
          </w:p>
        </w:tc>
        <w:tc>
          <w:tcPr>
            <w:tcW w:w="2841" w:type="dxa"/>
            <w:tcBorders>
              <w:top w:val="nil"/>
              <w:left w:val="nil"/>
              <w:bottom w:val="single" w:sz="4" w:space="0" w:color="auto"/>
              <w:right w:val="single" w:sz="4" w:space="0" w:color="auto"/>
            </w:tcBorders>
            <w:shd w:val="clear" w:color="auto" w:fill="auto"/>
            <w:vAlign w:val="center"/>
            <w:hideMark/>
          </w:tcPr>
          <w:p w14:paraId="31B1F705" w14:textId="16641C75" w:rsidR="00E7288D" w:rsidRPr="00E7288D" w:rsidRDefault="00455CD6" w:rsidP="00E7288D">
            <w:pPr>
              <w:jc w:val="left"/>
              <w:rPr>
                <w:rFonts w:ascii="Calibri" w:hAnsi="Calibri" w:cs="Calibri"/>
                <w:color w:val="000000"/>
                <w:sz w:val="20"/>
              </w:rPr>
            </w:pPr>
            <w:r w:rsidRPr="00E7288D">
              <w:rPr>
                <w:rFonts w:ascii="Calibri" w:hAnsi="Calibri" w:cs="Calibri"/>
                <w:color w:val="000000"/>
                <w:sz w:val="20"/>
              </w:rPr>
              <w:t>Revitalizace sídliště Šumavská</w:t>
            </w:r>
            <w:r w:rsidR="002F5E14">
              <w:rPr>
                <w:rFonts w:ascii="Calibri" w:hAnsi="Calibri" w:cs="Calibri"/>
                <w:color w:val="000000"/>
                <w:sz w:val="20"/>
              </w:rPr>
              <w:t>,</w:t>
            </w:r>
            <w:r w:rsidRPr="00E7288D">
              <w:rPr>
                <w:rFonts w:ascii="Calibri" w:hAnsi="Calibri" w:cs="Calibri"/>
                <w:color w:val="000000"/>
                <w:sz w:val="20"/>
              </w:rPr>
              <w:t xml:space="preserve"> Pod Vodojemem,</w:t>
            </w:r>
            <w:r w:rsidRPr="00E7288D">
              <w:rPr>
                <w:rFonts w:ascii="Calibri" w:hAnsi="Calibri" w:cs="Calibri"/>
                <w:color w:val="000000"/>
                <w:sz w:val="20"/>
              </w:rPr>
              <w:br/>
              <w:t>Horažďovice – II. etapa</w:t>
            </w:r>
            <w:r w:rsidR="002F5E14">
              <w:rPr>
                <w:rFonts w:ascii="Calibri" w:hAnsi="Calibri" w:cs="Calibri"/>
                <w:color w:val="000000"/>
                <w:sz w:val="20"/>
              </w:rPr>
              <w:t>.</w:t>
            </w:r>
            <w:r w:rsidRPr="00E7288D">
              <w:rPr>
                <w:rFonts w:ascii="Calibri" w:hAnsi="Calibri" w:cs="Calibri"/>
                <w:color w:val="000000"/>
                <w:sz w:val="20"/>
              </w:rPr>
              <w:br/>
            </w:r>
            <w:r w:rsidRPr="00AD4A7D">
              <w:rPr>
                <w:rFonts w:ascii="Calibri" w:hAnsi="Calibri" w:cs="Calibri"/>
                <w:i/>
                <w:color w:val="000000"/>
                <w:sz w:val="20"/>
              </w:rPr>
              <w:t>Regenerace sídlišť</w:t>
            </w:r>
            <w:r w:rsidRPr="00E7288D">
              <w:rPr>
                <w:rFonts w:ascii="Calibri" w:hAnsi="Calibri" w:cs="Calibri"/>
                <w:color w:val="000000"/>
                <w:sz w:val="20"/>
              </w:rPr>
              <w:t xml:space="preserve"> (dotace)</w:t>
            </w:r>
          </w:p>
        </w:tc>
        <w:tc>
          <w:tcPr>
            <w:tcW w:w="1559" w:type="dxa"/>
            <w:tcBorders>
              <w:top w:val="nil"/>
              <w:left w:val="nil"/>
              <w:bottom w:val="single" w:sz="4" w:space="0" w:color="auto"/>
              <w:right w:val="single" w:sz="4" w:space="0" w:color="auto"/>
            </w:tcBorders>
            <w:shd w:val="clear" w:color="auto" w:fill="auto"/>
            <w:vAlign w:val="center"/>
            <w:hideMark/>
          </w:tcPr>
          <w:p w14:paraId="135E3723"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Město Horažďovice</w:t>
            </w:r>
          </w:p>
        </w:tc>
        <w:tc>
          <w:tcPr>
            <w:tcW w:w="1276" w:type="dxa"/>
            <w:tcBorders>
              <w:top w:val="nil"/>
              <w:left w:val="nil"/>
              <w:bottom w:val="single" w:sz="4" w:space="0" w:color="auto"/>
              <w:right w:val="single" w:sz="4" w:space="0" w:color="auto"/>
            </w:tcBorders>
            <w:shd w:val="clear" w:color="auto" w:fill="auto"/>
            <w:noWrap/>
            <w:vAlign w:val="center"/>
            <w:hideMark/>
          </w:tcPr>
          <w:p w14:paraId="2075F5A9" w14:textId="77777777" w:rsidR="00E7288D" w:rsidRPr="00E7288D" w:rsidRDefault="00455CD6" w:rsidP="00AD4A7D">
            <w:pPr>
              <w:jc w:val="right"/>
              <w:rPr>
                <w:rFonts w:ascii="Calibri" w:hAnsi="Calibri" w:cs="Calibri"/>
                <w:color w:val="000000"/>
                <w:sz w:val="20"/>
              </w:rPr>
            </w:pPr>
            <w:r w:rsidRPr="00E7288D">
              <w:rPr>
                <w:rFonts w:ascii="Calibri" w:hAnsi="Calibri" w:cs="Calibri"/>
                <w:color w:val="000000"/>
                <w:sz w:val="20"/>
              </w:rPr>
              <w:t>5 254 102</w:t>
            </w:r>
          </w:p>
        </w:tc>
        <w:tc>
          <w:tcPr>
            <w:tcW w:w="869" w:type="dxa"/>
            <w:tcBorders>
              <w:top w:val="nil"/>
              <w:left w:val="nil"/>
              <w:bottom w:val="single" w:sz="4" w:space="0" w:color="auto"/>
              <w:right w:val="single" w:sz="4" w:space="0" w:color="auto"/>
            </w:tcBorders>
            <w:shd w:val="clear" w:color="000000" w:fill="A9D08E"/>
            <w:noWrap/>
            <w:vAlign w:val="center"/>
            <w:hideMark/>
          </w:tcPr>
          <w:p w14:paraId="685E13DB"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c>
          <w:tcPr>
            <w:tcW w:w="1312" w:type="dxa"/>
            <w:tcBorders>
              <w:top w:val="nil"/>
              <w:left w:val="nil"/>
              <w:bottom w:val="single" w:sz="4" w:space="0" w:color="auto"/>
              <w:right w:val="single" w:sz="4" w:space="0" w:color="auto"/>
            </w:tcBorders>
            <w:shd w:val="clear" w:color="000000" w:fill="A9D08E"/>
            <w:noWrap/>
            <w:vAlign w:val="center"/>
            <w:hideMark/>
          </w:tcPr>
          <w:p w14:paraId="7C2CB2FD" w14:textId="77777777" w:rsidR="00E7288D" w:rsidRPr="00E7288D" w:rsidRDefault="00455CD6" w:rsidP="00E7288D">
            <w:pPr>
              <w:jc w:val="center"/>
              <w:rPr>
                <w:rFonts w:ascii="Calibri" w:hAnsi="Calibri" w:cs="Calibri"/>
                <w:color w:val="000000"/>
                <w:sz w:val="20"/>
              </w:rPr>
            </w:pPr>
            <w:r w:rsidRPr="00E7288D">
              <w:rPr>
                <w:rFonts w:ascii="Calibri" w:hAnsi="Calibri" w:cs="Calibri"/>
                <w:color w:val="000000"/>
                <w:sz w:val="20"/>
              </w:rPr>
              <w:t>1</w:t>
            </w:r>
          </w:p>
        </w:tc>
      </w:tr>
    </w:tbl>
    <w:p w14:paraId="56A8BB79" w14:textId="53DC925B" w:rsidR="00E7288D" w:rsidRPr="0033613D" w:rsidRDefault="00455CD6" w:rsidP="00AD4A7D">
      <w:pPr>
        <w:ind w:left="567" w:hanging="567"/>
        <w:jc w:val="left"/>
        <w:rPr>
          <w:rFonts w:ascii="Calibri" w:hAnsi="Calibri" w:cs="Calibri"/>
          <w:iCs/>
          <w:color w:val="000000"/>
          <w:sz w:val="20"/>
        </w:rPr>
      </w:pPr>
      <w:r w:rsidRPr="0033613D">
        <w:rPr>
          <w:rFonts w:ascii="Calibri" w:hAnsi="Calibri" w:cs="Calibri"/>
          <w:b/>
          <w:iCs/>
          <w:color w:val="000000"/>
          <w:sz w:val="20"/>
        </w:rPr>
        <w:t>Zdroj:</w:t>
      </w:r>
      <w:r w:rsidRPr="0033613D">
        <w:rPr>
          <w:rFonts w:ascii="Calibri" w:hAnsi="Calibri" w:cs="Calibri"/>
          <w:iCs/>
          <w:color w:val="000000"/>
          <w:sz w:val="20"/>
        </w:rPr>
        <w:t xml:space="preserve"> </w:t>
      </w:r>
      <w:r w:rsidR="002F5E14">
        <w:rPr>
          <w:rFonts w:ascii="Calibri" w:hAnsi="Calibri" w:cs="Calibri"/>
          <w:iCs/>
          <w:color w:val="000000"/>
          <w:sz w:val="20"/>
        </w:rPr>
        <w:tab/>
        <w:t xml:space="preserve">informační systém Ministerstva pro místní rozvoj </w:t>
      </w:r>
      <w:r w:rsidRPr="0033613D">
        <w:rPr>
          <w:rFonts w:ascii="Calibri" w:hAnsi="Calibri" w:cs="Calibri"/>
          <w:iCs/>
          <w:color w:val="000000"/>
          <w:sz w:val="20"/>
        </w:rPr>
        <w:t>DIS</w:t>
      </w:r>
      <w:r w:rsidR="002F5E14">
        <w:rPr>
          <w:rFonts w:ascii="Calibri" w:hAnsi="Calibri" w:cs="Calibri"/>
          <w:iCs/>
          <w:color w:val="000000"/>
          <w:sz w:val="20"/>
        </w:rPr>
        <w:t xml:space="preserve"> </w:t>
      </w:r>
      <w:r w:rsidRPr="0033613D">
        <w:rPr>
          <w:rFonts w:ascii="Calibri" w:hAnsi="Calibri" w:cs="Calibri"/>
          <w:iCs/>
          <w:color w:val="000000"/>
          <w:sz w:val="20"/>
        </w:rPr>
        <w:t>ZAD</w:t>
      </w:r>
      <w:r w:rsidR="002F5E14">
        <w:rPr>
          <w:rFonts w:ascii="Calibri" w:hAnsi="Calibri" w:cs="Calibri"/>
          <w:iCs/>
          <w:color w:val="000000"/>
          <w:sz w:val="20"/>
        </w:rPr>
        <w:t>;</w:t>
      </w:r>
      <w:r w:rsidRPr="0033613D">
        <w:rPr>
          <w:rFonts w:ascii="Calibri" w:hAnsi="Calibri" w:cs="Calibri"/>
          <w:iCs/>
          <w:color w:val="000000"/>
          <w:sz w:val="20"/>
        </w:rPr>
        <w:t xml:space="preserve"> vlastní zpracování NKÚ</w:t>
      </w:r>
      <w:r w:rsidR="0033613D">
        <w:rPr>
          <w:rFonts w:ascii="Calibri" w:hAnsi="Calibri" w:cs="Calibri"/>
          <w:iCs/>
          <w:color w:val="000000"/>
          <w:sz w:val="20"/>
        </w:rPr>
        <w:t>.</w:t>
      </w:r>
    </w:p>
    <w:p w14:paraId="222CEFAB" w14:textId="4FE77D9B" w:rsidR="00E7288D" w:rsidRPr="00F621D6" w:rsidRDefault="00455CD6" w:rsidP="00AD4A7D">
      <w:pPr>
        <w:ind w:left="567" w:hanging="567"/>
        <w:rPr>
          <w:rFonts w:ascii="Calibri" w:hAnsi="Calibri" w:cs="Calibri"/>
          <w:color w:val="000000"/>
          <w:sz w:val="20"/>
        </w:rPr>
      </w:pPr>
      <w:r w:rsidRPr="00AD4A7D">
        <w:rPr>
          <w:rFonts w:ascii="Calibri" w:hAnsi="Calibri" w:cs="Calibri"/>
          <w:b/>
          <w:color w:val="000000"/>
          <w:sz w:val="20"/>
        </w:rPr>
        <w:t>Pozn.:</w:t>
      </w:r>
      <w:r w:rsidRPr="00F621D6">
        <w:rPr>
          <w:rFonts w:ascii="Calibri" w:hAnsi="Calibri" w:cs="Calibri"/>
          <w:color w:val="000000"/>
          <w:sz w:val="20"/>
        </w:rPr>
        <w:t xml:space="preserve"> </w:t>
      </w:r>
      <w:r w:rsidR="002F5E14">
        <w:rPr>
          <w:rFonts w:ascii="Calibri" w:hAnsi="Calibri" w:cs="Calibri"/>
          <w:color w:val="000000"/>
          <w:sz w:val="20"/>
        </w:rPr>
        <w:tab/>
      </w:r>
      <w:r w:rsidRPr="00F621D6">
        <w:rPr>
          <w:rFonts w:ascii="Calibri" w:hAnsi="Calibri" w:cs="Calibri"/>
          <w:color w:val="000000"/>
          <w:sz w:val="20"/>
        </w:rPr>
        <w:t xml:space="preserve">U projektů </w:t>
      </w:r>
      <w:r w:rsidR="002F5E14">
        <w:rPr>
          <w:rFonts w:ascii="Calibri" w:hAnsi="Calibri" w:cs="Calibri"/>
          <w:color w:val="000000"/>
          <w:sz w:val="20"/>
        </w:rPr>
        <w:t>podpořených</w:t>
      </w:r>
      <w:r w:rsidRPr="00F621D6">
        <w:rPr>
          <w:rFonts w:ascii="Calibri" w:hAnsi="Calibri" w:cs="Calibri"/>
          <w:color w:val="000000"/>
          <w:sz w:val="20"/>
        </w:rPr>
        <w:t xml:space="preserve"> z</w:t>
      </w:r>
      <w:r w:rsidR="0033613D">
        <w:rPr>
          <w:rFonts w:ascii="Calibri" w:hAnsi="Calibri" w:cs="Calibri"/>
          <w:color w:val="000000"/>
          <w:sz w:val="20"/>
        </w:rPr>
        <w:t> </w:t>
      </w:r>
      <w:r w:rsidRPr="00F621D6">
        <w:rPr>
          <w:rFonts w:ascii="Calibri" w:hAnsi="Calibri" w:cs="Calibri"/>
          <w:color w:val="000000"/>
          <w:sz w:val="20"/>
        </w:rPr>
        <w:t xml:space="preserve">programu </w:t>
      </w:r>
      <w:r w:rsidRPr="00F621D6">
        <w:rPr>
          <w:rFonts w:ascii="Calibri" w:hAnsi="Calibri" w:cs="Calibri"/>
          <w:i/>
          <w:color w:val="000000"/>
          <w:sz w:val="20"/>
        </w:rPr>
        <w:t>Nájemní byty</w:t>
      </w:r>
      <w:r w:rsidRPr="00F621D6">
        <w:rPr>
          <w:rFonts w:ascii="Calibri" w:hAnsi="Calibri" w:cs="Calibri"/>
          <w:color w:val="000000"/>
          <w:sz w:val="20"/>
        </w:rPr>
        <w:t xml:space="preserve"> nebyla vyhodnocována hospodárnost z</w:t>
      </w:r>
      <w:r w:rsidR="0033613D">
        <w:rPr>
          <w:rFonts w:ascii="Calibri" w:hAnsi="Calibri" w:cs="Calibri"/>
          <w:color w:val="000000"/>
          <w:sz w:val="20"/>
        </w:rPr>
        <w:t> </w:t>
      </w:r>
      <w:r w:rsidRPr="00F621D6">
        <w:rPr>
          <w:rFonts w:ascii="Calibri" w:hAnsi="Calibri" w:cs="Calibri"/>
          <w:color w:val="000000"/>
          <w:sz w:val="20"/>
        </w:rPr>
        <w:t>důvodu specifik vyplývajících z</w:t>
      </w:r>
      <w:r w:rsidR="0033613D">
        <w:rPr>
          <w:rFonts w:ascii="Calibri" w:hAnsi="Calibri" w:cs="Calibri"/>
          <w:color w:val="000000"/>
          <w:sz w:val="20"/>
        </w:rPr>
        <w:t> </w:t>
      </w:r>
      <w:r w:rsidRPr="00F621D6">
        <w:rPr>
          <w:rFonts w:ascii="Calibri" w:hAnsi="Calibri" w:cs="Calibri"/>
          <w:color w:val="000000"/>
          <w:sz w:val="20"/>
        </w:rPr>
        <w:t>poskytnutí finančních prostředků státu formou úvěru, zejména z</w:t>
      </w:r>
      <w:r w:rsidR="0033613D">
        <w:rPr>
          <w:rFonts w:ascii="Calibri" w:hAnsi="Calibri" w:cs="Calibri"/>
          <w:color w:val="000000"/>
          <w:sz w:val="20"/>
        </w:rPr>
        <w:t> </w:t>
      </w:r>
      <w:r w:rsidRPr="00F621D6">
        <w:rPr>
          <w:rFonts w:ascii="Calibri" w:hAnsi="Calibri" w:cs="Calibri"/>
          <w:color w:val="000000"/>
          <w:sz w:val="20"/>
        </w:rPr>
        <w:t>důvodu podmínky plného navrácení poskytnutých úvěrových prostředků. Financování projektu je ve výsledku zajišťováno vlastními prostředky příjemce.</w:t>
      </w:r>
    </w:p>
    <w:p w14:paraId="30F33D60" w14:textId="7543782E" w:rsidR="00E7288D" w:rsidRPr="00F621D6" w:rsidRDefault="00455CD6" w:rsidP="00AD4A7D">
      <w:pPr>
        <w:ind w:left="567"/>
        <w:rPr>
          <w:rFonts w:ascii="Calibri" w:hAnsi="Calibri" w:cs="Calibri"/>
          <w:color w:val="000000"/>
          <w:sz w:val="20"/>
        </w:rPr>
      </w:pPr>
      <w:r w:rsidRPr="00F621D6">
        <w:rPr>
          <w:rFonts w:ascii="Calibri" w:hAnsi="Calibri" w:cs="Calibri"/>
          <w:color w:val="000000"/>
          <w:sz w:val="20"/>
        </w:rPr>
        <w:t xml:space="preserve">U příjemce </w:t>
      </w:r>
      <w:r w:rsidR="002F5E14">
        <w:rPr>
          <w:rFonts w:ascii="Calibri" w:hAnsi="Calibri" w:cs="Calibri"/>
          <w:color w:val="000000"/>
          <w:sz w:val="20"/>
        </w:rPr>
        <w:t>o</w:t>
      </w:r>
      <w:r w:rsidRPr="00F621D6">
        <w:rPr>
          <w:rFonts w:ascii="Calibri" w:hAnsi="Calibri" w:cs="Calibri"/>
          <w:color w:val="000000"/>
          <w:sz w:val="20"/>
        </w:rPr>
        <w:t xml:space="preserve">bec Branice nebyla posuzována </w:t>
      </w:r>
      <w:r w:rsidR="00885998">
        <w:rPr>
          <w:rFonts w:ascii="Calibri" w:hAnsi="Calibri" w:cs="Calibri"/>
          <w:color w:val="000000"/>
          <w:sz w:val="20"/>
        </w:rPr>
        <w:t>účelnost</w:t>
      </w:r>
      <w:r w:rsidRPr="00F621D6">
        <w:rPr>
          <w:rFonts w:ascii="Calibri" w:hAnsi="Calibri" w:cs="Calibri"/>
          <w:color w:val="000000"/>
          <w:sz w:val="20"/>
        </w:rPr>
        <w:t xml:space="preserve"> ani </w:t>
      </w:r>
      <w:r w:rsidR="00885998">
        <w:rPr>
          <w:rFonts w:ascii="Calibri" w:hAnsi="Calibri" w:cs="Calibri"/>
          <w:color w:val="000000"/>
          <w:sz w:val="20"/>
        </w:rPr>
        <w:t>hospodárnost</w:t>
      </w:r>
      <w:r w:rsidR="008955A6">
        <w:rPr>
          <w:rFonts w:ascii="Calibri" w:hAnsi="Calibri" w:cs="Calibri"/>
          <w:color w:val="000000"/>
          <w:sz w:val="20"/>
        </w:rPr>
        <w:t>, protože projekt nebyl</w:t>
      </w:r>
      <w:r w:rsidRPr="00F621D6">
        <w:rPr>
          <w:rFonts w:ascii="Calibri" w:hAnsi="Calibri" w:cs="Calibri"/>
          <w:color w:val="000000"/>
          <w:sz w:val="20"/>
        </w:rPr>
        <w:t xml:space="preserve"> dokončen </w:t>
      </w:r>
      <w:r w:rsidR="008955A6">
        <w:rPr>
          <w:rFonts w:ascii="Calibri" w:hAnsi="Calibri" w:cs="Calibri"/>
          <w:color w:val="000000"/>
          <w:sz w:val="20"/>
        </w:rPr>
        <w:t xml:space="preserve">(stavba byla </w:t>
      </w:r>
      <w:r w:rsidRPr="00F621D6">
        <w:rPr>
          <w:rFonts w:ascii="Calibri" w:hAnsi="Calibri" w:cs="Calibri"/>
          <w:color w:val="000000"/>
          <w:sz w:val="20"/>
        </w:rPr>
        <w:t>pozastaven</w:t>
      </w:r>
      <w:r w:rsidR="008955A6">
        <w:rPr>
          <w:rFonts w:ascii="Calibri" w:hAnsi="Calibri" w:cs="Calibri"/>
          <w:color w:val="000000"/>
          <w:sz w:val="20"/>
        </w:rPr>
        <w:t>a)</w:t>
      </w:r>
      <w:r w:rsidRPr="00F621D6">
        <w:rPr>
          <w:rFonts w:ascii="Calibri" w:hAnsi="Calibri" w:cs="Calibri"/>
          <w:color w:val="000000"/>
          <w:sz w:val="20"/>
        </w:rPr>
        <w:t>.</w:t>
      </w:r>
    </w:p>
    <w:p w14:paraId="7E8665EF" w14:textId="16505692" w:rsidR="00C61D20" w:rsidRDefault="00C61D20">
      <w:pPr>
        <w:jc w:val="left"/>
        <w:rPr>
          <w:b/>
        </w:rPr>
      </w:pPr>
      <w:r>
        <w:rPr>
          <w:b/>
        </w:rPr>
        <w:br w:type="page"/>
      </w:r>
    </w:p>
    <w:p w14:paraId="3B82EA19" w14:textId="77777777" w:rsidR="003E7E18" w:rsidRDefault="003E7E18" w:rsidP="003E7E18">
      <w:pPr>
        <w:jc w:val="right"/>
        <w:rPr>
          <w:b/>
        </w:rPr>
      </w:pPr>
      <w:r>
        <w:rPr>
          <w:b/>
        </w:rPr>
        <w:lastRenderedPageBreak/>
        <w:t>Příloha č. 2</w:t>
      </w:r>
    </w:p>
    <w:p w14:paraId="285B9C59" w14:textId="448219F8" w:rsidR="003E7E18" w:rsidRDefault="003E7E18" w:rsidP="003E7E18">
      <w:pPr>
        <w:spacing w:after="120"/>
        <w:jc w:val="center"/>
        <w:rPr>
          <w:rFonts w:cstheme="minorHAnsi"/>
          <w:b/>
        </w:rPr>
      </w:pPr>
      <w:r>
        <w:rPr>
          <w:rFonts w:cstheme="minorHAnsi"/>
          <w:b/>
        </w:rPr>
        <w:t xml:space="preserve">Kritéria hodnocení účelnosti a hospodárnosti výdajů vynaložených na podporu bydlení u kontrolovaných projektů </w:t>
      </w:r>
    </w:p>
    <w:p w14:paraId="4E2B06E0" w14:textId="77777777" w:rsidR="00ED53F2" w:rsidRDefault="00ED53F2" w:rsidP="003E7E18">
      <w:pPr>
        <w:spacing w:after="120"/>
        <w:jc w:val="center"/>
        <w:rPr>
          <w:rFonts w:cstheme="minorHAnsi"/>
          <w:b/>
        </w:rPr>
      </w:pPr>
    </w:p>
    <w:p w14:paraId="5D89BEF3" w14:textId="77777777" w:rsidR="003E7E18" w:rsidRDefault="003E7E18" w:rsidP="009C52B6">
      <w:pPr>
        <w:spacing w:after="60"/>
        <w:rPr>
          <w:b/>
        </w:rPr>
      </w:pPr>
      <w:r>
        <w:rPr>
          <w:rFonts w:cstheme="minorHAnsi"/>
          <w:b/>
        </w:rPr>
        <w:t>1. Vyhodnocení účelnosti</w:t>
      </w:r>
    </w:p>
    <w:tbl>
      <w:tblPr>
        <w:tblW w:w="8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8"/>
        <w:gridCol w:w="6521"/>
      </w:tblGrid>
      <w:tr w:rsidR="003E7E18" w14:paraId="5FE2B961" w14:textId="77777777" w:rsidTr="00AD4A7D">
        <w:trPr>
          <w:trHeight w:val="704"/>
        </w:trPr>
        <w:tc>
          <w:tcPr>
            <w:tcW w:w="2438" w:type="dxa"/>
            <w:tcBorders>
              <w:top w:val="single" w:sz="4" w:space="0" w:color="000000"/>
              <w:left w:val="single" w:sz="4" w:space="0" w:color="000000"/>
              <w:bottom w:val="single" w:sz="4" w:space="0" w:color="000000"/>
              <w:right w:val="single" w:sz="4" w:space="0" w:color="000000"/>
            </w:tcBorders>
            <w:shd w:val="clear" w:color="auto" w:fill="E5F1FF"/>
            <w:vAlign w:val="center"/>
            <w:hideMark/>
          </w:tcPr>
          <w:p w14:paraId="086F4819" w14:textId="77777777" w:rsidR="003E7E18" w:rsidRDefault="003E7E18" w:rsidP="003E7E18">
            <w:pPr>
              <w:jc w:val="center"/>
              <w:rPr>
                <w:rFonts w:cstheme="minorHAnsi"/>
                <w:b/>
                <w:sz w:val="20"/>
              </w:rPr>
            </w:pPr>
            <w:r>
              <w:rPr>
                <w:rFonts w:cstheme="minorHAnsi"/>
                <w:b/>
                <w:sz w:val="20"/>
              </w:rPr>
              <w:t>Stupeň účelnosti vynaložených prostředků</w:t>
            </w:r>
          </w:p>
        </w:tc>
        <w:tc>
          <w:tcPr>
            <w:tcW w:w="6521" w:type="dxa"/>
            <w:tcBorders>
              <w:top w:val="single" w:sz="4" w:space="0" w:color="000000"/>
              <w:left w:val="single" w:sz="4" w:space="0" w:color="000000"/>
              <w:bottom w:val="single" w:sz="4" w:space="0" w:color="000000"/>
              <w:right w:val="single" w:sz="4" w:space="0" w:color="000000"/>
            </w:tcBorders>
            <w:shd w:val="clear" w:color="auto" w:fill="E5F1FF"/>
            <w:vAlign w:val="center"/>
            <w:hideMark/>
          </w:tcPr>
          <w:p w14:paraId="302D9610" w14:textId="77777777" w:rsidR="003E7E18" w:rsidRDefault="003E7E18" w:rsidP="003E7E18">
            <w:pPr>
              <w:jc w:val="center"/>
              <w:rPr>
                <w:rFonts w:cstheme="minorHAnsi"/>
                <w:b/>
                <w:sz w:val="20"/>
              </w:rPr>
            </w:pPr>
            <w:r>
              <w:rPr>
                <w:rFonts w:cstheme="minorHAnsi"/>
                <w:b/>
                <w:sz w:val="20"/>
              </w:rPr>
              <w:t>Definice stupně účelnosti</w:t>
            </w:r>
          </w:p>
        </w:tc>
      </w:tr>
      <w:tr w:rsidR="003E7E18" w14:paraId="773374BF" w14:textId="77777777" w:rsidTr="00AD4A7D">
        <w:trPr>
          <w:trHeight w:val="3050"/>
        </w:trPr>
        <w:tc>
          <w:tcPr>
            <w:tcW w:w="2438" w:type="dxa"/>
            <w:tcBorders>
              <w:top w:val="single" w:sz="4" w:space="0" w:color="000000"/>
              <w:left w:val="single" w:sz="4" w:space="0" w:color="000000"/>
              <w:bottom w:val="single" w:sz="4" w:space="0" w:color="000000"/>
              <w:right w:val="single" w:sz="4" w:space="0" w:color="000000"/>
            </w:tcBorders>
            <w:vAlign w:val="center"/>
            <w:hideMark/>
          </w:tcPr>
          <w:p w14:paraId="17EEA8B7" w14:textId="77777777" w:rsidR="003E7E18" w:rsidRDefault="003E7E18" w:rsidP="003E7E18">
            <w:pPr>
              <w:ind w:left="33"/>
              <w:jc w:val="center"/>
              <w:rPr>
                <w:rFonts w:cstheme="minorHAnsi"/>
                <w:b/>
                <w:sz w:val="20"/>
              </w:rPr>
            </w:pPr>
            <w:r>
              <w:rPr>
                <w:rFonts w:cstheme="minorHAnsi"/>
                <w:b/>
                <w:sz w:val="20"/>
              </w:rPr>
              <w:t>1.</w:t>
            </w:r>
          </w:p>
          <w:p w14:paraId="39CB2C3A" w14:textId="77777777" w:rsidR="003E7E18" w:rsidRDefault="003E7E18" w:rsidP="003E7E18">
            <w:pPr>
              <w:jc w:val="center"/>
              <w:rPr>
                <w:rFonts w:cstheme="minorHAnsi"/>
                <w:b/>
                <w:sz w:val="20"/>
              </w:rPr>
            </w:pPr>
            <w:r>
              <w:rPr>
                <w:rFonts w:cstheme="minorHAnsi"/>
                <w:b/>
                <w:sz w:val="20"/>
              </w:rPr>
              <w:t>Vynaložené prostředky jsou účelné</w:t>
            </w:r>
          </w:p>
        </w:tc>
        <w:tc>
          <w:tcPr>
            <w:tcW w:w="6521" w:type="dxa"/>
            <w:tcBorders>
              <w:top w:val="single" w:sz="4" w:space="0" w:color="000000"/>
              <w:left w:val="single" w:sz="4" w:space="0" w:color="000000"/>
              <w:bottom w:val="single" w:sz="4" w:space="0" w:color="000000"/>
              <w:right w:val="single" w:sz="4" w:space="0" w:color="000000"/>
            </w:tcBorders>
            <w:hideMark/>
          </w:tcPr>
          <w:p w14:paraId="426C8C4E" w14:textId="4F7C8733" w:rsidR="003E7E18" w:rsidRDefault="003E7E18" w:rsidP="00AD4A7D">
            <w:pPr>
              <w:spacing w:before="120" w:after="120"/>
              <w:jc w:val="left"/>
              <w:rPr>
                <w:rFonts w:cstheme="minorHAnsi"/>
                <w:sz w:val="20"/>
              </w:rPr>
            </w:pPr>
            <w:r>
              <w:rPr>
                <w:rFonts w:cstheme="minorHAnsi"/>
                <w:sz w:val="20"/>
              </w:rPr>
              <w:t>Projekt byl řádně realizován a jeho realizací bylo dosaženo stanovených výstupů a cílů nebo existuje předpoklad, že</w:t>
            </w:r>
            <w:r w:rsidR="0058740D">
              <w:rPr>
                <w:rFonts w:cstheme="minorHAnsi"/>
                <w:sz w:val="20"/>
              </w:rPr>
              <w:t xml:space="preserve"> </w:t>
            </w:r>
            <w:r>
              <w:rPr>
                <w:rFonts w:cstheme="minorHAnsi"/>
                <w:sz w:val="20"/>
              </w:rPr>
              <w:t>je naplní. Cíle/výstupy (nejen parametry akce) jsou specifické a měřitelné a jejich plnění je možno ověřit, efekty jsou dlouhodobě udržitelné.</w:t>
            </w:r>
          </w:p>
          <w:p w14:paraId="594F6101" w14:textId="77777777" w:rsidR="003E7E18" w:rsidRDefault="003E7E18" w:rsidP="00AD4A7D">
            <w:pPr>
              <w:spacing w:after="120"/>
              <w:jc w:val="left"/>
              <w:rPr>
                <w:rFonts w:cstheme="minorHAnsi"/>
                <w:sz w:val="20"/>
              </w:rPr>
            </w:pPr>
            <w:r>
              <w:rPr>
                <w:rFonts w:cstheme="minorHAnsi"/>
                <w:sz w:val="20"/>
              </w:rPr>
              <w:t>Byly naplněny cíle dle harmonogramu projektu a lze konstatovat očekávaný přínos projektu pro cílovou skupinu a pro plnění obecných cílů příslušných podprogramů. Očekávaný přínos je možné pozorovat i po skončení realizace projektu.</w:t>
            </w:r>
          </w:p>
          <w:p w14:paraId="554946F1" w14:textId="775B89E3" w:rsidR="003E7E18" w:rsidRDefault="003E7E18" w:rsidP="00AD4A7D">
            <w:pPr>
              <w:spacing w:after="120"/>
              <w:jc w:val="left"/>
              <w:rPr>
                <w:rFonts w:cstheme="minorHAnsi"/>
                <w:sz w:val="20"/>
              </w:rPr>
            </w:pPr>
            <w:r>
              <w:rPr>
                <w:rFonts w:cstheme="minorHAnsi"/>
                <w:sz w:val="20"/>
              </w:rPr>
              <w:t xml:space="preserve">Pozn.: </w:t>
            </w:r>
            <w:r w:rsidR="009F213F">
              <w:rPr>
                <w:rFonts w:cstheme="minorHAnsi"/>
                <w:sz w:val="20"/>
              </w:rPr>
              <w:t>S</w:t>
            </w:r>
            <w:r>
              <w:rPr>
                <w:rFonts w:cstheme="minorHAnsi"/>
                <w:sz w:val="20"/>
              </w:rPr>
              <w:t xml:space="preserve">tandardně se jedná o 100% splnění podmínek stanovených v příslušných podprogramech a doložení veškerých dokladů požadovaných poskytovatelem. </w:t>
            </w:r>
          </w:p>
        </w:tc>
      </w:tr>
      <w:tr w:rsidR="003E7E18" w14:paraId="1C26AD07" w14:textId="77777777" w:rsidTr="00AD4A7D">
        <w:trPr>
          <w:trHeight w:val="2404"/>
        </w:trPr>
        <w:tc>
          <w:tcPr>
            <w:tcW w:w="2438" w:type="dxa"/>
            <w:tcBorders>
              <w:top w:val="single" w:sz="4" w:space="0" w:color="000000"/>
              <w:left w:val="single" w:sz="4" w:space="0" w:color="000000"/>
              <w:bottom w:val="single" w:sz="4" w:space="0" w:color="000000"/>
              <w:right w:val="single" w:sz="4" w:space="0" w:color="000000"/>
            </w:tcBorders>
            <w:vAlign w:val="center"/>
            <w:hideMark/>
          </w:tcPr>
          <w:p w14:paraId="0C12C47E" w14:textId="77777777" w:rsidR="003E7E18" w:rsidRDefault="003E7E18" w:rsidP="003E7E18">
            <w:pPr>
              <w:jc w:val="center"/>
              <w:rPr>
                <w:rFonts w:cstheme="minorHAnsi"/>
                <w:b/>
                <w:sz w:val="20"/>
              </w:rPr>
            </w:pPr>
            <w:r>
              <w:rPr>
                <w:rFonts w:cstheme="minorHAnsi"/>
                <w:b/>
                <w:sz w:val="20"/>
              </w:rPr>
              <w:t>2.</w:t>
            </w:r>
          </w:p>
          <w:p w14:paraId="4708C80D" w14:textId="77777777" w:rsidR="003E7E18" w:rsidRDefault="003E7E18" w:rsidP="003E7E18">
            <w:pPr>
              <w:jc w:val="center"/>
              <w:rPr>
                <w:rFonts w:cstheme="minorHAnsi"/>
                <w:b/>
                <w:sz w:val="20"/>
              </w:rPr>
            </w:pPr>
            <w:r>
              <w:rPr>
                <w:rFonts w:cstheme="minorHAnsi"/>
                <w:b/>
                <w:sz w:val="20"/>
              </w:rPr>
              <w:t>Vynaložené prostředky jsou účelné s mírnými nedostatky</w:t>
            </w:r>
          </w:p>
        </w:tc>
        <w:tc>
          <w:tcPr>
            <w:tcW w:w="6521" w:type="dxa"/>
            <w:tcBorders>
              <w:top w:val="single" w:sz="4" w:space="0" w:color="000000"/>
              <w:left w:val="single" w:sz="4" w:space="0" w:color="000000"/>
              <w:bottom w:val="single" w:sz="4" w:space="0" w:color="000000"/>
              <w:right w:val="single" w:sz="4" w:space="0" w:color="000000"/>
            </w:tcBorders>
          </w:tcPr>
          <w:p w14:paraId="36EF6FFE" w14:textId="77777777" w:rsidR="003E7E18" w:rsidRDefault="003E7E18" w:rsidP="00AD4A7D">
            <w:pPr>
              <w:spacing w:before="120" w:after="120"/>
              <w:jc w:val="left"/>
              <w:rPr>
                <w:rFonts w:cstheme="minorHAnsi"/>
                <w:sz w:val="20"/>
              </w:rPr>
            </w:pPr>
            <w:r>
              <w:rPr>
                <w:rFonts w:cstheme="minorHAnsi"/>
                <w:sz w:val="20"/>
              </w:rPr>
              <w:t>Projekt podporuje správné cílové skupiny a vede (nebo má předpoklad vést) k plnění cílů podprogramu.</w:t>
            </w:r>
          </w:p>
          <w:p w14:paraId="1AA831E0" w14:textId="65DB6BB9" w:rsidR="003E7E18" w:rsidRDefault="003E7E18" w:rsidP="00AD4A7D">
            <w:pPr>
              <w:spacing w:after="120"/>
              <w:jc w:val="left"/>
              <w:rPr>
                <w:rFonts w:cstheme="minorHAnsi"/>
                <w:sz w:val="20"/>
              </w:rPr>
            </w:pPr>
            <w:r>
              <w:rPr>
                <w:rFonts w:cstheme="minorHAnsi"/>
                <w:sz w:val="20"/>
              </w:rPr>
              <w:t xml:space="preserve">Kontrolou byly zjištěny některé nepodstatné odchylky </w:t>
            </w:r>
            <w:r w:rsidR="00014F83">
              <w:rPr>
                <w:rFonts w:cstheme="minorHAnsi"/>
                <w:sz w:val="20"/>
              </w:rPr>
              <w:t xml:space="preserve">od </w:t>
            </w:r>
            <w:r>
              <w:rPr>
                <w:rFonts w:cstheme="minorHAnsi"/>
                <w:sz w:val="20"/>
              </w:rPr>
              <w:t xml:space="preserve">dodržování podmínek stanovených v podprogramech, nedoložení některých požadovaných dokladů nebo </w:t>
            </w:r>
            <w:r w:rsidR="00014F83">
              <w:rPr>
                <w:rFonts w:cstheme="minorHAnsi"/>
                <w:sz w:val="20"/>
              </w:rPr>
              <w:t>odchylky od</w:t>
            </w:r>
            <w:r>
              <w:rPr>
                <w:rFonts w:cstheme="minorHAnsi"/>
                <w:sz w:val="20"/>
              </w:rPr>
              <w:t xml:space="preserve"> harmonogramu.</w:t>
            </w:r>
          </w:p>
          <w:p w14:paraId="176516C1" w14:textId="70FC7BE6" w:rsidR="003E7E18" w:rsidRDefault="003E7E18" w:rsidP="00AD4A7D">
            <w:pPr>
              <w:spacing w:after="120"/>
              <w:jc w:val="left"/>
              <w:rPr>
                <w:rFonts w:cstheme="minorHAnsi"/>
                <w:sz w:val="20"/>
              </w:rPr>
            </w:pPr>
            <w:r>
              <w:rPr>
                <w:rFonts w:cstheme="minorHAnsi"/>
                <w:sz w:val="20"/>
              </w:rPr>
              <w:t>Např.:</w:t>
            </w:r>
            <w:r w:rsidR="009F213F">
              <w:rPr>
                <w:rFonts w:cstheme="minorHAnsi"/>
                <w:sz w:val="20"/>
              </w:rPr>
              <w:t xml:space="preserve"> P</w:t>
            </w:r>
            <w:r>
              <w:rPr>
                <w:rFonts w:cstheme="minorHAnsi"/>
                <w:sz w:val="20"/>
              </w:rPr>
              <w:t>odpo</w:t>
            </w:r>
            <w:r w:rsidR="009F213F">
              <w:rPr>
                <w:rFonts w:cstheme="minorHAnsi"/>
                <w:sz w:val="20"/>
              </w:rPr>
              <w:t>řené</w:t>
            </w:r>
            <w:r>
              <w:rPr>
                <w:rFonts w:cstheme="minorHAnsi"/>
                <w:sz w:val="20"/>
              </w:rPr>
              <w:t xml:space="preserve"> byty jsou převážně využívány cílovou skupinou, ale příjemce nezajistil </w:t>
            </w:r>
            <w:r w:rsidR="009F213F">
              <w:rPr>
                <w:rFonts w:cstheme="minorHAnsi"/>
                <w:sz w:val="20"/>
              </w:rPr>
              <w:t xml:space="preserve">jejich </w:t>
            </w:r>
            <w:r>
              <w:rPr>
                <w:rFonts w:cstheme="minorHAnsi"/>
                <w:sz w:val="20"/>
              </w:rPr>
              <w:t>plnou obsazenost (např. krátké překročení lhůty pro opětovné obsazení bytu)</w:t>
            </w:r>
            <w:r w:rsidR="009F213F">
              <w:rPr>
                <w:rFonts w:cstheme="minorHAnsi"/>
                <w:sz w:val="20"/>
              </w:rPr>
              <w:t>.</w:t>
            </w:r>
          </w:p>
        </w:tc>
      </w:tr>
      <w:tr w:rsidR="003E7E18" w14:paraId="7EC29485" w14:textId="77777777" w:rsidTr="00AD4A7D">
        <w:trPr>
          <w:trHeight w:val="1296"/>
        </w:trPr>
        <w:tc>
          <w:tcPr>
            <w:tcW w:w="2438" w:type="dxa"/>
            <w:tcBorders>
              <w:top w:val="single" w:sz="4" w:space="0" w:color="000000"/>
              <w:left w:val="single" w:sz="4" w:space="0" w:color="000000"/>
              <w:bottom w:val="single" w:sz="4" w:space="0" w:color="000000"/>
              <w:right w:val="single" w:sz="4" w:space="0" w:color="000000"/>
            </w:tcBorders>
            <w:vAlign w:val="center"/>
          </w:tcPr>
          <w:p w14:paraId="12C8A0E4" w14:textId="77777777" w:rsidR="003E7E18" w:rsidRDefault="003E7E18" w:rsidP="003E7E18">
            <w:pPr>
              <w:jc w:val="center"/>
              <w:rPr>
                <w:rFonts w:cstheme="minorHAnsi"/>
                <w:b/>
                <w:sz w:val="20"/>
              </w:rPr>
            </w:pPr>
            <w:r>
              <w:rPr>
                <w:rFonts w:cstheme="minorHAnsi"/>
                <w:b/>
                <w:sz w:val="20"/>
              </w:rPr>
              <w:t>3.</w:t>
            </w:r>
          </w:p>
          <w:p w14:paraId="35D0F8E9" w14:textId="77777777" w:rsidR="003E7E18" w:rsidRDefault="003E7E18" w:rsidP="003E7E18">
            <w:pPr>
              <w:jc w:val="center"/>
              <w:rPr>
                <w:rFonts w:cstheme="minorHAnsi"/>
                <w:b/>
                <w:sz w:val="20"/>
              </w:rPr>
            </w:pPr>
            <w:r>
              <w:rPr>
                <w:rFonts w:cstheme="minorHAnsi"/>
                <w:b/>
                <w:sz w:val="20"/>
              </w:rPr>
              <w:t>Vynaložené prostředky jsou účelné pouze omezeně</w:t>
            </w:r>
          </w:p>
        </w:tc>
        <w:tc>
          <w:tcPr>
            <w:tcW w:w="6521" w:type="dxa"/>
            <w:tcBorders>
              <w:top w:val="single" w:sz="4" w:space="0" w:color="000000"/>
              <w:left w:val="single" w:sz="4" w:space="0" w:color="000000"/>
              <w:bottom w:val="single" w:sz="4" w:space="0" w:color="000000"/>
              <w:right w:val="single" w:sz="4" w:space="0" w:color="000000"/>
            </w:tcBorders>
          </w:tcPr>
          <w:p w14:paraId="2CE9D152" w14:textId="212A111B" w:rsidR="003E7E18" w:rsidRDefault="003E7E18" w:rsidP="00AD4A7D">
            <w:pPr>
              <w:spacing w:before="120" w:after="120"/>
              <w:jc w:val="left"/>
              <w:rPr>
                <w:rFonts w:cstheme="minorHAnsi"/>
                <w:sz w:val="20"/>
              </w:rPr>
            </w:pPr>
            <w:r>
              <w:rPr>
                <w:rFonts w:cstheme="minorHAnsi"/>
                <w:sz w:val="20"/>
              </w:rPr>
              <w:t>Některé z předpokladů účelnosti (</w:t>
            </w:r>
            <w:r w:rsidR="00014F83">
              <w:rPr>
                <w:rFonts w:cstheme="minorHAnsi"/>
                <w:sz w:val="20"/>
              </w:rPr>
              <w:t>viz stupeň</w:t>
            </w:r>
            <w:r>
              <w:rPr>
                <w:rFonts w:cstheme="minorHAnsi"/>
                <w:sz w:val="20"/>
              </w:rPr>
              <w:t xml:space="preserve"> 1.) jsou významně zpochybněny.</w:t>
            </w:r>
          </w:p>
          <w:p w14:paraId="211005FE" w14:textId="1D9B7FD9" w:rsidR="003E7E18" w:rsidRDefault="003E7E18" w:rsidP="00AD4A7D">
            <w:pPr>
              <w:spacing w:after="120"/>
              <w:jc w:val="left"/>
              <w:rPr>
                <w:rFonts w:cstheme="minorHAnsi"/>
                <w:sz w:val="20"/>
              </w:rPr>
            </w:pPr>
            <w:r>
              <w:rPr>
                <w:rFonts w:cstheme="minorHAnsi"/>
                <w:sz w:val="20"/>
              </w:rPr>
              <w:t xml:space="preserve">Kontrolou byly zjištěny některé podstatné </w:t>
            </w:r>
            <w:r w:rsidR="00014F83">
              <w:rPr>
                <w:rFonts w:cstheme="minorHAnsi"/>
                <w:sz w:val="20"/>
              </w:rPr>
              <w:t>nedostatky</w:t>
            </w:r>
            <w:r>
              <w:rPr>
                <w:rFonts w:cstheme="minorHAnsi"/>
                <w:sz w:val="20"/>
              </w:rPr>
              <w:t xml:space="preserve">, </w:t>
            </w:r>
            <w:r w:rsidR="00014F83">
              <w:rPr>
                <w:rFonts w:cstheme="minorHAnsi"/>
                <w:sz w:val="20"/>
              </w:rPr>
              <w:t>např.</w:t>
            </w:r>
            <w:r>
              <w:rPr>
                <w:rFonts w:cstheme="minorHAnsi"/>
                <w:sz w:val="20"/>
              </w:rPr>
              <w:t xml:space="preserve"> </w:t>
            </w:r>
            <w:r w:rsidR="00014F83">
              <w:rPr>
                <w:rFonts w:cstheme="minorHAnsi"/>
                <w:sz w:val="20"/>
              </w:rPr>
              <w:t>ne</w:t>
            </w:r>
            <w:r>
              <w:rPr>
                <w:rFonts w:cstheme="minorHAnsi"/>
                <w:sz w:val="20"/>
              </w:rPr>
              <w:t xml:space="preserve">dodržování podmínek stanovených v podprogramech, nedoložení některých požadovaných dokladů nebo </w:t>
            </w:r>
            <w:r w:rsidR="00014F83">
              <w:rPr>
                <w:rFonts w:cstheme="minorHAnsi"/>
                <w:sz w:val="20"/>
              </w:rPr>
              <w:t>ne</w:t>
            </w:r>
            <w:r>
              <w:rPr>
                <w:rFonts w:cstheme="minorHAnsi"/>
                <w:sz w:val="20"/>
              </w:rPr>
              <w:t>dodržování harmonogramu.</w:t>
            </w:r>
          </w:p>
        </w:tc>
      </w:tr>
      <w:tr w:rsidR="003E7E18" w14:paraId="215BF1FB" w14:textId="77777777" w:rsidTr="00AD4A7D">
        <w:trPr>
          <w:trHeight w:val="963"/>
        </w:trPr>
        <w:tc>
          <w:tcPr>
            <w:tcW w:w="2438" w:type="dxa"/>
            <w:tcBorders>
              <w:top w:val="single" w:sz="4" w:space="0" w:color="000000"/>
              <w:left w:val="single" w:sz="4" w:space="0" w:color="000000"/>
              <w:bottom w:val="single" w:sz="4" w:space="0" w:color="000000"/>
              <w:right w:val="single" w:sz="4" w:space="0" w:color="000000"/>
            </w:tcBorders>
            <w:vAlign w:val="center"/>
          </w:tcPr>
          <w:p w14:paraId="09C8BBD0" w14:textId="77777777" w:rsidR="003E7E18" w:rsidRDefault="003E7E18" w:rsidP="003E7E18">
            <w:pPr>
              <w:jc w:val="center"/>
              <w:rPr>
                <w:rFonts w:cstheme="minorHAnsi"/>
                <w:b/>
                <w:sz w:val="20"/>
              </w:rPr>
            </w:pPr>
            <w:r>
              <w:rPr>
                <w:rFonts w:cstheme="minorHAnsi"/>
                <w:b/>
                <w:sz w:val="20"/>
              </w:rPr>
              <w:t>4.</w:t>
            </w:r>
          </w:p>
          <w:p w14:paraId="74D9DA06" w14:textId="77777777" w:rsidR="003E7E18" w:rsidRDefault="003E7E18" w:rsidP="003E7E18">
            <w:pPr>
              <w:jc w:val="center"/>
              <w:rPr>
                <w:rFonts w:cstheme="minorHAnsi"/>
                <w:b/>
                <w:sz w:val="20"/>
              </w:rPr>
            </w:pPr>
            <w:r>
              <w:rPr>
                <w:rFonts w:cstheme="minorHAnsi"/>
                <w:b/>
                <w:sz w:val="20"/>
              </w:rPr>
              <w:t>Vynaložené prostředky nejsou účelné</w:t>
            </w:r>
          </w:p>
        </w:tc>
        <w:tc>
          <w:tcPr>
            <w:tcW w:w="6521" w:type="dxa"/>
            <w:tcBorders>
              <w:top w:val="single" w:sz="4" w:space="0" w:color="000000"/>
              <w:left w:val="single" w:sz="4" w:space="0" w:color="000000"/>
              <w:bottom w:val="single" w:sz="4" w:space="0" w:color="000000"/>
              <w:right w:val="single" w:sz="4" w:space="0" w:color="000000"/>
            </w:tcBorders>
          </w:tcPr>
          <w:p w14:paraId="648E129C" w14:textId="66B146D9" w:rsidR="003E7E18" w:rsidRDefault="003E7E18" w:rsidP="00AD4A7D">
            <w:pPr>
              <w:spacing w:before="120"/>
              <w:jc w:val="left"/>
              <w:rPr>
                <w:rFonts w:cstheme="minorHAnsi"/>
                <w:sz w:val="20"/>
              </w:rPr>
            </w:pPr>
            <w:r>
              <w:rPr>
                <w:rFonts w:cstheme="minorHAnsi"/>
                <w:sz w:val="20"/>
              </w:rPr>
              <w:t>Předpoklady účelnosti (</w:t>
            </w:r>
            <w:r w:rsidR="00014F83">
              <w:rPr>
                <w:rFonts w:cstheme="minorHAnsi"/>
                <w:sz w:val="20"/>
              </w:rPr>
              <w:t>viz stupeň</w:t>
            </w:r>
            <w:r>
              <w:rPr>
                <w:rFonts w:cstheme="minorHAnsi"/>
                <w:sz w:val="20"/>
              </w:rPr>
              <w:t xml:space="preserve"> 1.) jsou zásadně zpochybněny některými </w:t>
            </w:r>
            <w:r w:rsidR="00014F83">
              <w:rPr>
                <w:rFonts w:cstheme="minorHAnsi"/>
                <w:sz w:val="20"/>
              </w:rPr>
              <w:t xml:space="preserve">zjištěnými </w:t>
            </w:r>
            <w:r>
              <w:rPr>
                <w:rFonts w:cstheme="minorHAnsi"/>
                <w:sz w:val="20"/>
              </w:rPr>
              <w:t>nedostatk</w:t>
            </w:r>
            <w:r w:rsidR="00014F83">
              <w:rPr>
                <w:rFonts w:cstheme="minorHAnsi"/>
                <w:sz w:val="20"/>
              </w:rPr>
              <w:t>y;</w:t>
            </w:r>
          </w:p>
          <w:p w14:paraId="396CE362" w14:textId="758750B8" w:rsidR="003E7E18" w:rsidRDefault="003E7E18" w:rsidP="00AD4A7D">
            <w:pPr>
              <w:spacing w:after="120"/>
              <w:jc w:val="left"/>
              <w:rPr>
                <w:rFonts w:cstheme="minorHAnsi"/>
                <w:sz w:val="20"/>
              </w:rPr>
            </w:pPr>
            <w:r>
              <w:rPr>
                <w:rFonts w:cstheme="minorHAnsi"/>
                <w:sz w:val="20"/>
              </w:rPr>
              <w:t xml:space="preserve">projekt </w:t>
            </w:r>
            <w:r w:rsidR="00014F83">
              <w:rPr>
                <w:rFonts w:cstheme="minorHAnsi"/>
                <w:sz w:val="20"/>
              </w:rPr>
              <w:t xml:space="preserve">např. </w:t>
            </w:r>
            <w:r>
              <w:rPr>
                <w:rFonts w:cstheme="minorHAnsi"/>
                <w:sz w:val="20"/>
              </w:rPr>
              <w:t>nemá reálné cíle či parametry a není možné prokázat jejich splnění.</w:t>
            </w:r>
          </w:p>
        </w:tc>
      </w:tr>
    </w:tbl>
    <w:p w14:paraId="5F5EF9AE" w14:textId="59660A9D" w:rsidR="001B3ECB" w:rsidRDefault="001B3ECB" w:rsidP="003E7E18"/>
    <w:p w14:paraId="3AB214EF" w14:textId="77777777" w:rsidR="001B3ECB" w:rsidRDefault="001B3ECB">
      <w:pPr>
        <w:jc w:val="left"/>
      </w:pPr>
      <w:r>
        <w:br w:type="page"/>
      </w:r>
    </w:p>
    <w:p w14:paraId="4DD40238" w14:textId="77777777" w:rsidR="003E7E18" w:rsidRDefault="003E7E18" w:rsidP="003E7E18"/>
    <w:p w14:paraId="599D7DB2" w14:textId="77777777" w:rsidR="003E7E18" w:rsidRDefault="003E7E18" w:rsidP="009C52B6">
      <w:pPr>
        <w:keepNext/>
        <w:spacing w:after="60"/>
        <w:rPr>
          <w:rFonts w:cstheme="minorHAnsi"/>
          <w:b/>
        </w:rPr>
      </w:pPr>
      <w:r>
        <w:rPr>
          <w:rFonts w:cstheme="minorHAnsi"/>
          <w:b/>
        </w:rPr>
        <w:t>2. Vyhodnocení hospodárnosti</w:t>
      </w:r>
    </w:p>
    <w:tbl>
      <w:tblPr>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5"/>
        <w:gridCol w:w="5523"/>
      </w:tblGrid>
      <w:tr w:rsidR="003E7E18" w14:paraId="3890E8AD" w14:textId="77777777" w:rsidTr="00AD4A7D">
        <w:trPr>
          <w:trHeight w:val="704"/>
        </w:trPr>
        <w:tc>
          <w:tcPr>
            <w:tcW w:w="3515" w:type="dxa"/>
            <w:tcBorders>
              <w:top w:val="single" w:sz="4" w:space="0" w:color="000000"/>
              <w:left w:val="single" w:sz="4" w:space="0" w:color="000000"/>
              <w:bottom w:val="single" w:sz="4" w:space="0" w:color="000000"/>
              <w:right w:val="single" w:sz="4" w:space="0" w:color="000000"/>
            </w:tcBorders>
            <w:shd w:val="clear" w:color="auto" w:fill="E5F1FF"/>
            <w:vAlign w:val="center"/>
            <w:hideMark/>
          </w:tcPr>
          <w:p w14:paraId="09EC0EAD" w14:textId="792DBB5C" w:rsidR="003E7E18" w:rsidRDefault="003E7E18" w:rsidP="003E7E18">
            <w:pPr>
              <w:jc w:val="center"/>
              <w:rPr>
                <w:rFonts w:cstheme="minorHAnsi"/>
                <w:b/>
                <w:sz w:val="20"/>
              </w:rPr>
            </w:pPr>
            <w:r>
              <w:rPr>
                <w:rFonts w:cstheme="minorHAnsi"/>
                <w:b/>
                <w:sz w:val="20"/>
              </w:rPr>
              <w:t xml:space="preserve">Stupeň hospodárnosti </w:t>
            </w:r>
            <w:r w:rsidR="004F345C">
              <w:rPr>
                <w:rFonts w:cstheme="minorHAnsi"/>
                <w:b/>
                <w:sz w:val="20"/>
              </w:rPr>
              <w:br/>
            </w:r>
            <w:r>
              <w:rPr>
                <w:rFonts w:cstheme="minorHAnsi"/>
                <w:b/>
                <w:sz w:val="20"/>
              </w:rPr>
              <w:t>vynaložených prostředků</w:t>
            </w:r>
          </w:p>
        </w:tc>
        <w:tc>
          <w:tcPr>
            <w:tcW w:w="5523" w:type="dxa"/>
            <w:tcBorders>
              <w:top w:val="single" w:sz="4" w:space="0" w:color="000000"/>
              <w:left w:val="single" w:sz="4" w:space="0" w:color="000000"/>
              <w:bottom w:val="single" w:sz="4" w:space="0" w:color="000000"/>
              <w:right w:val="single" w:sz="4" w:space="0" w:color="000000"/>
            </w:tcBorders>
            <w:shd w:val="clear" w:color="auto" w:fill="E5F1FF"/>
            <w:vAlign w:val="center"/>
            <w:hideMark/>
          </w:tcPr>
          <w:p w14:paraId="3FFBC3BC" w14:textId="77777777" w:rsidR="003E7E18" w:rsidRPr="00C84FEF" w:rsidRDefault="003E7E18" w:rsidP="003E7E18">
            <w:pPr>
              <w:jc w:val="center"/>
              <w:rPr>
                <w:rFonts w:cstheme="minorHAnsi"/>
                <w:b/>
                <w:sz w:val="20"/>
              </w:rPr>
            </w:pPr>
            <w:r w:rsidRPr="00C84FEF">
              <w:rPr>
                <w:rFonts w:cstheme="minorHAnsi"/>
                <w:b/>
                <w:sz w:val="20"/>
              </w:rPr>
              <w:t>Definice stupně hospodárnosti</w:t>
            </w:r>
          </w:p>
        </w:tc>
      </w:tr>
      <w:tr w:rsidR="003E7E18" w14:paraId="12337C1A" w14:textId="77777777" w:rsidTr="009C52B6">
        <w:trPr>
          <w:trHeight w:val="1257"/>
        </w:trPr>
        <w:tc>
          <w:tcPr>
            <w:tcW w:w="3515" w:type="dxa"/>
            <w:tcBorders>
              <w:top w:val="single" w:sz="4" w:space="0" w:color="000000"/>
              <w:left w:val="single" w:sz="4" w:space="0" w:color="000000"/>
              <w:bottom w:val="single" w:sz="4" w:space="0" w:color="000000"/>
              <w:right w:val="single" w:sz="4" w:space="0" w:color="000000"/>
            </w:tcBorders>
            <w:vAlign w:val="center"/>
            <w:hideMark/>
          </w:tcPr>
          <w:p w14:paraId="2A3B0579" w14:textId="77777777" w:rsidR="003E7E18" w:rsidRDefault="003E7E18" w:rsidP="003E7E18">
            <w:pPr>
              <w:ind w:left="33"/>
              <w:jc w:val="center"/>
              <w:rPr>
                <w:rFonts w:cstheme="minorHAnsi"/>
                <w:b/>
                <w:sz w:val="20"/>
              </w:rPr>
            </w:pPr>
            <w:r>
              <w:rPr>
                <w:rFonts w:cstheme="minorHAnsi"/>
                <w:b/>
                <w:sz w:val="20"/>
              </w:rPr>
              <w:t>1.</w:t>
            </w:r>
          </w:p>
          <w:p w14:paraId="354DB784" w14:textId="77777777" w:rsidR="003E7E18" w:rsidRDefault="003E7E18" w:rsidP="003E7E18">
            <w:pPr>
              <w:jc w:val="center"/>
              <w:rPr>
                <w:rFonts w:cstheme="minorHAnsi"/>
                <w:b/>
                <w:sz w:val="20"/>
              </w:rPr>
            </w:pPr>
            <w:r>
              <w:rPr>
                <w:rFonts w:cstheme="minorHAnsi"/>
                <w:b/>
                <w:sz w:val="20"/>
              </w:rPr>
              <w:t>Vynaložené prostředky jsou hospodárné</w:t>
            </w:r>
          </w:p>
        </w:tc>
        <w:tc>
          <w:tcPr>
            <w:tcW w:w="5523" w:type="dxa"/>
            <w:tcBorders>
              <w:top w:val="single" w:sz="4" w:space="0" w:color="000000"/>
              <w:left w:val="single" w:sz="4" w:space="0" w:color="000000"/>
              <w:bottom w:val="single" w:sz="4" w:space="0" w:color="000000"/>
              <w:right w:val="single" w:sz="4" w:space="0" w:color="000000"/>
            </w:tcBorders>
          </w:tcPr>
          <w:p w14:paraId="01862484" w14:textId="4F33D41B" w:rsidR="003E7E18" w:rsidRDefault="003E7E18" w:rsidP="00AD4A7D">
            <w:pPr>
              <w:spacing w:before="120" w:after="120"/>
              <w:jc w:val="left"/>
              <w:rPr>
                <w:rFonts w:cstheme="minorHAnsi"/>
                <w:sz w:val="20"/>
              </w:rPr>
            </w:pPr>
            <w:r>
              <w:rPr>
                <w:rFonts w:cstheme="minorHAnsi"/>
                <w:sz w:val="20"/>
              </w:rPr>
              <w:t>Zadávací řízení byla realizována v souladu se Z</w:t>
            </w:r>
            <w:r w:rsidR="005332FA">
              <w:rPr>
                <w:rFonts w:cstheme="minorHAnsi"/>
                <w:sz w:val="20"/>
              </w:rPr>
              <w:t>Z</w:t>
            </w:r>
            <w:r>
              <w:rPr>
                <w:rFonts w:cstheme="minorHAnsi"/>
                <w:sz w:val="20"/>
              </w:rPr>
              <w:t>VZ, případně</w:t>
            </w:r>
            <w:r w:rsidR="004F345C">
              <w:rPr>
                <w:rFonts w:cstheme="minorHAnsi"/>
                <w:sz w:val="20"/>
              </w:rPr>
              <w:t xml:space="preserve"> </w:t>
            </w:r>
            <w:r w:rsidR="005332FA">
              <w:rPr>
                <w:rFonts w:cstheme="minorHAnsi"/>
                <w:sz w:val="20"/>
              </w:rPr>
              <w:t>m</w:t>
            </w:r>
            <w:r>
              <w:rPr>
                <w:rFonts w:cstheme="minorHAnsi"/>
                <w:sz w:val="20"/>
              </w:rPr>
              <w:t xml:space="preserve">etodickým pokynem pro výběr dodavatele, nebo </w:t>
            </w:r>
            <w:r w:rsidR="005332FA">
              <w:rPr>
                <w:rFonts w:cstheme="minorHAnsi"/>
                <w:sz w:val="20"/>
              </w:rPr>
              <w:t>se zadavatelé dopustili</w:t>
            </w:r>
            <w:r>
              <w:rPr>
                <w:rFonts w:cstheme="minorHAnsi"/>
                <w:sz w:val="20"/>
              </w:rPr>
              <w:t xml:space="preserve"> pouze procesní</w:t>
            </w:r>
            <w:r w:rsidR="005332FA">
              <w:rPr>
                <w:rFonts w:cstheme="minorHAnsi"/>
                <w:sz w:val="20"/>
              </w:rPr>
              <w:t>ch</w:t>
            </w:r>
            <w:r>
              <w:rPr>
                <w:rFonts w:cstheme="minorHAnsi"/>
                <w:sz w:val="20"/>
              </w:rPr>
              <w:t xml:space="preserve"> chyb, které ne</w:t>
            </w:r>
            <w:r w:rsidR="005332FA">
              <w:rPr>
                <w:rFonts w:cstheme="minorHAnsi"/>
                <w:sz w:val="20"/>
              </w:rPr>
              <w:t>měly</w:t>
            </w:r>
            <w:r>
              <w:rPr>
                <w:rFonts w:cstheme="minorHAnsi"/>
                <w:sz w:val="20"/>
              </w:rPr>
              <w:t xml:space="preserve"> vliv na hospodárnost (např. nedodrže</w:t>
            </w:r>
            <w:r w:rsidR="005332FA">
              <w:rPr>
                <w:rFonts w:cstheme="minorHAnsi"/>
                <w:sz w:val="20"/>
              </w:rPr>
              <w:t>li</w:t>
            </w:r>
            <w:r>
              <w:rPr>
                <w:rFonts w:cstheme="minorHAnsi"/>
                <w:sz w:val="20"/>
              </w:rPr>
              <w:t xml:space="preserve"> někter</w:t>
            </w:r>
            <w:r w:rsidR="005332FA">
              <w:rPr>
                <w:rFonts w:cstheme="minorHAnsi"/>
                <w:sz w:val="20"/>
              </w:rPr>
              <w:t>é</w:t>
            </w:r>
            <w:r>
              <w:rPr>
                <w:rFonts w:cstheme="minorHAnsi"/>
                <w:sz w:val="20"/>
              </w:rPr>
              <w:t xml:space="preserve"> lhůt</w:t>
            </w:r>
            <w:r w:rsidR="005332FA">
              <w:rPr>
                <w:rFonts w:cstheme="minorHAnsi"/>
                <w:sz w:val="20"/>
              </w:rPr>
              <w:t>y</w:t>
            </w:r>
            <w:r>
              <w:rPr>
                <w:rFonts w:cstheme="minorHAnsi"/>
                <w:sz w:val="20"/>
              </w:rPr>
              <w:t xml:space="preserve">). Financování akce proběhlo dle </w:t>
            </w:r>
            <w:proofErr w:type="spellStart"/>
            <w:r>
              <w:rPr>
                <w:rFonts w:cstheme="minorHAnsi"/>
                <w:sz w:val="20"/>
              </w:rPr>
              <w:t>RoPD</w:t>
            </w:r>
            <w:proofErr w:type="spellEnd"/>
            <w:r>
              <w:rPr>
                <w:rFonts w:cstheme="minorHAnsi"/>
                <w:sz w:val="20"/>
              </w:rPr>
              <w:t xml:space="preserve"> a podmínek příslušných podprogramů.</w:t>
            </w:r>
          </w:p>
        </w:tc>
      </w:tr>
      <w:tr w:rsidR="003E7E18" w14:paraId="21028A75" w14:textId="77777777" w:rsidTr="009C52B6">
        <w:trPr>
          <w:trHeight w:val="907"/>
        </w:trPr>
        <w:tc>
          <w:tcPr>
            <w:tcW w:w="3515" w:type="dxa"/>
            <w:tcBorders>
              <w:top w:val="single" w:sz="4" w:space="0" w:color="000000"/>
              <w:left w:val="single" w:sz="4" w:space="0" w:color="000000"/>
              <w:bottom w:val="single" w:sz="4" w:space="0" w:color="000000"/>
              <w:right w:val="single" w:sz="4" w:space="0" w:color="000000"/>
            </w:tcBorders>
            <w:vAlign w:val="center"/>
            <w:hideMark/>
          </w:tcPr>
          <w:p w14:paraId="5C2CA200" w14:textId="77777777" w:rsidR="003E7E18" w:rsidRDefault="003E7E18" w:rsidP="003E7E18">
            <w:pPr>
              <w:jc w:val="center"/>
              <w:rPr>
                <w:rFonts w:cstheme="minorHAnsi"/>
                <w:b/>
                <w:sz w:val="20"/>
              </w:rPr>
            </w:pPr>
            <w:r>
              <w:rPr>
                <w:rFonts w:cstheme="minorHAnsi"/>
                <w:b/>
                <w:sz w:val="20"/>
              </w:rPr>
              <w:t>2.</w:t>
            </w:r>
          </w:p>
          <w:p w14:paraId="374FB3F4" w14:textId="77777777" w:rsidR="003E7E18" w:rsidRDefault="003E7E18" w:rsidP="003E7E18">
            <w:pPr>
              <w:jc w:val="center"/>
              <w:rPr>
                <w:rFonts w:cstheme="minorHAnsi"/>
                <w:b/>
                <w:sz w:val="20"/>
              </w:rPr>
            </w:pPr>
            <w:r>
              <w:rPr>
                <w:rFonts w:cstheme="minorHAnsi"/>
                <w:b/>
                <w:sz w:val="20"/>
              </w:rPr>
              <w:t>Vynaložené prostředky jsou hospodárné s mírnými nedostatky</w:t>
            </w:r>
          </w:p>
        </w:tc>
        <w:tc>
          <w:tcPr>
            <w:tcW w:w="5523" w:type="dxa"/>
            <w:tcBorders>
              <w:top w:val="single" w:sz="4" w:space="0" w:color="000000"/>
              <w:left w:val="single" w:sz="4" w:space="0" w:color="000000"/>
              <w:bottom w:val="single" w:sz="4" w:space="0" w:color="000000"/>
              <w:right w:val="single" w:sz="4" w:space="0" w:color="000000"/>
            </w:tcBorders>
          </w:tcPr>
          <w:p w14:paraId="07B760A0" w14:textId="125CFF15" w:rsidR="003E7E18" w:rsidRDefault="003E7E18" w:rsidP="00AD4A7D">
            <w:pPr>
              <w:spacing w:before="120" w:after="120"/>
              <w:jc w:val="left"/>
              <w:rPr>
                <w:rFonts w:cstheme="minorHAnsi"/>
                <w:sz w:val="20"/>
              </w:rPr>
            </w:pPr>
            <w:r>
              <w:rPr>
                <w:rFonts w:cstheme="minorHAnsi"/>
                <w:sz w:val="20"/>
              </w:rPr>
              <w:t xml:space="preserve">V zadávacím řízení nebo v </w:t>
            </w:r>
            <w:r w:rsidR="005332FA">
              <w:rPr>
                <w:rFonts w:cstheme="minorHAnsi"/>
                <w:sz w:val="20"/>
              </w:rPr>
              <w:t xml:space="preserve">oblasti </w:t>
            </w:r>
            <w:r>
              <w:rPr>
                <w:rFonts w:cstheme="minorHAnsi"/>
                <w:sz w:val="20"/>
              </w:rPr>
              <w:t xml:space="preserve">financování akce byly </w:t>
            </w:r>
            <w:r w:rsidR="005332FA">
              <w:rPr>
                <w:rFonts w:cstheme="minorHAnsi"/>
                <w:sz w:val="20"/>
              </w:rPr>
              <w:t xml:space="preserve">zjištěny </w:t>
            </w:r>
            <w:r>
              <w:rPr>
                <w:rFonts w:cstheme="minorHAnsi"/>
                <w:sz w:val="20"/>
              </w:rPr>
              <w:t>drobné procesní chyby, které neměly vliv na cenu projektu nebo na splnění podmínek dotace.</w:t>
            </w:r>
          </w:p>
        </w:tc>
      </w:tr>
      <w:tr w:rsidR="003E7E18" w14:paraId="32E19465" w14:textId="77777777" w:rsidTr="009C52B6">
        <w:trPr>
          <w:trHeight w:val="1296"/>
        </w:trPr>
        <w:tc>
          <w:tcPr>
            <w:tcW w:w="3515" w:type="dxa"/>
            <w:tcBorders>
              <w:top w:val="single" w:sz="4" w:space="0" w:color="000000"/>
              <w:left w:val="single" w:sz="4" w:space="0" w:color="000000"/>
              <w:bottom w:val="single" w:sz="4" w:space="0" w:color="000000"/>
              <w:right w:val="single" w:sz="4" w:space="0" w:color="000000"/>
            </w:tcBorders>
            <w:vAlign w:val="center"/>
          </w:tcPr>
          <w:p w14:paraId="7986640C" w14:textId="77777777" w:rsidR="003E7E18" w:rsidRDefault="003E7E18" w:rsidP="003E7E18">
            <w:pPr>
              <w:keepNext/>
              <w:keepLines/>
              <w:spacing w:line="280" w:lineRule="atLeast"/>
              <w:jc w:val="center"/>
              <w:rPr>
                <w:rFonts w:cstheme="minorHAnsi"/>
                <w:b/>
                <w:sz w:val="20"/>
              </w:rPr>
            </w:pPr>
            <w:r>
              <w:rPr>
                <w:rFonts w:cstheme="minorHAnsi"/>
                <w:b/>
                <w:sz w:val="20"/>
              </w:rPr>
              <w:t>3.</w:t>
            </w:r>
          </w:p>
          <w:p w14:paraId="33B90D62" w14:textId="77777777" w:rsidR="003E7E18" w:rsidRDefault="003E7E18" w:rsidP="003E7E18">
            <w:pPr>
              <w:jc w:val="center"/>
              <w:rPr>
                <w:rFonts w:cstheme="minorHAnsi"/>
                <w:b/>
                <w:sz w:val="20"/>
              </w:rPr>
            </w:pPr>
            <w:r>
              <w:rPr>
                <w:rFonts w:cstheme="minorHAnsi"/>
                <w:b/>
                <w:sz w:val="20"/>
              </w:rPr>
              <w:t>Vynaložené prostředky jsou hospodárné pouze omezeně nebo existuje riziko pro hospodárnost vynaložených prostředků</w:t>
            </w:r>
          </w:p>
        </w:tc>
        <w:tc>
          <w:tcPr>
            <w:tcW w:w="5523" w:type="dxa"/>
            <w:tcBorders>
              <w:top w:val="single" w:sz="4" w:space="0" w:color="000000"/>
              <w:left w:val="single" w:sz="4" w:space="0" w:color="000000"/>
              <w:bottom w:val="single" w:sz="4" w:space="0" w:color="000000"/>
              <w:right w:val="single" w:sz="4" w:space="0" w:color="000000"/>
            </w:tcBorders>
          </w:tcPr>
          <w:p w14:paraId="5D43272A" w14:textId="7008EAEC" w:rsidR="003E7E18" w:rsidRDefault="003E7E18" w:rsidP="00AD4A7D">
            <w:pPr>
              <w:keepNext/>
              <w:spacing w:before="120" w:after="120"/>
              <w:jc w:val="left"/>
              <w:rPr>
                <w:rFonts w:cstheme="minorHAnsi"/>
                <w:sz w:val="20"/>
              </w:rPr>
            </w:pPr>
            <w:r>
              <w:rPr>
                <w:rFonts w:cstheme="minorHAnsi"/>
                <w:sz w:val="20"/>
              </w:rPr>
              <w:t xml:space="preserve">Kontrolující zjistili nedostatek, který </w:t>
            </w:r>
            <w:r w:rsidR="005332FA">
              <w:rPr>
                <w:rFonts w:cstheme="minorHAnsi"/>
                <w:sz w:val="20"/>
              </w:rPr>
              <w:t xml:space="preserve">měl </w:t>
            </w:r>
            <w:r>
              <w:rPr>
                <w:rFonts w:cstheme="minorHAnsi"/>
                <w:sz w:val="20"/>
              </w:rPr>
              <w:t>pravděpodobně vliv na výběr nejvhodnější nabídky, např. diskriminační zadávací kritéri</w:t>
            </w:r>
            <w:r w:rsidR="005332FA">
              <w:rPr>
                <w:rFonts w:cstheme="minorHAnsi"/>
                <w:sz w:val="20"/>
              </w:rPr>
              <w:t>a</w:t>
            </w:r>
            <w:r>
              <w:rPr>
                <w:rFonts w:cstheme="minorHAnsi"/>
                <w:sz w:val="20"/>
              </w:rPr>
              <w:t xml:space="preserve"> </w:t>
            </w:r>
            <w:r w:rsidR="005332FA">
              <w:rPr>
                <w:rFonts w:cstheme="minorHAnsi"/>
                <w:sz w:val="20"/>
              </w:rPr>
              <w:t xml:space="preserve">nebo </w:t>
            </w:r>
            <w:r>
              <w:rPr>
                <w:rFonts w:cstheme="minorHAnsi"/>
                <w:sz w:val="20"/>
              </w:rPr>
              <w:t>příliš podrobné nastavení technických parametrů. Existuje tak riziko, že prostředky nebyly vynaloženy hospodárně.</w:t>
            </w:r>
          </w:p>
          <w:p w14:paraId="744269CB" w14:textId="48F41B65" w:rsidR="003E7E18" w:rsidRDefault="003E7E18" w:rsidP="00AD4A7D">
            <w:pPr>
              <w:spacing w:after="120"/>
              <w:jc w:val="left"/>
              <w:rPr>
                <w:rFonts w:cstheme="minorHAnsi"/>
                <w:sz w:val="20"/>
              </w:rPr>
            </w:pPr>
            <w:r>
              <w:rPr>
                <w:rFonts w:cstheme="minorHAnsi"/>
                <w:sz w:val="20"/>
              </w:rPr>
              <w:t>Příjemce vytvořil smluvní podmínky pro aktivní řízení dodavatelských vztahů</w:t>
            </w:r>
            <w:r w:rsidR="005332FA">
              <w:rPr>
                <w:rFonts w:cstheme="minorHAnsi"/>
                <w:sz w:val="20"/>
              </w:rPr>
              <w:t>,</w:t>
            </w:r>
            <w:r>
              <w:rPr>
                <w:rFonts w:cstheme="minorHAnsi"/>
                <w:sz w:val="20"/>
              </w:rPr>
              <w:t xml:space="preserve"> a</w:t>
            </w:r>
            <w:r w:rsidR="005332FA">
              <w:rPr>
                <w:rFonts w:cstheme="minorHAnsi"/>
                <w:sz w:val="20"/>
              </w:rPr>
              <w:t>však</w:t>
            </w:r>
            <w:r>
              <w:rPr>
                <w:rFonts w:cstheme="minorHAnsi"/>
                <w:sz w:val="20"/>
              </w:rPr>
              <w:t xml:space="preserve"> tyto vztahy v průběhu realizace veřejné zakázky aktivně neřídil, což mělo dopad např. na užitné vlastnosti díla nebo mohlo způsobit vyšší provozní náklady.</w:t>
            </w:r>
          </w:p>
        </w:tc>
      </w:tr>
      <w:tr w:rsidR="003E7E18" w14:paraId="420529CE" w14:textId="77777777" w:rsidTr="009C52B6">
        <w:trPr>
          <w:trHeight w:val="963"/>
        </w:trPr>
        <w:tc>
          <w:tcPr>
            <w:tcW w:w="3515" w:type="dxa"/>
            <w:tcBorders>
              <w:top w:val="single" w:sz="4" w:space="0" w:color="000000"/>
              <w:left w:val="single" w:sz="4" w:space="0" w:color="000000"/>
              <w:bottom w:val="single" w:sz="4" w:space="0" w:color="000000"/>
              <w:right w:val="single" w:sz="4" w:space="0" w:color="000000"/>
            </w:tcBorders>
            <w:vAlign w:val="center"/>
          </w:tcPr>
          <w:p w14:paraId="1306C614" w14:textId="77777777" w:rsidR="003E7E18" w:rsidRDefault="003E7E18" w:rsidP="003E7E18">
            <w:pPr>
              <w:jc w:val="center"/>
              <w:rPr>
                <w:rFonts w:cstheme="minorHAnsi"/>
                <w:b/>
                <w:sz w:val="20"/>
              </w:rPr>
            </w:pPr>
            <w:r>
              <w:rPr>
                <w:rFonts w:cstheme="minorHAnsi"/>
                <w:b/>
                <w:sz w:val="20"/>
              </w:rPr>
              <w:t>4.</w:t>
            </w:r>
          </w:p>
          <w:p w14:paraId="05E9A983" w14:textId="77777777" w:rsidR="003E7E18" w:rsidRDefault="003E7E18" w:rsidP="003E7E18">
            <w:pPr>
              <w:jc w:val="center"/>
              <w:rPr>
                <w:rFonts w:cstheme="minorHAnsi"/>
                <w:b/>
                <w:sz w:val="20"/>
              </w:rPr>
            </w:pPr>
            <w:r>
              <w:rPr>
                <w:rFonts w:cstheme="minorHAnsi"/>
                <w:b/>
                <w:sz w:val="20"/>
              </w:rPr>
              <w:t>Vynaložené prostředky nejsou hospodárné</w:t>
            </w:r>
          </w:p>
        </w:tc>
        <w:tc>
          <w:tcPr>
            <w:tcW w:w="5523" w:type="dxa"/>
            <w:tcBorders>
              <w:top w:val="single" w:sz="4" w:space="0" w:color="000000"/>
              <w:left w:val="single" w:sz="4" w:space="0" w:color="000000"/>
              <w:bottom w:val="single" w:sz="4" w:space="0" w:color="000000"/>
              <w:right w:val="single" w:sz="4" w:space="0" w:color="000000"/>
            </w:tcBorders>
          </w:tcPr>
          <w:p w14:paraId="7018BB90" w14:textId="4C2CC21B" w:rsidR="003E7E18" w:rsidRDefault="003E7E18" w:rsidP="00AD4A7D">
            <w:pPr>
              <w:spacing w:before="120" w:after="120"/>
              <w:jc w:val="left"/>
              <w:rPr>
                <w:rFonts w:cstheme="minorHAnsi"/>
                <w:strike/>
                <w:sz w:val="20"/>
              </w:rPr>
            </w:pPr>
            <w:r>
              <w:rPr>
                <w:rFonts w:cstheme="minorHAnsi"/>
                <w:sz w:val="20"/>
              </w:rPr>
              <w:t xml:space="preserve">Dodavatelé díla nebyli vybráni v souladu se ZZVZ nebo </w:t>
            </w:r>
            <w:r w:rsidR="005332FA">
              <w:rPr>
                <w:rFonts w:cstheme="minorHAnsi"/>
                <w:sz w:val="20"/>
              </w:rPr>
              <w:t>m</w:t>
            </w:r>
            <w:r>
              <w:rPr>
                <w:rFonts w:cstheme="minorHAnsi"/>
                <w:sz w:val="20"/>
              </w:rPr>
              <w:t>etodickým pokynem pro výběr dodavatele</w:t>
            </w:r>
            <w:r w:rsidR="005332FA">
              <w:rPr>
                <w:rFonts w:cstheme="minorHAnsi"/>
                <w:sz w:val="20"/>
              </w:rPr>
              <w:t>,</w:t>
            </w:r>
            <w:r>
              <w:rPr>
                <w:rFonts w:cstheme="minorHAnsi"/>
                <w:sz w:val="20"/>
              </w:rPr>
              <w:t xml:space="preserve"> akce byla realizována v rozporu s podmínkami a cíli programu</w:t>
            </w:r>
            <w:r w:rsidR="005332FA">
              <w:rPr>
                <w:rFonts w:cstheme="minorHAnsi"/>
                <w:sz w:val="20"/>
              </w:rPr>
              <w:t>.</w:t>
            </w:r>
          </w:p>
          <w:p w14:paraId="7FE06D42" w14:textId="77777777" w:rsidR="003E7E18" w:rsidRDefault="003E7E18" w:rsidP="00AD4A7D">
            <w:pPr>
              <w:jc w:val="left"/>
              <w:rPr>
                <w:rFonts w:cstheme="minorHAnsi"/>
                <w:sz w:val="20"/>
              </w:rPr>
            </w:pPr>
            <w:r>
              <w:rPr>
                <w:rFonts w:cstheme="minorHAnsi"/>
                <w:sz w:val="20"/>
              </w:rPr>
              <w:t>Příjemce nevytvořil smluvní podmínky pro aktivní řízení dodavatelských vztahů, což mělo například za následek, že nemohlo být po významnou dobu poskytováno bydlení cílové skupině nebo byly prokazatelně zvýšeny provozní náklady.</w:t>
            </w:r>
          </w:p>
          <w:p w14:paraId="5FCC772F" w14:textId="77777777" w:rsidR="003E7E18" w:rsidRDefault="003E7E18" w:rsidP="00AD4A7D">
            <w:pPr>
              <w:spacing w:after="120"/>
              <w:jc w:val="left"/>
              <w:rPr>
                <w:rFonts w:cstheme="minorHAnsi"/>
                <w:sz w:val="20"/>
              </w:rPr>
            </w:pPr>
            <w:r>
              <w:rPr>
                <w:rFonts w:cstheme="minorHAnsi"/>
                <w:sz w:val="20"/>
              </w:rPr>
              <w:t>Ve financování akce byly zjištěny významné nedostatky.</w:t>
            </w:r>
          </w:p>
        </w:tc>
      </w:tr>
    </w:tbl>
    <w:p w14:paraId="5B21949B" w14:textId="77777777" w:rsidR="003E7E18" w:rsidRDefault="003E7E18" w:rsidP="003E7E18">
      <w:pPr>
        <w:keepNext/>
        <w:spacing w:after="120"/>
        <w:rPr>
          <w:rFonts w:cstheme="minorHAnsi"/>
          <w:b/>
        </w:rPr>
      </w:pPr>
    </w:p>
    <w:p w14:paraId="324EF72B" w14:textId="77777777" w:rsidR="003E7E18" w:rsidRDefault="003E7E18">
      <w:pPr>
        <w:jc w:val="left"/>
        <w:rPr>
          <w:b/>
        </w:rPr>
      </w:pPr>
      <w:r>
        <w:rPr>
          <w:b/>
        </w:rPr>
        <w:br w:type="page"/>
      </w:r>
    </w:p>
    <w:p w14:paraId="1A6D05F0" w14:textId="77777777" w:rsidR="00345230" w:rsidRDefault="00345230" w:rsidP="00345230">
      <w:pPr>
        <w:jc w:val="right"/>
        <w:rPr>
          <w:b/>
        </w:rPr>
      </w:pPr>
      <w:r w:rsidRPr="00866D4A">
        <w:rPr>
          <w:b/>
        </w:rPr>
        <w:lastRenderedPageBreak/>
        <w:t xml:space="preserve">Příloha č. </w:t>
      </w:r>
      <w:r>
        <w:rPr>
          <w:b/>
        </w:rPr>
        <w:t>3</w:t>
      </w:r>
    </w:p>
    <w:p w14:paraId="63898F71" w14:textId="77777777" w:rsidR="00345230" w:rsidRDefault="00345230" w:rsidP="00345230">
      <w:pPr>
        <w:spacing w:before="120"/>
        <w:jc w:val="center"/>
        <w:rPr>
          <w:rFonts w:ascii="Calibri" w:hAnsi="Calibri"/>
          <w:b/>
        </w:rPr>
      </w:pPr>
      <w:r>
        <w:rPr>
          <w:rFonts w:ascii="Calibri" w:hAnsi="Calibri"/>
          <w:b/>
        </w:rPr>
        <w:t>Charakter a cíle kontrolovaných programů</w:t>
      </w:r>
    </w:p>
    <w:p w14:paraId="2F50D84A" w14:textId="77777777" w:rsidR="00345230" w:rsidRDefault="00345230" w:rsidP="00345230">
      <w:pPr>
        <w:tabs>
          <w:tab w:val="left" w:pos="1418"/>
        </w:tabs>
        <w:spacing w:before="120"/>
        <w:rPr>
          <w:rFonts w:ascii="Calibri" w:hAnsi="Calibri"/>
          <w:b/>
          <w:u w:val="single"/>
        </w:rPr>
      </w:pPr>
      <w:r>
        <w:rPr>
          <w:rFonts w:ascii="Calibri" w:hAnsi="Calibri"/>
          <w:b/>
          <w:u w:val="single"/>
        </w:rPr>
        <w:t>1. Programy spravované MMR</w:t>
      </w:r>
    </w:p>
    <w:p w14:paraId="4B865A7C" w14:textId="77777777" w:rsidR="00345230" w:rsidRDefault="00345230" w:rsidP="00345230">
      <w:pPr>
        <w:ind w:left="284"/>
        <w:rPr>
          <w:rFonts w:ascii="Calibri" w:hAnsi="Calibri"/>
        </w:rPr>
      </w:pPr>
      <w:r>
        <w:rPr>
          <w:rFonts w:ascii="Calibri" w:hAnsi="Calibri"/>
        </w:rPr>
        <w:t xml:space="preserve">Dotační program </w:t>
      </w:r>
      <w:r>
        <w:rPr>
          <w:rFonts w:ascii="Calibri" w:hAnsi="Calibri"/>
          <w:b/>
          <w:i/>
        </w:rPr>
        <w:t>Podpora bydlení</w:t>
      </w:r>
      <w:r>
        <w:rPr>
          <w:rFonts w:ascii="Calibri" w:hAnsi="Calibri"/>
        </w:rPr>
        <w:t xml:space="preserve"> zahrnoval:</w:t>
      </w:r>
    </w:p>
    <w:p w14:paraId="7C4A2B73" w14:textId="77777777" w:rsidR="00345230" w:rsidRDefault="00345230" w:rsidP="00345230">
      <w:pPr>
        <w:numPr>
          <w:ilvl w:val="0"/>
          <w:numId w:val="28"/>
        </w:numPr>
        <w:ind w:left="993" w:hanging="285"/>
        <w:rPr>
          <w:rFonts w:ascii="Calibri" w:hAnsi="Calibri"/>
        </w:rPr>
      </w:pPr>
      <w:r>
        <w:rPr>
          <w:rFonts w:ascii="Calibri" w:hAnsi="Calibri"/>
        </w:rPr>
        <w:t xml:space="preserve">podprogram </w:t>
      </w:r>
      <w:r>
        <w:rPr>
          <w:rFonts w:ascii="Calibri" w:hAnsi="Calibri"/>
          <w:i/>
        </w:rPr>
        <w:t>Regenerace sídlišť</w:t>
      </w:r>
      <w:r>
        <w:rPr>
          <w:rFonts w:ascii="Calibri" w:hAnsi="Calibri"/>
        </w:rPr>
        <w:t>, jehož</w:t>
      </w:r>
      <w:r>
        <w:rPr>
          <w:rFonts w:ascii="Roboto" w:hAnsi="Roboto"/>
          <w:bCs/>
          <w:shd w:val="clear" w:color="auto" w:fill="FFFFFF"/>
        </w:rPr>
        <w:t xml:space="preserve"> </w:t>
      </w:r>
      <w:r>
        <w:rPr>
          <w:rFonts w:ascii="Calibri" w:hAnsi="Calibri"/>
          <w:bCs/>
          <w:shd w:val="clear" w:color="auto" w:fill="FFFFFF"/>
        </w:rPr>
        <w:t>cílem bylo poskytování dotací obcím na regeneraci veřejného prostranství sídliště o celkovém počtu nejméně 150 bytů;</w:t>
      </w:r>
    </w:p>
    <w:p w14:paraId="4471C3E7" w14:textId="77777777" w:rsidR="00345230" w:rsidRDefault="00345230" w:rsidP="00345230">
      <w:pPr>
        <w:numPr>
          <w:ilvl w:val="0"/>
          <w:numId w:val="28"/>
        </w:numPr>
        <w:ind w:left="993" w:hanging="285"/>
        <w:rPr>
          <w:rFonts w:ascii="Calibri" w:hAnsi="Calibri"/>
          <w:bCs/>
          <w:shd w:val="clear" w:color="auto" w:fill="FFFFFF"/>
        </w:rPr>
      </w:pPr>
      <w:r>
        <w:rPr>
          <w:rFonts w:ascii="Calibri" w:hAnsi="Calibri"/>
        </w:rPr>
        <w:t xml:space="preserve">podprogram </w:t>
      </w:r>
      <w:r>
        <w:rPr>
          <w:rFonts w:ascii="Calibri" w:hAnsi="Calibri"/>
          <w:i/>
        </w:rPr>
        <w:t>Bytové domy bez bariér,</w:t>
      </w:r>
      <w:r>
        <w:rPr>
          <w:rFonts w:ascii="Calibri" w:hAnsi="Calibri"/>
        </w:rPr>
        <w:t xml:space="preserve"> jehož </w:t>
      </w:r>
      <w:r>
        <w:rPr>
          <w:rFonts w:ascii="Calibri" w:hAnsi="Calibri"/>
          <w:bCs/>
          <w:shd w:val="clear" w:color="auto" w:fill="FFFFFF"/>
        </w:rPr>
        <w:t>cílem bylo zkvalitnění bytového fondu odstraněním bariér při vstupu do domu a do výtahu a výstavbou výtahů v domech, které jím nebyly vybaveny a u kterých byly k tomu stavebně technické předpoklady;</w:t>
      </w:r>
    </w:p>
    <w:p w14:paraId="5B7548C3" w14:textId="6C1F5FDF" w:rsidR="00345230" w:rsidRDefault="00345230" w:rsidP="00345230">
      <w:pPr>
        <w:numPr>
          <w:ilvl w:val="0"/>
          <w:numId w:val="28"/>
        </w:numPr>
        <w:ind w:left="993" w:hanging="285"/>
        <w:rPr>
          <w:rFonts w:ascii="Calibri" w:hAnsi="Calibri"/>
        </w:rPr>
      </w:pPr>
      <w:r>
        <w:rPr>
          <w:rFonts w:ascii="Calibri" w:hAnsi="Calibri"/>
        </w:rPr>
        <w:t xml:space="preserve">podprogram </w:t>
      </w:r>
      <w:r>
        <w:rPr>
          <w:rFonts w:ascii="Calibri" w:hAnsi="Calibri"/>
          <w:i/>
        </w:rPr>
        <w:t>Podporované byty</w:t>
      </w:r>
      <w:r>
        <w:rPr>
          <w:rFonts w:ascii="Calibri" w:hAnsi="Calibri"/>
          <w:bCs/>
          <w:shd w:val="clear" w:color="auto" w:fill="FFFFFF"/>
        </w:rPr>
        <w:t>, jehož cílem byl vznik podporovaných bytů na území České republiky sloužících k poskytování sociálního bydlení pro osoby, které mají ztížený přístup k bydlení v důsledku zvláštních potřeb vyplývajících z jejich nepříznivé sociální situace</w:t>
      </w:r>
      <w:r w:rsidR="0058740D">
        <w:rPr>
          <w:rFonts w:ascii="Calibri" w:hAnsi="Calibri"/>
          <w:bCs/>
          <w:shd w:val="clear" w:color="auto" w:fill="FFFFFF"/>
        </w:rPr>
        <w:t xml:space="preserve"> (</w:t>
      </w:r>
      <w:r>
        <w:rPr>
          <w:rFonts w:ascii="Calibri" w:hAnsi="Calibri"/>
          <w:bCs/>
          <w:shd w:val="clear" w:color="auto" w:fill="FFFFFF"/>
        </w:rPr>
        <w:t>věk, zdravotní stav nebo sociální okolnosti jejich života</w:t>
      </w:r>
      <w:r w:rsidR="0058740D">
        <w:rPr>
          <w:rFonts w:ascii="Calibri" w:hAnsi="Calibri"/>
          <w:bCs/>
          <w:shd w:val="clear" w:color="auto" w:fill="FFFFFF"/>
        </w:rPr>
        <w:t>)</w:t>
      </w:r>
      <w:r>
        <w:rPr>
          <w:rFonts w:ascii="Calibri" w:hAnsi="Calibri"/>
          <w:bCs/>
          <w:shd w:val="clear" w:color="auto" w:fill="FFFFFF"/>
        </w:rPr>
        <w:t>;</w:t>
      </w:r>
    </w:p>
    <w:p w14:paraId="3D75447F" w14:textId="77777777" w:rsidR="00345230" w:rsidRDefault="00345230" w:rsidP="00345230">
      <w:pPr>
        <w:numPr>
          <w:ilvl w:val="0"/>
          <w:numId w:val="28"/>
        </w:numPr>
        <w:spacing w:after="120"/>
        <w:ind w:left="993" w:hanging="284"/>
        <w:rPr>
          <w:rFonts w:ascii="Calibri" w:hAnsi="Calibri"/>
        </w:rPr>
      </w:pPr>
      <w:r>
        <w:rPr>
          <w:rFonts w:ascii="Calibri" w:hAnsi="Calibri"/>
        </w:rPr>
        <w:t xml:space="preserve">podprogram </w:t>
      </w:r>
      <w:r>
        <w:rPr>
          <w:rFonts w:ascii="Calibri" w:hAnsi="Calibri"/>
          <w:i/>
        </w:rPr>
        <w:t>Technická infrastruktura</w:t>
      </w:r>
      <w:r>
        <w:rPr>
          <w:rFonts w:ascii="Calibri" w:hAnsi="Calibri"/>
        </w:rPr>
        <w:t xml:space="preserve">, jehož </w:t>
      </w:r>
      <w:r>
        <w:rPr>
          <w:rFonts w:ascii="Calibri" w:hAnsi="Calibri"/>
          <w:shd w:val="clear" w:color="auto" w:fill="FFFFFF"/>
        </w:rPr>
        <w:t>cílem bylo rozšířit nabídku zainvestovaných pozemků pro následnou výstavbu bytových domů nebo rodinných domů.</w:t>
      </w:r>
    </w:p>
    <w:p w14:paraId="56D185F1" w14:textId="77777777" w:rsidR="00345230" w:rsidRDefault="00345230" w:rsidP="00345230">
      <w:pPr>
        <w:ind w:left="284"/>
        <w:rPr>
          <w:rFonts w:ascii="Calibri" w:hAnsi="Calibri"/>
        </w:rPr>
      </w:pPr>
      <w:r>
        <w:rPr>
          <w:rFonts w:ascii="Calibri" w:hAnsi="Calibri"/>
        </w:rPr>
        <w:t xml:space="preserve">Dotační program </w:t>
      </w:r>
      <w:r>
        <w:rPr>
          <w:rFonts w:ascii="Calibri" w:hAnsi="Calibri"/>
          <w:b/>
          <w:i/>
        </w:rPr>
        <w:t>Podpora bydlení v oblastech se strategickou průmyslovou zónou</w:t>
      </w:r>
      <w:r>
        <w:rPr>
          <w:rFonts w:ascii="Calibri" w:hAnsi="Calibri"/>
        </w:rPr>
        <w:t xml:space="preserve"> zahrnoval:</w:t>
      </w:r>
    </w:p>
    <w:p w14:paraId="3F0C452B" w14:textId="77777777" w:rsidR="00345230" w:rsidRDefault="00345230" w:rsidP="00345230">
      <w:pPr>
        <w:numPr>
          <w:ilvl w:val="0"/>
          <w:numId w:val="28"/>
        </w:numPr>
        <w:ind w:left="993" w:hanging="285"/>
        <w:rPr>
          <w:rFonts w:ascii="Calibri" w:hAnsi="Calibri"/>
        </w:rPr>
      </w:pPr>
      <w:r>
        <w:rPr>
          <w:rFonts w:ascii="Calibri" w:hAnsi="Calibri"/>
        </w:rPr>
        <w:t xml:space="preserve">podprogram </w:t>
      </w:r>
      <w:r>
        <w:rPr>
          <w:rFonts w:ascii="Calibri" w:hAnsi="Calibri"/>
          <w:i/>
        </w:rPr>
        <w:t>Výstavba bytů v oblastech se strategickou průmyslovou zónou</w:t>
      </w:r>
      <w:r>
        <w:rPr>
          <w:rFonts w:ascii="Calibri" w:hAnsi="Calibri"/>
        </w:rPr>
        <w:t>, jehož cílem bylo podpořit rozvoj nájemního bydlení v území dotčeném působením velkého investora s rychle rostoucí nabídkou pracovních příležitostí;</w:t>
      </w:r>
    </w:p>
    <w:p w14:paraId="54C65B8F" w14:textId="77777777" w:rsidR="00345230" w:rsidRDefault="00345230" w:rsidP="00345230">
      <w:pPr>
        <w:numPr>
          <w:ilvl w:val="0"/>
          <w:numId w:val="28"/>
        </w:numPr>
        <w:spacing w:after="120"/>
        <w:ind w:left="993" w:hanging="284"/>
        <w:rPr>
          <w:rFonts w:ascii="Calibri" w:hAnsi="Calibri"/>
          <w:shd w:val="clear" w:color="auto" w:fill="FFFFFF"/>
        </w:rPr>
      </w:pPr>
      <w:r>
        <w:rPr>
          <w:rFonts w:ascii="Calibri" w:hAnsi="Calibri"/>
        </w:rPr>
        <w:t xml:space="preserve">podprogram </w:t>
      </w:r>
      <w:r>
        <w:rPr>
          <w:rFonts w:ascii="Calibri" w:hAnsi="Calibri"/>
          <w:i/>
        </w:rPr>
        <w:t>Výstavba technické infrastruktury v oblastech se strategickou průmyslovou zónou</w:t>
      </w:r>
      <w:r>
        <w:rPr>
          <w:rFonts w:ascii="Calibri" w:hAnsi="Calibri"/>
        </w:rPr>
        <w:t>, jehož cílem bylo podpořit nabídku zainvestovaných pozemků pro následnou bytovou výstavbu v území dotčeném působením velkého investora. Jedná se o území, kde dochází k disproporci mezi rychle rostoucí nabídkou pracovních příležitostí a nízkou nabídkou trvalého bydlení</w:t>
      </w:r>
      <w:r>
        <w:rPr>
          <w:rFonts w:ascii="Calibri" w:hAnsi="Calibri" w:cs="Calibri"/>
          <w:bCs/>
          <w:shd w:val="clear" w:color="auto" w:fill="FFFFFF"/>
        </w:rPr>
        <w:t>.</w:t>
      </w:r>
    </w:p>
    <w:p w14:paraId="58B36E17" w14:textId="77777777" w:rsidR="00345230" w:rsidRPr="00AD4A7D" w:rsidRDefault="00345230" w:rsidP="00AD4A7D">
      <w:pPr>
        <w:spacing w:after="120"/>
        <w:ind w:left="284"/>
        <w:rPr>
          <w:rFonts w:ascii="Calibri" w:hAnsi="Calibri" w:cs="Calibri"/>
          <w:bCs/>
          <w:shd w:val="clear" w:color="auto" w:fill="FFFFFF"/>
        </w:rPr>
      </w:pPr>
      <w:r w:rsidRPr="0058740D">
        <w:rPr>
          <w:rFonts w:ascii="Calibri" w:hAnsi="Calibri"/>
          <w:shd w:val="clear" w:color="auto" w:fill="FFFFFF"/>
        </w:rPr>
        <w:t xml:space="preserve">Program </w:t>
      </w:r>
      <w:r w:rsidRPr="0058740D">
        <w:rPr>
          <w:rFonts w:ascii="Calibri" w:hAnsi="Calibri"/>
          <w:b/>
          <w:i/>
          <w:shd w:val="clear" w:color="auto" w:fill="FFFFFF"/>
        </w:rPr>
        <w:t>Výstavba sociálního a dostupného bydlení</w:t>
      </w:r>
      <w:r w:rsidRPr="0058740D">
        <w:rPr>
          <w:rFonts w:ascii="Calibri" w:hAnsi="Calibri"/>
          <w:i/>
          <w:shd w:val="clear" w:color="auto" w:fill="FFFFFF"/>
        </w:rPr>
        <w:t xml:space="preserve"> </w:t>
      </w:r>
      <w:r w:rsidRPr="002E72B6">
        <w:rPr>
          <w:rFonts w:ascii="Calibri" w:hAnsi="Calibri"/>
          <w:shd w:val="clear" w:color="auto" w:fill="FFFFFF"/>
        </w:rPr>
        <w:t>sloužil k zajištění</w:t>
      </w:r>
      <w:r w:rsidRPr="002E72B6">
        <w:rPr>
          <w:rFonts w:ascii="Calibri" w:hAnsi="Calibri"/>
          <w:i/>
          <w:shd w:val="clear" w:color="auto" w:fill="FFFFFF"/>
        </w:rPr>
        <w:t xml:space="preserve"> </w:t>
      </w:r>
      <w:r w:rsidRPr="00AD4A7D">
        <w:rPr>
          <w:rFonts w:ascii="Calibri" w:hAnsi="Calibri" w:cs="Calibri"/>
          <w:bCs/>
          <w:shd w:val="clear" w:color="auto" w:fill="FFFFFF"/>
        </w:rPr>
        <w:t xml:space="preserve">převodu potřebných finančních prostředků ze státního rozpočtu Státnímu fondu podpory investic na financování pořízení sociálních a dostupných bytů a sociálních, smíšených a dostupných domů obcemi a dobrovolnými svazky obcí (program </w:t>
      </w:r>
      <w:r w:rsidRPr="00AD4A7D">
        <w:rPr>
          <w:rFonts w:ascii="Calibri" w:hAnsi="Calibri" w:cs="Calibri"/>
          <w:bCs/>
          <w:i/>
          <w:shd w:val="clear" w:color="auto" w:fill="FFFFFF"/>
        </w:rPr>
        <w:t>Výstavba pro obce</w:t>
      </w:r>
      <w:r w:rsidRPr="00AD4A7D">
        <w:rPr>
          <w:rFonts w:ascii="Calibri" w:hAnsi="Calibri" w:cs="Calibri"/>
          <w:bCs/>
          <w:shd w:val="clear" w:color="auto" w:fill="FFFFFF"/>
        </w:rPr>
        <w:t xml:space="preserve">). </w:t>
      </w:r>
    </w:p>
    <w:p w14:paraId="76934CD5" w14:textId="0AADD498" w:rsidR="00345230" w:rsidRDefault="00345230" w:rsidP="00345230">
      <w:pPr>
        <w:spacing w:after="120"/>
        <w:ind w:left="284"/>
        <w:rPr>
          <w:rFonts w:ascii="Calibri" w:hAnsi="Calibri"/>
          <w:shd w:val="clear" w:color="auto" w:fill="FFFFFF"/>
        </w:rPr>
      </w:pPr>
      <w:r>
        <w:rPr>
          <w:rFonts w:ascii="Calibri" w:hAnsi="Calibri"/>
          <w:shd w:val="clear" w:color="auto" w:fill="FFFFFF"/>
        </w:rPr>
        <w:t xml:space="preserve">Programy </w:t>
      </w:r>
      <w:r>
        <w:rPr>
          <w:rFonts w:ascii="Calibri" w:hAnsi="Calibri"/>
          <w:i/>
          <w:shd w:val="clear" w:color="auto" w:fill="FFFFFF"/>
        </w:rPr>
        <w:t>Živel</w:t>
      </w:r>
      <w:r>
        <w:rPr>
          <w:rFonts w:ascii="Calibri" w:hAnsi="Calibri"/>
          <w:shd w:val="clear" w:color="auto" w:fill="FFFFFF"/>
        </w:rPr>
        <w:t xml:space="preserve"> a </w:t>
      </w:r>
      <w:r>
        <w:rPr>
          <w:rFonts w:ascii="Calibri" w:hAnsi="Calibri"/>
          <w:i/>
          <w:shd w:val="clear" w:color="auto" w:fill="FFFFFF"/>
        </w:rPr>
        <w:t>Ukrajina</w:t>
      </w:r>
      <w:r w:rsidR="002E72B6">
        <w:rPr>
          <w:rFonts w:ascii="Calibri" w:hAnsi="Calibri"/>
          <w:i/>
          <w:shd w:val="clear" w:color="auto" w:fill="FFFFFF"/>
        </w:rPr>
        <w:t xml:space="preserve"> </w:t>
      </w:r>
      <w:r w:rsidR="002E72B6" w:rsidRPr="00AD4A7D">
        <w:rPr>
          <w:rFonts w:ascii="Calibri" w:hAnsi="Calibri" w:cs="Calibri"/>
          <w:color w:val="000000"/>
          <w:szCs w:val="24"/>
        </w:rPr>
        <w:t xml:space="preserve">– </w:t>
      </w:r>
      <w:r>
        <w:rPr>
          <w:rFonts w:ascii="Calibri" w:hAnsi="Calibri"/>
          <w:i/>
          <w:shd w:val="clear" w:color="auto" w:fill="FFFFFF"/>
        </w:rPr>
        <w:t>rozšíření ubytovacích kapacit</w:t>
      </w:r>
      <w:r>
        <w:rPr>
          <w:rFonts w:ascii="Calibri" w:hAnsi="Calibri"/>
          <w:shd w:val="clear" w:color="auto" w:fill="FFFFFF"/>
        </w:rPr>
        <w:t xml:space="preserve"> a podprogram </w:t>
      </w:r>
      <w:r>
        <w:rPr>
          <w:rFonts w:ascii="Calibri" w:hAnsi="Calibri"/>
          <w:i/>
          <w:shd w:val="clear" w:color="auto" w:fill="FFFFFF"/>
        </w:rPr>
        <w:t>Olověné rozvody</w:t>
      </w:r>
      <w:r>
        <w:rPr>
          <w:rFonts w:ascii="Calibri" w:hAnsi="Calibri"/>
          <w:shd w:val="clear" w:color="auto" w:fill="FFFFFF"/>
        </w:rPr>
        <w:t xml:space="preserve"> z programu </w:t>
      </w:r>
      <w:r>
        <w:rPr>
          <w:rFonts w:ascii="Calibri" w:hAnsi="Calibri"/>
          <w:i/>
          <w:shd w:val="clear" w:color="auto" w:fill="FFFFFF"/>
        </w:rPr>
        <w:t>Podpora bydlení</w:t>
      </w:r>
      <w:r>
        <w:rPr>
          <w:rFonts w:ascii="Calibri" w:hAnsi="Calibri"/>
          <w:shd w:val="clear" w:color="auto" w:fill="FFFFFF"/>
        </w:rPr>
        <w:t xml:space="preserve"> nebyly v rámci této kontrolní akce u MMR prověřovány. </w:t>
      </w:r>
    </w:p>
    <w:p w14:paraId="0BF7777A" w14:textId="5F561F38" w:rsidR="00345230" w:rsidRPr="00AD4A7D" w:rsidRDefault="00345230" w:rsidP="006B104B">
      <w:pPr>
        <w:keepNext/>
        <w:spacing w:after="20"/>
        <w:rPr>
          <w:rFonts w:ascii="Calibri" w:hAnsi="Calibri"/>
          <w:b/>
        </w:rPr>
      </w:pPr>
      <w:r w:rsidRPr="00AD4A7D">
        <w:rPr>
          <w:rFonts w:ascii="Calibri" w:hAnsi="Calibri"/>
          <w:b/>
        </w:rPr>
        <w:t>Graf č. 1</w:t>
      </w:r>
      <w:r w:rsidR="00007C38" w:rsidRPr="00AD4A7D">
        <w:rPr>
          <w:rFonts w:ascii="Calibri" w:hAnsi="Calibri"/>
          <w:b/>
        </w:rPr>
        <w:t>:</w:t>
      </w:r>
      <w:r w:rsidRPr="00AD4A7D">
        <w:rPr>
          <w:rFonts w:ascii="Calibri" w:hAnsi="Calibri"/>
          <w:b/>
        </w:rPr>
        <w:t xml:space="preserve"> Časová osa podprogramů MMR</w:t>
      </w:r>
      <w:r w:rsidR="0058740D">
        <w:rPr>
          <w:rFonts w:ascii="Calibri" w:hAnsi="Calibri"/>
          <w:b/>
        </w:rPr>
        <w:t xml:space="preserve"> podporujících oblast bydlení</w:t>
      </w:r>
    </w:p>
    <w:p w14:paraId="2FAF2C9B" w14:textId="77777777" w:rsidR="00345230" w:rsidRDefault="00345230" w:rsidP="003A2D2F">
      <w:pPr>
        <w:jc w:val="center"/>
        <w:rPr>
          <w:rFonts w:ascii="Calibri" w:hAnsi="Calibri"/>
        </w:rPr>
      </w:pPr>
      <w:r>
        <w:rPr>
          <w:rFonts w:ascii="Calibri" w:hAnsi="Calibri"/>
          <w:noProof/>
        </w:rPr>
        <w:drawing>
          <wp:inline distT="0" distB="0" distL="0" distR="0" wp14:anchorId="5D1AB35F" wp14:editId="617DC6A3">
            <wp:extent cx="5857875" cy="2081719"/>
            <wp:effectExtent l="0" t="0" r="9525" b="13970"/>
            <wp:docPr id="12" name="Graf 12">
              <a:extLst xmlns:a="http://schemas.openxmlformats.org/drawingml/2006/main">
                <a:ext uri="{FF2B5EF4-FFF2-40B4-BE49-F238E27FC236}">
                  <a16:creationId xmlns:a16="http://schemas.microsoft.com/office/drawing/2014/main" id="{F1DACFD9-F776-4157-911D-F686E629A1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4F135E" w14:textId="799C89B2" w:rsidR="00345230" w:rsidRPr="00AD4A7D" w:rsidRDefault="00345230" w:rsidP="006B104B">
      <w:pPr>
        <w:spacing w:before="20"/>
        <w:rPr>
          <w:rFonts w:ascii="Calibri" w:hAnsi="Calibri"/>
          <w:sz w:val="20"/>
        </w:rPr>
      </w:pPr>
      <w:r w:rsidRPr="00AD4A7D">
        <w:rPr>
          <w:rFonts w:ascii="Calibri" w:hAnsi="Calibri"/>
          <w:b/>
          <w:sz w:val="20"/>
        </w:rPr>
        <w:t>Zdroj:</w:t>
      </w:r>
      <w:r w:rsidRPr="00AD4A7D">
        <w:rPr>
          <w:rFonts w:ascii="Calibri" w:hAnsi="Calibri"/>
          <w:sz w:val="20"/>
        </w:rPr>
        <w:t xml:space="preserve"> MMR, </w:t>
      </w:r>
      <w:r w:rsidR="0058740D">
        <w:rPr>
          <w:rFonts w:ascii="Calibri" w:hAnsi="Calibri"/>
          <w:sz w:val="20"/>
        </w:rPr>
        <w:t>p</w:t>
      </w:r>
      <w:r w:rsidRPr="00AD4A7D">
        <w:rPr>
          <w:rFonts w:ascii="Calibri" w:hAnsi="Calibri"/>
          <w:sz w:val="20"/>
        </w:rPr>
        <w:t>řehled výzev</w:t>
      </w:r>
      <w:r w:rsidR="0058740D">
        <w:rPr>
          <w:rFonts w:ascii="Calibri" w:hAnsi="Calibri"/>
          <w:sz w:val="20"/>
        </w:rPr>
        <w:t>;</w:t>
      </w:r>
      <w:r w:rsidRPr="00AD4A7D">
        <w:rPr>
          <w:rFonts w:ascii="Calibri" w:hAnsi="Calibri"/>
          <w:sz w:val="20"/>
        </w:rPr>
        <w:t xml:space="preserve"> vlastní zpracování NKÚ</w:t>
      </w:r>
      <w:r w:rsidR="00007C38">
        <w:rPr>
          <w:rFonts w:ascii="Calibri" w:hAnsi="Calibri"/>
          <w:sz w:val="20"/>
        </w:rPr>
        <w:t>.</w:t>
      </w:r>
    </w:p>
    <w:p w14:paraId="6AA6EDEA" w14:textId="77777777" w:rsidR="00345230" w:rsidRDefault="00345230" w:rsidP="00345230">
      <w:pPr>
        <w:tabs>
          <w:tab w:val="left" w:pos="1418"/>
        </w:tabs>
        <w:spacing w:before="240"/>
        <w:ind w:left="284"/>
        <w:rPr>
          <w:rFonts w:ascii="Calibri" w:hAnsi="Calibri"/>
          <w:b/>
          <w:u w:val="single"/>
        </w:rPr>
      </w:pPr>
      <w:r>
        <w:rPr>
          <w:rFonts w:ascii="Calibri" w:hAnsi="Calibri"/>
          <w:b/>
          <w:u w:val="single"/>
        </w:rPr>
        <w:lastRenderedPageBreak/>
        <w:t>2. Programy spravované SFPI</w:t>
      </w:r>
    </w:p>
    <w:p w14:paraId="21021216" w14:textId="77777777" w:rsidR="00345230" w:rsidRDefault="00345230" w:rsidP="00345230">
      <w:pPr>
        <w:numPr>
          <w:ilvl w:val="0"/>
          <w:numId w:val="30"/>
        </w:numPr>
        <w:ind w:left="993" w:hanging="284"/>
        <w:rPr>
          <w:rFonts w:ascii="Calibri" w:hAnsi="Calibri"/>
        </w:rPr>
      </w:pPr>
      <w:r>
        <w:rPr>
          <w:rFonts w:ascii="Calibri" w:hAnsi="Calibri"/>
        </w:rPr>
        <w:t xml:space="preserve">program </w:t>
      </w:r>
      <w:r>
        <w:rPr>
          <w:rFonts w:ascii="Calibri" w:hAnsi="Calibri"/>
          <w:b/>
          <w:i/>
        </w:rPr>
        <w:t>Výstavba pro obce</w:t>
      </w:r>
      <w:r w:rsidRPr="005F5E5B">
        <w:rPr>
          <w:rFonts w:ascii="Calibri" w:hAnsi="Calibri"/>
          <w:b/>
        </w:rPr>
        <w:t>,</w:t>
      </w:r>
      <w:r>
        <w:rPr>
          <w:rFonts w:ascii="Calibri" w:hAnsi="Calibri"/>
        </w:rPr>
        <w:t xml:space="preserve"> který nabízel dotace na pořízení sociálních bytů a úvěry na pořízení dostupných bytů;</w:t>
      </w:r>
    </w:p>
    <w:p w14:paraId="677C94EE" w14:textId="77777777" w:rsidR="00345230" w:rsidRDefault="00345230" w:rsidP="00345230">
      <w:pPr>
        <w:numPr>
          <w:ilvl w:val="0"/>
          <w:numId w:val="30"/>
        </w:numPr>
        <w:ind w:left="993" w:hanging="284"/>
        <w:rPr>
          <w:rFonts w:ascii="Calibri" w:hAnsi="Calibri"/>
          <w:color w:val="212121"/>
          <w:sz w:val="36"/>
        </w:rPr>
      </w:pPr>
      <w:r>
        <w:rPr>
          <w:rFonts w:ascii="Calibri" w:hAnsi="Calibri"/>
        </w:rPr>
        <w:t xml:space="preserve">program </w:t>
      </w:r>
      <w:r>
        <w:rPr>
          <w:rFonts w:ascii="Calibri" w:hAnsi="Calibri"/>
          <w:b/>
          <w:i/>
        </w:rPr>
        <w:t>Nájemní byty</w:t>
      </w:r>
      <w:r w:rsidRPr="005F5E5B">
        <w:rPr>
          <w:rFonts w:ascii="Calibri" w:hAnsi="Calibri"/>
          <w:b/>
        </w:rPr>
        <w:t>,</w:t>
      </w:r>
      <w:r>
        <w:rPr>
          <w:rFonts w:ascii="Calibri" w:hAnsi="Calibri"/>
        </w:rPr>
        <w:t xml:space="preserve"> který nabízel ú</w:t>
      </w:r>
      <w:r>
        <w:rPr>
          <w:rFonts w:ascii="Calibri" w:hAnsi="Calibri"/>
          <w:color w:val="212121"/>
        </w:rPr>
        <w:t>věry a dotace na financování výstavby nájemního bydlení;</w:t>
      </w:r>
    </w:p>
    <w:p w14:paraId="316A5E7B" w14:textId="77777777" w:rsidR="00345230" w:rsidRDefault="00345230" w:rsidP="00345230">
      <w:pPr>
        <w:numPr>
          <w:ilvl w:val="0"/>
          <w:numId w:val="30"/>
        </w:numPr>
        <w:ind w:left="993" w:hanging="284"/>
        <w:rPr>
          <w:rFonts w:ascii="Calibri" w:hAnsi="Calibri"/>
        </w:rPr>
      </w:pPr>
      <w:r>
        <w:rPr>
          <w:rFonts w:ascii="Calibri" w:hAnsi="Calibri"/>
        </w:rPr>
        <w:t xml:space="preserve">program </w:t>
      </w:r>
      <w:r>
        <w:rPr>
          <w:rFonts w:ascii="Calibri" w:hAnsi="Calibri"/>
          <w:b/>
          <w:i/>
        </w:rPr>
        <w:t>Regenerace sídlišť</w:t>
      </w:r>
      <w:r w:rsidRPr="005F5E5B">
        <w:rPr>
          <w:rFonts w:ascii="Calibri" w:hAnsi="Calibri"/>
          <w:b/>
        </w:rPr>
        <w:t>,</w:t>
      </w:r>
      <w:r>
        <w:rPr>
          <w:rFonts w:ascii="Calibri" w:hAnsi="Calibri"/>
        </w:rPr>
        <w:t xml:space="preserve"> dotačně úvěrový program na regeneraci veřejných prostranství na sídlištích;</w:t>
      </w:r>
    </w:p>
    <w:p w14:paraId="58B75D5D" w14:textId="77777777" w:rsidR="00345230" w:rsidRDefault="00345230" w:rsidP="00345230">
      <w:pPr>
        <w:numPr>
          <w:ilvl w:val="0"/>
          <w:numId w:val="30"/>
        </w:numPr>
        <w:ind w:left="993" w:hanging="284"/>
        <w:rPr>
          <w:rFonts w:ascii="Calibri" w:hAnsi="Calibri"/>
        </w:rPr>
      </w:pPr>
      <w:r>
        <w:rPr>
          <w:rFonts w:ascii="Calibri" w:hAnsi="Calibri"/>
        </w:rPr>
        <w:t xml:space="preserve">program </w:t>
      </w:r>
      <w:r>
        <w:rPr>
          <w:rFonts w:ascii="Calibri" w:hAnsi="Calibri"/>
          <w:b/>
          <w:i/>
        </w:rPr>
        <w:t>Panel 2013+</w:t>
      </w:r>
      <w:r w:rsidRPr="005F5E5B">
        <w:rPr>
          <w:rFonts w:ascii="Calibri" w:hAnsi="Calibri"/>
          <w:b/>
        </w:rPr>
        <w:t>,</w:t>
      </w:r>
      <w:r>
        <w:rPr>
          <w:rFonts w:ascii="Calibri" w:hAnsi="Calibri"/>
        </w:rPr>
        <w:t xml:space="preserve"> úvěrový program na revitalizaci bytového fondu bez ohledu na technologii výstavby.</w:t>
      </w:r>
    </w:p>
    <w:p w14:paraId="0D8599F8" w14:textId="08D995D2" w:rsidR="00345230" w:rsidRDefault="00345230" w:rsidP="00345230">
      <w:pPr>
        <w:spacing w:before="240" w:after="240"/>
        <w:ind w:left="284"/>
        <w:rPr>
          <w:rFonts w:ascii="Calibri" w:hAnsi="Calibri"/>
        </w:rPr>
      </w:pPr>
      <w:r>
        <w:rPr>
          <w:rFonts w:ascii="Calibri" w:hAnsi="Calibri"/>
        </w:rPr>
        <w:t>Ostatní programy SFPI z oblasti podpory bydlení (</w:t>
      </w:r>
      <w:r>
        <w:rPr>
          <w:rFonts w:ascii="Calibri" w:hAnsi="Calibri"/>
          <w:i/>
        </w:rPr>
        <w:t>Živel</w:t>
      </w:r>
      <w:r w:rsidRPr="005F5E5B">
        <w:rPr>
          <w:rFonts w:ascii="Calibri" w:hAnsi="Calibri"/>
        </w:rPr>
        <w:t>,</w:t>
      </w:r>
      <w:r>
        <w:rPr>
          <w:rFonts w:ascii="Calibri" w:hAnsi="Calibri"/>
          <w:i/>
        </w:rPr>
        <w:t xml:space="preserve"> Zateplování</w:t>
      </w:r>
      <w:r w:rsidRPr="005F5E5B">
        <w:rPr>
          <w:rFonts w:ascii="Calibri" w:hAnsi="Calibri"/>
        </w:rPr>
        <w:t>,</w:t>
      </w:r>
      <w:r>
        <w:rPr>
          <w:rFonts w:ascii="Calibri" w:hAnsi="Calibri"/>
          <w:i/>
        </w:rPr>
        <w:t xml:space="preserve"> Vlastní bydlení</w:t>
      </w:r>
      <w:r w:rsidRPr="005F5E5B">
        <w:rPr>
          <w:rFonts w:ascii="Calibri" w:hAnsi="Calibri"/>
        </w:rPr>
        <w:t>,</w:t>
      </w:r>
      <w:r>
        <w:rPr>
          <w:rFonts w:ascii="Calibri" w:hAnsi="Calibri"/>
          <w:i/>
        </w:rPr>
        <w:t xml:space="preserve"> Program pro mladé</w:t>
      </w:r>
      <w:r w:rsidRPr="005F5E5B">
        <w:rPr>
          <w:rFonts w:ascii="Calibri" w:hAnsi="Calibri"/>
        </w:rPr>
        <w:t>,</w:t>
      </w:r>
      <w:r>
        <w:rPr>
          <w:rFonts w:ascii="Calibri" w:hAnsi="Calibri"/>
          <w:i/>
        </w:rPr>
        <w:t xml:space="preserve"> Program 150</w:t>
      </w:r>
      <w:r w:rsidRPr="005F5E5B">
        <w:rPr>
          <w:rFonts w:ascii="Calibri" w:hAnsi="Calibri"/>
        </w:rPr>
        <w:t>,</w:t>
      </w:r>
      <w:r>
        <w:rPr>
          <w:rFonts w:ascii="Calibri" w:hAnsi="Calibri"/>
          <w:i/>
        </w:rPr>
        <w:t xml:space="preserve"> Program 300 </w:t>
      </w:r>
      <w:r w:rsidRPr="005F5E5B">
        <w:rPr>
          <w:rFonts w:ascii="Calibri" w:hAnsi="Calibri"/>
        </w:rPr>
        <w:t xml:space="preserve">a </w:t>
      </w:r>
      <w:r>
        <w:rPr>
          <w:rFonts w:ascii="Calibri" w:hAnsi="Calibri"/>
          <w:i/>
        </w:rPr>
        <w:t>Program 600</w:t>
      </w:r>
      <w:r>
        <w:rPr>
          <w:rFonts w:ascii="Calibri" w:hAnsi="Calibri"/>
        </w:rPr>
        <w:t>) nebyly v</w:t>
      </w:r>
      <w:r w:rsidR="002E72B6">
        <w:rPr>
          <w:rFonts w:ascii="Calibri" w:hAnsi="Calibri"/>
        </w:rPr>
        <w:t xml:space="preserve"> </w:t>
      </w:r>
      <w:r>
        <w:rPr>
          <w:rFonts w:ascii="Calibri" w:hAnsi="Calibri"/>
        </w:rPr>
        <w:t>rámci této kontrolní akce prověřovány.</w:t>
      </w:r>
    </w:p>
    <w:p w14:paraId="5970891F" w14:textId="7A56D347" w:rsidR="00345230" w:rsidRDefault="00345230" w:rsidP="00345230">
      <w:pPr>
        <w:spacing w:after="240"/>
        <w:ind w:left="284"/>
        <w:rPr>
          <w:rFonts w:ascii="Calibri" w:hAnsi="Calibri" w:cs="Calibri"/>
          <w:szCs w:val="24"/>
          <w:lang w:eastAsia="en-US"/>
        </w:rPr>
      </w:pPr>
      <w:r>
        <w:rPr>
          <w:rFonts w:ascii="Calibri" w:hAnsi="Calibri" w:cs="Calibri"/>
          <w:szCs w:val="24"/>
          <w:lang w:eastAsia="en-US"/>
        </w:rPr>
        <w:t xml:space="preserve">SFPI v březnu 2023 ukončil příjem žádostí v programu </w:t>
      </w:r>
      <w:r>
        <w:rPr>
          <w:rFonts w:ascii="Calibri" w:hAnsi="Calibri" w:cs="Calibri"/>
          <w:i/>
          <w:szCs w:val="24"/>
          <w:lang w:eastAsia="en-US"/>
        </w:rPr>
        <w:t>Výstavba pro obce</w:t>
      </w:r>
      <w:r>
        <w:rPr>
          <w:rFonts w:ascii="Calibri" w:hAnsi="Calibri" w:cs="Calibri"/>
          <w:szCs w:val="24"/>
          <w:lang w:eastAsia="en-US"/>
        </w:rPr>
        <w:t xml:space="preserve">, který jako jediný </w:t>
      </w:r>
      <w:r w:rsidR="002E72B6">
        <w:rPr>
          <w:rFonts w:ascii="Calibri" w:hAnsi="Calibri" w:cs="Calibri"/>
          <w:szCs w:val="24"/>
          <w:lang w:eastAsia="en-US"/>
        </w:rPr>
        <w:t>poskytoval podpory na</w:t>
      </w:r>
      <w:r>
        <w:rPr>
          <w:rFonts w:ascii="Calibri" w:hAnsi="Calibri" w:cs="Calibri"/>
          <w:szCs w:val="24"/>
          <w:lang w:eastAsia="en-US"/>
        </w:rPr>
        <w:t xml:space="preserve"> koupi a výstavbu sociálních bytů v obcích. Ke konci srpna 2023 MMR a</w:t>
      </w:r>
      <w:r w:rsidR="002E72B6">
        <w:rPr>
          <w:rFonts w:ascii="Calibri" w:hAnsi="Calibri" w:cs="Calibri"/>
          <w:szCs w:val="24"/>
          <w:lang w:eastAsia="en-US"/>
        </w:rPr>
        <w:t>ni</w:t>
      </w:r>
      <w:r>
        <w:rPr>
          <w:rFonts w:ascii="Calibri" w:hAnsi="Calibri" w:cs="Calibri"/>
          <w:szCs w:val="24"/>
          <w:lang w:eastAsia="en-US"/>
        </w:rPr>
        <w:t xml:space="preserve"> SFPI nepřijímal</w:t>
      </w:r>
      <w:r w:rsidR="002E72B6">
        <w:rPr>
          <w:rFonts w:ascii="Calibri" w:hAnsi="Calibri" w:cs="Calibri"/>
          <w:szCs w:val="24"/>
          <w:lang w:eastAsia="en-US"/>
        </w:rPr>
        <w:t>y</w:t>
      </w:r>
      <w:r>
        <w:rPr>
          <w:rFonts w:ascii="Calibri" w:hAnsi="Calibri" w:cs="Calibri"/>
          <w:szCs w:val="24"/>
          <w:lang w:eastAsia="en-US"/>
        </w:rPr>
        <w:t xml:space="preserve"> žádosti o podporu v žádném programu pro pořízení bydlení financované</w:t>
      </w:r>
      <w:r w:rsidR="002E72B6">
        <w:rPr>
          <w:rFonts w:ascii="Calibri" w:hAnsi="Calibri" w:cs="Calibri"/>
          <w:szCs w:val="24"/>
          <w:lang w:eastAsia="en-US"/>
        </w:rPr>
        <w:t>m</w:t>
      </w:r>
      <w:r>
        <w:rPr>
          <w:rFonts w:ascii="Calibri" w:hAnsi="Calibri" w:cs="Calibri"/>
          <w:szCs w:val="24"/>
          <w:lang w:eastAsia="en-US"/>
        </w:rPr>
        <w:t xml:space="preserve"> z národních zdrojů. MMR vyhlásilo dotační tituly na pořízení sociálního bydlení naposledy v roce 2021. V programech SFPI kontrolovaných NKÚ </w:t>
      </w:r>
      <w:r>
        <w:rPr>
          <w:rFonts w:ascii="Calibri" w:hAnsi="Calibri" w:cs="Calibri"/>
          <w:i/>
          <w:szCs w:val="24"/>
          <w:lang w:eastAsia="en-US"/>
        </w:rPr>
        <w:t>Výstavba pro obce</w:t>
      </w:r>
      <w:r>
        <w:rPr>
          <w:rFonts w:ascii="Calibri" w:hAnsi="Calibri" w:cs="Calibri"/>
          <w:szCs w:val="24"/>
          <w:lang w:eastAsia="en-US"/>
        </w:rPr>
        <w:t xml:space="preserve"> a </w:t>
      </w:r>
      <w:r>
        <w:rPr>
          <w:rFonts w:ascii="Calibri" w:hAnsi="Calibri" w:cs="Calibri"/>
          <w:i/>
          <w:szCs w:val="24"/>
          <w:lang w:eastAsia="en-US"/>
        </w:rPr>
        <w:t>Nájemní byty</w:t>
      </w:r>
      <w:r>
        <w:rPr>
          <w:rFonts w:ascii="Calibri" w:hAnsi="Calibri" w:cs="Calibri"/>
          <w:szCs w:val="24"/>
          <w:lang w:eastAsia="en-US"/>
        </w:rPr>
        <w:t xml:space="preserve"> byl ukončen příjem žádostí 31. 3. 2023, resp. 30. 4. 2023. V dubnu 2023 vyhlásil SFPI nový program </w:t>
      </w:r>
      <w:r>
        <w:rPr>
          <w:rFonts w:ascii="Calibri" w:hAnsi="Calibri" w:cs="Calibri"/>
          <w:i/>
          <w:szCs w:val="24"/>
          <w:lang w:eastAsia="en-US"/>
        </w:rPr>
        <w:t>Nájemní bydlení</w:t>
      </w:r>
      <w:r w:rsidRPr="005F5E5B">
        <w:rPr>
          <w:rFonts w:ascii="Calibri" w:hAnsi="Calibri" w:cs="Calibri"/>
          <w:szCs w:val="24"/>
          <w:vertAlign w:val="superscript"/>
          <w:lang w:eastAsia="en-US"/>
        </w:rPr>
        <w:footnoteReference w:id="69"/>
      </w:r>
      <w:r>
        <w:rPr>
          <w:rFonts w:ascii="Calibri" w:hAnsi="Calibri" w:cs="Calibri"/>
          <w:i/>
          <w:szCs w:val="24"/>
          <w:lang w:eastAsia="en-US"/>
        </w:rPr>
        <w:t xml:space="preserve"> </w:t>
      </w:r>
      <w:r>
        <w:rPr>
          <w:rFonts w:ascii="Calibri" w:hAnsi="Calibri" w:cs="Calibri"/>
          <w:szCs w:val="24"/>
          <w:lang w:eastAsia="en-US"/>
        </w:rPr>
        <w:t xml:space="preserve">a příjem žádostí byl z důvodu vyčerpání alokace ukončen k 31. 8. 2023. V rámci plánované reformy </w:t>
      </w:r>
      <w:r w:rsidRPr="005F5E5B">
        <w:rPr>
          <w:rFonts w:ascii="Calibri" w:hAnsi="Calibri" w:cs="Calibri"/>
          <w:i/>
          <w:szCs w:val="24"/>
          <w:lang w:eastAsia="en-US"/>
        </w:rPr>
        <w:t>Bydlení pro život</w:t>
      </w:r>
      <w:r>
        <w:rPr>
          <w:rFonts w:ascii="Calibri" w:hAnsi="Calibri" w:cs="Calibri"/>
          <w:szCs w:val="24"/>
          <w:lang w:eastAsia="en-US"/>
        </w:rPr>
        <w:t xml:space="preserve"> počítá MMR v</w:t>
      </w:r>
      <w:r w:rsidR="000775C8">
        <w:rPr>
          <w:rFonts w:ascii="Calibri" w:hAnsi="Calibri" w:cs="Calibri"/>
          <w:szCs w:val="24"/>
          <w:lang w:eastAsia="en-US"/>
        </w:rPr>
        <w:t> </w:t>
      </w:r>
      <w:r>
        <w:rPr>
          <w:rFonts w:ascii="Calibri" w:hAnsi="Calibri" w:cs="Calibri"/>
          <w:szCs w:val="24"/>
          <w:lang w:eastAsia="en-US"/>
        </w:rPr>
        <w:t>příštích letech s</w:t>
      </w:r>
      <w:r w:rsidR="000775C8">
        <w:rPr>
          <w:rFonts w:ascii="Calibri" w:hAnsi="Calibri" w:cs="Calibri"/>
          <w:szCs w:val="24"/>
          <w:lang w:eastAsia="en-US"/>
        </w:rPr>
        <w:t xml:space="preserve"> </w:t>
      </w:r>
      <w:r>
        <w:rPr>
          <w:rFonts w:ascii="Calibri" w:hAnsi="Calibri" w:cs="Calibri"/>
          <w:szCs w:val="24"/>
          <w:lang w:eastAsia="en-US"/>
        </w:rPr>
        <w:t>investicemi ve výši více než 20 mld. Kč formou návratných finančních nástrojů. Z toho by měly být 2 mld. Kč ze státního rozpočtu, 8 mld. Kč z </w:t>
      </w:r>
      <w:r w:rsidRPr="005F5E5B">
        <w:rPr>
          <w:rFonts w:ascii="Calibri" w:hAnsi="Calibri" w:cs="Calibri"/>
          <w:i/>
          <w:szCs w:val="24"/>
          <w:lang w:eastAsia="en-US"/>
        </w:rPr>
        <w:t>Národního plánu obnovy</w:t>
      </w:r>
      <w:r>
        <w:rPr>
          <w:rFonts w:ascii="Calibri" w:hAnsi="Calibri" w:cs="Calibri"/>
          <w:szCs w:val="24"/>
          <w:lang w:eastAsia="en-US"/>
        </w:rPr>
        <w:t xml:space="preserve"> a více než 10 mld. Kč by měly činit potenciální investice ze soukromých a dalších zdrojů.</w:t>
      </w:r>
    </w:p>
    <w:p w14:paraId="4D4955C9" w14:textId="0A8BF325" w:rsidR="00345230" w:rsidRPr="005F5E5B" w:rsidRDefault="00345230" w:rsidP="0043588E">
      <w:pPr>
        <w:keepNext/>
        <w:spacing w:after="20"/>
        <w:rPr>
          <w:rFonts w:ascii="Calibri" w:hAnsi="Calibri"/>
          <w:b/>
        </w:rPr>
      </w:pPr>
      <w:r w:rsidRPr="005F5E5B">
        <w:rPr>
          <w:rFonts w:ascii="Calibri" w:hAnsi="Calibri"/>
          <w:b/>
        </w:rPr>
        <w:t>Graf č. 2</w:t>
      </w:r>
      <w:r w:rsidR="00007C38" w:rsidRPr="005F5E5B">
        <w:rPr>
          <w:rFonts w:ascii="Calibri" w:hAnsi="Calibri"/>
          <w:b/>
        </w:rPr>
        <w:t>:</w:t>
      </w:r>
      <w:r w:rsidRPr="005F5E5B">
        <w:rPr>
          <w:rFonts w:ascii="Calibri" w:hAnsi="Calibri"/>
          <w:b/>
        </w:rPr>
        <w:t xml:space="preserve"> Časová osa programů SFPI</w:t>
      </w:r>
      <w:r w:rsidR="002E72B6">
        <w:rPr>
          <w:rFonts w:ascii="Calibri" w:hAnsi="Calibri"/>
          <w:b/>
        </w:rPr>
        <w:t xml:space="preserve"> podporujících oblast bydlení</w:t>
      </w:r>
    </w:p>
    <w:p w14:paraId="116CCC99" w14:textId="7C6B2FC9" w:rsidR="00345230" w:rsidRPr="00C651BB" w:rsidRDefault="0043588E" w:rsidP="00345230">
      <w:pPr>
        <w:keepNext/>
        <w:rPr>
          <w:rFonts w:ascii="Calibri" w:hAnsi="Calibri"/>
        </w:rPr>
      </w:pPr>
      <w:r>
        <w:rPr>
          <w:noProof/>
        </w:rPr>
        <w:drawing>
          <wp:inline distT="0" distB="0" distL="0" distR="0" wp14:anchorId="371522CA" wp14:editId="56236E90">
            <wp:extent cx="5760720" cy="2425700"/>
            <wp:effectExtent l="0" t="0" r="11430" b="12700"/>
            <wp:docPr id="7" name="Graf 7">
              <a:extLst xmlns:a="http://schemas.openxmlformats.org/drawingml/2006/main">
                <a:ext uri="{FF2B5EF4-FFF2-40B4-BE49-F238E27FC236}">
                  <a16:creationId xmlns:a16="http://schemas.microsoft.com/office/drawing/2014/main" id="{5BAE106A-082D-4F12-ABBF-382DBC7230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F1D57D" w14:textId="3B7F0A59" w:rsidR="00345230" w:rsidRPr="00007C38" w:rsidRDefault="00345230" w:rsidP="0043588E">
      <w:pPr>
        <w:spacing w:before="20"/>
        <w:rPr>
          <w:rFonts w:ascii="Calibri" w:hAnsi="Calibri"/>
        </w:rPr>
      </w:pPr>
      <w:r w:rsidRPr="00AD4A7D">
        <w:rPr>
          <w:rFonts w:ascii="Calibri" w:hAnsi="Calibri"/>
          <w:b/>
          <w:sz w:val="20"/>
        </w:rPr>
        <w:t>Zdroj:</w:t>
      </w:r>
      <w:r w:rsidRPr="00AD4A7D">
        <w:rPr>
          <w:rFonts w:ascii="Calibri" w:hAnsi="Calibri"/>
          <w:sz w:val="20"/>
        </w:rPr>
        <w:t xml:space="preserve"> </w:t>
      </w:r>
      <w:r w:rsidR="002E72B6">
        <w:rPr>
          <w:rFonts w:ascii="Calibri" w:hAnsi="Calibri"/>
          <w:sz w:val="20"/>
        </w:rPr>
        <w:t>n</w:t>
      </w:r>
      <w:r w:rsidRPr="00AD4A7D">
        <w:rPr>
          <w:rFonts w:ascii="Calibri" w:hAnsi="Calibri"/>
          <w:sz w:val="20"/>
        </w:rPr>
        <w:t xml:space="preserve">ařízení vlády </w:t>
      </w:r>
      <w:r w:rsidR="002E72B6">
        <w:rPr>
          <w:rFonts w:ascii="Calibri" w:hAnsi="Calibri"/>
          <w:sz w:val="20"/>
        </w:rPr>
        <w:t xml:space="preserve">přijatá k </w:t>
      </w:r>
      <w:r w:rsidRPr="00AD4A7D">
        <w:rPr>
          <w:rFonts w:ascii="Calibri" w:hAnsi="Calibri"/>
          <w:sz w:val="20"/>
        </w:rPr>
        <w:t>jednotlivý</w:t>
      </w:r>
      <w:r w:rsidR="002E72B6">
        <w:rPr>
          <w:rFonts w:ascii="Calibri" w:hAnsi="Calibri"/>
          <w:sz w:val="20"/>
        </w:rPr>
        <w:t>m</w:t>
      </w:r>
      <w:r w:rsidRPr="00AD4A7D">
        <w:rPr>
          <w:rFonts w:ascii="Calibri" w:hAnsi="Calibri"/>
          <w:sz w:val="20"/>
        </w:rPr>
        <w:t xml:space="preserve"> programů</w:t>
      </w:r>
      <w:r w:rsidR="002E72B6">
        <w:rPr>
          <w:rFonts w:ascii="Calibri" w:hAnsi="Calibri"/>
          <w:sz w:val="20"/>
        </w:rPr>
        <w:t>m</w:t>
      </w:r>
      <w:r w:rsidR="00007C38">
        <w:rPr>
          <w:rFonts w:ascii="Calibri" w:hAnsi="Calibri"/>
          <w:sz w:val="20"/>
        </w:rPr>
        <w:t>.</w:t>
      </w:r>
    </w:p>
    <w:p w14:paraId="24B09D49" w14:textId="48DC012B" w:rsidR="009C52B6" w:rsidRDefault="009C52B6">
      <w:pPr>
        <w:jc w:val="left"/>
        <w:rPr>
          <w:b/>
        </w:rPr>
      </w:pPr>
      <w:r>
        <w:rPr>
          <w:b/>
        </w:rPr>
        <w:br w:type="page"/>
      </w:r>
    </w:p>
    <w:p w14:paraId="268EB145" w14:textId="77777777" w:rsidR="00345230" w:rsidRDefault="00345230" w:rsidP="00345230">
      <w:pPr>
        <w:jc w:val="right"/>
        <w:rPr>
          <w:b/>
        </w:rPr>
      </w:pPr>
      <w:r w:rsidRPr="00866D4A">
        <w:rPr>
          <w:b/>
        </w:rPr>
        <w:lastRenderedPageBreak/>
        <w:t xml:space="preserve">Příloha č. </w:t>
      </w:r>
      <w:r>
        <w:rPr>
          <w:b/>
        </w:rPr>
        <w:t>4</w:t>
      </w:r>
    </w:p>
    <w:p w14:paraId="4B335CF0" w14:textId="77777777" w:rsidR="00345230" w:rsidRDefault="00345230" w:rsidP="00345230">
      <w:pPr>
        <w:jc w:val="left"/>
        <w:rPr>
          <w:b/>
        </w:rPr>
      </w:pPr>
      <w:r w:rsidRPr="00853B94">
        <w:rPr>
          <w:b/>
        </w:rPr>
        <w:t xml:space="preserve">Index cen bytových nemovitostí v EU – </w:t>
      </w:r>
      <w:r w:rsidRPr="00F777B7">
        <w:rPr>
          <w:b/>
        </w:rPr>
        <w:t xml:space="preserve">House </w:t>
      </w:r>
      <w:proofErr w:type="spellStart"/>
      <w:r w:rsidRPr="00F777B7">
        <w:rPr>
          <w:b/>
        </w:rPr>
        <w:t>Price</w:t>
      </w:r>
      <w:proofErr w:type="spellEnd"/>
      <w:r w:rsidRPr="00F777B7">
        <w:rPr>
          <w:b/>
        </w:rPr>
        <w:t xml:space="preserve"> Index</w:t>
      </w:r>
      <w:r w:rsidRPr="00853B94">
        <w:rPr>
          <w:b/>
        </w:rPr>
        <w:t xml:space="preserve"> (2015 = 100 %)</w:t>
      </w:r>
    </w:p>
    <w:tbl>
      <w:tblPr>
        <w:tblW w:w="5000" w:type="pct"/>
        <w:tblLayout w:type="fixed"/>
        <w:tblCellMar>
          <w:left w:w="70" w:type="dxa"/>
          <w:right w:w="70" w:type="dxa"/>
        </w:tblCellMar>
        <w:tblLook w:val="04A0" w:firstRow="1" w:lastRow="0" w:firstColumn="1" w:lastColumn="0" w:noHBand="0" w:noVBand="1"/>
      </w:tblPr>
      <w:tblGrid>
        <w:gridCol w:w="2370"/>
        <w:gridCol w:w="956"/>
        <w:gridCol w:w="956"/>
        <w:gridCol w:w="956"/>
        <w:gridCol w:w="956"/>
        <w:gridCol w:w="956"/>
        <w:gridCol w:w="956"/>
        <w:gridCol w:w="956"/>
      </w:tblGrid>
      <w:tr w:rsidR="00F35E14" w:rsidRPr="00F35E14" w14:paraId="56351DC7" w14:textId="77777777" w:rsidTr="00026D7A">
        <w:trPr>
          <w:trHeight w:val="414"/>
        </w:trPr>
        <w:tc>
          <w:tcPr>
            <w:tcW w:w="2394" w:type="dxa"/>
            <w:tcBorders>
              <w:top w:val="single" w:sz="4" w:space="0" w:color="auto"/>
              <w:left w:val="single" w:sz="4" w:space="0" w:color="auto"/>
              <w:bottom w:val="single" w:sz="4" w:space="0" w:color="auto"/>
              <w:right w:val="single" w:sz="4" w:space="0" w:color="auto"/>
            </w:tcBorders>
            <w:shd w:val="clear" w:color="auto" w:fill="4669AF"/>
            <w:noWrap/>
            <w:vAlign w:val="center"/>
            <w:hideMark/>
          </w:tcPr>
          <w:p w14:paraId="0C8137DC" w14:textId="77777777" w:rsidR="00F35E14" w:rsidRPr="00F35E14" w:rsidRDefault="00F35E14" w:rsidP="00F35E14">
            <w:pPr>
              <w:jc w:val="left"/>
              <w:rPr>
                <w:rFonts w:ascii="Calibri" w:hAnsi="Calibri" w:cs="Calibri"/>
                <w:b/>
                <w:bCs/>
                <w:color w:val="FFFFFF"/>
                <w:sz w:val="20"/>
              </w:rPr>
            </w:pPr>
            <w:r w:rsidRPr="00F35E14">
              <w:rPr>
                <w:rFonts w:ascii="Calibri" w:hAnsi="Calibri" w:cs="Calibri"/>
                <w:b/>
                <w:bCs/>
                <w:color w:val="FFFFFF"/>
                <w:sz w:val="20"/>
              </w:rPr>
              <w:t>Země</w:t>
            </w:r>
          </w:p>
        </w:tc>
        <w:tc>
          <w:tcPr>
            <w:tcW w:w="964" w:type="dxa"/>
            <w:tcBorders>
              <w:top w:val="single" w:sz="4" w:space="0" w:color="auto"/>
              <w:left w:val="nil"/>
              <w:bottom w:val="single" w:sz="4" w:space="0" w:color="auto"/>
              <w:right w:val="single" w:sz="4" w:space="0" w:color="auto"/>
            </w:tcBorders>
            <w:shd w:val="clear" w:color="auto" w:fill="4669AF"/>
            <w:noWrap/>
            <w:vAlign w:val="center"/>
            <w:hideMark/>
          </w:tcPr>
          <w:p w14:paraId="5448B023" w14:textId="77777777" w:rsidR="00F35E14" w:rsidRPr="00F35E14" w:rsidRDefault="00F35E14" w:rsidP="00F35E14">
            <w:pPr>
              <w:jc w:val="center"/>
              <w:rPr>
                <w:rFonts w:ascii="Calibri" w:hAnsi="Calibri" w:cs="Calibri"/>
                <w:b/>
                <w:bCs/>
                <w:color w:val="FFFFFF"/>
                <w:sz w:val="20"/>
              </w:rPr>
            </w:pPr>
            <w:r w:rsidRPr="00F35E14">
              <w:rPr>
                <w:rFonts w:ascii="Calibri" w:hAnsi="Calibri" w:cs="Calibri"/>
                <w:b/>
                <w:bCs/>
                <w:color w:val="FFFFFF"/>
                <w:sz w:val="20"/>
              </w:rPr>
              <w:t>2016</w:t>
            </w:r>
          </w:p>
        </w:tc>
        <w:tc>
          <w:tcPr>
            <w:tcW w:w="964" w:type="dxa"/>
            <w:tcBorders>
              <w:top w:val="single" w:sz="4" w:space="0" w:color="auto"/>
              <w:left w:val="nil"/>
              <w:bottom w:val="single" w:sz="4" w:space="0" w:color="auto"/>
              <w:right w:val="single" w:sz="4" w:space="0" w:color="auto"/>
            </w:tcBorders>
            <w:shd w:val="clear" w:color="auto" w:fill="4669AF"/>
            <w:noWrap/>
            <w:vAlign w:val="center"/>
            <w:hideMark/>
          </w:tcPr>
          <w:p w14:paraId="039A17EB" w14:textId="77777777" w:rsidR="00F35E14" w:rsidRPr="00F35E14" w:rsidRDefault="00F35E14" w:rsidP="00F35E14">
            <w:pPr>
              <w:jc w:val="center"/>
              <w:rPr>
                <w:rFonts w:ascii="Calibri" w:hAnsi="Calibri" w:cs="Calibri"/>
                <w:b/>
                <w:bCs/>
                <w:color w:val="FFFFFF"/>
                <w:sz w:val="20"/>
              </w:rPr>
            </w:pPr>
            <w:r w:rsidRPr="00F35E14">
              <w:rPr>
                <w:rFonts w:ascii="Calibri" w:hAnsi="Calibri" w:cs="Calibri"/>
                <w:b/>
                <w:bCs/>
                <w:color w:val="FFFFFF"/>
                <w:sz w:val="20"/>
              </w:rPr>
              <w:t>2017</w:t>
            </w:r>
          </w:p>
        </w:tc>
        <w:tc>
          <w:tcPr>
            <w:tcW w:w="964" w:type="dxa"/>
            <w:tcBorders>
              <w:top w:val="single" w:sz="4" w:space="0" w:color="auto"/>
              <w:left w:val="nil"/>
              <w:bottom w:val="single" w:sz="4" w:space="0" w:color="auto"/>
              <w:right w:val="single" w:sz="4" w:space="0" w:color="auto"/>
            </w:tcBorders>
            <w:shd w:val="clear" w:color="auto" w:fill="4669AF"/>
            <w:noWrap/>
            <w:vAlign w:val="center"/>
            <w:hideMark/>
          </w:tcPr>
          <w:p w14:paraId="499446BF" w14:textId="77777777" w:rsidR="00F35E14" w:rsidRPr="00F35E14" w:rsidRDefault="00F35E14" w:rsidP="00F35E14">
            <w:pPr>
              <w:jc w:val="center"/>
              <w:rPr>
                <w:rFonts w:ascii="Calibri" w:hAnsi="Calibri" w:cs="Calibri"/>
                <w:b/>
                <w:bCs/>
                <w:color w:val="FFFFFF"/>
                <w:sz w:val="20"/>
              </w:rPr>
            </w:pPr>
            <w:r w:rsidRPr="00F35E14">
              <w:rPr>
                <w:rFonts w:ascii="Calibri" w:hAnsi="Calibri" w:cs="Calibri"/>
                <w:b/>
                <w:bCs/>
                <w:color w:val="FFFFFF"/>
                <w:sz w:val="20"/>
              </w:rPr>
              <w:t>2018</w:t>
            </w:r>
          </w:p>
        </w:tc>
        <w:tc>
          <w:tcPr>
            <w:tcW w:w="964" w:type="dxa"/>
            <w:tcBorders>
              <w:top w:val="single" w:sz="4" w:space="0" w:color="auto"/>
              <w:left w:val="nil"/>
              <w:bottom w:val="single" w:sz="4" w:space="0" w:color="auto"/>
              <w:right w:val="single" w:sz="4" w:space="0" w:color="auto"/>
            </w:tcBorders>
            <w:shd w:val="clear" w:color="auto" w:fill="4669AF"/>
            <w:noWrap/>
            <w:vAlign w:val="center"/>
            <w:hideMark/>
          </w:tcPr>
          <w:p w14:paraId="586AE5F3" w14:textId="77777777" w:rsidR="00F35E14" w:rsidRPr="00F35E14" w:rsidRDefault="00F35E14" w:rsidP="00F35E14">
            <w:pPr>
              <w:jc w:val="center"/>
              <w:rPr>
                <w:rFonts w:ascii="Calibri" w:hAnsi="Calibri" w:cs="Calibri"/>
                <w:b/>
                <w:bCs/>
                <w:color w:val="FFFFFF"/>
                <w:sz w:val="20"/>
              </w:rPr>
            </w:pPr>
            <w:r w:rsidRPr="00F35E14">
              <w:rPr>
                <w:rFonts w:ascii="Calibri" w:hAnsi="Calibri" w:cs="Calibri"/>
                <w:b/>
                <w:bCs/>
                <w:color w:val="FFFFFF"/>
                <w:sz w:val="20"/>
              </w:rPr>
              <w:t>2019</w:t>
            </w:r>
          </w:p>
        </w:tc>
        <w:tc>
          <w:tcPr>
            <w:tcW w:w="964" w:type="dxa"/>
            <w:tcBorders>
              <w:top w:val="single" w:sz="4" w:space="0" w:color="auto"/>
              <w:left w:val="nil"/>
              <w:bottom w:val="single" w:sz="4" w:space="0" w:color="auto"/>
              <w:right w:val="single" w:sz="4" w:space="0" w:color="auto"/>
            </w:tcBorders>
            <w:shd w:val="clear" w:color="auto" w:fill="4669AF"/>
            <w:noWrap/>
            <w:vAlign w:val="center"/>
            <w:hideMark/>
          </w:tcPr>
          <w:p w14:paraId="18048FF2" w14:textId="77777777" w:rsidR="00F35E14" w:rsidRPr="00F35E14" w:rsidRDefault="00F35E14" w:rsidP="00F35E14">
            <w:pPr>
              <w:jc w:val="center"/>
              <w:rPr>
                <w:rFonts w:ascii="Calibri" w:hAnsi="Calibri" w:cs="Calibri"/>
                <w:b/>
                <w:bCs/>
                <w:color w:val="FFFFFF"/>
                <w:sz w:val="20"/>
              </w:rPr>
            </w:pPr>
            <w:r w:rsidRPr="00F35E14">
              <w:rPr>
                <w:rFonts w:ascii="Calibri" w:hAnsi="Calibri" w:cs="Calibri"/>
                <w:b/>
                <w:bCs/>
                <w:color w:val="FFFFFF"/>
                <w:sz w:val="20"/>
              </w:rPr>
              <w:t>2020</w:t>
            </w:r>
          </w:p>
        </w:tc>
        <w:tc>
          <w:tcPr>
            <w:tcW w:w="964" w:type="dxa"/>
            <w:tcBorders>
              <w:top w:val="single" w:sz="4" w:space="0" w:color="auto"/>
              <w:left w:val="nil"/>
              <w:bottom w:val="single" w:sz="4" w:space="0" w:color="auto"/>
              <w:right w:val="single" w:sz="4" w:space="0" w:color="auto"/>
            </w:tcBorders>
            <w:shd w:val="clear" w:color="auto" w:fill="4669AF"/>
            <w:noWrap/>
            <w:vAlign w:val="center"/>
            <w:hideMark/>
          </w:tcPr>
          <w:p w14:paraId="0212E347" w14:textId="77777777" w:rsidR="00F35E14" w:rsidRPr="00F35E14" w:rsidRDefault="00F35E14" w:rsidP="00F35E14">
            <w:pPr>
              <w:jc w:val="center"/>
              <w:rPr>
                <w:rFonts w:ascii="Calibri" w:hAnsi="Calibri" w:cs="Calibri"/>
                <w:b/>
                <w:bCs/>
                <w:color w:val="FFFFFF"/>
                <w:sz w:val="20"/>
              </w:rPr>
            </w:pPr>
            <w:r w:rsidRPr="00F35E14">
              <w:rPr>
                <w:rFonts w:ascii="Calibri" w:hAnsi="Calibri" w:cs="Calibri"/>
                <w:b/>
                <w:bCs/>
                <w:color w:val="FFFFFF"/>
                <w:sz w:val="20"/>
              </w:rPr>
              <w:t>2021</w:t>
            </w:r>
          </w:p>
        </w:tc>
        <w:tc>
          <w:tcPr>
            <w:tcW w:w="964" w:type="dxa"/>
            <w:tcBorders>
              <w:top w:val="single" w:sz="4" w:space="0" w:color="auto"/>
              <w:left w:val="nil"/>
              <w:bottom w:val="single" w:sz="4" w:space="0" w:color="auto"/>
              <w:right w:val="single" w:sz="4" w:space="0" w:color="auto"/>
            </w:tcBorders>
            <w:shd w:val="clear" w:color="auto" w:fill="4669AF"/>
            <w:noWrap/>
            <w:vAlign w:val="center"/>
            <w:hideMark/>
          </w:tcPr>
          <w:p w14:paraId="29A5BC4A" w14:textId="77777777" w:rsidR="00F35E14" w:rsidRPr="00F35E14" w:rsidRDefault="00F35E14" w:rsidP="00F35E14">
            <w:pPr>
              <w:jc w:val="center"/>
              <w:rPr>
                <w:rFonts w:ascii="Calibri" w:hAnsi="Calibri" w:cs="Calibri"/>
                <w:b/>
                <w:bCs/>
                <w:color w:val="FFFFFF"/>
                <w:sz w:val="20"/>
              </w:rPr>
            </w:pPr>
            <w:r w:rsidRPr="00F35E14">
              <w:rPr>
                <w:rFonts w:ascii="Calibri" w:hAnsi="Calibri" w:cs="Calibri"/>
                <w:b/>
                <w:bCs/>
                <w:color w:val="FFFFFF"/>
                <w:sz w:val="20"/>
              </w:rPr>
              <w:t>2022</w:t>
            </w:r>
          </w:p>
        </w:tc>
      </w:tr>
      <w:tr w:rsidR="00F35E14" w:rsidRPr="00F35E14" w14:paraId="17AC8699"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4EC4434B"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EU-27</w:t>
            </w:r>
          </w:p>
        </w:tc>
        <w:tc>
          <w:tcPr>
            <w:tcW w:w="964" w:type="dxa"/>
            <w:tcBorders>
              <w:top w:val="nil"/>
              <w:left w:val="nil"/>
              <w:bottom w:val="single" w:sz="4" w:space="0" w:color="auto"/>
              <w:right w:val="single" w:sz="4" w:space="0" w:color="auto"/>
            </w:tcBorders>
            <w:shd w:val="clear" w:color="auto" w:fill="auto"/>
            <w:noWrap/>
            <w:vAlign w:val="center"/>
            <w:hideMark/>
          </w:tcPr>
          <w:p w14:paraId="5A567294" w14:textId="77777777" w:rsidR="00F35E14" w:rsidRPr="004E01B4" w:rsidRDefault="00F35E14" w:rsidP="00F777B7">
            <w:pPr>
              <w:jc w:val="right"/>
              <w:rPr>
                <w:rFonts w:ascii="Calibri" w:hAnsi="Calibri" w:cs="Calibri"/>
                <w:sz w:val="20"/>
              </w:rPr>
            </w:pPr>
            <w:r w:rsidRPr="004E01B4">
              <w:rPr>
                <w:rFonts w:ascii="Calibri" w:hAnsi="Calibri" w:cs="Calibri"/>
                <w:sz w:val="20"/>
              </w:rPr>
              <w:t>104,31</w:t>
            </w:r>
          </w:p>
        </w:tc>
        <w:tc>
          <w:tcPr>
            <w:tcW w:w="964" w:type="dxa"/>
            <w:tcBorders>
              <w:top w:val="nil"/>
              <w:left w:val="nil"/>
              <w:bottom w:val="single" w:sz="4" w:space="0" w:color="auto"/>
              <w:right w:val="single" w:sz="4" w:space="0" w:color="auto"/>
            </w:tcBorders>
            <w:shd w:val="clear" w:color="auto" w:fill="auto"/>
            <w:noWrap/>
            <w:vAlign w:val="center"/>
            <w:hideMark/>
          </w:tcPr>
          <w:p w14:paraId="41768BE8" w14:textId="77777777" w:rsidR="00F35E14" w:rsidRPr="004E01B4" w:rsidRDefault="00F35E14" w:rsidP="00F777B7">
            <w:pPr>
              <w:jc w:val="right"/>
              <w:rPr>
                <w:rFonts w:ascii="Calibri" w:hAnsi="Calibri" w:cs="Calibri"/>
                <w:sz w:val="20"/>
              </w:rPr>
            </w:pPr>
            <w:r w:rsidRPr="004E01B4">
              <w:rPr>
                <w:rFonts w:ascii="Calibri" w:hAnsi="Calibri" w:cs="Calibri"/>
                <w:sz w:val="20"/>
              </w:rPr>
              <w:t>109,24</w:t>
            </w:r>
          </w:p>
        </w:tc>
        <w:tc>
          <w:tcPr>
            <w:tcW w:w="964" w:type="dxa"/>
            <w:tcBorders>
              <w:top w:val="nil"/>
              <w:left w:val="nil"/>
              <w:bottom w:val="single" w:sz="4" w:space="0" w:color="auto"/>
              <w:right w:val="single" w:sz="4" w:space="0" w:color="auto"/>
            </w:tcBorders>
            <w:shd w:val="clear" w:color="auto" w:fill="auto"/>
            <w:noWrap/>
            <w:vAlign w:val="center"/>
            <w:hideMark/>
          </w:tcPr>
          <w:p w14:paraId="7BE20B95" w14:textId="77777777" w:rsidR="00F35E14" w:rsidRPr="004E01B4" w:rsidRDefault="00F35E14" w:rsidP="00F777B7">
            <w:pPr>
              <w:jc w:val="right"/>
              <w:rPr>
                <w:rFonts w:ascii="Calibri" w:hAnsi="Calibri" w:cs="Calibri"/>
                <w:sz w:val="20"/>
              </w:rPr>
            </w:pPr>
            <w:r w:rsidRPr="004E01B4">
              <w:rPr>
                <w:rFonts w:ascii="Calibri" w:hAnsi="Calibri" w:cs="Calibri"/>
                <w:sz w:val="20"/>
              </w:rPr>
              <w:t>114,66</w:t>
            </w:r>
          </w:p>
        </w:tc>
        <w:tc>
          <w:tcPr>
            <w:tcW w:w="964" w:type="dxa"/>
            <w:tcBorders>
              <w:top w:val="nil"/>
              <w:left w:val="nil"/>
              <w:bottom w:val="single" w:sz="4" w:space="0" w:color="auto"/>
              <w:right w:val="single" w:sz="4" w:space="0" w:color="auto"/>
            </w:tcBorders>
            <w:shd w:val="clear" w:color="auto" w:fill="auto"/>
            <w:noWrap/>
            <w:vAlign w:val="center"/>
            <w:hideMark/>
          </w:tcPr>
          <w:p w14:paraId="29E35E33" w14:textId="77777777" w:rsidR="00F35E14" w:rsidRPr="004E01B4" w:rsidRDefault="00F35E14" w:rsidP="00F777B7">
            <w:pPr>
              <w:jc w:val="right"/>
              <w:rPr>
                <w:rFonts w:ascii="Calibri" w:hAnsi="Calibri" w:cs="Calibri"/>
                <w:sz w:val="20"/>
              </w:rPr>
            </w:pPr>
            <w:r w:rsidRPr="004E01B4">
              <w:rPr>
                <w:rFonts w:ascii="Calibri" w:hAnsi="Calibri" w:cs="Calibri"/>
                <w:sz w:val="20"/>
              </w:rPr>
              <w:t>120,20</w:t>
            </w:r>
          </w:p>
        </w:tc>
        <w:tc>
          <w:tcPr>
            <w:tcW w:w="964" w:type="dxa"/>
            <w:tcBorders>
              <w:top w:val="nil"/>
              <w:left w:val="nil"/>
              <w:bottom w:val="single" w:sz="4" w:space="0" w:color="auto"/>
              <w:right w:val="single" w:sz="4" w:space="0" w:color="auto"/>
            </w:tcBorders>
            <w:shd w:val="clear" w:color="auto" w:fill="auto"/>
            <w:noWrap/>
            <w:vAlign w:val="center"/>
            <w:hideMark/>
          </w:tcPr>
          <w:p w14:paraId="12A182CD" w14:textId="77777777" w:rsidR="00F35E14" w:rsidRPr="004E01B4" w:rsidRDefault="00F35E14" w:rsidP="00F777B7">
            <w:pPr>
              <w:jc w:val="right"/>
              <w:rPr>
                <w:rFonts w:ascii="Calibri" w:hAnsi="Calibri" w:cs="Calibri"/>
                <w:sz w:val="20"/>
              </w:rPr>
            </w:pPr>
            <w:r w:rsidRPr="004E01B4">
              <w:rPr>
                <w:rFonts w:ascii="Calibri" w:hAnsi="Calibri" w:cs="Calibri"/>
                <w:sz w:val="20"/>
              </w:rPr>
              <w:t>126,86</w:t>
            </w:r>
          </w:p>
        </w:tc>
        <w:tc>
          <w:tcPr>
            <w:tcW w:w="964" w:type="dxa"/>
            <w:tcBorders>
              <w:top w:val="nil"/>
              <w:left w:val="nil"/>
              <w:bottom w:val="single" w:sz="4" w:space="0" w:color="auto"/>
              <w:right w:val="single" w:sz="4" w:space="0" w:color="auto"/>
            </w:tcBorders>
            <w:shd w:val="clear" w:color="auto" w:fill="auto"/>
            <w:noWrap/>
            <w:vAlign w:val="center"/>
            <w:hideMark/>
          </w:tcPr>
          <w:p w14:paraId="5923B5C2" w14:textId="77777777" w:rsidR="00F35E14" w:rsidRPr="004E01B4" w:rsidRDefault="00F35E14" w:rsidP="00F777B7">
            <w:pPr>
              <w:jc w:val="right"/>
              <w:rPr>
                <w:rFonts w:ascii="Calibri" w:hAnsi="Calibri" w:cs="Calibri"/>
                <w:sz w:val="20"/>
              </w:rPr>
            </w:pPr>
            <w:r w:rsidRPr="004E01B4">
              <w:rPr>
                <w:rFonts w:ascii="Calibri" w:hAnsi="Calibri" w:cs="Calibri"/>
                <w:sz w:val="20"/>
              </w:rPr>
              <w:t>137,53</w:t>
            </w:r>
          </w:p>
        </w:tc>
        <w:tc>
          <w:tcPr>
            <w:tcW w:w="964" w:type="dxa"/>
            <w:tcBorders>
              <w:top w:val="nil"/>
              <w:left w:val="nil"/>
              <w:bottom w:val="single" w:sz="4" w:space="0" w:color="auto"/>
              <w:right w:val="single" w:sz="4" w:space="0" w:color="auto"/>
            </w:tcBorders>
            <w:shd w:val="clear" w:color="auto" w:fill="auto"/>
            <w:noWrap/>
            <w:vAlign w:val="center"/>
            <w:hideMark/>
          </w:tcPr>
          <w:p w14:paraId="4A00B1A9" w14:textId="77777777" w:rsidR="00F35E14" w:rsidRPr="004E01B4" w:rsidRDefault="00F35E14" w:rsidP="00F777B7">
            <w:pPr>
              <w:jc w:val="right"/>
              <w:rPr>
                <w:rFonts w:ascii="Calibri" w:hAnsi="Calibri" w:cs="Calibri"/>
                <w:sz w:val="20"/>
              </w:rPr>
            </w:pPr>
            <w:r w:rsidRPr="004E01B4">
              <w:rPr>
                <w:rFonts w:ascii="Calibri" w:hAnsi="Calibri" w:cs="Calibri"/>
                <w:sz w:val="20"/>
              </w:rPr>
              <w:t>148,10</w:t>
            </w:r>
          </w:p>
        </w:tc>
      </w:tr>
      <w:tr w:rsidR="00F35E14" w:rsidRPr="00F35E14" w14:paraId="68B54232"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50B46C21"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Belgie</w:t>
            </w:r>
          </w:p>
        </w:tc>
        <w:tc>
          <w:tcPr>
            <w:tcW w:w="964" w:type="dxa"/>
            <w:tcBorders>
              <w:top w:val="nil"/>
              <w:left w:val="nil"/>
              <w:bottom w:val="single" w:sz="4" w:space="0" w:color="auto"/>
              <w:right w:val="single" w:sz="4" w:space="0" w:color="auto"/>
            </w:tcBorders>
            <w:shd w:val="clear" w:color="auto" w:fill="auto"/>
            <w:noWrap/>
            <w:vAlign w:val="center"/>
            <w:hideMark/>
          </w:tcPr>
          <w:p w14:paraId="34A511F2" w14:textId="77777777" w:rsidR="00F35E14" w:rsidRPr="004E01B4" w:rsidRDefault="00F35E14" w:rsidP="00F777B7">
            <w:pPr>
              <w:jc w:val="right"/>
              <w:rPr>
                <w:rFonts w:ascii="Calibri" w:hAnsi="Calibri" w:cs="Calibri"/>
                <w:sz w:val="20"/>
              </w:rPr>
            </w:pPr>
            <w:r w:rsidRPr="004E01B4">
              <w:rPr>
                <w:rFonts w:ascii="Calibri" w:hAnsi="Calibri" w:cs="Calibri"/>
                <w:sz w:val="20"/>
              </w:rPr>
              <w:t>102,64</w:t>
            </w:r>
          </w:p>
        </w:tc>
        <w:tc>
          <w:tcPr>
            <w:tcW w:w="964" w:type="dxa"/>
            <w:tcBorders>
              <w:top w:val="nil"/>
              <w:left w:val="nil"/>
              <w:bottom w:val="single" w:sz="4" w:space="0" w:color="auto"/>
              <w:right w:val="single" w:sz="4" w:space="0" w:color="auto"/>
            </w:tcBorders>
            <w:shd w:val="clear" w:color="auto" w:fill="auto"/>
            <w:noWrap/>
            <w:vAlign w:val="center"/>
            <w:hideMark/>
          </w:tcPr>
          <w:p w14:paraId="3BAE303B" w14:textId="77777777" w:rsidR="00F35E14" w:rsidRPr="004E01B4" w:rsidRDefault="00F35E14" w:rsidP="00F777B7">
            <w:pPr>
              <w:jc w:val="right"/>
              <w:rPr>
                <w:rFonts w:ascii="Calibri" w:hAnsi="Calibri" w:cs="Calibri"/>
                <w:sz w:val="20"/>
              </w:rPr>
            </w:pPr>
            <w:r w:rsidRPr="004E01B4">
              <w:rPr>
                <w:rFonts w:ascii="Calibri" w:hAnsi="Calibri" w:cs="Calibri"/>
                <w:sz w:val="20"/>
              </w:rPr>
              <w:t>106,37</w:t>
            </w:r>
          </w:p>
        </w:tc>
        <w:tc>
          <w:tcPr>
            <w:tcW w:w="964" w:type="dxa"/>
            <w:tcBorders>
              <w:top w:val="nil"/>
              <w:left w:val="nil"/>
              <w:bottom w:val="single" w:sz="4" w:space="0" w:color="auto"/>
              <w:right w:val="single" w:sz="4" w:space="0" w:color="auto"/>
            </w:tcBorders>
            <w:shd w:val="clear" w:color="auto" w:fill="auto"/>
            <w:noWrap/>
            <w:vAlign w:val="center"/>
            <w:hideMark/>
          </w:tcPr>
          <w:p w14:paraId="247D0D92" w14:textId="77777777" w:rsidR="00F35E14" w:rsidRPr="004E01B4" w:rsidRDefault="00F35E14" w:rsidP="00F777B7">
            <w:pPr>
              <w:jc w:val="right"/>
              <w:rPr>
                <w:rFonts w:ascii="Calibri" w:hAnsi="Calibri" w:cs="Calibri"/>
                <w:sz w:val="20"/>
              </w:rPr>
            </w:pPr>
            <w:r w:rsidRPr="004E01B4">
              <w:rPr>
                <w:rFonts w:ascii="Calibri" w:hAnsi="Calibri" w:cs="Calibri"/>
                <w:sz w:val="20"/>
              </w:rPr>
              <w:t>109,42</w:t>
            </w:r>
          </w:p>
        </w:tc>
        <w:tc>
          <w:tcPr>
            <w:tcW w:w="964" w:type="dxa"/>
            <w:tcBorders>
              <w:top w:val="nil"/>
              <w:left w:val="nil"/>
              <w:bottom w:val="single" w:sz="4" w:space="0" w:color="auto"/>
              <w:right w:val="single" w:sz="4" w:space="0" w:color="auto"/>
            </w:tcBorders>
            <w:shd w:val="clear" w:color="auto" w:fill="auto"/>
            <w:noWrap/>
            <w:vAlign w:val="center"/>
            <w:hideMark/>
          </w:tcPr>
          <w:p w14:paraId="6C7E4E1D" w14:textId="77777777" w:rsidR="00F35E14" w:rsidRPr="004E01B4" w:rsidRDefault="00F35E14" w:rsidP="00F777B7">
            <w:pPr>
              <w:jc w:val="right"/>
              <w:rPr>
                <w:rFonts w:ascii="Calibri" w:hAnsi="Calibri" w:cs="Calibri"/>
                <w:sz w:val="20"/>
              </w:rPr>
            </w:pPr>
            <w:r w:rsidRPr="004E01B4">
              <w:rPr>
                <w:rFonts w:ascii="Calibri" w:hAnsi="Calibri" w:cs="Calibri"/>
                <w:sz w:val="20"/>
              </w:rPr>
              <w:t>113,78</w:t>
            </w:r>
          </w:p>
        </w:tc>
        <w:tc>
          <w:tcPr>
            <w:tcW w:w="964" w:type="dxa"/>
            <w:tcBorders>
              <w:top w:val="nil"/>
              <w:left w:val="nil"/>
              <w:bottom w:val="single" w:sz="4" w:space="0" w:color="auto"/>
              <w:right w:val="single" w:sz="4" w:space="0" w:color="auto"/>
            </w:tcBorders>
            <w:shd w:val="clear" w:color="auto" w:fill="auto"/>
            <w:noWrap/>
            <w:vAlign w:val="center"/>
            <w:hideMark/>
          </w:tcPr>
          <w:p w14:paraId="44879197" w14:textId="77777777" w:rsidR="00F35E14" w:rsidRPr="004E01B4" w:rsidRDefault="00F35E14" w:rsidP="00F777B7">
            <w:pPr>
              <w:jc w:val="right"/>
              <w:rPr>
                <w:rFonts w:ascii="Calibri" w:hAnsi="Calibri" w:cs="Calibri"/>
                <w:sz w:val="20"/>
              </w:rPr>
            </w:pPr>
            <w:r w:rsidRPr="004E01B4">
              <w:rPr>
                <w:rFonts w:ascii="Calibri" w:hAnsi="Calibri" w:cs="Calibri"/>
                <w:sz w:val="20"/>
              </w:rPr>
              <w:t>118,60</w:t>
            </w:r>
          </w:p>
        </w:tc>
        <w:tc>
          <w:tcPr>
            <w:tcW w:w="964" w:type="dxa"/>
            <w:tcBorders>
              <w:top w:val="nil"/>
              <w:left w:val="nil"/>
              <w:bottom w:val="single" w:sz="4" w:space="0" w:color="auto"/>
              <w:right w:val="single" w:sz="4" w:space="0" w:color="auto"/>
            </w:tcBorders>
            <w:shd w:val="clear" w:color="auto" w:fill="auto"/>
            <w:noWrap/>
            <w:vAlign w:val="center"/>
            <w:hideMark/>
          </w:tcPr>
          <w:p w14:paraId="1FE92CCB" w14:textId="77777777" w:rsidR="00F35E14" w:rsidRPr="004E01B4" w:rsidRDefault="00F35E14" w:rsidP="00F777B7">
            <w:pPr>
              <w:jc w:val="right"/>
              <w:rPr>
                <w:rFonts w:ascii="Calibri" w:hAnsi="Calibri" w:cs="Calibri"/>
                <w:sz w:val="20"/>
              </w:rPr>
            </w:pPr>
            <w:r w:rsidRPr="004E01B4">
              <w:rPr>
                <w:rFonts w:ascii="Calibri" w:hAnsi="Calibri" w:cs="Calibri"/>
                <w:sz w:val="20"/>
              </w:rPr>
              <w:t>127,06</w:t>
            </w:r>
          </w:p>
        </w:tc>
        <w:tc>
          <w:tcPr>
            <w:tcW w:w="964" w:type="dxa"/>
            <w:tcBorders>
              <w:top w:val="nil"/>
              <w:left w:val="nil"/>
              <w:bottom w:val="single" w:sz="4" w:space="0" w:color="auto"/>
              <w:right w:val="single" w:sz="4" w:space="0" w:color="auto"/>
            </w:tcBorders>
            <w:shd w:val="clear" w:color="auto" w:fill="auto"/>
            <w:noWrap/>
            <w:vAlign w:val="center"/>
            <w:hideMark/>
          </w:tcPr>
          <w:p w14:paraId="4F68208B" w14:textId="77777777" w:rsidR="00F35E14" w:rsidRPr="004E01B4" w:rsidRDefault="00F35E14" w:rsidP="00F777B7">
            <w:pPr>
              <w:jc w:val="right"/>
              <w:rPr>
                <w:rFonts w:ascii="Calibri" w:hAnsi="Calibri" w:cs="Calibri"/>
                <w:sz w:val="20"/>
              </w:rPr>
            </w:pPr>
            <w:r w:rsidRPr="004E01B4">
              <w:rPr>
                <w:rFonts w:ascii="Calibri" w:hAnsi="Calibri" w:cs="Calibri"/>
                <w:sz w:val="20"/>
              </w:rPr>
              <w:t>134,19</w:t>
            </w:r>
          </w:p>
        </w:tc>
      </w:tr>
      <w:tr w:rsidR="00F35E14" w:rsidRPr="00F35E14" w14:paraId="08433FA8"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0CB95FDE"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Bulharsko</w:t>
            </w:r>
          </w:p>
        </w:tc>
        <w:tc>
          <w:tcPr>
            <w:tcW w:w="964" w:type="dxa"/>
            <w:tcBorders>
              <w:top w:val="nil"/>
              <w:left w:val="nil"/>
              <w:bottom w:val="single" w:sz="4" w:space="0" w:color="auto"/>
              <w:right w:val="single" w:sz="4" w:space="0" w:color="auto"/>
            </w:tcBorders>
            <w:shd w:val="clear" w:color="auto" w:fill="auto"/>
            <w:noWrap/>
            <w:vAlign w:val="center"/>
            <w:hideMark/>
          </w:tcPr>
          <w:p w14:paraId="3E9F8A1C" w14:textId="77777777" w:rsidR="00F35E14" w:rsidRPr="004E01B4" w:rsidRDefault="00F35E14" w:rsidP="00F777B7">
            <w:pPr>
              <w:jc w:val="right"/>
              <w:rPr>
                <w:rFonts w:ascii="Calibri" w:hAnsi="Calibri" w:cs="Calibri"/>
                <w:sz w:val="20"/>
              </w:rPr>
            </w:pPr>
            <w:r w:rsidRPr="004E01B4">
              <w:rPr>
                <w:rFonts w:ascii="Calibri" w:hAnsi="Calibri" w:cs="Calibri"/>
                <w:sz w:val="20"/>
              </w:rPr>
              <w:t>107,02</w:t>
            </w:r>
          </w:p>
        </w:tc>
        <w:tc>
          <w:tcPr>
            <w:tcW w:w="964" w:type="dxa"/>
            <w:tcBorders>
              <w:top w:val="nil"/>
              <w:left w:val="nil"/>
              <w:bottom w:val="single" w:sz="4" w:space="0" w:color="auto"/>
              <w:right w:val="single" w:sz="4" w:space="0" w:color="auto"/>
            </w:tcBorders>
            <w:shd w:val="clear" w:color="auto" w:fill="auto"/>
            <w:noWrap/>
            <w:vAlign w:val="center"/>
            <w:hideMark/>
          </w:tcPr>
          <w:p w14:paraId="0982326F" w14:textId="77777777" w:rsidR="00F35E14" w:rsidRPr="004E01B4" w:rsidRDefault="00F35E14" w:rsidP="00F777B7">
            <w:pPr>
              <w:jc w:val="right"/>
              <w:rPr>
                <w:rFonts w:ascii="Calibri" w:hAnsi="Calibri" w:cs="Calibri"/>
                <w:sz w:val="20"/>
              </w:rPr>
            </w:pPr>
            <w:r w:rsidRPr="004E01B4">
              <w:rPr>
                <w:rFonts w:ascii="Calibri" w:hAnsi="Calibri" w:cs="Calibri"/>
                <w:sz w:val="20"/>
              </w:rPr>
              <w:t>116,30</w:t>
            </w:r>
          </w:p>
        </w:tc>
        <w:tc>
          <w:tcPr>
            <w:tcW w:w="964" w:type="dxa"/>
            <w:tcBorders>
              <w:top w:val="nil"/>
              <w:left w:val="nil"/>
              <w:bottom w:val="single" w:sz="4" w:space="0" w:color="auto"/>
              <w:right w:val="single" w:sz="4" w:space="0" w:color="auto"/>
            </w:tcBorders>
            <w:shd w:val="clear" w:color="auto" w:fill="auto"/>
            <w:noWrap/>
            <w:vAlign w:val="center"/>
            <w:hideMark/>
          </w:tcPr>
          <w:p w14:paraId="62D59321" w14:textId="77777777" w:rsidR="00F35E14" w:rsidRPr="004E01B4" w:rsidRDefault="00F35E14" w:rsidP="00F777B7">
            <w:pPr>
              <w:jc w:val="right"/>
              <w:rPr>
                <w:rFonts w:ascii="Calibri" w:hAnsi="Calibri" w:cs="Calibri"/>
                <w:sz w:val="20"/>
              </w:rPr>
            </w:pPr>
            <w:r w:rsidRPr="004E01B4">
              <w:rPr>
                <w:rFonts w:ascii="Calibri" w:hAnsi="Calibri" w:cs="Calibri"/>
                <w:sz w:val="20"/>
              </w:rPr>
              <w:t>123,96</w:t>
            </w:r>
          </w:p>
        </w:tc>
        <w:tc>
          <w:tcPr>
            <w:tcW w:w="964" w:type="dxa"/>
            <w:tcBorders>
              <w:top w:val="nil"/>
              <w:left w:val="nil"/>
              <w:bottom w:val="single" w:sz="4" w:space="0" w:color="auto"/>
              <w:right w:val="single" w:sz="4" w:space="0" w:color="auto"/>
            </w:tcBorders>
            <w:shd w:val="clear" w:color="auto" w:fill="auto"/>
            <w:noWrap/>
            <w:vAlign w:val="center"/>
            <w:hideMark/>
          </w:tcPr>
          <w:p w14:paraId="367A4BC8" w14:textId="77777777" w:rsidR="00F35E14" w:rsidRPr="004E01B4" w:rsidRDefault="00F35E14" w:rsidP="00F777B7">
            <w:pPr>
              <w:jc w:val="right"/>
              <w:rPr>
                <w:rFonts w:ascii="Calibri" w:hAnsi="Calibri" w:cs="Calibri"/>
                <w:sz w:val="20"/>
              </w:rPr>
            </w:pPr>
            <w:r w:rsidRPr="004E01B4">
              <w:rPr>
                <w:rFonts w:ascii="Calibri" w:hAnsi="Calibri" w:cs="Calibri"/>
                <w:sz w:val="20"/>
              </w:rPr>
              <w:t>131,42</w:t>
            </w:r>
          </w:p>
        </w:tc>
        <w:tc>
          <w:tcPr>
            <w:tcW w:w="964" w:type="dxa"/>
            <w:tcBorders>
              <w:top w:val="nil"/>
              <w:left w:val="nil"/>
              <w:bottom w:val="single" w:sz="4" w:space="0" w:color="auto"/>
              <w:right w:val="single" w:sz="4" w:space="0" w:color="auto"/>
            </w:tcBorders>
            <w:shd w:val="clear" w:color="auto" w:fill="auto"/>
            <w:noWrap/>
            <w:vAlign w:val="center"/>
            <w:hideMark/>
          </w:tcPr>
          <w:p w14:paraId="0CB9F5A0" w14:textId="77777777" w:rsidR="00F35E14" w:rsidRPr="004E01B4" w:rsidRDefault="00F35E14" w:rsidP="00F777B7">
            <w:pPr>
              <w:jc w:val="right"/>
              <w:rPr>
                <w:rFonts w:ascii="Calibri" w:hAnsi="Calibri" w:cs="Calibri"/>
                <w:sz w:val="20"/>
              </w:rPr>
            </w:pPr>
            <w:r w:rsidRPr="004E01B4">
              <w:rPr>
                <w:rFonts w:ascii="Calibri" w:hAnsi="Calibri" w:cs="Calibri"/>
                <w:sz w:val="20"/>
              </w:rPr>
              <w:t>137,41</w:t>
            </w:r>
          </w:p>
        </w:tc>
        <w:tc>
          <w:tcPr>
            <w:tcW w:w="964" w:type="dxa"/>
            <w:tcBorders>
              <w:top w:val="nil"/>
              <w:left w:val="nil"/>
              <w:bottom w:val="single" w:sz="4" w:space="0" w:color="auto"/>
              <w:right w:val="single" w:sz="4" w:space="0" w:color="auto"/>
            </w:tcBorders>
            <w:shd w:val="clear" w:color="auto" w:fill="auto"/>
            <w:noWrap/>
            <w:vAlign w:val="center"/>
            <w:hideMark/>
          </w:tcPr>
          <w:p w14:paraId="5510B6EB" w14:textId="77777777" w:rsidR="00F35E14" w:rsidRPr="004E01B4" w:rsidRDefault="00F35E14" w:rsidP="00F777B7">
            <w:pPr>
              <w:jc w:val="right"/>
              <w:rPr>
                <w:rFonts w:ascii="Calibri" w:hAnsi="Calibri" w:cs="Calibri"/>
                <w:sz w:val="20"/>
              </w:rPr>
            </w:pPr>
            <w:r w:rsidRPr="004E01B4">
              <w:rPr>
                <w:rFonts w:ascii="Calibri" w:hAnsi="Calibri" w:cs="Calibri"/>
                <w:sz w:val="20"/>
              </w:rPr>
              <w:t>149,33</w:t>
            </w:r>
          </w:p>
        </w:tc>
        <w:tc>
          <w:tcPr>
            <w:tcW w:w="964" w:type="dxa"/>
            <w:tcBorders>
              <w:top w:val="nil"/>
              <w:left w:val="nil"/>
              <w:bottom w:val="single" w:sz="4" w:space="0" w:color="auto"/>
              <w:right w:val="single" w:sz="4" w:space="0" w:color="auto"/>
            </w:tcBorders>
            <w:shd w:val="clear" w:color="auto" w:fill="auto"/>
            <w:noWrap/>
            <w:vAlign w:val="center"/>
            <w:hideMark/>
          </w:tcPr>
          <w:p w14:paraId="7D462D42" w14:textId="77777777" w:rsidR="00F35E14" w:rsidRPr="004E01B4" w:rsidRDefault="00F35E14" w:rsidP="00F777B7">
            <w:pPr>
              <w:jc w:val="right"/>
              <w:rPr>
                <w:rFonts w:ascii="Calibri" w:hAnsi="Calibri" w:cs="Calibri"/>
                <w:sz w:val="20"/>
              </w:rPr>
            </w:pPr>
            <w:r w:rsidRPr="004E01B4">
              <w:rPr>
                <w:rFonts w:ascii="Calibri" w:hAnsi="Calibri" w:cs="Calibri"/>
                <w:sz w:val="20"/>
              </w:rPr>
              <w:t>169,92</w:t>
            </w:r>
          </w:p>
        </w:tc>
      </w:tr>
      <w:tr w:rsidR="00F35E14" w:rsidRPr="00F35E14" w14:paraId="60A2B39B"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16EDBB1E" w14:textId="1F308C4D" w:rsidR="00F35E14" w:rsidRPr="004E01B4" w:rsidRDefault="00F35E14" w:rsidP="00F35E14">
            <w:pPr>
              <w:jc w:val="left"/>
              <w:rPr>
                <w:rFonts w:ascii="Calibri" w:hAnsi="Calibri" w:cs="Calibri"/>
                <w:b/>
                <w:bCs/>
                <w:sz w:val="20"/>
              </w:rPr>
            </w:pPr>
            <w:r w:rsidRPr="004E01B4">
              <w:rPr>
                <w:rFonts w:ascii="Calibri" w:hAnsi="Calibri" w:cs="Calibri"/>
                <w:b/>
                <w:bCs/>
                <w:sz w:val="20"/>
              </w:rPr>
              <w:t>Česk</w:t>
            </w:r>
            <w:r w:rsidR="00F777B7">
              <w:rPr>
                <w:rFonts w:ascii="Calibri" w:hAnsi="Calibri" w:cs="Calibri"/>
                <w:b/>
                <w:bCs/>
                <w:sz w:val="20"/>
              </w:rPr>
              <w:t>á republika</w:t>
            </w:r>
          </w:p>
        </w:tc>
        <w:tc>
          <w:tcPr>
            <w:tcW w:w="964" w:type="dxa"/>
            <w:tcBorders>
              <w:top w:val="nil"/>
              <w:left w:val="nil"/>
              <w:bottom w:val="single" w:sz="4" w:space="0" w:color="auto"/>
              <w:right w:val="single" w:sz="4" w:space="0" w:color="auto"/>
            </w:tcBorders>
            <w:shd w:val="clear" w:color="auto" w:fill="auto"/>
            <w:noWrap/>
            <w:vAlign w:val="center"/>
            <w:hideMark/>
          </w:tcPr>
          <w:p w14:paraId="39303262" w14:textId="77777777" w:rsidR="00F35E14" w:rsidRPr="004E01B4" w:rsidRDefault="00F35E14" w:rsidP="00F777B7">
            <w:pPr>
              <w:jc w:val="right"/>
              <w:rPr>
                <w:rFonts w:ascii="Calibri" w:hAnsi="Calibri" w:cs="Calibri"/>
                <w:b/>
                <w:bCs/>
                <w:sz w:val="20"/>
              </w:rPr>
            </w:pPr>
            <w:r w:rsidRPr="004E01B4">
              <w:rPr>
                <w:rFonts w:ascii="Calibri" w:hAnsi="Calibri" w:cs="Calibri"/>
                <w:b/>
                <w:bCs/>
                <w:sz w:val="20"/>
              </w:rPr>
              <w:t>107,20</w:t>
            </w:r>
          </w:p>
        </w:tc>
        <w:tc>
          <w:tcPr>
            <w:tcW w:w="964" w:type="dxa"/>
            <w:tcBorders>
              <w:top w:val="nil"/>
              <w:left w:val="nil"/>
              <w:bottom w:val="single" w:sz="4" w:space="0" w:color="auto"/>
              <w:right w:val="single" w:sz="4" w:space="0" w:color="auto"/>
            </w:tcBorders>
            <w:shd w:val="clear" w:color="auto" w:fill="auto"/>
            <w:noWrap/>
            <w:vAlign w:val="center"/>
            <w:hideMark/>
          </w:tcPr>
          <w:p w14:paraId="0909B432" w14:textId="77777777" w:rsidR="00F35E14" w:rsidRPr="004E01B4" w:rsidRDefault="00F35E14" w:rsidP="00F777B7">
            <w:pPr>
              <w:jc w:val="right"/>
              <w:rPr>
                <w:rFonts w:ascii="Calibri" w:hAnsi="Calibri" w:cs="Calibri"/>
                <w:b/>
                <w:bCs/>
                <w:sz w:val="20"/>
              </w:rPr>
            </w:pPr>
            <w:r w:rsidRPr="004E01B4">
              <w:rPr>
                <w:rFonts w:ascii="Calibri" w:hAnsi="Calibri" w:cs="Calibri"/>
                <w:b/>
                <w:bCs/>
                <w:sz w:val="20"/>
              </w:rPr>
              <w:t>119,70</w:t>
            </w:r>
          </w:p>
        </w:tc>
        <w:tc>
          <w:tcPr>
            <w:tcW w:w="964" w:type="dxa"/>
            <w:tcBorders>
              <w:top w:val="nil"/>
              <w:left w:val="nil"/>
              <w:bottom w:val="single" w:sz="4" w:space="0" w:color="auto"/>
              <w:right w:val="single" w:sz="4" w:space="0" w:color="auto"/>
            </w:tcBorders>
            <w:shd w:val="clear" w:color="auto" w:fill="auto"/>
            <w:noWrap/>
            <w:vAlign w:val="center"/>
            <w:hideMark/>
          </w:tcPr>
          <w:p w14:paraId="5452866E" w14:textId="77777777" w:rsidR="00F35E14" w:rsidRPr="004E01B4" w:rsidRDefault="00F35E14" w:rsidP="00F777B7">
            <w:pPr>
              <w:jc w:val="right"/>
              <w:rPr>
                <w:rFonts w:ascii="Calibri" w:hAnsi="Calibri" w:cs="Calibri"/>
                <w:b/>
                <w:bCs/>
                <w:sz w:val="20"/>
              </w:rPr>
            </w:pPr>
            <w:r w:rsidRPr="004E01B4">
              <w:rPr>
                <w:rFonts w:ascii="Calibri" w:hAnsi="Calibri" w:cs="Calibri"/>
                <w:b/>
                <w:bCs/>
                <w:sz w:val="20"/>
              </w:rPr>
              <w:t>130,00</w:t>
            </w:r>
          </w:p>
        </w:tc>
        <w:tc>
          <w:tcPr>
            <w:tcW w:w="964" w:type="dxa"/>
            <w:tcBorders>
              <w:top w:val="nil"/>
              <w:left w:val="nil"/>
              <w:bottom w:val="single" w:sz="4" w:space="0" w:color="auto"/>
              <w:right w:val="single" w:sz="4" w:space="0" w:color="auto"/>
            </w:tcBorders>
            <w:shd w:val="clear" w:color="auto" w:fill="auto"/>
            <w:noWrap/>
            <w:vAlign w:val="center"/>
            <w:hideMark/>
          </w:tcPr>
          <w:p w14:paraId="7CFC0080" w14:textId="77777777" w:rsidR="00F35E14" w:rsidRPr="004E01B4" w:rsidRDefault="00F35E14" w:rsidP="00F777B7">
            <w:pPr>
              <w:jc w:val="right"/>
              <w:rPr>
                <w:rFonts w:ascii="Calibri" w:hAnsi="Calibri" w:cs="Calibri"/>
                <w:b/>
                <w:bCs/>
                <w:sz w:val="20"/>
              </w:rPr>
            </w:pPr>
            <w:r w:rsidRPr="004E01B4">
              <w:rPr>
                <w:rFonts w:ascii="Calibri" w:hAnsi="Calibri" w:cs="Calibri"/>
                <w:b/>
                <w:bCs/>
                <w:sz w:val="20"/>
              </w:rPr>
              <w:t>141,90</w:t>
            </w:r>
          </w:p>
        </w:tc>
        <w:tc>
          <w:tcPr>
            <w:tcW w:w="964" w:type="dxa"/>
            <w:tcBorders>
              <w:top w:val="nil"/>
              <w:left w:val="nil"/>
              <w:bottom w:val="single" w:sz="4" w:space="0" w:color="auto"/>
              <w:right w:val="single" w:sz="4" w:space="0" w:color="auto"/>
            </w:tcBorders>
            <w:shd w:val="clear" w:color="auto" w:fill="auto"/>
            <w:noWrap/>
            <w:vAlign w:val="center"/>
            <w:hideMark/>
          </w:tcPr>
          <w:p w14:paraId="6AAC26D5" w14:textId="77777777" w:rsidR="00F35E14" w:rsidRPr="004E01B4" w:rsidRDefault="00F35E14" w:rsidP="00F777B7">
            <w:pPr>
              <w:jc w:val="right"/>
              <w:rPr>
                <w:rFonts w:ascii="Calibri" w:hAnsi="Calibri" w:cs="Calibri"/>
                <w:b/>
                <w:bCs/>
                <w:sz w:val="20"/>
              </w:rPr>
            </w:pPr>
            <w:r w:rsidRPr="004E01B4">
              <w:rPr>
                <w:rFonts w:ascii="Calibri" w:hAnsi="Calibri" w:cs="Calibri"/>
                <w:b/>
                <w:bCs/>
                <w:sz w:val="20"/>
              </w:rPr>
              <w:t>153,90</w:t>
            </w:r>
          </w:p>
        </w:tc>
        <w:tc>
          <w:tcPr>
            <w:tcW w:w="964" w:type="dxa"/>
            <w:tcBorders>
              <w:top w:val="nil"/>
              <w:left w:val="nil"/>
              <w:bottom w:val="single" w:sz="4" w:space="0" w:color="auto"/>
              <w:right w:val="single" w:sz="4" w:space="0" w:color="auto"/>
            </w:tcBorders>
            <w:shd w:val="clear" w:color="auto" w:fill="auto"/>
            <w:noWrap/>
            <w:vAlign w:val="center"/>
            <w:hideMark/>
          </w:tcPr>
          <w:p w14:paraId="695AAECA" w14:textId="77777777" w:rsidR="00F35E14" w:rsidRPr="004E01B4" w:rsidRDefault="00F35E14" w:rsidP="00F777B7">
            <w:pPr>
              <w:jc w:val="right"/>
              <w:rPr>
                <w:rFonts w:ascii="Calibri" w:hAnsi="Calibri" w:cs="Calibri"/>
                <w:b/>
                <w:bCs/>
                <w:sz w:val="20"/>
              </w:rPr>
            </w:pPr>
            <w:r w:rsidRPr="004E01B4">
              <w:rPr>
                <w:rFonts w:ascii="Calibri" w:hAnsi="Calibri" w:cs="Calibri"/>
                <w:b/>
                <w:bCs/>
                <w:sz w:val="20"/>
              </w:rPr>
              <w:t>184,20</w:t>
            </w:r>
          </w:p>
        </w:tc>
        <w:tc>
          <w:tcPr>
            <w:tcW w:w="964" w:type="dxa"/>
            <w:tcBorders>
              <w:top w:val="nil"/>
              <w:left w:val="nil"/>
              <w:bottom w:val="single" w:sz="4" w:space="0" w:color="auto"/>
              <w:right w:val="single" w:sz="4" w:space="0" w:color="auto"/>
            </w:tcBorders>
            <w:shd w:val="clear" w:color="auto" w:fill="auto"/>
            <w:noWrap/>
            <w:vAlign w:val="center"/>
            <w:hideMark/>
          </w:tcPr>
          <w:p w14:paraId="56F06D6C" w14:textId="77777777" w:rsidR="00F35E14" w:rsidRPr="004E01B4" w:rsidRDefault="00F35E14" w:rsidP="00F777B7">
            <w:pPr>
              <w:jc w:val="right"/>
              <w:rPr>
                <w:rFonts w:ascii="Calibri" w:hAnsi="Calibri" w:cs="Calibri"/>
                <w:b/>
                <w:bCs/>
                <w:sz w:val="20"/>
              </w:rPr>
            </w:pPr>
            <w:r w:rsidRPr="004E01B4">
              <w:rPr>
                <w:rFonts w:ascii="Calibri" w:hAnsi="Calibri" w:cs="Calibri"/>
                <w:b/>
                <w:bCs/>
                <w:sz w:val="20"/>
              </w:rPr>
              <w:t>215,30</w:t>
            </w:r>
          </w:p>
        </w:tc>
      </w:tr>
      <w:tr w:rsidR="00F35E14" w:rsidRPr="00F35E14" w14:paraId="63031117"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5CD1264F"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Dánsko</w:t>
            </w:r>
          </w:p>
        </w:tc>
        <w:tc>
          <w:tcPr>
            <w:tcW w:w="964" w:type="dxa"/>
            <w:tcBorders>
              <w:top w:val="nil"/>
              <w:left w:val="nil"/>
              <w:bottom w:val="single" w:sz="4" w:space="0" w:color="auto"/>
              <w:right w:val="single" w:sz="4" w:space="0" w:color="auto"/>
            </w:tcBorders>
            <w:shd w:val="clear" w:color="auto" w:fill="auto"/>
            <w:noWrap/>
            <w:vAlign w:val="center"/>
            <w:hideMark/>
          </w:tcPr>
          <w:p w14:paraId="5EB79F35" w14:textId="77777777" w:rsidR="00F35E14" w:rsidRPr="004E01B4" w:rsidRDefault="00F35E14" w:rsidP="00F777B7">
            <w:pPr>
              <w:jc w:val="right"/>
              <w:rPr>
                <w:rFonts w:ascii="Calibri" w:hAnsi="Calibri" w:cs="Calibri"/>
                <w:sz w:val="20"/>
              </w:rPr>
            </w:pPr>
            <w:r w:rsidRPr="004E01B4">
              <w:rPr>
                <w:rFonts w:ascii="Calibri" w:hAnsi="Calibri" w:cs="Calibri"/>
                <w:sz w:val="20"/>
              </w:rPr>
              <w:t>105,22</w:t>
            </w:r>
          </w:p>
        </w:tc>
        <w:tc>
          <w:tcPr>
            <w:tcW w:w="964" w:type="dxa"/>
            <w:tcBorders>
              <w:top w:val="nil"/>
              <w:left w:val="nil"/>
              <w:bottom w:val="single" w:sz="4" w:space="0" w:color="auto"/>
              <w:right w:val="single" w:sz="4" w:space="0" w:color="auto"/>
            </w:tcBorders>
            <w:shd w:val="clear" w:color="auto" w:fill="auto"/>
            <w:noWrap/>
            <w:vAlign w:val="center"/>
            <w:hideMark/>
          </w:tcPr>
          <w:p w14:paraId="45638D6B" w14:textId="77777777" w:rsidR="00F35E14" w:rsidRPr="004E01B4" w:rsidRDefault="00F35E14" w:rsidP="00F777B7">
            <w:pPr>
              <w:jc w:val="right"/>
              <w:rPr>
                <w:rFonts w:ascii="Calibri" w:hAnsi="Calibri" w:cs="Calibri"/>
                <w:sz w:val="20"/>
              </w:rPr>
            </w:pPr>
            <w:r w:rsidRPr="004E01B4">
              <w:rPr>
                <w:rFonts w:ascii="Calibri" w:hAnsi="Calibri" w:cs="Calibri"/>
                <w:sz w:val="20"/>
              </w:rPr>
              <w:t>110,00</w:t>
            </w:r>
          </w:p>
        </w:tc>
        <w:tc>
          <w:tcPr>
            <w:tcW w:w="964" w:type="dxa"/>
            <w:tcBorders>
              <w:top w:val="nil"/>
              <w:left w:val="nil"/>
              <w:bottom w:val="single" w:sz="4" w:space="0" w:color="auto"/>
              <w:right w:val="single" w:sz="4" w:space="0" w:color="auto"/>
            </w:tcBorders>
            <w:shd w:val="clear" w:color="auto" w:fill="auto"/>
            <w:noWrap/>
            <w:vAlign w:val="center"/>
            <w:hideMark/>
          </w:tcPr>
          <w:p w14:paraId="1735218F" w14:textId="77777777" w:rsidR="00F35E14" w:rsidRPr="004E01B4" w:rsidRDefault="00F35E14" w:rsidP="00F777B7">
            <w:pPr>
              <w:jc w:val="right"/>
              <w:rPr>
                <w:rFonts w:ascii="Calibri" w:hAnsi="Calibri" w:cs="Calibri"/>
                <w:sz w:val="20"/>
              </w:rPr>
            </w:pPr>
            <w:r w:rsidRPr="004E01B4">
              <w:rPr>
                <w:rFonts w:ascii="Calibri" w:hAnsi="Calibri" w:cs="Calibri"/>
                <w:sz w:val="20"/>
              </w:rPr>
              <w:t>114,81</w:t>
            </w:r>
          </w:p>
        </w:tc>
        <w:tc>
          <w:tcPr>
            <w:tcW w:w="964" w:type="dxa"/>
            <w:tcBorders>
              <w:top w:val="nil"/>
              <w:left w:val="nil"/>
              <w:bottom w:val="single" w:sz="4" w:space="0" w:color="auto"/>
              <w:right w:val="single" w:sz="4" w:space="0" w:color="auto"/>
            </w:tcBorders>
            <w:shd w:val="clear" w:color="auto" w:fill="auto"/>
            <w:noWrap/>
            <w:vAlign w:val="center"/>
            <w:hideMark/>
          </w:tcPr>
          <w:p w14:paraId="6C551CB3" w14:textId="77777777" w:rsidR="00F35E14" w:rsidRPr="004E01B4" w:rsidRDefault="00F35E14" w:rsidP="00F777B7">
            <w:pPr>
              <w:jc w:val="right"/>
              <w:rPr>
                <w:rFonts w:ascii="Calibri" w:hAnsi="Calibri" w:cs="Calibri"/>
                <w:sz w:val="20"/>
              </w:rPr>
            </w:pPr>
            <w:r w:rsidRPr="004E01B4">
              <w:rPr>
                <w:rFonts w:ascii="Calibri" w:hAnsi="Calibri" w:cs="Calibri"/>
                <w:sz w:val="20"/>
              </w:rPr>
              <w:t>117,51</w:t>
            </w:r>
          </w:p>
        </w:tc>
        <w:tc>
          <w:tcPr>
            <w:tcW w:w="964" w:type="dxa"/>
            <w:tcBorders>
              <w:top w:val="nil"/>
              <w:left w:val="nil"/>
              <w:bottom w:val="single" w:sz="4" w:space="0" w:color="auto"/>
              <w:right w:val="single" w:sz="4" w:space="0" w:color="auto"/>
            </w:tcBorders>
            <w:shd w:val="clear" w:color="auto" w:fill="auto"/>
            <w:noWrap/>
            <w:vAlign w:val="center"/>
            <w:hideMark/>
          </w:tcPr>
          <w:p w14:paraId="183AF03F" w14:textId="77777777" w:rsidR="00F35E14" w:rsidRPr="004E01B4" w:rsidRDefault="00F35E14" w:rsidP="00F777B7">
            <w:pPr>
              <w:jc w:val="right"/>
              <w:rPr>
                <w:rFonts w:ascii="Calibri" w:hAnsi="Calibri" w:cs="Calibri"/>
                <w:sz w:val="20"/>
              </w:rPr>
            </w:pPr>
            <w:r w:rsidRPr="004E01B4">
              <w:rPr>
                <w:rFonts w:ascii="Calibri" w:hAnsi="Calibri" w:cs="Calibri"/>
                <w:sz w:val="20"/>
              </w:rPr>
              <w:t>123,48</w:t>
            </w:r>
          </w:p>
        </w:tc>
        <w:tc>
          <w:tcPr>
            <w:tcW w:w="964" w:type="dxa"/>
            <w:tcBorders>
              <w:top w:val="nil"/>
              <w:left w:val="nil"/>
              <w:bottom w:val="single" w:sz="4" w:space="0" w:color="auto"/>
              <w:right w:val="single" w:sz="4" w:space="0" w:color="auto"/>
            </w:tcBorders>
            <w:shd w:val="clear" w:color="auto" w:fill="auto"/>
            <w:noWrap/>
            <w:vAlign w:val="center"/>
            <w:hideMark/>
          </w:tcPr>
          <w:p w14:paraId="281F660C" w14:textId="77777777" w:rsidR="00F35E14" w:rsidRPr="004E01B4" w:rsidRDefault="00F35E14" w:rsidP="00F777B7">
            <w:pPr>
              <w:jc w:val="right"/>
              <w:rPr>
                <w:rFonts w:ascii="Calibri" w:hAnsi="Calibri" w:cs="Calibri"/>
                <w:sz w:val="20"/>
              </w:rPr>
            </w:pPr>
            <w:r w:rsidRPr="004E01B4">
              <w:rPr>
                <w:rFonts w:ascii="Calibri" w:hAnsi="Calibri" w:cs="Calibri"/>
                <w:sz w:val="20"/>
              </w:rPr>
              <w:t>137,98</w:t>
            </w:r>
          </w:p>
        </w:tc>
        <w:tc>
          <w:tcPr>
            <w:tcW w:w="964" w:type="dxa"/>
            <w:tcBorders>
              <w:top w:val="nil"/>
              <w:left w:val="nil"/>
              <w:bottom w:val="single" w:sz="4" w:space="0" w:color="auto"/>
              <w:right w:val="single" w:sz="4" w:space="0" w:color="auto"/>
            </w:tcBorders>
            <w:shd w:val="clear" w:color="auto" w:fill="auto"/>
            <w:noWrap/>
            <w:vAlign w:val="center"/>
            <w:hideMark/>
          </w:tcPr>
          <w:p w14:paraId="579AA6EF" w14:textId="77777777" w:rsidR="00F35E14" w:rsidRPr="004E01B4" w:rsidRDefault="00F35E14" w:rsidP="00F777B7">
            <w:pPr>
              <w:jc w:val="right"/>
              <w:rPr>
                <w:rFonts w:ascii="Calibri" w:hAnsi="Calibri" w:cs="Calibri"/>
                <w:sz w:val="20"/>
              </w:rPr>
            </w:pPr>
            <w:r w:rsidRPr="004E01B4">
              <w:rPr>
                <w:rFonts w:ascii="Calibri" w:hAnsi="Calibri" w:cs="Calibri"/>
                <w:sz w:val="20"/>
              </w:rPr>
              <w:t>137,33</w:t>
            </w:r>
          </w:p>
        </w:tc>
      </w:tr>
      <w:tr w:rsidR="00F35E14" w:rsidRPr="00F35E14" w14:paraId="7CEB12AA"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07B37946"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Německo</w:t>
            </w:r>
          </w:p>
        </w:tc>
        <w:tc>
          <w:tcPr>
            <w:tcW w:w="964" w:type="dxa"/>
            <w:tcBorders>
              <w:top w:val="nil"/>
              <w:left w:val="nil"/>
              <w:bottom w:val="single" w:sz="4" w:space="0" w:color="auto"/>
              <w:right w:val="single" w:sz="4" w:space="0" w:color="auto"/>
            </w:tcBorders>
            <w:shd w:val="clear" w:color="auto" w:fill="auto"/>
            <w:noWrap/>
            <w:vAlign w:val="center"/>
            <w:hideMark/>
          </w:tcPr>
          <w:p w14:paraId="0B4024B6" w14:textId="77777777" w:rsidR="00F35E14" w:rsidRPr="004E01B4" w:rsidRDefault="00F35E14" w:rsidP="00F777B7">
            <w:pPr>
              <w:jc w:val="right"/>
              <w:rPr>
                <w:rFonts w:ascii="Calibri" w:hAnsi="Calibri" w:cs="Calibri"/>
                <w:sz w:val="20"/>
              </w:rPr>
            </w:pPr>
            <w:r w:rsidRPr="004E01B4">
              <w:rPr>
                <w:rFonts w:ascii="Calibri" w:hAnsi="Calibri" w:cs="Calibri"/>
                <w:sz w:val="20"/>
              </w:rPr>
              <w:t>107,50</w:t>
            </w:r>
          </w:p>
        </w:tc>
        <w:tc>
          <w:tcPr>
            <w:tcW w:w="964" w:type="dxa"/>
            <w:tcBorders>
              <w:top w:val="nil"/>
              <w:left w:val="nil"/>
              <w:bottom w:val="single" w:sz="4" w:space="0" w:color="auto"/>
              <w:right w:val="single" w:sz="4" w:space="0" w:color="auto"/>
            </w:tcBorders>
            <w:shd w:val="clear" w:color="auto" w:fill="auto"/>
            <w:noWrap/>
            <w:vAlign w:val="center"/>
            <w:hideMark/>
          </w:tcPr>
          <w:p w14:paraId="36CD0906" w14:textId="77777777" w:rsidR="00F35E14" w:rsidRPr="004E01B4" w:rsidRDefault="00F35E14" w:rsidP="00F777B7">
            <w:pPr>
              <w:jc w:val="right"/>
              <w:rPr>
                <w:rFonts w:ascii="Calibri" w:hAnsi="Calibri" w:cs="Calibri"/>
                <w:sz w:val="20"/>
              </w:rPr>
            </w:pPr>
            <w:r w:rsidRPr="004E01B4">
              <w:rPr>
                <w:rFonts w:ascii="Calibri" w:hAnsi="Calibri" w:cs="Calibri"/>
                <w:sz w:val="20"/>
              </w:rPr>
              <w:t>114,10</w:t>
            </w:r>
          </w:p>
        </w:tc>
        <w:tc>
          <w:tcPr>
            <w:tcW w:w="964" w:type="dxa"/>
            <w:tcBorders>
              <w:top w:val="nil"/>
              <w:left w:val="nil"/>
              <w:bottom w:val="single" w:sz="4" w:space="0" w:color="auto"/>
              <w:right w:val="single" w:sz="4" w:space="0" w:color="auto"/>
            </w:tcBorders>
            <w:shd w:val="clear" w:color="auto" w:fill="auto"/>
            <w:noWrap/>
            <w:vAlign w:val="center"/>
            <w:hideMark/>
          </w:tcPr>
          <w:p w14:paraId="72DFF9C7" w14:textId="77777777" w:rsidR="00F35E14" w:rsidRPr="004E01B4" w:rsidRDefault="00F35E14" w:rsidP="00F777B7">
            <w:pPr>
              <w:jc w:val="right"/>
              <w:rPr>
                <w:rFonts w:ascii="Calibri" w:hAnsi="Calibri" w:cs="Calibri"/>
                <w:sz w:val="20"/>
              </w:rPr>
            </w:pPr>
            <w:r w:rsidRPr="004E01B4">
              <w:rPr>
                <w:rFonts w:ascii="Calibri" w:hAnsi="Calibri" w:cs="Calibri"/>
                <w:sz w:val="20"/>
              </w:rPr>
              <w:t>121,70</w:t>
            </w:r>
          </w:p>
        </w:tc>
        <w:tc>
          <w:tcPr>
            <w:tcW w:w="964" w:type="dxa"/>
            <w:tcBorders>
              <w:top w:val="nil"/>
              <w:left w:val="nil"/>
              <w:bottom w:val="single" w:sz="4" w:space="0" w:color="auto"/>
              <w:right w:val="single" w:sz="4" w:space="0" w:color="auto"/>
            </w:tcBorders>
            <w:shd w:val="clear" w:color="auto" w:fill="auto"/>
            <w:noWrap/>
            <w:vAlign w:val="center"/>
            <w:hideMark/>
          </w:tcPr>
          <w:p w14:paraId="157E35E4" w14:textId="77777777" w:rsidR="00F35E14" w:rsidRPr="004E01B4" w:rsidRDefault="00F35E14" w:rsidP="00F777B7">
            <w:pPr>
              <w:jc w:val="right"/>
              <w:rPr>
                <w:rFonts w:ascii="Calibri" w:hAnsi="Calibri" w:cs="Calibri"/>
                <w:sz w:val="20"/>
              </w:rPr>
            </w:pPr>
            <w:r w:rsidRPr="004E01B4">
              <w:rPr>
                <w:rFonts w:ascii="Calibri" w:hAnsi="Calibri" w:cs="Calibri"/>
                <w:sz w:val="20"/>
              </w:rPr>
              <w:t>128,70</w:t>
            </w:r>
          </w:p>
        </w:tc>
        <w:tc>
          <w:tcPr>
            <w:tcW w:w="964" w:type="dxa"/>
            <w:tcBorders>
              <w:top w:val="nil"/>
              <w:left w:val="nil"/>
              <w:bottom w:val="single" w:sz="4" w:space="0" w:color="auto"/>
              <w:right w:val="single" w:sz="4" w:space="0" w:color="auto"/>
            </w:tcBorders>
            <w:shd w:val="clear" w:color="auto" w:fill="auto"/>
            <w:noWrap/>
            <w:vAlign w:val="center"/>
            <w:hideMark/>
          </w:tcPr>
          <w:p w14:paraId="25E62334" w14:textId="77777777" w:rsidR="00F35E14" w:rsidRPr="004E01B4" w:rsidRDefault="00F35E14" w:rsidP="00F777B7">
            <w:pPr>
              <w:jc w:val="right"/>
              <w:rPr>
                <w:rFonts w:ascii="Calibri" w:hAnsi="Calibri" w:cs="Calibri"/>
                <w:sz w:val="20"/>
              </w:rPr>
            </w:pPr>
            <w:r w:rsidRPr="004E01B4">
              <w:rPr>
                <w:rFonts w:ascii="Calibri" w:hAnsi="Calibri" w:cs="Calibri"/>
                <w:sz w:val="20"/>
              </w:rPr>
              <w:t>138,70</w:t>
            </w:r>
          </w:p>
        </w:tc>
        <w:tc>
          <w:tcPr>
            <w:tcW w:w="964" w:type="dxa"/>
            <w:tcBorders>
              <w:top w:val="nil"/>
              <w:left w:val="nil"/>
              <w:bottom w:val="single" w:sz="4" w:space="0" w:color="auto"/>
              <w:right w:val="single" w:sz="4" w:space="0" w:color="auto"/>
            </w:tcBorders>
            <w:shd w:val="clear" w:color="auto" w:fill="auto"/>
            <w:noWrap/>
            <w:vAlign w:val="center"/>
            <w:hideMark/>
          </w:tcPr>
          <w:p w14:paraId="08E13E49" w14:textId="77777777" w:rsidR="00F35E14" w:rsidRPr="004E01B4" w:rsidRDefault="00F35E14" w:rsidP="00F777B7">
            <w:pPr>
              <w:jc w:val="right"/>
              <w:rPr>
                <w:rFonts w:ascii="Calibri" w:hAnsi="Calibri" w:cs="Calibri"/>
                <w:sz w:val="20"/>
              </w:rPr>
            </w:pPr>
            <w:r w:rsidRPr="004E01B4">
              <w:rPr>
                <w:rFonts w:ascii="Calibri" w:hAnsi="Calibri" w:cs="Calibri"/>
                <w:sz w:val="20"/>
              </w:rPr>
              <w:t>154,70</w:t>
            </w:r>
          </w:p>
        </w:tc>
        <w:tc>
          <w:tcPr>
            <w:tcW w:w="964" w:type="dxa"/>
            <w:tcBorders>
              <w:top w:val="nil"/>
              <w:left w:val="nil"/>
              <w:bottom w:val="single" w:sz="4" w:space="0" w:color="auto"/>
              <w:right w:val="single" w:sz="4" w:space="0" w:color="auto"/>
            </w:tcBorders>
            <w:shd w:val="clear" w:color="auto" w:fill="auto"/>
            <w:noWrap/>
            <w:vAlign w:val="center"/>
            <w:hideMark/>
          </w:tcPr>
          <w:p w14:paraId="441F396E" w14:textId="77777777" w:rsidR="00F35E14" w:rsidRPr="004E01B4" w:rsidRDefault="00F35E14" w:rsidP="00F777B7">
            <w:pPr>
              <w:jc w:val="right"/>
              <w:rPr>
                <w:rFonts w:ascii="Calibri" w:hAnsi="Calibri" w:cs="Calibri"/>
                <w:sz w:val="20"/>
              </w:rPr>
            </w:pPr>
            <w:r w:rsidRPr="004E01B4">
              <w:rPr>
                <w:rFonts w:ascii="Calibri" w:hAnsi="Calibri" w:cs="Calibri"/>
                <w:sz w:val="20"/>
              </w:rPr>
              <w:t>162,90</w:t>
            </w:r>
          </w:p>
        </w:tc>
      </w:tr>
      <w:tr w:rsidR="00F35E14" w:rsidRPr="00F35E14" w14:paraId="7111DDB0"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6137FE90"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Estonsko</w:t>
            </w:r>
          </w:p>
        </w:tc>
        <w:tc>
          <w:tcPr>
            <w:tcW w:w="964" w:type="dxa"/>
            <w:tcBorders>
              <w:top w:val="nil"/>
              <w:left w:val="nil"/>
              <w:bottom w:val="single" w:sz="4" w:space="0" w:color="auto"/>
              <w:right w:val="single" w:sz="4" w:space="0" w:color="auto"/>
            </w:tcBorders>
            <w:shd w:val="clear" w:color="auto" w:fill="auto"/>
            <w:noWrap/>
            <w:vAlign w:val="center"/>
            <w:hideMark/>
          </w:tcPr>
          <w:p w14:paraId="3C2DCF6D" w14:textId="77777777" w:rsidR="00F35E14" w:rsidRPr="004E01B4" w:rsidRDefault="00F35E14" w:rsidP="00F777B7">
            <w:pPr>
              <w:jc w:val="right"/>
              <w:rPr>
                <w:rFonts w:ascii="Calibri" w:hAnsi="Calibri" w:cs="Calibri"/>
                <w:sz w:val="20"/>
              </w:rPr>
            </w:pPr>
            <w:r w:rsidRPr="004E01B4">
              <w:rPr>
                <w:rFonts w:ascii="Calibri" w:hAnsi="Calibri" w:cs="Calibri"/>
                <w:sz w:val="20"/>
              </w:rPr>
              <w:t>104,75</w:t>
            </w:r>
          </w:p>
        </w:tc>
        <w:tc>
          <w:tcPr>
            <w:tcW w:w="964" w:type="dxa"/>
            <w:tcBorders>
              <w:top w:val="nil"/>
              <w:left w:val="nil"/>
              <w:bottom w:val="single" w:sz="4" w:space="0" w:color="auto"/>
              <w:right w:val="single" w:sz="4" w:space="0" w:color="auto"/>
            </w:tcBorders>
            <w:shd w:val="clear" w:color="auto" w:fill="auto"/>
            <w:noWrap/>
            <w:vAlign w:val="center"/>
            <w:hideMark/>
          </w:tcPr>
          <w:p w14:paraId="447B5EC4" w14:textId="77777777" w:rsidR="00F35E14" w:rsidRPr="004E01B4" w:rsidRDefault="00F35E14" w:rsidP="00F777B7">
            <w:pPr>
              <w:jc w:val="right"/>
              <w:rPr>
                <w:rFonts w:ascii="Calibri" w:hAnsi="Calibri" w:cs="Calibri"/>
                <w:sz w:val="20"/>
              </w:rPr>
            </w:pPr>
            <w:r w:rsidRPr="004E01B4">
              <w:rPr>
                <w:rFonts w:ascii="Calibri" w:hAnsi="Calibri" w:cs="Calibri"/>
                <w:sz w:val="20"/>
              </w:rPr>
              <w:t>110,51</w:t>
            </w:r>
          </w:p>
        </w:tc>
        <w:tc>
          <w:tcPr>
            <w:tcW w:w="964" w:type="dxa"/>
            <w:tcBorders>
              <w:top w:val="nil"/>
              <w:left w:val="nil"/>
              <w:bottom w:val="single" w:sz="4" w:space="0" w:color="auto"/>
              <w:right w:val="single" w:sz="4" w:space="0" w:color="auto"/>
            </w:tcBorders>
            <w:shd w:val="clear" w:color="auto" w:fill="auto"/>
            <w:noWrap/>
            <w:vAlign w:val="center"/>
            <w:hideMark/>
          </w:tcPr>
          <w:p w14:paraId="4BEF5AB2" w14:textId="77777777" w:rsidR="00F35E14" w:rsidRPr="004E01B4" w:rsidRDefault="00F35E14" w:rsidP="00F777B7">
            <w:pPr>
              <w:jc w:val="right"/>
              <w:rPr>
                <w:rFonts w:ascii="Calibri" w:hAnsi="Calibri" w:cs="Calibri"/>
                <w:sz w:val="20"/>
              </w:rPr>
            </w:pPr>
            <w:r w:rsidRPr="004E01B4">
              <w:rPr>
                <w:rFonts w:ascii="Calibri" w:hAnsi="Calibri" w:cs="Calibri"/>
                <w:sz w:val="20"/>
              </w:rPr>
              <w:t>117,07</w:t>
            </w:r>
          </w:p>
        </w:tc>
        <w:tc>
          <w:tcPr>
            <w:tcW w:w="964" w:type="dxa"/>
            <w:tcBorders>
              <w:top w:val="nil"/>
              <w:left w:val="nil"/>
              <w:bottom w:val="single" w:sz="4" w:space="0" w:color="auto"/>
              <w:right w:val="single" w:sz="4" w:space="0" w:color="auto"/>
            </w:tcBorders>
            <w:shd w:val="clear" w:color="auto" w:fill="auto"/>
            <w:noWrap/>
            <w:vAlign w:val="center"/>
            <w:hideMark/>
          </w:tcPr>
          <w:p w14:paraId="3877422B" w14:textId="77777777" w:rsidR="00F35E14" w:rsidRPr="004E01B4" w:rsidRDefault="00F35E14" w:rsidP="00F777B7">
            <w:pPr>
              <w:jc w:val="right"/>
              <w:rPr>
                <w:rFonts w:ascii="Calibri" w:hAnsi="Calibri" w:cs="Calibri"/>
                <w:sz w:val="20"/>
              </w:rPr>
            </w:pPr>
            <w:r w:rsidRPr="004E01B4">
              <w:rPr>
                <w:rFonts w:ascii="Calibri" w:hAnsi="Calibri" w:cs="Calibri"/>
                <w:sz w:val="20"/>
              </w:rPr>
              <w:t>125,27</w:t>
            </w:r>
          </w:p>
        </w:tc>
        <w:tc>
          <w:tcPr>
            <w:tcW w:w="964" w:type="dxa"/>
            <w:tcBorders>
              <w:top w:val="nil"/>
              <w:left w:val="nil"/>
              <w:bottom w:val="single" w:sz="4" w:space="0" w:color="auto"/>
              <w:right w:val="single" w:sz="4" w:space="0" w:color="auto"/>
            </w:tcBorders>
            <w:shd w:val="clear" w:color="auto" w:fill="auto"/>
            <w:noWrap/>
            <w:vAlign w:val="center"/>
            <w:hideMark/>
          </w:tcPr>
          <w:p w14:paraId="52324DDA" w14:textId="77777777" w:rsidR="00F35E14" w:rsidRPr="004E01B4" w:rsidRDefault="00F35E14" w:rsidP="00F777B7">
            <w:pPr>
              <w:jc w:val="right"/>
              <w:rPr>
                <w:rFonts w:ascii="Calibri" w:hAnsi="Calibri" w:cs="Calibri"/>
                <w:sz w:val="20"/>
              </w:rPr>
            </w:pPr>
            <w:r w:rsidRPr="004E01B4">
              <w:rPr>
                <w:rFonts w:ascii="Calibri" w:hAnsi="Calibri" w:cs="Calibri"/>
                <w:sz w:val="20"/>
              </w:rPr>
              <w:t>132,79</w:t>
            </w:r>
          </w:p>
        </w:tc>
        <w:tc>
          <w:tcPr>
            <w:tcW w:w="964" w:type="dxa"/>
            <w:tcBorders>
              <w:top w:val="nil"/>
              <w:left w:val="nil"/>
              <w:bottom w:val="single" w:sz="4" w:space="0" w:color="auto"/>
              <w:right w:val="single" w:sz="4" w:space="0" w:color="auto"/>
            </w:tcBorders>
            <w:shd w:val="clear" w:color="auto" w:fill="auto"/>
            <w:noWrap/>
            <w:vAlign w:val="center"/>
            <w:hideMark/>
          </w:tcPr>
          <w:p w14:paraId="6EE1830D" w14:textId="77777777" w:rsidR="00F35E14" w:rsidRPr="004E01B4" w:rsidRDefault="00F35E14" w:rsidP="00F777B7">
            <w:pPr>
              <w:jc w:val="right"/>
              <w:rPr>
                <w:rFonts w:ascii="Calibri" w:hAnsi="Calibri" w:cs="Calibri"/>
                <w:sz w:val="20"/>
              </w:rPr>
            </w:pPr>
            <w:r w:rsidRPr="004E01B4">
              <w:rPr>
                <w:rFonts w:ascii="Calibri" w:hAnsi="Calibri" w:cs="Calibri"/>
                <w:sz w:val="20"/>
              </w:rPr>
              <w:t>152,78</w:t>
            </w:r>
          </w:p>
        </w:tc>
        <w:tc>
          <w:tcPr>
            <w:tcW w:w="964" w:type="dxa"/>
            <w:tcBorders>
              <w:top w:val="nil"/>
              <w:left w:val="nil"/>
              <w:bottom w:val="single" w:sz="4" w:space="0" w:color="auto"/>
              <w:right w:val="single" w:sz="4" w:space="0" w:color="auto"/>
            </w:tcBorders>
            <w:shd w:val="clear" w:color="auto" w:fill="auto"/>
            <w:noWrap/>
            <w:vAlign w:val="center"/>
            <w:hideMark/>
          </w:tcPr>
          <w:p w14:paraId="5C6D8846" w14:textId="77777777" w:rsidR="00F35E14" w:rsidRPr="004E01B4" w:rsidRDefault="00F35E14" w:rsidP="00F777B7">
            <w:pPr>
              <w:jc w:val="right"/>
              <w:rPr>
                <w:rFonts w:ascii="Calibri" w:hAnsi="Calibri" w:cs="Calibri"/>
                <w:sz w:val="20"/>
              </w:rPr>
            </w:pPr>
            <w:r w:rsidRPr="004E01B4">
              <w:rPr>
                <w:rFonts w:ascii="Calibri" w:hAnsi="Calibri" w:cs="Calibri"/>
                <w:sz w:val="20"/>
              </w:rPr>
              <w:t>186,76</w:t>
            </w:r>
          </w:p>
        </w:tc>
      </w:tr>
      <w:tr w:rsidR="00F35E14" w:rsidRPr="00F35E14" w14:paraId="42ED6446"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5572973B"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Irsko</w:t>
            </w:r>
          </w:p>
        </w:tc>
        <w:tc>
          <w:tcPr>
            <w:tcW w:w="964" w:type="dxa"/>
            <w:tcBorders>
              <w:top w:val="nil"/>
              <w:left w:val="nil"/>
              <w:bottom w:val="single" w:sz="4" w:space="0" w:color="auto"/>
              <w:right w:val="single" w:sz="4" w:space="0" w:color="auto"/>
            </w:tcBorders>
            <w:shd w:val="clear" w:color="auto" w:fill="auto"/>
            <w:noWrap/>
            <w:vAlign w:val="center"/>
            <w:hideMark/>
          </w:tcPr>
          <w:p w14:paraId="28209AA9" w14:textId="77777777" w:rsidR="00F35E14" w:rsidRPr="004E01B4" w:rsidRDefault="00F35E14" w:rsidP="00F777B7">
            <w:pPr>
              <w:jc w:val="right"/>
              <w:rPr>
                <w:rFonts w:ascii="Calibri" w:hAnsi="Calibri" w:cs="Calibri"/>
                <w:sz w:val="20"/>
              </w:rPr>
            </w:pPr>
            <w:r w:rsidRPr="004E01B4">
              <w:rPr>
                <w:rFonts w:ascii="Calibri" w:hAnsi="Calibri" w:cs="Calibri"/>
                <w:sz w:val="20"/>
              </w:rPr>
              <w:t>107,46</w:t>
            </w:r>
          </w:p>
        </w:tc>
        <w:tc>
          <w:tcPr>
            <w:tcW w:w="964" w:type="dxa"/>
            <w:tcBorders>
              <w:top w:val="nil"/>
              <w:left w:val="nil"/>
              <w:bottom w:val="single" w:sz="4" w:space="0" w:color="auto"/>
              <w:right w:val="single" w:sz="4" w:space="0" w:color="auto"/>
            </w:tcBorders>
            <w:shd w:val="clear" w:color="auto" w:fill="auto"/>
            <w:noWrap/>
            <w:vAlign w:val="center"/>
            <w:hideMark/>
          </w:tcPr>
          <w:p w14:paraId="05DA1246" w14:textId="77777777" w:rsidR="00F35E14" w:rsidRPr="004E01B4" w:rsidRDefault="00F35E14" w:rsidP="00F777B7">
            <w:pPr>
              <w:jc w:val="right"/>
              <w:rPr>
                <w:rFonts w:ascii="Calibri" w:hAnsi="Calibri" w:cs="Calibri"/>
                <w:sz w:val="20"/>
              </w:rPr>
            </w:pPr>
            <w:r w:rsidRPr="004E01B4">
              <w:rPr>
                <w:rFonts w:ascii="Calibri" w:hAnsi="Calibri" w:cs="Calibri"/>
                <w:sz w:val="20"/>
              </w:rPr>
              <w:t>119,14</w:t>
            </w:r>
          </w:p>
        </w:tc>
        <w:tc>
          <w:tcPr>
            <w:tcW w:w="964" w:type="dxa"/>
            <w:tcBorders>
              <w:top w:val="nil"/>
              <w:left w:val="nil"/>
              <w:bottom w:val="single" w:sz="4" w:space="0" w:color="auto"/>
              <w:right w:val="single" w:sz="4" w:space="0" w:color="auto"/>
            </w:tcBorders>
            <w:shd w:val="clear" w:color="auto" w:fill="auto"/>
            <w:noWrap/>
            <w:vAlign w:val="center"/>
            <w:hideMark/>
          </w:tcPr>
          <w:p w14:paraId="19FBC8D8" w14:textId="77777777" w:rsidR="00F35E14" w:rsidRPr="004E01B4" w:rsidRDefault="00F35E14" w:rsidP="00F777B7">
            <w:pPr>
              <w:jc w:val="right"/>
              <w:rPr>
                <w:rFonts w:ascii="Calibri" w:hAnsi="Calibri" w:cs="Calibri"/>
                <w:sz w:val="20"/>
              </w:rPr>
            </w:pPr>
            <w:r w:rsidRPr="004E01B4">
              <w:rPr>
                <w:rFonts w:ascii="Calibri" w:hAnsi="Calibri" w:cs="Calibri"/>
                <w:sz w:val="20"/>
              </w:rPr>
              <w:t>131,33</w:t>
            </w:r>
          </w:p>
        </w:tc>
        <w:tc>
          <w:tcPr>
            <w:tcW w:w="964" w:type="dxa"/>
            <w:tcBorders>
              <w:top w:val="nil"/>
              <w:left w:val="nil"/>
              <w:bottom w:val="single" w:sz="4" w:space="0" w:color="auto"/>
              <w:right w:val="single" w:sz="4" w:space="0" w:color="auto"/>
            </w:tcBorders>
            <w:shd w:val="clear" w:color="auto" w:fill="auto"/>
            <w:noWrap/>
            <w:vAlign w:val="center"/>
            <w:hideMark/>
          </w:tcPr>
          <w:p w14:paraId="6B54CFE5" w14:textId="77777777" w:rsidR="00F35E14" w:rsidRPr="004E01B4" w:rsidRDefault="00F35E14" w:rsidP="00F777B7">
            <w:pPr>
              <w:jc w:val="right"/>
              <w:rPr>
                <w:rFonts w:ascii="Calibri" w:hAnsi="Calibri" w:cs="Calibri"/>
                <w:sz w:val="20"/>
              </w:rPr>
            </w:pPr>
            <w:r w:rsidRPr="004E01B4">
              <w:rPr>
                <w:rFonts w:ascii="Calibri" w:hAnsi="Calibri" w:cs="Calibri"/>
                <w:sz w:val="20"/>
              </w:rPr>
              <w:t>134,41</w:t>
            </w:r>
          </w:p>
        </w:tc>
        <w:tc>
          <w:tcPr>
            <w:tcW w:w="964" w:type="dxa"/>
            <w:tcBorders>
              <w:top w:val="nil"/>
              <w:left w:val="nil"/>
              <w:bottom w:val="single" w:sz="4" w:space="0" w:color="auto"/>
              <w:right w:val="single" w:sz="4" w:space="0" w:color="auto"/>
            </w:tcBorders>
            <w:shd w:val="clear" w:color="auto" w:fill="auto"/>
            <w:noWrap/>
            <w:vAlign w:val="center"/>
            <w:hideMark/>
          </w:tcPr>
          <w:p w14:paraId="2FB884B2" w14:textId="77777777" w:rsidR="00F35E14" w:rsidRPr="004E01B4" w:rsidRDefault="00F35E14" w:rsidP="00F777B7">
            <w:pPr>
              <w:jc w:val="right"/>
              <w:rPr>
                <w:rFonts w:ascii="Calibri" w:hAnsi="Calibri" w:cs="Calibri"/>
                <w:sz w:val="20"/>
              </w:rPr>
            </w:pPr>
            <w:r w:rsidRPr="004E01B4">
              <w:rPr>
                <w:rFonts w:ascii="Calibri" w:hAnsi="Calibri" w:cs="Calibri"/>
                <w:sz w:val="20"/>
              </w:rPr>
              <w:t>134,82</w:t>
            </w:r>
          </w:p>
        </w:tc>
        <w:tc>
          <w:tcPr>
            <w:tcW w:w="964" w:type="dxa"/>
            <w:tcBorders>
              <w:top w:val="nil"/>
              <w:left w:val="nil"/>
              <w:bottom w:val="single" w:sz="4" w:space="0" w:color="auto"/>
              <w:right w:val="single" w:sz="4" w:space="0" w:color="auto"/>
            </w:tcBorders>
            <w:shd w:val="clear" w:color="auto" w:fill="auto"/>
            <w:noWrap/>
            <w:vAlign w:val="center"/>
            <w:hideMark/>
          </w:tcPr>
          <w:p w14:paraId="54C767EC" w14:textId="77777777" w:rsidR="00F35E14" w:rsidRPr="004E01B4" w:rsidRDefault="00F35E14" w:rsidP="00F777B7">
            <w:pPr>
              <w:jc w:val="right"/>
              <w:rPr>
                <w:rFonts w:ascii="Calibri" w:hAnsi="Calibri" w:cs="Calibri"/>
                <w:sz w:val="20"/>
              </w:rPr>
            </w:pPr>
            <w:r w:rsidRPr="004E01B4">
              <w:rPr>
                <w:rFonts w:ascii="Calibri" w:hAnsi="Calibri" w:cs="Calibri"/>
                <w:sz w:val="20"/>
              </w:rPr>
              <w:t>145,98</w:t>
            </w:r>
          </w:p>
        </w:tc>
        <w:tc>
          <w:tcPr>
            <w:tcW w:w="964" w:type="dxa"/>
            <w:tcBorders>
              <w:top w:val="nil"/>
              <w:left w:val="nil"/>
              <w:bottom w:val="single" w:sz="4" w:space="0" w:color="auto"/>
              <w:right w:val="single" w:sz="4" w:space="0" w:color="auto"/>
            </w:tcBorders>
            <w:shd w:val="clear" w:color="auto" w:fill="auto"/>
            <w:noWrap/>
            <w:vAlign w:val="center"/>
            <w:hideMark/>
          </w:tcPr>
          <w:p w14:paraId="00EA989D" w14:textId="77777777" w:rsidR="00F35E14" w:rsidRPr="004E01B4" w:rsidRDefault="00F35E14" w:rsidP="00F777B7">
            <w:pPr>
              <w:jc w:val="right"/>
              <w:rPr>
                <w:rFonts w:ascii="Calibri" w:hAnsi="Calibri" w:cs="Calibri"/>
                <w:sz w:val="20"/>
              </w:rPr>
            </w:pPr>
            <w:r w:rsidRPr="004E01B4">
              <w:rPr>
                <w:rFonts w:ascii="Calibri" w:hAnsi="Calibri" w:cs="Calibri"/>
                <w:sz w:val="20"/>
              </w:rPr>
              <w:t>163,96</w:t>
            </w:r>
          </w:p>
        </w:tc>
      </w:tr>
      <w:tr w:rsidR="00F35E14" w:rsidRPr="00F35E14" w14:paraId="102A9D8D"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282CB5D6"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Španělsko</w:t>
            </w:r>
          </w:p>
        </w:tc>
        <w:tc>
          <w:tcPr>
            <w:tcW w:w="964" w:type="dxa"/>
            <w:tcBorders>
              <w:top w:val="nil"/>
              <w:left w:val="nil"/>
              <w:bottom w:val="single" w:sz="4" w:space="0" w:color="auto"/>
              <w:right w:val="single" w:sz="4" w:space="0" w:color="auto"/>
            </w:tcBorders>
            <w:shd w:val="clear" w:color="auto" w:fill="auto"/>
            <w:noWrap/>
            <w:vAlign w:val="center"/>
            <w:hideMark/>
          </w:tcPr>
          <w:p w14:paraId="5648A0F7" w14:textId="77777777" w:rsidR="00F35E14" w:rsidRPr="004E01B4" w:rsidRDefault="00F35E14" w:rsidP="00F777B7">
            <w:pPr>
              <w:jc w:val="right"/>
              <w:rPr>
                <w:rFonts w:ascii="Calibri" w:hAnsi="Calibri" w:cs="Calibri"/>
                <w:sz w:val="20"/>
              </w:rPr>
            </w:pPr>
            <w:r w:rsidRPr="004E01B4">
              <w:rPr>
                <w:rFonts w:ascii="Calibri" w:hAnsi="Calibri" w:cs="Calibri"/>
                <w:sz w:val="20"/>
              </w:rPr>
              <w:t>104,62</w:t>
            </w:r>
          </w:p>
        </w:tc>
        <w:tc>
          <w:tcPr>
            <w:tcW w:w="964" w:type="dxa"/>
            <w:tcBorders>
              <w:top w:val="nil"/>
              <w:left w:val="nil"/>
              <w:bottom w:val="single" w:sz="4" w:space="0" w:color="auto"/>
              <w:right w:val="single" w:sz="4" w:space="0" w:color="auto"/>
            </w:tcBorders>
            <w:shd w:val="clear" w:color="auto" w:fill="auto"/>
            <w:noWrap/>
            <w:vAlign w:val="center"/>
            <w:hideMark/>
          </w:tcPr>
          <w:p w14:paraId="3B5415D9" w14:textId="77777777" w:rsidR="00F35E14" w:rsidRPr="004E01B4" w:rsidRDefault="00F35E14" w:rsidP="00F777B7">
            <w:pPr>
              <w:jc w:val="right"/>
              <w:rPr>
                <w:rFonts w:ascii="Calibri" w:hAnsi="Calibri" w:cs="Calibri"/>
                <w:sz w:val="20"/>
              </w:rPr>
            </w:pPr>
            <w:r w:rsidRPr="004E01B4">
              <w:rPr>
                <w:rFonts w:ascii="Calibri" w:hAnsi="Calibri" w:cs="Calibri"/>
                <w:sz w:val="20"/>
              </w:rPr>
              <w:t>111,10</w:t>
            </w:r>
          </w:p>
        </w:tc>
        <w:tc>
          <w:tcPr>
            <w:tcW w:w="964" w:type="dxa"/>
            <w:tcBorders>
              <w:top w:val="nil"/>
              <w:left w:val="nil"/>
              <w:bottom w:val="single" w:sz="4" w:space="0" w:color="auto"/>
              <w:right w:val="single" w:sz="4" w:space="0" w:color="auto"/>
            </w:tcBorders>
            <w:shd w:val="clear" w:color="auto" w:fill="auto"/>
            <w:noWrap/>
            <w:vAlign w:val="center"/>
            <w:hideMark/>
          </w:tcPr>
          <w:p w14:paraId="23D6F1D0" w14:textId="77777777" w:rsidR="00F35E14" w:rsidRPr="004E01B4" w:rsidRDefault="00F35E14" w:rsidP="00F777B7">
            <w:pPr>
              <w:jc w:val="right"/>
              <w:rPr>
                <w:rFonts w:ascii="Calibri" w:hAnsi="Calibri" w:cs="Calibri"/>
                <w:sz w:val="20"/>
              </w:rPr>
            </w:pPr>
            <w:r w:rsidRPr="004E01B4">
              <w:rPr>
                <w:rFonts w:ascii="Calibri" w:hAnsi="Calibri" w:cs="Calibri"/>
                <w:sz w:val="20"/>
              </w:rPr>
              <w:t>118,58</w:t>
            </w:r>
          </w:p>
        </w:tc>
        <w:tc>
          <w:tcPr>
            <w:tcW w:w="964" w:type="dxa"/>
            <w:tcBorders>
              <w:top w:val="nil"/>
              <w:left w:val="nil"/>
              <w:bottom w:val="single" w:sz="4" w:space="0" w:color="auto"/>
              <w:right w:val="single" w:sz="4" w:space="0" w:color="auto"/>
            </w:tcBorders>
            <w:shd w:val="clear" w:color="auto" w:fill="auto"/>
            <w:noWrap/>
            <w:vAlign w:val="center"/>
            <w:hideMark/>
          </w:tcPr>
          <w:p w14:paraId="08077316" w14:textId="77777777" w:rsidR="00F35E14" w:rsidRPr="004E01B4" w:rsidRDefault="00F35E14" w:rsidP="00F777B7">
            <w:pPr>
              <w:jc w:val="right"/>
              <w:rPr>
                <w:rFonts w:ascii="Calibri" w:hAnsi="Calibri" w:cs="Calibri"/>
                <w:sz w:val="20"/>
              </w:rPr>
            </w:pPr>
            <w:r w:rsidRPr="004E01B4">
              <w:rPr>
                <w:rFonts w:ascii="Calibri" w:hAnsi="Calibri" w:cs="Calibri"/>
                <w:sz w:val="20"/>
              </w:rPr>
              <w:t>124,71</w:t>
            </w:r>
          </w:p>
        </w:tc>
        <w:tc>
          <w:tcPr>
            <w:tcW w:w="964" w:type="dxa"/>
            <w:tcBorders>
              <w:top w:val="nil"/>
              <w:left w:val="nil"/>
              <w:bottom w:val="single" w:sz="4" w:space="0" w:color="auto"/>
              <w:right w:val="single" w:sz="4" w:space="0" w:color="auto"/>
            </w:tcBorders>
            <w:shd w:val="clear" w:color="auto" w:fill="auto"/>
            <w:noWrap/>
            <w:vAlign w:val="center"/>
            <w:hideMark/>
          </w:tcPr>
          <w:p w14:paraId="20D6C126" w14:textId="77777777" w:rsidR="00F35E14" w:rsidRPr="004E01B4" w:rsidRDefault="00F35E14" w:rsidP="00F777B7">
            <w:pPr>
              <w:jc w:val="right"/>
              <w:rPr>
                <w:rFonts w:ascii="Calibri" w:hAnsi="Calibri" w:cs="Calibri"/>
                <w:sz w:val="20"/>
              </w:rPr>
            </w:pPr>
            <w:r w:rsidRPr="004E01B4">
              <w:rPr>
                <w:rFonts w:ascii="Calibri" w:hAnsi="Calibri" w:cs="Calibri"/>
                <w:sz w:val="20"/>
              </w:rPr>
              <w:t>127,50</w:t>
            </w:r>
          </w:p>
        </w:tc>
        <w:tc>
          <w:tcPr>
            <w:tcW w:w="964" w:type="dxa"/>
            <w:tcBorders>
              <w:top w:val="nil"/>
              <w:left w:val="nil"/>
              <w:bottom w:val="single" w:sz="4" w:space="0" w:color="auto"/>
              <w:right w:val="single" w:sz="4" w:space="0" w:color="auto"/>
            </w:tcBorders>
            <w:shd w:val="clear" w:color="auto" w:fill="auto"/>
            <w:noWrap/>
            <w:vAlign w:val="center"/>
            <w:hideMark/>
          </w:tcPr>
          <w:p w14:paraId="69BCA472" w14:textId="77777777" w:rsidR="00F35E14" w:rsidRPr="004E01B4" w:rsidRDefault="00F35E14" w:rsidP="00F777B7">
            <w:pPr>
              <w:jc w:val="right"/>
              <w:rPr>
                <w:rFonts w:ascii="Calibri" w:hAnsi="Calibri" w:cs="Calibri"/>
                <w:sz w:val="20"/>
              </w:rPr>
            </w:pPr>
            <w:r w:rsidRPr="004E01B4">
              <w:rPr>
                <w:rFonts w:ascii="Calibri" w:hAnsi="Calibri" w:cs="Calibri"/>
                <w:sz w:val="20"/>
              </w:rPr>
              <w:t>132,19</w:t>
            </w:r>
          </w:p>
        </w:tc>
        <w:tc>
          <w:tcPr>
            <w:tcW w:w="964" w:type="dxa"/>
            <w:tcBorders>
              <w:top w:val="nil"/>
              <w:left w:val="nil"/>
              <w:bottom w:val="single" w:sz="4" w:space="0" w:color="auto"/>
              <w:right w:val="single" w:sz="4" w:space="0" w:color="auto"/>
            </w:tcBorders>
            <w:shd w:val="clear" w:color="auto" w:fill="auto"/>
            <w:noWrap/>
            <w:vAlign w:val="center"/>
            <w:hideMark/>
          </w:tcPr>
          <w:p w14:paraId="04FD9ADC" w14:textId="77777777" w:rsidR="00F35E14" w:rsidRPr="004E01B4" w:rsidRDefault="00F35E14" w:rsidP="00F777B7">
            <w:pPr>
              <w:jc w:val="right"/>
              <w:rPr>
                <w:rFonts w:ascii="Calibri" w:hAnsi="Calibri" w:cs="Calibri"/>
                <w:sz w:val="20"/>
              </w:rPr>
            </w:pPr>
            <w:r w:rsidRPr="004E01B4">
              <w:rPr>
                <w:rFonts w:ascii="Calibri" w:hAnsi="Calibri" w:cs="Calibri"/>
                <w:sz w:val="20"/>
              </w:rPr>
              <w:t>141,98</w:t>
            </w:r>
          </w:p>
        </w:tc>
      </w:tr>
      <w:tr w:rsidR="00F35E14" w:rsidRPr="00F35E14" w14:paraId="37E88001"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4DEAE378"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Francie</w:t>
            </w:r>
          </w:p>
        </w:tc>
        <w:tc>
          <w:tcPr>
            <w:tcW w:w="964" w:type="dxa"/>
            <w:tcBorders>
              <w:top w:val="nil"/>
              <w:left w:val="nil"/>
              <w:bottom w:val="single" w:sz="4" w:space="0" w:color="auto"/>
              <w:right w:val="single" w:sz="4" w:space="0" w:color="auto"/>
            </w:tcBorders>
            <w:shd w:val="clear" w:color="auto" w:fill="auto"/>
            <w:noWrap/>
            <w:vAlign w:val="center"/>
            <w:hideMark/>
          </w:tcPr>
          <w:p w14:paraId="472543BE" w14:textId="77777777" w:rsidR="00F35E14" w:rsidRPr="004E01B4" w:rsidRDefault="00F35E14" w:rsidP="00F777B7">
            <w:pPr>
              <w:jc w:val="right"/>
              <w:rPr>
                <w:rFonts w:ascii="Calibri" w:hAnsi="Calibri" w:cs="Calibri"/>
                <w:sz w:val="20"/>
              </w:rPr>
            </w:pPr>
            <w:r w:rsidRPr="004E01B4">
              <w:rPr>
                <w:rFonts w:ascii="Calibri" w:hAnsi="Calibri" w:cs="Calibri"/>
                <w:sz w:val="20"/>
              </w:rPr>
              <w:t>101,04</w:t>
            </w:r>
          </w:p>
        </w:tc>
        <w:tc>
          <w:tcPr>
            <w:tcW w:w="964" w:type="dxa"/>
            <w:tcBorders>
              <w:top w:val="nil"/>
              <w:left w:val="nil"/>
              <w:bottom w:val="single" w:sz="4" w:space="0" w:color="auto"/>
              <w:right w:val="single" w:sz="4" w:space="0" w:color="auto"/>
            </w:tcBorders>
            <w:shd w:val="clear" w:color="auto" w:fill="auto"/>
            <w:noWrap/>
            <w:vAlign w:val="center"/>
            <w:hideMark/>
          </w:tcPr>
          <w:p w14:paraId="7BA49EFF" w14:textId="77777777" w:rsidR="00F35E14" w:rsidRPr="004E01B4" w:rsidRDefault="00F35E14" w:rsidP="00F777B7">
            <w:pPr>
              <w:jc w:val="right"/>
              <w:rPr>
                <w:rFonts w:ascii="Calibri" w:hAnsi="Calibri" w:cs="Calibri"/>
                <w:sz w:val="20"/>
              </w:rPr>
            </w:pPr>
            <w:r w:rsidRPr="004E01B4">
              <w:rPr>
                <w:rFonts w:ascii="Calibri" w:hAnsi="Calibri" w:cs="Calibri"/>
                <w:sz w:val="20"/>
              </w:rPr>
              <w:t>104,24</w:t>
            </w:r>
          </w:p>
        </w:tc>
        <w:tc>
          <w:tcPr>
            <w:tcW w:w="964" w:type="dxa"/>
            <w:tcBorders>
              <w:top w:val="nil"/>
              <w:left w:val="nil"/>
              <w:bottom w:val="single" w:sz="4" w:space="0" w:color="auto"/>
              <w:right w:val="single" w:sz="4" w:space="0" w:color="auto"/>
            </w:tcBorders>
            <w:shd w:val="clear" w:color="auto" w:fill="auto"/>
            <w:noWrap/>
            <w:vAlign w:val="center"/>
            <w:hideMark/>
          </w:tcPr>
          <w:p w14:paraId="757487B5" w14:textId="77777777" w:rsidR="00F35E14" w:rsidRPr="004E01B4" w:rsidRDefault="00F35E14" w:rsidP="00F777B7">
            <w:pPr>
              <w:jc w:val="right"/>
              <w:rPr>
                <w:rFonts w:ascii="Calibri" w:hAnsi="Calibri" w:cs="Calibri"/>
                <w:sz w:val="20"/>
              </w:rPr>
            </w:pPr>
            <w:r w:rsidRPr="004E01B4">
              <w:rPr>
                <w:rFonts w:ascii="Calibri" w:hAnsi="Calibri" w:cs="Calibri"/>
                <w:sz w:val="20"/>
              </w:rPr>
              <w:t>107,29</w:t>
            </w:r>
          </w:p>
        </w:tc>
        <w:tc>
          <w:tcPr>
            <w:tcW w:w="964" w:type="dxa"/>
            <w:tcBorders>
              <w:top w:val="nil"/>
              <w:left w:val="nil"/>
              <w:bottom w:val="single" w:sz="4" w:space="0" w:color="auto"/>
              <w:right w:val="single" w:sz="4" w:space="0" w:color="auto"/>
            </w:tcBorders>
            <w:shd w:val="clear" w:color="auto" w:fill="auto"/>
            <w:noWrap/>
            <w:vAlign w:val="center"/>
            <w:hideMark/>
          </w:tcPr>
          <w:p w14:paraId="12871A53" w14:textId="77777777" w:rsidR="00F35E14" w:rsidRPr="004E01B4" w:rsidRDefault="00F35E14" w:rsidP="00F777B7">
            <w:pPr>
              <w:jc w:val="right"/>
              <w:rPr>
                <w:rFonts w:ascii="Calibri" w:hAnsi="Calibri" w:cs="Calibri"/>
                <w:sz w:val="20"/>
              </w:rPr>
            </w:pPr>
            <w:r w:rsidRPr="004E01B4">
              <w:rPr>
                <w:rFonts w:ascii="Calibri" w:hAnsi="Calibri" w:cs="Calibri"/>
                <w:sz w:val="20"/>
              </w:rPr>
              <w:t>110,86</w:t>
            </w:r>
          </w:p>
        </w:tc>
        <w:tc>
          <w:tcPr>
            <w:tcW w:w="964" w:type="dxa"/>
            <w:tcBorders>
              <w:top w:val="nil"/>
              <w:left w:val="nil"/>
              <w:bottom w:val="single" w:sz="4" w:space="0" w:color="auto"/>
              <w:right w:val="single" w:sz="4" w:space="0" w:color="auto"/>
            </w:tcBorders>
            <w:shd w:val="clear" w:color="auto" w:fill="auto"/>
            <w:noWrap/>
            <w:vAlign w:val="center"/>
            <w:hideMark/>
          </w:tcPr>
          <w:p w14:paraId="6409A776" w14:textId="77777777" w:rsidR="00F35E14" w:rsidRPr="004E01B4" w:rsidRDefault="00F35E14" w:rsidP="00F777B7">
            <w:pPr>
              <w:jc w:val="right"/>
              <w:rPr>
                <w:rFonts w:ascii="Calibri" w:hAnsi="Calibri" w:cs="Calibri"/>
                <w:sz w:val="20"/>
              </w:rPr>
            </w:pPr>
            <w:r w:rsidRPr="004E01B4">
              <w:rPr>
                <w:rFonts w:ascii="Calibri" w:hAnsi="Calibri" w:cs="Calibri"/>
                <w:sz w:val="20"/>
              </w:rPr>
              <w:t>116,62</w:t>
            </w:r>
          </w:p>
        </w:tc>
        <w:tc>
          <w:tcPr>
            <w:tcW w:w="964" w:type="dxa"/>
            <w:tcBorders>
              <w:top w:val="nil"/>
              <w:left w:val="nil"/>
              <w:bottom w:val="single" w:sz="4" w:space="0" w:color="auto"/>
              <w:right w:val="single" w:sz="4" w:space="0" w:color="auto"/>
            </w:tcBorders>
            <w:shd w:val="clear" w:color="auto" w:fill="auto"/>
            <w:noWrap/>
            <w:vAlign w:val="center"/>
            <w:hideMark/>
          </w:tcPr>
          <w:p w14:paraId="616A3461" w14:textId="77777777" w:rsidR="00F35E14" w:rsidRPr="004E01B4" w:rsidRDefault="00F35E14" w:rsidP="00F777B7">
            <w:pPr>
              <w:jc w:val="right"/>
              <w:rPr>
                <w:rFonts w:ascii="Calibri" w:hAnsi="Calibri" w:cs="Calibri"/>
                <w:sz w:val="20"/>
              </w:rPr>
            </w:pPr>
            <w:r w:rsidRPr="004E01B4">
              <w:rPr>
                <w:rFonts w:ascii="Calibri" w:hAnsi="Calibri" w:cs="Calibri"/>
                <w:sz w:val="20"/>
              </w:rPr>
              <w:t>123,98</w:t>
            </w:r>
          </w:p>
        </w:tc>
        <w:tc>
          <w:tcPr>
            <w:tcW w:w="964" w:type="dxa"/>
            <w:tcBorders>
              <w:top w:val="nil"/>
              <w:left w:val="nil"/>
              <w:bottom w:val="single" w:sz="4" w:space="0" w:color="auto"/>
              <w:right w:val="single" w:sz="4" w:space="0" w:color="auto"/>
            </w:tcBorders>
            <w:shd w:val="clear" w:color="auto" w:fill="auto"/>
            <w:noWrap/>
            <w:vAlign w:val="center"/>
            <w:hideMark/>
          </w:tcPr>
          <w:p w14:paraId="42685743" w14:textId="77777777" w:rsidR="00F35E14" w:rsidRPr="004E01B4" w:rsidRDefault="00F35E14" w:rsidP="00F777B7">
            <w:pPr>
              <w:jc w:val="right"/>
              <w:rPr>
                <w:rFonts w:ascii="Calibri" w:hAnsi="Calibri" w:cs="Calibri"/>
                <w:sz w:val="20"/>
              </w:rPr>
            </w:pPr>
            <w:r w:rsidRPr="004E01B4">
              <w:rPr>
                <w:rFonts w:ascii="Calibri" w:hAnsi="Calibri" w:cs="Calibri"/>
                <w:sz w:val="20"/>
              </w:rPr>
              <w:t>131,82</w:t>
            </w:r>
          </w:p>
        </w:tc>
      </w:tr>
      <w:tr w:rsidR="00F35E14" w:rsidRPr="00F35E14" w14:paraId="2813875E"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6D8377F5"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Chorvatsko</w:t>
            </w:r>
          </w:p>
        </w:tc>
        <w:tc>
          <w:tcPr>
            <w:tcW w:w="964" w:type="dxa"/>
            <w:tcBorders>
              <w:top w:val="nil"/>
              <w:left w:val="nil"/>
              <w:bottom w:val="single" w:sz="4" w:space="0" w:color="auto"/>
              <w:right w:val="single" w:sz="4" w:space="0" w:color="auto"/>
            </w:tcBorders>
            <w:shd w:val="clear" w:color="auto" w:fill="auto"/>
            <w:noWrap/>
            <w:vAlign w:val="center"/>
            <w:hideMark/>
          </w:tcPr>
          <w:p w14:paraId="679DEAC9" w14:textId="77777777" w:rsidR="00F35E14" w:rsidRPr="004E01B4" w:rsidRDefault="00F35E14" w:rsidP="00F777B7">
            <w:pPr>
              <w:jc w:val="right"/>
              <w:rPr>
                <w:rFonts w:ascii="Calibri" w:hAnsi="Calibri" w:cs="Calibri"/>
                <w:sz w:val="20"/>
              </w:rPr>
            </w:pPr>
            <w:r w:rsidRPr="004E01B4">
              <w:rPr>
                <w:rFonts w:ascii="Calibri" w:hAnsi="Calibri" w:cs="Calibri"/>
                <w:sz w:val="20"/>
              </w:rPr>
              <w:t>100,89</w:t>
            </w:r>
          </w:p>
        </w:tc>
        <w:tc>
          <w:tcPr>
            <w:tcW w:w="964" w:type="dxa"/>
            <w:tcBorders>
              <w:top w:val="nil"/>
              <w:left w:val="nil"/>
              <w:bottom w:val="single" w:sz="4" w:space="0" w:color="auto"/>
              <w:right w:val="single" w:sz="4" w:space="0" w:color="auto"/>
            </w:tcBorders>
            <w:shd w:val="clear" w:color="auto" w:fill="auto"/>
            <w:noWrap/>
            <w:vAlign w:val="center"/>
            <w:hideMark/>
          </w:tcPr>
          <w:p w14:paraId="304519BB" w14:textId="77777777" w:rsidR="00F35E14" w:rsidRPr="004E01B4" w:rsidRDefault="00F35E14" w:rsidP="00F777B7">
            <w:pPr>
              <w:jc w:val="right"/>
              <w:rPr>
                <w:rFonts w:ascii="Calibri" w:hAnsi="Calibri" w:cs="Calibri"/>
                <w:sz w:val="20"/>
              </w:rPr>
            </w:pPr>
            <w:r w:rsidRPr="004E01B4">
              <w:rPr>
                <w:rFonts w:ascii="Calibri" w:hAnsi="Calibri" w:cs="Calibri"/>
                <w:sz w:val="20"/>
              </w:rPr>
              <w:t>104,75</w:t>
            </w:r>
          </w:p>
        </w:tc>
        <w:tc>
          <w:tcPr>
            <w:tcW w:w="964" w:type="dxa"/>
            <w:tcBorders>
              <w:top w:val="nil"/>
              <w:left w:val="nil"/>
              <w:bottom w:val="single" w:sz="4" w:space="0" w:color="auto"/>
              <w:right w:val="single" w:sz="4" w:space="0" w:color="auto"/>
            </w:tcBorders>
            <w:shd w:val="clear" w:color="auto" w:fill="auto"/>
            <w:noWrap/>
            <w:vAlign w:val="center"/>
            <w:hideMark/>
          </w:tcPr>
          <w:p w14:paraId="65F8E64F" w14:textId="77777777" w:rsidR="00F35E14" w:rsidRPr="004E01B4" w:rsidRDefault="00F35E14" w:rsidP="00F777B7">
            <w:pPr>
              <w:jc w:val="right"/>
              <w:rPr>
                <w:rFonts w:ascii="Calibri" w:hAnsi="Calibri" w:cs="Calibri"/>
                <w:sz w:val="20"/>
              </w:rPr>
            </w:pPr>
            <w:r w:rsidRPr="004E01B4">
              <w:rPr>
                <w:rFonts w:ascii="Calibri" w:hAnsi="Calibri" w:cs="Calibri"/>
                <w:sz w:val="20"/>
              </w:rPr>
              <w:t>111,14</w:t>
            </w:r>
          </w:p>
        </w:tc>
        <w:tc>
          <w:tcPr>
            <w:tcW w:w="964" w:type="dxa"/>
            <w:tcBorders>
              <w:top w:val="nil"/>
              <w:left w:val="nil"/>
              <w:bottom w:val="single" w:sz="4" w:space="0" w:color="auto"/>
              <w:right w:val="single" w:sz="4" w:space="0" w:color="auto"/>
            </w:tcBorders>
            <w:shd w:val="clear" w:color="auto" w:fill="auto"/>
            <w:noWrap/>
            <w:vAlign w:val="center"/>
            <w:hideMark/>
          </w:tcPr>
          <w:p w14:paraId="18A85A90" w14:textId="77777777" w:rsidR="00F35E14" w:rsidRPr="004E01B4" w:rsidRDefault="00F35E14" w:rsidP="00F777B7">
            <w:pPr>
              <w:jc w:val="right"/>
              <w:rPr>
                <w:rFonts w:ascii="Calibri" w:hAnsi="Calibri" w:cs="Calibri"/>
                <w:sz w:val="20"/>
              </w:rPr>
            </w:pPr>
            <w:r w:rsidRPr="004E01B4">
              <w:rPr>
                <w:rFonts w:ascii="Calibri" w:hAnsi="Calibri" w:cs="Calibri"/>
                <w:sz w:val="20"/>
              </w:rPr>
              <w:t>121,10</w:t>
            </w:r>
          </w:p>
        </w:tc>
        <w:tc>
          <w:tcPr>
            <w:tcW w:w="964" w:type="dxa"/>
            <w:tcBorders>
              <w:top w:val="nil"/>
              <w:left w:val="nil"/>
              <w:bottom w:val="single" w:sz="4" w:space="0" w:color="auto"/>
              <w:right w:val="single" w:sz="4" w:space="0" w:color="auto"/>
            </w:tcBorders>
            <w:shd w:val="clear" w:color="auto" w:fill="auto"/>
            <w:noWrap/>
            <w:vAlign w:val="center"/>
            <w:hideMark/>
          </w:tcPr>
          <w:p w14:paraId="0DA71571" w14:textId="77777777" w:rsidR="00F35E14" w:rsidRPr="004E01B4" w:rsidRDefault="00F35E14" w:rsidP="00F777B7">
            <w:pPr>
              <w:jc w:val="right"/>
              <w:rPr>
                <w:rFonts w:ascii="Calibri" w:hAnsi="Calibri" w:cs="Calibri"/>
                <w:sz w:val="20"/>
              </w:rPr>
            </w:pPr>
            <w:r w:rsidRPr="004E01B4">
              <w:rPr>
                <w:rFonts w:ascii="Calibri" w:hAnsi="Calibri" w:cs="Calibri"/>
                <w:sz w:val="20"/>
              </w:rPr>
              <w:t>130,38</w:t>
            </w:r>
          </w:p>
        </w:tc>
        <w:tc>
          <w:tcPr>
            <w:tcW w:w="964" w:type="dxa"/>
            <w:tcBorders>
              <w:top w:val="nil"/>
              <w:left w:val="nil"/>
              <w:bottom w:val="single" w:sz="4" w:space="0" w:color="auto"/>
              <w:right w:val="single" w:sz="4" w:space="0" w:color="auto"/>
            </w:tcBorders>
            <w:shd w:val="clear" w:color="auto" w:fill="auto"/>
            <w:noWrap/>
            <w:vAlign w:val="center"/>
            <w:hideMark/>
          </w:tcPr>
          <w:p w14:paraId="5DEE3C55" w14:textId="77777777" w:rsidR="00F35E14" w:rsidRPr="004E01B4" w:rsidRDefault="00F35E14" w:rsidP="00F777B7">
            <w:pPr>
              <w:jc w:val="right"/>
              <w:rPr>
                <w:rFonts w:ascii="Calibri" w:hAnsi="Calibri" w:cs="Calibri"/>
                <w:sz w:val="20"/>
              </w:rPr>
            </w:pPr>
            <w:r w:rsidRPr="004E01B4">
              <w:rPr>
                <w:rFonts w:ascii="Calibri" w:hAnsi="Calibri" w:cs="Calibri"/>
                <w:sz w:val="20"/>
              </w:rPr>
              <w:t>139,91</w:t>
            </w:r>
          </w:p>
        </w:tc>
        <w:tc>
          <w:tcPr>
            <w:tcW w:w="964" w:type="dxa"/>
            <w:tcBorders>
              <w:top w:val="nil"/>
              <w:left w:val="nil"/>
              <w:bottom w:val="single" w:sz="4" w:space="0" w:color="auto"/>
              <w:right w:val="single" w:sz="4" w:space="0" w:color="auto"/>
            </w:tcBorders>
            <w:shd w:val="clear" w:color="auto" w:fill="auto"/>
            <w:noWrap/>
            <w:vAlign w:val="center"/>
            <w:hideMark/>
          </w:tcPr>
          <w:p w14:paraId="178D7022" w14:textId="77777777" w:rsidR="00F35E14" w:rsidRPr="004E01B4" w:rsidRDefault="00F35E14" w:rsidP="00F777B7">
            <w:pPr>
              <w:jc w:val="right"/>
              <w:rPr>
                <w:rFonts w:ascii="Calibri" w:hAnsi="Calibri" w:cs="Calibri"/>
                <w:sz w:val="20"/>
              </w:rPr>
            </w:pPr>
            <w:r w:rsidRPr="004E01B4">
              <w:rPr>
                <w:rFonts w:ascii="Calibri" w:hAnsi="Calibri" w:cs="Calibri"/>
                <w:sz w:val="20"/>
              </w:rPr>
              <w:t>160,69</w:t>
            </w:r>
          </w:p>
        </w:tc>
      </w:tr>
      <w:tr w:rsidR="00F35E14" w:rsidRPr="00F35E14" w14:paraId="487CAC68"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103CF1C6"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Itálie</w:t>
            </w:r>
          </w:p>
        </w:tc>
        <w:tc>
          <w:tcPr>
            <w:tcW w:w="964" w:type="dxa"/>
            <w:tcBorders>
              <w:top w:val="nil"/>
              <w:left w:val="nil"/>
              <w:bottom w:val="single" w:sz="4" w:space="0" w:color="auto"/>
              <w:right w:val="single" w:sz="4" w:space="0" w:color="auto"/>
            </w:tcBorders>
            <w:shd w:val="clear" w:color="auto" w:fill="auto"/>
            <w:noWrap/>
            <w:vAlign w:val="center"/>
            <w:hideMark/>
          </w:tcPr>
          <w:p w14:paraId="0D13FD7E" w14:textId="77777777" w:rsidR="00F35E14" w:rsidRPr="004E01B4" w:rsidRDefault="00F35E14" w:rsidP="00F777B7">
            <w:pPr>
              <w:jc w:val="right"/>
              <w:rPr>
                <w:rFonts w:ascii="Calibri" w:hAnsi="Calibri" w:cs="Calibri"/>
                <w:sz w:val="20"/>
              </w:rPr>
            </w:pPr>
            <w:r w:rsidRPr="004E01B4">
              <w:rPr>
                <w:rFonts w:ascii="Calibri" w:hAnsi="Calibri" w:cs="Calibri"/>
                <w:sz w:val="20"/>
              </w:rPr>
              <w:t>100,30</w:t>
            </w:r>
          </w:p>
        </w:tc>
        <w:tc>
          <w:tcPr>
            <w:tcW w:w="964" w:type="dxa"/>
            <w:tcBorders>
              <w:top w:val="nil"/>
              <w:left w:val="nil"/>
              <w:bottom w:val="single" w:sz="4" w:space="0" w:color="auto"/>
              <w:right w:val="single" w:sz="4" w:space="0" w:color="auto"/>
            </w:tcBorders>
            <w:shd w:val="clear" w:color="auto" w:fill="auto"/>
            <w:noWrap/>
            <w:vAlign w:val="center"/>
            <w:hideMark/>
          </w:tcPr>
          <w:p w14:paraId="52F085F7" w14:textId="77777777" w:rsidR="00F35E14" w:rsidRPr="004E01B4" w:rsidRDefault="00F35E14" w:rsidP="00F777B7">
            <w:pPr>
              <w:jc w:val="right"/>
              <w:rPr>
                <w:rFonts w:ascii="Calibri" w:hAnsi="Calibri" w:cs="Calibri"/>
                <w:sz w:val="20"/>
              </w:rPr>
            </w:pPr>
            <w:r w:rsidRPr="004E01B4">
              <w:rPr>
                <w:rFonts w:ascii="Calibri" w:hAnsi="Calibri" w:cs="Calibri"/>
                <w:sz w:val="20"/>
              </w:rPr>
              <w:t>99,20</w:t>
            </w:r>
          </w:p>
        </w:tc>
        <w:tc>
          <w:tcPr>
            <w:tcW w:w="964" w:type="dxa"/>
            <w:tcBorders>
              <w:top w:val="nil"/>
              <w:left w:val="nil"/>
              <w:bottom w:val="single" w:sz="4" w:space="0" w:color="auto"/>
              <w:right w:val="single" w:sz="4" w:space="0" w:color="auto"/>
            </w:tcBorders>
            <w:shd w:val="clear" w:color="auto" w:fill="auto"/>
            <w:noWrap/>
            <w:vAlign w:val="center"/>
            <w:hideMark/>
          </w:tcPr>
          <w:p w14:paraId="70504199" w14:textId="77777777" w:rsidR="00F35E14" w:rsidRPr="004E01B4" w:rsidRDefault="00F35E14" w:rsidP="00F777B7">
            <w:pPr>
              <w:jc w:val="right"/>
              <w:rPr>
                <w:rFonts w:ascii="Calibri" w:hAnsi="Calibri" w:cs="Calibri"/>
                <w:sz w:val="20"/>
              </w:rPr>
            </w:pPr>
            <w:r w:rsidRPr="004E01B4">
              <w:rPr>
                <w:rFonts w:ascii="Calibri" w:hAnsi="Calibri" w:cs="Calibri"/>
                <w:sz w:val="20"/>
              </w:rPr>
              <w:t>98,60</w:t>
            </w:r>
          </w:p>
        </w:tc>
        <w:tc>
          <w:tcPr>
            <w:tcW w:w="964" w:type="dxa"/>
            <w:tcBorders>
              <w:top w:val="nil"/>
              <w:left w:val="nil"/>
              <w:bottom w:val="single" w:sz="4" w:space="0" w:color="auto"/>
              <w:right w:val="single" w:sz="4" w:space="0" w:color="auto"/>
            </w:tcBorders>
            <w:shd w:val="clear" w:color="auto" w:fill="auto"/>
            <w:noWrap/>
            <w:vAlign w:val="center"/>
            <w:hideMark/>
          </w:tcPr>
          <w:p w14:paraId="51F187DD" w14:textId="77777777" w:rsidR="00F35E14" w:rsidRPr="004E01B4" w:rsidRDefault="00F35E14" w:rsidP="00F777B7">
            <w:pPr>
              <w:jc w:val="right"/>
              <w:rPr>
                <w:rFonts w:ascii="Calibri" w:hAnsi="Calibri" w:cs="Calibri"/>
                <w:sz w:val="20"/>
              </w:rPr>
            </w:pPr>
            <w:r w:rsidRPr="004E01B4">
              <w:rPr>
                <w:rFonts w:ascii="Calibri" w:hAnsi="Calibri" w:cs="Calibri"/>
                <w:sz w:val="20"/>
              </w:rPr>
              <w:t>98,50</w:t>
            </w:r>
          </w:p>
        </w:tc>
        <w:tc>
          <w:tcPr>
            <w:tcW w:w="964" w:type="dxa"/>
            <w:tcBorders>
              <w:top w:val="nil"/>
              <w:left w:val="nil"/>
              <w:bottom w:val="single" w:sz="4" w:space="0" w:color="auto"/>
              <w:right w:val="single" w:sz="4" w:space="0" w:color="auto"/>
            </w:tcBorders>
            <w:shd w:val="clear" w:color="auto" w:fill="auto"/>
            <w:noWrap/>
            <w:vAlign w:val="center"/>
            <w:hideMark/>
          </w:tcPr>
          <w:p w14:paraId="39F5F7BC" w14:textId="77777777" w:rsidR="00F35E14" w:rsidRPr="004E01B4" w:rsidRDefault="00F35E14" w:rsidP="00F777B7">
            <w:pPr>
              <w:jc w:val="right"/>
              <w:rPr>
                <w:rFonts w:ascii="Calibri" w:hAnsi="Calibri" w:cs="Calibri"/>
                <w:sz w:val="20"/>
              </w:rPr>
            </w:pPr>
            <w:r w:rsidRPr="004E01B4">
              <w:rPr>
                <w:rFonts w:ascii="Calibri" w:hAnsi="Calibri" w:cs="Calibri"/>
                <w:sz w:val="20"/>
              </w:rPr>
              <w:t>100,40</w:t>
            </w:r>
          </w:p>
        </w:tc>
        <w:tc>
          <w:tcPr>
            <w:tcW w:w="964" w:type="dxa"/>
            <w:tcBorders>
              <w:top w:val="nil"/>
              <w:left w:val="nil"/>
              <w:bottom w:val="single" w:sz="4" w:space="0" w:color="auto"/>
              <w:right w:val="single" w:sz="4" w:space="0" w:color="auto"/>
            </w:tcBorders>
            <w:shd w:val="clear" w:color="auto" w:fill="auto"/>
            <w:noWrap/>
            <w:vAlign w:val="center"/>
            <w:hideMark/>
          </w:tcPr>
          <w:p w14:paraId="2C2DC7F5" w14:textId="77777777" w:rsidR="00F35E14" w:rsidRPr="004E01B4" w:rsidRDefault="00F35E14" w:rsidP="00F777B7">
            <w:pPr>
              <w:jc w:val="right"/>
              <w:rPr>
                <w:rFonts w:ascii="Calibri" w:hAnsi="Calibri" w:cs="Calibri"/>
                <w:sz w:val="20"/>
              </w:rPr>
            </w:pPr>
            <w:r w:rsidRPr="004E01B4">
              <w:rPr>
                <w:rFonts w:ascii="Calibri" w:hAnsi="Calibri" w:cs="Calibri"/>
                <w:sz w:val="20"/>
              </w:rPr>
              <w:t>103,00</w:t>
            </w:r>
          </w:p>
        </w:tc>
        <w:tc>
          <w:tcPr>
            <w:tcW w:w="964" w:type="dxa"/>
            <w:tcBorders>
              <w:top w:val="nil"/>
              <w:left w:val="nil"/>
              <w:bottom w:val="single" w:sz="4" w:space="0" w:color="auto"/>
              <w:right w:val="single" w:sz="4" w:space="0" w:color="auto"/>
            </w:tcBorders>
            <w:shd w:val="clear" w:color="auto" w:fill="auto"/>
            <w:noWrap/>
            <w:vAlign w:val="center"/>
            <w:hideMark/>
          </w:tcPr>
          <w:p w14:paraId="735CC19D" w14:textId="77777777" w:rsidR="00F35E14" w:rsidRPr="004E01B4" w:rsidRDefault="00F35E14" w:rsidP="00F777B7">
            <w:pPr>
              <w:jc w:val="right"/>
              <w:rPr>
                <w:rFonts w:ascii="Calibri" w:hAnsi="Calibri" w:cs="Calibri"/>
                <w:sz w:val="20"/>
              </w:rPr>
            </w:pPr>
            <w:r w:rsidRPr="004E01B4">
              <w:rPr>
                <w:rFonts w:ascii="Calibri" w:hAnsi="Calibri" w:cs="Calibri"/>
                <w:sz w:val="20"/>
              </w:rPr>
              <w:t>106,90</w:t>
            </w:r>
          </w:p>
        </w:tc>
      </w:tr>
      <w:tr w:rsidR="00F35E14" w:rsidRPr="00F35E14" w14:paraId="6903917E"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71EEDBBC"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 xml:space="preserve">Kypr </w:t>
            </w:r>
          </w:p>
        </w:tc>
        <w:tc>
          <w:tcPr>
            <w:tcW w:w="964" w:type="dxa"/>
            <w:tcBorders>
              <w:top w:val="nil"/>
              <w:left w:val="nil"/>
              <w:bottom w:val="single" w:sz="4" w:space="0" w:color="auto"/>
              <w:right w:val="single" w:sz="4" w:space="0" w:color="auto"/>
            </w:tcBorders>
            <w:shd w:val="clear" w:color="auto" w:fill="auto"/>
            <w:noWrap/>
            <w:vAlign w:val="center"/>
            <w:hideMark/>
          </w:tcPr>
          <w:p w14:paraId="73709FD9" w14:textId="77777777" w:rsidR="00F35E14" w:rsidRPr="004E01B4" w:rsidRDefault="00F35E14" w:rsidP="00F777B7">
            <w:pPr>
              <w:jc w:val="right"/>
              <w:rPr>
                <w:rFonts w:ascii="Calibri" w:hAnsi="Calibri" w:cs="Calibri"/>
                <w:sz w:val="20"/>
              </w:rPr>
            </w:pPr>
            <w:r w:rsidRPr="004E01B4">
              <w:rPr>
                <w:rFonts w:ascii="Calibri" w:hAnsi="Calibri" w:cs="Calibri"/>
                <w:sz w:val="20"/>
              </w:rPr>
              <w:t>100,27</w:t>
            </w:r>
          </w:p>
        </w:tc>
        <w:tc>
          <w:tcPr>
            <w:tcW w:w="964" w:type="dxa"/>
            <w:tcBorders>
              <w:top w:val="nil"/>
              <w:left w:val="nil"/>
              <w:bottom w:val="single" w:sz="4" w:space="0" w:color="auto"/>
              <w:right w:val="single" w:sz="4" w:space="0" w:color="auto"/>
            </w:tcBorders>
            <w:shd w:val="clear" w:color="auto" w:fill="auto"/>
            <w:noWrap/>
            <w:vAlign w:val="center"/>
            <w:hideMark/>
          </w:tcPr>
          <w:p w14:paraId="42B13F0B" w14:textId="77777777" w:rsidR="00F35E14" w:rsidRPr="004E01B4" w:rsidRDefault="00F35E14" w:rsidP="00F777B7">
            <w:pPr>
              <w:jc w:val="right"/>
              <w:rPr>
                <w:rFonts w:ascii="Calibri" w:hAnsi="Calibri" w:cs="Calibri"/>
                <w:sz w:val="20"/>
              </w:rPr>
            </w:pPr>
            <w:r w:rsidRPr="004E01B4">
              <w:rPr>
                <w:rFonts w:ascii="Calibri" w:hAnsi="Calibri" w:cs="Calibri"/>
                <w:sz w:val="20"/>
              </w:rPr>
              <w:t>102,52</w:t>
            </w:r>
          </w:p>
        </w:tc>
        <w:tc>
          <w:tcPr>
            <w:tcW w:w="964" w:type="dxa"/>
            <w:tcBorders>
              <w:top w:val="nil"/>
              <w:left w:val="nil"/>
              <w:bottom w:val="single" w:sz="4" w:space="0" w:color="auto"/>
              <w:right w:val="single" w:sz="4" w:space="0" w:color="auto"/>
            </w:tcBorders>
            <w:shd w:val="clear" w:color="auto" w:fill="auto"/>
            <w:noWrap/>
            <w:vAlign w:val="center"/>
            <w:hideMark/>
          </w:tcPr>
          <w:p w14:paraId="24CC628A" w14:textId="77777777" w:rsidR="00F35E14" w:rsidRPr="004E01B4" w:rsidRDefault="00F35E14" w:rsidP="00F777B7">
            <w:pPr>
              <w:jc w:val="right"/>
              <w:rPr>
                <w:rFonts w:ascii="Calibri" w:hAnsi="Calibri" w:cs="Calibri"/>
                <w:sz w:val="20"/>
              </w:rPr>
            </w:pPr>
            <w:r w:rsidRPr="004E01B4">
              <w:rPr>
                <w:rFonts w:ascii="Calibri" w:hAnsi="Calibri" w:cs="Calibri"/>
                <w:sz w:val="20"/>
              </w:rPr>
              <w:t>104,32</w:t>
            </w:r>
          </w:p>
        </w:tc>
        <w:tc>
          <w:tcPr>
            <w:tcW w:w="964" w:type="dxa"/>
            <w:tcBorders>
              <w:top w:val="nil"/>
              <w:left w:val="nil"/>
              <w:bottom w:val="single" w:sz="4" w:space="0" w:color="auto"/>
              <w:right w:val="single" w:sz="4" w:space="0" w:color="auto"/>
            </w:tcBorders>
            <w:shd w:val="clear" w:color="auto" w:fill="auto"/>
            <w:noWrap/>
            <w:vAlign w:val="center"/>
            <w:hideMark/>
          </w:tcPr>
          <w:p w14:paraId="4FECFDEE" w14:textId="77777777" w:rsidR="00F35E14" w:rsidRPr="004E01B4" w:rsidRDefault="00F35E14" w:rsidP="00F777B7">
            <w:pPr>
              <w:jc w:val="right"/>
              <w:rPr>
                <w:rFonts w:ascii="Calibri" w:hAnsi="Calibri" w:cs="Calibri"/>
                <w:sz w:val="20"/>
              </w:rPr>
            </w:pPr>
            <w:r w:rsidRPr="004E01B4">
              <w:rPr>
                <w:rFonts w:ascii="Calibri" w:hAnsi="Calibri" w:cs="Calibri"/>
                <w:sz w:val="20"/>
              </w:rPr>
              <w:t>108,20</w:t>
            </w:r>
          </w:p>
        </w:tc>
        <w:tc>
          <w:tcPr>
            <w:tcW w:w="964" w:type="dxa"/>
            <w:tcBorders>
              <w:top w:val="nil"/>
              <w:left w:val="nil"/>
              <w:bottom w:val="single" w:sz="4" w:space="0" w:color="auto"/>
              <w:right w:val="single" w:sz="4" w:space="0" w:color="auto"/>
            </w:tcBorders>
            <w:shd w:val="clear" w:color="auto" w:fill="auto"/>
            <w:noWrap/>
            <w:vAlign w:val="center"/>
            <w:hideMark/>
          </w:tcPr>
          <w:p w14:paraId="51D67D55" w14:textId="77777777" w:rsidR="00F35E14" w:rsidRPr="004E01B4" w:rsidRDefault="00F35E14" w:rsidP="00F777B7">
            <w:pPr>
              <w:jc w:val="right"/>
              <w:rPr>
                <w:rFonts w:ascii="Calibri" w:hAnsi="Calibri" w:cs="Calibri"/>
                <w:sz w:val="20"/>
              </w:rPr>
            </w:pPr>
            <w:r w:rsidRPr="004E01B4">
              <w:rPr>
                <w:rFonts w:ascii="Calibri" w:hAnsi="Calibri" w:cs="Calibri"/>
                <w:sz w:val="20"/>
              </w:rPr>
              <w:t>107,98</w:t>
            </w:r>
          </w:p>
        </w:tc>
        <w:tc>
          <w:tcPr>
            <w:tcW w:w="964" w:type="dxa"/>
            <w:tcBorders>
              <w:top w:val="nil"/>
              <w:left w:val="nil"/>
              <w:bottom w:val="single" w:sz="4" w:space="0" w:color="auto"/>
              <w:right w:val="single" w:sz="4" w:space="0" w:color="auto"/>
            </w:tcBorders>
            <w:shd w:val="clear" w:color="auto" w:fill="auto"/>
            <w:noWrap/>
            <w:vAlign w:val="center"/>
            <w:hideMark/>
          </w:tcPr>
          <w:p w14:paraId="2C9318F8" w14:textId="77777777" w:rsidR="00F35E14" w:rsidRPr="004E01B4" w:rsidRDefault="00F35E14" w:rsidP="00F777B7">
            <w:pPr>
              <w:jc w:val="right"/>
              <w:rPr>
                <w:rFonts w:ascii="Calibri" w:hAnsi="Calibri" w:cs="Calibri"/>
                <w:sz w:val="20"/>
              </w:rPr>
            </w:pPr>
            <w:r w:rsidRPr="004E01B4">
              <w:rPr>
                <w:rFonts w:ascii="Calibri" w:hAnsi="Calibri" w:cs="Calibri"/>
                <w:sz w:val="20"/>
              </w:rPr>
              <w:t>104,33</w:t>
            </w:r>
          </w:p>
        </w:tc>
        <w:tc>
          <w:tcPr>
            <w:tcW w:w="964" w:type="dxa"/>
            <w:tcBorders>
              <w:top w:val="nil"/>
              <w:left w:val="nil"/>
              <w:bottom w:val="single" w:sz="4" w:space="0" w:color="auto"/>
              <w:right w:val="single" w:sz="4" w:space="0" w:color="auto"/>
            </w:tcBorders>
            <w:shd w:val="clear" w:color="auto" w:fill="auto"/>
            <w:noWrap/>
            <w:vAlign w:val="center"/>
            <w:hideMark/>
          </w:tcPr>
          <w:p w14:paraId="2231BBEF" w14:textId="77777777" w:rsidR="00F35E14" w:rsidRPr="004E01B4" w:rsidRDefault="00F35E14" w:rsidP="00F777B7">
            <w:pPr>
              <w:jc w:val="right"/>
              <w:rPr>
                <w:rFonts w:ascii="Calibri" w:hAnsi="Calibri" w:cs="Calibri"/>
                <w:sz w:val="20"/>
              </w:rPr>
            </w:pPr>
            <w:r w:rsidRPr="004E01B4">
              <w:rPr>
                <w:rFonts w:ascii="Calibri" w:hAnsi="Calibri" w:cs="Calibri"/>
                <w:sz w:val="20"/>
              </w:rPr>
              <w:t>107,71</w:t>
            </w:r>
          </w:p>
        </w:tc>
      </w:tr>
      <w:tr w:rsidR="00F35E14" w:rsidRPr="00F35E14" w14:paraId="5D1B1FA3"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48F18E87"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Lotyšsko</w:t>
            </w:r>
          </w:p>
        </w:tc>
        <w:tc>
          <w:tcPr>
            <w:tcW w:w="964" w:type="dxa"/>
            <w:tcBorders>
              <w:top w:val="nil"/>
              <w:left w:val="nil"/>
              <w:bottom w:val="single" w:sz="4" w:space="0" w:color="auto"/>
              <w:right w:val="single" w:sz="4" w:space="0" w:color="auto"/>
            </w:tcBorders>
            <w:shd w:val="clear" w:color="auto" w:fill="auto"/>
            <w:noWrap/>
            <w:vAlign w:val="center"/>
            <w:hideMark/>
          </w:tcPr>
          <w:p w14:paraId="75F59F44" w14:textId="77777777" w:rsidR="00F35E14" w:rsidRPr="004E01B4" w:rsidRDefault="00F35E14" w:rsidP="00F777B7">
            <w:pPr>
              <w:jc w:val="right"/>
              <w:rPr>
                <w:rFonts w:ascii="Calibri" w:hAnsi="Calibri" w:cs="Calibri"/>
                <w:sz w:val="20"/>
              </w:rPr>
            </w:pPr>
            <w:r w:rsidRPr="004E01B4">
              <w:rPr>
                <w:rFonts w:ascii="Calibri" w:hAnsi="Calibri" w:cs="Calibri"/>
                <w:sz w:val="20"/>
              </w:rPr>
              <w:t>108,49</w:t>
            </w:r>
          </w:p>
        </w:tc>
        <w:tc>
          <w:tcPr>
            <w:tcW w:w="964" w:type="dxa"/>
            <w:tcBorders>
              <w:top w:val="nil"/>
              <w:left w:val="nil"/>
              <w:bottom w:val="single" w:sz="4" w:space="0" w:color="auto"/>
              <w:right w:val="single" w:sz="4" w:space="0" w:color="auto"/>
            </w:tcBorders>
            <w:shd w:val="clear" w:color="auto" w:fill="auto"/>
            <w:noWrap/>
            <w:vAlign w:val="center"/>
            <w:hideMark/>
          </w:tcPr>
          <w:p w14:paraId="6AEBE5D1" w14:textId="77777777" w:rsidR="00F35E14" w:rsidRPr="004E01B4" w:rsidRDefault="00F35E14" w:rsidP="00F777B7">
            <w:pPr>
              <w:jc w:val="right"/>
              <w:rPr>
                <w:rFonts w:ascii="Calibri" w:hAnsi="Calibri" w:cs="Calibri"/>
                <w:sz w:val="20"/>
              </w:rPr>
            </w:pPr>
            <w:r w:rsidRPr="004E01B4">
              <w:rPr>
                <w:rFonts w:ascii="Calibri" w:hAnsi="Calibri" w:cs="Calibri"/>
                <w:sz w:val="20"/>
              </w:rPr>
              <w:t>118,01</w:t>
            </w:r>
          </w:p>
        </w:tc>
        <w:tc>
          <w:tcPr>
            <w:tcW w:w="964" w:type="dxa"/>
            <w:tcBorders>
              <w:top w:val="nil"/>
              <w:left w:val="nil"/>
              <w:bottom w:val="single" w:sz="4" w:space="0" w:color="auto"/>
              <w:right w:val="single" w:sz="4" w:space="0" w:color="auto"/>
            </w:tcBorders>
            <w:shd w:val="clear" w:color="auto" w:fill="auto"/>
            <w:noWrap/>
            <w:vAlign w:val="center"/>
            <w:hideMark/>
          </w:tcPr>
          <w:p w14:paraId="76DC7557" w14:textId="77777777" w:rsidR="00F35E14" w:rsidRPr="004E01B4" w:rsidRDefault="00F35E14" w:rsidP="00F777B7">
            <w:pPr>
              <w:jc w:val="right"/>
              <w:rPr>
                <w:rFonts w:ascii="Calibri" w:hAnsi="Calibri" w:cs="Calibri"/>
                <w:sz w:val="20"/>
              </w:rPr>
            </w:pPr>
            <w:r w:rsidRPr="004E01B4">
              <w:rPr>
                <w:rFonts w:ascii="Calibri" w:hAnsi="Calibri" w:cs="Calibri"/>
                <w:sz w:val="20"/>
              </w:rPr>
              <w:t>129,30</w:t>
            </w:r>
          </w:p>
        </w:tc>
        <w:tc>
          <w:tcPr>
            <w:tcW w:w="964" w:type="dxa"/>
            <w:tcBorders>
              <w:top w:val="nil"/>
              <w:left w:val="nil"/>
              <w:bottom w:val="single" w:sz="4" w:space="0" w:color="auto"/>
              <w:right w:val="single" w:sz="4" w:space="0" w:color="auto"/>
            </w:tcBorders>
            <w:shd w:val="clear" w:color="auto" w:fill="auto"/>
            <w:noWrap/>
            <w:vAlign w:val="center"/>
            <w:hideMark/>
          </w:tcPr>
          <w:p w14:paraId="028E7289" w14:textId="77777777" w:rsidR="00F35E14" w:rsidRPr="004E01B4" w:rsidRDefault="00F35E14" w:rsidP="00F777B7">
            <w:pPr>
              <w:jc w:val="right"/>
              <w:rPr>
                <w:rFonts w:ascii="Calibri" w:hAnsi="Calibri" w:cs="Calibri"/>
                <w:sz w:val="20"/>
              </w:rPr>
            </w:pPr>
            <w:r w:rsidRPr="004E01B4">
              <w:rPr>
                <w:rFonts w:ascii="Calibri" w:hAnsi="Calibri" w:cs="Calibri"/>
                <w:sz w:val="20"/>
              </w:rPr>
              <w:t>140,88</w:t>
            </w:r>
          </w:p>
        </w:tc>
        <w:tc>
          <w:tcPr>
            <w:tcW w:w="964" w:type="dxa"/>
            <w:tcBorders>
              <w:top w:val="nil"/>
              <w:left w:val="nil"/>
              <w:bottom w:val="single" w:sz="4" w:space="0" w:color="auto"/>
              <w:right w:val="single" w:sz="4" w:space="0" w:color="auto"/>
            </w:tcBorders>
            <w:shd w:val="clear" w:color="auto" w:fill="auto"/>
            <w:noWrap/>
            <w:vAlign w:val="center"/>
            <w:hideMark/>
          </w:tcPr>
          <w:p w14:paraId="2DCCA2D9" w14:textId="77777777" w:rsidR="00F35E14" w:rsidRPr="004E01B4" w:rsidRDefault="00F35E14" w:rsidP="00F777B7">
            <w:pPr>
              <w:jc w:val="right"/>
              <w:rPr>
                <w:rFonts w:ascii="Calibri" w:hAnsi="Calibri" w:cs="Calibri"/>
                <w:sz w:val="20"/>
              </w:rPr>
            </w:pPr>
            <w:r w:rsidRPr="004E01B4">
              <w:rPr>
                <w:rFonts w:ascii="Calibri" w:hAnsi="Calibri" w:cs="Calibri"/>
                <w:sz w:val="20"/>
              </w:rPr>
              <w:t>145,77</w:t>
            </w:r>
          </w:p>
        </w:tc>
        <w:tc>
          <w:tcPr>
            <w:tcW w:w="964" w:type="dxa"/>
            <w:tcBorders>
              <w:top w:val="nil"/>
              <w:left w:val="nil"/>
              <w:bottom w:val="single" w:sz="4" w:space="0" w:color="auto"/>
              <w:right w:val="single" w:sz="4" w:space="0" w:color="auto"/>
            </w:tcBorders>
            <w:shd w:val="clear" w:color="auto" w:fill="auto"/>
            <w:noWrap/>
            <w:vAlign w:val="center"/>
            <w:hideMark/>
          </w:tcPr>
          <w:p w14:paraId="1E9037B4" w14:textId="77777777" w:rsidR="00F35E14" w:rsidRPr="004E01B4" w:rsidRDefault="00F35E14" w:rsidP="00F777B7">
            <w:pPr>
              <w:jc w:val="right"/>
              <w:rPr>
                <w:rFonts w:ascii="Calibri" w:hAnsi="Calibri" w:cs="Calibri"/>
                <w:sz w:val="20"/>
              </w:rPr>
            </w:pPr>
            <w:r w:rsidRPr="004E01B4">
              <w:rPr>
                <w:rFonts w:ascii="Calibri" w:hAnsi="Calibri" w:cs="Calibri"/>
                <w:sz w:val="20"/>
              </w:rPr>
              <w:t>161,65</w:t>
            </w:r>
          </w:p>
        </w:tc>
        <w:tc>
          <w:tcPr>
            <w:tcW w:w="964" w:type="dxa"/>
            <w:tcBorders>
              <w:top w:val="nil"/>
              <w:left w:val="nil"/>
              <w:bottom w:val="single" w:sz="4" w:space="0" w:color="auto"/>
              <w:right w:val="single" w:sz="4" w:space="0" w:color="auto"/>
            </w:tcBorders>
            <w:shd w:val="clear" w:color="auto" w:fill="auto"/>
            <w:noWrap/>
            <w:vAlign w:val="center"/>
            <w:hideMark/>
          </w:tcPr>
          <w:p w14:paraId="1DB5A8D8" w14:textId="77777777" w:rsidR="00F35E14" w:rsidRPr="004E01B4" w:rsidRDefault="00F35E14" w:rsidP="00F777B7">
            <w:pPr>
              <w:jc w:val="right"/>
              <w:rPr>
                <w:rFonts w:ascii="Calibri" w:hAnsi="Calibri" w:cs="Calibri"/>
                <w:sz w:val="20"/>
              </w:rPr>
            </w:pPr>
            <w:r w:rsidRPr="004E01B4">
              <w:rPr>
                <w:rFonts w:ascii="Calibri" w:hAnsi="Calibri" w:cs="Calibri"/>
                <w:sz w:val="20"/>
              </w:rPr>
              <w:t>184,01</w:t>
            </w:r>
          </w:p>
        </w:tc>
      </w:tr>
      <w:tr w:rsidR="00F35E14" w:rsidRPr="00F35E14" w14:paraId="2D89F7E9"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7499A0C1"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Litva</w:t>
            </w:r>
          </w:p>
        </w:tc>
        <w:tc>
          <w:tcPr>
            <w:tcW w:w="964" w:type="dxa"/>
            <w:tcBorders>
              <w:top w:val="nil"/>
              <w:left w:val="nil"/>
              <w:bottom w:val="single" w:sz="4" w:space="0" w:color="auto"/>
              <w:right w:val="single" w:sz="4" w:space="0" w:color="auto"/>
            </w:tcBorders>
            <w:shd w:val="clear" w:color="auto" w:fill="auto"/>
            <w:noWrap/>
            <w:vAlign w:val="center"/>
            <w:hideMark/>
          </w:tcPr>
          <w:p w14:paraId="44B90592" w14:textId="77777777" w:rsidR="00F35E14" w:rsidRPr="004E01B4" w:rsidRDefault="00F35E14" w:rsidP="00F777B7">
            <w:pPr>
              <w:jc w:val="right"/>
              <w:rPr>
                <w:rFonts w:ascii="Calibri" w:hAnsi="Calibri" w:cs="Calibri"/>
                <w:sz w:val="20"/>
              </w:rPr>
            </w:pPr>
            <w:r w:rsidRPr="004E01B4">
              <w:rPr>
                <w:rFonts w:ascii="Calibri" w:hAnsi="Calibri" w:cs="Calibri"/>
                <w:sz w:val="20"/>
              </w:rPr>
              <w:t>105,40</w:t>
            </w:r>
          </w:p>
        </w:tc>
        <w:tc>
          <w:tcPr>
            <w:tcW w:w="964" w:type="dxa"/>
            <w:tcBorders>
              <w:top w:val="nil"/>
              <w:left w:val="nil"/>
              <w:bottom w:val="single" w:sz="4" w:space="0" w:color="auto"/>
              <w:right w:val="single" w:sz="4" w:space="0" w:color="auto"/>
            </w:tcBorders>
            <w:shd w:val="clear" w:color="auto" w:fill="auto"/>
            <w:noWrap/>
            <w:vAlign w:val="center"/>
            <w:hideMark/>
          </w:tcPr>
          <w:p w14:paraId="09179CD1" w14:textId="77777777" w:rsidR="00F35E14" w:rsidRPr="004E01B4" w:rsidRDefault="00F35E14" w:rsidP="00F777B7">
            <w:pPr>
              <w:jc w:val="right"/>
              <w:rPr>
                <w:rFonts w:ascii="Calibri" w:hAnsi="Calibri" w:cs="Calibri"/>
                <w:sz w:val="20"/>
              </w:rPr>
            </w:pPr>
            <w:r w:rsidRPr="004E01B4">
              <w:rPr>
                <w:rFonts w:ascii="Calibri" w:hAnsi="Calibri" w:cs="Calibri"/>
                <w:sz w:val="20"/>
              </w:rPr>
              <w:t>114,80</w:t>
            </w:r>
          </w:p>
        </w:tc>
        <w:tc>
          <w:tcPr>
            <w:tcW w:w="964" w:type="dxa"/>
            <w:tcBorders>
              <w:top w:val="nil"/>
              <w:left w:val="nil"/>
              <w:bottom w:val="single" w:sz="4" w:space="0" w:color="auto"/>
              <w:right w:val="single" w:sz="4" w:space="0" w:color="auto"/>
            </w:tcBorders>
            <w:shd w:val="clear" w:color="auto" w:fill="auto"/>
            <w:noWrap/>
            <w:vAlign w:val="center"/>
            <w:hideMark/>
          </w:tcPr>
          <w:p w14:paraId="69E7AB2E" w14:textId="77777777" w:rsidR="00F35E14" w:rsidRPr="004E01B4" w:rsidRDefault="00F35E14" w:rsidP="00F777B7">
            <w:pPr>
              <w:jc w:val="right"/>
              <w:rPr>
                <w:rFonts w:ascii="Calibri" w:hAnsi="Calibri" w:cs="Calibri"/>
                <w:sz w:val="20"/>
              </w:rPr>
            </w:pPr>
            <w:r w:rsidRPr="004E01B4">
              <w:rPr>
                <w:rFonts w:ascii="Calibri" w:hAnsi="Calibri" w:cs="Calibri"/>
                <w:sz w:val="20"/>
              </w:rPr>
              <w:t>123,18</w:t>
            </w:r>
          </w:p>
        </w:tc>
        <w:tc>
          <w:tcPr>
            <w:tcW w:w="964" w:type="dxa"/>
            <w:tcBorders>
              <w:top w:val="nil"/>
              <w:left w:val="nil"/>
              <w:bottom w:val="single" w:sz="4" w:space="0" w:color="auto"/>
              <w:right w:val="single" w:sz="4" w:space="0" w:color="auto"/>
            </w:tcBorders>
            <w:shd w:val="clear" w:color="auto" w:fill="auto"/>
            <w:noWrap/>
            <w:vAlign w:val="center"/>
            <w:hideMark/>
          </w:tcPr>
          <w:p w14:paraId="779EF8D2" w14:textId="77777777" w:rsidR="00F35E14" w:rsidRPr="004E01B4" w:rsidRDefault="00F35E14" w:rsidP="00F777B7">
            <w:pPr>
              <w:jc w:val="right"/>
              <w:rPr>
                <w:rFonts w:ascii="Calibri" w:hAnsi="Calibri" w:cs="Calibri"/>
                <w:sz w:val="20"/>
              </w:rPr>
            </w:pPr>
            <w:r w:rsidRPr="004E01B4">
              <w:rPr>
                <w:rFonts w:ascii="Calibri" w:hAnsi="Calibri" w:cs="Calibri"/>
                <w:sz w:val="20"/>
              </w:rPr>
              <w:t>131,61</w:t>
            </w:r>
          </w:p>
        </w:tc>
        <w:tc>
          <w:tcPr>
            <w:tcW w:w="964" w:type="dxa"/>
            <w:tcBorders>
              <w:top w:val="nil"/>
              <w:left w:val="nil"/>
              <w:bottom w:val="single" w:sz="4" w:space="0" w:color="auto"/>
              <w:right w:val="single" w:sz="4" w:space="0" w:color="auto"/>
            </w:tcBorders>
            <w:shd w:val="clear" w:color="auto" w:fill="auto"/>
            <w:noWrap/>
            <w:vAlign w:val="center"/>
            <w:hideMark/>
          </w:tcPr>
          <w:p w14:paraId="28BC8CD2" w14:textId="77777777" w:rsidR="00F35E14" w:rsidRPr="004E01B4" w:rsidRDefault="00F35E14" w:rsidP="00F777B7">
            <w:pPr>
              <w:jc w:val="right"/>
              <w:rPr>
                <w:rFonts w:ascii="Calibri" w:hAnsi="Calibri" w:cs="Calibri"/>
                <w:sz w:val="20"/>
              </w:rPr>
            </w:pPr>
            <w:r w:rsidRPr="004E01B4">
              <w:rPr>
                <w:rFonts w:ascii="Calibri" w:hAnsi="Calibri" w:cs="Calibri"/>
                <w:sz w:val="20"/>
              </w:rPr>
              <w:t>141,18</w:t>
            </w:r>
          </w:p>
        </w:tc>
        <w:tc>
          <w:tcPr>
            <w:tcW w:w="964" w:type="dxa"/>
            <w:tcBorders>
              <w:top w:val="nil"/>
              <w:left w:val="nil"/>
              <w:bottom w:val="single" w:sz="4" w:space="0" w:color="auto"/>
              <w:right w:val="single" w:sz="4" w:space="0" w:color="auto"/>
            </w:tcBorders>
            <w:shd w:val="clear" w:color="auto" w:fill="auto"/>
            <w:noWrap/>
            <w:vAlign w:val="center"/>
            <w:hideMark/>
          </w:tcPr>
          <w:p w14:paraId="647329EE" w14:textId="77777777" w:rsidR="00F35E14" w:rsidRPr="004E01B4" w:rsidRDefault="00F35E14" w:rsidP="00F777B7">
            <w:pPr>
              <w:jc w:val="right"/>
              <w:rPr>
                <w:rFonts w:ascii="Calibri" w:hAnsi="Calibri" w:cs="Calibri"/>
                <w:sz w:val="20"/>
              </w:rPr>
            </w:pPr>
            <w:r w:rsidRPr="004E01B4">
              <w:rPr>
                <w:rFonts w:ascii="Calibri" w:hAnsi="Calibri" w:cs="Calibri"/>
                <w:sz w:val="20"/>
              </w:rPr>
              <w:t>163,84</w:t>
            </w:r>
          </w:p>
        </w:tc>
        <w:tc>
          <w:tcPr>
            <w:tcW w:w="964" w:type="dxa"/>
            <w:tcBorders>
              <w:top w:val="nil"/>
              <w:left w:val="nil"/>
              <w:bottom w:val="single" w:sz="4" w:space="0" w:color="auto"/>
              <w:right w:val="single" w:sz="4" w:space="0" w:color="auto"/>
            </w:tcBorders>
            <w:shd w:val="clear" w:color="auto" w:fill="auto"/>
            <w:noWrap/>
            <w:vAlign w:val="center"/>
            <w:hideMark/>
          </w:tcPr>
          <w:p w14:paraId="311C80E7" w14:textId="77777777" w:rsidR="00F35E14" w:rsidRPr="004E01B4" w:rsidRDefault="00F35E14" w:rsidP="00F777B7">
            <w:pPr>
              <w:jc w:val="right"/>
              <w:rPr>
                <w:rFonts w:ascii="Calibri" w:hAnsi="Calibri" w:cs="Calibri"/>
                <w:sz w:val="20"/>
              </w:rPr>
            </w:pPr>
            <w:r w:rsidRPr="004E01B4">
              <w:rPr>
                <w:rFonts w:ascii="Calibri" w:hAnsi="Calibri" w:cs="Calibri"/>
                <w:sz w:val="20"/>
              </w:rPr>
              <w:t>195,05</w:t>
            </w:r>
          </w:p>
        </w:tc>
      </w:tr>
      <w:tr w:rsidR="00F35E14" w:rsidRPr="00F35E14" w14:paraId="56F19D2A"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20F85EE4"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Lucembursko</w:t>
            </w:r>
          </w:p>
        </w:tc>
        <w:tc>
          <w:tcPr>
            <w:tcW w:w="964" w:type="dxa"/>
            <w:tcBorders>
              <w:top w:val="nil"/>
              <w:left w:val="nil"/>
              <w:bottom w:val="single" w:sz="4" w:space="0" w:color="auto"/>
              <w:right w:val="single" w:sz="4" w:space="0" w:color="auto"/>
            </w:tcBorders>
            <w:shd w:val="clear" w:color="auto" w:fill="auto"/>
            <w:noWrap/>
            <w:vAlign w:val="center"/>
            <w:hideMark/>
          </w:tcPr>
          <w:p w14:paraId="735D21F9" w14:textId="77777777" w:rsidR="00F35E14" w:rsidRPr="004E01B4" w:rsidRDefault="00F35E14" w:rsidP="00F777B7">
            <w:pPr>
              <w:jc w:val="right"/>
              <w:rPr>
                <w:rFonts w:ascii="Calibri" w:hAnsi="Calibri" w:cs="Calibri"/>
                <w:sz w:val="20"/>
              </w:rPr>
            </w:pPr>
            <w:r w:rsidRPr="004E01B4">
              <w:rPr>
                <w:rFonts w:ascii="Calibri" w:hAnsi="Calibri" w:cs="Calibri"/>
                <w:sz w:val="20"/>
              </w:rPr>
              <w:t>106,01</w:t>
            </w:r>
          </w:p>
        </w:tc>
        <w:tc>
          <w:tcPr>
            <w:tcW w:w="964" w:type="dxa"/>
            <w:tcBorders>
              <w:top w:val="nil"/>
              <w:left w:val="nil"/>
              <w:bottom w:val="single" w:sz="4" w:space="0" w:color="auto"/>
              <w:right w:val="single" w:sz="4" w:space="0" w:color="auto"/>
            </w:tcBorders>
            <w:shd w:val="clear" w:color="auto" w:fill="auto"/>
            <w:noWrap/>
            <w:vAlign w:val="center"/>
            <w:hideMark/>
          </w:tcPr>
          <w:p w14:paraId="56ED42CB" w14:textId="77777777" w:rsidR="00F35E14" w:rsidRPr="004E01B4" w:rsidRDefault="00F35E14" w:rsidP="00F777B7">
            <w:pPr>
              <w:jc w:val="right"/>
              <w:rPr>
                <w:rFonts w:ascii="Calibri" w:hAnsi="Calibri" w:cs="Calibri"/>
                <w:sz w:val="20"/>
              </w:rPr>
            </w:pPr>
            <w:r w:rsidRPr="004E01B4">
              <w:rPr>
                <w:rFonts w:ascii="Calibri" w:hAnsi="Calibri" w:cs="Calibri"/>
                <w:sz w:val="20"/>
              </w:rPr>
              <w:t>111,96</w:t>
            </w:r>
          </w:p>
        </w:tc>
        <w:tc>
          <w:tcPr>
            <w:tcW w:w="964" w:type="dxa"/>
            <w:tcBorders>
              <w:top w:val="nil"/>
              <w:left w:val="nil"/>
              <w:bottom w:val="single" w:sz="4" w:space="0" w:color="auto"/>
              <w:right w:val="single" w:sz="4" w:space="0" w:color="auto"/>
            </w:tcBorders>
            <w:shd w:val="clear" w:color="auto" w:fill="auto"/>
            <w:noWrap/>
            <w:vAlign w:val="center"/>
            <w:hideMark/>
          </w:tcPr>
          <w:p w14:paraId="672850F7" w14:textId="77777777" w:rsidR="00F35E14" w:rsidRPr="004E01B4" w:rsidRDefault="00F35E14" w:rsidP="00F777B7">
            <w:pPr>
              <w:jc w:val="right"/>
              <w:rPr>
                <w:rFonts w:ascii="Calibri" w:hAnsi="Calibri" w:cs="Calibri"/>
                <w:sz w:val="20"/>
              </w:rPr>
            </w:pPr>
            <w:r w:rsidRPr="004E01B4">
              <w:rPr>
                <w:rFonts w:ascii="Calibri" w:hAnsi="Calibri" w:cs="Calibri"/>
                <w:sz w:val="20"/>
              </w:rPr>
              <w:t>119,86</w:t>
            </w:r>
          </w:p>
        </w:tc>
        <w:tc>
          <w:tcPr>
            <w:tcW w:w="964" w:type="dxa"/>
            <w:tcBorders>
              <w:top w:val="nil"/>
              <w:left w:val="nil"/>
              <w:bottom w:val="single" w:sz="4" w:space="0" w:color="auto"/>
              <w:right w:val="single" w:sz="4" w:space="0" w:color="auto"/>
            </w:tcBorders>
            <w:shd w:val="clear" w:color="auto" w:fill="auto"/>
            <w:noWrap/>
            <w:vAlign w:val="center"/>
            <w:hideMark/>
          </w:tcPr>
          <w:p w14:paraId="10B7112A" w14:textId="77777777" w:rsidR="00F35E14" w:rsidRPr="004E01B4" w:rsidRDefault="00F35E14" w:rsidP="00F777B7">
            <w:pPr>
              <w:jc w:val="right"/>
              <w:rPr>
                <w:rFonts w:ascii="Calibri" w:hAnsi="Calibri" w:cs="Calibri"/>
                <w:sz w:val="20"/>
              </w:rPr>
            </w:pPr>
            <w:r w:rsidRPr="004E01B4">
              <w:rPr>
                <w:rFonts w:ascii="Calibri" w:hAnsi="Calibri" w:cs="Calibri"/>
                <w:sz w:val="20"/>
              </w:rPr>
              <w:t>131,99</w:t>
            </w:r>
          </w:p>
        </w:tc>
        <w:tc>
          <w:tcPr>
            <w:tcW w:w="964" w:type="dxa"/>
            <w:tcBorders>
              <w:top w:val="nil"/>
              <w:left w:val="nil"/>
              <w:bottom w:val="single" w:sz="4" w:space="0" w:color="auto"/>
              <w:right w:val="single" w:sz="4" w:space="0" w:color="auto"/>
            </w:tcBorders>
            <w:shd w:val="clear" w:color="auto" w:fill="auto"/>
            <w:noWrap/>
            <w:vAlign w:val="center"/>
            <w:hideMark/>
          </w:tcPr>
          <w:p w14:paraId="5A1A2E48" w14:textId="77777777" w:rsidR="00F35E14" w:rsidRPr="004E01B4" w:rsidRDefault="00F35E14" w:rsidP="00F777B7">
            <w:pPr>
              <w:jc w:val="right"/>
              <w:rPr>
                <w:rFonts w:ascii="Calibri" w:hAnsi="Calibri" w:cs="Calibri"/>
                <w:sz w:val="20"/>
              </w:rPr>
            </w:pPr>
            <w:r w:rsidRPr="004E01B4">
              <w:rPr>
                <w:rFonts w:ascii="Calibri" w:hAnsi="Calibri" w:cs="Calibri"/>
                <w:sz w:val="20"/>
              </w:rPr>
              <w:t>151,12</w:t>
            </w:r>
          </w:p>
        </w:tc>
        <w:tc>
          <w:tcPr>
            <w:tcW w:w="964" w:type="dxa"/>
            <w:tcBorders>
              <w:top w:val="nil"/>
              <w:left w:val="nil"/>
              <w:bottom w:val="single" w:sz="4" w:space="0" w:color="auto"/>
              <w:right w:val="single" w:sz="4" w:space="0" w:color="auto"/>
            </w:tcBorders>
            <w:shd w:val="clear" w:color="auto" w:fill="auto"/>
            <w:noWrap/>
            <w:vAlign w:val="center"/>
            <w:hideMark/>
          </w:tcPr>
          <w:p w14:paraId="396E5893" w14:textId="77777777" w:rsidR="00F35E14" w:rsidRPr="004E01B4" w:rsidRDefault="00F35E14" w:rsidP="00F777B7">
            <w:pPr>
              <w:jc w:val="right"/>
              <w:rPr>
                <w:rFonts w:ascii="Calibri" w:hAnsi="Calibri" w:cs="Calibri"/>
                <w:sz w:val="20"/>
              </w:rPr>
            </w:pPr>
            <w:r w:rsidRPr="004E01B4">
              <w:rPr>
                <w:rFonts w:ascii="Calibri" w:hAnsi="Calibri" w:cs="Calibri"/>
                <w:sz w:val="20"/>
              </w:rPr>
              <w:t>172,15</w:t>
            </w:r>
          </w:p>
        </w:tc>
        <w:tc>
          <w:tcPr>
            <w:tcW w:w="964" w:type="dxa"/>
            <w:tcBorders>
              <w:top w:val="nil"/>
              <w:left w:val="nil"/>
              <w:bottom w:val="single" w:sz="4" w:space="0" w:color="auto"/>
              <w:right w:val="single" w:sz="4" w:space="0" w:color="auto"/>
            </w:tcBorders>
            <w:shd w:val="clear" w:color="auto" w:fill="auto"/>
            <w:noWrap/>
            <w:vAlign w:val="center"/>
            <w:hideMark/>
          </w:tcPr>
          <w:p w14:paraId="5948BFC4" w14:textId="77777777" w:rsidR="00F35E14" w:rsidRPr="004E01B4" w:rsidRDefault="00F35E14" w:rsidP="00F777B7">
            <w:pPr>
              <w:jc w:val="right"/>
              <w:rPr>
                <w:rFonts w:ascii="Calibri" w:hAnsi="Calibri" w:cs="Calibri"/>
                <w:sz w:val="20"/>
              </w:rPr>
            </w:pPr>
            <w:r w:rsidRPr="004E01B4">
              <w:rPr>
                <w:rFonts w:ascii="Calibri" w:hAnsi="Calibri" w:cs="Calibri"/>
                <w:sz w:val="20"/>
              </w:rPr>
              <w:t>188,60</w:t>
            </w:r>
          </w:p>
        </w:tc>
      </w:tr>
      <w:tr w:rsidR="00F35E14" w:rsidRPr="00F35E14" w14:paraId="6058092D"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0E2741BB"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Maďarsko</w:t>
            </w:r>
          </w:p>
        </w:tc>
        <w:tc>
          <w:tcPr>
            <w:tcW w:w="964" w:type="dxa"/>
            <w:tcBorders>
              <w:top w:val="nil"/>
              <w:left w:val="nil"/>
              <w:bottom w:val="single" w:sz="4" w:space="0" w:color="auto"/>
              <w:right w:val="single" w:sz="4" w:space="0" w:color="auto"/>
            </w:tcBorders>
            <w:shd w:val="clear" w:color="auto" w:fill="auto"/>
            <w:noWrap/>
            <w:vAlign w:val="center"/>
            <w:hideMark/>
          </w:tcPr>
          <w:p w14:paraId="131164E0" w14:textId="77777777" w:rsidR="00F35E14" w:rsidRPr="004E01B4" w:rsidRDefault="00F35E14" w:rsidP="00F777B7">
            <w:pPr>
              <w:jc w:val="right"/>
              <w:rPr>
                <w:rFonts w:ascii="Calibri" w:hAnsi="Calibri" w:cs="Calibri"/>
                <w:sz w:val="20"/>
              </w:rPr>
            </w:pPr>
            <w:r w:rsidRPr="004E01B4">
              <w:rPr>
                <w:rFonts w:ascii="Calibri" w:hAnsi="Calibri" w:cs="Calibri"/>
                <w:sz w:val="20"/>
              </w:rPr>
              <w:t>113,38</w:t>
            </w:r>
          </w:p>
        </w:tc>
        <w:tc>
          <w:tcPr>
            <w:tcW w:w="964" w:type="dxa"/>
            <w:tcBorders>
              <w:top w:val="nil"/>
              <w:left w:val="nil"/>
              <w:bottom w:val="single" w:sz="4" w:space="0" w:color="auto"/>
              <w:right w:val="single" w:sz="4" w:space="0" w:color="auto"/>
            </w:tcBorders>
            <w:shd w:val="clear" w:color="auto" w:fill="auto"/>
            <w:noWrap/>
            <w:vAlign w:val="center"/>
            <w:hideMark/>
          </w:tcPr>
          <w:p w14:paraId="1D5792DC" w14:textId="77777777" w:rsidR="00F35E14" w:rsidRPr="004E01B4" w:rsidRDefault="00F35E14" w:rsidP="00F777B7">
            <w:pPr>
              <w:jc w:val="right"/>
              <w:rPr>
                <w:rFonts w:ascii="Calibri" w:hAnsi="Calibri" w:cs="Calibri"/>
                <w:sz w:val="20"/>
              </w:rPr>
            </w:pPr>
            <w:r w:rsidRPr="004E01B4">
              <w:rPr>
                <w:rFonts w:ascii="Calibri" w:hAnsi="Calibri" w:cs="Calibri"/>
                <w:sz w:val="20"/>
              </w:rPr>
              <w:t>127,24</w:t>
            </w:r>
          </w:p>
        </w:tc>
        <w:tc>
          <w:tcPr>
            <w:tcW w:w="964" w:type="dxa"/>
            <w:tcBorders>
              <w:top w:val="nil"/>
              <w:left w:val="nil"/>
              <w:bottom w:val="single" w:sz="4" w:space="0" w:color="auto"/>
              <w:right w:val="single" w:sz="4" w:space="0" w:color="auto"/>
            </w:tcBorders>
            <w:shd w:val="clear" w:color="auto" w:fill="auto"/>
            <w:noWrap/>
            <w:vAlign w:val="center"/>
            <w:hideMark/>
          </w:tcPr>
          <w:p w14:paraId="43A9BF37" w14:textId="77777777" w:rsidR="00F35E14" w:rsidRPr="004E01B4" w:rsidRDefault="00F35E14" w:rsidP="00F777B7">
            <w:pPr>
              <w:jc w:val="right"/>
              <w:rPr>
                <w:rFonts w:ascii="Calibri" w:hAnsi="Calibri" w:cs="Calibri"/>
                <w:sz w:val="20"/>
              </w:rPr>
            </w:pPr>
            <w:r w:rsidRPr="004E01B4">
              <w:rPr>
                <w:rFonts w:ascii="Calibri" w:hAnsi="Calibri" w:cs="Calibri"/>
                <w:sz w:val="20"/>
              </w:rPr>
              <w:t>145,50</w:t>
            </w:r>
          </w:p>
        </w:tc>
        <w:tc>
          <w:tcPr>
            <w:tcW w:w="964" w:type="dxa"/>
            <w:tcBorders>
              <w:top w:val="nil"/>
              <w:left w:val="nil"/>
              <w:bottom w:val="single" w:sz="4" w:space="0" w:color="auto"/>
              <w:right w:val="single" w:sz="4" w:space="0" w:color="auto"/>
            </w:tcBorders>
            <w:shd w:val="clear" w:color="auto" w:fill="auto"/>
            <w:noWrap/>
            <w:vAlign w:val="center"/>
            <w:hideMark/>
          </w:tcPr>
          <w:p w14:paraId="62196AC8" w14:textId="77777777" w:rsidR="00F35E14" w:rsidRPr="004E01B4" w:rsidRDefault="00F35E14" w:rsidP="00F777B7">
            <w:pPr>
              <w:jc w:val="right"/>
              <w:rPr>
                <w:rFonts w:ascii="Calibri" w:hAnsi="Calibri" w:cs="Calibri"/>
                <w:sz w:val="20"/>
              </w:rPr>
            </w:pPr>
            <w:r w:rsidRPr="004E01B4">
              <w:rPr>
                <w:rFonts w:ascii="Calibri" w:hAnsi="Calibri" w:cs="Calibri"/>
                <w:sz w:val="20"/>
              </w:rPr>
              <w:t>170,17</w:t>
            </w:r>
          </w:p>
        </w:tc>
        <w:tc>
          <w:tcPr>
            <w:tcW w:w="964" w:type="dxa"/>
            <w:tcBorders>
              <w:top w:val="nil"/>
              <w:left w:val="nil"/>
              <w:bottom w:val="single" w:sz="4" w:space="0" w:color="auto"/>
              <w:right w:val="single" w:sz="4" w:space="0" w:color="auto"/>
            </w:tcBorders>
            <w:shd w:val="clear" w:color="auto" w:fill="auto"/>
            <w:noWrap/>
            <w:vAlign w:val="center"/>
            <w:hideMark/>
          </w:tcPr>
          <w:p w14:paraId="042277A4" w14:textId="77777777" w:rsidR="00F35E14" w:rsidRPr="004E01B4" w:rsidRDefault="00F35E14" w:rsidP="00F777B7">
            <w:pPr>
              <w:jc w:val="right"/>
              <w:rPr>
                <w:rFonts w:ascii="Calibri" w:hAnsi="Calibri" w:cs="Calibri"/>
                <w:sz w:val="20"/>
              </w:rPr>
            </w:pPr>
            <w:r w:rsidRPr="004E01B4">
              <w:rPr>
                <w:rFonts w:ascii="Calibri" w:hAnsi="Calibri" w:cs="Calibri"/>
                <w:sz w:val="20"/>
              </w:rPr>
              <w:t>178,58</w:t>
            </w:r>
          </w:p>
        </w:tc>
        <w:tc>
          <w:tcPr>
            <w:tcW w:w="964" w:type="dxa"/>
            <w:tcBorders>
              <w:top w:val="nil"/>
              <w:left w:val="nil"/>
              <w:bottom w:val="single" w:sz="4" w:space="0" w:color="auto"/>
              <w:right w:val="single" w:sz="4" w:space="0" w:color="auto"/>
            </w:tcBorders>
            <w:shd w:val="clear" w:color="auto" w:fill="auto"/>
            <w:noWrap/>
            <w:vAlign w:val="center"/>
            <w:hideMark/>
          </w:tcPr>
          <w:p w14:paraId="39548128" w14:textId="77777777" w:rsidR="00F35E14" w:rsidRPr="004E01B4" w:rsidRDefault="00F35E14" w:rsidP="00F777B7">
            <w:pPr>
              <w:jc w:val="right"/>
              <w:rPr>
                <w:rFonts w:ascii="Calibri" w:hAnsi="Calibri" w:cs="Calibri"/>
                <w:sz w:val="20"/>
              </w:rPr>
            </w:pPr>
            <w:r w:rsidRPr="004E01B4">
              <w:rPr>
                <w:rFonts w:ascii="Calibri" w:hAnsi="Calibri" w:cs="Calibri"/>
                <w:sz w:val="20"/>
              </w:rPr>
              <w:t>208,04</w:t>
            </w:r>
          </w:p>
        </w:tc>
        <w:tc>
          <w:tcPr>
            <w:tcW w:w="964" w:type="dxa"/>
            <w:tcBorders>
              <w:top w:val="nil"/>
              <w:left w:val="nil"/>
              <w:bottom w:val="single" w:sz="4" w:space="0" w:color="auto"/>
              <w:right w:val="single" w:sz="4" w:space="0" w:color="auto"/>
            </w:tcBorders>
            <w:shd w:val="clear" w:color="auto" w:fill="auto"/>
            <w:noWrap/>
            <w:vAlign w:val="center"/>
            <w:hideMark/>
          </w:tcPr>
          <w:p w14:paraId="79EBA64E" w14:textId="77777777" w:rsidR="00F35E14" w:rsidRPr="004E01B4" w:rsidRDefault="00F35E14" w:rsidP="00F777B7">
            <w:pPr>
              <w:jc w:val="right"/>
              <w:rPr>
                <w:rFonts w:ascii="Calibri" w:hAnsi="Calibri" w:cs="Calibri"/>
                <w:sz w:val="20"/>
              </w:rPr>
            </w:pPr>
            <w:r w:rsidRPr="004E01B4">
              <w:rPr>
                <w:rFonts w:ascii="Calibri" w:hAnsi="Calibri" w:cs="Calibri"/>
                <w:sz w:val="20"/>
              </w:rPr>
              <w:t>254,35</w:t>
            </w:r>
          </w:p>
        </w:tc>
      </w:tr>
      <w:tr w:rsidR="00F35E14" w:rsidRPr="00F35E14" w14:paraId="132F8E1B"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2C64F384"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Malta</w:t>
            </w:r>
          </w:p>
        </w:tc>
        <w:tc>
          <w:tcPr>
            <w:tcW w:w="964" w:type="dxa"/>
            <w:tcBorders>
              <w:top w:val="nil"/>
              <w:left w:val="nil"/>
              <w:bottom w:val="single" w:sz="4" w:space="0" w:color="auto"/>
              <w:right w:val="single" w:sz="4" w:space="0" w:color="auto"/>
            </w:tcBorders>
            <w:shd w:val="clear" w:color="auto" w:fill="auto"/>
            <w:noWrap/>
            <w:vAlign w:val="center"/>
            <w:hideMark/>
          </w:tcPr>
          <w:p w14:paraId="37DEE592" w14:textId="77777777" w:rsidR="00F35E14" w:rsidRPr="004E01B4" w:rsidRDefault="00F35E14" w:rsidP="00F777B7">
            <w:pPr>
              <w:jc w:val="right"/>
              <w:rPr>
                <w:rFonts w:ascii="Calibri" w:hAnsi="Calibri" w:cs="Calibri"/>
                <w:sz w:val="20"/>
              </w:rPr>
            </w:pPr>
            <w:r w:rsidRPr="004E01B4">
              <w:rPr>
                <w:rFonts w:ascii="Calibri" w:hAnsi="Calibri" w:cs="Calibri"/>
                <w:sz w:val="20"/>
              </w:rPr>
              <w:t>105,45</w:t>
            </w:r>
          </w:p>
        </w:tc>
        <w:tc>
          <w:tcPr>
            <w:tcW w:w="964" w:type="dxa"/>
            <w:tcBorders>
              <w:top w:val="nil"/>
              <w:left w:val="nil"/>
              <w:bottom w:val="single" w:sz="4" w:space="0" w:color="auto"/>
              <w:right w:val="single" w:sz="4" w:space="0" w:color="auto"/>
            </w:tcBorders>
            <w:shd w:val="clear" w:color="auto" w:fill="auto"/>
            <w:noWrap/>
            <w:vAlign w:val="center"/>
            <w:hideMark/>
          </w:tcPr>
          <w:p w14:paraId="7D19EAFA" w14:textId="77777777" w:rsidR="00F35E14" w:rsidRPr="004E01B4" w:rsidRDefault="00F35E14" w:rsidP="00F777B7">
            <w:pPr>
              <w:jc w:val="right"/>
              <w:rPr>
                <w:rFonts w:ascii="Calibri" w:hAnsi="Calibri" w:cs="Calibri"/>
                <w:sz w:val="20"/>
              </w:rPr>
            </w:pPr>
            <w:r w:rsidRPr="004E01B4">
              <w:rPr>
                <w:rFonts w:ascii="Calibri" w:hAnsi="Calibri" w:cs="Calibri"/>
                <w:sz w:val="20"/>
              </w:rPr>
              <w:t>111,03</w:t>
            </w:r>
          </w:p>
        </w:tc>
        <w:tc>
          <w:tcPr>
            <w:tcW w:w="964" w:type="dxa"/>
            <w:tcBorders>
              <w:top w:val="nil"/>
              <w:left w:val="nil"/>
              <w:bottom w:val="single" w:sz="4" w:space="0" w:color="auto"/>
              <w:right w:val="single" w:sz="4" w:space="0" w:color="auto"/>
            </w:tcBorders>
            <w:shd w:val="clear" w:color="auto" w:fill="auto"/>
            <w:noWrap/>
            <w:vAlign w:val="center"/>
            <w:hideMark/>
          </w:tcPr>
          <w:p w14:paraId="665869F6" w14:textId="77777777" w:rsidR="00F35E14" w:rsidRPr="004E01B4" w:rsidRDefault="00F35E14" w:rsidP="00F777B7">
            <w:pPr>
              <w:jc w:val="right"/>
              <w:rPr>
                <w:rFonts w:ascii="Calibri" w:hAnsi="Calibri" w:cs="Calibri"/>
                <w:sz w:val="20"/>
              </w:rPr>
            </w:pPr>
            <w:r w:rsidRPr="004E01B4">
              <w:rPr>
                <w:rFonts w:ascii="Calibri" w:hAnsi="Calibri" w:cs="Calibri"/>
                <w:sz w:val="20"/>
              </w:rPr>
              <w:t>117,45</w:t>
            </w:r>
          </w:p>
        </w:tc>
        <w:tc>
          <w:tcPr>
            <w:tcW w:w="964" w:type="dxa"/>
            <w:tcBorders>
              <w:top w:val="nil"/>
              <w:left w:val="nil"/>
              <w:bottom w:val="single" w:sz="4" w:space="0" w:color="auto"/>
              <w:right w:val="single" w:sz="4" w:space="0" w:color="auto"/>
            </w:tcBorders>
            <w:shd w:val="clear" w:color="auto" w:fill="auto"/>
            <w:noWrap/>
            <w:vAlign w:val="center"/>
            <w:hideMark/>
          </w:tcPr>
          <w:p w14:paraId="68E5E6FE" w14:textId="77777777" w:rsidR="00F35E14" w:rsidRPr="004E01B4" w:rsidRDefault="00F35E14" w:rsidP="00F777B7">
            <w:pPr>
              <w:jc w:val="right"/>
              <w:rPr>
                <w:rFonts w:ascii="Calibri" w:hAnsi="Calibri" w:cs="Calibri"/>
                <w:sz w:val="20"/>
              </w:rPr>
            </w:pPr>
            <w:r w:rsidRPr="004E01B4">
              <w:rPr>
                <w:rFonts w:ascii="Calibri" w:hAnsi="Calibri" w:cs="Calibri"/>
                <w:sz w:val="20"/>
              </w:rPr>
              <w:t>124,65</w:t>
            </w:r>
          </w:p>
        </w:tc>
        <w:tc>
          <w:tcPr>
            <w:tcW w:w="964" w:type="dxa"/>
            <w:tcBorders>
              <w:top w:val="nil"/>
              <w:left w:val="nil"/>
              <w:bottom w:val="single" w:sz="4" w:space="0" w:color="auto"/>
              <w:right w:val="single" w:sz="4" w:space="0" w:color="auto"/>
            </w:tcBorders>
            <w:shd w:val="clear" w:color="auto" w:fill="auto"/>
            <w:noWrap/>
            <w:vAlign w:val="center"/>
            <w:hideMark/>
          </w:tcPr>
          <w:p w14:paraId="56DB9C4D" w14:textId="77777777" w:rsidR="00F35E14" w:rsidRPr="004E01B4" w:rsidRDefault="00F35E14" w:rsidP="00F777B7">
            <w:pPr>
              <w:jc w:val="right"/>
              <w:rPr>
                <w:rFonts w:ascii="Calibri" w:hAnsi="Calibri" w:cs="Calibri"/>
                <w:sz w:val="20"/>
              </w:rPr>
            </w:pPr>
            <w:r w:rsidRPr="004E01B4">
              <w:rPr>
                <w:rFonts w:ascii="Calibri" w:hAnsi="Calibri" w:cs="Calibri"/>
                <w:sz w:val="20"/>
              </w:rPr>
              <w:t>128,86</w:t>
            </w:r>
          </w:p>
        </w:tc>
        <w:tc>
          <w:tcPr>
            <w:tcW w:w="964" w:type="dxa"/>
            <w:tcBorders>
              <w:top w:val="nil"/>
              <w:left w:val="nil"/>
              <w:bottom w:val="single" w:sz="4" w:space="0" w:color="auto"/>
              <w:right w:val="single" w:sz="4" w:space="0" w:color="auto"/>
            </w:tcBorders>
            <w:shd w:val="clear" w:color="auto" w:fill="auto"/>
            <w:noWrap/>
            <w:vAlign w:val="center"/>
            <w:hideMark/>
          </w:tcPr>
          <w:p w14:paraId="420823BE" w14:textId="77777777" w:rsidR="00F35E14" w:rsidRPr="004E01B4" w:rsidRDefault="00F35E14" w:rsidP="00F777B7">
            <w:pPr>
              <w:jc w:val="right"/>
              <w:rPr>
                <w:rFonts w:ascii="Calibri" w:hAnsi="Calibri" w:cs="Calibri"/>
                <w:sz w:val="20"/>
              </w:rPr>
            </w:pPr>
            <w:r w:rsidRPr="004E01B4">
              <w:rPr>
                <w:rFonts w:ascii="Calibri" w:hAnsi="Calibri" w:cs="Calibri"/>
                <w:sz w:val="20"/>
              </w:rPr>
              <w:t>135,44</w:t>
            </w:r>
          </w:p>
        </w:tc>
        <w:tc>
          <w:tcPr>
            <w:tcW w:w="964" w:type="dxa"/>
            <w:tcBorders>
              <w:top w:val="nil"/>
              <w:left w:val="nil"/>
              <w:bottom w:val="single" w:sz="4" w:space="0" w:color="auto"/>
              <w:right w:val="single" w:sz="4" w:space="0" w:color="auto"/>
            </w:tcBorders>
            <w:shd w:val="clear" w:color="auto" w:fill="auto"/>
            <w:noWrap/>
            <w:vAlign w:val="center"/>
            <w:hideMark/>
          </w:tcPr>
          <w:p w14:paraId="4D500DD5" w14:textId="77777777" w:rsidR="00F35E14" w:rsidRPr="004E01B4" w:rsidRDefault="00F35E14" w:rsidP="00F777B7">
            <w:pPr>
              <w:jc w:val="right"/>
              <w:rPr>
                <w:rFonts w:ascii="Calibri" w:hAnsi="Calibri" w:cs="Calibri"/>
                <w:sz w:val="20"/>
              </w:rPr>
            </w:pPr>
            <w:r w:rsidRPr="004E01B4">
              <w:rPr>
                <w:rFonts w:ascii="Calibri" w:hAnsi="Calibri" w:cs="Calibri"/>
                <w:sz w:val="20"/>
              </w:rPr>
              <w:t>144,45</w:t>
            </w:r>
          </w:p>
        </w:tc>
      </w:tr>
      <w:tr w:rsidR="00F35E14" w:rsidRPr="00F35E14" w14:paraId="6DF3F4B2"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226B609A" w14:textId="6E0631D7" w:rsidR="00F35E14" w:rsidRPr="004E01B4" w:rsidRDefault="00F35E14" w:rsidP="00F35E14">
            <w:pPr>
              <w:jc w:val="left"/>
              <w:rPr>
                <w:rFonts w:ascii="Calibri" w:hAnsi="Calibri" w:cs="Calibri"/>
                <w:b/>
                <w:bCs/>
                <w:sz w:val="20"/>
              </w:rPr>
            </w:pPr>
            <w:r w:rsidRPr="004E01B4">
              <w:rPr>
                <w:rFonts w:ascii="Calibri" w:hAnsi="Calibri" w:cs="Calibri"/>
                <w:b/>
                <w:bCs/>
                <w:sz w:val="20"/>
              </w:rPr>
              <w:t>Nizozem</w:t>
            </w:r>
            <w:r w:rsidR="00F777B7">
              <w:rPr>
                <w:rFonts w:ascii="Calibri" w:hAnsi="Calibri" w:cs="Calibri"/>
                <w:b/>
                <w:bCs/>
                <w:sz w:val="20"/>
              </w:rPr>
              <w:t>sko</w:t>
            </w:r>
          </w:p>
        </w:tc>
        <w:tc>
          <w:tcPr>
            <w:tcW w:w="964" w:type="dxa"/>
            <w:tcBorders>
              <w:top w:val="nil"/>
              <w:left w:val="nil"/>
              <w:bottom w:val="single" w:sz="4" w:space="0" w:color="auto"/>
              <w:right w:val="single" w:sz="4" w:space="0" w:color="auto"/>
            </w:tcBorders>
            <w:shd w:val="clear" w:color="auto" w:fill="auto"/>
            <w:noWrap/>
            <w:vAlign w:val="center"/>
            <w:hideMark/>
          </w:tcPr>
          <w:p w14:paraId="0C65AFAB" w14:textId="77777777" w:rsidR="00F35E14" w:rsidRPr="004E01B4" w:rsidRDefault="00F35E14" w:rsidP="00F777B7">
            <w:pPr>
              <w:jc w:val="right"/>
              <w:rPr>
                <w:rFonts w:ascii="Calibri" w:hAnsi="Calibri" w:cs="Calibri"/>
                <w:sz w:val="20"/>
              </w:rPr>
            </w:pPr>
            <w:r w:rsidRPr="004E01B4">
              <w:rPr>
                <w:rFonts w:ascii="Calibri" w:hAnsi="Calibri" w:cs="Calibri"/>
                <w:sz w:val="20"/>
              </w:rPr>
              <w:t>105,02</w:t>
            </w:r>
          </w:p>
        </w:tc>
        <w:tc>
          <w:tcPr>
            <w:tcW w:w="964" w:type="dxa"/>
            <w:tcBorders>
              <w:top w:val="nil"/>
              <w:left w:val="nil"/>
              <w:bottom w:val="single" w:sz="4" w:space="0" w:color="auto"/>
              <w:right w:val="single" w:sz="4" w:space="0" w:color="auto"/>
            </w:tcBorders>
            <w:shd w:val="clear" w:color="auto" w:fill="auto"/>
            <w:noWrap/>
            <w:vAlign w:val="center"/>
            <w:hideMark/>
          </w:tcPr>
          <w:p w14:paraId="3410DDAE" w14:textId="77777777" w:rsidR="00F35E14" w:rsidRPr="004E01B4" w:rsidRDefault="00F35E14" w:rsidP="00F777B7">
            <w:pPr>
              <w:jc w:val="right"/>
              <w:rPr>
                <w:rFonts w:ascii="Calibri" w:hAnsi="Calibri" w:cs="Calibri"/>
                <w:sz w:val="20"/>
              </w:rPr>
            </w:pPr>
            <w:r w:rsidRPr="004E01B4">
              <w:rPr>
                <w:rFonts w:ascii="Calibri" w:hAnsi="Calibri" w:cs="Calibri"/>
                <w:sz w:val="20"/>
              </w:rPr>
              <w:t>112,93</w:t>
            </w:r>
          </w:p>
        </w:tc>
        <w:tc>
          <w:tcPr>
            <w:tcW w:w="964" w:type="dxa"/>
            <w:tcBorders>
              <w:top w:val="nil"/>
              <w:left w:val="nil"/>
              <w:bottom w:val="single" w:sz="4" w:space="0" w:color="auto"/>
              <w:right w:val="single" w:sz="4" w:space="0" w:color="auto"/>
            </w:tcBorders>
            <w:shd w:val="clear" w:color="auto" w:fill="auto"/>
            <w:noWrap/>
            <w:vAlign w:val="center"/>
            <w:hideMark/>
          </w:tcPr>
          <w:p w14:paraId="06153CA6" w14:textId="77777777" w:rsidR="00F35E14" w:rsidRPr="004E01B4" w:rsidRDefault="00F35E14" w:rsidP="00F777B7">
            <w:pPr>
              <w:jc w:val="right"/>
              <w:rPr>
                <w:rFonts w:ascii="Calibri" w:hAnsi="Calibri" w:cs="Calibri"/>
                <w:sz w:val="20"/>
              </w:rPr>
            </w:pPr>
            <w:r w:rsidRPr="004E01B4">
              <w:rPr>
                <w:rFonts w:ascii="Calibri" w:hAnsi="Calibri" w:cs="Calibri"/>
                <w:sz w:val="20"/>
              </w:rPr>
              <w:t>123,61</w:t>
            </w:r>
          </w:p>
        </w:tc>
        <w:tc>
          <w:tcPr>
            <w:tcW w:w="964" w:type="dxa"/>
            <w:tcBorders>
              <w:top w:val="nil"/>
              <w:left w:val="nil"/>
              <w:bottom w:val="single" w:sz="4" w:space="0" w:color="auto"/>
              <w:right w:val="single" w:sz="4" w:space="0" w:color="auto"/>
            </w:tcBorders>
            <w:shd w:val="clear" w:color="auto" w:fill="auto"/>
            <w:noWrap/>
            <w:vAlign w:val="center"/>
            <w:hideMark/>
          </w:tcPr>
          <w:p w14:paraId="77C45703" w14:textId="77777777" w:rsidR="00F35E14" w:rsidRPr="004E01B4" w:rsidRDefault="00F35E14" w:rsidP="00F777B7">
            <w:pPr>
              <w:jc w:val="right"/>
              <w:rPr>
                <w:rFonts w:ascii="Calibri" w:hAnsi="Calibri" w:cs="Calibri"/>
                <w:sz w:val="20"/>
              </w:rPr>
            </w:pPr>
            <w:r w:rsidRPr="004E01B4">
              <w:rPr>
                <w:rFonts w:ascii="Calibri" w:hAnsi="Calibri" w:cs="Calibri"/>
                <w:sz w:val="20"/>
              </w:rPr>
              <w:t>132,62</w:t>
            </w:r>
          </w:p>
        </w:tc>
        <w:tc>
          <w:tcPr>
            <w:tcW w:w="964" w:type="dxa"/>
            <w:tcBorders>
              <w:top w:val="nil"/>
              <w:left w:val="nil"/>
              <w:bottom w:val="single" w:sz="4" w:space="0" w:color="auto"/>
              <w:right w:val="single" w:sz="4" w:space="0" w:color="auto"/>
            </w:tcBorders>
            <w:shd w:val="clear" w:color="auto" w:fill="auto"/>
            <w:noWrap/>
            <w:vAlign w:val="center"/>
            <w:hideMark/>
          </w:tcPr>
          <w:p w14:paraId="424AFC76" w14:textId="77777777" w:rsidR="00F35E14" w:rsidRPr="004E01B4" w:rsidRDefault="00F35E14" w:rsidP="00F777B7">
            <w:pPr>
              <w:jc w:val="right"/>
              <w:rPr>
                <w:rFonts w:ascii="Calibri" w:hAnsi="Calibri" w:cs="Calibri"/>
                <w:sz w:val="20"/>
              </w:rPr>
            </w:pPr>
            <w:r w:rsidRPr="004E01B4">
              <w:rPr>
                <w:rFonts w:ascii="Calibri" w:hAnsi="Calibri" w:cs="Calibri"/>
                <w:sz w:val="20"/>
              </w:rPr>
              <w:t>142,75</w:t>
            </w:r>
          </w:p>
        </w:tc>
        <w:tc>
          <w:tcPr>
            <w:tcW w:w="964" w:type="dxa"/>
            <w:tcBorders>
              <w:top w:val="nil"/>
              <w:left w:val="nil"/>
              <w:bottom w:val="single" w:sz="4" w:space="0" w:color="auto"/>
              <w:right w:val="single" w:sz="4" w:space="0" w:color="auto"/>
            </w:tcBorders>
            <w:shd w:val="clear" w:color="auto" w:fill="auto"/>
            <w:noWrap/>
            <w:vAlign w:val="center"/>
            <w:hideMark/>
          </w:tcPr>
          <w:p w14:paraId="51C403C6" w14:textId="77777777" w:rsidR="00F35E14" w:rsidRPr="004E01B4" w:rsidRDefault="00F35E14" w:rsidP="00F777B7">
            <w:pPr>
              <w:jc w:val="right"/>
              <w:rPr>
                <w:rFonts w:ascii="Calibri" w:hAnsi="Calibri" w:cs="Calibri"/>
                <w:sz w:val="20"/>
              </w:rPr>
            </w:pPr>
            <w:r w:rsidRPr="004E01B4">
              <w:rPr>
                <w:rFonts w:ascii="Calibri" w:hAnsi="Calibri" w:cs="Calibri"/>
                <w:sz w:val="20"/>
              </w:rPr>
              <w:t>164,21</w:t>
            </w:r>
          </w:p>
        </w:tc>
        <w:tc>
          <w:tcPr>
            <w:tcW w:w="964" w:type="dxa"/>
            <w:tcBorders>
              <w:top w:val="nil"/>
              <w:left w:val="nil"/>
              <w:bottom w:val="single" w:sz="4" w:space="0" w:color="auto"/>
              <w:right w:val="single" w:sz="4" w:space="0" w:color="auto"/>
            </w:tcBorders>
            <w:shd w:val="clear" w:color="auto" w:fill="auto"/>
            <w:noWrap/>
            <w:vAlign w:val="center"/>
            <w:hideMark/>
          </w:tcPr>
          <w:p w14:paraId="67D192A7" w14:textId="77777777" w:rsidR="00F35E14" w:rsidRPr="004E01B4" w:rsidRDefault="00F35E14" w:rsidP="00F777B7">
            <w:pPr>
              <w:jc w:val="right"/>
              <w:rPr>
                <w:rFonts w:ascii="Calibri" w:hAnsi="Calibri" w:cs="Calibri"/>
                <w:sz w:val="20"/>
              </w:rPr>
            </w:pPr>
            <w:r w:rsidRPr="004E01B4">
              <w:rPr>
                <w:rFonts w:ascii="Calibri" w:hAnsi="Calibri" w:cs="Calibri"/>
                <w:sz w:val="20"/>
              </w:rPr>
              <w:t>186,29</w:t>
            </w:r>
          </w:p>
        </w:tc>
      </w:tr>
      <w:tr w:rsidR="00F35E14" w:rsidRPr="00F35E14" w14:paraId="3B74C065"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42FF3D4F"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Rakousko</w:t>
            </w:r>
          </w:p>
        </w:tc>
        <w:tc>
          <w:tcPr>
            <w:tcW w:w="964" w:type="dxa"/>
            <w:tcBorders>
              <w:top w:val="nil"/>
              <w:left w:val="nil"/>
              <w:bottom w:val="single" w:sz="4" w:space="0" w:color="auto"/>
              <w:right w:val="single" w:sz="4" w:space="0" w:color="auto"/>
            </w:tcBorders>
            <w:shd w:val="clear" w:color="auto" w:fill="auto"/>
            <w:noWrap/>
            <w:vAlign w:val="center"/>
            <w:hideMark/>
          </w:tcPr>
          <w:p w14:paraId="54DFE839" w14:textId="77777777" w:rsidR="00F35E14" w:rsidRPr="004E01B4" w:rsidRDefault="00F35E14" w:rsidP="00F777B7">
            <w:pPr>
              <w:jc w:val="right"/>
              <w:rPr>
                <w:rFonts w:ascii="Calibri" w:hAnsi="Calibri" w:cs="Calibri"/>
                <w:sz w:val="20"/>
              </w:rPr>
            </w:pPr>
            <w:r w:rsidRPr="004E01B4">
              <w:rPr>
                <w:rFonts w:ascii="Calibri" w:hAnsi="Calibri" w:cs="Calibri"/>
                <w:sz w:val="20"/>
              </w:rPr>
              <w:t>108,53</w:t>
            </w:r>
          </w:p>
        </w:tc>
        <w:tc>
          <w:tcPr>
            <w:tcW w:w="964" w:type="dxa"/>
            <w:tcBorders>
              <w:top w:val="nil"/>
              <w:left w:val="nil"/>
              <w:bottom w:val="single" w:sz="4" w:space="0" w:color="auto"/>
              <w:right w:val="single" w:sz="4" w:space="0" w:color="auto"/>
            </w:tcBorders>
            <w:shd w:val="clear" w:color="auto" w:fill="auto"/>
            <w:noWrap/>
            <w:vAlign w:val="center"/>
            <w:hideMark/>
          </w:tcPr>
          <w:p w14:paraId="2CDCBB75" w14:textId="77777777" w:rsidR="00F35E14" w:rsidRPr="004E01B4" w:rsidRDefault="00F35E14" w:rsidP="00F777B7">
            <w:pPr>
              <w:jc w:val="right"/>
              <w:rPr>
                <w:rFonts w:ascii="Calibri" w:hAnsi="Calibri" w:cs="Calibri"/>
                <w:sz w:val="20"/>
              </w:rPr>
            </w:pPr>
            <w:r w:rsidRPr="004E01B4">
              <w:rPr>
                <w:rFonts w:ascii="Calibri" w:hAnsi="Calibri" w:cs="Calibri"/>
                <w:sz w:val="20"/>
              </w:rPr>
              <w:t>114,26</w:t>
            </w:r>
          </w:p>
        </w:tc>
        <w:tc>
          <w:tcPr>
            <w:tcW w:w="964" w:type="dxa"/>
            <w:tcBorders>
              <w:top w:val="nil"/>
              <w:left w:val="nil"/>
              <w:bottom w:val="single" w:sz="4" w:space="0" w:color="auto"/>
              <w:right w:val="single" w:sz="4" w:space="0" w:color="auto"/>
            </w:tcBorders>
            <w:shd w:val="clear" w:color="auto" w:fill="auto"/>
            <w:noWrap/>
            <w:vAlign w:val="center"/>
            <w:hideMark/>
          </w:tcPr>
          <w:p w14:paraId="2B104ECC" w14:textId="77777777" w:rsidR="00F35E14" w:rsidRPr="004E01B4" w:rsidRDefault="00F35E14" w:rsidP="00F777B7">
            <w:pPr>
              <w:jc w:val="right"/>
              <w:rPr>
                <w:rFonts w:ascii="Calibri" w:hAnsi="Calibri" w:cs="Calibri"/>
                <w:sz w:val="20"/>
              </w:rPr>
            </w:pPr>
            <w:r w:rsidRPr="004E01B4">
              <w:rPr>
                <w:rFonts w:ascii="Calibri" w:hAnsi="Calibri" w:cs="Calibri"/>
                <w:sz w:val="20"/>
              </w:rPr>
              <w:t>119,64</w:t>
            </w:r>
          </w:p>
        </w:tc>
        <w:tc>
          <w:tcPr>
            <w:tcW w:w="964" w:type="dxa"/>
            <w:tcBorders>
              <w:top w:val="nil"/>
              <w:left w:val="nil"/>
              <w:bottom w:val="single" w:sz="4" w:space="0" w:color="auto"/>
              <w:right w:val="single" w:sz="4" w:space="0" w:color="auto"/>
            </w:tcBorders>
            <w:shd w:val="clear" w:color="auto" w:fill="auto"/>
            <w:noWrap/>
            <w:vAlign w:val="center"/>
            <w:hideMark/>
          </w:tcPr>
          <w:p w14:paraId="2BABB30A" w14:textId="77777777" w:rsidR="00F35E14" w:rsidRPr="004E01B4" w:rsidRDefault="00F35E14" w:rsidP="00F777B7">
            <w:pPr>
              <w:jc w:val="right"/>
              <w:rPr>
                <w:rFonts w:ascii="Calibri" w:hAnsi="Calibri" w:cs="Calibri"/>
                <w:sz w:val="20"/>
              </w:rPr>
            </w:pPr>
            <w:r w:rsidRPr="004E01B4">
              <w:rPr>
                <w:rFonts w:ascii="Calibri" w:hAnsi="Calibri" w:cs="Calibri"/>
                <w:sz w:val="20"/>
              </w:rPr>
              <w:t>126,60</w:t>
            </w:r>
          </w:p>
        </w:tc>
        <w:tc>
          <w:tcPr>
            <w:tcW w:w="964" w:type="dxa"/>
            <w:tcBorders>
              <w:top w:val="nil"/>
              <w:left w:val="nil"/>
              <w:bottom w:val="single" w:sz="4" w:space="0" w:color="auto"/>
              <w:right w:val="single" w:sz="4" w:space="0" w:color="auto"/>
            </w:tcBorders>
            <w:shd w:val="clear" w:color="auto" w:fill="auto"/>
            <w:noWrap/>
            <w:vAlign w:val="center"/>
            <w:hideMark/>
          </w:tcPr>
          <w:p w14:paraId="750052AF" w14:textId="77777777" w:rsidR="00F35E14" w:rsidRPr="004E01B4" w:rsidRDefault="00F35E14" w:rsidP="00F777B7">
            <w:pPr>
              <w:jc w:val="right"/>
              <w:rPr>
                <w:rFonts w:ascii="Calibri" w:hAnsi="Calibri" w:cs="Calibri"/>
                <w:sz w:val="20"/>
              </w:rPr>
            </w:pPr>
            <w:r w:rsidRPr="004E01B4">
              <w:rPr>
                <w:rFonts w:ascii="Calibri" w:hAnsi="Calibri" w:cs="Calibri"/>
                <w:sz w:val="20"/>
              </w:rPr>
              <w:t>136,31</w:t>
            </w:r>
          </w:p>
        </w:tc>
        <w:tc>
          <w:tcPr>
            <w:tcW w:w="964" w:type="dxa"/>
            <w:tcBorders>
              <w:top w:val="nil"/>
              <w:left w:val="nil"/>
              <w:bottom w:val="single" w:sz="4" w:space="0" w:color="auto"/>
              <w:right w:val="single" w:sz="4" w:space="0" w:color="auto"/>
            </w:tcBorders>
            <w:shd w:val="clear" w:color="auto" w:fill="auto"/>
            <w:noWrap/>
            <w:vAlign w:val="center"/>
            <w:hideMark/>
          </w:tcPr>
          <w:p w14:paraId="2870EB6D" w14:textId="77777777" w:rsidR="00F35E14" w:rsidRPr="004E01B4" w:rsidRDefault="00F35E14" w:rsidP="00F777B7">
            <w:pPr>
              <w:jc w:val="right"/>
              <w:rPr>
                <w:rFonts w:ascii="Calibri" w:hAnsi="Calibri" w:cs="Calibri"/>
                <w:sz w:val="20"/>
              </w:rPr>
            </w:pPr>
            <w:r w:rsidRPr="004E01B4">
              <w:rPr>
                <w:rFonts w:ascii="Calibri" w:hAnsi="Calibri" w:cs="Calibri"/>
                <w:sz w:val="20"/>
              </w:rPr>
              <w:t>153,26</w:t>
            </w:r>
          </w:p>
        </w:tc>
        <w:tc>
          <w:tcPr>
            <w:tcW w:w="964" w:type="dxa"/>
            <w:tcBorders>
              <w:top w:val="nil"/>
              <w:left w:val="nil"/>
              <w:bottom w:val="single" w:sz="4" w:space="0" w:color="auto"/>
              <w:right w:val="single" w:sz="4" w:space="0" w:color="auto"/>
            </w:tcBorders>
            <w:shd w:val="clear" w:color="auto" w:fill="auto"/>
            <w:noWrap/>
            <w:vAlign w:val="center"/>
            <w:hideMark/>
          </w:tcPr>
          <w:p w14:paraId="0F048526" w14:textId="77777777" w:rsidR="00F35E14" w:rsidRPr="004E01B4" w:rsidRDefault="00F35E14" w:rsidP="00F777B7">
            <w:pPr>
              <w:jc w:val="right"/>
              <w:rPr>
                <w:rFonts w:ascii="Calibri" w:hAnsi="Calibri" w:cs="Calibri"/>
                <w:sz w:val="20"/>
              </w:rPr>
            </w:pPr>
            <w:r w:rsidRPr="004E01B4">
              <w:rPr>
                <w:rFonts w:ascii="Calibri" w:hAnsi="Calibri" w:cs="Calibri"/>
                <w:sz w:val="20"/>
              </w:rPr>
              <w:t>170,77</w:t>
            </w:r>
          </w:p>
        </w:tc>
      </w:tr>
      <w:tr w:rsidR="00F35E14" w:rsidRPr="00F35E14" w14:paraId="7E56EA03"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0905C85F"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Polsko</w:t>
            </w:r>
          </w:p>
        </w:tc>
        <w:tc>
          <w:tcPr>
            <w:tcW w:w="964" w:type="dxa"/>
            <w:tcBorders>
              <w:top w:val="nil"/>
              <w:left w:val="nil"/>
              <w:bottom w:val="single" w:sz="4" w:space="0" w:color="auto"/>
              <w:right w:val="single" w:sz="4" w:space="0" w:color="auto"/>
            </w:tcBorders>
            <w:shd w:val="clear" w:color="auto" w:fill="auto"/>
            <w:noWrap/>
            <w:vAlign w:val="center"/>
            <w:hideMark/>
          </w:tcPr>
          <w:p w14:paraId="3DE4AAA5" w14:textId="77777777" w:rsidR="00F35E14" w:rsidRPr="004E01B4" w:rsidRDefault="00F35E14" w:rsidP="00F777B7">
            <w:pPr>
              <w:jc w:val="right"/>
              <w:rPr>
                <w:rFonts w:ascii="Calibri" w:hAnsi="Calibri" w:cs="Calibri"/>
                <w:sz w:val="20"/>
              </w:rPr>
            </w:pPr>
            <w:r w:rsidRPr="004E01B4">
              <w:rPr>
                <w:rFonts w:ascii="Calibri" w:hAnsi="Calibri" w:cs="Calibri"/>
                <w:sz w:val="20"/>
              </w:rPr>
              <w:t>101,86</w:t>
            </w:r>
          </w:p>
        </w:tc>
        <w:tc>
          <w:tcPr>
            <w:tcW w:w="964" w:type="dxa"/>
            <w:tcBorders>
              <w:top w:val="nil"/>
              <w:left w:val="nil"/>
              <w:bottom w:val="single" w:sz="4" w:space="0" w:color="auto"/>
              <w:right w:val="single" w:sz="4" w:space="0" w:color="auto"/>
            </w:tcBorders>
            <w:shd w:val="clear" w:color="auto" w:fill="auto"/>
            <w:noWrap/>
            <w:vAlign w:val="center"/>
            <w:hideMark/>
          </w:tcPr>
          <w:p w14:paraId="08735662" w14:textId="77777777" w:rsidR="00F35E14" w:rsidRPr="004E01B4" w:rsidRDefault="00F35E14" w:rsidP="00F777B7">
            <w:pPr>
              <w:jc w:val="right"/>
              <w:rPr>
                <w:rFonts w:ascii="Calibri" w:hAnsi="Calibri" w:cs="Calibri"/>
                <w:sz w:val="20"/>
              </w:rPr>
            </w:pPr>
            <w:r w:rsidRPr="004E01B4">
              <w:rPr>
                <w:rFonts w:ascii="Calibri" w:hAnsi="Calibri" w:cs="Calibri"/>
                <w:sz w:val="20"/>
              </w:rPr>
              <w:t>105,78</w:t>
            </w:r>
          </w:p>
        </w:tc>
        <w:tc>
          <w:tcPr>
            <w:tcW w:w="964" w:type="dxa"/>
            <w:tcBorders>
              <w:top w:val="nil"/>
              <w:left w:val="nil"/>
              <w:bottom w:val="single" w:sz="4" w:space="0" w:color="auto"/>
              <w:right w:val="single" w:sz="4" w:space="0" w:color="auto"/>
            </w:tcBorders>
            <w:shd w:val="clear" w:color="auto" w:fill="auto"/>
            <w:noWrap/>
            <w:vAlign w:val="center"/>
            <w:hideMark/>
          </w:tcPr>
          <w:p w14:paraId="4BC5AA4B" w14:textId="77777777" w:rsidR="00F35E14" w:rsidRPr="004E01B4" w:rsidRDefault="00F35E14" w:rsidP="00F777B7">
            <w:pPr>
              <w:jc w:val="right"/>
              <w:rPr>
                <w:rFonts w:ascii="Calibri" w:hAnsi="Calibri" w:cs="Calibri"/>
                <w:sz w:val="20"/>
              </w:rPr>
            </w:pPr>
            <w:r w:rsidRPr="004E01B4">
              <w:rPr>
                <w:rFonts w:ascii="Calibri" w:hAnsi="Calibri" w:cs="Calibri"/>
                <w:sz w:val="20"/>
              </w:rPr>
              <w:t>112,74</w:t>
            </w:r>
          </w:p>
        </w:tc>
        <w:tc>
          <w:tcPr>
            <w:tcW w:w="964" w:type="dxa"/>
            <w:tcBorders>
              <w:top w:val="nil"/>
              <w:left w:val="nil"/>
              <w:bottom w:val="single" w:sz="4" w:space="0" w:color="auto"/>
              <w:right w:val="single" w:sz="4" w:space="0" w:color="auto"/>
            </w:tcBorders>
            <w:shd w:val="clear" w:color="auto" w:fill="auto"/>
            <w:noWrap/>
            <w:vAlign w:val="center"/>
            <w:hideMark/>
          </w:tcPr>
          <w:p w14:paraId="7922DE07" w14:textId="77777777" w:rsidR="00F35E14" w:rsidRPr="004E01B4" w:rsidRDefault="00F35E14" w:rsidP="00F777B7">
            <w:pPr>
              <w:jc w:val="right"/>
              <w:rPr>
                <w:rFonts w:ascii="Calibri" w:hAnsi="Calibri" w:cs="Calibri"/>
                <w:sz w:val="20"/>
              </w:rPr>
            </w:pPr>
            <w:r w:rsidRPr="004E01B4">
              <w:rPr>
                <w:rFonts w:ascii="Calibri" w:hAnsi="Calibri" w:cs="Calibri"/>
                <w:sz w:val="20"/>
              </w:rPr>
              <w:t>122,52</w:t>
            </w:r>
          </w:p>
        </w:tc>
        <w:tc>
          <w:tcPr>
            <w:tcW w:w="964" w:type="dxa"/>
            <w:tcBorders>
              <w:top w:val="nil"/>
              <w:left w:val="nil"/>
              <w:bottom w:val="single" w:sz="4" w:space="0" w:color="auto"/>
              <w:right w:val="single" w:sz="4" w:space="0" w:color="auto"/>
            </w:tcBorders>
            <w:shd w:val="clear" w:color="auto" w:fill="auto"/>
            <w:noWrap/>
            <w:vAlign w:val="center"/>
            <w:hideMark/>
          </w:tcPr>
          <w:p w14:paraId="49ACAA21" w14:textId="77777777" w:rsidR="00F35E14" w:rsidRPr="004E01B4" w:rsidRDefault="00F35E14" w:rsidP="00F777B7">
            <w:pPr>
              <w:jc w:val="right"/>
              <w:rPr>
                <w:rFonts w:ascii="Calibri" w:hAnsi="Calibri" w:cs="Calibri"/>
                <w:sz w:val="20"/>
              </w:rPr>
            </w:pPr>
            <w:r w:rsidRPr="004E01B4">
              <w:rPr>
                <w:rFonts w:ascii="Calibri" w:hAnsi="Calibri" w:cs="Calibri"/>
                <w:sz w:val="20"/>
              </w:rPr>
              <w:t>135,36</w:t>
            </w:r>
          </w:p>
        </w:tc>
        <w:tc>
          <w:tcPr>
            <w:tcW w:w="964" w:type="dxa"/>
            <w:tcBorders>
              <w:top w:val="nil"/>
              <w:left w:val="nil"/>
              <w:bottom w:val="single" w:sz="4" w:space="0" w:color="auto"/>
              <w:right w:val="single" w:sz="4" w:space="0" w:color="auto"/>
            </w:tcBorders>
            <w:shd w:val="clear" w:color="auto" w:fill="auto"/>
            <w:noWrap/>
            <w:vAlign w:val="center"/>
            <w:hideMark/>
          </w:tcPr>
          <w:p w14:paraId="000789EF" w14:textId="77777777" w:rsidR="00F35E14" w:rsidRPr="004E01B4" w:rsidRDefault="00F35E14" w:rsidP="00F777B7">
            <w:pPr>
              <w:jc w:val="right"/>
              <w:rPr>
                <w:rFonts w:ascii="Calibri" w:hAnsi="Calibri" w:cs="Calibri"/>
                <w:sz w:val="20"/>
              </w:rPr>
            </w:pPr>
            <w:r w:rsidRPr="004E01B4">
              <w:rPr>
                <w:rFonts w:ascii="Calibri" w:hAnsi="Calibri" w:cs="Calibri"/>
                <w:sz w:val="20"/>
              </w:rPr>
              <w:t>147,77</w:t>
            </w:r>
          </w:p>
        </w:tc>
        <w:tc>
          <w:tcPr>
            <w:tcW w:w="964" w:type="dxa"/>
            <w:tcBorders>
              <w:top w:val="nil"/>
              <w:left w:val="nil"/>
              <w:bottom w:val="single" w:sz="4" w:space="0" w:color="auto"/>
              <w:right w:val="single" w:sz="4" w:space="0" w:color="auto"/>
            </w:tcBorders>
            <w:shd w:val="clear" w:color="auto" w:fill="auto"/>
            <w:noWrap/>
            <w:vAlign w:val="center"/>
            <w:hideMark/>
          </w:tcPr>
          <w:p w14:paraId="3C43566A" w14:textId="77777777" w:rsidR="00F35E14" w:rsidRPr="004E01B4" w:rsidRDefault="00F35E14" w:rsidP="00F777B7">
            <w:pPr>
              <w:jc w:val="right"/>
              <w:rPr>
                <w:rFonts w:ascii="Calibri" w:hAnsi="Calibri" w:cs="Calibri"/>
                <w:sz w:val="20"/>
              </w:rPr>
            </w:pPr>
            <w:r w:rsidRPr="004E01B4">
              <w:rPr>
                <w:rFonts w:ascii="Calibri" w:hAnsi="Calibri" w:cs="Calibri"/>
                <w:sz w:val="20"/>
              </w:rPr>
              <w:t>165,21</w:t>
            </w:r>
          </w:p>
        </w:tc>
      </w:tr>
      <w:tr w:rsidR="00F35E14" w:rsidRPr="00F35E14" w14:paraId="37CD038C"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675C63D5"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Portugalsko</w:t>
            </w:r>
          </w:p>
        </w:tc>
        <w:tc>
          <w:tcPr>
            <w:tcW w:w="964" w:type="dxa"/>
            <w:tcBorders>
              <w:top w:val="nil"/>
              <w:left w:val="nil"/>
              <w:bottom w:val="single" w:sz="4" w:space="0" w:color="auto"/>
              <w:right w:val="single" w:sz="4" w:space="0" w:color="auto"/>
            </w:tcBorders>
            <w:shd w:val="clear" w:color="auto" w:fill="auto"/>
            <w:noWrap/>
            <w:vAlign w:val="center"/>
            <w:hideMark/>
          </w:tcPr>
          <w:p w14:paraId="5E6ECE33" w14:textId="77777777" w:rsidR="00F35E14" w:rsidRPr="004E01B4" w:rsidRDefault="00F35E14" w:rsidP="00F777B7">
            <w:pPr>
              <w:jc w:val="right"/>
              <w:rPr>
                <w:rFonts w:ascii="Calibri" w:hAnsi="Calibri" w:cs="Calibri"/>
                <w:sz w:val="20"/>
              </w:rPr>
            </w:pPr>
            <w:r w:rsidRPr="004E01B4">
              <w:rPr>
                <w:rFonts w:ascii="Calibri" w:hAnsi="Calibri" w:cs="Calibri"/>
                <w:sz w:val="20"/>
              </w:rPr>
              <w:t>107,12</w:t>
            </w:r>
          </w:p>
        </w:tc>
        <w:tc>
          <w:tcPr>
            <w:tcW w:w="964" w:type="dxa"/>
            <w:tcBorders>
              <w:top w:val="nil"/>
              <w:left w:val="nil"/>
              <w:bottom w:val="single" w:sz="4" w:space="0" w:color="auto"/>
              <w:right w:val="single" w:sz="4" w:space="0" w:color="auto"/>
            </w:tcBorders>
            <w:shd w:val="clear" w:color="auto" w:fill="auto"/>
            <w:noWrap/>
            <w:vAlign w:val="center"/>
            <w:hideMark/>
          </w:tcPr>
          <w:p w14:paraId="5BE962FA" w14:textId="77777777" w:rsidR="00F35E14" w:rsidRPr="004E01B4" w:rsidRDefault="00F35E14" w:rsidP="00F777B7">
            <w:pPr>
              <w:jc w:val="right"/>
              <w:rPr>
                <w:rFonts w:ascii="Calibri" w:hAnsi="Calibri" w:cs="Calibri"/>
                <w:sz w:val="20"/>
              </w:rPr>
            </w:pPr>
            <w:r w:rsidRPr="004E01B4">
              <w:rPr>
                <w:rFonts w:ascii="Calibri" w:hAnsi="Calibri" w:cs="Calibri"/>
                <w:sz w:val="20"/>
              </w:rPr>
              <w:t>117,02</w:t>
            </w:r>
          </w:p>
        </w:tc>
        <w:tc>
          <w:tcPr>
            <w:tcW w:w="964" w:type="dxa"/>
            <w:tcBorders>
              <w:top w:val="nil"/>
              <w:left w:val="nil"/>
              <w:bottom w:val="single" w:sz="4" w:space="0" w:color="auto"/>
              <w:right w:val="single" w:sz="4" w:space="0" w:color="auto"/>
            </w:tcBorders>
            <w:shd w:val="clear" w:color="auto" w:fill="auto"/>
            <w:noWrap/>
            <w:vAlign w:val="center"/>
            <w:hideMark/>
          </w:tcPr>
          <w:p w14:paraId="2386F29B" w14:textId="77777777" w:rsidR="00F35E14" w:rsidRPr="004E01B4" w:rsidRDefault="00F35E14" w:rsidP="00F777B7">
            <w:pPr>
              <w:jc w:val="right"/>
              <w:rPr>
                <w:rFonts w:ascii="Calibri" w:hAnsi="Calibri" w:cs="Calibri"/>
                <w:sz w:val="20"/>
              </w:rPr>
            </w:pPr>
            <w:r w:rsidRPr="004E01B4">
              <w:rPr>
                <w:rFonts w:ascii="Calibri" w:hAnsi="Calibri" w:cs="Calibri"/>
                <w:sz w:val="20"/>
              </w:rPr>
              <w:t>129,03</w:t>
            </w:r>
          </w:p>
        </w:tc>
        <w:tc>
          <w:tcPr>
            <w:tcW w:w="964" w:type="dxa"/>
            <w:tcBorders>
              <w:top w:val="nil"/>
              <w:left w:val="nil"/>
              <w:bottom w:val="single" w:sz="4" w:space="0" w:color="auto"/>
              <w:right w:val="single" w:sz="4" w:space="0" w:color="auto"/>
            </w:tcBorders>
            <w:shd w:val="clear" w:color="auto" w:fill="auto"/>
            <w:noWrap/>
            <w:vAlign w:val="center"/>
            <w:hideMark/>
          </w:tcPr>
          <w:p w14:paraId="0B15D95D" w14:textId="77777777" w:rsidR="00F35E14" w:rsidRPr="004E01B4" w:rsidRDefault="00F35E14" w:rsidP="00F777B7">
            <w:pPr>
              <w:jc w:val="right"/>
              <w:rPr>
                <w:rFonts w:ascii="Calibri" w:hAnsi="Calibri" w:cs="Calibri"/>
                <w:sz w:val="20"/>
              </w:rPr>
            </w:pPr>
            <w:r w:rsidRPr="004E01B4">
              <w:rPr>
                <w:rFonts w:ascii="Calibri" w:hAnsi="Calibri" w:cs="Calibri"/>
                <w:sz w:val="20"/>
              </w:rPr>
              <w:t>141,88</w:t>
            </w:r>
          </w:p>
        </w:tc>
        <w:tc>
          <w:tcPr>
            <w:tcW w:w="964" w:type="dxa"/>
            <w:tcBorders>
              <w:top w:val="nil"/>
              <w:left w:val="nil"/>
              <w:bottom w:val="single" w:sz="4" w:space="0" w:color="auto"/>
              <w:right w:val="single" w:sz="4" w:space="0" w:color="auto"/>
            </w:tcBorders>
            <w:shd w:val="clear" w:color="auto" w:fill="auto"/>
            <w:noWrap/>
            <w:vAlign w:val="center"/>
            <w:hideMark/>
          </w:tcPr>
          <w:p w14:paraId="604068F9" w14:textId="77777777" w:rsidR="00F35E14" w:rsidRPr="004E01B4" w:rsidRDefault="00F35E14" w:rsidP="00F777B7">
            <w:pPr>
              <w:jc w:val="right"/>
              <w:rPr>
                <w:rFonts w:ascii="Calibri" w:hAnsi="Calibri" w:cs="Calibri"/>
                <w:sz w:val="20"/>
              </w:rPr>
            </w:pPr>
            <w:r w:rsidRPr="004E01B4">
              <w:rPr>
                <w:rFonts w:ascii="Calibri" w:hAnsi="Calibri" w:cs="Calibri"/>
                <w:sz w:val="20"/>
              </w:rPr>
              <w:t>154,33</w:t>
            </w:r>
          </w:p>
        </w:tc>
        <w:tc>
          <w:tcPr>
            <w:tcW w:w="964" w:type="dxa"/>
            <w:tcBorders>
              <w:top w:val="nil"/>
              <w:left w:val="nil"/>
              <w:bottom w:val="single" w:sz="4" w:space="0" w:color="auto"/>
              <w:right w:val="single" w:sz="4" w:space="0" w:color="auto"/>
            </w:tcBorders>
            <w:shd w:val="clear" w:color="auto" w:fill="auto"/>
            <w:noWrap/>
            <w:vAlign w:val="center"/>
            <w:hideMark/>
          </w:tcPr>
          <w:p w14:paraId="22080E65" w14:textId="77777777" w:rsidR="00F35E14" w:rsidRPr="004E01B4" w:rsidRDefault="00F35E14" w:rsidP="00F777B7">
            <w:pPr>
              <w:jc w:val="right"/>
              <w:rPr>
                <w:rFonts w:ascii="Calibri" w:hAnsi="Calibri" w:cs="Calibri"/>
                <w:sz w:val="20"/>
              </w:rPr>
            </w:pPr>
            <w:r w:rsidRPr="004E01B4">
              <w:rPr>
                <w:rFonts w:ascii="Calibri" w:hAnsi="Calibri" w:cs="Calibri"/>
                <w:sz w:val="20"/>
              </w:rPr>
              <w:t>168,84</w:t>
            </w:r>
          </w:p>
        </w:tc>
        <w:tc>
          <w:tcPr>
            <w:tcW w:w="964" w:type="dxa"/>
            <w:tcBorders>
              <w:top w:val="nil"/>
              <w:left w:val="nil"/>
              <w:bottom w:val="single" w:sz="4" w:space="0" w:color="auto"/>
              <w:right w:val="single" w:sz="4" w:space="0" w:color="auto"/>
            </w:tcBorders>
            <w:shd w:val="clear" w:color="auto" w:fill="auto"/>
            <w:noWrap/>
            <w:vAlign w:val="center"/>
            <w:hideMark/>
          </w:tcPr>
          <w:p w14:paraId="2A1D0EC9" w14:textId="77777777" w:rsidR="00F35E14" w:rsidRPr="004E01B4" w:rsidRDefault="00F35E14" w:rsidP="00F777B7">
            <w:pPr>
              <w:jc w:val="right"/>
              <w:rPr>
                <w:rFonts w:ascii="Calibri" w:hAnsi="Calibri" w:cs="Calibri"/>
                <w:sz w:val="20"/>
              </w:rPr>
            </w:pPr>
            <w:r w:rsidRPr="004E01B4">
              <w:rPr>
                <w:rFonts w:ascii="Calibri" w:hAnsi="Calibri" w:cs="Calibri"/>
                <w:sz w:val="20"/>
              </w:rPr>
              <w:t>190,17</w:t>
            </w:r>
          </w:p>
        </w:tc>
      </w:tr>
      <w:tr w:rsidR="00F35E14" w:rsidRPr="00F35E14" w14:paraId="4BDF9A4F"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4F0DD31F"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Rumunsko</w:t>
            </w:r>
          </w:p>
        </w:tc>
        <w:tc>
          <w:tcPr>
            <w:tcW w:w="964" w:type="dxa"/>
            <w:tcBorders>
              <w:top w:val="nil"/>
              <w:left w:val="nil"/>
              <w:bottom w:val="single" w:sz="4" w:space="0" w:color="auto"/>
              <w:right w:val="single" w:sz="4" w:space="0" w:color="auto"/>
            </w:tcBorders>
            <w:shd w:val="clear" w:color="auto" w:fill="auto"/>
            <w:noWrap/>
            <w:vAlign w:val="center"/>
            <w:hideMark/>
          </w:tcPr>
          <w:p w14:paraId="60692E1E" w14:textId="77777777" w:rsidR="00F35E14" w:rsidRPr="004E01B4" w:rsidRDefault="00F35E14" w:rsidP="00F777B7">
            <w:pPr>
              <w:jc w:val="right"/>
              <w:rPr>
                <w:rFonts w:ascii="Calibri" w:hAnsi="Calibri" w:cs="Calibri"/>
                <w:sz w:val="20"/>
              </w:rPr>
            </w:pPr>
            <w:r w:rsidRPr="004E01B4">
              <w:rPr>
                <w:rFonts w:ascii="Calibri" w:hAnsi="Calibri" w:cs="Calibri"/>
                <w:sz w:val="20"/>
              </w:rPr>
              <w:t>105,95</w:t>
            </w:r>
          </w:p>
        </w:tc>
        <w:tc>
          <w:tcPr>
            <w:tcW w:w="964" w:type="dxa"/>
            <w:tcBorders>
              <w:top w:val="nil"/>
              <w:left w:val="nil"/>
              <w:bottom w:val="single" w:sz="4" w:space="0" w:color="auto"/>
              <w:right w:val="single" w:sz="4" w:space="0" w:color="auto"/>
            </w:tcBorders>
            <w:shd w:val="clear" w:color="auto" w:fill="auto"/>
            <w:noWrap/>
            <w:vAlign w:val="center"/>
            <w:hideMark/>
          </w:tcPr>
          <w:p w14:paraId="3E1B1748" w14:textId="77777777" w:rsidR="00F35E14" w:rsidRPr="004E01B4" w:rsidRDefault="00F35E14" w:rsidP="00F777B7">
            <w:pPr>
              <w:jc w:val="right"/>
              <w:rPr>
                <w:rFonts w:ascii="Calibri" w:hAnsi="Calibri" w:cs="Calibri"/>
                <w:sz w:val="20"/>
              </w:rPr>
            </w:pPr>
            <w:r w:rsidRPr="004E01B4">
              <w:rPr>
                <w:rFonts w:ascii="Calibri" w:hAnsi="Calibri" w:cs="Calibri"/>
                <w:sz w:val="20"/>
              </w:rPr>
              <w:t>112,36</w:t>
            </w:r>
          </w:p>
        </w:tc>
        <w:tc>
          <w:tcPr>
            <w:tcW w:w="964" w:type="dxa"/>
            <w:tcBorders>
              <w:top w:val="nil"/>
              <w:left w:val="nil"/>
              <w:bottom w:val="single" w:sz="4" w:space="0" w:color="auto"/>
              <w:right w:val="single" w:sz="4" w:space="0" w:color="auto"/>
            </w:tcBorders>
            <w:shd w:val="clear" w:color="auto" w:fill="auto"/>
            <w:noWrap/>
            <w:vAlign w:val="center"/>
            <w:hideMark/>
          </w:tcPr>
          <w:p w14:paraId="3058EB97" w14:textId="77777777" w:rsidR="00F35E14" w:rsidRPr="004E01B4" w:rsidRDefault="00F35E14" w:rsidP="00F777B7">
            <w:pPr>
              <w:jc w:val="right"/>
              <w:rPr>
                <w:rFonts w:ascii="Calibri" w:hAnsi="Calibri" w:cs="Calibri"/>
                <w:sz w:val="20"/>
              </w:rPr>
            </w:pPr>
            <w:r w:rsidRPr="004E01B4">
              <w:rPr>
                <w:rFonts w:ascii="Calibri" w:hAnsi="Calibri" w:cs="Calibri"/>
                <w:sz w:val="20"/>
              </w:rPr>
              <w:t>118,62</w:t>
            </w:r>
          </w:p>
        </w:tc>
        <w:tc>
          <w:tcPr>
            <w:tcW w:w="964" w:type="dxa"/>
            <w:tcBorders>
              <w:top w:val="nil"/>
              <w:left w:val="nil"/>
              <w:bottom w:val="single" w:sz="4" w:space="0" w:color="auto"/>
              <w:right w:val="single" w:sz="4" w:space="0" w:color="auto"/>
            </w:tcBorders>
            <w:shd w:val="clear" w:color="auto" w:fill="auto"/>
            <w:noWrap/>
            <w:vAlign w:val="center"/>
            <w:hideMark/>
          </w:tcPr>
          <w:p w14:paraId="5E52CFCD" w14:textId="77777777" w:rsidR="00F35E14" w:rsidRPr="004E01B4" w:rsidRDefault="00F35E14" w:rsidP="00F777B7">
            <w:pPr>
              <w:jc w:val="right"/>
              <w:rPr>
                <w:rFonts w:ascii="Calibri" w:hAnsi="Calibri" w:cs="Calibri"/>
                <w:sz w:val="20"/>
              </w:rPr>
            </w:pPr>
            <w:r w:rsidRPr="004E01B4">
              <w:rPr>
                <w:rFonts w:ascii="Calibri" w:hAnsi="Calibri" w:cs="Calibri"/>
                <w:sz w:val="20"/>
              </w:rPr>
              <w:t>122,69</w:t>
            </w:r>
          </w:p>
        </w:tc>
        <w:tc>
          <w:tcPr>
            <w:tcW w:w="964" w:type="dxa"/>
            <w:tcBorders>
              <w:top w:val="nil"/>
              <w:left w:val="nil"/>
              <w:bottom w:val="single" w:sz="4" w:space="0" w:color="auto"/>
              <w:right w:val="single" w:sz="4" w:space="0" w:color="auto"/>
            </w:tcBorders>
            <w:shd w:val="clear" w:color="auto" w:fill="auto"/>
            <w:noWrap/>
            <w:vAlign w:val="center"/>
            <w:hideMark/>
          </w:tcPr>
          <w:p w14:paraId="29FAE469" w14:textId="77777777" w:rsidR="00F35E14" w:rsidRPr="004E01B4" w:rsidRDefault="00F35E14" w:rsidP="00F777B7">
            <w:pPr>
              <w:jc w:val="right"/>
              <w:rPr>
                <w:rFonts w:ascii="Calibri" w:hAnsi="Calibri" w:cs="Calibri"/>
                <w:sz w:val="20"/>
              </w:rPr>
            </w:pPr>
            <w:r w:rsidRPr="004E01B4">
              <w:rPr>
                <w:rFonts w:ascii="Calibri" w:hAnsi="Calibri" w:cs="Calibri"/>
                <w:sz w:val="20"/>
              </w:rPr>
              <w:t>128,44</w:t>
            </w:r>
          </w:p>
        </w:tc>
        <w:tc>
          <w:tcPr>
            <w:tcW w:w="964" w:type="dxa"/>
            <w:tcBorders>
              <w:top w:val="nil"/>
              <w:left w:val="nil"/>
              <w:bottom w:val="single" w:sz="4" w:space="0" w:color="auto"/>
              <w:right w:val="single" w:sz="4" w:space="0" w:color="auto"/>
            </w:tcBorders>
            <w:shd w:val="clear" w:color="auto" w:fill="auto"/>
            <w:noWrap/>
            <w:vAlign w:val="center"/>
            <w:hideMark/>
          </w:tcPr>
          <w:p w14:paraId="19194A11" w14:textId="77777777" w:rsidR="00F35E14" w:rsidRPr="004E01B4" w:rsidRDefault="00F35E14" w:rsidP="00F777B7">
            <w:pPr>
              <w:jc w:val="right"/>
              <w:rPr>
                <w:rFonts w:ascii="Calibri" w:hAnsi="Calibri" w:cs="Calibri"/>
                <w:sz w:val="20"/>
              </w:rPr>
            </w:pPr>
            <w:r w:rsidRPr="004E01B4">
              <w:rPr>
                <w:rFonts w:ascii="Calibri" w:hAnsi="Calibri" w:cs="Calibri"/>
                <w:sz w:val="20"/>
              </w:rPr>
              <w:t>134,09</w:t>
            </w:r>
          </w:p>
        </w:tc>
        <w:tc>
          <w:tcPr>
            <w:tcW w:w="964" w:type="dxa"/>
            <w:tcBorders>
              <w:top w:val="nil"/>
              <w:left w:val="nil"/>
              <w:bottom w:val="single" w:sz="4" w:space="0" w:color="auto"/>
              <w:right w:val="single" w:sz="4" w:space="0" w:color="auto"/>
            </w:tcBorders>
            <w:shd w:val="clear" w:color="auto" w:fill="auto"/>
            <w:noWrap/>
            <w:vAlign w:val="center"/>
            <w:hideMark/>
          </w:tcPr>
          <w:p w14:paraId="7A3B314F" w14:textId="77777777" w:rsidR="00F35E14" w:rsidRPr="004E01B4" w:rsidRDefault="00F35E14" w:rsidP="00F777B7">
            <w:pPr>
              <w:jc w:val="right"/>
              <w:rPr>
                <w:rFonts w:ascii="Calibri" w:hAnsi="Calibri" w:cs="Calibri"/>
                <w:sz w:val="20"/>
              </w:rPr>
            </w:pPr>
            <w:r w:rsidRPr="004E01B4">
              <w:rPr>
                <w:rFonts w:ascii="Calibri" w:hAnsi="Calibri" w:cs="Calibri"/>
                <w:sz w:val="20"/>
              </w:rPr>
              <w:t>143,70</w:t>
            </w:r>
          </w:p>
        </w:tc>
      </w:tr>
      <w:tr w:rsidR="00F35E14" w:rsidRPr="00F35E14" w14:paraId="15462D6B"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5C2FB738"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Slovinsko</w:t>
            </w:r>
          </w:p>
        </w:tc>
        <w:tc>
          <w:tcPr>
            <w:tcW w:w="964" w:type="dxa"/>
            <w:tcBorders>
              <w:top w:val="nil"/>
              <w:left w:val="nil"/>
              <w:bottom w:val="single" w:sz="4" w:space="0" w:color="auto"/>
              <w:right w:val="single" w:sz="4" w:space="0" w:color="auto"/>
            </w:tcBorders>
            <w:shd w:val="clear" w:color="auto" w:fill="auto"/>
            <w:noWrap/>
            <w:vAlign w:val="center"/>
            <w:hideMark/>
          </w:tcPr>
          <w:p w14:paraId="2D94B61D" w14:textId="77777777" w:rsidR="00F35E14" w:rsidRPr="004E01B4" w:rsidRDefault="00F35E14" w:rsidP="00F777B7">
            <w:pPr>
              <w:jc w:val="right"/>
              <w:rPr>
                <w:rFonts w:ascii="Calibri" w:hAnsi="Calibri" w:cs="Calibri"/>
                <w:sz w:val="20"/>
              </w:rPr>
            </w:pPr>
            <w:r w:rsidRPr="004E01B4">
              <w:rPr>
                <w:rFonts w:ascii="Calibri" w:hAnsi="Calibri" w:cs="Calibri"/>
                <w:sz w:val="20"/>
              </w:rPr>
              <w:t>103,25</w:t>
            </w:r>
          </w:p>
        </w:tc>
        <w:tc>
          <w:tcPr>
            <w:tcW w:w="964" w:type="dxa"/>
            <w:tcBorders>
              <w:top w:val="nil"/>
              <w:left w:val="nil"/>
              <w:bottom w:val="single" w:sz="4" w:space="0" w:color="auto"/>
              <w:right w:val="single" w:sz="4" w:space="0" w:color="auto"/>
            </w:tcBorders>
            <w:shd w:val="clear" w:color="auto" w:fill="auto"/>
            <w:noWrap/>
            <w:vAlign w:val="center"/>
            <w:hideMark/>
          </w:tcPr>
          <w:p w14:paraId="3D1B370D" w14:textId="77777777" w:rsidR="00F35E14" w:rsidRPr="004E01B4" w:rsidRDefault="00F35E14" w:rsidP="00F777B7">
            <w:pPr>
              <w:jc w:val="right"/>
              <w:rPr>
                <w:rFonts w:ascii="Calibri" w:hAnsi="Calibri" w:cs="Calibri"/>
                <w:sz w:val="20"/>
              </w:rPr>
            </w:pPr>
            <w:r w:rsidRPr="004E01B4">
              <w:rPr>
                <w:rFonts w:ascii="Calibri" w:hAnsi="Calibri" w:cs="Calibri"/>
                <w:sz w:val="20"/>
              </w:rPr>
              <w:t>111,79</w:t>
            </w:r>
          </w:p>
        </w:tc>
        <w:tc>
          <w:tcPr>
            <w:tcW w:w="964" w:type="dxa"/>
            <w:tcBorders>
              <w:top w:val="nil"/>
              <w:left w:val="nil"/>
              <w:bottom w:val="single" w:sz="4" w:space="0" w:color="auto"/>
              <w:right w:val="single" w:sz="4" w:space="0" w:color="auto"/>
            </w:tcBorders>
            <w:shd w:val="clear" w:color="auto" w:fill="auto"/>
            <w:noWrap/>
            <w:vAlign w:val="center"/>
            <w:hideMark/>
          </w:tcPr>
          <w:p w14:paraId="581BB042" w14:textId="77777777" w:rsidR="00F35E14" w:rsidRPr="004E01B4" w:rsidRDefault="00F35E14" w:rsidP="00F777B7">
            <w:pPr>
              <w:jc w:val="right"/>
              <w:rPr>
                <w:rFonts w:ascii="Calibri" w:hAnsi="Calibri" w:cs="Calibri"/>
                <w:sz w:val="20"/>
              </w:rPr>
            </w:pPr>
            <w:r w:rsidRPr="004E01B4">
              <w:rPr>
                <w:rFonts w:ascii="Calibri" w:hAnsi="Calibri" w:cs="Calibri"/>
                <w:sz w:val="20"/>
              </w:rPr>
              <w:t>121,55</w:t>
            </w:r>
          </w:p>
        </w:tc>
        <w:tc>
          <w:tcPr>
            <w:tcW w:w="964" w:type="dxa"/>
            <w:tcBorders>
              <w:top w:val="nil"/>
              <w:left w:val="nil"/>
              <w:bottom w:val="single" w:sz="4" w:space="0" w:color="auto"/>
              <w:right w:val="single" w:sz="4" w:space="0" w:color="auto"/>
            </w:tcBorders>
            <w:shd w:val="clear" w:color="auto" w:fill="auto"/>
            <w:noWrap/>
            <w:vAlign w:val="center"/>
            <w:hideMark/>
          </w:tcPr>
          <w:p w14:paraId="3945B935" w14:textId="77777777" w:rsidR="00F35E14" w:rsidRPr="004E01B4" w:rsidRDefault="00F35E14" w:rsidP="00F777B7">
            <w:pPr>
              <w:jc w:val="right"/>
              <w:rPr>
                <w:rFonts w:ascii="Calibri" w:hAnsi="Calibri" w:cs="Calibri"/>
                <w:sz w:val="20"/>
              </w:rPr>
            </w:pPr>
            <w:r w:rsidRPr="004E01B4">
              <w:rPr>
                <w:rFonts w:ascii="Calibri" w:hAnsi="Calibri" w:cs="Calibri"/>
                <w:sz w:val="20"/>
              </w:rPr>
              <w:t>129,69</w:t>
            </w:r>
          </w:p>
        </w:tc>
        <w:tc>
          <w:tcPr>
            <w:tcW w:w="964" w:type="dxa"/>
            <w:tcBorders>
              <w:top w:val="nil"/>
              <w:left w:val="nil"/>
              <w:bottom w:val="single" w:sz="4" w:space="0" w:color="auto"/>
              <w:right w:val="single" w:sz="4" w:space="0" w:color="auto"/>
            </w:tcBorders>
            <w:shd w:val="clear" w:color="auto" w:fill="auto"/>
            <w:noWrap/>
            <w:vAlign w:val="center"/>
            <w:hideMark/>
          </w:tcPr>
          <w:p w14:paraId="42DEE8F1" w14:textId="77777777" w:rsidR="00F35E14" w:rsidRPr="004E01B4" w:rsidRDefault="00F35E14" w:rsidP="00F777B7">
            <w:pPr>
              <w:jc w:val="right"/>
              <w:rPr>
                <w:rFonts w:ascii="Calibri" w:hAnsi="Calibri" w:cs="Calibri"/>
                <w:sz w:val="20"/>
              </w:rPr>
            </w:pPr>
            <w:r w:rsidRPr="004E01B4">
              <w:rPr>
                <w:rFonts w:ascii="Calibri" w:hAnsi="Calibri" w:cs="Calibri"/>
                <w:sz w:val="20"/>
              </w:rPr>
              <w:t>135,66</w:t>
            </w:r>
          </w:p>
        </w:tc>
        <w:tc>
          <w:tcPr>
            <w:tcW w:w="964" w:type="dxa"/>
            <w:tcBorders>
              <w:top w:val="nil"/>
              <w:left w:val="nil"/>
              <w:bottom w:val="single" w:sz="4" w:space="0" w:color="auto"/>
              <w:right w:val="single" w:sz="4" w:space="0" w:color="auto"/>
            </w:tcBorders>
            <w:shd w:val="clear" w:color="auto" w:fill="auto"/>
            <w:noWrap/>
            <w:vAlign w:val="center"/>
            <w:hideMark/>
          </w:tcPr>
          <w:p w14:paraId="7C9B3259" w14:textId="77777777" w:rsidR="00F35E14" w:rsidRPr="004E01B4" w:rsidRDefault="00F35E14" w:rsidP="00F777B7">
            <w:pPr>
              <w:jc w:val="right"/>
              <w:rPr>
                <w:rFonts w:ascii="Calibri" w:hAnsi="Calibri" w:cs="Calibri"/>
                <w:sz w:val="20"/>
              </w:rPr>
            </w:pPr>
            <w:r w:rsidRPr="004E01B4">
              <w:rPr>
                <w:rFonts w:ascii="Calibri" w:hAnsi="Calibri" w:cs="Calibri"/>
                <w:sz w:val="20"/>
              </w:rPr>
              <w:t>151,32</w:t>
            </w:r>
          </w:p>
        </w:tc>
        <w:tc>
          <w:tcPr>
            <w:tcW w:w="964" w:type="dxa"/>
            <w:tcBorders>
              <w:top w:val="nil"/>
              <w:left w:val="nil"/>
              <w:bottom w:val="single" w:sz="4" w:space="0" w:color="auto"/>
              <w:right w:val="single" w:sz="4" w:space="0" w:color="auto"/>
            </w:tcBorders>
            <w:shd w:val="clear" w:color="auto" w:fill="auto"/>
            <w:noWrap/>
            <w:vAlign w:val="center"/>
            <w:hideMark/>
          </w:tcPr>
          <w:p w14:paraId="68E78780" w14:textId="77777777" w:rsidR="00F35E14" w:rsidRPr="004E01B4" w:rsidRDefault="00F35E14" w:rsidP="00F777B7">
            <w:pPr>
              <w:jc w:val="right"/>
              <w:rPr>
                <w:rFonts w:ascii="Calibri" w:hAnsi="Calibri" w:cs="Calibri"/>
                <w:sz w:val="20"/>
              </w:rPr>
            </w:pPr>
            <w:r w:rsidRPr="004E01B4">
              <w:rPr>
                <w:rFonts w:ascii="Calibri" w:hAnsi="Calibri" w:cs="Calibri"/>
                <w:sz w:val="20"/>
              </w:rPr>
              <w:t>173,65</w:t>
            </w:r>
          </w:p>
        </w:tc>
      </w:tr>
      <w:tr w:rsidR="00F35E14" w:rsidRPr="00F35E14" w14:paraId="7F7208E8"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40491546"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Slovensko</w:t>
            </w:r>
          </w:p>
        </w:tc>
        <w:tc>
          <w:tcPr>
            <w:tcW w:w="964" w:type="dxa"/>
            <w:tcBorders>
              <w:top w:val="nil"/>
              <w:left w:val="nil"/>
              <w:bottom w:val="single" w:sz="4" w:space="0" w:color="auto"/>
              <w:right w:val="single" w:sz="4" w:space="0" w:color="auto"/>
            </w:tcBorders>
            <w:shd w:val="clear" w:color="auto" w:fill="auto"/>
            <w:noWrap/>
            <w:vAlign w:val="center"/>
            <w:hideMark/>
          </w:tcPr>
          <w:p w14:paraId="4EC1E922" w14:textId="77777777" w:rsidR="00F35E14" w:rsidRPr="004E01B4" w:rsidRDefault="00F35E14" w:rsidP="00F777B7">
            <w:pPr>
              <w:jc w:val="right"/>
              <w:rPr>
                <w:rFonts w:ascii="Calibri" w:hAnsi="Calibri" w:cs="Calibri"/>
                <w:sz w:val="20"/>
              </w:rPr>
            </w:pPr>
            <w:r w:rsidRPr="004E01B4">
              <w:rPr>
                <w:rFonts w:ascii="Calibri" w:hAnsi="Calibri" w:cs="Calibri"/>
                <w:sz w:val="20"/>
              </w:rPr>
              <w:t>106,70</w:t>
            </w:r>
          </w:p>
        </w:tc>
        <w:tc>
          <w:tcPr>
            <w:tcW w:w="964" w:type="dxa"/>
            <w:tcBorders>
              <w:top w:val="nil"/>
              <w:left w:val="nil"/>
              <w:bottom w:val="single" w:sz="4" w:space="0" w:color="auto"/>
              <w:right w:val="single" w:sz="4" w:space="0" w:color="auto"/>
            </w:tcBorders>
            <w:shd w:val="clear" w:color="auto" w:fill="auto"/>
            <w:noWrap/>
            <w:vAlign w:val="center"/>
            <w:hideMark/>
          </w:tcPr>
          <w:p w14:paraId="00199ADE" w14:textId="77777777" w:rsidR="00F35E14" w:rsidRPr="004E01B4" w:rsidRDefault="00F35E14" w:rsidP="00F777B7">
            <w:pPr>
              <w:jc w:val="right"/>
              <w:rPr>
                <w:rFonts w:ascii="Calibri" w:hAnsi="Calibri" w:cs="Calibri"/>
                <w:sz w:val="20"/>
              </w:rPr>
            </w:pPr>
            <w:r w:rsidRPr="004E01B4">
              <w:rPr>
                <w:rFonts w:ascii="Calibri" w:hAnsi="Calibri" w:cs="Calibri"/>
                <w:sz w:val="20"/>
              </w:rPr>
              <w:t>112,99</w:t>
            </w:r>
          </w:p>
        </w:tc>
        <w:tc>
          <w:tcPr>
            <w:tcW w:w="964" w:type="dxa"/>
            <w:tcBorders>
              <w:top w:val="nil"/>
              <w:left w:val="nil"/>
              <w:bottom w:val="single" w:sz="4" w:space="0" w:color="auto"/>
              <w:right w:val="single" w:sz="4" w:space="0" w:color="auto"/>
            </w:tcBorders>
            <w:shd w:val="clear" w:color="auto" w:fill="auto"/>
            <w:noWrap/>
            <w:vAlign w:val="center"/>
            <w:hideMark/>
          </w:tcPr>
          <w:p w14:paraId="7156DE22" w14:textId="77777777" w:rsidR="00F35E14" w:rsidRPr="004E01B4" w:rsidRDefault="00F35E14" w:rsidP="00F777B7">
            <w:pPr>
              <w:jc w:val="right"/>
              <w:rPr>
                <w:rFonts w:ascii="Calibri" w:hAnsi="Calibri" w:cs="Calibri"/>
                <w:sz w:val="20"/>
              </w:rPr>
            </w:pPr>
            <w:r w:rsidRPr="004E01B4">
              <w:rPr>
                <w:rFonts w:ascii="Calibri" w:hAnsi="Calibri" w:cs="Calibri"/>
                <w:sz w:val="20"/>
              </w:rPr>
              <w:t>121,32</w:t>
            </w:r>
          </w:p>
        </w:tc>
        <w:tc>
          <w:tcPr>
            <w:tcW w:w="964" w:type="dxa"/>
            <w:tcBorders>
              <w:top w:val="nil"/>
              <w:left w:val="nil"/>
              <w:bottom w:val="single" w:sz="4" w:space="0" w:color="auto"/>
              <w:right w:val="single" w:sz="4" w:space="0" w:color="auto"/>
            </w:tcBorders>
            <w:shd w:val="clear" w:color="auto" w:fill="auto"/>
            <w:noWrap/>
            <w:vAlign w:val="center"/>
            <w:hideMark/>
          </w:tcPr>
          <w:p w14:paraId="2C94B3FE" w14:textId="77777777" w:rsidR="00F35E14" w:rsidRPr="004E01B4" w:rsidRDefault="00F35E14" w:rsidP="00F777B7">
            <w:pPr>
              <w:jc w:val="right"/>
              <w:rPr>
                <w:rFonts w:ascii="Calibri" w:hAnsi="Calibri" w:cs="Calibri"/>
                <w:sz w:val="20"/>
              </w:rPr>
            </w:pPr>
            <w:r w:rsidRPr="004E01B4">
              <w:rPr>
                <w:rFonts w:ascii="Calibri" w:hAnsi="Calibri" w:cs="Calibri"/>
                <w:sz w:val="20"/>
              </w:rPr>
              <w:t>132,39</w:t>
            </w:r>
          </w:p>
        </w:tc>
        <w:tc>
          <w:tcPr>
            <w:tcW w:w="964" w:type="dxa"/>
            <w:tcBorders>
              <w:top w:val="nil"/>
              <w:left w:val="nil"/>
              <w:bottom w:val="single" w:sz="4" w:space="0" w:color="auto"/>
              <w:right w:val="single" w:sz="4" w:space="0" w:color="auto"/>
            </w:tcBorders>
            <w:shd w:val="clear" w:color="auto" w:fill="auto"/>
            <w:noWrap/>
            <w:vAlign w:val="center"/>
            <w:hideMark/>
          </w:tcPr>
          <w:p w14:paraId="5FC9DF47" w14:textId="77777777" w:rsidR="00F35E14" w:rsidRPr="004E01B4" w:rsidRDefault="00F35E14" w:rsidP="00F777B7">
            <w:pPr>
              <w:jc w:val="right"/>
              <w:rPr>
                <w:rFonts w:ascii="Calibri" w:hAnsi="Calibri" w:cs="Calibri"/>
                <w:sz w:val="20"/>
              </w:rPr>
            </w:pPr>
            <w:r w:rsidRPr="004E01B4">
              <w:rPr>
                <w:rFonts w:ascii="Calibri" w:hAnsi="Calibri" w:cs="Calibri"/>
                <w:sz w:val="20"/>
              </w:rPr>
              <w:t>145,06</w:t>
            </w:r>
          </w:p>
        </w:tc>
        <w:tc>
          <w:tcPr>
            <w:tcW w:w="964" w:type="dxa"/>
            <w:tcBorders>
              <w:top w:val="nil"/>
              <w:left w:val="nil"/>
              <w:bottom w:val="single" w:sz="4" w:space="0" w:color="auto"/>
              <w:right w:val="single" w:sz="4" w:space="0" w:color="auto"/>
            </w:tcBorders>
            <w:shd w:val="clear" w:color="auto" w:fill="auto"/>
            <w:noWrap/>
            <w:vAlign w:val="center"/>
            <w:hideMark/>
          </w:tcPr>
          <w:p w14:paraId="5E8795FC" w14:textId="77777777" w:rsidR="00F35E14" w:rsidRPr="004E01B4" w:rsidRDefault="00F35E14" w:rsidP="00F777B7">
            <w:pPr>
              <w:jc w:val="right"/>
              <w:rPr>
                <w:rFonts w:ascii="Calibri" w:hAnsi="Calibri" w:cs="Calibri"/>
                <w:sz w:val="20"/>
              </w:rPr>
            </w:pPr>
            <w:r w:rsidRPr="004E01B4">
              <w:rPr>
                <w:rFonts w:ascii="Calibri" w:hAnsi="Calibri" w:cs="Calibri"/>
                <w:sz w:val="20"/>
              </w:rPr>
              <w:t>154,33</w:t>
            </w:r>
          </w:p>
        </w:tc>
        <w:tc>
          <w:tcPr>
            <w:tcW w:w="964" w:type="dxa"/>
            <w:tcBorders>
              <w:top w:val="nil"/>
              <w:left w:val="nil"/>
              <w:bottom w:val="single" w:sz="4" w:space="0" w:color="auto"/>
              <w:right w:val="single" w:sz="4" w:space="0" w:color="auto"/>
            </w:tcBorders>
            <w:shd w:val="clear" w:color="auto" w:fill="auto"/>
            <w:noWrap/>
            <w:vAlign w:val="center"/>
            <w:hideMark/>
          </w:tcPr>
          <w:p w14:paraId="1291D3AB" w14:textId="77777777" w:rsidR="00F35E14" w:rsidRPr="004E01B4" w:rsidRDefault="00F35E14" w:rsidP="00F777B7">
            <w:pPr>
              <w:jc w:val="right"/>
              <w:rPr>
                <w:rFonts w:ascii="Calibri" w:hAnsi="Calibri" w:cs="Calibri"/>
                <w:sz w:val="20"/>
              </w:rPr>
            </w:pPr>
            <w:r w:rsidRPr="004E01B4">
              <w:rPr>
                <w:rFonts w:ascii="Calibri" w:hAnsi="Calibri" w:cs="Calibri"/>
                <w:sz w:val="20"/>
              </w:rPr>
              <w:t>175,47</w:t>
            </w:r>
          </w:p>
        </w:tc>
      </w:tr>
      <w:tr w:rsidR="00F35E14" w:rsidRPr="00F35E14" w14:paraId="69F0C51B"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54CC988D"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Finsko</w:t>
            </w:r>
          </w:p>
        </w:tc>
        <w:tc>
          <w:tcPr>
            <w:tcW w:w="964" w:type="dxa"/>
            <w:tcBorders>
              <w:top w:val="nil"/>
              <w:left w:val="nil"/>
              <w:bottom w:val="single" w:sz="4" w:space="0" w:color="auto"/>
              <w:right w:val="single" w:sz="4" w:space="0" w:color="auto"/>
            </w:tcBorders>
            <w:shd w:val="clear" w:color="auto" w:fill="auto"/>
            <w:noWrap/>
            <w:vAlign w:val="center"/>
            <w:hideMark/>
          </w:tcPr>
          <w:p w14:paraId="48054532" w14:textId="77777777" w:rsidR="00F35E14" w:rsidRPr="004E01B4" w:rsidRDefault="00F35E14" w:rsidP="00F777B7">
            <w:pPr>
              <w:jc w:val="right"/>
              <w:rPr>
                <w:rFonts w:ascii="Calibri" w:hAnsi="Calibri" w:cs="Calibri"/>
                <w:sz w:val="20"/>
              </w:rPr>
            </w:pPr>
            <w:r w:rsidRPr="004E01B4">
              <w:rPr>
                <w:rFonts w:ascii="Calibri" w:hAnsi="Calibri" w:cs="Calibri"/>
                <w:sz w:val="20"/>
              </w:rPr>
              <w:t>101,29</w:t>
            </w:r>
          </w:p>
        </w:tc>
        <w:tc>
          <w:tcPr>
            <w:tcW w:w="964" w:type="dxa"/>
            <w:tcBorders>
              <w:top w:val="nil"/>
              <w:left w:val="nil"/>
              <w:bottom w:val="single" w:sz="4" w:space="0" w:color="auto"/>
              <w:right w:val="single" w:sz="4" w:space="0" w:color="auto"/>
            </w:tcBorders>
            <w:shd w:val="clear" w:color="auto" w:fill="auto"/>
            <w:noWrap/>
            <w:vAlign w:val="center"/>
            <w:hideMark/>
          </w:tcPr>
          <w:p w14:paraId="0D3C5F31" w14:textId="77777777" w:rsidR="00F35E14" w:rsidRPr="004E01B4" w:rsidRDefault="00F35E14" w:rsidP="00F777B7">
            <w:pPr>
              <w:jc w:val="right"/>
              <w:rPr>
                <w:rFonts w:ascii="Calibri" w:hAnsi="Calibri" w:cs="Calibri"/>
                <w:sz w:val="20"/>
              </w:rPr>
            </w:pPr>
            <w:r w:rsidRPr="004E01B4">
              <w:rPr>
                <w:rFonts w:ascii="Calibri" w:hAnsi="Calibri" w:cs="Calibri"/>
                <w:sz w:val="20"/>
              </w:rPr>
              <w:t>102,39</w:t>
            </w:r>
          </w:p>
        </w:tc>
        <w:tc>
          <w:tcPr>
            <w:tcW w:w="964" w:type="dxa"/>
            <w:tcBorders>
              <w:top w:val="nil"/>
              <w:left w:val="nil"/>
              <w:bottom w:val="single" w:sz="4" w:space="0" w:color="auto"/>
              <w:right w:val="single" w:sz="4" w:space="0" w:color="auto"/>
            </w:tcBorders>
            <w:shd w:val="clear" w:color="auto" w:fill="auto"/>
            <w:noWrap/>
            <w:vAlign w:val="center"/>
            <w:hideMark/>
          </w:tcPr>
          <w:p w14:paraId="601C8DFA" w14:textId="77777777" w:rsidR="00F35E14" w:rsidRPr="004E01B4" w:rsidRDefault="00F35E14" w:rsidP="00F777B7">
            <w:pPr>
              <w:jc w:val="right"/>
              <w:rPr>
                <w:rFonts w:ascii="Calibri" w:hAnsi="Calibri" w:cs="Calibri"/>
                <w:sz w:val="20"/>
              </w:rPr>
            </w:pPr>
            <w:r w:rsidRPr="004E01B4">
              <w:rPr>
                <w:rFonts w:ascii="Calibri" w:hAnsi="Calibri" w:cs="Calibri"/>
                <w:sz w:val="20"/>
              </w:rPr>
              <w:t>103,34</w:t>
            </w:r>
          </w:p>
        </w:tc>
        <w:tc>
          <w:tcPr>
            <w:tcW w:w="964" w:type="dxa"/>
            <w:tcBorders>
              <w:top w:val="nil"/>
              <w:left w:val="nil"/>
              <w:bottom w:val="single" w:sz="4" w:space="0" w:color="auto"/>
              <w:right w:val="single" w:sz="4" w:space="0" w:color="auto"/>
            </w:tcBorders>
            <w:shd w:val="clear" w:color="auto" w:fill="auto"/>
            <w:noWrap/>
            <w:vAlign w:val="center"/>
            <w:hideMark/>
          </w:tcPr>
          <w:p w14:paraId="427F8BFB" w14:textId="77777777" w:rsidR="00F35E14" w:rsidRPr="004E01B4" w:rsidRDefault="00F35E14" w:rsidP="00F777B7">
            <w:pPr>
              <w:jc w:val="right"/>
              <w:rPr>
                <w:rFonts w:ascii="Calibri" w:hAnsi="Calibri" w:cs="Calibri"/>
                <w:sz w:val="20"/>
              </w:rPr>
            </w:pPr>
            <w:r w:rsidRPr="004E01B4">
              <w:rPr>
                <w:rFonts w:ascii="Calibri" w:hAnsi="Calibri" w:cs="Calibri"/>
                <w:sz w:val="20"/>
              </w:rPr>
              <w:t>103,77</w:t>
            </w:r>
          </w:p>
        </w:tc>
        <w:tc>
          <w:tcPr>
            <w:tcW w:w="964" w:type="dxa"/>
            <w:tcBorders>
              <w:top w:val="nil"/>
              <w:left w:val="nil"/>
              <w:bottom w:val="single" w:sz="4" w:space="0" w:color="auto"/>
              <w:right w:val="single" w:sz="4" w:space="0" w:color="auto"/>
            </w:tcBorders>
            <w:shd w:val="clear" w:color="auto" w:fill="auto"/>
            <w:noWrap/>
            <w:vAlign w:val="center"/>
            <w:hideMark/>
          </w:tcPr>
          <w:p w14:paraId="322A060F" w14:textId="77777777" w:rsidR="00F35E14" w:rsidRPr="004E01B4" w:rsidRDefault="00F35E14" w:rsidP="00F777B7">
            <w:pPr>
              <w:jc w:val="right"/>
              <w:rPr>
                <w:rFonts w:ascii="Calibri" w:hAnsi="Calibri" w:cs="Calibri"/>
                <w:sz w:val="20"/>
              </w:rPr>
            </w:pPr>
            <w:r w:rsidRPr="004E01B4">
              <w:rPr>
                <w:rFonts w:ascii="Calibri" w:hAnsi="Calibri" w:cs="Calibri"/>
                <w:sz w:val="20"/>
              </w:rPr>
              <w:t>105,60</w:t>
            </w:r>
          </w:p>
        </w:tc>
        <w:tc>
          <w:tcPr>
            <w:tcW w:w="964" w:type="dxa"/>
            <w:tcBorders>
              <w:top w:val="nil"/>
              <w:left w:val="nil"/>
              <w:bottom w:val="single" w:sz="4" w:space="0" w:color="auto"/>
              <w:right w:val="single" w:sz="4" w:space="0" w:color="auto"/>
            </w:tcBorders>
            <w:shd w:val="clear" w:color="auto" w:fill="auto"/>
            <w:noWrap/>
            <w:vAlign w:val="center"/>
            <w:hideMark/>
          </w:tcPr>
          <w:p w14:paraId="11373A2E" w14:textId="77777777" w:rsidR="00F35E14" w:rsidRPr="004E01B4" w:rsidRDefault="00F35E14" w:rsidP="00F777B7">
            <w:pPr>
              <w:jc w:val="right"/>
              <w:rPr>
                <w:rFonts w:ascii="Calibri" w:hAnsi="Calibri" w:cs="Calibri"/>
                <w:sz w:val="20"/>
              </w:rPr>
            </w:pPr>
            <w:r w:rsidRPr="004E01B4">
              <w:rPr>
                <w:rFonts w:ascii="Calibri" w:hAnsi="Calibri" w:cs="Calibri"/>
                <w:sz w:val="20"/>
              </w:rPr>
              <w:t>110,45</w:t>
            </w:r>
          </w:p>
        </w:tc>
        <w:tc>
          <w:tcPr>
            <w:tcW w:w="964" w:type="dxa"/>
            <w:tcBorders>
              <w:top w:val="nil"/>
              <w:left w:val="nil"/>
              <w:bottom w:val="single" w:sz="4" w:space="0" w:color="auto"/>
              <w:right w:val="single" w:sz="4" w:space="0" w:color="auto"/>
            </w:tcBorders>
            <w:shd w:val="clear" w:color="auto" w:fill="auto"/>
            <w:noWrap/>
            <w:vAlign w:val="center"/>
            <w:hideMark/>
          </w:tcPr>
          <w:p w14:paraId="0EBFAA31" w14:textId="77777777" w:rsidR="00F35E14" w:rsidRPr="004E01B4" w:rsidRDefault="00F35E14" w:rsidP="00F777B7">
            <w:pPr>
              <w:jc w:val="right"/>
              <w:rPr>
                <w:rFonts w:ascii="Calibri" w:hAnsi="Calibri" w:cs="Calibri"/>
                <w:sz w:val="20"/>
              </w:rPr>
            </w:pPr>
            <w:r w:rsidRPr="004E01B4">
              <w:rPr>
                <w:rFonts w:ascii="Calibri" w:hAnsi="Calibri" w:cs="Calibri"/>
                <w:sz w:val="20"/>
              </w:rPr>
              <w:t>111,75</w:t>
            </w:r>
          </w:p>
        </w:tc>
      </w:tr>
      <w:tr w:rsidR="00F35E14" w:rsidRPr="00F35E14" w14:paraId="37BE20D2" w14:textId="77777777" w:rsidTr="00F777B7">
        <w:trPr>
          <w:trHeight w:val="382"/>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54C69C8F" w14:textId="77777777" w:rsidR="00F35E14" w:rsidRPr="004E01B4" w:rsidRDefault="00F35E14" w:rsidP="00F35E14">
            <w:pPr>
              <w:jc w:val="left"/>
              <w:rPr>
                <w:rFonts w:ascii="Calibri" w:hAnsi="Calibri" w:cs="Calibri"/>
                <w:b/>
                <w:bCs/>
                <w:sz w:val="20"/>
              </w:rPr>
            </w:pPr>
            <w:r w:rsidRPr="004E01B4">
              <w:rPr>
                <w:rFonts w:ascii="Calibri" w:hAnsi="Calibri" w:cs="Calibri"/>
                <w:b/>
                <w:bCs/>
                <w:sz w:val="20"/>
              </w:rPr>
              <w:t>Švédsko</w:t>
            </w:r>
          </w:p>
        </w:tc>
        <w:tc>
          <w:tcPr>
            <w:tcW w:w="964" w:type="dxa"/>
            <w:tcBorders>
              <w:top w:val="nil"/>
              <w:left w:val="nil"/>
              <w:bottom w:val="single" w:sz="4" w:space="0" w:color="auto"/>
              <w:right w:val="single" w:sz="4" w:space="0" w:color="auto"/>
            </w:tcBorders>
            <w:shd w:val="clear" w:color="auto" w:fill="auto"/>
            <w:noWrap/>
            <w:vAlign w:val="center"/>
            <w:hideMark/>
          </w:tcPr>
          <w:p w14:paraId="62710E89" w14:textId="77777777" w:rsidR="00F35E14" w:rsidRPr="004E01B4" w:rsidRDefault="00F35E14" w:rsidP="00F777B7">
            <w:pPr>
              <w:jc w:val="right"/>
              <w:rPr>
                <w:rFonts w:ascii="Calibri" w:hAnsi="Calibri" w:cs="Calibri"/>
                <w:sz w:val="20"/>
              </w:rPr>
            </w:pPr>
            <w:r w:rsidRPr="004E01B4">
              <w:rPr>
                <w:rFonts w:ascii="Calibri" w:hAnsi="Calibri" w:cs="Calibri"/>
                <w:sz w:val="20"/>
              </w:rPr>
              <w:t>108,24</w:t>
            </w:r>
          </w:p>
        </w:tc>
        <w:tc>
          <w:tcPr>
            <w:tcW w:w="964" w:type="dxa"/>
            <w:tcBorders>
              <w:top w:val="nil"/>
              <w:left w:val="nil"/>
              <w:bottom w:val="single" w:sz="4" w:space="0" w:color="auto"/>
              <w:right w:val="single" w:sz="4" w:space="0" w:color="auto"/>
            </w:tcBorders>
            <w:shd w:val="clear" w:color="auto" w:fill="auto"/>
            <w:noWrap/>
            <w:vAlign w:val="center"/>
            <w:hideMark/>
          </w:tcPr>
          <w:p w14:paraId="26478FE3" w14:textId="77777777" w:rsidR="00F35E14" w:rsidRPr="004E01B4" w:rsidRDefault="00F35E14" w:rsidP="00F777B7">
            <w:pPr>
              <w:jc w:val="right"/>
              <w:rPr>
                <w:rFonts w:ascii="Calibri" w:hAnsi="Calibri" w:cs="Calibri"/>
                <w:sz w:val="20"/>
              </w:rPr>
            </w:pPr>
            <w:r w:rsidRPr="004E01B4">
              <w:rPr>
                <w:rFonts w:ascii="Calibri" w:hAnsi="Calibri" w:cs="Calibri"/>
                <w:sz w:val="20"/>
              </w:rPr>
              <w:t>115,43</w:t>
            </w:r>
          </w:p>
        </w:tc>
        <w:tc>
          <w:tcPr>
            <w:tcW w:w="964" w:type="dxa"/>
            <w:tcBorders>
              <w:top w:val="nil"/>
              <w:left w:val="nil"/>
              <w:bottom w:val="single" w:sz="4" w:space="0" w:color="auto"/>
              <w:right w:val="single" w:sz="4" w:space="0" w:color="auto"/>
            </w:tcBorders>
            <w:shd w:val="clear" w:color="auto" w:fill="auto"/>
            <w:noWrap/>
            <w:vAlign w:val="center"/>
            <w:hideMark/>
          </w:tcPr>
          <w:p w14:paraId="2267C372" w14:textId="77777777" w:rsidR="00F35E14" w:rsidRPr="004E01B4" w:rsidRDefault="00F35E14" w:rsidP="00F777B7">
            <w:pPr>
              <w:jc w:val="right"/>
              <w:rPr>
                <w:rFonts w:ascii="Calibri" w:hAnsi="Calibri" w:cs="Calibri"/>
                <w:sz w:val="20"/>
              </w:rPr>
            </w:pPr>
            <w:r w:rsidRPr="004E01B4">
              <w:rPr>
                <w:rFonts w:ascii="Calibri" w:hAnsi="Calibri" w:cs="Calibri"/>
                <w:sz w:val="20"/>
              </w:rPr>
              <w:t>114,35</w:t>
            </w:r>
          </w:p>
        </w:tc>
        <w:tc>
          <w:tcPr>
            <w:tcW w:w="964" w:type="dxa"/>
            <w:tcBorders>
              <w:top w:val="nil"/>
              <w:left w:val="nil"/>
              <w:bottom w:val="single" w:sz="4" w:space="0" w:color="auto"/>
              <w:right w:val="single" w:sz="4" w:space="0" w:color="auto"/>
            </w:tcBorders>
            <w:shd w:val="clear" w:color="auto" w:fill="auto"/>
            <w:noWrap/>
            <w:vAlign w:val="center"/>
            <w:hideMark/>
          </w:tcPr>
          <w:p w14:paraId="01C1A6F0" w14:textId="77777777" w:rsidR="00F35E14" w:rsidRPr="004E01B4" w:rsidRDefault="00F35E14" w:rsidP="00F777B7">
            <w:pPr>
              <w:jc w:val="right"/>
              <w:rPr>
                <w:rFonts w:ascii="Calibri" w:hAnsi="Calibri" w:cs="Calibri"/>
                <w:sz w:val="20"/>
              </w:rPr>
            </w:pPr>
            <w:r w:rsidRPr="004E01B4">
              <w:rPr>
                <w:rFonts w:ascii="Calibri" w:hAnsi="Calibri" w:cs="Calibri"/>
                <w:sz w:val="20"/>
              </w:rPr>
              <w:t>117,19</w:t>
            </w:r>
          </w:p>
        </w:tc>
        <w:tc>
          <w:tcPr>
            <w:tcW w:w="964" w:type="dxa"/>
            <w:tcBorders>
              <w:top w:val="nil"/>
              <w:left w:val="nil"/>
              <w:bottom w:val="single" w:sz="4" w:space="0" w:color="auto"/>
              <w:right w:val="single" w:sz="4" w:space="0" w:color="auto"/>
            </w:tcBorders>
            <w:shd w:val="clear" w:color="auto" w:fill="auto"/>
            <w:noWrap/>
            <w:vAlign w:val="center"/>
            <w:hideMark/>
          </w:tcPr>
          <w:p w14:paraId="7D2DF357" w14:textId="77777777" w:rsidR="00F35E14" w:rsidRPr="004E01B4" w:rsidRDefault="00F35E14" w:rsidP="00F777B7">
            <w:pPr>
              <w:jc w:val="right"/>
              <w:rPr>
                <w:rFonts w:ascii="Calibri" w:hAnsi="Calibri" w:cs="Calibri"/>
                <w:sz w:val="20"/>
              </w:rPr>
            </w:pPr>
            <w:r w:rsidRPr="004E01B4">
              <w:rPr>
                <w:rFonts w:ascii="Calibri" w:hAnsi="Calibri" w:cs="Calibri"/>
                <w:sz w:val="20"/>
              </w:rPr>
              <w:t>122,11</w:t>
            </w:r>
          </w:p>
        </w:tc>
        <w:tc>
          <w:tcPr>
            <w:tcW w:w="964" w:type="dxa"/>
            <w:tcBorders>
              <w:top w:val="nil"/>
              <w:left w:val="nil"/>
              <w:bottom w:val="single" w:sz="4" w:space="0" w:color="auto"/>
              <w:right w:val="single" w:sz="4" w:space="0" w:color="auto"/>
            </w:tcBorders>
            <w:shd w:val="clear" w:color="auto" w:fill="auto"/>
            <w:noWrap/>
            <w:vAlign w:val="center"/>
            <w:hideMark/>
          </w:tcPr>
          <w:p w14:paraId="66DD4C9D" w14:textId="77777777" w:rsidR="00F35E14" w:rsidRPr="004E01B4" w:rsidRDefault="00F35E14" w:rsidP="00F777B7">
            <w:pPr>
              <w:jc w:val="right"/>
              <w:rPr>
                <w:rFonts w:ascii="Calibri" w:hAnsi="Calibri" w:cs="Calibri"/>
                <w:sz w:val="20"/>
              </w:rPr>
            </w:pPr>
            <w:r w:rsidRPr="004E01B4">
              <w:rPr>
                <w:rFonts w:ascii="Calibri" w:hAnsi="Calibri" w:cs="Calibri"/>
                <w:sz w:val="20"/>
              </w:rPr>
              <w:t>134,46</w:t>
            </w:r>
          </w:p>
        </w:tc>
        <w:tc>
          <w:tcPr>
            <w:tcW w:w="964" w:type="dxa"/>
            <w:tcBorders>
              <w:top w:val="nil"/>
              <w:left w:val="nil"/>
              <w:bottom w:val="single" w:sz="4" w:space="0" w:color="auto"/>
              <w:right w:val="single" w:sz="4" w:space="0" w:color="auto"/>
            </w:tcBorders>
            <w:shd w:val="clear" w:color="auto" w:fill="auto"/>
            <w:noWrap/>
            <w:vAlign w:val="center"/>
            <w:hideMark/>
          </w:tcPr>
          <w:p w14:paraId="52D1051E" w14:textId="77777777" w:rsidR="00F35E14" w:rsidRPr="004E01B4" w:rsidRDefault="00F35E14" w:rsidP="00F777B7">
            <w:pPr>
              <w:jc w:val="right"/>
              <w:rPr>
                <w:rFonts w:ascii="Calibri" w:hAnsi="Calibri" w:cs="Calibri"/>
                <w:sz w:val="20"/>
              </w:rPr>
            </w:pPr>
            <w:r w:rsidRPr="004E01B4">
              <w:rPr>
                <w:rFonts w:ascii="Calibri" w:hAnsi="Calibri" w:cs="Calibri"/>
                <w:sz w:val="20"/>
              </w:rPr>
              <w:t>139,25</w:t>
            </w:r>
          </w:p>
        </w:tc>
      </w:tr>
    </w:tbl>
    <w:p w14:paraId="13FDF8BA" w14:textId="2583397F" w:rsidR="00E328A7" w:rsidRPr="00176AFA" w:rsidRDefault="00E328A7" w:rsidP="00F777B7">
      <w:pPr>
        <w:jc w:val="left"/>
        <w:rPr>
          <w:sz w:val="20"/>
        </w:rPr>
      </w:pPr>
      <w:r w:rsidRPr="0033613D">
        <w:rPr>
          <w:b/>
          <w:sz w:val="20"/>
        </w:rPr>
        <w:t>Zdroj:</w:t>
      </w:r>
      <w:r>
        <w:rPr>
          <w:b/>
          <w:sz w:val="20"/>
        </w:rPr>
        <w:t xml:space="preserve"> </w:t>
      </w:r>
      <w:r w:rsidRPr="0033613D">
        <w:rPr>
          <w:sz w:val="20"/>
        </w:rPr>
        <w:t>Eurostat</w:t>
      </w:r>
      <w:r w:rsidR="00F777B7">
        <w:rPr>
          <w:sz w:val="20"/>
        </w:rPr>
        <w:t>;</w:t>
      </w:r>
      <w:r w:rsidRPr="0033613D">
        <w:rPr>
          <w:sz w:val="20"/>
        </w:rPr>
        <w:t xml:space="preserve"> vlastní zpracování NKÚ</w:t>
      </w:r>
      <w:r>
        <w:rPr>
          <w:sz w:val="20"/>
        </w:rPr>
        <w:t>.</w:t>
      </w:r>
    </w:p>
    <w:p w14:paraId="113BA248" w14:textId="77777777" w:rsidR="00F20159" w:rsidRPr="0033613D" w:rsidRDefault="00F20159" w:rsidP="00E7288D">
      <w:pPr>
        <w:jc w:val="left"/>
        <w:rPr>
          <w:sz w:val="20"/>
        </w:rPr>
      </w:pPr>
    </w:p>
    <w:p w14:paraId="3B350226" w14:textId="77777777" w:rsidR="009C52B6" w:rsidRDefault="009C52B6">
      <w:pPr>
        <w:jc w:val="left"/>
        <w:rPr>
          <w:b/>
        </w:rPr>
      </w:pPr>
      <w:r>
        <w:rPr>
          <w:b/>
        </w:rPr>
        <w:br w:type="page"/>
      </w:r>
    </w:p>
    <w:p w14:paraId="70DF9CEA" w14:textId="2E778BA5" w:rsidR="008202F1" w:rsidRDefault="00455CD6" w:rsidP="00F777B7">
      <w:pPr>
        <w:jc w:val="right"/>
        <w:rPr>
          <w:b/>
        </w:rPr>
      </w:pPr>
      <w:r w:rsidRPr="00866D4A">
        <w:rPr>
          <w:b/>
        </w:rPr>
        <w:lastRenderedPageBreak/>
        <w:t xml:space="preserve">Příloha č. </w:t>
      </w:r>
      <w:r w:rsidR="00AC7934">
        <w:rPr>
          <w:b/>
        </w:rPr>
        <w:t>5</w:t>
      </w:r>
    </w:p>
    <w:tbl>
      <w:tblPr>
        <w:tblW w:w="9962" w:type="dxa"/>
        <w:tblLayout w:type="fixed"/>
        <w:tblCellMar>
          <w:left w:w="70" w:type="dxa"/>
          <w:right w:w="70" w:type="dxa"/>
        </w:tblCellMar>
        <w:tblLook w:val="04A0" w:firstRow="1" w:lastRow="0" w:firstColumn="1" w:lastColumn="0" w:noHBand="0" w:noVBand="1"/>
      </w:tblPr>
      <w:tblGrid>
        <w:gridCol w:w="2370"/>
        <w:gridCol w:w="964"/>
        <w:gridCol w:w="964"/>
        <w:gridCol w:w="964"/>
        <w:gridCol w:w="964"/>
        <w:gridCol w:w="11"/>
        <w:gridCol w:w="851"/>
        <w:gridCol w:w="102"/>
        <w:gridCol w:w="890"/>
        <w:gridCol w:w="74"/>
        <w:gridCol w:w="918"/>
        <w:gridCol w:w="46"/>
        <w:gridCol w:w="844"/>
      </w:tblGrid>
      <w:tr w:rsidR="002E26B2" w:rsidRPr="00F06216" w14:paraId="50D1662B" w14:textId="77777777" w:rsidTr="003F3F89">
        <w:trPr>
          <w:trHeight w:val="438"/>
        </w:trPr>
        <w:tc>
          <w:tcPr>
            <w:tcW w:w="6237" w:type="dxa"/>
            <w:gridSpan w:val="6"/>
            <w:tcBorders>
              <w:top w:val="nil"/>
              <w:left w:val="nil"/>
              <w:bottom w:val="single" w:sz="4" w:space="0" w:color="auto"/>
              <w:right w:val="nil"/>
            </w:tcBorders>
            <w:shd w:val="clear" w:color="auto" w:fill="auto"/>
            <w:noWrap/>
            <w:vAlign w:val="bottom"/>
            <w:hideMark/>
          </w:tcPr>
          <w:p w14:paraId="4D93A156" w14:textId="689E85FF" w:rsidR="00F06216" w:rsidRPr="00F06216" w:rsidRDefault="00F06216" w:rsidP="00F777B7">
            <w:pPr>
              <w:ind w:left="-77"/>
              <w:jc w:val="left"/>
              <w:rPr>
                <w:rFonts w:ascii="Calibri" w:hAnsi="Calibri" w:cs="Calibri"/>
                <w:b/>
                <w:bCs/>
                <w:color w:val="212121"/>
                <w:szCs w:val="24"/>
              </w:rPr>
            </w:pPr>
            <w:r w:rsidRPr="00F06216">
              <w:rPr>
                <w:rFonts w:ascii="Calibri" w:hAnsi="Calibri" w:cs="Calibri"/>
                <w:b/>
                <w:bCs/>
                <w:color w:val="212121"/>
                <w:szCs w:val="24"/>
              </w:rPr>
              <w:t>Index cen nájemného, rok 2015 = 100</w:t>
            </w:r>
            <w:r w:rsidR="00F777B7">
              <w:rPr>
                <w:rFonts w:ascii="Calibri" w:hAnsi="Calibri" w:cs="Calibri"/>
                <w:b/>
                <w:bCs/>
                <w:color w:val="212121"/>
                <w:szCs w:val="24"/>
              </w:rPr>
              <w:t xml:space="preserve"> </w:t>
            </w:r>
            <w:r w:rsidRPr="00F06216">
              <w:rPr>
                <w:rFonts w:ascii="Calibri" w:hAnsi="Calibri" w:cs="Calibri"/>
                <w:b/>
                <w:bCs/>
                <w:color w:val="212121"/>
                <w:szCs w:val="24"/>
              </w:rPr>
              <w:t>%</w:t>
            </w:r>
          </w:p>
        </w:tc>
        <w:tc>
          <w:tcPr>
            <w:tcW w:w="851" w:type="dxa"/>
            <w:tcBorders>
              <w:top w:val="nil"/>
              <w:left w:val="nil"/>
              <w:bottom w:val="single" w:sz="4" w:space="0" w:color="auto"/>
              <w:right w:val="nil"/>
            </w:tcBorders>
            <w:shd w:val="clear" w:color="auto" w:fill="auto"/>
            <w:noWrap/>
            <w:vAlign w:val="bottom"/>
            <w:hideMark/>
          </w:tcPr>
          <w:p w14:paraId="33A14279" w14:textId="77777777" w:rsidR="00F06216" w:rsidRPr="00F06216" w:rsidRDefault="00F06216" w:rsidP="00F06216">
            <w:pPr>
              <w:jc w:val="left"/>
              <w:rPr>
                <w:rFonts w:ascii="Calibri" w:hAnsi="Calibri" w:cs="Calibri"/>
                <w:b/>
                <w:bCs/>
                <w:color w:val="212121"/>
                <w:szCs w:val="24"/>
              </w:rPr>
            </w:pPr>
          </w:p>
        </w:tc>
        <w:tc>
          <w:tcPr>
            <w:tcW w:w="992" w:type="dxa"/>
            <w:gridSpan w:val="2"/>
            <w:tcBorders>
              <w:top w:val="nil"/>
              <w:left w:val="nil"/>
              <w:bottom w:val="single" w:sz="4" w:space="0" w:color="auto"/>
              <w:right w:val="nil"/>
            </w:tcBorders>
            <w:shd w:val="clear" w:color="auto" w:fill="auto"/>
            <w:noWrap/>
            <w:vAlign w:val="bottom"/>
            <w:hideMark/>
          </w:tcPr>
          <w:p w14:paraId="4C7FFAD1" w14:textId="77777777" w:rsidR="00F06216" w:rsidRPr="00F06216" w:rsidRDefault="00F06216" w:rsidP="00F06216">
            <w:pPr>
              <w:jc w:val="left"/>
              <w:rPr>
                <w:rFonts w:ascii="Times New Roman" w:hAnsi="Times New Roman"/>
                <w:sz w:val="20"/>
              </w:rPr>
            </w:pPr>
          </w:p>
        </w:tc>
        <w:tc>
          <w:tcPr>
            <w:tcW w:w="992" w:type="dxa"/>
            <w:gridSpan w:val="2"/>
            <w:tcBorders>
              <w:top w:val="nil"/>
              <w:left w:val="nil"/>
              <w:bottom w:val="single" w:sz="4" w:space="0" w:color="auto"/>
              <w:right w:val="nil"/>
            </w:tcBorders>
            <w:shd w:val="clear" w:color="auto" w:fill="auto"/>
            <w:noWrap/>
            <w:vAlign w:val="bottom"/>
            <w:hideMark/>
          </w:tcPr>
          <w:p w14:paraId="64C5FC1D" w14:textId="77777777" w:rsidR="00F06216" w:rsidRPr="00F06216" w:rsidRDefault="00F06216" w:rsidP="00F06216">
            <w:pPr>
              <w:jc w:val="left"/>
              <w:rPr>
                <w:rFonts w:ascii="Times New Roman" w:hAnsi="Times New Roman"/>
                <w:sz w:val="20"/>
              </w:rPr>
            </w:pPr>
          </w:p>
        </w:tc>
        <w:tc>
          <w:tcPr>
            <w:tcW w:w="890" w:type="dxa"/>
            <w:gridSpan w:val="2"/>
            <w:tcBorders>
              <w:top w:val="nil"/>
              <w:left w:val="nil"/>
              <w:bottom w:val="nil"/>
              <w:right w:val="nil"/>
            </w:tcBorders>
            <w:shd w:val="clear" w:color="auto" w:fill="auto"/>
            <w:noWrap/>
            <w:vAlign w:val="bottom"/>
            <w:hideMark/>
          </w:tcPr>
          <w:p w14:paraId="1A65DCB9" w14:textId="77777777" w:rsidR="00F06216" w:rsidRPr="00F06216" w:rsidRDefault="00F06216" w:rsidP="00F06216">
            <w:pPr>
              <w:jc w:val="left"/>
              <w:rPr>
                <w:rFonts w:ascii="Times New Roman" w:hAnsi="Times New Roman"/>
                <w:sz w:val="20"/>
              </w:rPr>
            </w:pPr>
          </w:p>
        </w:tc>
      </w:tr>
      <w:tr w:rsidR="002E26B2" w:rsidRPr="00F06216" w14:paraId="5C688007" w14:textId="77777777" w:rsidTr="00026D7A">
        <w:trPr>
          <w:gridAfter w:val="1"/>
          <w:wAfter w:w="844" w:type="dxa"/>
          <w:trHeight w:val="414"/>
        </w:trPr>
        <w:tc>
          <w:tcPr>
            <w:tcW w:w="2370" w:type="dxa"/>
            <w:tcBorders>
              <w:top w:val="single" w:sz="4" w:space="0" w:color="auto"/>
              <w:left w:val="single" w:sz="4" w:space="0" w:color="auto"/>
              <w:bottom w:val="single" w:sz="4" w:space="0" w:color="auto"/>
              <w:right w:val="single" w:sz="4" w:space="0" w:color="auto"/>
            </w:tcBorders>
            <w:shd w:val="clear" w:color="auto" w:fill="4669AF"/>
            <w:noWrap/>
            <w:vAlign w:val="center"/>
          </w:tcPr>
          <w:p w14:paraId="0AB15CB9" w14:textId="43C86DED" w:rsidR="002E26B2" w:rsidRPr="00026D7A" w:rsidRDefault="00026D7A" w:rsidP="00F06216">
            <w:pPr>
              <w:jc w:val="left"/>
              <w:rPr>
                <w:rFonts w:ascii="Calibri" w:hAnsi="Calibri" w:cs="Calibri"/>
                <w:b/>
                <w:bCs/>
                <w:color w:val="FFFFFF" w:themeColor="background1"/>
                <w:sz w:val="20"/>
              </w:rPr>
            </w:pPr>
            <w:r w:rsidRPr="00026D7A">
              <w:rPr>
                <w:rFonts w:ascii="Calibri" w:hAnsi="Calibri" w:cs="Calibri"/>
                <w:b/>
                <w:bCs/>
                <w:color w:val="FFFFFF" w:themeColor="background1"/>
                <w:sz w:val="20"/>
              </w:rPr>
              <w:t>Země</w:t>
            </w:r>
          </w:p>
        </w:tc>
        <w:tc>
          <w:tcPr>
            <w:tcW w:w="964" w:type="dxa"/>
            <w:tcBorders>
              <w:top w:val="single" w:sz="4" w:space="0" w:color="auto"/>
              <w:left w:val="nil"/>
              <w:bottom w:val="single" w:sz="4" w:space="0" w:color="auto"/>
              <w:right w:val="single" w:sz="4" w:space="0" w:color="auto"/>
            </w:tcBorders>
            <w:shd w:val="clear" w:color="auto" w:fill="4669AF"/>
            <w:noWrap/>
            <w:vAlign w:val="center"/>
          </w:tcPr>
          <w:p w14:paraId="513EDED3" w14:textId="5A928DB2" w:rsidR="002E26B2" w:rsidRPr="00026D7A" w:rsidRDefault="00026D7A" w:rsidP="00026D7A">
            <w:pPr>
              <w:jc w:val="center"/>
              <w:rPr>
                <w:rFonts w:ascii="Calibri" w:hAnsi="Calibri" w:cs="Calibri"/>
                <w:b/>
                <w:color w:val="FFFFFF" w:themeColor="background1"/>
                <w:sz w:val="20"/>
              </w:rPr>
            </w:pPr>
            <w:r w:rsidRPr="00026D7A">
              <w:rPr>
                <w:rFonts w:ascii="Calibri" w:hAnsi="Calibri" w:cs="Calibri"/>
                <w:b/>
                <w:color w:val="FFFFFF" w:themeColor="background1"/>
                <w:sz w:val="20"/>
              </w:rPr>
              <w:t>2016</w:t>
            </w:r>
          </w:p>
        </w:tc>
        <w:tc>
          <w:tcPr>
            <w:tcW w:w="964" w:type="dxa"/>
            <w:tcBorders>
              <w:top w:val="single" w:sz="4" w:space="0" w:color="auto"/>
              <w:left w:val="nil"/>
              <w:bottom w:val="single" w:sz="4" w:space="0" w:color="auto"/>
              <w:right w:val="single" w:sz="4" w:space="0" w:color="auto"/>
            </w:tcBorders>
            <w:shd w:val="clear" w:color="auto" w:fill="4669AF"/>
            <w:noWrap/>
            <w:vAlign w:val="center"/>
          </w:tcPr>
          <w:p w14:paraId="73F738A3" w14:textId="619520C3" w:rsidR="002E26B2" w:rsidRPr="00026D7A" w:rsidRDefault="00026D7A" w:rsidP="00026D7A">
            <w:pPr>
              <w:jc w:val="center"/>
              <w:rPr>
                <w:rFonts w:ascii="Calibri" w:hAnsi="Calibri" w:cs="Calibri"/>
                <w:b/>
                <w:color w:val="FFFFFF" w:themeColor="background1"/>
                <w:sz w:val="20"/>
              </w:rPr>
            </w:pPr>
            <w:r w:rsidRPr="00026D7A">
              <w:rPr>
                <w:rFonts w:ascii="Calibri" w:hAnsi="Calibri" w:cs="Calibri"/>
                <w:b/>
                <w:color w:val="FFFFFF" w:themeColor="background1"/>
                <w:sz w:val="20"/>
              </w:rPr>
              <w:t>2017</w:t>
            </w:r>
          </w:p>
        </w:tc>
        <w:tc>
          <w:tcPr>
            <w:tcW w:w="964" w:type="dxa"/>
            <w:tcBorders>
              <w:top w:val="single" w:sz="4" w:space="0" w:color="auto"/>
              <w:left w:val="nil"/>
              <w:bottom w:val="single" w:sz="4" w:space="0" w:color="auto"/>
              <w:right w:val="single" w:sz="4" w:space="0" w:color="auto"/>
            </w:tcBorders>
            <w:shd w:val="clear" w:color="auto" w:fill="4669AF"/>
            <w:noWrap/>
            <w:vAlign w:val="center"/>
          </w:tcPr>
          <w:p w14:paraId="6E44CC4F" w14:textId="50194024" w:rsidR="002E26B2" w:rsidRPr="00026D7A" w:rsidRDefault="00026D7A" w:rsidP="00026D7A">
            <w:pPr>
              <w:jc w:val="center"/>
              <w:rPr>
                <w:rFonts w:ascii="Calibri" w:hAnsi="Calibri" w:cs="Calibri"/>
                <w:b/>
                <w:color w:val="FFFFFF" w:themeColor="background1"/>
                <w:sz w:val="20"/>
              </w:rPr>
            </w:pPr>
            <w:r w:rsidRPr="00026D7A">
              <w:rPr>
                <w:rFonts w:ascii="Calibri" w:hAnsi="Calibri" w:cs="Calibri"/>
                <w:b/>
                <w:color w:val="FFFFFF" w:themeColor="background1"/>
                <w:sz w:val="20"/>
              </w:rPr>
              <w:t>2018</w:t>
            </w:r>
          </w:p>
        </w:tc>
        <w:tc>
          <w:tcPr>
            <w:tcW w:w="964" w:type="dxa"/>
            <w:tcBorders>
              <w:top w:val="single" w:sz="4" w:space="0" w:color="auto"/>
              <w:left w:val="nil"/>
              <w:bottom w:val="single" w:sz="4" w:space="0" w:color="auto"/>
              <w:right w:val="single" w:sz="4" w:space="0" w:color="auto"/>
            </w:tcBorders>
            <w:shd w:val="clear" w:color="auto" w:fill="4669AF"/>
            <w:noWrap/>
            <w:vAlign w:val="center"/>
          </w:tcPr>
          <w:p w14:paraId="605EDFB8" w14:textId="6C9C601D" w:rsidR="002E26B2" w:rsidRPr="00026D7A" w:rsidRDefault="00026D7A" w:rsidP="00026D7A">
            <w:pPr>
              <w:jc w:val="center"/>
              <w:rPr>
                <w:rFonts w:ascii="Calibri" w:hAnsi="Calibri" w:cs="Calibri"/>
                <w:b/>
                <w:color w:val="FFFFFF" w:themeColor="background1"/>
                <w:sz w:val="20"/>
              </w:rPr>
            </w:pPr>
            <w:r w:rsidRPr="00026D7A">
              <w:rPr>
                <w:rFonts w:ascii="Calibri" w:hAnsi="Calibri" w:cs="Calibri"/>
                <w:b/>
                <w:color w:val="FFFFFF" w:themeColor="background1"/>
                <w:sz w:val="20"/>
              </w:rPr>
              <w:t>2019</w:t>
            </w:r>
          </w:p>
        </w:tc>
        <w:tc>
          <w:tcPr>
            <w:tcW w:w="964" w:type="dxa"/>
            <w:gridSpan w:val="3"/>
            <w:tcBorders>
              <w:top w:val="single" w:sz="4" w:space="0" w:color="auto"/>
              <w:left w:val="nil"/>
              <w:bottom w:val="single" w:sz="4" w:space="0" w:color="auto"/>
              <w:right w:val="single" w:sz="4" w:space="0" w:color="auto"/>
            </w:tcBorders>
            <w:shd w:val="clear" w:color="auto" w:fill="4669AF"/>
            <w:noWrap/>
            <w:vAlign w:val="center"/>
          </w:tcPr>
          <w:p w14:paraId="32B97AC6" w14:textId="78CA9335" w:rsidR="002E26B2" w:rsidRPr="00026D7A" w:rsidRDefault="00026D7A" w:rsidP="00026D7A">
            <w:pPr>
              <w:jc w:val="center"/>
              <w:rPr>
                <w:rFonts w:ascii="Calibri" w:hAnsi="Calibri" w:cs="Calibri"/>
                <w:b/>
                <w:color w:val="FFFFFF" w:themeColor="background1"/>
                <w:sz w:val="20"/>
              </w:rPr>
            </w:pPr>
            <w:r w:rsidRPr="00026D7A">
              <w:rPr>
                <w:rFonts w:ascii="Calibri" w:hAnsi="Calibri" w:cs="Calibri"/>
                <w:b/>
                <w:color w:val="FFFFFF" w:themeColor="background1"/>
                <w:sz w:val="20"/>
              </w:rPr>
              <w:t>2020</w:t>
            </w:r>
          </w:p>
        </w:tc>
        <w:tc>
          <w:tcPr>
            <w:tcW w:w="964" w:type="dxa"/>
            <w:gridSpan w:val="2"/>
            <w:tcBorders>
              <w:top w:val="single" w:sz="4" w:space="0" w:color="auto"/>
              <w:left w:val="nil"/>
              <w:bottom w:val="single" w:sz="4" w:space="0" w:color="auto"/>
              <w:right w:val="single" w:sz="4" w:space="0" w:color="auto"/>
            </w:tcBorders>
            <w:shd w:val="clear" w:color="auto" w:fill="4669AF"/>
            <w:noWrap/>
            <w:vAlign w:val="center"/>
          </w:tcPr>
          <w:p w14:paraId="10A7CB1C" w14:textId="58B580AB" w:rsidR="002E26B2" w:rsidRPr="00026D7A" w:rsidRDefault="00026D7A" w:rsidP="00026D7A">
            <w:pPr>
              <w:jc w:val="center"/>
              <w:rPr>
                <w:rFonts w:ascii="Calibri" w:hAnsi="Calibri" w:cs="Calibri"/>
                <w:b/>
                <w:color w:val="FFFFFF" w:themeColor="background1"/>
                <w:sz w:val="20"/>
              </w:rPr>
            </w:pPr>
            <w:r w:rsidRPr="00026D7A">
              <w:rPr>
                <w:rFonts w:ascii="Calibri" w:hAnsi="Calibri" w:cs="Calibri"/>
                <w:b/>
                <w:color w:val="FFFFFF" w:themeColor="background1"/>
                <w:sz w:val="20"/>
              </w:rPr>
              <w:t>2021</w:t>
            </w:r>
          </w:p>
        </w:tc>
        <w:tc>
          <w:tcPr>
            <w:tcW w:w="964" w:type="dxa"/>
            <w:gridSpan w:val="2"/>
            <w:tcBorders>
              <w:top w:val="single" w:sz="4" w:space="0" w:color="auto"/>
              <w:left w:val="nil"/>
              <w:bottom w:val="single" w:sz="4" w:space="0" w:color="auto"/>
              <w:right w:val="single" w:sz="4" w:space="0" w:color="auto"/>
            </w:tcBorders>
            <w:shd w:val="clear" w:color="auto" w:fill="4669AF"/>
            <w:noWrap/>
            <w:vAlign w:val="center"/>
          </w:tcPr>
          <w:p w14:paraId="1027A819" w14:textId="1C71E827" w:rsidR="002E26B2" w:rsidRPr="00026D7A" w:rsidRDefault="00026D7A" w:rsidP="00026D7A">
            <w:pPr>
              <w:jc w:val="center"/>
              <w:rPr>
                <w:rFonts w:ascii="Calibri" w:hAnsi="Calibri" w:cs="Calibri"/>
                <w:b/>
                <w:color w:val="FFFFFF" w:themeColor="background1"/>
                <w:sz w:val="20"/>
              </w:rPr>
            </w:pPr>
            <w:r w:rsidRPr="00026D7A">
              <w:rPr>
                <w:rFonts w:ascii="Calibri" w:hAnsi="Calibri" w:cs="Calibri"/>
                <w:b/>
                <w:color w:val="FFFFFF" w:themeColor="background1"/>
                <w:sz w:val="20"/>
              </w:rPr>
              <w:t>2022</w:t>
            </w:r>
          </w:p>
        </w:tc>
      </w:tr>
      <w:tr w:rsidR="00026D7A" w:rsidRPr="00F06216" w14:paraId="12689A99" w14:textId="77777777" w:rsidTr="00026D7A">
        <w:trPr>
          <w:gridAfter w:val="1"/>
          <w:wAfter w:w="844" w:type="dxa"/>
          <w:trHeight w:val="380"/>
        </w:trPr>
        <w:tc>
          <w:tcPr>
            <w:tcW w:w="2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C5CD8" w14:textId="6F52E67A" w:rsidR="00026D7A" w:rsidRPr="00F06216" w:rsidRDefault="00026D7A" w:rsidP="00026D7A">
            <w:pPr>
              <w:jc w:val="left"/>
              <w:rPr>
                <w:rFonts w:ascii="Calibri" w:hAnsi="Calibri" w:cs="Calibri"/>
                <w:b/>
                <w:bCs/>
                <w:sz w:val="20"/>
              </w:rPr>
            </w:pPr>
            <w:r w:rsidRPr="00F06216">
              <w:rPr>
                <w:rFonts w:ascii="Calibri" w:hAnsi="Calibri" w:cs="Calibri"/>
                <w:b/>
                <w:bCs/>
                <w:sz w:val="20"/>
              </w:rPr>
              <w:t>EU</w:t>
            </w:r>
            <w:r>
              <w:rPr>
                <w:rFonts w:ascii="Calibri" w:hAnsi="Calibri" w:cs="Calibri"/>
                <w:b/>
                <w:bCs/>
                <w:sz w:val="20"/>
              </w:rPr>
              <w:t>-</w:t>
            </w:r>
            <w:r w:rsidRPr="00F06216">
              <w:rPr>
                <w:rFonts w:ascii="Calibri" w:hAnsi="Calibri" w:cs="Calibri"/>
                <w:b/>
                <w:bCs/>
                <w:sz w:val="20"/>
              </w:rPr>
              <w:t>27</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19028836" w14:textId="5A60C823"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101,63</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11304CDF" w14:textId="4DEAC8CC"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102,90</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0501C4E8" w14:textId="43260B08"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104,17</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2FEBAD1B" w14:textId="2582125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105,83</w:t>
            </w:r>
          </w:p>
        </w:tc>
        <w:tc>
          <w:tcPr>
            <w:tcW w:w="964" w:type="dxa"/>
            <w:gridSpan w:val="3"/>
            <w:tcBorders>
              <w:top w:val="single" w:sz="4" w:space="0" w:color="auto"/>
              <w:left w:val="nil"/>
              <w:bottom w:val="single" w:sz="4" w:space="0" w:color="auto"/>
              <w:right w:val="single" w:sz="4" w:space="0" w:color="auto"/>
            </w:tcBorders>
            <w:shd w:val="clear" w:color="auto" w:fill="auto"/>
            <w:noWrap/>
            <w:vAlign w:val="center"/>
          </w:tcPr>
          <w:p w14:paraId="7F5CC0D1" w14:textId="0A0664AE"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107,16</w:t>
            </w:r>
          </w:p>
        </w:tc>
        <w:tc>
          <w:tcPr>
            <w:tcW w:w="964" w:type="dxa"/>
            <w:gridSpan w:val="2"/>
            <w:tcBorders>
              <w:top w:val="single" w:sz="4" w:space="0" w:color="auto"/>
              <w:left w:val="nil"/>
              <w:bottom w:val="single" w:sz="4" w:space="0" w:color="auto"/>
              <w:right w:val="single" w:sz="4" w:space="0" w:color="auto"/>
            </w:tcBorders>
            <w:shd w:val="clear" w:color="auto" w:fill="auto"/>
            <w:noWrap/>
            <w:vAlign w:val="center"/>
          </w:tcPr>
          <w:p w14:paraId="245E143A" w14:textId="32512F38"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108,51</w:t>
            </w:r>
          </w:p>
        </w:tc>
        <w:tc>
          <w:tcPr>
            <w:tcW w:w="964" w:type="dxa"/>
            <w:gridSpan w:val="2"/>
            <w:tcBorders>
              <w:top w:val="single" w:sz="4" w:space="0" w:color="auto"/>
              <w:left w:val="nil"/>
              <w:bottom w:val="single" w:sz="4" w:space="0" w:color="auto"/>
              <w:right w:val="single" w:sz="4" w:space="0" w:color="auto"/>
            </w:tcBorders>
            <w:shd w:val="clear" w:color="auto" w:fill="auto"/>
            <w:noWrap/>
            <w:vAlign w:val="center"/>
          </w:tcPr>
          <w:p w14:paraId="483ACA1D" w14:textId="6F8D402C"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111,29</w:t>
            </w:r>
          </w:p>
        </w:tc>
      </w:tr>
      <w:tr w:rsidR="00026D7A" w:rsidRPr="00F06216" w14:paraId="4AC8CE36"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3004682E"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Belgie</w:t>
            </w:r>
          </w:p>
        </w:tc>
        <w:tc>
          <w:tcPr>
            <w:tcW w:w="964" w:type="dxa"/>
            <w:tcBorders>
              <w:top w:val="nil"/>
              <w:left w:val="nil"/>
              <w:bottom w:val="single" w:sz="4" w:space="0" w:color="auto"/>
              <w:right w:val="single" w:sz="4" w:space="0" w:color="auto"/>
            </w:tcBorders>
            <w:shd w:val="clear" w:color="auto" w:fill="auto"/>
            <w:noWrap/>
            <w:vAlign w:val="center"/>
            <w:hideMark/>
          </w:tcPr>
          <w:p w14:paraId="341D8C2C"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101,25</w:t>
            </w:r>
          </w:p>
        </w:tc>
        <w:tc>
          <w:tcPr>
            <w:tcW w:w="964" w:type="dxa"/>
            <w:tcBorders>
              <w:top w:val="nil"/>
              <w:left w:val="nil"/>
              <w:bottom w:val="single" w:sz="4" w:space="0" w:color="auto"/>
              <w:right w:val="single" w:sz="4" w:space="0" w:color="auto"/>
            </w:tcBorders>
            <w:shd w:val="clear" w:color="auto" w:fill="auto"/>
            <w:noWrap/>
            <w:vAlign w:val="center"/>
            <w:hideMark/>
          </w:tcPr>
          <w:p w14:paraId="6C973731"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102,42</w:t>
            </w:r>
          </w:p>
        </w:tc>
        <w:tc>
          <w:tcPr>
            <w:tcW w:w="964" w:type="dxa"/>
            <w:tcBorders>
              <w:top w:val="nil"/>
              <w:left w:val="nil"/>
              <w:bottom w:val="single" w:sz="4" w:space="0" w:color="auto"/>
              <w:right w:val="single" w:sz="4" w:space="0" w:color="auto"/>
            </w:tcBorders>
            <w:shd w:val="clear" w:color="auto" w:fill="auto"/>
            <w:noWrap/>
            <w:vAlign w:val="center"/>
            <w:hideMark/>
          </w:tcPr>
          <w:p w14:paraId="002D5063"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103,36</w:t>
            </w:r>
          </w:p>
        </w:tc>
        <w:tc>
          <w:tcPr>
            <w:tcW w:w="964" w:type="dxa"/>
            <w:tcBorders>
              <w:top w:val="nil"/>
              <w:left w:val="nil"/>
              <w:bottom w:val="single" w:sz="4" w:space="0" w:color="auto"/>
              <w:right w:val="single" w:sz="4" w:space="0" w:color="auto"/>
            </w:tcBorders>
            <w:shd w:val="clear" w:color="auto" w:fill="auto"/>
            <w:noWrap/>
            <w:vAlign w:val="center"/>
            <w:hideMark/>
          </w:tcPr>
          <w:p w14:paraId="6571838F"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104,63</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4ED0FB7D"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108,37</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424CB9E9"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110,80</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1484EEC6"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116,31</w:t>
            </w:r>
          </w:p>
        </w:tc>
      </w:tr>
      <w:tr w:rsidR="00026D7A" w:rsidRPr="00F06216" w14:paraId="5FEF9AD1"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149BD4DF"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Bulharsko</w:t>
            </w:r>
          </w:p>
        </w:tc>
        <w:tc>
          <w:tcPr>
            <w:tcW w:w="964" w:type="dxa"/>
            <w:tcBorders>
              <w:top w:val="nil"/>
              <w:left w:val="nil"/>
              <w:bottom w:val="single" w:sz="4" w:space="0" w:color="auto"/>
              <w:right w:val="single" w:sz="4" w:space="0" w:color="auto"/>
            </w:tcBorders>
            <w:shd w:val="clear" w:color="auto" w:fill="auto"/>
            <w:noWrap/>
            <w:vAlign w:val="center"/>
            <w:hideMark/>
          </w:tcPr>
          <w:p w14:paraId="39422E07"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100,99</w:t>
            </w:r>
          </w:p>
        </w:tc>
        <w:tc>
          <w:tcPr>
            <w:tcW w:w="964" w:type="dxa"/>
            <w:tcBorders>
              <w:top w:val="nil"/>
              <w:left w:val="nil"/>
              <w:bottom w:val="single" w:sz="4" w:space="0" w:color="auto"/>
              <w:right w:val="single" w:sz="4" w:space="0" w:color="auto"/>
            </w:tcBorders>
            <w:shd w:val="clear" w:color="auto" w:fill="auto"/>
            <w:noWrap/>
            <w:vAlign w:val="center"/>
            <w:hideMark/>
          </w:tcPr>
          <w:p w14:paraId="3AEC932B"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102,05</w:t>
            </w:r>
          </w:p>
        </w:tc>
        <w:tc>
          <w:tcPr>
            <w:tcW w:w="964" w:type="dxa"/>
            <w:tcBorders>
              <w:top w:val="nil"/>
              <w:left w:val="nil"/>
              <w:bottom w:val="single" w:sz="4" w:space="0" w:color="auto"/>
              <w:right w:val="single" w:sz="4" w:space="0" w:color="auto"/>
            </w:tcBorders>
            <w:shd w:val="clear" w:color="auto" w:fill="auto"/>
            <w:noWrap/>
            <w:vAlign w:val="center"/>
            <w:hideMark/>
          </w:tcPr>
          <w:p w14:paraId="20D69D2F"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104,54</w:t>
            </w:r>
          </w:p>
        </w:tc>
        <w:tc>
          <w:tcPr>
            <w:tcW w:w="964" w:type="dxa"/>
            <w:tcBorders>
              <w:top w:val="nil"/>
              <w:left w:val="nil"/>
              <w:bottom w:val="single" w:sz="4" w:space="0" w:color="auto"/>
              <w:right w:val="single" w:sz="4" w:space="0" w:color="auto"/>
            </w:tcBorders>
            <w:shd w:val="clear" w:color="auto" w:fill="auto"/>
            <w:noWrap/>
            <w:vAlign w:val="center"/>
            <w:hideMark/>
          </w:tcPr>
          <w:p w14:paraId="6458CF44"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107,59</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3E145093"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110,06</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2C63EE52"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112,62</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10BA8E3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121,24</w:t>
            </w:r>
          </w:p>
        </w:tc>
      </w:tr>
      <w:tr w:rsidR="00026D7A" w:rsidRPr="00F06216" w14:paraId="611B47F0"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061329E8" w14:textId="5A755A86" w:rsidR="00026D7A" w:rsidRPr="00F06216" w:rsidRDefault="00026D7A" w:rsidP="00026D7A">
            <w:pPr>
              <w:jc w:val="left"/>
              <w:rPr>
                <w:rFonts w:ascii="Calibri" w:hAnsi="Calibri" w:cs="Calibri"/>
                <w:b/>
                <w:bCs/>
                <w:sz w:val="20"/>
              </w:rPr>
            </w:pPr>
            <w:r w:rsidRPr="00F06216">
              <w:rPr>
                <w:rFonts w:ascii="Calibri" w:hAnsi="Calibri" w:cs="Calibri"/>
                <w:b/>
                <w:bCs/>
                <w:sz w:val="20"/>
              </w:rPr>
              <w:t>Česk</w:t>
            </w:r>
            <w:r>
              <w:rPr>
                <w:rFonts w:ascii="Calibri" w:hAnsi="Calibri" w:cs="Calibri"/>
                <w:b/>
                <w:bCs/>
                <w:sz w:val="20"/>
              </w:rPr>
              <w:t>á republika</w:t>
            </w:r>
          </w:p>
        </w:tc>
        <w:tc>
          <w:tcPr>
            <w:tcW w:w="964" w:type="dxa"/>
            <w:tcBorders>
              <w:top w:val="nil"/>
              <w:left w:val="nil"/>
              <w:bottom w:val="single" w:sz="4" w:space="0" w:color="auto"/>
              <w:right w:val="single" w:sz="4" w:space="0" w:color="auto"/>
            </w:tcBorders>
            <w:shd w:val="clear" w:color="auto" w:fill="auto"/>
            <w:noWrap/>
            <w:vAlign w:val="center"/>
            <w:hideMark/>
          </w:tcPr>
          <w:p w14:paraId="283B64ED" w14:textId="77777777" w:rsidR="00026D7A" w:rsidRPr="00F06216" w:rsidRDefault="00026D7A" w:rsidP="00026D7A">
            <w:pPr>
              <w:jc w:val="right"/>
              <w:rPr>
                <w:rFonts w:ascii="Calibri" w:hAnsi="Calibri" w:cs="Calibri"/>
                <w:b/>
                <w:bCs/>
                <w:color w:val="000000"/>
                <w:sz w:val="20"/>
              </w:rPr>
            </w:pPr>
            <w:r w:rsidRPr="00F06216">
              <w:rPr>
                <w:rFonts w:ascii="Calibri" w:hAnsi="Calibri" w:cs="Calibri"/>
                <w:b/>
                <w:bCs/>
                <w:color w:val="000000"/>
                <w:sz w:val="20"/>
              </w:rPr>
              <w:t>101,80</w:t>
            </w:r>
          </w:p>
        </w:tc>
        <w:tc>
          <w:tcPr>
            <w:tcW w:w="964" w:type="dxa"/>
            <w:tcBorders>
              <w:top w:val="nil"/>
              <w:left w:val="nil"/>
              <w:bottom w:val="single" w:sz="4" w:space="0" w:color="auto"/>
              <w:right w:val="single" w:sz="4" w:space="0" w:color="auto"/>
            </w:tcBorders>
            <w:shd w:val="clear" w:color="auto" w:fill="auto"/>
            <w:noWrap/>
            <w:vAlign w:val="center"/>
            <w:hideMark/>
          </w:tcPr>
          <w:p w14:paraId="099BA20E" w14:textId="77777777" w:rsidR="00026D7A" w:rsidRPr="00F06216" w:rsidRDefault="00026D7A" w:rsidP="00026D7A">
            <w:pPr>
              <w:jc w:val="right"/>
              <w:rPr>
                <w:rFonts w:ascii="Calibri" w:hAnsi="Calibri" w:cs="Calibri"/>
                <w:b/>
                <w:bCs/>
                <w:color w:val="000000"/>
                <w:sz w:val="20"/>
              </w:rPr>
            </w:pPr>
            <w:r w:rsidRPr="00F06216">
              <w:rPr>
                <w:rFonts w:ascii="Calibri" w:hAnsi="Calibri" w:cs="Calibri"/>
                <w:b/>
                <w:bCs/>
                <w:color w:val="000000"/>
                <w:sz w:val="20"/>
              </w:rPr>
              <w:t>104,30</w:t>
            </w:r>
          </w:p>
        </w:tc>
        <w:tc>
          <w:tcPr>
            <w:tcW w:w="964" w:type="dxa"/>
            <w:tcBorders>
              <w:top w:val="nil"/>
              <w:left w:val="nil"/>
              <w:bottom w:val="single" w:sz="4" w:space="0" w:color="auto"/>
              <w:right w:val="single" w:sz="4" w:space="0" w:color="auto"/>
            </w:tcBorders>
            <w:shd w:val="clear" w:color="auto" w:fill="auto"/>
            <w:noWrap/>
            <w:vAlign w:val="center"/>
            <w:hideMark/>
          </w:tcPr>
          <w:p w14:paraId="32A4B147" w14:textId="77777777" w:rsidR="00026D7A" w:rsidRPr="00F06216" w:rsidRDefault="00026D7A" w:rsidP="00026D7A">
            <w:pPr>
              <w:jc w:val="right"/>
              <w:rPr>
                <w:rFonts w:ascii="Calibri" w:hAnsi="Calibri" w:cs="Calibri"/>
                <w:b/>
                <w:bCs/>
                <w:color w:val="000000"/>
                <w:sz w:val="20"/>
              </w:rPr>
            </w:pPr>
            <w:r w:rsidRPr="00F06216">
              <w:rPr>
                <w:rFonts w:ascii="Calibri" w:hAnsi="Calibri" w:cs="Calibri"/>
                <w:b/>
                <w:bCs/>
                <w:color w:val="000000"/>
                <w:sz w:val="20"/>
              </w:rPr>
              <w:t>107,80</w:t>
            </w:r>
          </w:p>
        </w:tc>
        <w:tc>
          <w:tcPr>
            <w:tcW w:w="964" w:type="dxa"/>
            <w:tcBorders>
              <w:top w:val="nil"/>
              <w:left w:val="nil"/>
              <w:bottom w:val="single" w:sz="4" w:space="0" w:color="auto"/>
              <w:right w:val="single" w:sz="4" w:space="0" w:color="auto"/>
            </w:tcBorders>
            <w:shd w:val="clear" w:color="auto" w:fill="auto"/>
            <w:noWrap/>
            <w:vAlign w:val="center"/>
            <w:hideMark/>
          </w:tcPr>
          <w:p w14:paraId="7331C17D" w14:textId="77777777" w:rsidR="00026D7A" w:rsidRPr="00F06216" w:rsidRDefault="00026D7A" w:rsidP="00026D7A">
            <w:pPr>
              <w:jc w:val="right"/>
              <w:rPr>
                <w:rFonts w:ascii="Calibri" w:hAnsi="Calibri" w:cs="Calibri"/>
                <w:b/>
                <w:bCs/>
                <w:color w:val="000000"/>
                <w:sz w:val="20"/>
              </w:rPr>
            </w:pPr>
            <w:r w:rsidRPr="00F06216">
              <w:rPr>
                <w:rFonts w:ascii="Calibri" w:hAnsi="Calibri" w:cs="Calibri"/>
                <w:b/>
                <w:bCs/>
                <w:color w:val="000000"/>
                <w:sz w:val="20"/>
              </w:rPr>
              <w:t>111,80</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56D8CA4D" w14:textId="77777777" w:rsidR="00026D7A" w:rsidRPr="00F06216" w:rsidRDefault="00026D7A" w:rsidP="00026D7A">
            <w:pPr>
              <w:jc w:val="right"/>
              <w:rPr>
                <w:rFonts w:ascii="Calibri" w:hAnsi="Calibri" w:cs="Calibri"/>
                <w:b/>
                <w:bCs/>
                <w:color w:val="000000"/>
                <w:sz w:val="20"/>
              </w:rPr>
            </w:pPr>
            <w:r w:rsidRPr="00F06216">
              <w:rPr>
                <w:rFonts w:ascii="Calibri" w:hAnsi="Calibri" w:cs="Calibri"/>
                <w:b/>
                <w:bCs/>
                <w:color w:val="000000"/>
                <w:sz w:val="20"/>
              </w:rPr>
              <w:t>114,00</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55D5C968" w14:textId="77777777" w:rsidR="00026D7A" w:rsidRPr="00F06216" w:rsidRDefault="00026D7A" w:rsidP="00026D7A">
            <w:pPr>
              <w:jc w:val="right"/>
              <w:rPr>
                <w:rFonts w:ascii="Calibri" w:hAnsi="Calibri" w:cs="Calibri"/>
                <w:b/>
                <w:bCs/>
                <w:color w:val="000000"/>
                <w:sz w:val="20"/>
              </w:rPr>
            </w:pPr>
            <w:r w:rsidRPr="00F06216">
              <w:rPr>
                <w:rFonts w:ascii="Calibri" w:hAnsi="Calibri" w:cs="Calibri"/>
                <w:b/>
                <w:bCs/>
                <w:color w:val="000000"/>
                <w:sz w:val="20"/>
              </w:rPr>
              <w:t>118,50</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059C8808" w14:textId="77777777" w:rsidR="00026D7A" w:rsidRPr="00F06216" w:rsidRDefault="00026D7A" w:rsidP="00026D7A">
            <w:pPr>
              <w:jc w:val="right"/>
              <w:rPr>
                <w:rFonts w:ascii="Calibri" w:hAnsi="Calibri" w:cs="Calibri"/>
                <w:b/>
                <w:bCs/>
                <w:color w:val="000000"/>
                <w:sz w:val="20"/>
              </w:rPr>
            </w:pPr>
            <w:r w:rsidRPr="00F06216">
              <w:rPr>
                <w:rFonts w:ascii="Calibri" w:hAnsi="Calibri" w:cs="Calibri"/>
                <w:b/>
                <w:bCs/>
                <w:color w:val="000000"/>
                <w:sz w:val="20"/>
              </w:rPr>
              <w:t>125,50</w:t>
            </w:r>
          </w:p>
        </w:tc>
      </w:tr>
      <w:tr w:rsidR="00026D7A" w:rsidRPr="00F06216" w14:paraId="37F1D9F2"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6EA3A265"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Dánsko</w:t>
            </w:r>
          </w:p>
        </w:tc>
        <w:tc>
          <w:tcPr>
            <w:tcW w:w="964" w:type="dxa"/>
            <w:tcBorders>
              <w:top w:val="nil"/>
              <w:left w:val="nil"/>
              <w:bottom w:val="single" w:sz="4" w:space="0" w:color="auto"/>
              <w:right w:val="single" w:sz="4" w:space="0" w:color="auto"/>
            </w:tcBorders>
            <w:shd w:val="clear" w:color="auto" w:fill="auto"/>
            <w:noWrap/>
            <w:vAlign w:val="center"/>
            <w:hideMark/>
          </w:tcPr>
          <w:p w14:paraId="1699DF3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101,50</w:t>
            </w:r>
          </w:p>
        </w:tc>
        <w:tc>
          <w:tcPr>
            <w:tcW w:w="964" w:type="dxa"/>
            <w:tcBorders>
              <w:top w:val="nil"/>
              <w:left w:val="nil"/>
              <w:bottom w:val="single" w:sz="4" w:space="0" w:color="auto"/>
              <w:right w:val="single" w:sz="4" w:space="0" w:color="auto"/>
            </w:tcBorders>
            <w:shd w:val="clear" w:color="auto" w:fill="auto"/>
            <w:noWrap/>
            <w:vAlign w:val="center"/>
            <w:hideMark/>
          </w:tcPr>
          <w:p w14:paraId="28156227"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103,10</w:t>
            </w:r>
          </w:p>
        </w:tc>
        <w:tc>
          <w:tcPr>
            <w:tcW w:w="964" w:type="dxa"/>
            <w:tcBorders>
              <w:top w:val="nil"/>
              <w:left w:val="nil"/>
              <w:bottom w:val="single" w:sz="4" w:space="0" w:color="auto"/>
              <w:right w:val="single" w:sz="4" w:space="0" w:color="auto"/>
            </w:tcBorders>
            <w:shd w:val="clear" w:color="auto" w:fill="auto"/>
            <w:noWrap/>
            <w:vAlign w:val="center"/>
            <w:hideMark/>
          </w:tcPr>
          <w:p w14:paraId="576340D7"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104,30</w:t>
            </w:r>
          </w:p>
        </w:tc>
        <w:tc>
          <w:tcPr>
            <w:tcW w:w="964" w:type="dxa"/>
            <w:tcBorders>
              <w:top w:val="nil"/>
              <w:left w:val="nil"/>
              <w:bottom w:val="single" w:sz="4" w:space="0" w:color="auto"/>
              <w:right w:val="single" w:sz="4" w:space="0" w:color="auto"/>
            </w:tcBorders>
            <w:shd w:val="clear" w:color="auto" w:fill="auto"/>
            <w:noWrap/>
            <w:vAlign w:val="center"/>
            <w:hideMark/>
          </w:tcPr>
          <w:p w14:paraId="15BB6DAC"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105,20</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526B12BC"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106,20</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70BA996D"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107,60</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419CD05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110,60</w:t>
            </w:r>
          </w:p>
        </w:tc>
      </w:tr>
      <w:tr w:rsidR="00026D7A" w:rsidRPr="00F06216" w14:paraId="67820DB3"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5442FD2B"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Německo</w:t>
            </w:r>
          </w:p>
        </w:tc>
        <w:tc>
          <w:tcPr>
            <w:tcW w:w="964" w:type="dxa"/>
            <w:tcBorders>
              <w:top w:val="nil"/>
              <w:left w:val="nil"/>
              <w:bottom w:val="single" w:sz="4" w:space="0" w:color="auto"/>
              <w:right w:val="single" w:sz="4" w:space="0" w:color="auto"/>
            </w:tcBorders>
            <w:shd w:val="clear" w:color="auto" w:fill="auto"/>
            <w:noWrap/>
            <w:vAlign w:val="center"/>
            <w:hideMark/>
          </w:tcPr>
          <w:p w14:paraId="28F735D0"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102,00</w:t>
            </w:r>
          </w:p>
        </w:tc>
        <w:tc>
          <w:tcPr>
            <w:tcW w:w="964" w:type="dxa"/>
            <w:tcBorders>
              <w:top w:val="nil"/>
              <w:left w:val="nil"/>
              <w:bottom w:val="single" w:sz="4" w:space="0" w:color="auto"/>
              <w:right w:val="single" w:sz="4" w:space="0" w:color="auto"/>
            </w:tcBorders>
            <w:shd w:val="clear" w:color="auto" w:fill="auto"/>
            <w:noWrap/>
            <w:vAlign w:val="center"/>
            <w:hideMark/>
          </w:tcPr>
          <w:p w14:paraId="2ED82236"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103,60</w:t>
            </w:r>
          </w:p>
        </w:tc>
        <w:tc>
          <w:tcPr>
            <w:tcW w:w="964" w:type="dxa"/>
            <w:tcBorders>
              <w:top w:val="nil"/>
              <w:left w:val="nil"/>
              <w:bottom w:val="single" w:sz="4" w:space="0" w:color="auto"/>
              <w:right w:val="single" w:sz="4" w:space="0" w:color="auto"/>
            </w:tcBorders>
            <w:shd w:val="clear" w:color="auto" w:fill="auto"/>
            <w:noWrap/>
            <w:vAlign w:val="center"/>
            <w:hideMark/>
          </w:tcPr>
          <w:p w14:paraId="34A54D8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105,20</w:t>
            </w:r>
          </w:p>
        </w:tc>
        <w:tc>
          <w:tcPr>
            <w:tcW w:w="964" w:type="dxa"/>
            <w:tcBorders>
              <w:top w:val="nil"/>
              <w:left w:val="nil"/>
              <w:bottom w:val="single" w:sz="4" w:space="0" w:color="auto"/>
              <w:right w:val="single" w:sz="4" w:space="0" w:color="auto"/>
            </w:tcBorders>
            <w:shd w:val="clear" w:color="auto" w:fill="auto"/>
            <w:noWrap/>
            <w:vAlign w:val="center"/>
            <w:hideMark/>
          </w:tcPr>
          <w:p w14:paraId="449D158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106,80</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5950C1AD"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108,20</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0A22E291"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109,60</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775A8A8C"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111,70</w:t>
            </w:r>
          </w:p>
        </w:tc>
      </w:tr>
      <w:tr w:rsidR="00026D7A" w:rsidRPr="00F06216" w14:paraId="68922745"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03547B26"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Estonsko</w:t>
            </w:r>
          </w:p>
        </w:tc>
        <w:tc>
          <w:tcPr>
            <w:tcW w:w="964" w:type="dxa"/>
            <w:tcBorders>
              <w:top w:val="nil"/>
              <w:left w:val="nil"/>
              <w:bottom w:val="single" w:sz="4" w:space="0" w:color="auto"/>
              <w:right w:val="single" w:sz="4" w:space="0" w:color="auto"/>
            </w:tcBorders>
            <w:shd w:val="clear" w:color="auto" w:fill="auto"/>
            <w:noWrap/>
            <w:vAlign w:val="center"/>
            <w:hideMark/>
          </w:tcPr>
          <w:p w14:paraId="5B052297"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108,73</w:t>
            </w:r>
          </w:p>
        </w:tc>
        <w:tc>
          <w:tcPr>
            <w:tcW w:w="964" w:type="dxa"/>
            <w:tcBorders>
              <w:top w:val="nil"/>
              <w:left w:val="nil"/>
              <w:bottom w:val="single" w:sz="4" w:space="0" w:color="auto"/>
              <w:right w:val="single" w:sz="4" w:space="0" w:color="auto"/>
            </w:tcBorders>
            <w:shd w:val="clear" w:color="auto" w:fill="auto"/>
            <w:noWrap/>
            <w:vAlign w:val="center"/>
            <w:hideMark/>
          </w:tcPr>
          <w:p w14:paraId="6F0CE720"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114,98</w:t>
            </w:r>
          </w:p>
        </w:tc>
        <w:tc>
          <w:tcPr>
            <w:tcW w:w="964" w:type="dxa"/>
            <w:tcBorders>
              <w:top w:val="nil"/>
              <w:left w:val="nil"/>
              <w:bottom w:val="single" w:sz="4" w:space="0" w:color="auto"/>
              <w:right w:val="single" w:sz="4" w:space="0" w:color="auto"/>
            </w:tcBorders>
            <w:shd w:val="clear" w:color="auto" w:fill="auto"/>
            <w:noWrap/>
            <w:vAlign w:val="center"/>
            <w:hideMark/>
          </w:tcPr>
          <w:p w14:paraId="5D0BB986"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123,50</w:t>
            </w:r>
          </w:p>
        </w:tc>
        <w:tc>
          <w:tcPr>
            <w:tcW w:w="964" w:type="dxa"/>
            <w:tcBorders>
              <w:top w:val="nil"/>
              <w:left w:val="nil"/>
              <w:bottom w:val="single" w:sz="4" w:space="0" w:color="auto"/>
              <w:right w:val="single" w:sz="4" w:space="0" w:color="auto"/>
            </w:tcBorders>
            <w:shd w:val="clear" w:color="auto" w:fill="auto"/>
            <w:noWrap/>
            <w:vAlign w:val="center"/>
            <w:hideMark/>
          </w:tcPr>
          <w:p w14:paraId="25D9301C"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132,29</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18176144"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123,85</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53FB1EE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138,05</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63DE7743"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158,32</w:t>
            </w:r>
          </w:p>
        </w:tc>
      </w:tr>
      <w:tr w:rsidR="00026D7A" w:rsidRPr="00F06216" w14:paraId="0E4FD8F1"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49F96B6A"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Irsko</w:t>
            </w:r>
          </w:p>
        </w:tc>
        <w:tc>
          <w:tcPr>
            <w:tcW w:w="964" w:type="dxa"/>
            <w:tcBorders>
              <w:top w:val="nil"/>
              <w:left w:val="nil"/>
              <w:bottom w:val="single" w:sz="4" w:space="0" w:color="auto"/>
              <w:right w:val="single" w:sz="4" w:space="0" w:color="auto"/>
            </w:tcBorders>
            <w:shd w:val="clear" w:color="auto" w:fill="auto"/>
            <w:noWrap/>
            <w:vAlign w:val="center"/>
            <w:hideMark/>
          </w:tcPr>
          <w:p w14:paraId="009AAA30"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112,50</w:t>
            </w:r>
          </w:p>
        </w:tc>
        <w:tc>
          <w:tcPr>
            <w:tcW w:w="964" w:type="dxa"/>
            <w:tcBorders>
              <w:top w:val="nil"/>
              <w:left w:val="nil"/>
              <w:bottom w:val="single" w:sz="4" w:space="0" w:color="auto"/>
              <w:right w:val="single" w:sz="4" w:space="0" w:color="auto"/>
            </w:tcBorders>
            <w:shd w:val="clear" w:color="auto" w:fill="auto"/>
            <w:noWrap/>
            <w:vAlign w:val="center"/>
            <w:hideMark/>
          </w:tcPr>
          <w:p w14:paraId="487F9D66"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119,30</w:t>
            </w:r>
          </w:p>
        </w:tc>
        <w:tc>
          <w:tcPr>
            <w:tcW w:w="964" w:type="dxa"/>
            <w:tcBorders>
              <w:top w:val="nil"/>
              <w:left w:val="nil"/>
              <w:bottom w:val="single" w:sz="4" w:space="0" w:color="auto"/>
              <w:right w:val="single" w:sz="4" w:space="0" w:color="auto"/>
            </w:tcBorders>
            <w:shd w:val="clear" w:color="auto" w:fill="auto"/>
            <w:noWrap/>
            <w:vAlign w:val="center"/>
            <w:hideMark/>
          </w:tcPr>
          <w:p w14:paraId="62C6211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126,70</w:t>
            </w:r>
          </w:p>
        </w:tc>
        <w:tc>
          <w:tcPr>
            <w:tcW w:w="964" w:type="dxa"/>
            <w:tcBorders>
              <w:top w:val="nil"/>
              <w:left w:val="nil"/>
              <w:bottom w:val="single" w:sz="4" w:space="0" w:color="auto"/>
              <w:right w:val="single" w:sz="4" w:space="0" w:color="auto"/>
            </w:tcBorders>
            <w:shd w:val="clear" w:color="auto" w:fill="auto"/>
            <w:noWrap/>
            <w:vAlign w:val="center"/>
            <w:hideMark/>
          </w:tcPr>
          <w:p w14:paraId="65F0DFF3"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132,40</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64CC50A1"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129,40</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0D3E2B26"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139,40</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250A118B"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152,60</w:t>
            </w:r>
          </w:p>
        </w:tc>
      </w:tr>
      <w:tr w:rsidR="00026D7A" w:rsidRPr="00F06216" w14:paraId="2D0FEE75"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2842480E"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Řecko</w:t>
            </w:r>
          </w:p>
        </w:tc>
        <w:tc>
          <w:tcPr>
            <w:tcW w:w="964" w:type="dxa"/>
            <w:tcBorders>
              <w:top w:val="nil"/>
              <w:left w:val="nil"/>
              <w:bottom w:val="single" w:sz="4" w:space="0" w:color="auto"/>
              <w:right w:val="single" w:sz="4" w:space="0" w:color="auto"/>
            </w:tcBorders>
            <w:shd w:val="clear" w:color="auto" w:fill="auto"/>
            <w:noWrap/>
            <w:vAlign w:val="center"/>
            <w:hideMark/>
          </w:tcPr>
          <w:p w14:paraId="11D304E6"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97,39</w:t>
            </w:r>
          </w:p>
        </w:tc>
        <w:tc>
          <w:tcPr>
            <w:tcW w:w="964" w:type="dxa"/>
            <w:tcBorders>
              <w:top w:val="nil"/>
              <w:left w:val="nil"/>
              <w:bottom w:val="single" w:sz="4" w:space="0" w:color="auto"/>
              <w:right w:val="single" w:sz="4" w:space="0" w:color="auto"/>
            </w:tcBorders>
            <w:shd w:val="clear" w:color="auto" w:fill="auto"/>
            <w:noWrap/>
            <w:vAlign w:val="center"/>
            <w:hideMark/>
          </w:tcPr>
          <w:p w14:paraId="676FADC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92,16</w:t>
            </w:r>
          </w:p>
        </w:tc>
        <w:tc>
          <w:tcPr>
            <w:tcW w:w="964" w:type="dxa"/>
            <w:tcBorders>
              <w:top w:val="nil"/>
              <w:left w:val="nil"/>
              <w:bottom w:val="single" w:sz="4" w:space="0" w:color="auto"/>
              <w:right w:val="single" w:sz="4" w:space="0" w:color="auto"/>
            </w:tcBorders>
            <w:shd w:val="clear" w:color="auto" w:fill="auto"/>
            <w:noWrap/>
            <w:vAlign w:val="center"/>
            <w:hideMark/>
          </w:tcPr>
          <w:p w14:paraId="426B0E1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92,16</w:t>
            </w:r>
          </w:p>
        </w:tc>
        <w:tc>
          <w:tcPr>
            <w:tcW w:w="964" w:type="dxa"/>
            <w:tcBorders>
              <w:top w:val="nil"/>
              <w:left w:val="nil"/>
              <w:bottom w:val="single" w:sz="4" w:space="0" w:color="auto"/>
              <w:right w:val="single" w:sz="4" w:space="0" w:color="auto"/>
            </w:tcBorders>
            <w:shd w:val="clear" w:color="auto" w:fill="auto"/>
            <w:noWrap/>
            <w:vAlign w:val="center"/>
            <w:hideMark/>
          </w:tcPr>
          <w:p w14:paraId="2008CE9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92,16</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0CEB4EB4"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92,16</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3A3717EC"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92,60</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6E9D8BF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95,99</w:t>
            </w:r>
          </w:p>
        </w:tc>
      </w:tr>
      <w:tr w:rsidR="00026D7A" w:rsidRPr="00F06216" w14:paraId="20C12530"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573BC310"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Španělsko</w:t>
            </w:r>
          </w:p>
        </w:tc>
        <w:tc>
          <w:tcPr>
            <w:tcW w:w="964" w:type="dxa"/>
            <w:tcBorders>
              <w:top w:val="nil"/>
              <w:left w:val="nil"/>
              <w:bottom w:val="single" w:sz="4" w:space="0" w:color="auto"/>
              <w:right w:val="single" w:sz="4" w:space="0" w:color="auto"/>
            </w:tcBorders>
            <w:shd w:val="clear" w:color="auto" w:fill="auto"/>
            <w:noWrap/>
            <w:vAlign w:val="center"/>
            <w:hideMark/>
          </w:tcPr>
          <w:p w14:paraId="2AB71E5F"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99,93</w:t>
            </w:r>
          </w:p>
        </w:tc>
        <w:tc>
          <w:tcPr>
            <w:tcW w:w="964" w:type="dxa"/>
            <w:tcBorders>
              <w:top w:val="nil"/>
              <w:left w:val="nil"/>
              <w:bottom w:val="single" w:sz="4" w:space="0" w:color="auto"/>
              <w:right w:val="single" w:sz="4" w:space="0" w:color="auto"/>
            </w:tcBorders>
            <w:shd w:val="clear" w:color="auto" w:fill="auto"/>
            <w:noWrap/>
            <w:vAlign w:val="center"/>
            <w:hideMark/>
          </w:tcPr>
          <w:p w14:paraId="4E14E905"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100,80</w:t>
            </w:r>
          </w:p>
        </w:tc>
        <w:tc>
          <w:tcPr>
            <w:tcW w:w="964" w:type="dxa"/>
            <w:tcBorders>
              <w:top w:val="nil"/>
              <w:left w:val="nil"/>
              <w:bottom w:val="single" w:sz="4" w:space="0" w:color="auto"/>
              <w:right w:val="single" w:sz="4" w:space="0" w:color="auto"/>
            </w:tcBorders>
            <w:shd w:val="clear" w:color="auto" w:fill="auto"/>
            <w:noWrap/>
            <w:vAlign w:val="center"/>
            <w:hideMark/>
          </w:tcPr>
          <w:p w14:paraId="133C3BBC"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102,32</w:t>
            </w:r>
          </w:p>
        </w:tc>
        <w:tc>
          <w:tcPr>
            <w:tcW w:w="964" w:type="dxa"/>
            <w:tcBorders>
              <w:top w:val="nil"/>
              <w:left w:val="nil"/>
              <w:bottom w:val="single" w:sz="4" w:space="0" w:color="auto"/>
              <w:right w:val="single" w:sz="4" w:space="0" w:color="auto"/>
            </w:tcBorders>
            <w:shd w:val="clear" w:color="auto" w:fill="auto"/>
            <w:noWrap/>
            <w:vAlign w:val="center"/>
            <w:hideMark/>
          </w:tcPr>
          <w:p w14:paraId="08CC69C0"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103,79</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2501A50C"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104,66</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4B257CF9"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105,23</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78383E76"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107,26</w:t>
            </w:r>
          </w:p>
        </w:tc>
      </w:tr>
      <w:tr w:rsidR="00026D7A" w:rsidRPr="00F06216" w14:paraId="64E1CFAD"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2CBC60B4"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Francie</w:t>
            </w:r>
          </w:p>
        </w:tc>
        <w:tc>
          <w:tcPr>
            <w:tcW w:w="964" w:type="dxa"/>
            <w:tcBorders>
              <w:top w:val="nil"/>
              <w:left w:val="nil"/>
              <w:bottom w:val="single" w:sz="4" w:space="0" w:color="auto"/>
              <w:right w:val="single" w:sz="4" w:space="0" w:color="auto"/>
            </w:tcBorders>
            <w:shd w:val="clear" w:color="auto" w:fill="auto"/>
            <w:noWrap/>
            <w:vAlign w:val="center"/>
            <w:hideMark/>
          </w:tcPr>
          <w:p w14:paraId="51D6B10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100,42</w:t>
            </w:r>
          </w:p>
        </w:tc>
        <w:tc>
          <w:tcPr>
            <w:tcW w:w="964" w:type="dxa"/>
            <w:tcBorders>
              <w:top w:val="nil"/>
              <w:left w:val="nil"/>
              <w:bottom w:val="single" w:sz="4" w:space="0" w:color="auto"/>
              <w:right w:val="single" w:sz="4" w:space="0" w:color="auto"/>
            </w:tcBorders>
            <w:shd w:val="clear" w:color="auto" w:fill="auto"/>
            <w:noWrap/>
            <w:vAlign w:val="center"/>
            <w:hideMark/>
          </w:tcPr>
          <w:p w14:paraId="345353DB"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100,64</w:t>
            </w:r>
          </w:p>
        </w:tc>
        <w:tc>
          <w:tcPr>
            <w:tcW w:w="964" w:type="dxa"/>
            <w:tcBorders>
              <w:top w:val="nil"/>
              <w:left w:val="nil"/>
              <w:bottom w:val="single" w:sz="4" w:space="0" w:color="auto"/>
              <w:right w:val="single" w:sz="4" w:space="0" w:color="auto"/>
            </w:tcBorders>
            <w:shd w:val="clear" w:color="auto" w:fill="auto"/>
            <w:noWrap/>
            <w:vAlign w:val="center"/>
            <w:hideMark/>
          </w:tcPr>
          <w:p w14:paraId="7BC4D65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99,89</w:t>
            </w:r>
          </w:p>
        </w:tc>
        <w:tc>
          <w:tcPr>
            <w:tcW w:w="964" w:type="dxa"/>
            <w:tcBorders>
              <w:top w:val="nil"/>
              <w:left w:val="nil"/>
              <w:bottom w:val="single" w:sz="4" w:space="0" w:color="auto"/>
              <w:right w:val="single" w:sz="4" w:space="0" w:color="auto"/>
            </w:tcBorders>
            <w:shd w:val="clear" w:color="auto" w:fill="auto"/>
            <w:noWrap/>
            <w:vAlign w:val="center"/>
            <w:hideMark/>
          </w:tcPr>
          <w:p w14:paraId="4960BDDF"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100,95</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1F60F93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101,19</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66468235"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101,95</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39FE1E6B"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103,12</w:t>
            </w:r>
          </w:p>
        </w:tc>
      </w:tr>
      <w:tr w:rsidR="00026D7A" w:rsidRPr="00F06216" w14:paraId="367239B6"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45E913C3"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Chorvatsko</w:t>
            </w:r>
          </w:p>
        </w:tc>
        <w:tc>
          <w:tcPr>
            <w:tcW w:w="964" w:type="dxa"/>
            <w:tcBorders>
              <w:top w:val="nil"/>
              <w:left w:val="nil"/>
              <w:bottom w:val="single" w:sz="4" w:space="0" w:color="auto"/>
              <w:right w:val="single" w:sz="4" w:space="0" w:color="auto"/>
            </w:tcBorders>
            <w:shd w:val="clear" w:color="auto" w:fill="auto"/>
            <w:noWrap/>
            <w:vAlign w:val="center"/>
            <w:hideMark/>
          </w:tcPr>
          <w:p w14:paraId="19A7F99B"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98,76</w:t>
            </w:r>
          </w:p>
        </w:tc>
        <w:tc>
          <w:tcPr>
            <w:tcW w:w="964" w:type="dxa"/>
            <w:tcBorders>
              <w:top w:val="nil"/>
              <w:left w:val="nil"/>
              <w:bottom w:val="single" w:sz="4" w:space="0" w:color="auto"/>
              <w:right w:val="single" w:sz="4" w:space="0" w:color="auto"/>
            </w:tcBorders>
            <w:shd w:val="clear" w:color="auto" w:fill="auto"/>
            <w:noWrap/>
            <w:vAlign w:val="center"/>
            <w:hideMark/>
          </w:tcPr>
          <w:p w14:paraId="5C1F7A03"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99,55</w:t>
            </w:r>
          </w:p>
        </w:tc>
        <w:tc>
          <w:tcPr>
            <w:tcW w:w="964" w:type="dxa"/>
            <w:tcBorders>
              <w:top w:val="nil"/>
              <w:left w:val="nil"/>
              <w:bottom w:val="single" w:sz="4" w:space="0" w:color="auto"/>
              <w:right w:val="single" w:sz="4" w:space="0" w:color="auto"/>
            </w:tcBorders>
            <w:shd w:val="clear" w:color="auto" w:fill="auto"/>
            <w:noWrap/>
            <w:vAlign w:val="center"/>
            <w:hideMark/>
          </w:tcPr>
          <w:p w14:paraId="3E98A29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103,46</w:t>
            </w:r>
          </w:p>
        </w:tc>
        <w:tc>
          <w:tcPr>
            <w:tcW w:w="964" w:type="dxa"/>
            <w:tcBorders>
              <w:top w:val="nil"/>
              <w:left w:val="nil"/>
              <w:bottom w:val="single" w:sz="4" w:space="0" w:color="auto"/>
              <w:right w:val="single" w:sz="4" w:space="0" w:color="auto"/>
            </w:tcBorders>
            <w:shd w:val="clear" w:color="auto" w:fill="auto"/>
            <w:noWrap/>
            <w:vAlign w:val="center"/>
            <w:hideMark/>
          </w:tcPr>
          <w:p w14:paraId="00A2BBCD"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108,06</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7E0B5061"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107,84</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1317A030"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110,09</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0C6915B3"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114,92</w:t>
            </w:r>
          </w:p>
        </w:tc>
      </w:tr>
      <w:tr w:rsidR="00026D7A" w:rsidRPr="00F06216" w14:paraId="213E4E31"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571CD21C"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Itálie</w:t>
            </w:r>
          </w:p>
        </w:tc>
        <w:tc>
          <w:tcPr>
            <w:tcW w:w="964" w:type="dxa"/>
            <w:tcBorders>
              <w:top w:val="nil"/>
              <w:left w:val="nil"/>
              <w:bottom w:val="single" w:sz="4" w:space="0" w:color="auto"/>
              <w:right w:val="single" w:sz="4" w:space="0" w:color="auto"/>
            </w:tcBorders>
            <w:shd w:val="clear" w:color="auto" w:fill="auto"/>
            <w:noWrap/>
            <w:vAlign w:val="center"/>
            <w:hideMark/>
          </w:tcPr>
          <w:p w14:paraId="07B55198"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100,30</w:t>
            </w:r>
          </w:p>
        </w:tc>
        <w:tc>
          <w:tcPr>
            <w:tcW w:w="964" w:type="dxa"/>
            <w:tcBorders>
              <w:top w:val="nil"/>
              <w:left w:val="nil"/>
              <w:bottom w:val="single" w:sz="4" w:space="0" w:color="auto"/>
              <w:right w:val="single" w:sz="4" w:space="0" w:color="auto"/>
            </w:tcBorders>
            <w:shd w:val="clear" w:color="auto" w:fill="auto"/>
            <w:noWrap/>
            <w:vAlign w:val="center"/>
            <w:hideMark/>
          </w:tcPr>
          <w:p w14:paraId="5207EA64"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100,60</w:t>
            </w:r>
          </w:p>
        </w:tc>
        <w:tc>
          <w:tcPr>
            <w:tcW w:w="964" w:type="dxa"/>
            <w:tcBorders>
              <w:top w:val="nil"/>
              <w:left w:val="nil"/>
              <w:bottom w:val="single" w:sz="4" w:space="0" w:color="auto"/>
              <w:right w:val="single" w:sz="4" w:space="0" w:color="auto"/>
            </w:tcBorders>
            <w:shd w:val="clear" w:color="auto" w:fill="auto"/>
            <w:noWrap/>
            <w:vAlign w:val="center"/>
            <w:hideMark/>
          </w:tcPr>
          <w:p w14:paraId="14B7E4AF"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101,10</w:t>
            </w:r>
          </w:p>
        </w:tc>
        <w:tc>
          <w:tcPr>
            <w:tcW w:w="964" w:type="dxa"/>
            <w:tcBorders>
              <w:top w:val="nil"/>
              <w:left w:val="nil"/>
              <w:bottom w:val="single" w:sz="4" w:space="0" w:color="auto"/>
              <w:right w:val="single" w:sz="4" w:space="0" w:color="auto"/>
            </w:tcBorders>
            <w:shd w:val="clear" w:color="auto" w:fill="auto"/>
            <w:noWrap/>
            <w:vAlign w:val="center"/>
            <w:hideMark/>
          </w:tcPr>
          <w:p w14:paraId="6DCCC5B1"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101,40</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63C91960"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101,40</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34DF5E4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101,60</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7831956C"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103,70</w:t>
            </w:r>
          </w:p>
        </w:tc>
      </w:tr>
      <w:tr w:rsidR="00026D7A" w:rsidRPr="00F06216" w14:paraId="06BBEAC6"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6E4A6E50"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 xml:space="preserve">Kypr </w:t>
            </w:r>
          </w:p>
        </w:tc>
        <w:tc>
          <w:tcPr>
            <w:tcW w:w="964" w:type="dxa"/>
            <w:tcBorders>
              <w:top w:val="nil"/>
              <w:left w:val="nil"/>
              <w:bottom w:val="single" w:sz="4" w:space="0" w:color="auto"/>
              <w:right w:val="single" w:sz="4" w:space="0" w:color="auto"/>
            </w:tcBorders>
            <w:shd w:val="clear" w:color="auto" w:fill="auto"/>
            <w:noWrap/>
            <w:vAlign w:val="center"/>
            <w:hideMark/>
          </w:tcPr>
          <w:p w14:paraId="3876DBF7"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99,66</w:t>
            </w:r>
          </w:p>
        </w:tc>
        <w:tc>
          <w:tcPr>
            <w:tcW w:w="964" w:type="dxa"/>
            <w:tcBorders>
              <w:top w:val="nil"/>
              <w:left w:val="nil"/>
              <w:bottom w:val="single" w:sz="4" w:space="0" w:color="auto"/>
              <w:right w:val="single" w:sz="4" w:space="0" w:color="auto"/>
            </w:tcBorders>
            <w:shd w:val="clear" w:color="auto" w:fill="auto"/>
            <w:noWrap/>
            <w:vAlign w:val="center"/>
            <w:hideMark/>
          </w:tcPr>
          <w:p w14:paraId="42E15198"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100,66</w:t>
            </w:r>
          </w:p>
        </w:tc>
        <w:tc>
          <w:tcPr>
            <w:tcW w:w="964" w:type="dxa"/>
            <w:tcBorders>
              <w:top w:val="nil"/>
              <w:left w:val="nil"/>
              <w:bottom w:val="single" w:sz="4" w:space="0" w:color="auto"/>
              <w:right w:val="single" w:sz="4" w:space="0" w:color="auto"/>
            </w:tcBorders>
            <w:shd w:val="clear" w:color="auto" w:fill="auto"/>
            <w:noWrap/>
            <w:vAlign w:val="center"/>
            <w:hideMark/>
          </w:tcPr>
          <w:p w14:paraId="59041D44"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103,93</w:t>
            </w:r>
          </w:p>
        </w:tc>
        <w:tc>
          <w:tcPr>
            <w:tcW w:w="964" w:type="dxa"/>
            <w:tcBorders>
              <w:top w:val="nil"/>
              <w:left w:val="nil"/>
              <w:bottom w:val="single" w:sz="4" w:space="0" w:color="auto"/>
              <w:right w:val="single" w:sz="4" w:space="0" w:color="auto"/>
            </w:tcBorders>
            <w:shd w:val="clear" w:color="auto" w:fill="auto"/>
            <w:noWrap/>
            <w:vAlign w:val="center"/>
            <w:hideMark/>
          </w:tcPr>
          <w:p w14:paraId="0DE3ACDF"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107,21</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726BA174"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109,63</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261DD30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112,65</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613699EC"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115,99</w:t>
            </w:r>
          </w:p>
        </w:tc>
      </w:tr>
      <w:tr w:rsidR="00026D7A" w:rsidRPr="00F06216" w14:paraId="5FDC640B"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722A60F4"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Lotyšsko</w:t>
            </w:r>
          </w:p>
        </w:tc>
        <w:tc>
          <w:tcPr>
            <w:tcW w:w="964" w:type="dxa"/>
            <w:tcBorders>
              <w:top w:val="nil"/>
              <w:left w:val="nil"/>
              <w:bottom w:val="single" w:sz="4" w:space="0" w:color="auto"/>
              <w:right w:val="single" w:sz="4" w:space="0" w:color="auto"/>
            </w:tcBorders>
            <w:shd w:val="clear" w:color="auto" w:fill="auto"/>
            <w:noWrap/>
            <w:vAlign w:val="center"/>
            <w:hideMark/>
          </w:tcPr>
          <w:p w14:paraId="5ED6653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97,80</w:t>
            </w:r>
          </w:p>
        </w:tc>
        <w:tc>
          <w:tcPr>
            <w:tcW w:w="964" w:type="dxa"/>
            <w:tcBorders>
              <w:top w:val="nil"/>
              <w:left w:val="nil"/>
              <w:bottom w:val="single" w:sz="4" w:space="0" w:color="auto"/>
              <w:right w:val="single" w:sz="4" w:space="0" w:color="auto"/>
            </w:tcBorders>
            <w:shd w:val="clear" w:color="auto" w:fill="auto"/>
            <w:noWrap/>
            <w:vAlign w:val="center"/>
            <w:hideMark/>
          </w:tcPr>
          <w:p w14:paraId="61F6542F"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97,91</w:t>
            </w:r>
          </w:p>
        </w:tc>
        <w:tc>
          <w:tcPr>
            <w:tcW w:w="964" w:type="dxa"/>
            <w:tcBorders>
              <w:top w:val="nil"/>
              <w:left w:val="nil"/>
              <w:bottom w:val="single" w:sz="4" w:space="0" w:color="auto"/>
              <w:right w:val="single" w:sz="4" w:space="0" w:color="auto"/>
            </w:tcBorders>
            <w:shd w:val="clear" w:color="auto" w:fill="auto"/>
            <w:noWrap/>
            <w:vAlign w:val="center"/>
            <w:hideMark/>
          </w:tcPr>
          <w:p w14:paraId="4208816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104,73</w:t>
            </w:r>
          </w:p>
        </w:tc>
        <w:tc>
          <w:tcPr>
            <w:tcW w:w="964" w:type="dxa"/>
            <w:tcBorders>
              <w:top w:val="nil"/>
              <w:left w:val="nil"/>
              <w:bottom w:val="single" w:sz="4" w:space="0" w:color="auto"/>
              <w:right w:val="single" w:sz="4" w:space="0" w:color="auto"/>
            </w:tcBorders>
            <w:shd w:val="clear" w:color="auto" w:fill="auto"/>
            <w:noWrap/>
            <w:vAlign w:val="center"/>
            <w:hideMark/>
          </w:tcPr>
          <w:p w14:paraId="5B59A064"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106,57</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186AF0D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104,14</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59A68A79"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107,31</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651B3566"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105,17</w:t>
            </w:r>
          </w:p>
        </w:tc>
      </w:tr>
      <w:tr w:rsidR="00026D7A" w:rsidRPr="00F06216" w14:paraId="59FD63AE"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24F6D99B"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Litva</w:t>
            </w:r>
          </w:p>
        </w:tc>
        <w:tc>
          <w:tcPr>
            <w:tcW w:w="964" w:type="dxa"/>
            <w:tcBorders>
              <w:top w:val="nil"/>
              <w:left w:val="nil"/>
              <w:bottom w:val="single" w:sz="4" w:space="0" w:color="auto"/>
              <w:right w:val="single" w:sz="4" w:space="0" w:color="auto"/>
            </w:tcBorders>
            <w:shd w:val="clear" w:color="auto" w:fill="auto"/>
            <w:noWrap/>
            <w:vAlign w:val="center"/>
            <w:hideMark/>
          </w:tcPr>
          <w:p w14:paraId="2D06E075"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110,57</w:t>
            </w:r>
          </w:p>
        </w:tc>
        <w:tc>
          <w:tcPr>
            <w:tcW w:w="964" w:type="dxa"/>
            <w:tcBorders>
              <w:top w:val="nil"/>
              <w:left w:val="nil"/>
              <w:bottom w:val="single" w:sz="4" w:space="0" w:color="auto"/>
              <w:right w:val="single" w:sz="4" w:space="0" w:color="auto"/>
            </w:tcBorders>
            <w:shd w:val="clear" w:color="auto" w:fill="auto"/>
            <w:noWrap/>
            <w:vAlign w:val="center"/>
            <w:hideMark/>
          </w:tcPr>
          <w:p w14:paraId="7BDDB77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113,06</w:t>
            </w:r>
          </w:p>
        </w:tc>
        <w:tc>
          <w:tcPr>
            <w:tcW w:w="964" w:type="dxa"/>
            <w:tcBorders>
              <w:top w:val="nil"/>
              <w:left w:val="nil"/>
              <w:bottom w:val="single" w:sz="4" w:space="0" w:color="auto"/>
              <w:right w:val="single" w:sz="4" w:space="0" w:color="auto"/>
            </w:tcBorders>
            <w:shd w:val="clear" w:color="auto" w:fill="auto"/>
            <w:noWrap/>
            <w:vAlign w:val="center"/>
            <w:hideMark/>
          </w:tcPr>
          <w:p w14:paraId="03D4AE66"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121,55</w:t>
            </w:r>
          </w:p>
        </w:tc>
        <w:tc>
          <w:tcPr>
            <w:tcW w:w="964" w:type="dxa"/>
            <w:tcBorders>
              <w:top w:val="nil"/>
              <w:left w:val="nil"/>
              <w:bottom w:val="single" w:sz="4" w:space="0" w:color="auto"/>
              <w:right w:val="single" w:sz="4" w:space="0" w:color="auto"/>
            </w:tcBorders>
            <w:shd w:val="clear" w:color="auto" w:fill="auto"/>
            <w:noWrap/>
            <w:vAlign w:val="center"/>
            <w:hideMark/>
          </w:tcPr>
          <w:p w14:paraId="113321E6"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127,53</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71A839C9"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130,95</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5DBDCDED"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138,61</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5591EB51"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164,62</w:t>
            </w:r>
          </w:p>
        </w:tc>
      </w:tr>
      <w:tr w:rsidR="00026D7A" w:rsidRPr="00F06216" w14:paraId="3988D518"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68E60192"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Lucembursko</w:t>
            </w:r>
          </w:p>
        </w:tc>
        <w:tc>
          <w:tcPr>
            <w:tcW w:w="964" w:type="dxa"/>
            <w:tcBorders>
              <w:top w:val="nil"/>
              <w:left w:val="nil"/>
              <w:bottom w:val="single" w:sz="4" w:space="0" w:color="auto"/>
              <w:right w:val="single" w:sz="4" w:space="0" w:color="auto"/>
            </w:tcBorders>
            <w:shd w:val="clear" w:color="auto" w:fill="auto"/>
            <w:noWrap/>
            <w:vAlign w:val="center"/>
            <w:hideMark/>
          </w:tcPr>
          <w:p w14:paraId="5AD72570"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101,33</w:t>
            </w:r>
          </w:p>
        </w:tc>
        <w:tc>
          <w:tcPr>
            <w:tcW w:w="964" w:type="dxa"/>
            <w:tcBorders>
              <w:top w:val="nil"/>
              <w:left w:val="nil"/>
              <w:bottom w:val="single" w:sz="4" w:space="0" w:color="auto"/>
              <w:right w:val="single" w:sz="4" w:space="0" w:color="auto"/>
            </w:tcBorders>
            <w:shd w:val="clear" w:color="auto" w:fill="auto"/>
            <w:noWrap/>
            <w:vAlign w:val="center"/>
            <w:hideMark/>
          </w:tcPr>
          <w:p w14:paraId="0AC42D01"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102,65</w:t>
            </w:r>
          </w:p>
        </w:tc>
        <w:tc>
          <w:tcPr>
            <w:tcW w:w="964" w:type="dxa"/>
            <w:tcBorders>
              <w:top w:val="nil"/>
              <w:left w:val="nil"/>
              <w:bottom w:val="single" w:sz="4" w:space="0" w:color="auto"/>
              <w:right w:val="single" w:sz="4" w:space="0" w:color="auto"/>
            </w:tcBorders>
            <w:shd w:val="clear" w:color="auto" w:fill="auto"/>
            <w:noWrap/>
            <w:vAlign w:val="center"/>
            <w:hideMark/>
          </w:tcPr>
          <w:p w14:paraId="22FF47BF"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103,89</w:t>
            </w:r>
          </w:p>
        </w:tc>
        <w:tc>
          <w:tcPr>
            <w:tcW w:w="964" w:type="dxa"/>
            <w:tcBorders>
              <w:top w:val="nil"/>
              <w:left w:val="nil"/>
              <w:bottom w:val="single" w:sz="4" w:space="0" w:color="auto"/>
              <w:right w:val="single" w:sz="4" w:space="0" w:color="auto"/>
            </w:tcBorders>
            <w:shd w:val="clear" w:color="auto" w:fill="auto"/>
            <w:noWrap/>
            <w:vAlign w:val="center"/>
            <w:hideMark/>
          </w:tcPr>
          <w:p w14:paraId="36702FB2"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105,32</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08E29A2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106,22</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78419A5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107,94</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07CC092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110,07</w:t>
            </w:r>
          </w:p>
        </w:tc>
      </w:tr>
      <w:tr w:rsidR="00026D7A" w:rsidRPr="00F06216" w14:paraId="7D9C91D7"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5163DA13"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Maďarsko</w:t>
            </w:r>
          </w:p>
        </w:tc>
        <w:tc>
          <w:tcPr>
            <w:tcW w:w="964" w:type="dxa"/>
            <w:tcBorders>
              <w:top w:val="nil"/>
              <w:left w:val="nil"/>
              <w:bottom w:val="single" w:sz="4" w:space="0" w:color="auto"/>
              <w:right w:val="single" w:sz="4" w:space="0" w:color="auto"/>
            </w:tcBorders>
            <w:shd w:val="clear" w:color="auto" w:fill="auto"/>
            <w:noWrap/>
            <w:vAlign w:val="center"/>
            <w:hideMark/>
          </w:tcPr>
          <w:p w14:paraId="7EB1FB5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105,79</w:t>
            </w:r>
          </w:p>
        </w:tc>
        <w:tc>
          <w:tcPr>
            <w:tcW w:w="964" w:type="dxa"/>
            <w:tcBorders>
              <w:top w:val="nil"/>
              <w:left w:val="nil"/>
              <w:bottom w:val="single" w:sz="4" w:space="0" w:color="auto"/>
              <w:right w:val="single" w:sz="4" w:space="0" w:color="auto"/>
            </w:tcBorders>
            <w:shd w:val="clear" w:color="auto" w:fill="auto"/>
            <w:noWrap/>
            <w:vAlign w:val="center"/>
            <w:hideMark/>
          </w:tcPr>
          <w:p w14:paraId="0D0537A4"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110,42</w:t>
            </w:r>
          </w:p>
        </w:tc>
        <w:tc>
          <w:tcPr>
            <w:tcW w:w="964" w:type="dxa"/>
            <w:tcBorders>
              <w:top w:val="nil"/>
              <w:left w:val="nil"/>
              <w:bottom w:val="single" w:sz="4" w:space="0" w:color="auto"/>
              <w:right w:val="single" w:sz="4" w:space="0" w:color="auto"/>
            </w:tcBorders>
            <w:shd w:val="clear" w:color="auto" w:fill="auto"/>
            <w:noWrap/>
            <w:vAlign w:val="center"/>
            <w:hideMark/>
          </w:tcPr>
          <w:p w14:paraId="1C345709"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116,95</w:t>
            </w:r>
          </w:p>
        </w:tc>
        <w:tc>
          <w:tcPr>
            <w:tcW w:w="964" w:type="dxa"/>
            <w:tcBorders>
              <w:top w:val="nil"/>
              <w:left w:val="nil"/>
              <w:bottom w:val="single" w:sz="4" w:space="0" w:color="auto"/>
              <w:right w:val="single" w:sz="4" w:space="0" w:color="auto"/>
            </w:tcBorders>
            <w:shd w:val="clear" w:color="auto" w:fill="auto"/>
            <w:noWrap/>
            <w:vAlign w:val="center"/>
            <w:hideMark/>
          </w:tcPr>
          <w:p w14:paraId="1EFBC08D"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129,25</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3B169141"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129,51</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6BCF2EA5"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136,23</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063D6D73"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155,93</w:t>
            </w:r>
          </w:p>
        </w:tc>
      </w:tr>
      <w:tr w:rsidR="00026D7A" w:rsidRPr="00F06216" w14:paraId="7818CB44"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7A93E6BA"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Malta</w:t>
            </w:r>
          </w:p>
        </w:tc>
        <w:tc>
          <w:tcPr>
            <w:tcW w:w="964" w:type="dxa"/>
            <w:tcBorders>
              <w:top w:val="nil"/>
              <w:left w:val="nil"/>
              <w:bottom w:val="single" w:sz="4" w:space="0" w:color="auto"/>
              <w:right w:val="single" w:sz="4" w:space="0" w:color="auto"/>
            </w:tcBorders>
            <w:shd w:val="clear" w:color="auto" w:fill="auto"/>
            <w:noWrap/>
            <w:vAlign w:val="center"/>
            <w:hideMark/>
          </w:tcPr>
          <w:p w14:paraId="17077711"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104,62</w:t>
            </w:r>
          </w:p>
        </w:tc>
        <w:tc>
          <w:tcPr>
            <w:tcW w:w="964" w:type="dxa"/>
            <w:tcBorders>
              <w:top w:val="nil"/>
              <w:left w:val="nil"/>
              <w:bottom w:val="single" w:sz="4" w:space="0" w:color="auto"/>
              <w:right w:val="single" w:sz="4" w:space="0" w:color="auto"/>
            </w:tcBorders>
            <w:shd w:val="clear" w:color="auto" w:fill="auto"/>
            <w:noWrap/>
            <w:vAlign w:val="center"/>
            <w:hideMark/>
          </w:tcPr>
          <w:p w14:paraId="146F86A5"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105,03</w:t>
            </w:r>
          </w:p>
        </w:tc>
        <w:tc>
          <w:tcPr>
            <w:tcW w:w="964" w:type="dxa"/>
            <w:tcBorders>
              <w:top w:val="nil"/>
              <w:left w:val="nil"/>
              <w:bottom w:val="single" w:sz="4" w:space="0" w:color="auto"/>
              <w:right w:val="single" w:sz="4" w:space="0" w:color="auto"/>
            </w:tcBorders>
            <w:shd w:val="clear" w:color="auto" w:fill="auto"/>
            <w:noWrap/>
            <w:vAlign w:val="center"/>
            <w:hideMark/>
          </w:tcPr>
          <w:p w14:paraId="158D15A7"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108,01</w:t>
            </w:r>
          </w:p>
        </w:tc>
        <w:tc>
          <w:tcPr>
            <w:tcW w:w="964" w:type="dxa"/>
            <w:tcBorders>
              <w:top w:val="nil"/>
              <w:left w:val="nil"/>
              <w:bottom w:val="single" w:sz="4" w:space="0" w:color="auto"/>
              <w:right w:val="single" w:sz="4" w:space="0" w:color="auto"/>
            </w:tcBorders>
            <w:shd w:val="clear" w:color="auto" w:fill="auto"/>
            <w:noWrap/>
            <w:vAlign w:val="center"/>
            <w:hideMark/>
          </w:tcPr>
          <w:p w14:paraId="60845380"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115,38</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4F84394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116,34</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1E973D14"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115,51</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2B0EF6A4"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125,23</w:t>
            </w:r>
          </w:p>
        </w:tc>
      </w:tr>
      <w:tr w:rsidR="00026D7A" w:rsidRPr="00F06216" w14:paraId="74EF1CC8"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6A3AD9CD" w14:textId="43488D96" w:rsidR="00026D7A" w:rsidRPr="00F06216" w:rsidRDefault="00026D7A" w:rsidP="00026D7A">
            <w:pPr>
              <w:jc w:val="left"/>
              <w:rPr>
                <w:rFonts w:ascii="Calibri" w:hAnsi="Calibri" w:cs="Calibri"/>
                <w:b/>
                <w:bCs/>
                <w:sz w:val="20"/>
              </w:rPr>
            </w:pPr>
            <w:r w:rsidRPr="00F06216">
              <w:rPr>
                <w:rFonts w:ascii="Calibri" w:hAnsi="Calibri" w:cs="Calibri"/>
                <w:b/>
                <w:bCs/>
                <w:sz w:val="20"/>
              </w:rPr>
              <w:t>Nizozem</w:t>
            </w:r>
            <w:r>
              <w:rPr>
                <w:rFonts w:ascii="Calibri" w:hAnsi="Calibri" w:cs="Calibri"/>
                <w:b/>
                <w:bCs/>
                <w:sz w:val="20"/>
              </w:rPr>
              <w:t>sko</w:t>
            </w:r>
          </w:p>
        </w:tc>
        <w:tc>
          <w:tcPr>
            <w:tcW w:w="964" w:type="dxa"/>
            <w:tcBorders>
              <w:top w:val="nil"/>
              <w:left w:val="nil"/>
              <w:bottom w:val="single" w:sz="4" w:space="0" w:color="auto"/>
              <w:right w:val="single" w:sz="4" w:space="0" w:color="auto"/>
            </w:tcBorders>
            <w:shd w:val="clear" w:color="auto" w:fill="auto"/>
            <w:noWrap/>
            <w:vAlign w:val="center"/>
            <w:hideMark/>
          </w:tcPr>
          <w:p w14:paraId="6EC26F1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103,11</w:t>
            </w:r>
          </w:p>
        </w:tc>
        <w:tc>
          <w:tcPr>
            <w:tcW w:w="964" w:type="dxa"/>
            <w:tcBorders>
              <w:top w:val="nil"/>
              <w:left w:val="nil"/>
              <w:bottom w:val="single" w:sz="4" w:space="0" w:color="auto"/>
              <w:right w:val="single" w:sz="4" w:space="0" w:color="auto"/>
            </w:tcBorders>
            <w:shd w:val="clear" w:color="auto" w:fill="auto"/>
            <w:noWrap/>
            <w:vAlign w:val="center"/>
            <w:hideMark/>
          </w:tcPr>
          <w:p w14:paraId="342D2C49"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104,74</w:t>
            </w:r>
          </w:p>
        </w:tc>
        <w:tc>
          <w:tcPr>
            <w:tcW w:w="964" w:type="dxa"/>
            <w:tcBorders>
              <w:top w:val="nil"/>
              <w:left w:val="nil"/>
              <w:bottom w:val="single" w:sz="4" w:space="0" w:color="auto"/>
              <w:right w:val="single" w:sz="4" w:space="0" w:color="auto"/>
            </w:tcBorders>
            <w:shd w:val="clear" w:color="auto" w:fill="auto"/>
            <w:noWrap/>
            <w:vAlign w:val="center"/>
            <w:hideMark/>
          </w:tcPr>
          <w:p w14:paraId="4408BF77"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107,19</w:t>
            </w:r>
          </w:p>
        </w:tc>
        <w:tc>
          <w:tcPr>
            <w:tcW w:w="964" w:type="dxa"/>
            <w:tcBorders>
              <w:top w:val="nil"/>
              <w:left w:val="nil"/>
              <w:bottom w:val="single" w:sz="4" w:space="0" w:color="auto"/>
              <w:right w:val="single" w:sz="4" w:space="0" w:color="auto"/>
            </w:tcBorders>
            <w:shd w:val="clear" w:color="auto" w:fill="auto"/>
            <w:noWrap/>
            <w:vAlign w:val="center"/>
            <w:hideMark/>
          </w:tcPr>
          <w:p w14:paraId="1EA614F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109,91</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6480292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113,14</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23B828BF"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113,99</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6AFFDDDB"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117,36</w:t>
            </w:r>
          </w:p>
        </w:tc>
      </w:tr>
      <w:tr w:rsidR="00026D7A" w:rsidRPr="00F06216" w14:paraId="265B3740"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1430192C"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Rakousko</w:t>
            </w:r>
          </w:p>
        </w:tc>
        <w:tc>
          <w:tcPr>
            <w:tcW w:w="964" w:type="dxa"/>
            <w:tcBorders>
              <w:top w:val="nil"/>
              <w:left w:val="nil"/>
              <w:bottom w:val="single" w:sz="4" w:space="0" w:color="auto"/>
              <w:right w:val="single" w:sz="4" w:space="0" w:color="auto"/>
            </w:tcBorders>
            <w:shd w:val="clear" w:color="auto" w:fill="auto"/>
            <w:noWrap/>
            <w:vAlign w:val="center"/>
            <w:hideMark/>
          </w:tcPr>
          <w:p w14:paraId="144271D9"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105,06</w:t>
            </w:r>
          </w:p>
        </w:tc>
        <w:tc>
          <w:tcPr>
            <w:tcW w:w="964" w:type="dxa"/>
            <w:tcBorders>
              <w:top w:val="nil"/>
              <w:left w:val="nil"/>
              <w:bottom w:val="single" w:sz="4" w:space="0" w:color="auto"/>
              <w:right w:val="single" w:sz="4" w:space="0" w:color="auto"/>
            </w:tcBorders>
            <w:shd w:val="clear" w:color="auto" w:fill="auto"/>
            <w:noWrap/>
            <w:vAlign w:val="center"/>
            <w:hideMark/>
          </w:tcPr>
          <w:p w14:paraId="54164289"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109,36</w:t>
            </w:r>
          </w:p>
        </w:tc>
        <w:tc>
          <w:tcPr>
            <w:tcW w:w="964" w:type="dxa"/>
            <w:tcBorders>
              <w:top w:val="nil"/>
              <w:left w:val="nil"/>
              <w:bottom w:val="single" w:sz="4" w:space="0" w:color="auto"/>
              <w:right w:val="single" w:sz="4" w:space="0" w:color="auto"/>
            </w:tcBorders>
            <w:shd w:val="clear" w:color="auto" w:fill="auto"/>
            <w:noWrap/>
            <w:vAlign w:val="center"/>
            <w:hideMark/>
          </w:tcPr>
          <w:p w14:paraId="75035E27"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113,07</w:t>
            </w:r>
          </w:p>
        </w:tc>
        <w:tc>
          <w:tcPr>
            <w:tcW w:w="964" w:type="dxa"/>
            <w:tcBorders>
              <w:top w:val="nil"/>
              <w:left w:val="nil"/>
              <w:bottom w:val="single" w:sz="4" w:space="0" w:color="auto"/>
              <w:right w:val="single" w:sz="4" w:space="0" w:color="auto"/>
            </w:tcBorders>
            <w:shd w:val="clear" w:color="auto" w:fill="auto"/>
            <w:noWrap/>
            <w:vAlign w:val="center"/>
            <w:hideMark/>
          </w:tcPr>
          <w:p w14:paraId="1D3FFCF3"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116,00</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3AD7B6A4"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122,44</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00868C8C"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120,04</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44CA779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126,48</w:t>
            </w:r>
          </w:p>
        </w:tc>
      </w:tr>
      <w:tr w:rsidR="00026D7A" w:rsidRPr="00F06216" w14:paraId="397615A5"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14634B33"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Polsko</w:t>
            </w:r>
          </w:p>
        </w:tc>
        <w:tc>
          <w:tcPr>
            <w:tcW w:w="964" w:type="dxa"/>
            <w:tcBorders>
              <w:top w:val="nil"/>
              <w:left w:val="nil"/>
              <w:bottom w:val="single" w:sz="4" w:space="0" w:color="auto"/>
              <w:right w:val="single" w:sz="4" w:space="0" w:color="auto"/>
            </w:tcBorders>
            <w:shd w:val="clear" w:color="auto" w:fill="auto"/>
            <w:noWrap/>
            <w:vAlign w:val="center"/>
            <w:hideMark/>
          </w:tcPr>
          <w:p w14:paraId="404898CD"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101,90</w:t>
            </w:r>
          </w:p>
        </w:tc>
        <w:tc>
          <w:tcPr>
            <w:tcW w:w="964" w:type="dxa"/>
            <w:tcBorders>
              <w:top w:val="nil"/>
              <w:left w:val="nil"/>
              <w:bottom w:val="single" w:sz="4" w:space="0" w:color="auto"/>
              <w:right w:val="single" w:sz="4" w:space="0" w:color="auto"/>
            </w:tcBorders>
            <w:shd w:val="clear" w:color="auto" w:fill="auto"/>
            <w:noWrap/>
            <w:vAlign w:val="center"/>
            <w:hideMark/>
          </w:tcPr>
          <w:p w14:paraId="3C1ACFEF"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105,70</w:t>
            </w:r>
          </w:p>
        </w:tc>
        <w:tc>
          <w:tcPr>
            <w:tcW w:w="964" w:type="dxa"/>
            <w:tcBorders>
              <w:top w:val="nil"/>
              <w:left w:val="nil"/>
              <w:bottom w:val="single" w:sz="4" w:space="0" w:color="auto"/>
              <w:right w:val="single" w:sz="4" w:space="0" w:color="auto"/>
            </w:tcBorders>
            <w:shd w:val="clear" w:color="auto" w:fill="auto"/>
            <w:noWrap/>
            <w:vAlign w:val="center"/>
            <w:hideMark/>
          </w:tcPr>
          <w:p w14:paraId="6BA7C708"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110,20</w:t>
            </w:r>
          </w:p>
        </w:tc>
        <w:tc>
          <w:tcPr>
            <w:tcW w:w="964" w:type="dxa"/>
            <w:tcBorders>
              <w:top w:val="nil"/>
              <w:left w:val="nil"/>
              <w:bottom w:val="single" w:sz="4" w:space="0" w:color="auto"/>
              <w:right w:val="single" w:sz="4" w:space="0" w:color="auto"/>
            </w:tcBorders>
            <w:shd w:val="clear" w:color="auto" w:fill="auto"/>
            <w:noWrap/>
            <w:vAlign w:val="center"/>
            <w:hideMark/>
          </w:tcPr>
          <w:p w14:paraId="1E8B7B7D"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116,00</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680D2E5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120,60</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5CB8C2AF"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128,20</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37119B0D"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151,70</w:t>
            </w:r>
          </w:p>
        </w:tc>
      </w:tr>
      <w:tr w:rsidR="00026D7A" w:rsidRPr="00F06216" w14:paraId="0A256CB6"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02291F35"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Portugalsko</w:t>
            </w:r>
          </w:p>
        </w:tc>
        <w:tc>
          <w:tcPr>
            <w:tcW w:w="964" w:type="dxa"/>
            <w:tcBorders>
              <w:top w:val="nil"/>
              <w:left w:val="nil"/>
              <w:bottom w:val="single" w:sz="4" w:space="0" w:color="auto"/>
              <w:right w:val="single" w:sz="4" w:space="0" w:color="auto"/>
            </w:tcBorders>
            <w:shd w:val="clear" w:color="auto" w:fill="auto"/>
            <w:noWrap/>
            <w:vAlign w:val="center"/>
            <w:hideMark/>
          </w:tcPr>
          <w:p w14:paraId="7E9ED392"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102,50</w:t>
            </w:r>
          </w:p>
        </w:tc>
        <w:tc>
          <w:tcPr>
            <w:tcW w:w="964" w:type="dxa"/>
            <w:tcBorders>
              <w:top w:val="nil"/>
              <w:left w:val="nil"/>
              <w:bottom w:val="single" w:sz="4" w:space="0" w:color="auto"/>
              <w:right w:val="single" w:sz="4" w:space="0" w:color="auto"/>
            </w:tcBorders>
            <w:shd w:val="clear" w:color="auto" w:fill="auto"/>
            <w:noWrap/>
            <w:vAlign w:val="center"/>
            <w:hideMark/>
          </w:tcPr>
          <w:p w14:paraId="2E278566"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103,14</w:t>
            </w:r>
          </w:p>
        </w:tc>
        <w:tc>
          <w:tcPr>
            <w:tcW w:w="964" w:type="dxa"/>
            <w:tcBorders>
              <w:top w:val="nil"/>
              <w:left w:val="nil"/>
              <w:bottom w:val="single" w:sz="4" w:space="0" w:color="auto"/>
              <w:right w:val="single" w:sz="4" w:space="0" w:color="auto"/>
            </w:tcBorders>
            <w:shd w:val="clear" w:color="auto" w:fill="auto"/>
            <w:noWrap/>
            <w:vAlign w:val="center"/>
            <w:hideMark/>
          </w:tcPr>
          <w:p w14:paraId="3D35601D"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105,98</w:t>
            </w:r>
          </w:p>
        </w:tc>
        <w:tc>
          <w:tcPr>
            <w:tcW w:w="964" w:type="dxa"/>
            <w:tcBorders>
              <w:top w:val="nil"/>
              <w:left w:val="nil"/>
              <w:bottom w:val="single" w:sz="4" w:space="0" w:color="auto"/>
              <w:right w:val="single" w:sz="4" w:space="0" w:color="auto"/>
            </w:tcBorders>
            <w:shd w:val="clear" w:color="auto" w:fill="auto"/>
            <w:noWrap/>
            <w:vAlign w:val="center"/>
            <w:hideMark/>
          </w:tcPr>
          <w:p w14:paraId="43B50C01"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109,54</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139A698B"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111,65</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25CFB18B"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113,83</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2BDAF63E"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117,59</w:t>
            </w:r>
          </w:p>
        </w:tc>
      </w:tr>
      <w:tr w:rsidR="00026D7A" w:rsidRPr="00F06216" w14:paraId="0EB50D6F"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58C840D5"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Rumunsko</w:t>
            </w:r>
          </w:p>
        </w:tc>
        <w:tc>
          <w:tcPr>
            <w:tcW w:w="964" w:type="dxa"/>
            <w:tcBorders>
              <w:top w:val="nil"/>
              <w:left w:val="nil"/>
              <w:bottom w:val="single" w:sz="4" w:space="0" w:color="auto"/>
              <w:right w:val="single" w:sz="4" w:space="0" w:color="auto"/>
            </w:tcBorders>
            <w:shd w:val="clear" w:color="auto" w:fill="auto"/>
            <w:noWrap/>
            <w:vAlign w:val="center"/>
            <w:hideMark/>
          </w:tcPr>
          <w:p w14:paraId="156C067F"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101,12</w:t>
            </w:r>
          </w:p>
        </w:tc>
        <w:tc>
          <w:tcPr>
            <w:tcW w:w="964" w:type="dxa"/>
            <w:tcBorders>
              <w:top w:val="nil"/>
              <w:left w:val="nil"/>
              <w:bottom w:val="single" w:sz="4" w:space="0" w:color="auto"/>
              <w:right w:val="single" w:sz="4" w:space="0" w:color="auto"/>
            </w:tcBorders>
            <w:shd w:val="clear" w:color="auto" w:fill="auto"/>
            <w:noWrap/>
            <w:vAlign w:val="center"/>
            <w:hideMark/>
          </w:tcPr>
          <w:p w14:paraId="6C41E4D1"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103,89</w:t>
            </w:r>
          </w:p>
        </w:tc>
        <w:tc>
          <w:tcPr>
            <w:tcW w:w="964" w:type="dxa"/>
            <w:tcBorders>
              <w:top w:val="nil"/>
              <w:left w:val="nil"/>
              <w:bottom w:val="single" w:sz="4" w:space="0" w:color="auto"/>
              <w:right w:val="single" w:sz="4" w:space="0" w:color="auto"/>
            </w:tcBorders>
            <w:shd w:val="clear" w:color="auto" w:fill="auto"/>
            <w:noWrap/>
            <w:vAlign w:val="center"/>
            <w:hideMark/>
          </w:tcPr>
          <w:p w14:paraId="36F405FC"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106,57</w:t>
            </w:r>
          </w:p>
        </w:tc>
        <w:tc>
          <w:tcPr>
            <w:tcW w:w="964" w:type="dxa"/>
            <w:tcBorders>
              <w:top w:val="nil"/>
              <w:left w:val="nil"/>
              <w:bottom w:val="single" w:sz="4" w:space="0" w:color="auto"/>
              <w:right w:val="single" w:sz="4" w:space="0" w:color="auto"/>
            </w:tcBorders>
            <w:shd w:val="clear" w:color="auto" w:fill="auto"/>
            <w:noWrap/>
            <w:vAlign w:val="center"/>
            <w:hideMark/>
          </w:tcPr>
          <w:p w14:paraId="4A96694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108,62</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0752266F"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111,34</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75992F09"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114,78</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10AE6DC0"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123,23</w:t>
            </w:r>
          </w:p>
        </w:tc>
      </w:tr>
      <w:tr w:rsidR="00026D7A" w:rsidRPr="00F06216" w14:paraId="26114288"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52D11505"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Slovinsko</w:t>
            </w:r>
          </w:p>
        </w:tc>
        <w:tc>
          <w:tcPr>
            <w:tcW w:w="964" w:type="dxa"/>
            <w:tcBorders>
              <w:top w:val="nil"/>
              <w:left w:val="nil"/>
              <w:bottom w:val="single" w:sz="4" w:space="0" w:color="auto"/>
              <w:right w:val="single" w:sz="4" w:space="0" w:color="auto"/>
            </w:tcBorders>
            <w:shd w:val="clear" w:color="auto" w:fill="auto"/>
            <w:noWrap/>
            <w:vAlign w:val="center"/>
            <w:hideMark/>
          </w:tcPr>
          <w:p w14:paraId="3A203569"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103,33</w:t>
            </w:r>
          </w:p>
        </w:tc>
        <w:tc>
          <w:tcPr>
            <w:tcW w:w="964" w:type="dxa"/>
            <w:tcBorders>
              <w:top w:val="nil"/>
              <w:left w:val="nil"/>
              <w:bottom w:val="single" w:sz="4" w:space="0" w:color="auto"/>
              <w:right w:val="single" w:sz="4" w:space="0" w:color="auto"/>
            </w:tcBorders>
            <w:shd w:val="clear" w:color="auto" w:fill="auto"/>
            <w:noWrap/>
            <w:vAlign w:val="center"/>
            <w:hideMark/>
          </w:tcPr>
          <w:p w14:paraId="00ADD9C3"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110,20</w:t>
            </w:r>
          </w:p>
        </w:tc>
        <w:tc>
          <w:tcPr>
            <w:tcW w:w="964" w:type="dxa"/>
            <w:tcBorders>
              <w:top w:val="nil"/>
              <w:left w:val="nil"/>
              <w:bottom w:val="single" w:sz="4" w:space="0" w:color="auto"/>
              <w:right w:val="single" w:sz="4" w:space="0" w:color="auto"/>
            </w:tcBorders>
            <w:shd w:val="clear" w:color="auto" w:fill="auto"/>
            <w:noWrap/>
            <w:vAlign w:val="center"/>
            <w:hideMark/>
          </w:tcPr>
          <w:p w14:paraId="2887AE6F"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117,38</w:t>
            </w:r>
          </w:p>
        </w:tc>
        <w:tc>
          <w:tcPr>
            <w:tcW w:w="964" w:type="dxa"/>
            <w:tcBorders>
              <w:top w:val="nil"/>
              <w:left w:val="nil"/>
              <w:bottom w:val="single" w:sz="4" w:space="0" w:color="auto"/>
              <w:right w:val="single" w:sz="4" w:space="0" w:color="auto"/>
            </w:tcBorders>
            <w:shd w:val="clear" w:color="auto" w:fill="auto"/>
            <w:noWrap/>
            <w:vAlign w:val="center"/>
            <w:hideMark/>
          </w:tcPr>
          <w:p w14:paraId="783BB2B0"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118,04</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2542F187"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113,18</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14389359"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133,57</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597985DD"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150,21</w:t>
            </w:r>
          </w:p>
        </w:tc>
      </w:tr>
      <w:tr w:rsidR="00026D7A" w:rsidRPr="00F06216" w14:paraId="4BE07F9E"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7F322DAD"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Slovensko</w:t>
            </w:r>
          </w:p>
        </w:tc>
        <w:tc>
          <w:tcPr>
            <w:tcW w:w="964" w:type="dxa"/>
            <w:tcBorders>
              <w:top w:val="nil"/>
              <w:left w:val="nil"/>
              <w:bottom w:val="single" w:sz="4" w:space="0" w:color="auto"/>
              <w:right w:val="single" w:sz="4" w:space="0" w:color="auto"/>
            </w:tcBorders>
            <w:shd w:val="clear" w:color="auto" w:fill="auto"/>
            <w:noWrap/>
            <w:vAlign w:val="center"/>
            <w:hideMark/>
          </w:tcPr>
          <w:p w14:paraId="430F309F"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100,28</w:t>
            </w:r>
          </w:p>
        </w:tc>
        <w:tc>
          <w:tcPr>
            <w:tcW w:w="964" w:type="dxa"/>
            <w:tcBorders>
              <w:top w:val="nil"/>
              <w:left w:val="nil"/>
              <w:bottom w:val="single" w:sz="4" w:space="0" w:color="auto"/>
              <w:right w:val="single" w:sz="4" w:space="0" w:color="auto"/>
            </w:tcBorders>
            <w:shd w:val="clear" w:color="auto" w:fill="auto"/>
            <w:noWrap/>
            <w:vAlign w:val="center"/>
            <w:hideMark/>
          </w:tcPr>
          <w:p w14:paraId="38C91775"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100,67</w:t>
            </w:r>
          </w:p>
        </w:tc>
        <w:tc>
          <w:tcPr>
            <w:tcW w:w="964" w:type="dxa"/>
            <w:tcBorders>
              <w:top w:val="nil"/>
              <w:left w:val="nil"/>
              <w:bottom w:val="single" w:sz="4" w:space="0" w:color="auto"/>
              <w:right w:val="single" w:sz="4" w:space="0" w:color="auto"/>
            </w:tcBorders>
            <w:shd w:val="clear" w:color="auto" w:fill="auto"/>
            <w:noWrap/>
            <w:vAlign w:val="center"/>
            <w:hideMark/>
          </w:tcPr>
          <w:p w14:paraId="1595B93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100,97</w:t>
            </w:r>
          </w:p>
        </w:tc>
        <w:tc>
          <w:tcPr>
            <w:tcW w:w="964" w:type="dxa"/>
            <w:tcBorders>
              <w:top w:val="nil"/>
              <w:left w:val="nil"/>
              <w:bottom w:val="single" w:sz="4" w:space="0" w:color="auto"/>
              <w:right w:val="single" w:sz="4" w:space="0" w:color="auto"/>
            </w:tcBorders>
            <w:shd w:val="clear" w:color="auto" w:fill="auto"/>
            <w:noWrap/>
            <w:vAlign w:val="center"/>
            <w:hideMark/>
          </w:tcPr>
          <w:p w14:paraId="2BEF91C1"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101,63</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20B76EFC"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103,57</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3829732B"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104,61</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29340640"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110,88</w:t>
            </w:r>
          </w:p>
        </w:tc>
      </w:tr>
      <w:tr w:rsidR="00026D7A" w:rsidRPr="00F06216" w14:paraId="4E5E364C"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7E8CBD57"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Finsko</w:t>
            </w:r>
          </w:p>
        </w:tc>
        <w:tc>
          <w:tcPr>
            <w:tcW w:w="964" w:type="dxa"/>
            <w:tcBorders>
              <w:top w:val="nil"/>
              <w:left w:val="nil"/>
              <w:bottom w:val="single" w:sz="4" w:space="0" w:color="auto"/>
              <w:right w:val="single" w:sz="4" w:space="0" w:color="auto"/>
            </w:tcBorders>
            <w:shd w:val="clear" w:color="auto" w:fill="auto"/>
            <w:noWrap/>
            <w:vAlign w:val="center"/>
            <w:hideMark/>
          </w:tcPr>
          <w:p w14:paraId="7848B6D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103,16</w:t>
            </w:r>
          </w:p>
        </w:tc>
        <w:tc>
          <w:tcPr>
            <w:tcW w:w="964" w:type="dxa"/>
            <w:tcBorders>
              <w:top w:val="nil"/>
              <w:left w:val="nil"/>
              <w:bottom w:val="single" w:sz="4" w:space="0" w:color="auto"/>
              <w:right w:val="single" w:sz="4" w:space="0" w:color="auto"/>
            </w:tcBorders>
            <w:shd w:val="clear" w:color="auto" w:fill="auto"/>
            <w:noWrap/>
            <w:vAlign w:val="center"/>
            <w:hideMark/>
          </w:tcPr>
          <w:p w14:paraId="189BB9F7"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105,17</w:t>
            </w:r>
          </w:p>
        </w:tc>
        <w:tc>
          <w:tcPr>
            <w:tcW w:w="964" w:type="dxa"/>
            <w:tcBorders>
              <w:top w:val="nil"/>
              <w:left w:val="nil"/>
              <w:bottom w:val="single" w:sz="4" w:space="0" w:color="auto"/>
              <w:right w:val="single" w:sz="4" w:space="0" w:color="auto"/>
            </w:tcBorders>
            <w:shd w:val="clear" w:color="auto" w:fill="auto"/>
            <w:noWrap/>
            <w:vAlign w:val="center"/>
            <w:hideMark/>
          </w:tcPr>
          <w:p w14:paraId="2939FA72"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107,16</w:t>
            </w:r>
          </w:p>
        </w:tc>
        <w:tc>
          <w:tcPr>
            <w:tcW w:w="964" w:type="dxa"/>
            <w:tcBorders>
              <w:top w:val="nil"/>
              <w:left w:val="nil"/>
              <w:bottom w:val="single" w:sz="4" w:space="0" w:color="auto"/>
              <w:right w:val="single" w:sz="4" w:space="0" w:color="auto"/>
            </w:tcBorders>
            <w:shd w:val="clear" w:color="auto" w:fill="auto"/>
            <w:noWrap/>
            <w:vAlign w:val="center"/>
            <w:hideMark/>
          </w:tcPr>
          <w:p w14:paraId="3049A65B"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109,34</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147FBAB7"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110,32</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032AC72A"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110,87</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1B275114"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112,62</w:t>
            </w:r>
          </w:p>
        </w:tc>
      </w:tr>
      <w:tr w:rsidR="00026D7A" w:rsidRPr="00F06216" w14:paraId="1DB40D60" w14:textId="77777777" w:rsidTr="000775C8">
        <w:trPr>
          <w:gridAfter w:val="1"/>
          <w:wAfter w:w="844" w:type="dxa"/>
          <w:trHeight w:val="380"/>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14:paraId="0F55DDC6" w14:textId="77777777" w:rsidR="00026D7A" w:rsidRPr="00F06216" w:rsidRDefault="00026D7A" w:rsidP="00026D7A">
            <w:pPr>
              <w:jc w:val="left"/>
              <w:rPr>
                <w:rFonts w:ascii="Calibri" w:hAnsi="Calibri" w:cs="Calibri"/>
                <w:b/>
                <w:bCs/>
                <w:sz w:val="20"/>
              </w:rPr>
            </w:pPr>
            <w:r w:rsidRPr="00F06216">
              <w:rPr>
                <w:rFonts w:ascii="Calibri" w:hAnsi="Calibri" w:cs="Calibri"/>
                <w:b/>
                <w:bCs/>
                <w:sz w:val="20"/>
              </w:rPr>
              <w:t>Švédsko</w:t>
            </w:r>
          </w:p>
        </w:tc>
        <w:tc>
          <w:tcPr>
            <w:tcW w:w="964" w:type="dxa"/>
            <w:tcBorders>
              <w:top w:val="nil"/>
              <w:left w:val="nil"/>
              <w:bottom w:val="single" w:sz="4" w:space="0" w:color="auto"/>
              <w:right w:val="single" w:sz="4" w:space="0" w:color="auto"/>
            </w:tcBorders>
            <w:shd w:val="clear" w:color="auto" w:fill="auto"/>
            <w:noWrap/>
            <w:vAlign w:val="center"/>
            <w:hideMark/>
          </w:tcPr>
          <w:p w14:paraId="6C29B870"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101,04</w:t>
            </w:r>
          </w:p>
        </w:tc>
        <w:tc>
          <w:tcPr>
            <w:tcW w:w="964" w:type="dxa"/>
            <w:tcBorders>
              <w:top w:val="nil"/>
              <w:left w:val="nil"/>
              <w:bottom w:val="single" w:sz="4" w:space="0" w:color="auto"/>
              <w:right w:val="single" w:sz="4" w:space="0" w:color="auto"/>
            </w:tcBorders>
            <w:shd w:val="clear" w:color="auto" w:fill="auto"/>
            <w:noWrap/>
            <w:vAlign w:val="center"/>
            <w:hideMark/>
          </w:tcPr>
          <w:p w14:paraId="179593C8"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101,90</w:t>
            </w:r>
          </w:p>
        </w:tc>
        <w:tc>
          <w:tcPr>
            <w:tcW w:w="964" w:type="dxa"/>
            <w:tcBorders>
              <w:top w:val="nil"/>
              <w:left w:val="nil"/>
              <w:bottom w:val="single" w:sz="4" w:space="0" w:color="auto"/>
              <w:right w:val="single" w:sz="4" w:space="0" w:color="auto"/>
            </w:tcBorders>
            <w:shd w:val="clear" w:color="auto" w:fill="auto"/>
            <w:noWrap/>
            <w:vAlign w:val="center"/>
            <w:hideMark/>
          </w:tcPr>
          <w:p w14:paraId="60531321"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103,06</w:t>
            </w:r>
          </w:p>
        </w:tc>
        <w:tc>
          <w:tcPr>
            <w:tcW w:w="964" w:type="dxa"/>
            <w:tcBorders>
              <w:top w:val="nil"/>
              <w:left w:val="nil"/>
              <w:bottom w:val="single" w:sz="4" w:space="0" w:color="auto"/>
              <w:right w:val="single" w:sz="4" w:space="0" w:color="auto"/>
            </w:tcBorders>
            <w:shd w:val="clear" w:color="auto" w:fill="auto"/>
            <w:noWrap/>
            <w:vAlign w:val="center"/>
            <w:hideMark/>
          </w:tcPr>
          <w:p w14:paraId="6E11D105"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105,07</w:t>
            </w:r>
          </w:p>
        </w:tc>
        <w:tc>
          <w:tcPr>
            <w:tcW w:w="964" w:type="dxa"/>
            <w:gridSpan w:val="3"/>
            <w:tcBorders>
              <w:top w:val="nil"/>
              <w:left w:val="nil"/>
              <w:bottom w:val="single" w:sz="4" w:space="0" w:color="auto"/>
              <w:right w:val="single" w:sz="4" w:space="0" w:color="auto"/>
            </w:tcBorders>
            <w:shd w:val="clear" w:color="auto" w:fill="auto"/>
            <w:noWrap/>
            <w:vAlign w:val="center"/>
            <w:hideMark/>
          </w:tcPr>
          <w:p w14:paraId="3C8CAC92"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107,04</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7BC52B56"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108,52</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561C7B53" w14:textId="77777777" w:rsidR="00026D7A" w:rsidRPr="00F06216" w:rsidRDefault="00026D7A" w:rsidP="00026D7A">
            <w:pPr>
              <w:jc w:val="right"/>
              <w:rPr>
                <w:rFonts w:ascii="Calibri" w:hAnsi="Calibri" w:cs="Calibri"/>
                <w:color w:val="000000"/>
                <w:sz w:val="20"/>
              </w:rPr>
            </w:pPr>
            <w:r w:rsidRPr="00F06216">
              <w:rPr>
                <w:rFonts w:ascii="Calibri" w:hAnsi="Calibri" w:cs="Calibri"/>
                <w:color w:val="000000"/>
                <w:sz w:val="20"/>
              </w:rPr>
              <w:t>110,36</w:t>
            </w:r>
          </w:p>
        </w:tc>
      </w:tr>
    </w:tbl>
    <w:p w14:paraId="1F71D6C5" w14:textId="6D898C9D" w:rsidR="00DF55AD" w:rsidRPr="00176AFA" w:rsidRDefault="00455CD6" w:rsidP="00176AFA">
      <w:pPr>
        <w:jc w:val="left"/>
        <w:rPr>
          <w:sz w:val="20"/>
        </w:rPr>
      </w:pPr>
      <w:r w:rsidRPr="0033613D">
        <w:rPr>
          <w:b/>
          <w:sz w:val="20"/>
        </w:rPr>
        <w:t>Zdroj:</w:t>
      </w:r>
      <w:r w:rsidR="0033613D">
        <w:rPr>
          <w:b/>
          <w:sz w:val="20"/>
        </w:rPr>
        <w:t xml:space="preserve"> </w:t>
      </w:r>
      <w:r w:rsidRPr="0033613D">
        <w:rPr>
          <w:sz w:val="20"/>
        </w:rPr>
        <w:t>Eurostat</w:t>
      </w:r>
      <w:r w:rsidR="00F777B7">
        <w:rPr>
          <w:sz w:val="20"/>
        </w:rPr>
        <w:t>;</w:t>
      </w:r>
      <w:r w:rsidR="00965FA5" w:rsidRPr="0033613D">
        <w:rPr>
          <w:sz w:val="20"/>
        </w:rPr>
        <w:t xml:space="preserve"> vlastní zpracování NKÚ</w:t>
      </w:r>
      <w:r w:rsidR="0033613D">
        <w:rPr>
          <w:sz w:val="20"/>
        </w:rPr>
        <w:t>.</w:t>
      </w:r>
    </w:p>
    <w:p w14:paraId="70974421" w14:textId="77777777" w:rsidR="009C52B6" w:rsidRDefault="009C52B6">
      <w:pPr>
        <w:jc w:val="left"/>
        <w:rPr>
          <w:b/>
        </w:rPr>
      </w:pPr>
      <w:r>
        <w:rPr>
          <w:b/>
        </w:rPr>
        <w:br w:type="page"/>
      </w:r>
    </w:p>
    <w:p w14:paraId="2F1F16B5" w14:textId="76853D8D" w:rsidR="0096596D" w:rsidRDefault="00455CD6" w:rsidP="0096596D">
      <w:pPr>
        <w:jc w:val="right"/>
        <w:rPr>
          <w:b/>
        </w:rPr>
      </w:pPr>
      <w:r w:rsidRPr="00866D4A">
        <w:rPr>
          <w:b/>
        </w:rPr>
        <w:lastRenderedPageBreak/>
        <w:t xml:space="preserve">Příloha č. </w:t>
      </w:r>
      <w:r w:rsidR="00AC7934">
        <w:rPr>
          <w:b/>
        </w:rPr>
        <w:t>6</w:t>
      </w:r>
    </w:p>
    <w:p w14:paraId="56B6E310" w14:textId="77777777" w:rsidR="0096596D" w:rsidRDefault="0096596D" w:rsidP="00CD4B2A">
      <w:pPr>
        <w:jc w:val="left"/>
        <w:rPr>
          <w:b/>
        </w:rPr>
      </w:pPr>
    </w:p>
    <w:p w14:paraId="4131B753" w14:textId="5DA97E64" w:rsidR="00C52EE2" w:rsidRPr="00324F6C" w:rsidRDefault="00455CD6" w:rsidP="003F3F89">
      <w:pPr>
        <w:spacing w:after="40" w:line="276" w:lineRule="auto"/>
        <w:jc w:val="left"/>
        <w:rPr>
          <w:b/>
          <w:sz w:val="20"/>
        </w:rPr>
      </w:pPr>
      <w:r w:rsidRPr="004627B1">
        <w:rPr>
          <w:b/>
        </w:rPr>
        <w:t xml:space="preserve">Podíl domácností </w:t>
      </w:r>
      <w:r w:rsidR="00CB7B98">
        <w:rPr>
          <w:b/>
        </w:rPr>
        <w:t xml:space="preserve">v EU </w:t>
      </w:r>
      <w:r w:rsidRPr="004627B1">
        <w:rPr>
          <w:b/>
        </w:rPr>
        <w:t xml:space="preserve">ohrožených chudobou </w:t>
      </w:r>
      <w:r w:rsidR="00CB7B98">
        <w:rPr>
          <w:b/>
        </w:rPr>
        <w:t xml:space="preserve">v důsledku </w:t>
      </w:r>
      <w:r w:rsidRPr="004627B1">
        <w:rPr>
          <w:b/>
        </w:rPr>
        <w:t>vysoké</w:t>
      </w:r>
      <w:r w:rsidR="00CB7B98">
        <w:rPr>
          <w:b/>
        </w:rPr>
        <w:t>ho</w:t>
      </w:r>
      <w:r w:rsidRPr="004627B1">
        <w:rPr>
          <w:b/>
        </w:rPr>
        <w:t xml:space="preserve"> podílu nákladů na bydlení</w:t>
      </w:r>
      <w:r w:rsidRPr="004627B1">
        <w:rPr>
          <w:rStyle w:val="Znakapoznpodarou"/>
          <w:b/>
        </w:rPr>
        <w:footnoteReference w:id="70"/>
      </w:r>
      <w:r w:rsidR="00A34505" w:rsidRPr="004627B1">
        <w:rPr>
          <w:b/>
        </w:rPr>
        <w:t xml:space="preserve"> </w:t>
      </w:r>
      <w:r w:rsidR="00CB7B98">
        <w:rPr>
          <w:b/>
        </w:rPr>
        <w:t>na celkových příjmech těchto domácností</w:t>
      </w:r>
    </w:p>
    <w:tbl>
      <w:tblPr>
        <w:tblW w:w="5022" w:type="pct"/>
        <w:tblLayout w:type="fixed"/>
        <w:tblCellMar>
          <w:left w:w="70" w:type="dxa"/>
          <w:right w:w="70" w:type="dxa"/>
        </w:tblCellMar>
        <w:tblLook w:val="04A0" w:firstRow="1" w:lastRow="0" w:firstColumn="1" w:lastColumn="0" w:noHBand="0" w:noVBand="1"/>
      </w:tblPr>
      <w:tblGrid>
        <w:gridCol w:w="2353"/>
        <w:gridCol w:w="965"/>
        <w:gridCol w:w="965"/>
        <w:gridCol w:w="965"/>
        <w:gridCol w:w="965"/>
        <w:gridCol w:w="965"/>
        <w:gridCol w:w="965"/>
        <w:gridCol w:w="959"/>
      </w:tblGrid>
      <w:tr w:rsidR="00CB7B98" w14:paraId="6D141AEC" w14:textId="77777777" w:rsidTr="00FC1605">
        <w:trPr>
          <w:trHeight w:val="414"/>
        </w:trPr>
        <w:tc>
          <w:tcPr>
            <w:tcW w:w="1293" w:type="pct"/>
            <w:tcBorders>
              <w:top w:val="single" w:sz="4" w:space="0" w:color="auto"/>
              <w:left w:val="single" w:sz="4" w:space="0" w:color="auto"/>
              <w:bottom w:val="single" w:sz="4" w:space="0" w:color="auto"/>
              <w:right w:val="single" w:sz="4" w:space="0" w:color="auto"/>
            </w:tcBorders>
            <w:shd w:val="clear" w:color="auto" w:fill="4669AF"/>
            <w:noWrap/>
            <w:vAlign w:val="center"/>
          </w:tcPr>
          <w:p w14:paraId="3D407941" w14:textId="74665557" w:rsidR="00CB7B98" w:rsidRPr="00C52EE2" w:rsidRDefault="00CB7B98" w:rsidP="00CD590E">
            <w:pPr>
              <w:jc w:val="left"/>
              <w:rPr>
                <w:b/>
                <w:bCs/>
                <w:sz w:val="20"/>
              </w:rPr>
            </w:pPr>
            <w:r w:rsidRPr="004627B1">
              <w:rPr>
                <w:b/>
                <w:bCs/>
                <w:color w:val="FFFFFF" w:themeColor="background1"/>
                <w:sz w:val="20"/>
              </w:rPr>
              <w:t>Země</w:t>
            </w:r>
          </w:p>
        </w:tc>
        <w:tc>
          <w:tcPr>
            <w:tcW w:w="530" w:type="pct"/>
            <w:tcBorders>
              <w:top w:val="single" w:sz="4" w:space="0" w:color="auto"/>
              <w:left w:val="nil"/>
              <w:bottom w:val="single" w:sz="4" w:space="0" w:color="auto"/>
              <w:right w:val="single" w:sz="4" w:space="0" w:color="auto"/>
            </w:tcBorders>
            <w:shd w:val="clear" w:color="auto" w:fill="4669AF"/>
            <w:noWrap/>
            <w:vAlign w:val="center"/>
          </w:tcPr>
          <w:p w14:paraId="6D7878AB" w14:textId="1C1B75FE" w:rsidR="00CB7B98" w:rsidRPr="00C52EE2" w:rsidRDefault="00CB7B98" w:rsidP="00EA5FE7">
            <w:pPr>
              <w:jc w:val="center"/>
              <w:rPr>
                <w:sz w:val="20"/>
              </w:rPr>
            </w:pPr>
            <w:r w:rsidRPr="004627B1">
              <w:rPr>
                <w:b/>
                <w:bCs/>
                <w:color w:val="FFFFFF" w:themeColor="background1"/>
                <w:sz w:val="20"/>
              </w:rPr>
              <w:t>2016</w:t>
            </w:r>
          </w:p>
        </w:tc>
        <w:tc>
          <w:tcPr>
            <w:tcW w:w="530" w:type="pct"/>
            <w:tcBorders>
              <w:top w:val="single" w:sz="4" w:space="0" w:color="auto"/>
              <w:left w:val="nil"/>
              <w:bottom w:val="single" w:sz="4" w:space="0" w:color="auto"/>
              <w:right w:val="single" w:sz="4" w:space="0" w:color="auto"/>
            </w:tcBorders>
            <w:shd w:val="clear" w:color="auto" w:fill="4669AF"/>
            <w:noWrap/>
            <w:vAlign w:val="center"/>
          </w:tcPr>
          <w:p w14:paraId="41BA31F4" w14:textId="53C0D97B" w:rsidR="00CB7B98" w:rsidRPr="00C52EE2" w:rsidRDefault="00CB7B98" w:rsidP="00FC1605">
            <w:pPr>
              <w:jc w:val="center"/>
              <w:rPr>
                <w:sz w:val="20"/>
              </w:rPr>
            </w:pPr>
            <w:r w:rsidRPr="004627B1">
              <w:rPr>
                <w:b/>
                <w:bCs/>
                <w:color w:val="FFFFFF" w:themeColor="background1"/>
                <w:sz w:val="20"/>
              </w:rPr>
              <w:t>2017</w:t>
            </w:r>
          </w:p>
        </w:tc>
        <w:tc>
          <w:tcPr>
            <w:tcW w:w="530" w:type="pct"/>
            <w:tcBorders>
              <w:top w:val="single" w:sz="4" w:space="0" w:color="auto"/>
              <w:left w:val="nil"/>
              <w:bottom w:val="single" w:sz="4" w:space="0" w:color="auto"/>
              <w:right w:val="single" w:sz="4" w:space="0" w:color="auto"/>
            </w:tcBorders>
            <w:shd w:val="clear" w:color="auto" w:fill="4669AF"/>
            <w:noWrap/>
            <w:vAlign w:val="center"/>
          </w:tcPr>
          <w:p w14:paraId="1F1B44F8" w14:textId="2F78C3CA" w:rsidR="00CB7B98" w:rsidRPr="00C52EE2" w:rsidRDefault="00CB7B98" w:rsidP="00EA5FE7">
            <w:pPr>
              <w:jc w:val="center"/>
              <w:rPr>
                <w:sz w:val="20"/>
              </w:rPr>
            </w:pPr>
            <w:r w:rsidRPr="004627B1">
              <w:rPr>
                <w:b/>
                <w:bCs/>
                <w:color w:val="FFFFFF" w:themeColor="background1"/>
                <w:sz w:val="20"/>
              </w:rPr>
              <w:t>2018</w:t>
            </w:r>
          </w:p>
        </w:tc>
        <w:tc>
          <w:tcPr>
            <w:tcW w:w="530" w:type="pct"/>
            <w:tcBorders>
              <w:top w:val="single" w:sz="4" w:space="0" w:color="auto"/>
              <w:left w:val="nil"/>
              <w:bottom w:val="single" w:sz="4" w:space="0" w:color="auto"/>
              <w:right w:val="single" w:sz="4" w:space="0" w:color="auto"/>
            </w:tcBorders>
            <w:shd w:val="clear" w:color="auto" w:fill="4669AF"/>
            <w:noWrap/>
            <w:vAlign w:val="center"/>
          </w:tcPr>
          <w:p w14:paraId="7431A413" w14:textId="0DE369C5" w:rsidR="00CB7B98" w:rsidRPr="00C52EE2" w:rsidRDefault="00CB7B98" w:rsidP="00EA5FE7">
            <w:pPr>
              <w:jc w:val="center"/>
              <w:rPr>
                <w:sz w:val="20"/>
              </w:rPr>
            </w:pPr>
            <w:r w:rsidRPr="004627B1">
              <w:rPr>
                <w:b/>
                <w:bCs/>
                <w:color w:val="FFFFFF" w:themeColor="background1"/>
                <w:sz w:val="20"/>
              </w:rPr>
              <w:t>2019</w:t>
            </w:r>
          </w:p>
        </w:tc>
        <w:tc>
          <w:tcPr>
            <w:tcW w:w="530" w:type="pct"/>
            <w:tcBorders>
              <w:top w:val="single" w:sz="4" w:space="0" w:color="auto"/>
              <w:left w:val="nil"/>
              <w:bottom w:val="single" w:sz="4" w:space="0" w:color="auto"/>
              <w:right w:val="single" w:sz="4" w:space="0" w:color="auto"/>
            </w:tcBorders>
            <w:shd w:val="clear" w:color="auto" w:fill="4669AF"/>
            <w:noWrap/>
            <w:vAlign w:val="center"/>
          </w:tcPr>
          <w:p w14:paraId="2F705FC5" w14:textId="28018A5D" w:rsidR="00CB7B98" w:rsidRPr="00C52EE2" w:rsidRDefault="00CB7B98" w:rsidP="00EA5FE7">
            <w:pPr>
              <w:jc w:val="center"/>
              <w:rPr>
                <w:sz w:val="20"/>
              </w:rPr>
            </w:pPr>
            <w:r w:rsidRPr="004627B1">
              <w:rPr>
                <w:b/>
                <w:bCs/>
                <w:color w:val="FFFFFF" w:themeColor="background1"/>
                <w:sz w:val="20"/>
              </w:rPr>
              <w:t>2020</w:t>
            </w:r>
          </w:p>
        </w:tc>
        <w:tc>
          <w:tcPr>
            <w:tcW w:w="530" w:type="pct"/>
            <w:tcBorders>
              <w:top w:val="single" w:sz="4" w:space="0" w:color="auto"/>
              <w:left w:val="nil"/>
              <w:bottom w:val="single" w:sz="4" w:space="0" w:color="auto"/>
              <w:right w:val="single" w:sz="4" w:space="0" w:color="auto"/>
            </w:tcBorders>
            <w:shd w:val="clear" w:color="auto" w:fill="4669AF"/>
            <w:noWrap/>
            <w:vAlign w:val="center"/>
          </w:tcPr>
          <w:p w14:paraId="0516CD94" w14:textId="04C76FF8" w:rsidR="00CB7B98" w:rsidRPr="00C52EE2" w:rsidRDefault="00CB7B98" w:rsidP="00EA5FE7">
            <w:pPr>
              <w:jc w:val="center"/>
              <w:rPr>
                <w:sz w:val="20"/>
              </w:rPr>
            </w:pPr>
            <w:r w:rsidRPr="004627B1">
              <w:rPr>
                <w:b/>
                <w:bCs/>
                <w:color w:val="FFFFFF" w:themeColor="background1"/>
                <w:sz w:val="20"/>
              </w:rPr>
              <w:t>2021</w:t>
            </w:r>
          </w:p>
        </w:tc>
        <w:tc>
          <w:tcPr>
            <w:tcW w:w="527" w:type="pct"/>
            <w:tcBorders>
              <w:top w:val="single" w:sz="4" w:space="0" w:color="auto"/>
              <w:left w:val="nil"/>
              <w:bottom w:val="single" w:sz="4" w:space="0" w:color="auto"/>
              <w:right w:val="single" w:sz="4" w:space="0" w:color="auto"/>
            </w:tcBorders>
            <w:shd w:val="clear" w:color="auto" w:fill="4669AF"/>
            <w:noWrap/>
            <w:vAlign w:val="center"/>
          </w:tcPr>
          <w:p w14:paraId="56D96568" w14:textId="0198506E" w:rsidR="00CB7B98" w:rsidRPr="00C52EE2" w:rsidRDefault="00CB7B98" w:rsidP="00EA5FE7">
            <w:pPr>
              <w:jc w:val="center"/>
              <w:rPr>
                <w:sz w:val="20"/>
              </w:rPr>
            </w:pPr>
            <w:r w:rsidRPr="004627B1">
              <w:rPr>
                <w:b/>
                <w:bCs/>
                <w:color w:val="FFFFFF" w:themeColor="background1"/>
                <w:sz w:val="20"/>
              </w:rPr>
              <w:t>2022</w:t>
            </w:r>
          </w:p>
        </w:tc>
      </w:tr>
      <w:tr w:rsidR="00CB7B98" w14:paraId="67E57513"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tcPr>
          <w:p w14:paraId="7F5DDB76" w14:textId="77777777" w:rsidR="00691219" w:rsidRPr="00C52EE2" w:rsidRDefault="00691219" w:rsidP="00CD590E">
            <w:pPr>
              <w:jc w:val="left"/>
              <w:rPr>
                <w:b/>
                <w:bCs/>
                <w:sz w:val="20"/>
              </w:rPr>
            </w:pPr>
            <w:r w:rsidRPr="00C52EE2">
              <w:rPr>
                <w:b/>
                <w:bCs/>
                <w:sz w:val="20"/>
              </w:rPr>
              <w:t>EU</w:t>
            </w:r>
            <w:r>
              <w:rPr>
                <w:b/>
                <w:bCs/>
                <w:sz w:val="20"/>
              </w:rPr>
              <w:t>-</w:t>
            </w:r>
            <w:r w:rsidRPr="00C52EE2">
              <w:rPr>
                <w:b/>
                <w:bCs/>
                <w:sz w:val="20"/>
              </w:rPr>
              <w:t xml:space="preserve">27 </w:t>
            </w:r>
          </w:p>
        </w:tc>
        <w:tc>
          <w:tcPr>
            <w:tcW w:w="530" w:type="pct"/>
            <w:tcBorders>
              <w:top w:val="nil"/>
              <w:left w:val="nil"/>
              <w:bottom w:val="single" w:sz="4" w:space="0" w:color="auto"/>
              <w:right w:val="single" w:sz="4" w:space="0" w:color="auto"/>
            </w:tcBorders>
            <w:shd w:val="clear" w:color="000000" w:fill="FFFFFF"/>
            <w:noWrap/>
            <w:vAlign w:val="center"/>
          </w:tcPr>
          <w:p w14:paraId="4EB92A37" w14:textId="77777777" w:rsidR="00691219" w:rsidRPr="00C52EE2" w:rsidRDefault="00691219" w:rsidP="005B02C1">
            <w:pPr>
              <w:jc w:val="right"/>
              <w:rPr>
                <w:sz w:val="20"/>
              </w:rPr>
            </w:pPr>
            <w:r w:rsidRPr="00C52EE2">
              <w:rPr>
                <w:sz w:val="20"/>
              </w:rPr>
              <w:t>38,7</w:t>
            </w:r>
          </w:p>
        </w:tc>
        <w:tc>
          <w:tcPr>
            <w:tcW w:w="530" w:type="pct"/>
            <w:tcBorders>
              <w:top w:val="nil"/>
              <w:left w:val="nil"/>
              <w:bottom w:val="single" w:sz="4" w:space="0" w:color="auto"/>
              <w:right w:val="single" w:sz="4" w:space="0" w:color="auto"/>
            </w:tcBorders>
            <w:shd w:val="clear" w:color="000000" w:fill="FFFFFF"/>
            <w:noWrap/>
            <w:vAlign w:val="center"/>
          </w:tcPr>
          <w:p w14:paraId="30954CA2" w14:textId="77777777" w:rsidR="00691219" w:rsidRPr="00C52EE2" w:rsidRDefault="00691219" w:rsidP="005B02C1">
            <w:pPr>
              <w:jc w:val="right"/>
              <w:rPr>
                <w:sz w:val="20"/>
              </w:rPr>
            </w:pPr>
            <w:r w:rsidRPr="00C52EE2">
              <w:rPr>
                <w:sz w:val="20"/>
              </w:rPr>
              <w:t>37,5</w:t>
            </w:r>
          </w:p>
        </w:tc>
        <w:tc>
          <w:tcPr>
            <w:tcW w:w="530" w:type="pct"/>
            <w:tcBorders>
              <w:top w:val="nil"/>
              <w:left w:val="nil"/>
              <w:bottom w:val="single" w:sz="4" w:space="0" w:color="auto"/>
              <w:right w:val="single" w:sz="4" w:space="0" w:color="auto"/>
            </w:tcBorders>
            <w:shd w:val="clear" w:color="000000" w:fill="FFFFFF"/>
            <w:noWrap/>
            <w:vAlign w:val="center"/>
          </w:tcPr>
          <w:p w14:paraId="6AA9B5B8" w14:textId="77777777" w:rsidR="00691219" w:rsidRPr="00C52EE2" w:rsidRDefault="00691219" w:rsidP="005B02C1">
            <w:pPr>
              <w:jc w:val="right"/>
              <w:rPr>
                <w:sz w:val="20"/>
              </w:rPr>
            </w:pPr>
            <w:r w:rsidRPr="00C52EE2">
              <w:rPr>
                <w:sz w:val="20"/>
              </w:rPr>
              <w:t>36,1</w:t>
            </w:r>
          </w:p>
        </w:tc>
        <w:tc>
          <w:tcPr>
            <w:tcW w:w="530" w:type="pct"/>
            <w:tcBorders>
              <w:top w:val="nil"/>
              <w:left w:val="nil"/>
              <w:bottom w:val="single" w:sz="4" w:space="0" w:color="auto"/>
              <w:right w:val="single" w:sz="4" w:space="0" w:color="auto"/>
            </w:tcBorders>
            <w:shd w:val="clear" w:color="000000" w:fill="FFFFFF"/>
            <w:noWrap/>
            <w:vAlign w:val="center"/>
          </w:tcPr>
          <w:p w14:paraId="0BAD5001" w14:textId="77777777" w:rsidR="00691219" w:rsidRPr="00C52EE2" w:rsidRDefault="00691219" w:rsidP="005B02C1">
            <w:pPr>
              <w:jc w:val="right"/>
              <w:rPr>
                <w:sz w:val="20"/>
              </w:rPr>
            </w:pPr>
            <w:r w:rsidRPr="00C52EE2">
              <w:rPr>
                <w:sz w:val="20"/>
              </w:rPr>
              <w:t>35,4</w:t>
            </w:r>
          </w:p>
        </w:tc>
        <w:tc>
          <w:tcPr>
            <w:tcW w:w="530" w:type="pct"/>
            <w:tcBorders>
              <w:top w:val="nil"/>
              <w:left w:val="nil"/>
              <w:bottom w:val="single" w:sz="4" w:space="0" w:color="auto"/>
              <w:right w:val="single" w:sz="4" w:space="0" w:color="auto"/>
            </w:tcBorders>
            <w:shd w:val="clear" w:color="000000" w:fill="FFFFFF"/>
            <w:noWrap/>
            <w:vAlign w:val="center"/>
          </w:tcPr>
          <w:p w14:paraId="12E2E905" w14:textId="77777777" w:rsidR="00691219" w:rsidRPr="00C52EE2" w:rsidRDefault="00691219" w:rsidP="005B02C1">
            <w:pPr>
              <w:jc w:val="right"/>
              <w:rPr>
                <w:sz w:val="20"/>
              </w:rPr>
            </w:pPr>
            <w:r w:rsidRPr="00C52EE2">
              <w:rPr>
                <w:sz w:val="20"/>
              </w:rPr>
              <w:t>31,5</w:t>
            </w:r>
          </w:p>
        </w:tc>
        <w:tc>
          <w:tcPr>
            <w:tcW w:w="530" w:type="pct"/>
            <w:tcBorders>
              <w:top w:val="nil"/>
              <w:left w:val="nil"/>
              <w:bottom w:val="single" w:sz="4" w:space="0" w:color="auto"/>
              <w:right w:val="single" w:sz="4" w:space="0" w:color="auto"/>
            </w:tcBorders>
            <w:shd w:val="clear" w:color="000000" w:fill="FFFFFF"/>
            <w:noWrap/>
            <w:vAlign w:val="center"/>
          </w:tcPr>
          <w:p w14:paraId="26121034" w14:textId="77777777" w:rsidR="00691219" w:rsidRPr="00C52EE2" w:rsidRDefault="00691219" w:rsidP="005B02C1">
            <w:pPr>
              <w:jc w:val="right"/>
              <w:rPr>
                <w:sz w:val="20"/>
              </w:rPr>
            </w:pPr>
            <w:r w:rsidRPr="00C52EE2">
              <w:rPr>
                <w:sz w:val="20"/>
              </w:rPr>
              <w:t>34,6</w:t>
            </w:r>
          </w:p>
        </w:tc>
        <w:tc>
          <w:tcPr>
            <w:tcW w:w="527" w:type="pct"/>
            <w:tcBorders>
              <w:top w:val="nil"/>
              <w:left w:val="nil"/>
              <w:bottom w:val="single" w:sz="4" w:space="0" w:color="auto"/>
              <w:right w:val="single" w:sz="4" w:space="0" w:color="auto"/>
            </w:tcBorders>
            <w:shd w:val="clear" w:color="000000" w:fill="FFFFFF"/>
            <w:noWrap/>
            <w:vAlign w:val="center"/>
          </w:tcPr>
          <w:p w14:paraId="1E0454E3" w14:textId="77777777" w:rsidR="00691219" w:rsidRPr="00C52EE2" w:rsidRDefault="00691219" w:rsidP="005B02C1">
            <w:pPr>
              <w:jc w:val="right"/>
              <w:rPr>
                <w:sz w:val="20"/>
              </w:rPr>
            </w:pPr>
            <w:r w:rsidRPr="00C52EE2">
              <w:rPr>
                <w:sz w:val="20"/>
              </w:rPr>
              <w:t>34,2</w:t>
            </w:r>
          </w:p>
        </w:tc>
      </w:tr>
      <w:tr w:rsidR="00CB7B98" w14:paraId="0D7AF2CD"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tcPr>
          <w:p w14:paraId="68C94C8A" w14:textId="77777777" w:rsidR="00691219" w:rsidRPr="00C52EE2" w:rsidRDefault="00691219" w:rsidP="00CD590E">
            <w:pPr>
              <w:jc w:val="left"/>
              <w:rPr>
                <w:b/>
                <w:bCs/>
                <w:sz w:val="20"/>
              </w:rPr>
            </w:pPr>
            <w:r w:rsidRPr="00C52EE2">
              <w:rPr>
                <w:b/>
                <w:bCs/>
                <w:sz w:val="20"/>
              </w:rPr>
              <w:t>Belgie</w:t>
            </w:r>
          </w:p>
        </w:tc>
        <w:tc>
          <w:tcPr>
            <w:tcW w:w="530" w:type="pct"/>
            <w:tcBorders>
              <w:top w:val="nil"/>
              <w:left w:val="nil"/>
              <w:bottom w:val="single" w:sz="4" w:space="0" w:color="auto"/>
              <w:right w:val="single" w:sz="4" w:space="0" w:color="auto"/>
            </w:tcBorders>
            <w:shd w:val="clear" w:color="000000" w:fill="FFFFFF"/>
            <w:noWrap/>
            <w:vAlign w:val="center"/>
          </w:tcPr>
          <w:p w14:paraId="0D8A46E4" w14:textId="77777777" w:rsidR="00691219" w:rsidRPr="00C52EE2" w:rsidRDefault="00691219" w:rsidP="005B02C1">
            <w:pPr>
              <w:jc w:val="right"/>
              <w:rPr>
                <w:sz w:val="20"/>
              </w:rPr>
            </w:pPr>
            <w:r w:rsidRPr="00C52EE2">
              <w:rPr>
                <w:sz w:val="20"/>
              </w:rPr>
              <w:t>38,7</w:t>
            </w:r>
          </w:p>
        </w:tc>
        <w:tc>
          <w:tcPr>
            <w:tcW w:w="530" w:type="pct"/>
            <w:tcBorders>
              <w:top w:val="nil"/>
              <w:left w:val="nil"/>
              <w:bottom w:val="single" w:sz="4" w:space="0" w:color="auto"/>
              <w:right w:val="single" w:sz="4" w:space="0" w:color="auto"/>
            </w:tcBorders>
            <w:shd w:val="clear" w:color="000000" w:fill="FFFFFF"/>
            <w:noWrap/>
            <w:vAlign w:val="center"/>
          </w:tcPr>
          <w:p w14:paraId="0CCE5CDE" w14:textId="77777777" w:rsidR="00691219" w:rsidRPr="00C52EE2" w:rsidRDefault="00691219" w:rsidP="005B02C1">
            <w:pPr>
              <w:jc w:val="right"/>
              <w:rPr>
                <w:sz w:val="20"/>
              </w:rPr>
            </w:pPr>
            <w:r w:rsidRPr="00C52EE2">
              <w:rPr>
                <w:sz w:val="20"/>
              </w:rPr>
              <w:t>35,5</w:t>
            </w:r>
          </w:p>
        </w:tc>
        <w:tc>
          <w:tcPr>
            <w:tcW w:w="530" w:type="pct"/>
            <w:tcBorders>
              <w:top w:val="nil"/>
              <w:left w:val="nil"/>
              <w:bottom w:val="single" w:sz="4" w:space="0" w:color="auto"/>
              <w:right w:val="single" w:sz="4" w:space="0" w:color="auto"/>
            </w:tcBorders>
            <w:shd w:val="clear" w:color="000000" w:fill="FFFFFF"/>
            <w:noWrap/>
            <w:vAlign w:val="center"/>
          </w:tcPr>
          <w:p w14:paraId="63CD616D" w14:textId="77777777" w:rsidR="00691219" w:rsidRPr="00C52EE2" w:rsidRDefault="00691219" w:rsidP="005B02C1">
            <w:pPr>
              <w:jc w:val="right"/>
              <w:rPr>
                <w:sz w:val="20"/>
              </w:rPr>
            </w:pPr>
            <w:r w:rsidRPr="00C52EE2">
              <w:rPr>
                <w:sz w:val="20"/>
              </w:rPr>
              <w:t>36,5</w:t>
            </w:r>
          </w:p>
        </w:tc>
        <w:tc>
          <w:tcPr>
            <w:tcW w:w="530" w:type="pct"/>
            <w:tcBorders>
              <w:top w:val="nil"/>
              <w:left w:val="nil"/>
              <w:bottom w:val="single" w:sz="4" w:space="0" w:color="auto"/>
              <w:right w:val="single" w:sz="4" w:space="0" w:color="auto"/>
            </w:tcBorders>
            <w:shd w:val="clear" w:color="000000" w:fill="FFFFFF"/>
            <w:noWrap/>
            <w:vAlign w:val="center"/>
          </w:tcPr>
          <w:p w14:paraId="591F75F4" w14:textId="77777777" w:rsidR="00691219" w:rsidRPr="00C52EE2" w:rsidRDefault="00691219" w:rsidP="005B02C1">
            <w:pPr>
              <w:jc w:val="right"/>
              <w:rPr>
                <w:sz w:val="20"/>
              </w:rPr>
            </w:pPr>
            <w:r w:rsidRPr="00C52EE2">
              <w:rPr>
                <w:sz w:val="20"/>
              </w:rPr>
              <w:t>32,6</w:t>
            </w:r>
          </w:p>
        </w:tc>
        <w:tc>
          <w:tcPr>
            <w:tcW w:w="530" w:type="pct"/>
            <w:tcBorders>
              <w:top w:val="nil"/>
              <w:left w:val="nil"/>
              <w:bottom w:val="single" w:sz="4" w:space="0" w:color="auto"/>
              <w:right w:val="single" w:sz="4" w:space="0" w:color="auto"/>
            </w:tcBorders>
            <w:shd w:val="clear" w:color="000000" w:fill="FFFFFF"/>
            <w:noWrap/>
            <w:vAlign w:val="center"/>
          </w:tcPr>
          <w:p w14:paraId="26FCE5F0" w14:textId="77777777" w:rsidR="00691219" w:rsidRPr="00C52EE2" w:rsidRDefault="00691219" w:rsidP="005B02C1">
            <w:pPr>
              <w:jc w:val="right"/>
              <w:rPr>
                <w:sz w:val="20"/>
              </w:rPr>
            </w:pPr>
            <w:r w:rsidRPr="00C52EE2">
              <w:rPr>
                <w:sz w:val="20"/>
              </w:rPr>
              <w:t>34,0</w:t>
            </w:r>
          </w:p>
        </w:tc>
        <w:tc>
          <w:tcPr>
            <w:tcW w:w="530" w:type="pct"/>
            <w:tcBorders>
              <w:top w:val="nil"/>
              <w:left w:val="nil"/>
              <w:bottom w:val="single" w:sz="4" w:space="0" w:color="auto"/>
              <w:right w:val="single" w:sz="4" w:space="0" w:color="auto"/>
            </w:tcBorders>
            <w:shd w:val="clear" w:color="000000" w:fill="FFFFFF"/>
            <w:noWrap/>
            <w:vAlign w:val="center"/>
          </w:tcPr>
          <w:p w14:paraId="4F0DE8ED" w14:textId="77777777" w:rsidR="00691219" w:rsidRPr="00C52EE2" w:rsidRDefault="00691219" w:rsidP="005B02C1">
            <w:pPr>
              <w:jc w:val="right"/>
              <w:rPr>
                <w:sz w:val="20"/>
              </w:rPr>
            </w:pPr>
            <w:r w:rsidRPr="00C52EE2">
              <w:rPr>
                <w:sz w:val="20"/>
              </w:rPr>
              <w:t>33,3</w:t>
            </w:r>
          </w:p>
        </w:tc>
        <w:tc>
          <w:tcPr>
            <w:tcW w:w="527" w:type="pct"/>
            <w:tcBorders>
              <w:top w:val="nil"/>
              <w:left w:val="nil"/>
              <w:bottom w:val="single" w:sz="4" w:space="0" w:color="auto"/>
              <w:right w:val="single" w:sz="4" w:space="0" w:color="auto"/>
            </w:tcBorders>
            <w:shd w:val="clear" w:color="000000" w:fill="FFFFFF"/>
            <w:noWrap/>
            <w:vAlign w:val="center"/>
          </w:tcPr>
          <w:p w14:paraId="63ADA38A" w14:textId="77777777" w:rsidR="00691219" w:rsidRPr="00C52EE2" w:rsidRDefault="00691219" w:rsidP="005B02C1">
            <w:pPr>
              <w:jc w:val="right"/>
              <w:rPr>
                <w:sz w:val="20"/>
              </w:rPr>
            </w:pPr>
            <w:r w:rsidRPr="00C52EE2">
              <w:rPr>
                <w:sz w:val="20"/>
              </w:rPr>
              <w:t>31,7</w:t>
            </w:r>
          </w:p>
        </w:tc>
      </w:tr>
      <w:tr w:rsidR="00CB7B98" w14:paraId="64FAAFFD"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40C16BD4" w14:textId="77777777" w:rsidR="00691219" w:rsidRPr="00C52EE2" w:rsidRDefault="00691219" w:rsidP="00CD590E">
            <w:pPr>
              <w:jc w:val="left"/>
              <w:rPr>
                <w:b/>
                <w:bCs/>
                <w:sz w:val="20"/>
              </w:rPr>
            </w:pPr>
            <w:r w:rsidRPr="00C52EE2">
              <w:rPr>
                <w:b/>
                <w:bCs/>
                <w:sz w:val="20"/>
              </w:rPr>
              <w:t>Bulharsko</w:t>
            </w:r>
          </w:p>
        </w:tc>
        <w:tc>
          <w:tcPr>
            <w:tcW w:w="530" w:type="pct"/>
            <w:tcBorders>
              <w:top w:val="nil"/>
              <w:left w:val="nil"/>
              <w:bottom w:val="single" w:sz="4" w:space="0" w:color="auto"/>
              <w:right w:val="single" w:sz="4" w:space="0" w:color="auto"/>
            </w:tcBorders>
            <w:shd w:val="clear" w:color="000000" w:fill="FFFFFF"/>
            <w:noWrap/>
            <w:vAlign w:val="center"/>
            <w:hideMark/>
          </w:tcPr>
          <w:p w14:paraId="57528E30" w14:textId="77777777" w:rsidR="00691219" w:rsidRPr="00C52EE2" w:rsidRDefault="00691219" w:rsidP="005B02C1">
            <w:pPr>
              <w:jc w:val="right"/>
              <w:rPr>
                <w:sz w:val="20"/>
              </w:rPr>
            </w:pPr>
            <w:r w:rsidRPr="00C52EE2">
              <w:rPr>
                <w:sz w:val="20"/>
              </w:rPr>
              <w:t>55,3</w:t>
            </w:r>
          </w:p>
        </w:tc>
        <w:tc>
          <w:tcPr>
            <w:tcW w:w="530" w:type="pct"/>
            <w:tcBorders>
              <w:top w:val="nil"/>
              <w:left w:val="nil"/>
              <w:bottom w:val="single" w:sz="4" w:space="0" w:color="auto"/>
              <w:right w:val="single" w:sz="4" w:space="0" w:color="auto"/>
            </w:tcBorders>
            <w:shd w:val="clear" w:color="000000" w:fill="FFFFFF"/>
            <w:noWrap/>
            <w:vAlign w:val="center"/>
            <w:hideMark/>
          </w:tcPr>
          <w:p w14:paraId="1525B00A" w14:textId="77777777" w:rsidR="00691219" w:rsidRPr="00C52EE2" w:rsidRDefault="00691219" w:rsidP="005B02C1">
            <w:pPr>
              <w:jc w:val="right"/>
              <w:rPr>
                <w:sz w:val="20"/>
              </w:rPr>
            </w:pPr>
            <w:r w:rsidRPr="00C52EE2">
              <w:rPr>
                <w:sz w:val="20"/>
              </w:rPr>
              <w:t>50,1</w:t>
            </w:r>
          </w:p>
        </w:tc>
        <w:tc>
          <w:tcPr>
            <w:tcW w:w="530" w:type="pct"/>
            <w:tcBorders>
              <w:top w:val="nil"/>
              <w:left w:val="nil"/>
              <w:bottom w:val="single" w:sz="4" w:space="0" w:color="auto"/>
              <w:right w:val="single" w:sz="4" w:space="0" w:color="auto"/>
            </w:tcBorders>
            <w:shd w:val="clear" w:color="000000" w:fill="FFFFFF"/>
            <w:noWrap/>
            <w:vAlign w:val="center"/>
            <w:hideMark/>
          </w:tcPr>
          <w:p w14:paraId="61DF38FC" w14:textId="77777777" w:rsidR="00691219" w:rsidRPr="00C52EE2" w:rsidRDefault="00691219" w:rsidP="005B02C1">
            <w:pPr>
              <w:jc w:val="right"/>
              <w:rPr>
                <w:sz w:val="20"/>
              </w:rPr>
            </w:pPr>
            <w:r w:rsidRPr="00C52EE2">
              <w:rPr>
                <w:sz w:val="20"/>
              </w:rPr>
              <w:t>50,6</w:t>
            </w:r>
          </w:p>
        </w:tc>
        <w:tc>
          <w:tcPr>
            <w:tcW w:w="530" w:type="pct"/>
            <w:tcBorders>
              <w:top w:val="nil"/>
              <w:left w:val="nil"/>
              <w:bottom w:val="single" w:sz="4" w:space="0" w:color="auto"/>
              <w:right w:val="single" w:sz="4" w:space="0" w:color="auto"/>
            </w:tcBorders>
            <w:shd w:val="clear" w:color="000000" w:fill="FFFFFF"/>
            <w:noWrap/>
            <w:vAlign w:val="center"/>
            <w:hideMark/>
          </w:tcPr>
          <w:p w14:paraId="4B9A1515" w14:textId="77777777" w:rsidR="00691219" w:rsidRPr="00C52EE2" w:rsidRDefault="00691219" w:rsidP="005B02C1">
            <w:pPr>
              <w:jc w:val="right"/>
              <w:rPr>
                <w:sz w:val="20"/>
              </w:rPr>
            </w:pPr>
            <w:r w:rsidRPr="00C52EE2">
              <w:rPr>
                <w:sz w:val="20"/>
              </w:rPr>
              <w:t>48,1</w:t>
            </w:r>
          </w:p>
        </w:tc>
        <w:tc>
          <w:tcPr>
            <w:tcW w:w="530" w:type="pct"/>
            <w:tcBorders>
              <w:top w:val="nil"/>
              <w:left w:val="nil"/>
              <w:bottom w:val="single" w:sz="4" w:space="0" w:color="auto"/>
              <w:right w:val="single" w:sz="4" w:space="0" w:color="auto"/>
            </w:tcBorders>
            <w:shd w:val="clear" w:color="000000" w:fill="FFFFFF"/>
            <w:noWrap/>
            <w:vAlign w:val="center"/>
            <w:hideMark/>
          </w:tcPr>
          <w:p w14:paraId="712791EE" w14:textId="77777777" w:rsidR="00691219" w:rsidRPr="00C52EE2" w:rsidRDefault="00691219" w:rsidP="005B02C1">
            <w:pPr>
              <w:jc w:val="right"/>
              <w:rPr>
                <w:sz w:val="20"/>
              </w:rPr>
            </w:pPr>
            <w:r w:rsidRPr="00C52EE2">
              <w:rPr>
                <w:sz w:val="20"/>
              </w:rPr>
              <w:t>41,7</w:t>
            </w:r>
          </w:p>
        </w:tc>
        <w:tc>
          <w:tcPr>
            <w:tcW w:w="530" w:type="pct"/>
            <w:tcBorders>
              <w:top w:val="nil"/>
              <w:left w:val="nil"/>
              <w:bottom w:val="single" w:sz="4" w:space="0" w:color="auto"/>
              <w:right w:val="single" w:sz="4" w:space="0" w:color="auto"/>
            </w:tcBorders>
            <w:shd w:val="clear" w:color="000000" w:fill="FFFFFF"/>
            <w:noWrap/>
            <w:vAlign w:val="center"/>
            <w:hideMark/>
          </w:tcPr>
          <w:p w14:paraId="1616465C" w14:textId="77777777" w:rsidR="00691219" w:rsidRPr="00C52EE2" w:rsidRDefault="00691219" w:rsidP="005B02C1">
            <w:pPr>
              <w:jc w:val="right"/>
              <w:rPr>
                <w:sz w:val="20"/>
              </w:rPr>
            </w:pPr>
            <w:r w:rsidRPr="00C52EE2">
              <w:rPr>
                <w:sz w:val="20"/>
              </w:rPr>
              <w:t>37,2</w:t>
            </w:r>
          </w:p>
        </w:tc>
        <w:tc>
          <w:tcPr>
            <w:tcW w:w="527" w:type="pct"/>
            <w:tcBorders>
              <w:top w:val="nil"/>
              <w:left w:val="nil"/>
              <w:bottom w:val="single" w:sz="4" w:space="0" w:color="auto"/>
              <w:right w:val="single" w:sz="4" w:space="0" w:color="auto"/>
            </w:tcBorders>
            <w:shd w:val="clear" w:color="000000" w:fill="FFFFFF"/>
            <w:noWrap/>
            <w:vAlign w:val="center"/>
            <w:hideMark/>
          </w:tcPr>
          <w:p w14:paraId="6F95E44D" w14:textId="77777777" w:rsidR="00691219" w:rsidRPr="00C52EE2" w:rsidRDefault="00691219" w:rsidP="005B02C1">
            <w:pPr>
              <w:jc w:val="right"/>
              <w:rPr>
                <w:sz w:val="20"/>
              </w:rPr>
            </w:pPr>
            <w:r w:rsidRPr="00C52EE2">
              <w:rPr>
                <w:sz w:val="20"/>
              </w:rPr>
              <w:t>50,1</w:t>
            </w:r>
          </w:p>
        </w:tc>
      </w:tr>
      <w:tr w:rsidR="00CB7B98" w14:paraId="1CFDE936"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003E69EF" w14:textId="77777777" w:rsidR="00691219" w:rsidRPr="00CD590E" w:rsidRDefault="00691219" w:rsidP="00CD590E">
            <w:pPr>
              <w:jc w:val="left"/>
              <w:rPr>
                <w:b/>
                <w:bCs/>
                <w:sz w:val="20"/>
              </w:rPr>
            </w:pPr>
            <w:r w:rsidRPr="00CD590E">
              <w:rPr>
                <w:b/>
                <w:bCs/>
                <w:sz w:val="20"/>
              </w:rPr>
              <w:t>Česká republika</w:t>
            </w:r>
          </w:p>
        </w:tc>
        <w:tc>
          <w:tcPr>
            <w:tcW w:w="530" w:type="pct"/>
            <w:tcBorders>
              <w:top w:val="nil"/>
              <w:left w:val="nil"/>
              <w:bottom w:val="single" w:sz="4" w:space="0" w:color="auto"/>
              <w:right w:val="single" w:sz="4" w:space="0" w:color="auto"/>
            </w:tcBorders>
            <w:shd w:val="clear" w:color="000000" w:fill="FFFFFF"/>
            <w:noWrap/>
            <w:vAlign w:val="center"/>
            <w:hideMark/>
          </w:tcPr>
          <w:p w14:paraId="7572B450" w14:textId="77777777" w:rsidR="00691219" w:rsidRPr="00CD590E" w:rsidRDefault="00691219" w:rsidP="005B02C1">
            <w:pPr>
              <w:jc w:val="right"/>
              <w:rPr>
                <w:b/>
                <w:sz w:val="20"/>
              </w:rPr>
            </w:pPr>
            <w:r w:rsidRPr="00CD590E">
              <w:rPr>
                <w:b/>
                <w:sz w:val="20"/>
              </w:rPr>
              <w:t>45,4</w:t>
            </w:r>
          </w:p>
        </w:tc>
        <w:tc>
          <w:tcPr>
            <w:tcW w:w="530" w:type="pct"/>
            <w:tcBorders>
              <w:top w:val="nil"/>
              <w:left w:val="nil"/>
              <w:bottom w:val="single" w:sz="4" w:space="0" w:color="auto"/>
              <w:right w:val="single" w:sz="4" w:space="0" w:color="auto"/>
            </w:tcBorders>
            <w:shd w:val="clear" w:color="000000" w:fill="FFFFFF"/>
            <w:noWrap/>
            <w:vAlign w:val="center"/>
            <w:hideMark/>
          </w:tcPr>
          <w:p w14:paraId="4C7C4DA2" w14:textId="77777777" w:rsidR="00691219" w:rsidRPr="00CD590E" w:rsidRDefault="00691219" w:rsidP="005B02C1">
            <w:pPr>
              <w:jc w:val="right"/>
              <w:rPr>
                <w:b/>
                <w:sz w:val="20"/>
              </w:rPr>
            </w:pPr>
            <w:r w:rsidRPr="00CD590E">
              <w:rPr>
                <w:b/>
                <w:sz w:val="20"/>
              </w:rPr>
              <w:t>44,2</w:t>
            </w:r>
          </w:p>
        </w:tc>
        <w:tc>
          <w:tcPr>
            <w:tcW w:w="530" w:type="pct"/>
            <w:tcBorders>
              <w:top w:val="nil"/>
              <w:left w:val="nil"/>
              <w:bottom w:val="single" w:sz="4" w:space="0" w:color="auto"/>
              <w:right w:val="single" w:sz="4" w:space="0" w:color="auto"/>
            </w:tcBorders>
            <w:shd w:val="clear" w:color="000000" w:fill="FFFFFF"/>
            <w:noWrap/>
            <w:vAlign w:val="center"/>
            <w:hideMark/>
          </w:tcPr>
          <w:p w14:paraId="57BB2FB8" w14:textId="77777777" w:rsidR="00691219" w:rsidRPr="00CD590E" w:rsidRDefault="00691219" w:rsidP="005B02C1">
            <w:pPr>
              <w:jc w:val="right"/>
              <w:rPr>
                <w:b/>
                <w:sz w:val="20"/>
              </w:rPr>
            </w:pPr>
            <w:r w:rsidRPr="00CD590E">
              <w:rPr>
                <w:b/>
                <w:sz w:val="20"/>
              </w:rPr>
              <w:t>41,9</w:t>
            </w:r>
          </w:p>
        </w:tc>
        <w:tc>
          <w:tcPr>
            <w:tcW w:w="530" w:type="pct"/>
            <w:tcBorders>
              <w:top w:val="nil"/>
              <w:left w:val="nil"/>
              <w:bottom w:val="single" w:sz="4" w:space="0" w:color="auto"/>
              <w:right w:val="single" w:sz="4" w:space="0" w:color="auto"/>
            </w:tcBorders>
            <w:shd w:val="clear" w:color="000000" w:fill="FFFFFF"/>
            <w:noWrap/>
            <w:vAlign w:val="center"/>
            <w:hideMark/>
          </w:tcPr>
          <w:p w14:paraId="432286F3" w14:textId="77777777" w:rsidR="00691219" w:rsidRPr="00CD590E" w:rsidRDefault="00691219" w:rsidP="005B02C1">
            <w:pPr>
              <w:jc w:val="right"/>
              <w:rPr>
                <w:b/>
                <w:sz w:val="20"/>
              </w:rPr>
            </w:pPr>
            <w:r w:rsidRPr="00CD590E">
              <w:rPr>
                <w:b/>
                <w:sz w:val="20"/>
              </w:rPr>
              <w:t>37,9</w:t>
            </w:r>
          </w:p>
        </w:tc>
        <w:tc>
          <w:tcPr>
            <w:tcW w:w="530" w:type="pct"/>
            <w:tcBorders>
              <w:top w:val="nil"/>
              <w:left w:val="nil"/>
              <w:bottom w:val="single" w:sz="4" w:space="0" w:color="auto"/>
              <w:right w:val="single" w:sz="4" w:space="0" w:color="auto"/>
            </w:tcBorders>
            <w:shd w:val="clear" w:color="000000" w:fill="FFFFFF"/>
            <w:noWrap/>
            <w:vAlign w:val="center"/>
            <w:hideMark/>
          </w:tcPr>
          <w:p w14:paraId="1EA001B4" w14:textId="77777777" w:rsidR="00691219" w:rsidRPr="00CD590E" w:rsidRDefault="00691219" w:rsidP="005B02C1">
            <w:pPr>
              <w:jc w:val="right"/>
              <w:rPr>
                <w:b/>
                <w:sz w:val="20"/>
              </w:rPr>
            </w:pPr>
            <w:r w:rsidRPr="00CD590E">
              <w:rPr>
                <w:b/>
                <w:sz w:val="20"/>
              </w:rPr>
              <w:t>38,9</w:t>
            </w:r>
          </w:p>
        </w:tc>
        <w:tc>
          <w:tcPr>
            <w:tcW w:w="530" w:type="pct"/>
            <w:tcBorders>
              <w:top w:val="nil"/>
              <w:left w:val="nil"/>
              <w:bottom w:val="single" w:sz="4" w:space="0" w:color="auto"/>
              <w:right w:val="single" w:sz="4" w:space="0" w:color="auto"/>
            </w:tcBorders>
            <w:shd w:val="clear" w:color="000000" w:fill="FFFFFF"/>
            <w:noWrap/>
            <w:vAlign w:val="center"/>
            <w:hideMark/>
          </w:tcPr>
          <w:p w14:paraId="7B6E1FAB" w14:textId="77777777" w:rsidR="00691219" w:rsidRPr="00CD590E" w:rsidRDefault="00691219" w:rsidP="005B02C1">
            <w:pPr>
              <w:jc w:val="right"/>
              <w:rPr>
                <w:b/>
                <w:sz w:val="20"/>
              </w:rPr>
            </w:pPr>
            <w:r w:rsidRPr="00CD590E">
              <w:rPr>
                <w:b/>
                <w:sz w:val="20"/>
              </w:rPr>
              <w:t>38,7</w:t>
            </w:r>
          </w:p>
        </w:tc>
        <w:tc>
          <w:tcPr>
            <w:tcW w:w="527" w:type="pct"/>
            <w:tcBorders>
              <w:top w:val="nil"/>
              <w:left w:val="nil"/>
              <w:bottom w:val="single" w:sz="4" w:space="0" w:color="auto"/>
              <w:right w:val="single" w:sz="4" w:space="0" w:color="auto"/>
            </w:tcBorders>
            <w:shd w:val="clear" w:color="000000" w:fill="FFFFFF"/>
            <w:noWrap/>
            <w:vAlign w:val="center"/>
            <w:hideMark/>
          </w:tcPr>
          <w:p w14:paraId="4AC1D5B0" w14:textId="77777777" w:rsidR="00691219" w:rsidRPr="00CD590E" w:rsidRDefault="00691219" w:rsidP="005B02C1">
            <w:pPr>
              <w:jc w:val="right"/>
              <w:rPr>
                <w:b/>
                <w:sz w:val="20"/>
              </w:rPr>
            </w:pPr>
            <w:r w:rsidRPr="00CD590E">
              <w:rPr>
                <w:b/>
                <w:sz w:val="20"/>
              </w:rPr>
              <w:t>36,3</w:t>
            </w:r>
          </w:p>
        </w:tc>
      </w:tr>
      <w:tr w:rsidR="00CB7B98" w14:paraId="75D263F0"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53E87D81" w14:textId="77777777" w:rsidR="00691219" w:rsidRPr="00C52EE2" w:rsidRDefault="00691219" w:rsidP="00CD590E">
            <w:pPr>
              <w:jc w:val="left"/>
              <w:rPr>
                <w:b/>
                <w:bCs/>
                <w:sz w:val="20"/>
              </w:rPr>
            </w:pPr>
            <w:r w:rsidRPr="00C52EE2">
              <w:rPr>
                <w:b/>
                <w:bCs/>
                <w:sz w:val="20"/>
              </w:rPr>
              <w:t>Dánsko</w:t>
            </w:r>
          </w:p>
        </w:tc>
        <w:tc>
          <w:tcPr>
            <w:tcW w:w="530" w:type="pct"/>
            <w:tcBorders>
              <w:top w:val="nil"/>
              <w:left w:val="nil"/>
              <w:bottom w:val="single" w:sz="4" w:space="0" w:color="auto"/>
              <w:right w:val="single" w:sz="4" w:space="0" w:color="auto"/>
            </w:tcBorders>
            <w:shd w:val="clear" w:color="000000" w:fill="FFFFFF"/>
            <w:noWrap/>
            <w:vAlign w:val="center"/>
            <w:hideMark/>
          </w:tcPr>
          <w:p w14:paraId="1923AEBF" w14:textId="77777777" w:rsidR="00691219" w:rsidRPr="00C52EE2" w:rsidRDefault="00691219" w:rsidP="005B02C1">
            <w:pPr>
              <w:jc w:val="right"/>
              <w:rPr>
                <w:sz w:val="20"/>
              </w:rPr>
            </w:pPr>
            <w:r w:rsidRPr="00C52EE2">
              <w:rPr>
                <w:sz w:val="20"/>
              </w:rPr>
              <w:t>74,2</w:t>
            </w:r>
          </w:p>
        </w:tc>
        <w:tc>
          <w:tcPr>
            <w:tcW w:w="530" w:type="pct"/>
            <w:tcBorders>
              <w:top w:val="nil"/>
              <w:left w:val="nil"/>
              <w:bottom w:val="single" w:sz="4" w:space="0" w:color="auto"/>
              <w:right w:val="single" w:sz="4" w:space="0" w:color="auto"/>
            </w:tcBorders>
            <w:shd w:val="clear" w:color="000000" w:fill="FFFFFF"/>
            <w:noWrap/>
            <w:vAlign w:val="center"/>
            <w:hideMark/>
          </w:tcPr>
          <w:p w14:paraId="08F38E56" w14:textId="77777777" w:rsidR="00691219" w:rsidRPr="00C52EE2" w:rsidRDefault="00691219" w:rsidP="005B02C1">
            <w:pPr>
              <w:jc w:val="right"/>
              <w:rPr>
                <w:sz w:val="20"/>
              </w:rPr>
            </w:pPr>
            <w:r w:rsidRPr="00C52EE2">
              <w:rPr>
                <w:sz w:val="20"/>
              </w:rPr>
              <w:t>75,4</w:t>
            </w:r>
          </w:p>
        </w:tc>
        <w:tc>
          <w:tcPr>
            <w:tcW w:w="530" w:type="pct"/>
            <w:tcBorders>
              <w:top w:val="nil"/>
              <w:left w:val="nil"/>
              <w:bottom w:val="single" w:sz="4" w:space="0" w:color="auto"/>
              <w:right w:val="single" w:sz="4" w:space="0" w:color="auto"/>
            </w:tcBorders>
            <w:shd w:val="clear" w:color="000000" w:fill="FFFFFF"/>
            <w:noWrap/>
            <w:vAlign w:val="center"/>
            <w:hideMark/>
          </w:tcPr>
          <w:p w14:paraId="02A82E85" w14:textId="77777777" w:rsidR="00691219" w:rsidRPr="00C52EE2" w:rsidRDefault="00691219" w:rsidP="005B02C1">
            <w:pPr>
              <w:jc w:val="right"/>
              <w:rPr>
                <w:sz w:val="20"/>
              </w:rPr>
            </w:pPr>
            <w:r w:rsidRPr="00C52EE2">
              <w:rPr>
                <w:sz w:val="20"/>
              </w:rPr>
              <w:t>69,7</w:t>
            </w:r>
          </w:p>
        </w:tc>
        <w:tc>
          <w:tcPr>
            <w:tcW w:w="530" w:type="pct"/>
            <w:tcBorders>
              <w:top w:val="nil"/>
              <w:left w:val="nil"/>
              <w:bottom w:val="single" w:sz="4" w:space="0" w:color="auto"/>
              <w:right w:val="single" w:sz="4" w:space="0" w:color="auto"/>
            </w:tcBorders>
            <w:shd w:val="clear" w:color="000000" w:fill="FFFFFF"/>
            <w:noWrap/>
            <w:vAlign w:val="center"/>
            <w:hideMark/>
          </w:tcPr>
          <w:p w14:paraId="090D5D6A" w14:textId="77777777" w:rsidR="00691219" w:rsidRPr="00C52EE2" w:rsidRDefault="00691219" w:rsidP="005B02C1">
            <w:pPr>
              <w:jc w:val="right"/>
              <w:rPr>
                <w:sz w:val="20"/>
              </w:rPr>
            </w:pPr>
            <w:r w:rsidRPr="00C52EE2">
              <w:rPr>
                <w:sz w:val="20"/>
              </w:rPr>
              <w:t>74,1</w:t>
            </w:r>
          </w:p>
        </w:tc>
        <w:tc>
          <w:tcPr>
            <w:tcW w:w="530" w:type="pct"/>
            <w:tcBorders>
              <w:top w:val="nil"/>
              <w:left w:val="nil"/>
              <w:bottom w:val="single" w:sz="4" w:space="0" w:color="auto"/>
              <w:right w:val="single" w:sz="4" w:space="0" w:color="auto"/>
            </w:tcBorders>
            <w:shd w:val="clear" w:color="000000" w:fill="FFFFFF"/>
            <w:noWrap/>
            <w:vAlign w:val="center"/>
            <w:hideMark/>
          </w:tcPr>
          <w:p w14:paraId="60C56EB8" w14:textId="77777777" w:rsidR="00691219" w:rsidRPr="00C52EE2" w:rsidRDefault="00691219" w:rsidP="005B02C1">
            <w:pPr>
              <w:jc w:val="right"/>
              <w:rPr>
                <w:sz w:val="20"/>
              </w:rPr>
            </w:pPr>
            <w:r w:rsidRPr="00C52EE2">
              <w:rPr>
                <w:sz w:val="20"/>
              </w:rPr>
              <w:t>70,2</w:t>
            </w:r>
          </w:p>
        </w:tc>
        <w:tc>
          <w:tcPr>
            <w:tcW w:w="530" w:type="pct"/>
            <w:tcBorders>
              <w:top w:val="nil"/>
              <w:left w:val="nil"/>
              <w:bottom w:val="single" w:sz="4" w:space="0" w:color="auto"/>
              <w:right w:val="single" w:sz="4" w:space="0" w:color="auto"/>
            </w:tcBorders>
            <w:shd w:val="clear" w:color="000000" w:fill="FFFFFF"/>
            <w:noWrap/>
            <w:vAlign w:val="center"/>
            <w:hideMark/>
          </w:tcPr>
          <w:p w14:paraId="1135770F" w14:textId="77777777" w:rsidR="00691219" w:rsidRPr="00C52EE2" w:rsidRDefault="00691219" w:rsidP="005B02C1">
            <w:pPr>
              <w:jc w:val="right"/>
              <w:rPr>
                <w:sz w:val="20"/>
              </w:rPr>
            </w:pPr>
            <w:r w:rsidRPr="00C52EE2">
              <w:rPr>
                <w:sz w:val="20"/>
              </w:rPr>
              <w:t>72,1</w:t>
            </w:r>
          </w:p>
        </w:tc>
        <w:tc>
          <w:tcPr>
            <w:tcW w:w="527" w:type="pct"/>
            <w:tcBorders>
              <w:top w:val="nil"/>
              <w:left w:val="nil"/>
              <w:bottom w:val="single" w:sz="4" w:space="0" w:color="auto"/>
              <w:right w:val="single" w:sz="4" w:space="0" w:color="auto"/>
            </w:tcBorders>
            <w:shd w:val="clear" w:color="000000" w:fill="FFFFFF"/>
            <w:noWrap/>
            <w:vAlign w:val="center"/>
            <w:hideMark/>
          </w:tcPr>
          <w:p w14:paraId="4B25260F" w14:textId="77777777" w:rsidR="00691219" w:rsidRPr="00C52EE2" w:rsidRDefault="00691219" w:rsidP="005B02C1">
            <w:pPr>
              <w:jc w:val="right"/>
              <w:rPr>
                <w:sz w:val="20"/>
              </w:rPr>
            </w:pPr>
            <w:r w:rsidRPr="00C52EE2">
              <w:rPr>
                <w:sz w:val="20"/>
              </w:rPr>
              <w:t>70,7</w:t>
            </w:r>
          </w:p>
        </w:tc>
      </w:tr>
      <w:tr w:rsidR="00CB7B98" w14:paraId="75DBCDE3"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2350D285" w14:textId="77777777" w:rsidR="00691219" w:rsidRPr="00C52EE2" w:rsidRDefault="00691219" w:rsidP="00CD590E">
            <w:pPr>
              <w:jc w:val="left"/>
              <w:rPr>
                <w:b/>
                <w:bCs/>
                <w:sz w:val="20"/>
              </w:rPr>
            </w:pPr>
            <w:r w:rsidRPr="00C52EE2">
              <w:rPr>
                <w:b/>
                <w:bCs/>
                <w:sz w:val="20"/>
              </w:rPr>
              <w:t>Estonsko</w:t>
            </w:r>
          </w:p>
        </w:tc>
        <w:tc>
          <w:tcPr>
            <w:tcW w:w="530" w:type="pct"/>
            <w:tcBorders>
              <w:top w:val="nil"/>
              <w:left w:val="nil"/>
              <w:bottom w:val="single" w:sz="4" w:space="0" w:color="auto"/>
              <w:right w:val="single" w:sz="4" w:space="0" w:color="auto"/>
            </w:tcBorders>
            <w:shd w:val="clear" w:color="000000" w:fill="FFFFFF"/>
            <w:noWrap/>
            <w:vAlign w:val="center"/>
            <w:hideMark/>
          </w:tcPr>
          <w:p w14:paraId="6EA8F42E" w14:textId="77777777" w:rsidR="00691219" w:rsidRPr="00C52EE2" w:rsidRDefault="00691219" w:rsidP="005B02C1">
            <w:pPr>
              <w:jc w:val="right"/>
              <w:rPr>
                <w:sz w:val="20"/>
              </w:rPr>
            </w:pPr>
            <w:r w:rsidRPr="00C52EE2">
              <w:rPr>
                <w:sz w:val="20"/>
              </w:rPr>
              <w:t>19,3</w:t>
            </w:r>
          </w:p>
        </w:tc>
        <w:tc>
          <w:tcPr>
            <w:tcW w:w="530" w:type="pct"/>
            <w:tcBorders>
              <w:top w:val="nil"/>
              <w:left w:val="nil"/>
              <w:bottom w:val="single" w:sz="4" w:space="0" w:color="auto"/>
              <w:right w:val="single" w:sz="4" w:space="0" w:color="auto"/>
            </w:tcBorders>
            <w:shd w:val="clear" w:color="000000" w:fill="FFFFFF"/>
            <w:noWrap/>
            <w:vAlign w:val="center"/>
            <w:hideMark/>
          </w:tcPr>
          <w:p w14:paraId="62AC8DEF" w14:textId="77777777" w:rsidR="00691219" w:rsidRPr="00C52EE2" w:rsidRDefault="00691219" w:rsidP="005B02C1">
            <w:pPr>
              <w:jc w:val="right"/>
              <w:rPr>
                <w:sz w:val="20"/>
              </w:rPr>
            </w:pPr>
            <w:r w:rsidRPr="00C52EE2">
              <w:rPr>
                <w:sz w:val="20"/>
              </w:rPr>
              <w:t>18,4</w:t>
            </w:r>
          </w:p>
        </w:tc>
        <w:tc>
          <w:tcPr>
            <w:tcW w:w="530" w:type="pct"/>
            <w:tcBorders>
              <w:top w:val="nil"/>
              <w:left w:val="nil"/>
              <w:bottom w:val="single" w:sz="4" w:space="0" w:color="auto"/>
              <w:right w:val="single" w:sz="4" w:space="0" w:color="auto"/>
            </w:tcBorders>
            <w:shd w:val="clear" w:color="000000" w:fill="FFFFFF"/>
            <w:noWrap/>
            <w:vAlign w:val="center"/>
            <w:hideMark/>
          </w:tcPr>
          <w:p w14:paraId="10CDE22B" w14:textId="77777777" w:rsidR="00691219" w:rsidRPr="00C52EE2" w:rsidRDefault="00691219" w:rsidP="005B02C1">
            <w:pPr>
              <w:jc w:val="right"/>
              <w:rPr>
                <w:sz w:val="20"/>
              </w:rPr>
            </w:pPr>
            <w:r w:rsidRPr="00C52EE2">
              <w:rPr>
                <w:sz w:val="20"/>
              </w:rPr>
              <w:t>16,1</w:t>
            </w:r>
          </w:p>
        </w:tc>
        <w:tc>
          <w:tcPr>
            <w:tcW w:w="530" w:type="pct"/>
            <w:tcBorders>
              <w:top w:val="nil"/>
              <w:left w:val="nil"/>
              <w:bottom w:val="single" w:sz="4" w:space="0" w:color="auto"/>
              <w:right w:val="single" w:sz="4" w:space="0" w:color="auto"/>
            </w:tcBorders>
            <w:shd w:val="clear" w:color="000000" w:fill="FFFFFF"/>
            <w:noWrap/>
            <w:vAlign w:val="center"/>
            <w:hideMark/>
          </w:tcPr>
          <w:p w14:paraId="456A4504" w14:textId="77777777" w:rsidR="00691219" w:rsidRPr="00C52EE2" w:rsidRDefault="00691219" w:rsidP="005B02C1">
            <w:pPr>
              <w:jc w:val="right"/>
              <w:rPr>
                <w:sz w:val="20"/>
              </w:rPr>
            </w:pPr>
            <w:r w:rsidRPr="00C52EE2">
              <w:rPr>
                <w:sz w:val="20"/>
              </w:rPr>
              <w:t>16,2</w:t>
            </w:r>
          </w:p>
        </w:tc>
        <w:tc>
          <w:tcPr>
            <w:tcW w:w="530" w:type="pct"/>
            <w:tcBorders>
              <w:top w:val="nil"/>
              <w:left w:val="nil"/>
              <w:bottom w:val="single" w:sz="4" w:space="0" w:color="auto"/>
              <w:right w:val="single" w:sz="4" w:space="0" w:color="auto"/>
            </w:tcBorders>
            <w:shd w:val="clear" w:color="000000" w:fill="FFFFFF"/>
            <w:noWrap/>
            <w:vAlign w:val="center"/>
            <w:hideMark/>
          </w:tcPr>
          <w:p w14:paraId="18E6898A" w14:textId="77777777" w:rsidR="00691219" w:rsidRPr="00C52EE2" w:rsidRDefault="00691219" w:rsidP="005B02C1">
            <w:pPr>
              <w:jc w:val="right"/>
              <w:rPr>
                <w:sz w:val="20"/>
              </w:rPr>
            </w:pPr>
            <w:r w:rsidRPr="00C52EE2">
              <w:rPr>
                <w:sz w:val="20"/>
              </w:rPr>
              <w:t>16,9</w:t>
            </w:r>
          </w:p>
        </w:tc>
        <w:tc>
          <w:tcPr>
            <w:tcW w:w="530" w:type="pct"/>
            <w:tcBorders>
              <w:top w:val="nil"/>
              <w:left w:val="nil"/>
              <w:bottom w:val="single" w:sz="4" w:space="0" w:color="auto"/>
              <w:right w:val="single" w:sz="4" w:space="0" w:color="auto"/>
            </w:tcBorders>
            <w:shd w:val="clear" w:color="000000" w:fill="FFFFFF"/>
            <w:noWrap/>
            <w:vAlign w:val="center"/>
            <w:hideMark/>
          </w:tcPr>
          <w:p w14:paraId="5F3739DD" w14:textId="77777777" w:rsidR="00691219" w:rsidRPr="00C52EE2" w:rsidRDefault="00691219" w:rsidP="005B02C1">
            <w:pPr>
              <w:jc w:val="right"/>
              <w:rPr>
                <w:sz w:val="20"/>
              </w:rPr>
            </w:pPr>
            <w:r w:rsidRPr="00C52EE2">
              <w:rPr>
                <w:sz w:val="20"/>
              </w:rPr>
              <w:t>18,7</w:t>
            </w:r>
          </w:p>
        </w:tc>
        <w:tc>
          <w:tcPr>
            <w:tcW w:w="527" w:type="pct"/>
            <w:tcBorders>
              <w:top w:val="nil"/>
              <w:left w:val="nil"/>
              <w:bottom w:val="single" w:sz="4" w:space="0" w:color="auto"/>
              <w:right w:val="single" w:sz="4" w:space="0" w:color="auto"/>
            </w:tcBorders>
            <w:shd w:val="clear" w:color="000000" w:fill="FFFFFF"/>
            <w:noWrap/>
            <w:vAlign w:val="center"/>
            <w:hideMark/>
          </w:tcPr>
          <w:p w14:paraId="64B3BF1B" w14:textId="77777777" w:rsidR="00691219" w:rsidRPr="00C52EE2" w:rsidRDefault="00691219" w:rsidP="005B02C1">
            <w:pPr>
              <w:jc w:val="right"/>
              <w:rPr>
                <w:sz w:val="20"/>
              </w:rPr>
            </w:pPr>
            <w:r w:rsidRPr="00C52EE2">
              <w:rPr>
                <w:sz w:val="20"/>
              </w:rPr>
              <w:t>17,1</w:t>
            </w:r>
          </w:p>
        </w:tc>
      </w:tr>
      <w:tr w:rsidR="00CB7B98" w14:paraId="22457017"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0C766E63" w14:textId="77777777" w:rsidR="00691219" w:rsidRPr="00C52EE2" w:rsidRDefault="00691219" w:rsidP="00CD590E">
            <w:pPr>
              <w:jc w:val="left"/>
              <w:rPr>
                <w:b/>
                <w:bCs/>
                <w:sz w:val="20"/>
              </w:rPr>
            </w:pPr>
            <w:r w:rsidRPr="00C52EE2">
              <w:rPr>
                <w:b/>
                <w:bCs/>
                <w:sz w:val="20"/>
              </w:rPr>
              <w:t>Finsko</w:t>
            </w:r>
          </w:p>
        </w:tc>
        <w:tc>
          <w:tcPr>
            <w:tcW w:w="530" w:type="pct"/>
            <w:tcBorders>
              <w:top w:val="nil"/>
              <w:left w:val="nil"/>
              <w:bottom w:val="single" w:sz="4" w:space="0" w:color="auto"/>
              <w:right w:val="single" w:sz="4" w:space="0" w:color="auto"/>
            </w:tcBorders>
            <w:shd w:val="clear" w:color="000000" w:fill="FFFFFF"/>
            <w:noWrap/>
            <w:vAlign w:val="center"/>
            <w:hideMark/>
          </w:tcPr>
          <w:p w14:paraId="36757540" w14:textId="77777777" w:rsidR="00691219" w:rsidRPr="00C52EE2" w:rsidRDefault="00691219" w:rsidP="005B02C1">
            <w:pPr>
              <w:jc w:val="right"/>
              <w:rPr>
                <w:sz w:val="20"/>
              </w:rPr>
            </w:pPr>
            <w:r w:rsidRPr="00C52EE2">
              <w:rPr>
                <w:sz w:val="20"/>
              </w:rPr>
              <w:t>19,5</w:t>
            </w:r>
          </w:p>
        </w:tc>
        <w:tc>
          <w:tcPr>
            <w:tcW w:w="530" w:type="pct"/>
            <w:tcBorders>
              <w:top w:val="nil"/>
              <w:left w:val="nil"/>
              <w:bottom w:val="single" w:sz="4" w:space="0" w:color="auto"/>
              <w:right w:val="single" w:sz="4" w:space="0" w:color="auto"/>
            </w:tcBorders>
            <w:shd w:val="clear" w:color="000000" w:fill="FFFFFF"/>
            <w:noWrap/>
            <w:vAlign w:val="center"/>
            <w:hideMark/>
          </w:tcPr>
          <w:p w14:paraId="531FF54F" w14:textId="77777777" w:rsidR="00691219" w:rsidRPr="00C52EE2" w:rsidRDefault="00691219" w:rsidP="005B02C1">
            <w:pPr>
              <w:jc w:val="right"/>
              <w:rPr>
                <w:sz w:val="20"/>
              </w:rPr>
            </w:pPr>
            <w:r w:rsidRPr="00C52EE2">
              <w:rPr>
                <w:sz w:val="20"/>
              </w:rPr>
              <w:t>18,2</w:t>
            </w:r>
          </w:p>
        </w:tc>
        <w:tc>
          <w:tcPr>
            <w:tcW w:w="530" w:type="pct"/>
            <w:tcBorders>
              <w:top w:val="nil"/>
              <w:left w:val="nil"/>
              <w:bottom w:val="single" w:sz="4" w:space="0" w:color="auto"/>
              <w:right w:val="single" w:sz="4" w:space="0" w:color="auto"/>
            </w:tcBorders>
            <w:shd w:val="clear" w:color="000000" w:fill="FFFFFF"/>
            <w:noWrap/>
            <w:vAlign w:val="center"/>
            <w:hideMark/>
          </w:tcPr>
          <w:p w14:paraId="0C12C878" w14:textId="77777777" w:rsidR="00691219" w:rsidRPr="00C52EE2" w:rsidRDefault="00691219" w:rsidP="005B02C1">
            <w:pPr>
              <w:jc w:val="right"/>
              <w:rPr>
                <w:sz w:val="20"/>
              </w:rPr>
            </w:pPr>
            <w:r w:rsidRPr="00C52EE2">
              <w:rPr>
                <w:sz w:val="20"/>
              </w:rPr>
              <w:t>18,1</w:t>
            </w:r>
          </w:p>
        </w:tc>
        <w:tc>
          <w:tcPr>
            <w:tcW w:w="530" w:type="pct"/>
            <w:tcBorders>
              <w:top w:val="nil"/>
              <w:left w:val="nil"/>
              <w:bottom w:val="single" w:sz="4" w:space="0" w:color="auto"/>
              <w:right w:val="single" w:sz="4" w:space="0" w:color="auto"/>
            </w:tcBorders>
            <w:shd w:val="clear" w:color="000000" w:fill="FFFFFF"/>
            <w:noWrap/>
            <w:vAlign w:val="center"/>
            <w:hideMark/>
          </w:tcPr>
          <w:p w14:paraId="47A1653B" w14:textId="77777777" w:rsidR="00691219" w:rsidRPr="00C52EE2" w:rsidRDefault="00691219" w:rsidP="005B02C1">
            <w:pPr>
              <w:jc w:val="right"/>
              <w:rPr>
                <w:sz w:val="20"/>
              </w:rPr>
            </w:pPr>
            <w:r w:rsidRPr="00C52EE2">
              <w:rPr>
                <w:sz w:val="20"/>
              </w:rPr>
              <w:t>18,2</w:t>
            </w:r>
          </w:p>
        </w:tc>
        <w:tc>
          <w:tcPr>
            <w:tcW w:w="530" w:type="pct"/>
            <w:tcBorders>
              <w:top w:val="nil"/>
              <w:left w:val="nil"/>
              <w:bottom w:val="single" w:sz="4" w:space="0" w:color="auto"/>
              <w:right w:val="single" w:sz="4" w:space="0" w:color="auto"/>
            </w:tcBorders>
            <w:shd w:val="clear" w:color="000000" w:fill="FFFFFF"/>
            <w:noWrap/>
            <w:vAlign w:val="center"/>
            <w:hideMark/>
          </w:tcPr>
          <w:p w14:paraId="15B566C5" w14:textId="77777777" w:rsidR="00691219" w:rsidRPr="00C52EE2" w:rsidRDefault="00691219" w:rsidP="005B02C1">
            <w:pPr>
              <w:jc w:val="right"/>
              <w:rPr>
                <w:sz w:val="20"/>
              </w:rPr>
            </w:pPr>
            <w:r w:rsidRPr="00C52EE2">
              <w:rPr>
                <w:sz w:val="20"/>
              </w:rPr>
              <w:t>17,4</w:t>
            </w:r>
          </w:p>
        </w:tc>
        <w:tc>
          <w:tcPr>
            <w:tcW w:w="530" w:type="pct"/>
            <w:tcBorders>
              <w:top w:val="nil"/>
              <w:left w:val="nil"/>
              <w:bottom w:val="single" w:sz="4" w:space="0" w:color="auto"/>
              <w:right w:val="single" w:sz="4" w:space="0" w:color="auto"/>
            </w:tcBorders>
            <w:shd w:val="clear" w:color="000000" w:fill="FFFFFF"/>
            <w:noWrap/>
            <w:vAlign w:val="center"/>
            <w:hideMark/>
          </w:tcPr>
          <w:p w14:paraId="6B346157" w14:textId="77777777" w:rsidR="00691219" w:rsidRPr="00C52EE2" w:rsidRDefault="00691219" w:rsidP="005B02C1">
            <w:pPr>
              <w:jc w:val="right"/>
              <w:rPr>
                <w:sz w:val="20"/>
              </w:rPr>
            </w:pPr>
            <w:r w:rsidRPr="00C52EE2">
              <w:rPr>
                <w:sz w:val="20"/>
              </w:rPr>
              <w:t>17,8</w:t>
            </w:r>
          </w:p>
        </w:tc>
        <w:tc>
          <w:tcPr>
            <w:tcW w:w="527" w:type="pct"/>
            <w:tcBorders>
              <w:top w:val="nil"/>
              <w:left w:val="nil"/>
              <w:bottom w:val="single" w:sz="4" w:space="0" w:color="auto"/>
              <w:right w:val="single" w:sz="4" w:space="0" w:color="auto"/>
            </w:tcBorders>
            <w:shd w:val="clear" w:color="000000" w:fill="FFFFFF"/>
            <w:noWrap/>
            <w:vAlign w:val="center"/>
            <w:hideMark/>
          </w:tcPr>
          <w:p w14:paraId="53873546" w14:textId="77777777" w:rsidR="00691219" w:rsidRPr="00C52EE2" w:rsidRDefault="00691219" w:rsidP="005B02C1">
            <w:pPr>
              <w:jc w:val="right"/>
              <w:rPr>
                <w:sz w:val="20"/>
              </w:rPr>
            </w:pPr>
            <w:r w:rsidRPr="00C52EE2">
              <w:rPr>
                <w:sz w:val="20"/>
              </w:rPr>
              <w:t>20,4</w:t>
            </w:r>
          </w:p>
        </w:tc>
      </w:tr>
      <w:tr w:rsidR="00CB7B98" w14:paraId="4DA01596"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5CE9DA8D" w14:textId="77777777" w:rsidR="00691219" w:rsidRPr="00C52EE2" w:rsidRDefault="00691219" w:rsidP="00CD590E">
            <w:pPr>
              <w:jc w:val="left"/>
              <w:rPr>
                <w:b/>
                <w:bCs/>
                <w:sz w:val="20"/>
              </w:rPr>
            </w:pPr>
            <w:r w:rsidRPr="00C52EE2">
              <w:rPr>
                <w:b/>
                <w:bCs/>
                <w:sz w:val="20"/>
              </w:rPr>
              <w:t>Francie</w:t>
            </w:r>
          </w:p>
        </w:tc>
        <w:tc>
          <w:tcPr>
            <w:tcW w:w="530" w:type="pct"/>
            <w:tcBorders>
              <w:top w:val="nil"/>
              <w:left w:val="nil"/>
              <w:bottom w:val="single" w:sz="4" w:space="0" w:color="auto"/>
              <w:right w:val="single" w:sz="4" w:space="0" w:color="auto"/>
            </w:tcBorders>
            <w:shd w:val="clear" w:color="000000" w:fill="FFFFFF"/>
            <w:noWrap/>
            <w:vAlign w:val="center"/>
            <w:hideMark/>
          </w:tcPr>
          <w:p w14:paraId="127235E8" w14:textId="77777777" w:rsidR="00691219" w:rsidRPr="00C52EE2" w:rsidRDefault="00691219" w:rsidP="005B02C1">
            <w:pPr>
              <w:jc w:val="right"/>
              <w:rPr>
                <w:sz w:val="20"/>
              </w:rPr>
            </w:pPr>
            <w:r w:rsidRPr="00C52EE2">
              <w:rPr>
                <w:sz w:val="20"/>
              </w:rPr>
              <w:t>22,3</w:t>
            </w:r>
          </w:p>
        </w:tc>
        <w:tc>
          <w:tcPr>
            <w:tcW w:w="530" w:type="pct"/>
            <w:tcBorders>
              <w:top w:val="nil"/>
              <w:left w:val="nil"/>
              <w:bottom w:val="single" w:sz="4" w:space="0" w:color="auto"/>
              <w:right w:val="single" w:sz="4" w:space="0" w:color="auto"/>
            </w:tcBorders>
            <w:shd w:val="clear" w:color="000000" w:fill="FFFFFF"/>
            <w:noWrap/>
            <w:vAlign w:val="center"/>
            <w:hideMark/>
          </w:tcPr>
          <w:p w14:paraId="428AC139" w14:textId="77777777" w:rsidR="00691219" w:rsidRPr="00C52EE2" w:rsidRDefault="00691219" w:rsidP="005B02C1">
            <w:pPr>
              <w:jc w:val="right"/>
              <w:rPr>
                <w:sz w:val="20"/>
              </w:rPr>
            </w:pPr>
            <w:r w:rsidRPr="00C52EE2">
              <w:rPr>
                <w:sz w:val="20"/>
              </w:rPr>
              <w:t>20,2</w:t>
            </w:r>
          </w:p>
        </w:tc>
        <w:tc>
          <w:tcPr>
            <w:tcW w:w="530" w:type="pct"/>
            <w:tcBorders>
              <w:top w:val="nil"/>
              <w:left w:val="nil"/>
              <w:bottom w:val="single" w:sz="4" w:space="0" w:color="auto"/>
              <w:right w:val="single" w:sz="4" w:space="0" w:color="auto"/>
            </w:tcBorders>
            <w:shd w:val="clear" w:color="000000" w:fill="FFFFFF"/>
            <w:noWrap/>
            <w:vAlign w:val="center"/>
            <w:hideMark/>
          </w:tcPr>
          <w:p w14:paraId="60238D88" w14:textId="77777777" w:rsidR="00691219" w:rsidRPr="00C52EE2" w:rsidRDefault="00691219" w:rsidP="005B02C1">
            <w:pPr>
              <w:jc w:val="right"/>
              <w:rPr>
                <w:sz w:val="20"/>
              </w:rPr>
            </w:pPr>
            <w:r w:rsidRPr="00C52EE2">
              <w:rPr>
                <w:sz w:val="20"/>
              </w:rPr>
              <w:t>20,3</w:t>
            </w:r>
          </w:p>
        </w:tc>
        <w:tc>
          <w:tcPr>
            <w:tcW w:w="530" w:type="pct"/>
            <w:tcBorders>
              <w:top w:val="nil"/>
              <w:left w:val="nil"/>
              <w:bottom w:val="single" w:sz="4" w:space="0" w:color="auto"/>
              <w:right w:val="single" w:sz="4" w:space="0" w:color="auto"/>
            </w:tcBorders>
            <w:shd w:val="clear" w:color="000000" w:fill="FFFFFF"/>
            <w:noWrap/>
            <w:vAlign w:val="center"/>
            <w:hideMark/>
          </w:tcPr>
          <w:p w14:paraId="4EF994D7" w14:textId="77777777" w:rsidR="00691219" w:rsidRPr="00C52EE2" w:rsidRDefault="00691219" w:rsidP="005B02C1">
            <w:pPr>
              <w:jc w:val="right"/>
              <w:rPr>
                <w:sz w:val="20"/>
              </w:rPr>
            </w:pPr>
            <w:r w:rsidRPr="00C52EE2">
              <w:rPr>
                <w:sz w:val="20"/>
              </w:rPr>
              <w:t>22,8</w:t>
            </w:r>
          </w:p>
        </w:tc>
        <w:tc>
          <w:tcPr>
            <w:tcW w:w="530" w:type="pct"/>
            <w:tcBorders>
              <w:top w:val="nil"/>
              <w:left w:val="nil"/>
              <w:bottom w:val="single" w:sz="4" w:space="0" w:color="auto"/>
              <w:right w:val="single" w:sz="4" w:space="0" w:color="auto"/>
            </w:tcBorders>
            <w:shd w:val="clear" w:color="000000" w:fill="FFFFFF"/>
            <w:noWrap/>
            <w:vAlign w:val="center"/>
            <w:hideMark/>
          </w:tcPr>
          <w:p w14:paraId="57CFCE4D" w14:textId="77777777" w:rsidR="00691219" w:rsidRPr="00C52EE2" w:rsidRDefault="00691219" w:rsidP="005B02C1">
            <w:pPr>
              <w:jc w:val="right"/>
              <w:rPr>
                <w:sz w:val="20"/>
              </w:rPr>
            </w:pPr>
            <w:r w:rsidRPr="00C52EE2">
              <w:rPr>
                <w:sz w:val="20"/>
              </w:rPr>
              <w:t>24,6</w:t>
            </w:r>
          </w:p>
        </w:tc>
        <w:tc>
          <w:tcPr>
            <w:tcW w:w="530" w:type="pct"/>
            <w:tcBorders>
              <w:top w:val="nil"/>
              <w:left w:val="nil"/>
              <w:bottom w:val="single" w:sz="4" w:space="0" w:color="auto"/>
              <w:right w:val="single" w:sz="4" w:space="0" w:color="auto"/>
            </w:tcBorders>
            <w:shd w:val="clear" w:color="000000" w:fill="FFFFFF"/>
            <w:noWrap/>
            <w:vAlign w:val="center"/>
            <w:hideMark/>
          </w:tcPr>
          <w:p w14:paraId="5A2A43C7" w14:textId="6D67F8A2" w:rsidR="00691219" w:rsidRPr="00C52EE2" w:rsidRDefault="00AE7870" w:rsidP="005B02C1">
            <w:pPr>
              <w:jc w:val="right"/>
              <w:rPr>
                <w:sz w:val="20"/>
              </w:rPr>
            </w:pPr>
            <w:r w:rsidRPr="00AE7870">
              <w:rPr>
                <w:sz w:val="20"/>
              </w:rPr>
              <w:t>–</w:t>
            </w:r>
          </w:p>
        </w:tc>
        <w:tc>
          <w:tcPr>
            <w:tcW w:w="527" w:type="pct"/>
            <w:tcBorders>
              <w:top w:val="nil"/>
              <w:left w:val="nil"/>
              <w:bottom w:val="single" w:sz="4" w:space="0" w:color="auto"/>
              <w:right w:val="single" w:sz="4" w:space="0" w:color="auto"/>
            </w:tcBorders>
            <w:shd w:val="clear" w:color="000000" w:fill="FFFFFF"/>
            <w:noWrap/>
            <w:vAlign w:val="center"/>
            <w:hideMark/>
          </w:tcPr>
          <w:p w14:paraId="22770109" w14:textId="77777777" w:rsidR="00691219" w:rsidRPr="00C52EE2" w:rsidRDefault="00691219" w:rsidP="005B02C1">
            <w:pPr>
              <w:jc w:val="right"/>
              <w:rPr>
                <w:sz w:val="20"/>
              </w:rPr>
            </w:pPr>
            <w:r w:rsidRPr="00C52EE2">
              <w:rPr>
                <w:sz w:val="20"/>
              </w:rPr>
              <w:t>25,2</w:t>
            </w:r>
          </w:p>
        </w:tc>
      </w:tr>
      <w:tr w:rsidR="00CB7B98" w14:paraId="7BE6A248"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1168FD20" w14:textId="77777777" w:rsidR="00691219" w:rsidRPr="00C52EE2" w:rsidRDefault="00691219" w:rsidP="00CD590E">
            <w:pPr>
              <w:jc w:val="left"/>
              <w:rPr>
                <w:b/>
                <w:bCs/>
                <w:sz w:val="20"/>
              </w:rPr>
            </w:pPr>
            <w:r w:rsidRPr="00C52EE2">
              <w:rPr>
                <w:b/>
                <w:bCs/>
                <w:sz w:val="20"/>
              </w:rPr>
              <w:t>Chorvatsko</w:t>
            </w:r>
          </w:p>
        </w:tc>
        <w:tc>
          <w:tcPr>
            <w:tcW w:w="530" w:type="pct"/>
            <w:tcBorders>
              <w:top w:val="nil"/>
              <w:left w:val="nil"/>
              <w:bottom w:val="single" w:sz="4" w:space="0" w:color="auto"/>
              <w:right w:val="single" w:sz="4" w:space="0" w:color="auto"/>
            </w:tcBorders>
            <w:shd w:val="clear" w:color="000000" w:fill="FFFFFF"/>
            <w:noWrap/>
            <w:vAlign w:val="center"/>
            <w:hideMark/>
          </w:tcPr>
          <w:p w14:paraId="03C3821B" w14:textId="77777777" w:rsidR="00691219" w:rsidRPr="00C52EE2" w:rsidRDefault="00691219" w:rsidP="005B02C1">
            <w:pPr>
              <w:jc w:val="right"/>
              <w:rPr>
                <w:sz w:val="20"/>
              </w:rPr>
            </w:pPr>
            <w:r w:rsidRPr="00C52EE2">
              <w:rPr>
                <w:sz w:val="20"/>
              </w:rPr>
              <w:t>29,4</w:t>
            </w:r>
          </w:p>
        </w:tc>
        <w:tc>
          <w:tcPr>
            <w:tcW w:w="530" w:type="pct"/>
            <w:tcBorders>
              <w:top w:val="nil"/>
              <w:left w:val="nil"/>
              <w:bottom w:val="single" w:sz="4" w:space="0" w:color="auto"/>
              <w:right w:val="single" w:sz="4" w:space="0" w:color="auto"/>
            </w:tcBorders>
            <w:shd w:val="clear" w:color="000000" w:fill="FFFFFF"/>
            <w:noWrap/>
            <w:vAlign w:val="center"/>
            <w:hideMark/>
          </w:tcPr>
          <w:p w14:paraId="7E62F23D" w14:textId="77777777" w:rsidR="00691219" w:rsidRPr="00C52EE2" w:rsidRDefault="00691219" w:rsidP="005B02C1">
            <w:pPr>
              <w:jc w:val="right"/>
              <w:rPr>
                <w:sz w:val="20"/>
              </w:rPr>
            </w:pPr>
            <w:r w:rsidRPr="00C52EE2">
              <w:rPr>
                <w:sz w:val="20"/>
              </w:rPr>
              <w:t>26,2</w:t>
            </w:r>
          </w:p>
        </w:tc>
        <w:tc>
          <w:tcPr>
            <w:tcW w:w="530" w:type="pct"/>
            <w:tcBorders>
              <w:top w:val="nil"/>
              <w:left w:val="nil"/>
              <w:bottom w:val="single" w:sz="4" w:space="0" w:color="auto"/>
              <w:right w:val="single" w:sz="4" w:space="0" w:color="auto"/>
            </w:tcBorders>
            <w:shd w:val="clear" w:color="000000" w:fill="FFFFFF"/>
            <w:noWrap/>
            <w:vAlign w:val="center"/>
            <w:hideMark/>
          </w:tcPr>
          <w:p w14:paraId="34F40359" w14:textId="77777777" w:rsidR="00691219" w:rsidRPr="00C52EE2" w:rsidRDefault="00691219" w:rsidP="005B02C1">
            <w:pPr>
              <w:jc w:val="right"/>
              <w:rPr>
                <w:sz w:val="20"/>
              </w:rPr>
            </w:pPr>
            <w:r w:rsidRPr="00C52EE2">
              <w:rPr>
                <w:sz w:val="20"/>
              </w:rPr>
              <w:t>24,4</w:t>
            </w:r>
          </w:p>
        </w:tc>
        <w:tc>
          <w:tcPr>
            <w:tcW w:w="530" w:type="pct"/>
            <w:tcBorders>
              <w:top w:val="nil"/>
              <w:left w:val="nil"/>
              <w:bottom w:val="single" w:sz="4" w:space="0" w:color="auto"/>
              <w:right w:val="single" w:sz="4" w:space="0" w:color="auto"/>
            </w:tcBorders>
            <w:shd w:val="clear" w:color="000000" w:fill="FFFFFF"/>
            <w:noWrap/>
            <w:vAlign w:val="center"/>
            <w:hideMark/>
          </w:tcPr>
          <w:p w14:paraId="10314A79" w14:textId="77777777" w:rsidR="00691219" w:rsidRPr="00C52EE2" w:rsidRDefault="00691219" w:rsidP="005B02C1">
            <w:pPr>
              <w:jc w:val="right"/>
              <w:rPr>
                <w:sz w:val="20"/>
              </w:rPr>
            </w:pPr>
            <w:r w:rsidRPr="00C52EE2">
              <w:rPr>
                <w:sz w:val="20"/>
              </w:rPr>
              <w:t>23,3</w:t>
            </w:r>
          </w:p>
        </w:tc>
        <w:tc>
          <w:tcPr>
            <w:tcW w:w="530" w:type="pct"/>
            <w:tcBorders>
              <w:top w:val="nil"/>
              <w:left w:val="nil"/>
              <w:bottom w:val="single" w:sz="4" w:space="0" w:color="auto"/>
              <w:right w:val="single" w:sz="4" w:space="0" w:color="auto"/>
            </w:tcBorders>
            <w:shd w:val="clear" w:color="000000" w:fill="FFFFFF"/>
            <w:noWrap/>
            <w:vAlign w:val="center"/>
            <w:hideMark/>
          </w:tcPr>
          <w:p w14:paraId="4E02AEF7" w14:textId="77777777" w:rsidR="00691219" w:rsidRPr="00C52EE2" w:rsidRDefault="00691219" w:rsidP="005B02C1">
            <w:pPr>
              <w:jc w:val="right"/>
              <w:rPr>
                <w:sz w:val="20"/>
              </w:rPr>
            </w:pPr>
            <w:r w:rsidRPr="00C52EE2">
              <w:rPr>
                <w:sz w:val="20"/>
              </w:rPr>
              <w:t>20,5</w:t>
            </w:r>
          </w:p>
        </w:tc>
        <w:tc>
          <w:tcPr>
            <w:tcW w:w="530" w:type="pct"/>
            <w:tcBorders>
              <w:top w:val="nil"/>
              <w:left w:val="nil"/>
              <w:bottom w:val="single" w:sz="4" w:space="0" w:color="auto"/>
              <w:right w:val="single" w:sz="4" w:space="0" w:color="auto"/>
            </w:tcBorders>
            <w:shd w:val="clear" w:color="000000" w:fill="FFFFFF"/>
            <w:noWrap/>
            <w:vAlign w:val="center"/>
            <w:hideMark/>
          </w:tcPr>
          <w:p w14:paraId="57FF1D9C" w14:textId="77777777" w:rsidR="00691219" w:rsidRPr="00C52EE2" w:rsidRDefault="00691219" w:rsidP="005B02C1">
            <w:pPr>
              <w:jc w:val="right"/>
              <w:rPr>
                <w:sz w:val="20"/>
              </w:rPr>
            </w:pPr>
            <w:r w:rsidRPr="00C52EE2">
              <w:rPr>
                <w:sz w:val="20"/>
              </w:rPr>
              <w:t>21,5</w:t>
            </w:r>
          </w:p>
        </w:tc>
        <w:tc>
          <w:tcPr>
            <w:tcW w:w="527" w:type="pct"/>
            <w:tcBorders>
              <w:top w:val="nil"/>
              <w:left w:val="nil"/>
              <w:bottom w:val="single" w:sz="4" w:space="0" w:color="auto"/>
              <w:right w:val="single" w:sz="4" w:space="0" w:color="auto"/>
            </w:tcBorders>
            <w:shd w:val="clear" w:color="000000" w:fill="FFFFFF"/>
            <w:noWrap/>
            <w:vAlign w:val="center"/>
            <w:hideMark/>
          </w:tcPr>
          <w:p w14:paraId="711FC861" w14:textId="77777777" w:rsidR="00691219" w:rsidRPr="00C52EE2" w:rsidRDefault="00691219" w:rsidP="005B02C1">
            <w:pPr>
              <w:jc w:val="right"/>
              <w:rPr>
                <w:sz w:val="20"/>
              </w:rPr>
            </w:pPr>
            <w:r w:rsidRPr="00C52EE2">
              <w:rPr>
                <w:sz w:val="20"/>
              </w:rPr>
              <w:t>19,4</w:t>
            </w:r>
          </w:p>
        </w:tc>
      </w:tr>
      <w:tr w:rsidR="00CB7B98" w14:paraId="236063B5"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59EC9A64" w14:textId="77777777" w:rsidR="00691219" w:rsidRPr="00C52EE2" w:rsidRDefault="00691219" w:rsidP="00CD590E">
            <w:pPr>
              <w:jc w:val="left"/>
              <w:rPr>
                <w:b/>
                <w:bCs/>
                <w:sz w:val="20"/>
              </w:rPr>
            </w:pPr>
            <w:r w:rsidRPr="00C52EE2">
              <w:rPr>
                <w:b/>
                <w:bCs/>
                <w:sz w:val="20"/>
              </w:rPr>
              <w:t>Irsko</w:t>
            </w:r>
          </w:p>
        </w:tc>
        <w:tc>
          <w:tcPr>
            <w:tcW w:w="530" w:type="pct"/>
            <w:tcBorders>
              <w:top w:val="nil"/>
              <w:left w:val="nil"/>
              <w:bottom w:val="single" w:sz="4" w:space="0" w:color="auto"/>
              <w:right w:val="single" w:sz="4" w:space="0" w:color="auto"/>
            </w:tcBorders>
            <w:shd w:val="clear" w:color="000000" w:fill="FFFFFF"/>
            <w:noWrap/>
            <w:vAlign w:val="center"/>
            <w:hideMark/>
          </w:tcPr>
          <w:p w14:paraId="64EBE071" w14:textId="77777777" w:rsidR="00691219" w:rsidRPr="00C52EE2" w:rsidRDefault="00691219" w:rsidP="005B02C1">
            <w:pPr>
              <w:jc w:val="right"/>
              <w:rPr>
                <w:sz w:val="20"/>
              </w:rPr>
            </w:pPr>
            <w:r w:rsidRPr="00C52EE2">
              <w:rPr>
                <w:sz w:val="20"/>
              </w:rPr>
              <w:t>18,6</w:t>
            </w:r>
          </w:p>
        </w:tc>
        <w:tc>
          <w:tcPr>
            <w:tcW w:w="530" w:type="pct"/>
            <w:tcBorders>
              <w:top w:val="nil"/>
              <w:left w:val="nil"/>
              <w:bottom w:val="single" w:sz="4" w:space="0" w:color="auto"/>
              <w:right w:val="single" w:sz="4" w:space="0" w:color="auto"/>
            </w:tcBorders>
            <w:shd w:val="clear" w:color="000000" w:fill="FFFFFF"/>
            <w:noWrap/>
            <w:vAlign w:val="center"/>
            <w:hideMark/>
          </w:tcPr>
          <w:p w14:paraId="480E4164" w14:textId="77777777" w:rsidR="00691219" w:rsidRPr="00C52EE2" w:rsidRDefault="00691219" w:rsidP="005B02C1">
            <w:pPr>
              <w:jc w:val="right"/>
              <w:rPr>
                <w:sz w:val="20"/>
              </w:rPr>
            </w:pPr>
            <w:r w:rsidRPr="00C52EE2">
              <w:rPr>
                <w:sz w:val="20"/>
              </w:rPr>
              <w:t>19,9</w:t>
            </w:r>
          </w:p>
        </w:tc>
        <w:tc>
          <w:tcPr>
            <w:tcW w:w="530" w:type="pct"/>
            <w:tcBorders>
              <w:top w:val="nil"/>
              <w:left w:val="nil"/>
              <w:bottom w:val="single" w:sz="4" w:space="0" w:color="auto"/>
              <w:right w:val="single" w:sz="4" w:space="0" w:color="auto"/>
            </w:tcBorders>
            <w:shd w:val="clear" w:color="000000" w:fill="FFFFFF"/>
            <w:noWrap/>
            <w:vAlign w:val="center"/>
            <w:hideMark/>
          </w:tcPr>
          <w:p w14:paraId="65EF7A35" w14:textId="77777777" w:rsidR="00691219" w:rsidRPr="00C52EE2" w:rsidRDefault="00691219" w:rsidP="005B02C1">
            <w:pPr>
              <w:jc w:val="right"/>
              <w:rPr>
                <w:sz w:val="20"/>
              </w:rPr>
            </w:pPr>
            <w:r w:rsidRPr="00C52EE2">
              <w:rPr>
                <w:sz w:val="20"/>
              </w:rPr>
              <w:t>14,6</w:t>
            </w:r>
          </w:p>
        </w:tc>
        <w:tc>
          <w:tcPr>
            <w:tcW w:w="530" w:type="pct"/>
            <w:tcBorders>
              <w:top w:val="nil"/>
              <w:left w:val="nil"/>
              <w:bottom w:val="single" w:sz="4" w:space="0" w:color="auto"/>
              <w:right w:val="single" w:sz="4" w:space="0" w:color="auto"/>
            </w:tcBorders>
            <w:shd w:val="clear" w:color="000000" w:fill="FFFFFF"/>
            <w:noWrap/>
            <w:vAlign w:val="center"/>
            <w:hideMark/>
          </w:tcPr>
          <w:p w14:paraId="2F303E23" w14:textId="77777777" w:rsidR="00691219" w:rsidRPr="00C52EE2" w:rsidRDefault="00691219" w:rsidP="005B02C1">
            <w:pPr>
              <w:jc w:val="right"/>
              <w:rPr>
                <w:sz w:val="20"/>
              </w:rPr>
            </w:pPr>
            <w:r w:rsidRPr="00C52EE2">
              <w:rPr>
                <w:sz w:val="20"/>
              </w:rPr>
              <w:t>19,2</w:t>
            </w:r>
          </w:p>
        </w:tc>
        <w:tc>
          <w:tcPr>
            <w:tcW w:w="530" w:type="pct"/>
            <w:tcBorders>
              <w:top w:val="nil"/>
              <w:left w:val="nil"/>
              <w:bottom w:val="single" w:sz="4" w:space="0" w:color="auto"/>
              <w:right w:val="single" w:sz="4" w:space="0" w:color="auto"/>
            </w:tcBorders>
            <w:shd w:val="clear" w:color="000000" w:fill="FFFFFF"/>
            <w:noWrap/>
            <w:vAlign w:val="center"/>
            <w:hideMark/>
          </w:tcPr>
          <w:p w14:paraId="68CC9A5B" w14:textId="77777777" w:rsidR="00691219" w:rsidRPr="00C52EE2" w:rsidRDefault="00691219" w:rsidP="005B02C1">
            <w:pPr>
              <w:jc w:val="right"/>
              <w:rPr>
                <w:sz w:val="20"/>
              </w:rPr>
            </w:pPr>
            <w:r w:rsidRPr="00C52EE2">
              <w:rPr>
                <w:sz w:val="20"/>
              </w:rPr>
              <w:t>19,3</w:t>
            </w:r>
          </w:p>
        </w:tc>
        <w:tc>
          <w:tcPr>
            <w:tcW w:w="530" w:type="pct"/>
            <w:tcBorders>
              <w:top w:val="nil"/>
              <w:left w:val="nil"/>
              <w:bottom w:val="single" w:sz="4" w:space="0" w:color="auto"/>
              <w:right w:val="single" w:sz="4" w:space="0" w:color="auto"/>
            </w:tcBorders>
            <w:shd w:val="clear" w:color="000000" w:fill="FFFFFF"/>
            <w:noWrap/>
            <w:vAlign w:val="center"/>
            <w:hideMark/>
          </w:tcPr>
          <w:p w14:paraId="0C4A8681" w14:textId="77777777" w:rsidR="00691219" w:rsidRPr="00C52EE2" w:rsidRDefault="00691219" w:rsidP="005B02C1">
            <w:pPr>
              <w:jc w:val="right"/>
              <w:rPr>
                <w:sz w:val="20"/>
              </w:rPr>
            </w:pPr>
            <w:r w:rsidRPr="00C52EE2">
              <w:rPr>
                <w:sz w:val="20"/>
              </w:rPr>
              <w:t>8,8</w:t>
            </w:r>
          </w:p>
        </w:tc>
        <w:tc>
          <w:tcPr>
            <w:tcW w:w="527" w:type="pct"/>
            <w:tcBorders>
              <w:top w:val="nil"/>
              <w:left w:val="nil"/>
              <w:bottom w:val="single" w:sz="4" w:space="0" w:color="auto"/>
              <w:right w:val="single" w:sz="4" w:space="0" w:color="auto"/>
            </w:tcBorders>
            <w:shd w:val="clear" w:color="000000" w:fill="FFFFFF"/>
            <w:noWrap/>
            <w:vAlign w:val="center"/>
            <w:hideMark/>
          </w:tcPr>
          <w:p w14:paraId="2216B67E" w14:textId="77777777" w:rsidR="00691219" w:rsidRPr="00C52EE2" w:rsidRDefault="00691219" w:rsidP="005B02C1">
            <w:pPr>
              <w:jc w:val="right"/>
              <w:rPr>
                <w:sz w:val="20"/>
              </w:rPr>
            </w:pPr>
            <w:r w:rsidRPr="00C52EE2">
              <w:rPr>
                <w:sz w:val="20"/>
              </w:rPr>
              <w:t>17,4</w:t>
            </w:r>
          </w:p>
        </w:tc>
      </w:tr>
      <w:tr w:rsidR="00CB7B98" w14:paraId="0024C756"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43DDDB9D" w14:textId="77777777" w:rsidR="00691219" w:rsidRPr="00C52EE2" w:rsidRDefault="00691219" w:rsidP="00CD590E">
            <w:pPr>
              <w:jc w:val="left"/>
              <w:rPr>
                <w:b/>
                <w:bCs/>
                <w:sz w:val="20"/>
              </w:rPr>
            </w:pPr>
            <w:r w:rsidRPr="00C52EE2">
              <w:rPr>
                <w:b/>
                <w:bCs/>
                <w:sz w:val="20"/>
              </w:rPr>
              <w:t>Itálie</w:t>
            </w:r>
          </w:p>
        </w:tc>
        <w:tc>
          <w:tcPr>
            <w:tcW w:w="530" w:type="pct"/>
            <w:tcBorders>
              <w:top w:val="nil"/>
              <w:left w:val="nil"/>
              <w:bottom w:val="single" w:sz="4" w:space="0" w:color="auto"/>
              <w:right w:val="single" w:sz="4" w:space="0" w:color="auto"/>
            </w:tcBorders>
            <w:shd w:val="clear" w:color="000000" w:fill="FFFFFF"/>
            <w:noWrap/>
            <w:vAlign w:val="center"/>
            <w:hideMark/>
          </w:tcPr>
          <w:p w14:paraId="313EED1A" w14:textId="77777777" w:rsidR="00691219" w:rsidRPr="00C52EE2" w:rsidRDefault="00691219" w:rsidP="005B02C1">
            <w:pPr>
              <w:jc w:val="right"/>
              <w:rPr>
                <w:sz w:val="20"/>
              </w:rPr>
            </w:pPr>
            <w:r w:rsidRPr="00C52EE2">
              <w:rPr>
                <w:sz w:val="20"/>
              </w:rPr>
              <w:t>35,8</w:t>
            </w:r>
          </w:p>
        </w:tc>
        <w:tc>
          <w:tcPr>
            <w:tcW w:w="530" w:type="pct"/>
            <w:tcBorders>
              <w:top w:val="nil"/>
              <w:left w:val="nil"/>
              <w:bottom w:val="single" w:sz="4" w:space="0" w:color="auto"/>
              <w:right w:val="single" w:sz="4" w:space="0" w:color="auto"/>
            </w:tcBorders>
            <w:shd w:val="clear" w:color="000000" w:fill="FFFFFF"/>
            <w:noWrap/>
            <w:vAlign w:val="center"/>
            <w:hideMark/>
          </w:tcPr>
          <w:p w14:paraId="561ADAD5" w14:textId="77777777" w:rsidR="00691219" w:rsidRPr="00C52EE2" w:rsidRDefault="00691219" w:rsidP="005B02C1">
            <w:pPr>
              <w:jc w:val="right"/>
              <w:rPr>
                <w:sz w:val="20"/>
              </w:rPr>
            </w:pPr>
            <w:r w:rsidRPr="00C52EE2">
              <w:rPr>
                <w:sz w:val="20"/>
              </w:rPr>
              <w:t>32,9</w:t>
            </w:r>
          </w:p>
        </w:tc>
        <w:tc>
          <w:tcPr>
            <w:tcW w:w="530" w:type="pct"/>
            <w:tcBorders>
              <w:top w:val="nil"/>
              <w:left w:val="nil"/>
              <w:bottom w:val="single" w:sz="4" w:space="0" w:color="auto"/>
              <w:right w:val="single" w:sz="4" w:space="0" w:color="auto"/>
            </w:tcBorders>
            <w:shd w:val="clear" w:color="000000" w:fill="FFFFFF"/>
            <w:noWrap/>
            <w:vAlign w:val="center"/>
            <w:hideMark/>
          </w:tcPr>
          <w:p w14:paraId="5F49F5CB" w14:textId="77777777" w:rsidR="00691219" w:rsidRPr="00C52EE2" w:rsidRDefault="00691219" w:rsidP="005B02C1">
            <w:pPr>
              <w:jc w:val="right"/>
              <w:rPr>
                <w:sz w:val="20"/>
              </w:rPr>
            </w:pPr>
            <w:r w:rsidRPr="00C52EE2">
              <w:rPr>
                <w:sz w:val="20"/>
              </w:rPr>
              <w:t>32,9</w:t>
            </w:r>
          </w:p>
        </w:tc>
        <w:tc>
          <w:tcPr>
            <w:tcW w:w="530" w:type="pct"/>
            <w:tcBorders>
              <w:top w:val="nil"/>
              <w:left w:val="nil"/>
              <w:bottom w:val="single" w:sz="4" w:space="0" w:color="auto"/>
              <w:right w:val="single" w:sz="4" w:space="0" w:color="auto"/>
            </w:tcBorders>
            <w:shd w:val="clear" w:color="000000" w:fill="FFFFFF"/>
            <w:noWrap/>
            <w:vAlign w:val="center"/>
            <w:hideMark/>
          </w:tcPr>
          <w:p w14:paraId="33675379" w14:textId="77777777" w:rsidR="00691219" w:rsidRPr="00C52EE2" w:rsidRDefault="00691219" w:rsidP="005B02C1">
            <w:pPr>
              <w:jc w:val="right"/>
              <w:rPr>
                <w:sz w:val="20"/>
              </w:rPr>
            </w:pPr>
            <w:r w:rsidRPr="00C52EE2">
              <w:rPr>
                <w:sz w:val="20"/>
              </w:rPr>
              <w:t>34,8</w:t>
            </w:r>
          </w:p>
        </w:tc>
        <w:tc>
          <w:tcPr>
            <w:tcW w:w="530" w:type="pct"/>
            <w:tcBorders>
              <w:top w:val="nil"/>
              <w:left w:val="nil"/>
              <w:bottom w:val="single" w:sz="4" w:space="0" w:color="auto"/>
              <w:right w:val="single" w:sz="4" w:space="0" w:color="auto"/>
            </w:tcBorders>
            <w:shd w:val="clear" w:color="000000" w:fill="FFFFFF"/>
            <w:noWrap/>
            <w:vAlign w:val="center"/>
            <w:hideMark/>
          </w:tcPr>
          <w:p w14:paraId="1DFA23EC" w14:textId="77777777" w:rsidR="00691219" w:rsidRPr="00C52EE2" w:rsidRDefault="00691219" w:rsidP="005B02C1">
            <w:pPr>
              <w:jc w:val="right"/>
              <w:rPr>
                <w:sz w:val="20"/>
              </w:rPr>
            </w:pPr>
            <w:r w:rsidRPr="00C52EE2">
              <w:rPr>
                <w:sz w:val="20"/>
              </w:rPr>
              <w:t>28,6</w:t>
            </w:r>
          </w:p>
        </w:tc>
        <w:tc>
          <w:tcPr>
            <w:tcW w:w="530" w:type="pct"/>
            <w:tcBorders>
              <w:top w:val="nil"/>
              <w:left w:val="nil"/>
              <w:bottom w:val="single" w:sz="4" w:space="0" w:color="auto"/>
              <w:right w:val="single" w:sz="4" w:space="0" w:color="auto"/>
            </w:tcBorders>
            <w:shd w:val="clear" w:color="000000" w:fill="FFFFFF"/>
            <w:noWrap/>
            <w:vAlign w:val="center"/>
            <w:hideMark/>
          </w:tcPr>
          <w:p w14:paraId="2040DBD8" w14:textId="77777777" w:rsidR="00691219" w:rsidRPr="00C52EE2" w:rsidRDefault="00691219" w:rsidP="005B02C1">
            <w:pPr>
              <w:jc w:val="right"/>
              <w:rPr>
                <w:sz w:val="20"/>
              </w:rPr>
            </w:pPr>
            <w:r w:rsidRPr="00C52EE2">
              <w:rPr>
                <w:sz w:val="20"/>
              </w:rPr>
              <w:t>28,6</w:t>
            </w:r>
          </w:p>
        </w:tc>
        <w:tc>
          <w:tcPr>
            <w:tcW w:w="527" w:type="pct"/>
            <w:tcBorders>
              <w:top w:val="nil"/>
              <w:left w:val="nil"/>
              <w:bottom w:val="single" w:sz="4" w:space="0" w:color="auto"/>
              <w:right w:val="single" w:sz="4" w:space="0" w:color="auto"/>
            </w:tcBorders>
            <w:shd w:val="clear" w:color="000000" w:fill="FFFFFF"/>
            <w:noWrap/>
            <w:vAlign w:val="center"/>
            <w:hideMark/>
          </w:tcPr>
          <w:p w14:paraId="733EAF67" w14:textId="77777777" w:rsidR="00691219" w:rsidRPr="00C52EE2" w:rsidRDefault="00691219" w:rsidP="005B02C1">
            <w:pPr>
              <w:jc w:val="right"/>
              <w:rPr>
                <w:sz w:val="20"/>
              </w:rPr>
            </w:pPr>
            <w:r w:rsidRPr="00C52EE2">
              <w:rPr>
                <w:sz w:val="20"/>
              </w:rPr>
              <w:t>24,0</w:t>
            </w:r>
          </w:p>
        </w:tc>
      </w:tr>
      <w:tr w:rsidR="00CB7B98" w14:paraId="690CBC2D"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1DFFDA61" w14:textId="77777777" w:rsidR="00691219" w:rsidRPr="00C52EE2" w:rsidRDefault="00691219" w:rsidP="00CD590E">
            <w:pPr>
              <w:jc w:val="left"/>
              <w:rPr>
                <w:b/>
                <w:bCs/>
                <w:sz w:val="20"/>
              </w:rPr>
            </w:pPr>
            <w:r w:rsidRPr="00C52EE2">
              <w:rPr>
                <w:b/>
                <w:bCs/>
                <w:sz w:val="20"/>
              </w:rPr>
              <w:t>Kypr</w:t>
            </w:r>
          </w:p>
        </w:tc>
        <w:tc>
          <w:tcPr>
            <w:tcW w:w="530" w:type="pct"/>
            <w:tcBorders>
              <w:top w:val="nil"/>
              <w:left w:val="nil"/>
              <w:bottom w:val="single" w:sz="4" w:space="0" w:color="auto"/>
              <w:right w:val="single" w:sz="4" w:space="0" w:color="auto"/>
            </w:tcBorders>
            <w:shd w:val="clear" w:color="000000" w:fill="FFFFFF"/>
            <w:noWrap/>
            <w:vAlign w:val="center"/>
            <w:hideMark/>
          </w:tcPr>
          <w:p w14:paraId="7B6979B0" w14:textId="77777777" w:rsidR="00691219" w:rsidRPr="00C52EE2" w:rsidRDefault="00691219" w:rsidP="005B02C1">
            <w:pPr>
              <w:jc w:val="right"/>
              <w:rPr>
                <w:sz w:val="20"/>
              </w:rPr>
            </w:pPr>
            <w:r w:rsidRPr="00C52EE2">
              <w:rPr>
                <w:sz w:val="20"/>
              </w:rPr>
              <w:t>12,6</w:t>
            </w:r>
          </w:p>
        </w:tc>
        <w:tc>
          <w:tcPr>
            <w:tcW w:w="530" w:type="pct"/>
            <w:tcBorders>
              <w:top w:val="nil"/>
              <w:left w:val="nil"/>
              <w:bottom w:val="single" w:sz="4" w:space="0" w:color="auto"/>
              <w:right w:val="single" w:sz="4" w:space="0" w:color="auto"/>
            </w:tcBorders>
            <w:shd w:val="clear" w:color="000000" w:fill="FFFFFF"/>
            <w:noWrap/>
            <w:vAlign w:val="center"/>
            <w:hideMark/>
          </w:tcPr>
          <w:p w14:paraId="186E3D17" w14:textId="77777777" w:rsidR="00691219" w:rsidRPr="00C52EE2" w:rsidRDefault="00691219" w:rsidP="005B02C1">
            <w:pPr>
              <w:jc w:val="right"/>
              <w:rPr>
                <w:sz w:val="20"/>
              </w:rPr>
            </w:pPr>
            <w:r w:rsidRPr="00C52EE2">
              <w:rPr>
                <w:sz w:val="20"/>
              </w:rPr>
              <w:t>10,3</w:t>
            </w:r>
          </w:p>
        </w:tc>
        <w:tc>
          <w:tcPr>
            <w:tcW w:w="530" w:type="pct"/>
            <w:tcBorders>
              <w:top w:val="nil"/>
              <w:left w:val="nil"/>
              <w:bottom w:val="single" w:sz="4" w:space="0" w:color="auto"/>
              <w:right w:val="single" w:sz="4" w:space="0" w:color="auto"/>
            </w:tcBorders>
            <w:shd w:val="clear" w:color="000000" w:fill="FFFFFF"/>
            <w:noWrap/>
            <w:vAlign w:val="center"/>
            <w:hideMark/>
          </w:tcPr>
          <w:p w14:paraId="582A616A" w14:textId="77777777" w:rsidR="00691219" w:rsidRPr="00C52EE2" w:rsidRDefault="00691219" w:rsidP="005B02C1">
            <w:pPr>
              <w:jc w:val="right"/>
              <w:rPr>
                <w:sz w:val="20"/>
              </w:rPr>
            </w:pPr>
            <w:r w:rsidRPr="00C52EE2">
              <w:rPr>
                <w:sz w:val="20"/>
              </w:rPr>
              <w:t>6,6</w:t>
            </w:r>
          </w:p>
        </w:tc>
        <w:tc>
          <w:tcPr>
            <w:tcW w:w="530" w:type="pct"/>
            <w:tcBorders>
              <w:top w:val="nil"/>
              <w:left w:val="nil"/>
              <w:bottom w:val="single" w:sz="4" w:space="0" w:color="auto"/>
              <w:right w:val="single" w:sz="4" w:space="0" w:color="auto"/>
            </w:tcBorders>
            <w:shd w:val="clear" w:color="000000" w:fill="FFFFFF"/>
            <w:noWrap/>
            <w:vAlign w:val="center"/>
            <w:hideMark/>
          </w:tcPr>
          <w:p w14:paraId="6CE7F2FA" w14:textId="77777777" w:rsidR="00691219" w:rsidRPr="00C52EE2" w:rsidRDefault="00691219" w:rsidP="005B02C1">
            <w:pPr>
              <w:jc w:val="right"/>
              <w:rPr>
                <w:sz w:val="20"/>
              </w:rPr>
            </w:pPr>
            <w:r w:rsidRPr="00C52EE2">
              <w:rPr>
                <w:sz w:val="20"/>
              </w:rPr>
              <w:t>10,3</w:t>
            </w:r>
          </w:p>
        </w:tc>
        <w:tc>
          <w:tcPr>
            <w:tcW w:w="530" w:type="pct"/>
            <w:tcBorders>
              <w:top w:val="nil"/>
              <w:left w:val="nil"/>
              <w:bottom w:val="single" w:sz="4" w:space="0" w:color="auto"/>
              <w:right w:val="single" w:sz="4" w:space="0" w:color="auto"/>
            </w:tcBorders>
            <w:shd w:val="clear" w:color="000000" w:fill="FFFFFF"/>
            <w:noWrap/>
            <w:vAlign w:val="center"/>
            <w:hideMark/>
          </w:tcPr>
          <w:p w14:paraId="19614800" w14:textId="77777777" w:rsidR="00691219" w:rsidRPr="00C52EE2" w:rsidRDefault="00691219" w:rsidP="005B02C1">
            <w:pPr>
              <w:jc w:val="right"/>
              <w:rPr>
                <w:sz w:val="20"/>
              </w:rPr>
            </w:pPr>
            <w:r w:rsidRPr="00C52EE2">
              <w:rPr>
                <w:sz w:val="20"/>
              </w:rPr>
              <w:t>7,5</w:t>
            </w:r>
          </w:p>
        </w:tc>
        <w:tc>
          <w:tcPr>
            <w:tcW w:w="530" w:type="pct"/>
            <w:tcBorders>
              <w:top w:val="nil"/>
              <w:left w:val="nil"/>
              <w:bottom w:val="single" w:sz="4" w:space="0" w:color="auto"/>
              <w:right w:val="single" w:sz="4" w:space="0" w:color="auto"/>
            </w:tcBorders>
            <w:shd w:val="clear" w:color="000000" w:fill="FFFFFF"/>
            <w:noWrap/>
            <w:vAlign w:val="center"/>
            <w:hideMark/>
          </w:tcPr>
          <w:p w14:paraId="4413E01F" w14:textId="77777777" w:rsidR="00691219" w:rsidRPr="00C52EE2" w:rsidRDefault="00691219" w:rsidP="005B02C1">
            <w:pPr>
              <w:jc w:val="right"/>
              <w:rPr>
                <w:sz w:val="20"/>
              </w:rPr>
            </w:pPr>
            <w:r w:rsidRPr="00C52EE2">
              <w:rPr>
                <w:sz w:val="20"/>
              </w:rPr>
              <w:t>9,3</w:t>
            </w:r>
          </w:p>
        </w:tc>
        <w:tc>
          <w:tcPr>
            <w:tcW w:w="527" w:type="pct"/>
            <w:tcBorders>
              <w:top w:val="nil"/>
              <w:left w:val="nil"/>
              <w:bottom w:val="single" w:sz="4" w:space="0" w:color="auto"/>
              <w:right w:val="single" w:sz="4" w:space="0" w:color="auto"/>
            </w:tcBorders>
            <w:shd w:val="clear" w:color="000000" w:fill="FFFFFF"/>
            <w:noWrap/>
            <w:vAlign w:val="center"/>
            <w:hideMark/>
          </w:tcPr>
          <w:p w14:paraId="4989E0F9" w14:textId="77777777" w:rsidR="00691219" w:rsidRPr="00C52EE2" w:rsidRDefault="00691219" w:rsidP="005B02C1">
            <w:pPr>
              <w:jc w:val="right"/>
              <w:rPr>
                <w:sz w:val="20"/>
              </w:rPr>
            </w:pPr>
            <w:r w:rsidRPr="00C52EE2">
              <w:rPr>
                <w:sz w:val="20"/>
              </w:rPr>
              <w:t>10,9</w:t>
            </w:r>
          </w:p>
        </w:tc>
      </w:tr>
      <w:tr w:rsidR="00CB7B98" w14:paraId="14407946"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289BF127" w14:textId="77777777" w:rsidR="00691219" w:rsidRPr="00C52EE2" w:rsidRDefault="00691219" w:rsidP="00CD590E">
            <w:pPr>
              <w:jc w:val="left"/>
              <w:rPr>
                <w:b/>
                <w:bCs/>
                <w:sz w:val="20"/>
              </w:rPr>
            </w:pPr>
            <w:r w:rsidRPr="00C52EE2">
              <w:rPr>
                <w:b/>
                <w:bCs/>
                <w:sz w:val="20"/>
              </w:rPr>
              <w:t>Litva</w:t>
            </w:r>
          </w:p>
        </w:tc>
        <w:tc>
          <w:tcPr>
            <w:tcW w:w="530" w:type="pct"/>
            <w:tcBorders>
              <w:top w:val="nil"/>
              <w:left w:val="nil"/>
              <w:bottom w:val="single" w:sz="4" w:space="0" w:color="auto"/>
              <w:right w:val="single" w:sz="4" w:space="0" w:color="auto"/>
            </w:tcBorders>
            <w:shd w:val="clear" w:color="000000" w:fill="FFFFFF"/>
            <w:noWrap/>
            <w:vAlign w:val="center"/>
            <w:hideMark/>
          </w:tcPr>
          <w:p w14:paraId="017F20BD" w14:textId="77777777" w:rsidR="00691219" w:rsidRPr="00C52EE2" w:rsidRDefault="00691219" w:rsidP="005B02C1">
            <w:pPr>
              <w:jc w:val="right"/>
              <w:rPr>
                <w:sz w:val="20"/>
              </w:rPr>
            </w:pPr>
            <w:r w:rsidRPr="00C52EE2">
              <w:rPr>
                <w:sz w:val="20"/>
              </w:rPr>
              <w:t>29,6</w:t>
            </w:r>
          </w:p>
        </w:tc>
        <w:tc>
          <w:tcPr>
            <w:tcW w:w="530" w:type="pct"/>
            <w:tcBorders>
              <w:top w:val="nil"/>
              <w:left w:val="nil"/>
              <w:bottom w:val="single" w:sz="4" w:space="0" w:color="auto"/>
              <w:right w:val="single" w:sz="4" w:space="0" w:color="auto"/>
            </w:tcBorders>
            <w:shd w:val="clear" w:color="000000" w:fill="FFFFFF"/>
            <w:noWrap/>
            <w:vAlign w:val="center"/>
            <w:hideMark/>
          </w:tcPr>
          <w:p w14:paraId="0517B5A6" w14:textId="77777777" w:rsidR="00691219" w:rsidRPr="00C52EE2" w:rsidRDefault="00691219" w:rsidP="005B02C1">
            <w:pPr>
              <w:jc w:val="right"/>
              <w:rPr>
                <w:sz w:val="20"/>
              </w:rPr>
            </w:pPr>
            <w:r w:rsidRPr="00C52EE2">
              <w:rPr>
                <w:sz w:val="20"/>
              </w:rPr>
              <w:t>26,8</w:t>
            </w:r>
          </w:p>
        </w:tc>
        <w:tc>
          <w:tcPr>
            <w:tcW w:w="530" w:type="pct"/>
            <w:tcBorders>
              <w:top w:val="nil"/>
              <w:left w:val="nil"/>
              <w:bottom w:val="single" w:sz="4" w:space="0" w:color="auto"/>
              <w:right w:val="single" w:sz="4" w:space="0" w:color="auto"/>
            </w:tcBorders>
            <w:shd w:val="clear" w:color="000000" w:fill="FFFFFF"/>
            <w:noWrap/>
            <w:vAlign w:val="center"/>
            <w:hideMark/>
          </w:tcPr>
          <w:p w14:paraId="79A0639D" w14:textId="77777777" w:rsidR="00691219" w:rsidRPr="00C52EE2" w:rsidRDefault="00691219" w:rsidP="005B02C1">
            <w:pPr>
              <w:jc w:val="right"/>
              <w:rPr>
                <w:sz w:val="20"/>
              </w:rPr>
            </w:pPr>
            <w:r w:rsidRPr="00C52EE2">
              <w:rPr>
                <w:sz w:val="20"/>
              </w:rPr>
              <w:t>22,3</w:t>
            </w:r>
          </w:p>
        </w:tc>
        <w:tc>
          <w:tcPr>
            <w:tcW w:w="530" w:type="pct"/>
            <w:tcBorders>
              <w:top w:val="nil"/>
              <w:left w:val="nil"/>
              <w:bottom w:val="single" w:sz="4" w:space="0" w:color="auto"/>
              <w:right w:val="single" w:sz="4" w:space="0" w:color="auto"/>
            </w:tcBorders>
            <w:shd w:val="clear" w:color="000000" w:fill="FFFFFF"/>
            <w:noWrap/>
            <w:vAlign w:val="center"/>
            <w:hideMark/>
          </w:tcPr>
          <w:p w14:paraId="191A8039" w14:textId="77777777" w:rsidR="00691219" w:rsidRPr="00C52EE2" w:rsidRDefault="00691219" w:rsidP="005B02C1">
            <w:pPr>
              <w:jc w:val="right"/>
              <w:rPr>
                <w:sz w:val="20"/>
              </w:rPr>
            </w:pPr>
            <w:r w:rsidRPr="00C52EE2">
              <w:rPr>
                <w:sz w:val="20"/>
              </w:rPr>
              <w:t>19,8</w:t>
            </w:r>
          </w:p>
        </w:tc>
        <w:tc>
          <w:tcPr>
            <w:tcW w:w="530" w:type="pct"/>
            <w:tcBorders>
              <w:top w:val="nil"/>
              <w:left w:val="nil"/>
              <w:bottom w:val="single" w:sz="4" w:space="0" w:color="auto"/>
              <w:right w:val="single" w:sz="4" w:space="0" w:color="auto"/>
            </w:tcBorders>
            <w:shd w:val="clear" w:color="000000" w:fill="FFFFFF"/>
            <w:noWrap/>
            <w:vAlign w:val="center"/>
            <w:hideMark/>
          </w:tcPr>
          <w:p w14:paraId="28B5BA70" w14:textId="77777777" w:rsidR="00691219" w:rsidRPr="00C52EE2" w:rsidRDefault="00691219" w:rsidP="005B02C1">
            <w:pPr>
              <w:jc w:val="right"/>
              <w:rPr>
                <w:sz w:val="20"/>
              </w:rPr>
            </w:pPr>
            <w:r w:rsidRPr="00C52EE2">
              <w:rPr>
                <w:sz w:val="20"/>
              </w:rPr>
              <w:t>11,6</w:t>
            </w:r>
          </w:p>
        </w:tc>
        <w:tc>
          <w:tcPr>
            <w:tcW w:w="530" w:type="pct"/>
            <w:tcBorders>
              <w:top w:val="nil"/>
              <w:left w:val="nil"/>
              <w:bottom w:val="single" w:sz="4" w:space="0" w:color="auto"/>
              <w:right w:val="single" w:sz="4" w:space="0" w:color="auto"/>
            </w:tcBorders>
            <w:shd w:val="clear" w:color="000000" w:fill="FFFFFF"/>
            <w:noWrap/>
            <w:vAlign w:val="center"/>
            <w:hideMark/>
          </w:tcPr>
          <w:p w14:paraId="5EBE2936" w14:textId="77777777" w:rsidR="00691219" w:rsidRPr="00C52EE2" w:rsidRDefault="00691219" w:rsidP="005B02C1">
            <w:pPr>
              <w:jc w:val="right"/>
              <w:rPr>
                <w:sz w:val="20"/>
              </w:rPr>
            </w:pPr>
            <w:r w:rsidRPr="00C52EE2">
              <w:rPr>
                <w:sz w:val="20"/>
              </w:rPr>
              <w:t>12,9</w:t>
            </w:r>
          </w:p>
        </w:tc>
        <w:tc>
          <w:tcPr>
            <w:tcW w:w="527" w:type="pct"/>
            <w:tcBorders>
              <w:top w:val="nil"/>
              <w:left w:val="nil"/>
              <w:bottom w:val="single" w:sz="4" w:space="0" w:color="auto"/>
              <w:right w:val="single" w:sz="4" w:space="0" w:color="auto"/>
            </w:tcBorders>
            <w:shd w:val="clear" w:color="000000" w:fill="FFFFFF"/>
            <w:noWrap/>
            <w:vAlign w:val="center"/>
            <w:hideMark/>
          </w:tcPr>
          <w:p w14:paraId="403FE43E" w14:textId="77777777" w:rsidR="00691219" w:rsidRPr="00C52EE2" w:rsidRDefault="00691219" w:rsidP="005B02C1">
            <w:pPr>
              <w:jc w:val="right"/>
              <w:rPr>
                <w:sz w:val="20"/>
              </w:rPr>
            </w:pPr>
            <w:r w:rsidRPr="00C52EE2">
              <w:rPr>
                <w:sz w:val="20"/>
              </w:rPr>
              <w:t>14,2</w:t>
            </w:r>
          </w:p>
        </w:tc>
      </w:tr>
      <w:tr w:rsidR="00CB7B98" w14:paraId="5D6FD8C2"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08792310" w14:textId="77777777" w:rsidR="00691219" w:rsidRPr="00C52EE2" w:rsidRDefault="00691219" w:rsidP="00CD590E">
            <w:pPr>
              <w:jc w:val="left"/>
              <w:rPr>
                <w:b/>
                <w:bCs/>
                <w:sz w:val="20"/>
              </w:rPr>
            </w:pPr>
            <w:r w:rsidRPr="00C52EE2">
              <w:rPr>
                <w:b/>
                <w:bCs/>
                <w:sz w:val="20"/>
              </w:rPr>
              <w:t>Lotyšsko</w:t>
            </w:r>
          </w:p>
        </w:tc>
        <w:tc>
          <w:tcPr>
            <w:tcW w:w="530" w:type="pct"/>
            <w:tcBorders>
              <w:top w:val="nil"/>
              <w:left w:val="nil"/>
              <w:bottom w:val="single" w:sz="4" w:space="0" w:color="auto"/>
              <w:right w:val="single" w:sz="4" w:space="0" w:color="auto"/>
            </w:tcBorders>
            <w:shd w:val="clear" w:color="000000" w:fill="FFFFFF"/>
            <w:noWrap/>
            <w:vAlign w:val="center"/>
            <w:hideMark/>
          </w:tcPr>
          <w:p w14:paraId="2A42CBDE" w14:textId="77777777" w:rsidR="00691219" w:rsidRPr="00C52EE2" w:rsidRDefault="00691219" w:rsidP="005B02C1">
            <w:pPr>
              <w:jc w:val="right"/>
              <w:rPr>
                <w:sz w:val="20"/>
              </w:rPr>
            </w:pPr>
            <w:r w:rsidRPr="00C52EE2">
              <w:rPr>
                <w:sz w:val="20"/>
              </w:rPr>
              <w:t>25,2</w:t>
            </w:r>
          </w:p>
        </w:tc>
        <w:tc>
          <w:tcPr>
            <w:tcW w:w="530" w:type="pct"/>
            <w:tcBorders>
              <w:top w:val="nil"/>
              <w:left w:val="nil"/>
              <w:bottom w:val="single" w:sz="4" w:space="0" w:color="auto"/>
              <w:right w:val="single" w:sz="4" w:space="0" w:color="auto"/>
            </w:tcBorders>
            <w:shd w:val="clear" w:color="000000" w:fill="FFFFFF"/>
            <w:noWrap/>
            <w:vAlign w:val="center"/>
            <w:hideMark/>
          </w:tcPr>
          <w:p w14:paraId="5F93E02F" w14:textId="77777777" w:rsidR="00691219" w:rsidRPr="00C52EE2" w:rsidRDefault="00691219" w:rsidP="005B02C1">
            <w:pPr>
              <w:jc w:val="right"/>
              <w:rPr>
                <w:sz w:val="20"/>
              </w:rPr>
            </w:pPr>
            <w:r w:rsidRPr="00C52EE2">
              <w:rPr>
                <w:sz w:val="20"/>
              </w:rPr>
              <w:t>25,6</w:t>
            </w:r>
          </w:p>
        </w:tc>
        <w:tc>
          <w:tcPr>
            <w:tcW w:w="530" w:type="pct"/>
            <w:tcBorders>
              <w:top w:val="nil"/>
              <w:left w:val="nil"/>
              <w:bottom w:val="single" w:sz="4" w:space="0" w:color="auto"/>
              <w:right w:val="single" w:sz="4" w:space="0" w:color="auto"/>
            </w:tcBorders>
            <w:shd w:val="clear" w:color="000000" w:fill="FFFFFF"/>
            <w:noWrap/>
            <w:vAlign w:val="center"/>
            <w:hideMark/>
          </w:tcPr>
          <w:p w14:paraId="470C516D" w14:textId="77777777" w:rsidR="00691219" w:rsidRPr="00C52EE2" w:rsidRDefault="00691219" w:rsidP="005B02C1">
            <w:pPr>
              <w:jc w:val="right"/>
              <w:rPr>
                <w:sz w:val="20"/>
              </w:rPr>
            </w:pPr>
            <w:r w:rsidRPr="00C52EE2">
              <w:rPr>
                <w:sz w:val="20"/>
              </w:rPr>
              <w:t>23,0</w:t>
            </w:r>
          </w:p>
        </w:tc>
        <w:tc>
          <w:tcPr>
            <w:tcW w:w="530" w:type="pct"/>
            <w:tcBorders>
              <w:top w:val="nil"/>
              <w:left w:val="nil"/>
              <w:bottom w:val="single" w:sz="4" w:space="0" w:color="auto"/>
              <w:right w:val="single" w:sz="4" w:space="0" w:color="auto"/>
            </w:tcBorders>
            <w:shd w:val="clear" w:color="000000" w:fill="FFFFFF"/>
            <w:noWrap/>
            <w:vAlign w:val="center"/>
            <w:hideMark/>
          </w:tcPr>
          <w:p w14:paraId="3E9CA115" w14:textId="77777777" w:rsidR="00691219" w:rsidRPr="00C52EE2" w:rsidRDefault="00691219" w:rsidP="005B02C1">
            <w:pPr>
              <w:jc w:val="right"/>
              <w:rPr>
                <w:sz w:val="20"/>
              </w:rPr>
            </w:pPr>
            <w:r w:rsidRPr="00C52EE2">
              <w:rPr>
                <w:sz w:val="20"/>
              </w:rPr>
              <w:t>19,4</w:t>
            </w:r>
          </w:p>
        </w:tc>
        <w:tc>
          <w:tcPr>
            <w:tcW w:w="530" w:type="pct"/>
            <w:tcBorders>
              <w:top w:val="nil"/>
              <w:left w:val="nil"/>
              <w:bottom w:val="single" w:sz="4" w:space="0" w:color="auto"/>
              <w:right w:val="single" w:sz="4" w:space="0" w:color="auto"/>
            </w:tcBorders>
            <w:shd w:val="clear" w:color="000000" w:fill="FFFFFF"/>
            <w:noWrap/>
            <w:vAlign w:val="center"/>
            <w:hideMark/>
          </w:tcPr>
          <w:p w14:paraId="19DC7E58" w14:textId="77777777" w:rsidR="00691219" w:rsidRPr="00C52EE2" w:rsidRDefault="00691219" w:rsidP="005B02C1">
            <w:pPr>
              <w:jc w:val="right"/>
              <w:rPr>
                <w:sz w:val="20"/>
              </w:rPr>
            </w:pPr>
            <w:r w:rsidRPr="00C52EE2">
              <w:rPr>
                <w:sz w:val="20"/>
              </w:rPr>
              <w:t>17,4</w:t>
            </w:r>
          </w:p>
        </w:tc>
        <w:tc>
          <w:tcPr>
            <w:tcW w:w="530" w:type="pct"/>
            <w:tcBorders>
              <w:top w:val="nil"/>
              <w:left w:val="nil"/>
              <w:bottom w:val="single" w:sz="4" w:space="0" w:color="auto"/>
              <w:right w:val="single" w:sz="4" w:space="0" w:color="auto"/>
            </w:tcBorders>
            <w:shd w:val="clear" w:color="000000" w:fill="FFFFFF"/>
            <w:noWrap/>
            <w:vAlign w:val="center"/>
            <w:hideMark/>
          </w:tcPr>
          <w:p w14:paraId="3AE7B608" w14:textId="77777777" w:rsidR="00691219" w:rsidRPr="00C52EE2" w:rsidRDefault="00691219" w:rsidP="005B02C1">
            <w:pPr>
              <w:jc w:val="right"/>
              <w:rPr>
                <w:sz w:val="20"/>
              </w:rPr>
            </w:pPr>
            <w:r w:rsidRPr="00C52EE2">
              <w:rPr>
                <w:sz w:val="20"/>
              </w:rPr>
              <w:t>17,4</w:t>
            </w:r>
          </w:p>
        </w:tc>
        <w:tc>
          <w:tcPr>
            <w:tcW w:w="527" w:type="pct"/>
            <w:tcBorders>
              <w:top w:val="nil"/>
              <w:left w:val="nil"/>
              <w:bottom w:val="single" w:sz="4" w:space="0" w:color="auto"/>
              <w:right w:val="single" w:sz="4" w:space="0" w:color="auto"/>
            </w:tcBorders>
            <w:shd w:val="clear" w:color="000000" w:fill="FFFFFF"/>
            <w:noWrap/>
            <w:vAlign w:val="center"/>
            <w:hideMark/>
          </w:tcPr>
          <w:p w14:paraId="663F365B" w14:textId="77777777" w:rsidR="00691219" w:rsidRPr="00C52EE2" w:rsidRDefault="00691219" w:rsidP="005B02C1">
            <w:pPr>
              <w:jc w:val="right"/>
              <w:rPr>
                <w:sz w:val="20"/>
              </w:rPr>
            </w:pPr>
            <w:r w:rsidRPr="00C52EE2">
              <w:rPr>
                <w:sz w:val="20"/>
              </w:rPr>
              <w:t>20,4</w:t>
            </w:r>
          </w:p>
        </w:tc>
      </w:tr>
      <w:tr w:rsidR="00CB7B98" w14:paraId="36754B55"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26DB73D4" w14:textId="77777777" w:rsidR="00691219" w:rsidRPr="00C52EE2" w:rsidRDefault="00691219" w:rsidP="00CD590E">
            <w:pPr>
              <w:jc w:val="left"/>
              <w:rPr>
                <w:b/>
                <w:bCs/>
                <w:sz w:val="20"/>
              </w:rPr>
            </w:pPr>
            <w:r w:rsidRPr="00C52EE2">
              <w:rPr>
                <w:b/>
                <w:bCs/>
                <w:sz w:val="20"/>
              </w:rPr>
              <w:t>Lucembursko</w:t>
            </w:r>
          </w:p>
        </w:tc>
        <w:tc>
          <w:tcPr>
            <w:tcW w:w="530" w:type="pct"/>
            <w:tcBorders>
              <w:top w:val="nil"/>
              <w:left w:val="nil"/>
              <w:bottom w:val="single" w:sz="4" w:space="0" w:color="auto"/>
              <w:right w:val="single" w:sz="4" w:space="0" w:color="auto"/>
            </w:tcBorders>
            <w:shd w:val="clear" w:color="000000" w:fill="FFFFFF"/>
            <w:noWrap/>
            <w:vAlign w:val="center"/>
            <w:hideMark/>
          </w:tcPr>
          <w:p w14:paraId="4BF74E54" w14:textId="77777777" w:rsidR="00691219" w:rsidRPr="00C52EE2" w:rsidRDefault="00691219" w:rsidP="005B02C1">
            <w:pPr>
              <w:jc w:val="right"/>
              <w:rPr>
                <w:sz w:val="20"/>
              </w:rPr>
            </w:pPr>
            <w:r w:rsidRPr="00C52EE2">
              <w:rPr>
                <w:sz w:val="20"/>
              </w:rPr>
              <w:t>29,7</w:t>
            </w:r>
          </w:p>
        </w:tc>
        <w:tc>
          <w:tcPr>
            <w:tcW w:w="530" w:type="pct"/>
            <w:tcBorders>
              <w:top w:val="nil"/>
              <w:left w:val="nil"/>
              <w:bottom w:val="single" w:sz="4" w:space="0" w:color="auto"/>
              <w:right w:val="single" w:sz="4" w:space="0" w:color="auto"/>
            </w:tcBorders>
            <w:shd w:val="clear" w:color="000000" w:fill="FFFFFF"/>
            <w:noWrap/>
            <w:vAlign w:val="center"/>
            <w:hideMark/>
          </w:tcPr>
          <w:p w14:paraId="6984BCD6" w14:textId="77777777" w:rsidR="00691219" w:rsidRPr="00C52EE2" w:rsidRDefault="00691219" w:rsidP="005B02C1">
            <w:pPr>
              <w:jc w:val="right"/>
              <w:rPr>
                <w:sz w:val="20"/>
              </w:rPr>
            </w:pPr>
            <w:r w:rsidRPr="00C52EE2">
              <w:rPr>
                <w:sz w:val="20"/>
              </w:rPr>
              <w:t>31,8</w:t>
            </w:r>
          </w:p>
        </w:tc>
        <w:tc>
          <w:tcPr>
            <w:tcW w:w="530" w:type="pct"/>
            <w:tcBorders>
              <w:top w:val="nil"/>
              <w:left w:val="nil"/>
              <w:bottom w:val="single" w:sz="4" w:space="0" w:color="auto"/>
              <w:right w:val="single" w:sz="4" w:space="0" w:color="auto"/>
            </w:tcBorders>
            <w:shd w:val="clear" w:color="000000" w:fill="FFFFFF"/>
            <w:noWrap/>
            <w:vAlign w:val="center"/>
            <w:hideMark/>
          </w:tcPr>
          <w:p w14:paraId="244D5328" w14:textId="77777777" w:rsidR="00691219" w:rsidRPr="00C52EE2" w:rsidRDefault="00691219" w:rsidP="005B02C1">
            <w:pPr>
              <w:jc w:val="right"/>
              <w:rPr>
                <w:sz w:val="20"/>
              </w:rPr>
            </w:pPr>
            <w:r w:rsidRPr="00C52EE2">
              <w:rPr>
                <w:sz w:val="20"/>
              </w:rPr>
              <w:t>40,5</w:t>
            </w:r>
          </w:p>
        </w:tc>
        <w:tc>
          <w:tcPr>
            <w:tcW w:w="530" w:type="pct"/>
            <w:tcBorders>
              <w:top w:val="nil"/>
              <w:left w:val="nil"/>
              <w:bottom w:val="single" w:sz="4" w:space="0" w:color="auto"/>
              <w:right w:val="single" w:sz="4" w:space="0" w:color="auto"/>
            </w:tcBorders>
            <w:shd w:val="clear" w:color="000000" w:fill="FFFFFF"/>
            <w:noWrap/>
            <w:vAlign w:val="center"/>
            <w:hideMark/>
          </w:tcPr>
          <w:p w14:paraId="457BF135" w14:textId="77777777" w:rsidR="00691219" w:rsidRPr="00C52EE2" w:rsidRDefault="00691219" w:rsidP="005B02C1">
            <w:pPr>
              <w:jc w:val="right"/>
              <w:rPr>
                <w:sz w:val="20"/>
              </w:rPr>
            </w:pPr>
            <w:r w:rsidRPr="00C52EE2">
              <w:rPr>
                <w:sz w:val="20"/>
              </w:rPr>
              <w:t>37,7</w:t>
            </w:r>
          </w:p>
        </w:tc>
        <w:tc>
          <w:tcPr>
            <w:tcW w:w="530" w:type="pct"/>
            <w:tcBorders>
              <w:top w:val="nil"/>
              <w:left w:val="nil"/>
              <w:bottom w:val="single" w:sz="4" w:space="0" w:color="auto"/>
              <w:right w:val="single" w:sz="4" w:space="0" w:color="auto"/>
            </w:tcBorders>
            <w:shd w:val="clear" w:color="000000" w:fill="FFFFFF"/>
            <w:noWrap/>
            <w:vAlign w:val="center"/>
            <w:hideMark/>
          </w:tcPr>
          <w:p w14:paraId="3EE169A0" w14:textId="77777777" w:rsidR="00691219" w:rsidRPr="00C52EE2" w:rsidRDefault="00691219" w:rsidP="005B02C1">
            <w:pPr>
              <w:jc w:val="right"/>
              <w:rPr>
                <w:sz w:val="20"/>
              </w:rPr>
            </w:pPr>
            <w:r w:rsidRPr="00C52EE2">
              <w:rPr>
                <w:sz w:val="20"/>
              </w:rPr>
              <w:t>34,3</w:t>
            </w:r>
          </w:p>
        </w:tc>
        <w:tc>
          <w:tcPr>
            <w:tcW w:w="530" w:type="pct"/>
            <w:tcBorders>
              <w:top w:val="nil"/>
              <w:left w:val="nil"/>
              <w:bottom w:val="single" w:sz="4" w:space="0" w:color="auto"/>
              <w:right w:val="single" w:sz="4" w:space="0" w:color="auto"/>
            </w:tcBorders>
            <w:shd w:val="clear" w:color="000000" w:fill="FFFFFF"/>
            <w:noWrap/>
            <w:vAlign w:val="center"/>
            <w:hideMark/>
          </w:tcPr>
          <w:p w14:paraId="689E0420" w14:textId="77777777" w:rsidR="00691219" w:rsidRPr="00C52EE2" w:rsidRDefault="00691219" w:rsidP="005B02C1">
            <w:pPr>
              <w:jc w:val="right"/>
              <w:rPr>
                <w:sz w:val="20"/>
              </w:rPr>
            </w:pPr>
            <w:r w:rsidRPr="00C52EE2">
              <w:rPr>
                <w:sz w:val="20"/>
              </w:rPr>
              <w:t>16,8</w:t>
            </w:r>
          </w:p>
        </w:tc>
        <w:tc>
          <w:tcPr>
            <w:tcW w:w="527" w:type="pct"/>
            <w:tcBorders>
              <w:top w:val="nil"/>
              <w:left w:val="nil"/>
              <w:bottom w:val="single" w:sz="4" w:space="0" w:color="auto"/>
              <w:right w:val="single" w:sz="4" w:space="0" w:color="auto"/>
            </w:tcBorders>
            <w:shd w:val="clear" w:color="000000" w:fill="FFFFFF"/>
            <w:noWrap/>
            <w:vAlign w:val="center"/>
            <w:hideMark/>
          </w:tcPr>
          <w:p w14:paraId="11113A23" w14:textId="77777777" w:rsidR="00691219" w:rsidRPr="00C52EE2" w:rsidRDefault="00691219" w:rsidP="005B02C1">
            <w:pPr>
              <w:jc w:val="right"/>
              <w:rPr>
                <w:sz w:val="20"/>
              </w:rPr>
            </w:pPr>
            <w:r w:rsidRPr="00C52EE2">
              <w:rPr>
                <w:sz w:val="20"/>
              </w:rPr>
              <w:t>36,0</w:t>
            </w:r>
          </w:p>
        </w:tc>
      </w:tr>
      <w:tr w:rsidR="00CB7B98" w14:paraId="11766248"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4CD7C6BB" w14:textId="77777777" w:rsidR="00691219" w:rsidRPr="00C52EE2" w:rsidRDefault="00691219" w:rsidP="00CD590E">
            <w:pPr>
              <w:jc w:val="left"/>
              <w:rPr>
                <w:b/>
                <w:bCs/>
                <w:sz w:val="20"/>
              </w:rPr>
            </w:pPr>
            <w:r w:rsidRPr="00C52EE2">
              <w:rPr>
                <w:b/>
                <w:bCs/>
                <w:sz w:val="20"/>
              </w:rPr>
              <w:t>Maďarsko</w:t>
            </w:r>
          </w:p>
        </w:tc>
        <w:tc>
          <w:tcPr>
            <w:tcW w:w="530" w:type="pct"/>
            <w:tcBorders>
              <w:top w:val="nil"/>
              <w:left w:val="nil"/>
              <w:bottom w:val="single" w:sz="4" w:space="0" w:color="auto"/>
              <w:right w:val="single" w:sz="4" w:space="0" w:color="auto"/>
            </w:tcBorders>
            <w:shd w:val="clear" w:color="000000" w:fill="FFFFFF"/>
            <w:noWrap/>
            <w:vAlign w:val="center"/>
            <w:hideMark/>
          </w:tcPr>
          <w:p w14:paraId="0CEFDF62" w14:textId="77777777" w:rsidR="00691219" w:rsidRPr="00C52EE2" w:rsidRDefault="00691219" w:rsidP="005B02C1">
            <w:pPr>
              <w:jc w:val="right"/>
              <w:rPr>
                <w:sz w:val="20"/>
              </w:rPr>
            </w:pPr>
            <w:r w:rsidRPr="00C52EE2">
              <w:rPr>
                <w:sz w:val="20"/>
              </w:rPr>
              <w:t>32,9</w:t>
            </w:r>
          </w:p>
        </w:tc>
        <w:tc>
          <w:tcPr>
            <w:tcW w:w="530" w:type="pct"/>
            <w:tcBorders>
              <w:top w:val="nil"/>
              <w:left w:val="nil"/>
              <w:bottom w:val="single" w:sz="4" w:space="0" w:color="auto"/>
              <w:right w:val="single" w:sz="4" w:space="0" w:color="auto"/>
            </w:tcBorders>
            <w:shd w:val="clear" w:color="000000" w:fill="FFFFFF"/>
            <w:noWrap/>
            <w:vAlign w:val="center"/>
            <w:hideMark/>
          </w:tcPr>
          <w:p w14:paraId="69597835" w14:textId="77777777" w:rsidR="00691219" w:rsidRPr="00C52EE2" w:rsidRDefault="00691219" w:rsidP="005B02C1">
            <w:pPr>
              <w:jc w:val="right"/>
              <w:rPr>
                <w:sz w:val="20"/>
              </w:rPr>
            </w:pPr>
            <w:r w:rsidRPr="00C52EE2">
              <w:rPr>
                <w:sz w:val="20"/>
              </w:rPr>
              <w:t>49,4</w:t>
            </w:r>
          </w:p>
        </w:tc>
        <w:tc>
          <w:tcPr>
            <w:tcW w:w="530" w:type="pct"/>
            <w:tcBorders>
              <w:top w:val="nil"/>
              <w:left w:val="nil"/>
              <w:bottom w:val="single" w:sz="4" w:space="0" w:color="auto"/>
              <w:right w:val="single" w:sz="4" w:space="0" w:color="auto"/>
            </w:tcBorders>
            <w:shd w:val="clear" w:color="000000" w:fill="FFFFFF"/>
            <w:noWrap/>
            <w:vAlign w:val="center"/>
            <w:hideMark/>
          </w:tcPr>
          <w:p w14:paraId="28657FA4" w14:textId="77777777" w:rsidR="00691219" w:rsidRPr="00C52EE2" w:rsidRDefault="00691219" w:rsidP="005B02C1">
            <w:pPr>
              <w:jc w:val="right"/>
              <w:rPr>
                <w:sz w:val="20"/>
              </w:rPr>
            </w:pPr>
            <w:r w:rsidRPr="00C52EE2">
              <w:rPr>
                <w:sz w:val="20"/>
              </w:rPr>
              <w:t>46,4</w:t>
            </w:r>
          </w:p>
        </w:tc>
        <w:tc>
          <w:tcPr>
            <w:tcW w:w="530" w:type="pct"/>
            <w:tcBorders>
              <w:top w:val="nil"/>
              <w:left w:val="nil"/>
              <w:bottom w:val="single" w:sz="4" w:space="0" w:color="auto"/>
              <w:right w:val="single" w:sz="4" w:space="0" w:color="auto"/>
            </w:tcBorders>
            <w:shd w:val="clear" w:color="000000" w:fill="FFFFFF"/>
            <w:noWrap/>
            <w:vAlign w:val="center"/>
            <w:hideMark/>
          </w:tcPr>
          <w:p w14:paraId="58DE901E" w14:textId="77777777" w:rsidR="00691219" w:rsidRPr="00C52EE2" w:rsidRDefault="00691219" w:rsidP="005B02C1">
            <w:pPr>
              <w:jc w:val="right"/>
              <w:rPr>
                <w:sz w:val="20"/>
              </w:rPr>
            </w:pPr>
            <w:r w:rsidRPr="00C52EE2">
              <w:rPr>
                <w:sz w:val="20"/>
              </w:rPr>
              <w:t>22,4</w:t>
            </w:r>
          </w:p>
        </w:tc>
        <w:tc>
          <w:tcPr>
            <w:tcW w:w="530" w:type="pct"/>
            <w:tcBorders>
              <w:top w:val="nil"/>
              <w:left w:val="nil"/>
              <w:bottom w:val="single" w:sz="4" w:space="0" w:color="auto"/>
              <w:right w:val="single" w:sz="4" w:space="0" w:color="auto"/>
            </w:tcBorders>
            <w:shd w:val="clear" w:color="000000" w:fill="FFFFFF"/>
            <w:noWrap/>
            <w:vAlign w:val="center"/>
            <w:hideMark/>
          </w:tcPr>
          <w:p w14:paraId="6D4BAB0F" w14:textId="77777777" w:rsidR="00691219" w:rsidRPr="00C52EE2" w:rsidRDefault="00691219" w:rsidP="005B02C1">
            <w:pPr>
              <w:jc w:val="right"/>
              <w:rPr>
                <w:sz w:val="20"/>
              </w:rPr>
            </w:pPr>
            <w:r w:rsidRPr="00C52EE2">
              <w:rPr>
                <w:sz w:val="20"/>
              </w:rPr>
              <w:t>20,5</w:t>
            </w:r>
          </w:p>
        </w:tc>
        <w:tc>
          <w:tcPr>
            <w:tcW w:w="530" w:type="pct"/>
            <w:tcBorders>
              <w:top w:val="nil"/>
              <w:left w:val="nil"/>
              <w:bottom w:val="single" w:sz="4" w:space="0" w:color="auto"/>
              <w:right w:val="single" w:sz="4" w:space="0" w:color="auto"/>
            </w:tcBorders>
            <w:shd w:val="clear" w:color="000000" w:fill="FFFFFF"/>
            <w:noWrap/>
            <w:vAlign w:val="center"/>
            <w:hideMark/>
          </w:tcPr>
          <w:p w14:paraId="0AEE4854" w14:textId="77777777" w:rsidR="00691219" w:rsidRPr="00C52EE2" w:rsidRDefault="00691219" w:rsidP="005B02C1">
            <w:pPr>
              <w:jc w:val="right"/>
              <w:rPr>
                <w:sz w:val="20"/>
              </w:rPr>
            </w:pPr>
            <w:r w:rsidRPr="00C52EE2">
              <w:rPr>
                <w:sz w:val="20"/>
              </w:rPr>
              <w:t>12,8</w:t>
            </w:r>
          </w:p>
        </w:tc>
        <w:tc>
          <w:tcPr>
            <w:tcW w:w="527" w:type="pct"/>
            <w:tcBorders>
              <w:top w:val="nil"/>
              <w:left w:val="nil"/>
              <w:bottom w:val="single" w:sz="4" w:space="0" w:color="auto"/>
              <w:right w:val="single" w:sz="4" w:space="0" w:color="auto"/>
            </w:tcBorders>
            <w:shd w:val="clear" w:color="000000" w:fill="FFFFFF"/>
            <w:noWrap/>
            <w:vAlign w:val="center"/>
            <w:hideMark/>
          </w:tcPr>
          <w:p w14:paraId="725964F3" w14:textId="77777777" w:rsidR="00691219" w:rsidRPr="00C52EE2" w:rsidRDefault="00691219" w:rsidP="005B02C1">
            <w:pPr>
              <w:jc w:val="right"/>
              <w:rPr>
                <w:sz w:val="20"/>
              </w:rPr>
            </w:pPr>
            <w:r w:rsidRPr="00C52EE2">
              <w:rPr>
                <w:sz w:val="20"/>
              </w:rPr>
              <w:t>34,2</w:t>
            </w:r>
          </w:p>
        </w:tc>
      </w:tr>
      <w:tr w:rsidR="00CB7B98" w14:paraId="6FB64D66"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05A52EDD" w14:textId="77777777" w:rsidR="00691219" w:rsidRPr="00C52EE2" w:rsidRDefault="00691219" w:rsidP="00CD590E">
            <w:pPr>
              <w:jc w:val="left"/>
              <w:rPr>
                <w:b/>
                <w:bCs/>
                <w:sz w:val="20"/>
              </w:rPr>
            </w:pPr>
            <w:r w:rsidRPr="00C52EE2">
              <w:rPr>
                <w:b/>
                <w:bCs/>
                <w:sz w:val="20"/>
              </w:rPr>
              <w:t>Malta</w:t>
            </w:r>
          </w:p>
        </w:tc>
        <w:tc>
          <w:tcPr>
            <w:tcW w:w="530" w:type="pct"/>
            <w:tcBorders>
              <w:top w:val="nil"/>
              <w:left w:val="nil"/>
              <w:bottom w:val="single" w:sz="4" w:space="0" w:color="auto"/>
              <w:right w:val="single" w:sz="4" w:space="0" w:color="auto"/>
            </w:tcBorders>
            <w:shd w:val="clear" w:color="000000" w:fill="FFFFFF"/>
            <w:noWrap/>
            <w:vAlign w:val="center"/>
            <w:hideMark/>
          </w:tcPr>
          <w:p w14:paraId="2D038B6F" w14:textId="77777777" w:rsidR="00691219" w:rsidRPr="00C52EE2" w:rsidRDefault="00691219" w:rsidP="005B02C1">
            <w:pPr>
              <w:jc w:val="right"/>
              <w:rPr>
                <w:sz w:val="20"/>
              </w:rPr>
            </w:pPr>
            <w:r w:rsidRPr="00C52EE2">
              <w:rPr>
                <w:sz w:val="20"/>
              </w:rPr>
              <w:t>5,7</w:t>
            </w:r>
          </w:p>
        </w:tc>
        <w:tc>
          <w:tcPr>
            <w:tcW w:w="530" w:type="pct"/>
            <w:tcBorders>
              <w:top w:val="nil"/>
              <w:left w:val="nil"/>
              <w:bottom w:val="single" w:sz="4" w:space="0" w:color="auto"/>
              <w:right w:val="single" w:sz="4" w:space="0" w:color="auto"/>
            </w:tcBorders>
            <w:shd w:val="clear" w:color="000000" w:fill="FFFFFF"/>
            <w:noWrap/>
            <w:vAlign w:val="center"/>
            <w:hideMark/>
          </w:tcPr>
          <w:p w14:paraId="7C08EF2C" w14:textId="77777777" w:rsidR="00691219" w:rsidRPr="00C52EE2" w:rsidRDefault="00691219" w:rsidP="005B02C1">
            <w:pPr>
              <w:jc w:val="right"/>
              <w:rPr>
                <w:sz w:val="20"/>
              </w:rPr>
            </w:pPr>
            <w:r w:rsidRPr="00C52EE2">
              <w:rPr>
                <w:sz w:val="20"/>
              </w:rPr>
              <w:t>5,6</w:t>
            </w:r>
          </w:p>
        </w:tc>
        <w:tc>
          <w:tcPr>
            <w:tcW w:w="530" w:type="pct"/>
            <w:tcBorders>
              <w:top w:val="nil"/>
              <w:left w:val="nil"/>
              <w:bottom w:val="single" w:sz="4" w:space="0" w:color="auto"/>
              <w:right w:val="single" w:sz="4" w:space="0" w:color="auto"/>
            </w:tcBorders>
            <w:shd w:val="clear" w:color="000000" w:fill="FFFFFF"/>
            <w:noWrap/>
            <w:vAlign w:val="center"/>
            <w:hideMark/>
          </w:tcPr>
          <w:p w14:paraId="7DCC609E" w14:textId="77777777" w:rsidR="00691219" w:rsidRPr="00C52EE2" w:rsidRDefault="00691219" w:rsidP="005B02C1">
            <w:pPr>
              <w:jc w:val="right"/>
              <w:rPr>
                <w:sz w:val="20"/>
              </w:rPr>
            </w:pPr>
            <w:r w:rsidRPr="00C52EE2">
              <w:rPr>
                <w:sz w:val="20"/>
              </w:rPr>
              <w:t>5,6</w:t>
            </w:r>
          </w:p>
        </w:tc>
        <w:tc>
          <w:tcPr>
            <w:tcW w:w="530" w:type="pct"/>
            <w:tcBorders>
              <w:top w:val="nil"/>
              <w:left w:val="nil"/>
              <w:bottom w:val="single" w:sz="4" w:space="0" w:color="auto"/>
              <w:right w:val="single" w:sz="4" w:space="0" w:color="auto"/>
            </w:tcBorders>
            <w:shd w:val="clear" w:color="000000" w:fill="FFFFFF"/>
            <w:noWrap/>
            <w:vAlign w:val="center"/>
            <w:hideMark/>
          </w:tcPr>
          <w:p w14:paraId="24A3947F" w14:textId="77777777" w:rsidR="00691219" w:rsidRPr="00C52EE2" w:rsidRDefault="00691219" w:rsidP="005B02C1">
            <w:pPr>
              <w:jc w:val="right"/>
              <w:rPr>
                <w:sz w:val="20"/>
              </w:rPr>
            </w:pPr>
            <w:r w:rsidRPr="00C52EE2">
              <w:rPr>
                <w:sz w:val="20"/>
              </w:rPr>
              <w:t>9,2</w:t>
            </w:r>
          </w:p>
        </w:tc>
        <w:tc>
          <w:tcPr>
            <w:tcW w:w="530" w:type="pct"/>
            <w:tcBorders>
              <w:top w:val="nil"/>
              <w:left w:val="nil"/>
              <w:bottom w:val="single" w:sz="4" w:space="0" w:color="auto"/>
              <w:right w:val="single" w:sz="4" w:space="0" w:color="auto"/>
            </w:tcBorders>
            <w:shd w:val="clear" w:color="000000" w:fill="FFFFFF"/>
            <w:noWrap/>
            <w:vAlign w:val="center"/>
            <w:hideMark/>
          </w:tcPr>
          <w:p w14:paraId="328492CC" w14:textId="77777777" w:rsidR="00691219" w:rsidRPr="00C52EE2" w:rsidRDefault="00691219" w:rsidP="005B02C1">
            <w:pPr>
              <w:jc w:val="right"/>
              <w:rPr>
                <w:sz w:val="20"/>
              </w:rPr>
            </w:pPr>
            <w:r w:rsidRPr="00C52EE2">
              <w:rPr>
                <w:sz w:val="20"/>
              </w:rPr>
              <w:t>9,8</w:t>
            </w:r>
          </w:p>
        </w:tc>
        <w:tc>
          <w:tcPr>
            <w:tcW w:w="530" w:type="pct"/>
            <w:tcBorders>
              <w:top w:val="nil"/>
              <w:left w:val="nil"/>
              <w:bottom w:val="single" w:sz="4" w:space="0" w:color="auto"/>
              <w:right w:val="single" w:sz="4" w:space="0" w:color="auto"/>
            </w:tcBorders>
            <w:shd w:val="clear" w:color="000000" w:fill="FFFFFF"/>
            <w:noWrap/>
            <w:vAlign w:val="center"/>
            <w:hideMark/>
          </w:tcPr>
          <w:p w14:paraId="23005A9A" w14:textId="77777777" w:rsidR="00691219" w:rsidRPr="00C52EE2" w:rsidRDefault="00691219" w:rsidP="005B02C1">
            <w:pPr>
              <w:jc w:val="right"/>
              <w:rPr>
                <w:sz w:val="20"/>
              </w:rPr>
            </w:pPr>
            <w:r w:rsidRPr="00C52EE2">
              <w:rPr>
                <w:sz w:val="20"/>
              </w:rPr>
              <w:t>12,2</w:t>
            </w:r>
          </w:p>
        </w:tc>
        <w:tc>
          <w:tcPr>
            <w:tcW w:w="527" w:type="pct"/>
            <w:tcBorders>
              <w:top w:val="nil"/>
              <w:left w:val="nil"/>
              <w:bottom w:val="single" w:sz="4" w:space="0" w:color="auto"/>
              <w:right w:val="single" w:sz="4" w:space="0" w:color="auto"/>
            </w:tcBorders>
            <w:shd w:val="clear" w:color="000000" w:fill="FFFFFF"/>
            <w:noWrap/>
            <w:vAlign w:val="center"/>
            <w:hideMark/>
          </w:tcPr>
          <w:p w14:paraId="5FA08C27" w14:textId="77777777" w:rsidR="00691219" w:rsidRPr="00C52EE2" w:rsidRDefault="00691219" w:rsidP="005B02C1">
            <w:pPr>
              <w:jc w:val="right"/>
              <w:rPr>
                <w:sz w:val="20"/>
              </w:rPr>
            </w:pPr>
            <w:r w:rsidRPr="00C52EE2">
              <w:rPr>
                <w:sz w:val="20"/>
              </w:rPr>
              <w:t>12,1</w:t>
            </w:r>
          </w:p>
        </w:tc>
      </w:tr>
      <w:tr w:rsidR="00CB7B98" w14:paraId="3A611D33"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3FC4361E" w14:textId="77777777" w:rsidR="00691219" w:rsidRPr="00C52EE2" w:rsidRDefault="00691219" w:rsidP="00CD590E">
            <w:pPr>
              <w:jc w:val="left"/>
              <w:rPr>
                <w:b/>
                <w:bCs/>
                <w:sz w:val="20"/>
              </w:rPr>
            </w:pPr>
            <w:r w:rsidRPr="00C52EE2">
              <w:rPr>
                <w:b/>
                <w:bCs/>
                <w:sz w:val="20"/>
              </w:rPr>
              <w:t>Německo</w:t>
            </w:r>
          </w:p>
        </w:tc>
        <w:tc>
          <w:tcPr>
            <w:tcW w:w="530" w:type="pct"/>
            <w:tcBorders>
              <w:top w:val="nil"/>
              <w:left w:val="nil"/>
              <w:bottom w:val="single" w:sz="4" w:space="0" w:color="auto"/>
              <w:right w:val="single" w:sz="4" w:space="0" w:color="auto"/>
            </w:tcBorders>
            <w:shd w:val="clear" w:color="000000" w:fill="FFFFFF"/>
            <w:noWrap/>
            <w:vAlign w:val="center"/>
            <w:hideMark/>
          </w:tcPr>
          <w:p w14:paraId="655D04AC" w14:textId="77777777" w:rsidR="00691219" w:rsidRPr="00C52EE2" w:rsidRDefault="00691219" w:rsidP="005B02C1">
            <w:pPr>
              <w:jc w:val="right"/>
              <w:rPr>
                <w:sz w:val="20"/>
              </w:rPr>
            </w:pPr>
            <w:r w:rsidRPr="00C52EE2">
              <w:rPr>
                <w:sz w:val="20"/>
              </w:rPr>
              <w:t>50,3</w:t>
            </w:r>
          </w:p>
        </w:tc>
        <w:tc>
          <w:tcPr>
            <w:tcW w:w="530" w:type="pct"/>
            <w:tcBorders>
              <w:top w:val="nil"/>
              <w:left w:val="nil"/>
              <w:bottom w:val="single" w:sz="4" w:space="0" w:color="auto"/>
              <w:right w:val="single" w:sz="4" w:space="0" w:color="auto"/>
            </w:tcBorders>
            <w:shd w:val="clear" w:color="000000" w:fill="FFFFFF"/>
            <w:noWrap/>
            <w:vAlign w:val="center"/>
            <w:hideMark/>
          </w:tcPr>
          <w:p w14:paraId="3C892A47" w14:textId="77777777" w:rsidR="00691219" w:rsidRPr="00C52EE2" w:rsidRDefault="00691219" w:rsidP="005B02C1">
            <w:pPr>
              <w:jc w:val="right"/>
              <w:rPr>
                <w:sz w:val="20"/>
              </w:rPr>
            </w:pPr>
            <w:r w:rsidRPr="00C52EE2">
              <w:rPr>
                <w:sz w:val="20"/>
              </w:rPr>
              <w:t>48,5</w:t>
            </w:r>
          </w:p>
        </w:tc>
        <w:tc>
          <w:tcPr>
            <w:tcW w:w="530" w:type="pct"/>
            <w:tcBorders>
              <w:top w:val="nil"/>
              <w:left w:val="nil"/>
              <w:bottom w:val="single" w:sz="4" w:space="0" w:color="auto"/>
              <w:right w:val="single" w:sz="4" w:space="0" w:color="auto"/>
            </w:tcBorders>
            <w:shd w:val="clear" w:color="000000" w:fill="FFFFFF"/>
            <w:noWrap/>
            <w:vAlign w:val="center"/>
            <w:hideMark/>
          </w:tcPr>
          <w:p w14:paraId="7527BFEE" w14:textId="77777777" w:rsidR="00691219" w:rsidRPr="00C52EE2" w:rsidRDefault="00691219" w:rsidP="005B02C1">
            <w:pPr>
              <w:jc w:val="right"/>
              <w:rPr>
                <w:sz w:val="20"/>
              </w:rPr>
            </w:pPr>
            <w:r w:rsidRPr="00C52EE2">
              <w:rPr>
                <w:sz w:val="20"/>
              </w:rPr>
              <w:t>49,5</w:t>
            </w:r>
          </w:p>
        </w:tc>
        <w:tc>
          <w:tcPr>
            <w:tcW w:w="530" w:type="pct"/>
            <w:tcBorders>
              <w:top w:val="nil"/>
              <w:left w:val="nil"/>
              <w:bottom w:val="single" w:sz="4" w:space="0" w:color="auto"/>
              <w:right w:val="single" w:sz="4" w:space="0" w:color="auto"/>
            </w:tcBorders>
            <w:shd w:val="clear" w:color="000000" w:fill="FFFFFF"/>
            <w:noWrap/>
            <w:vAlign w:val="center"/>
            <w:hideMark/>
          </w:tcPr>
          <w:p w14:paraId="10FAFB02" w14:textId="77777777" w:rsidR="00691219" w:rsidRPr="00C52EE2" w:rsidRDefault="00691219" w:rsidP="005B02C1">
            <w:pPr>
              <w:jc w:val="right"/>
              <w:rPr>
                <w:sz w:val="20"/>
              </w:rPr>
            </w:pPr>
            <w:r w:rsidRPr="00C52EE2">
              <w:rPr>
                <w:sz w:val="20"/>
              </w:rPr>
              <w:t>48,3</w:t>
            </w:r>
          </w:p>
        </w:tc>
        <w:tc>
          <w:tcPr>
            <w:tcW w:w="530" w:type="pct"/>
            <w:tcBorders>
              <w:top w:val="nil"/>
              <w:left w:val="nil"/>
              <w:bottom w:val="single" w:sz="4" w:space="0" w:color="auto"/>
              <w:right w:val="single" w:sz="4" w:space="0" w:color="auto"/>
            </w:tcBorders>
            <w:shd w:val="clear" w:color="000000" w:fill="FFFFFF"/>
            <w:noWrap/>
            <w:vAlign w:val="center"/>
            <w:hideMark/>
          </w:tcPr>
          <w:p w14:paraId="077C44C9" w14:textId="77777777" w:rsidR="00691219" w:rsidRPr="00C52EE2" w:rsidRDefault="00691219" w:rsidP="005B02C1">
            <w:pPr>
              <w:jc w:val="right"/>
              <w:rPr>
                <w:sz w:val="20"/>
              </w:rPr>
            </w:pPr>
            <w:r w:rsidRPr="00C52EE2">
              <w:rPr>
                <w:sz w:val="20"/>
              </w:rPr>
              <w:t>39,4</w:t>
            </w:r>
          </w:p>
        </w:tc>
        <w:tc>
          <w:tcPr>
            <w:tcW w:w="530" w:type="pct"/>
            <w:tcBorders>
              <w:top w:val="nil"/>
              <w:left w:val="nil"/>
              <w:bottom w:val="single" w:sz="4" w:space="0" w:color="auto"/>
              <w:right w:val="single" w:sz="4" w:space="0" w:color="auto"/>
            </w:tcBorders>
            <w:shd w:val="clear" w:color="000000" w:fill="FFFFFF"/>
            <w:noWrap/>
            <w:vAlign w:val="center"/>
            <w:hideMark/>
          </w:tcPr>
          <w:p w14:paraId="45678A51" w14:textId="77777777" w:rsidR="00691219" w:rsidRPr="00C52EE2" w:rsidRDefault="00691219" w:rsidP="005B02C1">
            <w:pPr>
              <w:jc w:val="right"/>
              <w:rPr>
                <w:sz w:val="20"/>
              </w:rPr>
            </w:pPr>
            <w:r w:rsidRPr="00C52EE2">
              <w:rPr>
                <w:sz w:val="20"/>
              </w:rPr>
              <w:t>41,7</w:t>
            </w:r>
          </w:p>
        </w:tc>
        <w:tc>
          <w:tcPr>
            <w:tcW w:w="527" w:type="pct"/>
            <w:tcBorders>
              <w:top w:val="nil"/>
              <w:left w:val="nil"/>
              <w:bottom w:val="single" w:sz="4" w:space="0" w:color="auto"/>
              <w:right w:val="single" w:sz="4" w:space="0" w:color="auto"/>
            </w:tcBorders>
            <w:shd w:val="clear" w:color="000000" w:fill="FFFFFF"/>
            <w:noWrap/>
            <w:vAlign w:val="center"/>
            <w:hideMark/>
          </w:tcPr>
          <w:p w14:paraId="30322137" w14:textId="77777777" w:rsidR="00691219" w:rsidRPr="00C52EE2" w:rsidRDefault="00691219" w:rsidP="005B02C1">
            <w:pPr>
              <w:jc w:val="right"/>
              <w:rPr>
                <w:sz w:val="20"/>
              </w:rPr>
            </w:pPr>
            <w:r w:rsidRPr="00C52EE2">
              <w:rPr>
                <w:sz w:val="20"/>
              </w:rPr>
              <w:t>41,4</w:t>
            </w:r>
          </w:p>
        </w:tc>
      </w:tr>
      <w:tr w:rsidR="00CB7B98" w14:paraId="76DA9C12"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3AAA10CF" w14:textId="13BCDD30" w:rsidR="00691219" w:rsidRPr="00C52EE2" w:rsidRDefault="00691219" w:rsidP="00CD590E">
            <w:pPr>
              <w:jc w:val="left"/>
              <w:rPr>
                <w:b/>
                <w:bCs/>
                <w:sz w:val="20"/>
              </w:rPr>
            </w:pPr>
            <w:r w:rsidRPr="00C52EE2">
              <w:rPr>
                <w:b/>
                <w:bCs/>
                <w:sz w:val="20"/>
              </w:rPr>
              <w:t>Nizozem</w:t>
            </w:r>
            <w:r w:rsidR="00CB7B98">
              <w:rPr>
                <w:b/>
                <w:bCs/>
                <w:sz w:val="20"/>
              </w:rPr>
              <w:t>sko</w:t>
            </w:r>
          </w:p>
        </w:tc>
        <w:tc>
          <w:tcPr>
            <w:tcW w:w="530" w:type="pct"/>
            <w:tcBorders>
              <w:top w:val="nil"/>
              <w:left w:val="nil"/>
              <w:bottom w:val="single" w:sz="4" w:space="0" w:color="auto"/>
              <w:right w:val="single" w:sz="4" w:space="0" w:color="auto"/>
            </w:tcBorders>
            <w:shd w:val="clear" w:color="000000" w:fill="FFFFFF"/>
            <w:noWrap/>
            <w:vAlign w:val="center"/>
            <w:hideMark/>
          </w:tcPr>
          <w:p w14:paraId="2953A287" w14:textId="77777777" w:rsidR="00691219" w:rsidRPr="00C52EE2" w:rsidRDefault="00691219" w:rsidP="005B02C1">
            <w:pPr>
              <w:jc w:val="right"/>
              <w:rPr>
                <w:sz w:val="20"/>
              </w:rPr>
            </w:pPr>
            <w:r w:rsidRPr="00C52EE2">
              <w:rPr>
                <w:sz w:val="20"/>
              </w:rPr>
              <w:t>42,9</w:t>
            </w:r>
          </w:p>
        </w:tc>
        <w:tc>
          <w:tcPr>
            <w:tcW w:w="530" w:type="pct"/>
            <w:tcBorders>
              <w:top w:val="nil"/>
              <w:left w:val="nil"/>
              <w:bottom w:val="single" w:sz="4" w:space="0" w:color="auto"/>
              <w:right w:val="single" w:sz="4" w:space="0" w:color="auto"/>
            </w:tcBorders>
            <w:shd w:val="clear" w:color="000000" w:fill="FFFFFF"/>
            <w:noWrap/>
            <w:vAlign w:val="center"/>
            <w:hideMark/>
          </w:tcPr>
          <w:p w14:paraId="088ED9E8" w14:textId="77777777" w:rsidR="00691219" w:rsidRPr="00C52EE2" w:rsidRDefault="00691219" w:rsidP="005B02C1">
            <w:pPr>
              <w:jc w:val="right"/>
              <w:rPr>
                <w:sz w:val="20"/>
              </w:rPr>
            </w:pPr>
            <w:r w:rsidRPr="00C52EE2">
              <w:rPr>
                <w:sz w:val="20"/>
              </w:rPr>
              <w:t>40,9</w:t>
            </w:r>
          </w:p>
        </w:tc>
        <w:tc>
          <w:tcPr>
            <w:tcW w:w="530" w:type="pct"/>
            <w:tcBorders>
              <w:top w:val="nil"/>
              <w:left w:val="nil"/>
              <w:bottom w:val="single" w:sz="4" w:space="0" w:color="auto"/>
              <w:right w:val="single" w:sz="4" w:space="0" w:color="auto"/>
            </w:tcBorders>
            <w:shd w:val="clear" w:color="000000" w:fill="FFFFFF"/>
            <w:noWrap/>
            <w:vAlign w:val="center"/>
            <w:hideMark/>
          </w:tcPr>
          <w:p w14:paraId="6B4A49FB" w14:textId="77777777" w:rsidR="00691219" w:rsidRPr="00C52EE2" w:rsidRDefault="00691219" w:rsidP="005B02C1">
            <w:pPr>
              <w:jc w:val="right"/>
              <w:rPr>
                <w:sz w:val="20"/>
              </w:rPr>
            </w:pPr>
            <w:r w:rsidRPr="00C52EE2">
              <w:rPr>
                <w:sz w:val="20"/>
              </w:rPr>
              <w:t>40,6</w:t>
            </w:r>
          </w:p>
        </w:tc>
        <w:tc>
          <w:tcPr>
            <w:tcW w:w="530" w:type="pct"/>
            <w:tcBorders>
              <w:top w:val="nil"/>
              <w:left w:val="nil"/>
              <w:bottom w:val="single" w:sz="4" w:space="0" w:color="auto"/>
              <w:right w:val="single" w:sz="4" w:space="0" w:color="auto"/>
            </w:tcBorders>
            <w:shd w:val="clear" w:color="000000" w:fill="FFFFFF"/>
            <w:noWrap/>
            <w:vAlign w:val="center"/>
            <w:hideMark/>
          </w:tcPr>
          <w:p w14:paraId="1C0524F0" w14:textId="77777777" w:rsidR="00691219" w:rsidRPr="00C52EE2" w:rsidRDefault="00691219" w:rsidP="005B02C1">
            <w:pPr>
              <w:jc w:val="right"/>
              <w:rPr>
                <w:sz w:val="20"/>
              </w:rPr>
            </w:pPr>
            <w:r w:rsidRPr="00C52EE2">
              <w:rPr>
                <w:sz w:val="20"/>
              </w:rPr>
              <w:t>39,6</w:t>
            </w:r>
          </w:p>
        </w:tc>
        <w:tc>
          <w:tcPr>
            <w:tcW w:w="530" w:type="pct"/>
            <w:tcBorders>
              <w:top w:val="nil"/>
              <w:left w:val="nil"/>
              <w:bottom w:val="single" w:sz="4" w:space="0" w:color="auto"/>
              <w:right w:val="single" w:sz="4" w:space="0" w:color="auto"/>
            </w:tcBorders>
            <w:shd w:val="clear" w:color="000000" w:fill="FFFFFF"/>
            <w:noWrap/>
            <w:vAlign w:val="center"/>
            <w:hideMark/>
          </w:tcPr>
          <w:p w14:paraId="0C66BD51" w14:textId="77777777" w:rsidR="00691219" w:rsidRPr="00C52EE2" w:rsidRDefault="00691219" w:rsidP="005B02C1">
            <w:pPr>
              <w:jc w:val="right"/>
              <w:rPr>
                <w:sz w:val="20"/>
              </w:rPr>
            </w:pPr>
            <w:r w:rsidRPr="00C52EE2">
              <w:rPr>
                <w:sz w:val="20"/>
              </w:rPr>
              <w:t>33,3</w:t>
            </w:r>
          </w:p>
        </w:tc>
        <w:tc>
          <w:tcPr>
            <w:tcW w:w="530" w:type="pct"/>
            <w:tcBorders>
              <w:top w:val="nil"/>
              <w:left w:val="nil"/>
              <w:bottom w:val="single" w:sz="4" w:space="0" w:color="auto"/>
              <w:right w:val="single" w:sz="4" w:space="0" w:color="auto"/>
            </w:tcBorders>
            <w:shd w:val="clear" w:color="000000" w:fill="FFFFFF"/>
            <w:noWrap/>
            <w:vAlign w:val="center"/>
            <w:hideMark/>
          </w:tcPr>
          <w:p w14:paraId="5C7993C2" w14:textId="77777777" w:rsidR="00691219" w:rsidRPr="00C52EE2" w:rsidRDefault="00691219" w:rsidP="005B02C1">
            <w:pPr>
              <w:jc w:val="right"/>
              <w:rPr>
                <w:sz w:val="20"/>
              </w:rPr>
            </w:pPr>
            <w:r w:rsidRPr="00C52EE2">
              <w:rPr>
                <w:sz w:val="20"/>
              </w:rPr>
              <w:t>46,7</w:t>
            </w:r>
          </w:p>
        </w:tc>
        <w:tc>
          <w:tcPr>
            <w:tcW w:w="527" w:type="pct"/>
            <w:tcBorders>
              <w:top w:val="nil"/>
              <w:left w:val="nil"/>
              <w:bottom w:val="single" w:sz="4" w:space="0" w:color="auto"/>
              <w:right w:val="single" w:sz="4" w:space="0" w:color="auto"/>
            </w:tcBorders>
            <w:shd w:val="clear" w:color="000000" w:fill="FFFFFF"/>
            <w:noWrap/>
            <w:vAlign w:val="center"/>
            <w:hideMark/>
          </w:tcPr>
          <w:p w14:paraId="3F265052" w14:textId="77777777" w:rsidR="00691219" w:rsidRPr="00C52EE2" w:rsidRDefault="00691219" w:rsidP="005B02C1">
            <w:pPr>
              <w:jc w:val="right"/>
              <w:rPr>
                <w:sz w:val="20"/>
              </w:rPr>
            </w:pPr>
            <w:r w:rsidRPr="00C52EE2">
              <w:rPr>
                <w:sz w:val="20"/>
              </w:rPr>
              <w:t>72,9</w:t>
            </w:r>
          </w:p>
        </w:tc>
      </w:tr>
      <w:tr w:rsidR="00CB7B98" w14:paraId="2C0F5E6D"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3BA24411" w14:textId="77777777" w:rsidR="00691219" w:rsidRPr="00C52EE2" w:rsidRDefault="00691219" w:rsidP="00CD590E">
            <w:pPr>
              <w:jc w:val="left"/>
              <w:rPr>
                <w:b/>
                <w:bCs/>
                <w:sz w:val="20"/>
              </w:rPr>
            </w:pPr>
            <w:r w:rsidRPr="00C52EE2">
              <w:rPr>
                <w:b/>
                <w:bCs/>
                <w:sz w:val="20"/>
              </w:rPr>
              <w:t>Polsko</w:t>
            </w:r>
          </w:p>
        </w:tc>
        <w:tc>
          <w:tcPr>
            <w:tcW w:w="530" w:type="pct"/>
            <w:tcBorders>
              <w:top w:val="nil"/>
              <w:left w:val="nil"/>
              <w:bottom w:val="single" w:sz="4" w:space="0" w:color="auto"/>
              <w:right w:val="single" w:sz="4" w:space="0" w:color="auto"/>
            </w:tcBorders>
            <w:shd w:val="clear" w:color="000000" w:fill="FFFFFF"/>
            <w:noWrap/>
            <w:vAlign w:val="center"/>
            <w:hideMark/>
          </w:tcPr>
          <w:p w14:paraId="5B1A1ECF" w14:textId="77777777" w:rsidR="00691219" w:rsidRPr="00C52EE2" w:rsidRDefault="00691219" w:rsidP="005B02C1">
            <w:pPr>
              <w:jc w:val="right"/>
              <w:rPr>
                <w:sz w:val="20"/>
              </w:rPr>
            </w:pPr>
            <w:r w:rsidRPr="00C52EE2">
              <w:rPr>
                <w:sz w:val="20"/>
              </w:rPr>
              <w:t>29,6</w:t>
            </w:r>
          </w:p>
        </w:tc>
        <w:tc>
          <w:tcPr>
            <w:tcW w:w="530" w:type="pct"/>
            <w:tcBorders>
              <w:top w:val="nil"/>
              <w:left w:val="nil"/>
              <w:bottom w:val="single" w:sz="4" w:space="0" w:color="auto"/>
              <w:right w:val="single" w:sz="4" w:space="0" w:color="auto"/>
            </w:tcBorders>
            <w:shd w:val="clear" w:color="000000" w:fill="FFFFFF"/>
            <w:noWrap/>
            <w:vAlign w:val="center"/>
            <w:hideMark/>
          </w:tcPr>
          <w:p w14:paraId="141CD4DA" w14:textId="77777777" w:rsidR="00691219" w:rsidRPr="00C52EE2" w:rsidRDefault="00691219" w:rsidP="005B02C1">
            <w:pPr>
              <w:jc w:val="right"/>
              <w:rPr>
                <w:sz w:val="20"/>
              </w:rPr>
            </w:pPr>
            <w:r w:rsidRPr="00C52EE2">
              <w:rPr>
                <w:sz w:val="20"/>
              </w:rPr>
              <w:t>30,4</w:t>
            </w:r>
          </w:p>
        </w:tc>
        <w:tc>
          <w:tcPr>
            <w:tcW w:w="530" w:type="pct"/>
            <w:tcBorders>
              <w:top w:val="nil"/>
              <w:left w:val="nil"/>
              <w:bottom w:val="single" w:sz="4" w:space="0" w:color="auto"/>
              <w:right w:val="single" w:sz="4" w:space="0" w:color="auto"/>
            </w:tcBorders>
            <w:shd w:val="clear" w:color="000000" w:fill="FFFFFF"/>
            <w:noWrap/>
            <w:vAlign w:val="center"/>
            <w:hideMark/>
          </w:tcPr>
          <w:p w14:paraId="311E6705" w14:textId="77777777" w:rsidR="00691219" w:rsidRPr="00C52EE2" w:rsidRDefault="00691219" w:rsidP="005B02C1">
            <w:pPr>
              <w:jc w:val="right"/>
              <w:rPr>
                <w:sz w:val="20"/>
              </w:rPr>
            </w:pPr>
            <w:r w:rsidRPr="00C52EE2">
              <w:rPr>
                <w:sz w:val="20"/>
              </w:rPr>
              <w:t>28,1</w:t>
            </w:r>
          </w:p>
        </w:tc>
        <w:tc>
          <w:tcPr>
            <w:tcW w:w="530" w:type="pct"/>
            <w:tcBorders>
              <w:top w:val="nil"/>
              <w:left w:val="nil"/>
              <w:bottom w:val="single" w:sz="4" w:space="0" w:color="auto"/>
              <w:right w:val="single" w:sz="4" w:space="0" w:color="auto"/>
            </w:tcBorders>
            <w:shd w:val="clear" w:color="000000" w:fill="FFFFFF"/>
            <w:noWrap/>
            <w:vAlign w:val="center"/>
            <w:hideMark/>
          </w:tcPr>
          <w:p w14:paraId="7662EAA7" w14:textId="77777777" w:rsidR="00691219" w:rsidRPr="00C52EE2" w:rsidRDefault="00691219" w:rsidP="005B02C1">
            <w:pPr>
              <w:jc w:val="right"/>
              <w:rPr>
                <w:sz w:val="20"/>
              </w:rPr>
            </w:pPr>
            <w:r w:rsidRPr="00C52EE2">
              <w:rPr>
                <w:sz w:val="20"/>
              </w:rPr>
              <w:t>26,3</w:t>
            </w:r>
          </w:p>
        </w:tc>
        <w:tc>
          <w:tcPr>
            <w:tcW w:w="530" w:type="pct"/>
            <w:tcBorders>
              <w:top w:val="nil"/>
              <w:left w:val="nil"/>
              <w:bottom w:val="single" w:sz="4" w:space="0" w:color="auto"/>
              <w:right w:val="single" w:sz="4" w:space="0" w:color="auto"/>
            </w:tcBorders>
            <w:shd w:val="clear" w:color="000000" w:fill="FFFFFF"/>
            <w:noWrap/>
            <w:vAlign w:val="center"/>
            <w:hideMark/>
          </w:tcPr>
          <w:p w14:paraId="4BD0FF94" w14:textId="77777777" w:rsidR="00691219" w:rsidRPr="00C52EE2" w:rsidRDefault="00691219" w:rsidP="005B02C1">
            <w:pPr>
              <w:jc w:val="right"/>
              <w:rPr>
                <w:sz w:val="20"/>
              </w:rPr>
            </w:pPr>
            <w:r w:rsidRPr="00C52EE2">
              <w:rPr>
                <w:sz w:val="20"/>
              </w:rPr>
              <w:t>23,5</w:t>
            </w:r>
          </w:p>
        </w:tc>
        <w:tc>
          <w:tcPr>
            <w:tcW w:w="530" w:type="pct"/>
            <w:tcBorders>
              <w:top w:val="nil"/>
              <w:left w:val="nil"/>
              <w:bottom w:val="single" w:sz="4" w:space="0" w:color="auto"/>
              <w:right w:val="single" w:sz="4" w:space="0" w:color="auto"/>
            </w:tcBorders>
            <w:shd w:val="clear" w:color="000000" w:fill="FFFFFF"/>
            <w:noWrap/>
            <w:vAlign w:val="center"/>
            <w:hideMark/>
          </w:tcPr>
          <w:p w14:paraId="2BE9B4CC" w14:textId="77777777" w:rsidR="00691219" w:rsidRPr="00C52EE2" w:rsidRDefault="00691219" w:rsidP="005B02C1">
            <w:pPr>
              <w:jc w:val="right"/>
              <w:rPr>
                <w:sz w:val="20"/>
              </w:rPr>
            </w:pPr>
            <w:r w:rsidRPr="00C52EE2">
              <w:rPr>
                <w:sz w:val="20"/>
              </w:rPr>
              <w:t>27,9</w:t>
            </w:r>
          </w:p>
        </w:tc>
        <w:tc>
          <w:tcPr>
            <w:tcW w:w="527" w:type="pct"/>
            <w:tcBorders>
              <w:top w:val="nil"/>
              <w:left w:val="nil"/>
              <w:bottom w:val="single" w:sz="4" w:space="0" w:color="auto"/>
              <w:right w:val="single" w:sz="4" w:space="0" w:color="auto"/>
            </w:tcBorders>
            <w:shd w:val="clear" w:color="000000" w:fill="FFFFFF"/>
            <w:noWrap/>
            <w:vAlign w:val="center"/>
            <w:hideMark/>
          </w:tcPr>
          <w:p w14:paraId="3FC9BC64" w14:textId="77777777" w:rsidR="00691219" w:rsidRPr="00C52EE2" w:rsidRDefault="00691219" w:rsidP="005B02C1">
            <w:pPr>
              <w:jc w:val="right"/>
              <w:rPr>
                <w:sz w:val="20"/>
              </w:rPr>
            </w:pPr>
            <w:r w:rsidRPr="00C52EE2">
              <w:rPr>
                <w:sz w:val="20"/>
              </w:rPr>
              <w:t>28,9</w:t>
            </w:r>
          </w:p>
        </w:tc>
      </w:tr>
      <w:tr w:rsidR="00CB7B98" w14:paraId="5189FB91"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64A645C6" w14:textId="77777777" w:rsidR="00691219" w:rsidRPr="00C52EE2" w:rsidRDefault="00691219" w:rsidP="00CD590E">
            <w:pPr>
              <w:jc w:val="left"/>
              <w:rPr>
                <w:b/>
                <w:bCs/>
                <w:sz w:val="20"/>
              </w:rPr>
            </w:pPr>
            <w:r w:rsidRPr="00C52EE2">
              <w:rPr>
                <w:b/>
                <w:bCs/>
                <w:sz w:val="20"/>
              </w:rPr>
              <w:t>Portugalsko</w:t>
            </w:r>
          </w:p>
        </w:tc>
        <w:tc>
          <w:tcPr>
            <w:tcW w:w="530" w:type="pct"/>
            <w:tcBorders>
              <w:top w:val="nil"/>
              <w:left w:val="nil"/>
              <w:bottom w:val="single" w:sz="4" w:space="0" w:color="auto"/>
              <w:right w:val="single" w:sz="4" w:space="0" w:color="auto"/>
            </w:tcBorders>
            <w:shd w:val="clear" w:color="000000" w:fill="FFFFFF"/>
            <w:noWrap/>
            <w:vAlign w:val="center"/>
            <w:hideMark/>
          </w:tcPr>
          <w:p w14:paraId="59CFB663" w14:textId="77777777" w:rsidR="00691219" w:rsidRPr="00C52EE2" w:rsidRDefault="00691219" w:rsidP="005B02C1">
            <w:pPr>
              <w:jc w:val="right"/>
              <w:rPr>
                <w:sz w:val="20"/>
              </w:rPr>
            </w:pPr>
            <w:r w:rsidRPr="00C52EE2">
              <w:rPr>
                <w:sz w:val="20"/>
              </w:rPr>
              <w:t>29,1</w:t>
            </w:r>
          </w:p>
        </w:tc>
        <w:tc>
          <w:tcPr>
            <w:tcW w:w="530" w:type="pct"/>
            <w:tcBorders>
              <w:top w:val="nil"/>
              <w:left w:val="nil"/>
              <w:bottom w:val="single" w:sz="4" w:space="0" w:color="auto"/>
              <w:right w:val="single" w:sz="4" w:space="0" w:color="auto"/>
            </w:tcBorders>
            <w:shd w:val="clear" w:color="000000" w:fill="FFFFFF"/>
            <w:noWrap/>
            <w:vAlign w:val="center"/>
            <w:hideMark/>
          </w:tcPr>
          <w:p w14:paraId="1094DEAA" w14:textId="77777777" w:rsidR="00691219" w:rsidRPr="00C52EE2" w:rsidRDefault="00691219" w:rsidP="005B02C1">
            <w:pPr>
              <w:jc w:val="right"/>
              <w:rPr>
                <w:sz w:val="20"/>
              </w:rPr>
            </w:pPr>
            <w:r w:rsidRPr="00C52EE2">
              <w:rPr>
                <w:sz w:val="20"/>
              </w:rPr>
              <w:t>26,0</w:t>
            </w:r>
          </w:p>
        </w:tc>
        <w:tc>
          <w:tcPr>
            <w:tcW w:w="530" w:type="pct"/>
            <w:tcBorders>
              <w:top w:val="nil"/>
              <w:left w:val="nil"/>
              <w:bottom w:val="single" w:sz="4" w:space="0" w:color="auto"/>
              <w:right w:val="single" w:sz="4" w:space="0" w:color="auto"/>
            </w:tcBorders>
            <w:shd w:val="clear" w:color="000000" w:fill="FFFFFF"/>
            <w:noWrap/>
            <w:vAlign w:val="center"/>
            <w:hideMark/>
          </w:tcPr>
          <w:p w14:paraId="3A2EEC69" w14:textId="77777777" w:rsidR="00691219" w:rsidRPr="00C52EE2" w:rsidRDefault="00691219" w:rsidP="005B02C1">
            <w:pPr>
              <w:jc w:val="right"/>
              <w:rPr>
                <w:sz w:val="20"/>
              </w:rPr>
            </w:pPr>
            <w:r w:rsidRPr="00C52EE2">
              <w:rPr>
                <w:sz w:val="20"/>
              </w:rPr>
              <w:t>22,3</w:t>
            </w:r>
          </w:p>
        </w:tc>
        <w:tc>
          <w:tcPr>
            <w:tcW w:w="530" w:type="pct"/>
            <w:tcBorders>
              <w:top w:val="nil"/>
              <w:left w:val="nil"/>
              <w:bottom w:val="single" w:sz="4" w:space="0" w:color="auto"/>
              <w:right w:val="single" w:sz="4" w:space="0" w:color="auto"/>
            </w:tcBorders>
            <w:shd w:val="clear" w:color="000000" w:fill="FFFFFF"/>
            <w:noWrap/>
            <w:vAlign w:val="center"/>
            <w:hideMark/>
          </w:tcPr>
          <w:p w14:paraId="35304B04" w14:textId="77777777" w:rsidR="00691219" w:rsidRPr="00C52EE2" w:rsidRDefault="00691219" w:rsidP="005B02C1">
            <w:pPr>
              <w:jc w:val="right"/>
              <w:rPr>
                <w:sz w:val="20"/>
              </w:rPr>
            </w:pPr>
            <w:r w:rsidRPr="00C52EE2">
              <w:rPr>
                <w:sz w:val="20"/>
              </w:rPr>
              <w:t>22,8</w:t>
            </w:r>
          </w:p>
        </w:tc>
        <w:tc>
          <w:tcPr>
            <w:tcW w:w="530" w:type="pct"/>
            <w:tcBorders>
              <w:top w:val="nil"/>
              <w:left w:val="nil"/>
              <w:bottom w:val="single" w:sz="4" w:space="0" w:color="auto"/>
              <w:right w:val="single" w:sz="4" w:space="0" w:color="auto"/>
            </w:tcBorders>
            <w:shd w:val="clear" w:color="000000" w:fill="FFFFFF"/>
            <w:noWrap/>
            <w:vAlign w:val="center"/>
            <w:hideMark/>
          </w:tcPr>
          <w:p w14:paraId="18BAAE40" w14:textId="77777777" w:rsidR="00691219" w:rsidRPr="00C52EE2" w:rsidRDefault="00691219" w:rsidP="005B02C1">
            <w:pPr>
              <w:jc w:val="right"/>
              <w:rPr>
                <w:sz w:val="20"/>
              </w:rPr>
            </w:pPr>
            <w:r w:rsidRPr="00C52EE2">
              <w:rPr>
                <w:sz w:val="20"/>
              </w:rPr>
              <w:t>17,3</w:t>
            </w:r>
          </w:p>
        </w:tc>
        <w:tc>
          <w:tcPr>
            <w:tcW w:w="530" w:type="pct"/>
            <w:tcBorders>
              <w:top w:val="nil"/>
              <w:left w:val="nil"/>
              <w:bottom w:val="single" w:sz="4" w:space="0" w:color="auto"/>
              <w:right w:val="single" w:sz="4" w:space="0" w:color="auto"/>
            </w:tcBorders>
            <w:shd w:val="clear" w:color="000000" w:fill="FFFFFF"/>
            <w:noWrap/>
            <w:vAlign w:val="center"/>
            <w:hideMark/>
          </w:tcPr>
          <w:p w14:paraId="4CBB7FE7" w14:textId="77777777" w:rsidR="00691219" w:rsidRPr="00C52EE2" w:rsidRDefault="00691219" w:rsidP="005B02C1">
            <w:pPr>
              <w:jc w:val="right"/>
              <w:rPr>
                <w:sz w:val="20"/>
              </w:rPr>
            </w:pPr>
            <w:r w:rsidRPr="00C52EE2">
              <w:rPr>
                <w:sz w:val="20"/>
              </w:rPr>
              <w:t>24,0</w:t>
            </w:r>
          </w:p>
        </w:tc>
        <w:tc>
          <w:tcPr>
            <w:tcW w:w="527" w:type="pct"/>
            <w:tcBorders>
              <w:top w:val="nil"/>
              <w:left w:val="nil"/>
              <w:bottom w:val="single" w:sz="4" w:space="0" w:color="auto"/>
              <w:right w:val="single" w:sz="4" w:space="0" w:color="auto"/>
            </w:tcBorders>
            <w:shd w:val="clear" w:color="000000" w:fill="FFFFFF"/>
            <w:noWrap/>
            <w:vAlign w:val="center"/>
            <w:hideMark/>
          </w:tcPr>
          <w:p w14:paraId="502692AA" w14:textId="77777777" w:rsidR="00691219" w:rsidRPr="00C52EE2" w:rsidRDefault="00691219" w:rsidP="005B02C1">
            <w:pPr>
              <w:jc w:val="right"/>
              <w:rPr>
                <w:sz w:val="20"/>
              </w:rPr>
            </w:pPr>
            <w:r w:rsidRPr="00C52EE2">
              <w:rPr>
                <w:sz w:val="20"/>
              </w:rPr>
              <w:t>19,4</w:t>
            </w:r>
          </w:p>
        </w:tc>
      </w:tr>
      <w:tr w:rsidR="00CB7B98" w14:paraId="265FCD22"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3584B92D" w14:textId="77777777" w:rsidR="00691219" w:rsidRPr="00C52EE2" w:rsidRDefault="00691219" w:rsidP="00CD590E">
            <w:pPr>
              <w:jc w:val="left"/>
              <w:rPr>
                <w:b/>
                <w:bCs/>
                <w:sz w:val="20"/>
              </w:rPr>
            </w:pPr>
            <w:r w:rsidRPr="00C52EE2">
              <w:rPr>
                <w:b/>
                <w:bCs/>
                <w:sz w:val="20"/>
              </w:rPr>
              <w:t>Rakousko</w:t>
            </w:r>
          </w:p>
        </w:tc>
        <w:tc>
          <w:tcPr>
            <w:tcW w:w="530" w:type="pct"/>
            <w:tcBorders>
              <w:top w:val="nil"/>
              <w:left w:val="nil"/>
              <w:bottom w:val="single" w:sz="4" w:space="0" w:color="auto"/>
              <w:right w:val="single" w:sz="4" w:space="0" w:color="auto"/>
            </w:tcBorders>
            <w:shd w:val="clear" w:color="000000" w:fill="FFFFFF"/>
            <w:noWrap/>
            <w:vAlign w:val="center"/>
            <w:hideMark/>
          </w:tcPr>
          <w:p w14:paraId="3FC0C279" w14:textId="77777777" w:rsidR="00691219" w:rsidRPr="00C52EE2" w:rsidRDefault="00691219" w:rsidP="005B02C1">
            <w:pPr>
              <w:jc w:val="right"/>
              <w:rPr>
                <w:sz w:val="20"/>
              </w:rPr>
            </w:pPr>
            <w:r w:rsidRPr="00C52EE2">
              <w:rPr>
                <w:sz w:val="20"/>
              </w:rPr>
              <w:t>38,8</w:t>
            </w:r>
          </w:p>
        </w:tc>
        <w:tc>
          <w:tcPr>
            <w:tcW w:w="530" w:type="pct"/>
            <w:tcBorders>
              <w:top w:val="nil"/>
              <w:left w:val="nil"/>
              <w:bottom w:val="single" w:sz="4" w:space="0" w:color="auto"/>
              <w:right w:val="single" w:sz="4" w:space="0" w:color="auto"/>
            </w:tcBorders>
            <w:shd w:val="clear" w:color="000000" w:fill="FFFFFF"/>
            <w:noWrap/>
            <w:vAlign w:val="center"/>
            <w:hideMark/>
          </w:tcPr>
          <w:p w14:paraId="60F16E9A" w14:textId="77777777" w:rsidR="00691219" w:rsidRPr="00C52EE2" w:rsidRDefault="00691219" w:rsidP="005B02C1">
            <w:pPr>
              <w:jc w:val="right"/>
              <w:rPr>
                <w:sz w:val="20"/>
              </w:rPr>
            </w:pPr>
            <w:r w:rsidRPr="00C52EE2">
              <w:rPr>
                <w:sz w:val="20"/>
              </w:rPr>
              <w:t>40,3</w:t>
            </w:r>
          </w:p>
        </w:tc>
        <w:tc>
          <w:tcPr>
            <w:tcW w:w="530" w:type="pct"/>
            <w:tcBorders>
              <w:top w:val="nil"/>
              <w:left w:val="nil"/>
              <w:bottom w:val="single" w:sz="4" w:space="0" w:color="auto"/>
              <w:right w:val="single" w:sz="4" w:space="0" w:color="auto"/>
            </w:tcBorders>
            <w:shd w:val="clear" w:color="000000" w:fill="FFFFFF"/>
            <w:noWrap/>
            <w:vAlign w:val="center"/>
            <w:hideMark/>
          </w:tcPr>
          <w:p w14:paraId="292CF133" w14:textId="77777777" w:rsidR="00691219" w:rsidRPr="00C52EE2" w:rsidRDefault="00691219" w:rsidP="005B02C1">
            <w:pPr>
              <w:jc w:val="right"/>
              <w:rPr>
                <w:sz w:val="20"/>
              </w:rPr>
            </w:pPr>
            <w:r w:rsidRPr="00C52EE2">
              <w:rPr>
                <w:sz w:val="20"/>
              </w:rPr>
              <w:t>36,5</w:t>
            </w:r>
          </w:p>
        </w:tc>
        <w:tc>
          <w:tcPr>
            <w:tcW w:w="530" w:type="pct"/>
            <w:tcBorders>
              <w:top w:val="nil"/>
              <w:left w:val="nil"/>
              <w:bottom w:val="single" w:sz="4" w:space="0" w:color="auto"/>
              <w:right w:val="single" w:sz="4" w:space="0" w:color="auto"/>
            </w:tcBorders>
            <w:shd w:val="clear" w:color="000000" w:fill="FFFFFF"/>
            <w:noWrap/>
            <w:vAlign w:val="center"/>
            <w:hideMark/>
          </w:tcPr>
          <w:p w14:paraId="3C2DF08B" w14:textId="77777777" w:rsidR="00691219" w:rsidRPr="00C52EE2" w:rsidRDefault="00691219" w:rsidP="005B02C1">
            <w:pPr>
              <w:jc w:val="right"/>
              <w:rPr>
                <w:sz w:val="20"/>
              </w:rPr>
            </w:pPr>
            <w:r w:rsidRPr="00C52EE2">
              <w:rPr>
                <w:sz w:val="20"/>
              </w:rPr>
              <w:t>40,8</w:t>
            </w:r>
          </w:p>
        </w:tc>
        <w:tc>
          <w:tcPr>
            <w:tcW w:w="530" w:type="pct"/>
            <w:tcBorders>
              <w:top w:val="nil"/>
              <w:left w:val="nil"/>
              <w:bottom w:val="single" w:sz="4" w:space="0" w:color="auto"/>
              <w:right w:val="single" w:sz="4" w:space="0" w:color="auto"/>
            </w:tcBorders>
            <w:shd w:val="clear" w:color="000000" w:fill="FFFFFF"/>
            <w:noWrap/>
            <w:vAlign w:val="center"/>
            <w:hideMark/>
          </w:tcPr>
          <w:p w14:paraId="4971D51E" w14:textId="77777777" w:rsidR="00691219" w:rsidRPr="00C52EE2" w:rsidRDefault="00691219" w:rsidP="005B02C1">
            <w:pPr>
              <w:jc w:val="right"/>
              <w:rPr>
                <w:sz w:val="20"/>
              </w:rPr>
            </w:pPr>
            <w:r w:rsidRPr="00C52EE2">
              <w:rPr>
                <w:sz w:val="20"/>
              </w:rPr>
              <w:t>37,1</w:t>
            </w:r>
          </w:p>
        </w:tc>
        <w:tc>
          <w:tcPr>
            <w:tcW w:w="530" w:type="pct"/>
            <w:tcBorders>
              <w:top w:val="nil"/>
              <w:left w:val="nil"/>
              <w:bottom w:val="single" w:sz="4" w:space="0" w:color="auto"/>
              <w:right w:val="single" w:sz="4" w:space="0" w:color="auto"/>
            </w:tcBorders>
            <w:shd w:val="clear" w:color="000000" w:fill="FFFFFF"/>
            <w:noWrap/>
            <w:vAlign w:val="center"/>
            <w:hideMark/>
          </w:tcPr>
          <w:p w14:paraId="2F09CAD3" w14:textId="77777777" w:rsidR="00691219" w:rsidRPr="00C52EE2" w:rsidRDefault="00691219" w:rsidP="005B02C1">
            <w:pPr>
              <w:jc w:val="right"/>
              <w:rPr>
                <w:sz w:val="20"/>
              </w:rPr>
            </w:pPr>
            <w:r w:rsidRPr="00C52EE2">
              <w:rPr>
                <w:sz w:val="20"/>
              </w:rPr>
              <w:t>31,1</w:t>
            </w:r>
          </w:p>
        </w:tc>
        <w:tc>
          <w:tcPr>
            <w:tcW w:w="527" w:type="pct"/>
            <w:tcBorders>
              <w:top w:val="nil"/>
              <w:left w:val="nil"/>
              <w:bottom w:val="single" w:sz="4" w:space="0" w:color="auto"/>
              <w:right w:val="single" w:sz="4" w:space="0" w:color="auto"/>
            </w:tcBorders>
            <w:shd w:val="clear" w:color="000000" w:fill="FFFFFF"/>
            <w:noWrap/>
            <w:vAlign w:val="center"/>
            <w:hideMark/>
          </w:tcPr>
          <w:p w14:paraId="25B6BBD9" w14:textId="77777777" w:rsidR="00691219" w:rsidRPr="00C52EE2" w:rsidRDefault="00691219" w:rsidP="005B02C1">
            <w:pPr>
              <w:jc w:val="right"/>
              <w:rPr>
                <w:sz w:val="20"/>
              </w:rPr>
            </w:pPr>
            <w:r w:rsidRPr="00C52EE2">
              <w:rPr>
                <w:sz w:val="20"/>
              </w:rPr>
              <w:t>38,8</w:t>
            </w:r>
          </w:p>
        </w:tc>
      </w:tr>
      <w:tr w:rsidR="00CB7B98" w14:paraId="11CA655A"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444D4BA5" w14:textId="77777777" w:rsidR="00691219" w:rsidRPr="00C52EE2" w:rsidRDefault="00691219" w:rsidP="00CD590E">
            <w:pPr>
              <w:jc w:val="left"/>
              <w:rPr>
                <w:b/>
                <w:bCs/>
                <w:sz w:val="20"/>
              </w:rPr>
            </w:pPr>
            <w:r w:rsidRPr="00C52EE2">
              <w:rPr>
                <w:b/>
                <w:bCs/>
                <w:sz w:val="20"/>
              </w:rPr>
              <w:t>Rumunsko</w:t>
            </w:r>
          </w:p>
        </w:tc>
        <w:tc>
          <w:tcPr>
            <w:tcW w:w="530" w:type="pct"/>
            <w:tcBorders>
              <w:top w:val="nil"/>
              <w:left w:val="nil"/>
              <w:bottom w:val="single" w:sz="4" w:space="0" w:color="auto"/>
              <w:right w:val="single" w:sz="4" w:space="0" w:color="auto"/>
            </w:tcBorders>
            <w:shd w:val="clear" w:color="000000" w:fill="FFFFFF"/>
            <w:noWrap/>
            <w:vAlign w:val="center"/>
            <w:hideMark/>
          </w:tcPr>
          <w:p w14:paraId="645BDEEB" w14:textId="77777777" w:rsidR="00691219" w:rsidRPr="00C52EE2" w:rsidRDefault="00691219" w:rsidP="005B02C1">
            <w:pPr>
              <w:jc w:val="right"/>
              <w:rPr>
                <w:sz w:val="20"/>
              </w:rPr>
            </w:pPr>
            <w:r w:rsidRPr="00C52EE2">
              <w:rPr>
                <w:sz w:val="20"/>
              </w:rPr>
              <w:t>38,8</w:t>
            </w:r>
          </w:p>
        </w:tc>
        <w:tc>
          <w:tcPr>
            <w:tcW w:w="530" w:type="pct"/>
            <w:tcBorders>
              <w:top w:val="nil"/>
              <w:left w:val="nil"/>
              <w:bottom w:val="single" w:sz="4" w:space="0" w:color="auto"/>
              <w:right w:val="single" w:sz="4" w:space="0" w:color="auto"/>
            </w:tcBorders>
            <w:shd w:val="clear" w:color="000000" w:fill="FFFFFF"/>
            <w:noWrap/>
            <w:vAlign w:val="center"/>
            <w:hideMark/>
          </w:tcPr>
          <w:p w14:paraId="3383BF61" w14:textId="77777777" w:rsidR="00691219" w:rsidRPr="00C52EE2" w:rsidRDefault="00691219" w:rsidP="005B02C1">
            <w:pPr>
              <w:jc w:val="right"/>
              <w:rPr>
                <w:sz w:val="20"/>
              </w:rPr>
            </w:pPr>
            <w:r w:rsidRPr="00C52EE2">
              <w:rPr>
                <w:sz w:val="20"/>
              </w:rPr>
              <w:t>36,3</w:t>
            </w:r>
          </w:p>
        </w:tc>
        <w:tc>
          <w:tcPr>
            <w:tcW w:w="530" w:type="pct"/>
            <w:tcBorders>
              <w:top w:val="nil"/>
              <w:left w:val="nil"/>
              <w:bottom w:val="single" w:sz="4" w:space="0" w:color="auto"/>
              <w:right w:val="single" w:sz="4" w:space="0" w:color="auto"/>
            </w:tcBorders>
            <w:shd w:val="clear" w:color="000000" w:fill="FFFFFF"/>
            <w:noWrap/>
            <w:vAlign w:val="center"/>
            <w:hideMark/>
          </w:tcPr>
          <w:p w14:paraId="6051B631" w14:textId="77777777" w:rsidR="00691219" w:rsidRPr="00C52EE2" w:rsidRDefault="00691219" w:rsidP="005B02C1">
            <w:pPr>
              <w:jc w:val="right"/>
              <w:rPr>
                <w:sz w:val="20"/>
              </w:rPr>
            </w:pPr>
            <w:r w:rsidRPr="00C52EE2">
              <w:rPr>
                <w:sz w:val="20"/>
              </w:rPr>
              <w:t>33,3</w:t>
            </w:r>
          </w:p>
        </w:tc>
        <w:tc>
          <w:tcPr>
            <w:tcW w:w="530" w:type="pct"/>
            <w:tcBorders>
              <w:top w:val="nil"/>
              <w:left w:val="nil"/>
              <w:bottom w:val="single" w:sz="4" w:space="0" w:color="auto"/>
              <w:right w:val="single" w:sz="4" w:space="0" w:color="auto"/>
            </w:tcBorders>
            <w:shd w:val="clear" w:color="000000" w:fill="FFFFFF"/>
            <w:noWrap/>
            <w:vAlign w:val="center"/>
            <w:hideMark/>
          </w:tcPr>
          <w:p w14:paraId="39C75A5B" w14:textId="77777777" w:rsidR="00691219" w:rsidRPr="00C52EE2" w:rsidRDefault="00691219" w:rsidP="005B02C1">
            <w:pPr>
              <w:jc w:val="right"/>
              <w:rPr>
                <w:sz w:val="20"/>
              </w:rPr>
            </w:pPr>
            <w:r w:rsidRPr="00C52EE2">
              <w:rPr>
                <w:sz w:val="20"/>
              </w:rPr>
              <w:t>29,7</w:t>
            </w:r>
          </w:p>
        </w:tc>
        <w:tc>
          <w:tcPr>
            <w:tcW w:w="530" w:type="pct"/>
            <w:tcBorders>
              <w:top w:val="nil"/>
              <w:left w:val="nil"/>
              <w:bottom w:val="single" w:sz="4" w:space="0" w:color="auto"/>
              <w:right w:val="single" w:sz="4" w:space="0" w:color="auto"/>
            </w:tcBorders>
            <w:shd w:val="clear" w:color="000000" w:fill="FFFFFF"/>
            <w:noWrap/>
            <w:vAlign w:val="center"/>
            <w:hideMark/>
          </w:tcPr>
          <w:p w14:paraId="2FE225C2" w14:textId="77777777" w:rsidR="00691219" w:rsidRPr="00C52EE2" w:rsidRDefault="00691219" w:rsidP="005B02C1">
            <w:pPr>
              <w:jc w:val="right"/>
              <w:rPr>
                <w:sz w:val="20"/>
              </w:rPr>
            </w:pPr>
            <w:r w:rsidRPr="00C52EE2">
              <w:rPr>
                <w:sz w:val="20"/>
              </w:rPr>
              <w:t>24,0</w:t>
            </w:r>
          </w:p>
        </w:tc>
        <w:tc>
          <w:tcPr>
            <w:tcW w:w="530" w:type="pct"/>
            <w:tcBorders>
              <w:top w:val="nil"/>
              <w:left w:val="nil"/>
              <w:bottom w:val="single" w:sz="4" w:space="0" w:color="auto"/>
              <w:right w:val="single" w:sz="4" w:space="0" w:color="auto"/>
            </w:tcBorders>
            <w:shd w:val="clear" w:color="000000" w:fill="FFFFFF"/>
            <w:noWrap/>
            <w:vAlign w:val="center"/>
            <w:hideMark/>
          </w:tcPr>
          <w:p w14:paraId="11CF4F02" w14:textId="77777777" w:rsidR="00691219" w:rsidRPr="00C52EE2" w:rsidRDefault="00691219" w:rsidP="005B02C1">
            <w:pPr>
              <w:jc w:val="right"/>
              <w:rPr>
                <w:sz w:val="20"/>
              </w:rPr>
            </w:pPr>
            <w:r w:rsidRPr="00C52EE2">
              <w:rPr>
                <w:sz w:val="20"/>
              </w:rPr>
              <w:t>26,1</w:t>
            </w:r>
          </w:p>
        </w:tc>
        <w:tc>
          <w:tcPr>
            <w:tcW w:w="527" w:type="pct"/>
            <w:tcBorders>
              <w:top w:val="nil"/>
              <w:left w:val="nil"/>
              <w:bottom w:val="single" w:sz="4" w:space="0" w:color="auto"/>
              <w:right w:val="single" w:sz="4" w:space="0" w:color="auto"/>
            </w:tcBorders>
            <w:shd w:val="clear" w:color="000000" w:fill="FFFFFF"/>
            <w:noWrap/>
            <w:vAlign w:val="center"/>
            <w:hideMark/>
          </w:tcPr>
          <w:p w14:paraId="5916B6CC" w14:textId="77777777" w:rsidR="00691219" w:rsidRPr="00C52EE2" w:rsidRDefault="00691219" w:rsidP="005B02C1">
            <w:pPr>
              <w:jc w:val="right"/>
              <w:rPr>
                <w:sz w:val="20"/>
              </w:rPr>
            </w:pPr>
            <w:r w:rsidRPr="00C52EE2">
              <w:rPr>
                <w:sz w:val="20"/>
              </w:rPr>
              <w:t>26,3</w:t>
            </w:r>
          </w:p>
        </w:tc>
      </w:tr>
      <w:tr w:rsidR="00CB7B98" w14:paraId="52EEBE98"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1C9EE9DD" w14:textId="77777777" w:rsidR="00691219" w:rsidRPr="00C52EE2" w:rsidRDefault="00691219" w:rsidP="00CD590E">
            <w:pPr>
              <w:jc w:val="left"/>
              <w:rPr>
                <w:b/>
                <w:bCs/>
                <w:sz w:val="20"/>
              </w:rPr>
            </w:pPr>
            <w:r w:rsidRPr="00C52EE2">
              <w:rPr>
                <w:b/>
                <w:bCs/>
                <w:sz w:val="20"/>
              </w:rPr>
              <w:t>Řecko</w:t>
            </w:r>
          </w:p>
        </w:tc>
        <w:tc>
          <w:tcPr>
            <w:tcW w:w="530" w:type="pct"/>
            <w:tcBorders>
              <w:top w:val="nil"/>
              <w:left w:val="nil"/>
              <w:bottom w:val="single" w:sz="4" w:space="0" w:color="auto"/>
              <w:right w:val="single" w:sz="4" w:space="0" w:color="auto"/>
            </w:tcBorders>
            <w:shd w:val="clear" w:color="000000" w:fill="FFFFFF"/>
            <w:noWrap/>
            <w:vAlign w:val="center"/>
            <w:hideMark/>
          </w:tcPr>
          <w:p w14:paraId="177E97A8" w14:textId="77777777" w:rsidR="00691219" w:rsidRPr="00C52EE2" w:rsidRDefault="00691219" w:rsidP="005B02C1">
            <w:pPr>
              <w:jc w:val="right"/>
              <w:rPr>
                <w:sz w:val="20"/>
              </w:rPr>
            </w:pPr>
            <w:r w:rsidRPr="00C52EE2">
              <w:rPr>
                <w:sz w:val="20"/>
              </w:rPr>
              <w:t>91,9</w:t>
            </w:r>
          </w:p>
        </w:tc>
        <w:tc>
          <w:tcPr>
            <w:tcW w:w="530" w:type="pct"/>
            <w:tcBorders>
              <w:top w:val="nil"/>
              <w:left w:val="nil"/>
              <w:bottom w:val="single" w:sz="4" w:space="0" w:color="auto"/>
              <w:right w:val="single" w:sz="4" w:space="0" w:color="auto"/>
            </w:tcBorders>
            <w:shd w:val="clear" w:color="000000" w:fill="FFFFFF"/>
            <w:noWrap/>
            <w:vAlign w:val="center"/>
            <w:hideMark/>
          </w:tcPr>
          <w:p w14:paraId="6E8CCFBC" w14:textId="77777777" w:rsidR="00691219" w:rsidRPr="00C52EE2" w:rsidRDefault="00691219" w:rsidP="005B02C1">
            <w:pPr>
              <w:jc w:val="right"/>
              <w:rPr>
                <w:sz w:val="20"/>
              </w:rPr>
            </w:pPr>
            <w:r w:rsidRPr="00C52EE2">
              <w:rPr>
                <w:sz w:val="20"/>
              </w:rPr>
              <w:t>89,7</w:t>
            </w:r>
          </w:p>
        </w:tc>
        <w:tc>
          <w:tcPr>
            <w:tcW w:w="530" w:type="pct"/>
            <w:tcBorders>
              <w:top w:val="nil"/>
              <w:left w:val="nil"/>
              <w:bottom w:val="single" w:sz="4" w:space="0" w:color="auto"/>
              <w:right w:val="single" w:sz="4" w:space="0" w:color="auto"/>
            </w:tcBorders>
            <w:shd w:val="clear" w:color="000000" w:fill="FFFFFF"/>
            <w:noWrap/>
            <w:vAlign w:val="center"/>
            <w:hideMark/>
          </w:tcPr>
          <w:p w14:paraId="2B0A58FB" w14:textId="77777777" w:rsidR="00691219" w:rsidRPr="00C52EE2" w:rsidRDefault="00691219" w:rsidP="005B02C1">
            <w:pPr>
              <w:jc w:val="right"/>
              <w:rPr>
                <w:sz w:val="20"/>
              </w:rPr>
            </w:pPr>
            <w:r w:rsidRPr="00C52EE2">
              <w:rPr>
                <w:sz w:val="20"/>
              </w:rPr>
              <w:t>90,7</w:t>
            </w:r>
          </w:p>
        </w:tc>
        <w:tc>
          <w:tcPr>
            <w:tcW w:w="530" w:type="pct"/>
            <w:tcBorders>
              <w:top w:val="nil"/>
              <w:left w:val="nil"/>
              <w:bottom w:val="single" w:sz="4" w:space="0" w:color="auto"/>
              <w:right w:val="single" w:sz="4" w:space="0" w:color="auto"/>
            </w:tcBorders>
            <w:shd w:val="clear" w:color="000000" w:fill="FFFFFF"/>
            <w:noWrap/>
            <w:vAlign w:val="center"/>
            <w:hideMark/>
          </w:tcPr>
          <w:p w14:paraId="47046E6C" w14:textId="77777777" w:rsidR="00691219" w:rsidRPr="00C52EE2" w:rsidRDefault="00691219" w:rsidP="005B02C1">
            <w:pPr>
              <w:jc w:val="right"/>
              <w:rPr>
                <w:sz w:val="20"/>
              </w:rPr>
            </w:pPr>
            <w:r w:rsidRPr="00C52EE2">
              <w:rPr>
                <w:sz w:val="20"/>
              </w:rPr>
              <w:t>88,2</w:t>
            </w:r>
          </w:p>
        </w:tc>
        <w:tc>
          <w:tcPr>
            <w:tcW w:w="530" w:type="pct"/>
            <w:tcBorders>
              <w:top w:val="nil"/>
              <w:left w:val="nil"/>
              <w:bottom w:val="single" w:sz="4" w:space="0" w:color="auto"/>
              <w:right w:val="single" w:sz="4" w:space="0" w:color="auto"/>
            </w:tcBorders>
            <w:shd w:val="clear" w:color="000000" w:fill="FFFFFF"/>
            <w:noWrap/>
            <w:vAlign w:val="center"/>
            <w:hideMark/>
          </w:tcPr>
          <w:p w14:paraId="100D0BE4" w14:textId="77777777" w:rsidR="00691219" w:rsidRPr="00C52EE2" w:rsidRDefault="00691219" w:rsidP="005B02C1">
            <w:pPr>
              <w:jc w:val="right"/>
              <w:rPr>
                <w:sz w:val="20"/>
              </w:rPr>
            </w:pPr>
            <w:r w:rsidRPr="00C52EE2">
              <w:rPr>
                <w:sz w:val="20"/>
              </w:rPr>
              <w:t>83,4</w:t>
            </w:r>
          </w:p>
        </w:tc>
        <w:tc>
          <w:tcPr>
            <w:tcW w:w="530" w:type="pct"/>
            <w:tcBorders>
              <w:top w:val="nil"/>
              <w:left w:val="nil"/>
              <w:bottom w:val="single" w:sz="4" w:space="0" w:color="auto"/>
              <w:right w:val="single" w:sz="4" w:space="0" w:color="auto"/>
            </w:tcBorders>
            <w:shd w:val="clear" w:color="000000" w:fill="FFFFFF"/>
            <w:noWrap/>
            <w:vAlign w:val="center"/>
            <w:hideMark/>
          </w:tcPr>
          <w:p w14:paraId="5F8DD775" w14:textId="77777777" w:rsidR="00691219" w:rsidRPr="00C52EE2" w:rsidRDefault="00691219" w:rsidP="005B02C1">
            <w:pPr>
              <w:jc w:val="right"/>
              <w:rPr>
                <w:sz w:val="20"/>
              </w:rPr>
            </w:pPr>
            <w:r w:rsidRPr="00C52EE2">
              <w:rPr>
                <w:sz w:val="20"/>
              </w:rPr>
              <w:t>76,7</w:t>
            </w:r>
          </w:p>
        </w:tc>
        <w:tc>
          <w:tcPr>
            <w:tcW w:w="527" w:type="pct"/>
            <w:tcBorders>
              <w:top w:val="nil"/>
              <w:left w:val="nil"/>
              <w:bottom w:val="single" w:sz="4" w:space="0" w:color="auto"/>
              <w:right w:val="single" w:sz="4" w:space="0" w:color="auto"/>
            </w:tcBorders>
            <w:shd w:val="clear" w:color="000000" w:fill="FFFFFF"/>
            <w:noWrap/>
            <w:vAlign w:val="center"/>
            <w:hideMark/>
          </w:tcPr>
          <w:p w14:paraId="5F8F9518" w14:textId="77777777" w:rsidR="00691219" w:rsidRPr="00C52EE2" w:rsidRDefault="00691219" w:rsidP="005B02C1">
            <w:pPr>
              <w:jc w:val="right"/>
              <w:rPr>
                <w:sz w:val="20"/>
              </w:rPr>
            </w:pPr>
            <w:r w:rsidRPr="00C52EE2">
              <w:rPr>
                <w:sz w:val="20"/>
              </w:rPr>
              <w:t>84,5</w:t>
            </w:r>
          </w:p>
        </w:tc>
      </w:tr>
      <w:tr w:rsidR="00CB7B98" w14:paraId="66741F3C"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2C12BB84" w14:textId="77777777" w:rsidR="00691219" w:rsidRPr="00C52EE2" w:rsidRDefault="00691219" w:rsidP="00CD590E">
            <w:pPr>
              <w:jc w:val="left"/>
              <w:rPr>
                <w:b/>
                <w:bCs/>
                <w:sz w:val="20"/>
              </w:rPr>
            </w:pPr>
            <w:r w:rsidRPr="00C52EE2">
              <w:rPr>
                <w:b/>
                <w:bCs/>
                <w:sz w:val="20"/>
              </w:rPr>
              <w:t>Slovensko</w:t>
            </w:r>
          </w:p>
        </w:tc>
        <w:tc>
          <w:tcPr>
            <w:tcW w:w="530" w:type="pct"/>
            <w:tcBorders>
              <w:top w:val="nil"/>
              <w:left w:val="nil"/>
              <w:bottom w:val="single" w:sz="4" w:space="0" w:color="auto"/>
              <w:right w:val="single" w:sz="4" w:space="0" w:color="auto"/>
            </w:tcBorders>
            <w:shd w:val="clear" w:color="000000" w:fill="FFFFFF"/>
            <w:noWrap/>
            <w:vAlign w:val="center"/>
            <w:hideMark/>
          </w:tcPr>
          <w:p w14:paraId="65B078D0" w14:textId="77777777" w:rsidR="00691219" w:rsidRPr="00C52EE2" w:rsidRDefault="00691219" w:rsidP="005B02C1">
            <w:pPr>
              <w:jc w:val="right"/>
              <w:rPr>
                <w:sz w:val="20"/>
              </w:rPr>
            </w:pPr>
            <w:r w:rsidRPr="00C52EE2">
              <w:rPr>
                <w:sz w:val="20"/>
              </w:rPr>
              <w:t>35,6</w:t>
            </w:r>
          </w:p>
        </w:tc>
        <w:tc>
          <w:tcPr>
            <w:tcW w:w="530" w:type="pct"/>
            <w:tcBorders>
              <w:top w:val="nil"/>
              <w:left w:val="nil"/>
              <w:bottom w:val="single" w:sz="4" w:space="0" w:color="auto"/>
              <w:right w:val="single" w:sz="4" w:space="0" w:color="auto"/>
            </w:tcBorders>
            <w:shd w:val="clear" w:color="000000" w:fill="FFFFFF"/>
            <w:noWrap/>
            <w:vAlign w:val="center"/>
            <w:hideMark/>
          </w:tcPr>
          <w:p w14:paraId="3E17B6CD" w14:textId="77777777" w:rsidR="00691219" w:rsidRPr="00C52EE2" w:rsidRDefault="00691219" w:rsidP="005B02C1">
            <w:pPr>
              <w:jc w:val="right"/>
              <w:rPr>
                <w:sz w:val="20"/>
              </w:rPr>
            </w:pPr>
            <w:r w:rsidRPr="00C52EE2">
              <w:rPr>
                <w:sz w:val="20"/>
              </w:rPr>
              <w:t>38,9</w:t>
            </w:r>
          </w:p>
        </w:tc>
        <w:tc>
          <w:tcPr>
            <w:tcW w:w="530" w:type="pct"/>
            <w:tcBorders>
              <w:top w:val="nil"/>
              <w:left w:val="nil"/>
              <w:bottom w:val="single" w:sz="4" w:space="0" w:color="auto"/>
              <w:right w:val="single" w:sz="4" w:space="0" w:color="auto"/>
            </w:tcBorders>
            <w:shd w:val="clear" w:color="000000" w:fill="FFFFFF"/>
            <w:noWrap/>
            <w:vAlign w:val="center"/>
            <w:hideMark/>
          </w:tcPr>
          <w:p w14:paraId="2ECCBE40" w14:textId="77777777" w:rsidR="00691219" w:rsidRPr="00C52EE2" w:rsidRDefault="00691219" w:rsidP="005B02C1">
            <w:pPr>
              <w:jc w:val="right"/>
              <w:rPr>
                <w:sz w:val="20"/>
              </w:rPr>
            </w:pPr>
            <w:r w:rsidRPr="00C52EE2">
              <w:rPr>
                <w:sz w:val="20"/>
              </w:rPr>
              <w:t>24,4</w:t>
            </w:r>
          </w:p>
        </w:tc>
        <w:tc>
          <w:tcPr>
            <w:tcW w:w="530" w:type="pct"/>
            <w:tcBorders>
              <w:top w:val="nil"/>
              <w:left w:val="nil"/>
              <w:bottom w:val="single" w:sz="4" w:space="0" w:color="auto"/>
              <w:right w:val="single" w:sz="4" w:space="0" w:color="auto"/>
            </w:tcBorders>
            <w:shd w:val="clear" w:color="000000" w:fill="FFFFFF"/>
            <w:noWrap/>
            <w:vAlign w:val="center"/>
            <w:hideMark/>
          </w:tcPr>
          <w:p w14:paraId="7FAB66AD" w14:textId="77777777" w:rsidR="00691219" w:rsidRPr="00C52EE2" w:rsidRDefault="00691219" w:rsidP="005B02C1">
            <w:pPr>
              <w:jc w:val="right"/>
              <w:rPr>
                <w:sz w:val="20"/>
              </w:rPr>
            </w:pPr>
            <w:r w:rsidRPr="00C52EE2">
              <w:rPr>
                <w:sz w:val="20"/>
              </w:rPr>
              <w:t>26,8</w:t>
            </w:r>
          </w:p>
        </w:tc>
        <w:tc>
          <w:tcPr>
            <w:tcW w:w="530" w:type="pct"/>
            <w:tcBorders>
              <w:top w:val="nil"/>
              <w:left w:val="nil"/>
              <w:bottom w:val="single" w:sz="4" w:space="0" w:color="auto"/>
              <w:right w:val="single" w:sz="4" w:space="0" w:color="auto"/>
            </w:tcBorders>
            <w:shd w:val="clear" w:color="000000" w:fill="FFFFFF"/>
            <w:noWrap/>
            <w:vAlign w:val="center"/>
            <w:hideMark/>
          </w:tcPr>
          <w:p w14:paraId="6D8EFB59" w14:textId="77777777" w:rsidR="00691219" w:rsidRPr="00C52EE2" w:rsidRDefault="00691219" w:rsidP="005B02C1">
            <w:pPr>
              <w:jc w:val="right"/>
              <w:rPr>
                <w:sz w:val="20"/>
              </w:rPr>
            </w:pPr>
            <w:r w:rsidRPr="00C52EE2">
              <w:rPr>
                <w:sz w:val="20"/>
              </w:rPr>
              <w:t>22,5</w:t>
            </w:r>
          </w:p>
        </w:tc>
        <w:tc>
          <w:tcPr>
            <w:tcW w:w="530" w:type="pct"/>
            <w:tcBorders>
              <w:top w:val="nil"/>
              <w:left w:val="nil"/>
              <w:bottom w:val="single" w:sz="4" w:space="0" w:color="auto"/>
              <w:right w:val="single" w:sz="4" w:space="0" w:color="auto"/>
            </w:tcBorders>
            <w:shd w:val="clear" w:color="000000" w:fill="FFFFFF"/>
            <w:noWrap/>
            <w:vAlign w:val="center"/>
            <w:hideMark/>
          </w:tcPr>
          <w:p w14:paraId="214D72F4" w14:textId="77777777" w:rsidR="00691219" w:rsidRPr="00C52EE2" w:rsidRDefault="00691219" w:rsidP="005B02C1">
            <w:pPr>
              <w:jc w:val="right"/>
              <w:rPr>
                <w:sz w:val="20"/>
              </w:rPr>
            </w:pPr>
            <w:r w:rsidRPr="00C52EE2">
              <w:rPr>
                <w:sz w:val="20"/>
              </w:rPr>
              <w:t>32,4</w:t>
            </w:r>
          </w:p>
        </w:tc>
        <w:tc>
          <w:tcPr>
            <w:tcW w:w="527" w:type="pct"/>
            <w:tcBorders>
              <w:top w:val="nil"/>
              <w:left w:val="nil"/>
              <w:bottom w:val="single" w:sz="4" w:space="0" w:color="auto"/>
              <w:right w:val="single" w:sz="4" w:space="0" w:color="auto"/>
            </w:tcBorders>
            <w:shd w:val="clear" w:color="000000" w:fill="FFFFFF"/>
            <w:noWrap/>
            <w:vAlign w:val="center"/>
            <w:hideMark/>
          </w:tcPr>
          <w:p w14:paraId="333FCA97" w14:textId="77777777" w:rsidR="00691219" w:rsidRPr="00C52EE2" w:rsidRDefault="00691219" w:rsidP="005B02C1">
            <w:pPr>
              <w:jc w:val="right"/>
              <w:rPr>
                <w:sz w:val="20"/>
              </w:rPr>
            </w:pPr>
            <w:r w:rsidRPr="00C52EE2">
              <w:rPr>
                <w:sz w:val="20"/>
              </w:rPr>
              <w:t>13,9</w:t>
            </w:r>
          </w:p>
        </w:tc>
      </w:tr>
      <w:tr w:rsidR="00CB7B98" w14:paraId="1B230D7D"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0FDF3769" w14:textId="77777777" w:rsidR="00691219" w:rsidRPr="00C52EE2" w:rsidRDefault="00691219" w:rsidP="00CD590E">
            <w:pPr>
              <w:jc w:val="left"/>
              <w:rPr>
                <w:b/>
                <w:bCs/>
                <w:sz w:val="20"/>
              </w:rPr>
            </w:pPr>
            <w:r w:rsidRPr="00C52EE2">
              <w:rPr>
                <w:b/>
                <w:bCs/>
                <w:sz w:val="20"/>
              </w:rPr>
              <w:t>Slovinsko</w:t>
            </w:r>
          </w:p>
        </w:tc>
        <w:tc>
          <w:tcPr>
            <w:tcW w:w="530" w:type="pct"/>
            <w:tcBorders>
              <w:top w:val="nil"/>
              <w:left w:val="nil"/>
              <w:bottom w:val="single" w:sz="4" w:space="0" w:color="auto"/>
              <w:right w:val="single" w:sz="4" w:space="0" w:color="auto"/>
            </w:tcBorders>
            <w:shd w:val="clear" w:color="000000" w:fill="FFFFFF"/>
            <w:noWrap/>
            <w:vAlign w:val="center"/>
            <w:hideMark/>
          </w:tcPr>
          <w:p w14:paraId="015D7F3B" w14:textId="77777777" w:rsidR="00691219" w:rsidRPr="00C52EE2" w:rsidRDefault="00691219" w:rsidP="005B02C1">
            <w:pPr>
              <w:jc w:val="right"/>
              <w:rPr>
                <w:sz w:val="20"/>
              </w:rPr>
            </w:pPr>
            <w:r w:rsidRPr="00C52EE2">
              <w:rPr>
                <w:sz w:val="20"/>
              </w:rPr>
              <w:t>28,3</w:t>
            </w:r>
          </w:p>
        </w:tc>
        <w:tc>
          <w:tcPr>
            <w:tcW w:w="530" w:type="pct"/>
            <w:tcBorders>
              <w:top w:val="nil"/>
              <w:left w:val="nil"/>
              <w:bottom w:val="single" w:sz="4" w:space="0" w:color="auto"/>
              <w:right w:val="single" w:sz="4" w:space="0" w:color="auto"/>
            </w:tcBorders>
            <w:shd w:val="clear" w:color="000000" w:fill="FFFFFF"/>
            <w:noWrap/>
            <w:vAlign w:val="center"/>
            <w:hideMark/>
          </w:tcPr>
          <w:p w14:paraId="7AE6A3DE" w14:textId="77777777" w:rsidR="00691219" w:rsidRPr="00C52EE2" w:rsidRDefault="00691219" w:rsidP="005B02C1">
            <w:pPr>
              <w:jc w:val="right"/>
              <w:rPr>
                <w:sz w:val="20"/>
              </w:rPr>
            </w:pPr>
            <w:r w:rsidRPr="00C52EE2">
              <w:rPr>
                <w:sz w:val="20"/>
              </w:rPr>
              <w:t>26,7</w:t>
            </w:r>
          </w:p>
        </w:tc>
        <w:tc>
          <w:tcPr>
            <w:tcW w:w="530" w:type="pct"/>
            <w:tcBorders>
              <w:top w:val="nil"/>
              <w:left w:val="nil"/>
              <w:bottom w:val="single" w:sz="4" w:space="0" w:color="auto"/>
              <w:right w:val="single" w:sz="4" w:space="0" w:color="auto"/>
            </w:tcBorders>
            <w:shd w:val="clear" w:color="000000" w:fill="FFFFFF"/>
            <w:noWrap/>
            <w:vAlign w:val="center"/>
            <w:hideMark/>
          </w:tcPr>
          <w:p w14:paraId="7D2966A5" w14:textId="77777777" w:rsidR="00691219" w:rsidRPr="00C52EE2" w:rsidRDefault="00691219" w:rsidP="005B02C1">
            <w:pPr>
              <w:jc w:val="right"/>
              <w:rPr>
                <w:sz w:val="20"/>
              </w:rPr>
            </w:pPr>
            <w:r w:rsidRPr="00C52EE2">
              <w:rPr>
                <w:sz w:val="20"/>
              </w:rPr>
              <w:t>24,0</w:t>
            </w:r>
          </w:p>
        </w:tc>
        <w:tc>
          <w:tcPr>
            <w:tcW w:w="530" w:type="pct"/>
            <w:tcBorders>
              <w:top w:val="nil"/>
              <w:left w:val="nil"/>
              <w:bottom w:val="single" w:sz="4" w:space="0" w:color="auto"/>
              <w:right w:val="single" w:sz="4" w:space="0" w:color="auto"/>
            </w:tcBorders>
            <w:shd w:val="clear" w:color="000000" w:fill="FFFFFF"/>
            <w:noWrap/>
            <w:vAlign w:val="center"/>
            <w:hideMark/>
          </w:tcPr>
          <w:p w14:paraId="3853BC02" w14:textId="77777777" w:rsidR="00691219" w:rsidRPr="00C52EE2" w:rsidRDefault="00691219" w:rsidP="005B02C1">
            <w:pPr>
              <w:jc w:val="right"/>
              <w:rPr>
                <w:sz w:val="20"/>
              </w:rPr>
            </w:pPr>
            <w:r w:rsidRPr="00C52EE2">
              <w:rPr>
                <w:sz w:val="20"/>
              </w:rPr>
              <w:t>21,9</w:t>
            </w:r>
          </w:p>
        </w:tc>
        <w:tc>
          <w:tcPr>
            <w:tcW w:w="530" w:type="pct"/>
            <w:tcBorders>
              <w:top w:val="nil"/>
              <w:left w:val="nil"/>
              <w:bottom w:val="single" w:sz="4" w:space="0" w:color="auto"/>
              <w:right w:val="single" w:sz="4" w:space="0" w:color="auto"/>
            </w:tcBorders>
            <w:shd w:val="clear" w:color="000000" w:fill="FFFFFF"/>
            <w:noWrap/>
            <w:vAlign w:val="center"/>
            <w:hideMark/>
          </w:tcPr>
          <w:p w14:paraId="7F605A23" w14:textId="77777777" w:rsidR="00691219" w:rsidRPr="00C52EE2" w:rsidRDefault="00691219" w:rsidP="005B02C1">
            <w:pPr>
              <w:jc w:val="right"/>
              <w:rPr>
                <w:sz w:val="20"/>
              </w:rPr>
            </w:pPr>
            <w:r w:rsidRPr="00C52EE2">
              <w:rPr>
                <w:sz w:val="20"/>
              </w:rPr>
              <w:t>23,1</w:t>
            </w:r>
          </w:p>
        </w:tc>
        <w:tc>
          <w:tcPr>
            <w:tcW w:w="530" w:type="pct"/>
            <w:tcBorders>
              <w:top w:val="nil"/>
              <w:left w:val="nil"/>
              <w:bottom w:val="single" w:sz="4" w:space="0" w:color="auto"/>
              <w:right w:val="single" w:sz="4" w:space="0" w:color="auto"/>
            </w:tcBorders>
            <w:shd w:val="clear" w:color="000000" w:fill="FFFFFF"/>
            <w:noWrap/>
            <w:vAlign w:val="center"/>
            <w:hideMark/>
          </w:tcPr>
          <w:p w14:paraId="2E6EE082" w14:textId="77777777" w:rsidR="00691219" w:rsidRPr="00C52EE2" w:rsidRDefault="00691219" w:rsidP="005B02C1">
            <w:pPr>
              <w:jc w:val="right"/>
              <w:rPr>
                <w:sz w:val="20"/>
              </w:rPr>
            </w:pPr>
            <w:r w:rsidRPr="00C52EE2">
              <w:rPr>
                <w:sz w:val="20"/>
              </w:rPr>
              <w:t>20,9</w:t>
            </w:r>
          </w:p>
        </w:tc>
        <w:tc>
          <w:tcPr>
            <w:tcW w:w="527" w:type="pct"/>
            <w:tcBorders>
              <w:top w:val="nil"/>
              <w:left w:val="nil"/>
              <w:bottom w:val="single" w:sz="4" w:space="0" w:color="auto"/>
              <w:right w:val="single" w:sz="4" w:space="0" w:color="auto"/>
            </w:tcBorders>
            <w:shd w:val="clear" w:color="000000" w:fill="FFFFFF"/>
            <w:noWrap/>
            <w:vAlign w:val="center"/>
            <w:hideMark/>
          </w:tcPr>
          <w:p w14:paraId="6EA7B55D" w14:textId="77777777" w:rsidR="00691219" w:rsidRPr="00C52EE2" w:rsidRDefault="00691219" w:rsidP="005B02C1">
            <w:pPr>
              <w:jc w:val="right"/>
              <w:rPr>
                <w:sz w:val="20"/>
              </w:rPr>
            </w:pPr>
            <w:r w:rsidRPr="00C52EE2">
              <w:rPr>
                <w:sz w:val="20"/>
              </w:rPr>
              <w:t>23,1</w:t>
            </w:r>
          </w:p>
        </w:tc>
      </w:tr>
      <w:tr w:rsidR="00CB7B98" w14:paraId="62E29985"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2AC929D6" w14:textId="77777777" w:rsidR="00691219" w:rsidRPr="00C52EE2" w:rsidRDefault="00691219" w:rsidP="00CD590E">
            <w:pPr>
              <w:jc w:val="left"/>
              <w:rPr>
                <w:b/>
                <w:bCs/>
                <w:sz w:val="20"/>
              </w:rPr>
            </w:pPr>
            <w:r w:rsidRPr="00C52EE2">
              <w:rPr>
                <w:b/>
                <w:bCs/>
                <w:sz w:val="20"/>
              </w:rPr>
              <w:t>Španělsko</w:t>
            </w:r>
          </w:p>
        </w:tc>
        <w:tc>
          <w:tcPr>
            <w:tcW w:w="530" w:type="pct"/>
            <w:tcBorders>
              <w:top w:val="nil"/>
              <w:left w:val="nil"/>
              <w:bottom w:val="single" w:sz="4" w:space="0" w:color="auto"/>
              <w:right w:val="single" w:sz="4" w:space="0" w:color="auto"/>
            </w:tcBorders>
            <w:shd w:val="clear" w:color="000000" w:fill="FFFFFF"/>
            <w:noWrap/>
            <w:vAlign w:val="center"/>
            <w:hideMark/>
          </w:tcPr>
          <w:p w14:paraId="0256BDC7" w14:textId="77777777" w:rsidR="00691219" w:rsidRPr="00C52EE2" w:rsidRDefault="00691219" w:rsidP="005B02C1">
            <w:pPr>
              <w:jc w:val="right"/>
              <w:rPr>
                <w:sz w:val="20"/>
              </w:rPr>
            </w:pPr>
            <w:r w:rsidRPr="00C52EE2">
              <w:rPr>
                <w:sz w:val="20"/>
              </w:rPr>
              <w:t>36,4</w:t>
            </w:r>
          </w:p>
        </w:tc>
        <w:tc>
          <w:tcPr>
            <w:tcW w:w="530" w:type="pct"/>
            <w:tcBorders>
              <w:top w:val="nil"/>
              <w:left w:val="nil"/>
              <w:bottom w:val="single" w:sz="4" w:space="0" w:color="auto"/>
              <w:right w:val="single" w:sz="4" w:space="0" w:color="auto"/>
            </w:tcBorders>
            <w:shd w:val="clear" w:color="000000" w:fill="FFFFFF"/>
            <w:noWrap/>
            <w:vAlign w:val="center"/>
            <w:hideMark/>
          </w:tcPr>
          <w:p w14:paraId="54BB3643" w14:textId="77777777" w:rsidR="00691219" w:rsidRPr="00C52EE2" w:rsidRDefault="00691219" w:rsidP="005B02C1">
            <w:pPr>
              <w:jc w:val="right"/>
              <w:rPr>
                <w:sz w:val="20"/>
              </w:rPr>
            </w:pPr>
            <w:r w:rsidRPr="00C52EE2">
              <w:rPr>
                <w:sz w:val="20"/>
              </w:rPr>
              <w:t>36,5</w:t>
            </w:r>
          </w:p>
        </w:tc>
        <w:tc>
          <w:tcPr>
            <w:tcW w:w="530" w:type="pct"/>
            <w:tcBorders>
              <w:top w:val="nil"/>
              <w:left w:val="nil"/>
              <w:bottom w:val="single" w:sz="4" w:space="0" w:color="auto"/>
              <w:right w:val="single" w:sz="4" w:space="0" w:color="auto"/>
            </w:tcBorders>
            <w:shd w:val="clear" w:color="000000" w:fill="FFFFFF"/>
            <w:noWrap/>
            <w:vAlign w:val="center"/>
            <w:hideMark/>
          </w:tcPr>
          <w:p w14:paraId="2D1D804F" w14:textId="77777777" w:rsidR="00691219" w:rsidRPr="00C52EE2" w:rsidRDefault="00691219" w:rsidP="005B02C1">
            <w:pPr>
              <w:jc w:val="right"/>
              <w:rPr>
                <w:sz w:val="20"/>
              </w:rPr>
            </w:pPr>
            <w:r w:rsidRPr="00C52EE2">
              <w:rPr>
                <w:sz w:val="20"/>
              </w:rPr>
              <w:t>32,9</w:t>
            </w:r>
          </w:p>
        </w:tc>
        <w:tc>
          <w:tcPr>
            <w:tcW w:w="530" w:type="pct"/>
            <w:tcBorders>
              <w:top w:val="nil"/>
              <w:left w:val="nil"/>
              <w:bottom w:val="single" w:sz="4" w:space="0" w:color="auto"/>
              <w:right w:val="single" w:sz="4" w:space="0" w:color="auto"/>
            </w:tcBorders>
            <w:shd w:val="clear" w:color="000000" w:fill="FFFFFF"/>
            <w:noWrap/>
            <w:vAlign w:val="center"/>
            <w:hideMark/>
          </w:tcPr>
          <w:p w14:paraId="5FD02A9E" w14:textId="77777777" w:rsidR="00691219" w:rsidRPr="00C52EE2" w:rsidRDefault="00691219" w:rsidP="005B02C1">
            <w:pPr>
              <w:jc w:val="right"/>
              <w:rPr>
                <w:sz w:val="20"/>
              </w:rPr>
            </w:pPr>
            <w:r w:rsidRPr="00C52EE2">
              <w:rPr>
                <w:sz w:val="20"/>
              </w:rPr>
              <w:t>31,8</w:t>
            </w:r>
          </w:p>
        </w:tc>
        <w:tc>
          <w:tcPr>
            <w:tcW w:w="530" w:type="pct"/>
            <w:tcBorders>
              <w:top w:val="nil"/>
              <w:left w:val="nil"/>
              <w:bottom w:val="single" w:sz="4" w:space="0" w:color="auto"/>
              <w:right w:val="single" w:sz="4" w:space="0" w:color="auto"/>
            </w:tcBorders>
            <w:shd w:val="clear" w:color="000000" w:fill="FFFFFF"/>
            <w:noWrap/>
            <w:vAlign w:val="center"/>
            <w:hideMark/>
          </w:tcPr>
          <w:p w14:paraId="4FFFDA05" w14:textId="77777777" w:rsidR="00691219" w:rsidRPr="00C52EE2" w:rsidRDefault="00691219" w:rsidP="005B02C1">
            <w:pPr>
              <w:jc w:val="right"/>
              <w:rPr>
                <w:sz w:val="20"/>
              </w:rPr>
            </w:pPr>
            <w:r w:rsidRPr="00C52EE2">
              <w:rPr>
                <w:sz w:val="20"/>
              </w:rPr>
              <w:t>30,6</w:t>
            </w:r>
          </w:p>
        </w:tc>
        <w:tc>
          <w:tcPr>
            <w:tcW w:w="530" w:type="pct"/>
            <w:tcBorders>
              <w:top w:val="nil"/>
              <w:left w:val="nil"/>
              <w:bottom w:val="single" w:sz="4" w:space="0" w:color="auto"/>
              <w:right w:val="single" w:sz="4" w:space="0" w:color="auto"/>
            </w:tcBorders>
            <w:shd w:val="clear" w:color="000000" w:fill="FFFFFF"/>
            <w:noWrap/>
            <w:vAlign w:val="center"/>
            <w:hideMark/>
          </w:tcPr>
          <w:p w14:paraId="255BDDDD" w14:textId="77777777" w:rsidR="00691219" w:rsidRPr="00C52EE2" w:rsidRDefault="00691219" w:rsidP="005B02C1">
            <w:pPr>
              <w:jc w:val="right"/>
              <w:rPr>
                <w:sz w:val="20"/>
              </w:rPr>
            </w:pPr>
            <w:r w:rsidRPr="00C52EE2">
              <w:rPr>
                <w:sz w:val="20"/>
              </w:rPr>
              <w:t>36,2</w:t>
            </w:r>
          </w:p>
        </w:tc>
        <w:tc>
          <w:tcPr>
            <w:tcW w:w="527" w:type="pct"/>
            <w:tcBorders>
              <w:top w:val="nil"/>
              <w:left w:val="nil"/>
              <w:bottom w:val="single" w:sz="4" w:space="0" w:color="auto"/>
              <w:right w:val="single" w:sz="4" w:space="0" w:color="auto"/>
            </w:tcBorders>
            <w:shd w:val="clear" w:color="000000" w:fill="FFFFFF"/>
            <w:noWrap/>
            <w:vAlign w:val="center"/>
            <w:hideMark/>
          </w:tcPr>
          <w:p w14:paraId="505B3E47" w14:textId="77777777" w:rsidR="00691219" w:rsidRPr="00C52EE2" w:rsidRDefault="00691219" w:rsidP="005B02C1">
            <w:pPr>
              <w:jc w:val="right"/>
              <w:rPr>
                <w:sz w:val="20"/>
              </w:rPr>
            </w:pPr>
            <w:r w:rsidRPr="00C52EE2">
              <w:rPr>
                <w:sz w:val="20"/>
              </w:rPr>
              <w:t>35,8</w:t>
            </w:r>
          </w:p>
        </w:tc>
      </w:tr>
      <w:tr w:rsidR="00CB7B98" w14:paraId="5DD0E67E" w14:textId="77777777" w:rsidTr="000775C8">
        <w:trPr>
          <w:trHeight w:val="380"/>
        </w:trPr>
        <w:tc>
          <w:tcPr>
            <w:tcW w:w="1293" w:type="pct"/>
            <w:tcBorders>
              <w:top w:val="nil"/>
              <w:left w:val="single" w:sz="4" w:space="0" w:color="auto"/>
              <w:bottom w:val="single" w:sz="4" w:space="0" w:color="auto"/>
              <w:right w:val="single" w:sz="4" w:space="0" w:color="auto"/>
            </w:tcBorders>
            <w:shd w:val="clear" w:color="000000" w:fill="FFFFFF"/>
            <w:noWrap/>
            <w:vAlign w:val="center"/>
            <w:hideMark/>
          </w:tcPr>
          <w:p w14:paraId="2A2861CD" w14:textId="77777777" w:rsidR="00691219" w:rsidRPr="00C52EE2" w:rsidRDefault="00691219" w:rsidP="00CD590E">
            <w:pPr>
              <w:jc w:val="left"/>
              <w:rPr>
                <w:b/>
                <w:bCs/>
                <w:sz w:val="20"/>
              </w:rPr>
            </w:pPr>
            <w:r w:rsidRPr="00C52EE2">
              <w:rPr>
                <w:b/>
                <w:bCs/>
                <w:sz w:val="20"/>
              </w:rPr>
              <w:t>Švédsko</w:t>
            </w:r>
          </w:p>
        </w:tc>
        <w:tc>
          <w:tcPr>
            <w:tcW w:w="530" w:type="pct"/>
            <w:tcBorders>
              <w:top w:val="nil"/>
              <w:left w:val="nil"/>
              <w:bottom w:val="single" w:sz="4" w:space="0" w:color="auto"/>
              <w:right w:val="single" w:sz="4" w:space="0" w:color="auto"/>
            </w:tcBorders>
            <w:shd w:val="clear" w:color="000000" w:fill="FFFFFF"/>
            <w:noWrap/>
            <w:vAlign w:val="center"/>
            <w:hideMark/>
          </w:tcPr>
          <w:p w14:paraId="6A3CD12F" w14:textId="77777777" w:rsidR="00691219" w:rsidRPr="00C52EE2" w:rsidRDefault="00691219" w:rsidP="005B02C1">
            <w:pPr>
              <w:jc w:val="right"/>
              <w:rPr>
                <w:sz w:val="20"/>
              </w:rPr>
            </w:pPr>
            <w:r w:rsidRPr="00C52EE2">
              <w:rPr>
                <w:sz w:val="20"/>
              </w:rPr>
              <w:t>38,7</w:t>
            </w:r>
          </w:p>
        </w:tc>
        <w:tc>
          <w:tcPr>
            <w:tcW w:w="530" w:type="pct"/>
            <w:tcBorders>
              <w:top w:val="nil"/>
              <w:left w:val="nil"/>
              <w:bottom w:val="single" w:sz="4" w:space="0" w:color="auto"/>
              <w:right w:val="single" w:sz="4" w:space="0" w:color="auto"/>
            </w:tcBorders>
            <w:shd w:val="clear" w:color="000000" w:fill="FFFFFF"/>
            <w:noWrap/>
            <w:vAlign w:val="center"/>
            <w:hideMark/>
          </w:tcPr>
          <w:p w14:paraId="3A31DE80" w14:textId="77777777" w:rsidR="00691219" w:rsidRPr="00C52EE2" w:rsidRDefault="00691219" w:rsidP="005B02C1">
            <w:pPr>
              <w:jc w:val="right"/>
              <w:rPr>
                <w:sz w:val="20"/>
              </w:rPr>
            </w:pPr>
            <w:r w:rsidRPr="00C52EE2">
              <w:rPr>
                <w:sz w:val="20"/>
              </w:rPr>
              <w:t>38,8</w:t>
            </w:r>
          </w:p>
        </w:tc>
        <w:tc>
          <w:tcPr>
            <w:tcW w:w="530" w:type="pct"/>
            <w:tcBorders>
              <w:top w:val="nil"/>
              <w:left w:val="nil"/>
              <w:bottom w:val="single" w:sz="4" w:space="0" w:color="auto"/>
              <w:right w:val="single" w:sz="4" w:space="0" w:color="auto"/>
            </w:tcBorders>
            <w:shd w:val="clear" w:color="000000" w:fill="FFFFFF"/>
            <w:noWrap/>
            <w:vAlign w:val="center"/>
            <w:hideMark/>
          </w:tcPr>
          <w:p w14:paraId="2631B9F4" w14:textId="77777777" w:rsidR="00691219" w:rsidRPr="00C52EE2" w:rsidRDefault="00691219" w:rsidP="005B02C1">
            <w:pPr>
              <w:jc w:val="right"/>
              <w:rPr>
                <w:sz w:val="20"/>
              </w:rPr>
            </w:pPr>
            <w:r w:rsidRPr="00C52EE2">
              <w:rPr>
                <w:sz w:val="20"/>
              </w:rPr>
              <w:t>37,0</w:t>
            </w:r>
          </w:p>
        </w:tc>
        <w:tc>
          <w:tcPr>
            <w:tcW w:w="530" w:type="pct"/>
            <w:tcBorders>
              <w:top w:val="nil"/>
              <w:left w:val="nil"/>
              <w:bottom w:val="single" w:sz="4" w:space="0" w:color="auto"/>
              <w:right w:val="single" w:sz="4" w:space="0" w:color="auto"/>
            </w:tcBorders>
            <w:shd w:val="clear" w:color="000000" w:fill="FFFFFF"/>
            <w:noWrap/>
            <w:vAlign w:val="center"/>
            <w:hideMark/>
          </w:tcPr>
          <w:p w14:paraId="5CB79D3B" w14:textId="77777777" w:rsidR="00691219" w:rsidRPr="00C52EE2" w:rsidRDefault="00691219" w:rsidP="005B02C1">
            <w:pPr>
              <w:jc w:val="right"/>
              <w:rPr>
                <w:sz w:val="20"/>
              </w:rPr>
            </w:pPr>
            <w:r w:rsidRPr="00C52EE2">
              <w:rPr>
                <w:sz w:val="20"/>
              </w:rPr>
              <w:t>41,2</w:t>
            </w:r>
          </w:p>
        </w:tc>
        <w:tc>
          <w:tcPr>
            <w:tcW w:w="530" w:type="pct"/>
            <w:tcBorders>
              <w:top w:val="nil"/>
              <w:left w:val="nil"/>
              <w:bottom w:val="single" w:sz="4" w:space="0" w:color="auto"/>
              <w:right w:val="single" w:sz="4" w:space="0" w:color="auto"/>
            </w:tcBorders>
            <w:shd w:val="clear" w:color="000000" w:fill="FFFFFF"/>
            <w:noWrap/>
            <w:vAlign w:val="center"/>
            <w:hideMark/>
          </w:tcPr>
          <w:p w14:paraId="0B17C73D" w14:textId="77777777" w:rsidR="00691219" w:rsidRPr="00C52EE2" w:rsidRDefault="00691219" w:rsidP="005B02C1">
            <w:pPr>
              <w:jc w:val="right"/>
              <w:rPr>
                <w:sz w:val="20"/>
              </w:rPr>
            </w:pPr>
            <w:r w:rsidRPr="00C52EE2">
              <w:rPr>
                <w:sz w:val="20"/>
              </w:rPr>
              <w:t>38,1</w:t>
            </w:r>
          </w:p>
        </w:tc>
        <w:tc>
          <w:tcPr>
            <w:tcW w:w="530" w:type="pct"/>
            <w:tcBorders>
              <w:top w:val="nil"/>
              <w:left w:val="nil"/>
              <w:bottom w:val="single" w:sz="4" w:space="0" w:color="auto"/>
              <w:right w:val="single" w:sz="4" w:space="0" w:color="auto"/>
            </w:tcBorders>
            <w:shd w:val="clear" w:color="000000" w:fill="FFFFFF"/>
            <w:noWrap/>
            <w:vAlign w:val="center"/>
            <w:hideMark/>
          </w:tcPr>
          <w:p w14:paraId="2A432ABB" w14:textId="77777777" w:rsidR="00691219" w:rsidRPr="00C52EE2" w:rsidRDefault="00691219" w:rsidP="005B02C1">
            <w:pPr>
              <w:jc w:val="right"/>
              <w:rPr>
                <w:sz w:val="20"/>
              </w:rPr>
            </w:pPr>
            <w:r w:rsidRPr="00C52EE2">
              <w:rPr>
                <w:sz w:val="20"/>
              </w:rPr>
              <w:t>40,6</w:t>
            </w:r>
          </w:p>
        </w:tc>
        <w:tc>
          <w:tcPr>
            <w:tcW w:w="527" w:type="pct"/>
            <w:tcBorders>
              <w:top w:val="nil"/>
              <w:left w:val="nil"/>
              <w:bottom w:val="single" w:sz="4" w:space="0" w:color="auto"/>
              <w:right w:val="single" w:sz="4" w:space="0" w:color="auto"/>
            </w:tcBorders>
            <w:shd w:val="clear" w:color="000000" w:fill="FFFFFF"/>
            <w:noWrap/>
            <w:vAlign w:val="center"/>
            <w:hideMark/>
          </w:tcPr>
          <w:p w14:paraId="6DCB0AEB" w14:textId="77777777" w:rsidR="00691219" w:rsidRPr="00C52EE2" w:rsidRDefault="00691219" w:rsidP="005B02C1">
            <w:pPr>
              <w:jc w:val="right"/>
              <w:rPr>
                <w:sz w:val="20"/>
              </w:rPr>
            </w:pPr>
            <w:r w:rsidRPr="00C52EE2">
              <w:rPr>
                <w:sz w:val="20"/>
              </w:rPr>
              <w:t>42,8</w:t>
            </w:r>
          </w:p>
        </w:tc>
      </w:tr>
    </w:tbl>
    <w:p w14:paraId="31C5D1D8" w14:textId="2D2F9934" w:rsidR="00CD4B2A" w:rsidRPr="00866D4A" w:rsidRDefault="00691219" w:rsidP="009C52B6">
      <w:pPr>
        <w:spacing w:before="20"/>
        <w:jc w:val="left"/>
        <w:rPr>
          <w:b/>
        </w:rPr>
      </w:pPr>
      <w:r w:rsidRPr="00EC06C9">
        <w:rPr>
          <w:rFonts w:ascii="Calibri" w:hAnsi="Calibri"/>
          <w:b/>
          <w:color w:val="000000"/>
          <w:sz w:val="20"/>
        </w:rPr>
        <w:t>Zdroj:</w:t>
      </w:r>
      <w:r w:rsidRPr="0033613D">
        <w:rPr>
          <w:rFonts w:ascii="Calibri" w:hAnsi="Calibri"/>
          <w:color w:val="000000"/>
          <w:sz w:val="20"/>
        </w:rPr>
        <w:t xml:space="preserve"> </w:t>
      </w:r>
      <w:proofErr w:type="spellStart"/>
      <w:r w:rsidRPr="0033613D">
        <w:rPr>
          <w:rFonts w:ascii="Calibri" w:hAnsi="Calibri"/>
          <w:color w:val="000000"/>
          <w:sz w:val="20"/>
        </w:rPr>
        <w:t>Eurostat</w:t>
      </w:r>
      <w:proofErr w:type="spellEnd"/>
      <w:r w:rsidRPr="0033613D">
        <w:rPr>
          <w:rFonts w:ascii="Calibri" w:hAnsi="Calibri"/>
          <w:color w:val="000000"/>
          <w:sz w:val="20"/>
        </w:rPr>
        <w:t xml:space="preserve">, EU-SILC </w:t>
      </w:r>
      <w:proofErr w:type="spellStart"/>
      <w:r w:rsidRPr="00296D84">
        <w:rPr>
          <w:rFonts w:ascii="Calibri" w:hAnsi="Calibri"/>
          <w:color w:val="000000"/>
          <w:sz w:val="20"/>
          <w:lang w:val="de-DE"/>
        </w:rPr>
        <w:t>survey</w:t>
      </w:r>
      <w:proofErr w:type="spellEnd"/>
      <w:r>
        <w:rPr>
          <w:rFonts w:ascii="Calibri" w:hAnsi="Calibri"/>
          <w:color w:val="000000"/>
          <w:sz w:val="20"/>
        </w:rPr>
        <w:t>.</w:t>
      </w:r>
    </w:p>
    <w:sectPr w:rsidR="00CD4B2A" w:rsidRPr="00866D4A" w:rsidSect="00F777B7">
      <w:headerReference w:type="default" r:id="rId18"/>
      <w:type w:val="continuous"/>
      <w:pgSz w:w="11906" w:h="16838" w:code="9"/>
      <w:pgMar w:top="1417" w:right="1417" w:bottom="1417"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E83A7" w14:textId="77777777" w:rsidR="0043588E" w:rsidRDefault="0043588E">
      <w:r>
        <w:separator/>
      </w:r>
    </w:p>
  </w:endnote>
  <w:endnote w:type="continuationSeparator" w:id="0">
    <w:p w14:paraId="3B62CC5A" w14:textId="77777777" w:rsidR="0043588E" w:rsidRDefault="0043588E">
      <w:r>
        <w:continuationSeparator/>
      </w:r>
    </w:p>
  </w:endnote>
  <w:endnote w:type="continuationNotice" w:id="1">
    <w:p w14:paraId="2242DC55" w14:textId="77777777" w:rsidR="0043588E" w:rsidRDefault="00435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Roboto">
    <w:altName w:val="Arial"/>
    <w:panose1 w:val="02000000000000000000"/>
    <w:charset w:val="EE"/>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6339" w14:textId="77777777" w:rsidR="0043588E" w:rsidRDefault="004358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27267074" w14:textId="77777777" w:rsidR="0043588E" w:rsidRDefault="004358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929767"/>
      <w:docPartObj>
        <w:docPartGallery w:val="Page Numbers (Bottom of Page)"/>
        <w:docPartUnique/>
      </w:docPartObj>
    </w:sdtPr>
    <w:sdtEndPr/>
    <w:sdtContent>
      <w:p w14:paraId="1CBA314B" w14:textId="77777777" w:rsidR="0043588E" w:rsidRDefault="0043588E">
        <w:pPr>
          <w:pStyle w:val="Zpat"/>
          <w:jc w:val="center"/>
        </w:pPr>
        <w:r>
          <w:fldChar w:fldCharType="begin"/>
        </w:r>
        <w:r>
          <w:instrText>PAGE   \* MERGEFORMAT</w:instrText>
        </w:r>
        <w:r>
          <w:fldChar w:fldCharType="separate"/>
        </w:r>
        <w:r>
          <w:t>29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47082" w14:textId="77777777" w:rsidR="0043588E" w:rsidRDefault="0043588E" w:rsidP="0068280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D6967" w14:textId="77777777" w:rsidR="0043588E" w:rsidRDefault="0043588E">
      <w:r>
        <w:separator/>
      </w:r>
    </w:p>
  </w:footnote>
  <w:footnote w:type="continuationSeparator" w:id="0">
    <w:p w14:paraId="10CAEAD2" w14:textId="77777777" w:rsidR="0043588E" w:rsidRDefault="0043588E">
      <w:r>
        <w:continuationSeparator/>
      </w:r>
    </w:p>
  </w:footnote>
  <w:footnote w:type="continuationNotice" w:id="1">
    <w:p w14:paraId="1BF67206" w14:textId="77777777" w:rsidR="0043588E" w:rsidRDefault="0043588E"/>
  </w:footnote>
  <w:footnote w:id="2">
    <w:p w14:paraId="78BB155C" w14:textId="65D24042" w:rsidR="0043588E" w:rsidRDefault="0043588E" w:rsidP="00CB7B98">
      <w:pPr>
        <w:pStyle w:val="Textpoznpodarou"/>
      </w:pPr>
      <w:r>
        <w:rPr>
          <w:rStyle w:val="Znakapoznpodarou"/>
        </w:rPr>
        <w:footnoteRef/>
      </w:r>
      <w:r>
        <w:t xml:space="preserve"> </w:t>
      </w:r>
      <w:r>
        <w:tab/>
        <w:t>Dle metodických vysvětlivek Českého statistického úřadu jde o byty ve vlastních domech, osobním vlastnictví, byty družstevní, nájemní/pronajaté a jiné.</w:t>
      </w:r>
    </w:p>
  </w:footnote>
  <w:footnote w:id="3">
    <w:p w14:paraId="08F8CE29" w14:textId="4DF8054F" w:rsidR="0043588E" w:rsidRDefault="0043588E" w:rsidP="00CB7B98">
      <w:pPr>
        <w:pStyle w:val="Textpoznpodarou"/>
      </w:pPr>
      <w:r>
        <w:rPr>
          <w:rStyle w:val="Znakapoznpodarou"/>
        </w:rPr>
        <w:footnoteRef/>
      </w:r>
      <w:r>
        <w:t xml:space="preserve"> </w:t>
      </w:r>
      <w:r>
        <w:tab/>
        <w:t>Ke dni ukončení kontroly NKÚ nemělo MMR údaje za rok 2022 k dispozici.</w:t>
      </w:r>
    </w:p>
  </w:footnote>
  <w:footnote w:id="4">
    <w:p w14:paraId="01D30E7F" w14:textId="3EF07FAA" w:rsidR="0043588E" w:rsidRDefault="0043588E" w:rsidP="00CB7B98">
      <w:pPr>
        <w:pStyle w:val="Textpoznpodarou"/>
      </w:pPr>
      <w:r>
        <w:rPr>
          <w:rStyle w:val="Znakapoznpodarou"/>
        </w:rPr>
        <w:footnoteRef/>
      </w:r>
      <w:r>
        <w:t xml:space="preserve"> </w:t>
      </w:r>
      <w:r>
        <w:tab/>
        <w:t>Program byl zahájen až v roce 2019.</w:t>
      </w:r>
    </w:p>
  </w:footnote>
  <w:footnote w:id="5">
    <w:p w14:paraId="128FF289" w14:textId="509842D5" w:rsidR="0043588E" w:rsidRPr="00755A7C" w:rsidRDefault="0043588E" w:rsidP="00CB7B98">
      <w:pPr>
        <w:pStyle w:val="Textpoznpodarou"/>
      </w:pPr>
      <w:r w:rsidRPr="00755A7C">
        <w:rPr>
          <w:rStyle w:val="Znakapoznpodarou"/>
        </w:rPr>
        <w:footnoteRef/>
      </w:r>
      <w:r w:rsidRPr="00755A7C">
        <w:t xml:space="preserve"> </w:t>
      </w:r>
      <w:r>
        <w:tab/>
      </w:r>
      <w:r w:rsidRPr="00755A7C">
        <w:rPr>
          <w:i/>
        </w:rPr>
        <w:t>Koncepce bydlení ČR do roku 2020</w:t>
      </w:r>
      <w:r w:rsidRPr="00755A7C">
        <w:t xml:space="preserve">, schválená usnesením vlády </w:t>
      </w:r>
      <w:r>
        <w:t xml:space="preserve">ČR </w:t>
      </w:r>
      <w:r w:rsidRPr="00755A7C">
        <w:t>ze dne 13. července 2011 č. 524</w:t>
      </w:r>
      <w:r>
        <w:t>,</w:t>
      </w:r>
      <w:r w:rsidRPr="00755A7C">
        <w:t xml:space="preserve"> o Koncepci bydlení České republiky do roku 2020; </w:t>
      </w:r>
      <w:r w:rsidRPr="00755A7C">
        <w:rPr>
          <w:i/>
        </w:rPr>
        <w:t>Koncepce bydlení České republiky do roku 2020 (revidovaná)</w:t>
      </w:r>
      <w:r w:rsidRPr="00A15C92">
        <w:t>,</w:t>
      </w:r>
      <w:r w:rsidRPr="00755A7C">
        <w:rPr>
          <w:i/>
        </w:rPr>
        <w:t xml:space="preserve"> </w:t>
      </w:r>
      <w:r w:rsidRPr="00A15C92">
        <w:t>s</w:t>
      </w:r>
      <w:r w:rsidRPr="00755A7C">
        <w:t xml:space="preserve">chválená usnesením vlády </w:t>
      </w:r>
      <w:r>
        <w:t xml:space="preserve">ČR </w:t>
      </w:r>
      <w:r w:rsidRPr="00755A7C">
        <w:t>ze dne 27. července 2016 č. 673</w:t>
      </w:r>
      <w:r>
        <w:t>,</w:t>
      </w:r>
      <w:r w:rsidRPr="00755A7C">
        <w:t xml:space="preserve"> o Koncepci bydlení České republiky do roku 2020 (revidované)</w:t>
      </w:r>
      <w:r>
        <w:t xml:space="preserve">, </w:t>
      </w:r>
      <w:r w:rsidRPr="00755A7C">
        <w:t xml:space="preserve">a </w:t>
      </w:r>
      <w:r w:rsidRPr="00755A7C">
        <w:rPr>
          <w:i/>
        </w:rPr>
        <w:t>Koncepce bydlení Č</w:t>
      </w:r>
      <w:r>
        <w:rPr>
          <w:i/>
        </w:rPr>
        <w:t>eské republiky</w:t>
      </w:r>
      <w:r w:rsidRPr="00755A7C">
        <w:rPr>
          <w:i/>
        </w:rPr>
        <w:t xml:space="preserve"> 2021+</w:t>
      </w:r>
      <w:r w:rsidRPr="00755A7C">
        <w:t xml:space="preserve">, schválená usnesením vlády </w:t>
      </w:r>
      <w:r>
        <w:t xml:space="preserve">ČR </w:t>
      </w:r>
      <w:r w:rsidRPr="00755A7C">
        <w:t>ze dne 12. dubna 2021 č. 358</w:t>
      </w:r>
      <w:r>
        <w:t>,</w:t>
      </w:r>
      <w:r w:rsidRPr="00755A7C">
        <w:t xml:space="preserve"> o</w:t>
      </w:r>
      <w:r>
        <w:t> </w:t>
      </w:r>
      <w:r w:rsidRPr="00755A7C">
        <w:t>Koncepci bydlení České republiky2021+.</w:t>
      </w:r>
    </w:p>
  </w:footnote>
  <w:footnote w:id="6">
    <w:p w14:paraId="18690DF0" w14:textId="3BD0F654" w:rsidR="0043588E" w:rsidRPr="00BC5322" w:rsidRDefault="0043588E" w:rsidP="00CB7B98">
      <w:pPr>
        <w:pStyle w:val="Textpoznpodarou"/>
      </w:pPr>
      <w:r w:rsidRPr="00755A7C">
        <w:rPr>
          <w:rStyle w:val="Znakapoznpodarou"/>
        </w:rPr>
        <w:footnoteRef/>
      </w:r>
      <w:r w:rsidRPr="00755A7C">
        <w:t xml:space="preserve"> </w:t>
      </w:r>
      <w:r>
        <w:tab/>
      </w:r>
      <w:r w:rsidRPr="00755A7C">
        <w:t>K</w:t>
      </w:r>
      <w:r w:rsidRPr="00755A7C">
        <w:rPr>
          <w:shd w:val="clear" w:color="auto" w:fill="FFFFFF"/>
        </w:rPr>
        <w:t xml:space="preserve">ontrolní závěr z kontrolní akce NKÚ </w:t>
      </w:r>
      <w:r w:rsidRPr="00755A7C">
        <w:t xml:space="preserve">č. 15/18 </w:t>
      </w:r>
      <w:r>
        <w:t>–</w:t>
      </w:r>
      <w:r w:rsidRPr="00755A7C">
        <w:t xml:space="preserve"> </w:t>
      </w:r>
      <w:r w:rsidRPr="00A15C92">
        <w:rPr>
          <w:i/>
        </w:rPr>
        <w:t>Peněžní prostředky určené na podporu bydlení</w:t>
      </w:r>
      <w:r w:rsidRPr="00B23DE9">
        <w:t xml:space="preserve"> s cílem prověřit </w:t>
      </w:r>
      <w:r w:rsidRPr="00B23DE9">
        <w:rPr>
          <w:shd w:val="clear" w:color="auto" w:fill="FFFFFF"/>
        </w:rPr>
        <w:t>poskytování, čerpání a</w:t>
      </w:r>
      <w:r>
        <w:rPr>
          <w:shd w:val="clear" w:color="auto" w:fill="FFFFFF"/>
        </w:rPr>
        <w:t xml:space="preserve"> </w:t>
      </w:r>
      <w:r w:rsidRPr="00B23DE9">
        <w:rPr>
          <w:shd w:val="clear" w:color="auto" w:fill="FFFFFF"/>
        </w:rPr>
        <w:t>použití peněžních prostředků určených na podporu bydlení</w:t>
      </w:r>
      <w:r w:rsidRPr="00755A7C">
        <w:rPr>
          <w:shd w:val="clear" w:color="auto" w:fill="FFFFFF"/>
        </w:rPr>
        <w:t xml:space="preserve">. </w:t>
      </w:r>
      <w:r w:rsidRPr="00755A7C">
        <w:t>K</w:t>
      </w:r>
      <w:r>
        <w:t>o</w:t>
      </w:r>
      <w:r w:rsidRPr="00755A7C">
        <w:rPr>
          <w:shd w:val="clear" w:color="auto" w:fill="FFFFFF"/>
        </w:rPr>
        <w:t>ntrolní závěr byl zveřejněn v</w:t>
      </w:r>
      <w:r>
        <w:rPr>
          <w:shd w:val="clear" w:color="auto" w:fill="FFFFFF"/>
        </w:rPr>
        <w:t> </w:t>
      </w:r>
      <w:r w:rsidRPr="00755A7C">
        <w:rPr>
          <w:shd w:val="clear" w:color="auto" w:fill="FFFFFF"/>
        </w:rPr>
        <w:t>část</w:t>
      </w:r>
      <w:r>
        <w:rPr>
          <w:shd w:val="clear" w:color="auto" w:fill="FFFFFF"/>
        </w:rPr>
        <w:t>ce</w:t>
      </w:r>
      <w:r w:rsidRPr="00755A7C">
        <w:rPr>
          <w:shd w:val="clear" w:color="auto" w:fill="FFFFFF"/>
        </w:rPr>
        <w:t xml:space="preserve"> 3/2016</w:t>
      </w:r>
      <w:r>
        <w:rPr>
          <w:shd w:val="clear" w:color="auto" w:fill="FFFFFF"/>
        </w:rPr>
        <w:t xml:space="preserve"> </w:t>
      </w:r>
      <w:r w:rsidRPr="00A15C92">
        <w:rPr>
          <w:i/>
          <w:shd w:val="clear" w:color="auto" w:fill="FFFFFF"/>
        </w:rPr>
        <w:t>Věstníku NKÚ</w:t>
      </w:r>
      <w:r w:rsidRPr="00755A7C">
        <w:t>.</w:t>
      </w:r>
    </w:p>
  </w:footnote>
  <w:footnote w:id="7">
    <w:p w14:paraId="4F68D71D" w14:textId="526B939C" w:rsidR="0043588E" w:rsidRPr="000242A7" w:rsidRDefault="0043588E" w:rsidP="005C3EC9">
      <w:pPr>
        <w:pStyle w:val="Styl1-a"/>
        <w:numPr>
          <w:ilvl w:val="0"/>
          <w:numId w:val="0"/>
        </w:numPr>
        <w:spacing w:before="0" w:after="0"/>
        <w:ind w:left="284" w:hanging="284"/>
        <w:contextualSpacing/>
      </w:pPr>
      <w:r w:rsidRPr="00597C7C">
        <w:rPr>
          <w:rStyle w:val="Znakapoznpodarou"/>
          <w:rFonts w:asciiTheme="minorHAnsi" w:hAnsiTheme="minorHAnsi" w:cstheme="minorHAnsi"/>
        </w:rPr>
        <w:footnoteRef/>
      </w:r>
      <w:r w:rsidRPr="00597C7C">
        <w:rPr>
          <w:rFonts w:asciiTheme="minorHAnsi" w:hAnsiTheme="minorHAnsi" w:cstheme="minorHAnsi"/>
        </w:rPr>
        <w:t xml:space="preserve"> </w:t>
      </w:r>
      <w:r>
        <w:rPr>
          <w:rFonts w:asciiTheme="minorHAnsi" w:hAnsiTheme="minorHAnsi" w:cstheme="minorHAnsi"/>
        </w:rPr>
        <w:tab/>
      </w:r>
      <w:r w:rsidRPr="00597C7C">
        <w:rPr>
          <w:rFonts w:asciiTheme="minorHAnsi" w:hAnsiTheme="minorHAnsi" w:cstheme="minorHAnsi"/>
        </w:rPr>
        <w:t>Celkové hodnocení vč. použitých kritérií je uvedeno v přílo</w:t>
      </w:r>
      <w:r>
        <w:rPr>
          <w:rFonts w:asciiTheme="minorHAnsi" w:hAnsiTheme="minorHAnsi" w:cstheme="minorHAnsi"/>
        </w:rPr>
        <w:t>hách</w:t>
      </w:r>
      <w:r w:rsidRPr="00597C7C">
        <w:rPr>
          <w:rFonts w:asciiTheme="minorHAnsi" w:hAnsiTheme="minorHAnsi" w:cstheme="minorHAnsi"/>
        </w:rPr>
        <w:t xml:space="preserve"> č. 1</w:t>
      </w:r>
      <w:r w:rsidRPr="000242A7">
        <w:rPr>
          <w:rFonts w:asciiTheme="minorHAnsi" w:hAnsiTheme="minorHAnsi" w:cstheme="minorHAnsi"/>
        </w:rPr>
        <w:t xml:space="preserve"> a 2 </w:t>
      </w:r>
      <w:r>
        <w:rPr>
          <w:rFonts w:asciiTheme="minorHAnsi" w:hAnsiTheme="minorHAnsi" w:cstheme="minorHAnsi"/>
        </w:rPr>
        <w:t xml:space="preserve">tohoto </w:t>
      </w:r>
      <w:r w:rsidRPr="000242A7">
        <w:rPr>
          <w:rFonts w:asciiTheme="minorHAnsi" w:hAnsiTheme="minorHAnsi" w:cstheme="minorHAnsi"/>
        </w:rPr>
        <w:t>kontrolního závěru.</w:t>
      </w:r>
    </w:p>
  </w:footnote>
  <w:footnote w:id="8">
    <w:p w14:paraId="24EA16FA" w14:textId="040AB0BA" w:rsidR="0043588E" w:rsidRPr="000242A7" w:rsidRDefault="0043588E" w:rsidP="00CB7B98">
      <w:pPr>
        <w:pStyle w:val="Textpoznpodarou"/>
      </w:pPr>
      <w:r w:rsidRPr="000242A7">
        <w:rPr>
          <w:rStyle w:val="Znakapoznpodarou"/>
        </w:rPr>
        <w:footnoteRef/>
      </w:r>
      <w:r w:rsidRPr="000242A7">
        <w:t xml:space="preserve"> </w:t>
      </w:r>
      <w:r w:rsidRPr="000242A7">
        <w:tab/>
        <w:t>Příspěvek na bydlení je dávka státní sociální podpory, kterou upravuje zákon č. 117/1995 Sb., o státní sociální podpoře. Doplatek na bydlení je dávka pomoci v hmotné nouzi, kterou upravuje zákon č. 111/2006 Sb., o</w:t>
      </w:r>
      <w:r>
        <w:t> </w:t>
      </w:r>
      <w:r w:rsidRPr="000242A7">
        <w:t xml:space="preserve">pomoci v hmotné nouzi. </w:t>
      </w:r>
    </w:p>
  </w:footnote>
  <w:footnote w:id="9">
    <w:p w14:paraId="4579E01F" w14:textId="77777777" w:rsidR="0043588E" w:rsidRPr="005C3EC9" w:rsidRDefault="0043588E" w:rsidP="00787C12">
      <w:pPr>
        <w:pStyle w:val="Styl1-a"/>
        <w:numPr>
          <w:ilvl w:val="0"/>
          <w:numId w:val="0"/>
        </w:numPr>
        <w:spacing w:before="0" w:after="0"/>
        <w:ind w:left="284" w:hanging="284"/>
        <w:contextualSpacing/>
        <w:rPr>
          <w:rFonts w:asciiTheme="minorHAnsi" w:hAnsiTheme="minorHAnsi" w:cstheme="minorHAnsi"/>
        </w:rPr>
      </w:pPr>
      <w:r w:rsidRPr="005C3EC9">
        <w:rPr>
          <w:rStyle w:val="Znakapoznpodarou"/>
          <w:rFonts w:asciiTheme="minorHAnsi" w:hAnsiTheme="minorHAnsi" w:cstheme="minorHAnsi"/>
        </w:rPr>
        <w:footnoteRef/>
      </w:r>
      <w:r w:rsidRPr="005C3EC9">
        <w:rPr>
          <w:rFonts w:asciiTheme="minorHAnsi" w:hAnsiTheme="minorHAnsi" w:cstheme="minorHAnsi"/>
        </w:rPr>
        <w:t xml:space="preserve"> </w:t>
      </w:r>
      <w:r w:rsidRPr="005C3EC9">
        <w:rPr>
          <w:rFonts w:asciiTheme="minorHAnsi" w:hAnsiTheme="minorHAnsi" w:cstheme="minorHAnsi"/>
        </w:rPr>
        <w:tab/>
      </w:r>
      <w:r w:rsidRPr="00597C7C">
        <w:rPr>
          <w:rFonts w:asciiTheme="minorHAnsi" w:hAnsiTheme="minorHAnsi" w:cstheme="minorHAnsi"/>
          <w:i/>
        </w:rPr>
        <w:t xml:space="preserve">Nová zelená úsporám </w:t>
      </w:r>
      <w:r>
        <w:rPr>
          <w:rFonts w:asciiTheme="minorHAnsi" w:hAnsiTheme="minorHAnsi" w:cstheme="minorHAnsi"/>
        </w:rPr>
        <w:t>– program</w:t>
      </w:r>
      <w:r w:rsidRPr="00597C7C">
        <w:rPr>
          <w:rFonts w:asciiTheme="minorHAnsi" w:hAnsiTheme="minorHAnsi" w:cstheme="minorHAnsi"/>
        </w:rPr>
        <w:t xml:space="preserve"> </w:t>
      </w:r>
      <w:r>
        <w:rPr>
          <w:rFonts w:asciiTheme="minorHAnsi" w:hAnsiTheme="minorHAnsi" w:cstheme="minorHAnsi"/>
        </w:rPr>
        <w:t xml:space="preserve">spadá pod </w:t>
      </w:r>
      <w:r w:rsidRPr="00597C7C">
        <w:rPr>
          <w:rFonts w:asciiTheme="minorHAnsi" w:hAnsiTheme="minorHAnsi" w:cstheme="minorHAnsi"/>
        </w:rPr>
        <w:t>spr</w:t>
      </w:r>
      <w:r>
        <w:rPr>
          <w:rFonts w:asciiTheme="minorHAnsi" w:hAnsiTheme="minorHAnsi" w:cstheme="minorHAnsi"/>
        </w:rPr>
        <w:t>ávu</w:t>
      </w:r>
      <w:r w:rsidRPr="00597C7C">
        <w:rPr>
          <w:rFonts w:asciiTheme="minorHAnsi" w:hAnsiTheme="minorHAnsi" w:cstheme="minorHAnsi"/>
        </w:rPr>
        <w:t xml:space="preserve"> Ministerstv</w:t>
      </w:r>
      <w:r>
        <w:rPr>
          <w:rFonts w:asciiTheme="minorHAnsi" w:hAnsiTheme="minorHAnsi" w:cstheme="minorHAnsi"/>
        </w:rPr>
        <w:t>a</w:t>
      </w:r>
      <w:r w:rsidRPr="00597C7C">
        <w:rPr>
          <w:rFonts w:asciiTheme="minorHAnsi" w:hAnsiTheme="minorHAnsi" w:cstheme="minorHAnsi"/>
        </w:rPr>
        <w:t xml:space="preserve"> životního prostředí (dále též „MŽP“);</w:t>
      </w:r>
      <w:r w:rsidRPr="00597C7C">
        <w:rPr>
          <w:rFonts w:asciiTheme="minorHAnsi" w:hAnsiTheme="minorHAnsi" w:cstheme="minorHAnsi"/>
          <w:i/>
        </w:rPr>
        <w:t xml:space="preserve"> Zateplování</w:t>
      </w:r>
      <w:r>
        <w:rPr>
          <w:rFonts w:asciiTheme="minorHAnsi" w:hAnsiTheme="minorHAnsi" w:cstheme="minorHAnsi"/>
        </w:rPr>
        <w:t xml:space="preserve"> – program je financován </w:t>
      </w:r>
      <w:r w:rsidRPr="000242A7">
        <w:rPr>
          <w:rFonts w:asciiTheme="minorHAnsi" w:hAnsiTheme="minorHAnsi" w:cstheme="minorHAnsi"/>
        </w:rPr>
        <w:t>z</w:t>
      </w:r>
      <w:r>
        <w:rPr>
          <w:rFonts w:asciiTheme="minorHAnsi" w:hAnsiTheme="minorHAnsi" w:cstheme="minorHAnsi"/>
        </w:rPr>
        <w:t> </w:t>
      </w:r>
      <w:r w:rsidRPr="005C3EC9">
        <w:rPr>
          <w:rFonts w:asciiTheme="minorHAnsi" w:hAnsiTheme="minorHAnsi" w:cstheme="minorHAnsi"/>
          <w:i/>
        </w:rPr>
        <w:t>Integrovaného regionálního operačního programu</w:t>
      </w:r>
      <w:r w:rsidRPr="000242A7">
        <w:rPr>
          <w:rFonts w:asciiTheme="minorHAnsi" w:hAnsiTheme="minorHAnsi" w:cstheme="minorHAnsi"/>
        </w:rPr>
        <w:t xml:space="preserve"> (dále též „IROP“) </w:t>
      </w:r>
      <w:r>
        <w:rPr>
          <w:rFonts w:asciiTheme="minorHAnsi" w:hAnsiTheme="minorHAnsi" w:cstheme="minorHAnsi"/>
        </w:rPr>
        <w:t>a </w:t>
      </w:r>
      <w:r w:rsidRPr="000242A7">
        <w:rPr>
          <w:rFonts w:asciiTheme="minorHAnsi" w:hAnsiTheme="minorHAnsi" w:cstheme="minorHAnsi"/>
        </w:rPr>
        <w:t>spravuje</w:t>
      </w:r>
      <w:r>
        <w:rPr>
          <w:rFonts w:asciiTheme="minorHAnsi" w:hAnsiTheme="minorHAnsi" w:cstheme="minorHAnsi"/>
        </w:rPr>
        <w:t xml:space="preserve"> ho</w:t>
      </w:r>
      <w:r w:rsidRPr="000242A7">
        <w:rPr>
          <w:rFonts w:asciiTheme="minorHAnsi" w:hAnsiTheme="minorHAnsi" w:cstheme="minorHAnsi"/>
        </w:rPr>
        <w:t xml:space="preserve"> MMR;</w:t>
      </w:r>
      <w:r w:rsidRPr="000242A7">
        <w:rPr>
          <w:rFonts w:asciiTheme="minorHAnsi" w:hAnsiTheme="minorHAnsi" w:cstheme="minorHAnsi"/>
          <w:i/>
        </w:rPr>
        <w:t xml:space="preserve"> Panel 2013+</w:t>
      </w:r>
      <w:r>
        <w:rPr>
          <w:rFonts w:asciiTheme="minorHAnsi" w:hAnsiTheme="minorHAnsi" w:cstheme="minorHAnsi"/>
        </w:rPr>
        <w:t xml:space="preserve"> je program spravovaný</w:t>
      </w:r>
      <w:r w:rsidRPr="000242A7">
        <w:rPr>
          <w:rFonts w:asciiTheme="minorHAnsi" w:hAnsiTheme="minorHAnsi" w:cstheme="minorHAnsi"/>
        </w:rPr>
        <w:t xml:space="preserve"> </w:t>
      </w:r>
      <w:r w:rsidRPr="007101F5">
        <w:rPr>
          <w:rFonts w:asciiTheme="minorHAnsi" w:hAnsiTheme="minorHAnsi" w:cstheme="minorHAnsi"/>
        </w:rPr>
        <w:t>Státní</w:t>
      </w:r>
      <w:r>
        <w:rPr>
          <w:rFonts w:asciiTheme="minorHAnsi" w:hAnsiTheme="minorHAnsi" w:cstheme="minorHAnsi"/>
        </w:rPr>
        <w:t>m</w:t>
      </w:r>
      <w:r w:rsidRPr="007101F5">
        <w:rPr>
          <w:rFonts w:asciiTheme="minorHAnsi" w:hAnsiTheme="minorHAnsi" w:cstheme="minorHAnsi"/>
        </w:rPr>
        <w:t xml:space="preserve"> fond</w:t>
      </w:r>
      <w:r>
        <w:rPr>
          <w:rFonts w:asciiTheme="minorHAnsi" w:hAnsiTheme="minorHAnsi" w:cstheme="minorHAnsi"/>
        </w:rPr>
        <w:t>em</w:t>
      </w:r>
      <w:r w:rsidRPr="007101F5">
        <w:rPr>
          <w:rFonts w:asciiTheme="minorHAnsi" w:hAnsiTheme="minorHAnsi" w:cstheme="minorHAnsi"/>
        </w:rPr>
        <w:t xml:space="preserve"> podpory investic</w:t>
      </w:r>
      <w:r w:rsidRPr="000242A7">
        <w:rPr>
          <w:rFonts w:asciiTheme="minorHAnsi" w:hAnsiTheme="minorHAnsi" w:cstheme="minorHAnsi"/>
        </w:rPr>
        <w:t>.</w:t>
      </w:r>
      <w:r w:rsidRPr="005C3EC9">
        <w:rPr>
          <w:rFonts w:asciiTheme="minorHAnsi" w:hAnsiTheme="minorHAnsi" w:cstheme="minorHAnsi"/>
        </w:rPr>
        <w:t xml:space="preserve"> </w:t>
      </w:r>
    </w:p>
  </w:footnote>
  <w:footnote w:id="10">
    <w:p w14:paraId="2BBB420D" w14:textId="22918B54" w:rsidR="0043588E" w:rsidRPr="000F04E5" w:rsidRDefault="0043588E" w:rsidP="00CB7B98">
      <w:pPr>
        <w:pStyle w:val="Textpoznpodarou"/>
      </w:pPr>
      <w:r w:rsidRPr="000F04E5">
        <w:rPr>
          <w:rStyle w:val="Znakapoznpodarou"/>
        </w:rPr>
        <w:footnoteRef/>
      </w:r>
      <w:r w:rsidRPr="000F04E5">
        <w:t xml:space="preserve"> </w:t>
      </w:r>
      <w:r>
        <w:tab/>
        <w:t xml:space="preserve">V </w:t>
      </w:r>
      <w:r w:rsidRPr="007365B7">
        <w:rPr>
          <w:i/>
        </w:rPr>
        <w:t>Koncepci 2020 (revidované)</w:t>
      </w:r>
      <w:r w:rsidRPr="00482A5B">
        <w:t xml:space="preserve"> </w:t>
      </w:r>
      <w:r>
        <w:t xml:space="preserve">je na </w:t>
      </w:r>
      <w:r w:rsidRPr="00482A5B">
        <w:t xml:space="preserve">str. 36 </w:t>
      </w:r>
      <w:r>
        <w:t>mj. uvedeno</w:t>
      </w:r>
      <w:r w:rsidRPr="003058FC">
        <w:t>: „</w:t>
      </w:r>
      <w:r w:rsidRPr="003058FC">
        <w:rPr>
          <w:i/>
        </w:rPr>
        <w:t>... cíle a priority Koncepce bydlení do roku 2020 se nepodařilo naplnit ani přes splnění stanovených úkolů. Jejich řešení se tak stává součástí nově navrhovaných priorit a úkolů</w:t>
      </w:r>
      <w:r w:rsidRPr="00482A5B">
        <w:t xml:space="preserve">“. </w:t>
      </w:r>
    </w:p>
  </w:footnote>
  <w:footnote w:id="11">
    <w:p w14:paraId="49E1BE78" w14:textId="468C8696" w:rsidR="0043588E" w:rsidRPr="00E758F9" w:rsidRDefault="0043588E" w:rsidP="00CB7B98">
      <w:pPr>
        <w:pStyle w:val="Textpoznpodarou"/>
      </w:pPr>
      <w:r w:rsidRPr="00E758F9">
        <w:rPr>
          <w:rStyle w:val="Znakapoznpodarou"/>
        </w:rPr>
        <w:footnoteRef/>
      </w:r>
      <w:r w:rsidRPr="00E758F9">
        <w:t xml:space="preserve"> </w:t>
      </w:r>
      <w:r>
        <w:tab/>
      </w:r>
      <w:r w:rsidRPr="00F03B0F">
        <w:rPr>
          <w:i/>
        </w:rPr>
        <w:t>Výstavba pro obce</w:t>
      </w:r>
      <w:r w:rsidRPr="00E758F9">
        <w:t xml:space="preserve"> (dotace), </w:t>
      </w:r>
      <w:r w:rsidRPr="00F03B0F">
        <w:rPr>
          <w:i/>
        </w:rPr>
        <w:t>Regenerace sídlišť</w:t>
      </w:r>
      <w:r w:rsidRPr="00E758F9">
        <w:t xml:space="preserve"> (dotace), </w:t>
      </w:r>
      <w:r w:rsidRPr="00F03B0F">
        <w:rPr>
          <w:i/>
        </w:rPr>
        <w:t>Nájemní byty</w:t>
      </w:r>
      <w:r w:rsidRPr="00E758F9">
        <w:t xml:space="preserve"> (úvěry) a </w:t>
      </w:r>
      <w:r w:rsidRPr="00F03B0F">
        <w:rPr>
          <w:i/>
        </w:rPr>
        <w:t>Panel 2013+</w:t>
      </w:r>
      <w:r w:rsidRPr="00E758F9">
        <w:t xml:space="preserve"> (úvěry)</w:t>
      </w:r>
      <w:r>
        <w:t>.</w:t>
      </w:r>
    </w:p>
  </w:footnote>
  <w:footnote w:id="12">
    <w:p w14:paraId="46DAEE54" w14:textId="18140076" w:rsidR="0043588E" w:rsidRDefault="0043588E" w:rsidP="00CB7B98">
      <w:pPr>
        <w:pStyle w:val="Textpoznpodarou"/>
      </w:pPr>
      <w:r>
        <w:rPr>
          <w:rStyle w:val="Znakapoznpodarou"/>
        </w:rPr>
        <w:footnoteRef/>
      </w:r>
      <w:r>
        <w:t xml:space="preserve"> </w:t>
      </w:r>
      <w:r>
        <w:tab/>
        <w:t>Z</w:t>
      </w:r>
      <w:r w:rsidRPr="00E758F9">
        <w:t>ákon č. 218/2000 Sb., o rozpočtových pravidlech a o změně některých souvisejících zákonů (rozpočtová pravidla)</w:t>
      </w:r>
      <w:r>
        <w:t>.</w:t>
      </w:r>
    </w:p>
  </w:footnote>
  <w:footnote w:id="13">
    <w:p w14:paraId="7454E1F3" w14:textId="52626BC8" w:rsidR="0043588E" w:rsidRPr="00E758F9" w:rsidRDefault="0043588E" w:rsidP="00CB7B98">
      <w:pPr>
        <w:pStyle w:val="Textpoznpodarou"/>
      </w:pPr>
      <w:r w:rsidRPr="00E758F9">
        <w:rPr>
          <w:rStyle w:val="Znakapoznpodarou"/>
        </w:rPr>
        <w:footnoteRef/>
      </w:r>
      <w:r w:rsidRPr="00E758F9">
        <w:t xml:space="preserve"> </w:t>
      </w:r>
      <w:r>
        <w:tab/>
      </w:r>
      <w:r w:rsidRPr="00E758F9">
        <w:t>Ustanovení § 39 odst. 3 zákona č. 218/2000 Sb.</w:t>
      </w:r>
    </w:p>
  </w:footnote>
  <w:footnote w:id="14">
    <w:p w14:paraId="776D17BE" w14:textId="24CDCB59" w:rsidR="0043588E" w:rsidRPr="00E758F9" w:rsidRDefault="0043588E" w:rsidP="00CB7B98">
      <w:pPr>
        <w:pStyle w:val="Textpoznpodarou"/>
      </w:pPr>
      <w:r w:rsidRPr="00E758F9">
        <w:rPr>
          <w:rStyle w:val="Znakapoznpodarou"/>
        </w:rPr>
        <w:footnoteRef/>
      </w:r>
      <w:r w:rsidRPr="00E758F9">
        <w:t xml:space="preserve"> </w:t>
      </w:r>
      <w:r>
        <w:tab/>
      </w:r>
      <w:r w:rsidRPr="00E758F9">
        <w:t>Indikátorem výsledku je například počet bytů obsazených cílovou skupinou.</w:t>
      </w:r>
    </w:p>
  </w:footnote>
  <w:footnote w:id="15">
    <w:p w14:paraId="2F34C697" w14:textId="05FEDA32" w:rsidR="0043588E" w:rsidRDefault="0043588E" w:rsidP="00CB7B98">
      <w:pPr>
        <w:pStyle w:val="Textpoznpodarou"/>
      </w:pPr>
      <w:r>
        <w:rPr>
          <w:rStyle w:val="Znakapoznpodarou"/>
        </w:rPr>
        <w:footnoteRef/>
      </w:r>
      <w:r>
        <w:t xml:space="preserve"> </w:t>
      </w:r>
      <w:r>
        <w:tab/>
        <w:t>Indikátorem dopadu je například zvýšení obecné míry dostupnosti pro cílovou skupinu.</w:t>
      </w:r>
    </w:p>
  </w:footnote>
  <w:footnote w:id="16">
    <w:p w14:paraId="16B35E5B" w14:textId="1D0560DF" w:rsidR="0043588E" w:rsidRPr="00E758F9" w:rsidRDefault="0043588E" w:rsidP="00CB7B98">
      <w:pPr>
        <w:pStyle w:val="Textpoznpodarou"/>
      </w:pPr>
      <w:r w:rsidRPr="00E758F9">
        <w:rPr>
          <w:rStyle w:val="Znakapoznpodarou"/>
        </w:rPr>
        <w:footnoteRef/>
      </w:r>
      <w:r w:rsidRPr="00E758F9">
        <w:t xml:space="preserve"> </w:t>
      </w:r>
      <w:r>
        <w:tab/>
      </w:r>
      <w:r w:rsidRPr="00E758F9">
        <w:t>Zákon č. 211/2000 Sb.</w:t>
      </w:r>
      <w:r>
        <w:t xml:space="preserve">, </w:t>
      </w:r>
      <w:r w:rsidRPr="00325AD1">
        <w:t>o Státním fondu podpory investic</w:t>
      </w:r>
      <w:r>
        <w:t>.</w:t>
      </w:r>
    </w:p>
  </w:footnote>
  <w:footnote w:id="17">
    <w:p w14:paraId="7A37982E" w14:textId="5E31F5A3" w:rsidR="0043588E" w:rsidRDefault="0043588E" w:rsidP="00CB7B98">
      <w:pPr>
        <w:pStyle w:val="Textpoznpodarou"/>
      </w:pPr>
      <w:r>
        <w:rPr>
          <w:rStyle w:val="Znakapoznpodarou"/>
        </w:rPr>
        <w:footnoteRef/>
      </w:r>
      <w:r>
        <w:t xml:space="preserve"> </w:t>
      </w:r>
      <w:r>
        <w:tab/>
      </w:r>
      <w:r w:rsidRPr="00BA05BC">
        <w:t>Za příklad dobré praxe považuje NKÚ například právní úpravu kontrolních pravomocí Ministerstva zemědělství vůči Státnímu zemědělskému intervenčnímu fondu (dále též „SZIF“) uvedenou v ustanovení § 9a</w:t>
      </w:r>
      <w:r>
        <w:t xml:space="preserve"> písm. e), f)</w:t>
      </w:r>
      <w:r w:rsidRPr="00BA05BC">
        <w:t xml:space="preserve"> zákona č. 256/2000 Sb., o Státním zemědělském intervenčním fondu</w:t>
      </w:r>
      <w:r>
        <w:t xml:space="preserve"> a o změně některých dalších zákonů (zákon o Státním zemědělském intervenčním fondu)</w:t>
      </w:r>
      <w:r w:rsidRPr="00BA05BC">
        <w:t>, kde je stanoveno, že v rámci postupů podle zákona o finanční kontrole ve veřejné správě náleží Ministerstvu zemědělství pravomoc kontrolovat u SZIF způsob jeho hospodaření a nakládání s prostředky veřejné finanční podpory a dále kontrolovat vnitřní říd</w:t>
      </w:r>
      <w:r>
        <w:t>i</w:t>
      </w:r>
      <w:r w:rsidRPr="00BA05BC">
        <w:t>cí a kontrolní systém SZIF.</w:t>
      </w:r>
      <w:r>
        <w:t xml:space="preserve"> </w:t>
      </w:r>
    </w:p>
  </w:footnote>
  <w:footnote w:id="18">
    <w:p w14:paraId="41D615B8" w14:textId="75326EA2" w:rsidR="0043588E" w:rsidRPr="00B23DE9" w:rsidRDefault="0043588E" w:rsidP="009E14A5">
      <w:pPr>
        <w:pStyle w:val="Textpoznpodarou"/>
      </w:pPr>
      <w:r w:rsidRPr="000242A7">
        <w:rPr>
          <w:rStyle w:val="Znakapoznpodarou"/>
        </w:rPr>
        <w:footnoteRef/>
      </w:r>
      <w:r w:rsidRPr="000242A7">
        <w:t xml:space="preserve"> </w:t>
      </w:r>
      <w:r>
        <w:tab/>
      </w:r>
      <w:r w:rsidRPr="000242A7">
        <w:t xml:space="preserve">Podle článku 3 odst. 2 přílohy </w:t>
      </w:r>
      <w:r>
        <w:t>r</w:t>
      </w:r>
      <w:r w:rsidRPr="000242A7">
        <w:t xml:space="preserve">ozhodnutí ministryně č. 20/2021 </w:t>
      </w:r>
      <w:r w:rsidRPr="007365B7">
        <w:rPr>
          <w:i/>
        </w:rPr>
        <w:t>Postup při kontrolní činnosti</w:t>
      </w:r>
      <w:r w:rsidRPr="000242A7">
        <w:t xml:space="preserve"> platí:</w:t>
      </w:r>
      <w:r>
        <w:t xml:space="preserve"> </w:t>
      </w:r>
      <w:r>
        <w:br/>
        <w:t>„</w:t>
      </w:r>
      <w:r w:rsidRPr="003058FC">
        <w:rPr>
          <w:i/>
        </w:rPr>
        <w:t xml:space="preserve">... </w:t>
      </w:r>
      <w:r w:rsidRPr="003058FC">
        <w:rPr>
          <w:i/>
          <w:shd w:val="clear" w:color="auto" w:fill="FFFFFF" w:themeFill="background1"/>
        </w:rPr>
        <w:t>Organizační útvary MMR vykonávající</w:t>
      </w:r>
      <w:r w:rsidRPr="003058FC">
        <w:rPr>
          <w:i/>
        </w:rPr>
        <w:t xml:space="preserve"> kontroly zejména: a) zpracovávají vlastní analýzy </w:t>
      </w:r>
      <w:r w:rsidRPr="003058FC">
        <w:rPr>
          <w:i/>
          <w:shd w:val="clear" w:color="auto" w:fill="FFFFFF" w:themeFill="background1"/>
        </w:rPr>
        <w:t>rizik v případech, kdy se nejedná o kontroly v přenesené působnosti v gesci Ministerstva vnitra</w:t>
      </w:r>
      <w:r>
        <w:rPr>
          <w:shd w:val="clear" w:color="auto" w:fill="FFFFFF" w:themeFill="background1"/>
        </w:rPr>
        <w:t>.</w:t>
      </w:r>
      <w:r w:rsidRPr="000242A7">
        <w:rPr>
          <w:shd w:val="clear" w:color="auto" w:fill="FFFFFF" w:themeFill="background1"/>
        </w:rPr>
        <w:t>“</w:t>
      </w:r>
    </w:p>
  </w:footnote>
  <w:footnote w:id="19">
    <w:p w14:paraId="4D0C1B2B" w14:textId="59C2F4E7" w:rsidR="0043588E" w:rsidRPr="000242A7" w:rsidRDefault="0043588E" w:rsidP="00CB7B98">
      <w:pPr>
        <w:pStyle w:val="Textpoznpodarou"/>
      </w:pPr>
      <w:r w:rsidRPr="000242A7">
        <w:rPr>
          <w:rStyle w:val="Znakapoznpodarou"/>
        </w:rPr>
        <w:footnoteRef/>
      </w:r>
      <w:r w:rsidRPr="000242A7">
        <w:t xml:space="preserve"> </w:t>
      </w:r>
      <w:r>
        <w:tab/>
      </w:r>
      <w:r w:rsidRPr="000242A7">
        <w:t xml:space="preserve">Ustanovení § 25 odst. 1 a 2 písm. c) zákona č. 320/2001 Sb., o finanční kontrole </w:t>
      </w:r>
      <w:r w:rsidRPr="000242A7">
        <w:rPr>
          <w:bCs/>
        </w:rPr>
        <w:t>ve veřejné správě a o změně některých zákonů (zákon o finanční kontrole).</w:t>
      </w:r>
    </w:p>
  </w:footnote>
  <w:footnote w:id="20">
    <w:p w14:paraId="34736E95" w14:textId="28A31E2D" w:rsidR="0043588E" w:rsidRPr="000242A7" w:rsidRDefault="0043588E" w:rsidP="00CB7B98">
      <w:pPr>
        <w:pStyle w:val="Textpoznpodarou"/>
      </w:pPr>
      <w:r w:rsidRPr="000242A7">
        <w:rPr>
          <w:rStyle w:val="Znakapoznpodarou"/>
        </w:rPr>
        <w:footnoteRef/>
      </w:r>
      <w:r w:rsidRPr="000242A7">
        <w:t xml:space="preserve"> </w:t>
      </w:r>
      <w:r>
        <w:tab/>
      </w:r>
      <w:r w:rsidRPr="000242A7">
        <w:t>Ustanovení § 14 a § 21 zákona České národní rady č. 2/1969 Sb., o zřízení ministerstev a jiných ústředních orgánů státní správy České republiky, ve znění pozdějších předpisů.</w:t>
      </w:r>
    </w:p>
  </w:footnote>
  <w:footnote w:id="21">
    <w:p w14:paraId="6478F298" w14:textId="7CC43D41" w:rsidR="0043588E" w:rsidRDefault="0043588E" w:rsidP="00CB7B98">
      <w:pPr>
        <w:pStyle w:val="Textpoznpodarou"/>
      </w:pPr>
      <w:r>
        <w:rPr>
          <w:rStyle w:val="Znakapoznpodarou"/>
        </w:rPr>
        <w:footnoteRef/>
      </w:r>
      <w:r>
        <w:t xml:space="preserve"> </w:t>
      </w:r>
      <w:r>
        <w:tab/>
        <w:t>Na základě zákona č. 113/2020 Sb., kterým se mění zákon č. 211/2000 Sb., o Státním fondu rozvoje bydlení a o změně zákona č. 171/1991 Sb., o působnosti orgánů České republiky ve věcech převodů majetku státu na jiné osoby a o Fondu národního majetku České republiky, ve znění pozdějších předpisů, ve znění pozdějších předpisů, a další související zákony, došlo k 1. 6. 2020 mj. i k přejmenování Státního fondu rozvoje bydlení na Státní fond podpory investic.</w:t>
      </w:r>
    </w:p>
  </w:footnote>
  <w:footnote w:id="22">
    <w:p w14:paraId="0EFF9C85" w14:textId="57829FB3" w:rsidR="0043588E" w:rsidRPr="00E758F9" w:rsidRDefault="0043588E" w:rsidP="00CB7B98">
      <w:pPr>
        <w:pStyle w:val="Textpoznpodarou"/>
      </w:pPr>
      <w:r w:rsidRPr="00E758F9">
        <w:rPr>
          <w:rStyle w:val="Znakapoznpodarou"/>
        </w:rPr>
        <w:footnoteRef/>
      </w:r>
      <w:r w:rsidRPr="00E758F9">
        <w:t xml:space="preserve"> </w:t>
      </w:r>
      <w:r>
        <w:tab/>
      </w:r>
      <w:r w:rsidRPr="00E758F9">
        <w:t>Zákon č. 211/2000 Sb</w:t>
      </w:r>
      <w:r>
        <w:t>.</w:t>
      </w:r>
    </w:p>
  </w:footnote>
  <w:footnote w:id="23">
    <w:p w14:paraId="7F2451FC" w14:textId="49358931" w:rsidR="0043588E" w:rsidRPr="00E758F9" w:rsidRDefault="0043588E" w:rsidP="00CB7B98">
      <w:pPr>
        <w:pStyle w:val="Textpoznpodarou"/>
      </w:pPr>
      <w:r w:rsidRPr="00E758F9">
        <w:rPr>
          <w:rStyle w:val="Znakapoznpodarou"/>
        </w:rPr>
        <w:footnoteRef/>
      </w:r>
      <w:r w:rsidRPr="00E758F9">
        <w:t xml:space="preserve"> </w:t>
      </w:r>
      <w:r>
        <w:tab/>
        <w:t xml:space="preserve">Ustanovení </w:t>
      </w:r>
      <w:r w:rsidRPr="00E758F9">
        <w:t>§</w:t>
      </w:r>
      <w:r>
        <w:t xml:space="preserve"> </w:t>
      </w:r>
      <w:r w:rsidRPr="00E758F9">
        <w:t>9 zákona č. 211/2000 Sb</w:t>
      </w:r>
      <w:r>
        <w:t>.</w:t>
      </w:r>
    </w:p>
  </w:footnote>
  <w:footnote w:id="24">
    <w:p w14:paraId="2F6A2F2D" w14:textId="0BFBD4E2" w:rsidR="0043588E" w:rsidRPr="00066D1F" w:rsidRDefault="0043588E" w:rsidP="00756C02">
      <w:pPr>
        <w:pStyle w:val="KP-normlntext"/>
        <w:spacing w:after="0"/>
        <w:ind w:left="284" w:hanging="284"/>
        <w:rPr>
          <w:sz w:val="20"/>
          <w:szCs w:val="20"/>
          <w:shd w:val="clear" w:color="auto" w:fill="FFFFFF"/>
        </w:rPr>
      </w:pPr>
      <w:r w:rsidRPr="002E7C8C">
        <w:rPr>
          <w:rStyle w:val="Znakapoznpodarou"/>
          <w:sz w:val="20"/>
          <w:szCs w:val="20"/>
        </w:rPr>
        <w:footnoteRef/>
      </w:r>
      <w:r w:rsidRPr="002E7C8C">
        <w:rPr>
          <w:sz w:val="20"/>
          <w:szCs w:val="20"/>
        </w:rPr>
        <w:t xml:space="preserve"> </w:t>
      </w:r>
      <w:r>
        <w:rPr>
          <w:sz w:val="20"/>
          <w:szCs w:val="20"/>
        </w:rPr>
        <w:tab/>
      </w:r>
      <w:r w:rsidRPr="00066D1F">
        <w:rPr>
          <w:sz w:val="20"/>
          <w:szCs w:val="20"/>
        </w:rPr>
        <w:t xml:space="preserve">KA č. 15/18 </w:t>
      </w:r>
      <w:r w:rsidRPr="00871128">
        <w:rPr>
          <w:sz w:val="20"/>
          <w:szCs w:val="20"/>
        </w:rPr>
        <w:t>–</w:t>
      </w:r>
      <w:r w:rsidRPr="00066D1F">
        <w:rPr>
          <w:sz w:val="20"/>
          <w:szCs w:val="20"/>
        </w:rPr>
        <w:t xml:space="preserve"> </w:t>
      </w:r>
      <w:r w:rsidRPr="00756C02">
        <w:rPr>
          <w:i/>
          <w:sz w:val="20"/>
          <w:szCs w:val="20"/>
        </w:rPr>
        <w:t>Peněžní prostředky určené na podporu bydlení</w:t>
      </w:r>
      <w:r w:rsidRPr="00066D1F">
        <w:rPr>
          <w:sz w:val="20"/>
          <w:szCs w:val="20"/>
        </w:rPr>
        <w:t xml:space="preserve"> s cílem prověřit </w:t>
      </w:r>
      <w:r w:rsidRPr="00066D1F">
        <w:rPr>
          <w:sz w:val="20"/>
          <w:szCs w:val="20"/>
          <w:shd w:val="clear" w:color="auto" w:fill="FFFFFF"/>
        </w:rPr>
        <w:t xml:space="preserve">poskytování, čerpání a použití peněžních prostředků určených na podporu bydlení. </w:t>
      </w:r>
      <w:r w:rsidRPr="00066D1F">
        <w:rPr>
          <w:sz w:val="20"/>
          <w:szCs w:val="20"/>
        </w:rPr>
        <w:t>K</w:t>
      </w:r>
      <w:r w:rsidRPr="00066D1F">
        <w:rPr>
          <w:sz w:val="20"/>
          <w:szCs w:val="20"/>
          <w:shd w:val="clear" w:color="auto" w:fill="FFFFFF"/>
        </w:rPr>
        <w:t>ontrolní závěr byl zveřejněn v část</w:t>
      </w:r>
      <w:r>
        <w:rPr>
          <w:sz w:val="20"/>
          <w:szCs w:val="20"/>
          <w:shd w:val="clear" w:color="auto" w:fill="FFFFFF"/>
        </w:rPr>
        <w:t>ce</w:t>
      </w:r>
      <w:r w:rsidRPr="00066D1F">
        <w:rPr>
          <w:sz w:val="20"/>
          <w:szCs w:val="20"/>
          <w:shd w:val="clear" w:color="auto" w:fill="FFFFFF"/>
        </w:rPr>
        <w:t xml:space="preserve"> 3/2016</w:t>
      </w:r>
      <w:r>
        <w:rPr>
          <w:sz w:val="20"/>
          <w:szCs w:val="20"/>
          <w:shd w:val="clear" w:color="auto" w:fill="FFFFFF"/>
        </w:rPr>
        <w:t xml:space="preserve"> </w:t>
      </w:r>
      <w:r w:rsidRPr="00756C02">
        <w:rPr>
          <w:i/>
          <w:sz w:val="20"/>
          <w:szCs w:val="20"/>
          <w:shd w:val="clear" w:color="auto" w:fill="FFFFFF"/>
        </w:rPr>
        <w:t>Věstníku NKÚ</w:t>
      </w:r>
      <w:r w:rsidRPr="00066D1F">
        <w:rPr>
          <w:sz w:val="20"/>
          <w:szCs w:val="20"/>
        </w:rPr>
        <w:t xml:space="preserve">. KA č. 17/02 </w:t>
      </w:r>
      <w:r w:rsidRPr="00871128">
        <w:rPr>
          <w:sz w:val="20"/>
          <w:szCs w:val="20"/>
        </w:rPr>
        <w:t>–</w:t>
      </w:r>
      <w:r w:rsidRPr="00066D1F">
        <w:rPr>
          <w:sz w:val="20"/>
          <w:szCs w:val="20"/>
        </w:rPr>
        <w:t xml:space="preserve"> </w:t>
      </w:r>
      <w:r w:rsidRPr="00756C02">
        <w:rPr>
          <w:i/>
          <w:sz w:val="20"/>
          <w:szCs w:val="20"/>
          <w:shd w:val="clear" w:color="auto" w:fill="FFFFFF"/>
        </w:rPr>
        <w:t>Podpora sociálního bydlení jako součást politiky sociálního začleňování</w:t>
      </w:r>
      <w:r w:rsidRPr="00066D1F">
        <w:rPr>
          <w:sz w:val="20"/>
          <w:szCs w:val="20"/>
          <w:shd w:val="clear" w:color="auto" w:fill="FFFFFF"/>
        </w:rPr>
        <w:t xml:space="preserve"> s cílem prověřit, zda vybrané intervence v oblasti sociálního bydlení přispěly k efektivnímu řešení příčin sociálního vyloučení nebo ohrožení sociálním vyloučením.</w:t>
      </w:r>
      <w:r w:rsidRPr="00066D1F">
        <w:rPr>
          <w:sz w:val="20"/>
          <w:szCs w:val="20"/>
        </w:rPr>
        <w:t xml:space="preserve"> K</w:t>
      </w:r>
      <w:r w:rsidRPr="00066D1F">
        <w:rPr>
          <w:sz w:val="20"/>
          <w:szCs w:val="20"/>
          <w:shd w:val="clear" w:color="auto" w:fill="FFFFFF"/>
        </w:rPr>
        <w:t>ontrolní závěr byl zveřejněn v část</w:t>
      </w:r>
      <w:r>
        <w:rPr>
          <w:sz w:val="20"/>
          <w:szCs w:val="20"/>
          <w:shd w:val="clear" w:color="auto" w:fill="FFFFFF"/>
        </w:rPr>
        <w:t>ce</w:t>
      </w:r>
      <w:r w:rsidRPr="00066D1F">
        <w:rPr>
          <w:sz w:val="20"/>
          <w:szCs w:val="20"/>
          <w:shd w:val="clear" w:color="auto" w:fill="FFFFFF"/>
        </w:rPr>
        <w:t xml:space="preserve"> 3/2018</w:t>
      </w:r>
      <w:r>
        <w:rPr>
          <w:sz w:val="20"/>
          <w:szCs w:val="20"/>
          <w:shd w:val="clear" w:color="auto" w:fill="FFFFFF"/>
        </w:rPr>
        <w:t xml:space="preserve"> </w:t>
      </w:r>
      <w:r w:rsidRPr="00756C02">
        <w:rPr>
          <w:i/>
          <w:sz w:val="20"/>
          <w:szCs w:val="20"/>
          <w:shd w:val="clear" w:color="auto" w:fill="FFFFFF"/>
        </w:rPr>
        <w:t>Věstníku NKÚ</w:t>
      </w:r>
      <w:r w:rsidRPr="00066D1F">
        <w:rPr>
          <w:sz w:val="20"/>
          <w:szCs w:val="20"/>
          <w:shd w:val="clear" w:color="auto" w:fill="FFFFFF"/>
        </w:rPr>
        <w:t xml:space="preserve">. </w:t>
      </w:r>
    </w:p>
    <w:p w14:paraId="17A0AA4A" w14:textId="491D6FF8" w:rsidR="0043588E" w:rsidRPr="00066D1F" w:rsidRDefault="0043588E" w:rsidP="00756C02">
      <w:pPr>
        <w:pStyle w:val="KP-normlntext"/>
        <w:spacing w:after="0"/>
        <w:ind w:left="284"/>
        <w:rPr>
          <w:sz w:val="20"/>
          <w:szCs w:val="20"/>
        </w:rPr>
      </w:pPr>
      <w:r w:rsidRPr="00066D1F">
        <w:rPr>
          <w:sz w:val="20"/>
          <w:szCs w:val="20"/>
        </w:rPr>
        <w:t xml:space="preserve">KA č. 20/19 </w:t>
      </w:r>
      <w:r w:rsidRPr="00871128">
        <w:rPr>
          <w:sz w:val="20"/>
          <w:szCs w:val="20"/>
        </w:rPr>
        <w:t>–</w:t>
      </w:r>
      <w:r w:rsidRPr="00066D1F">
        <w:rPr>
          <w:sz w:val="20"/>
          <w:szCs w:val="20"/>
        </w:rPr>
        <w:t xml:space="preserve"> </w:t>
      </w:r>
      <w:r w:rsidRPr="00756C02">
        <w:rPr>
          <w:i/>
          <w:sz w:val="20"/>
          <w:szCs w:val="20"/>
        </w:rPr>
        <w:t>Opatření ke snížení energetické náročnosti bytových domů podporovaná z Integrovaného regionálního operačního programu a z programu Nová zelená úsporám</w:t>
      </w:r>
      <w:r w:rsidRPr="00066D1F">
        <w:rPr>
          <w:sz w:val="20"/>
          <w:szCs w:val="20"/>
        </w:rPr>
        <w:t xml:space="preserve"> s cílem prověřit, zda kontrolované osoby poskytují a čerpají peněžní prostředky určené na snížení energetické náročnosti bytových domů účelně, efektivně a v souladu s právními předpisy. K</w:t>
      </w:r>
      <w:r w:rsidRPr="00066D1F">
        <w:rPr>
          <w:sz w:val="20"/>
          <w:szCs w:val="20"/>
          <w:shd w:val="clear" w:color="auto" w:fill="FFFFFF"/>
        </w:rPr>
        <w:t>ontrolní závěr byl zveřejněn v část</w:t>
      </w:r>
      <w:r>
        <w:rPr>
          <w:sz w:val="20"/>
          <w:szCs w:val="20"/>
          <w:shd w:val="clear" w:color="auto" w:fill="FFFFFF"/>
        </w:rPr>
        <w:t>ce</w:t>
      </w:r>
      <w:r w:rsidRPr="00066D1F">
        <w:rPr>
          <w:sz w:val="20"/>
          <w:szCs w:val="20"/>
          <w:shd w:val="clear" w:color="auto" w:fill="FFFFFF"/>
        </w:rPr>
        <w:t xml:space="preserve"> </w:t>
      </w:r>
      <w:r w:rsidRPr="00066D1F">
        <w:rPr>
          <w:sz w:val="20"/>
          <w:szCs w:val="20"/>
        </w:rPr>
        <w:t>4/2021</w:t>
      </w:r>
      <w:r w:rsidRPr="00066D1F">
        <w:rPr>
          <w:sz w:val="20"/>
          <w:szCs w:val="20"/>
          <w:shd w:val="clear" w:color="auto" w:fill="FFFFFF"/>
        </w:rPr>
        <w:t xml:space="preserve"> </w:t>
      </w:r>
      <w:r w:rsidRPr="00756C02">
        <w:rPr>
          <w:i/>
          <w:sz w:val="20"/>
          <w:szCs w:val="20"/>
          <w:shd w:val="clear" w:color="auto" w:fill="FFFFFF"/>
        </w:rPr>
        <w:t>Věstníku NKÚ</w:t>
      </w:r>
      <w:r w:rsidRPr="00066D1F">
        <w:rPr>
          <w:sz w:val="20"/>
          <w:szCs w:val="20"/>
        </w:rPr>
        <w:t xml:space="preserve">. </w:t>
      </w:r>
    </w:p>
    <w:p w14:paraId="09B1A3AA" w14:textId="2838D1C9" w:rsidR="0043588E" w:rsidRDefault="0043588E" w:rsidP="00756C02">
      <w:pPr>
        <w:pStyle w:val="KP-normlntext"/>
        <w:spacing w:after="0"/>
        <w:ind w:left="284"/>
      </w:pPr>
      <w:r w:rsidRPr="00066D1F">
        <w:rPr>
          <w:sz w:val="20"/>
          <w:szCs w:val="20"/>
        </w:rPr>
        <w:t>KA č. 21/08</w:t>
      </w:r>
      <w:r w:rsidRPr="00066D1F">
        <w:rPr>
          <w:sz w:val="20"/>
          <w:szCs w:val="20"/>
          <w:shd w:val="clear" w:color="auto" w:fill="FFFFFF"/>
        </w:rPr>
        <w:t xml:space="preserve"> </w:t>
      </w:r>
      <w:r w:rsidRPr="00871128">
        <w:rPr>
          <w:sz w:val="20"/>
          <w:szCs w:val="20"/>
        </w:rPr>
        <w:t>–</w:t>
      </w:r>
      <w:r w:rsidRPr="00066D1F">
        <w:rPr>
          <w:sz w:val="20"/>
          <w:szCs w:val="20"/>
          <w:shd w:val="clear" w:color="auto" w:fill="FFFFFF"/>
        </w:rPr>
        <w:t xml:space="preserve"> </w:t>
      </w:r>
      <w:r w:rsidRPr="00756C02">
        <w:rPr>
          <w:i/>
          <w:sz w:val="20"/>
          <w:szCs w:val="20"/>
          <w:shd w:val="clear" w:color="auto" w:fill="FFFFFF"/>
        </w:rPr>
        <w:t>Peněžní prostředky vynakládané na podporu sociálního bydlení z Integrovaného regionálního operačního programu</w:t>
      </w:r>
      <w:r w:rsidRPr="00066D1F">
        <w:rPr>
          <w:sz w:val="20"/>
          <w:szCs w:val="20"/>
          <w:shd w:val="clear" w:color="auto" w:fill="FFFFFF"/>
        </w:rPr>
        <w:t xml:space="preserve"> s cílem prověřit,</w:t>
      </w:r>
      <w:r w:rsidRPr="002E7C8C">
        <w:rPr>
          <w:sz w:val="20"/>
          <w:szCs w:val="20"/>
          <w:shd w:val="clear" w:color="auto" w:fill="FFFFFF"/>
        </w:rPr>
        <w:t xml:space="preserve"> zda podpora v oblasti sociálního bydlení z </w:t>
      </w:r>
      <w:r w:rsidRPr="00756C02">
        <w:rPr>
          <w:i/>
          <w:sz w:val="20"/>
          <w:szCs w:val="20"/>
          <w:shd w:val="clear" w:color="auto" w:fill="FFFFFF"/>
        </w:rPr>
        <w:t>Integrovaného regionálního operačního programu</w:t>
      </w:r>
      <w:r w:rsidRPr="002E7C8C">
        <w:rPr>
          <w:sz w:val="20"/>
          <w:szCs w:val="20"/>
          <w:shd w:val="clear" w:color="auto" w:fill="FFFFFF"/>
        </w:rPr>
        <w:t xml:space="preserve"> byla nastavena a realizována tak, aby přispěla k zajištění přiměřené dostupnosti bydlení v</w:t>
      </w:r>
      <w:r>
        <w:rPr>
          <w:sz w:val="20"/>
          <w:szCs w:val="20"/>
          <w:shd w:val="clear" w:color="auto" w:fill="FFFFFF"/>
        </w:rPr>
        <w:t> </w:t>
      </w:r>
      <w:r w:rsidRPr="002E7C8C">
        <w:rPr>
          <w:sz w:val="20"/>
          <w:szCs w:val="20"/>
          <w:shd w:val="clear" w:color="auto" w:fill="FFFFFF"/>
        </w:rPr>
        <w:t>segmentu sociálního bydlení.</w:t>
      </w:r>
      <w:r w:rsidRPr="002E7C8C">
        <w:rPr>
          <w:sz w:val="20"/>
          <w:szCs w:val="20"/>
        </w:rPr>
        <w:t xml:space="preserve"> K</w:t>
      </w:r>
      <w:r w:rsidRPr="002E7C8C">
        <w:rPr>
          <w:sz w:val="20"/>
          <w:szCs w:val="20"/>
          <w:shd w:val="clear" w:color="auto" w:fill="FFFFFF"/>
        </w:rPr>
        <w:t>ontrolní závěr byl zveřejněn v část</w:t>
      </w:r>
      <w:r>
        <w:rPr>
          <w:sz w:val="20"/>
          <w:szCs w:val="20"/>
          <w:shd w:val="clear" w:color="auto" w:fill="FFFFFF"/>
        </w:rPr>
        <w:t>ce</w:t>
      </w:r>
      <w:r w:rsidRPr="002E7C8C">
        <w:rPr>
          <w:sz w:val="20"/>
          <w:szCs w:val="20"/>
          <w:shd w:val="clear" w:color="auto" w:fill="FFFFFF"/>
        </w:rPr>
        <w:t xml:space="preserve"> 1/2022</w:t>
      </w:r>
      <w:r>
        <w:rPr>
          <w:sz w:val="20"/>
          <w:szCs w:val="20"/>
          <w:shd w:val="clear" w:color="auto" w:fill="FFFFFF"/>
        </w:rPr>
        <w:t xml:space="preserve"> </w:t>
      </w:r>
      <w:r w:rsidRPr="00756C02">
        <w:rPr>
          <w:i/>
          <w:sz w:val="20"/>
          <w:szCs w:val="20"/>
          <w:shd w:val="clear" w:color="auto" w:fill="FFFFFF"/>
        </w:rPr>
        <w:t>Věstníku NKÚ</w:t>
      </w:r>
      <w:r w:rsidRPr="002E7C8C">
        <w:rPr>
          <w:sz w:val="20"/>
          <w:szCs w:val="20"/>
          <w:shd w:val="clear" w:color="auto" w:fill="FFFFFF"/>
        </w:rPr>
        <w:t>.</w:t>
      </w:r>
    </w:p>
  </w:footnote>
  <w:footnote w:id="25">
    <w:p w14:paraId="0022FCCC" w14:textId="3F9FEE6C" w:rsidR="0043588E" w:rsidRDefault="0043588E" w:rsidP="00CB7B98">
      <w:pPr>
        <w:pStyle w:val="Textpoznpodarou"/>
      </w:pPr>
      <w:r>
        <w:rPr>
          <w:rStyle w:val="Znakapoznpodarou"/>
        </w:rPr>
        <w:footnoteRef/>
      </w:r>
      <w:r>
        <w:t xml:space="preserve"> </w:t>
      </w:r>
      <w:r>
        <w:tab/>
        <w:t>Přehled všech programů MMR a SFPI je uveden v příloze č. 3 tohoto kontrolního závěru.</w:t>
      </w:r>
    </w:p>
  </w:footnote>
  <w:footnote w:id="26">
    <w:p w14:paraId="7EE06EDF" w14:textId="139496CC" w:rsidR="0043588E" w:rsidRPr="00E758F9" w:rsidRDefault="0043588E" w:rsidP="00CB7B98">
      <w:pPr>
        <w:pStyle w:val="Textpoznpodarou"/>
      </w:pPr>
      <w:r w:rsidRPr="00E758F9">
        <w:rPr>
          <w:rStyle w:val="Znakapoznpodarou"/>
        </w:rPr>
        <w:footnoteRef/>
      </w:r>
      <w:r w:rsidRPr="00E758F9">
        <w:t xml:space="preserve"> </w:t>
      </w:r>
      <w:r>
        <w:tab/>
      </w:r>
      <w:r>
        <w:rPr>
          <w:rFonts w:ascii="Calibri" w:eastAsia="Calibri" w:hAnsi="Calibri" w:cs="Calibri"/>
        </w:rPr>
        <w:t>R</w:t>
      </w:r>
      <w:r w:rsidRPr="009E79E5">
        <w:rPr>
          <w:rFonts w:ascii="Calibri" w:eastAsia="Calibri" w:hAnsi="Calibri" w:cs="Calibri"/>
        </w:rPr>
        <w:t xml:space="preserve">ozhodnutím ministryně č. 63/2018 </w:t>
      </w:r>
      <w:r w:rsidRPr="009E79E5">
        <w:rPr>
          <w:rFonts w:ascii="Calibri" w:eastAsia="Calibri" w:hAnsi="Calibri" w:cs="Calibri"/>
          <w:i/>
        </w:rPr>
        <w:t>Zásady poskytování dotací z kapitoly 317 Ministerstvo pro místní rozvoj</w:t>
      </w:r>
      <w:r>
        <w:t>, které n</w:t>
      </w:r>
      <w:r w:rsidRPr="00E758F9">
        <w:t xml:space="preserve">avazuje na dříve vydané a tímto rozhodnutím zrušené </w:t>
      </w:r>
      <w:r>
        <w:t>rozhodnutí ministra</w:t>
      </w:r>
      <w:r w:rsidRPr="00E758F9">
        <w:t xml:space="preserve"> č. 155/2014 ze dne 8. září 2014 </w:t>
      </w:r>
      <w:r w:rsidRPr="00871128">
        <w:t>–</w:t>
      </w:r>
      <w:r w:rsidRPr="00E758F9">
        <w:t xml:space="preserve"> metodické pokyny pro</w:t>
      </w:r>
      <w:r>
        <w:t xml:space="preserve"> </w:t>
      </w:r>
      <w:r w:rsidRPr="00E758F9">
        <w:t>financování programů v působnosti MMR od</w:t>
      </w:r>
      <w:r>
        <w:t xml:space="preserve"> </w:t>
      </w:r>
      <w:r w:rsidRPr="00E758F9">
        <w:t xml:space="preserve">1. 1. 2014 </w:t>
      </w:r>
      <w:r w:rsidRPr="00871128">
        <w:t>–</w:t>
      </w:r>
      <w:r w:rsidRPr="00E758F9">
        <w:t xml:space="preserve"> verze I, rozhodnutí ministryně č. 94/2015 ze dne 25. června 201</w:t>
      </w:r>
      <w:r>
        <w:t xml:space="preserve">5, </w:t>
      </w:r>
      <w:r w:rsidRPr="00E758F9">
        <w:t>o formální a věcné úpravě řídicích dokumentů a jejich schvalování v oblasti programového financování.</w:t>
      </w:r>
    </w:p>
  </w:footnote>
  <w:footnote w:id="27">
    <w:p w14:paraId="030A511C" w14:textId="0FB26D33" w:rsidR="0043588E" w:rsidRPr="00E758F9" w:rsidRDefault="0043588E" w:rsidP="00CB7B98">
      <w:pPr>
        <w:pStyle w:val="Textpoznpodarou"/>
      </w:pPr>
      <w:r w:rsidRPr="00E758F9">
        <w:rPr>
          <w:rStyle w:val="Znakapoznpodarou"/>
        </w:rPr>
        <w:footnoteRef/>
      </w:r>
      <w:r w:rsidRPr="00E758F9">
        <w:t xml:space="preserve"> </w:t>
      </w:r>
      <w:r>
        <w:tab/>
      </w:r>
      <w:r w:rsidRPr="00E758F9">
        <w:t>Kontrolované programy se řídily</w:t>
      </w:r>
      <w:r>
        <w:t xml:space="preserve"> těmito</w:t>
      </w:r>
      <w:r w:rsidRPr="00E758F9">
        <w:t xml:space="preserve"> nařízeními vlády: </w:t>
      </w:r>
    </w:p>
    <w:p w14:paraId="3DD64875" w14:textId="2A4421E3" w:rsidR="0043588E" w:rsidRPr="00E758F9" w:rsidRDefault="0043588E" w:rsidP="00471DE4">
      <w:pPr>
        <w:pStyle w:val="Textpoznpodarou"/>
        <w:ind w:firstLine="0"/>
      </w:pPr>
      <w:bookmarkStart w:id="2" w:name="_Hlk147237553"/>
      <w:r>
        <w:t>n</w:t>
      </w:r>
      <w:r w:rsidRPr="00E758F9">
        <w:t>ařízení vlády č. 284/201</w:t>
      </w:r>
      <w:r>
        <w:t>1</w:t>
      </w:r>
      <w:r w:rsidRPr="00E758F9">
        <w:t xml:space="preserve"> Sb.,</w:t>
      </w:r>
      <w:r>
        <w:t xml:space="preserve"> </w:t>
      </w:r>
      <w:r w:rsidRPr="00CD4D71">
        <w:rPr>
          <w:shd w:val="clear" w:color="auto" w:fill="FFFFFF"/>
        </w:rPr>
        <w:t>o podmínkách poskytnutí a použití finančních prostředků Státního fondu rozvoje bydlení formou úvěru na podporu výstavby nájemních bytů na území České republiky</w:t>
      </w:r>
      <w:r>
        <w:rPr>
          <w:shd w:val="clear" w:color="auto" w:fill="FFFFFF"/>
        </w:rPr>
        <w:t>;</w:t>
      </w:r>
    </w:p>
    <w:p w14:paraId="60A68D91" w14:textId="77777777" w:rsidR="0043588E" w:rsidRPr="00E758F9" w:rsidRDefault="0043588E" w:rsidP="00F83D72">
      <w:pPr>
        <w:pStyle w:val="Textpoznpodarou"/>
        <w:ind w:firstLine="0"/>
      </w:pPr>
      <w:r>
        <w:t>n</w:t>
      </w:r>
      <w:r w:rsidRPr="00E758F9">
        <w:t xml:space="preserve">ařízení vlády č. 2/2021 Sb., </w:t>
      </w:r>
      <w:r w:rsidRPr="00CD4D71">
        <w:t xml:space="preserve">o podmínkách použití peněžních prostředků Státního fondu podpory investic formou úvěru na podporu výstavby nájemních bytů na území České republiky (program </w:t>
      </w:r>
      <w:r w:rsidRPr="00CD4D71">
        <w:rPr>
          <w:i/>
        </w:rPr>
        <w:t>Nájemní byty</w:t>
      </w:r>
      <w:r w:rsidRPr="00CD4D71">
        <w:t>)</w:t>
      </w:r>
      <w:r>
        <w:t>;</w:t>
      </w:r>
    </w:p>
    <w:p w14:paraId="7091D514" w14:textId="12D4CA86" w:rsidR="0043588E" w:rsidRPr="00E758F9" w:rsidRDefault="0043588E" w:rsidP="008775EC">
      <w:pPr>
        <w:ind w:left="284"/>
        <w:rPr>
          <w:rFonts w:cstheme="minorHAnsi"/>
          <w:sz w:val="20"/>
        </w:rPr>
      </w:pPr>
      <w:r>
        <w:rPr>
          <w:rFonts w:cstheme="minorHAnsi"/>
          <w:sz w:val="20"/>
        </w:rPr>
        <w:t>n</w:t>
      </w:r>
      <w:r w:rsidRPr="00417949">
        <w:rPr>
          <w:rFonts w:cstheme="minorHAnsi"/>
          <w:sz w:val="20"/>
        </w:rPr>
        <w:t xml:space="preserve">ařízení vlády </w:t>
      </w:r>
      <w:r w:rsidRPr="00E758F9">
        <w:rPr>
          <w:rFonts w:cstheme="minorHAnsi"/>
          <w:sz w:val="20"/>
        </w:rPr>
        <w:t>č. 112/2019 Sb., o podmínkách použití finančních prostředků Státního fondu podpory investic</w:t>
      </w:r>
      <w:r>
        <w:rPr>
          <w:rFonts w:cstheme="minorHAnsi"/>
          <w:sz w:val="20"/>
        </w:rPr>
        <w:t xml:space="preserve"> </w:t>
      </w:r>
      <w:r w:rsidRPr="00E758F9">
        <w:rPr>
          <w:rFonts w:cstheme="minorHAnsi"/>
          <w:sz w:val="20"/>
        </w:rPr>
        <w:t xml:space="preserve">na pořízení sociálních a dostupných bytů a sociálních, smíšených a dostupných domů (program </w:t>
      </w:r>
      <w:r w:rsidRPr="00E758F9">
        <w:rPr>
          <w:rFonts w:cstheme="minorHAnsi"/>
          <w:i/>
          <w:sz w:val="20"/>
        </w:rPr>
        <w:t xml:space="preserve">Výstavba </w:t>
      </w:r>
      <w:r>
        <w:rPr>
          <w:rFonts w:cstheme="minorHAnsi"/>
          <w:i/>
          <w:sz w:val="20"/>
        </w:rPr>
        <w:br/>
      </w:r>
      <w:r w:rsidRPr="00E758F9">
        <w:rPr>
          <w:rFonts w:cstheme="minorHAnsi"/>
          <w:i/>
          <w:sz w:val="20"/>
        </w:rPr>
        <w:t>pro</w:t>
      </w:r>
      <w:r>
        <w:rPr>
          <w:rFonts w:cstheme="minorHAnsi"/>
          <w:i/>
          <w:sz w:val="20"/>
        </w:rPr>
        <w:t xml:space="preserve"> </w:t>
      </w:r>
      <w:r w:rsidRPr="00E758F9">
        <w:rPr>
          <w:rFonts w:cstheme="minorHAnsi"/>
          <w:i/>
          <w:sz w:val="20"/>
        </w:rPr>
        <w:t>obce</w:t>
      </w:r>
      <w:r w:rsidRPr="00E758F9">
        <w:rPr>
          <w:rFonts w:cstheme="minorHAnsi"/>
          <w:sz w:val="20"/>
        </w:rPr>
        <w:t>)</w:t>
      </w:r>
      <w:r>
        <w:rPr>
          <w:rFonts w:cstheme="minorHAnsi"/>
          <w:sz w:val="20"/>
        </w:rPr>
        <w:t>;</w:t>
      </w:r>
    </w:p>
    <w:p w14:paraId="25A86591" w14:textId="77777777" w:rsidR="0043588E" w:rsidRPr="00E758F9" w:rsidRDefault="0043588E" w:rsidP="00471DE4">
      <w:pPr>
        <w:pStyle w:val="Textpoznpodarou"/>
        <w:ind w:firstLine="0"/>
      </w:pPr>
      <w:r>
        <w:t>n</w:t>
      </w:r>
      <w:r w:rsidRPr="00E758F9">
        <w:t xml:space="preserve">ařízení vlády č. 390/2017 Sb., o použití peněžních prostředků Státního fondu rozvoje bydlení na regeneraci veřejných prostranství na sídlištích (program </w:t>
      </w:r>
      <w:r w:rsidRPr="00E758F9">
        <w:rPr>
          <w:i/>
        </w:rPr>
        <w:t>Regenerace sídlišť</w:t>
      </w:r>
      <w:r w:rsidRPr="00E758F9">
        <w:t>)</w:t>
      </w:r>
      <w:r>
        <w:t>;</w:t>
      </w:r>
    </w:p>
    <w:bookmarkEnd w:id="2"/>
    <w:p w14:paraId="484D248C" w14:textId="77777777" w:rsidR="0043588E" w:rsidRPr="00E758F9" w:rsidRDefault="0043588E" w:rsidP="00F83D72">
      <w:pPr>
        <w:pStyle w:val="Textpoznpodarou"/>
        <w:ind w:firstLine="0"/>
      </w:pPr>
      <w:r>
        <w:t>n</w:t>
      </w:r>
      <w:r w:rsidRPr="00E758F9">
        <w:t xml:space="preserve">ařízení vlády č. 468/2012 Sb., o použití prostředků Státního fondu rozvoje bydlení formou úvěrů poskytnutých právnickým a fyzickým osobám na opravy a modernizace domů (program </w:t>
      </w:r>
      <w:r w:rsidRPr="00E758F9">
        <w:rPr>
          <w:i/>
        </w:rPr>
        <w:t>Panel 2013+</w:t>
      </w:r>
      <w:r w:rsidRPr="00E758F9">
        <w:t>)</w:t>
      </w:r>
      <w:r>
        <w:t>.</w:t>
      </w:r>
    </w:p>
  </w:footnote>
  <w:footnote w:id="28">
    <w:p w14:paraId="527FE387" w14:textId="4669CBD4" w:rsidR="0043588E" w:rsidRPr="00B23DE9" w:rsidRDefault="0043588E" w:rsidP="00B23DE9">
      <w:pPr>
        <w:ind w:left="284" w:hanging="284"/>
        <w:rPr>
          <w:color w:val="000000" w:themeColor="text1"/>
          <w:sz w:val="20"/>
        </w:rPr>
      </w:pPr>
      <w:r w:rsidRPr="00B23DE9">
        <w:rPr>
          <w:rStyle w:val="Znakapoznpodarou"/>
          <w:sz w:val="20"/>
        </w:rPr>
        <w:footnoteRef/>
      </w:r>
      <w:r w:rsidRPr="00B23DE9">
        <w:rPr>
          <w:sz w:val="20"/>
        </w:rPr>
        <w:t xml:space="preserve"> </w:t>
      </w:r>
      <w:r w:rsidRPr="00B23DE9">
        <w:rPr>
          <w:sz w:val="20"/>
        </w:rPr>
        <w:tab/>
        <w:t xml:space="preserve">V článcích 107 až 109 </w:t>
      </w:r>
      <w:r w:rsidRPr="00756C02">
        <w:rPr>
          <w:i/>
          <w:sz w:val="20"/>
        </w:rPr>
        <w:t xml:space="preserve">Smlouvy o fungování Evropské </w:t>
      </w:r>
      <w:r>
        <w:rPr>
          <w:i/>
          <w:sz w:val="20"/>
        </w:rPr>
        <w:t>u</w:t>
      </w:r>
      <w:r w:rsidRPr="00756C02">
        <w:rPr>
          <w:i/>
          <w:sz w:val="20"/>
        </w:rPr>
        <w:t>nie</w:t>
      </w:r>
      <w:r w:rsidRPr="00B23DE9">
        <w:rPr>
          <w:sz w:val="20"/>
        </w:rPr>
        <w:t xml:space="preserve"> </w:t>
      </w:r>
      <w:r w:rsidRPr="00756C02">
        <w:rPr>
          <w:i/>
          <w:sz w:val="20"/>
        </w:rPr>
        <w:t xml:space="preserve">(konsolidované </w:t>
      </w:r>
      <w:r w:rsidRPr="00756C02">
        <w:rPr>
          <w:i/>
          <w:color w:val="000000" w:themeColor="text1"/>
          <w:sz w:val="20"/>
        </w:rPr>
        <w:t>znění)</w:t>
      </w:r>
      <w:r w:rsidRPr="00B23DE9">
        <w:rPr>
          <w:color w:val="000000" w:themeColor="text1"/>
          <w:sz w:val="20"/>
        </w:rPr>
        <w:t>.</w:t>
      </w:r>
    </w:p>
    <w:p w14:paraId="0F4895A0" w14:textId="77777777" w:rsidR="0043588E" w:rsidRDefault="0043588E" w:rsidP="00CB7B98">
      <w:pPr>
        <w:pStyle w:val="Textpoznpodarou"/>
      </w:pPr>
    </w:p>
  </w:footnote>
  <w:footnote w:id="29">
    <w:p w14:paraId="6EA0DDF5" w14:textId="5AAF1B64" w:rsidR="0043588E" w:rsidRPr="00E106E4" w:rsidRDefault="0043588E" w:rsidP="00CB7B98">
      <w:pPr>
        <w:pStyle w:val="Textpoznpodarou"/>
        <w:rPr>
          <w:shd w:val="clear" w:color="auto" w:fill="FFFFFF"/>
        </w:rPr>
      </w:pPr>
      <w:r w:rsidRPr="00711E10">
        <w:rPr>
          <w:rStyle w:val="Znakapoznpodarou"/>
        </w:rPr>
        <w:footnoteRef/>
      </w:r>
      <w:r>
        <w:rPr>
          <w:shd w:val="clear" w:color="auto" w:fill="FFFFFF"/>
        </w:rPr>
        <w:t xml:space="preserve"> </w:t>
      </w:r>
      <w:r>
        <w:rPr>
          <w:shd w:val="clear" w:color="auto" w:fill="FFFFFF"/>
        </w:rPr>
        <w:tab/>
      </w:r>
      <w:r w:rsidRPr="00E758F9">
        <w:rPr>
          <w:shd w:val="clear" w:color="auto" w:fill="FFFFFF"/>
        </w:rPr>
        <w:t>Nařízení vlády</w:t>
      </w:r>
      <w:r>
        <w:rPr>
          <w:shd w:val="clear" w:color="auto" w:fill="FFFFFF"/>
        </w:rPr>
        <w:t xml:space="preserve"> č. 289/2022 Sb.</w:t>
      </w:r>
      <w:r w:rsidRPr="00E758F9">
        <w:rPr>
          <w:shd w:val="clear" w:color="auto" w:fill="FFFFFF"/>
        </w:rPr>
        <w:t>, kterým se pro účely příspěvku na bydlení ze státní sociální podpory pro období do 31. prosince 2022 zvyšují částky navýšení měsíčních normativních nákladů na bydlení a mění nařízení vlády č.</w:t>
      </w:r>
      <w:r>
        <w:rPr>
          <w:shd w:val="clear" w:color="auto" w:fill="FFFFFF"/>
        </w:rPr>
        <w:t> </w:t>
      </w:r>
      <w:r w:rsidRPr="00E758F9">
        <w:rPr>
          <w:shd w:val="clear" w:color="auto" w:fill="FFFFFF"/>
        </w:rPr>
        <w:t>595/2006 Sb., o způsobu výpočtu základní částky, která nesmí být sražena povinnému z měsíční mzdy při výkonu rozhodnutí, a o stanovení částky, nad kterou je mzda postižitelná srážkami bez omezení (nařízení o</w:t>
      </w:r>
      <w:r>
        <w:rPr>
          <w:shd w:val="clear" w:color="auto" w:fill="FFFFFF"/>
        </w:rPr>
        <w:t> </w:t>
      </w:r>
      <w:r w:rsidRPr="00E758F9">
        <w:rPr>
          <w:shd w:val="clear" w:color="auto" w:fill="FFFFFF"/>
        </w:rPr>
        <w:t>nezabavitelných částkách), ve znění pozdějších předpisů.</w:t>
      </w:r>
    </w:p>
  </w:footnote>
  <w:footnote w:id="30">
    <w:p w14:paraId="2C70011B" w14:textId="3B332991" w:rsidR="0043588E" w:rsidRPr="00E758F9" w:rsidRDefault="0043588E" w:rsidP="00CB7B98">
      <w:pPr>
        <w:pStyle w:val="Textpoznpodarou"/>
      </w:pPr>
      <w:r w:rsidRPr="00E758F9">
        <w:rPr>
          <w:rStyle w:val="Znakapoznpodarou"/>
        </w:rPr>
        <w:footnoteRef/>
      </w:r>
      <w:r>
        <w:t xml:space="preserve"> </w:t>
      </w:r>
      <w:r>
        <w:tab/>
      </w:r>
      <w:r w:rsidRPr="00027FC5">
        <w:rPr>
          <w:i/>
        </w:rPr>
        <w:t>Makroekonomická predikce České republiky – srpen 2023</w:t>
      </w:r>
      <w:r w:rsidRPr="00E758F9">
        <w:t xml:space="preserve"> </w:t>
      </w:r>
      <w:r>
        <w:t>(MF 2023).</w:t>
      </w:r>
    </w:p>
  </w:footnote>
  <w:footnote w:id="31">
    <w:p w14:paraId="52EB5373" w14:textId="5259F9F1" w:rsidR="0043588E" w:rsidRPr="00F32563" w:rsidRDefault="0043588E" w:rsidP="00CB7B98">
      <w:pPr>
        <w:pStyle w:val="Textpoznpodarou"/>
        <w:rPr>
          <w:color w:val="000000" w:themeColor="text1"/>
        </w:rPr>
      </w:pPr>
      <w:r w:rsidRPr="00E758F9">
        <w:rPr>
          <w:rStyle w:val="Znakapoznpodarou"/>
        </w:rPr>
        <w:footnoteRef/>
      </w:r>
      <w:r w:rsidRPr="00E758F9">
        <w:t xml:space="preserve"> </w:t>
      </w:r>
      <w:r>
        <w:tab/>
      </w:r>
      <w:r w:rsidRPr="008A6293">
        <w:t xml:space="preserve">Vybraná data o bydlení v zemích EU jsou uvedena v přílohách č. </w:t>
      </w:r>
      <w:r>
        <w:t>4</w:t>
      </w:r>
      <w:r w:rsidRPr="00DB6428">
        <w:t>–</w:t>
      </w:r>
      <w:r>
        <w:t xml:space="preserve">6 tohoto </w:t>
      </w:r>
      <w:r w:rsidRPr="008A6293">
        <w:t>kontrolního</w:t>
      </w:r>
      <w:r>
        <w:t xml:space="preserve"> </w:t>
      </w:r>
      <w:r w:rsidRPr="00F32563">
        <w:rPr>
          <w:color w:val="000000" w:themeColor="text1"/>
        </w:rPr>
        <w:t>závěru.</w:t>
      </w:r>
    </w:p>
  </w:footnote>
  <w:footnote w:id="32">
    <w:p w14:paraId="45C6AE0C" w14:textId="60D66BB7" w:rsidR="0043588E" w:rsidRPr="008A6293" w:rsidRDefault="0043588E" w:rsidP="00CB7B98">
      <w:pPr>
        <w:pStyle w:val="Textpoznpodarou"/>
      </w:pPr>
      <w:r w:rsidRPr="008A6293">
        <w:rPr>
          <w:rStyle w:val="Znakapoznpodarou"/>
        </w:rPr>
        <w:footnoteRef/>
      </w:r>
      <w:r w:rsidRPr="008A6293">
        <w:t xml:space="preserve"> </w:t>
      </w:r>
      <w:r>
        <w:tab/>
      </w:r>
      <w:r w:rsidRPr="008A6293">
        <w:t xml:space="preserve">Eurostat: </w:t>
      </w:r>
      <w:r w:rsidRPr="00BC2ECA">
        <w:rPr>
          <w:lang w:val="en-GB"/>
        </w:rPr>
        <w:t>House Price Index (HPI), Harmonized Index of Consumer Prices (HICP) – actual rentals for housing</w:t>
      </w:r>
      <w:r w:rsidRPr="008A6293">
        <w:t>.</w:t>
      </w:r>
    </w:p>
  </w:footnote>
  <w:footnote w:id="33">
    <w:p w14:paraId="720FD0F5" w14:textId="264E1EFD" w:rsidR="0043588E" w:rsidRPr="008A6293" w:rsidRDefault="0043588E" w:rsidP="00CB7B98">
      <w:pPr>
        <w:pStyle w:val="Textpoznpodarou"/>
      </w:pPr>
      <w:r w:rsidRPr="008A6293">
        <w:rPr>
          <w:rStyle w:val="Znakapoznpodarou"/>
        </w:rPr>
        <w:footnoteRef/>
      </w:r>
      <w:r w:rsidRPr="008A6293">
        <w:t xml:space="preserve"> </w:t>
      </w:r>
      <w:r>
        <w:tab/>
      </w:r>
      <w:r w:rsidRPr="008A6293">
        <w:t>Český statistický úřad</w:t>
      </w:r>
      <w:r>
        <w:t>:</w:t>
      </w:r>
      <w:r w:rsidRPr="008A6293">
        <w:t xml:space="preserve"> </w:t>
      </w:r>
      <w:r>
        <w:t>i</w:t>
      </w:r>
      <w:r w:rsidRPr="008A6293">
        <w:t>ndex spotřebitelských cen k prosinci 2022.</w:t>
      </w:r>
    </w:p>
  </w:footnote>
  <w:footnote w:id="34">
    <w:p w14:paraId="63D03599" w14:textId="3D1051D0" w:rsidR="0043588E" w:rsidRPr="008A6293" w:rsidRDefault="0043588E" w:rsidP="00CB7B98">
      <w:pPr>
        <w:pStyle w:val="Textpoznpodarou"/>
      </w:pPr>
      <w:r w:rsidRPr="008A6293">
        <w:rPr>
          <w:rStyle w:val="Znakapoznpodarou"/>
        </w:rPr>
        <w:footnoteRef/>
      </w:r>
      <w:r w:rsidRPr="008A6293">
        <w:t xml:space="preserve"> </w:t>
      </w:r>
      <w:r>
        <w:tab/>
      </w:r>
      <w:hyperlink r:id="rId1" w:anchor="p=1" w:history="1">
        <w:r w:rsidRPr="00027FC5">
          <w:rPr>
            <w:rStyle w:val="Hypertextovodkaz"/>
            <w:i/>
            <w:color w:val="auto"/>
            <w:u w:val="none"/>
          </w:rPr>
          <w:t>T</w:t>
        </w:r>
        <w:r w:rsidRPr="00756C02">
          <w:rPr>
            <w:rStyle w:val="Hypertextovodkaz"/>
            <w:i/>
            <w:color w:val="auto"/>
            <w:u w:val="none"/>
            <w:lang w:val="en-GB"/>
          </w:rPr>
          <w:t>he state of housing in Europe 2023</w:t>
        </w:r>
      </w:hyperlink>
      <w:r w:rsidRPr="008A6293">
        <w:t xml:space="preserve">; uveřejněno 20. června 2023 ve </w:t>
      </w:r>
      <w:r w:rsidRPr="00756C02">
        <w:rPr>
          <w:i/>
          <w:lang w:val="en-GB"/>
        </w:rPr>
        <w:t>Future of the EU &amp; Housing</w:t>
      </w:r>
      <w:r w:rsidRPr="00BC2ECA">
        <w:rPr>
          <w:lang w:val="en-GB"/>
        </w:rPr>
        <w:t>, Housing Europe</w:t>
      </w:r>
      <w:r>
        <w:rPr>
          <w:lang w:val="en-GB"/>
        </w:rPr>
        <w:t xml:space="preserve"> </w:t>
      </w:r>
      <w:r w:rsidRPr="00871128">
        <w:t>–</w:t>
      </w:r>
      <w:r>
        <w:t xml:space="preserve"> </w:t>
      </w:r>
      <w:r w:rsidRPr="00BC2ECA">
        <w:rPr>
          <w:lang w:val="en-GB"/>
        </w:rPr>
        <w:t>European Federation of Public, Cooperative &amp; Social Housing</w:t>
      </w:r>
      <w:r w:rsidRPr="008A6293">
        <w:t>, zdrojová data Eurostat.</w:t>
      </w:r>
    </w:p>
  </w:footnote>
  <w:footnote w:id="35">
    <w:p w14:paraId="45A50C51" w14:textId="675FD57C" w:rsidR="0043588E" w:rsidRPr="008A6293" w:rsidRDefault="0043588E" w:rsidP="00CB7B98">
      <w:pPr>
        <w:pStyle w:val="Textpoznpodarou"/>
      </w:pPr>
      <w:r w:rsidRPr="008A6293">
        <w:rPr>
          <w:rStyle w:val="Znakapoznpodarou"/>
        </w:rPr>
        <w:footnoteRef/>
      </w:r>
      <w:r w:rsidRPr="008A6293">
        <w:t xml:space="preserve"> </w:t>
      </w:r>
      <w:r>
        <w:tab/>
      </w:r>
      <w:r w:rsidRPr="008A6293">
        <w:t>Stavební náklady rezidenční výstavby mezi lety 2011</w:t>
      </w:r>
      <w:r w:rsidRPr="00871128">
        <w:t>–</w:t>
      </w:r>
      <w:r w:rsidRPr="008A6293">
        <w:t xml:space="preserve">2020 vzrostly v průměru v celé EU o 13 %, za roky </w:t>
      </w:r>
      <w:r>
        <w:br/>
      </w:r>
      <w:r w:rsidRPr="008A6293">
        <w:t>2021</w:t>
      </w:r>
      <w:r w:rsidRPr="00EF5D7F">
        <w:t>–</w:t>
      </w:r>
      <w:r w:rsidRPr="008A6293">
        <w:t>2022 o dalších 20 %. V ČR ceny stavebních prací ke konci roku 2022 proti roku 2015 vzrostly o 40,7</w:t>
      </w:r>
      <w:r>
        <w:t> </w:t>
      </w:r>
      <w:r w:rsidRPr="008A6293">
        <w:t>% a</w:t>
      </w:r>
      <w:r>
        <w:t> </w:t>
      </w:r>
      <w:r w:rsidRPr="008A6293">
        <w:t>ceny materiálových vstupů stavební výroby pro bytové budovy se zvýšily o 58,7 %.</w:t>
      </w:r>
    </w:p>
  </w:footnote>
  <w:footnote w:id="36">
    <w:p w14:paraId="67D6622E" w14:textId="071BA3B0" w:rsidR="0043588E" w:rsidRPr="00E758F9" w:rsidRDefault="0043588E" w:rsidP="00CB7B98">
      <w:pPr>
        <w:pStyle w:val="Textpoznpodarou"/>
      </w:pPr>
      <w:r w:rsidRPr="008A6293">
        <w:rPr>
          <w:rStyle w:val="Znakapoznpodarou"/>
        </w:rPr>
        <w:footnoteRef/>
      </w:r>
      <w:r w:rsidRPr="008A6293">
        <w:t xml:space="preserve"> </w:t>
      </w:r>
      <w:r>
        <w:tab/>
      </w:r>
      <w:r w:rsidRPr="008A6293">
        <w:t>Např. v Rakousku, Dánsku, Finsku.</w:t>
      </w:r>
    </w:p>
  </w:footnote>
  <w:footnote w:id="37">
    <w:p w14:paraId="268167FD" w14:textId="0E25FD0C" w:rsidR="0043588E" w:rsidRPr="00E758F9" w:rsidRDefault="0043588E" w:rsidP="00C047FB">
      <w:pPr>
        <w:pStyle w:val="KP-normlntext"/>
        <w:spacing w:after="0"/>
        <w:ind w:left="284" w:hanging="284"/>
        <w:rPr>
          <w:sz w:val="20"/>
          <w:szCs w:val="20"/>
        </w:rPr>
      </w:pPr>
      <w:r w:rsidRPr="00E758F9">
        <w:rPr>
          <w:rStyle w:val="Znakapoznpodarou"/>
          <w:sz w:val="20"/>
          <w:szCs w:val="20"/>
        </w:rPr>
        <w:footnoteRef/>
      </w:r>
      <w:r w:rsidRPr="00E758F9">
        <w:rPr>
          <w:sz w:val="20"/>
          <w:szCs w:val="20"/>
        </w:rPr>
        <w:t xml:space="preserve"> </w:t>
      </w:r>
      <w:r>
        <w:rPr>
          <w:sz w:val="20"/>
          <w:szCs w:val="20"/>
        </w:rPr>
        <w:tab/>
      </w:r>
      <w:r w:rsidRPr="00E758F9">
        <w:rPr>
          <w:sz w:val="20"/>
          <w:szCs w:val="20"/>
        </w:rPr>
        <w:t xml:space="preserve">Kontrolovaný objem u MMR činil </w:t>
      </w:r>
      <w:r w:rsidRPr="00E758F9">
        <w:rPr>
          <w:bCs/>
          <w:sz w:val="20"/>
          <w:szCs w:val="20"/>
        </w:rPr>
        <w:t>129 906 571</w:t>
      </w:r>
      <w:r w:rsidRPr="00E758F9">
        <w:rPr>
          <w:sz w:val="20"/>
          <w:szCs w:val="20"/>
        </w:rPr>
        <w:t xml:space="preserve"> Kč (u schválených realizovaných projektů kontrolovaných u</w:t>
      </w:r>
      <w:r>
        <w:rPr>
          <w:sz w:val="20"/>
          <w:szCs w:val="20"/>
        </w:rPr>
        <w:t> </w:t>
      </w:r>
      <w:r w:rsidRPr="00E758F9">
        <w:rPr>
          <w:sz w:val="20"/>
          <w:szCs w:val="20"/>
        </w:rPr>
        <w:t xml:space="preserve">příjemců činil kontrolovaný objem 88 246 571 Kč) a u SFPI 272 363 056 Kč (u schválených realizovaných projektů kontrolovaných u příjemců činil 174 135 093 Kč). </w:t>
      </w:r>
    </w:p>
  </w:footnote>
  <w:footnote w:id="38">
    <w:p w14:paraId="4D7F1041" w14:textId="5C288A7F" w:rsidR="0043588E" w:rsidRPr="00E758F9" w:rsidRDefault="0043588E" w:rsidP="00C047FB">
      <w:pPr>
        <w:pBdr>
          <w:top w:val="nil"/>
          <w:left w:val="nil"/>
          <w:bottom w:val="nil"/>
          <w:right w:val="nil"/>
          <w:between w:val="nil"/>
        </w:pBdr>
        <w:ind w:left="284" w:hanging="284"/>
        <w:rPr>
          <w:rFonts w:cstheme="minorHAnsi"/>
          <w:color w:val="000000"/>
          <w:sz w:val="20"/>
        </w:rPr>
      </w:pPr>
      <w:r w:rsidRPr="00E758F9">
        <w:rPr>
          <w:rFonts w:cstheme="minorHAnsi"/>
          <w:sz w:val="20"/>
          <w:vertAlign w:val="superscript"/>
        </w:rPr>
        <w:footnoteRef/>
      </w:r>
      <w:r w:rsidRPr="00E758F9">
        <w:rPr>
          <w:rFonts w:cstheme="minorHAnsi"/>
          <w:color w:val="000000"/>
          <w:sz w:val="20"/>
        </w:rPr>
        <w:t xml:space="preserve"> </w:t>
      </w:r>
      <w:r>
        <w:rPr>
          <w:rFonts w:cstheme="minorHAnsi"/>
          <w:color w:val="000000"/>
          <w:sz w:val="20"/>
        </w:rPr>
        <w:tab/>
        <w:t>Ustanovení § 2 z</w:t>
      </w:r>
      <w:r w:rsidRPr="00E758F9">
        <w:rPr>
          <w:rFonts w:cstheme="minorHAnsi"/>
          <w:color w:val="000000"/>
          <w:sz w:val="20"/>
        </w:rPr>
        <w:t>ákon</w:t>
      </w:r>
      <w:r>
        <w:rPr>
          <w:rFonts w:cstheme="minorHAnsi"/>
          <w:color w:val="000000"/>
          <w:sz w:val="20"/>
        </w:rPr>
        <w:t>a</w:t>
      </w:r>
      <w:r w:rsidRPr="00E758F9">
        <w:rPr>
          <w:rFonts w:cstheme="minorHAnsi"/>
          <w:color w:val="000000"/>
          <w:sz w:val="20"/>
        </w:rPr>
        <w:t xml:space="preserve"> č. 320/2001 Sb.</w:t>
      </w:r>
    </w:p>
  </w:footnote>
  <w:footnote w:id="39">
    <w:p w14:paraId="1E9F620F" w14:textId="059C39E6" w:rsidR="0043588E" w:rsidRPr="00E758F9" w:rsidRDefault="0043588E" w:rsidP="00CB7B98">
      <w:pPr>
        <w:pStyle w:val="Textpoznpodarou"/>
      </w:pPr>
      <w:r>
        <w:rPr>
          <w:rStyle w:val="Znakapoznpodarou"/>
        </w:rPr>
        <w:footnoteRef/>
      </w:r>
      <w:r>
        <w:t xml:space="preserve"> </w:t>
      </w:r>
      <w:r>
        <w:tab/>
      </w:r>
      <w:r w:rsidRPr="00E758F9">
        <w:t>Úkol 2.</w:t>
      </w:r>
      <w:r w:rsidRPr="002F37C5">
        <w:t xml:space="preserve">4 </w:t>
      </w:r>
      <w:r w:rsidRPr="0038384E">
        <w:rPr>
          <w:i/>
        </w:rPr>
        <w:t>Koncepce bydlení České republiky do roku 2020 (revidované)</w:t>
      </w:r>
      <w:r w:rsidRPr="002F37C5">
        <w:t>.</w:t>
      </w:r>
    </w:p>
  </w:footnote>
  <w:footnote w:id="40">
    <w:p w14:paraId="6381A81F" w14:textId="6D8C902E" w:rsidR="0043588E" w:rsidRPr="00E758F9" w:rsidRDefault="0043588E" w:rsidP="00CB7B98">
      <w:pPr>
        <w:pStyle w:val="Textpoznpodarou"/>
      </w:pPr>
      <w:r w:rsidRPr="00E758F9">
        <w:rPr>
          <w:rStyle w:val="Znakapoznpodarou"/>
        </w:rPr>
        <w:footnoteRef/>
      </w:r>
      <w:r w:rsidRPr="00E758F9">
        <w:t xml:space="preserve"> </w:t>
      </w:r>
      <w:r>
        <w:tab/>
      </w:r>
      <w:r w:rsidRPr="00E758F9">
        <w:t xml:space="preserve">Nedostatek </w:t>
      </w:r>
      <w:r w:rsidRPr="00E758F9">
        <w:rPr>
          <w:rStyle w:val="cscb8a910d"/>
          <w:bCs/>
          <w:shd w:val="clear" w:color="auto" w:fill="FFFFFF"/>
        </w:rPr>
        <w:t>ucelených údajů o všech bytech využívaných k sociálnímu bydlení konstatoval NKÚ i v</w:t>
      </w:r>
      <w:r>
        <w:rPr>
          <w:rStyle w:val="cscb8a910d"/>
          <w:bCs/>
          <w:shd w:val="clear" w:color="auto" w:fill="FFFFFF"/>
        </w:rPr>
        <w:t xml:space="preserve"> kontrolním závěru z </w:t>
      </w:r>
      <w:r w:rsidRPr="00E758F9">
        <w:rPr>
          <w:rStyle w:val="cscb8a910d"/>
          <w:bCs/>
          <w:shd w:val="clear" w:color="auto" w:fill="FFFFFF"/>
        </w:rPr>
        <w:t>kontrolní akc</w:t>
      </w:r>
      <w:r>
        <w:rPr>
          <w:rStyle w:val="cscb8a910d"/>
          <w:bCs/>
          <w:shd w:val="clear" w:color="auto" w:fill="FFFFFF"/>
        </w:rPr>
        <w:t>e NKÚ</w:t>
      </w:r>
      <w:r w:rsidRPr="00E758F9">
        <w:rPr>
          <w:rStyle w:val="cscb8a910d"/>
          <w:bCs/>
          <w:shd w:val="clear" w:color="auto" w:fill="FFFFFF"/>
        </w:rPr>
        <w:t xml:space="preserve"> </w:t>
      </w:r>
      <w:r>
        <w:rPr>
          <w:rStyle w:val="cscb8a910d"/>
          <w:bCs/>
          <w:shd w:val="clear" w:color="auto" w:fill="FFFFFF"/>
        </w:rPr>
        <w:t xml:space="preserve">č. </w:t>
      </w:r>
      <w:r w:rsidRPr="00E758F9">
        <w:t xml:space="preserve">21/08 </w:t>
      </w:r>
      <w:r w:rsidRPr="00084C6C">
        <w:t>–</w:t>
      </w:r>
      <w:r>
        <w:t xml:space="preserve"> </w:t>
      </w:r>
      <w:r w:rsidRPr="00756C02">
        <w:rPr>
          <w:i/>
        </w:rPr>
        <w:t>Peněžní prostředky vynakládané na podporu sociálního bydlení z Integrovaného regionálního operačního programu</w:t>
      </w:r>
      <w:r w:rsidRPr="00DC4368">
        <w:t>.</w:t>
      </w:r>
    </w:p>
  </w:footnote>
  <w:footnote w:id="41">
    <w:p w14:paraId="41083EC6" w14:textId="21B9A54B" w:rsidR="0043588E" w:rsidRDefault="0043588E" w:rsidP="00CB7B98">
      <w:pPr>
        <w:pStyle w:val="Textpoznpodarou"/>
      </w:pPr>
      <w:r>
        <w:rPr>
          <w:rStyle w:val="Znakapoznpodarou"/>
        </w:rPr>
        <w:footnoteRef/>
      </w:r>
      <w:r>
        <w:t xml:space="preserve"> </w:t>
      </w:r>
      <w:r>
        <w:tab/>
        <w:t>Míra schopnosti programu nebo potenciálních žadatelů o podporu využít prostředky poskytované z národních zdrojů ke zvýšení kvality bydlení.</w:t>
      </w:r>
    </w:p>
  </w:footnote>
  <w:footnote w:id="42">
    <w:p w14:paraId="745CFE34" w14:textId="6A06F952" w:rsidR="0043588E" w:rsidRPr="00E758F9" w:rsidRDefault="0043588E" w:rsidP="00C047FB">
      <w:pPr>
        <w:pStyle w:val="KP-normlntext"/>
        <w:spacing w:after="0"/>
        <w:ind w:left="284" w:hanging="284"/>
        <w:rPr>
          <w:sz w:val="20"/>
          <w:szCs w:val="20"/>
        </w:rPr>
      </w:pPr>
      <w:r w:rsidRPr="00E758F9">
        <w:rPr>
          <w:rStyle w:val="Znakapoznpodarou"/>
          <w:sz w:val="20"/>
          <w:szCs w:val="20"/>
        </w:rPr>
        <w:footnoteRef/>
      </w:r>
      <w:r w:rsidRPr="00E758F9">
        <w:rPr>
          <w:sz w:val="20"/>
          <w:szCs w:val="20"/>
        </w:rPr>
        <w:t xml:space="preserve"> </w:t>
      </w:r>
      <w:r>
        <w:rPr>
          <w:sz w:val="20"/>
          <w:szCs w:val="20"/>
        </w:rPr>
        <w:tab/>
      </w:r>
      <w:r w:rsidRPr="00E758F9">
        <w:rPr>
          <w:sz w:val="20"/>
          <w:szCs w:val="20"/>
        </w:rPr>
        <w:t>Podporuje komplexní opravy a modernizace, které vedou k prodloužení životnosti domu</w:t>
      </w:r>
      <w:r>
        <w:rPr>
          <w:sz w:val="20"/>
          <w:szCs w:val="20"/>
        </w:rPr>
        <w:t>.</w:t>
      </w:r>
    </w:p>
  </w:footnote>
  <w:footnote w:id="43">
    <w:p w14:paraId="2E910DA6" w14:textId="0327185E" w:rsidR="0043588E" w:rsidRPr="00E758F9" w:rsidRDefault="0043588E" w:rsidP="00C047FB">
      <w:pPr>
        <w:pStyle w:val="KP-normlntext"/>
        <w:spacing w:after="0"/>
        <w:ind w:left="284" w:hanging="284"/>
        <w:rPr>
          <w:sz w:val="20"/>
          <w:szCs w:val="20"/>
        </w:rPr>
      </w:pPr>
      <w:r w:rsidRPr="00E758F9">
        <w:rPr>
          <w:rStyle w:val="Znakapoznpodarou"/>
          <w:sz w:val="20"/>
          <w:szCs w:val="20"/>
        </w:rPr>
        <w:footnoteRef/>
      </w:r>
      <w:r>
        <w:rPr>
          <w:sz w:val="20"/>
          <w:szCs w:val="20"/>
        </w:rPr>
        <w:t xml:space="preserve"> </w:t>
      </w:r>
      <w:r>
        <w:rPr>
          <w:sz w:val="20"/>
          <w:szCs w:val="20"/>
        </w:rPr>
        <w:tab/>
        <w:t xml:space="preserve">Program </w:t>
      </w:r>
      <w:r w:rsidRPr="00756C02">
        <w:rPr>
          <w:i/>
          <w:sz w:val="20"/>
          <w:szCs w:val="20"/>
        </w:rPr>
        <w:t>Zateplování</w:t>
      </w:r>
      <w:r>
        <w:rPr>
          <w:sz w:val="20"/>
          <w:szCs w:val="20"/>
        </w:rPr>
        <w:t xml:space="preserve"> je financován z IROP a je zaměřen na p</w:t>
      </w:r>
      <w:r w:rsidRPr="00E758F9">
        <w:rPr>
          <w:sz w:val="20"/>
          <w:szCs w:val="20"/>
        </w:rPr>
        <w:t>odpor</w:t>
      </w:r>
      <w:r>
        <w:rPr>
          <w:sz w:val="20"/>
          <w:szCs w:val="20"/>
        </w:rPr>
        <w:t>u</w:t>
      </w:r>
      <w:r w:rsidRPr="00E758F9">
        <w:rPr>
          <w:sz w:val="20"/>
          <w:szCs w:val="20"/>
        </w:rPr>
        <w:t xml:space="preserve"> energetické modernizace bytových domů prostřednictvím stavebních úprav, jejichž </w:t>
      </w:r>
      <w:r w:rsidRPr="00EC147E">
        <w:rPr>
          <w:sz w:val="20"/>
          <w:szCs w:val="20"/>
        </w:rPr>
        <w:t xml:space="preserve">realizace </w:t>
      </w:r>
      <w:r>
        <w:rPr>
          <w:sz w:val="20"/>
          <w:szCs w:val="20"/>
        </w:rPr>
        <w:t>zajistí</w:t>
      </w:r>
      <w:r w:rsidRPr="00EC147E">
        <w:rPr>
          <w:sz w:val="20"/>
          <w:szCs w:val="20"/>
        </w:rPr>
        <w:t xml:space="preserve"> </w:t>
      </w:r>
      <w:r w:rsidRPr="00E758F9">
        <w:rPr>
          <w:sz w:val="20"/>
          <w:szCs w:val="20"/>
        </w:rPr>
        <w:t>snížení energetické náročnosti budov nejméně o</w:t>
      </w:r>
      <w:r>
        <w:rPr>
          <w:sz w:val="20"/>
          <w:szCs w:val="20"/>
        </w:rPr>
        <w:t> </w:t>
      </w:r>
      <w:r w:rsidRPr="00E758F9">
        <w:rPr>
          <w:sz w:val="20"/>
          <w:szCs w:val="20"/>
        </w:rPr>
        <w:t>20</w:t>
      </w:r>
      <w:r>
        <w:rPr>
          <w:sz w:val="20"/>
          <w:szCs w:val="20"/>
        </w:rPr>
        <w:t> </w:t>
      </w:r>
      <w:r w:rsidRPr="00E758F9">
        <w:rPr>
          <w:sz w:val="20"/>
          <w:szCs w:val="20"/>
        </w:rPr>
        <w:t>% oproti stavu před rekonstrukcí.</w:t>
      </w:r>
    </w:p>
  </w:footnote>
  <w:footnote w:id="44">
    <w:p w14:paraId="0DC55D6B" w14:textId="2F597BF0" w:rsidR="0043588E" w:rsidRPr="00E758F9" w:rsidRDefault="0043588E" w:rsidP="00CB7B98">
      <w:pPr>
        <w:pStyle w:val="Textpoznpodarou"/>
      </w:pPr>
      <w:r w:rsidRPr="00E758F9">
        <w:rPr>
          <w:rStyle w:val="Znakapoznpodarou"/>
        </w:rPr>
        <w:footnoteRef/>
      </w:r>
      <w:r w:rsidRPr="00E758F9">
        <w:t xml:space="preserve"> </w:t>
      </w:r>
      <w:r>
        <w:tab/>
      </w:r>
      <w:r w:rsidRPr="00E758F9">
        <w:t>Jeden projekt z původně vybraného vzorku nebyl k datu provedení kontroly NKÚ dokončen</w:t>
      </w:r>
      <w:r>
        <w:t>,</w:t>
      </w:r>
      <w:r w:rsidRPr="00E758F9">
        <w:t xml:space="preserve"> a nemohl být tedy vyhodnocen.</w:t>
      </w:r>
    </w:p>
  </w:footnote>
  <w:footnote w:id="45">
    <w:p w14:paraId="679D899E" w14:textId="36049BDA" w:rsidR="0043588E" w:rsidRPr="00E758F9" w:rsidRDefault="0043588E" w:rsidP="00C047FB">
      <w:pPr>
        <w:pStyle w:val="KP-normlntext"/>
        <w:spacing w:after="0"/>
        <w:ind w:left="284" w:hanging="284"/>
        <w:rPr>
          <w:sz w:val="20"/>
          <w:szCs w:val="20"/>
        </w:rPr>
      </w:pPr>
      <w:r w:rsidRPr="00E758F9">
        <w:rPr>
          <w:rStyle w:val="Znakapoznpodarou"/>
          <w:sz w:val="20"/>
          <w:szCs w:val="20"/>
        </w:rPr>
        <w:footnoteRef/>
      </w:r>
      <w:r>
        <w:rPr>
          <w:sz w:val="20"/>
          <w:szCs w:val="20"/>
        </w:rPr>
        <w:t xml:space="preserve"> </w:t>
      </w:r>
      <w:r>
        <w:rPr>
          <w:sz w:val="20"/>
          <w:szCs w:val="20"/>
        </w:rPr>
        <w:tab/>
      </w:r>
      <w:r w:rsidRPr="00E758F9">
        <w:rPr>
          <w:sz w:val="20"/>
          <w:szCs w:val="20"/>
        </w:rPr>
        <w:t xml:space="preserve">Vyhodnocení hospodárnosti nebylo provedeno u </w:t>
      </w:r>
      <w:r>
        <w:rPr>
          <w:sz w:val="20"/>
          <w:szCs w:val="20"/>
        </w:rPr>
        <w:t>čtyř</w:t>
      </w:r>
      <w:r w:rsidRPr="00E758F9">
        <w:rPr>
          <w:sz w:val="20"/>
          <w:szCs w:val="20"/>
        </w:rPr>
        <w:t xml:space="preserve"> projektů z úvěrových programů z</w:t>
      </w:r>
      <w:r>
        <w:rPr>
          <w:sz w:val="20"/>
          <w:szCs w:val="20"/>
        </w:rPr>
        <w:t xml:space="preserve"> </w:t>
      </w:r>
      <w:r w:rsidRPr="00E758F9">
        <w:rPr>
          <w:sz w:val="20"/>
          <w:szCs w:val="20"/>
        </w:rPr>
        <w:t>důvodu specifik</w:t>
      </w:r>
      <w:r>
        <w:rPr>
          <w:sz w:val="20"/>
          <w:szCs w:val="20"/>
        </w:rPr>
        <w:t xml:space="preserve"> </w:t>
      </w:r>
      <w:r w:rsidRPr="00E758F9">
        <w:rPr>
          <w:sz w:val="20"/>
          <w:szCs w:val="20"/>
        </w:rPr>
        <w:t>vyplývajících z</w:t>
      </w:r>
      <w:r>
        <w:rPr>
          <w:sz w:val="20"/>
          <w:szCs w:val="20"/>
        </w:rPr>
        <w:t xml:space="preserve"> </w:t>
      </w:r>
      <w:r w:rsidRPr="00E758F9">
        <w:rPr>
          <w:sz w:val="20"/>
          <w:szCs w:val="20"/>
        </w:rPr>
        <w:t>poskytnutí finančních prostředků státu formou úvěru. Smluvní vztah nezakládá riziko</w:t>
      </w:r>
      <w:r>
        <w:rPr>
          <w:sz w:val="20"/>
          <w:szCs w:val="20"/>
        </w:rPr>
        <w:t xml:space="preserve"> </w:t>
      </w:r>
      <w:r w:rsidRPr="00E758F9">
        <w:rPr>
          <w:sz w:val="20"/>
          <w:szCs w:val="20"/>
        </w:rPr>
        <w:t>nadbytečných výdajů nad rámec stanovený smlouvou.</w:t>
      </w:r>
    </w:p>
  </w:footnote>
  <w:footnote w:id="46">
    <w:p w14:paraId="21B551A2" w14:textId="1C1BB075" w:rsidR="0043588E" w:rsidRPr="00E758F9" w:rsidRDefault="0043588E" w:rsidP="00C047FB">
      <w:pPr>
        <w:pStyle w:val="KP-normlntext"/>
        <w:spacing w:after="0"/>
        <w:ind w:left="284" w:hanging="284"/>
        <w:rPr>
          <w:sz w:val="20"/>
          <w:szCs w:val="20"/>
        </w:rPr>
      </w:pPr>
      <w:r w:rsidRPr="00E758F9">
        <w:rPr>
          <w:rStyle w:val="Znakapoznpodarou"/>
          <w:sz w:val="20"/>
          <w:szCs w:val="20"/>
        </w:rPr>
        <w:footnoteRef/>
      </w:r>
      <w:r>
        <w:rPr>
          <w:sz w:val="20"/>
          <w:szCs w:val="20"/>
        </w:rPr>
        <w:t xml:space="preserve"> </w:t>
      </w:r>
      <w:r>
        <w:rPr>
          <w:sz w:val="20"/>
          <w:szCs w:val="20"/>
        </w:rPr>
        <w:tab/>
      </w:r>
      <w:r w:rsidRPr="00E758F9">
        <w:rPr>
          <w:sz w:val="20"/>
          <w:szCs w:val="20"/>
        </w:rPr>
        <w:t>Podle stanovených podmínek bylo možné v případě, že není dostatek zájemců z cílové skupiny, obsadit pořízené sociální byty i osobami mimo cílovou skupinu</w:t>
      </w:r>
      <w:r>
        <w:rPr>
          <w:sz w:val="20"/>
          <w:szCs w:val="20"/>
        </w:rPr>
        <w:t>.</w:t>
      </w:r>
    </w:p>
  </w:footnote>
  <w:footnote w:id="47">
    <w:p w14:paraId="44098885" w14:textId="46A83651" w:rsidR="0043588E" w:rsidRPr="00E758F9" w:rsidRDefault="0043588E" w:rsidP="00C047FB">
      <w:pPr>
        <w:pStyle w:val="KP-normlntext"/>
        <w:spacing w:after="0"/>
        <w:ind w:left="284" w:hanging="284"/>
        <w:rPr>
          <w:sz w:val="20"/>
          <w:szCs w:val="20"/>
        </w:rPr>
      </w:pPr>
      <w:r w:rsidRPr="00E758F9">
        <w:rPr>
          <w:rStyle w:val="Znakapoznpodarou"/>
          <w:sz w:val="20"/>
          <w:szCs w:val="20"/>
        </w:rPr>
        <w:footnoteRef/>
      </w:r>
      <w:r>
        <w:rPr>
          <w:sz w:val="20"/>
          <w:szCs w:val="20"/>
        </w:rPr>
        <w:t xml:space="preserve"> </w:t>
      </w:r>
      <w:r>
        <w:rPr>
          <w:sz w:val="20"/>
          <w:szCs w:val="20"/>
        </w:rPr>
        <w:tab/>
      </w:r>
      <w:r w:rsidRPr="00E758F9">
        <w:rPr>
          <w:sz w:val="20"/>
          <w:szCs w:val="20"/>
        </w:rPr>
        <w:t>Do cílové skupiny patří např. osoby s limitovanými příjmy, omezené zdravotně, nad 65 let, osoby do 3</w:t>
      </w:r>
      <w:r>
        <w:rPr>
          <w:sz w:val="20"/>
          <w:szCs w:val="20"/>
        </w:rPr>
        <w:t>0</w:t>
      </w:r>
      <w:r w:rsidRPr="00E758F9">
        <w:rPr>
          <w:sz w:val="20"/>
          <w:szCs w:val="20"/>
        </w:rPr>
        <w:t xml:space="preserve"> let.</w:t>
      </w:r>
    </w:p>
  </w:footnote>
  <w:footnote w:id="48">
    <w:p w14:paraId="3CC739E6" w14:textId="1CFBCC58" w:rsidR="0043588E" w:rsidRPr="000F04E5" w:rsidRDefault="0043588E" w:rsidP="00CB7B98">
      <w:pPr>
        <w:pStyle w:val="Textpoznpodarou"/>
      </w:pPr>
      <w:r w:rsidRPr="000F04E5">
        <w:rPr>
          <w:rStyle w:val="Znakapoznpodarou"/>
        </w:rPr>
        <w:footnoteRef/>
      </w:r>
      <w:r w:rsidRPr="000F04E5">
        <w:t xml:space="preserve"> </w:t>
      </w:r>
      <w:r>
        <w:tab/>
        <w:t xml:space="preserve">V </w:t>
      </w:r>
      <w:r w:rsidRPr="00F03B0F">
        <w:rPr>
          <w:i/>
        </w:rPr>
        <w:t>Koncepci 2020 (revidované)</w:t>
      </w:r>
      <w:r w:rsidRPr="001E7348">
        <w:t xml:space="preserve"> je na</w:t>
      </w:r>
      <w:r>
        <w:t xml:space="preserve"> </w:t>
      </w:r>
      <w:r w:rsidRPr="00482A5B">
        <w:t>str. 36</w:t>
      </w:r>
      <w:r>
        <w:t xml:space="preserve"> mj. uvedeno</w:t>
      </w:r>
      <w:r w:rsidRPr="00482A5B">
        <w:t xml:space="preserve">: </w:t>
      </w:r>
      <w:r w:rsidRPr="009A76C1">
        <w:t>„</w:t>
      </w:r>
      <w:r w:rsidRPr="00027FC5">
        <w:rPr>
          <w:i/>
        </w:rPr>
        <w:t>...</w:t>
      </w:r>
      <w:r w:rsidRPr="00CB7B98">
        <w:t xml:space="preserve"> </w:t>
      </w:r>
      <w:r w:rsidRPr="00027FC5">
        <w:rPr>
          <w:i/>
        </w:rPr>
        <w:t>cíle a priority Koncepce bydlení do roku 2020 se nepodařilo naplnit ani přes splnění stanovených úkolů. Jejich řešení se tak stává součástí nově navrhovaných priorit a úkolů</w:t>
      </w:r>
      <w:r w:rsidRPr="00CB7B98">
        <w:t>.</w:t>
      </w:r>
      <w:r w:rsidRPr="00482A5B">
        <w:t xml:space="preserve">“ </w:t>
      </w:r>
    </w:p>
  </w:footnote>
  <w:footnote w:id="49">
    <w:p w14:paraId="4204EF64" w14:textId="38481014" w:rsidR="0043588E" w:rsidRPr="00E758F9" w:rsidRDefault="0043588E" w:rsidP="00AD4A7D">
      <w:pPr>
        <w:pStyle w:val="KP-normlnbezodsazen"/>
        <w:ind w:left="284" w:hanging="284"/>
      </w:pPr>
      <w:r w:rsidRPr="00071C23">
        <w:rPr>
          <w:rStyle w:val="Znakapoznpodarou"/>
          <w:sz w:val="20"/>
          <w:szCs w:val="20"/>
        </w:rPr>
        <w:footnoteRef/>
      </w:r>
      <w:r>
        <w:rPr>
          <w:rFonts w:eastAsia="Arial"/>
          <w:sz w:val="20"/>
          <w:szCs w:val="20"/>
        </w:rPr>
        <w:t xml:space="preserve"> </w:t>
      </w:r>
      <w:r>
        <w:rPr>
          <w:rFonts w:eastAsia="Arial"/>
          <w:sz w:val="20"/>
          <w:szCs w:val="20"/>
        </w:rPr>
        <w:tab/>
      </w:r>
      <w:r w:rsidRPr="00071C23">
        <w:rPr>
          <w:rFonts w:eastAsia="Arial"/>
          <w:sz w:val="20"/>
          <w:szCs w:val="20"/>
        </w:rPr>
        <w:t>Vláda ČR svým usnesením ze dne 2.</w:t>
      </w:r>
      <w:r>
        <w:rPr>
          <w:rFonts w:eastAsia="Arial"/>
          <w:sz w:val="20"/>
          <w:szCs w:val="20"/>
        </w:rPr>
        <w:t xml:space="preserve"> května </w:t>
      </w:r>
      <w:r w:rsidRPr="00071C23">
        <w:rPr>
          <w:rFonts w:eastAsia="Arial"/>
          <w:sz w:val="20"/>
          <w:szCs w:val="20"/>
        </w:rPr>
        <w:t>2013 č. 318</w:t>
      </w:r>
      <w:r>
        <w:rPr>
          <w:rFonts w:eastAsia="Arial"/>
          <w:sz w:val="20"/>
          <w:szCs w:val="20"/>
        </w:rPr>
        <w:t xml:space="preserve">, </w:t>
      </w:r>
      <w:r w:rsidRPr="00AD4A7D">
        <w:rPr>
          <w:rFonts w:eastAsia="Arial"/>
          <w:i/>
          <w:sz w:val="20"/>
          <w:szCs w:val="20"/>
        </w:rPr>
        <w:t xml:space="preserve">k </w:t>
      </w:r>
      <w:r w:rsidRPr="00AD4A7D">
        <w:rPr>
          <w:i/>
          <w:sz w:val="20"/>
          <w:szCs w:val="20"/>
        </w:rPr>
        <w:t>Metodice přípravy veřejných strategií</w:t>
      </w:r>
      <w:r w:rsidRPr="007F21DC">
        <w:rPr>
          <w:sz w:val="20"/>
          <w:szCs w:val="20"/>
        </w:rPr>
        <w:t xml:space="preserve">, </w:t>
      </w:r>
      <w:r>
        <w:rPr>
          <w:rFonts w:eastAsia="Arial"/>
          <w:sz w:val="20"/>
          <w:szCs w:val="20"/>
        </w:rPr>
        <w:t xml:space="preserve">mj. </w:t>
      </w:r>
      <w:r w:rsidRPr="00071C23">
        <w:rPr>
          <w:rFonts w:eastAsia="Arial"/>
          <w:sz w:val="20"/>
          <w:szCs w:val="20"/>
        </w:rPr>
        <w:t>uložila členům vlády při přípravě strategických dokumentů vycházet z </w:t>
      </w:r>
      <w:r w:rsidRPr="00071C23">
        <w:rPr>
          <w:rFonts w:eastAsia="Arial"/>
          <w:i/>
          <w:sz w:val="20"/>
          <w:szCs w:val="20"/>
        </w:rPr>
        <w:t>Metodiky přípravy veřejných strategií</w:t>
      </w:r>
      <w:r w:rsidRPr="00071C23">
        <w:rPr>
          <w:rFonts w:eastAsia="Arial"/>
          <w:sz w:val="20"/>
          <w:szCs w:val="20"/>
        </w:rPr>
        <w:t xml:space="preserve">. </w:t>
      </w:r>
      <w:r>
        <w:rPr>
          <w:rFonts w:eastAsia="Arial"/>
          <w:sz w:val="20"/>
          <w:szCs w:val="20"/>
        </w:rPr>
        <w:t>Tato metodika</w:t>
      </w:r>
      <w:r w:rsidRPr="00071C23">
        <w:rPr>
          <w:rFonts w:eastAsia="Arial"/>
          <w:sz w:val="20"/>
          <w:szCs w:val="20"/>
        </w:rPr>
        <w:t xml:space="preserve"> v</w:t>
      </w:r>
      <w:r>
        <w:rPr>
          <w:rFonts w:eastAsia="Arial"/>
          <w:sz w:val="20"/>
          <w:szCs w:val="20"/>
        </w:rPr>
        <w:t xml:space="preserve"> </w:t>
      </w:r>
      <w:r w:rsidRPr="00071C23">
        <w:rPr>
          <w:rFonts w:eastAsia="Arial"/>
          <w:sz w:val="20"/>
          <w:szCs w:val="20"/>
        </w:rPr>
        <w:t>kap</w:t>
      </w:r>
      <w:r>
        <w:rPr>
          <w:rFonts w:eastAsia="Arial"/>
          <w:sz w:val="20"/>
          <w:szCs w:val="20"/>
        </w:rPr>
        <w:t>itole</w:t>
      </w:r>
      <w:r w:rsidRPr="00071C23">
        <w:rPr>
          <w:rFonts w:eastAsia="Arial"/>
          <w:sz w:val="20"/>
          <w:szCs w:val="20"/>
        </w:rPr>
        <w:t xml:space="preserve"> 3.5.4.1</w:t>
      </w:r>
      <w:r>
        <w:rPr>
          <w:rFonts w:eastAsia="Arial"/>
          <w:sz w:val="20"/>
          <w:szCs w:val="20"/>
        </w:rPr>
        <w:t xml:space="preserve"> v</w:t>
      </w:r>
      <w:r w:rsidRPr="00071C23">
        <w:rPr>
          <w:rFonts w:eastAsia="Arial"/>
          <w:sz w:val="20"/>
          <w:szCs w:val="20"/>
        </w:rPr>
        <w:t xml:space="preserve"> </w:t>
      </w:r>
      <w:r w:rsidRPr="00AD4A7D">
        <w:rPr>
          <w:rFonts w:eastAsia="Arial"/>
          <w:sz w:val="20"/>
          <w:szCs w:val="20"/>
        </w:rPr>
        <w:t>kroku 1:</w:t>
      </w:r>
      <w:r w:rsidRPr="00071C23">
        <w:rPr>
          <w:rFonts w:eastAsia="Arial"/>
          <w:i/>
          <w:sz w:val="20"/>
          <w:szCs w:val="20"/>
        </w:rPr>
        <w:t xml:space="preserve"> Definování indikátorů pro sledování jednotlivých cílů</w:t>
      </w:r>
      <w:r w:rsidRPr="00071C23">
        <w:rPr>
          <w:rFonts w:eastAsia="Arial"/>
          <w:sz w:val="20"/>
          <w:szCs w:val="20"/>
        </w:rPr>
        <w:t xml:space="preserve"> stanoví: </w:t>
      </w:r>
      <w:r w:rsidRPr="00AD4A7D">
        <w:rPr>
          <w:sz w:val="20"/>
          <w:szCs w:val="20"/>
        </w:rPr>
        <w:t>„</w:t>
      </w:r>
      <w:r w:rsidRPr="00071C23">
        <w:rPr>
          <w:i/>
          <w:sz w:val="20"/>
          <w:szCs w:val="20"/>
        </w:rPr>
        <w:t>Indikátory musí být definovány pro všechny stanovené cíle, a to na všech úrovních hierarchie cílů. V případě, že by některý z cílů nebyl pokryt nějakým indikátorem, nebylo by možné sledovat pokrok plnění daného cíle ani vyhodnotit jeho naplnění po skončení implementace strategie. Podobně jako samotné cíle by i indikátory měly být SMART.</w:t>
      </w:r>
      <w:r w:rsidRPr="00AD4A7D">
        <w:rPr>
          <w:sz w:val="20"/>
          <w:szCs w:val="20"/>
        </w:rPr>
        <w:t>“</w:t>
      </w:r>
    </w:p>
  </w:footnote>
  <w:footnote w:id="50">
    <w:p w14:paraId="5260AA11" w14:textId="4A465695" w:rsidR="0043588E" w:rsidRPr="00E758F9" w:rsidRDefault="0043588E" w:rsidP="00CB7B98">
      <w:pPr>
        <w:pStyle w:val="Textpoznpodarou"/>
      </w:pPr>
      <w:r w:rsidRPr="00E758F9">
        <w:rPr>
          <w:rStyle w:val="Znakapoznpodarou"/>
        </w:rPr>
        <w:footnoteRef/>
      </w:r>
      <w:r w:rsidRPr="00E758F9">
        <w:t xml:space="preserve"> </w:t>
      </w:r>
      <w:r>
        <w:tab/>
      </w:r>
      <w:r w:rsidRPr="00E758F9">
        <w:t>Příkladem</w:t>
      </w:r>
      <w:r>
        <w:t xml:space="preserve"> měřitelných cílů</w:t>
      </w:r>
      <w:r w:rsidRPr="00E758F9">
        <w:t xml:space="preserve"> může být u podprogramu </w:t>
      </w:r>
      <w:r w:rsidRPr="00353BB0">
        <w:rPr>
          <w:i/>
        </w:rPr>
        <w:t>Regenerace sídlišť</w:t>
      </w:r>
      <w:r w:rsidRPr="00E758F9">
        <w:t xml:space="preserve"> počet realizovaných projektů, plocha regenerovaného území a přírůstek obyvatelstva; u podprogramu </w:t>
      </w:r>
      <w:r w:rsidRPr="00353BB0">
        <w:rPr>
          <w:i/>
        </w:rPr>
        <w:t>Podporované byty</w:t>
      </w:r>
      <w:r w:rsidRPr="00E758F9">
        <w:t xml:space="preserve"> počet projektů výstavby, počet nově vzniklých podpořených bytů a index vývoje počtu domácností v nově vzniklých bytech.</w:t>
      </w:r>
    </w:p>
  </w:footnote>
  <w:footnote w:id="51">
    <w:p w14:paraId="616926BD" w14:textId="1C27A70A" w:rsidR="0043588E" w:rsidRPr="00E758F9" w:rsidRDefault="0043588E" w:rsidP="00CB7B98">
      <w:pPr>
        <w:pStyle w:val="Textpoznpodarou"/>
      </w:pPr>
      <w:r w:rsidRPr="00E758F9">
        <w:rPr>
          <w:rStyle w:val="Znakapoznpodarou"/>
        </w:rPr>
        <w:footnoteRef/>
      </w:r>
      <w:r w:rsidRPr="00E758F9">
        <w:t xml:space="preserve"> </w:t>
      </w:r>
      <w:r>
        <w:tab/>
      </w:r>
      <w:r w:rsidRPr="00E758F9">
        <w:t xml:space="preserve">Dokumentace programu </w:t>
      </w:r>
      <w:r w:rsidRPr="007B626B">
        <w:rPr>
          <w:i/>
        </w:rPr>
        <w:t>Výstavba pro obce</w:t>
      </w:r>
      <w:r w:rsidRPr="00E758F9">
        <w:t xml:space="preserve"> uvádí v bodě 6 mezi sledovanými ukazateli, </w:t>
      </w:r>
      <w:r w:rsidRPr="009A76C1">
        <w:t xml:space="preserve">že </w:t>
      </w:r>
      <w:r w:rsidRPr="007B626B">
        <w:t>„</w:t>
      </w:r>
      <w:r w:rsidRPr="007B626B">
        <w:rPr>
          <w:i/>
        </w:rPr>
        <w:t>... program zajistí a zlepší bydlení nejméně 2 375 domácnostem, tj. cca 7 tis. osobám (indikátor)</w:t>
      </w:r>
      <w:r w:rsidRPr="00EB33DA">
        <w:t>.</w:t>
      </w:r>
      <w:r w:rsidRPr="00E758F9">
        <w:t>“</w:t>
      </w:r>
    </w:p>
  </w:footnote>
  <w:footnote w:id="52">
    <w:p w14:paraId="1A001553" w14:textId="3F9D9480" w:rsidR="0043588E" w:rsidRPr="00E758F9" w:rsidRDefault="0043588E" w:rsidP="00CB7B98">
      <w:pPr>
        <w:pStyle w:val="Textpoznpodarou"/>
      </w:pPr>
      <w:r w:rsidRPr="00E758F9">
        <w:rPr>
          <w:rStyle w:val="Znakapoznpodarou"/>
        </w:rPr>
        <w:footnoteRef/>
      </w:r>
      <w:r w:rsidRPr="00E758F9">
        <w:t xml:space="preserve"> </w:t>
      </w:r>
      <w:r>
        <w:tab/>
      </w:r>
      <w:r w:rsidRPr="00E758F9">
        <w:t xml:space="preserve">Program má zajistit a zlepšit bydlení nejméně 2 375 domácnostem, k 31. 12. 2022 bylo z programu </w:t>
      </w:r>
      <w:r>
        <w:t xml:space="preserve">podpořeno </w:t>
      </w:r>
      <w:r w:rsidRPr="00E758F9">
        <w:t>226 bytů</w:t>
      </w:r>
      <w:r>
        <w:t>;</w:t>
      </w:r>
      <w:r w:rsidRPr="00E758F9">
        <w:t xml:space="preserve"> počítá se s jedním bytem pro jednu domácnost.</w:t>
      </w:r>
    </w:p>
  </w:footnote>
  <w:footnote w:id="53">
    <w:p w14:paraId="103EE3E0" w14:textId="722FD0F8" w:rsidR="0043588E" w:rsidRPr="00E758F9" w:rsidRDefault="0043588E" w:rsidP="00CB7B98">
      <w:pPr>
        <w:pStyle w:val="Textpoznpodarou"/>
      </w:pPr>
      <w:r w:rsidRPr="00E758F9">
        <w:rPr>
          <w:rStyle w:val="Znakapoznpodarou"/>
        </w:rPr>
        <w:footnoteRef/>
      </w:r>
      <w:r w:rsidRPr="00E758F9">
        <w:t xml:space="preserve"> </w:t>
      </w:r>
      <w:r>
        <w:tab/>
      </w:r>
      <w:r w:rsidRPr="007B626B">
        <w:rPr>
          <w:i/>
        </w:rPr>
        <w:t>Nájemní byty</w:t>
      </w:r>
      <w:r>
        <w:t>,</w:t>
      </w:r>
      <w:r w:rsidRPr="00726222">
        <w:t xml:space="preserve"> </w:t>
      </w:r>
      <w:r w:rsidRPr="007B626B">
        <w:rPr>
          <w:i/>
        </w:rPr>
        <w:t>Regenerace sídlišť</w:t>
      </w:r>
      <w:r w:rsidRPr="00726222">
        <w:t xml:space="preserve"> a </w:t>
      </w:r>
      <w:r w:rsidRPr="007B626B">
        <w:rPr>
          <w:i/>
        </w:rPr>
        <w:t>Panel 2013+</w:t>
      </w:r>
      <w:r w:rsidRPr="00325AD1">
        <w:t>.</w:t>
      </w:r>
    </w:p>
  </w:footnote>
  <w:footnote w:id="54">
    <w:p w14:paraId="57B8D03B" w14:textId="4AFB7C84" w:rsidR="0043588E" w:rsidRDefault="0043588E" w:rsidP="00CB7B98">
      <w:pPr>
        <w:pStyle w:val="Textpoznpodarou"/>
      </w:pPr>
      <w:r>
        <w:rPr>
          <w:rStyle w:val="Znakapoznpodarou"/>
        </w:rPr>
        <w:footnoteRef/>
      </w:r>
      <w:r>
        <w:t xml:space="preserve"> </w:t>
      </w:r>
      <w:r>
        <w:tab/>
        <w:t>K</w:t>
      </w:r>
      <w:r w:rsidRPr="00BA003B">
        <w:t>ontrolní akc</w:t>
      </w:r>
      <w:r>
        <w:t>e NKÚ</w:t>
      </w:r>
      <w:r w:rsidRPr="00BA003B">
        <w:t xml:space="preserve"> č. 15/18</w:t>
      </w:r>
      <w:r>
        <w:t xml:space="preserve"> </w:t>
      </w:r>
      <w:r w:rsidRPr="009A76C1">
        <w:t>–</w:t>
      </w:r>
      <w:r>
        <w:t xml:space="preserve"> </w:t>
      </w:r>
      <w:r w:rsidRPr="003B3B26">
        <w:rPr>
          <w:i/>
        </w:rPr>
        <w:t>Peněžní prostředky určené na podporu bydlení</w:t>
      </w:r>
      <w:r>
        <w:t xml:space="preserve">. Kontrolní závěr byl zveřejněn v částce 3/2016 </w:t>
      </w:r>
      <w:r w:rsidRPr="003B3B26">
        <w:rPr>
          <w:i/>
        </w:rPr>
        <w:t>Věstníku NKÚ</w:t>
      </w:r>
      <w:r>
        <w:t>.</w:t>
      </w:r>
    </w:p>
  </w:footnote>
  <w:footnote w:id="55">
    <w:p w14:paraId="681948B0" w14:textId="101B44A4" w:rsidR="0043588E" w:rsidRPr="00E758F9" w:rsidRDefault="0043588E" w:rsidP="00CB7B98">
      <w:pPr>
        <w:pStyle w:val="Textpoznpodarou"/>
      </w:pPr>
      <w:r w:rsidRPr="00170966">
        <w:rPr>
          <w:rStyle w:val="Znakapoznpodarou"/>
        </w:rPr>
        <w:footnoteRef/>
      </w:r>
      <w:r w:rsidRPr="00170966">
        <w:t xml:space="preserve"> </w:t>
      </w:r>
      <w:r>
        <w:tab/>
      </w:r>
      <w:r w:rsidRPr="00E758F9">
        <w:t>Ustanovení § 1 odst. 2 zákona č. 211/2000 Sb.</w:t>
      </w:r>
    </w:p>
  </w:footnote>
  <w:footnote w:id="56">
    <w:p w14:paraId="2D067F4D" w14:textId="0125095F" w:rsidR="0043588E" w:rsidRPr="00E758F9" w:rsidRDefault="0043588E" w:rsidP="00CB7B98">
      <w:pPr>
        <w:pStyle w:val="Textpoznpodarou"/>
      </w:pPr>
      <w:r w:rsidRPr="00E758F9">
        <w:rPr>
          <w:rStyle w:val="Znakapoznpodarou"/>
        </w:rPr>
        <w:footnoteRef/>
      </w:r>
      <w:r w:rsidRPr="00E758F9">
        <w:t xml:space="preserve"> </w:t>
      </w:r>
      <w:r>
        <w:tab/>
      </w:r>
      <w:r w:rsidRPr="00E758F9">
        <w:t>Ustanovení § 22 zákona</w:t>
      </w:r>
      <w:r>
        <w:t xml:space="preserve"> České národní rady </w:t>
      </w:r>
      <w:r w:rsidRPr="00E758F9">
        <w:t>č. 2/1969 Sb.</w:t>
      </w:r>
    </w:p>
  </w:footnote>
  <w:footnote w:id="57">
    <w:p w14:paraId="6D4E6E02" w14:textId="5E395BE8" w:rsidR="0043588E" w:rsidRDefault="0043588E" w:rsidP="00CB7B98">
      <w:pPr>
        <w:pStyle w:val="Textpoznpodarou"/>
      </w:pPr>
      <w:r>
        <w:rPr>
          <w:rStyle w:val="Znakapoznpodarou"/>
        </w:rPr>
        <w:footnoteRef/>
      </w:r>
      <w:r>
        <w:t xml:space="preserve"> </w:t>
      </w:r>
      <w:r>
        <w:tab/>
        <w:t xml:space="preserve">SFPI dle svého sdělení v odpovědi na žádost o doklady a informace č. 09 ze dne 25. 4. 2023, čj. 266/23/SEMP_SFPI dosud nehospodařil s jinými než státními prostředky. </w:t>
      </w:r>
    </w:p>
  </w:footnote>
  <w:footnote w:id="58">
    <w:p w14:paraId="74DF360A" w14:textId="653201FB" w:rsidR="0043588E" w:rsidRDefault="0043588E" w:rsidP="00CB7B98">
      <w:pPr>
        <w:pStyle w:val="Textpoznpodarou"/>
      </w:pPr>
      <w:r>
        <w:rPr>
          <w:rStyle w:val="Znakapoznpodarou"/>
        </w:rPr>
        <w:footnoteRef/>
      </w:r>
      <w:r>
        <w:t xml:space="preserve"> </w:t>
      </w:r>
      <w:r>
        <w:tab/>
      </w:r>
      <w:r w:rsidRPr="00136639">
        <w:rPr>
          <w:shd w:val="clear" w:color="auto" w:fill="FFFFFF"/>
        </w:rPr>
        <w:t>Zákon č. 219/2000 Sb., o majetku České republiky a jejím vystupování v právních vztazích, ve znění pozdějších předpisů</w:t>
      </w:r>
      <w:r>
        <w:rPr>
          <w:shd w:val="clear" w:color="auto" w:fill="FFFFFF"/>
        </w:rPr>
        <w:t>.</w:t>
      </w:r>
    </w:p>
  </w:footnote>
  <w:footnote w:id="59">
    <w:p w14:paraId="32290C74" w14:textId="1E707599" w:rsidR="0043588E" w:rsidRPr="00E758F9" w:rsidRDefault="0043588E" w:rsidP="00CB7B98">
      <w:pPr>
        <w:pStyle w:val="Textpoznpodarou"/>
      </w:pPr>
      <w:r w:rsidRPr="00E758F9">
        <w:rPr>
          <w:rStyle w:val="Znakapoznpodarou"/>
        </w:rPr>
        <w:footnoteRef/>
      </w:r>
      <w:r w:rsidRPr="00E758F9">
        <w:t xml:space="preserve"> </w:t>
      </w:r>
      <w:r>
        <w:tab/>
      </w:r>
      <w:r w:rsidRPr="00E758F9">
        <w:t>Ustanovení § 39 odst. 3 zákona č. 218/2000 Sb.</w:t>
      </w:r>
    </w:p>
  </w:footnote>
  <w:footnote w:id="60">
    <w:p w14:paraId="6BCF8A7D" w14:textId="5A68F488" w:rsidR="0043588E" w:rsidRPr="00E758F9" w:rsidRDefault="0043588E" w:rsidP="00CB7B98">
      <w:pPr>
        <w:pStyle w:val="Textpoznpodarou"/>
      </w:pPr>
      <w:r w:rsidRPr="00E758F9">
        <w:rPr>
          <w:rStyle w:val="Znakapoznpodarou"/>
        </w:rPr>
        <w:footnoteRef/>
      </w:r>
      <w:r w:rsidRPr="00E758F9">
        <w:t xml:space="preserve"> </w:t>
      </w:r>
      <w:r>
        <w:tab/>
      </w:r>
      <w:r w:rsidRPr="00E758F9">
        <w:rPr>
          <w:i/>
        </w:rPr>
        <w:t>Nájemní by</w:t>
      </w:r>
      <w:r>
        <w:rPr>
          <w:i/>
        </w:rPr>
        <w:t>ty</w:t>
      </w:r>
      <w:r w:rsidRPr="00AD4A7D">
        <w:t>,</w:t>
      </w:r>
      <w:r w:rsidRPr="00E758F9">
        <w:rPr>
          <w:i/>
        </w:rPr>
        <w:t xml:space="preserve"> Regenerace sídlišť </w:t>
      </w:r>
      <w:r w:rsidRPr="00E758F9">
        <w:t>a</w:t>
      </w:r>
      <w:r w:rsidRPr="00E758F9">
        <w:rPr>
          <w:i/>
        </w:rPr>
        <w:t xml:space="preserve"> Panel 2013+</w:t>
      </w:r>
      <w:r w:rsidRPr="00AD4A7D">
        <w:t>, p</w:t>
      </w:r>
      <w:r w:rsidRPr="009D51C4">
        <w:t>odmínky</w:t>
      </w:r>
      <w:r w:rsidRPr="00E758F9">
        <w:t xml:space="preserve"> těchto programů byly stanoveny v nařízeních vlády</w:t>
      </w:r>
      <w:r>
        <w:t>:</w:t>
      </w:r>
      <w:r w:rsidRPr="00E758F9">
        <w:t xml:space="preserve"> č. 284/2011 Sb.</w:t>
      </w:r>
      <w:r>
        <w:rPr>
          <w:shd w:val="clear" w:color="auto" w:fill="FFFFFF"/>
        </w:rPr>
        <w:t xml:space="preserve">, </w:t>
      </w:r>
      <w:r w:rsidRPr="00E758F9">
        <w:t>č. 2/2021 Sb.</w:t>
      </w:r>
      <w:r>
        <w:rPr>
          <w:rFonts w:ascii="Calibri" w:hAnsi="Calibri" w:cs="Calibri"/>
        </w:rPr>
        <w:t>,</w:t>
      </w:r>
      <w:r w:rsidRPr="00E758F9">
        <w:t xml:space="preserve"> č. 390/2017 Sb. a č. 468/2012 Sb.</w:t>
      </w:r>
    </w:p>
  </w:footnote>
  <w:footnote w:id="61">
    <w:p w14:paraId="1400E123" w14:textId="7C9E3C8F" w:rsidR="0043588E" w:rsidRPr="00312EA3" w:rsidRDefault="0043588E" w:rsidP="00CB7B98">
      <w:pPr>
        <w:pStyle w:val="Textpoznpodarou"/>
      </w:pPr>
      <w:r w:rsidRPr="00312EA3">
        <w:rPr>
          <w:rStyle w:val="Znakapoznpodarou"/>
        </w:rPr>
        <w:footnoteRef/>
      </w:r>
      <w:r w:rsidRPr="00312EA3">
        <w:t xml:space="preserve"> </w:t>
      </w:r>
      <w:r>
        <w:tab/>
      </w:r>
      <w:r w:rsidRPr="00312EA3">
        <w:t>Ustanovení § 4 odst. 1 zákona č. 320/2001 Sb.</w:t>
      </w:r>
    </w:p>
  </w:footnote>
  <w:footnote w:id="62">
    <w:p w14:paraId="00C9BBC8" w14:textId="5D86464A" w:rsidR="0043588E" w:rsidRDefault="0043588E" w:rsidP="00CB7B98">
      <w:pPr>
        <w:pStyle w:val="Textpoznpodarou"/>
      </w:pPr>
      <w:r w:rsidRPr="00312EA3">
        <w:rPr>
          <w:rStyle w:val="Znakapoznpodarou"/>
        </w:rPr>
        <w:footnoteRef/>
      </w:r>
      <w:r w:rsidRPr="00312EA3">
        <w:t xml:space="preserve"> </w:t>
      </w:r>
      <w:r>
        <w:tab/>
      </w:r>
      <w:r w:rsidRPr="00312EA3">
        <w:t>Ustanovení § 4 odst. 2 zákona č. 320/2001 Sb.</w:t>
      </w:r>
    </w:p>
  </w:footnote>
  <w:footnote w:id="63">
    <w:p w14:paraId="5635A6BF" w14:textId="6B2B31E6" w:rsidR="0043588E" w:rsidRPr="00E758F9" w:rsidRDefault="0043588E" w:rsidP="00CB7B98">
      <w:pPr>
        <w:pStyle w:val="Textpoznpodarou"/>
      </w:pPr>
      <w:r w:rsidRPr="00E758F9">
        <w:rPr>
          <w:rStyle w:val="Znakapoznpodarou"/>
        </w:rPr>
        <w:footnoteRef/>
      </w:r>
      <w:r w:rsidRPr="00E758F9">
        <w:t xml:space="preserve"> </w:t>
      </w:r>
      <w:r>
        <w:tab/>
      </w:r>
      <w:r w:rsidRPr="00E758F9">
        <w:t xml:space="preserve">NKÚ upozorňuje na existenci </w:t>
      </w:r>
      <w:r>
        <w:t xml:space="preserve">dokumentu </w:t>
      </w:r>
      <w:r w:rsidRPr="00AD4A7D">
        <w:rPr>
          <w:i/>
        </w:rPr>
        <w:t>Zpráva o vyloučení z bydlení za rok 2021</w:t>
      </w:r>
      <w:r w:rsidRPr="00E758F9">
        <w:t>,</w:t>
      </w:r>
      <w:r>
        <w:t xml:space="preserve"> který byl zpracován (převážně) spolkem </w:t>
      </w:r>
      <w:r w:rsidRPr="00E758F9">
        <w:t>Platforma pro sociální bydlení</w:t>
      </w:r>
      <w:r>
        <w:t xml:space="preserve">, </w:t>
      </w:r>
      <w:proofErr w:type="spellStart"/>
      <w:r>
        <w:t>z.s</w:t>
      </w:r>
      <w:proofErr w:type="spellEnd"/>
      <w:r>
        <w:t xml:space="preserve">. V této zprávě se </w:t>
      </w:r>
      <w:r w:rsidRPr="00E758F9">
        <w:t>uvádí, že v bytové nouzi se nachází 35 až 62 tisíc domácností, v nichž vyrůstá 20 až 51 tisíc dětí do 18 let; dalších 130 až 190 tisíc domácností s přibližně 100 tisíci dětmi je ohroženo ztrátou bydlení; dalších přibližně 300 až 350 tisíc domácností trpí nadměrnými náklady na bydlení (vynakládá na bydlení více než 40 % svých příjmů). Celkem čelí jednomu ze tří výše uvedených problémů v oblasti bydlení přibližně půl milionu českých domácností (necelý milion lidí).</w:t>
      </w:r>
    </w:p>
  </w:footnote>
  <w:footnote w:id="64">
    <w:p w14:paraId="634AC4FA" w14:textId="4BD1E2A7" w:rsidR="0043588E" w:rsidRPr="00E758F9" w:rsidRDefault="0043588E" w:rsidP="00CB7B98">
      <w:pPr>
        <w:pStyle w:val="Textpoznpodarou"/>
      </w:pPr>
      <w:r w:rsidRPr="00E758F9">
        <w:rPr>
          <w:rStyle w:val="Znakapoznpodarou"/>
        </w:rPr>
        <w:footnoteRef/>
      </w:r>
      <w:r w:rsidRPr="00E758F9">
        <w:t xml:space="preserve"> </w:t>
      </w:r>
      <w:r>
        <w:tab/>
      </w:r>
      <w:r w:rsidRPr="00E758F9">
        <w:t>„</w:t>
      </w:r>
      <w:r w:rsidRPr="00E758F9">
        <w:rPr>
          <w:i/>
        </w:rPr>
        <w:t>Z každých započatých 5 nájemních bytů musí být minimálně jeden byt upravitelný</w:t>
      </w:r>
      <w:r w:rsidRPr="00E758F9">
        <w:t>“. Upravitelný byt je takový, který může bez dalších stavebních úprav sloužit osobám s omezenou schopností pohybu a orientace.</w:t>
      </w:r>
    </w:p>
  </w:footnote>
  <w:footnote w:id="65">
    <w:p w14:paraId="46739D16" w14:textId="1C346EBB" w:rsidR="0043588E" w:rsidRPr="00E758F9" w:rsidRDefault="0043588E" w:rsidP="00CB7B98">
      <w:pPr>
        <w:pStyle w:val="Textpoznpodarou"/>
      </w:pPr>
      <w:r w:rsidRPr="00E758F9">
        <w:rPr>
          <w:rStyle w:val="Znakapoznpodarou"/>
        </w:rPr>
        <w:footnoteRef/>
      </w:r>
      <w:r w:rsidRPr="00E758F9">
        <w:t xml:space="preserve"> </w:t>
      </w:r>
      <w:r>
        <w:tab/>
      </w:r>
      <w:r w:rsidRPr="00E758F9">
        <w:t xml:space="preserve">Umístění a konstrukce plánovaných </w:t>
      </w:r>
      <w:r>
        <w:t>čtyř</w:t>
      </w:r>
      <w:r w:rsidRPr="00E758F9">
        <w:t xml:space="preserve"> bytů v</w:t>
      </w:r>
      <w:r>
        <w:t xml:space="preserve"> </w:t>
      </w:r>
      <w:r w:rsidRPr="00E758F9">
        <w:t>budově neumožňovala ani jeden z</w:t>
      </w:r>
      <w:r>
        <w:t xml:space="preserve"> </w:t>
      </w:r>
      <w:r w:rsidRPr="00E758F9">
        <w:t>nich pořídit jako upravitelný.</w:t>
      </w:r>
    </w:p>
  </w:footnote>
  <w:footnote w:id="66">
    <w:p w14:paraId="5C5E2EE8" w14:textId="31C42A86" w:rsidR="0043588E" w:rsidRDefault="0043588E" w:rsidP="00CB7B98">
      <w:pPr>
        <w:pStyle w:val="Textpoznpodarou"/>
      </w:pPr>
      <w:r>
        <w:rPr>
          <w:rStyle w:val="Znakapoznpodarou"/>
        </w:rPr>
        <w:footnoteRef/>
      </w:r>
      <w:r>
        <w:t xml:space="preserve"> </w:t>
      </w:r>
      <w:r>
        <w:tab/>
      </w:r>
      <w:r w:rsidRPr="00002904">
        <w:t>Nařízení vlády č. 2/2021 Sb</w:t>
      </w:r>
      <w:r>
        <w:rPr>
          <w:shd w:val="clear" w:color="auto" w:fill="FFFFFF"/>
        </w:rPr>
        <w:t>.</w:t>
      </w:r>
    </w:p>
  </w:footnote>
  <w:footnote w:id="67">
    <w:p w14:paraId="243A52EC" w14:textId="553BE9E1" w:rsidR="0043588E" w:rsidRDefault="0043588E" w:rsidP="00CB7B98">
      <w:pPr>
        <w:pStyle w:val="Textpoznpodarou"/>
      </w:pPr>
      <w:r>
        <w:rPr>
          <w:rStyle w:val="Znakapoznpodarou"/>
        </w:rPr>
        <w:footnoteRef/>
      </w:r>
      <w:r>
        <w:t xml:space="preserve"> </w:t>
      </w:r>
      <w:r>
        <w:tab/>
        <w:t xml:space="preserve">Ustanovení </w:t>
      </w:r>
      <w:r w:rsidRPr="00E45C1D">
        <w:t>§ 4 odst. 1 písm. b) zákona č. 320/2001 Sb</w:t>
      </w:r>
      <w:r>
        <w:t>.</w:t>
      </w:r>
    </w:p>
  </w:footnote>
  <w:footnote w:id="68">
    <w:p w14:paraId="6C8BFD00" w14:textId="31E8D337" w:rsidR="0043588E" w:rsidRPr="00E758F9" w:rsidRDefault="0043588E" w:rsidP="00AD4A7D">
      <w:pPr>
        <w:ind w:left="284" w:hanging="284"/>
        <w:rPr>
          <w:rFonts w:cstheme="minorHAnsi"/>
          <w:sz w:val="20"/>
        </w:rPr>
      </w:pPr>
      <w:r w:rsidRPr="00E758F9">
        <w:rPr>
          <w:rStyle w:val="Znakapoznpodarou"/>
          <w:rFonts w:cstheme="minorHAnsi"/>
          <w:sz w:val="20"/>
        </w:rPr>
        <w:footnoteRef/>
      </w:r>
      <w:r>
        <w:rPr>
          <w:rFonts w:cstheme="minorHAnsi"/>
          <w:sz w:val="20"/>
        </w:rPr>
        <w:t xml:space="preserve"> </w:t>
      </w:r>
      <w:r>
        <w:rPr>
          <w:rFonts w:cstheme="minorHAnsi"/>
          <w:sz w:val="20"/>
        </w:rPr>
        <w:tab/>
      </w:r>
      <w:r w:rsidRPr="00E758F9">
        <w:rPr>
          <w:rFonts w:cstheme="minorHAnsi"/>
          <w:sz w:val="20"/>
        </w:rPr>
        <w:t xml:space="preserve">Podle článku 3 odst. 2 přílohy </w:t>
      </w:r>
      <w:r>
        <w:rPr>
          <w:rFonts w:cstheme="minorHAnsi"/>
          <w:sz w:val="20"/>
        </w:rPr>
        <w:t>r</w:t>
      </w:r>
      <w:r w:rsidRPr="00110ECB">
        <w:rPr>
          <w:rFonts w:cstheme="minorHAnsi"/>
          <w:sz w:val="20"/>
        </w:rPr>
        <w:t xml:space="preserve">ozhodnutí ministryně č. 20/2021 </w:t>
      </w:r>
      <w:r w:rsidRPr="00AD4A7D">
        <w:rPr>
          <w:rFonts w:cstheme="minorHAnsi"/>
          <w:i/>
          <w:sz w:val="20"/>
        </w:rPr>
        <w:t>Postup při kontrolní činnosti</w:t>
      </w:r>
      <w:r w:rsidRPr="00110ECB">
        <w:rPr>
          <w:rFonts w:cstheme="minorHAnsi"/>
          <w:sz w:val="20"/>
        </w:rPr>
        <w:t xml:space="preserve"> platí: </w:t>
      </w:r>
      <w:r w:rsidRPr="00AD4A7D">
        <w:rPr>
          <w:rFonts w:cstheme="minorHAnsi"/>
          <w:sz w:val="20"/>
        </w:rPr>
        <w:t>„</w:t>
      </w:r>
      <w:r>
        <w:rPr>
          <w:rFonts w:cstheme="minorHAnsi"/>
          <w:i/>
          <w:sz w:val="20"/>
        </w:rPr>
        <w:t>... </w:t>
      </w:r>
      <w:r w:rsidRPr="00110ECB">
        <w:rPr>
          <w:rFonts w:cstheme="minorHAnsi"/>
          <w:i/>
          <w:sz w:val="20"/>
          <w:shd w:val="clear" w:color="auto" w:fill="FFFFFF" w:themeFill="background1"/>
        </w:rPr>
        <w:t>Organizační útvary MMR vykonávající</w:t>
      </w:r>
      <w:r w:rsidRPr="00110ECB">
        <w:rPr>
          <w:rFonts w:cstheme="minorHAnsi"/>
          <w:i/>
          <w:sz w:val="20"/>
        </w:rPr>
        <w:t xml:space="preserve"> kontroly zejména: a) zpracovávají vlastní analýzy </w:t>
      </w:r>
      <w:r w:rsidRPr="00110ECB">
        <w:rPr>
          <w:rFonts w:cstheme="minorHAnsi"/>
          <w:i/>
          <w:sz w:val="20"/>
          <w:shd w:val="clear" w:color="auto" w:fill="FFFFFF" w:themeFill="background1"/>
        </w:rPr>
        <w:t>rizik v případech, kdy se nejedná o kontroly v přenesené působnosti v gesci Ministerstva vnitra</w:t>
      </w:r>
      <w:r>
        <w:rPr>
          <w:rFonts w:cstheme="minorHAnsi"/>
          <w:i/>
          <w:sz w:val="20"/>
          <w:shd w:val="clear" w:color="auto" w:fill="FFFFFF" w:themeFill="background1"/>
        </w:rPr>
        <w:t>.</w:t>
      </w:r>
      <w:r w:rsidRPr="00AD4A7D">
        <w:rPr>
          <w:rFonts w:cstheme="minorHAnsi"/>
          <w:sz w:val="20"/>
          <w:shd w:val="clear" w:color="auto" w:fill="FFFFFF" w:themeFill="background1"/>
        </w:rPr>
        <w:t>“</w:t>
      </w:r>
    </w:p>
  </w:footnote>
  <w:footnote w:id="69">
    <w:p w14:paraId="5175DDF6" w14:textId="4F87CB71" w:rsidR="0043588E" w:rsidRDefault="0043588E" w:rsidP="00CB7B98">
      <w:pPr>
        <w:pStyle w:val="Textpoznpodarou"/>
      </w:pPr>
      <w:r>
        <w:rPr>
          <w:rStyle w:val="Znakapoznpodarou"/>
        </w:rPr>
        <w:footnoteRef/>
      </w:r>
      <w:r>
        <w:t xml:space="preserve"> </w:t>
      </w:r>
      <w:r>
        <w:tab/>
        <w:t>Program se řídí nařízením vlády č. 107/2023 Sb., o podmínkách použití peněžních prostředků Státního fondu podpory investic formou úvěru nebo dotace na financování výstavby nájemního bydlení.</w:t>
      </w:r>
    </w:p>
  </w:footnote>
  <w:footnote w:id="70">
    <w:p w14:paraId="31D1150A" w14:textId="6C25C444" w:rsidR="0043588E" w:rsidRDefault="0043588E" w:rsidP="00CB7B98">
      <w:pPr>
        <w:pStyle w:val="Textpoznpodarou"/>
      </w:pPr>
      <w:r>
        <w:rPr>
          <w:rStyle w:val="Znakapoznpodarou"/>
        </w:rPr>
        <w:footnoteRef/>
      </w:r>
      <w:r>
        <w:t xml:space="preserve"> </w:t>
      </w:r>
      <w:r>
        <w:tab/>
        <w:t>Jedná se o % populace, která žije v domácnostech vydávajících za celkové náklady na bydlení více než 40 % svých disponibilních příjmů.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3D94" w14:textId="77777777" w:rsidR="0043588E" w:rsidRDefault="0043588E">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B596F" w14:textId="77777777" w:rsidR="0043588E" w:rsidRDefault="004358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28B5"/>
    <w:multiLevelType w:val="hybridMultilevel"/>
    <w:tmpl w:val="97E48712"/>
    <w:lvl w:ilvl="0" w:tplc="252446FE">
      <w:start w:val="4"/>
      <w:numFmt w:val="decimal"/>
      <w:lvlText w:val="%1."/>
      <w:lvlJc w:val="left"/>
      <w:pPr>
        <w:ind w:left="720" w:hanging="360"/>
      </w:pPr>
      <w:rPr>
        <w:rFonts w:hint="default"/>
      </w:rPr>
    </w:lvl>
    <w:lvl w:ilvl="1" w:tplc="DF266640" w:tentative="1">
      <w:start w:val="1"/>
      <w:numFmt w:val="lowerLetter"/>
      <w:lvlText w:val="%2."/>
      <w:lvlJc w:val="left"/>
      <w:pPr>
        <w:ind w:left="1440" w:hanging="360"/>
      </w:pPr>
    </w:lvl>
    <w:lvl w:ilvl="2" w:tplc="1F882C3C" w:tentative="1">
      <w:start w:val="1"/>
      <w:numFmt w:val="lowerRoman"/>
      <w:lvlText w:val="%3."/>
      <w:lvlJc w:val="right"/>
      <w:pPr>
        <w:ind w:left="2160" w:hanging="180"/>
      </w:pPr>
    </w:lvl>
    <w:lvl w:ilvl="3" w:tplc="57445F08" w:tentative="1">
      <w:start w:val="1"/>
      <w:numFmt w:val="decimal"/>
      <w:lvlText w:val="%4."/>
      <w:lvlJc w:val="left"/>
      <w:pPr>
        <w:ind w:left="2880" w:hanging="360"/>
      </w:pPr>
    </w:lvl>
    <w:lvl w:ilvl="4" w:tplc="10781DBC" w:tentative="1">
      <w:start w:val="1"/>
      <w:numFmt w:val="lowerLetter"/>
      <w:lvlText w:val="%5."/>
      <w:lvlJc w:val="left"/>
      <w:pPr>
        <w:ind w:left="3600" w:hanging="360"/>
      </w:pPr>
    </w:lvl>
    <w:lvl w:ilvl="5" w:tplc="25DA6B48" w:tentative="1">
      <w:start w:val="1"/>
      <w:numFmt w:val="lowerRoman"/>
      <w:lvlText w:val="%6."/>
      <w:lvlJc w:val="right"/>
      <w:pPr>
        <w:ind w:left="4320" w:hanging="180"/>
      </w:pPr>
    </w:lvl>
    <w:lvl w:ilvl="6" w:tplc="249846A4" w:tentative="1">
      <w:start w:val="1"/>
      <w:numFmt w:val="decimal"/>
      <w:lvlText w:val="%7."/>
      <w:lvlJc w:val="left"/>
      <w:pPr>
        <w:ind w:left="5040" w:hanging="360"/>
      </w:pPr>
    </w:lvl>
    <w:lvl w:ilvl="7" w:tplc="6DC20FDC" w:tentative="1">
      <w:start w:val="1"/>
      <w:numFmt w:val="lowerLetter"/>
      <w:lvlText w:val="%8."/>
      <w:lvlJc w:val="left"/>
      <w:pPr>
        <w:ind w:left="5760" w:hanging="360"/>
      </w:pPr>
    </w:lvl>
    <w:lvl w:ilvl="8" w:tplc="C602B2C4" w:tentative="1">
      <w:start w:val="1"/>
      <w:numFmt w:val="lowerRoman"/>
      <w:lvlText w:val="%9."/>
      <w:lvlJc w:val="right"/>
      <w:pPr>
        <w:ind w:left="6480" w:hanging="180"/>
      </w:pPr>
    </w:lvl>
  </w:abstractNum>
  <w:abstractNum w:abstractNumId="1" w15:restartNumberingAfterBreak="0">
    <w:nsid w:val="07FB62B6"/>
    <w:multiLevelType w:val="hybridMultilevel"/>
    <w:tmpl w:val="341C9346"/>
    <w:lvl w:ilvl="0" w:tplc="CE7CF18E">
      <w:start w:val="1"/>
      <w:numFmt w:val="upperRoman"/>
      <w:pStyle w:val="Styl1-I"/>
      <w:lvlText w:val="%1."/>
      <w:lvlJc w:val="left"/>
      <w:pPr>
        <w:ind w:left="720" w:hanging="360"/>
      </w:pPr>
      <w:rPr>
        <w:b/>
      </w:rPr>
    </w:lvl>
    <w:lvl w:ilvl="1" w:tplc="92A8A58A">
      <w:start w:val="1"/>
      <w:numFmt w:val="lowerLetter"/>
      <w:lvlText w:val="%2."/>
      <w:lvlJc w:val="left"/>
      <w:pPr>
        <w:ind w:left="1440" w:hanging="360"/>
      </w:pPr>
    </w:lvl>
    <w:lvl w:ilvl="2" w:tplc="3E78CF6C">
      <w:start w:val="1"/>
      <w:numFmt w:val="lowerRoman"/>
      <w:lvlText w:val="%3."/>
      <w:lvlJc w:val="right"/>
      <w:pPr>
        <w:ind w:left="2160" w:hanging="180"/>
      </w:pPr>
    </w:lvl>
    <w:lvl w:ilvl="3" w:tplc="FBD81252">
      <w:start w:val="1"/>
      <w:numFmt w:val="decimal"/>
      <w:lvlText w:val="%4."/>
      <w:lvlJc w:val="left"/>
      <w:pPr>
        <w:ind w:left="2880" w:hanging="360"/>
      </w:pPr>
    </w:lvl>
    <w:lvl w:ilvl="4" w:tplc="53D6C85C">
      <w:start w:val="1"/>
      <w:numFmt w:val="lowerLetter"/>
      <w:lvlText w:val="%5."/>
      <w:lvlJc w:val="left"/>
      <w:pPr>
        <w:ind w:left="3600" w:hanging="360"/>
      </w:pPr>
    </w:lvl>
    <w:lvl w:ilvl="5" w:tplc="E528BDA0">
      <w:start w:val="1"/>
      <w:numFmt w:val="lowerRoman"/>
      <w:lvlText w:val="%6."/>
      <w:lvlJc w:val="right"/>
      <w:pPr>
        <w:ind w:left="4320" w:hanging="180"/>
      </w:pPr>
    </w:lvl>
    <w:lvl w:ilvl="6" w:tplc="1340DE60">
      <w:start w:val="1"/>
      <w:numFmt w:val="decimal"/>
      <w:lvlText w:val="%7."/>
      <w:lvlJc w:val="left"/>
      <w:pPr>
        <w:ind w:left="5040" w:hanging="360"/>
      </w:pPr>
    </w:lvl>
    <w:lvl w:ilvl="7" w:tplc="C1684304">
      <w:start w:val="1"/>
      <w:numFmt w:val="lowerLetter"/>
      <w:lvlText w:val="%8."/>
      <w:lvlJc w:val="left"/>
      <w:pPr>
        <w:ind w:left="5760" w:hanging="360"/>
      </w:pPr>
    </w:lvl>
    <w:lvl w:ilvl="8" w:tplc="67489930">
      <w:start w:val="1"/>
      <w:numFmt w:val="lowerRoman"/>
      <w:lvlText w:val="%9."/>
      <w:lvlJc w:val="right"/>
      <w:pPr>
        <w:ind w:left="6480" w:hanging="180"/>
      </w:pPr>
    </w:lvl>
  </w:abstractNum>
  <w:abstractNum w:abstractNumId="2" w15:restartNumberingAfterBreak="0">
    <w:nsid w:val="0BDE037A"/>
    <w:multiLevelType w:val="multilevel"/>
    <w:tmpl w:val="7F86C4CC"/>
    <w:lvl w:ilvl="0">
      <w:start w:val="1"/>
      <w:numFmt w:val="decimal"/>
      <w:pStyle w:val="N1"/>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847B6A"/>
    <w:multiLevelType w:val="hybridMultilevel"/>
    <w:tmpl w:val="4E105160"/>
    <w:lvl w:ilvl="0" w:tplc="6B0892DE">
      <w:start w:val="1"/>
      <w:numFmt w:val="bullet"/>
      <w:lvlText w:val=""/>
      <w:lvlJc w:val="left"/>
      <w:pPr>
        <w:ind w:left="1710" w:hanging="360"/>
      </w:pPr>
      <w:rPr>
        <w:rFonts w:ascii="Wingdings" w:hAnsi="Wingdings" w:hint="default"/>
      </w:rPr>
    </w:lvl>
    <w:lvl w:ilvl="1" w:tplc="FA0EA66E" w:tentative="1">
      <w:start w:val="1"/>
      <w:numFmt w:val="bullet"/>
      <w:lvlText w:val="o"/>
      <w:lvlJc w:val="left"/>
      <w:pPr>
        <w:ind w:left="2430" w:hanging="360"/>
      </w:pPr>
      <w:rPr>
        <w:rFonts w:ascii="Courier New" w:hAnsi="Courier New" w:cs="Courier New" w:hint="default"/>
      </w:rPr>
    </w:lvl>
    <w:lvl w:ilvl="2" w:tplc="33860038" w:tentative="1">
      <w:start w:val="1"/>
      <w:numFmt w:val="bullet"/>
      <w:lvlText w:val=""/>
      <w:lvlJc w:val="left"/>
      <w:pPr>
        <w:ind w:left="3150" w:hanging="360"/>
      </w:pPr>
      <w:rPr>
        <w:rFonts w:ascii="Wingdings" w:hAnsi="Wingdings" w:hint="default"/>
      </w:rPr>
    </w:lvl>
    <w:lvl w:ilvl="3" w:tplc="E2522458" w:tentative="1">
      <w:start w:val="1"/>
      <w:numFmt w:val="bullet"/>
      <w:lvlText w:val=""/>
      <w:lvlJc w:val="left"/>
      <w:pPr>
        <w:ind w:left="3870" w:hanging="360"/>
      </w:pPr>
      <w:rPr>
        <w:rFonts w:ascii="Symbol" w:hAnsi="Symbol" w:hint="default"/>
      </w:rPr>
    </w:lvl>
    <w:lvl w:ilvl="4" w:tplc="A76ECB1E" w:tentative="1">
      <w:start w:val="1"/>
      <w:numFmt w:val="bullet"/>
      <w:lvlText w:val="o"/>
      <w:lvlJc w:val="left"/>
      <w:pPr>
        <w:ind w:left="4590" w:hanging="360"/>
      </w:pPr>
      <w:rPr>
        <w:rFonts w:ascii="Courier New" w:hAnsi="Courier New" w:cs="Courier New" w:hint="default"/>
      </w:rPr>
    </w:lvl>
    <w:lvl w:ilvl="5" w:tplc="C158EE9C" w:tentative="1">
      <w:start w:val="1"/>
      <w:numFmt w:val="bullet"/>
      <w:lvlText w:val=""/>
      <w:lvlJc w:val="left"/>
      <w:pPr>
        <w:ind w:left="5310" w:hanging="360"/>
      </w:pPr>
      <w:rPr>
        <w:rFonts w:ascii="Wingdings" w:hAnsi="Wingdings" w:hint="default"/>
      </w:rPr>
    </w:lvl>
    <w:lvl w:ilvl="6" w:tplc="86C0F04C" w:tentative="1">
      <w:start w:val="1"/>
      <w:numFmt w:val="bullet"/>
      <w:lvlText w:val=""/>
      <w:lvlJc w:val="left"/>
      <w:pPr>
        <w:ind w:left="6030" w:hanging="360"/>
      </w:pPr>
      <w:rPr>
        <w:rFonts w:ascii="Symbol" w:hAnsi="Symbol" w:hint="default"/>
      </w:rPr>
    </w:lvl>
    <w:lvl w:ilvl="7" w:tplc="41A82F4C" w:tentative="1">
      <w:start w:val="1"/>
      <w:numFmt w:val="bullet"/>
      <w:lvlText w:val="o"/>
      <w:lvlJc w:val="left"/>
      <w:pPr>
        <w:ind w:left="6750" w:hanging="360"/>
      </w:pPr>
      <w:rPr>
        <w:rFonts w:ascii="Courier New" w:hAnsi="Courier New" w:cs="Courier New" w:hint="default"/>
      </w:rPr>
    </w:lvl>
    <w:lvl w:ilvl="8" w:tplc="F738D06A" w:tentative="1">
      <w:start w:val="1"/>
      <w:numFmt w:val="bullet"/>
      <w:lvlText w:val=""/>
      <w:lvlJc w:val="left"/>
      <w:pPr>
        <w:ind w:left="7470" w:hanging="360"/>
      </w:pPr>
      <w:rPr>
        <w:rFonts w:ascii="Wingdings" w:hAnsi="Wingdings" w:hint="default"/>
      </w:rPr>
    </w:lvl>
  </w:abstractNum>
  <w:abstractNum w:abstractNumId="4" w15:restartNumberingAfterBreak="0">
    <w:nsid w:val="11326A8F"/>
    <w:multiLevelType w:val="multilevel"/>
    <w:tmpl w:val="1DDE0E7E"/>
    <w:lvl w:ilvl="0">
      <w:start w:val="1"/>
      <w:numFmt w:val="upperRoman"/>
      <w:pStyle w:val="lnek1"/>
      <w:suff w:val="nothing"/>
      <w:lvlText w:val="Čl. %1"/>
      <w:lvlJc w:val="left"/>
      <w:pPr>
        <w:ind w:left="486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nek2"/>
      <w:isLgl/>
      <w:lvlText w:val="%1.%2"/>
      <w:lvlJc w:val="left"/>
      <w:pPr>
        <w:tabs>
          <w:tab w:val="num" w:pos="624"/>
        </w:tabs>
        <w:ind w:left="624" w:hanging="624"/>
      </w:pPr>
      <w:rPr>
        <w:rFonts w:ascii="Times New Roman" w:hAnsi="Times New Roman" w:hint="default"/>
        <w:b/>
        <w:i w:val="0"/>
      </w:rPr>
    </w:lvl>
    <w:lvl w:ilvl="2">
      <w:start w:val="1"/>
      <w:numFmt w:val="decimal"/>
      <w:pStyle w:val="lnek3"/>
      <w:isLgl/>
      <w:lvlText w:val="%1.%2.%3"/>
      <w:lvlJc w:val="left"/>
      <w:pPr>
        <w:tabs>
          <w:tab w:val="num" w:pos="1277"/>
        </w:tabs>
        <w:ind w:left="653" w:hanging="11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1"/>
        </w:tabs>
        <w:ind w:left="1721" w:hanging="360"/>
      </w:pPr>
      <w:rPr>
        <w:rFonts w:hint="default"/>
        <w:b/>
        <w:i w:val="0"/>
        <w:sz w:val="28"/>
        <w:szCs w:val="28"/>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5882F90"/>
    <w:multiLevelType w:val="multilevel"/>
    <w:tmpl w:val="E4F2B46E"/>
    <w:lvl w:ilvl="0">
      <w:start w:val="1"/>
      <w:numFmt w:val="decimal"/>
      <w:pStyle w:val="Nzevtabulk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CE6777"/>
    <w:multiLevelType w:val="multilevel"/>
    <w:tmpl w:val="33629D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BA2800"/>
    <w:multiLevelType w:val="multilevel"/>
    <w:tmpl w:val="CB6C8F8E"/>
    <w:lvl w:ilvl="0">
      <w:start w:val="3"/>
      <w:numFmt w:val="decimal"/>
      <w:lvlText w:val="%1"/>
      <w:lvlJc w:val="left"/>
      <w:pPr>
        <w:ind w:left="360" w:hanging="360"/>
      </w:pPr>
      <w:rPr>
        <w:rFonts w:asciiTheme="minorHAnsi" w:hAnsiTheme="minorHAnsi" w:cstheme="minorHAnsi" w:hint="default"/>
      </w:rPr>
    </w:lvl>
    <w:lvl w:ilvl="1">
      <w:start w:val="1"/>
      <w:numFmt w:val="bullet"/>
      <w:lvlText w:val=""/>
      <w:lvlJc w:val="left"/>
      <w:pPr>
        <w:ind w:left="360" w:hanging="360"/>
      </w:pPr>
      <w:rPr>
        <w:rFonts w:ascii="Wingdings" w:hAnsi="Wingdings" w:hint="default"/>
        <w:b w:val="0"/>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8" w15:restartNumberingAfterBreak="0">
    <w:nsid w:val="20587AF8"/>
    <w:multiLevelType w:val="hybridMultilevel"/>
    <w:tmpl w:val="50A40B9A"/>
    <w:lvl w:ilvl="0" w:tplc="8D5EEF2E">
      <w:start w:val="1"/>
      <w:numFmt w:val="lowerLetter"/>
      <w:lvlText w:val="%1)"/>
      <w:lvlJc w:val="left"/>
      <w:pPr>
        <w:ind w:left="720" w:hanging="360"/>
      </w:pPr>
    </w:lvl>
    <w:lvl w:ilvl="1" w:tplc="38B046E0">
      <w:start w:val="1"/>
      <w:numFmt w:val="lowerLetter"/>
      <w:lvlText w:val="%2."/>
      <w:lvlJc w:val="left"/>
      <w:pPr>
        <w:ind w:left="1440" w:hanging="360"/>
      </w:pPr>
    </w:lvl>
    <w:lvl w:ilvl="2" w:tplc="4C907D7C">
      <w:start w:val="1"/>
      <w:numFmt w:val="lowerRoman"/>
      <w:lvlText w:val="%3."/>
      <w:lvlJc w:val="right"/>
      <w:pPr>
        <w:ind w:left="2160" w:hanging="180"/>
      </w:pPr>
    </w:lvl>
    <w:lvl w:ilvl="3" w:tplc="796495F8">
      <w:start w:val="1"/>
      <w:numFmt w:val="decimal"/>
      <w:lvlText w:val="%4."/>
      <w:lvlJc w:val="left"/>
      <w:pPr>
        <w:ind w:left="2880" w:hanging="360"/>
      </w:pPr>
    </w:lvl>
    <w:lvl w:ilvl="4" w:tplc="F49E19EA">
      <w:start w:val="1"/>
      <w:numFmt w:val="lowerLetter"/>
      <w:lvlText w:val="%5."/>
      <w:lvlJc w:val="left"/>
      <w:pPr>
        <w:ind w:left="3600" w:hanging="360"/>
      </w:pPr>
    </w:lvl>
    <w:lvl w:ilvl="5" w:tplc="AFAC0AB8">
      <w:start w:val="1"/>
      <w:numFmt w:val="lowerRoman"/>
      <w:lvlText w:val="%6."/>
      <w:lvlJc w:val="right"/>
      <w:pPr>
        <w:ind w:left="4320" w:hanging="180"/>
      </w:pPr>
    </w:lvl>
    <w:lvl w:ilvl="6" w:tplc="ABEAE1EE">
      <w:start w:val="1"/>
      <w:numFmt w:val="decimal"/>
      <w:lvlText w:val="%7."/>
      <w:lvlJc w:val="left"/>
      <w:pPr>
        <w:ind w:left="5040" w:hanging="360"/>
      </w:pPr>
    </w:lvl>
    <w:lvl w:ilvl="7" w:tplc="0CD4787E">
      <w:start w:val="1"/>
      <w:numFmt w:val="lowerLetter"/>
      <w:lvlText w:val="%8."/>
      <w:lvlJc w:val="left"/>
      <w:pPr>
        <w:ind w:left="5760" w:hanging="360"/>
      </w:pPr>
    </w:lvl>
    <w:lvl w:ilvl="8" w:tplc="FB966298">
      <w:start w:val="1"/>
      <w:numFmt w:val="lowerRoman"/>
      <w:lvlText w:val="%9."/>
      <w:lvlJc w:val="right"/>
      <w:pPr>
        <w:ind w:left="6480" w:hanging="180"/>
      </w:pPr>
    </w:lvl>
  </w:abstractNum>
  <w:abstractNum w:abstractNumId="9" w15:restartNumberingAfterBreak="0">
    <w:nsid w:val="20C14565"/>
    <w:multiLevelType w:val="hybridMultilevel"/>
    <w:tmpl w:val="E354A868"/>
    <w:lvl w:ilvl="0" w:tplc="0405000B">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0" w15:restartNumberingAfterBreak="0">
    <w:nsid w:val="237B69F0"/>
    <w:multiLevelType w:val="multilevel"/>
    <w:tmpl w:val="238890E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6031D7"/>
    <w:multiLevelType w:val="multilevel"/>
    <w:tmpl w:val="1240681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3F5275"/>
    <w:multiLevelType w:val="multilevel"/>
    <w:tmpl w:val="147C56E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27EF2F35"/>
    <w:multiLevelType w:val="hybridMultilevel"/>
    <w:tmpl w:val="3396807E"/>
    <w:lvl w:ilvl="0" w:tplc="926A89EE">
      <w:start w:val="1"/>
      <w:numFmt w:val="ordinal"/>
      <w:pStyle w:val="N3"/>
      <w:lvlText w:val="1.1.%1"/>
      <w:lvlJc w:val="right"/>
      <w:pPr>
        <w:ind w:left="360" w:hanging="360"/>
      </w:pPr>
      <w:rPr>
        <w:rFonts w:hint="default"/>
      </w:rPr>
    </w:lvl>
    <w:lvl w:ilvl="1" w:tplc="F9840796">
      <w:start w:val="1"/>
      <w:numFmt w:val="lowerLetter"/>
      <w:lvlText w:val="%2."/>
      <w:lvlJc w:val="left"/>
      <w:pPr>
        <w:ind w:left="1440" w:hanging="360"/>
      </w:pPr>
    </w:lvl>
    <w:lvl w:ilvl="2" w:tplc="7CDEC1F4">
      <w:start w:val="1"/>
      <w:numFmt w:val="decimal"/>
      <w:lvlText w:val="%3"/>
      <w:lvlJc w:val="right"/>
      <w:pPr>
        <w:ind w:left="2160" w:hanging="180"/>
      </w:pPr>
      <w:rPr>
        <w:rFonts w:hint="default"/>
      </w:rPr>
    </w:lvl>
    <w:lvl w:ilvl="3" w:tplc="4A8C6604" w:tentative="1">
      <w:start w:val="1"/>
      <w:numFmt w:val="decimal"/>
      <w:lvlText w:val="%4."/>
      <w:lvlJc w:val="left"/>
      <w:pPr>
        <w:ind w:left="2880" w:hanging="360"/>
      </w:pPr>
    </w:lvl>
    <w:lvl w:ilvl="4" w:tplc="20769282" w:tentative="1">
      <w:start w:val="1"/>
      <w:numFmt w:val="lowerLetter"/>
      <w:lvlText w:val="%5."/>
      <w:lvlJc w:val="left"/>
      <w:pPr>
        <w:ind w:left="3600" w:hanging="360"/>
      </w:pPr>
    </w:lvl>
    <w:lvl w:ilvl="5" w:tplc="125A59F8" w:tentative="1">
      <w:start w:val="1"/>
      <w:numFmt w:val="lowerRoman"/>
      <w:lvlText w:val="%6."/>
      <w:lvlJc w:val="right"/>
      <w:pPr>
        <w:ind w:left="4320" w:hanging="180"/>
      </w:pPr>
    </w:lvl>
    <w:lvl w:ilvl="6" w:tplc="092E84CA" w:tentative="1">
      <w:start w:val="1"/>
      <w:numFmt w:val="decimal"/>
      <w:lvlText w:val="%7."/>
      <w:lvlJc w:val="left"/>
      <w:pPr>
        <w:ind w:left="5040" w:hanging="360"/>
      </w:pPr>
    </w:lvl>
    <w:lvl w:ilvl="7" w:tplc="C270C46C" w:tentative="1">
      <w:start w:val="1"/>
      <w:numFmt w:val="lowerLetter"/>
      <w:lvlText w:val="%8."/>
      <w:lvlJc w:val="left"/>
      <w:pPr>
        <w:ind w:left="5760" w:hanging="360"/>
      </w:pPr>
    </w:lvl>
    <w:lvl w:ilvl="8" w:tplc="D62E262C" w:tentative="1">
      <w:start w:val="1"/>
      <w:numFmt w:val="lowerRoman"/>
      <w:lvlText w:val="%9."/>
      <w:lvlJc w:val="right"/>
      <w:pPr>
        <w:ind w:left="6480" w:hanging="180"/>
      </w:pPr>
    </w:lvl>
  </w:abstractNum>
  <w:abstractNum w:abstractNumId="14" w15:restartNumberingAfterBreak="0">
    <w:nsid w:val="28463D1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2DF13AE3"/>
    <w:multiLevelType w:val="hybridMultilevel"/>
    <w:tmpl w:val="85603F02"/>
    <w:lvl w:ilvl="0" w:tplc="DCA2ACA0">
      <w:start w:val="1"/>
      <w:numFmt w:val="decimal"/>
      <w:pStyle w:val="Bezmezer"/>
      <w:lvlText w:val="Graf č. %1: "/>
      <w:lvlJc w:val="left"/>
      <w:pPr>
        <w:ind w:left="502" w:hanging="360"/>
      </w:pPr>
      <w:rPr>
        <w:rFonts w:hint="default"/>
        <w:b/>
      </w:rPr>
    </w:lvl>
    <w:lvl w:ilvl="1" w:tplc="EE0CE698" w:tentative="1">
      <w:start w:val="1"/>
      <w:numFmt w:val="lowerLetter"/>
      <w:lvlText w:val="%2."/>
      <w:lvlJc w:val="left"/>
      <w:pPr>
        <w:ind w:left="1222" w:hanging="360"/>
      </w:pPr>
    </w:lvl>
    <w:lvl w:ilvl="2" w:tplc="07F8F134" w:tentative="1">
      <w:start w:val="1"/>
      <w:numFmt w:val="lowerRoman"/>
      <w:lvlText w:val="%3."/>
      <w:lvlJc w:val="right"/>
      <w:pPr>
        <w:ind w:left="1942" w:hanging="180"/>
      </w:pPr>
    </w:lvl>
    <w:lvl w:ilvl="3" w:tplc="12268CB8" w:tentative="1">
      <w:start w:val="1"/>
      <w:numFmt w:val="decimal"/>
      <w:lvlText w:val="%4."/>
      <w:lvlJc w:val="left"/>
      <w:pPr>
        <w:ind w:left="2662" w:hanging="360"/>
      </w:pPr>
    </w:lvl>
    <w:lvl w:ilvl="4" w:tplc="DA86DFDC" w:tentative="1">
      <w:start w:val="1"/>
      <w:numFmt w:val="lowerLetter"/>
      <w:lvlText w:val="%5."/>
      <w:lvlJc w:val="left"/>
      <w:pPr>
        <w:ind w:left="3382" w:hanging="360"/>
      </w:pPr>
    </w:lvl>
    <w:lvl w:ilvl="5" w:tplc="AE4E6706" w:tentative="1">
      <w:start w:val="1"/>
      <w:numFmt w:val="lowerRoman"/>
      <w:lvlText w:val="%6."/>
      <w:lvlJc w:val="right"/>
      <w:pPr>
        <w:ind w:left="4102" w:hanging="180"/>
      </w:pPr>
    </w:lvl>
    <w:lvl w:ilvl="6" w:tplc="B72CCC20" w:tentative="1">
      <w:start w:val="1"/>
      <w:numFmt w:val="decimal"/>
      <w:lvlText w:val="%7."/>
      <w:lvlJc w:val="left"/>
      <w:pPr>
        <w:ind w:left="4822" w:hanging="360"/>
      </w:pPr>
    </w:lvl>
    <w:lvl w:ilvl="7" w:tplc="78EA4DBC" w:tentative="1">
      <w:start w:val="1"/>
      <w:numFmt w:val="lowerLetter"/>
      <w:lvlText w:val="%8."/>
      <w:lvlJc w:val="left"/>
      <w:pPr>
        <w:ind w:left="5542" w:hanging="360"/>
      </w:pPr>
    </w:lvl>
    <w:lvl w:ilvl="8" w:tplc="A2E46DA0" w:tentative="1">
      <w:start w:val="1"/>
      <w:numFmt w:val="lowerRoman"/>
      <w:lvlText w:val="%9."/>
      <w:lvlJc w:val="right"/>
      <w:pPr>
        <w:ind w:left="6262" w:hanging="180"/>
      </w:pPr>
    </w:lvl>
  </w:abstractNum>
  <w:abstractNum w:abstractNumId="16" w15:restartNumberingAfterBreak="0">
    <w:nsid w:val="2F521483"/>
    <w:multiLevelType w:val="hybridMultilevel"/>
    <w:tmpl w:val="43347B7C"/>
    <w:lvl w:ilvl="0" w:tplc="71AA16D0">
      <w:start w:val="1"/>
      <w:numFmt w:val="decimal"/>
      <w:lvlText w:val="Tabulka č. %1: X"/>
      <w:lvlJc w:val="left"/>
      <w:pPr>
        <w:ind w:left="720" w:hanging="360"/>
      </w:pPr>
      <w:rPr>
        <w:rFonts w:hint="default"/>
      </w:rPr>
    </w:lvl>
    <w:lvl w:ilvl="1" w:tplc="69C41C28">
      <w:start w:val="1"/>
      <w:numFmt w:val="decimal"/>
      <w:pStyle w:val="Nzevtabulky"/>
      <w:suff w:val="space"/>
      <w:lvlText w:val="Tabulka č. %2:"/>
      <w:lvlJc w:val="left"/>
      <w:pPr>
        <w:ind w:left="5529" w:hanging="567"/>
      </w:pPr>
      <w:rPr>
        <w:rFonts w:hint="default"/>
        <w:b/>
      </w:rPr>
    </w:lvl>
    <w:lvl w:ilvl="2" w:tplc="798A0FCC">
      <w:start w:val="1"/>
      <w:numFmt w:val="lowerRoman"/>
      <w:lvlText w:val="%3."/>
      <w:lvlJc w:val="right"/>
      <w:pPr>
        <w:ind w:left="2160" w:hanging="180"/>
      </w:pPr>
    </w:lvl>
    <w:lvl w:ilvl="3" w:tplc="51409B72">
      <w:start w:val="1"/>
      <w:numFmt w:val="decimal"/>
      <w:lvlText w:val="%4."/>
      <w:lvlJc w:val="left"/>
      <w:pPr>
        <w:ind w:left="2880" w:hanging="360"/>
      </w:pPr>
      <w:rPr>
        <w:rFonts w:hint="default"/>
      </w:rPr>
    </w:lvl>
    <w:lvl w:ilvl="4" w:tplc="0F300626" w:tentative="1">
      <w:start w:val="1"/>
      <w:numFmt w:val="lowerLetter"/>
      <w:lvlText w:val="%5."/>
      <w:lvlJc w:val="left"/>
      <w:pPr>
        <w:ind w:left="3600" w:hanging="360"/>
      </w:pPr>
    </w:lvl>
    <w:lvl w:ilvl="5" w:tplc="3BB6FEE4" w:tentative="1">
      <w:start w:val="1"/>
      <w:numFmt w:val="lowerRoman"/>
      <w:lvlText w:val="%6."/>
      <w:lvlJc w:val="right"/>
      <w:pPr>
        <w:ind w:left="4320" w:hanging="180"/>
      </w:pPr>
    </w:lvl>
    <w:lvl w:ilvl="6" w:tplc="29A61E62" w:tentative="1">
      <w:start w:val="1"/>
      <w:numFmt w:val="decimal"/>
      <w:lvlText w:val="%7."/>
      <w:lvlJc w:val="left"/>
      <w:pPr>
        <w:ind w:left="5040" w:hanging="360"/>
      </w:pPr>
    </w:lvl>
    <w:lvl w:ilvl="7" w:tplc="EFF6346C" w:tentative="1">
      <w:start w:val="1"/>
      <w:numFmt w:val="lowerLetter"/>
      <w:lvlText w:val="%8."/>
      <w:lvlJc w:val="left"/>
      <w:pPr>
        <w:ind w:left="5760" w:hanging="360"/>
      </w:pPr>
    </w:lvl>
    <w:lvl w:ilvl="8" w:tplc="7A6E3FB4" w:tentative="1">
      <w:start w:val="1"/>
      <w:numFmt w:val="lowerRoman"/>
      <w:lvlText w:val="%9."/>
      <w:lvlJc w:val="right"/>
      <w:pPr>
        <w:ind w:left="6480" w:hanging="180"/>
      </w:pPr>
    </w:lvl>
  </w:abstractNum>
  <w:abstractNum w:abstractNumId="17" w15:restartNumberingAfterBreak="0">
    <w:nsid w:val="2F7A085B"/>
    <w:multiLevelType w:val="multilevel"/>
    <w:tmpl w:val="C04A83C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430C90"/>
    <w:multiLevelType w:val="multilevel"/>
    <w:tmpl w:val="7292AD2A"/>
    <w:lvl w:ilvl="0">
      <w:start w:val="1"/>
      <w:numFmt w:val="upperRoman"/>
      <w:pStyle w:val="StylI"/>
      <w:lvlText w:val="%1."/>
      <w:lvlJc w:val="left"/>
      <w:pPr>
        <w:ind w:left="360" w:hanging="360"/>
      </w:pPr>
      <w:rPr>
        <w:rFonts w:ascii="Arial" w:hAnsi="Arial" w:cs="Times New Roman" w:hint="default"/>
        <w:sz w:val="22"/>
      </w:rPr>
    </w:lvl>
    <w:lvl w:ilvl="1">
      <w:start w:val="1"/>
      <w:numFmt w:val="decimal"/>
      <w:lvlText w:val="%2"/>
      <w:lvlJc w:val="left"/>
      <w:pPr>
        <w:ind w:left="432" w:hanging="432"/>
      </w:pPr>
      <w:rPr>
        <w:rFonts w:ascii="Arial" w:hAnsi="Arial" w:cs="Times New Roman" w:hint="default"/>
        <w:sz w:val="22"/>
      </w:rPr>
    </w:lvl>
    <w:lvl w:ilvl="2">
      <w:start w:val="1"/>
      <w:numFmt w:val="lowerLetter"/>
      <w:pStyle w:val="Styla"/>
      <w:lvlText w:val="%3)"/>
      <w:lvlJc w:val="left"/>
      <w:pPr>
        <w:ind w:left="504" w:hanging="504"/>
      </w:pPr>
    </w:lvl>
    <w:lvl w:ilvl="3">
      <w:start w:val="1"/>
      <w:numFmt w:val="lowerLetter"/>
      <w:pStyle w:val="Stylaa"/>
      <w:lvlText w:val="%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CA7F66"/>
    <w:multiLevelType w:val="multilevel"/>
    <w:tmpl w:val="7A2A0FE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1D66F95"/>
    <w:multiLevelType w:val="hybridMultilevel"/>
    <w:tmpl w:val="C0D6667C"/>
    <w:styleLink w:val="Styl2"/>
    <w:lvl w:ilvl="0" w:tplc="B520318C">
      <w:start w:val="1"/>
      <w:numFmt w:val="decimal"/>
      <w:pStyle w:val="tabulka"/>
      <w:lvlText w:val="Tabulka č. %1:"/>
      <w:lvlJc w:val="left"/>
      <w:pPr>
        <w:ind w:left="6314" w:hanging="360"/>
      </w:pPr>
      <w:rPr>
        <w:rFonts w:hint="default"/>
        <w:b w:val="0"/>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specVanish w:val="0"/>
      </w:rPr>
    </w:lvl>
    <w:lvl w:ilvl="1" w:tplc="1CB80C24">
      <w:start w:val="1"/>
      <w:numFmt w:val="lowerLetter"/>
      <w:lvlText w:val="%2."/>
      <w:lvlJc w:val="left"/>
      <w:pPr>
        <w:ind w:left="1440" w:hanging="360"/>
      </w:pPr>
    </w:lvl>
    <w:lvl w:ilvl="2" w:tplc="2504651E">
      <w:start w:val="1"/>
      <w:numFmt w:val="lowerRoman"/>
      <w:lvlText w:val="%3."/>
      <w:lvlJc w:val="right"/>
      <w:pPr>
        <w:ind w:left="2160" w:hanging="180"/>
      </w:pPr>
    </w:lvl>
    <w:lvl w:ilvl="3" w:tplc="A92EF822">
      <w:start w:val="1"/>
      <w:numFmt w:val="decimal"/>
      <w:lvlText w:val="%4."/>
      <w:lvlJc w:val="left"/>
      <w:pPr>
        <w:ind w:left="2880" w:hanging="360"/>
      </w:pPr>
    </w:lvl>
    <w:lvl w:ilvl="4" w:tplc="CBE6C504">
      <w:start w:val="1"/>
      <w:numFmt w:val="lowerLetter"/>
      <w:lvlText w:val="%5."/>
      <w:lvlJc w:val="left"/>
      <w:pPr>
        <w:ind w:left="3600" w:hanging="360"/>
      </w:pPr>
    </w:lvl>
    <w:lvl w:ilvl="5" w:tplc="D9787100">
      <w:start w:val="1"/>
      <w:numFmt w:val="lowerRoman"/>
      <w:lvlText w:val="%6."/>
      <w:lvlJc w:val="right"/>
      <w:pPr>
        <w:ind w:left="4320" w:hanging="180"/>
      </w:pPr>
    </w:lvl>
    <w:lvl w:ilvl="6" w:tplc="98C8CBD2">
      <w:start w:val="1"/>
      <w:numFmt w:val="decimal"/>
      <w:lvlText w:val="%7."/>
      <w:lvlJc w:val="left"/>
      <w:pPr>
        <w:ind w:left="5040" w:hanging="360"/>
      </w:pPr>
    </w:lvl>
    <w:lvl w:ilvl="7" w:tplc="C1AC9596">
      <w:start w:val="1"/>
      <w:numFmt w:val="lowerLetter"/>
      <w:lvlText w:val="%8."/>
      <w:lvlJc w:val="left"/>
      <w:pPr>
        <w:ind w:left="5760" w:hanging="360"/>
      </w:pPr>
    </w:lvl>
    <w:lvl w:ilvl="8" w:tplc="343E8C98">
      <w:start w:val="1"/>
      <w:numFmt w:val="lowerRoman"/>
      <w:lvlText w:val="%9."/>
      <w:lvlJc w:val="right"/>
      <w:pPr>
        <w:ind w:left="6480" w:hanging="180"/>
      </w:pPr>
    </w:lvl>
  </w:abstractNum>
  <w:abstractNum w:abstractNumId="21" w15:restartNumberingAfterBreak="0">
    <w:nsid w:val="49A912DF"/>
    <w:multiLevelType w:val="hybridMultilevel"/>
    <w:tmpl w:val="92B826AE"/>
    <w:lvl w:ilvl="0" w:tplc="0405000B">
      <w:start w:val="1"/>
      <w:numFmt w:val="bullet"/>
      <w:lvlText w:val=""/>
      <w:lvlJc w:val="left"/>
      <w:pPr>
        <w:ind w:left="1713" w:hanging="360"/>
      </w:pPr>
      <w:rPr>
        <w:rFonts w:ascii="Wingdings" w:hAnsi="Wingdings" w:hint="default"/>
      </w:rPr>
    </w:lvl>
    <w:lvl w:ilvl="1" w:tplc="50C64B0A" w:tentative="1">
      <w:start w:val="1"/>
      <w:numFmt w:val="bullet"/>
      <w:lvlText w:val="o"/>
      <w:lvlJc w:val="left"/>
      <w:pPr>
        <w:ind w:left="2433" w:hanging="360"/>
      </w:pPr>
      <w:rPr>
        <w:rFonts w:ascii="Courier New" w:hAnsi="Courier New" w:cs="Courier New" w:hint="default"/>
      </w:rPr>
    </w:lvl>
    <w:lvl w:ilvl="2" w:tplc="36B41960" w:tentative="1">
      <w:start w:val="1"/>
      <w:numFmt w:val="bullet"/>
      <w:lvlText w:val=""/>
      <w:lvlJc w:val="left"/>
      <w:pPr>
        <w:ind w:left="3153" w:hanging="360"/>
      </w:pPr>
      <w:rPr>
        <w:rFonts w:ascii="Wingdings" w:hAnsi="Wingdings" w:hint="default"/>
      </w:rPr>
    </w:lvl>
    <w:lvl w:ilvl="3" w:tplc="EF4840AC" w:tentative="1">
      <w:start w:val="1"/>
      <w:numFmt w:val="bullet"/>
      <w:lvlText w:val=""/>
      <w:lvlJc w:val="left"/>
      <w:pPr>
        <w:ind w:left="3873" w:hanging="360"/>
      </w:pPr>
      <w:rPr>
        <w:rFonts w:ascii="Symbol" w:hAnsi="Symbol" w:hint="default"/>
      </w:rPr>
    </w:lvl>
    <w:lvl w:ilvl="4" w:tplc="674AEEB4" w:tentative="1">
      <w:start w:val="1"/>
      <w:numFmt w:val="bullet"/>
      <w:lvlText w:val="o"/>
      <w:lvlJc w:val="left"/>
      <w:pPr>
        <w:ind w:left="4593" w:hanging="360"/>
      </w:pPr>
      <w:rPr>
        <w:rFonts w:ascii="Courier New" w:hAnsi="Courier New" w:cs="Courier New" w:hint="default"/>
      </w:rPr>
    </w:lvl>
    <w:lvl w:ilvl="5" w:tplc="1F94FCCC" w:tentative="1">
      <w:start w:val="1"/>
      <w:numFmt w:val="bullet"/>
      <w:lvlText w:val=""/>
      <w:lvlJc w:val="left"/>
      <w:pPr>
        <w:ind w:left="5313" w:hanging="360"/>
      </w:pPr>
      <w:rPr>
        <w:rFonts w:ascii="Wingdings" w:hAnsi="Wingdings" w:hint="default"/>
      </w:rPr>
    </w:lvl>
    <w:lvl w:ilvl="6" w:tplc="DE642798" w:tentative="1">
      <w:start w:val="1"/>
      <w:numFmt w:val="bullet"/>
      <w:lvlText w:val=""/>
      <w:lvlJc w:val="left"/>
      <w:pPr>
        <w:ind w:left="6033" w:hanging="360"/>
      </w:pPr>
      <w:rPr>
        <w:rFonts w:ascii="Symbol" w:hAnsi="Symbol" w:hint="default"/>
      </w:rPr>
    </w:lvl>
    <w:lvl w:ilvl="7" w:tplc="50D0A6B8" w:tentative="1">
      <w:start w:val="1"/>
      <w:numFmt w:val="bullet"/>
      <w:lvlText w:val="o"/>
      <w:lvlJc w:val="left"/>
      <w:pPr>
        <w:ind w:left="6753" w:hanging="360"/>
      </w:pPr>
      <w:rPr>
        <w:rFonts w:ascii="Courier New" w:hAnsi="Courier New" w:cs="Courier New" w:hint="default"/>
      </w:rPr>
    </w:lvl>
    <w:lvl w:ilvl="8" w:tplc="9094151A" w:tentative="1">
      <w:start w:val="1"/>
      <w:numFmt w:val="bullet"/>
      <w:lvlText w:val=""/>
      <w:lvlJc w:val="left"/>
      <w:pPr>
        <w:ind w:left="7473" w:hanging="360"/>
      </w:pPr>
      <w:rPr>
        <w:rFonts w:ascii="Wingdings" w:hAnsi="Wingdings" w:hint="default"/>
      </w:rPr>
    </w:lvl>
  </w:abstractNum>
  <w:abstractNum w:abstractNumId="22" w15:restartNumberingAfterBreak="0">
    <w:nsid w:val="4FB81182"/>
    <w:multiLevelType w:val="hybridMultilevel"/>
    <w:tmpl w:val="0BBEFC6A"/>
    <w:lvl w:ilvl="0" w:tplc="0FCA37F0">
      <w:start w:val="1"/>
      <w:numFmt w:val="bullet"/>
      <w:lvlText w:val=""/>
      <w:lvlJc w:val="left"/>
      <w:pPr>
        <w:ind w:left="1713" w:hanging="360"/>
      </w:pPr>
      <w:rPr>
        <w:rFonts w:ascii="Wingdings" w:hAnsi="Wingdings" w:hint="default"/>
        <w:sz w:val="24"/>
        <w:szCs w:val="24"/>
      </w:rPr>
    </w:lvl>
    <w:lvl w:ilvl="1" w:tplc="64163C7C" w:tentative="1">
      <w:start w:val="1"/>
      <w:numFmt w:val="bullet"/>
      <w:lvlText w:val="o"/>
      <w:lvlJc w:val="left"/>
      <w:pPr>
        <w:ind w:left="2433" w:hanging="360"/>
      </w:pPr>
      <w:rPr>
        <w:rFonts w:ascii="Courier New" w:hAnsi="Courier New" w:cs="Courier New" w:hint="default"/>
      </w:rPr>
    </w:lvl>
    <w:lvl w:ilvl="2" w:tplc="C0AC28B0" w:tentative="1">
      <w:start w:val="1"/>
      <w:numFmt w:val="bullet"/>
      <w:lvlText w:val=""/>
      <w:lvlJc w:val="left"/>
      <w:pPr>
        <w:ind w:left="3153" w:hanging="360"/>
      </w:pPr>
      <w:rPr>
        <w:rFonts w:ascii="Wingdings" w:hAnsi="Wingdings" w:hint="default"/>
      </w:rPr>
    </w:lvl>
    <w:lvl w:ilvl="3" w:tplc="32707044" w:tentative="1">
      <w:start w:val="1"/>
      <w:numFmt w:val="bullet"/>
      <w:lvlText w:val=""/>
      <w:lvlJc w:val="left"/>
      <w:pPr>
        <w:ind w:left="3873" w:hanging="360"/>
      </w:pPr>
      <w:rPr>
        <w:rFonts w:ascii="Symbol" w:hAnsi="Symbol" w:hint="default"/>
      </w:rPr>
    </w:lvl>
    <w:lvl w:ilvl="4" w:tplc="5E3CA698" w:tentative="1">
      <w:start w:val="1"/>
      <w:numFmt w:val="bullet"/>
      <w:lvlText w:val="o"/>
      <w:lvlJc w:val="left"/>
      <w:pPr>
        <w:ind w:left="4593" w:hanging="360"/>
      </w:pPr>
      <w:rPr>
        <w:rFonts w:ascii="Courier New" w:hAnsi="Courier New" w:cs="Courier New" w:hint="default"/>
      </w:rPr>
    </w:lvl>
    <w:lvl w:ilvl="5" w:tplc="B3D451F6" w:tentative="1">
      <w:start w:val="1"/>
      <w:numFmt w:val="bullet"/>
      <w:lvlText w:val=""/>
      <w:lvlJc w:val="left"/>
      <w:pPr>
        <w:ind w:left="5313" w:hanging="360"/>
      </w:pPr>
      <w:rPr>
        <w:rFonts w:ascii="Wingdings" w:hAnsi="Wingdings" w:hint="default"/>
      </w:rPr>
    </w:lvl>
    <w:lvl w:ilvl="6" w:tplc="DAC8D670" w:tentative="1">
      <w:start w:val="1"/>
      <w:numFmt w:val="bullet"/>
      <w:lvlText w:val=""/>
      <w:lvlJc w:val="left"/>
      <w:pPr>
        <w:ind w:left="6033" w:hanging="360"/>
      </w:pPr>
      <w:rPr>
        <w:rFonts w:ascii="Symbol" w:hAnsi="Symbol" w:hint="default"/>
      </w:rPr>
    </w:lvl>
    <w:lvl w:ilvl="7" w:tplc="1998242C" w:tentative="1">
      <w:start w:val="1"/>
      <w:numFmt w:val="bullet"/>
      <w:lvlText w:val="o"/>
      <w:lvlJc w:val="left"/>
      <w:pPr>
        <w:ind w:left="6753" w:hanging="360"/>
      </w:pPr>
      <w:rPr>
        <w:rFonts w:ascii="Courier New" w:hAnsi="Courier New" w:cs="Courier New" w:hint="default"/>
      </w:rPr>
    </w:lvl>
    <w:lvl w:ilvl="8" w:tplc="11206100" w:tentative="1">
      <w:start w:val="1"/>
      <w:numFmt w:val="bullet"/>
      <w:lvlText w:val=""/>
      <w:lvlJc w:val="left"/>
      <w:pPr>
        <w:ind w:left="7473" w:hanging="360"/>
      </w:pPr>
      <w:rPr>
        <w:rFonts w:ascii="Wingdings" w:hAnsi="Wingdings" w:hint="default"/>
      </w:rPr>
    </w:lvl>
  </w:abstractNum>
  <w:abstractNum w:abstractNumId="23" w15:restartNumberingAfterBreak="0">
    <w:nsid w:val="51D231B5"/>
    <w:multiLevelType w:val="hybridMultilevel"/>
    <w:tmpl w:val="26E6D1BC"/>
    <w:lvl w:ilvl="0" w:tplc="C040F8D0">
      <w:start w:val="1"/>
      <w:numFmt w:val="bullet"/>
      <w:lvlText w:val=""/>
      <w:lvlJc w:val="left"/>
      <w:pPr>
        <w:ind w:left="1440" w:hanging="360"/>
      </w:pPr>
      <w:rPr>
        <w:rFonts w:ascii="Wingdings" w:hAnsi="Wingdings" w:hint="default"/>
      </w:rPr>
    </w:lvl>
    <w:lvl w:ilvl="1" w:tplc="0876F9D6" w:tentative="1">
      <w:start w:val="1"/>
      <w:numFmt w:val="bullet"/>
      <w:lvlText w:val="o"/>
      <w:lvlJc w:val="left"/>
      <w:pPr>
        <w:ind w:left="2160" w:hanging="360"/>
      </w:pPr>
      <w:rPr>
        <w:rFonts w:ascii="Courier New" w:hAnsi="Courier New" w:cs="Courier New" w:hint="default"/>
      </w:rPr>
    </w:lvl>
    <w:lvl w:ilvl="2" w:tplc="42067450" w:tentative="1">
      <w:start w:val="1"/>
      <w:numFmt w:val="bullet"/>
      <w:lvlText w:val=""/>
      <w:lvlJc w:val="left"/>
      <w:pPr>
        <w:ind w:left="2880" w:hanging="360"/>
      </w:pPr>
      <w:rPr>
        <w:rFonts w:ascii="Wingdings" w:hAnsi="Wingdings" w:hint="default"/>
      </w:rPr>
    </w:lvl>
    <w:lvl w:ilvl="3" w:tplc="AA169DAE" w:tentative="1">
      <w:start w:val="1"/>
      <w:numFmt w:val="bullet"/>
      <w:lvlText w:val=""/>
      <w:lvlJc w:val="left"/>
      <w:pPr>
        <w:ind w:left="3600" w:hanging="360"/>
      </w:pPr>
      <w:rPr>
        <w:rFonts w:ascii="Symbol" w:hAnsi="Symbol" w:hint="default"/>
      </w:rPr>
    </w:lvl>
    <w:lvl w:ilvl="4" w:tplc="9FA87D2C" w:tentative="1">
      <w:start w:val="1"/>
      <w:numFmt w:val="bullet"/>
      <w:lvlText w:val="o"/>
      <w:lvlJc w:val="left"/>
      <w:pPr>
        <w:ind w:left="4320" w:hanging="360"/>
      </w:pPr>
      <w:rPr>
        <w:rFonts w:ascii="Courier New" w:hAnsi="Courier New" w:cs="Courier New" w:hint="default"/>
      </w:rPr>
    </w:lvl>
    <w:lvl w:ilvl="5" w:tplc="9150418A" w:tentative="1">
      <w:start w:val="1"/>
      <w:numFmt w:val="bullet"/>
      <w:lvlText w:val=""/>
      <w:lvlJc w:val="left"/>
      <w:pPr>
        <w:ind w:left="5040" w:hanging="360"/>
      </w:pPr>
      <w:rPr>
        <w:rFonts w:ascii="Wingdings" w:hAnsi="Wingdings" w:hint="default"/>
      </w:rPr>
    </w:lvl>
    <w:lvl w:ilvl="6" w:tplc="A9B07966" w:tentative="1">
      <w:start w:val="1"/>
      <w:numFmt w:val="bullet"/>
      <w:lvlText w:val=""/>
      <w:lvlJc w:val="left"/>
      <w:pPr>
        <w:ind w:left="5760" w:hanging="360"/>
      </w:pPr>
      <w:rPr>
        <w:rFonts w:ascii="Symbol" w:hAnsi="Symbol" w:hint="default"/>
      </w:rPr>
    </w:lvl>
    <w:lvl w:ilvl="7" w:tplc="BC6290D0" w:tentative="1">
      <w:start w:val="1"/>
      <w:numFmt w:val="bullet"/>
      <w:lvlText w:val="o"/>
      <w:lvlJc w:val="left"/>
      <w:pPr>
        <w:ind w:left="6480" w:hanging="360"/>
      </w:pPr>
      <w:rPr>
        <w:rFonts w:ascii="Courier New" w:hAnsi="Courier New" w:cs="Courier New" w:hint="default"/>
      </w:rPr>
    </w:lvl>
    <w:lvl w:ilvl="8" w:tplc="ECDAFE4A" w:tentative="1">
      <w:start w:val="1"/>
      <w:numFmt w:val="bullet"/>
      <w:lvlText w:val=""/>
      <w:lvlJc w:val="left"/>
      <w:pPr>
        <w:ind w:left="7200" w:hanging="360"/>
      </w:pPr>
      <w:rPr>
        <w:rFonts w:ascii="Wingdings" w:hAnsi="Wingdings" w:hint="default"/>
      </w:rPr>
    </w:lvl>
  </w:abstractNum>
  <w:abstractNum w:abstractNumId="24" w15:restartNumberingAfterBreak="0">
    <w:nsid w:val="5ACE56A4"/>
    <w:multiLevelType w:val="hybridMultilevel"/>
    <w:tmpl w:val="1B38942C"/>
    <w:lvl w:ilvl="0" w:tplc="5E82263C">
      <w:start w:val="1"/>
      <w:numFmt w:val="upperRoman"/>
      <w:lvlText w:val="%1."/>
      <w:lvlJc w:val="left"/>
      <w:pPr>
        <w:ind w:left="1080" w:hanging="720"/>
      </w:pPr>
      <w:rPr>
        <w:rFonts w:hint="default"/>
      </w:rPr>
    </w:lvl>
    <w:lvl w:ilvl="1" w:tplc="25848C80" w:tentative="1">
      <w:start w:val="1"/>
      <w:numFmt w:val="lowerLetter"/>
      <w:lvlText w:val="%2."/>
      <w:lvlJc w:val="left"/>
      <w:pPr>
        <w:ind w:left="1440" w:hanging="360"/>
      </w:pPr>
    </w:lvl>
    <w:lvl w:ilvl="2" w:tplc="AB10F98E" w:tentative="1">
      <w:start w:val="1"/>
      <w:numFmt w:val="lowerRoman"/>
      <w:lvlText w:val="%3."/>
      <w:lvlJc w:val="right"/>
      <w:pPr>
        <w:ind w:left="2160" w:hanging="180"/>
      </w:pPr>
    </w:lvl>
    <w:lvl w:ilvl="3" w:tplc="446E8256" w:tentative="1">
      <w:start w:val="1"/>
      <w:numFmt w:val="decimal"/>
      <w:lvlText w:val="%4."/>
      <w:lvlJc w:val="left"/>
      <w:pPr>
        <w:ind w:left="2880" w:hanging="360"/>
      </w:pPr>
    </w:lvl>
    <w:lvl w:ilvl="4" w:tplc="844AAB36" w:tentative="1">
      <w:start w:val="1"/>
      <w:numFmt w:val="lowerLetter"/>
      <w:lvlText w:val="%5."/>
      <w:lvlJc w:val="left"/>
      <w:pPr>
        <w:ind w:left="3600" w:hanging="360"/>
      </w:pPr>
    </w:lvl>
    <w:lvl w:ilvl="5" w:tplc="A54CD606" w:tentative="1">
      <w:start w:val="1"/>
      <w:numFmt w:val="lowerRoman"/>
      <w:lvlText w:val="%6."/>
      <w:lvlJc w:val="right"/>
      <w:pPr>
        <w:ind w:left="4320" w:hanging="180"/>
      </w:pPr>
    </w:lvl>
    <w:lvl w:ilvl="6" w:tplc="1E3892D4" w:tentative="1">
      <w:start w:val="1"/>
      <w:numFmt w:val="decimal"/>
      <w:lvlText w:val="%7."/>
      <w:lvlJc w:val="left"/>
      <w:pPr>
        <w:ind w:left="5040" w:hanging="360"/>
      </w:pPr>
    </w:lvl>
    <w:lvl w:ilvl="7" w:tplc="6A4E9422" w:tentative="1">
      <w:start w:val="1"/>
      <w:numFmt w:val="lowerLetter"/>
      <w:lvlText w:val="%8."/>
      <w:lvlJc w:val="left"/>
      <w:pPr>
        <w:ind w:left="5760" w:hanging="360"/>
      </w:pPr>
    </w:lvl>
    <w:lvl w:ilvl="8" w:tplc="455A21DA" w:tentative="1">
      <w:start w:val="1"/>
      <w:numFmt w:val="lowerRoman"/>
      <w:lvlText w:val="%9."/>
      <w:lvlJc w:val="right"/>
      <w:pPr>
        <w:ind w:left="6480" w:hanging="180"/>
      </w:pPr>
    </w:lvl>
  </w:abstractNum>
  <w:abstractNum w:abstractNumId="25" w15:restartNumberingAfterBreak="0">
    <w:nsid w:val="623265DA"/>
    <w:multiLevelType w:val="multilevel"/>
    <w:tmpl w:val="4288E1A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D54AAE"/>
    <w:multiLevelType w:val="multilevel"/>
    <w:tmpl w:val="0405001D"/>
    <w:styleLink w:val="Styl3"/>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D55677"/>
    <w:multiLevelType w:val="multilevel"/>
    <w:tmpl w:val="CC9C20D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5FC334C"/>
    <w:multiLevelType w:val="hybridMultilevel"/>
    <w:tmpl w:val="48600D2A"/>
    <w:lvl w:ilvl="0" w:tplc="7E388EAA">
      <w:start w:val="1"/>
      <w:numFmt w:val="decimal"/>
      <w:lvlText w:val="%1."/>
      <w:lvlJc w:val="left"/>
      <w:pPr>
        <w:ind w:left="927" w:hanging="360"/>
      </w:pPr>
      <w:rPr>
        <w:b/>
      </w:rPr>
    </w:lvl>
    <w:lvl w:ilvl="1" w:tplc="B7C6C1AC">
      <w:start w:val="1"/>
      <w:numFmt w:val="lowerLetter"/>
      <w:lvlText w:val="%2."/>
      <w:lvlJc w:val="left"/>
      <w:pPr>
        <w:ind w:left="655" w:hanging="360"/>
      </w:pPr>
    </w:lvl>
    <w:lvl w:ilvl="2" w:tplc="8B98B7E2">
      <w:start w:val="1"/>
      <w:numFmt w:val="lowerRoman"/>
      <w:lvlText w:val="%3."/>
      <w:lvlJc w:val="right"/>
      <w:pPr>
        <w:ind w:left="1375" w:hanging="180"/>
      </w:pPr>
    </w:lvl>
    <w:lvl w:ilvl="3" w:tplc="0405000B">
      <w:start w:val="1"/>
      <w:numFmt w:val="bullet"/>
      <w:lvlText w:val=""/>
      <w:lvlJc w:val="left"/>
      <w:pPr>
        <w:ind w:left="2095" w:hanging="360"/>
      </w:pPr>
      <w:rPr>
        <w:rFonts w:ascii="Wingdings" w:hAnsi="Wingdings" w:hint="default"/>
      </w:rPr>
    </w:lvl>
    <w:lvl w:ilvl="4" w:tplc="0B1A685E">
      <w:start w:val="1"/>
      <w:numFmt w:val="lowerLetter"/>
      <w:lvlText w:val="%5."/>
      <w:lvlJc w:val="left"/>
      <w:pPr>
        <w:ind w:left="2815" w:hanging="360"/>
      </w:pPr>
    </w:lvl>
    <w:lvl w:ilvl="5" w:tplc="6ED41C26">
      <w:start w:val="1"/>
      <w:numFmt w:val="lowerRoman"/>
      <w:lvlText w:val="%6."/>
      <w:lvlJc w:val="right"/>
      <w:pPr>
        <w:ind w:left="3535" w:hanging="180"/>
      </w:pPr>
    </w:lvl>
    <w:lvl w:ilvl="6" w:tplc="23A4C202">
      <w:start w:val="1"/>
      <w:numFmt w:val="decimal"/>
      <w:lvlText w:val="%7."/>
      <w:lvlJc w:val="left"/>
      <w:pPr>
        <w:ind w:left="4255" w:hanging="360"/>
      </w:pPr>
    </w:lvl>
    <w:lvl w:ilvl="7" w:tplc="6F06DA60">
      <w:start w:val="1"/>
      <w:numFmt w:val="lowerLetter"/>
      <w:lvlText w:val="%8."/>
      <w:lvlJc w:val="left"/>
      <w:pPr>
        <w:ind w:left="4975" w:hanging="360"/>
      </w:pPr>
    </w:lvl>
    <w:lvl w:ilvl="8" w:tplc="4432A6F4">
      <w:start w:val="1"/>
      <w:numFmt w:val="lowerRoman"/>
      <w:lvlText w:val="%9."/>
      <w:lvlJc w:val="right"/>
      <w:pPr>
        <w:ind w:left="5695" w:hanging="180"/>
      </w:pPr>
    </w:lvl>
  </w:abstractNum>
  <w:abstractNum w:abstractNumId="29" w15:restartNumberingAfterBreak="0">
    <w:nsid w:val="674107EB"/>
    <w:multiLevelType w:val="hybridMultilevel"/>
    <w:tmpl w:val="E7A405EE"/>
    <w:lvl w:ilvl="0" w:tplc="7E388EAA">
      <w:start w:val="1"/>
      <w:numFmt w:val="decimal"/>
      <w:pStyle w:val="Styl1-1"/>
      <w:lvlText w:val="%1."/>
      <w:lvlJc w:val="left"/>
      <w:pPr>
        <w:ind w:left="927" w:hanging="360"/>
      </w:pPr>
      <w:rPr>
        <w:b/>
      </w:rPr>
    </w:lvl>
    <w:lvl w:ilvl="1" w:tplc="B7C6C1AC">
      <w:start w:val="1"/>
      <w:numFmt w:val="lowerLetter"/>
      <w:lvlText w:val="%2."/>
      <w:lvlJc w:val="left"/>
      <w:pPr>
        <w:ind w:left="655" w:hanging="360"/>
      </w:pPr>
    </w:lvl>
    <w:lvl w:ilvl="2" w:tplc="8B98B7E2">
      <w:start w:val="1"/>
      <w:numFmt w:val="lowerRoman"/>
      <w:lvlText w:val="%3."/>
      <w:lvlJc w:val="right"/>
      <w:pPr>
        <w:ind w:left="1375" w:hanging="180"/>
      </w:pPr>
    </w:lvl>
    <w:lvl w:ilvl="3" w:tplc="FE4C6F94">
      <w:start w:val="1"/>
      <w:numFmt w:val="decimal"/>
      <w:lvlText w:val="%4."/>
      <w:lvlJc w:val="left"/>
      <w:pPr>
        <w:ind w:left="2095" w:hanging="360"/>
      </w:pPr>
    </w:lvl>
    <w:lvl w:ilvl="4" w:tplc="0B1A685E">
      <w:start w:val="1"/>
      <w:numFmt w:val="lowerLetter"/>
      <w:lvlText w:val="%5."/>
      <w:lvlJc w:val="left"/>
      <w:pPr>
        <w:ind w:left="2815" w:hanging="360"/>
      </w:pPr>
    </w:lvl>
    <w:lvl w:ilvl="5" w:tplc="6ED41C26">
      <w:start w:val="1"/>
      <w:numFmt w:val="lowerRoman"/>
      <w:lvlText w:val="%6."/>
      <w:lvlJc w:val="right"/>
      <w:pPr>
        <w:ind w:left="3535" w:hanging="180"/>
      </w:pPr>
    </w:lvl>
    <w:lvl w:ilvl="6" w:tplc="23A4C202">
      <w:start w:val="1"/>
      <w:numFmt w:val="decimal"/>
      <w:lvlText w:val="%7."/>
      <w:lvlJc w:val="left"/>
      <w:pPr>
        <w:ind w:left="4255" w:hanging="360"/>
      </w:pPr>
    </w:lvl>
    <w:lvl w:ilvl="7" w:tplc="6F06DA60">
      <w:start w:val="1"/>
      <w:numFmt w:val="lowerLetter"/>
      <w:lvlText w:val="%8."/>
      <w:lvlJc w:val="left"/>
      <w:pPr>
        <w:ind w:left="4975" w:hanging="360"/>
      </w:pPr>
    </w:lvl>
    <w:lvl w:ilvl="8" w:tplc="4432A6F4">
      <w:start w:val="1"/>
      <w:numFmt w:val="lowerRoman"/>
      <w:lvlText w:val="%9."/>
      <w:lvlJc w:val="right"/>
      <w:pPr>
        <w:ind w:left="5695" w:hanging="180"/>
      </w:pPr>
    </w:lvl>
  </w:abstractNum>
  <w:abstractNum w:abstractNumId="30" w15:restartNumberingAfterBreak="0">
    <w:nsid w:val="676A0996"/>
    <w:multiLevelType w:val="hybridMultilevel"/>
    <w:tmpl w:val="FAC05482"/>
    <w:lvl w:ilvl="0" w:tplc="B0264802">
      <w:start w:val="1"/>
      <w:numFmt w:val="bullet"/>
      <w:lvlText w:val=""/>
      <w:lvlJc w:val="left"/>
      <w:pPr>
        <w:ind w:left="1353" w:hanging="360"/>
      </w:pPr>
      <w:rPr>
        <w:rFonts w:ascii="Wingdings" w:hAnsi="Wingdings" w:hint="default"/>
      </w:rPr>
    </w:lvl>
    <w:lvl w:ilvl="1" w:tplc="E8B8570A" w:tentative="1">
      <w:start w:val="1"/>
      <w:numFmt w:val="bullet"/>
      <w:lvlText w:val="o"/>
      <w:lvlJc w:val="left"/>
      <w:pPr>
        <w:ind w:left="2073" w:hanging="360"/>
      </w:pPr>
      <w:rPr>
        <w:rFonts w:ascii="Courier New" w:hAnsi="Courier New" w:cs="Courier New" w:hint="default"/>
      </w:rPr>
    </w:lvl>
    <w:lvl w:ilvl="2" w:tplc="B67671CC" w:tentative="1">
      <w:start w:val="1"/>
      <w:numFmt w:val="bullet"/>
      <w:lvlText w:val=""/>
      <w:lvlJc w:val="left"/>
      <w:pPr>
        <w:ind w:left="2793" w:hanging="360"/>
      </w:pPr>
      <w:rPr>
        <w:rFonts w:ascii="Wingdings" w:hAnsi="Wingdings" w:hint="default"/>
      </w:rPr>
    </w:lvl>
    <w:lvl w:ilvl="3" w:tplc="3018632A" w:tentative="1">
      <w:start w:val="1"/>
      <w:numFmt w:val="bullet"/>
      <w:lvlText w:val=""/>
      <w:lvlJc w:val="left"/>
      <w:pPr>
        <w:ind w:left="3513" w:hanging="360"/>
      </w:pPr>
      <w:rPr>
        <w:rFonts w:ascii="Symbol" w:hAnsi="Symbol" w:hint="default"/>
      </w:rPr>
    </w:lvl>
    <w:lvl w:ilvl="4" w:tplc="DB725B4A" w:tentative="1">
      <w:start w:val="1"/>
      <w:numFmt w:val="bullet"/>
      <w:lvlText w:val="o"/>
      <w:lvlJc w:val="left"/>
      <w:pPr>
        <w:ind w:left="4233" w:hanging="360"/>
      </w:pPr>
      <w:rPr>
        <w:rFonts w:ascii="Courier New" w:hAnsi="Courier New" w:cs="Courier New" w:hint="default"/>
      </w:rPr>
    </w:lvl>
    <w:lvl w:ilvl="5" w:tplc="8F2E6E1E" w:tentative="1">
      <w:start w:val="1"/>
      <w:numFmt w:val="bullet"/>
      <w:lvlText w:val=""/>
      <w:lvlJc w:val="left"/>
      <w:pPr>
        <w:ind w:left="4953" w:hanging="360"/>
      </w:pPr>
      <w:rPr>
        <w:rFonts w:ascii="Wingdings" w:hAnsi="Wingdings" w:hint="default"/>
      </w:rPr>
    </w:lvl>
    <w:lvl w:ilvl="6" w:tplc="D14862D0" w:tentative="1">
      <w:start w:val="1"/>
      <w:numFmt w:val="bullet"/>
      <w:lvlText w:val=""/>
      <w:lvlJc w:val="left"/>
      <w:pPr>
        <w:ind w:left="5673" w:hanging="360"/>
      </w:pPr>
      <w:rPr>
        <w:rFonts w:ascii="Symbol" w:hAnsi="Symbol" w:hint="default"/>
      </w:rPr>
    </w:lvl>
    <w:lvl w:ilvl="7" w:tplc="3C341884" w:tentative="1">
      <w:start w:val="1"/>
      <w:numFmt w:val="bullet"/>
      <w:lvlText w:val="o"/>
      <w:lvlJc w:val="left"/>
      <w:pPr>
        <w:ind w:left="6393" w:hanging="360"/>
      </w:pPr>
      <w:rPr>
        <w:rFonts w:ascii="Courier New" w:hAnsi="Courier New" w:cs="Courier New" w:hint="default"/>
      </w:rPr>
    </w:lvl>
    <w:lvl w:ilvl="8" w:tplc="D9D8C862" w:tentative="1">
      <w:start w:val="1"/>
      <w:numFmt w:val="bullet"/>
      <w:lvlText w:val=""/>
      <w:lvlJc w:val="left"/>
      <w:pPr>
        <w:ind w:left="7113" w:hanging="360"/>
      </w:pPr>
      <w:rPr>
        <w:rFonts w:ascii="Wingdings" w:hAnsi="Wingdings" w:hint="default"/>
      </w:rPr>
    </w:lvl>
  </w:abstractNum>
  <w:abstractNum w:abstractNumId="31" w15:restartNumberingAfterBreak="0">
    <w:nsid w:val="691B774F"/>
    <w:multiLevelType w:val="hybridMultilevel"/>
    <w:tmpl w:val="64963762"/>
    <w:lvl w:ilvl="0" w:tplc="7D3E13A4">
      <w:start w:val="1"/>
      <w:numFmt w:val="bullet"/>
      <w:pStyle w:val="Fous"/>
      <w:lvlText w:val=""/>
      <w:lvlJc w:val="left"/>
      <w:pPr>
        <w:tabs>
          <w:tab w:val="num" w:pos="722"/>
        </w:tabs>
        <w:ind w:left="722" w:hanging="382"/>
      </w:pPr>
      <w:rPr>
        <w:rFonts w:ascii="Symbol" w:hAnsi="Symbol" w:hint="default"/>
      </w:rPr>
    </w:lvl>
    <w:lvl w:ilvl="1" w:tplc="EE7EFCAE" w:tentative="1">
      <w:start w:val="1"/>
      <w:numFmt w:val="bullet"/>
      <w:lvlText w:val="o"/>
      <w:lvlJc w:val="left"/>
      <w:pPr>
        <w:tabs>
          <w:tab w:val="num" w:pos="1442"/>
        </w:tabs>
        <w:ind w:left="1442" w:hanging="360"/>
      </w:pPr>
      <w:rPr>
        <w:rFonts w:ascii="Courier New" w:hAnsi="Courier New" w:hint="default"/>
      </w:rPr>
    </w:lvl>
    <w:lvl w:ilvl="2" w:tplc="5F084042" w:tentative="1">
      <w:start w:val="1"/>
      <w:numFmt w:val="bullet"/>
      <w:lvlText w:val=""/>
      <w:lvlJc w:val="left"/>
      <w:pPr>
        <w:tabs>
          <w:tab w:val="num" w:pos="2162"/>
        </w:tabs>
        <w:ind w:left="2162" w:hanging="360"/>
      </w:pPr>
      <w:rPr>
        <w:rFonts w:ascii="Wingdings" w:hAnsi="Wingdings" w:hint="default"/>
      </w:rPr>
    </w:lvl>
    <w:lvl w:ilvl="3" w:tplc="76A63496" w:tentative="1">
      <w:start w:val="1"/>
      <w:numFmt w:val="bullet"/>
      <w:lvlText w:val=""/>
      <w:lvlJc w:val="left"/>
      <w:pPr>
        <w:tabs>
          <w:tab w:val="num" w:pos="2882"/>
        </w:tabs>
        <w:ind w:left="2882" w:hanging="360"/>
      </w:pPr>
      <w:rPr>
        <w:rFonts w:ascii="Symbol" w:hAnsi="Symbol" w:hint="default"/>
      </w:rPr>
    </w:lvl>
    <w:lvl w:ilvl="4" w:tplc="D4344888" w:tentative="1">
      <w:start w:val="1"/>
      <w:numFmt w:val="bullet"/>
      <w:lvlText w:val="o"/>
      <w:lvlJc w:val="left"/>
      <w:pPr>
        <w:tabs>
          <w:tab w:val="num" w:pos="3602"/>
        </w:tabs>
        <w:ind w:left="3602" w:hanging="360"/>
      </w:pPr>
      <w:rPr>
        <w:rFonts w:ascii="Courier New" w:hAnsi="Courier New" w:hint="default"/>
      </w:rPr>
    </w:lvl>
    <w:lvl w:ilvl="5" w:tplc="DF508FC0" w:tentative="1">
      <w:start w:val="1"/>
      <w:numFmt w:val="bullet"/>
      <w:lvlText w:val=""/>
      <w:lvlJc w:val="left"/>
      <w:pPr>
        <w:tabs>
          <w:tab w:val="num" w:pos="4322"/>
        </w:tabs>
        <w:ind w:left="4322" w:hanging="360"/>
      </w:pPr>
      <w:rPr>
        <w:rFonts w:ascii="Wingdings" w:hAnsi="Wingdings" w:hint="default"/>
      </w:rPr>
    </w:lvl>
    <w:lvl w:ilvl="6" w:tplc="4A923766" w:tentative="1">
      <w:start w:val="1"/>
      <w:numFmt w:val="bullet"/>
      <w:lvlText w:val=""/>
      <w:lvlJc w:val="left"/>
      <w:pPr>
        <w:tabs>
          <w:tab w:val="num" w:pos="5042"/>
        </w:tabs>
        <w:ind w:left="5042" w:hanging="360"/>
      </w:pPr>
      <w:rPr>
        <w:rFonts w:ascii="Symbol" w:hAnsi="Symbol" w:hint="default"/>
      </w:rPr>
    </w:lvl>
    <w:lvl w:ilvl="7" w:tplc="B5C84B08" w:tentative="1">
      <w:start w:val="1"/>
      <w:numFmt w:val="bullet"/>
      <w:lvlText w:val="o"/>
      <w:lvlJc w:val="left"/>
      <w:pPr>
        <w:tabs>
          <w:tab w:val="num" w:pos="5762"/>
        </w:tabs>
        <w:ind w:left="5762" w:hanging="360"/>
      </w:pPr>
      <w:rPr>
        <w:rFonts w:ascii="Courier New" w:hAnsi="Courier New" w:hint="default"/>
      </w:rPr>
    </w:lvl>
    <w:lvl w:ilvl="8" w:tplc="08ECB5B4" w:tentative="1">
      <w:start w:val="1"/>
      <w:numFmt w:val="bullet"/>
      <w:lvlText w:val=""/>
      <w:lvlJc w:val="left"/>
      <w:pPr>
        <w:tabs>
          <w:tab w:val="num" w:pos="6482"/>
        </w:tabs>
        <w:ind w:left="6482" w:hanging="360"/>
      </w:pPr>
      <w:rPr>
        <w:rFonts w:ascii="Wingdings" w:hAnsi="Wingdings" w:hint="default"/>
      </w:rPr>
    </w:lvl>
  </w:abstractNum>
  <w:abstractNum w:abstractNumId="32" w15:restartNumberingAfterBreak="0">
    <w:nsid w:val="693E3F8A"/>
    <w:multiLevelType w:val="hybridMultilevel"/>
    <w:tmpl w:val="E7C05A30"/>
    <w:lvl w:ilvl="0" w:tplc="4B5EA620">
      <w:start w:val="1"/>
      <w:numFmt w:val="bullet"/>
      <w:lvlText w:val=""/>
      <w:lvlJc w:val="left"/>
      <w:pPr>
        <w:ind w:left="1860" w:hanging="360"/>
      </w:pPr>
      <w:rPr>
        <w:rFonts w:ascii="Wingdings" w:hAnsi="Wingdings" w:hint="default"/>
      </w:rPr>
    </w:lvl>
    <w:lvl w:ilvl="1" w:tplc="C13A51B4" w:tentative="1">
      <w:start w:val="1"/>
      <w:numFmt w:val="bullet"/>
      <w:lvlText w:val="o"/>
      <w:lvlJc w:val="left"/>
      <w:pPr>
        <w:ind w:left="2580" w:hanging="360"/>
      </w:pPr>
      <w:rPr>
        <w:rFonts w:ascii="Courier New" w:hAnsi="Courier New" w:cs="Courier New" w:hint="default"/>
      </w:rPr>
    </w:lvl>
    <w:lvl w:ilvl="2" w:tplc="F18C0E48" w:tentative="1">
      <w:start w:val="1"/>
      <w:numFmt w:val="bullet"/>
      <w:lvlText w:val=""/>
      <w:lvlJc w:val="left"/>
      <w:pPr>
        <w:ind w:left="3300" w:hanging="360"/>
      </w:pPr>
      <w:rPr>
        <w:rFonts w:ascii="Wingdings" w:hAnsi="Wingdings" w:hint="default"/>
      </w:rPr>
    </w:lvl>
    <w:lvl w:ilvl="3" w:tplc="2162F828" w:tentative="1">
      <w:start w:val="1"/>
      <w:numFmt w:val="bullet"/>
      <w:lvlText w:val=""/>
      <w:lvlJc w:val="left"/>
      <w:pPr>
        <w:ind w:left="4020" w:hanging="360"/>
      </w:pPr>
      <w:rPr>
        <w:rFonts w:ascii="Symbol" w:hAnsi="Symbol" w:hint="default"/>
      </w:rPr>
    </w:lvl>
    <w:lvl w:ilvl="4" w:tplc="B1581DA4" w:tentative="1">
      <w:start w:val="1"/>
      <w:numFmt w:val="bullet"/>
      <w:lvlText w:val="o"/>
      <w:lvlJc w:val="left"/>
      <w:pPr>
        <w:ind w:left="4740" w:hanging="360"/>
      </w:pPr>
      <w:rPr>
        <w:rFonts w:ascii="Courier New" w:hAnsi="Courier New" w:cs="Courier New" w:hint="default"/>
      </w:rPr>
    </w:lvl>
    <w:lvl w:ilvl="5" w:tplc="5EF69C00" w:tentative="1">
      <w:start w:val="1"/>
      <w:numFmt w:val="bullet"/>
      <w:lvlText w:val=""/>
      <w:lvlJc w:val="left"/>
      <w:pPr>
        <w:ind w:left="5460" w:hanging="360"/>
      </w:pPr>
      <w:rPr>
        <w:rFonts w:ascii="Wingdings" w:hAnsi="Wingdings" w:hint="default"/>
      </w:rPr>
    </w:lvl>
    <w:lvl w:ilvl="6" w:tplc="2F540F62" w:tentative="1">
      <w:start w:val="1"/>
      <w:numFmt w:val="bullet"/>
      <w:lvlText w:val=""/>
      <w:lvlJc w:val="left"/>
      <w:pPr>
        <w:ind w:left="6180" w:hanging="360"/>
      </w:pPr>
      <w:rPr>
        <w:rFonts w:ascii="Symbol" w:hAnsi="Symbol" w:hint="default"/>
      </w:rPr>
    </w:lvl>
    <w:lvl w:ilvl="7" w:tplc="8E5E4F34" w:tentative="1">
      <w:start w:val="1"/>
      <w:numFmt w:val="bullet"/>
      <w:lvlText w:val="o"/>
      <w:lvlJc w:val="left"/>
      <w:pPr>
        <w:ind w:left="6900" w:hanging="360"/>
      </w:pPr>
      <w:rPr>
        <w:rFonts w:ascii="Courier New" w:hAnsi="Courier New" w:cs="Courier New" w:hint="default"/>
      </w:rPr>
    </w:lvl>
    <w:lvl w:ilvl="8" w:tplc="E7C62A6A" w:tentative="1">
      <w:start w:val="1"/>
      <w:numFmt w:val="bullet"/>
      <w:lvlText w:val=""/>
      <w:lvlJc w:val="left"/>
      <w:pPr>
        <w:ind w:left="7620" w:hanging="360"/>
      </w:pPr>
      <w:rPr>
        <w:rFonts w:ascii="Wingdings" w:hAnsi="Wingdings" w:hint="default"/>
      </w:rPr>
    </w:lvl>
  </w:abstractNum>
  <w:abstractNum w:abstractNumId="33" w15:restartNumberingAfterBreak="0">
    <w:nsid w:val="694255D5"/>
    <w:multiLevelType w:val="multilevel"/>
    <w:tmpl w:val="933A87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A866DA0"/>
    <w:multiLevelType w:val="hybridMultilevel"/>
    <w:tmpl w:val="E728AC18"/>
    <w:styleLink w:val="StylI-aa"/>
    <w:lvl w:ilvl="0" w:tplc="D1261666">
      <w:start w:val="1"/>
      <w:numFmt w:val="decimal"/>
      <w:lvlText w:val="%1."/>
      <w:lvlJc w:val="left"/>
      <w:pPr>
        <w:ind w:left="357" w:hanging="357"/>
      </w:pPr>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specVanish w:val="0"/>
      </w:rPr>
    </w:lvl>
    <w:lvl w:ilvl="1" w:tplc="A2C29F18">
      <w:start w:val="1"/>
      <w:numFmt w:val="lowerLetter"/>
      <w:lvlText w:val="%2."/>
      <w:lvlJc w:val="left"/>
      <w:pPr>
        <w:ind w:left="1440" w:hanging="360"/>
      </w:pPr>
    </w:lvl>
    <w:lvl w:ilvl="2" w:tplc="0C4887F4">
      <w:start w:val="1"/>
      <w:numFmt w:val="lowerRoman"/>
      <w:lvlText w:val="%3."/>
      <w:lvlJc w:val="right"/>
      <w:pPr>
        <w:ind w:left="2160" w:hanging="180"/>
      </w:pPr>
    </w:lvl>
    <w:lvl w:ilvl="3" w:tplc="3D64ADDA">
      <w:start w:val="1"/>
      <w:numFmt w:val="decimal"/>
      <w:lvlText w:val="%4."/>
      <w:lvlJc w:val="left"/>
      <w:pPr>
        <w:ind w:left="2880" w:hanging="360"/>
      </w:pPr>
    </w:lvl>
    <w:lvl w:ilvl="4" w:tplc="F54E406A">
      <w:start w:val="1"/>
      <w:numFmt w:val="lowerLetter"/>
      <w:lvlText w:val="%5."/>
      <w:lvlJc w:val="left"/>
      <w:pPr>
        <w:ind w:left="3600" w:hanging="360"/>
      </w:pPr>
    </w:lvl>
    <w:lvl w:ilvl="5" w:tplc="78B8CCB6">
      <w:start w:val="1"/>
      <w:numFmt w:val="lowerRoman"/>
      <w:lvlText w:val="%6."/>
      <w:lvlJc w:val="right"/>
      <w:pPr>
        <w:ind w:left="4320" w:hanging="180"/>
      </w:pPr>
    </w:lvl>
    <w:lvl w:ilvl="6" w:tplc="FF9CAF58">
      <w:start w:val="1"/>
      <w:numFmt w:val="decimal"/>
      <w:lvlText w:val="%7."/>
      <w:lvlJc w:val="left"/>
      <w:pPr>
        <w:ind w:left="5040" w:hanging="360"/>
      </w:pPr>
    </w:lvl>
    <w:lvl w:ilvl="7" w:tplc="3DCE85E6">
      <w:start w:val="1"/>
      <w:numFmt w:val="lowerLetter"/>
      <w:lvlText w:val="%8."/>
      <w:lvlJc w:val="left"/>
      <w:pPr>
        <w:ind w:left="5760" w:hanging="360"/>
      </w:pPr>
    </w:lvl>
    <w:lvl w:ilvl="8" w:tplc="59BCE14A">
      <w:start w:val="1"/>
      <w:numFmt w:val="lowerRoman"/>
      <w:lvlText w:val="%9."/>
      <w:lvlJc w:val="right"/>
      <w:pPr>
        <w:ind w:left="6480" w:hanging="180"/>
      </w:pPr>
    </w:lvl>
  </w:abstractNum>
  <w:abstractNum w:abstractNumId="35" w15:restartNumberingAfterBreak="0">
    <w:nsid w:val="6C2D577A"/>
    <w:multiLevelType w:val="hybridMultilevel"/>
    <w:tmpl w:val="EEDAC5EC"/>
    <w:lvl w:ilvl="0" w:tplc="23CC9604">
      <w:start w:val="1"/>
      <w:numFmt w:val="upperRoman"/>
      <w:lvlText w:val="%1."/>
      <w:lvlJc w:val="left"/>
      <w:pPr>
        <w:ind w:left="1080" w:hanging="720"/>
      </w:pPr>
      <w:rPr>
        <w:rFonts w:hint="default"/>
      </w:rPr>
    </w:lvl>
    <w:lvl w:ilvl="1" w:tplc="970892FE" w:tentative="1">
      <w:start w:val="1"/>
      <w:numFmt w:val="lowerLetter"/>
      <w:lvlText w:val="%2."/>
      <w:lvlJc w:val="left"/>
      <w:pPr>
        <w:ind w:left="1440" w:hanging="360"/>
      </w:pPr>
    </w:lvl>
    <w:lvl w:ilvl="2" w:tplc="8800C834" w:tentative="1">
      <w:start w:val="1"/>
      <w:numFmt w:val="lowerRoman"/>
      <w:lvlText w:val="%3."/>
      <w:lvlJc w:val="right"/>
      <w:pPr>
        <w:ind w:left="2160" w:hanging="180"/>
      </w:pPr>
    </w:lvl>
    <w:lvl w:ilvl="3" w:tplc="055C1546" w:tentative="1">
      <w:start w:val="1"/>
      <w:numFmt w:val="decimal"/>
      <w:lvlText w:val="%4."/>
      <w:lvlJc w:val="left"/>
      <w:pPr>
        <w:ind w:left="2880" w:hanging="360"/>
      </w:pPr>
    </w:lvl>
    <w:lvl w:ilvl="4" w:tplc="A1244890" w:tentative="1">
      <w:start w:val="1"/>
      <w:numFmt w:val="lowerLetter"/>
      <w:lvlText w:val="%5."/>
      <w:lvlJc w:val="left"/>
      <w:pPr>
        <w:ind w:left="3600" w:hanging="360"/>
      </w:pPr>
    </w:lvl>
    <w:lvl w:ilvl="5" w:tplc="22AEEC76" w:tentative="1">
      <w:start w:val="1"/>
      <w:numFmt w:val="lowerRoman"/>
      <w:lvlText w:val="%6."/>
      <w:lvlJc w:val="right"/>
      <w:pPr>
        <w:ind w:left="4320" w:hanging="180"/>
      </w:pPr>
    </w:lvl>
    <w:lvl w:ilvl="6" w:tplc="02442506" w:tentative="1">
      <w:start w:val="1"/>
      <w:numFmt w:val="decimal"/>
      <w:lvlText w:val="%7."/>
      <w:lvlJc w:val="left"/>
      <w:pPr>
        <w:ind w:left="5040" w:hanging="360"/>
      </w:pPr>
    </w:lvl>
    <w:lvl w:ilvl="7" w:tplc="9E5A6102" w:tentative="1">
      <w:start w:val="1"/>
      <w:numFmt w:val="lowerLetter"/>
      <w:lvlText w:val="%8."/>
      <w:lvlJc w:val="left"/>
      <w:pPr>
        <w:ind w:left="5760" w:hanging="360"/>
      </w:pPr>
    </w:lvl>
    <w:lvl w:ilvl="8" w:tplc="14E01608" w:tentative="1">
      <w:start w:val="1"/>
      <w:numFmt w:val="lowerRoman"/>
      <w:lvlText w:val="%9."/>
      <w:lvlJc w:val="right"/>
      <w:pPr>
        <w:ind w:left="6480" w:hanging="180"/>
      </w:pPr>
    </w:lvl>
  </w:abstractNum>
  <w:abstractNum w:abstractNumId="36" w15:restartNumberingAfterBreak="0">
    <w:nsid w:val="6CEF57B8"/>
    <w:multiLevelType w:val="hybridMultilevel"/>
    <w:tmpl w:val="B7B2D0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D6D5072"/>
    <w:multiLevelType w:val="hybridMultilevel"/>
    <w:tmpl w:val="E39C9A0A"/>
    <w:lvl w:ilvl="0" w:tplc="5BF070EA">
      <w:start w:val="1"/>
      <w:numFmt w:val="decimal"/>
      <w:lvlText w:val="%1"/>
      <w:lvlJc w:val="left"/>
      <w:pPr>
        <w:ind w:left="720" w:hanging="360"/>
      </w:pPr>
      <w:rPr>
        <w:rFonts w:hint="default"/>
        <w:sz w:val="16"/>
      </w:rPr>
    </w:lvl>
    <w:lvl w:ilvl="1" w:tplc="5EDEFEAA" w:tentative="1">
      <w:start w:val="1"/>
      <w:numFmt w:val="lowerLetter"/>
      <w:lvlText w:val="%2."/>
      <w:lvlJc w:val="left"/>
      <w:pPr>
        <w:ind w:left="1440" w:hanging="360"/>
      </w:pPr>
    </w:lvl>
    <w:lvl w:ilvl="2" w:tplc="63AAEFF6" w:tentative="1">
      <w:start w:val="1"/>
      <w:numFmt w:val="lowerRoman"/>
      <w:lvlText w:val="%3."/>
      <w:lvlJc w:val="right"/>
      <w:pPr>
        <w:ind w:left="2160" w:hanging="180"/>
      </w:pPr>
    </w:lvl>
    <w:lvl w:ilvl="3" w:tplc="6B2AAC46" w:tentative="1">
      <w:start w:val="1"/>
      <w:numFmt w:val="decimal"/>
      <w:lvlText w:val="%4."/>
      <w:lvlJc w:val="left"/>
      <w:pPr>
        <w:ind w:left="2880" w:hanging="360"/>
      </w:pPr>
    </w:lvl>
    <w:lvl w:ilvl="4" w:tplc="7C4290BC" w:tentative="1">
      <w:start w:val="1"/>
      <w:numFmt w:val="lowerLetter"/>
      <w:lvlText w:val="%5."/>
      <w:lvlJc w:val="left"/>
      <w:pPr>
        <w:ind w:left="3600" w:hanging="360"/>
      </w:pPr>
    </w:lvl>
    <w:lvl w:ilvl="5" w:tplc="F2B82FD2" w:tentative="1">
      <w:start w:val="1"/>
      <w:numFmt w:val="lowerRoman"/>
      <w:lvlText w:val="%6."/>
      <w:lvlJc w:val="right"/>
      <w:pPr>
        <w:ind w:left="4320" w:hanging="180"/>
      </w:pPr>
    </w:lvl>
    <w:lvl w:ilvl="6" w:tplc="12A6EB46" w:tentative="1">
      <w:start w:val="1"/>
      <w:numFmt w:val="decimal"/>
      <w:lvlText w:val="%7."/>
      <w:lvlJc w:val="left"/>
      <w:pPr>
        <w:ind w:left="5040" w:hanging="360"/>
      </w:pPr>
    </w:lvl>
    <w:lvl w:ilvl="7" w:tplc="A08EDD58" w:tentative="1">
      <w:start w:val="1"/>
      <w:numFmt w:val="lowerLetter"/>
      <w:lvlText w:val="%8."/>
      <w:lvlJc w:val="left"/>
      <w:pPr>
        <w:ind w:left="5760" w:hanging="360"/>
      </w:pPr>
    </w:lvl>
    <w:lvl w:ilvl="8" w:tplc="0090F9F4" w:tentative="1">
      <w:start w:val="1"/>
      <w:numFmt w:val="lowerRoman"/>
      <w:lvlText w:val="%9."/>
      <w:lvlJc w:val="right"/>
      <w:pPr>
        <w:ind w:left="6480" w:hanging="180"/>
      </w:pPr>
    </w:lvl>
  </w:abstractNum>
  <w:abstractNum w:abstractNumId="38" w15:restartNumberingAfterBreak="0">
    <w:nsid w:val="744552C7"/>
    <w:multiLevelType w:val="multilevel"/>
    <w:tmpl w:val="C04A83C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4EB3703"/>
    <w:multiLevelType w:val="multilevel"/>
    <w:tmpl w:val="89F2B40C"/>
    <w:lvl w:ilvl="0">
      <w:start w:val="3"/>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b w:val="0"/>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40" w15:restartNumberingAfterBreak="0">
    <w:nsid w:val="79033D41"/>
    <w:multiLevelType w:val="multilevel"/>
    <w:tmpl w:val="B532CC1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79E92F29"/>
    <w:multiLevelType w:val="hybridMultilevel"/>
    <w:tmpl w:val="A7A85A9A"/>
    <w:lvl w:ilvl="0" w:tplc="6192B614">
      <w:start w:val="1"/>
      <w:numFmt w:val="lowerLetter"/>
      <w:pStyle w:val="Styl1-a"/>
      <w:lvlText w:val="%1)"/>
      <w:lvlJc w:val="left"/>
      <w:pPr>
        <w:ind w:left="720" w:hanging="360"/>
      </w:pPr>
      <w:rPr>
        <w:b w:val="0"/>
      </w:rPr>
    </w:lvl>
    <w:lvl w:ilvl="1" w:tplc="943A241C">
      <w:start w:val="1"/>
      <w:numFmt w:val="lowerLetter"/>
      <w:lvlText w:val="%2."/>
      <w:lvlJc w:val="left"/>
      <w:pPr>
        <w:ind w:left="1440" w:hanging="360"/>
      </w:pPr>
    </w:lvl>
    <w:lvl w:ilvl="2" w:tplc="B9F69A5E">
      <w:start w:val="1"/>
      <w:numFmt w:val="lowerRoman"/>
      <w:lvlText w:val="%3."/>
      <w:lvlJc w:val="right"/>
      <w:pPr>
        <w:ind w:left="2160" w:hanging="180"/>
      </w:pPr>
    </w:lvl>
    <w:lvl w:ilvl="3" w:tplc="9944452E">
      <w:start w:val="1"/>
      <w:numFmt w:val="decimal"/>
      <w:lvlText w:val="%4."/>
      <w:lvlJc w:val="left"/>
      <w:pPr>
        <w:ind w:left="2880" w:hanging="360"/>
      </w:pPr>
    </w:lvl>
    <w:lvl w:ilvl="4" w:tplc="64B845F6">
      <w:start w:val="1"/>
      <w:numFmt w:val="lowerLetter"/>
      <w:lvlText w:val="%5."/>
      <w:lvlJc w:val="left"/>
      <w:pPr>
        <w:ind w:left="3600" w:hanging="360"/>
      </w:pPr>
    </w:lvl>
    <w:lvl w:ilvl="5" w:tplc="6AAE1C7A">
      <w:start w:val="1"/>
      <w:numFmt w:val="lowerRoman"/>
      <w:lvlText w:val="%6."/>
      <w:lvlJc w:val="right"/>
      <w:pPr>
        <w:ind w:left="4320" w:hanging="180"/>
      </w:pPr>
    </w:lvl>
    <w:lvl w:ilvl="6" w:tplc="C8804B92">
      <w:start w:val="1"/>
      <w:numFmt w:val="decimal"/>
      <w:lvlText w:val="%7."/>
      <w:lvlJc w:val="left"/>
      <w:pPr>
        <w:ind w:left="5040" w:hanging="360"/>
      </w:pPr>
    </w:lvl>
    <w:lvl w:ilvl="7" w:tplc="A208AD20">
      <w:start w:val="1"/>
      <w:numFmt w:val="lowerLetter"/>
      <w:lvlText w:val="%8."/>
      <w:lvlJc w:val="left"/>
      <w:pPr>
        <w:ind w:left="5760" w:hanging="360"/>
      </w:pPr>
    </w:lvl>
    <w:lvl w:ilvl="8" w:tplc="50449F06">
      <w:start w:val="1"/>
      <w:numFmt w:val="lowerRoman"/>
      <w:lvlText w:val="%9."/>
      <w:lvlJc w:val="right"/>
      <w:pPr>
        <w:ind w:left="6480" w:hanging="180"/>
      </w:pPr>
    </w:lvl>
  </w:abstractNum>
  <w:abstractNum w:abstractNumId="42" w15:restartNumberingAfterBreak="0">
    <w:nsid w:val="7B693023"/>
    <w:multiLevelType w:val="hybridMultilevel"/>
    <w:tmpl w:val="F4726984"/>
    <w:lvl w:ilvl="0" w:tplc="04548074">
      <w:start w:val="1"/>
      <w:numFmt w:val="upperRoman"/>
      <w:lvlText w:val="%1."/>
      <w:lvlJc w:val="left"/>
      <w:pPr>
        <w:ind w:left="1800" w:hanging="720"/>
      </w:pPr>
      <w:rPr>
        <w:rFonts w:hint="default"/>
      </w:rPr>
    </w:lvl>
    <w:lvl w:ilvl="1" w:tplc="607CEEA6" w:tentative="1">
      <w:start w:val="1"/>
      <w:numFmt w:val="lowerLetter"/>
      <w:lvlText w:val="%2."/>
      <w:lvlJc w:val="left"/>
      <w:pPr>
        <w:ind w:left="2160" w:hanging="360"/>
      </w:pPr>
    </w:lvl>
    <w:lvl w:ilvl="2" w:tplc="01D244B2" w:tentative="1">
      <w:start w:val="1"/>
      <w:numFmt w:val="lowerRoman"/>
      <w:lvlText w:val="%3."/>
      <w:lvlJc w:val="right"/>
      <w:pPr>
        <w:ind w:left="2880" w:hanging="180"/>
      </w:pPr>
    </w:lvl>
    <w:lvl w:ilvl="3" w:tplc="D73C9A9C" w:tentative="1">
      <w:start w:val="1"/>
      <w:numFmt w:val="decimal"/>
      <w:lvlText w:val="%4."/>
      <w:lvlJc w:val="left"/>
      <w:pPr>
        <w:ind w:left="3600" w:hanging="360"/>
      </w:pPr>
    </w:lvl>
    <w:lvl w:ilvl="4" w:tplc="BBE248AA" w:tentative="1">
      <w:start w:val="1"/>
      <w:numFmt w:val="lowerLetter"/>
      <w:lvlText w:val="%5."/>
      <w:lvlJc w:val="left"/>
      <w:pPr>
        <w:ind w:left="4320" w:hanging="360"/>
      </w:pPr>
    </w:lvl>
    <w:lvl w:ilvl="5" w:tplc="F1DAE768" w:tentative="1">
      <w:start w:val="1"/>
      <w:numFmt w:val="lowerRoman"/>
      <w:lvlText w:val="%6."/>
      <w:lvlJc w:val="right"/>
      <w:pPr>
        <w:ind w:left="5040" w:hanging="180"/>
      </w:pPr>
    </w:lvl>
    <w:lvl w:ilvl="6" w:tplc="03C0432C" w:tentative="1">
      <w:start w:val="1"/>
      <w:numFmt w:val="decimal"/>
      <w:lvlText w:val="%7."/>
      <w:lvlJc w:val="left"/>
      <w:pPr>
        <w:ind w:left="5760" w:hanging="360"/>
      </w:pPr>
    </w:lvl>
    <w:lvl w:ilvl="7" w:tplc="483CABC4" w:tentative="1">
      <w:start w:val="1"/>
      <w:numFmt w:val="lowerLetter"/>
      <w:lvlText w:val="%8."/>
      <w:lvlJc w:val="left"/>
      <w:pPr>
        <w:ind w:left="6480" w:hanging="360"/>
      </w:pPr>
    </w:lvl>
    <w:lvl w:ilvl="8" w:tplc="EFFE7CB8" w:tentative="1">
      <w:start w:val="1"/>
      <w:numFmt w:val="lowerRoman"/>
      <w:lvlText w:val="%9."/>
      <w:lvlJc w:val="right"/>
      <w:pPr>
        <w:ind w:left="7200" w:hanging="180"/>
      </w:pPr>
    </w:lvl>
  </w:abstractNum>
  <w:abstractNum w:abstractNumId="43" w15:restartNumberingAfterBreak="0">
    <w:nsid w:val="7E304535"/>
    <w:multiLevelType w:val="hybridMultilevel"/>
    <w:tmpl w:val="64FE00E8"/>
    <w:lvl w:ilvl="0" w:tplc="E3885AB8">
      <w:start w:val="1"/>
      <w:numFmt w:val="bullet"/>
      <w:lvlText w:val=""/>
      <w:lvlJc w:val="left"/>
      <w:pPr>
        <w:ind w:left="720" w:hanging="360"/>
      </w:pPr>
      <w:rPr>
        <w:rFonts w:ascii="Wingdings" w:hAnsi="Wingdings" w:hint="default"/>
      </w:rPr>
    </w:lvl>
    <w:lvl w:ilvl="1" w:tplc="C4D84E24" w:tentative="1">
      <w:start w:val="1"/>
      <w:numFmt w:val="bullet"/>
      <w:lvlText w:val="o"/>
      <w:lvlJc w:val="left"/>
      <w:pPr>
        <w:ind w:left="1440" w:hanging="360"/>
      </w:pPr>
      <w:rPr>
        <w:rFonts w:ascii="Courier New" w:hAnsi="Courier New" w:cs="Courier New" w:hint="default"/>
      </w:rPr>
    </w:lvl>
    <w:lvl w:ilvl="2" w:tplc="11483A96" w:tentative="1">
      <w:start w:val="1"/>
      <w:numFmt w:val="bullet"/>
      <w:lvlText w:val=""/>
      <w:lvlJc w:val="left"/>
      <w:pPr>
        <w:ind w:left="2160" w:hanging="360"/>
      </w:pPr>
      <w:rPr>
        <w:rFonts w:ascii="Wingdings" w:hAnsi="Wingdings" w:hint="default"/>
      </w:rPr>
    </w:lvl>
    <w:lvl w:ilvl="3" w:tplc="0B5655FA" w:tentative="1">
      <w:start w:val="1"/>
      <w:numFmt w:val="bullet"/>
      <w:lvlText w:val=""/>
      <w:lvlJc w:val="left"/>
      <w:pPr>
        <w:ind w:left="2880" w:hanging="360"/>
      </w:pPr>
      <w:rPr>
        <w:rFonts w:ascii="Symbol" w:hAnsi="Symbol" w:hint="default"/>
      </w:rPr>
    </w:lvl>
    <w:lvl w:ilvl="4" w:tplc="D966D3B8" w:tentative="1">
      <w:start w:val="1"/>
      <w:numFmt w:val="bullet"/>
      <w:lvlText w:val="o"/>
      <w:lvlJc w:val="left"/>
      <w:pPr>
        <w:ind w:left="3600" w:hanging="360"/>
      </w:pPr>
      <w:rPr>
        <w:rFonts w:ascii="Courier New" w:hAnsi="Courier New" w:cs="Courier New" w:hint="default"/>
      </w:rPr>
    </w:lvl>
    <w:lvl w:ilvl="5" w:tplc="C85AC9D6" w:tentative="1">
      <w:start w:val="1"/>
      <w:numFmt w:val="bullet"/>
      <w:lvlText w:val=""/>
      <w:lvlJc w:val="left"/>
      <w:pPr>
        <w:ind w:left="4320" w:hanging="360"/>
      </w:pPr>
      <w:rPr>
        <w:rFonts w:ascii="Wingdings" w:hAnsi="Wingdings" w:hint="default"/>
      </w:rPr>
    </w:lvl>
    <w:lvl w:ilvl="6" w:tplc="D33C58F4" w:tentative="1">
      <w:start w:val="1"/>
      <w:numFmt w:val="bullet"/>
      <w:lvlText w:val=""/>
      <w:lvlJc w:val="left"/>
      <w:pPr>
        <w:ind w:left="5040" w:hanging="360"/>
      </w:pPr>
      <w:rPr>
        <w:rFonts w:ascii="Symbol" w:hAnsi="Symbol" w:hint="default"/>
      </w:rPr>
    </w:lvl>
    <w:lvl w:ilvl="7" w:tplc="0810A2E8" w:tentative="1">
      <w:start w:val="1"/>
      <w:numFmt w:val="bullet"/>
      <w:lvlText w:val="o"/>
      <w:lvlJc w:val="left"/>
      <w:pPr>
        <w:ind w:left="5760" w:hanging="360"/>
      </w:pPr>
      <w:rPr>
        <w:rFonts w:ascii="Courier New" w:hAnsi="Courier New" w:cs="Courier New" w:hint="default"/>
      </w:rPr>
    </w:lvl>
    <w:lvl w:ilvl="8" w:tplc="1D3AC2B2"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16"/>
  </w:num>
  <w:num w:numId="4">
    <w:abstractNumId w:val="2"/>
  </w:num>
  <w:num w:numId="5">
    <w:abstractNumId w:val="13"/>
  </w:num>
  <w:num w:numId="6">
    <w:abstractNumId w:val="20"/>
  </w:num>
  <w:num w:numId="7">
    <w:abstractNumId w:val="15"/>
  </w:num>
  <w:num w:numId="8">
    <w:abstractNumId w:val="5"/>
  </w:num>
  <w:num w:numId="9">
    <w:abstractNumId w:val="1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7"/>
  </w:num>
  <w:num w:numId="13">
    <w:abstractNumId w:val="34"/>
  </w:num>
  <w:num w:numId="14">
    <w:abstractNumId w:val="14"/>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7"/>
  </w:num>
  <w:num w:numId="18">
    <w:abstractNumId w:val="38"/>
  </w:num>
  <w:num w:numId="19">
    <w:abstractNumId w:val="6"/>
  </w:num>
  <w:num w:numId="20">
    <w:abstractNumId w:val="11"/>
  </w:num>
  <w:num w:numId="21">
    <w:abstractNumId w:val="40"/>
  </w:num>
  <w:num w:numId="22">
    <w:abstractNumId w:val="30"/>
  </w:num>
  <w:num w:numId="23">
    <w:abstractNumId w:val="25"/>
  </w:num>
  <w:num w:numId="24">
    <w:abstractNumId w:val="10"/>
  </w:num>
  <w:num w:numId="25">
    <w:abstractNumId w:val="26"/>
  </w:num>
  <w:num w:numId="26">
    <w:abstractNumId w:val="19"/>
  </w:num>
  <w:num w:numId="27">
    <w:abstractNumId w:val="41"/>
  </w:num>
  <w:num w:numId="28">
    <w:abstractNumId w:val="3"/>
  </w:num>
  <w:num w:numId="29">
    <w:abstractNumId w:val="21"/>
  </w:num>
  <w:num w:numId="30">
    <w:abstractNumId w:val="2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8"/>
  </w:num>
  <w:num w:numId="34">
    <w:abstractNumId w:val="23"/>
  </w:num>
  <w:num w:numId="35">
    <w:abstractNumId w:val="0"/>
  </w:num>
  <w:num w:numId="36">
    <w:abstractNumId w:val="43"/>
  </w:num>
  <w:num w:numId="37">
    <w:abstractNumId w:val="32"/>
  </w:num>
  <w:num w:numId="38">
    <w:abstractNumId w:val="35"/>
  </w:num>
  <w:num w:numId="39">
    <w:abstractNumId w:val="37"/>
  </w:num>
  <w:num w:numId="40">
    <w:abstractNumId w:val="42"/>
  </w:num>
  <w:num w:numId="41">
    <w:abstractNumId w:val="24"/>
  </w:num>
  <w:num w:numId="42">
    <w:abstractNumId w:val="9"/>
  </w:num>
  <w:num w:numId="43">
    <w:abstractNumId w:val="29"/>
  </w:num>
  <w:num w:numId="44">
    <w:abstractNumId w:val="39"/>
  </w:num>
  <w:num w:numId="45">
    <w:abstractNumId w:val="28"/>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oNotTrackMove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5F2"/>
    <w:rsid w:val="000004DE"/>
    <w:rsid w:val="000005CD"/>
    <w:rsid w:val="000006CF"/>
    <w:rsid w:val="0000086C"/>
    <w:rsid w:val="00000B8D"/>
    <w:rsid w:val="00000BAF"/>
    <w:rsid w:val="00001043"/>
    <w:rsid w:val="00001048"/>
    <w:rsid w:val="00001063"/>
    <w:rsid w:val="00001308"/>
    <w:rsid w:val="000013A5"/>
    <w:rsid w:val="00001481"/>
    <w:rsid w:val="000017C6"/>
    <w:rsid w:val="000022CA"/>
    <w:rsid w:val="000028A2"/>
    <w:rsid w:val="00002904"/>
    <w:rsid w:val="00002D56"/>
    <w:rsid w:val="000035D2"/>
    <w:rsid w:val="0000381C"/>
    <w:rsid w:val="000038EF"/>
    <w:rsid w:val="0000395D"/>
    <w:rsid w:val="000039EE"/>
    <w:rsid w:val="0000412F"/>
    <w:rsid w:val="000041C5"/>
    <w:rsid w:val="00004247"/>
    <w:rsid w:val="00004762"/>
    <w:rsid w:val="00004771"/>
    <w:rsid w:val="00004843"/>
    <w:rsid w:val="000049B3"/>
    <w:rsid w:val="00004B16"/>
    <w:rsid w:val="000050B7"/>
    <w:rsid w:val="0000515B"/>
    <w:rsid w:val="00005B61"/>
    <w:rsid w:val="00005C11"/>
    <w:rsid w:val="00005C40"/>
    <w:rsid w:val="00005EA6"/>
    <w:rsid w:val="00005F4F"/>
    <w:rsid w:val="0000654A"/>
    <w:rsid w:val="00006575"/>
    <w:rsid w:val="00006A49"/>
    <w:rsid w:val="00006E91"/>
    <w:rsid w:val="00007503"/>
    <w:rsid w:val="000076CA"/>
    <w:rsid w:val="000076DC"/>
    <w:rsid w:val="00007748"/>
    <w:rsid w:val="0000775B"/>
    <w:rsid w:val="00007918"/>
    <w:rsid w:val="00007A79"/>
    <w:rsid w:val="00007C38"/>
    <w:rsid w:val="00007D00"/>
    <w:rsid w:val="00007FFD"/>
    <w:rsid w:val="00010542"/>
    <w:rsid w:val="00010857"/>
    <w:rsid w:val="00010881"/>
    <w:rsid w:val="0001090C"/>
    <w:rsid w:val="0001172A"/>
    <w:rsid w:val="00011E71"/>
    <w:rsid w:val="00011FAC"/>
    <w:rsid w:val="0001220F"/>
    <w:rsid w:val="000124AB"/>
    <w:rsid w:val="00012E89"/>
    <w:rsid w:val="00012ECD"/>
    <w:rsid w:val="00012F18"/>
    <w:rsid w:val="000139B0"/>
    <w:rsid w:val="00013A0F"/>
    <w:rsid w:val="00013E03"/>
    <w:rsid w:val="0001417D"/>
    <w:rsid w:val="00014A92"/>
    <w:rsid w:val="00014CB9"/>
    <w:rsid w:val="00014D44"/>
    <w:rsid w:val="00014F37"/>
    <w:rsid w:val="00014F83"/>
    <w:rsid w:val="00015294"/>
    <w:rsid w:val="0001543B"/>
    <w:rsid w:val="000155EE"/>
    <w:rsid w:val="000159D3"/>
    <w:rsid w:val="00015A63"/>
    <w:rsid w:val="00015D43"/>
    <w:rsid w:val="00016174"/>
    <w:rsid w:val="000161C5"/>
    <w:rsid w:val="00016288"/>
    <w:rsid w:val="0001631E"/>
    <w:rsid w:val="000163CA"/>
    <w:rsid w:val="00016595"/>
    <w:rsid w:val="000165EC"/>
    <w:rsid w:val="00016787"/>
    <w:rsid w:val="00016899"/>
    <w:rsid w:val="00016954"/>
    <w:rsid w:val="0001697E"/>
    <w:rsid w:val="000169DB"/>
    <w:rsid w:val="00016B15"/>
    <w:rsid w:val="00016C30"/>
    <w:rsid w:val="0001708C"/>
    <w:rsid w:val="00017237"/>
    <w:rsid w:val="00017267"/>
    <w:rsid w:val="000173B5"/>
    <w:rsid w:val="00017473"/>
    <w:rsid w:val="00020193"/>
    <w:rsid w:val="000206E1"/>
    <w:rsid w:val="00020A51"/>
    <w:rsid w:val="00020ADB"/>
    <w:rsid w:val="00020C8D"/>
    <w:rsid w:val="00020DB2"/>
    <w:rsid w:val="00020F59"/>
    <w:rsid w:val="00021130"/>
    <w:rsid w:val="00021451"/>
    <w:rsid w:val="0002159A"/>
    <w:rsid w:val="00021E3D"/>
    <w:rsid w:val="000220A3"/>
    <w:rsid w:val="00022309"/>
    <w:rsid w:val="00022418"/>
    <w:rsid w:val="0002290A"/>
    <w:rsid w:val="0002299B"/>
    <w:rsid w:val="00022FC2"/>
    <w:rsid w:val="00022FC4"/>
    <w:rsid w:val="000230A3"/>
    <w:rsid w:val="000242A7"/>
    <w:rsid w:val="000244A8"/>
    <w:rsid w:val="00024854"/>
    <w:rsid w:val="000248E9"/>
    <w:rsid w:val="00024F4B"/>
    <w:rsid w:val="0002540D"/>
    <w:rsid w:val="0002573F"/>
    <w:rsid w:val="000257CD"/>
    <w:rsid w:val="000258ED"/>
    <w:rsid w:val="00025AC2"/>
    <w:rsid w:val="00025AE5"/>
    <w:rsid w:val="000262E1"/>
    <w:rsid w:val="000264A7"/>
    <w:rsid w:val="00026A8B"/>
    <w:rsid w:val="00026BE7"/>
    <w:rsid w:val="00026C7C"/>
    <w:rsid w:val="00026CB1"/>
    <w:rsid w:val="00026D7A"/>
    <w:rsid w:val="00026FBF"/>
    <w:rsid w:val="0002762A"/>
    <w:rsid w:val="00027763"/>
    <w:rsid w:val="00027882"/>
    <w:rsid w:val="000278F1"/>
    <w:rsid w:val="00027995"/>
    <w:rsid w:val="00027A61"/>
    <w:rsid w:val="00027CE3"/>
    <w:rsid w:val="00027DAB"/>
    <w:rsid w:val="00027FC5"/>
    <w:rsid w:val="0003017D"/>
    <w:rsid w:val="0003037D"/>
    <w:rsid w:val="00030C9F"/>
    <w:rsid w:val="00030ED1"/>
    <w:rsid w:val="00030F7B"/>
    <w:rsid w:val="000311E1"/>
    <w:rsid w:val="0003124C"/>
    <w:rsid w:val="000312A1"/>
    <w:rsid w:val="0003164E"/>
    <w:rsid w:val="00031849"/>
    <w:rsid w:val="00031BDD"/>
    <w:rsid w:val="00031F05"/>
    <w:rsid w:val="0003201D"/>
    <w:rsid w:val="00032251"/>
    <w:rsid w:val="00032311"/>
    <w:rsid w:val="000327EB"/>
    <w:rsid w:val="00032CE4"/>
    <w:rsid w:val="00033061"/>
    <w:rsid w:val="0003306C"/>
    <w:rsid w:val="0003312C"/>
    <w:rsid w:val="000332B2"/>
    <w:rsid w:val="00033458"/>
    <w:rsid w:val="00033719"/>
    <w:rsid w:val="000339DF"/>
    <w:rsid w:val="00033DFA"/>
    <w:rsid w:val="00033E65"/>
    <w:rsid w:val="00033FB5"/>
    <w:rsid w:val="00033FC4"/>
    <w:rsid w:val="000341CD"/>
    <w:rsid w:val="000348F1"/>
    <w:rsid w:val="0003494F"/>
    <w:rsid w:val="00034BDE"/>
    <w:rsid w:val="00034CA1"/>
    <w:rsid w:val="00034E57"/>
    <w:rsid w:val="00035266"/>
    <w:rsid w:val="000352C1"/>
    <w:rsid w:val="00035504"/>
    <w:rsid w:val="00035A25"/>
    <w:rsid w:val="00035F07"/>
    <w:rsid w:val="00036015"/>
    <w:rsid w:val="00036132"/>
    <w:rsid w:val="00036342"/>
    <w:rsid w:val="000363FD"/>
    <w:rsid w:val="00036575"/>
    <w:rsid w:val="00036B45"/>
    <w:rsid w:val="00036FD9"/>
    <w:rsid w:val="000373FB"/>
    <w:rsid w:val="00037950"/>
    <w:rsid w:val="00037D22"/>
    <w:rsid w:val="00037E23"/>
    <w:rsid w:val="00037F4A"/>
    <w:rsid w:val="000401FE"/>
    <w:rsid w:val="0004021A"/>
    <w:rsid w:val="00040505"/>
    <w:rsid w:val="000406B6"/>
    <w:rsid w:val="00040CA3"/>
    <w:rsid w:val="00040E7A"/>
    <w:rsid w:val="00040EDE"/>
    <w:rsid w:val="00040EF7"/>
    <w:rsid w:val="00040FCF"/>
    <w:rsid w:val="000410A1"/>
    <w:rsid w:val="000410D4"/>
    <w:rsid w:val="00041201"/>
    <w:rsid w:val="0004124B"/>
    <w:rsid w:val="0004143E"/>
    <w:rsid w:val="00041493"/>
    <w:rsid w:val="00041623"/>
    <w:rsid w:val="00041854"/>
    <w:rsid w:val="00041CF0"/>
    <w:rsid w:val="00041D3A"/>
    <w:rsid w:val="00041FE4"/>
    <w:rsid w:val="00042238"/>
    <w:rsid w:val="000423E7"/>
    <w:rsid w:val="000426A5"/>
    <w:rsid w:val="00042AFC"/>
    <w:rsid w:val="0004303B"/>
    <w:rsid w:val="0004354F"/>
    <w:rsid w:val="0004380E"/>
    <w:rsid w:val="00043A0E"/>
    <w:rsid w:val="00043BFE"/>
    <w:rsid w:val="000449F5"/>
    <w:rsid w:val="00044EFD"/>
    <w:rsid w:val="000450C4"/>
    <w:rsid w:val="0004513B"/>
    <w:rsid w:val="00046471"/>
    <w:rsid w:val="000465BA"/>
    <w:rsid w:val="000466CE"/>
    <w:rsid w:val="00046B2F"/>
    <w:rsid w:val="00046F33"/>
    <w:rsid w:val="00047154"/>
    <w:rsid w:val="0004760C"/>
    <w:rsid w:val="00047908"/>
    <w:rsid w:val="00047940"/>
    <w:rsid w:val="000479A1"/>
    <w:rsid w:val="000479D3"/>
    <w:rsid w:val="00047A6D"/>
    <w:rsid w:val="00047E8D"/>
    <w:rsid w:val="000501CD"/>
    <w:rsid w:val="000504E9"/>
    <w:rsid w:val="00050581"/>
    <w:rsid w:val="0005097D"/>
    <w:rsid w:val="00050BC9"/>
    <w:rsid w:val="00050C55"/>
    <w:rsid w:val="00050EE7"/>
    <w:rsid w:val="000516E9"/>
    <w:rsid w:val="00051987"/>
    <w:rsid w:val="00051D6F"/>
    <w:rsid w:val="00051DCC"/>
    <w:rsid w:val="0005222F"/>
    <w:rsid w:val="0005241B"/>
    <w:rsid w:val="00052444"/>
    <w:rsid w:val="00052457"/>
    <w:rsid w:val="00052541"/>
    <w:rsid w:val="000526EA"/>
    <w:rsid w:val="0005306F"/>
    <w:rsid w:val="0005324B"/>
    <w:rsid w:val="000533AA"/>
    <w:rsid w:val="000533BD"/>
    <w:rsid w:val="0005352A"/>
    <w:rsid w:val="000537C9"/>
    <w:rsid w:val="00053DED"/>
    <w:rsid w:val="00053E46"/>
    <w:rsid w:val="00053EBB"/>
    <w:rsid w:val="000540D5"/>
    <w:rsid w:val="00054175"/>
    <w:rsid w:val="00054242"/>
    <w:rsid w:val="000546A6"/>
    <w:rsid w:val="00054785"/>
    <w:rsid w:val="00054848"/>
    <w:rsid w:val="00054AEE"/>
    <w:rsid w:val="00054B31"/>
    <w:rsid w:val="00054DA2"/>
    <w:rsid w:val="00054F7C"/>
    <w:rsid w:val="00054FE4"/>
    <w:rsid w:val="00055116"/>
    <w:rsid w:val="000554D1"/>
    <w:rsid w:val="000554FF"/>
    <w:rsid w:val="00055888"/>
    <w:rsid w:val="00055BC2"/>
    <w:rsid w:val="00055EE8"/>
    <w:rsid w:val="00056222"/>
    <w:rsid w:val="00056850"/>
    <w:rsid w:val="00056879"/>
    <w:rsid w:val="00056D90"/>
    <w:rsid w:val="0005702D"/>
    <w:rsid w:val="00057281"/>
    <w:rsid w:val="000575EE"/>
    <w:rsid w:val="00057CC0"/>
    <w:rsid w:val="00057FFA"/>
    <w:rsid w:val="00060251"/>
    <w:rsid w:val="000602A5"/>
    <w:rsid w:val="0006034B"/>
    <w:rsid w:val="0006046B"/>
    <w:rsid w:val="00060545"/>
    <w:rsid w:val="00060659"/>
    <w:rsid w:val="000606F4"/>
    <w:rsid w:val="000607AD"/>
    <w:rsid w:val="0006091C"/>
    <w:rsid w:val="00060AC4"/>
    <w:rsid w:val="00060E75"/>
    <w:rsid w:val="00061B10"/>
    <w:rsid w:val="00061B1F"/>
    <w:rsid w:val="00061B2F"/>
    <w:rsid w:val="00061B67"/>
    <w:rsid w:val="00061CA6"/>
    <w:rsid w:val="00061F27"/>
    <w:rsid w:val="00062438"/>
    <w:rsid w:val="000629BA"/>
    <w:rsid w:val="00062AF0"/>
    <w:rsid w:val="00062D7C"/>
    <w:rsid w:val="00063016"/>
    <w:rsid w:val="000633B1"/>
    <w:rsid w:val="00063D8C"/>
    <w:rsid w:val="00064045"/>
    <w:rsid w:val="00064345"/>
    <w:rsid w:val="000643C9"/>
    <w:rsid w:val="00064455"/>
    <w:rsid w:val="000646BA"/>
    <w:rsid w:val="00064732"/>
    <w:rsid w:val="00064908"/>
    <w:rsid w:val="00064C90"/>
    <w:rsid w:val="00064D53"/>
    <w:rsid w:val="00064E91"/>
    <w:rsid w:val="000653DE"/>
    <w:rsid w:val="000655AC"/>
    <w:rsid w:val="00065C8F"/>
    <w:rsid w:val="00065D63"/>
    <w:rsid w:val="00065DE2"/>
    <w:rsid w:val="00065E85"/>
    <w:rsid w:val="000664D3"/>
    <w:rsid w:val="000668CE"/>
    <w:rsid w:val="00066D1F"/>
    <w:rsid w:val="00066E5B"/>
    <w:rsid w:val="00067006"/>
    <w:rsid w:val="00067058"/>
    <w:rsid w:val="00067082"/>
    <w:rsid w:val="000671BB"/>
    <w:rsid w:val="00067222"/>
    <w:rsid w:val="0006745C"/>
    <w:rsid w:val="000675EB"/>
    <w:rsid w:val="00067992"/>
    <w:rsid w:val="00067AD6"/>
    <w:rsid w:val="00067B84"/>
    <w:rsid w:val="00067BC0"/>
    <w:rsid w:val="00067CA8"/>
    <w:rsid w:val="00067D72"/>
    <w:rsid w:val="0007027A"/>
    <w:rsid w:val="0007044A"/>
    <w:rsid w:val="000704E8"/>
    <w:rsid w:val="00070ABE"/>
    <w:rsid w:val="00070ADD"/>
    <w:rsid w:val="00070E9D"/>
    <w:rsid w:val="00071076"/>
    <w:rsid w:val="00071385"/>
    <w:rsid w:val="0007148D"/>
    <w:rsid w:val="0007168C"/>
    <w:rsid w:val="00071725"/>
    <w:rsid w:val="00071774"/>
    <w:rsid w:val="00071AAD"/>
    <w:rsid w:val="00071BC4"/>
    <w:rsid w:val="00071C23"/>
    <w:rsid w:val="00071DF1"/>
    <w:rsid w:val="0007201D"/>
    <w:rsid w:val="000723DD"/>
    <w:rsid w:val="000725F1"/>
    <w:rsid w:val="00072D49"/>
    <w:rsid w:val="0007313D"/>
    <w:rsid w:val="000734DF"/>
    <w:rsid w:val="000736C3"/>
    <w:rsid w:val="00073EB2"/>
    <w:rsid w:val="000742F7"/>
    <w:rsid w:val="00074563"/>
    <w:rsid w:val="00074564"/>
    <w:rsid w:val="00074596"/>
    <w:rsid w:val="000751B8"/>
    <w:rsid w:val="0007526C"/>
    <w:rsid w:val="000753AE"/>
    <w:rsid w:val="000757A0"/>
    <w:rsid w:val="00075DF6"/>
    <w:rsid w:val="00075F56"/>
    <w:rsid w:val="000763D7"/>
    <w:rsid w:val="00076507"/>
    <w:rsid w:val="00076759"/>
    <w:rsid w:val="00076920"/>
    <w:rsid w:val="00076F09"/>
    <w:rsid w:val="00077225"/>
    <w:rsid w:val="00077441"/>
    <w:rsid w:val="0007751A"/>
    <w:rsid w:val="000775C8"/>
    <w:rsid w:val="00077C9F"/>
    <w:rsid w:val="00080799"/>
    <w:rsid w:val="000807B4"/>
    <w:rsid w:val="000807FE"/>
    <w:rsid w:val="0008086D"/>
    <w:rsid w:val="00080A12"/>
    <w:rsid w:val="00080A6A"/>
    <w:rsid w:val="00080A79"/>
    <w:rsid w:val="00080B7C"/>
    <w:rsid w:val="00080BCA"/>
    <w:rsid w:val="00080E5C"/>
    <w:rsid w:val="00080E70"/>
    <w:rsid w:val="0008113C"/>
    <w:rsid w:val="000811A6"/>
    <w:rsid w:val="000812C9"/>
    <w:rsid w:val="000816AF"/>
    <w:rsid w:val="000817E9"/>
    <w:rsid w:val="000818A3"/>
    <w:rsid w:val="00081930"/>
    <w:rsid w:val="00081951"/>
    <w:rsid w:val="000819D8"/>
    <w:rsid w:val="00081A40"/>
    <w:rsid w:val="00081CC2"/>
    <w:rsid w:val="0008217C"/>
    <w:rsid w:val="00082598"/>
    <w:rsid w:val="00082AB8"/>
    <w:rsid w:val="00082B47"/>
    <w:rsid w:val="00082C86"/>
    <w:rsid w:val="00082FA9"/>
    <w:rsid w:val="00083C23"/>
    <w:rsid w:val="00083C5D"/>
    <w:rsid w:val="00083C64"/>
    <w:rsid w:val="00083CA0"/>
    <w:rsid w:val="00083E82"/>
    <w:rsid w:val="00083F38"/>
    <w:rsid w:val="00084150"/>
    <w:rsid w:val="00084275"/>
    <w:rsid w:val="00084B69"/>
    <w:rsid w:val="00084C6C"/>
    <w:rsid w:val="0008521E"/>
    <w:rsid w:val="00085249"/>
    <w:rsid w:val="0008554B"/>
    <w:rsid w:val="0008578C"/>
    <w:rsid w:val="00085EB5"/>
    <w:rsid w:val="00085F93"/>
    <w:rsid w:val="00086127"/>
    <w:rsid w:val="0008618C"/>
    <w:rsid w:val="00086203"/>
    <w:rsid w:val="0008632D"/>
    <w:rsid w:val="00086892"/>
    <w:rsid w:val="000870D1"/>
    <w:rsid w:val="000876D4"/>
    <w:rsid w:val="00087CEB"/>
    <w:rsid w:val="00090193"/>
    <w:rsid w:val="00090196"/>
    <w:rsid w:val="00090519"/>
    <w:rsid w:val="0009090D"/>
    <w:rsid w:val="00090AFC"/>
    <w:rsid w:val="00090EFB"/>
    <w:rsid w:val="0009101B"/>
    <w:rsid w:val="0009114A"/>
    <w:rsid w:val="00091BC6"/>
    <w:rsid w:val="00091F7A"/>
    <w:rsid w:val="00092776"/>
    <w:rsid w:val="00092865"/>
    <w:rsid w:val="000928DB"/>
    <w:rsid w:val="00092B1E"/>
    <w:rsid w:val="00092F80"/>
    <w:rsid w:val="00093066"/>
    <w:rsid w:val="000937C8"/>
    <w:rsid w:val="000939C5"/>
    <w:rsid w:val="00093D29"/>
    <w:rsid w:val="00093EDD"/>
    <w:rsid w:val="00093F67"/>
    <w:rsid w:val="000941B7"/>
    <w:rsid w:val="000942C8"/>
    <w:rsid w:val="00094533"/>
    <w:rsid w:val="00094696"/>
    <w:rsid w:val="00094777"/>
    <w:rsid w:val="00094A69"/>
    <w:rsid w:val="00094ACF"/>
    <w:rsid w:val="00094B79"/>
    <w:rsid w:val="0009501C"/>
    <w:rsid w:val="000954AD"/>
    <w:rsid w:val="000955C3"/>
    <w:rsid w:val="0009563B"/>
    <w:rsid w:val="00095679"/>
    <w:rsid w:val="00095886"/>
    <w:rsid w:val="00095B3D"/>
    <w:rsid w:val="00095B73"/>
    <w:rsid w:val="000960D9"/>
    <w:rsid w:val="00096505"/>
    <w:rsid w:val="0009696A"/>
    <w:rsid w:val="00096CFB"/>
    <w:rsid w:val="00096F54"/>
    <w:rsid w:val="00097076"/>
    <w:rsid w:val="00097112"/>
    <w:rsid w:val="000974F8"/>
    <w:rsid w:val="00097B8B"/>
    <w:rsid w:val="00097C81"/>
    <w:rsid w:val="00097CC1"/>
    <w:rsid w:val="00097D1D"/>
    <w:rsid w:val="000A03E3"/>
    <w:rsid w:val="000A040D"/>
    <w:rsid w:val="000A066D"/>
    <w:rsid w:val="000A07DE"/>
    <w:rsid w:val="000A0D7A"/>
    <w:rsid w:val="000A0DDE"/>
    <w:rsid w:val="000A105B"/>
    <w:rsid w:val="000A13E2"/>
    <w:rsid w:val="000A1605"/>
    <w:rsid w:val="000A18AF"/>
    <w:rsid w:val="000A21B1"/>
    <w:rsid w:val="000A2806"/>
    <w:rsid w:val="000A282F"/>
    <w:rsid w:val="000A2BB9"/>
    <w:rsid w:val="000A2BCA"/>
    <w:rsid w:val="000A2CE7"/>
    <w:rsid w:val="000A2E11"/>
    <w:rsid w:val="000A322B"/>
    <w:rsid w:val="000A3347"/>
    <w:rsid w:val="000A37EB"/>
    <w:rsid w:val="000A390C"/>
    <w:rsid w:val="000A3B9A"/>
    <w:rsid w:val="000A4695"/>
    <w:rsid w:val="000A4763"/>
    <w:rsid w:val="000A4A6E"/>
    <w:rsid w:val="000A4C77"/>
    <w:rsid w:val="000A5303"/>
    <w:rsid w:val="000A55CD"/>
    <w:rsid w:val="000A59C7"/>
    <w:rsid w:val="000A5C77"/>
    <w:rsid w:val="000A6793"/>
    <w:rsid w:val="000A67CE"/>
    <w:rsid w:val="000A7BB1"/>
    <w:rsid w:val="000A7D65"/>
    <w:rsid w:val="000B02FD"/>
    <w:rsid w:val="000B04AC"/>
    <w:rsid w:val="000B0500"/>
    <w:rsid w:val="000B07F2"/>
    <w:rsid w:val="000B0847"/>
    <w:rsid w:val="000B0ABA"/>
    <w:rsid w:val="000B0BFB"/>
    <w:rsid w:val="000B1568"/>
    <w:rsid w:val="000B17E8"/>
    <w:rsid w:val="000B1D38"/>
    <w:rsid w:val="000B1F82"/>
    <w:rsid w:val="000B20D4"/>
    <w:rsid w:val="000B210E"/>
    <w:rsid w:val="000B260C"/>
    <w:rsid w:val="000B2ABF"/>
    <w:rsid w:val="000B317C"/>
    <w:rsid w:val="000B3BC7"/>
    <w:rsid w:val="000B3D9D"/>
    <w:rsid w:val="000B3E7F"/>
    <w:rsid w:val="000B4256"/>
    <w:rsid w:val="000B4302"/>
    <w:rsid w:val="000B445C"/>
    <w:rsid w:val="000B44D5"/>
    <w:rsid w:val="000B465C"/>
    <w:rsid w:val="000B4914"/>
    <w:rsid w:val="000B4E0D"/>
    <w:rsid w:val="000B4FC9"/>
    <w:rsid w:val="000B50FD"/>
    <w:rsid w:val="000B5139"/>
    <w:rsid w:val="000B54A0"/>
    <w:rsid w:val="000B5504"/>
    <w:rsid w:val="000B5B16"/>
    <w:rsid w:val="000B5D4A"/>
    <w:rsid w:val="000B5FE8"/>
    <w:rsid w:val="000B64F4"/>
    <w:rsid w:val="000B67F1"/>
    <w:rsid w:val="000B6889"/>
    <w:rsid w:val="000B6A83"/>
    <w:rsid w:val="000B6FF3"/>
    <w:rsid w:val="000B7508"/>
    <w:rsid w:val="000B7962"/>
    <w:rsid w:val="000B7F14"/>
    <w:rsid w:val="000C091E"/>
    <w:rsid w:val="000C09DA"/>
    <w:rsid w:val="000C0CEE"/>
    <w:rsid w:val="000C1168"/>
    <w:rsid w:val="000C1589"/>
    <w:rsid w:val="000C198C"/>
    <w:rsid w:val="000C1996"/>
    <w:rsid w:val="000C19E0"/>
    <w:rsid w:val="000C1D64"/>
    <w:rsid w:val="000C1DFD"/>
    <w:rsid w:val="000C226C"/>
    <w:rsid w:val="000C2291"/>
    <w:rsid w:val="000C2413"/>
    <w:rsid w:val="000C2678"/>
    <w:rsid w:val="000C290D"/>
    <w:rsid w:val="000C29E8"/>
    <w:rsid w:val="000C2DAC"/>
    <w:rsid w:val="000C2E2B"/>
    <w:rsid w:val="000C2E41"/>
    <w:rsid w:val="000C3071"/>
    <w:rsid w:val="000C30FF"/>
    <w:rsid w:val="000C32F0"/>
    <w:rsid w:val="000C35E8"/>
    <w:rsid w:val="000C387F"/>
    <w:rsid w:val="000C3907"/>
    <w:rsid w:val="000C3AE1"/>
    <w:rsid w:val="000C3B5A"/>
    <w:rsid w:val="000C42C2"/>
    <w:rsid w:val="000C4C74"/>
    <w:rsid w:val="000C4D53"/>
    <w:rsid w:val="000C4E15"/>
    <w:rsid w:val="000C5348"/>
    <w:rsid w:val="000C580F"/>
    <w:rsid w:val="000C593E"/>
    <w:rsid w:val="000C5B01"/>
    <w:rsid w:val="000C5C4C"/>
    <w:rsid w:val="000C6244"/>
    <w:rsid w:val="000C6423"/>
    <w:rsid w:val="000C64A3"/>
    <w:rsid w:val="000C6525"/>
    <w:rsid w:val="000C6B86"/>
    <w:rsid w:val="000C6CB1"/>
    <w:rsid w:val="000C6D6F"/>
    <w:rsid w:val="000C6DFB"/>
    <w:rsid w:val="000C6F3D"/>
    <w:rsid w:val="000C7F2E"/>
    <w:rsid w:val="000C7F4F"/>
    <w:rsid w:val="000C7FBA"/>
    <w:rsid w:val="000D018E"/>
    <w:rsid w:val="000D039D"/>
    <w:rsid w:val="000D0D17"/>
    <w:rsid w:val="000D0E08"/>
    <w:rsid w:val="000D0E42"/>
    <w:rsid w:val="000D0EB9"/>
    <w:rsid w:val="000D0F38"/>
    <w:rsid w:val="000D1411"/>
    <w:rsid w:val="000D1581"/>
    <w:rsid w:val="000D1C3C"/>
    <w:rsid w:val="000D1E29"/>
    <w:rsid w:val="000D2B95"/>
    <w:rsid w:val="000D2C9A"/>
    <w:rsid w:val="000D2E34"/>
    <w:rsid w:val="000D2EB6"/>
    <w:rsid w:val="000D3430"/>
    <w:rsid w:val="000D366B"/>
    <w:rsid w:val="000D3734"/>
    <w:rsid w:val="000D3775"/>
    <w:rsid w:val="000D3A7C"/>
    <w:rsid w:val="000D3B4C"/>
    <w:rsid w:val="000D3C58"/>
    <w:rsid w:val="000D3DF0"/>
    <w:rsid w:val="000D42D3"/>
    <w:rsid w:val="000D44D5"/>
    <w:rsid w:val="000D4526"/>
    <w:rsid w:val="000D4676"/>
    <w:rsid w:val="000D47B3"/>
    <w:rsid w:val="000D47E2"/>
    <w:rsid w:val="000D48A5"/>
    <w:rsid w:val="000D4A83"/>
    <w:rsid w:val="000D4CC7"/>
    <w:rsid w:val="000D4FEF"/>
    <w:rsid w:val="000D54C3"/>
    <w:rsid w:val="000D582E"/>
    <w:rsid w:val="000D5D39"/>
    <w:rsid w:val="000D5D74"/>
    <w:rsid w:val="000D600A"/>
    <w:rsid w:val="000D617A"/>
    <w:rsid w:val="000D62B3"/>
    <w:rsid w:val="000D6A51"/>
    <w:rsid w:val="000D6FBB"/>
    <w:rsid w:val="000D6FDD"/>
    <w:rsid w:val="000D712D"/>
    <w:rsid w:val="000D71E5"/>
    <w:rsid w:val="000D78A9"/>
    <w:rsid w:val="000D78F1"/>
    <w:rsid w:val="000D78FF"/>
    <w:rsid w:val="000D7CBF"/>
    <w:rsid w:val="000E0135"/>
    <w:rsid w:val="000E0A1D"/>
    <w:rsid w:val="000E0A30"/>
    <w:rsid w:val="000E0BF4"/>
    <w:rsid w:val="000E0F86"/>
    <w:rsid w:val="000E179A"/>
    <w:rsid w:val="000E1914"/>
    <w:rsid w:val="000E1952"/>
    <w:rsid w:val="000E1A6B"/>
    <w:rsid w:val="000E2069"/>
    <w:rsid w:val="000E24E9"/>
    <w:rsid w:val="000E2A91"/>
    <w:rsid w:val="000E2BAD"/>
    <w:rsid w:val="000E2BC7"/>
    <w:rsid w:val="000E2EC7"/>
    <w:rsid w:val="000E2FA1"/>
    <w:rsid w:val="000E30A7"/>
    <w:rsid w:val="000E32BD"/>
    <w:rsid w:val="000E3312"/>
    <w:rsid w:val="000E34D7"/>
    <w:rsid w:val="000E34E4"/>
    <w:rsid w:val="000E3CC2"/>
    <w:rsid w:val="000E3D4E"/>
    <w:rsid w:val="000E40ED"/>
    <w:rsid w:val="000E422A"/>
    <w:rsid w:val="000E4382"/>
    <w:rsid w:val="000E43D3"/>
    <w:rsid w:val="000E45C7"/>
    <w:rsid w:val="000E47C3"/>
    <w:rsid w:val="000E4CF4"/>
    <w:rsid w:val="000E5368"/>
    <w:rsid w:val="000E56FB"/>
    <w:rsid w:val="000E5A23"/>
    <w:rsid w:val="000E5ADE"/>
    <w:rsid w:val="000E5BD9"/>
    <w:rsid w:val="000E5CA2"/>
    <w:rsid w:val="000E6052"/>
    <w:rsid w:val="000E63A0"/>
    <w:rsid w:val="000E63CC"/>
    <w:rsid w:val="000E6989"/>
    <w:rsid w:val="000E6C9D"/>
    <w:rsid w:val="000E6F49"/>
    <w:rsid w:val="000E75E3"/>
    <w:rsid w:val="000E786D"/>
    <w:rsid w:val="000E79BD"/>
    <w:rsid w:val="000E7CBF"/>
    <w:rsid w:val="000F00EB"/>
    <w:rsid w:val="000F0197"/>
    <w:rsid w:val="000F07B1"/>
    <w:rsid w:val="000F0824"/>
    <w:rsid w:val="000F0A00"/>
    <w:rsid w:val="000F0ED2"/>
    <w:rsid w:val="000F13A7"/>
    <w:rsid w:val="000F1D3B"/>
    <w:rsid w:val="000F1E8E"/>
    <w:rsid w:val="000F24FA"/>
    <w:rsid w:val="000F254B"/>
    <w:rsid w:val="000F2D13"/>
    <w:rsid w:val="000F3363"/>
    <w:rsid w:val="000F3A79"/>
    <w:rsid w:val="000F3B5E"/>
    <w:rsid w:val="000F410A"/>
    <w:rsid w:val="000F446F"/>
    <w:rsid w:val="000F46E4"/>
    <w:rsid w:val="000F4CBD"/>
    <w:rsid w:val="000F4D07"/>
    <w:rsid w:val="000F4F1D"/>
    <w:rsid w:val="000F4F6B"/>
    <w:rsid w:val="000F5014"/>
    <w:rsid w:val="000F52FF"/>
    <w:rsid w:val="000F5346"/>
    <w:rsid w:val="000F5459"/>
    <w:rsid w:val="000F54DA"/>
    <w:rsid w:val="000F5815"/>
    <w:rsid w:val="000F5841"/>
    <w:rsid w:val="000F58EE"/>
    <w:rsid w:val="000F5AEA"/>
    <w:rsid w:val="000F5DE9"/>
    <w:rsid w:val="000F612E"/>
    <w:rsid w:val="000F645C"/>
    <w:rsid w:val="000F6627"/>
    <w:rsid w:val="000F67CA"/>
    <w:rsid w:val="000F67DD"/>
    <w:rsid w:val="000F6DA8"/>
    <w:rsid w:val="000F6EC9"/>
    <w:rsid w:val="000F6FBB"/>
    <w:rsid w:val="000F720E"/>
    <w:rsid w:val="000F73C5"/>
    <w:rsid w:val="000F7424"/>
    <w:rsid w:val="000F746A"/>
    <w:rsid w:val="000F75AF"/>
    <w:rsid w:val="000F7702"/>
    <w:rsid w:val="000F780C"/>
    <w:rsid w:val="000F7A20"/>
    <w:rsid w:val="000F7BF4"/>
    <w:rsid w:val="000F7F38"/>
    <w:rsid w:val="001001DF"/>
    <w:rsid w:val="00100283"/>
    <w:rsid w:val="00100A98"/>
    <w:rsid w:val="001012C9"/>
    <w:rsid w:val="001013BD"/>
    <w:rsid w:val="001013C0"/>
    <w:rsid w:val="001013F2"/>
    <w:rsid w:val="00101685"/>
    <w:rsid w:val="001017FF"/>
    <w:rsid w:val="00101DBF"/>
    <w:rsid w:val="0010209B"/>
    <w:rsid w:val="001020D8"/>
    <w:rsid w:val="00102121"/>
    <w:rsid w:val="0010226B"/>
    <w:rsid w:val="00102421"/>
    <w:rsid w:val="00102668"/>
    <w:rsid w:val="001028BE"/>
    <w:rsid w:val="00102AD9"/>
    <w:rsid w:val="00103876"/>
    <w:rsid w:val="00103945"/>
    <w:rsid w:val="001039DF"/>
    <w:rsid w:val="00103D72"/>
    <w:rsid w:val="00103E08"/>
    <w:rsid w:val="00103E5E"/>
    <w:rsid w:val="001040B2"/>
    <w:rsid w:val="0010422E"/>
    <w:rsid w:val="001042FE"/>
    <w:rsid w:val="00104782"/>
    <w:rsid w:val="001048AC"/>
    <w:rsid w:val="00104CE3"/>
    <w:rsid w:val="00104DB4"/>
    <w:rsid w:val="00104F56"/>
    <w:rsid w:val="001050A9"/>
    <w:rsid w:val="00105670"/>
    <w:rsid w:val="0010571B"/>
    <w:rsid w:val="001060AF"/>
    <w:rsid w:val="00106228"/>
    <w:rsid w:val="001062FE"/>
    <w:rsid w:val="0010633C"/>
    <w:rsid w:val="00106550"/>
    <w:rsid w:val="001068DD"/>
    <w:rsid w:val="00107219"/>
    <w:rsid w:val="00107329"/>
    <w:rsid w:val="001073E8"/>
    <w:rsid w:val="001073F3"/>
    <w:rsid w:val="00107892"/>
    <w:rsid w:val="00107E74"/>
    <w:rsid w:val="00107E87"/>
    <w:rsid w:val="00107EAB"/>
    <w:rsid w:val="00107EB4"/>
    <w:rsid w:val="00107FBD"/>
    <w:rsid w:val="00110009"/>
    <w:rsid w:val="00110759"/>
    <w:rsid w:val="00110862"/>
    <w:rsid w:val="001108C2"/>
    <w:rsid w:val="00110ECB"/>
    <w:rsid w:val="00110F8F"/>
    <w:rsid w:val="0011129E"/>
    <w:rsid w:val="00111999"/>
    <w:rsid w:val="00111BDF"/>
    <w:rsid w:val="00111EEC"/>
    <w:rsid w:val="00111FAB"/>
    <w:rsid w:val="0011203F"/>
    <w:rsid w:val="0011208A"/>
    <w:rsid w:val="001121DE"/>
    <w:rsid w:val="00112826"/>
    <w:rsid w:val="00112E20"/>
    <w:rsid w:val="00112F6C"/>
    <w:rsid w:val="00113182"/>
    <w:rsid w:val="0011336E"/>
    <w:rsid w:val="00113378"/>
    <w:rsid w:val="00113977"/>
    <w:rsid w:val="00114075"/>
    <w:rsid w:val="00114156"/>
    <w:rsid w:val="001149F4"/>
    <w:rsid w:val="00114BF6"/>
    <w:rsid w:val="001150CB"/>
    <w:rsid w:val="0011513F"/>
    <w:rsid w:val="00115140"/>
    <w:rsid w:val="00115517"/>
    <w:rsid w:val="00115867"/>
    <w:rsid w:val="001158F5"/>
    <w:rsid w:val="00115996"/>
    <w:rsid w:val="00115D0A"/>
    <w:rsid w:val="00116131"/>
    <w:rsid w:val="00116174"/>
    <w:rsid w:val="001161CE"/>
    <w:rsid w:val="0011661F"/>
    <w:rsid w:val="001166DF"/>
    <w:rsid w:val="001167D7"/>
    <w:rsid w:val="001167E0"/>
    <w:rsid w:val="00116B86"/>
    <w:rsid w:val="00116CE8"/>
    <w:rsid w:val="00116F0C"/>
    <w:rsid w:val="00117065"/>
    <w:rsid w:val="0011715A"/>
    <w:rsid w:val="001172E8"/>
    <w:rsid w:val="00117492"/>
    <w:rsid w:val="00117495"/>
    <w:rsid w:val="001174D3"/>
    <w:rsid w:val="001175AE"/>
    <w:rsid w:val="001176AF"/>
    <w:rsid w:val="00117936"/>
    <w:rsid w:val="00117F40"/>
    <w:rsid w:val="00120321"/>
    <w:rsid w:val="001203BD"/>
    <w:rsid w:val="001204B8"/>
    <w:rsid w:val="0012054E"/>
    <w:rsid w:val="0012114C"/>
    <w:rsid w:val="001216F9"/>
    <w:rsid w:val="001218BB"/>
    <w:rsid w:val="00121A50"/>
    <w:rsid w:val="00121A60"/>
    <w:rsid w:val="00121A7E"/>
    <w:rsid w:val="00121B61"/>
    <w:rsid w:val="001220CF"/>
    <w:rsid w:val="0012259B"/>
    <w:rsid w:val="001227BA"/>
    <w:rsid w:val="00122A22"/>
    <w:rsid w:val="00122B3A"/>
    <w:rsid w:val="00122BBB"/>
    <w:rsid w:val="0012317D"/>
    <w:rsid w:val="0012318F"/>
    <w:rsid w:val="00123291"/>
    <w:rsid w:val="00123341"/>
    <w:rsid w:val="0012364D"/>
    <w:rsid w:val="0012368E"/>
    <w:rsid w:val="001236A1"/>
    <w:rsid w:val="00123AA1"/>
    <w:rsid w:val="00123F07"/>
    <w:rsid w:val="00123F4F"/>
    <w:rsid w:val="00123FB0"/>
    <w:rsid w:val="001240CE"/>
    <w:rsid w:val="00124C27"/>
    <w:rsid w:val="00125199"/>
    <w:rsid w:val="00125387"/>
    <w:rsid w:val="00125619"/>
    <w:rsid w:val="00126032"/>
    <w:rsid w:val="0012619F"/>
    <w:rsid w:val="001262B7"/>
    <w:rsid w:val="00126316"/>
    <w:rsid w:val="00126423"/>
    <w:rsid w:val="00126733"/>
    <w:rsid w:val="0012692C"/>
    <w:rsid w:val="0012696F"/>
    <w:rsid w:val="00126CDE"/>
    <w:rsid w:val="00126DD8"/>
    <w:rsid w:val="001270E7"/>
    <w:rsid w:val="001273FD"/>
    <w:rsid w:val="00127434"/>
    <w:rsid w:val="00127457"/>
    <w:rsid w:val="0012752F"/>
    <w:rsid w:val="00127F0B"/>
    <w:rsid w:val="00130063"/>
    <w:rsid w:val="001300BD"/>
    <w:rsid w:val="00130322"/>
    <w:rsid w:val="001305CA"/>
    <w:rsid w:val="0013075E"/>
    <w:rsid w:val="00130825"/>
    <w:rsid w:val="00130A1B"/>
    <w:rsid w:val="00130B03"/>
    <w:rsid w:val="00130DB3"/>
    <w:rsid w:val="00130DE6"/>
    <w:rsid w:val="00131363"/>
    <w:rsid w:val="0013137B"/>
    <w:rsid w:val="00131417"/>
    <w:rsid w:val="00131936"/>
    <w:rsid w:val="00131B9C"/>
    <w:rsid w:val="00131CD5"/>
    <w:rsid w:val="00131FB6"/>
    <w:rsid w:val="0013221B"/>
    <w:rsid w:val="001324CC"/>
    <w:rsid w:val="00132D76"/>
    <w:rsid w:val="00132EB8"/>
    <w:rsid w:val="0013337B"/>
    <w:rsid w:val="0013358E"/>
    <w:rsid w:val="00133CF9"/>
    <w:rsid w:val="00133FAA"/>
    <w:rsid w:val="00133FF7"/>
    <w:rsid w:val="001340EE"/>
    <w:rsid w:val="001344E8"/>
    <w:rsid w:val="00134572"/>
    <w:rsid w:val="001345D1"/>
    <w:rsid w:val="00134952"/>
    <w:rsid w:val="00134A8F"/>
    <w:rsid w:val="00134DF7"/>
    <w:rsid w:val="0013509E"/>
    <w:rsid w:val="001350EF"/>
    <w:rsid w:val="00135174"/>
    <w:rsid w:val="001351CE"/>
    <w:rsid w:val="001352EB"/>
    <w:rsid w:val="001353C9"/>
    <w:rsid w:val="0013549C"/>
    <w:rsid w:val="00135B76"/>
    <w:rsid w:val="00135FD5"/>
    <w:rsid w:val="00136072"/>
    <w:rsid w:val="00136639"/>
    <w:rsid w:val="00136A1E"/>
    <w:rsid w:val="00136B28"/>
    <w:rsid w:val="00136C2E"/>
    <w:rsid w:val="00136DF1"/>
    <w:rsid w:val="0013709A"/>
    <w:rsid w:val="0013722C"/>
    <w:rsid w:val="00137474"/>
    <w:rsid w:val="001376AF"/>
    <w:rsid w:val="001377D1"/>
    <w:rsid w:val="00137821"/>
    <w:rsid w:val="001379FA"/>
    <w:rsid w:val="00137A11"/>
    <w:rsid w:val="00137BF1"/>
    <w:rsid w:val="00140037"/>
    <w:rsid w:val="00140609"/>
    <w:rsid w:val="00140681"/>
    <w:rsid w:val="00140747"/>
    <w:rsid w:val="00140D2C"/>
    <w:rsid w:val="00140E0A"/>
    <w:rsid w:val="00140E79"/>
    <w:rsid w:val="00140F19"/>
    <w:rsid w:val="0014100A"/>
    <w:rsid w:val="001410A7"/>
    <w:rsid w:val="001410EC"/>
    <w:rsid w:val="00141453"/>
    <w:rsid w:val="001414D7"/>
    <w:rsid w:val="001418D9"/>
    <w:rsid w:val="00141932"/>
    <w:rsid w:val="00141B83"/>
    <w:rsid w:val="0014202A"/>
    <w:rsid w:val="00142253"/>
    <w:rsid w:val="0014258E"/>
    <w:rsid w:val="00142C5F"/>
    <w:rsid w:val="00142CD1"/>
    <w:rsid w:val="00142D49"/>
    <w:rsid w:val="00142F44"/>
    <w:rsid w:val="00142FAA"/>
    <w:rsid w:val="00143329"/>
    <w:rsid w:val="00143B7A"/>
    <w:rsid w:val="00143BE7"/>
    <w:rsid w:val="00143DB3"/>
    <w:rsid w:val="00143FB0"/>
    <w:rsid w:val="0014409F"/>
    <w:rsid w:val="00144411"/>
    <w:rsid w:val="001446EC"/>
    <w:rsid w:val="0014481A"/>
    <w:rsid w:val="00144A93"/>
    <w:rsid w:val="00144CD5"/>
    <w:rsid w:val="001451AB"/>
    <w:rsid w:val="00145240"/>
    <w:rsid w:val="00145693"/>
    <w:rsid w:val="00145794"/>
    <w:rsid w:val="001459A9"/>
    <w:rsid w:val="00145A12"/>
    <w:rsid w:val="00145A3E"/>
    <w:rsid w:val="00145CE3"/>
    <w:rsid w:val="00145E1E"/>
    <w:rsid w:val="00145EB6"/>
    <w:rsid w:val="00146072"/>
    <w:rsid w:val="00146133"/>
    <w:rsid w:val="00146227"/>
    <w:rsid w:val="0014626A"/>
    <w:rsid w:val="0014687C"/>
    <w:rsid w:val="00146887"/>
    <w:rsid w:val="00146F4F"/>
    <w:rsid w:val="00146F68"/>
    <w:rsid w:val="001470A9"/>
    <w:rsid w:val="001475F7"/>
    <w:rsid w:val="00147EEB"/>
    <w:rsid w:val="0015069C"/>
    <w:rsid w:val="00150806"/>
    <w:rsid w:val="00150903"/>
    <w:rsid w:val="001509A6"/>
    <w:rsid w:val="00150BED"/>
    <w:rsid w:val="00150CBF"/>
    <w:rsid w:val="00150EB7"/>
    <w:rsid w:val="00151483"/>
    <w:rsid w:val="0015179B"/>
    <w:rsid w:val="001517FB"/>
    <w:rsid w:val="00151A43"/>
    <w:rsid w:val="00151A7C"/>
    <w:rsid w:val="00152032"/>
    <w:rsid w:val="00152190"/>
    <w:rsid w:val="001523B9"/>
    <w:rsid w:val="001525ED"/>
    <w:rsid w:val="00152885"/>
    <w:rsid w:val="00152A73"/>
    <w:rsid w:val="0015309C"/>
    <w:rsid w:val="001530DB"/>
    <w:rsid w:val="00153243"/>
    <w:rsid w:val="00153418"/>
    <w:rsid w:val="00153500"/>
    <w:rsid w:val="00153633"/>
    <w:rsid w:val="00153799"/>
    <w:rsid w:val="0015394B"/>
    <w:rsid w:val="00153B5F"/>
    <w:rsid w:val="00153BEA"/>
    <w:rsid w:val="00153BF8"/>
    <w:rsid w:val="001540BD"/>
    <w:rsid w:val="0015429D"/>
    <w:rsid w:val="001549FF"/>
    <w:rsid w:val="00154F85"/>
    <w:rsid w:val="00154F9B"/>
    <w:rsid w:val="001552B4"/>
    <w:rsid w:val="00155341"/>
    <w:rsid w:val="00155508"/>
    <w:rsid w:val="00155733"/>
    <w:rsid w:val="00155ADE"/>
    <w:rsid w:val="00155CDE"/>
    <w:rsid w:val="00156011"/>
    <w:rsid w:val="001562E8"/>
    <w:rsid w:val="00156690"/>
    <w:rsid w:val="0015677A"/>
    <w:rsid w:val="00156821"/>
    <w:rsid w:val="00156857"/>
    <w:rsid w:val="0015697C"/>
    <w:rsid w:val="00156B9A"/>
    <w:rsid w:val="00156E2E"/>
    <w:rsid w:val="00157147"/>
    <w:rsid w:val="00157335"/>
    <w:rsid w:val="001575A1"/>
    <w:rsid w:val="00157603"/>
    <w:rsid w:val="00157AC3"/>
    <w:rsid w:val="00157B20"/>
    <w:rsid w:val="00157CA2"/>
    <w:rsid w:val="00157E0E"/>
    <w:rsid w:val="001602C1"/>
    <w:rsid w:val="001603B6"/>
    <w:rsid w:val="00161271"/>
    <w:rsid w:val="001612C3"/>
    <w:rsid w:val="00161463"/>
    <w:rsid w:val="0016156C"/>
    <w:rsid w:val="001617F9"/>
    <w:rsid w:val="00161937"/>
    <w:rsid w:val="00161EEB"/>
    <w:rsid w:val="001623DF"/>
    <w:rsid w:val="001626C4"/>
    <w:rsid w:val="001627A0"/>
    <w:rsid w:val="00162A64"/>
    <w:rsid w:val="00162D5C"/>
    <w:rsid w:val="00162E38"/>
    <w:rsid w:val="00162E63"/>
    <w:rsid w:val="00162ECF"/>
    <w:rsid w:val="00163196"/>
    <w:rsid w:val="00163415"/>
    <w:rsid w:val="0016344E"/>
    <w:rsid w:val="00163502"/>
    <w:rsid w:val="00163701"/>
    <w:rsid w:val="00163729"/>
    <w:rsid w:val="001638E3"/>
    <w:rsid w:val="00163AC0"/>
    <w:rsid w:val="00163EF9"/>
    <w:rsid w:val="0016411A"/>
    <w:rsid w:val="00164165"/>
    <w:rsid w:val="001642EB"/>
    <w:rsid w:val="00164503"/>
    <w:rsid w:val="001645F9"/>
    <w:rsid w:val="001646A1"/>
    <w:rsid w:val="00164757"/>
    <w:rsid w:val="001648D1"/>
    <w:rsid w:val="001648E9"/>
    <w:rsid w:val="00164A9C"/>
    <w:rsid w:val="00164BE3"/>
    <w:rsid w:val="00164CCA"/>
    <w:rsid w:val="00164D4D"/>
    <w:rsid w:val="00164F40"/>
    <w:rsid w:val="00165897"/>
    <w:rsid w:val="001658D3"/>
    <w:rsid w:val="00165C67"/>
    <w:rsid w:val="0016626E"/>
    <w:rsid w:val="00166700"/>
    <w:rsid w:val="001667B9"/>
    <w:rsid w:val="00166BC5"/>
    <w:rsid w:val="00166D67"/>
    <w:rsid w:val="00166D8B"/>
    <w:rsid w:val="00166F1C"/>
    <w:rsid w:val="00167009"/>
    <w:rsid w:val="001670A8"/>
    <w:rsid w:val="001676C0"/>
    <w:rsid w:val="001677A1"/>
    <w:rsid w:val="00167B45"/>
    <w:rsid w:val="00167C34"/>
    <w:rsid w:val="001702F9"/>
    <w:rsid w:val="00170325"/>
    <w:rsid w:val="001703C2"/>
    <w:rsid w:val="0017048A"/>
    <w:rsid w:val="001705BA"/>
    <w:rsid w:val="00170944"/>
    <w:rsid w:val="00170966"/>
    <w:rsid w:val="00170BA4"/>
    <w:rsid w:val="00170FBD"/>
    <w:rsid w:val="00171193"/>
    <w:rsid w:val="001713B0"/>
    <w:rsid w:val="00171666"/>
    <w:rsid w:val="001718FB"/>
    <w:rsid w:val="00171B60"/>
    <w:rsid w:val="001729CD"/>
    <w:rsid w:val="00172AE0"/>
    <w:rsid w:val="00172EE6"/>
    <w:rsid w:val="001733B5"/>
    <w:rsid w:val="00173640"/>
    <w:rsid w:val="001736D6"/>
    <w:rsid w:val="0017386D"/>
    <w:rsid w:val="001738B0"/>
    <w:rsid w:val="00173C51"/>
    <w:rsid w:val="00173D57"/>
    <w:rsid w:val="001740F8"/>
    <w:rsid w:val="001741F3"/>
    <w:rsid w:val="0017466C"/>
    <w:rsid w:val="00174730"/>
    <w:rsid w:val="00174B0C"/>
    <w:rsid w:val="00174D59"/>
    <w:rsid w:val="001752C9"/>
    <w:rsid w:val="0017567B"/>
    <w:rsid w:val="0017575A"/>
    <w:rsid w:val="00175A39"/>
    <w:rsid w:val="00175B5A"/>
    <w:rsid w:val="0017600A"/>
    <w:rsid w:val="0017686F"/>
    <w:rsid w:val="00176AFA"/>
    <w:rsid w:val="00177250"/>
    <w:rsid w:val="001774F7"/>
    <w:rsid w:val="0017776C"/>
    <w:rsid w:val="00177928"/>
    <w:rsid w:val="001779CB"/>
    <w:rsid w:val="00177A6E"/>
    <w:rsid w:val="00180195"/>
    <w:rsid w:val="001804FC"/>
    <w:rsid w:val="001807F7"/>
    <w:rsid w:val="0018082C"/>
    <w:rsid w:val="00180887"/>
    <w:rsid w:val="00180937"/>
    <w:rsid w:val="0018098B"/>
    <w:rsid w:val="00180DC6"/>
    <w:rsid w:val="00181411"/>
    <w:rsid w:val="001816AC"/>
    <w:rsid w:val="00181B23"/>
    <w:rsid w:val="00181DCE"/>
    <w:rsid w:val="0018203D"/>
    <w:rsid w:val="00182280"/>
    <w:rsid w:val="00182367"/>
    <w:rsid w:val="001824BB"/>
    <w:rsid w:val="001825BA"/>
    <w:rsid w:val="001826FD"/>
    <w:rsid w:val="00182923"/>
    <w:rsid w:val="00182BBF"/>
    <w:rsid w:val="00182FE0"/>
    <w:rsid w:val="00183315"/>
    <w:rsid w:val="001833D3"/>
    <w:rsid w:val="0018365F"/>
    <w:rsid w:val="00183922"/>
    <w:rsid w:val="00183BBE"/>
    <w:rsid w:val="00184145"/>
    <w:rsid w:val="00184501"/>
    <w:rsid w:val="00184951"/>
    <w:rsid w:val="00184B91"/>
    <w:rsid w:val="00184F29"/>
    <w:rsid w:val="00184FBE"/>
    <w:rsid w:val="00185125"/>
    <w:rsid w:val="00185127"/>
    <w:rsid w:val="00185165"/>
    <w:rsid w:val="00185546"/>
    <w:rsid w:val="001856E0"/>
    <w:rsid w:val="001858C7"/>
    <w:rsid w:val="0018594E"/>
    <w:rsid w:val="00185B67"/>
    <w:rsid w:val="0018660D"/>
    <w:rsid w:val="00186623"/>
    <w:rsid w:val="0018682B"/>
    <w:rsid w:val="00186EEB"/>
    <w:rsid w:val="00187172"/>
    <w:rsid w:val="001872E3"/>
    <w:rsid w:val="001876F2"/>
    <w:rsid w:val="00187720"/>
    <w:rsid w:val="00187BAA"/>
    <w:rsid w:val="00187CAE"/>
    <w:rsid w:val="00187D98"/>
    <w:rsid w:val="00187DE8"/>
    <w:rsid w:val="00187F7F"/>
    <w:rsid w:val="0019032B"/>
    <w:rsid w:val="00190895"/>
    <w:rsid w:val="00190F02"/>
    <w:rsid w:val="00190F8B"/>
    <w:rsid w:val="00190FA9"/>
    <w:rsid w:val="00191156"/>
    <w:rsid w:val="001912E3"/>
    <w:rsid w:val="001915B3"/>
    <w:rsid w:val="001917BB"/>
    <w:rsid w:val="00191882"/>
    <w:rsid w:val="00191964"/>
    <w:rsid w:val="00191F96"/>
    <w:rsid w:val="0019202D"/>
    <w:rsid w:val="00192118"/>
    <w:rsid w:val="001924F2"/>
    <w:rsid w:val="00192620"/>
    <w:rsid w:val="0019280A"/>
    <w:rsid w:val="00192978"/>
    <w:rsid w:val="00192A25"/>
    <w:rsid w:val="00192B17"/>
    <w:rsid w:val="00192C77"/>
    <w:rsid w:val="00192DF8"/>
    <w:rsid w:val="00192F57"/>
    <w:rsid w:val="00193019"/>
    <w:rsid w:val="00193093"/>
    <w:rsid w:val="001931FA"/>
    <w:rsid w:val="00193271"/>
    <w:rsid w:val="00193877"/>
    <w:rsid w:val="001940BD"/>
    <w:rsid w:val="001942DD"/>
    <w:rsid w:val="00194582"/>
    <w:rsid w:val="001945DE"/>
    <w:rsid w:val="001945E1"/>
    <w:rsid w:val="00194613"/>
    <w:rsid w:val="00194A93"/>
    <w:rsid w:val="00194ABE"/>
    <w:rsid w:val="00194F60"/>
    <w:rsid w:val="001952DD"/>
    <w:rsid w:val="00195827"/>
    <w:rsid w:val="001958AD"/>
    <w:rsid w:val="00195D0B"/>
    <w:rsid w:val="00195F7F"/>
    <w:rsid w:val="001961E4"/>
    <w:rsid w:val="00196210"/>
    <w:rsid w:val="00196962"/>
    <w:rsid w:val="00196F23"/>
    <w:rsid w:val="00197062"/>
    <w:rsid w:val="001975B0"/>
    <w:rsid w:val="00197603"/>
    <w:rsid w:val="00197895"/>
    <w:rsid w:val="00197931"/>
    <w:rsid w:val="00197B62"/>
    <w:rsid w:val="00197CDD"/>
    <w:rsid w:val="00197E33"/>
    <w:rsid w:val="001A01AE"/>
    <w:rsid w:val="001A0365"/>
    <w:rsid w:val="001A0367"/>
    <w:rsid w:val="001A0769"/>
    <w:rsid w:val="001A0A3A"/>
    <w:rsid w:val="001A0C6D"/>
    <w:rsid w:val="001A0F1D"/>
    <w:rsid w:val="001A1178"/>
    <w:rsid w:val="001A11F3"/>
    <w:rsid w:val="001A145E"/>
    <w:rsid w:val="001A181C"/>
    <w:rsid w:val="001A2021"/>
    <w:rsid w:val="001A21A9"/>
    <w:rsid w:val="001A229B"/>
    <w:rsid w:val="001A2338"/>
    <w:rsid w:val="001A2490"/>
    <w:rsid w:val="001A24A2"/>
    <w:rsid w:val="001A2BD9"/>
    <w:rsid w:val="001A3190"/>
    <w:rsid w:val="001A377C"/>
    <w:rsid w:val="001A3973"/>
    <w:rsid w:val="001A3EE3"/>
    <w:rsid w:val="001A4140"/>
    <w:rsid w:val="001A422A"/>
    <w:rsid w:val="001A475F"/>
    <w:rsid w:val="001A4BE5"/>
    <w:rsid w:val="001A4CE6"/>
    <w:rsid w:val="001A4F8F"/>
    <w:rsid w:val="001A5044"/>
    <w:rsid w:val="001A51C1"/>
    <w:rsid w:val="001A52C6"/>
    <w:rsid w:val="001A5689"/>
    <w:rsid w:val="001A56D8"/>
    <w:rsid w:val="001A57B6"/>
    <w:rsid w:val="001A57E4"/>
    <w:rsid w:val="001A58A5"/>
    <w:rsid w:val="001A5B39"/>
    <w:rsid w:val="001A5C1F"/>
    <w:rsid w:val="001A5D0C"/>
    <w:rsid w:val="001A5F62"/>
    <w:rsid w:val="001A6679"/>
    <w:rsid w:val="001A677E"/>
    <w:rsid w:val="001A6785"/>
    <w:rsid w:val="001A6940"/>
    <w:rsid w:val="001A6DCB"/>
    <w:rsid w:val="001A702E"/>
    <w:rsid w:val="001A70E9"/>
    <w:rsid w:val="001A7517"/>
    <w:rsid w:val="001A77E5"/>
    <w:rsid w:val="001A7837"/>
    <w:rsid w:val="001A78DB"/>
    <w:rsid w:val="001A78F7"/>
    <w:rsid w:val="001A7A52"/>
    <w:rsid w:val="001A7CD9"/>
    <w:rsid w:val="001A7E1D"/>
    <w:rsid w:val="001A7E27"/>
    <w:rsid w:val="001B0290"/>
    <w:rsid w:val="001B0843"/>
    <w:rsid w:val="001B0903"/>
    <w:rsid w:val="001B0DCF"/>
    <w:rsid w:val="001B0E4D"/>
    <w:rsid w:val="001B0F3A"/>
    <w:rsid w:val="001B0F86"/>
    <w:rsid w:val="001B1094"/>
    <w:rsid w:val="001B125D"/>
    <w:rsid w:val="001B142E"/>
    <w:rsid w:val="001B16D9"/>
    <w:rsid w:val="001B18A3"/>
    <w:rsid w:val="001B1D2E"/>
    <w:rsid w:val="001B2180"/>
    <w:rsid w:val="001B23CD"/>
    <w:rsid w:val="001B2407"/>
    <w:rsid w:val="001B2B17"/>
    <w:rsid w:val="001B2F7A"/>
    <w:rsid w:val="001B2FA9"/>
    <w:rsid w:val="001B31E5"/>
    <w:rsid w:val="001B3684"/>
    <w:rsid w:val="001B3AAB"/>
    <w:rsid w:val="001B3ECB"/>
    <w:rsid w:val="001B4062"/>
    <w:rsid w:val="001B4319"/>
    <w:rsid w:val="001B4602"/>
    <w:rsid w:val="001B49BA"/>
    <w:rsid w:val="001B503E"/>
    <w:rsid w:val="001B508A"/>
    <w:rsid w:val="001B515A"/>
    <w:rsid w:val="001B5194"/>
    <w:rsid w:val="001B5255"/>
    <w:rsid w:val="001B56CA"/>
    <w:rsid w:val="001B5933"/>
    <w:rsid w:val="001B5BE6"/>
    <w:rsid w:val="001B61DF"/>
    <w:rsid w:val="001B629C"/>
    <w:rsid w:val="001B670E"/>
    <w:rsid w:val="001B6826"/>
    <w:rsid w:val="001B6C7B"/>
    <w:rsid w:val="001B6DD1"/>
    <w:rsid w:val="001B6FE7"/>
    <w:rsid w:val="001B7184"/>
    <w:rsid w:val="001B739F"/>
    <w:rsid w:val="001B756E"/>
    <w:rsid w:val="001B79E9"/>
    <w:rsid w:val="001B7B03"/>
    <w:rsid w:val="001B7F70"/>
    <w:rsid w:val="001C0388"/>
    <w:rsid w:val="001C0463"/>
    <w:rsid w:val="001C0D76"/>
    <w:rsid w:val="001C0F20"/>
    <w:rsid w:val="001C102F"/>
    <w:rsid w:val="001C12AC"/>
    <w:rsid w:val="001C135B"/>
    <w:rsid w:val="001C1386"/>
    <w:rsid w:val="001C148F"/>
    <w:rsid w:val="001C182F"/>
    <w:rsid w:val="001C1AB5"/>
    <w:rsid w:val="001C1C4B"/>
    <w:rsid w:val="001C1CAA"/>
    <w:rsid w:val="001C268E"/>
    <w:rsid w:val="001C288F"/>
    <w:rsid w:val="001C29F6"/>
    <w:rsid w:val="001C2E4A"/>
    <w:rsid w:val="001C3514"/>
    <w:rsid w:val="001C3690"/>
    <w:rsid w:val="001C3948"/>
    <w:rsid w:val="001C3C63"/>
    <w:rsid w:val="001C3DED"/>
    <w:rsid w:val="001C4071"/>
    <w:rsid w:val="001C41F0"/>
    <w:rsid w:val="001C4228"/>
    <w:rsid w:val="001C4409"/>
    <w:rsid w:val="001C4498"/>
    <w:rsid w:val="001C44A3"/>
    <w:rsid w:val="001C4598"/>
    <w:rsid w:val="001C48A0"/>
    <w:rsid w:val="001C48CF"/>
    <w:rsid w:val="001C4A50"/>
    <w:rsid w:val="001C4BC5"/>
    <w:rsid w:val="001C4D0F"/>
    <w:rsid w:val="001C512D"/>
    <w:rsid w:val="001C5505"/>
    <w:rsid w:val="001C562D"/>
    <w:rsid w:val="001C5DBC"/>
    <w:rsid w:val="001C64A9"/>
    <w:rsid w:val="001C6682"/>
    <w:rsid w:val="001C691D"/>
    <w:rsid w:val="001C69A7"/>
    <w:rsid w:val="001C6A5D"/>
    <w:rsid w:val="001C6B01"/>
    <w:rsid w:val="001C6C81"/>
    <w:rsid w:val="001C6D8D"/>
    <w:rsid w:val="001C6F75"/>
    <w:rsid w:val="001C7008"/>
    <w:rsid w:val="001C7274"/>
    <w:rsid w:val="001C73AB"/>
    <w:rsid w:val="001C763F"/>
    <w:rsid w:val="001C7673"/>
    <w:rsid w:val="001C7C65"/>
    <w:rsid w:val="001C7C9B"/>
    <w:rsid w:val="001C7D85"/>
    <w:rsid w:val="001C7F1C"/>
    <w:rsid w:val="001D0333"/>
    <w:rsid w:val="001D0649"/>
    <w:rsid w:val="001D0A44"/>
    <w:rsid w:val="001D0D8F"/>
    <w:rsid w:val="001D12F5"/>
    <w:rsid w:val="001D13F1"/>
    <w:rsid w:val="001D1420"/>
    <w:rsid w:val="001D1519"/>
    <w:rsid w:val="001D1712"/>
    <w:rsid w:val="001D1D7B"/>
    <w:rsid w:val="001D2443"/>
    <w:rsid w:val="001D25F9"/>
    <w:rsid w:val="001D271D"/>
    <w:rsid w:val="001D280A"/>
    <w:rsid w:val="001D2881"/>
    <w:rsid w:val="001D2EAF"/>
    <w:rsid w:val="001D2F76"/>
    <w:rsid w:val="001D2FFE"/>
    <w:rsid w:val="001D30BB"/>
    <w:rsid w:val="001D38BE"/>
    <w:rsid w:val="001D3C5C"/>
    <w:rsid w:val="001D3ED0"/>
    <w:rsid w:val="001D3F58"/>
    <w:rsid w:val="001D4032"/>
    <w:rsid w:val="001D416E"/>
    <w:rsid w:val="001D53E3"/>
    <w:rsid w:val="001D569A"/>
    <w:rsid w:val="001D591F"/>
    <w:rsid w:val="001D5D55"/>
    <w:rsid w:val="001D5F69"/>
    <w:rsid w:val="001D6007"/>
    <w:rsid w:val="001D6055"/>
    <w:rsid w:val="001D61BD"/>
    <w:rsid w:val="001D63B1"/>
    <w:rsid w:val="001D64F4"/>
    <w:rsid w:val="001D69E7"/>
    <w:rsid w:val="001D6AD5"/>
    <w:rsid w:val="001D6B20"/>
    <w:rsid w:val="001D6ECC"/>
    <w:rsid w:val="001D709E"/>
    <w:rsid w:val="001D7420"/>
    <w:rsid w:val="001D74DA"/>
    <w:rsid w:val="001D78E4"/>
    <w:rsid w:val="001D7E3F"/>
    <w:rsid w:val="001E05EA"/>
    <w:rsid w:val="001E06D7"/>
    <w:rsid w:val="001E07D7"/>
    <w:rsid w:val="001E087E"/>
    <w:rsid w:val="001E0D97"/>
    <w:rsid w:val="001E0E96"/>
    <w:rsid w:val="001E0F3B"/>
    <w:rsid w:val="001E126B"/>
    <w:rsid w:val="001E17F3"/>
    <w:rsid w:val="001E1C5E"/>
    <w:rsid w:val="001E1F6A"/>
    <w:rsid w:val="001E22A0"/>
    <w:rsid w:val="001E22F4"/>
    <w:rsid w:val="001E25ED"/>
    <w:rsid w:val="001E2669"/>
    <w:rsid w:val="001E2742"/>
    <w:rsid w:val="001E2748"/>
    <w:rsid w:val="001E2787"/>
    <w:rsid w:val="001E2999"/>
    <w:rsid w:val="001E2C60"/>
    <w:rsid w:val="001E32BC"/>
    <w:rsid w:val="001E387B"/>
    <w:rsid w:val="001E3BE5"/>
    <w:rsid w:val="001E3DCC"/>
    <w:rsid w:val="001E416C"/>
    <w:rsid w:val="001E430B"/>
    <w:rsid w:val="001E4537"/>
    <w:rsid w:val="001E4ABC"/>
    <w:rsid w:val="001E4AE9"/>
    <w:rsid w:val="001E55EC"/>
    <w:rsid w:val="001E5B97"/>
    <w:rsid w:val="001E5C32"/>
    <w:rsid w:val="001E5D5D"/>
    <w:rsid w:val="001E5EB0"/>
    <w:rsid w:val="001E6A7C"/>
    <w:rsid w:val="001E6AA9"/>
    <w:rsid w:val="001E6C52"/>
    <w:rsid w:val="001E6C80"/>
    <w:rsid w:val="001E6F26"/>
    <w:rsid w:val="001E7076"/>
    <w:rsid w:val="001E729A"/>
    <w:rsid w:val="001E7348"/>
    <w:rsid w:val="001E7527"/>
    <w:rsid w:val="001E79E0"/>
    <w:rsid w:val="001F0C7F"/>
    <w:rsid w:val="001F13DF"/>
    <w:rsid w:val="001F13E8"/>
    <w:rsid w:val="001F1401"/>
    <w:rsid w:val="001F15F3"/>
    <w:rsid w:val="001F17DD"/>
    <w:rsid w:val="001F1CE6"/>
    <w:rsid w:val="001F1DD2"/>
    <w:rsid w:val="001F205B"/>
    <w:rsid w:val="001F213D"/>
    <w:rsid w:val="001F2362"/>
    <w:rsid w:val="001F24C3"/>
    <w:rsid w:val="001F27B8"/>
    <w:rsid w:val="001F2829"/>
    <w:rsid w:val="001F3BAC"/>
    <w:rsid w:val="001F3C30"/>
    <w:rsid w:val="001F3E4E"/>
    <w:rsid w:val="001F410A"/>
    <w:rsid w:val="001F428C"/>
    <w:rsid w:val="001F449D"/>
    <w:rsid w:val="001F4861"/>
    <w:rsid w:val="001F4B10"/>
    <w:rsid w:val="001F4C2C"/>
    <w:rsid w:val="001F54D2"/>
    <w:rsid w:val="001F5684"/>
    <w:rsid w:val="001F5AA5"/>
    <w:rsid w:val="001F5C5F"/>
    <w:rsid w:val="001F5FAA"/>
    <w:rsid w:val="001F6060"/>
    <w:rsid w:val="001F618D"/>
    <w:rsid w:val="001F64E7"/>
    <w:rsid w:val="001F6572"/>
    <w:rsid w:val="001F6B43"/>
    <w:rsid w:val="001F6CF2"/>
    <w:rsid w:val="001F6D77"/>
    <w:rsid w:val="001F7139"/>
    <w:rsid w:val="001F73DB"/>
    <w:rsid w:val="001F751F"/>
    <w:rsid w:val="001F7926"/>
    <w:rsid w:val="001F7C0E"/>
    <w:rsid w:val="001F7DC8"/>
    <w:rsid w:val="001F7F0A"/>
    <w:rsid w:val="002000B0"/>
    <w:rsid w:val="002000F4"/>
    <w:rsid w:val="002008A9"/>
    <w:rsid w:val="002009F9"/>
    <w:rsid w:val="00200A06"/>
    <w:rsid w:val="00200BCE"/>
    <w:rsid w:val="00200D9A"/>
    <w:rsid w:val="002010DA"/>
    <w:rsid w:val="0020114B"/>
    <w:rsid w:val="0020126F"/>
    <w:rsid w:val="002017F2"/>
    <w:rsid w:val="002022F5"/>
    <w:rsid w:val="00202350"/>
    <w:rsid w:val="0020263A"/>
    <w:rsid w:val="00202752"/>
    <w:rsid w:val="00202838"/>
    <w:rsid w:val="00202869"/>
    <w:rsid w:val="00202D4E"/>
    <w:rsid w:val="00202E22"/>
    <w:rsid w:val="0020303A"/>
    <w:rsid w:val="002031C0"/>
    <w:rsid w:val="002031F0"/>
    <w:rsid w:val="00203700"/>
    <w:rsid w:val="00203781"/>
    <w:rsid w:val="00203875"/>
    <w:rsid w:val="00204071"/>
    <w:rsid w:val="002040E9"/>
    <w:rsid w:val="00204794"/>
    <w:rsid w:val="0020483B"/>
    <w:rsid w:val="0020499A"/>
    <w:rsid w:val="002049F4"/>
    <w:rsid w:val="00204AB8"/>
    <w:rsid w:val="00204D98"/>
    <w:rsid w:val="00204FD5"/>
    <w:rsid w:val="00205790"/>
    <w:rsid w:val="002057AA"/>
    <w:rsid w:val="00205868"/>
    <w:rsid w:val="0020596D"/>
    <w:rsid w:val="00205EC3"/>
    <w:rsid w:val="00205F89"/>
    <w:rsid w:val="00206324"/>
    <w:rsid w:val="00206469"/>
    <w:rsid w:val="002068A8"/>
    <w:rsid w:val="0020736A"/>
    <w:rsid w:val="0020782F"/>
    <w:rsid w:val="00207C44"/>
    <w:rsid w:val="00207C65"/>
    <w:rsid w:val="00207D5C"/>
    <w:rsid w:val="00207D9F"/>
    <w:rsid w:val="00207DE5"/>
    <w:rsid w:val="00207ECE"/>
    <w:rsid w:val="002101DA"/>
    <w:rsid w:val="002105C0"/>
    <w:rsid w:val="00210B42"/>
    <w:rsid w:val="00211381"/>
    <w:rsid w:val="00211428"/>
    <w:rsid w:val="00211521"/>
    <w:rsid w:val="002118D5"/>
    <w:rsid w:val="00211A57"/>
    <w:rsid w:val="00211B6B"/>
    <w:rsid w:val="00211F5F"/>
    <w:rsid w:val="00212C77"/>
    <w:rsid w:val="00213118"/>
    <w:rsid w:val="002131CD"/>
    <w:rsid w:val="00213575"/>
    <w:rsid w:val="00213A2C"/>
    <w:rsid w:val="00213ACA"/>
    <w:rsid w:val="00213D62"/>
    <w:rsid w:val="00213FD5"/>
    <w:rsid w:val="00215386"/>
    <w:rsid w:val="00215B71"/>
    <w:rsid w:val="00215B95"/>
    <w:rsid w:val="00216372"/>
    <w:rsid w:val="00216A90"/>
    <w:rsid w:val="00216A95"/>
    <w:rsid w:val="00216D7D"/>
    <w:rsid w:val="002174E5"/>
    <w:rsid w:val="0021750C"/>
    <w:rsid w:val="0021759C"/>
    <w:rsid w:val="0021797B"/>
    <w:rsid w:val="00217B7C"/>
    <w:rsid w:val="00217E03"/>
    <w:rsid w:val="0022037B"/>
    <w:rsid w:val="00220380"/>
    <w:rsid w:val="00220492"/>
    <w:rsid w:val="0022091E"/>
    <w:rsid w:val="00220C85"/>
    <w:rsid w:val="00220ED5"/>
    <w:rsid w:val="00220F37"/>
    <w:rsid w:val="0022105B"/>
    <w:rsid w:val="00221476"/>
    <w:rsid w:val="00221933"/>
    <w:rsid w:val="00221D7A"/>
    <w:rsid w:val="0022230F"/>
    <w:rsid w:val="002223C3"/>
    <w:rsid w:val="002224BA"/>
    <w:rsid w:val="00222517"/>
    <w:rsid w:val="00222535"/>
    <w:rsid w:val="002226A5"/>
    <w:rsid w:val="00222A90"/>
    <w:rsid w:val="00222C4F"/>
    <w:rsid w:val="00222D12"/>
    <w:rsid w:val="0022312B"/>
    <w:rsid w:val="002231A7"/>
    <w:rsid w:val="00223EA4"/>
    <w:rsid w:val="002247E7"/>
    <w:rsid w:val="002249DD"/>
    <w:rsid w:val="00224CCF"/>
    <w:rsid w:val="00225373"/>
    <w:rsid w:val="002254E8"/>
    <w:rsid w:val="002262F9"/>
    <w:rsid w:val="00226347"/>
    <w:rsid w:val="002263F6"/>
    <w:rsid w:val="0022656C"/>
    <w:rsid w:val="00226971"/>
    <w:rsid w:val="00226E22"/>
    <w:rsid w:val="002272BF"/>
    <w:rsid w:val="002275A2"/>
    <w:rsid w:val="00227638"/>
    <w:rsid w:val="00227F68"/>
    <w:rsid w:val="002300DC"/>
    <w:rsid w:val="002301A5"/>
    <w:rsid w:val="0023046D"/>
    <w:rsid w:val="00230AAA"/>
    <w:rsid w:val="00230CC5"/>
    <w:rsid w:val="00230CDD"/>
    <w:rsid w:val="0023125A"/>
    <w:rsid w:val="0023196C"/>
    <w:rsid w:val="00231A0D"/>
    <w:rsid w:val="00231A74"/>
    <w:rsid w:val="00231B68"/>
    <w:rsid w:val="00232265"/>
    <w:rsid w:val="00232333"/>
    <w:rsid w:val="00232364"/>
    <w:rsid w:val="002323FD"/>
    <w:rsid w:val="00232512"/>
    <w:rsid w:val="00232D01"/>
    <w:rsid w:val="00232D37"/>
    <w:rsid w:val="00232E75"/>
    <w:rsid w:val="00233495"/>
    <w:rsid w:val="00233C15"/>
    <w:rsid w:val="00233F43"/>
    <w:rsid w:val="0023416D"/>
    <w:rsid w:val="0023421C"/>
    <w:rsid w:val="002342A0"/>
    <w:rsid w:val="002344EE"/>
    <w:rsid w:val="00234507"/>
    <w:rsid w:val="00234544"/>
    <w:rsid w:val="002345D9"/>
    <w:rsid w:val="00234894"/>
    <w:rsid w:val="0023495F"/>
    <w:rsid w:val="00234CAF"/>
    <w:rsid w:val="00235042"/>
    <w:rsid w:val="002352CD"/>
    <w:rsid w:val="002352D3"/>
    <w:rsid w:val="00235F3C"/>
    <w:rsid w:val="00236248"/>
    <w:rsid w:val="00236485"/>
    <w:rsid w:val="002364FF"/>
    <w:rsid w:val="002368CB"/>
    <w:rsid w:val="00237349"/>
    <w:rsid w:val="002373B2"/>
    <w:rsid w:val="002373F3"/>
    <w:rsid w:val="002374F1"/>
    <w:rsid w:val="00237624"/>
    <w:rsid w:val="0023789E"/>
    <w:rsid w:val="002378A6"/>
    <w:rsid w:val="002378F4"/>
    <w:rsid w:val="00237C6C"/>
    <w:rsid w:val="00237D99"/>
    <w:rsid w:val="00237F01"/>
    <w:rsid w:val="0024019D"/>
    <w:rsid w:val="00240271"/>
    <w:rsid w:val="002403B6"/>
    <w:rsid w:val="0024068E"/>
    <w:rsid w:val="0024072A"/>
    <w:rsid w:val="00240C0B"/>
    <w:rsid w:val="00240D37"/>
    <w:rsid w:val="00240ED2"/>
    <w:rsid w:val="0024102E"/>
    <w:rsid w:val="002414C1"/>
    <w:rsid w:val="00241BBE"/>
    <w:rsid w:val="0024209B"/>
    <w:rsid w:val="002421F9"/>
    <w:rsid w:val="002422BC"/>
    <w:rsid w:val="0024274C"/>
    <w:rsid w:val="00243050"/>
    <w:rsid w:val="00243101"/>
    <w:rsid w:val="0024363A"/>
    <w:rsid w:val="00243BB9"/>
    <w:rsid w:val="00243BE4"/>
    <w:rsid w:val="00243FC4"/>
    <w:rsid w:val="00244186"/>
    <w:rsid w:val="00244421"/>
    <w:rsid w:val="002448E3"/>
    <w:rsid w:val="00244F4F"/>
    <w:rsid w:val="00245046"/>
    <w:rsid w:val="00245215"/>
    <w:rsid w:val="0024522B"/>
    <w:rsid w:val="00245337"/>
    <w:rsid w:val="0024570C"/>
    <w:rsid w:val="00245D57"/>
    <w:rsid w:val="00245E2B"/>
    <w:rsid w:val="002460D5"/>
    <w:rsid w:val="002464CE"/>
    <w:rsid w:val="00246562"/>
    <w:rsid w:val="00246566"/>
    <w:rsid w:val="0024693B"/>
    <w:rsid w:val="00246F31"/>
    <w:rsid w:val="00247139"/>
    <w:rsid w:val="0024743D"/>
    <w:rsid w:val="002475FD"/>
    <w:rsid w:val="002477AE"/>
    <w:rsid w:val="00247ABA"/>
    <w:rsid w:val="00247C18"/>
    <w:rsid w:val="00247D1D"/>
    <w:rsid w:val="00247E0F"/>
    <w:rsid w:val="00247F62"/>
    <w:rsid w:val="002500E3"/>
    <w:rsid w:val="00250137"/>
    <w:rsid w:val="00250571"/>
    <w:rsid w:val="002505CA"/>
    <w:rsid w:val="00250875"/>
    <w:rsid w:val="00250B31"/>
    <w:rsid w:val="002511EB"/>
    <w:rsid w:val="002512C0"/>
    <w:rsid w:val="00251869"/>
    <w:rsid w:val="00251899"/>
    <w:rsid w:val="002518AD"/>
    <w:rsid w:val="00251DCE"/>
    <w:rsid w:val="00251F9E"/>
    <w:rsid w:val="00252483"/>
    <w:rsid w:val="002526C9"/>
    <w:rsid w:val="0025272F"/>
    <w:rsid w:val="00252A7A"/>
    <w:rsid w:val="00252BF5"/>
    <w:rsid w:val="00252C51"/>
    <w:rsid w:val="00252C78"/>
    <w:rsid w:val="00252ECA"/>
    <w:rsid w:val="002531EE"/>
    <w:rsid w:val="0025357C"/>
    <w:rsid w:val="002535A6"/>
    <w:rsid w:val="002535AD"/>
    <w:rsid w:val="002535CD"/>
    <w:rsid w:val="002535F1"/>
    <w:rsid w:val="00253E2B"/>
    <w:rsid w:val="0025486D"/>
    <w:rsid w:val="002549CB"/>
    <w:rsid w:val="00254A2E"/>
    <w:rsid w:val="00254C6F"/>
    <w:rsid w:val="00255335"/>
    <w:rsid w:val="00255813"/>
    <w:rsid w:val="00255A27"/>
    <w:rsid w:val="00255BB1"/>
    <w:rsid w:val="00255DB3"/>
    <w:rsid w:val="002560E1"/>
    <w:rsid w:val="00256260"/>
    <w:rsid w:val="002563D4"/>
    <w:rsid w:val="00256502"/>
    <w:rsid w:val="002566E0"/>
    <w:rsid w:val="002569C0"/>
    <w:rsid w:val="00256A35"/>
    <w:rsid w:val="00256AD5"/>
    <w:rsid w:val="00256CC9"/>
    <w:rsid w:val="00256F9D"/>
    <w:rsid w:val="002572B1"/>
    <w:rsid w:val="00257607"/>
    <w:rsid w:val="002576AA"/>
    <w:rsid w:val="00257D1C"/>
    <w:rsid w:val="00257EE8"/>
    <w:rsid w:val="00257F25"/>
    <w:rsid w:val="00260446"/>
    <w:rsid w:val="002605DD"/>
    <w:rsid w:val="00260719"/>
    <w:rsid w:val="00260BC6"/>
    <w:rsid w:val="00260D18"/>
    <w:rsid w:val="00261783"/>
    <w:rsid w:val="00261C23"/>
    <w:rsid w:val="00262398"/>
    <w:rsid w:val="00262762"/>
    <w:rsid w:val="002627F2"/>
    <w:rsid w:val="00262A21"/>
    <w:rsid w:val="00262D89"/>
    <w:rsid w:val="00262EAB"/>
    <w:rsid w:val="00262FB4"/>
    <w:rsid w:val="002633E8"/>
    <w:rsid w:val="0026353F"/>
    <w:rsid w:val="002635C5"/>
    <w:rsid w:val="0026361F"/>
    <w:rsid w:val="0026373D"/>
    <w:rsid w:val="00263B7B"/>
    <w:rsid w:val="00263D3E"/>
    <w:rsid w:val="00264405"/>
    <w:rsid w:val="00264472"/>
    <w:rsid w:val="0026459B"/>
    <w:rsid w:val="00264849"/>
    <w:rsid w:val="00264922"/>
    <w:rsid w:val="002649FA"/>
    <w:rsid w:val="00264A8A"/>
    <w:rsid w:val="00264E6D"/>
    <w:rsid w:val="00265542"/>
    <w:rsid w:val="00265851"/>
    <w:rsid w:val="00265CEB"/>
    <w:rsid w:val="00265D2B"/>
    <w:rsid w:val="00265ED7"/>
    <w:rsid w:val="00265F33"/>
    <w:rsid w:val="002668D7"/>
    <w:rsid w:val="00266A0B"/>
    <w:rsid w:val="00266A89"/>
    <w:rsid w:val="00266ABA"/>
    <w:rsid w:val="00266B82"/>
    <w:rsid w:val="00266D01"/>
    <w:rsid w:val="002671F0"/>
    <w:rsid w:val="00267517"/>
    <w:rsid w:val="0026777B"/>
    <w:rsid w:val="002677E2"/>
    <w:rsid w:val="00267E25"/>
    <w:rsid w:val="00267E89"/>
    <w:rsid w:val="00267ED8"/>
    <w:rsid w:val="00267FE2"/>
    <w:rsid w:val="00270130"/>
    <w:rsid w:val="002701A7"/>
    <w:rsid w:val="00270620"/>
    <w:rsid w:val="002706ED"/>
    <w:rsid w:val="002708CC"/>
    <w:rsid w:val="00270B60"/>
    <w:rsid w:val="00270C22"/>
    <w:rsid w:val="00270CDC"/>
    <w:rsid w:val="00270D08"/>
    <w:rsid w:val="002713DB"/>
    <w:rsid w:val="00271485"/>
    <w:rsid w:val="00271B1D"/>
    <w:rsid w:val="00271B43"/>
    <w:rsid w:val="00271BC1"/>
    <w:rsid w:val="00271BD6"/>
    <w:rsid w:val="002721F2"/>
    <w:rsid w:val="0027286C"/>
    <w:rsid w:val="00272B28"/>
    <w:rsid w:val="00272C49"/>
    <w:rsid w:val="00272E9A"/>
    <w:rsid w:val="0027306B"/>
    <w:rsid w:val="00273136"/>
    <w:rsid w:val="002733AA"/>
    <w:rsid w:val="00273402"/>
    <w:rsid w:val="002735E7"/>
    <w:rsid w:val="002739E5"/>
    <w:rsid w:val="00274033"/>
    <w:rsid w:val="00274259"/>
    <w:rsid w:val="002744A2"/>
    <w:rsid w:val="002745F0"/>
    <w:rsid w:val="00274830"/>
    <w:rsid w:val="002749A8"/>
    <w:rsid w:val="002749C8"/>
    <w:rsid w:val="00274E36"/>
    <w:rsid w:val="00274E8A"/>
    <w:rsid w:val="00274F68"/>
    <w:rsid w:val="002752C1"/>
    <w:rsid w:val="002753B3"/>
    <w:rsid w:val="00275807"/>
    <w:rsid w:val="00275BA2"/>
    <w:rsid w:val="00275D89"/>
    <w:rsid w:val="00275EE4"/>
    <w:rsid w:val="00276472"/>
    <w:rsid w:val="00276986"/>
    <w:rsid w:val="00276FF6"/>
    <w:rsid w:val="002772BE"/>
    <w:rsid w:val="002774EF"/>
    <w:rsid w:val="00277776"/>
    <w:rsid w:val="00277794"/>
    <w:rsid w:val="00277BB4"/>
    <w:rsid w:val="00277BFD"/>
    <w:rsid w:val="00277D34"/>
    <w:rsid w:val="00277EC5"/>
    <w:rsid w:val="00280296"/>
    <w:rsid w:val="0028063D"/>
    <w:rsid w:val="002807D6"/>
    <w:rsid w:val="00280DC3"/>
    <w:rsid w:val="00280F1B"/>
    <w:rsid w:val="0028101F"/>
    <w:rsid w:val="00281424"/>
    <w:rsid w:val="002815AE"/>
    <w:rsid w:val="00281B07"/>
    <w:rsid w:val="00281F91"/>
    <w:rsid w:val="0028207F"/>
    <w:rsid w:val="002820EF"/>
    <w:rsid w:val="00282581"/>
    <w:rsid w:val="00282959"/>
    <w:rsid w:val="00282984"/>
    <w:rsid w:val="00282BAD"/>
    <w:rsid w:val="002833F8"/>
    <w:rsid w:val="0028357C"/>
    <w:rsid w:val="0028359C"/>
    <w:rsid w:val="002835FF"/>
    <w:rsid w:val="00283872"/>
    <w:rsid w:val="00283932"/>
    <w:rsid w:val="002839DD"/>
    <w:rsid w:val="00283F99"/>
    <w:rsid w:val="00284123"/>
    <w:rsid w:val="00284200"/>
    <w:rsid w:val="00284F41"/>
    <w:rsid w:val="002850E0"/>
    <w:rsid w:val="0028517B"/>
    <w:rsid w:val="00285237"/>
    <w:rsid w:val="002854D9"/>
    <w:rsid w:val="00285708"/>
    <w:rsid w:val="00285A87"/>
    <w:rsid w:val="00285F6B"/>
    <w:rsid w:val="00286018"/>
    <w:rsid w:val="00286084"/>
    <w:rsid w:val="002860D0"/>
    <w:rsid w:val="002863ED"/>
    <w:rsid w:val="0028654E"/>
    <w:rsid w:val="00286E5F"/>
    <w:rsid w:val="00287830"/>
    <w:rsid w:val="00287A99"/>
    <w:rsid w:val="00287BDB"/>
    <w:rsid w:val="00287FEB"/>
    <w:rsid w:val="002903E2"/>
    <w:rsid w:val="00290587"/>
    <w:rsid w:val="0029063F"/>
    <w:rsid w:val="00290AD7"/>
    <w:rsid w:val="00290BBD"/>
    <w:rsid w:val="00290E95"/>
    <w:rsid w:val="00290EF9"/>
    <w:rsid w:val="0029108D"/>
    <w:rsid w:val="0029115A"/>
    <w:rsid w:val="00291164"/>
    <w:rsid w:val="002912FB"/>
    <w:rsid w:val="0029136A"/>
    <w:rsid w:val="00291440"/>
    <w:rsid w:val="0029150C"/>
    <w:rsid w:val="00291A01"/>
    <w:rsid w:val="0029257B"/>
    <w:rsid w:val="00292714"/>
    <w:rsid w:val="00292A31"/>
    <w:rsid w:val="00292E18"/>
    <w:rsid w:val="00293049"/>
    <w:rsid w:val="002930B2"/>
    <w:rsid w:val="0029324A"/>
    <w:rsid w:val="002934E6"/>
    <w:rsid w:val="002937FD"/>
    <w:rsid w:val="002939D2"/>
    <w:rsid w:val="00293A1F"/>
    <w:rsid w:val="00293D49"/>
    <w:rsid w:val="00293D4F"/>
    <w:rsid w:val="00293E17"/>
    <w:rsid w:val="00293E1E"/>
    <w:rsid w:val="00293E31"/>
    <w:rsid w:val="00293EC6"/>
    <w:rsid w:val="0029420C"/>
    <w:rsid w:val="0029445C"/>
    <w:rsid w:val="002949F4"/>
    <w:rsid w:val="00294BCA"/>
    <w:rsid w:val="00294C60"/>
    <w:rsid w:val="002950A5"/>
    <w:rsid w:val="002951BF"/>
    <w:rsid w:val="00295320"/>
    <w:rsid w:val="00295369"/>
    <w:rsid w:val="00295773"/>
    <w:rsid w:val="00295D0D"/>
    <w:rsid w:val="00296345"/>
    <w:rsid w:val="00296B74"/>
    <w:rsid w:val="00296D84"/>
    <w:rsid w:val="00296EFD"/>
    <w:rsid w:val="002970BD"/>
    <w:rsid w:val="00297272"/>
    <w:rsid w:val="002973DD"/>
    <w:rsid w:val="002975C7"/>
    <w:rsid w:val="00297811"/>
    <w:rsid w:val="00297B10"/>
    <w:rsid w:val="00297E31"/>
    <w:rsid w:val="00297E67"/>
    <w:rsid w:val="00297F34"/>
    <w:rsid w:val="002A014A"/>
    <w:rsid w:val="002A0AAF"/>
    <w:rsid w:val="002A0C28"/>
    <w:rsid w:val="002A1041"/>
    <w:rsid w:val="002A12F9"/>
    <w:rsid w:val="002A1414"/>
    <w:rsid w:val="002A177B"/>
    <w:rsid w:val="002A179F"/>
    <w:rsid w:val="002A18BB"/>
    <w:rsid w:val="002A1999"/>
    <w:rsid w:val="002A1A4D"/>
    <w:rsid w:val="002A1EED"/>
    <w:rsid w:val="002A204C"/>
    <w:rsid w:val="002A2225"/>
    <w:rsid w:val="002A2260"/>
    <w:rsid w:val="002A2547"/>
    <w:rsid w:val="002A2771"/>
    <w:rsid w:val="002A2845"/>
    <w:rsid w:val="002A351B"/>
    <w:rsid w:val="002A3BF4"/>
    <w:rsid w:val="002A413D"/>
    <w:rsid w:val="002A437F"/>
    <w:rsid w:val="002A43EE"/>
    <w:rsid w:val="002A4704"/>
    <w:rsid w:val="002A47DE"/>
    <w:rsid w:val="002A49B0"/>
    <w:rsid w:val="002A4C0A"/>
    <w:rsid w:val="002A4E96"/>
    <w:rsid w:val="002A4EAD"/>
    <w:rsid w:val="002A53B4"/>
    <w:rsid w:val="002A53D6"/>
    <w:rsid w:val="002A5499"/>
    <w:rsid w:val="002A5633"/>
    <w:rsid w:val="002A56AE"/>
    <w:rsid w:val="002A59EC"/>
    <w:rsid w:val="002A5A1D"/>
    <w:rsid w:val="002A5A6D"/>
    <w:rsid w:val="002A5DBA"/>
    <w:rsid w:val="002A6422"/>
    <w:rsid w:val="002A6CAA"/>
    <w:rsid w:val="002A6F7D"/>
    <w:rsid w:val="002A73FB"/>
    <w:rsid w:val="002A749D"/>
    <w:rsid w:val="002A761E"/>
    <w:rsid w:val="002A7993"/>
    <w:rsid w:val="002A7C72"/>
    <w:rsid w:val="002A7D73"/>
    <w:rsid w:val="002B01F6"/>
    <w:rsid w:val="002B04E8"/>
    <w:rsid w:val="002B06B0"/>
    <w:rsid w:val="002B0898"/>
    <w:rsid w:val="002B0BF9"/>
    <w:rsid w:val="002B0CBB"/>
    <w:rsid w:val="002B0E20"/>
    <w:rsid w:val="002B1045"/>
    <w:rsid w:val="002B120D"/>
    <w:rsid w:val="002B1277"/>
    <w:rsid w:val="002B19C9"/>
    <w:rsid w:val="002B209E"/>
    <w:rsid w:val="002B23B3"/>
    <w:rsid w:val="002B260B"/>
    <w:rsid w:val="002B2CDA"/>
    <w:rsid w:val="002B2D34"/>
    <w:rsid w:val="002B2E91"/>
    <w:rsid w:val="002B327B"/>
    <w:rsid w:val="002B3A56"/>
    <w:rsid w:val="002B3BAC"/>
    <w:rsid w:val="002B3D1B"/>
    <w:rsid w:val="002B3DED"/>
    <w:rsid w:val="002B4061"/>
    <w:rsid w:val="002B431E"/>
    <w:rsid w:val="002B454E"/>
    <w:rsid w:val="002B4712"/>
    <w:rsid w:val="002B4830"/>
    <w:rsid w:val="002B4B7F"/>
    <w:rsid w:val="002B55C9"/>
    <w:rsid w:val="002B59AD"/>
    <w:rsid w:val="002B59CC"/>
    <w:rsid w:val="002B5C58"/>
    <w:rsid w:val="002B5DDD"/>
    <w:rsid w:val="002B62A8"/>
    <w:rsid w:val="002B6DB3"/>
    <w:rsid w:val="002B6F3B"/>
    <w:rsid w:val="002B72C6"/>
    <w:rsid w:val="002B7513"/>
    <w:rsid w:val="002B7682"/>
    <w:rsid w:val="002B78F4"/>
    <w:rsid w:val="002B7954"/>
    <w:rsid w:val="002B7E96"/>
    <w:rsid w:val="002B7EA0"/>
    <w:rsid w:val="002B7F4B"/>
    <w:rsid w:val="002C03D6"/>
    <w:rsid w:val="002C07EA"/>
    <w:rsid w:val="002C1689"/>
    <w:rsid w:val="002C16A2"/>
    <w:rsid w:val="002C19A7"/>
    <w:rsid w:val="002C1E3A"/>
    <w:rsid w:val="002C2030"/>
    <w:rsid w:val="002C20AE"/>
    <w:rsid w:val="002C2237"/>
    <w:rsid w:val="002C22D1"/>
    <w:rsid w:val="002C2655"/>
    <w:rsid w:val="002C2707"/>
    <w:rsid w:val="002C27F8"/>
    <w:rsid w:val="002C2829"/>
    <w:rsid w:val="002C2A84"/>
    <w:rsid w:val="002C3038"/>
    <w:rsid w:val="002C3114"/>
    <w:rsid w:val="002C38A0"/>
    <w:rsid w:val="002C3929"/>
    <w:rsid w:val="002C3987"/>
    <w:rsid w:val="002C3A56"/>
    <w:rsid w:val="002C40BD"/>
    <w:rsid w:val="002C435D"/>
    <w:rsid w:val="002C4377"/>
    <w:rsid w:val="002C48ED"/>
    <w:rsid w:val="002C4B59"/>
    <w:rsid w:val="002C4C83"/>
    <w:rsid w:val="002C4FE0"/>
    <w:rsid w:val="002C510E"/>
    <w:rsid w:val="002C512B"/>
    <w:rsid w:val="002C5230"/>
    <w:rsid w:val="002C52B4"/>
    <w:rsid w:val="002C5424"/>
    <w:rsid w:val="002C563B"/>
    <w:rsid w:val="002C56BC"/>
    <w:rsid w:val="002C59D7"/>
    <w:rsid w:val="002C5BF4"/>
    <w:rsid w:val="002C5D43"/>
    <w:rsid w:val="002C60B5"/>
    <w:rsid w:val="002C6264"/>
    <w:rsid w:val="002C631A"/>
    <w:rsid w:val="002C6349"/>
    <w:rsid w:val="002C6582"/>
    <w:rsid w:val="002C6EBA"/>
    <w:rsid w:val="002C6FE0"/>
    <w:rsid w:val="002C70A4"/>
    <w:rsid w:val="002C713D"/>
    <w:rsid w:val="002C78A3"/>
    <w:rsid w:val="002C7A0A"/>
    <w:rsid w:val="002C7F4B"/>
    <w:rsid w:val="002D0144"/>
    <w:rsid w:val="002D060F"/>
    <w:rsid w:val="002D0662"/>
    <w:rsid w:val="002D0A9B"/>
    <w:rsid w:val="002D0C5C"/>
    <w:rsid w:val="002D0F6D"/>
    <w:rsid w:val="002D10BB"/>
    <w:rsid w:val="002D10EF"/>
    <w:rsid w:val="002D110C"/>
    <w:rsid w:val="002D142F"/>
    <w:rsid w:val="002D1491"/>
    <w:rsid w:val="002D15F4"/>
    <w:rsid w:val="002D18FE"/>
    <w:rsid w:val="002D1924"/>
    <w:rsid w:val="002D1A96"/>
    <w:rsid w:val="002D1E19"/>
    <w:rsid w:val="002D2174"/>
    <w:rsid w:val="002D274A"/>
    <w:rsid w:val="002D2796"/>
    <w:rsid w:val="002D2CEF"/>
    <w:rsid w:val="002D328B"/>
    <w:rsid w:val="002D34FC"/>
    <w:rsid w:val="002D35D5"/>
    <w:rsid w:val="002D35DC"/>
    <w:rsid w:val="002D35FA"/>
    <w:rsid w:val="002D381B"/>
    <w:rsid w:val="002D424C"/>
    <w:rsid w:val="002D44C3"/>
    <w:rsid w:val="002D4584"/>
    <w:rsid w:val="002D47B4"/>
    <w:rsid w:val="002D4803"/>
    <w:rsid w:val="002D4A40"/>
    <w:rsid w:val="002D4CB2"/>
    <w:rsid w:val="002D527B"/>
    <w:rsid w:val="002D52C0"/>
    <w:rsid w:val="002D55EA"/>
    <w:rsid w:val="002D5618"/>
    <w:rsid w:val="002D5A11"/>
    <w:rsid w:val="002D5A44"/>
    <w:rsid w:val="002D5B58"/>
    <w:rsid w:val="002D6137"/>
    <w:rsid w:val="002D6229"/>
    <w:rsid w:val="002D62F4"/>
    <w:rsid w:val="002D6948"/>
    <w:rsid w:val="002D69E0"/>
    <w:rsid w:val="002D6A65"/>
    <w:rsid w:val="002D6B20"/>
    <w:rsid w:val="002D6BE7"/>
    <w:rsid w:val="002D71BC"/>
    <w:rsid w:val="002D71F3"/>
    <w:rsid w:val="002D725C"/>
    <w:rsid w:val="002D72E3"/>
    <w:rsid w:val="002D7EA8"/>
    <w:rsid w:val="002E03C7"/>
    <w:rsid w:val="002E0789"/>
    <w:rsid w:val="002E0851"/>
    <w:rsid w:val="002E0DC4"/>
    <w:rsid w:val="002E15D3"/>
    <w:rsid w:val="002E1822"/>
    <w:rsid w:val="002E1DD8"/>
    <w:rsid w:val="002E1DEA"/>
    <w:rsid w:val="002E1E51"/>
    <w:rsid w:val="002E1EDF"/>
    <w:rsid w:val="002E206B"/>
    <w:rsid w:val="002E21A5"/>
    <w:rsid w:val="002E24A5"/>
    <w:rsid w:val="002E24DA"/>
    <w:rsid w:val="002E256D"/>
    <w:rsid w:val="002E26B2"/>
    <w:rsid w:val="002E2E28"/>
    <w:rsid w:val="002E345F"/>
    <w:rsid w:val="002E34CA"/>
    <w:rsid w:val="002E365E"/>
    <w:rsid w:val="002E38F8"/>
    <w:rsid w:val="002E3A1E"/>
    <w:rsid w:val="002E3B39"/>
    <w:rsid w:val="002E3E20"/>
    <w:rsid w:val="002E43BD"/>
    <w:rsid w:val="002E447D"/>
    <w:rsid w:val="002E45D8"/>
    <w:rsid w:val="002E4B43"/>
    <w:rsid w:val="002E4CD8"/>
    <w:rsid w:val="002E5678"/>
    <w:rsid w:val="002E5873"/>
    <w:rsid w:val="002E5B8E"/>
    <w:rsid w:val="002E5C27"/>
    <w:rsid w:val="002E5EC1"/>
    <w:rsid w:val="002E6733"/>
    <w:rsid w:val="002E69A2"/>
    <w:rsid w:val="002E6BC7"/>
    <w:rsid w:val="002E6BEE"/>
    <w:rsid w:val="002E6C2E"/>
    <w:rsid w:val="002E6C6A"/>
    <w:rsid w:val="002E6CA6"/>
    <w:rsid w:val="002E6E3A"/>
    <w:rsid w:val="002E6E55"/>
    <w:rsid w:val="002E72B6"/>
    <w:rsid w:val="002E74A3"/>
    <w:rsid w:val="002E74E3"/>
    <w:rsid w:val="002E750F"/>
    <w:rsid w:val="002E7847"/>
    <w:rsid w:val="002E78BA"/>
    <w:rsid w:val="002E78E1"/>
    <w:rsid w:val="002E7C8C"/>
    <w:rsid w:val="002E7D66"/>
    <w:rsid w:val="002E7FBA"/>
    <w:rsid w:val="002F0209"/>
    <w:rsid w:val="002F046B"/>
    <w:rsid w:val="002F05F8"/>
    <w:rsid w:val="002F063F"/>
    <w:rsid w:val="002F08E0"/>
    <w:rsid w:val="002F0E27"/>
    <w:rsid w:val="002F1063"/>
    <w:rsid w:val="002F1065"/>
    <w:rsid w:val="002F127D"/>
    <w:rsid w:val="002F16C6"/>
    <w:rsid w:val="002F183F"/>
    <w:rsid w:val="002F187E"/>
    <w:rsid w:val="002F19E5"/>
    <w:rsid w:val="002F1B1F"/>
    <w:rsid w:val="002F1B7B"/>
    <w:rsid w:val="002F1C60"/>
    <w:rsid w:val="002F1F06"/>
    <w:rsid w:val="002F2131"/>
    <w:rsid w:val="002F217B"/>
    <w:rsid w:val="002F2507"/>
    <w:rsid w:val="002F26EC"/>
    <w:rsid w:val="002F2A66"/>
    <w:rsid w:val="002F2D19"/>
    <w:rsid w:val="002F2DD8"/>
    <w:rsid w:val="002F31D7"/>
    <w:rsid w:val="002F3287"/>
    <w:rsid w:val="002F3463"/>
    <w:rsid w:val="002F3620"/>
    <w:rsid w:val="002F3783"/>
    <w:rsid w:val="002F37C5"/>
    <w:rsid w:val="002F43C7"/>
    <w:rsid w:val="002F43E7"/>
    <w:rsid w:val="002F44CB"/>
    <w:rsid w:val="002F4646"/>
    <w:rsid w:val="002F49CA"/>
    <w:rsid w:val="002F528C"/>
    <w:rsid w:val="002F52C9"/>
    <w:rsid w:val="002F5313"/>
    <w:rsid w:val="002F55A7"/>
    <w:rsid w:val="002F577B"/>
    <w:rsid w:val="002F585D"/>
    <w:rsid w:val="002F5952"/>
    <w:rsid w:val="002F5E14"/>
    <w:rsid w:val="002F5F3B"/>
    <w:rsid w:val="002F61F7"/>
    <w:rsid w:val="002F6304"/>
    <w:rsid w:val="002F649F"/>
    <w:rsid w:val="002F6526"/>
    <w:rsid w:val="002F66FD"/>
    <w:rsid w:val="002F6B66"/>
    <w:rsid w:val="002F6C5B"/>
    <w:rsid w:val="002F6D3E"/>
    <w:rsid w:val="002F713B"/>
    <w:rsid w:val="002F71C0"/>
    <w:rsid w:val="002F7462"/>
    <w:rsid w:val="002F77F2"/>
    <w:rsid w:val="002F787E"/>
    <w:rsid w:val="002F78B6"/>
    <w:rsid w:val="002F7982"/>
    <w:rsid w:val="002F79BC"/>
    <w:rsid w:val="002F7A77"/>
    <w:rsid w:val="002F7CAB"/>
    <w:rsid w:val="00300145"/>
    <w:rsid w:val="003001D5"/>
    <w:rsid w:val="003002F2"/>
    <w:rsid w:val="0030035C"/>
    <w:rsid w:val="0030065C"/>
    <w:rsid w:val="00300825"/>
    <w:rsid w:val="003015B3"/>
    <w:rsid w:val="00301842"/>
    <w:rsid w:val="0030191C"/>
    <w:rsid w:val="00301CA4"/>
    <w:rsid w:val="00301E52"/>
    <w:rsid w:val="00301E53"/>
    <w:rsid w:val="00301E81"/>
    <w:rsid w:val="00302344"/>
    <w:rsid w:val="003026DC"/>
    <w:rsid w:val="00302BC3"/>
    <w:rsid w:val="00302C62"/>
    <w:rsid w:val="00302E8D"/>
    <w:rsid w:val="0030314E"/>
    <w:rsid w:val="00303618"/>
    <w:rsid w:val="00303652"/>
    <w:rsid w:val="003036FD"/>
    <w:rsid w:val="00303AE5"/>
    <w:rsid w:val="00303B7B"/>
    <w:rsid w:val="00303B8D"/>
    <w:rsid w:val="00303C96"/>
    <w:rsid w:val="0030477A"/>
    <w:rsid w:val="003047CE"/>
    <w:rsid w:val="00304834"/>
    <w:rsid w:val="00304AFD"/>
    <w:rsid w:val="00304B23"/>
    <w:rsid w:val="00304C43"/>
    <w:rsid w:val="00304DD4"/>
    <w:rsid w:val="00304F0A"/>
    <w:rsid w:val="0030510E"/>
    <w:rsid w:val="0030514A"/>
    <w:rsid w:val="00305307"/>
    <w:rsid w:val="003053A1"/>
    <w:rsid w:val="00305897"/>
    <w:rsid w:val="003058FC"/>
    <w:rsid w:val="00305953"/>
    <w:rsid w:val="00305BC0"/>
    <w:rsid w:val="00306186"/>
    <w:rsid w:val="0030625B"/>
    <w:rsid w:val="0030649F"/>
    <w:rsid w:val="003064A4"/>
    <w:rsid w:val="003064F6"/>
    <w:rsid w:val="003066A0"/>
    <w:rsid w:val="003068B4"/>
    <w:rsid w:val="00306A95"/>
    <w:rsid w:val="00306CD3"/>
    <w:rsid w:val="00307511"/>
    <w:rsid w:val="0030764A"/>
    <w:rsid w:val="00307848"/>
    <w:rsid w:val="003079E6"/>
    <w:rsid w:val="00307ED3"/>
    <w:rsid w:val="003100E0"/>
    <w:rsid w:val="00310311"/>
    <w:rsid w:val="00310384"/>
    <w:rsid w:val="00310635"/>
    <w:rsid w:val="003108A8"/>
    <w:rsid w:val="00310B06"/>
    <w:rsid w:val="00310C5B"/>
    <w:rsid w:val="00310E21"/>
    <w:rsid w:val="00310FD9"/>
    <w:rsid w:val="0031107E"/>
    <w:rsid w:val="00311249"/>
    <w:rsid w:val="0031149E"/>
    <w:rsid w:val="003115FE"/>
    <w:rsid w:val="003116B6"/>
    <w:rsid w:val="00312385"/>
    <w:rsid w:val="00312767"/>
    <w:rsid w:val="0031296B"/>
    <w:rsid w:val="00312B47"/>
    <w:rsid w:val="00312E24"/>
    <w:rsid w:val="00312FA3"/>
    <w:rsid w:val="003131B8"/>
    <w:rsid w:val="003135D3"/>
    <w:rsid w:val="0031392F"/>
    <w:rsid w:val="00313966"/>
    <w:rsid w:val="00313BB9"/>
    <w:rsid w:val="00313CA7"/>
    <w:rsid w:val="00313FDA"/>
    <w:rsid w:val="00314009"/>
    <w:rsid w:val="0031451C"/>
    <w:rsid w:val="0031454C"/>
    <w:rsid w:val="00314716"/>
    <w:rsid w:val="003147C3"/>
    <w:rsid w:val="00314D53"/>
    <w:rsid w:val="00314FC1"/>
    <w:rsid w:val="00314FD0"/>
    <w:rsid w:val="00315210"/>
    <w:rsid w:val="00315238"/>
    <w:rsid w:val="00315501"/>
    <w:rsid w:val="00315846"/>
    <w:rsid w:val="003158BC"/>
    <w:rsid w:val="00315B71"/>
    <w:rsid w:val="003161D8"/>
    <w:rsid w:val="0031625B"/>
    <w:rsid w:val="003164A4"/>
    <w:rsid w:val="0031664A"/>
    <w:rsid w:val="00316A3C"/>
    <w:rsid w:val="00316DAC"/>
    <w:rsid w:val="00317003"/>
    <w:rsid w:val="00317341"/>
    <w:rsid w:val="00317426"/>
    <w:rsid w:val="00317662"/>
    <w:rsid w:val="003176CD"/>
    <w:rsid w:val="003176F8"/>
    <w:rsid w:val="00317B37"/>
    <w:rsid w:val="00317CFE"/>
    <w:rsid w:val="0032037F"/>
    <w:rsid w:val="0032078B"/>
    <w:rsid w:val="00320E4D"/>
    <w:rsid w:val="00321042"/>
    <w:rsid w:val="003217C7"/>
    <w:rsid w:val="003223B6"/>
    <w:rsid w:val="0032267F"/>
    <w:rsid w:val="00322C63"/>
    <w:rsid w:val="00322CE4"/>
    <w:rsid w:val="00323324"/>
    <w:rsid w:val="003233F0"/>
    <w:rsid w:val="00323C5E"/>
    <w:rsid w:val="00323CCA"/>
    <w:rsid w:val="003240A9"/>
    <w:rsid w:val="00324361"/>
    <w:rsid w:val="00324446"/>
    <w:rsid w:val="00324526"/>
    <w:rsid w:val="003249FC"/>
    <w:rsid w:val="00324A21"/>
    <w:rsid w:val="00324F6C"/>
    <w:rsid w:val="003250A3"/>
    <w:rsid w:val="003254A9"/>
    <w:rsid w:val="00325848"/>
    <w:rsid w:val="0032598C"/>
    <w:rsid w:val="00325AD1"/>
    <w:rsid w:val="00325C3F"/>
    <w:rsid w:val="00325D3A"/>
    <w:rsid w:val="0032607B"/>
    <w:rsid w:val="003260E9"/>
    <w:rsid w:val="003261FD"/>
    <w:rsid w:val="00326368"/>
    <w:rsid w:val="00326558"/>
    <w:rsid w:val="003265B2"/>
    <w:rsid w:val="003268D9"/>
    <w:rsid w:val="003268F7"/>
    <w:rsid w:val="00326911"/>
    <w:rsid w:val="00327066"/>
    <w:rsid w:val="0032726F"/>
    <w:rsid w:val="003274B7"/>
    <w:rsid w:val="00327772"/>
    <w:rsid w:val="00327954"/>
    <w:rsid w:val="00327F01"/>
    <w:rsid w:val="00330077"/>
    <w:rsid w:val="00330217"/>
    <w:rsid w:val="00330264"/>
    <w:rsid w:val="003307DF"/>
    <w:rsid w:val="00330A1E"/>
    <w:rsid w:val="00330AEE"/>
    <w:rsid w:val="003310B1"/>
    <w:rsid w:val="003311C6"/>
    <w:rsid w:val="00331537"/>
    <w:rsid w:val="003315C8"/>
    <w:rsid w:val="003316A6"/>
    <w:rsid w:val="00331926"/>
    <w:rsid w:val="003319AE"/>
    <w:rsid w:val="00331A90"/>
    <w:rsid w:val="003321B5"/>
    <w:rsid w:val="003321DB"/>
    <w:rsid w:val="00332351"/>
    <w:rsid w:val="00332A27"/>
    <w:rsid w:val="00332B39"/>
    <w:rsid w:val="00332B94"/>
    <w:rsid w:val="003333B8"/>
    <w:rsid w:val="00333455"/>
    <w:rsid w:val="003335F9"/>
    <w:rsid w:val="00333926"/>
    <w:rsid w:val="0033401C"/>
    <w:rsid w:val="0033479F"/>
    <w:rsid w:val="00334AF1"/>
    <w:rsid w:val="00334B04"/>
    <w:rsid w:val="00334BE4"/>
    <w:rsid w:val="00335222"/>
    <w:rsid w:val="00335588"/>
    <w:rsid w:val="003356D1"/>
    <w:rsid w:val="003357A7"/>
    <w:rsid w:val="00335CAC"/>
    <w:rsid w:val="0033613D"/>
    <w:rsid w:val="00336185"/>
    <w:rsid w:val="0033628A"/>
    <w:rsid w:val="00336320"/>
    <w:rsid w:val="003364A8"/>
    <w:rsid w:val="00336573"/>
    <w:rsid w:val="003365FE"/>
    <w:rsid w:val="00336A97"/>
    <w:rsid w:val="00336C53"/>
    <w:rsid w:val="00336F91"/>
    <w:rsid w:val="0033728D"/>
    <w:rsid w:val="00337D35"/>
    <w:rsid w:val="00340688"/>
    <w:rsid w:val="003409F3"/>
    <w:rsid w:val="00340C92"/>
    <w:rsid w:val="00340C93"/>
    <w:rsid w:val="00340C9E"/>
    <w:rsid w:val="00341153"/>
    <w:rsid w:val="003412F2"/>
    <w:rsid w:val="003413A1"/>
    <w:rsid w:val="0034153A"/>
    <w:rsid w:val="003417AC"/>
    <w:rsid w:val="00341B28"/>
    <w:rsid w:val="00341B8C"/>
    <w:rsid w:val="00341CC7"/>
    <w:rsid w:val="0034241F"/>
    <w:rsid w:val="0034266A"/>
    <w:rsid w:val="00343172"/>
    <w:rsid w:val="003433EE"/>
    <w:rsid w:val="0034355F"/>
    <w:rsid w:val="003435D8"/>
    <w:rsid w:val="003435F4"/>
    <w:rsid w:val="003437FA"/>
    <w:rsid w:val="00343A84"/>
    <w:rsid w:val="00343C41"/>
    <w:rsid w:val="00343EB0"/>
    <w:rsid w:val="00343EB3"/>
    <w:rsid w:val="00344798"/>
    <w:rsid w:val="003449B2"/>
    <w:rsid w:val="00344A67"/>
    <w:rsid w:val="00344D3C"/>
    <w:rsid w:val="00345230"/>
    <w:rsid w:val="0034545B"/>
    <w:rsid w:val="00345461"/>
    <w:rsid w:val="00345462"/>
    <w:rsid w:val="00345732"/>
    <w:rsid w:val="003457D5"/>
    <w:rsid w:val="0034586F"/>
    <w:rsid w:val="00345A4A"/>
    <w:rsid w:val="00345D7C"/>
    <w:rsid w:val="00346093"/>
    <w:rsid w:val="0034629B"/>
    <w:rsid w:val="0034651C"/>
    <w:rsid w:val="0034662B"/>
    <w:rsid w:val="00346743"/>
    <w:rsid w:val="00346C96"/>
    <w:rsid w:val="00346EE2"/>
    <w:rsid w:val="0034766D"/>
    <w:rsid w:val="003479B0"/>
    <w:rsid w:val="00347CE9"/>
    <w:rsid w:val="00350297"/>
    <w:rsid w:val="00351124"/>
    <w:rsid w:val="00351499"/>
    <w:rsid w:val="003514C8"/>
    <w:rsid w:val="003516EF"/>
    <w:rsid w:val="00351C43"/>
    <w:rsid w:val="00351F5A"/>
    <w:rsid w:val="003523E8"/>
    <w:rsid w:val="0035265D"/>
    <w:rsid w:val="0035297F"/>
    <w:rsid w:val="00352AC9"/>
    <w:rsid w:val="003532EE"/>
    <w:rsid w:val="003534EB"/>
    <w:rsid w:val="00353566"/>
    <w:rsid w:val="003536AE"/>
    <w:rsid w:val="00353820"/>
    <w:rsid w:val="00353BB0"/>
    <w:rsid w:val="00353CB1"/>
    <w:rsid w:val="00353DA8"/>
    <w:rsid w:val="00353E00"/>
    <w:rsid w:val="00353ECD"/>
    <w:rsid w:val="00354585"/>
    <w:rsid w:val="003545D5"/>
    <w:rsid w:val="00354A50"/>
    <w:rsid w:val="00354BCA"/>
    <w:rsid w:val="00354E25"/>
    <w:rsid w:val="00354F9C"/>
    <w:rsid w:val="0035528E"/>
    <w:rsid w:val="003555B6"/>
    <w:rsid w:val="003555D1"/>
    <w:rsid w:val="00355930"/>
    <w:rsid w:val="003559EB"/>
    <w:rsid w:val="00355E4C"/>
    <w:rsid w:val="00355ECE"/>
    <w:rsid w:val="00355F2F"/>
    <w:rsid w:val="003563B6"/>
    <w:rsid w:val="00356653"/>
    <w:rsid w:val="00356688"/>
    <w:rsid w:val="00356832"/>
    <w:rsid w:val="00356B17"/>
    <w:rsid w:val="00356C04"/>
    <w:rsid w:val="00356C7F"/>
    <w:rsid w:val="00357A0B"/>
    <w:rsid w:val="00360359"/>
    <w:rsid w:val="00360A87"/>
    <w:rsid w:val="00360E7C"/>
    <w:rsid w:val="00360FA0"/>
    <w:rsid w:val="003611D0"/>
    <w:rsid w:val="0036121E"/>
    <w:rsid w:val="0036128A"/>
    <w:rsid w:val="00361427"/>
    <w:rsid w:val="00362554"/>
    <w:rsid w:val="003626D8"/>
    <w:rsid w:val="003628E9"/>
    <w:rsid w:val="0036331E"/>
    <w:rsid w:val="00363336"/>
    <w:rsid w:val="003634F0"/>
    <w:rsid w:val="003635E0"/>
    <w:rsid w:val="00363A9B"/>
    <w:rsid w:val="003644B3"/>
    <w:rsid w:val="00364534"/>
    <w:rsid w:val="00364784"/>
    <w:rsid w:val="003648F0"/>
    <w:rsid w:val="00364CED"/>
    <w:rsid w:val="00364E89"/>
    <w:rsid w:val="00364F13"/>
    <w:rsid w:val="00364F31"/>
    <w:rsid w:val="003650A3"/>
    <w:rsid w:val="003651D5"/>
    <w:rsid w:val="0036531B"/>
    <w:rsid w:val="003654EF"/>
    <w:rsid w:val="003659C1"/>
    <w:rsid w:val="00366BED"/>
    <w:rsid w:val="00366C71"/>
    <w:rsid w:val="00366F6F"/>
    <w:rsid w:val="00367109"/>
    <w:rsid w:val="0036718F"/>
    <w:rsid w:val="0036724D"/>
    <w:rsid w:val="00367A3A"/>
    <w:rsid w:val="00367D8B"/>
    <w:rsid w:val="003700A0"/>
    <w:rsid w:val="003701F9"/>
    <w:rsid w:val="003702C2"/>
    <w:rsid w:val="003702DB"/>
    <w:rsid w:val="00370427"/>
    <w:rsid w:val="00370617"/>
    <w:rsid w:val="00370635"/>
    <w:rsid w:val="00370727"/>
    <w:rsid w:val="00370B50"/>
    <w:rsid w:val="00370C19"/>
    <w:rsid w:val="00371081"/>
    <w:rsid w:val="00371932"/>
    <w:rsid w:val="00371AEA"/>
    <w:rsid w:val="00372173"/>
    <w:rsid w:val="0037243E"/>
    <w:rsid w:val="003727AA"/>
    <w:rsid w:val="0037284A"/>
    <w:rsid w:val="00372880"/>
    <w:rsid w:val="00372B5C"/>
    <w:rsid w:val="00373532"/>
    <w:rsid w:val="00373DBA"/>
    <w:rsid w:val="00373FBF"/>
    <w:rsid w:val="0037457A"/>
    <w:rsid w:val="00374AEE"/>
    <w:rsid w:val="00374E1F"/>
    <w:rsid w:val="00374EE0"/>
    <w:rsid w:val="003754A2"/>
    <w:rsid w:val="00375520"/>
    <w:rsid w:val="0037563C"/>
    <w:rsid w:val="003759F3"/>
    <w:rsid w:val="00376041"/>
    <w:rsid w:val="003761C8"/>
    <w:rsid w:val="003764D7"/>
    <w:rsid w:val="0037674D"/>
    <w:rsid w:val="00376776"/>
    <w:rsid w:val="00376827"/>
    <w:rsid w:val="00376954"/>
    <w:rsid w:val="00376B94"/>
    <w:rsid w:val="003770F9"/>
    <w:rsid w:val="0037714A"/>
    <w:rsid w:val="00377829"/>
    <w:rsid w:val="003778D9"/>
    <w:rsid w:val="00377B07"/>
    <w:rsid w:val="00377B8C"/>
    <w:rsid w:val="00377C38"/>
    <w:rsid w:val="00377F3C"/>
    <w:rsid w:val="003807C8"/>
    <w:rsid w:val="003808A9"/>
    <w:rsid w:val="00380A55"/>
    <w:rsid w:val="00380DF3"/>
    <w:rsid w:val="00381309"/>
    <w:rsid w:val="003813AE"/>
    <w:rsid w:val="003818C0"/>
    <w:rsid w:val="00381977"/>
    <w:rsid w:val="00381B97"/>
    <w:rsid w:val="00381D3A"/>
    <w:rsid w:val="003826FB"/>
    <w:rsid w:val="00382995"/>
    <w:rsid w:val="00382A11"/>
    <w:rsid w:val="00382CD2"/>
    <w:rsid w:val="00382D7E"/>
    <w:rsid w:val="0038313E"/>
    <w:rsid w:val="0038332A"/>
    <w:rsid w:val="00383569"/>
    <w:rsid w:val="003835E2"/>
    <w:rsid w:val="0038384E"/>
    <w:rsid w:val="00383CA9"/>
    <w:rsid w:val="00383FFB"/>
    <w:rsid w:val="003844B9"/>
    <w:rsid w:val="00384985"/>
    <w:rsid w:val="003852D8"/>
    <w:rsid w:val="003853CB"/>
    <w:rsid w:val="003858C3"/>
    <w:rsid w:val="00385D39"/>
    <w:rsid w:val="00385D5A"/>
    <w:rsid w:val="00385EAF"/>
    <w:rsid w:val="00385FD6"/>
    <w:rsid w:val="00386218"/>
    <w:rsid w:val="003862BB"/>
    <w:rsid w:val="0038632C"/>
    <w:rsid w:val="0038641B"/>
    <w:rsid w:val="003869A2"/>
    <w:rsid w:val="003869A8"/>
    <w:rsid w:val="00386A20"/>
    <w:rsid w:val="00386DAD"/>
    <w:rsid w:val="0038736C"/>
    <w:rsid w:val="00387374"/>
    <w:rsid w:val="0038743A"/>
    <w:rsid w:val="0038750D"/>
    <w:rsid w:val="00387C3C"/>
    <w:rsid w:val="00387CCF"/>
    <w:rsid w:val="00387F35"/>
    <w:rsid w:val="00387FD4"/>
    <w:rsid w:val="003907C1"/>
    <w:rsid w:val="003914FC"/>
    <w:rsid w:val="003917B0"/>
    <w:rsid w:val="003917F1"/>
    <w:rsid w:val="00391817"/>
    <w:rsid w:val="0039183F"/>
    <w:rsid w:val="00391885"/>
    <w:rsid w:val="003918C0"/>
    <w:rsid w:val="00391977"/>
    <w:rsid w:val="00391AE4"/>
    <w:rsid w:val="00391E8A"/>
    <w:rsid w:val="00391F45"/>
    <w:rsid w:val="0039239F"/>
    <w:rsid w:val="003924F1"/>
    <w:rsid w:val="003926CD"/>
    <w:rsid w:val="00392A3D"/>
    <w:rsid w:val="00392AE0"/>
    <w:rsid w:val="00392D47"/>
    <w:rsid w:val="00393082"/>
    <w:rsid w:val="003933EE"/>
    <w:rsid w:val="0039341B"/>
    <w:rsid w:val="0039384A"/>
    <w:rsid w:val="00393E4A"/>
    <w:rsid w:val="00394104"/>
    <w:rsid w:val="003942BD"/>
    <w:rsid w:val="00394706"/>
    <w:rsid w:val="00394C8C"/>
    <w:rsid w:val="00395194"/>
    <w:rsid w:val="00395264"/>
    <w:rsid w:val="00396331"/>
    <w:rsid w:val="00396542"/>
    <w:rsid w:val="00396972"/>
    <w:rsid w:val="00396A34"/>
    <w:rsid w:val="00396BA9"/>
    <w:rsid w:val="00396F16"/>
    <w:rsid w:val="003974DF"/>
    <w:rsid w:val="00397679"/>
    <w:rsid w:val="00397683"/>
    <w:rsid w:val="0039777A"/>
    <w:rsid w:val="003979D1"/>
    <w:rsid w:val="00397A62"/>
    <w:rsid w:val="00397D4C"/>
    <w:rsid w:val="00397E8D"/>
    <w:rsid w:val="003A0009"/>
    <w:rsid w:val="003A003F"/>
    <w:rsid w:val="003A006F"/>
    <w:rsid w:val="003A0458"/>
    <w:rsid w:val="003A08C4"/>
    <w:rsid w:val="003A08D8"/>
    <w:rsid w:val="003A152B"/>
    <w:rsid w:val="003A1AE4"/>
    <w:rsid w:val="003A2B2B"/>
    <w:rsid w:val="003A2D2F"/>
    <w:rsid w:val="003A305F"/>
    <w:rsid w:val="003A332C"/>
    <w:rsid w:val="003A33C5"/>
    <w:rsid w:val="003A34F1"/>
    <w:rsid w:val="003A35B9"/>
    <w:rsid w:val="003A362E"/>
    <w:rsid w:val="003A383D"/>
    <w:rsid w:val="003A39D4"/>
    <w:rsid w:val="003A3CA8"/>
    <w:rsid w:val="003A3CFF"/>
    <w:rsid w:val="003A4275"/>
    <w:rsid w:val="003A439C"/>
    <w:rsid w:val="003A4574"/>
    <w:rsid w:val="003A4882"/>
    <w:rsid w:val="003A4B13"/>
    <w:rsid w:val="003A4CA6"/>
    <w:rsid w:val="003A4F7B"/>
    <w:rsid w:val="003A51FA"/>
    <w:rsid w:val="003A53F6"/>
    <w:rsid w:val="003A5619"/>
    <w:rsid w:val="003A5628"/>
    <w:rsid w:val="003A570B"/>
    <w:rsid w:val="003A584A"/>
    <w:rsid w:val="003A589B"/>
    <w:rsid w:val="003A5BB2"/>
    <w:rsid w:val="003A5E13"/>
    <w:rsid w:val="003A63F1"/>
    <w:rsid w:val="003A6E65"/>
    <w:rsid w:val="003A7133"/>
    <w:rsid w:val="003A76D8"/>
    <w:rsid w:val="003A7F8D"/>
    <w:rsid w:val="003B0250"/>
    <w:rsid w:val="003B025A"/>
    <w:rsid w:val="003B030E"/>
    <w:rsid w:val="003B0350"/>
    <w:rsid w:val="003B04CA"/>
    <w:rsid w:val="003B0580"/>
    <w:rsid w:val="003B0599"/>
    <w:rsid w:val="003B05D2"/>
    <w:rsid w:val="003B06B2"/>
    <w:rsid w:val="003B0F5D"/>
    <w:rsid w:val="003B107B"/>
    <w:rsid w:val="003B118C"/>
    <w:rsid w:val="003B14D3"/>
    <w:rsid w:val="003B1868"/>
    <w:rsid w:val="003B191D"/>
    <w:rsid w:val="003B1AF9"/>
    <w:rsid w:val="003B2326"/>
    <w:rsid w:val="003B252B"/>
    <w:rsid w:val="003B26C9"/>
    <w:rsid w:val="003B2748"/>
    <w:rsid w:val="003B2799"/>
    <w:rsid w:val="003B3276"/>
    <w:rsid w:val="003B3358"/>
    <w:rsid w:val="003B37E6"/>
    <w:rsid w:val="003B3819"/>
    <w:rsid w:val="003B3B26"/>
    <w:rsid w:val="003B3B3E"/>
    <w:rsid w:val="003B3D82"/>
    <w:rsid w:val="003B3DCE"/>
    <w:rsid w:val="003B465B"/>
    <w:rsid w:val="003B4C9F"/>
    <w:rsid w:val="003B4E15"/>
    <w:rsid w:val="003B4E41"/>
    <w:rsid w:val="003B5087"/>
    <w:rsid w:val="003B52B0"/>
    <w:rsid w:val="003B5475"/>
    <w:rsid w:val="003B5851"/>
    <w:rsid w:val="003B5B6F"/>
    <w:rsid w:val="003B5D93"/>
    <w:rsid w:val="003B605D"/>
    <w:rsid w:val="003B6066"/>
    <w:rsid w:val="003B6137"/>
    <w:rsid w:val="003B6345"/>
    <w:rsid w:val="003B64DC"/>
    <w:rsid w:val="003B6672"/>
    <w:rsid w:val="003B680D"/>
    <w:rsid w:val="003B6842"/>
    <w:rsid w:val="003B6AA0"/>
    <w:rsid w:val="003B6CF7"/>
    <w:rsid w:val="003B6E15"/>
    <w:rsid w:val="003B6E93"/>
    <w:rsid w:val="003B6FEA"/>
    <w:rsid w:val="003B73C5"/>
    <w:rsid w:val="003B74CF"/>
    <w:rsid w:val="003B7607"/>
    <w:rsid w:val="003B774B"/>
    <w:rsid w:val="003B797E"/>
    <w:rsid w:val="003B7AE4"/>
    <w:rsid w:val="003C0124"/>
    <w:rsid w:val="003C07D6"/>
    <w:rsid w:val="003C110F"/>
    <w:rsid w:val="003C1951"/>
    <w:rsid w:val="003C19F7"/>
    <w:rsid w:val="003C2106"/>
    <w:rsid w:val="003C22DF"/>
    <w:rsid w:val="003C2305"/>
    <w:rsid w:val="003C274B"/>
    <w:rsid w:val="003C2967"/>
    <w:rsid w:val="003C29EA"/>
    <w:rsid w:val="003C303F"/>
    <w:rsid w:val="003C30E1"/>
    <w:rsid w:val="003C3243"/>
    <w:rsid w:val="003C3394"/>
    <w:rsid w:val="003C378C"/>
    <w:rsid w:val="003C37D0"/>
    <w:rsid w:val="003C3DD8"/>
    <w:rsid w:val="003C3E37"/>
    <w:rsid w:val="003C3FF3"/>
    <w:rsid w:val="003C4E12"/>
    <w:rsid w:val="003C4F1C"/>
    <w:rsid w:val="003C543F"/>
    <w:rsid w:val="003C54F4"/>
    <w:rsid w:val="003C55DA"/>
    <w:rsid w:val="003C59F9"/>
    <w:rsid w:val="003C60A4"/>
    <w:rsid w:val="003C6352"/>
    <w:rsid w:val="003C6488"/>
    <w:rsid w:val="003C6613"/>
    <w:rsid w:val="003C684B"/>
    <w:rsid w:val="003C699D"/>
    <w:rsid w:val="003C6F1F"/>
    <w:rsid w:val="003C70F7"/>
    <w:rsid w:val="003C7219"/>
    <w:rsid w:val="003C72AA"/>
    <w:rsid w:val="003C789C"/>
    <w:rsid w:val="003C7ACA"/>
    <w:rsid w:val="003C7AF5"/>
    <w:rsid w:val="003C7FBA"/>
    <w:rsid w:val="003C7FE3"/>
    <w:rsid w:val="003D002B"/>
    <w:rsid w:val="003D00E3"/>
    <w:rsid w:val="003D05B7"/>
    <w:rsid w:val="003D07BE"/>
    <w:rsid w:val="003D0AEA"/>
    <w:rsid w:val="003D0CCD"/>
    <w:rsid w:val="003D0E9F"/>
    <w:rsid w:val="003D0EAF"/>
    <w:rsid w:val="003D0F52"/>
    <w:rsid w:val="003D104E"/>
    <w:rsid w:val="003D16FF"/>
    <w:rsid w:val="003D1944"/>
    <w:rsid w:val="003D1974"/>
    <w:rsid w:val="003D1A10"/>
    <w:rsid w:val="003D1A7B"/>
    <w:rsid w:val="003D1B1E"/>
    <w:rsid w:val="003D1C64"/>
    <w:rsid w:val="003D1C69"/>
    <w:rsid w:val="003D1C74"/>
    <w:rsid w:val="003D20A0"/>
    <w:rsid w:val="003D2162"/>
    <w:rsid w:val="003D2219"/>
    <w:rsid w:val="003D2409"/>
    <w:rsid w:val="003D25E6"/>
    <w:rsid w:val="003D2A70"/>
    <w:rsid w:val="003D2A92"/>
    <w:rsid w:val="003D2AB0"/>
    <w:rsid w:val="003D2CB1"/>
    <w:rsid w:val="003D31DD"/>
    <w:rsid w:val="003D33DD"/>
    <w:rsid w:val="003D352D"/>
    <w:rsid w:val="003D36AF"/>
    <w:rsid w:val="003D373D"/>
    <w:rsid w:val="003D381D"/>
    <w:rsid w:val="003D386E"/>
    <w:rsid w:val="003D398A"/>
    <w:rsid w:val="003D3D08"/>
    <w:rsid w:val="003D3F8B"/>
    <w:rsid w:val="003D41CE"/>
    <w:rsid w:val="003D48B7"/>
    <w:rsid w:val="003D4996"/>
    <w:rsid w:val="003D4A51"/>
    <w:rsid w:val="003D4B4F"/>
    <w:rsid w:val="003D4BCF"/>
    <w:rsid w:val="003D525E"/>
    <w:rsid w:val="003D528D"/>
    <w:rsid w:val="003D5331"/>
    <w:rsid w:val="003D5410"/>
    <w:rsid w:val="003D55FC"/>
    <w:rsid w:val="003D5728"/>
    <w:rsid w:val="003D57AC"/>
    <w:rsid w:val="003D5C5B"/>
    <w:rsid w:val="003D6046"/>
    <w:rsid w:val="003D642F"/>
    <w:rsid w:val="003D6607"/>
    <w:rsid w:val="003D7541"/>
    <w:rsid w:val="003D75D0"/>
    <w:rsid w:val="003D7823"/>
    <w:rsid w:val="003D7CCE"/>
    <w:rsid w:val="003E0769"/>
    <w:rsid w:val="003E0850"/>
    <w:rsid w:val="003E0898"/>
    <w:rsid w:val="003E099B"/>
    <w:rsid w:val="003E0AE9"/>
    <w:rsid w:val="003E1001"/>
    <w:rsid w:val="003E107E"/>
    <w:rsid w:val="003E12C3"/>
    <w:rsid w:val="003E1A82"/>
    <w:rsid w:val="003E1AAF"/>
    <w:rsid w:val="003E21C6"/>
    <w:rsid w:val="003E240F"/>
    <w:rsid w:val="003E2511"/>
    <w:rsid w:val="003E2669"/>
    <w:rsid w:val="003E27EC"/>
    <w:rsid w:val="003E2909"/>
    <w:rsid w:val="003E2984"/>
    <w:rsid w:val="003E2D8E"/>
    <w:rsid w:val="003E3003"/>
    <w:rsid w:val="003E3221"/>
    <w:rsid w:val="003E371C"/>
    <w:rsid w:val="003E3725"/>
    <w:rsid w:val="003E3B01"/>
    <w:rsid w:val="003E3D27"/>
    <w:rsid w:val="003E3D9B"/>
    <w:rsid w:val="003E3DCF"/>
    <w:rsid w:val="003E3DE8"/>
    <w:rsid w:val="003E3F26"/>
    <w:rsid w:val="003E3F2B"/>
    <w:rsid w:val="003E3F39"/>
    <w:rsid w:val="003E40BA"/>
    <w:rsid w:val="003E429B"/>
    <w:rsid w:val="003E43D5"/>
    <w:rsid w:val="003E4475"/>
    <w:rsid w:val="003E479D"/>
    <w:rsid w:val="003E485A"/>
    <w:rsid w:val="003E4D07"/>
    <w:rsid w:val="003E54E2"/>
    <w:rsid w:val="003E57C1"/>
    <w:rsid w:val="003E591A"/>
    <w:rsid w:val="003E5D44"/>
    <w:rsid w:val="003E5E6F"/>
    <w:rsid w:val="003E6202"/>
    <w:rsid w:val="003E63C2"/>
    <w:rsid w:val="003E70EF"/>
    <w:rsid w:val="003E726E"/>
    <w:rsid w:val="003E7696"/>
    <w:rsid w:val="003E7AC7"/>
    <w:rsid w:val="003E7CA4"/>
    <w:rsid w:val="003E7D91"/>
    <w:rsid w:val="003E7E18"/>
    <w:rsid w:val="003E7EBC"/>
    <w:rsid w:val="003E7F8E"/>
    <w:rsid w:val="003E7FCC"/>
    <w:rsid w:val="003F0544"/>
    <w:rsid w:val="003F0650"/>
    <w:rsid w:val="003F0709"/>
    <w:rsid w:val="003F073F"/>
    <w:rsid w:val="003F0C9F"/>
    <w:rsid w:val="003F0E39"/>
    <w:rsid w:val="003F1395"/>
    <w:rsid w:val="003F1602"/>
    <w:rsid w:val="003F1876"/>
    <w:rsid w:val="003F1AC9"/>
    <w:rsid w:val="003F1BE4"/>
    <w:rsid w:val="003F1EE6"/>
    <w:rsid w:val="003F24EC"/>
    <w:rsid w:val="003F25B9"/>
    <w:rsid w:val="003F274A"/>
    <w:rsid w:val="003F2997"/>
    <w:rsid w:val="003F29AB"/>
    <w:rsid w:val="003F29C8"/>
    <w:rsid w:val="003F2B34"/>
    <w:rsid w:val="003F2C18"/>
    <w:rsid w:val="003F2E07"/>
    <w:rsid w:val="003F375A"/>
    <w:rsid w:val="003F389C"/>
    <w:rsid w:val="003F3D88"/>
    <w:rsid w:val="003F3F89"/>
    <w:rsid w:val="003F4506"/>
    <w:rsid w:val="003F451C"/>
    <w:rsid w:val="003F4660"/>
    <w:rsid w:val="003F46F9"/>
    <w:rsid w:val="003F494D"/>
    <w:rsid w:val="003F4FE0"/>
    <w:rsid w:val="003F54E3"/>
    <w:rsid w:val="003F5F38"/>
    <w:rsid w:val="003F5FB7"/>
    <w:rsid w:val="003F61B5"/>
    <w:rsid w:val="003F6407"/>
    <w:rsid w:val="003F65C3"/>
    <w:rsid w:val="003F6CA9"/>
    <w:rsid w:val="003F6E5E"/>
    <w:rsid w:val="003F7347"/>
    <w:rsid w:val="003F7670"/>
    <w:rsid w:val="003F79B8"/>
    <w:rsid w:val="003F7B0B"/>
    <w:rsid w:val="003F7B3E"/>
    <w:rsid w:val="00400122"/>
    <w:rsid w:val="0040014E"/>
    <w:rsid w:val="00400454"/>
    <w:rsid w:val="0040050E"/>
    <w:rsid w:val="0040092E"/>
    <w:rsid w:val="004009EC"/>
    <w:rsid w:val="00400BED"/>
    <w:rsid w:val="00400C5E"/>
    <w:rsid w:val="00400E75"/>
    <w:rsid w:val="0040120A"/>
    <w:rsid w:val="0040143E"/>
    <w:rsid w:val="0040150D"/>
    <w:rsid w:val="004015E6"/>
    <w:rsid w:val="004015F7"/>
    <w:rsid w:val="00401906"/>
    <w:rsid w:val="004019C0"/>
    <w:rsid w:val="00401D04"/>
    <w:rsid w:val="00401E51"/>
    <w:rsid w:val="00402134"/>
    <w:rsid w:val="004024B1"/>
    <w:rsid w:val="004028F7"/>
    <w:rsid w:val="00402BEC"/>
    <w:rsid w:val="00402D4F"/>
    <w:rsid w:val="00402EC4"/>
    <w:rsid w:val="00402F03"/>
    <w:rsid w:val="0040395C"/>
    <w:rsid w:val="00403A2E"/>
    <w:rsid w:val="00403B28"/>
    <w:rsid w:val="00403C90"/>
    <w:rsid w:val="00403CA6"/>
    <w:rsid w:val="004040B2"/>
    <w:rsid w:val="0040416B"/>
    <w:rsid w:val="0040460B"/>
    <w:rsid w:val="00404945"/>
    <w:rsid w:val="00404A05"/>
    <w:rsid w:val="00404E7E"/>
    <w:rsid w:val="00404FA2"/>
    <w:rsid w:val="0040503B"/>
    <w:rsid w:val="00405138"/>
    <w:rsid w:val="004051C9"/>
    <w:rsid w:val="004052D0"/>
    <w:rsid w:val="00405392"/>
    <w:rsid w:val="00405423"/>
    <w:rsid w:val="0040559D"/>
    <w:rsid w:val="00405621"/>
    <w:rsid w:val="00405A3C"/>
    <w:rsid w:val="00405C04"/>
    <w:rsid w:val="00405CDD"/>
    <w:rsid w:val="00406111"/>
    <w:rsid w:val="00406184"/>
    <w:rsid w:val="004062DF"/>
    <w:rsid w:val="004064C9"/>
    <w:rsid w:val="00406CEB"/>
    <w:rsid w:val="00406F19"/>
    <w:rsid w:val="0040702C"/>
    <w:rsid w:val="004072FD"/>
    <w:rsid w:val="0040733D"/>
    <w:rsid w:val="00407706"/>
    <w:rsid w:val="00407E27"/>
    <w:rsid w:val="00407F7A"/>
    <w:rsid w:val="00407FF7"/>
    <w:rsid w:val="00410011"/>
    <w:rsid w:val="004101D0"/>
    <w:rsid w:val="004101FA"/>
    <w:rsid w:val="004108C4"/>
    <w:rsid w:val="00410B58"/>
    <w:rsid w:val="00410E45"/>
    <w:rsid w:val="004111B7"/>
    <w:rsid w:val="0041121A"/>
    <w:rsid w:val="00411369"/>
    <w:rsid w:val="004114F1"/>
    <w:rsid w:val="0041184A"/>
    <w:rsid w:val="00411C2A"/>
    <w:rsid w:val="00411EBB"/>
    <w:rsid w:val="00411F01"/>
    <w:rsid w:val="0041204F"/>
    <w:rsid w:val="00412770"/>
    <w:rsid w:val="00412F13"/>
    <w:rsid w:val="00413151"/>
    <w:rsid w:val="0041379A"/>
    <w:rsid w:val="0041391A"/>
    <w:rsid w:val="00413E19"/>
    <w:rsid w:val="00413E42"/>
    <w:rsid w:val="004147A0"/>
    <w:rsid w:val="00414C09"/>
    <w:rsid w:val="00414D8C"/>
    <w:rsid w:val="00414F2E"/>
    <w:rsid w:val="00414F42"/>
    <w:rsid w:val="00414FED"/>
    <w:rsid w:val="00415168"/>
    <w:rsid w:val="004156C4"/>
    <w:rsid w:val="00415957"/>
    <w:rsid w:val="00415A10"/>
    <w:rsid w:val="00415E3A"/>
    <w:rsid w:val="00415FC2"/>
    <w:rsid w:val="004160C0"/>
    <w:rsid w:val="00416346"/>
    <w:rsid w:val="004163C2"/>
    <w:rsid w:val="00416539"/>
    <w:rsid w:val="00416854"/>
    <w:rsid w:val="0041755A"/>
    <w:rsid w:val="0041758C"/>
    <w:rsid w:val="0041777A"/>
    <w:rsid w:val="004177E4"/>
    <w:rsid w:val="00417949"/>
    <w:rsid w:val="004201A3"/>
    <w:rsid w:val="0042044C"/>
    <w:rsid w:val="00420536"/>
    <w:rsid w:val="004206EC"/>
    <w:rsid w:val="00420A75"/>
    <w:rsid w:val="00420D14"/>
    <w:rsid w:val="00420D3E"/>
    <w:rsid w:val="00420E35"/>
    <w:rsid w:val="004210AC"/>
    <w:rsid w:val="00421123"/>
    <w:rsid w:val="004212A8"/>
    <w:rsid w:val="00421361"/>
    <w:rsid w:val="0042145B"/>
    <w:rsid w:val="004214BD"/>
    <w:rsid w:val="004215CE"/>
    <w:rsid w:val="00421724"/>
    <w:rsid w:val="00421C95"/>
    <w:rsid w:val="00421F9B"/>
    <w:rsid w:val="00422449"/>
    <w:rsid w:val="004226FA"/>
    <w:rsid w:val="004227A1"/>
    <w:rsid w:val="00422992"/>
    <w:rsid w:val="00422999"/>
    <w:rsid w:val="00422B7B"/>
    <w:rsid w:val="00422D0F"/>
    <w:rsid w:val="004234F6"/>
    <w:rsid w:val="00423623"/>
    <w:rsid w:val="00423AAB"/>
    <w:rsid w:val="00423C79"/>
    <w:rsid w:val="00423D68"/>
    <w:rsid w:val="00423FF3"/>
    <w:rsid w:val="004257CC"/>
    <w:rsid w:val="004259A5"/>
    <w:rsid w:val="00425B36"/>
    <w:rsid w:val="00425B7E"/>
    <w:rsid w:val="00425E27"/>
    <w:rsid w:val="00425E9E"/>
    <w:rsid w:val="00425F5C"/>
    <w:rsid w:val="00425F84"/>
    <w:rsid w:val="004266DF"/>
    <w:rsid w:val="0042693B"/>
    <w:rsid w:val="00426A05"/>
    <w:rsid w:val="00426F85"/>
    <w:rsid w:val="00427033"/>
    <w:rsid w:val="0042715E"/>
    <w:rsid w:val="0042725A"/>
    <w:rsid w:val="00427324"/>
    <w:rsid w:val="00427A2F"/>
    <w:rsid w:val="00427B41"/>
    <w:rsid w:val="00427EEC"/>
    <w:rsid w:val="0043045A"/>
    <w:rsid w:val="00430D03"/>
    <w:rsid w:val="00430EEE"/>
    <w:rsid w:val="0043109D"/>
    <w:rsid w:val="00431284"/>
    <w:rsid w:val="00431587"/>
    <w:rsid w:val="00431869"/>
    <w:rsid w:val="00431BC5"/>
    <w:rsid w:val="00431F7C"/>
    <w:rsid w:val="0043282B"/>
    <w:rsid w:val="00432E31"/>
    <w:rsid w:val="0043312F"/>
    <w:rsid w:val="004333A1"/>
    <w:rsid w:val="004334AE"/>
    <w:rsid w:val="004335F6"/>
    <w:rsid w:val="0043383D"/>
    <w:rsid w:val="00433A75"/>
    <w:rsid w:val="00434317"/>
    <w:rsid w:val="00434362"/>
    <w:rsid w:val="00434414"/>
    <w:rsid w:val="00434577"/>
    <w:rsid w:val="00434D73"/>
    <w:rsid w:val="00434F36"/>
    <w:rsid w:val="00435339"/>
    <w:rsid w:val="00435349"/>
    <w:rsid w:val="0043588E"/>
    <w:rsid w:val="004358CC"/>
    <w:rsid w:val="00435C44"/>
    <w:rsid w:val="00436240"/>
    <w:rsid w:val="0043638F"/>
    <w:rsid w:val="004368A5"/>
    <w:rsid w:val="0043697A"/>
    <w:rsid w:val="00436BAC"/>
    <w:rsid w:val="00436E13"/>
    <w:rsid w:val="00437365"/>
    <w:rsid w:val="00437439"/>
    <w:rsid w:val="0043761D"/>
    <w:rsid w:val="004378BD"/>
    <w:rsid w:val="00437B29"/>
    <w:rsid w:val="004401F1"/>
    <w:rsid w:val="00440436"/>
    <w:rsid w:val="00440EB8"/>
    <w:rsid w:val="00440EC5"/>
    <w:rsid w:val="00441004"/>
    <w:rsid w:val="00441180"/>
    <w:rsid w:val="004413FC"/>
    <w:rsid w:val="004418C1"/>
    <w:rsid w:val="004418EA"/>
    <w:rsid w:val="004418EE"/>
    <w:rsid w:val="00441E4E"/>
    <w:rsid w:val="0044216F"/>
    <w:rsid w:val="00442435"/>
    <w:rsid w:val="0044275D"/>
    <w:rsid w:val="00442AB6"/>
    <w:rsid w:val="00442CAB"/>
    <w:rsid w:val="00442D02"/>
    <w:rsid w:val="00442D9D"/>
    <w:rsid w:val="004438E3"/>
    <w:rsid w:val="00443A64"/>
    <w:rsid w:val="00443CE7"/>
    <w:rsid w:val="00443E20"/>
    <w:rsid w:val="00443FBC"/>
    <w:rsid w:val="00444132"/>
    <w:rsid w:val="0044441C"/>
    <w:rsid w:val="004444C4"/>
    <w:rsid w:val="00444644"/>
    <w:rsid w:val="004446DE"/>
    <w:rsid w:val="004447B8"/>
    <w:rsid w:val="00444971"/>
    <w:rsid w:val="00444B57"/>
    <w:rsid w:val="00444BBD"/>
    <w:rsid w:val="00444ED9"/>
    <w:rsid w:val="00444FE3"/>
    <w:rsid w:val="0044594B"/>
    <w:rsid w:val="00445980"/>
    <w:rsid w:val="00445A25"/>
    <w:rsid w:val="00445AB5"/>
    <w:rsid w:val="00445BEE"/>
    <w:rsid w:val="00445D94"/>
    <w:rsid w:val="00446055"/>
    <w:rsid w:val="00446121"/>
    <w:rsid w:val="00446169"/>
    <w:rsid w:val="00446277"/>
    <w:rsid w:val="00446BC6"/>
    <w:rsid w:val="00446C7F"/>
    <w:rsid w:val="00446FDB"/>
    <w:rsid w:val="004471D8"/>
    <w:rsid w:val="0044743B"/>
    <w:rsid w:val="0044749C"/>
    <w:rsid w:val="00447599"/>
    <w:rsid w:val="004476FB"/>
    <w:rsid w:val="00447B31"/>
    <w:rsid w:val="00447C08"/>
    <w:rsid w:val="00447C9E"/>
    <w:rsid w:val="00447EC2"/>
    <w:rsid w:val="00447FFA"/>
    <w:rsid w:val="00450026"/>
    <w:rsid w:val="00450421"/>
    <w:rsid w:val="004504D1"/>
    <w:rsid w:val="004504E2"/>
    <w:rsid w:val="004506D5"/>
    <w:rsid w:val="00450DCE"/>
    <w:rsid w:val="00450FFE"/>
    <w:rsid w:val="00451B06"/>
    <w:rsid w:val="00451C19"/>
    <w:rsid w:val="00451E43"/>
    <w:rsid w:val="00451EC3"/>
    <w:rsid w:val="00451EE1"/>
    <w:rsid w:val="0045271B"/>
    <w:rsid w:val="0045290B"/>
    <w:rsid w:val="00452925"/>
    <w:rsid w:val="00452FF2"/>
    <w:rsid w:val="00452FF6"/>
    <w:rsid w:val="004530A2"/>
    <w:rsid w:val="00453358"/>
    <w:rsid w:val="00453490"/>
    <w:rsid w:val="0045362F"/>
    <w:rsid w:val="00453735"/>
    <w:rsid w:val="0045439C"/>
    <w:rsid w:val="00454AB9"/>
    <w:rsid w:val="00454B37"/>
    <w:rsid w:val="00454C76"/>
    <w:rsid w:val="00454CE1"/>
    <w:rsid w:val="00454DE9"/>
    <w:rsid w:val="00455460"/>
    <w:rsid w:val="004554D1"/>
    <w:rsid w:val="0045560A"/>
    <w:rsid w:val="00455B3E"/>
    <w:rsid w:val="00455CD6"/>
    <w:rsid w:val="0045627D"/>
    <w:rsid w:val="00456840"/>
    <w:rsid w:val="00456CB4"/>
    <w:rsid w:val="00456DEC"/>
    <w:rsid w:val="00457249"/>
    <w:rsid w:val="0045724E"/>
    <w:rsid w:val="00457266"/>
    <w:rsid w:val="004578FE"/>
    <w:rsid w:val="00457E33"/>
    <w:rsid w:val="00457F4D"/>
    <w:rsid w:val="004606AA"/>
    <w:rsid w:val="00460A15"/>
    <w:rsid w:val="00460FBD"/>
    <w:rsid w:val="00461669"/>
    <w:rsid w:val="004617EE"/>
    <w:rsid w:val="00461828"/>
    <w:rsid w:val="00461861"/>
    <w:rsid w:val="00461934"/>
    <w:rsid w:val="00461B0F"/>
    <w:rsid w:val="00461DF3"/>
    <w:rsid w:val="00461FDF"/>
    <w:rsid w:val="0046227E"/>
    <w:rsid w:val="00462574"/>
    <w:rsid w:val="004626B3"/>
    <w:rsid w:val="004627B1"/>
    <w:rsid w:val="004629DB"/>
    <w:rsid w:val="00462A22"/>
    <w:rsid w:val="00462EFD"/>
    <w:rsid w:val="004630B7"/>
    <w:rsid w:val="00463224"/>
    <w:rsid w:val="004632A0"/>
    <w:rsid w:val="004632E4"/>
    <w:rsid w:val="0046399B"/>
    <w:rsid w:val="00463E6E"/>
    <w:rsid w:val="004644D8"/>
    <w:rsid w:val="00464812"/>
    <w:rsid w:val="00464BE7"/>
    <w:rsid w:val="00464ED2"/>
    <w:rsid w:val="00465572"/>
    <w:rsid w:val="004657B9"/>
    <w:rsid w:val="00465F06"/>
    <w:rsid w:val="00465FF6"/>
    <w:rsid w:val="0046611A"/>
    <w:rsid w:val="004665D5"/>
    <w:rsid w:val="00466699"/>
    <w:rsid w:val="0046670B"/>
    <w:rsid w:val="004667E8"/>
    <w:rsid w:val="00466DF4"/>
    <w:rsid w:val="00467196"/>
    <w:rsid w:val="00467A90"/>
    <w:rsid w:val="00467E30"/>
    <w:rsid w:val="0047006C"/>
    <w:rsid w:val="004701F7"/>
    <w:rsid w:val="00470319"/>
    <w:rsid w:val="004703EE"/>
    <w:rsid w:val="004704B7"/>
    <w:rsid w:val="004704F4"/>
    <w:rsid w:val="004706DA"/>
    <w:rsid w:val="004706EB"/>
    <w:rsid w:val="00470B7D"/>
    <w:rsid w:val="00470C4E"/>
    <w:rsid w:val="00471138"/>
    <w:rsid w:val="004714D4"/>
    <w:rsid w:val="004715B9"/>
    <w:rsid w:val="00471CB6"/>
    <w:rsid w:val="00471DE4"/>
    <w:rsid w:val="00471EAD"/>
    <w:rsid w:val="0047219E"/>
    <w:rsid w:val="004723AC"/>
    <w:rsid w:val="004726EA"/>
    <w:rsid w:val="004726EF"/>
    <w:rsid w:val="00472931"/>
    <w:rsid w:val="00472976"/>
    <w:rsid w:val="004730D8"/>
    <w:rsid w:val="0047322F"/>
    <w:rsid w:val="00473267"/>
    <w:rsid w:val="00473414"/>
    <w:rsid w:val="004734BB"/>
    <w:rsid w:val="0047356F"/>
    <w:rsid w:val="00473DB8"/>
    <w:rsid w:val="00473E38"/>
    <w:rsid w:val="00473F77"/>
    <w:rsid w:val="00473F81"/>
    <w:rsid w:val="00474104"/>
    <w:rsid w:val="004741F9"/>
    <w:rsid w:val="00474327"/>
    <w:rsid w:val="004748BB"/>
    <w:rsid w:val="0047498E"/>
    <w:rsid w:val="00474D74"/>
    <w:rsid w:val="00475152"/>
    <w:rsid w:val="004757C3"/>
    <w:rsid w:val="00475C43"/>
    <w:rsid w:val="00475D2A"/>
    <w:rsid w:val="00475F38"/>
    <w:rsid w:val="004760E2"/>
    <w:rsid w:val="004762F1"/>
    <w:rsid w:val="0047673D"/>
    <w:rsid w:val="0047677F"/>
    <w:rsid w:val="00476CC2"/>
    <w:rsid w:val="00476F02"/>
    <w:rsid w:val="00477009"/>
    <w:rsid w:val="004770C2"/>
    <w:rsid w:val="004779AC"/>
    <w:rsid w:val="00477A3E"/>
    <w:rsid w:val="00477D25"/>
    <w:rsid w:val="00477E4F"/>
    <w:rsid w:val="0048024F"/>
    <w:rsid w:val="00480743"/>
    <w:rsid w:val="00481090"/>
    <w:rsid w:val="004813C2"/>
    <w:rsid w:val="004819C8"/>
    <w:rsid w:val="00481A37"/>
    <w:rsid w:val="00481A9B"/>
    <w:rsid w:val="00481E5D"/>
    <w:rsid w:val="00481F72"/>
    <w:rsid w:val="004820C2"/>
    <w:rsid w:val="00482432"/>
    <w:rsid w:val="00482AAC"/>
    <w:rsid w:val="00482DF4"/>
    <w:rsid w:val="00483276"/>
    <w:rsid w:val="00483543"/>
    <w:rsid w:val="00483572"/>
    <w:rsid w:val="004836D8"/>
    <w:rsid w:val="004838F6"/>
    <w:rsid w:val="00483A99"/>
    <w:rsid w:val="00483DF7"/>
    <w:rsid w:val="00483E3A"/>
    <w:rsid w:val="00483F9A"/>
    <w:rsid w:val="00484170"/>
    <w:rsid w:val="00484237"/>
    <w:rsid w:val="004844BE"/>
    <w:rsid w:val="00484D11"/>
    <w:rsid w:val="0048523F"/>
    <w:rsid w:val="0048559A"/>
    <w:rsid w:val="00485BB2"/>
    <w:rsid w:val="00485C2A"/>
    <w:rsid w:val="0048613A"/>
    <w:rsid w:val="00486175"/>
    <w:rsid w:val="0048649C"/>
    <w:rsid w:val="004867B0"/>
    <w:rsid w:val="004868F5"/>
    <w:rsid w:val="00486E7B"/>
    <w:rsid w:val="00486EC9"/>
    <w:rsid w:val="00487047"/>
    <w:rsid w:val="004870D7"/>
    <w:rsid w:val="0048738C"/>
    <w:rsid w:val="004874B8"/>
    <w:rsid w:val="0048768C"/>
    <w:rsid w:val="00487841"/>
    <w:rsid w:val="00487942"/>
    <w:rsid w:val="004879BB"/>
    <w:rsid w:val="00487A48"/>
    <w:rsid w:val="00487AB6"/>
    <w:rsid w:val="00487BDB"/>
    <w:rsid w:val="00487C96"/>
    <w:rsid w:val="00487CB9"/>
    <w:rsid w:val="004900F5"/>
    <w:rsid w:val="004906BB"/>
    <w:rsid w:val="00490813"/>
    <w:rsid w:val="004908C3"/>
    <w:rsid w:val="00491077"/>
    <w:rsid w:val="004911E7"/>
    <w:rsid w:val="00491321"/>
    <w:rsid w:val="0049166D"/>
    <w:rsid w:val="00491920"/>
    <w:rsid w:val="004919C5"/>
    <w:rsid w:val="00491B0E"/>
    <w:rsid w:val="00492488"/>
    <w:rsid w:val="0049254B"/>
    <w:rsid w:val="0049289A"/>
    <w:rsid w:val="00492AA3"/>
    <w:rsid w:val="00492B4B"/>
    <w:rsid w:val="00492BAC"/>
    <w:rsid w:val="00492CC7"/>
    <w:rsid w:val="0049303D"/>
    <w:rsid w:val="004931E1"/>
    <w:rsid w:val="00493829"/>
    <w:rsid w:val="00493B5E"/>
    <w:rsid w:val="00493B9A"/>
    <w:rsid w:val="00493BC6"/>
    <w:rsid w:val="00494374"/>
    <w:rsid w:val="00494461"/>
    <w:rsid w:val="00494465"/>
    <w:rsid w:val="004944FB"/>
    <w:rsid w:val="0049464E"/>
    <w:rsid w:val="004946EF"/>
    <w:rsid w:val="00494725"/>
    <w:rsid w:val="00494C4F"/>
    <w:rsid w:val="00494CC4"/>
    <w:rsid w:val="00494DA6"/>
    <w:rsid w:val="004950D1"/>
    <w:rsid w:val="0049535B"/>
    <w:rsid w:val="0049547D"/>
    <w:rsid w:val="00495CCA"/>
    <w:rsid w:val="00495D31"/>
    <w:rsid w:val="00496042"/>
    <w:rsid w:val="004960AD"/>
    <w:rsid w:val="004963CB"/>
    <w:rsid w:val="0049643E"/>
    <w:rsid w:val="0049645D"/>
    <w:rsid w:val="0049648F"/>
    <w:rsid w:val="004966C3"/>
    <w:rsid w:val="004967AF"/>
    <w:rsid w:val="00496AEC"/>
    <w:rsid w:val="00496DF4"/>
    <w:rsid w:val="004971C8"/>
    <w:rsid w:val="004971CF"/>
    <w:rsid w:val="004975D0"/>
    <w:rsid w:val="004977C8"/>
    <w:rsid w:val="00497800"/>
    <w:rsid w:val="00497985"/>
    <w:rsid w:val="00497AC8"/>
    <w:rsid w:val="00497B2F"/>
    <w:rsid w:val="00497BE6"/>
    <w:rsid w:val="004A052C"/>
    <w:rsid w:val="004A07D1"/>
    <w:rsid w:val="004A0A1C"/>
    <w:rsid w:val="004A0B7B"/>
    <w:rsid w:val="004A0FCC"/>
    <w:rsid w:val="004A12E1"/>
    <w:rsid w:val="004A1731"/>
    <w:rsid w:val="004A1940"/>
    <w:rsid w:val="004A1C61"/>
    <w:rsid w:val="004A1D07"/>
    <w:rsid w:val="004A1D3F"/>
    <w:rsid w:val="004A242A"/>
    <w:rsid w:val="004A2586"/>
    <w:rsid w:val="004A2D5A"/>
    <w:rsid w:val="004A2FB9"/>
    <w:rsid w:val="004A311D"/>
    <w:rsid w:val="004A38A1"/>
    <w:rsid w:val="004A39B1"/>
    <w:rsid w:val="004A3A5F"/>
    <w:rsid w:val="004A3B54"/>
    <w:rsid w:val="004A3BCB"/>
    <w:rsid w:val="004A4321"/>
    <w:rsid w:val="004A4683"/>
    <w:rsid w:val="004A4DA1"/>
    <w:rsid w:val="004A51E0"/>
    <w:rsid w:val="004A54D3"/>
    <w:rsid w:val="004A5523"/>
    <w:rsid w:val="004A567C"/>
    <w:rsid w:val="004A596D"/>
    <w:rsid w:val="004A5AB6"/>
    <w:rsid w:val="004A6038"/>
    <w:rsid w:val="004A6327"/>
    <w:rsid w:val="004A6354"/>
    <w:rsid w:val="004A6479"/>
    <w:rsid w:val="004A6B4A"/>
    <w:rsid w:val="004A6B9C"/>
    <w:rsid w:val="004A6CC4"/>
    <w:rsid w:val="004A6CF6"/>
    <w:rsid w:val="004A745A"/>
    <w:rsid w:val="004A793D"/>
    <w:rsid w:val="004A7BB7"/>
    <w:rsid w:val="004B0137"/>
    <w:rsid w:val="004B041F"/>
    <w:rsid w:val="004B0609"/>
    <w:rsid w:val="004B061E"/>
    <w:rsid w:val="004B0B70"/>
    <w:rsid w:val="004B0DF8"/>
    <w:rsid w:val="004B0DF9"/>
    <w:rsid w:val="004B12A2"/>
    <w:rsid w:val="004B1691"/>
    <w:rsid w:val="004B1CD8"/>
    <w:rsid w:val="004B20E6"/>
    <w:rsid w:val="004B2340"/>
    <w:rsid w:val="004B2355"/>
    <w:rsid w:val="004B2731"/>
    <w:rsid w:val="004B27F6"/>
    <w:rsid w:val="004B291F"/>
    <w:rsid w:val="004B2D25"/>
    <w:rsid w:val="004B2E50"/>
    <w:rsid w:val="004B3095"/>
    <w:rsid w:val="004B32A5"/>
    <w:rsid w:val="004B33A2"/>
    <w:rsid w:val="004B3643"/>
    <w:rsid w:val="004B3940"/>
    <w:rsid w:val="004B4328"/>
    <w:rsid w:val="004B4D14"/>
    <w:rsid w:val="004B4DF0"/>
    <w:rsid w:val="004B4F28"/>
    <w:rsid w:val="004B504A"/>
    <w:rsid w:val="004B526D"/>
    <w:rsid w:val="004B5359"/>
    <w:rsid w:val="004B560D"/>
    <w:rsid w:val="004B59FD"/>
    <w:rsid w:val="004B5A27"/>
    <w:rsid w:val="004B5BBD"/>
    <w:rsid w:val="004B5BC0"/>
    <w:rsid w:val="004B5C34"/>
    <w:rsid w:val="004B6282"/>
    <w:rsid w:val="004B62FC"/>
    <w:rsid w:val="004B6365"/>
    <w:rsid w:val="004B6C39"/>
    <w:rsid w:val="004B6D91"/>
    <w:rsid w:val="004B7095"/>
    <w:rsid w:val="004B72E1"/>
    <w:rsid w:val="004B76EB"/>
    <w:rsid w:val="004B7B13"/>
    <w:rsid w:val="004C050F"/>
    <w:rsid w:val="004C05E9"/>
    <w:rsid w:val="004C0B38"/>
    <w:rsid w:val="004C0DC4"/>
    <w:rsid w:val="004C0E6B"/>
    <w:rsid w:val="004C0F3E"/>
    <w:rsid w:val="004C154A"/>
    <w:rsid w:val="004C17E1"/>
    <w:rsid w:val="004C182E"/>
    <w:rsid w:val="004C1BC3"/>
    <w:rsid w:val="004C1DCF"/>
    <w:rsid w:val="004C1E75"/>
    <w:rsid w:val="004C2735"/>
    <w:rsid w:val="004C2919"/>
    <w:rsid w:val="004C2D42"/>
    <w:rsid w:val="004C2EDE"/>
    <w:rsid w:val="004C302F"/>
    <w:rsid w:val="004C3463"/>
    <w:rsid w:val="004C3674"/>
    <w:rsid w:val="004C37F9"/>
    <w:rsid w:val="004C3B13"/>
    <w:rsid w:val="004C3B35"/>
    <w:rsid w:val="004C3C24"/>
    <w:rsid w:val="004C4080"/>
    <w:rsid w:val="004C4307"/>
    <w:rsid w:val="004C44CE"/>
    <w:rsid w:val="004C4773"/>
    <w:rsid w:val="004C483B"/>
    <w:rsid w:val="004C4870"/>
    <w:rsid w:val="004C4892"/>
    <w:rsid w:val="004C491F"/>
    <w:rsid w:val="004C496A"/>
    <w:rsid w:val="004C49D6"/>
    <w:rsid w:val="004C4AE1"/>
    <w:rsid w:val="004C4B5E"/>
    <w:rsid w:val="004C4BA9"/>
    <w:rsid w:val="004C4BD7"/>
    <w:rsid w:val="004C4C37"/>
    <w:rsid w:val="004C5853"/>
    <w:rsid w:val="004C58FE"/>
    <w:rsid w:val="004C5B33"/>
    <w:rsid w:val="004C6184"/>
    <w:rsid w:val="004C6196"/>
    <w:rsid w:val="004C62FD"/>
    <w:rsid w:val="004C64CE"/>
    <w:rsid w:val="004C67D7"/>
    <w:rsid w:val="004C6A8A"/>
    <w:rsid w:val="004C6BA9"/>
    <w:rsid w:val="004C6C29"/>
    <w:rsid w:val="004C6E78"/>
    <w:rsid w:val="004C72A7"/>
    <w:rsid w:val="004C7568"/>
    <w:rsid w:val="004C786C"/>
    <w:rsid w:val="004C7D21"/>
    <w:rsid w:val="004C7EA0"/>
    <w:rsid w:val="004D03C8"/>
    <w:rsid w:val="004D073E"/>
    <w:rsid w:val="004D077D"/>
    <w:rsid w:val="004D0A2B"/>
    <w:rsid w:val="004D0BC3"/>
    <w:rsid w:val="004D0F76"/>
    <w:rsid w:val="004D1254"/>
    <w:rsid w:val="004D139F"/>
    <w:rsid w:val="004D13C4"/>
    <w:rsid w:val="004D1445"/>
    <w:rsid w:val="004D1949"/>
    <w:rsid w:val="004D19E6"/>
    <w:rsid w:val="004D254A"/>
    <w:rsid w:val="004D2849"/>
    <w:rsid w:val="004D2CAD"/>
    <w:rsid w:val="004D2D96"/>
    <w:rsid w:val="004D2E47"/>
    <w:rsid w:val="004D2F5A"/>
    <w:rsid w:val="004D303F"/>
    <w:rsid w:val="004D3061"/>
    <w:rsid w:val="004D325A"/>
    <w:rsid w:val="004D408D"/>
    <w:rsid w:val="004D4311"/>
    <w:rsid w:val="004D4428"/>
    <w:rsid w:val="004D4440"/>
    <w:rsid w:val="004D459F"/>
    <w:rsid w:val="004D47E5"/>
    <w:rsid w:val="004D4881"/>
    <w:rsid w:val="004D48BC"/>
    <w:rsid w:val="004D532F"/>
    <w:rsid w:val="004D5729"/>
    <w:rsid w:val="004D580C"/>
    <w:rsid w:val="004D5B2A"/>
    <w:rsid w:val="004D5D1A"/>
    <w:rsid w:val="004D5FE1"/>
    <w:rsid w:val="004D602D"/>
    <w:rsid w:val="004D6470"/>
    <w:rsid w:val="004D6856"/>
    <w:rsid w:val="004D69D2"/>
    <w:rsid w:val="004D6DC2"/>
    <w:rsid w:val="004D6DE0"/>
    <w:rsid w:val="004D7005"/>
    <w:rsid w:val="004D70EF"/>
    <w:rsid w:val="004D7111"/>
    <w:rsid w:val="004D7369"/>
    <w:rsid w:val="004D73B9"/>
    <w:rsid w:val="004D760F"/>
    <w:rsid w:val="004D787E"/>
    <w:rsid w:val="004D79AF"/>
    <w:rsid w:val="004D7B0B"/>
    <w:rsid w:val="004E0133"/>
    <w:rsid w:val="004E01B4"/>
    <w:rsid w:val="004E037A"/>
    <w:rsid w:val="004E0688"/>
    <w:rsid w:val="004E093D"/>
    <w:rsid w:val="004E098C"/>
    <w:rsid w:val="004E0C94"/>
    <w:rsid w:val="004E0CE8"/>
    <w:rsid w:val="004E1161"/>
    <w:rsid w:val="004E12BE"/>
    <w:rsid w:val="004E130B"/>
    <w:rsid w:val="004E144C"/>
    <w:rsid w:val="004E14A2"/>
    <w:rsid w:val="004E1670"/>
    <w:rsid w:val="004E18C6"/>
    <w:rsid w:val="004E19AF"/>
    <w:rsid w:val="004E1A34"/>
    <w:rsid w:val="004E1C0E"/>
    <w:rsid w:val="004E1F5C"/>
    <w:rsid w:val="004E1FD2"/>
    <w:rsid w:val="004E2288"/>
    <w:rsid w:val="004E28AD"/>
    <w:rsid w:val="004E2D19"/>
    <w:rsid w:val="004E2E4C"/>
    <w:rsid w:val="004E3421"/>
    <w:rsid w:val="004E3744"/>
    <w:rsid w:val="004E3761"/>
    <w:rsid w:val="004E397E"/>
    <w:rsid w:val="004E3B55"/>
    <w:rsid w:val="004E3B73"/>
    <w:rsid w:val="004E3B7F"/>
    <w:rsid w:val="004E3EC1"/>
    <w:rsid w:val="004E3F41"/>
    <w:rsid w:val="004E3F94"/>
    <w:rsid w:val="004E410B"/>
    <w:rsid w:val="004E4377"/>
    <w:rsid w:val="004E440A"/>
    <w:rsid w:val="004E441B"/>
    <w:rsid w:val="004E493E"/>
    <w:rsid w:val="004E4BAB"/>
    <w:rsid w:val="004E4CF6"/>
    <w:rsid w:val="004E4E4D"/>
    <w:rsid w:val="004E541F"/>
    <w:rsid w:val="004E554A"/>
    <w:rsid w:val="004E6055"/>
    <w:rsid w:val="004E62C5"/>
    <w:rsid w:val="004E62E6"/>
    <w:rsid w:val="004E630E"/>
    <w:rsid w:val="004E648C"/>
    <w:rsid w:val="004E66B2"/>
    <w:rsid w:val="004E6757"/>
    <w:rsid w:val="004E68A4"/>
    <w:rsid w:val="004E6F7D"/>
    <w:rsid w:val="004E70F8"/>
    <w:rsid w:val="004E75A2"/>
    <w:rsid w:val="004E7E02"/>
    <w:rsid w:val="004F087E"/>
    <w:rsid w:val="004F0C7D"/>
    <w:rsid w:val="004F12A9"/>
    <w:rsid w:val="004F1A3C"/>
    <w:rsid w:val="004F1BBC"/>
    <w:rsid w:val="004F1BF7"/>
    <w:rsid w:val="004F1C9C"/>
    <w:rsid w:val="004F1CDD"/>
    <w:rsid w:val="004F1E92"/>
    <w:rsid w:val="004F1F7B"/>
    <w:rsid w:val="004F1F84"/>
    <w:rsid w:val="004F2125"/>
    <w:rsid w:val="004F2148"/>
    <w:rsid w:val="004F240B"/>
    <w:rsid w:val="004F247E"/>
    <w:rsid w:val="004F251C"/>
    <w:rsid w:val="004F2F15"/>
    <w:rsid w:val="004F30C6"/>
    <w:rsid w:val="004F345C"/>
    <w:rsid w:val="004F3671"/>
    <w:rsid w:val="004F38B8"/>
    <w:rsid w:val="004F3EB7"/>
    <w:rsid w:val="004F4223"/>
    <w:rsid w:val="004F49C2"/>
    <w:rsid w:val="004F49E0"/>
    <w:rsid w:val="004F4AAC"/>
    <w:rsid w:val="004F4B48"/>
    <w:rsid w:val="004F4DC9"/>
    <w:rsid w:val="004F55A9"/>
    <w:rsid w:val="004F56DD"/>
    <w:rsid w:val="004F5B17"/>
    <w:rsid w:val="004F5D01"/>
    <w:rsid w:val="004F5E43"/>
    <w:rsid w:val="004F61E1"/>
    <w:rsid w:val="004F637F"/>
    <w:rsid w:val="004F64E4"/>
    <w:rsid w:val="004F6851"/>
    <w:rsid w:val="004F6A95"/>
    <w:rsid w:val="004F6C54"/>
    <w:rsid w:val="004F6CCF"/>
    <w:rsid w:val="004F6D91"/>
    <w:rsid w:val="004F6F11"/>
    <w:rsid w:val="004F7090"/>
    <w:rsid w:val="004F77C0"/>
    <w:rsid w:val="004F78C4"/>
    <w:rsid w:val="004F790D"/>
    <w:rsid w:val="004F7944"/>
    <w:rsid w:val="004F7C5E"/>
    <w:rsid w:val="004F7CB6"/>
    <w:rsid w:val="00500086"/>
    <w:rsid w:val="00500103"/>
    <w:rsid w:val="00500384"/>
    <w:rsid w:val="005007E2"/>
    <w:rsid w:val="00500B57"/>
    <w:rsid w:val="00500C0B"/>
    <w:rsid w:val="00500C81"/>
    <w:rsid w:val="00500CD4"/>
    <w:rsid w:val="00500F30"/>
    <w:rsid w:val="00501478"/>
    <w:rsid w:val="00501971"/>
    <w:rsid w:val="0050201A"/>
    <w:rsid w:val="00502864"/>
    <w:rsid w:val="005028C5"/>
    <w:rsid w:val="005032CF"/>
    <w:rsid w:val="005032F6"/>
    <w:rsid w:val="00503496"/>
    <w:rsid w:val="00503558"/>
    <w:rsid w:val="00503609"/>
    <w:rsid w:val="005036A1"/>
    <w:rsid w:val="00503721"/>
    <w:rsid w:val="00503E09"/>
    <w:rsid w:val="00504920"/>
    <w:rsid w:val="005049CA"/>
    <w:rsid w:val="00504CA7"/>
    <w:rsid w:val="00504CE2"/>
    <w:rsid w:val="00504DB0"/>
    <w:rsid w:val="00504F18"/>
    <w:rsid w:val="005050CD"/>
    <w:rsid w:val="00505436"/>
    <w:rsid w:val="00505528"/>
    <w:rsid w:val="005059C9"/>
    <w:rsid w:val="00505B0C"/>
    <w:rsid w:val="00505E15"/>
    <w:rsid w:val="0050620E"/>
    <w:rsid w:val="0050623C"/>
    <w:rsid w:val="0050625D"/>
    <w:rsid w:val="00506A2F"/>
    <w:rsid w:val="00506A49"/>
    <w:rsid w:val="00506B5A"/>
    <w:rsid w:val="00506C0F"/>
    <w:rsid w:val="00506E5A"/>
    <w:rsid w:val="00506F39"/>
    <w:rsid w:val="005073BC"/>
    <w:rsid w:val="00507647"/>
    <w:rsid w:val="00507B53"/>
    <w:rsid w:val="00507B98"/>
    <w:rsid w:val="00510048"/>
    <w:rsid w:val="005100AF"/>
    <w:rsid w:val="005103CE"/>
    <w:rsid w:val="00510584"/>
    <w:rsid w:val="00510588"/>
    <w:rsid w:val="005105A0"/>
    <w:rsid w:val="005107CB"/>
    <w:rsid w:val="00510ADD"/>
    <w:rsid w:val="005110F8"/>
    <w:rsid w:val="00511758"/>
    <w:rsid w:val="005124B0"/>
    <w:rsid w:val="00512B6C"/>
    <w:rsid w:val="005132BA"/>
    <w:rsid w:val="00513738"/>
    <w:rsid w:val="005137FD"/>
    <w:rsid w:val="005140AE"/>
    <w:rsid w:val="00514855"/>
    <w:rsid w:val="00514A1C"/>
    <w:rsid w:val="00514E05"/>
    <w:rsid w:val="00514E6A"/>
    <w:rsid w:val="00514E98"/>
    <w:rsid w:val="00514EC4"/>
    <w:rsid w:val="00514F16"/>
    <w:rsid w:val="0051514E"/>
    <w:rsid w:val="00515168"/>
    <w:rsid w:val="00515414"/>
    <w:rsid w:val="0051549F"/>
    <w:rsid w:val="005156CF"/>
    <w:rsid w:val="00515983"/>
    <w:rsid w:val="00515A08"/>
    <w:rsid w:val="005160E9"/>
    <w:rsid w:val="00516423"/>
    <w:rsid w:val="005167D0"/>
    <w:rsid w:val="005167E9"/>
    <w:rsid w:val="00516E7C"/>
    <w:rsid w:val="00516F4A"/>
    <w:rsid w:val="00517671"/>
    <w:rsid w:val="005176B2"/>
    <w:rsid w:val="005176F9"/>
    <w:rsid w:val="00517730"/>
    <w:rsid w:val="005177FE"/>
    <w:rsid w:val="00517823"/>
    <w:rsid w:val="00517F46"/>
    <w:rsid w:val="0052032C"/>
    <w:rsid w:val="005205B2"/>
    <w:rsid w:val="00520692"/>
    <w:rsid w:val="00520758"/>
    <w:rsid w:val="00520A4F"/>
    <w:rsid w:val="00520D14"/>
    <w:rsid w:val="00521303"/>
    <w:rsid w:val="00521346"/>
    <w:rsid w:val="005215B9"/>
    <w:rsid w:val="0052181D"/>
    <w:rsid w:val="0052183E"/>
    <w:rsid w:val="0052187D"/>
    <w:rsid w:val="00521BA0"/>
    <w:rsid w:val="00521E91"/>
    <w:rsid w:val="00521F3D"/>
    <w:rsid w:val="00522132"/>
    <w:rsid w:val="00522617"/>
    <w:rsid w:val="005229C4"/>
    <w:rsid w:val="00522C5F"/>
    <w:rsid w:val="00523022"/>
    <w:rsid w:val="00523104"/>
    <w:rsid w:val="005235DE"/>
    <w:rsid w:val="005236EB"/>
    <w:rsid w:val="00523E05"/>
    <w:rsid w:val="005240A0"/>
    <w:rsid w:val="00524102"/>
    <w:rsid w:val="00524138"/>
    <w:rsid w:val="00524401"/>
    <w:rsid w:val="00524664"/>
    <w:rsid w:val="0052471C"/>
    <w:rsid w:val="0052477A"/>
    <w:rsid w:val="00524D9F"/>
    <w:rsid w:val="0052514D"/>
    <w:rsid w:val="005252E3"/>
    <w:rsid w:val="005253FA"/>
    <w:rsid w:val="00525647"/>
    <w:rsid w:val="005257C2"/>
    <w:rsid w:val="00525ABC"/>
    <w:rsid w:val="00525B9E"/>
    <w:rsid w:val="00525F55"/>
    <w:rsid w:val="00526022"/>
    <w:rsid w:val="005260DD"/>
    <w:rsid w:val="0052623C"/>
    <w:rsid w:val="005264C0"/>
    <w:rsid w:val="00526524"/>
    <w:rsid w:val="0052667B"/>
    <w:rsid w:val="00526A1A"/>
    <w:rsid w:val="00526BF6"/>
    <w:rsid w:val="00526FE9"/>
    <w:rsid w:val="0052743D"/>
    <w:rsid w:val="005278A2"/>
    <w:rsid w:val="00527B60"/>
    <w:rsid w:val="00527D38"/>
    <w:rsid w:val="00530253"/>
    <w:rsid w:val="00530CFF"/>
    <w:rsid w:val="00531AD7"/>
    <w:rsid w:val="00531C69"/>
    <w:rsid w:val="005327CE"/>
    <w:rsid w:val="00532C7E"/>
    <w:rsid w:val="00533251"/>
    <w:rsid w:val="005332FA"/>
    <w:rsid w:val="00533500"/>
    <w:rsid w:val="0053365D"/>
    <w:rsid w:val="005336D0"/>
    <w:rsid w:val="0053376A"/>
    <w:rsid w:val="0053405F"/>
    <w:rsid w:val="0053407D"/>
    <w:rsid w:val="005340AA"/>
    <w:rsid w:val="005342C4"/>
    <w:rsid w:val="00534531"/>
    <w:rsid w:val="00534ACD"/>
    <w:rsid w:val="0053519A"/>
    <w:rsid w:val="005356D5"/>
    <w:rsid w:val="00535B41"/>
    <w:rsid w:val="0053654B"/>
    <w:rsid w:val="00536B09"/>
    <w:rsid w:val="00536C83"/>
    <w:rsid w:val="00536FE5"/>
    <w:rsid w:val="005378E6"/>
    <w:rsid w:val="005379B0"/>
    <w:rsid w:val="00537AB5"/>
    <w:rsid w:val="0054026B"/>
    <w:rsid w:val="005406ED"/>
    <w:rsid w:val="00540922"/>
    <w:rsid w:val="00540936"/>
    <w:rsid w:val="00541393"/>
    <w:rsid w:val="00541576"/>
    <w:rsid w:val="005419E1"/>
    <w:rsid w:val="00541F74"/>
    <w:rsid w:val="00542017"/>
    <w:rsid w:val="005422BB"/>
    <w:rsid w:val="00542325"/>
    <w:rsid w:val="00542F76"/>
    <w:rsid w:val="005431AA"/>
    <w:rsid w:val="005432D5"/>
    <w:rsid w:val="00543573"/>
    <w:rsid w:val="0054357B"/>
    <w:rsid w:val="005435E0"/>
    <w:rsid w:val="0054362F"/>
    <w:rsid w:val="00543DCC"/>
    <w:rsid w:val="00543F86"/>
    <w:rsid w:val="00543F9B"/>
    <w:rsid w:val="0054403B"/>
    <w:rsid w:val="00544063"/>
    <w:rsid w:val="005442A5"/>
    <w:rsid w:val="00544638"/>
    <w:rsid w:val="00544C52"/>
    <w:rsid w:val="00544EA9"/>
    <w:rsid w:val="005457D9"/>
    <w:rsid w:val="00545807"/>
    <w:rsid w:val="00545831"/>
    <w:rsid w:val="00545999"/>
    <w:rsid w:val="00546046"/>
    <w:rsid w:val="00546057"/>
    <w:rsid w:val="00546595"/>
    <w:rsid w:val="005469A2"/>
    <w:rsid w:val="00546BA6"/>
    <w:rsid w:val="00546FA5"/>
    <w:rsid w:val="005473BB"/>
    <w:rsid w:val="00547644"/>
    <w:rsid w:val="00547944"/>
    <w:rsid w:val="005479A1"/>
    <w:rsid w:val="005479A2"/>
    <w:rsid w:val="00547B61"/>
    <w:rsid w:val="00550706"/>
    <w:rsid w:val="00550B9E"/>
    <w:rsid w:val="00550C5A"/>
    <w:rsid w:val="00550ED8"/>
    <w:rsid w:val="00550FC3"/>
    <w:rsid w:val="00551427"/>
    <w:rsid w:val="005514FA"/>
    <w:rsid w:val="00551685"/>
    <w:rsid w:val="005516BD"/>
    <w:rsid w:val="0055186B"/>
    <w:rsid w:val="00551DE1"/>
    <w:rsid w:val="00551E53"/>
    <w:rsid w:val="005523D4"/>
    <w:rsid w:val="00552558"/>
    <w:rsid w:val="00552E56"/>
    <w:rsid w:val="00552EBF"/>
    <w:rsid w:val="00553196"/>
    <w:rsid w:val="005531B3"/>
    <w:rsid w:val="005531D4"/>
    <w:rsid w:val="00553552"/>
    <w:rsid w:val="00553674"/>
    <w:rsid w:val="005539C3"/>
    <w:rsid w:val="00553A69"/>
    <w:rsid w:val="00553AE3"/>
    <w:rsid w:val="00553E7B"/>
    <w:rsid w:val="00553F1E"/>
    <w:rsid w:val="0055416E"/>
    <w:rsid w:val="0055464E"/>
    <w:rsid w:val="005548BC"/>
    <w:rsid w:val="00554E97"/>
    <w:rsid w:val="00554FD1"/>
    <w:rsid w:val="00555547"/>
    <w:rsid w:val="005556FA"/>
    <w:rsid w:val="00555739"/>
    <w:rsid w:val="00555861"/>
    <w:rsid w:val="00555929"/>
    <w:rsid w:val="00555E74"/>
    <w:rsid w:val="005560C6"/>
    <w:rsid w:val="005569A1"/>
    <w:rsid w:val="005571FB"/>
    <w:rsid w:val="0055768F"/>
    <w:rsid w:val="005576CD"/>
    <w:rsid w:val="00557A02"/>
    <w:rsid w:val="00557F59"/>
    <w:rsid w:val="00557F8D"/>
    <w:rsid w:val="0056045B"/>
    <w:rsid w:val="00560705"/>
    <w:rsid w:val="005609C7"/>
    <w:rsid w:val="00560B19"/>
    <w:rsid w:val="00560ED1"/>
    <w:rsid w:val="00561155"/>
    <w:rsid w:val="0056119B"/>
    <w:rsid w:val="0056140F"/>
    <w:rsid w:val="0056177A"/>
    <w:rsid w:val="00561AB3"/>
    <w:rsid w:val="00561C12"/>
    <w:rsid w:val="00561C80"/>
    <w:rsid w:val="00561D79"/>
    <w:rsid w:val="005622CC"/>
    <w:rsid w:val="00562447"/>
    <w:rsid w:val="00562737"/>
    <w:rsid w:val="00562774"/>
    <w:rsid w:val="00562ED3"/>
    <w:rsid w:val="005633F6"/>
    <w:rsid w:val="005634B3"/>
    <w:rsid w:val="00563687"/>
    <w:rsid w:val="005638B9"/>
    <w:rsid w:val="0056397F"/>
    <w:rsid w:val="00563AE3"/>
    <w:rsid w:val="0056447A"/>
    <w:rsid w:val="00564505"/>
    <w:rsid w:val="00564759"/>
    <w:rsid w:val="00564B9B"/>
    <w:rsid w:val="00564C71"/>
    <w:rsid w:val="00565798"/>
    <w:rsid w:val="005657B7"/>
    <w:rsid w:val="00565FBA"/>
    <w:rsid w:val="005660C4"/>
    <w:rsid w:val="00566140"/>
    <w:rsid w:val="00566D84"/>
    <w:rsid w:val="00567016"/>
    <w:rsid w:val="00567090"/>
    <w:rsid w:val="00567100"/>
    <w:rsid w:val="00567229"/>
    <w:rsid w:val="005672EB"/>
    <w:rsid w:val="00567584"/>
    <w:rsid w:val="005676EA"/>
    <w:rsid w:val="00567E3C"/>
    <w:rsid w:val="00567E7A"/>
    <w:rsid w:val="00570556"/>
    <w:rsid w:val="005705FF"/>
    <w:rsid w:val="005708C2"/>
    <w:rsid w:val="005709C2"/>
    <w:rsid w:val="00570BC3"/>
    <w:rsid w:val="00570C2A"/>
    <w:rsid w:val="00570CE3"/>
    <w:rsid w:val="00570E13"/>
    <w:rsid w:val="00570E30"/>
    <w:rsid w:val="00570FDA"/>
    <w:rsid w:val="005711B7"/>
    <w:rsid w:val="00571684"/>
    <w:rsid w:val="005718D3"/>
    <w:rsid w:val="0057196B"/>
    <w:rsid w:val="00571D13"/>
    <w:rsid w:val="00571D15"/>
    <w:rsid w:val="00571E93"/>
    <w:rsid w:val="00572035"/>
    <w:rsid w:val="005721AF"/>
    <w:rsid w:val="00572393"/>
    <w:rsid w:val="005725CA"/>
    <w:rsid w:val="0057263A"/>
    <w:rsid w:val="00572A3F"/>
    <w:rsid w:val="00572A5E"/>
    <w:rsid w:val="00572BD0"/>
    <w:rsid w:val="00572D3B"/>
    <w:rsid w:val="00572DAD"/>
    <w:rsid w:val="00572E8A"/>
    <w:rsid w:val="00573033"/>
    <w:rsid w:val="0057307B"/>
    <w:rsid w:val="0057309C"/>
    <w:rsid w:val="005730B3"/>
    <w:rsid w:val="00573215"/>
    <w:rsid w:val="0057383A"/>
    <w:rsid w:val="00573A0B"/>
    <w:rsid w:val="00573E51"/>
    <w:rsid w:val="0057405E"/>
    <w:rsid w:val="00574217"/>
    <w:rsid w:val="00574643"/>
    <w:rsid w:val="005748D4"/>
    <w:rsid w:val="00574AE6"/>
    <w:rsid w:val="00574CD1"/>
    <w:rsid w:val="00574EBC"/>
    <w:rsid w:val="005752F5"/>
    <w:rsid w:val="00575409"/>
    <w:rsid w:val="00575AA8"/>
    <w:rsid w:val="00575F49"/>
    <w:rsid w:val="00576182"/>
    <w:rsid w:val="005761E5"/>
    <w:rsid w:val="005762B3"/>
    <w:rsid w:val="00576325"/>
    <w:rsid w:val="00576613"/>
    <w:rsid w:val="0057695B"/>
    <w:rsid w:val="00576B36"/>
    <w:rsid w:val="00576CD9"/>
    <w:rsid w:val="00577018"/>
    <w:rsid w:val="00577039"/>
    <w:rsid w:val="005770AE"/>
    <w:rsid w:val="005771AD"/>
    <w:rsid w:val="005773BD"/>
    <w:rsid w:val="00577C68"/>
    <w:rsid w:val="00577EEB"/>
    <w:rsid w:val="0058010B"/>
    <w:rsid w:val="00580341"/>
    <w:rsid w:val="00580757"/>
    <w:rsid w:val="00580813"/>
    <w:rsid w:val="005808C5"/>
    <w:rsid w:val="00580A62"/>
    <w:rsid w:val="00580CC1"/>
    <w:rsid w:val="00580E40"/>
    <w:rsid w:val="00581017"/>
    <w:rsid w:val="00581146"/>
    <w:rsid w:val="005811A3"/>
    <w:rsid w:val="0058123E"/>
    <w:rsid w:val="00581319"/>
    <w:rsid w:val="0058137F"/>
    <w:rsid w:val="00581693"/>
    <w:rsid w:val="005816F3"/>
    <w:rsid w:val="005817D5"/>
    <w:rsid w:val="00581B0F"/>
    <w:rsid w:val="00581C22"/>
    <w:rsid w:val="00582120"/>
    <w:rsid w:val="00582146"/>
    <w:rsid w:val="005821EC"/>
    <w:rsid w:val="00582401"/>
    <w:rsid w:val="00582568"/>
    <w:rsid w:val="005825C5"/>
    <w:rsid w:val="005828BF"/>
    <w:rsid w:val="00582AE7"/>
    <w:rsid w:val="00582C72"/>
    <w:rsid w:val="00582F15"/>
    <w:rsid w:val="00583020"/>
    <w:rsid w:val="00583758"/>
    <w:rsid w:val="0058396E"/>
    <w:rsid w:val="00583A59"/>
    <w:rsid w:val="00583A63"/>
    <w:rsid w:val="00583C38"/>
    <w:rsid w:val="00583E18"/>
    <w:rsid w:val="0058425F"/>
    <w:rsid w:val="0058471F"/>
    <w:rsid w:val="005849EB"/>
    <w:rsid w:val="00584D66"/>
    <w:rsid w:val="00584E0E"/>
    <w:rsid w:val="005851D2"/>
    <w:rsid w:val="005851FE"/>
    <w:rsid w:val="0058535D"/>
    <w:rsid w:val="00585790"/>
    <w:rsid w:val="00585ACB"/>
    <w:rsid w:val="00585D37"/>
    <w:rsid w:val="00585E92"/>
    <w:rsid w:val="005861C0"/>
    <w:rsid w:val="005862AB"/>
    <w:rsid w:val="0058641E"/>
    <w:rsid w:val="00586A57"/>
    <w:rsid w:val="00586C52"/>
    <w:rsid w:val="00586D84"/>
    <w:rsid w:val="00587181"/>
    <w:rsid w:val="005871BD"/>
    <w:rsid w:val="005873F2"/>
    <w:rsid w:val="0058740D"/>
    <w:rsid w:val="00587541"/>
    <w:rsid w:val="005876E9"/>
    <w:rsid w:val="005877E9"/>
    <w:rsid w:val="00587A93"/>
    <w:rsid w:val="00587C83"/>
    <w:rsid w:val="00587D38"/>
    <w:rsid w:val="00590250"/>
    <w:rsid w:val="00590437"/>
    <w:rsid w:val="00590439"/>
    <w:rsid w:val="005904C2"/>
    <w:rsid w:val="00590A30"/>
    <w:rsid w:val="00590DA7"/>
    <w:rsid w:val="00590E83"/>
    <w:rsid w:val="00590EF1"/>
    <w:rsid w:val="00591301"/>
    <w:rsid w:val="00591446"/>
    <w:rsid w:val="005914EE"/>
    <w:rsid w:val="00591800"/>
    <w:rsid w:val="00591918"/>
    <w:rsid w:val="00591B27"/>
    <w:rsid w:val="00591CF3"/>
    <w:rsid w:val="00591DD1"/>
    <w:rsid w:val="00591E79"/>
    <w:rsid w:val="00592367"/>
    <w:rsid w:val="005925DF"/>
    <w:rsid w:val="00592785"/>
    <w:rsid w:val="00592C4A"/>
    <w:rsid w:val="00592E2A"/>
    <w:rsid w:val="00593244"/>
    <w:rsid w:val="005933BE"/>
    <w:rsid w:val="005935C6"/>
    <w:rsid w:val="0059372E"/>
    <w:rsid w:val="005938EC"/>
    <w:rsid w:val="00593DD2"/>
    <w:rsid w:val="00593F84"/>
    <w:rsid w:val="005940F6"/>
    <w:rsid w:val="0059413C"/>
    <w:rsid w:val="0059472A"/>
    <w:rsid w:val="005948B1"/>
    <w:rsid w:val="005948EB"/>
    <w:rsid w:val="00594D1B"/>
    <w:rsid w:val="00594E1A"/>
    <w:rsid w:val="00595062"/>
    <w:rsid w:val="005950A6"/>
    <w:rsid w:val="00595372"/>
    <w:rsid w:val="005954CC"/>
    <w:rsid w:val="005954ED"/>
    <w:rsid w:val="00595833"/>
    <w:rsid w:val="005958CB"/>
    <w:rsid w:val="00595C09"/>
    <w:rsid w:val="00595E29"/>
    <w:rsid w:val="00595EDC"/>
    <w:rsid w:val="00596228"/>
    <w:rsid w:val="00596A8C"/>
    <w:rsid w:val="00596C3C"/>
    <w:rsid w:val="00597517"/>
    <w:rsid w:val="005975C4"/>
    <w:rsid w:val="00597878"/>
    <w:rsid w:val="00597A00"/>
    <w:rsid w:val="00597C1E"/>
    <w:rsid w:val="00597C7C"/>
    <w:rsid w:val="00597F23"/>
    <w:rsid w:val="005A0002"/>
    <w:rsid w:val="005A010D"/>
    <w:rsid w:val="005A049B"/>
    <w:rsid w:val="005A0511"/>
    <w:rsid w:val="005A0642"/>
    <w:rsid w:val="005A0DF9"/>
    <w:rsid w:val="005A14E0"/>
    <w:rsid w:val="005A157C"/>
    <w:rsid w:val="005A1702"/>
    <w:rsid w:val="005A1782"/>
    <w:rsid w:val="005A1DB8"/>
    <w:rsid w:val="005A1E75"/>
    <w:rsid w:val="005A2460"/>
    <w:rsid w:val="005A263C"/>
    <w:rsid w:val="005A271D"/>
    <w:rsid w:val="005A2AFA"/>
    <w:rsid w:val="005A2BA2"/>
    <w:rsid w:val="005A3BBC"/>
    <w:rsid w:val="005A406A"/>
    <w:rsid w:val="005A46A6"/>
    <w:rsid w:val="005A4777"/>
    <w:rsid w:val="005A4F13"/>
    <w:rsid w:val="005A5131"/>
    <w:rsid w:val="005A5134"/>
    <w:rsid w:val="005A5172"/>
    <w:rsid w:val="005A51CA"/>
    <w:rsid w:val="005A52E9"/>
    <w:rsid w:val="005A5309"/>
    <w:rsid w:val="005A532C"/>
    <w:rsid w:val="005A5424"/>
    <w:rsid w:val="005A5B29"/>
    <w:rsid w:val="005A5B99"/>
    <w:rsid w:val="005A5F90"/>
    <w:rsid w:val="005A6055"/>
    <w:rsid w:val="005A6548"/>
    <w:rsid w:val="005A66F5"/>
    <w:rsid w:val="005A68D1"/>
    <w:rsid w:val="005A6A64"/>
    <w:rsid w:val="005A6CA4"/>
    <w:rsid w:val="005A6D6B"/>
    <w:rsid w:val="005A6DA8"/>
    <w:rsid w:val="005A6EF4"/>
    <w:rsid w:val="005A702E"/>
    <w:rsid w:val="005A727B"/>
    <w:rsid w:val="005A72DB"/>
    <w:rsid w:val="005A766A"/>
    <w:rsid w:val="005A77B9"/>
    <w:rsid w:val="005A782A"/>
    <w:rsid w:val="005A79D4"/>
    <w:rsid w:val="005A7E10"/>
    <w:rsid w:val="005B01AD"/>
    <w:rsid w:val="005B0246"/>
    <w:rsid w:val="005B02C1"/>
    <w:rsid w:val="005B03A4"/>
    <w:rsid w:val="005B0832"/>
    <w:rsid w:val="005B0929"/>
    <w:rsid w:val="005B0AB1"/>
    <w:rsid w:val="005B0AE3"/>
    <w:rsid w:val="005B0B78"/>
    <w:rsid w:val="005B0B85"/>
    <w:rsid w:val="005B0C11"/>
    <w:rsid w:val="005B0C5A"/>
    <w:rsid w:val="005B1254"/>
    <w:rsid w:val="005B14C8"/>
    <w:rsid w:val="005B1ABF"/>
    <w:rsid w:val="005B2371"/>
    <w:rsid w:val="005B2566"/>
    <w:rsid w:val="005B2632"/>
    <w:rsid w:val="005B29BA"/>
    <w:rsid w:val="005B2A6A"/>
    <w:rsid w:val="005B2BE9"/>
    <w:rsid w:val="005B2C4E"/>
    <w:rsid w:val="005B321C"/>
    <w:rsid w:val="005B329F"/>
    <w:rsid w:val="005B3673"/>
    <w:rsid w:val="005B3BDB"/>
    <w:rsid w:val="005B4394"/>
    <w:rsid w:val="005B4628"/>
    <w:rsid w:val="005B483C"/>
    <w:rsid w:val="005B4D4A"/>
    <w:rsid w:val="005B5155"/>
    <w:rsid w:val="005B5899"/>
    <w:rsid w:val="005B5AC7"/>
    <w:rsid w:val="005B5D46"/>
    <w:rsid w:val="005B5EC6"/>
    <w:rsid w:val="005B6039"/>
    <w:rsid w:val="005B6146"/>
    <w:rsid w:val="005B627B"/>
    <w:rsid w:val="005B63E2"/>
    <w:rsid w:val="005B664A"/>
    <w:rsid w:val="005B67B8"/>
    <w:rsid w:val="005B695C"/>
    <w:rsid w:val="005B6A0F"/>
    <w:rsid w:val="005B6A59"/>
    <w:rsid w:val="005B6C85"/>
    <w:rsid w:val="005B7134"/>
    <w:rsid w:val="005B75CD"/>
    <w:rsid w:val="005B7A0B"/>
    <w:rsid w:val="005B7E37"/>
    <w:rsid w:val="005C0059"/>
    <w:rsid w:val="005C0242"/>
    <w:rsid w:val="005C04BF"/>
    <w:rsid w:val="005C0526"/>
    <w:rsid w:val="005C074F"/>
    <w:rsid w:val="005C0BF7"/>
    <w:rsid w:val="005C1077"/>
    <w:rsid w:val="005C11A6"/>
    <w:rsid w:val="005C13F7"/>
    <w:rsid w:val="005C147F"/>
    <w:rsid w:val="005C1AAE"/>
    <w:rsid w:val="005C1D2B"/>
    <w:rsid w:val="005C21BA"/>
    <w:rsid w:val="005C2276"/>
    <w:rsid w:val="005C242F"/>
    <w:rsid w:val="005C26C2"/>
    <w:rsid w:val="005C2858"/>
    <w:rsid w:val="005C2B62"/>
    <w:rsid w:val="005C2FB7"/>
    <w:rsid w:val="005C379B"/>
    <w:rsid w:val="005C37A9"/>
    <w:rsid w:val="005C37B7"/>
    <w:rsid w:val="005C3828"/>
    <w:rsid w:val="005C3ACF"/>
    <w:rsid w:val="005C3CD4"/>
    <w:rsid w:val="005C3D47"/>
    <w:rsid w:val="005C3E3F"/>
    <w:rsid w:val="005C3EB5"/>
    <w:rsid w:val="005C3EC9"/>
    <w:rsid w:val="005C3FEF"/>
    <w:rsid w:val="005C45F1"/>
    <w:rsid w:val="005C4970"/>
    <w:rsid w:val="005C4B3E"/>
    <w:rsid w:val="005C4B8C"/>
    <w:rsid w:val="005C5067"/>
    <w:rsid w:val="005C51FD"/>
    <w:rsid w:val="005C5281"/>
    <w:rsid w:val="005C529F"/>
    <w:rsid w:val="005C5341"/>
    <w:rsid w:val="005C550D"/>
    <w:rsid w:val="005C5CF2"/>
    <w:rsid w:val="005C5D65"/>
    <w:rsid w:val="005C5D8E"/>
    <w:rsid w:val="005C5F16"/>
    <w:rsid w:val="005C6021"/>
    <w:rsid w:val="005C6279"/>
    <w:rsid w:val="005C641C"/>
    <w:rsid w:val="005C684A"/>
    <w:rsid w:val="005C68A7"/>
    <w:rsid w:val="005C68F6"/>
    <w:rsid w:val="005C6E2D"/>
    <w:rsid w:val="005C748F"/>
    <w:rsid w:val="005C74FE"/>
    <w:rsid w:val="005C7620"/>
    <w:rsid w:val="005C7ED9"/>
    <w:rsid w:val="005D011B"/>
    <w:rsid w:val="005D0572"/>
    <w:rsid w:val="005D080F"/>
    <w:rsid w:val="005D0816"/>
    <w:rsid w:val="005D09C6"/>
    <w:rsid w:val="005D0CF9"/>
    <w:rsid w:val="005D0E47"/>
    <w:rsid w:val="005D0F2B"/>
    <w:rsid w:val="005D1006"/>
    <w:rsid w:val="005D1064"/>
    <w:rsid w:val="005D1338"/>
    <w:rsid w:val="005D138B"/>
    <w:rsid w:val="005D154A"/>
    <w:rsid w:val="005D1639"/>
    <w:rsid w:val="005D1944"/>
    <w:rsid w:val="005D19A2"/>
    <w:rsid w:val="005D19F7"/>
    <w:rsid w:val="005D1C9E"/>
    <w:rsid w:val="005D1DAF"/>
    <w:rsid w:val="005D1E27"/>
    <w:rsid w:val="005D1F4F"/>
    <w:rsid w:val="005D219A"/>
    <w:rsid w:val="005D24BB"/>
    <w:rsid w:val="005D26D7"/>
    <w:rsid w:val="005D2716"/>
    <w:rsid w:val="005D27C5"/>
    <w:rsid w:val="005D29D3"/>
    <w:rsid w:val="005D2D0B"/>
    <w:rsid w:val="005D3169"/>
    <w:rsid w:val="005D3189"/>
    <w:rsid w:val="005D32B6"/>
    <w:rsid w:val="005D33C7"/>
    <w:rsid w:val="005D3497"/>
    <w:rsid w:val="005D35F2"/>
    <w:rsid w:val="005D363A"/>
    <w:rsid w:val="005D3BFA"/>
    <w:rsid w:val="005D40F3"/>
    <w:rsid w:val="005D4125"/>
    <w:rsid w:val="005D42A0"/>
    <w:rsid w:val="005D42BD"/>
    <w:rsid w:val="005D44DF"/>
    <w:rsid w:val="005D4521"/>
    <w:rsid w:val="005D4660"/>
    <w:rsid w:val="005D4694"/>
    <w:rsid w:val="005D4E5F"/>
    <w:rsid w:val="005D585D"/>
    <w:rsid w:val="005D605B"/>
    <w:rsid w:val="005D6281"/>
    <w:rsid w:val="005D62DB"/>
    <w:rsid w:val="005D6631"/>
    <w:rsid w:val="005D687C"/>
    <w:rsid w:val="005D696C"/>
    <w:rsid w:val="005D6A6E"/>
    <w:rsid w:val="005D6BD0"/>
    <w:rsid w:val="005D6CAD"/>
    <w:rsid w:val="005D743A"/>
    <w:rsid w:val="005D74AC"/>
    <w:rsid w:val="005D786F"/>
    <w:rsid w:val="005D7A5C"/>
    <w:rsid w:val="005D7AF8"/>
    <w:rsid w:val="005D7C02"/>
    <w:rsid w:val="005D7EA6"/>
    <w:rsid w:val="005E02AA"/>
    <w:rsid w:val="005E0A85"/>
    <w:rsid w:val="005E0D89"/>
    <w:rsid w:val="005E10F3"/>
    <w:rsid w:val="005E1606"/>
    <w:rsid w:val="005E1B81"/>
    <w:rsid w:val="005E1F4C"/>
    <w:rsid w:val="005E1FB4"/>
    <w:rsid w:val="005E240C"/>
    <w:rsid w:val="005E281E"/>
    <w:rsid w:val="005E2EED"/>
    <w:rsid w:val="005E3009"/>
    <w:rsid w:val="005E30D9"/>
    <w:rsid w:val="005E3353"/>
    <w:rsid w:val="005E3419"/>
    <w:rsid w:val="005E3739"/>
    <w:rsid w:val="005E3952"/>
    <w:rsid w:val="005E39C0"/>
    <w:rsid w:val="005E3AA0"/>
    <w:rsid w:val="005E3FE2"/>
    <w:rsid w:val="005E4186"/>
    <w:rsid w:val="005E44A8"/>
    <w:rsid w:val="005E48F8"/>
    <w:rsid w:val="005E4B35"/>
    <w:rsid w:val="005E4CE2"/>
    <w:rsid w:val="005E4CEF"/>
    <w:rsid w:val="005E4DD0"/>
    <w:rsid w:val="005E4FB2"/>
    <w:rsid w:val="005E5078"/>
    <w:rsid w:val="005E55A6"/>
    <w:rsid w:val="005E5673"/>
    <w:rsid w:val="005E576C"/>
    <w:rsid w:val="005E577D"/>
    <w:rsid w:val="005E586C"/>
    <w:rsid w:val="005E5C37"/>
    <w:rsid w:val="005E60E1"/>
    <w:rsid w:val="005E6204"/>
    <w:rsid w:val="005E634C"/>
    <w:rsid w:val="005E661E"/>
    <w:rsid w:val="005E6978"/>
    <w:rsid w:val="005E6D21"/>
    <w:rsid w:val="005E6DD1"/>
    <w:rsid w:val="005E7858"/>
    <w:rsid w:val="005E7876"/>
    <w:rsid w:val="005E7BF4"/>
    <w:rsid w:val="005E7D9D"/>
    <w:rsid w:val="005E7E21"/>
    <w:rsid w:val="005E7FB6"/>
    <w:rsid w:val="005F00EA"/>
    <w:rsid w:val="005F0246"/>
    <w:rsid w:val="005F04F2"/>
    <w:rsid w:val="005F07A8"/>
    <w:rsid w:val="005F12B1"/>
    <w:rsid w:val="005F143E"/>
    <w:rsid w:val="005F1790"/>
    <w:rsid w:val="005F1A57"/>
    <w:rsid w:val="005F1C7E"/>
    <w:rsid w:val="005F1CAB"/>
    <w:rsid w:val="005F1E2E"/>
    <w:rsid w:val="005F2388"/>
    <w:rsid w:val="005F242B"/>
    <w:rsid w:val="005F2B49"/>
    <w:rsid w:val="005F2C06"/>
    <w:rsid w:val="005F2F67"/>
    <w:rsid w:val="005F2FB6"/>
    <w:rsid w:val="005F3625"/>
    <w:rsid w:val="005F397B"/>
    <w:rsid w:val="005F3F4C"/>
    <w:rsid w:val="005F3F6F"/>
    <w:rsid w:val="005F4097"/>
    <w:rsid w:val="005F4374"/>
    <w:rsid w:val="005F4556"/>
    <w:rsid w:val="005F4AC8"/>
    <w:rsid w:val="005F4EB9"/>
    <w:rsid w:val="005F5228"/>
    <w:rsid w:val="005F52F1"/>
    <w:rsid w:val="005F53F9"/>
    <w:rsid w:val="005F593C"/>
    <w:rsid w:val="005F597F"/>
    <w:rsid w:val="005F59CF"/>
    <w:rsid w:val="005F5C19"/>
    <w:rsid w:val="005F5C41"/>
    <w:rsid w:val="005F5E5B"/>
    <w:rsid w:val="005F6439"/>
    <w:rsid w:val="005F667F"/>
    <w:rsid w:val="005F66F7"/>
    <w:rsid w:val="005F6CE0"/>
    <w:rsid w:val="005F724A"/>
    <w:rsid w:val="005F74D0"/>
    <w:rsid w:val="005F74EF"/>
    <w:rsid w:val="005F7841"/>
    <w:rsid w:val="005F7960"/>
    <w:rsid w:val="005F7A48"/>
    <w:rsid w:val="005F7AE6"/>
    <w:rsid w:val="005F7F92"/>
    <w:rsid w:val="006002F5"/>
    <w:rsid w:val="00600528"/>
    <w:rsid w:val="006007B7"/>
    <w:rsid w:val="00600C10"/>
    <w:rsid w:val="00600C92"/>
    <w:rsid w:val="00600D17"/>
    <w:rsid w:val="00600F15"/>
    <w:rsid w:val="00601009"/>
    <w:rsid w:val="006010DA"/>
    <w:rsid w:val="00601520"/>
    <w:rsid w:val="006018A9"/>
    <w:rsid w:val="00601A08"/>
    <w:rsid w:val="00601BD0"/>
    <w:rsid w:val="006022AF"/>
    <w:rsid w:val="006027D6"/>
    <w:rsid w:val="00602800"/>
    <w:rsid w:val="00602A0C"/>
    <w:rsid w:val="00602DD5"/>
    <w:rsid w:val="00602EF7"/>
    <w:rsid w:val="006030DC"/>
    <w:rsid w:val="00603386"/>
    <w:rsid w:val="00603A59"/>
    <w:rsid w:val="00603F57"/>
    <w:rsid w:val="00603F5F"/>
    <w:rsid w:val="00603F90"/>
    <w:rsid w:val="0060437B"/>
    <w:rsid w:val="006046FD"/>
    <w:rsid w:val="00604934"/>
    <w:rsid w:val="00604B79"/>
    <w:rsid w:val="006050C3"/>
    <w:rsid w:val="00605120"/>
    <w:rsid w:val="00605700"/>
    <w:rsid w:val="00605A0A"/>
    <w:rsid w:val="00605BC3"/>
    <w:rsid w:val="00605BCD"/>
    <w:rsid w:val="00605C3E"/>
    <w:rsid w:val="00605D1D"/>
    <w:rsid w:val="00605DAA"/>
    <w:rsid w:val="00605ED5"/>
    <w:rsid w:val="0060608D"/>
    <w:rsid w:val="006060D7"/>
    <w:rsid w:val="00606189"/>
    <w:rsid w:val="00606375"/>
    <w:rsid w:val="00606388"/>
    <w:rsid w:val="00607000"/>
    <w:rsid w:val="0060721C"/>
    <w:rsid w:val="006073F9"/>
    <w:rsid w:val="00607A05"/>
    <w:rsid w:val="00607DBA"/>
    <w:rsid w:val="00607EC6"/>
    <w:rsid w:val="00607ECA"/>
    <w:rsid w:val="006100FA"/>
    <w:rsid w:val="00610134"/>
    <w:rsid w:val="006101F8"/>
    <w:rsid w:val="0061035F"/>
    <w:rsid w:val="00610379"/>
    <w:rsid w:val="00610711"/>
    <w:rsid w:val="00610963"/>
    <w:rsid w:val="00610A8A"/>
    <w:rsid w:val="00610D03"/>
    <w:rsid w:val="0061150C"/>
    <w:rsid w:val="00611525"/>
    <w:rsid w:val="00611A71"/>
    <w:rsid w:val="00611D4D"/>
    <w:rsid w:val="00611DFF"/>
    <w:rsid w:val="00611F3D"/>
    <w:rsid w:val="00612194"/>
    <w:rsid w:val="006121F3"/>
    <w:rsid w:val="00612373"/>
    <w:rsid w:val="006125A5"/>
    <w:rsid w:val="00612711"/>
    <w:rsid w:val="00612B06"/>
    <w:rsid w:val="00612EA4"/>
    <w:rsid w:val="00613228"/>
    <w:rsid w:val="00613588"/>
    <w:rsid w:val="0061379E"/>
    <w:rsid w:val="00613DF9"/>
    <w:rsid w:val="00613FD1"/>
    <w:rsid w:val="00614095"/>
    <w:rsid w:val="00614291"/>
    <w:rsid w:val="006143D8"/>
    <w:rsid w:val="00614801"/>
    <w:rsid w:val="00614E7A"/>
    <w:rsid w:val="00614F2E"/>
    <w:rsid w:val="0061526A"/>
    <w:rsid w:val="00615354"/>
    <w:rsid w:val="006157C9"/>
    <w:rsid w:val="00615895"/>
    <w:rsid w:val="006158B8"/>
    <w:rsid w:val="00615AE4"/>
    <w:rsid w:val="00615D7F"/>
    <w:rsid w:val="00616317"/>
    <w:rsid w:val="0061690E"/>
    <w:rsid w:val="0061691A"/>
    <w:rsid w:val="006169AE"/>
    <w:rsid w:val="00617734"/>
    <w:rsid w:val="00617C56"/>
    <w:rsid w:val="00617C81"/>
    <w:rsid w:val="006200A7"/>
    <w:rsid w:val="006201A3"/>
    <w:rsid w:val="006207DD"/>
    <w:rsid w:val="00620984"/>
    <w:rsid w:val="00620A88"/>
    <w:rsid w:val="006211EB"/>
    <w:rsid w:val="006215CE"/>
    <w:rsid w:val="006216B8"/>
    <w:rsid w:val="006217E3"/>
    <w:rsid w:val="00621803"/>
    <w:rsid w:val="00621B38"/>
    <w:rsid w:val="00621EAF"/>
    <w:rsid w:val="00622573"/>
    <w:rsid w:val="00622AFF"/>
    <w:rsid w:val="00622EBE"/>
    <w:rsid w:val="00622EE2"/>
    <w:rsid w:val="006234DD"/>
    <w:rsid w:val="0062367D"/>
    <w:rsid w:val="00623726"/>
    <w:rsid w:val="00624191"/>
    <w:rsid w:val="0062437D"/>
    <w:rsid w:val="006246C5"/>
    <w:rsid w:val="0062472E"/>
    <w:rsid w:val="00624A48"/>
    <w:rsid w:val="0062500F"/>
    <w:rsid w:val="00625117"/>
    <w:rsid w:val="00625308"/>
    <w:rsid w:val="006253F9"/>
    <w:rsid w:val="006257F4"/>
    <w:rsid w:val="00626AE4"/>
    <w:rsid w:val="00626DE9"/>
    <w:rsid w:val="00627161"/>
    <w:rsid w:val="006276A1"/>
    <w:rsid w:val="0062773E"/>
    <w:rsid w:val="006304D0"/>
    <w:rsid w:val="00630561"/>
    <w:rsid w:val="006308D0"/>
    <w:rsid w:val="00630982"/>
    <w:rsid w:val="00630AE4"/>
    <w:rsid w:val="00630B90"/>
    <w:rsid w:val="00630BCC"/>
    <w:rsid w:val="00630DDD"/>
    <w:rsid w:val="00631427"/>
    <w:rsid w:val="006317B2"/>
    <w:rsid w:val="006319E7"/>
    <w:rsid w:val="00631D22"/>
    <w:rsid w:val="00631E97"/>
    <w:rsid w:val="00631FE9"/>
    <w:rsid w:val="00632016"/>
    <w:rsid w:val="0063205B"/>
    <w:rsid w:val="00632097"/>
    <w:rsid w:val="0063216C"/>
    <w:rsid w:val="0063251E"/>
    <w:rsid w:val="00632A12"/>
    <w:rsid w:val="00633085"/>
    <w:rsid w:val="006331F3"/>
    <w:rsid w:val="00633AB3"/>
    <w:rsid w:val="00633D3D"/>
    <w:rsid w:val="00633E5F"/>
    <w:rsid w:val="00633EEB"/>
    <w:rsid w:val="006340E5"/>
    <w:rsid w:val="006342E1"/>
    <w:rsid w:val="0063458D"/>
    <w:rsid w:val="006347F1"/>
    <w:rsid w:val="00634800"/>
    <w:rsid w:val="0063489E"/>
    <w:rsid w:val="00634A0F"/>
    <w:rsid w:val="00634A42"/>
    <w:rsid w:val="006350A8"/>
    <w:rsid w:val="006352DA"/>
    <w:rsid w:val="00635314"/>
    <w:rsid w:val="00635351"/>
    <w:rsid w:val="006357F2"/>
    <w:rsid w:val="00635A9B"/>
    <w:rsid w:val="006361B3"/>
    <w:rsid w:val="00636DCA"/>
    <w:rsid w:val="00636EB2"/>
    <w:rsid w:val="00636EEA"/>
    <w:rsid w:val="0063783B"/>
    <w:rsid w:val="0063791C"/>
    <w:rsid w:val="0063797D"/>
    <w:rsid w:val="00637EF1"/>
    <w:rsid w:val="00640973"/>
    <w:rsid w:val="00640A41"/>
    <w:rsid w:val="00640A98"/>
    <w:rsid w:val="00640AF2"/>
    <w:rsid w:val="00640BDF"/>
    <w:rsid w:val="00640C1F"/>
    <w:rsid w:val="00640E8A"/>
    <w:rsid w:val="00641305"/>
    <w:rsid w:val="006416FC"/>
    <w:rsid w:val="00641B48"/>
    <w:rsid w:val="00641DAB"/>
    <w:rsid w:val="0064203A"/>
    <w:rsid w:val="0064222F"/>
    <w:rsid w:val="00642485"/>
    <w:rsid w:val="006425CE"/>
    <w:rsid w:val="00642787"/>
    <w:rsid w:val="00642A5C"/>
    <w:rsid w:val="00642C2A"/>
    <w:rsid w:val="006430A0"/>
    <w:rsid w:val="00643105"/>
    <w:rsid w:val="0064313C"/>
    <w:rsid w:val="006437E7"/>
    <w:rsid w:val="00643AB3"/>
    <w:rsid w:val="00643B88"/>
    <w:rsid w:val="00643E4A"/>
    <w:rsid w:val="006441C4"/>
    <w:rsid w:val="00644283"/>
    <w:rsid w:val="0064439D"/>
    <w:rsid w:val="0064448A"/>
    <w:rsid w:val="006446FC"/>
    <w:rsid w:val="00644867"/>
    <w:rsid w:val="00644A87"/>
    <w:rsid w:val="00644D8F"/>
    <w:rsid w:val="00644EF8"/>
    <w:rsid w:val="00644F23"/>
    <w:rsid w:val="00645321"/>
    <w:rsid w:val="0064550D"/>
    <w:rsid w:val="0064555E"/>
    <w:rsid w:val="006457FE"/>
    <w:rsid w:val="00645A41"/>
    <w:rsid w:val="00645B03"/>
    <w:rsid w:val="00645CC6"/>
    <w:rsid w:val="00645F10"/>
    <w:rsid w:val="00645FA3"/>
    <w:rsid w:val="006461CD"/>
    <w:rsid w:val="00646C27"/>
    <w:rsid w:val="00646C63"/>
    <w:rsid w:val="00647066"/>
    <w:rsid w:val="00647713"/>
    <w:rsid w:val="0065030B"/>
    <w:rsid w:val="0065050D"/>
    <w:rsid w:val="00650736"/>
    <w:rsid w:val="0065089F"/>
    <w:rsid w:val="00650BF6"/>
    <w:rsid w:val="00650E97"/>
    <w:rsid w:val="0065153E"/>
    <w:rsid w:val="00651723"/>
    <w:rsid w:val="006517BB"/>
    <w:rsid w:val="0065190B"/>
    <w:rsid w:val="00651B0F"/>
    <w:rsid w:val="00651C46"/>
    <w:rsid w:val="00651CCF"/>
    <w:rsid w:val="006524E4"/>
    <w:rsid w:val="006525AE"/>
    <w:rsid w:val="00652614"/>
    <w:rsid w:val="0065263C"/>
    <w:rsid w:val="00652B87"/>
    <w:rsid w:val="00652BAC"/>
    <w:rsid w:val="00652C83"/>
    <w:rsid w:val="00652D96"/>
    <w:rsid w:val="006531C3"/>
    <w:rsid w:val="00653352"/>
    <w:rsid w:val="006533E0"/>
    <w:rsid w:val="006538C8"/>
    <w:rsid w:val="00653F01"/>
    <w:rsid w:val="0065416B"/>
    <w:rsid w:val="00654511"/>
    <w:rsid w:val="00654A99"/>
    <w:rsid w:val="00654AFD"/>
    <w:rsid w:val="00654C2F"/>
    <w:rsid w:val="0065506C"/>
    <w:rsid w:val="00655749"/>
    <w:rsid w:val="00655842"/>
    <w:rsid w:val="00655979"/>
    <w:rsid w:val="00656432"/>
    <w:rsid w:val="006564C2"/>
    <w:rsid w:val="00656801"/>
    <w:rsid w:val="00656932"/>
    <w:rsid w:val="00656C68"/>
    <w:rsid w:val="00656C8D"/>
    <w:rsid w:val="00657116"/>
    <w:rsid w:val="00657498"/>
    <w:rsid w:val="00657664"/>
    <w:rsid w:val="00657E64"/>
    <w:rsid w:val="00657F1E"/>
    <w:rsid w:val="00660704"/>
    <w:rsid w:val="0066080E"/>
    <w:rsid w:val="00660B20"/>
    <w:rsid w:val="00660B26"/>
    <w:rsid w:val="00660D3D"/>
    <w:rsid w:val="0066118D"/>
    <w:rsid w:val="00661275"/>
    <w:rsid w:val="006613A6"/>
    <w:rsid w:val="00661687"/>
    <w:rsid w:val="006617FC"/>
    <w:rsid w:val="0066181D"/>
    <w:rsid w:val="006619E0"/>
    <w:rsid w:val="00661BD3"/>
    <w:rsid w:val="00661C4F"/>
    <w:rsid w:val="00661C71"/>
    <w:rsid w:val="0066266E"/>
    <w:rsid w:val="00662813"/>
    <w:rsid w:val="00662821"/>
    <w:rsid w:val="00662FE1"/>
    <w:rsid w:val="0066310B"/>
    <w:rsid w:val="0066337F"/>
    <w:rsid w:val="00663423"/>
    <w:rsid w:val="006639E3"/>
    <w:rsid w:val="00663C92"/>
    <w:rsid w:val="00663CB5"/>
    <w:rsid w:val="00663DE2"/>
    <w:rsid w:val="0066488A"/>
    <w:rsid w:val="00664D92"/>
    <w:rsid w:val="00664FAD"/>
    <w:rsid w:val="006652B0"/>
    <w:rsid w:val="00665330"/>
    <w:rsid w:val="00665593"/>
    <w:rsid w:val="006657B5"/>
    <w:rsid w:val="00665C51"/>
    <w:rsid w:val="00665D98"/>
    <w:rsid w:val="00665D9D"/>
    <w:rsid w:val="0066642B"/>
    <w:rsid w:val="00666908"/>
    <w:rsid w:val="00666AD1"/>
    <w:rsid w:val="00666AF0"/>
    <w:rsid w:val="00666F14"/>
    <w:rsid w:val="00666F78"/>
    <w:rsid w:val="0066733D"/>
    <w:rsid w:val="00667422"/>
    <w:rsid w:val="0066764B"/>
    <w:rsid w:val="006678A7"/>
    <w:rsid w:val="006679A3"/>
    <w:rsid w:val="00667ADC"/>
    <w:rsid w:val="00667C6F"/>
    <w:rsid w:val="00667E65"/>
    <w:rsid w:val="0067017F"/>
    <w:rsid w:val="00670235"/>
    <w:rsid w:val="0067070B"/>
    <w:rsid w:val="0067081F"/>
    <w:rsid w:val="00670BB5"/>
    <w:rsid w:val="006713A2"/>
    <w:rsid w:val="0067164A"/>
    <w:rsid w:val="00671827"/>
    <w:rsid w:val="006724F8"/>
    <w:rsid w:val="006725F6"/>
    <w:rsid w:val="00673090"/>
    <w:rsid w:val="006735FC"/>
    <w:rsid w:val="00673662"/>
    <w:rsid w:val="006737DB"/>
    <w:rsid w:val="00673CC9"/>
    <w:rsid w:val="006740F8"/>
    <w:rsid w:val="006745D1"/>
    <w:rsid w:val="006749F0"/>
    <w:rsid w:val="00674EA4"/>
    <w:rsid w:val="00674FC4"/>
    <w:rsid w:val="00675765"/>
    <w:rsid w:val="006757B0"/>
    <w:rsid w:val="00675B00"/>
    <w:rsid w:val="00675B12"/>
    <w:rsid w:val="00675BE3"/>
    <w:rsid w:val="00675DD1"/>
    <w:rsid w:val="00676486"/>
    <w:rsid w:val="00676799"/>
    <w:rsid w:val="00676C01"/>
    <w:rsid w:val="00676E0E"/>
    <w:rsid w:val="00676F67"/>
    <w:rsid w:val="00677196"/>
    <w:rsid w:val="00677279"/>
    <w:rsid w:val="0067760C"/>
    <w:rsid w:val="00677871"/>
    <w:rsid w:val="00677BF5"/>
    <w:rsid w:val="00680058"/>
    <w:rsid w:val="006803A0"/>
    <w:rsid w:val="00680598"/>
    <w:rsid w:val="0068059B"/>
    <w:rsid w:val="00680B87"/>
    <w:rsid w:val="00680E9E"/>
    <w:rsid w:val="00680ED4"/>
    <w:rsid w:val="00681064"/>
    <w:rsid w:val="006812C9"/>
    <w:rsid w:val="00681D4D"/>
    <w:rsid w:val="00681E0F"/>
    <w:rsid w:val="006823E0"/>
    <w:rsid w:val="00682591"/>
    <w:rsid w:val="00682623"/>
    <w:rsid w:val="0068280A"/>
    <w:rsid w:val="00682BC9"/>
    <w:rsid w:val="00682CE0"/>
    <w:rsid w:val="00682ECF"/>
    <w:rsid w:val="0068383D"/>
    <w:rsid w:val="00683B51"/>
    <w:rsid w:val="00683FC8"/>
    <w:rsid w:val="006847C6"/>
    <w:rsid w:val="006849A1"/>
    <w:rsid w:val="006849AC"/>
    <w:rsid w:val="00684C33"/>
    <w:rsid w:val="00684FF2"/>
    <w:rsid w:val="006851F6"/>
    <w:rsid w:val="0068524E"/>
    <w:rsid w:val="00685584"/>
    <w:rsid w:val="006859AC"/>
    <w:rsid w:val="00685A8E"/>
    <w:rsid w:val="00685CF9"/>
    <w:rsid w:val="00686132"/>
    <w:rsid w:val="00686322"/>
    <w:rsid w:val="00686406"/>
    <w:rsid w:val="00686602"/>
    <w:rsid w:val="006866FA"/>
    <w:rsid w:val="00686934"/>
    <w:rsid w:val="006869DF"/>
    <w:rsid w:val="00686AB5"/>
    <w:rsid w:val="00687111"/>
    <w:rsid w:val="00687168"/>
    <w:rsid w:val="006871FA"/>
    <w:rsid w:val="006872A1"/>
    <w:rsid w:val="0068740B"/>
    <w:rsid w:val="00687418"/>
    <w:rsid w:val="00687484"/>
    <w:rsid w:val="00687AEB"/>
    <w:rsid w:val="00687B81"/>
    <w:rsid w:val="00687E9B"/>
    <w:rsid w:val="00690532"/>
    <w:rsid w:val="0069060A"/>
    <w:rsid w:val="00690999"/>
    <w:rsid w:val="006909AD"/>
    <w:rsid w:val="00690A45"/>
    <w:rsid w:val="00690DF1"/>
    <w:rsid w:val="00690F4C"/>
    <w:rsid w:val="00691219"/>
    <w:rsid w:val="006912B8"/>
    <w:rsid w:val="006912FF"/>
    <w:rsid w:val="006914C5"/>
    <w:rsid w:val="00691BB5"/>
    <w:rsid w:val="00691C07"/>
    <w:rsid w:val="00691C6B"/>
    <w:rsid w:val="00691E03"/>
    <w:rsid w:val="00692184"/>
    <w:rsid w:val="00692307"/>
    <w:rsid w:val="006923C8"/>
    <w:rsid w:val="0069278B"/>
    <w:rsid w:val="006927A1"/>
    <w:rsid w:val="00692876"/>
    <w:rsid w:val="006931AF"/>
    <w:rsid w:val="006931C2"/>
    <w:rsid w:val="0069363D"/>
    <w:rsid w:val="006937C3"/>
    <w:rsid w:val="00693B97"/>
    <w:rsid w:val="00693D07"/>
    <w:rsid w:val="006940FA"/>
    <w:rsid w:val="00694467"/>
    <w:rsid w:val="0069466B"/>
    <w:rsid w:val="00694A3D"/>
    <w:rsid w:val="00694CFA"/>
    <w:rsid w:val="00694D61"/>
    <w:rsid w:val="00694EC5"/>
    <w:rsid w:val="00694F91"/>
    <w:rsid w:val="00694FD2"/>
    <w:rsid w:val="00695371"/>
    <w:rsid w:val="006954BC"/>
    <w:rsid w:val="006955B0"/>
    <w:rsid w:val="00696AFF"/>
    <w:rsid w:val="00696D53"/>
    <w:rsid w:val="00697086"/>
    <w:rsid w:val="006971B4"/>
    <w:rsid w:val="00697348"/>
    <w:rsid w:val="006973A4"/>
    <w:rsid w:val="00697473"/>
    <w:rsid w:val="00697672"/>
    <w:rsid w:val="006977B2"/>
    <w:rsid w:val="00697B82"/>
    <w:rsid w:val="00697C98"/>
    <w:rsid w:val="00697D89"/>
    <w:rsid w:val="006A0299"/>
    <w:rsid w:val="006A03C0"/>
    <w:rsid w:val="006A04B7"/>
    <w:rsid w:val="006A051F"/>
    <w:rsid w:val="006A05D0"/>
    <w:rsid w:val="006A0849"/>
    <w:rsid w:val="006A09DE"/>
    <w:rsid w:val="006A0A40"/>
    <w:rsid w:val="006A0C1A"/>
    <w:rsid w:val="006A0CE9"/>
    <w:rsid w:val="006A0D3F"/>
    <w:rsid w:val="006A0D74"/>
    <w:rsid w:val="006A1746"/>
    <w:rsid w:val="006A17F4"/>
    <w:rsid w:val="006A1B04"/>
    <w:rsid w:val="006A2283"/>
    <w:rsid w:val="006A2716"/>
    <w:rsid w:val="006A2BA1"/>
    <w:rsid w:val="006A2FF7"/>
    <w:rsid w:val="006A30DB"/>
    <w:rsid w:val="006A3680"/>
    <w:rsid w:val="006A37EB"/>
    <w:rsid w:val="006A38AC"/>
    <w:rsid w:val="006A413F"/>
    <w:rsid w:val="006A41EF"/>
    <w:rsid w:val="006A4664"/>
    <w:rsid w:val="006A46A5"/>
    <w:rsid w:val="006A4C25"/>
    <w:rsid w:val="006A5053"/>
    <w:rsid w:val="006A5415"/>
    <w:rsid w:val="006A5737"/>
    <w:rsid w:val="006A596F"/>
    <w:rsid w:val="006A5AE7"/>
    <w:rsid w:val="006A5BDC"/>
    <w:rsid w:val="006A5D52"/>
    <w:rsid w:val="006A62CE"/>
    <w:rsid w:val="006A6318"/>
    <w:rsid w:val="006A65F0"/>
    <w:rsid w:val="006A6751"/>
    <w:rsid w:val="006A6C46"/>
    <w:rsid w:val="006A6E75"/>
    <w:rsid w:val="006A6FB4"/>
    <w:rsid w:val="006A703D"/>
    <w:rsid w:val="006A7051"/>
    <w:rsid w:val="006A709D"/>
    <w:rsid w:val="006A71EF"/>
    <w:rsid w:val="006A72F6"/>
    <w:rsid w:val="006A73AE"/>
    <w:rsid w:val="006A73BB"/>
    <w:rsid w:val="006A783D"/>
    <w:rsid w:val="006A78AB"/>
    <w:rsid w:val="006A7ABC"/>
    <w:rsid w:val="006A7AE4"/>
    <w:rsid w:val="006A7C3C"/>
    <w:rsid w:val="006A7D49"/>
    <w:rsid w:val="006A7DFF"/>
    <w:rsid w:val="006B009E"/>
    <w:rsid w:val="006B104B"/>
    <w:rsid w:val="006B106D"/>
    <w:rsid w:val="006B1227"/>
    <w:rsid w:val="006B14CB"/>
    <w:rsid w:val="006B179F"/>
    <w:rsid w:val="006B18A8"/>
    <w:rsid w:val="006B1946"/>
    <w:rsid w:val="006B233D"/>
    <w:rsid w:val="006B2349"/>
    <w:rsid w:val="006B23A6"/>
    <w:rsid w:val="006B243B"/>
    <w:rsid w:val="006B264C"/>
    <w:rsid w:val="006B288E"/>
    <w:rsid w:val="006B2BE9"/>
    <w:rsid w:val="006B2C2C"/>
    <w:rsid w:val="006B2C7B"/>
    <w:rsid w:val="006B2F6A"/>
    <w:rsid w:val="006B3408"/>
    <w:rsid w:val="006B3520"/>
    <w:rsid w:val="006B3A94"/>
    <w:rsid w:val="006B3B48"/>
    <w:rsid w:val="006B3B76"/>
    <w:rsid w:val="006B3EA1"/>
    <w:rsid w:val="006B419F"/>
    <w:rsid w:val="006B41EC"/>
    <w:rsid w:val="006B4605"/>
    <w:rsid w:val="006B4757"/>
    <w:rsid w:val="006B498E"/>
    <w:rsid w:val="006B4EA8"/>
    <w:rsid w:val="006B5241"/>
    <w:rsid w:val="006B52D3"/>
    <w:rsid w:val="006B57C9"/>
    <w:rsid w:val="006B5842"/>
    <w:rsid w:val="006B5AE3"/>
    <w:rsid w:val="006B5D87"/>
    <w:rsid w:val="006B5DA1"/>
    <w:rsid w:val="006B602F"/>
    <w:rsid w:val="006B7178"/>
    <w:rsid w:val="006B71D8"/>
    <w:rsid w:val="006B75DA"/>
    <w:rsid w:val="006B785A"/>
    <w:rsid w:val="006B7BE5"/>
    <w:rsid w:val="006B7E95"/>
    <w:rsid w:val="006C0326"/>
    <w:rsid w:val="006C057A"/>
    <w:rsid w:val="006C05D7"/>
    <w:rsid w:val="006C07C7"/>
    <w:rsid w:val="006C0F14"/>
    <w:rsid w:val="006C14A2"/>
    <w:rsid w:val="006C1DC4"/>
    <w:rsid w:val="006C2235"/>
    <w:rsid w:val="006C2384"/>
    <w:rsid w:val="006C249A"/>
    <w:rsid w:val="006C25AC"/>
    <w:rsid w:val="006C28E7"/>
    <w:rsid w:val="006C2AA9"/>
    <w:rsid w:val="006C2AEE"/>
    <w:rsid w:val="006C2DCB"/>
    <w:rsid w:val="006C2F1D"/>
    <w:rsid w:val="006C2FC4"/>
    <w:rsid w:val="006C3034"/>
    <w:rsid w:val="006C3365"/>
    <w:rsid w:val="006C3E33"/>
    <w:rsid w:val="006C41B4"/>
    <w:rsid w:val="006C49EE"/>
    <w:rsid w:val="006C4B53"/>
    <w:rsid w:val="006C4B67"/>
    <w:rsid w:val="006C4C76"/>
    <w:rsid w:val="006C4CAA"/>
    <w:rsid w:val="006C4D78"/>
    <w:rsid w:val="006C52C5"/>
    <w:rsid w:val="006C5823"/>
    <w:rsid w:val="006C5A24"/>
    <w:rsid w:val="006C5ABD"/>
    <w:rsid w:val="006C5B47"/>
    <w:rsid w:val="006C5BDC"/>
    <w:rsid w:val="006C5C24"/>
    <w:rsid w:val="006C5D6C"/>
    <w:rsid w:val="006C5F73"/>
    <w:rsid w:val="006C6076"/>
    <w:rsid w:val="006C6157"/>
    <w:rsid w:val="006C63A8"/>
    <w:rsid w:val="006C6602"/>
    <w:rsid w:val="006C6681"/>
    <w:rsid w:val="006C6AA8"/>
    <w:rsid w:val="006C6BD4"/>
    <w:rsid w:val="006C6CA6"/>
    <w:rsid w:val="006C6E3F"/>
    <w:rsid w:val="006C72CF"/>
    <w:rsid w:val="006C7356"/>
    <w:rsid w:val="006D0014"/>
    <w:rsid w:val="006D0253"/>
    <w:rsid w:val="006D0268"/>
    <w:rsid w:val="006D0336"/>
    <w:rsid w:val="006D05D5"/>
    <w:rsid w:val="006D07F6"/>
    <w:rsid w:val="006D0D07"/>
    <w:rsid w:val="006D0E50"/>
    <w:rsid w:val="006D0F53"/>
    <w:rsid w:val="006D1086"/>
    <w:rsid w:val="006D1125"/>
    <w:rsid w:val="006D1231"/>
    <w:rsid w:val="006D1651"/>
    <w:rsid w:val="006D1C24"/>
    <w:rsid w:val="006D1CDC"/>
    <w:rsid w:val="006D1E1D"/>
    <w:rsid w:val="006D250B"/>
    <w:rsid w:val="006D3210"/>
    <w:rsid w:val="006D38EB"/>
    <w:rsid w:val="006D3977"/>
    <w:rsid w:val="006D3BA4"/>
    <w:rsid w:val="006D3BDA"/>
    <w:rsid w:val="006D3FB3"/>
    <w:rsid w:val="006D4219"/>
    <w:rsid w:val="006D463B"/>
    <w:rsid w:val="006D4717"/>
    <w:rsid w:val="006D4C0A"/>
    <w:rsid w:val="006D5086"/>
    <w:rsid w:val="006D563B"/>
    <w:rsid w:val="006D5688"/>
    <w:rsid w:val="006D5A53"/>
    <w:rsid w:val="006D5ADA"/>
    <w:rsid w:val="006D5AEE"/>
    <w:rsid w:val="006D5BEF"/>
    <w:rsid w:val="006D6364"/>
    <w:rsid w:val="006D67DD"/>
    <w:rsid w:val="006D6908"/>
    <w:rsid w:val="006D6B37"/>
    <w:rsid w:val="006D6B94"/>
    <w:rsid w:val="006D7080"/>
    <w:rsid w:val="006D7144"/>
    <w:rsid w:val="006D72A2"/>
    <w:rsid w:val="006D7563"/>
    <w:rsid w:val="006E084B"/>
    <w:rsid w:val="006E1010"/>
    <w:rsid w:val="006E1C85"/>
    <w:rsid w:val="006E1D05"/>
    <w:rsid w:val="006E1DB7"/>
    <w:rsid w:val="006E23A7"/>
    <w:rsid w:val="006E240D"/>
    <w:rsid w:val="006E2482"/>
    <w:rsid w:val="006E24E2"/>
    <w:rsid w:val="006E2877"/>
    <w:rsid w:val="006E2887"/>
    <w:rsid w:val="006E2956"/>
    <w:rsid w:val="006E2F8B"/>
    <w:rsid w:val="006E2FD0"/>
    <w:rsid w:val="006E3A90"/>
    <w:rsid w:val="006E3DB5"/>
    <w:rsid w:val="006E3DD5"/>
    <w:rsid w:val="006E3E2C"/>
    <w:rsid w:val="006E40F8"/>
    <w:rsid w:val="006E4B37"/>
    <w:rsid w:val="006E4BE7"/>
    <w:rsid w:val="006E5474"/>
    <w:rsid w:val="006E57FD"/>
    <w:rsid w:val="006E5933"/>
    <w:rsid w:val="006E5D0A"/>
    <w:rsid w:val="006E5DB2"/>
    <w:rsid w:val="006E6258"/>
    <w:rsid w:val="006E635F"/>
    <w:rsid w:val="006E6402"/>
    <w:rsid w:val="006E69BF"/>
    <w:rsid w:val="006E76AB"/>
    <w:rsid w:val="006E76C0"/>
    <w:rsid w:val="006E7851"/>
    <w:rsid w:val="006E7893"/>
    <w:rsid w:val="006E78C0"/>
    <w:rsid w:val="006E7A19"/>
    <w:rsid w:val="006F03A4"/>
    <w:rsid w:val="006F04CF"/>
    <w:rsid w:val="006F05D3"/>
    <w:rsid w:val="006F074F"/>
    <w:rsid w:val="006F0C20"/>
    <w:rsid w:val="006F0C8C"/>
    <w:rsid w:val="006F14F1"/>
    <w:rsid w:val="006F1524"/>
    <w:rsid w:val="006F206B"/>
    <w:rsid w:val="006F21F9"/>
    <w:rsid w:val="006F25A2"/>
    <w:rsid w:val="006F2B59"/>
    <w:rsid w:val="006F2BBC"/>
    <w:rsid w:val="006F2D55"/>
    <w:rsid w:val="006F2E2A"/>
    <w:rsid w:val="006F2EC4"/>
    <w:rsid w:val="006F2FBF"/>
    <w:rsid w:val="006F329D"/>
    <w:rsid w:val="006F35E3"/>
    <w:rsid w:val="006F3623"/>
    <w:rsid w:val="006F3777"/>
    <w:rsid w:val="006F38AA"/>
    <w:rsid w:val="006F405C"/>
    <w:rsid w:val="006F46F9"/>
    <w:rsid w:val="006F4AEF"/>
    <w:rsid w:val="006F4B32"/>
    <w:rsid w:val="006F4BAB"/>
    <w:rsid w:val="006F4DC9"/>
    <w:rsid w:val="006F4E8D"/>
    <w:rsid w:val="006F4F46"/>
    <w:rsid w:val="006F4F86"/>
    <w:rsid w:val="006F502C"/>
    <w:rsid w:val="006F5124"/>
    <w:rsid w:val="006F523D"/>
    <w:rsid w:val="006F5685"/>
    <w:rsid w:val="006F5749"/>
    <w:rsid w:val="006F5828"/>
    <w:rsid w:val="006F59C3"/>
    <w:rsid w:val="006F5A97"/>
    <w:rsid w:val="006F5B14"/>
    <w:rsid w:val="006F5D3A"/>
    <w:rsid w:val="006F5DC0"/>
    <w:rsid w:val="006F5FB4"/>
    <w:rsid w:val="006F66BF"/>
    <w:rsid w:val="006F6850"/>
    <w:rsid w:val="006F705E"/>
    <w:rsid w:val="006F750F"/>
    <w:rsid w:val="006F7809"/>
    <w:rsid w:val="006F7920"/>
    <w:rsid w:val="006F7F32"/>
    <w:rsid w:val="00700118"/>
    <w:rsid w:val="0070026F"/>
    <w:rsid w:val="007004AC"/>
    <w:rsid w:val="007006F5"/>
    <w:rsid w:val="00700A41"/>
    <w:rsid w:val="00700D07"/>
    <w:rsid w:val="00700D57"/>
    <w:rsid w:val="00700FA5"/>
    <w:rsid w:val="007011E9"/>
    <w:rsid w:val="0070172E"/>
    <w:rsid w:val="00701A19"/>
    <w:rsid w:val="00701A7D"/>
    <w:rsid w:val="00701B43"/>
    <w:rsid w:val="00701EB4"/>
    <w:rsid w:val="00702083"/>
    <w:rsid w:val="007026E6"/>
    <w:rsid w:val="0070280B"/>
    <w:rsid w:val="0070280D"/>
    <w:rsid w:val="00702823"/>
    <w:rsid w:val="007029A0"/>
    <w:rsid w:val="00702B5F"/>
    <w:rsid w:val="00702F8C"/>
    <w:rsid w:val="00703083"/>
    <w:rsid w:val="0070350F"/>
    <w:rsid w:val="007035C7"/>
    <w:rsid w:val="0070363C"/>
    <w:rsid w:val="0070388F"/>
    <w:rsid w:val="00703AD0"/>
    <w:rsid w:val="00703BE4"/>
    <w:rsid w:val="00703BE9"/>
    <w:rsid w:val="00703D7B"/>
    <w:rsid w:val="0070410A"/>
    <w:rsid w:val="007041E4"/>
    <w:rsid w:val="00704357"/>
    <w:rsid w:val="0070440F"/>
    <w:rsid w:val="007047A9"/>
    <w:rsid w:val="007047D9"/>
    <w:rsid w:val="00704817"/>
    <w:rsid w:val="00704991"/>
    <w:rsid w:val="00704CCF"/>
    <w:rsid w:val="00704EA8"/>
    <w:rsid w:val="00704F6B"/>
    <w:rsid w:val="00705178"/>
    <w:rsid w:val="007052F2"/>
    <w:rsid w:val="00705327"/>
    <w:rsid w:val="00705343"/>
    <w:rsid w:val="0070556D"/>
    <w:rsid w:val="007057E6"/>
    <w:rsid w:val="007059A0"/>
    <w:rsid w:val="007060AB"/>
    <w:rsid w:val="00706156"/>
    <w:rsid w:val="00706551"/>
    <w:rsid w:val="0070665A"/>
    <w:rsid w:val="0070672C"/>
    <w:rsid w:val="0070691E"/>
    <w:rsid w:val="00706C28"/>
    <w:rsid w:val="00706C2C"/>
    <w:rsid w:val="00706C4B"/>
    <w:rsid w:val="00706D88"/>
    <w:rsid w:val="00706E1D"/>
    <w:rsid w:val="00706ED2"/>
    <w:rsid w:val="007074C2"/>
    <w:rsid w:val="00707960"/>
    <w:rsid w:val="00707B6D"/>
    <w:rsid w:val="007101F5"/>
    <w:rsid w:val="007102AD"/>
    <w:rsid w:val="0071038F"/>
    <w:rsid w:val="0071044B"/>
    <w:rsid w:val="00710585"/>
    <w:rsid w:val="0071061F"/>
    <w:rsid w:val="007106FD"/>
    <w:rsid w:val="00710863"/>
    <w:rsid w:val="00710A28"/>
    <w:rsid w:val="00710C4C"/>
    <w:rsid w:val="00711130"/>
    <w:rsid w:val="0071152D"/>
    <w:rsid w:val="00711B28"/>
    <w:rsid w:val="00711DA5"/>
    <w:rsid w:val="00711E10"/>
    <w:rsid w:val="00711EF3"/>
    <w:rsid w:val="00712087"/>
    <w:rsid w:val="00712184"/>
    <w:rsid w:val="00712283"/>
    <w:rsid w:val="007129C5"/>
    <w:rsid w:val="00712D46"/>
    <w:rsid w:val="00713211"/>
    <w:rsid w:val="00713706"/>
    <w:rsid w:val="0071378D"/>
    <w:rsid w:val="00713D4E"/>
    <w:rsid w:val="00713F9B"/>
    <w:rsid w:val="0071427A"/>
    <w:rsid w:val="00714580"/>
    <w:rsid w:val="00714587"/>
    <w:rsid w:val="0071458C"/>
    <w:rsid w:val="00714715"/>
    <w:rsid w:val="0071493B"/>
    <w:rsid w:val="007152D1"/>
    <w:rsid w:val="007155C0"/>
    <w:rsid w:val="00715706"/>
    <w:rsid w:val="007157B4"/>
    <w:rsid w:val="00715B56"/>
    <w:rsid w:val="00715D38"/>
    <w:rsid w:val="00716044"/>
    <w:rsid w:val="00716329"/>
    <w:rsid w:val="0071654C"/>
    <w:rsid w:val="007166BB"/>
    <w:rsid w:val="007168C7"/>
    <w:rsid w:val="00716A7C"/>
    <w:rsid w:val="00716A84"/>
    <w:rsid w:val="00716BD7"/>
    <w:rsid w:val="00716ECF"/>
    <w:rsid w:val="00717018"/>
    <w:rsid w:val="007172C4"/>
    <w:rsid w:val="0071736B"/>
    <w:rsid w:val="007173B0"/>
    <w:rsid w:val="00717681"/>
    <w:rsid w:val="0071771D"/>
    <w:rsid w:val="00717AB6"/>
    <w:rsid w:val="00717E29"/>
    <w:rsid w:val="00720067"/>
    <w:rsid w:val="0072023E"/>
    <w:rsid w:val="00720409"/>
    <w:rsid w:val="007204D3"/>
    <w:rsid w:val="007208E0"/>
    <w:rsid w:val="00720A75"/>
    <w:rsid w:val="00720AAC"/>
    <w:rsid w:val="007211EB"/>
    <w:rsid w:val="00721746"/>
    <w:rsid w:val="00721E27"/>
    <w:rsid w:val="0072223E"/>
    <w:rsid w:val="00722444"/>
    <w:rsid w:val="0072281F"/>
    <w:rsid w:val="00722DD4"/>
    <w:rsid w:val="007230BA"/>
    <w:rsid w:val="0072317F"/>
    <w:rsid w:val="007231F0"/>
    <w:rsid w:val="00723575"/>
    <w:rsid w:val="007236A6"/>
    <w:rsid w:val="0072396E"/>
    <w:rsid w:val="007239C6"/>
    <w:rsid w:val="00723E62"/>
    <w:rsid w:val="00723F42"/>
    <w:rsid w:val="00723F7F"/>
    <w:rsid w:val="00723FE9"/>
    <w:rsid w:val="0072408F"/>
    <w:rsid w:val="0072428A"/>
    <w:rsid w:val="007247B1"/>
    <w:rsid w:val="007248A4"/>
    <w:rsid w:val="00724999"/>
    <w:rsid w:val="00724B8B"/>
    <w:rsid w:val="00724C9A"/>
    <w:rsid w:val="00724D15"/>
    <w:rsid w:val="00724F13"/>
    <w:rsid w:val="007253FC"/>
    <w:rsid w:val="0072555C"/>
    <w:rsid w:val="0072561F"/>
    <w:rsid w:val="007257D4"/>
    <w:rsid w:val="00725BAC"/>
    <w:rsid w:val="00725BC7"/>
    <w:rsid w:val="00725C6B"/>
    <w:rsid w:val="00725CEB"/>
    <w:rsid w:val="00725D5D"/>
    <w:rsid w:val="00725EBC"/>
    <w:rsid w:val="00725EE2"/>
    <w:rsid w:val="007260E6"/>
    <w:rsid w:val="00726222"/>
    <w:rsid w:val="007264D2"/>
    <w:rsid w:val="0072670E"/>
    <w:rsid w:val="00726E43"/>
    <w:rsid w:val="00726F95"/>
    <w:rsid w:val="00727659"/>
    <w:rsid w:val="007276C3"/>
    <w:rsid w:val="007279D2"/>
    <w:rsid w:val="00727BE9"/>
    <w:rsid w:val="00727F81"/>
    <w:rsid w:val="00727FDF"/>
    <w:rsid w:val="00730151"/>
    <w:rsid w:val="0073046A"/>
    <w:rsid w:val="007307C3"/>
    <w:rsid w:val="00730A39"/>
    <w:rsid w:val="007315B1"/>
    <w:rsid w:val="00731760"/>
    <w:rsid w:val="0073188E"/>
    <w:rsid w:val="00731A36"/>
    <w:rsid w:val="00731BAA"/>
    <w:rsid w:val="00731D0D"/>
    <w:rsid w:val="0073204B"/>
    <w:rsid w:val="00732110"/>
    <w:rsid w:val="00732145"/>
    <w:rsid w:val="00732860"/>
    <w:rsid w:val="007329D2"/>
    <w:rsid w:val="007329E7"/>
    <w:rsid w:val="00732DE0"/>
    <w:rsid w:val="00732FAA"/>
    <w:rsid w:val="007334EC"/>
    <w:rsid w:val="00733640"/>
    <w:rsid w:val="007336E5"/>
    <w:rsid w:val="00733787"/>
    <w:rsid w:val="007338A0"/>
    <w:rsid w:val="00733941"/>
    <w:rsid w:val="007340DF"/>
    <w:rsid w:val="00734205"/>
    <w:rsid w:val="007343F0"/>
    <w:rsid w:val="0073442F"/>
    <w:rsid w:val="00734A4C"/>
    <w:rsid w:val="00735322"/>
    <w:rsid w:val="00735479"/>
    <w:rsid w:val="007358CA"/>
    <w:rsid w:val="00735990"/>
    <w:rsid w:val="00735BBF"/>
    <w:rsid w:val="00735CBB"/>
    <w:rsid w:val="00735CE5"/>
    <w:rsid w:val="007361CB"/>
    <w:rsid w:val="00736240"/>
    <w:rsid w:val="00736288"/>
    <w:rsid w:val="007365B7"/>
    <w:rsid w:val="00736766"/>
    <w:rsid w:val="007368B6"/>
    <w:rsid w:val="007368B9"/>
    <w:rsid w:val="00736A2A"/>
    <w:rsid w:val="00736C6A"/>
    <w:rsid w:val="0073750B"/>
    <w:rsid w:val="007375A8"/>
    <w:rsid w:val="00737615"/>
    <w:rsid w:val="007376F9"/>
    <w:rsid w:val="00737DAA"/>
    <w:rsid w:val="0074027B"/>
    <w:rsid w:val="007403A7"/>
    <w:rsid w:val="007404A0"/>
    <w:rsid w:val="00740688"/>
    <w:rsid w:val="00740716"/>
    <w:rsid w:val="00740942"/>
    <w:rsid w:val="00740968"/>
    <w:rsid w:val="00740AFB"/>
    <w:rsid w:val="00740B3C"/>
    <w:rsid w:val="00740CDE"/>
    <w:rsid w:val="00740DBD"/>
    <w:rsid w:val="00740FD3"/>
    <w:rsid w:val="007410DA"/>
    <w:rsid w:val="00741161"/>
    <w:rsid w:val="0074140B"/>
    <w:rsid w:val="00741A99"/>
    <w:rsid w:val="00741E5B"/>
    <w:rsid w:val="00742092"/>
    <w:rsid w:val="00742170"/>
    <w:rsid w:val="00742BFB"/>
    <w:rsid w:val="00742F70"/>
    <w:rsid w:val="0074333E"/>
    <w:rsid w:val="00743363"/>
    <w:rsid w:val="00743493"/>
    <w:rsid w:val="007435B5"/>
    <w:rsid w:val="007436C3"/>
    <w:rsid w:val="00743B5D"/>
    <w:rsid w:val="00743B6C"/>
    <w:rsid w:val="00743BC7"/>
    <w:rsid w:val="00743BDB"/>
    <w:rsid w:val="00743FA2"/>
    <w:rsid w:val="00744269"/>
    <w:rsid w:val="007442A1"/>
    <w:rsid w:val="0074445C"/>
    <w:rsid w:val="007449EE"/>
    <w:rsid w:val="00744D1F"/>
    <w:rsid w:val="00744F09"/>
    <w:rsid w:val="0074541A"/>
    <w:rsid w:val="00746126"/>
    <w:rsid w:val="007461FF"/>
    <w:rsid w:val="0074637E"/>
    <w:rsid w:val="007464C1"/>
    <w:rsid w:val="007467C7"/>
    <w:rsid w:val="007469BC"/>
    <w:rsid w:val="00746AFB"/>
    <w:rsid w:val="00746C68"/>
    <w:rsid w:val="00746D0A"/>
    <w:rsid w:val="00746F12"/>
    <w:rsid w:val="00746F36"/>
    <w:rsid w:val="00746FB8"/>
    <w:rsid w:val="00747051"/>
    <w:rsid w:val="00747332"/>
    <w:rsid w:val="00747598"/>
    <w:rsid w:val="007478C1"/>
    <w:rsid w:val="007500D6"/>
    <w:rsid w:val="00750BCC"/>
    <w:rsid w:val="00751355"/>
    <w:rsid w:val="007514D8"/>
    <w:rsid w:val="007517C1"/>
    <w:rsid w:val="00751A7C"/>
    <w:rsid w:val="007527F4"/>
    <w:rsid w:val="007529A9"/>
    <w:rsid w:val="00752C58"/>
    <w:rsid w:val="00752DA4"/>
    <w:rsid w:val="00752F32"/>
    <w:rsid w:val="00752F6E"/>
    <w:rsid w:val="00753048"/>
    <w:rsid w:val="00753311"/>
    <w:rsid w:val="007537D0"/>
    <w:rsid w:val="00753BE1"/>
    <w:rsid w:val="007545FE"/>
    <w:rsid w:val="00754B42"/>
    <w:rsid w:val="007550C3"/>
    <w:rsid w:val="00755450"/>
    <w:rsid w:val="00755A7C"/>
    <w:rsid w:val="00755B8E"/>
    <w:rsid w:val="00755CBA"/>
    <w:rsid w:val="00755E55"/>
    <w:rsid w:val="00755F65"/>
    <w:rsid w:val="00756207"/>
    <w:rsid w:val="00756531"/>
    <w:rsid w:val="007566CE"/>
    <w:rsid w:val="00756701"/>
    <w:rsid w:val="0075670B"/>
    <w:rsid w:val="00756B74"/>
    <w:rsid w:val="00756C02"/>
    <w:rsid w:val="00756C0B"/>
    <w:rsid w:val="00756D38"/>
    <w:rsid w:val="00757BF0"/>
    <w:rsid w:val="00760398"/>
    <w:rsid w:val="0076063D"/>
    <w:rsid w:val="007607DE"/>
    <w:rsid w:val="007609FA"/>
    <w:rsid w:val="00760A47"/>
    <w:rsid w:val="00760BEB"/>
    <w:rsid w:val="00760D50"/>
    <w:rsid w:val="00760D65"/>
    <w:rsid w:val="0076107E"/>
    <w:rsid w:val="007614D1"/>
    <w:rsid w:val="0076179E"/>
    <w:rsid w:val="00761C35"/>
    <w:rsid w:val="00761D71"/>
    <w:rsid w:val="00761ED7"/>
    <w:rsid w:val="00762F5D"/>
    <w:rsid w:val="007630AF"/>
    <w:rsid w:val="007631E7"/>
    <w:rsid w:val="00763629"/>
    <w:rsid w:val="00763776"/>
    <w:rsid w:val="007639F8"/>
    <w:rsid w:val="00763BBE"/>
    <w:rsid w:val="00763D64"/>
    <w:rsid w:val="00763E5C"/>
    <w:rsid w:val="00763E8A"/>
    <w:rsid w:val="007641F5"/>
    <w:rsid w:val="0076426E"/>
    <w:rsid w:val="007643D4"/>
    <w:rsid w:val="0076445F"/>
    <w:rsid w:val="00764A53"/>
    <w:rsid w:val="00764B70"/>
    <w:rsid w:val="00764C87"/>
    <w:rsid w:val="00764E9B"/>
    <w:rsid w:val="00765062"/>
    <w:rsid w:val="0076517A"/>
    <w:rsid w:val="0076554C"/>
    <w:rsid w:val="00765770"/>
    <w:rsid w:val="00765895"/>
    <w:rsid w:val="00765A92"/>
    <w:rsid w:val="00765AE7"/>
    <w:rsid w:val="00765AF7"/>
    <w:rsid w:val="00765D08"/>
    <w:rsid w:val="007661E4"/>
    <w:rsid w:val="00766287"/>
    <w:rsid w:val="00766955"/>
    <w:rsid w:val="007669D2"/>
    <w:rsid w:val="00766AB9"/>
    <w:rsid w:val="00766B8F"/>
    <w:rsid w:val="00766D89"/>
    <w:rsid w:val="00766E52"/>
    <w:rsid w:val="00766EBB"/>
    <w:rsid w:val="00766F63"/>
    <w:rsid w:val="00767638"/>
    <w:rsid w:val="0076778E"/>
    <w:rsid w:val="00767B05"/>
    <w:rsid w:val="0077000F"/>
    <w:rsid w:val="007703F8"/>
    <w:rsid w:val="007707A8"/>
    <w:rsid w:val="00770881"/>
    <w:rsid w:val="0077094B"/>
    <w:rsid w:val="00770BE1"/>
    <w:rsid w:val="00770F0F"/>
    <w:rsid w:val="00770FA8"/>
    <w:rsid w:val="00771A4A"/>
    <w:rsid w:val="00771B74"/>
    <w:rsid w:val="00771BE0"/>
    <w:rsid w:val="00771D4C"/>
    <w:rsid w:val="00771F26"/>
    <w:rsid w:val="00771F8C"/>
    <w:rsid w:val="007721BB"/>
    <w:rsid w:val="00772BE6"/>
    <w:rsid w:val="00773953"/>
    <w:rsid w:val="0077411E"/>
    <w:rsid w:val="007741C7"/>
    <w:rsid w:val="00774221"/>
    <w:rsid w:val="0077423A"/>
    <w:rsid w:val="007742D3"/>
    <w:rsid w:val="0077464D"/>
    <w:rsid w:val="0077471E"/>
    <w:rsid w:val="007749A7"/>
    <w:rsid w:val="00774C4C"/>
    <w:rsid w:val="00774F5B"/>
    <w:rsid w:val="00774FD8"/>
    <w:rsid w:val="007750C7"/>
    <w:rsid w:val="007757F3"/>
    <w:rsid w:val="007759D3"/>
    <w:rsid w:val="00775A78"/>
    <w:rsid w:val="00775B97"/>
    <w:rsid w:val="00775C38"/>
    <w:rsid w:val="00775C55"/>
    <w:rsid w:val="00775E1A"/>
    <w:rsid w:val="00776047"/>
    <w:rsid w:val="0077637F"/>
    <w:rsid w:val="007763B5"/>
    <w:rsid w:val="007763F6"/>
    <w:rsid w:val="00776522"/>
    <w:rsid w:val="00776B6D"/>
    <w:rsid w:val="00776DA6"/>
    <w:rsid w:val="00776EC4"/>
    <w:rsid w:val="00776F53"/>
    <w:rsid w:val="0077780A"/>
    <w:rsid w:val="00777937"/>
    <w:rsid w:val="0077795F"/>
    <w:rsid w:val="00777D36"/>
    <w:rsid w:val="007800C8"/>
    <w:rsid w:val="00780220"/>
    <w:rsid w:val="007809A0"/>
    <w:rsid w:val="00780FF5"/>
    <w:rsid w:val="0078119C"/>
    <w:rsid w:val="007811B4"/>
    <w:rsid w:val="00781496"/>
    <w:rsid w:val="007815C7"/>
    <w:rsid w:val="0078177D"/>
    <w:rsid w:val="00781B1C"/>
    <w:rsid w:val="00782095"/>
    <w:rsid w:val="0078248A"/>
    <w:rsid w:val="007824CF"/>
    <w:rsid w:val="0078279F"/>
    <w:rsid w:val="00782BFD"/>
    <w:rsid w:val="00782C8B"/>
    <w:rsid w:val="00782E0C"/>
    <w:rsid w:val="00782FA6"/>
    <w:rsid w:val="007835AC"/>
    <w:rsid w:val="00783607"/>
    <w:rsid w:val="007836BF"/>
    <w:rsid w:val="007837B7"/>
    <w:rsid w:val="007838DF"/>
    <w:rsid w:val="00783A44"/>
    <w:rsid w:val="00783BA7"/>
    <w:rsid w:val="00783C0D"/>
    <w:rsid w:val="00783C6C"/>
    <w:rsid w:val="00783C8E"/>
    <w:rsid w:val="007843F1"/>
    <w:rsid w:val="00784431"/>
    <w:rsid w:val="00784784"/>
    <w:rsid w:val="007847CE"/>
    <w:rsid w:val="00784BE6"/>
    <w:rsid w:val="00784E92"/>
    <w:rsid w:val="00784EFC"/>
    <w:rsid w:val="007850F1"/>
    <w:rsid w:val="007852A3"/>
    <w:rsid w:val="007854A6"/>
    <w:rsid w:val="00785F40"/>
    <w:rsid w:val="0078604A"/>
    <w:rsid w:val="00786116"/>
    <w:rsid w:val="0078617E"/>
    <w:rsid w:val="00786198"/>
    <w:rsid w:val="00786C6B"/>
    <w:rsid w:val="00787166"/>
    <w:rsid w:val="007871C0"/>
    <w:rsid w:val="00787852"/>
    <w:rsid w:val="00787C12"/>
    <w:rsid w:val="00787D15"/>
    <w:rsid w:val="0079015D"/>
    <w:rsid w:val="007901C5"/>
    <w:rsid w:val="007903ED"/>
    <w:rsid w:val="0079060A"/>
    <w:rsid w:val="007909C3"/>
    <w:rsid w:val="0079102C"/>
    <w:rsid w:val="00791296"/>
    <w:rsid w:val="007912B2"/>
    <w:rsid w:val="007914D8"/>
    <w:rsid w:val="00791536"/>
    <w:rsid w:val="00791621"/>
    <w:rsid w:val="007916BA"/>
    <w:rsid w:val="0079170C"/>
    <w:rsid w:val="00791743"/>
    <w:rsid w:val="00791FE8"/>
    <w:rsid w:val="007920DC"/>
    <w:rsid w:val="007921B3"/>
    <w:rsid w:val="007922CE"/>
    <w:rsid w:val="007923C6"/>
    <w:rsid w:val="0079241D"/>
    <w:rsid w:val="0079253B"/>
    <w:rsid w:val="0079299D"/>
    <w:rsid w:val="00792CC4"/>
    <w:rsid w:val="00793525"/>
    <w:rsid w:val="007935C1"/>
    <w:rsid w:val="00793895"/>
    <w:rsid w:val="0079397B"/>
    <w:rsid w:val="00793CD8"/>
    <w:rsid w:val="00793E3B"/>
    <w:rsid w:val="00793EFF"/>
    <w:rsid w:val="007942A5"/>
    <w:rsid w:val="0079457E"/>
    <w:rsid w:val="0079499A"/>
    <w:rsid w:val="00794BA1"/>
    <w:rsid w:val="00794BF0"/>
    <w:rsid w:val="00794E53"/>
    <w:rsid w:val="00794F79"/>
    <w:rsid w:val="00795130"/>
    <w:rsid w:val="00795C54"/>
    <w:rsid w:val="00796116"/>
    <w:rsid w:val="00796196"/>
    <w:rsid w:val="00796311"/>
    <w:rsid w:val="00796C5F"/>
    <w:rsid w:val="00796C66"/>
    <w:rsid w:val="0079719D"/>
    <w:rsid w:val="00797E70"/>
    <w:rsid w:val="007A00C3"/>
    <w:rsid w:val="007A02BE"/>
    <w:rsid w:val="007A05A5"/>
    <w:rsid w:val="007A07CA"/>
    <w:rsid w:val="007A0811"/>
    <w:rsid w:val="007A08CA"/>
    <w:rsid w:val="007A0BFA"/>
    <w:rsid w:val="007A0DB9"/>
    <w:rsid w:val="007A0FA6"/>
    <w:rsid w:val="007A11C2"/>
    <w:rsid w:val="007A1431"/>
    <w:rsid w:val="007A14AE"/>
    <w:rsid w:val="007A151E"/>
    <w:rsid w:val="007A1854"/>
    <w:rsid w:val="007A1A76"/>
    <w:rsid w:val="007A1D2A"/>
    <w:rsid w:val="007A229F"/>
    <w:rsid w:val="007A265B"/>
    <w:rsid w:val="007A291A"/>
    <w:rsid w:val="007A2AA7"/>
    <w:rsid w:val="007A35AB"/>
    <w:rsid w:val="007A3767"/>
    <w:rsid w:val="007A380F"/>
    <w:rsid w:val="007A38E1"/>
    <w:rsid w:val="007A3AAD"/>
    <w:rsid w:val="007A3B92"/>
    <w:rsid w:val="007A3BC5"/>
    <w:rsid w:val="007A4046"/>
    <w:rsid w:val="007A4079"/>
    <w:rsid w:val="007A4174"/>
    <w:rsid w:val="007A45EA"/>
    <w:rsid w:val="007A4619"/>
    <w:rsid w:val="007A4C10"/>
    <w:rsid w:val="007A4F48"/>
    <w:rsid w:val="007A510E"/>
    <w:rsid w:val="007A54A4"/>
    <w:rsid w:val="007A583C"/>
    <w:rsid w:val="007A5968"/>
    <w:rsid w:val="007A59CF"/>
    <w:rsid w:val="007A5A3E"/>
    <w:rsid w:val="007A5CC2"/>
    <w:rsid w:val="007A5DAB"/>
    <w:rsid w:val="007A5E31"/>
    <w:rsid w:val="007A5F9F"/>
    <w:rsid w:val="007A61AF"/>
    <w:rsid w:val="007A623B"/>
    <w:rsid w:val="007A6A16"/>
    <w:rsid w:val="007A6AC9"/>
    <w:rsid w:val="007A6F9D"/>
    <w:rsid w:val="007A715C"/>
    <w:rsid w:val="007A7240"/>
    <w:rsid w:val="007A731E"/>
    <w:rsid w:val="007A7350"/>
    <w:rsid w:val="007A7686"/>
    <w:rsid w:val="007A76A7"/>
    <w:rsid w:val="007A7763"/>
    <w:rsid w:val="007A7A3A"/>
    <w:rsid w:val="007A7B58"/>
    <w:rsid w:val="007A7D25"/>
    <w:rsid w:val="007A7F77"/>
    <w:rsid w:val="007B0069"/>
    <w:rsid w:val="007B0359"/>
    <w:rsid w:val="007B0438"/>
    <w:rsid w:val="007B0604"/>
    <w:rsid w:val="007B0802"/>
    <w:rsid w:val="007B0839"/>
    <w:rsid w:val="007B0C58"/>
    <w:rsid w:val="007B1193"/>
    <w:rsid w:val="007B11F2"/>
    <w:rsid w:val="007B12E2"/>
    <w:rsid w:val="007B138D"/>
    <w:rsid w:val="007B1838"/>
    <w:rsid w:val="007B1C0A"/>
    <w:rsid w:val="007B22B2"/>
    <w:rsid w:val="007B2300"/>
    <w:rsid w:val="007B242B"/>
    <w:rsid w:val="007B2949"/>
    <w:rsid w:val="007B2AA7"/>
    <w:rsid w:val="007B2B23"/>
    <w:rsid w:val="007B2BB6"/>
    <w:rsid w:val="007B2C86"/>
    <w:rsid w:val="007B2EDD"/>
    <w:rsid w:val="007B2FD9"/>
    <w:rsid w:val="007B3311"/>
    <w:rsid w:val="007B3496"/>
    <w:rsid w:val="007B3617"/>
    <w:rsid w:val="007B3657"/>
    <w:rsid w:val="007B37E0"/>
    <w:rsid w:val="007B3975"/>
    <w:rsid w:val="007B39B2"/>
    <w:rsid w:val="007B39D6"/>
    <w:rsid w:val="007B3AC1"/>
    <w:rsid w:val="007B3B6D"/>
    <w:rsid w:val="007B3C24"/>
    <w:rsid w:val="007B3D2C"/>
    <w:rsid w:val="007B3FD1"/>
    <w:rsid w:val="007B479E"/>
    <w:rsid w:val="007B499C"/>
    <w:rsid w:val="007B4D09"/>
    <w:rsid w:val="007B4F87"/>
    <w:rsid w:val="007B5115"/>
    <w:rsid w:val="007B5871"/>
    <w:rsid w:val="007B58A8"/>
    <w:rsid w:val="007B5AC3"/>
    <w:rsid w:val="007B5DBD"/>
    <w:rsid w:val="007B626B"/>
    <w:rsid w:val="007B6356"/>
    <w:rsid w:val="007B6416"/>
    <w:rsid w:val="007B6789"/>
    <w:rsid w:val="007B68F8"/>
    <w:rsid w:val="007B7220"/>
    <w:rsid w:val="007B735F"/>
    <w:rsid w:val="007B744E"/>
    <w:rsid w:val="007B7A08"/>
    <w:rsid w:val="007B7F15"/>
    <w:rsid w:val="007C027E"/>
    <w:rsid w:val="007C03F6"/>
    <w:rsid w:val="007C05F0"/>
    <w:rsid w:val="007C09C6"/>
    <w:rsid w:val="007C0D6B"/>
    <w:rsid w:val="007C0E3F"/>
    <w:rsid w:val="007C17E5"/>
    <w:rsid w:val="007C1883"/>
    <w:rsid w:val="007C18D0"/>
    <w:rsid w:val="007C1D2F"/>
    <w:rsid w:val="007C1DB8"/>
    <w:rsid w:val="007C253F"/>
    <w:rsid w:val="007C28CA"/>
    <w:rsid w:val="007C2DAC"/>
    <w:rsid w:val="007C337A"/>
    <w:rsid w:val="007C33DB"/>
    <w:rsid w:val="007C3DFB"/>
    <w:rsid w:val="007C3EC5"/>
    <w:rsid w:val="007C3F03"/>
    <w:rsid w:val="007C425E"/>
    <w:rsid w:val="007C440C"/>
    <w:rsid w:val="007C4755"/>
    <w:rsid w:val="007C4762"/>
    <w:rsid w:val="007C4801"/>
    <w:rsid w:val="007C4924"/>
    <w:rsid w:val="007C49F2"/>
    <w:rsid w:val="007C4A16"/>
    <w:rsid w:val="007C4C09"/>
    <w:rsid w:val="007C4E6D"/>
    <w:rsid w:val="007C5471"/>
    <w:rsid w:val="007C588C"/>
    <w:rsid w:val="007C5944"/>
    <w:rsid w:val="007C5FA6"/>
    <w:rsid w:val="007C60F9"/>
    <w:rsid w:val="007C6661"/>
    <w:rsid w:val="007C67A4"/>
    <w:rsid w:val="007C683F"/>
    <w:rsid w:val="007C6C13"/>
    <w:rsid w:val="007C720D"/>
    <w:rsid w:val="007C726A"/>
    <w:rsid w:val="007C7776"/>
    <w:rsid w:val="007C77D9"/>
    <w:rsid w:val="007C7802"/>
    <w:rsid w:val="007C7977"/>
    <w:rsid w:val="007C7B73"/>
    <w:rsid w:val="007C7ECD"/>
    <w:rsid w:val="007C7F3B"/>
    <w:rsid w:val="007D0238"/>
    <w:rsid w:val="007D03A1"/>
    <w:rsid w:val="007D05C2"/>
    <w:rsid w:val="007D060D"/>
    <w:rsid w:val="007D07B0"/>
    <w:rsid w:val="007D08A5"/>
    <w:rsid w:val="007D0BAC"/>
    <w:rsid w:val="007D0BB2"/>
    <w:rsid w:val="007D0C49"/>
    <w:rsid w:val="007D0DA6"/>
    <w:rsid w:val="007D0E28"/>
    <w:rsid w:val="007D0E98"/>
    <w:rsid w:val="007D1146"/>
    <w:rsid w:val="007D1401"/>
    <w:rsid w:val="007D15A8"/>
    <w:rsid w:val="007D16A8"/>
    <w:rsid w:val="007D1856"/>
    <w:rsid w:val="007D1CB6"/>
    <w:rsid w:val="007D2341"/>
    <w:rsid w:val="007D2AC3"/>
    <w:rsid w:val="007D2AE9"/>
    <w:rsid w:val="007D2F99"/>
    <w:rsid w:val="007D333B"/>
    <w:rsid w:val="007D3346"/>
    <w:rsid w:val="007D3448"/>
    <w:rsid w:val="007D3680"/>
    <w:rsid w:val="007D38D4"/>
    <w:rsid w:val="007D3938"/>
    <w:rsid w:val="007D4472"/>
    <w:rsid w:val="007D4578"/>
    <w:rsid w:val="007D47E0"/>
    <w:rsid w:val="007D4FBD"/>
    <w:rsid w:val="007D5297"/>
    <w:rsid w:val="007D56E6"/>
    <w:rsid w:val="007D59AF"/>
    <w:rsid w:val="007D59CA"/>
    <w:rsid w:val="007D5BC9"/>
    <w:rsid w:val="007D5CC5"/>
    <w:rsid w:val="007D65A2"/>
    <w:rsid w:val="007D667D"/>
    <w:rsid w:val="007D6A24"/>
    <w:rsid w:val="007D6B09"/>
    <w:rsid w:val="007D6DF9"/>
    <w:rsid w:val="007D6E52"/>
    <w:rsid w:val="007D6F4B"/>
    <w:rsid w:val="007D7463"/>
    <w:rsid w:val="007D7AE3"/>
    <w:rsid w:val="007D7D96"/>
    <w:rsid w:val="007D7F82"/>
    <w:rsid w:val="007E03BB"/>
    <w:rsid w:val="007E0484"/>
    <w:rsid w:val="007E09B6"/>
    <w:rsid w:val="007E0A9C"/>
    <w:rsid w:val="007E0ED9"/>
    <w:rsid w:val="007E0F0E"/>
    <w:rsid w:val="007E0FCD"/>
    <w:rsid w:val="007E1715"/>
    <w:rsid w:val="007E1810"/>
    <w:rsid w:val="007E1925"/>
    <w:rsid w:val="007E1967"/>
    <w:rsid w:val="007E1A16"/>
    <w:rsid w:val="007E1D02"/>
    <w:rsid w:val="007E1E6A"/>
    <w:rsid w:val="007E2320"/>
    <w:rsid w:val="007E29A8"/>
    <w:rsid w:val="007E2D2C"/>
    <w:rsid w:val="007E2ECB"/>
    <w:rsid w:val="007E3098"/>
    <w:rsid w:val="007E321F"/>
    <w:rsid w:val="007E33AE"/>
    <w:rsid w:val="007E3442"/>
    <w:rsid w:val="007E3549"/>
    <w:rsid w:val="007E3AE0"/>
    <w:rsid w:val="007E4329"/>
    <w:rsid w:val="007E4921"/>
    <w:rsid w:val="007E4992"/>
    <w:rsid w:val="007E4D90"/>
    <w:rsid w:val="007E4F20"/>
    <w:rsid w:val="007E5095"/>
    <w:rsid w:val="007E51E6"/>
    <w:rsid w:val="007E588A"/>
    <w:rsid w:val="007E58A7"/>
    <w:rsid w:val="007E5BDC"/>
    <w:rsid w:val="007E5D45"/>
    <w:rsid w:val="007E600E"/>
    <w:rsid w:val="007E616B"/>
    <w:rsid w:val="007E63F2"/>
    <w:rsid w:val="007E6545"/>
    <w:rsid w:val="007E6864"/>
    <w:rsid w:val="007E68E5"/>
    <w:rsid w:val="007E6966"/>
    <w:rsid w:val="007E712E"/>
    <w:rsid w:val="007E71B8"/>
    <w:rsid w:val="007E7492"/>
    <w:rsid w:val="007E77EA"/>
    <w:rsid w:val="007E78FB"/>
    <w:rsid w:val="007E79FA"/>
    <w:rsid w:val="007E7C78"/>
    <w:rsid w:val="007F06A3"/>
    <w:rsid w:val="007F08F8"/>
    <w:rsid w:val="007F0E18"/>
    <w:rsid w:val="007F1053"/>
    <w:rsid w:val="007F1160"/>
    <w:rsid w:val="007F132B"/>
    <w:rsid w:val="007F135F"/>
    <w:rsid w:val="007F16EE"/>
    <w:rsid w:val="007F2017"/>
    <w:rsid w:val="007F21DC"/>
    <w:rsid w:val="007F25D3"/>
    <w:rsid w:val="007F285B"/>
    <w:rsid w:val="007F28B8"/>
    <w:rsid w:val="007F2924"/>
    <w:rsid w:val="007F2C5F"/>
    <w:rsid w:val="007F2E73"/>
    <w:rsid w:val="007F2EBA"/>
    <w:rsid w:val="007F2F5D"/>
    <w:rsid w:val="007F344D"/>
    <w:rsid w:val="007F38EC"/>
    <w:rsid w:val="007F3B1D"/>
    <w:rsid w:val="007F47ED"/>
    <w:rsid w:val="007F585E"/>
    <w:rsid w:val="007F5D14"/>
    <w:rsid w:val="007F61FD"/>
    <w:rsid w:val="007F63E8"/>
    <w:rsid w:val="007F64F0"/>
    <w:rsid w:val="007F682A"/>
    <w:rsid w:val="007F6A8A"/>
    <w:rsid w:val="007F6DA2"/>
    <w:rsid w:val="007F6E08"/>
    <w:rsid w:val="007F70A3"/>
    <w:rsid w:val="007F725C"/>
    <w:rsid w:val="007F7384"/>
    <w:rsid w:val="007F7852"/>
    <w:rsid w:val="007F7854"/>
    <w:rsid w:val="007F7CA6"/>
    <w:rsid w:val="007F7CD4"/>
    <w:rsid w:val="007F7E1F"/>
    <w:rsid w:val="0080001A"/>
    <w:rsid w:val="0080004E"/>
    <w:rsid w:val="008002EA"/>
    <w:rsid w:val="0080066D"/>
    <w:rsid w:val="008008EB"/>
    <w:rsid w:val="008009AF"/>
    <w:rsid w:val="008009D8"/>
    <w:rsid w:val="00800A92"/>
    <w:rsid w:val="00800C04"/>
    <w:rsid w:val="00800EE7"/>
    <w:rsid w:val="00800F85"/>
    <w:rsid w:val="0080108D"/>
    <w:rsid w:val="00801307"/>
    <w:rsid w:val="008014B0"/>
    <w:rsid w:val="0080157E"/>
    <w:rsid w:val="0080194A"/>
    <w:rsid w:val="00801AD5"/>
    <w:rsid w:val="00801B9F"/>
    <w:rsid w:val="00801C3E"/>
    <w:rsid w:val="00801D34"/>
    <w:rsid w:val="0080205A"/>
    <w:rsid w:val="0080217E"/>
    <w:rsid w:val="00802443"/>
    <w:rsid w:val="008024A6"/>
    <w:rsid w:val="0080261C"/>
    <w:rsid w:val="00802658"/>
    <w:rsid w:val="00802827"/>
    <w:rsid w:val="00802BC6"/>
    <w:rsid w:val="00802C90"/>
    <w:rsid w:val="0080361E"/>
    <w:rsid w:val="00803654"/>
    <w:rsid w:val="008038EA"/>
    <w:rsid w:val="00803926"/>
    <w:rsid w:val="00803A36"/>
    <w:rsid w:val="00803E86"/>
    <w:rsid w:val="00804171"/>
    <w:rsid w:val="008042E4"/>
    <w:rsid w:val="00804423"/>
    <w:rsid w:val="0080489A"/>
    <w:rsid w:val="00804D47"/>
    <w:rsid w:val="00804EB3"/>
    <w:rsid w:val="00804FE9"/>
    <w:rsid w:val="0080590D"/>
    <w:rsid w:val="00806688"/>
    <w:rsid w:val="008066B2"/>
    <w:rsid w:val="008067C1"/>
    <w:rsid w:val="00806926"/>
    <w:rsid w:val="00806989"/>
    <w:rsid w:val="00806D3B"/>
    <w:rsid w:val="00806F10"/>
    <w:rsid w:val="0080710D"/>
    <w:rsid w:val="0080734A"/>
    <w:rsid w:val="008073D7"/>
    <w:rsid w:val="00807733"/>
    <w:rsid w:val="00807B15"/>
    <w:rsid w:val="00807C54"/>
    <w:rsid w:val="00807CC7"/>
    <w:rsid w:val="008105E1"/>
    <w:rsid w:val="00810805"/>
    <w:rsid w:val="00810909"/>
    <w:rsid w:val="00810E6C"/>
    <w:rsid w:val="00811117"/>
    <w:rsid w:val="00811390"/>
    <w:rsid w:val="00811463"/>
    <w:rsid w:val="008115EC"/>
    <w:rsid w:val="008116CD"/>
    <w:rsid w:val="008116EA"/>
    <w:rsid w:val="00811844"/>
    <w:rsid w:val="00811958"/>
    <w:rsid w:val="00811E6B"/>
    <w:rsid w:val="00811EB6"/>
    <w:rsid w:val="0081295E"/>
    <w:rsid w:val="00812B05"/>
    <w:rsid w:val="00812F44"/>
    <w:rsid w:val="00812F49"/>
    <w:rsid w:val="00813086"/>
    <w:rsid w:val="008134F7"/>
    <w:rsid w:val="0081355B"/>
    <w:rsid w:val="008135A7"/>
    <w:rsid w:val="0081375E"/>
    <w:rsid w:val="008137D5"/>
    <w:rsid w:val="00813827"/>
    <w:rsid w:val="00813B18"/>
    <w:rsid w:val="00813BB0"/>
    <w:rsid w:val="00813C34"/>
    <w:rsid w:val="0081425B"/>
    <w:rsid w:val="008142F6"/>
    <w:rsid w:val="00814367"/>
    <w:rsid w:val="00814624"/>
    <w:rsid w:val="008146D8"/>
    <w:rsid w:val="00814986"/>
    <w:rsid w:val="0081508A"/>
    <w:rsid w:val="00815210"/>
    <w:rsid w:val="008153D7"/>
    <w:rsid w:val="00815416"/>
    <w:rsid w:val="008157F4"/>
    <w:rsid w:val="00815D8A"/>
    <w:rsid w:val="00815E6A"/>
    <w:rsid w:val="00816563"/>
    <w:rsid w:val="00816581"/>
    <w:rsid w:val="00816609"/>
    <w:rsid w:val="0081661F"/>
    <w:rsid w:val="00816917"/>
    <w:rsid w:val="00816B0A"/>
    <w:rsid w:val="00816B31"/>
    <w:rsid w:val="0081700E"/>
    <w:rsid w:val="008172D5"/>
    <w:rsid w:val="008174AD"/>
    <w:rsid w:val="008175E1"/>
    <w:rsid w:val="0081780A"/>
    <w:rsid w:val="00817E9F"/>
    <w:rsid w:val="008202F1"/>
    <w:rsid w:val="00820343"/>
    <w:rsid w:val="00820353"/>
    <w:rsid w:val="00820447"/>
    <w:rsid w:val="00820B09"/>
    <w:rsid w:val="00820BD9"/>
    <w:rsid w:val="00820DEE"/>
    <w:rsid w:val="008210E2"/>
    <w:rsid w:val="008213D8"/>
    <w:rsid w:val="0082154F"/>
    <w:rsid w:val="0082164F"/>
    <w:rsid w:val="00821847"/>
    <w:rsid w:val="0082189C"/>
    <w:rsid w:val="00821E34"/>
    <w:rsid w:val="00821E8A"/>
    <w:rsid w:val="00821EB4"/>
    <w:rsid w:val="008221B7"/>
    <w:rsid w:val="008223ED"/>
    <w:rsid w:val="008224EB"/>
    <w:rsid w:val="00822EC0"/>
    <w:rsid w:val="008230C6"/>
    <w:rsid w:val="00823299"/>
    <w:rsid w:val="008232DF"/>
    <w:rsid w:val="0082365F"/>
    <w:rsid w:val="00823719"/>
    <w:rsid w:val="00823A5E"/>
    <w:rsid w:val="0082409D"/>
    <w:rsid w:val="008243D1"/>
    <w:rsid w:val="00824660"/>
    <w:rsid w:val="00824675"/>
    <w:rsid w:val="00824C67"/>
    <w:rsid w:val="00824F07"/>
    <w:rsid w:val="00824F4D"/>
    <w:rsid w:val="0082528D"/>
    <w:rsid w:val="008256AF"/>
    <w:rsid w:val="008258AF"/>
    <w:rsid w:val="008258E4"/>
    <w:rsid w:val="00825930"/>
    <w:rsid w:val="00825AE4"/>
    <w:rsid w:val="00825E05"/>
    <w:rsid w:val="008260F3"/>
    <w:rsid w:val="00826231"/>
    <w:rsid w:val="00826412"/>
    <w:rsid w:val="00826B3F"/>
    <w:rsid w:val="00826C5A"/>
    <w:rsid w:val="00826FB3"/>
    <w:rsid w:val="008272E7"/>
    <w:rsid w:val="00827872"/>
    <w:rsid w:val="00827F63"/>
    <w:rsid w:val="00827FDE"/>
    <w:rsid w:val="00830A67"/>
    <w:rsid w:val="00830AE0"/>
    <w:rsid w:val="00830FB6"/>
    <w:rsid w:val="00831C69"/>
    <w:rsid w:val="00831C73"/>
    <w:rsid w:val="00831C75"/>
    <w:rsid w:val="00831D38"/>
    <w:rsid w:val="00831E12"/>
    <w:rsid w:val="00831EC7"/>
    <w:rsid w:val="00832435"/>
    <w:rsid w:val="008327FB"/>
    <w:rsid w:val="00832EFE"/>
    <w:rsid w:val="00832FA7"/>
    <w:rsid w:val="0083389F"/>
    <w:rsid w:val="008338B7"/>
    <w:rsid w:val="00833F4F"/>
    <w:rsid w:val="0083401D"/>
    <w:rsid w:val="00834354"/>
    <w:rsid w:val="0083441D"/>
    <w:rsid w:val="0083452F"/>
    <w:rsid w:val="00834BB4"/>
    <w:rsid w:val="00834BCB"/>
    <w:rsid w:val="00834CF7"/>
    <w:rsid w:val="00834FD9"/>
    <w:rsid w:val="008350AB"/>
    <w:rsid w:val="008351D5"/>
    <w:rsid w:val="0083524E"/>
    <w:rsid w:val="0083529A"/>
    <w:rsid w:val="00835328"/>
    <w:rsid w:val="008354B0"/>
    <w:rsid w:val="00835505"/>
    <w:rsid w:val="00835B92"/>
    <w:rsid w:val="00835C96"/>
    <w:rsid w:val="00835FB8"/>
    <w:rsid w:val="008369C0"/>
    <w:rsid w:val="00836ABE"/>
    <w:rsid w:val="00836D8B"/>
    <w:rsid w:val="00836F50"/>
    <w:rsid w:val="00837345"/>
    <w:rsid w:val="00837706"/>
    <w:rsid w:val="00837926"/>
    <w:rsid w:val="00837B57"/>
    <w:rsid w:val="008402F5"/>
    <w:rsid w:val="00840825"/>
    <w:rsid w:val="008409B4"/>
    <w:rsid w:val="00840B81"/>
    <w:rsid w:val="00840D06"/>
    <w:rsid w:val="00840FA2"/>
    <w:rsid w:val="008412E9"/>
    <w:rsid w:val="00841D57"/>
    <w:rsid w:val="008423C5"/>
    <w:rsid w:val="008424E1"/>
    <w:rsid w:val="00842919"/>
    <w:rsid w:val="00842EC7"/>
    <w:rsid w:val="008430DC"/>
    <w:rsid w:val="008430FD"/>
    <w:rsid w:val="00843197"/>
    <w:rsid w:val="00843209"/>
    <w:rsid w:val="008433C4"/>
    <w:rsid w:val="0084363A"/>
    <w:rsid w:val="008437A5"/>
    <w:rsid w:val="008439FB"/>
    <w:rsid w:val="00843D71"/>
    <w:rsid w:val="00843DA4"/>
    <w:rsid w:val="00843FA2"/>
    <w:rsid w:val="00844B85"/>
    <w:rsid w:val="00844C09"/>
    <w:rsid w:val="00844C3F"/>
    <w:rsid w:val="00844D7B"/>
    <w:rsid w:val="0084542D"/>
    <w:rsid w:val="00845482"/>
    <w:rsid w:val="008454E3"/>
    <w:rsid w:val="008454E9"/>
    <w:rsid w:val="0084558A"/>
    <w:rsid w:val="008457F8"/>
    <w:rsid w:val="0084583B"/>
    <w:rsid w:val="00845F7B"/>
    <w:rsid w:val="008462F9"/>
    <w:rsid w:val="00846575"/>
    <w:rsid w:val="008467E4"/>
    <w:rsid w:val="00846C08"/>
    <w:rsid w:val="00846D9B"/>
    <w:rsid w:val="00846F14"/>
    <w:rsid w:val="008479A2"/>
    <w:rsid w:val="00847AF1"/>
    <w:rsid w:val="00847D0C"/>
    <w:rsid w:val="008500DD"/>
    <w:rsid w:val="0085026E"/>
    <w:rsid w:val="00850ABF"/>
    <w:rsid w:val="00850C68"/>
    <w:rsid w:val="00850C9E"/>
    <w:rsid w:val="00850F9A"/>
    <w:rsid w:val="008513CA"/>
    <w:rsid w:val="00851804"/>
    <w:rsid w:val="008518FA"/>
    <w:rsid w:val="00851A2A"/>
    <w:rsid w:val="00851F86"/>
    <w:rsid w:val="0085206E"/>
    <w:rsid w:val="00852564"/>
    <w:rsid w:val="0085291E"/>
    <w:rsid w:val="00852E35"/>
    <w:rsid w:val="00852FFB"/>
    <w:rsid w:val="008534DD"/>
    <w:rsid w:val="0085365C"/>
    <w:rsid w:val="008537D0"/>
    <w:rsid w:val="00853828"/>
    <w:rsid w:val="00853899"/>
    <w:rsid w:val="00853A6C"/>
    <w:rsid w:val="00853B94"/>
    <w:rsid w:val="008547B7"/>
    <w:rsid w:val="0085491E"/>
    <w:rsid w:val="008549BB"/>
    <w:rsid w:val="00854B5E"/>
    <w:rsid w:val="00855072"/>
    <w:rsid w:val="0085523E"/>
    <w:rsid w:val="00855259"/>
    <w:rsid w:val="008553EE"/>
    <w:rsid w:val="00855705"/>
    <w:rsid w:val="0085572D"/>
    <w:rsid w:val="008557ED"/>
    <w:rsid w:val="00855B9B"/>
    <w:rsid w:val="0085613C"/>
    <w:rsid w:val="008562F7"/>
    <w:rsid w:val="0085643B"/>
    <w:rsid w:val="0085661D"/>
    <w:rsid w:val="0085691B"/>
    <w:rsid w:val="00856A38"/>
    <w:rsid w:val="00856C79"/>
    <w:rsid w:val="00857015"/>
    <w:rsid w:val="00857134"/>
    <w:rsid w:val="00857346"/>
    <w:rsid w:val="008573D2"/>
    <w:rsid w:val="00857CAE"/>
    <w:rsid w:val="00857D79"/>
    <w:rsid w:val="00857F60"/>
    <w:rsid w:val="0086002C"/>
    <w:rsid w:val="008602BA"/>
    <w:rsid w:val="00860447"/>
    <w:rsid w:val="0086098B"/>
    <w:rsid w:val="0086117D"/>
    <w:rsid w:val="00861290"/>
    <w:rsid w:val="00861670"/>
    <w:rsid w:val="00861B62"/>
    <w:rsid w:val="00861D9F"/>
    <w:rsid w:val="00861DAF"/>
    <w:rsid w:val="00861E38"/>
    <w:rsid w:val="00862071"/>
    <w:rsid w:val="00862642"/>
    <w:rsid w:val="00862AE3"/>
    <w:rsid w:val="00862BB7"/>
    <w:rsid w:val="00862C59"/>
    <w:rsid w:val="00862C8F"/>
    <w:rsid w:val="00862D11"/>
    <w:rsid w:val="00862EC0"/>
    <w:rsid w:val="00862ED0"/>
    <w:rsid w:val="00863DF4"/>
    <w:rsid w:val="00863F6F"/>
    <w:rsid w:val="00864098"/>
    <w:rsid w:val="008640B8"/>
    <w:rsid w:val="008640E2"/>
    <w:rsid w:val="00864198"/>
    <w:rsid w:val="008643B8"/>
    <w:rsid w:val="0086452B"/>
    <w:rsid w:val="008648DA"/>
    <w:rsid w:val="0086496A"/>
    <w:rsid w:val="00865238"/>
    <w:rsid w:val="00865326"/>
    <w:rsid w:val="008653DB"/>
    <w:rsid w:val="008656CE"/>
    <w:rsid w:val="00865733"/>
    <w:rsid w:val="008657E1"/>
    <w:rsid w:val="00865A86"/>
    <w:rsid w:val="00865C21"/>
    <w:rsid w:val="00865F9A"/>
    <w:rsid w:val="00866598"/>
    <w:rsid w:val="00866D4A"/>
    <w:rsid w:val="00867527"/>
    <w:rsid w:val="008675E0"/>
    <w:rsid w:val="008679E9"/>
    <w:rsid w:val="008679EE"/>
    <w:rsid w:val="00867CA9"/>
    <w:rsid w:val="00867E22"/>
    <w:rsid w:val="00867FAF"/>
    <w:rsid w:val="008702D3"/>
    <w:rsid w:val="008708C9"/>
    <w:rsid w:val="00870919"/>
    <w:rsid w:val="00870B87"/>
    <w:rsid w:val="00870E7B"/>
    <w:rsid w:val="00870F3D"/>
    <w:rsid w:val="00871128"/>
    <w:rsid w:val="008715E1"/>
    <w:rsid w:val="008718B8"/>
    <w:rsid w:val="00871E3D"/>
    <w:rsid w:val="00871F25"/>
    <w:rsid w:val="00872506"/>
    <w:rsid w:val="008738FA"/>
    <w:rsid w:val="00873979"/>
    <w:rsid w:val="008739A0"/>
    <w:rsid w:val="00873A30"/>
    <w:rsid w:val="008743D3"/>
    <w:rsid w:val="0087443F"/>
    <w:rsid w:val="00874469"/>
    <w:rsid w:val="008745BB"/>
    <w:rsid w:val="008745E0"/>
    <w:rsid w:val="008749E8"/>
    <w:rsid w:val="00874C26"/>
    <w:rsid w:val="00874D11"/>
    <w:rsid w:val="00874FEC"/>
    <w:rsid w:val="0087509C"/>
    <w:rsid w:val="008755BA"/>
    <w:rsid w:val="00875862"/>
    <w:rsid w:val="00875D82"/>
    <w:rsid w:val="00875E84"/>
    <w:rsid w:val="00876484"/>
    <w:rsid w:val="008767C5"/>
    <w:rsid w:val="00876807"/>
    <w:rsid w:val="0087682D"/>
    <w:rsid w:val="008769F7"/>
    <w:rsid w:val="00876EE8"/>
    <w:rsid w:val="008770E2"/>
    <w:rsid w:val="008771C7"/>
    <w:rsid w:val="00877348"/>
    <w:rsid w:val="008775EC"/>
    <w:rsid w:val="00877776"/>
    <w:rsid w:val="00877800"/>
    <w:rsid w:val="00877B7A"/>
    <w:rsid w:val="00877F46"/>
    <w:rsid w:val="008805E3"/>
    <w:rsid w:val="0088061B"/>
    <w:rsid w:val="0088151C"/>
    <w:rsid w:val="008816DA"/>
    <w:rsid w:val="00881B77"/>
    <w:rsid w:val="00881BB8"/>
    <w:rsid w:val="00881D59"/>
    <w:rsid w:val="00882143"/>
    <w:rsid w:val="0088235F"/>
    <w:rsid w:val="00882382"/>
    <w:rsid w:val="008829A6"/>
    <w:rsid w:val="00882B0A"/>
    <w:rsid w:val="00882EAC"/>
    <w:rsid w:val="00882F3F"/>
    <w:rsid w:val="00882F9A"/>
    <w:rsid w:val="00883339"/>
    <w:rsid w:val="0088361B"/>
    <w:rsid w:val="00883660"/>
    <w:rsid w:val="00883686"/>
    <w:rsid w:val="008839FE"/>
    <w:rsid w:val="00883C25"/>
    <w:rsid w:val="00883CA6"/>
    <w:rsid w:val="0088416C"/>
    <w:rsid w:val="008846AE"/>
    <w:rsid w:val="00884931"/>
    <w:rsid w:val="00884B80"/>
    <w:rsid w:val="00884CE3"/>
    <w:rsid w:val="00884FCE"/>
    <w:rsid w:val="0088504F"/>
    <w:rsid w:val="0088541C"/>
    <w:rsid w:val="008854D7"/>
    <w:rsid w:val="00885998"/>
    <w:rsid w:val="00885A2E"/>
    <w:rsid w:val="00885B81"/>
    <w:rsid w:val="00885CB4"/>
    <w:rsid w:val="00886452"/>
    <w:rsid w:val="008868D1"/>
    <w:rsid w:val="00886C0D"/>
    <w:rsid w:val="00886EBD"/>
    <w:rsid w:val="00886F57"/>
    <w:rsid w:val="00887040"/>
    <w:rsid w:val="008871A9"/>
    <w:rsid w:val="00887844"/>
    <w:rsid w:val="00887C3C"/>
    <w:rsid w:val="00887D59"/>
    <w:rsid w:val="00890242"/>
    <w:rsid w:val="00890364"/>
    <w:rsid w:val="0089038F"/>
    <w:rsid w:val="0089045A"/>
    <w:rsid w:val="008908B1"/>
    <w:rsid w:val="00890B09"/>
    <w:rsid w:val="00890E5E"/>
    <w:rsid w:val="00890F01"/>
    <w:rsid w:val="00890F9E"/>
    <w:rsid w:val="0089122F"/>
    <w:rsid w:val="0089145C"/>
    <w:rsid w:val="008916B4"/>
    <w:rsid w:val="0089183E"/>
    <w:rsid w:val="00891A18"/>
    <w:rsid w:val="00891CD9"/>
    <w:rsid w:val="00891D90"/>
    <w:rsid w:val="00891DCC"/>
    <w:rsid w:val="00891F04"/>
    <w:rsid w:val="00892052"/>
    <w:rsid w:val="00892166"/>
    <w:rsid w:val="008922E8"/>
    <w:rsid w:val="00892391"/>
    <w:rsid w:val="008923CD"/>
    <w:rsid w:val="008924F1"/>
    <w:rsid w:val="00892A28"/>
    <w:rsid w:val="00892FA3"/>
    <w:rsid w:val="00893066"/>
    <w:rsid w:val="00893152"/>
    <w:rsid w:val="00893299"/>
    <w:rsid w:val="00893989"/>
    <w:rsid w:val="008939E3"/>
    <w:rsid w:val="00893C30"/>
    <w:rsid w:val="00893E5C"/>
    <w:rsid w:val="0089454D"/>
    <w:rsid w:val="0089461A"/>
    <w:rsid w:val="00894697"/>
    <w:rsid w:val="00894723"/>
    <w:rsid w:val="008948F8"/>
    <w:rsid w:val="00894999"/>
    <w:rsid w:val="00894D34"/>
    <w:rsid w:val="00894F91"/>
    <w:rsid w:val="0089525F"/>
    <w:rsid w:val="0089533C"/>
    <w:rsid w:val="00895465"/>
    <w:rsid w:val="008955A6"/>
    <w:rsid w:val="00895704"/>
    <w:rsid w:val="00895791"/>
    <w:rsid w:val="0089588D"/>
    <w:rsid w:val="00895C25"/>
    <w:rsid w:val="00895E3B"/>
    <w:rsid w:val="00896149"/>
    <w:rsid w:val="00896188"/>
    <w:rsid w:val="008964A3"/>
    <w:rsid w:val="008964DE"/>
    <w:rsid w:val="00896572"/>
    <w:rsid w:val="008966C1"/>
    <w:rsid w:val="008967BF"/>
    <w:rsid w:val="00896C26"/>
    <w:rsid w:val="00896D59"/>
    <w:rsid w:val="00896D5E"/>
    <w:rsid w:val="00896ECC"/>
    <w:rsid w:val="0089700B"/>
    <w:rsid w:val="0089702D"/>
    <w:rsid w:val="0089729F"/>
    <w:rsid w:val="00897489"/>
    <w:rsid w:val="0089791C"/>
    <w:rsid w:val="00897B66"/>
    <w:rsid w:val="00897B7B"/>
    <w:rsid w:val="00897F41"/>
    <w:rsid w:val="008A005D"/>
    <w:rsid w:val="008A01A3"/>
    <w:rsid w:val="008A0B94"/>
    <w:rsid w:val="008A0F75"/>
    <w:rsid w:val="008A1300"/>
    <w:rsid w:val="008A13BB"/>
    <w:rsid w:val="008A1604"/>
    <w:rsid w:val="008A1DEB"/>
    <w:rsid w:val="008A1E27"/>
    <w:rsid w:val="008A1EA1"/>
    <w:rsid w:val="008A1EAE"/>
    <w:rsid w:val="008A1F2D"/>
    <w:rsid w:val="008A249D"/>
    <w:rsid w:val="008A2695"/>
    <w:rsid w:val="008A29AA"/>
    <w:rsid w:val="008A3292"/>
    <w:rsid w:val="008A3298"/>
    <w:rsid w:val="008A3FA7"/>
    <w:rsid w:val="008A44FC"/>
    <w:rsid w:val="008A497D"/>
    <w:rsid w:val="008A49E1"/>
    <w:rsid w:val="008A4B9D"/>
    <w:rsid w:val="008A4C46"/>
    <w:rsid w:val="008A4C76"/>
    <w:rsid w:val="008A4D3E"/>
    <w:rsid w:val="008A530B"/>
    <w:rsid w:val="008A5463"/>
    <w:rsid w:val="008A5555"/>
    <w:rsid w:val="008A571C"/>
    <w:rsid w:val="008A5864"/>
    <w:rsid w:val="008A588F"/>
    <w:rsid w:val="008A5AAB"/>
    <w:rsid w:val="008A5C86"/>
    <w:rsid w:val="008A5F99"/>
    <w:rsid w:val="008A5FED"/>
    <w:rsid w:val="008A6293"/>
    <w:rsid w:val="008A6798"/>
    <w:rsid w:val="008A696D"/>
    <w:rsid w:val="008A69DF"/>
    <w:rsid w:val="008A6B0D"/>
    <w:rsid w:val="008A6BD2"/>
    <w:rsid w:val="008A6DAE"/>
    <w:rsid w:val="008A6E03"/>
    <w:rsid w:val="008A714C"/>
    <w:rsid w:val="008A7328"/>
    <w:rsid w:val="008A7710"/>
    <w:rsid w:val="008A7B3C"/>
    <w:rsid w:val="008A7D8A"/>
    <w:rsid w:val="008B00C3"/>
    <w:rsid w:val="008B0101"/>
    <w:rsid w:val="008B039A"/>
    <w:rsid w:val="008B03CF"/>
    <w:rsid w:val="008B0B58"/>
    <w:rsid w:val="008B0CC9"/>
    <w:rsid w:val="008B0DA1"/>
    <w:rsid w:val="008B0FAE"/>
    <w:rsid w:val="008B1164"/>
    <w:rsid w:val="008B16FC"/>
    <w:rsid w:val="008B172F"/>
    <w:rsid w:val="008B1AA6"/>
    <w:rsid w:val="008B20E0"/>
    <w:rsid w:val="008B216A"/>
    <w:rsid w:val="008B22AA"/>
    <w:rsid w:val="008B27F0"/>
    <w:rsid w:val="008B31C5"/>
    <w:rsid w:val="008B325D"/>
    <w:rsid w:val="008B361A"/>
    <w:rsid w:val="008B3705"/>
    <w:rsid w:val="008B38F9"/>
    <w:rsid w:val="008B4029"/>
    <w:rsid w:val="008B45F1"/>
    <w:rsid w:val="008B4994"/>
    <w:rsid w:val="008B4B03"/>
    <w:rsid w:val="008B4C26"/>
    <w:rsid w:val="008B4F8C"/>
    <w:rsid w:val="008B503F"/>
    <w:rsid w:val="008B5042"/>
    <w:rsid w:val="008B5043"/>
    <w:rsid w:val="008B50A1"/>
    <w:rsid w:val="008B50D4"/>
    <w:rsid w:val="008B5418"/>
    <w:rsid w:val="008B566D"/>
    <w:rsid w:val="008B5E0B"/>
    <w:rsid w:val="008B636D"/>
    <w:rsid w:val="008B6670"/>
    <w:rsid w:val="008B6826"/>
    <w:rsid w:val="008B7145"/>
    <w:rsid w:val="008B734D"/>
    <w:rsid w:val="008B741E"/>
    <w:rsid w:val="008B7764"/>
    <w:rsid w:val="008B7BAB"/>
    <w:rsid w:val="008B7C00"/>
    <w:rsid w:val="008C0380"/>
    <w:rsid w:val="008C043E"/>
    <w:rsid w:val="008C045A"/>
    <w:rsid w:val="008C08B7"/>
    <w:rsid w:val="008C0997"/>
    <w:rsid w:val="008C0D9B"/>
    <w:rsid w:val="008C0E52"/>
    <w:rsid w:val="008C11AE"/>
    <w:rsid w:val="008C1206"/>
    <w:rsid w:val="008C1297"/>
    <w:rsid w:val="008C1518"/>
    <w:rsid w:val="008C19DA"/>
    <w:rsid w:val="008C1A25"/>
    <w:rsid w:val="008C1BFC"/>
    <w:rsid w:val="008C1C1E"/>
    <w:rsid w:val="008C1CD5"/>
    <w:rsid w:val="008C2158"/>
    <w:rsid w:val="008C241F"/>
    <w:rsid w:val="008C251C"/>
    <w:rsid w:val="008C2678"/>
    <w:rsid w:val="008C2703"/>
    <w:rsid w:val="008C2804"/>
    <w:rsid w:val="008C2873"/>
    <w:rsid w:val="008C28F7"/>
    <w:rsid w:val="008C2E72"/>
    <w:rsid w:val="008C302E"/>
    <w:rsid w:val="008C3914"/>
    <w:rsid w:val="008C397F"/>
    <w:rsid w:val="008C4074"/>
    <w:rsid w:val="008C4215"/>
    <w:rsid w:val="008C43D8"/>
    <w:rsid w:val="008C45DA"/>
    <w:rsid w:val="008C4658"/>
    <w:rsid w:val="008C4C30"/>
    <w:rsid w:val="008C519A"/>
    <w:rsid w:val="008C53C3"/>
    <w:rsid w:val="008C5461"/>
    <w:rsid w:val="008C5A4F"/>
    <w:rsid w:val="008C5ABA"/>
    <w:rsid w:val="008C5AD6"/>
    <w:rsid w:val="008C5BFD"/>
    <w:rsid w:val="008C5E4D"/>
    <w:rsid w:val="008C5F84"/>
    <w:rsid w:val="008C6271"/>
    <w:rsid w:val="008C6553"/>
    <w:rsid w:val="008C67D1"/>
    <w:rsid w:val="008C6807"/>
    <w:rsid w:val="008C6AEC"/>
    <w:rsid w:val="008C6C89"/>
    <w:rsid w:val="008C6E8E"/>
    <w:rsid w:val="008C72A1"/>
    <w:rsid w:val="008C7591"/>
    <w:rsid w:val="008C75B3"/>
    <w:rsid w:val="008C75FC"/>
    <w:rsid w:val="008C7659"/>
    <w:rsid w:val="008C7B20"/>
    <w:rsid w:val="008D01B8"/>
    <w:rsid w:val="008D0626"/>
    <w:rsid w:val="008D087D"/>
    <w:rsid w:val="008D0B02"/>
    <w:rsid w:val="008D0CB7"/>
    <w:rsid w:val="008D12B7"/>
    <w:rsid w:val="008D1BAD"/>
    <w:rsid w:val="008D1BD9"/>
    <w:rsid w:val="008D21C1"/>
    <w:rsid w:val="008D246C"/>
    <w:rsid w:val="008D28A5"/>
    <w:rsid w:val="008D2B1A"/>
    <w:rsid w:val="008D2B63"/>
    <w:rsid w:val="008D2C4A"/>
    <w:rsid w:val="008D2E72"/>
    <w:rsid w:val="008D323D"/>
    <w:rsid w:val="008D3400"/>
    <w:rsid w:val="008D362B"/>
    <w:rsid w:val="008D3AE2"/>
    <w:rsid w:val="008D3C72"/>
    <w:rsid w:val="008D40E4"/>
    <w:rsid w:val="008D413C"/>
    <w:rsid w:val="008D4155"/>
    <w:rsid w:val="008D4559"/>
    <w:rsid w:val="008D4828"/>
    <w:rsid w:val="008D4854"/>
    <w:rsid w:val="008D4B9B"/>
    <w:rsid w:val="008D4ED9"/>
    <w:rsid w:val="008D515E"/>
    <w:rsid w:val="008D52B1"/>
    <w:rsid w:val="008D579D"/>
    <w:rsid w:val="008D57A8"/>
    <w:rsid w:val="008D5927"/>
    <w:rsid w:val="008D5BFC"/>
    <w:rsid w:val="008D5ED4"/>
    <w:rsid w:val="008D5F11"/>
    <w:rsid w:val="008D6283"/>
    <w:rsid w:val="008D636C"/>
    <w:rsid w:val="008D6620"/>
    <w:rsid w:val="008D69AF"/>
    <w:rsid w:val="008D6BAC"/>
    <w:rsid w:val="008D6BB6"/>
    <w:rsid w:val="008D6D75"/>
    <w:rsid w:val="008D6F3A"/>
    <w:rsid w:val="008D704D"/>
    <w:rsid w:val="008D746A"/>
    <w:rsid w:val="008D74BB"/>
    <w:rsid w:val="008D7511"/>
    <w:rsid w:val="008D767C"/>
    <w:rsid w:val="008D7954"/>
    <w:rsid w:val="008D7A27"/>
    <w:rsid w:val="008D7E8F"/>
    <w:rsid w:val="008D7EEB"/>
    <w:rsid w:val="008E0086"/>
    <w:rsid w:val="008E025F"/>
    <w:rsid w:val="008E05DB"/>
    <w:rsid w:val="008E0B55"/>
    <w:rsid w:val="008E0C4C"/>
    <w:rsid w:val="008E0E30"/>
    <w:rsid w:val="008E11D0"/>
    <w:rsid w:val="008E140E"/>
    <w:rsid w:val="008E1520"/>
    <w:rsid w:val="008E1929"/>
    <w:rsid w:val="008E1BCF"/>
    <w:rsid w:val="008E2182"/>
    <w:rsid w:val="008E2494"/>
    <w:rsid w:val="008E2A13"/>
    <w:rsid w:val="008E32CA"/>
    <w:rsid w:val="008E3315"/>
    <w:rsid w:val="008E3AD5"/>
    <w:rsid w:val="008E3B17"/>
    <w:rsid w:val="008E3C18"/>
    <w:rsid w:val="008E40FE"/>
    <w:rsid w:val="008E42A8"/>
    <w:rsid w:val="008E42FF"/>
    <w:rsid w:val="008E45D1"/>
    <w:rsid w:val="008E4EF7"/>
    <w:rsid w:val="008E4FEF"/>
    <w:rsid w:val="008E537F"/>
    <w:rsid w:val="008E53AB"/>
    <w:rsid w:val="008E559B"/>
    <w:rsid w:val="008E56A5"/>
    <w:rsid w:val="008E56F1"/>
    <w:rsid w:val="008E583F"/>
    <w:rsid w:val="008E5A61"/>
    <w:rsid w:val="008E6029"/>
    <w:rsid w:val="008E6066"/>
    <w:rsid w:val="008E631F"/>
    <w:rsid w:val="008E6664"/>
    <w:rsid w:val="008E71D0"/>
    <w:rsid w:val="008E730D"/>
    <w:rsid w:val="008E743B"/>
    <w:rsid w:val="008E74CE"/>
    <w:rsid w:val="008E777A"/>
    <w:rsid w:val="008E7FED"/>
    <w:rsid w:val="008F053C"/>
    <w:rsid w:val="008F0AE7"/>
    <w:rsid w:val="008F0B5C"/>
    <w:rsid w:val="008F0B9D"/>
    <w:rsid w:val="008F0E80"/>
    <w:rsid w:val="008F1074"/>
    <w:rsid w:val="008F10D2"/>
    <w:rsid w:val="008F18A1"/>
    <w:rsid w:val="008F28EC"/>
    <w:rsid w:val="008F2CE5"/>
    <w:rsid w:val="008F3625"/>
    <w:rsid w:val="008F405B"/>
    <w:rsid w:val="008F429A"/>
    <w:rsid w:val="008F47F6"/>
    <w:rsid w:val="008F4A88"/>
    <w:rsid w:val="008F501F"/>
    <w:rsid w:val="008F5068"/>
    <w:rsid w:val="008F53D1"/>
    <w:rsid w:val="008F5477"/>
    <w:rsid w:val="008F54F6"/>
    <w:rsid w:val="008F5565"/>
    <w:rsid w:val="008F56E2"/>
    <w:rsid w:val="008F5794"/>
    <w:rsid w:val="008F5965"/>
    <w:rsid w:val="008F5B27"/>
    <w:rsid w:val="008F6DAB"/>
    <w:rsid w:val="008F707B"/>
    <w:rsid w:val="008F709D"/>
    <w:rsid w:val="008F7300"/>
    <w:rsid w:val="008F76A5"/>
    <w:rsid w:val="008F777B"/>
    <w:rsid w:val="008F79F7"/>
    <w:rsid w:val="008F7E63"/>
    <w:rsid w:val="008F7EA9"/>
    <w:rsid w:val="009001B2"/>
    <w:rsid w:val="009007EB"/>
    <w:rsid w:val="0090081E"/>
    <w:rsid w:val="00900906"/>
    <w:rsid w:val="00900B2E"/>
    <w:rsid w:val="00900DD0"/>
    <w:rsid w:val="00900FAE"/>
    <w:rsid w:val="0090110C"/>
    <w:rsid w:val="0090149C"/>
    <w:rsid w:val="009015A9"/>
    <w:rsid w:val="009015E1"/>
    <w:rsid w:val="0090160A"/>
    <w:rsid w:val="009016B2"/>
    <w:rsid w:val="00901A69"/>
    <w:rsid w:val="00901AC9"/>
    <w:rsid w:val="00901DC8"/>
    <w:rsid w:val="00901DF6"/>
    <w:rsid w:val="00902114"/>
    <w:rsid w:val="009023CC"/>
    <w:rsid w:val="0090282F"/>
    <w:rsid w:val="00902F8F"/>
    <w:rsid w:val="00902FF8"/>
    <w:rsid w:val="009031BA"/>
    <w:rsid w:val="00903280"/>
    <w:rsid w:val="00903316"/>
    <w:rsid w:val="00903D49"/>
    <w:rsid w:val="00903EB6"/>
    <w:rsid w:val="00903F0B"/>
    <w:rsid w:val="009041BD"/>
    <w:rsid w:val="0090422D"/>
    <w:rsid w:val="00904F8B"/>
    <w:rsid w:val="00905007"/>
    <w:rsid w:val="009052C3"/>
    <w:rsid w:val="00905712"/>
    <w:rsid w:val="0090571A"/>
    <w:rsid w:val="00905CCA"/>
    <w:rsid w:val="00905F56"/>
    <w:rsid w:val="009061B9"/>
    <w:rsid w:val="00906280"/>
    <w:rsid w:val="00906599"/>
    <w:rsid w:val="00906692"/>
    <w:rsid w:val="009067BE"/>
    <w:rsid w:val="00906888"/>
    <w:rsid w:val="00906C6C"/>
    <w:rsid w:val="00906E65"/>
    <w:rsid w:val="00906F7D"/>
    <w:rsid w:val="009073C5"/>
    <w:rsid w:val="0090751B"/>
    <w:rsid w:val="00907B5F"/>
    <w:rsid w:val="00907BC6"/>
    <w:rsid w:val="00907E5C"/>
    <w:rsid w:val="00907E95"/>
    <w:rsid w:val="0091012F"/>
    <w:rsid w:val="00910238"/>
    <w:rsid w:val="009103CF"/>
    <w:rsid w:val="0091084D"/>
    <w:rsid w:val="00910B10"/>
    <w:rsid w:val="00910D54"/>
    <w:rsid w:val="00910ECE"/>
    <w:rsid w:val="00911340"/>
    <w:rsid w:val="009116D4"/>
    <w:rsid w:val="00911757"/>
    <w:rsid w:val="00911982"/>
    <w:rsid w:val="00911C19"/>
    <w:rsid w:val="00911ED0"/>
    <w:rsid w:val="009122AC"/>
    <w:rsid w:val="00912B63"/>
    <w:rsid w:val="00912BA1"/>
    <w:rsid w:val="0091300C"/>
    <w:rsid w:val="0091354D"/>
    <w:rsid w:val="0091372A"/>
    <w:rsid w:val="00913E40"/>
    <w:rsid w:val="00913EDB"/>
    <w:rsid w:val="00913F8B"/>
    <w:rsid w:val="0091418F"/>
    <w:rsid w:val="00914343"/>
    <w:rsid w:val="00914396"/>
    <w:rsid w:val="00914615"/>
    <w:rsid w:val="0091461F"/>
    <w:rsid w:val="00914879"/>
    <w:rsid w:val="0091490C"/>
    <w:rsid w:val="00914B7F"/>
    <w:rsid w:val="00914DA1"/>
    <w:rsid w:val="00914DA4"/>
    <w:rsid w:val="00915119"/>
    <w:rsid w:val="00915538"/>
    <w:rsid w:val="009157CE"/>
    <w:rsid w:val="009160F4"/>
    <w:rsid w:val="009161B7"/>
    <w:rsid w:val="00916204"/>
    <w:rsid w:val="00916226"/>
    <w:rsid w:val="00916704"/>
    <w:rsid w:val="00916A43"/>
    <w:rsid w:val="00916A6A"/>
    <w:rsid w:val="00916B48"/>
    <w:rsid w:val="00916D5B"/>
    <w:rsid w:val="00916DA0"/>
    <w:rsid w:val="0091721E"/>
    <w:rsid w:val="009179F1"/>
    <w:rsid w:val="00917B5E"/>
    <w:rsid w:val="00917B61"/>
    <w:rsid w:val="00917E7F"/>
    <w:rsid w:val="00920183"/>
    <w:rsid w:val="00920186"/>
    <w:rsid w:val="0092048E"/>
    <w:rsid w:val="00920892"/>
    <w:rsid w:val="00920B68"/>
    <w:rsid w:val="00920BC1"/>
    <w:rsid w:val="00920D8D"/>
    <w:rsid w:val="00920E36"/>
    <w:rsid w:val="00920E42"/>
    <w:rsid w:val="00920F94"/>
    <w:rsid w:val="009214D4"/>
    <w:rsid w:val="00921832"/>
    <w:rsid w:val="009218DF"/>
    <w:rsid w:val="00921C20"/>
    <w:rsid w:val="00921DE9"/>
    <w:rsid w:val="00921F9A"/>
    <w:rsid w:val="0092204C"/>
    <w:rsid w:val="009221B7"/>
    <w:rsid w:val="009223E3"/>
    <w:rsid w:val="009223EF"/>
    <w:rsid w:val="0092273B"/>
    <w:rsid w:val="00922B9E"/>
    <w:rsid w:val="00922E2D"/>
    <w:rsid w:val="00923097"/>
    <w:rsid w:val="009230FF"/>
    <w:rsid w:val="0092334D"/>
    <w:rsid w:val="009233E7"/>
    <w:rsid w:val="00923467"/>
    <w:rsid w:val="009234B6"/>
    <w:rsid w:val="00923B1D"/>
    <w:rsid w:val="00923C5D"/>
    <w:rsid w:val="00923D21"/>
    <w:rsid w:val="00923EDE"/>
    <w:rsid w:val="00924002"/>
    <w:rsid w:val="009241BE"/>
    <w:rsid w:val="00924ECB"/>
    <w:rsid w:val="0092526F"/>
    <w:rsid w:val="0092528D"/>
    <w:rsid w:val="00925367"/>
    <w:rsid w:val="00925536"/>
    <w:rsid w:val="00925CD3"/>
    <w:rsid w:val="00925D66"/>
    <w:rsid w:val="0092625E"/>
    <w:rsid w:val="009265B6"/>
    <w:rsid w:val="00926683"/>
    <w:rsid w:val="00926AB1"/>
    <w:rsid w:val="0092754F"/>
    <w:rsid w:val="00927952"/>
    <w:rsid w:val="00927982"/>
    <w:rsid w:val="00927CA2"/>
    <w:rsid w:val="00927EB3"/>
    <w:rsid w:val="0093079C"/>
    <w:rsid w:val="00930B50"/>
    <w:rsid w:val="00930C2D"/>
    <w:rsid w:val="00931119"/>
    <w:rsid w:val="00931239"/>
    <w:rsid w:val="00931249"/>
    <w:rsid w:val="0093127E"/>
    <w:rsid w:val="0093127F"/>
    <w:rsid w:val="00931360"/>
    <w:rsid w:val="0093182D"/>
    <w:rsid w:val="009318B9"/>
    <w:rsid w:val="00931CD5"/>
    <w:rsid w:val="00931D34"/>
    <w:rsid w:val="00932059"/>
    <w:rsid w:val="0093223A"/>
    <w:rsid w:val="00932597"/>
    <w:rsid w:val="00932668"/>
    <w:rsid w:val="00932AFE"/>
    <w:rsid w:val="00932B00"/>
    <w:rsid w:val="00932BDC"/>
    <w:rsid w:val="00933026"/>
    <w:rsid w:val="00933433"/>
    <w:rsid w:val="009334D0"/>
    <w:rsid w:val="00933E12"/>
    <w:rsid w:val="00934275"/>
    <w:rsid w:val="0093467A"/>
    <w:rsid w:val="009347AD"/>
    <w:rsid w:val="009348E4"/>
    <w:rsid w:val="00934C1C"/>
    <w:rsid w:val="00934CFB"/>
    <w:rsid w:val="00935045"/>
    <w:rsid w:val="009350E4"/>
    <w:rsid w:val="009350F3"/>
    <w:rsid w:val="00935336"/>
    <w:rsid w:val="00935465"/>
    <w:rsid w:val="009354F6"/>
    <w:rsid w:val="00935A5A"/>
    <w:rsid w:val="00935B1F"/>
    <w:rsid w:val="00935D55"/>
    <w:rsid w:val="00935D86"/>
    <w:rsid w:val="00935DBF"/>
    <w:rsid w:val="00935FA4"/>
    <w:rsid w:val="009360AB"/>
    <w:rsid w:val="00936317"/>
    <w:rsid w:val="00936391"/>
    <w:rsid w:val="009364C5"/>
    <w:rsid w:val="009367D7"/>
    <w:rsid w:val="00936AD9"/>
    <w:rsid w:val="00936CD4"/>
    <w:rsid w:val="00937034"/>
    <w:rsid w:val="0093703D"/>
    <w:rsid w:val="009371A2"/>
    <w:rsid w:val="00937344"/>
    <w:rsid w:val="009373D3"/>
    <w:rsid w:val="0093756D"/>
    <w:rsid w:val="0093781B"/>
    <w:rsid w:val="009378D1"/>
    <w:rsid w:val="0093790E"/>
    <w:rsid w:val="00937D61"/>
    <w:rsid w:val="009403FA"/>
    <w:rsid w:val="0094085E"/>
    <w:rsid w:val="00940AC4"/>
    <w:rsid w:val="00940AE1"/>
    <w:rsid w:val="00940CF2"/>
    <w:rsid w:val="009413CA"/>
    <w:rsid w:val="00941482"/>
    <w:rsid w:val="0094159C"/>
    <w:rsid w:val="00941773"/>
    <w:rsid w:val="00941807"/>
    <w:rsid w:val="00941988"/>
    <w:rsid w:val="00941CA0"/>
    <w:rsid w:val="009420F8"/>
    <w:rsid w:val="0094247A"/>
    <w:rsid w:val="009428B0"/>
    <w:rsid w:val="009428BC"/>
    <w:rsid w:val="009429FF"/>
    <w:rsid w:val="00942AD5"/>
    <w:rsid w:val="00942AE5"/>
    <w:rsid w:val="00942CF6"/>
    <w:rsid w:val="00942DF8"/>
    <w:rsid w:val="0094323C"/>
    <w:rsid w:val="0094328B"/>
    <w:rsid w:val="00943387"/>
    <w:rsid w:val="009436ED"/>
    <w:rsid w:val="009437B0"/>
    <w:rsid w:val="009438A2"/>
    <w:rsid w:val="009438AD"/>
    <w:rsid w:val="00943D1B"/>
    <w:rsid w:val="009440C1"/>
    <w:rsid w:val="00944129"/>
    <w:rsid w:val="00944150"/>
    <w:rsid w:val="009442C6"/>
    <w:rsid w:val="00944391"/>
    <w:rsid w:val="009443FF"/>
    <w:rsid w:val="009446E4"/>
    <w:rsid w:val="00944903"/>
    <w:rsid w:val="00944E29"/>
    <w:rsid w:val="00944EB3"/>
    <w:rsid w:val="00945165"/>
    <w:rsid w:val="00945969"/>
    <w:rsid w:val="00945E72"/>
    <w:rsid w:val="0094627E"/>
    <w:rsid w:val="00946378"/>
    <w:rsid w:val="00946C3B"/>
    <w:rsid w:val="0094731F"/>
    <w:rsid w:val="00947377"/>
    <w:rsid w:val="0094748F"/>
    <w:rsid w:val="00947572"/>
    <w:rsid w:val="0094781A"/>
    <w:rsid w:val="00947953"/>
    <w:rsid w:val="00947A4F"/>
    <w:rsid w:val="00947A72"/>
    <w:rsid w:val="00947B93"/>
    <w:rsid w:val="00947BAD"/>
    <w:rsid w:val="00950087"/>
    <w:rsid w:val="00950092"/>
    <w:rsid w:val="009501BB"/>
    <w:rsid w:val="009504E4"/>
    <w:rsid w:val="00950680"/>
    <w:rsid w:val="00950868"/>
    <w:rsid w:val="00950902"/>
    <w:rsid w:val="00950A5E"/>
    <w:rsid w:val="00950FB2"/>
    <w:rsid w:val="009511DD"/>
    <w:rsid w:val="009514D1"/>
    <w:rsid w:val="0095163C"/>
    <w:rsid w:val="009516D7"/>
    <w:rsid w:val="00951BFB"/>
    <w:rsid w:val="00951D32"/>
    <w:rsid w:val="0095209F"/>
    <w:rsid w:val="00952161"/>
    <w:rsid w:val="009525D6"/>
    <w:rsid w:val="00952652"/>
    <w:rsid w:val="00952BF9"/>
    <w:rsid w:val="00952D0C"/>
    <w:rsid w:val="00952DBA"/>
    <w:rsid w:val="0095324F"/>
    <w:rsid w:val="00953509"/>
    <w:rsid w:val="00953532"/>
    <w:rsid w:val="0095359D"/>
    <w:rsid w:val="00953817"/>
    <w:rsid w:val="009538B3"/>
    <w:rsid w:val="00953917"/>
    <w:rsid w:val="009543F2"/>
    <w:rsid w:val="00954957"/>
    <w:rsid w:val="009549C9"/>
    <w:rsid w:val="00954E07"/>
    <w:rsid w:val="00955103"/>
    <w:rsid w:val="00955153"/>
    <w:rsid w:val="00955247"/>
    <w:rsid w:val="009555B1"/>
    <w:rsid w:val="009555D1"/>
    <w:rsid w:val="0095563C"/>
    <w:rsid w:val="009559CF"/>
    <w:rsid w:val="009559D4"/>
    <w:rsid w:val="00955A07"/>
    <w:rsid w:val="009561AE"/>
    <w:rsid w:val="00956223"/>
    <w:rsid w:val="009563E0"/>
    <w:rsid w:val="009568A6"/>
    <w:rsid w:val="00956F6A"/>
    <w:rsid w:val="00957085"/>
    <w:rsid w:val="009570F9"/>
    <w:rsid w:val="00957170"/>
    <w:rsid w:val="0095743B"/>
    <w:rsid w:val="009577A0"/>
    <w:rsid w:val="00957BBF"/>
    <w:rsid w:val="00957DD5"/>
    <w:rsid w:val="00957ED7"/>
    <w:rsid w:val="00960317"/>
    <w:rsid w:val="00960410"/>
    <w:rsid w:val="0096051D"/>
    <w:rsid w:val="0096055E"/>
    <w:rsid w:val="009606A9"/>
    <w:rsid w:val="0096083D"/>
    <w:rsid w:val="00960941"/>
    <w:rsid w:val="0096095E"/>
    <w:rsid w:val="00960CA0"/>
    <w:rsid w:val="00960D01"/>
    <w:rsid w:val="00960D2F"/>
    <w:rsid w:val="00960E9E"/>
    <w:rsid w:val="00961000"/>
    <w:rsid w:val="00961049"/>
    <w:rsid w:val="00961055"/>
    <w:rsid w:val="009613A5"/>
    <w:rsid w:val="00961C92"/>
    <w:rsid w:val="00961EE5"/>
    <w:rsid w:val="00961FAC"/>
    <w:rsid w:val="009622BA"/>
    <w:rsid w:val="00962577"/>
    <w:rsid w:val="009625F3"/>
    <w:rsid w:val="009626E7"/>
    <w:rsid w:val="0096289E"/>
    <w:rsid w:val="00963231"/>
    <w:rsid w:val="00963482"/>
    <w:rsid w:val="00963542"/>
    <w:rsid w:val="0096375E"/>
    <w:rsid w:val="00963960"/>
    <w:rsid w:val="00964147"/>
    <w:rsid w:val="00964271"/>
    <w:rsid w:val="009643C2"/>
    <w:rsid w:val="0096472F"/>
    <w:rsid w:val="00964DF1"/>
    <w:rsid w:val="00964E70"/>
    <w:rsid w:val="0096506F"/>
    <w:rsid w:val="00965263"/>
    <w:rsid w:val="00965557"/>
    <w:rsid w:val="0096596D"/>
    <w:rsid w:val="00965C57"/>
    <w:rsid w:val="00965D78"/>
    <w:rsid w:val="00965FA5"/>
    <w:rsid w:val="00966142"/>
    <w:rsid w:val="00966265"/>
    <w:rsid w:val="00966557"/>
    <w:rsid w:val="00966DE0"/>
    <w:rsid w:val="00966EA5"/>
    <w:rsid w:val="00966EDF"/>
    <w:rsid w:val="00966F9D"/>
    <w:rsid w:val="00967160"/>
    <w:rsid w:val="009679BC"/>
    <w:rsid w:val="009701D7"/>
    <w:rsid w:val="009707E6"/>
    <w:rsid w:val="00970A70"/>
    <w:rsid w:val="00971031"/>
    <w:rsid w:val="0097108C"/>
    <w:rsid w:val="009711E1"/>
    <w:rsid w:val="009711E2"/>
    <w:rsid w:val="0097138E"/>
    <w:rsid w:val="009713CF"/>
    <w:rsid w:val="0097183E"/>
    <w:rsid w:val="00971CD9"/>
    <w:rsid w:val="00971DEA"/>
    <w:rsid w:val="00971F95"/>
    <w:rsid w:val="009720EA"/>
    <w:rsid w:val="009722AA"/>
    <w:rsid w:val="009733FB"/>
    <w:rsid w:val="009734D4"/>
    <w:rsid w:val="00973505"/>
    <w:rsid w:val="00973604"/>
    <w:rsid w:val="009736A0"/>
    <w:rsid w:val="009736FF"/>
    <w:rsid w:val="00973787"/>
    <w:rsid w:val="009737C7"/>
    <w:rsid w:val="00973BE9"/>
    <w:rsid w:val="00973C05"/>
    <w:rsid w:val="00973DB2"/>
    <w:rsid w:val="00973E59"/>
    <w:rsid w:val="00974495"/>
    <w:rsid w:val="0097452C"/>
    <w:rsid w:val="00974822"/>
    <w:rsid w:val="00974907"/>
    <w:rsid w:val="00974A20"/>
    <w:rsid w:val="00974BEA"/>
    <w:rsid w:val="00976196"/>
    <w:rsid w:val="009761D1"/>
    <w:rsid w:val="009761DA"/>
    <w:rsid w:val="0097624A"/>
    <w:rsid w:val="009763AE"/>
    <w:rsid w:val="0097646F"/>
    <w:rsid w:val="00976B1B"/>
    <w:rsid w:val="00976D6B"/>
    <w:rsid w:val="00976F93"/>
    <w:rsid w:val="0097700E"/>
    <w:rsid w:val="009771BB"/>
    <w:rsid w:val="00977278"/>
    <w:rsid w:val="0097795F"/>
    <w:rsid w:val="00977ABF"/>
    <w:rsid w:val="00977BA4"/>
    <w:rsid w:val="00977F14"/>
    <w:rsid w:val="0098021B"/>
    <w:rsid w:val="0098058D"/>
    <w:rsid w:val="00980883"/>
    <w:rsid w:val="009808ED"/>
    <w:rsid w:val="00980B44"/>
    <w:rsid w:val="00980D4A"/>
    <w:rsid w:val="0098157F"/>
    <w:rsid w:val="00981862"/>
    <w:rsid w:val="00981AB9"/>
    <w:rsid w:val="00981D55"/>
    <w:rsid w:val="00981EA2"/>
    <w:rsid w:val="00982380"/>
    <w:rsid w:val="00982577"/>
    <w:rsid w:val="0098270B"/>
    <w:rsid w:val="00982712"/>
    <w:rsid w:val="00982961"/>
    <w:rsid w:val="00982BFE"/>
    <w:rsid w:val="00982D50"/>
    <w:rsid w:val="00983210"/>
    <w:rsid w:val="0098322E"/>
    <w:rsid w:val="00983796"/>
    <w:rsid w:val="0098386E"/>
    <w:rsid w:val="00983927"/>
    <w:rsid w:val="00983957"/>
    <w:rsid w:val="00983A42"/>
    <w:rsid w:val="00984552"/>
    <w:rsid w:val="009847C8"/>
    <w:rsid w:val="00984890"/>
    <w:rsid w:val="0098498A"/>
    <w:rsid w:val="00984A20"/>
    <w:rsid w:val="00984A4A"/>
    <w:rsid w:val="00984EF0"/>
    <w:rsid w:val="0098534A"/>
    <w:rsid w:val="00985383"/>
    <w:rsid w:val="009858FE"/>
    <w:rsid w:val="00985ABA"/>
    <w:rsid w:val="00985EF6"/>
    <w:rsid w:val="00985F43"/>
    <w:rsid w:val="00985F9A"/>
    <w:rsid w:val="0098605C"/>
    <w:rsid w:val="009861C9"/>
    <w:rsid w:val="00986276"/>
    <w:rsid w:val="00986619"/>
    <w:rsid w:val="00986907"/>
    <w:rsid w:val="00986A3E"/>
    <w:rsid w:val="00986D17"/>
    <w:rsid w:val="009870BE"/>
    <w:rsid w:val="0098714B"/>
    <w:rsid w:val="0098771D"/>
    <w:rsid w:val="00987A4B"/>
    <w:rsid w:val="00987AC1"/>
    <w:rsid w:val="00987B77"/>
    <w:rsid w:val="00987C16"/>
    <w:rsid w:val="00987C9E"/>
    <w:rsid w:val="00987EC8"/>
    <w:rsid w:val="009900E7"/>
    <w:rsid w:val="00990395"/>
    <w:rsid w:val="009904E1"/>
    <w:rsid w:val="009906E3"/>
    <w:rsid w:val="009907AD"/>
    <w:rsid w:val="00990A9F"/>
    <w:rsid w:val="00990AF9"/>
    <w:rsid w:val="00990C77"/>
    <w:rsid w:val="009912FB"/>
    <w:rsid w:val="009918FF"/>
    <w:rsid w:val="00991FA3"/>
    <w:rsid w:val="0099217C"/>
    <w:rsid w:val="00992319"/>
    <w:rsid w:val="00992B44"/>
    <w:rsid w:val="00993404"/>
    <w:rsid w:val="00993591"/>
    <w:rsid w:val="00993805"/>
    <w:rsid w:val="00993FBD"/>
    <w:rsid w:val="00993FE6"/>
    <w:rsid w:val="00994354"/>
    <w:rsid w:val="00994A11"/>
    <w:rsid w:val="00994B70"/>
    <w:rsid w:val="00994E21"/>
    <w:rsid w:val="00994E49"/>
    <w:rsid w:val="00994E56"/>
    <w:rsid w:val="00994EB0"/>
    <w:rsid w:val="0099537C"/>
    <w:rsid w:val="009959F1"/>
    <w:rsid w:val="009960E7"/>
    <w:rsid w:val="0099614D"/>
    <w:rsid w:val="0099638A"/>
    <w:rsid w:val="0099670B"/>
    <w:rsid w:val="009969AF"/>
    <w:rsid w:val="00996A9D"/>
    <w:rsid w:val="00996B9C"/>
    <w:rsid w:val="00996BD8"/>
    <w:rsid w:val="00996ED6"/>
    <w:rsid w:val="00997400"/>
    <w:rsid w:val="009974FF"/>
    <w:rsid w:val="00997C3E"/>
    <w:rsid w:val="009A077C"/>
    <w:rsid w:val="009A0986"/>
    <w:rsid w:val="009A0EDC"/>
    <w:rsid w:val="009A0F68"/>
    <w:rsid w:val="009A0FB3"/>
    <w:rsid w:val="009A1413"/>
    <w:rsid w:val="009A19D9"/>
    <w:rsid w:val="009A1C96"/>
    <w:rsid w:val="009A2675"/>
    <w:rsid w:val="009A2C4C"/>
    <w:rsid w:val="009A2C67"/>
    <w:rsid w:val="009A3424"/>
    <w:rsid w:val="009A34D1"/>
    <w:rsid w:val="009A35AC"/>
    <w:rsid w:val="009A3813"/>
    <w:rsid w:val="009A432B"/>
    <w:rsid w:val="009A4560"/>
    <w:rsid w:val="009A4760"/>
    <w:rsid w:val="009A48D1"/>
    <w:rsid w:val="009A4A71"/>
    <w:rsid w:val="009A4D0B"/>
    <w:rsid w:val="009A566B"/>
    <w:rsid w:val="009A5A6E"/>
    <w:rsid w:val="009A5B73"/>
    <w:rsid w:val="009A5BF7"/>
    <w:rsid w:val="009A5E3D"/>
    <w:rsid w:val="009A5FED"/>
    <w:rsid w:val="009A6279"/>
    <w:rsid w:val="009A633D"/>
    <w:rsid w:val="009A63EB"/>
    <w:rsid w:val="009A65D3"/>
    <w:rsid w:val="009A6705"/>
    <w:rsid w:val="009A6AEA"/>
    <w:rsid w:val="009A6B93"/>
    <w:rsid w:val="009A7281"/>
    <w:rsid w:val="009A73D1"/>
    <w:rsid w:val="009A754E"/>
    <w:rsid w:val="009A76C1"/>
    <w:rsid w:val="009A7A84"/>
    <w:rsid w:val="009A7EAB"/>
    <w:rsid w:val="009B0378"/>
    <w:rsid w:val="009B0805"/>
    <w:rsid w:val="009B0816"/>
    <w:rsid w:val="009B0845"/>
    <w:rsid w:val="009B0886"/>
    <w:rsid w:val="009B135C"/>
    <w:rsid w:val="009B1371"/>
    <w:rsid w:val="009B15F1"/>
    <w:rsid w:val="009B1F2E"/>
    <w:rsid w:val="009B1F4B"/>
    <w:rsid w:val="009B1FAA"/>
    <w:rsid w:val="009B2465"/>
    <w:rsid w:val="009B2545"/>
    <w:rsid w:val="009B272B"/>
    <w:rsid w:val="009B281D"/>
    <w:rsid w:val="009B2C1B"/>
    <w:rsid w:val="009B2E7A"/>
    <w:rsid w:val="009B3414"/>
    <w:rsid w:val="009B35D7"/>
    <w:rsid w:val="009B366A"/>
    <w:rsid w:val="009B3739"/>
    <w:rsid w:val="009B3EA5"/>
    <w:rsid w:val="009B3F25"/>
    <w:rsid w:val="009B426D"/>
    <w:rsid w:val="009B4276"/>
    <w:rsid w:val="009B4399"/>
    <w:rsid w:val="009B48A1"/>
    <w:rsid w:val="009B4A80"/>
    <w:rsid w:val="009B4AB8"/>
    <w:rsid w:val="009B4E01"/>
    <w:rsid w:val="009B4ED0"/>
    <w:rsid w:val="009B4EF4"/>
    <w:rsid w:val="009B4F1B"/>
    <w:rsid w:val="009B502D"/>
    <w:rsid w:val="009B5077"/>
    <w:rsid w:val="009B511D"/>
    <w:rsid w:val="009B523D"/>
    <w:rsid w:val="009B5270"/>
    <w:rsid w:val="009B5375"/>
    <w:rsid w:val="009B5475"/>
    <w:rsid w:val="009B58DF"/>
    <w:rsid w:val="009B5AC7"/>
    <w:rsid w:val="009B5B10"/>
    <w:rsid w:val="009B5E2F"/>
    <w:rsid w:val="009B5ECC"/>
    <w:rsid w:val="009B66AC"/>
    <w:rsid w:val="009B6B37"/>
    <w:rsid w:val="009B6BB9"/>
    <w:rsid w:val="009B6E6F"/>
    <w:rsid w:val="009B7178"/>
    <w:rsid w:val="009B77AE"/>
    <w:rsid w:val="009B7D0D"/>
    <w:rsid w:val="009B7E8D"/>
    <w:rsid w:val="009B7EA3"/>
    <w:rsid w:val="009C03E1"/>
    <w:rsid w:val="009C04DD"/>
    <w:rsid w:val="009C04F3"/>
    <w:rsid w:val="009C081F"/>
    <w:rsid w:val="009C0BD3"/>
    <w:rsid w:val="009C0E24"/>
    <w:rsid w:val="009C0FAE"/>
    <w:rsid w:val="009C1FE9"/>
    <w:rsid w:val="009C221F"/>
    <w:rsid w:val="009C2397"/>
    <w:rsid w:val="009C247D"/>
    <w:rsid w:val="009C25AB"/>
    <w:rsid w:val="009C278F"/>
    <w:rsid w:val="009C28D1"/>
    <w:rsid w:val="009C2A98"/>
    <w:rsid w:val="009C32EF"/>
    <w:rsid w:val="009C33E6"/>
    <w:rsid w:val="009C37D1"/>
    <w:rsid w:val="009C3ACC"/>
    <w:rsid w:val="009C408B"/>
    <w:rsid w:val="009C4166"/>
    <w:rsid w:val="009C42B9"/>
    <w:rsid w:val="009C4D34"/>
    <w:rsid w:val="009C4D97"/>
    <w:rsid w:val="009C509C"/>
    <w:rsid w:val="009C50C6"/>
    <w:rsid w:val="009C52B6"/>
    <w:rsid w:val="009C55B0"/>
    <w:rsid w:val="009C5652"/>
    <w:rsid w:val="009C5E47"/>
    <w:rsid w:val="009C60E6"/>
    <w:rsid w:val="009C6465"/>
    <w:rsid w:val="009C6541"/>
    <w:rsid w:val="009C691C"/>
    <w:rsid w:val="009C6B05"/>
    <w:rsid w:val="009C6C78"/>
    <w:rsid w:val="009C70B7"/>
    <w:rsid w:val="009C7669"/>
    <w:rsid w:val="009C7BCB"/>
    <w:rsid w:val="009C7D5D"/>
    <w:rsid w:val="009C7EB8"/>
    <w:rsid w:val="009C7F24"/>
    <w:rsid w:val="009D056C"/>
    <w:rsid w:val="009D07E2"/>
    <w:rsid w:val="009D083E"/>
    <w:rsid w:val="009D0870"/>
    <w:rsid w:val="009D0BAF"/>
    <w:rsid w:val="009D0BB2"/>
    <w:rsid w:val="009D0BFB"/>
    <w:rsid w:val="009D0C55"/>
    <w:rsid w:val="009D0CE6"/>
    <w:rsid w:val="009D1419"/>
    <w:rsid w:val="009D14D7"/>
    <w:rsid w:val="009D14F4"/>
    <w:rsid w:val="009D1524"/>
    <w:rsid w:val="009D185F"/>
    <w:rsid w:val="009D18AC"/>
    <w:rsid w:val="009D1C2C"/>
    <w:rsid w:val="009D1DE3"/>
    <w:rsid w:val="009D1F2C"/>
    <w:rsid w:val="009D2109"/>
    <w:rsid w:val="009D2289"/>
    <w:rsid w:val="009D22F1"/>
    <w:rsid w:val="009D2DF2"/>
    <w:rsid w:val="009D2EC1"/>
    <w:rsid w:val="009D308D"/>
    <w:rsid w:val="009D3204"/>
    <w:rsid w:val="009D3359"/>
    <w:rsid w:val="009D33A9"/>
    <w:rsid w:val="009D36B4"/>
    <w:rsid w:val="009D37B9"/>
    <w:rsid w:val="009D3A7B"/>
    <w:rsid w:val="009D44AE"/>
    <w:rsid w:val="009D471C"/>
    <w:rsid w:val="009D48BA"/>
    <w:rsid w:val="009D4A1E"/>
    <w:rsid w:val="009D4E03"/>
    <w:rsid w:val="009D50C4"/>
    <w:rsid w:val="009D51C4"/>
    <w:rsid w:val="009D51D0"/>
    <w:rsid w:val="009D52C4"/>
    <w:rsid w:val="009D52D7"/>
    <w:rsid w:val="009D5372"/>
    <w:rsid w:val="009D5986"/>
    <w:rsid w:val="009D5CCF"/>
    <w:rsid w:val="009D601E"/>
    <w:rsid w:val="009D6062"/>
    <w:rsid w:val="009D63A6"/>
    <w:rsid w:val="009D6410"/>
    <w:rsid w:val="009D6A0C"/>
    <w:rsid w:val="009D6C3F"/>
    <w:rsid w:val="009D6E50"/>
    <w:rsid w:val="009D6F63"/>
    <w:rsid w:val="009D72DA"/>
    <w:rsid w:val="009D773D"/>
    <w:rsid w:val="009E0309"/>
    <w:rsid w:val="009E06B3"/>
    <w:rsid w:val="009E0875"/>
    <w:rsid w:val="009E0BE5"/>
    <w:rsid w:val="009E10FD"/>
    <w:rsid w:val="009E12E5"/>
    <w:rsid w:val="009E1409"/>
    <w:rsid w:val="009E14A5"/>
    <w:rsid w:val="009E1ADF"/>
    <w:rsid w:val="009E1F04"/>
    <w:rsid w:val="009E2165"/>
    <w:rsid w:val="009E2302"/>
    <w:rsid w:val="009E264D"/>
    <w:rsid w:val="009E269E"/>
    <w:rsid w:val="009E26CF"/>
    <w:rsid w:val="009E29C2"/>
    <w:rsid w:val="009E2CB9"/>
    <w:rsid w:val="009E2CE7"/>
    <w:rsid w:val="009E2E9D"/>
    <w:rsid w:val="009E2E9E"/>
    <w:rsid w:val="009E2EE8"/>
    <w:rsid w:val="009E339C"/>
    <w:rsid w:val="009E34BE"/>
    <w:rsid w:val="009E36BA"/>
    <w:rsid w:val="009E3A34"/>
    <w:rsid w:val="009E3A98"/>
    <w:rsid w:val="009E3EE3"/>
    <w:rsid w:val="009E401B"/>
    <w:rsid w:val="009E408C"/>
    <w:rsid w:val="009E4204"/>
    <w:rsid w:val="009E4CCA"/>
    <w:rsid w:val="009E4D26"/>
    <w:rsid w:val="009E4D7D"/>
    <w:rsid w:val="009E4E9D"/>
    <w:rsid w:val="009E5B01"/>
    <w:rsid w:val="009E6309"/>
    <w:rsid w:val="009E6798"/>
    <w:rsid w:val="009E6BE3"/>
    <w:rsid w:val="009E6E7A"/>
    <w:rsid w:val="009E6F8A"/>
    <w:rsid w:val="009E6FB1"/>
    <w:rsid w:val="009E7048"/>
    <w:rsid w:val="009E70C0"/>
    <w:rsid w:val="009E70DB"/>
    <w:rsid w:val="009E74B8"/>
    <w:rsid w:val="009E7685"/>
    <w:rsid w:val="009E7839"/>
    <w:rsid w:val="009E79E5"/>
    <w:rsid w:val="009E7ABD"/>
    <w:rsid w:val="009E7DFC"/>
    <w:rsid w:val="009F0120"/>
    <w:rsid w:val="009F0131"/>
    <w:rsid w:val="009F0554"/>
    <w:rsid w:val="009F0613"/>
    <w:rsid w:val="009F0833"/>
    <w:rsid w:val="009F0E4D"/>
    <w:rsid w:val="009F1056"/>
    <w:rsid w:val="009F11BD"/>
    <w:rsid w:val="009F11E5"/>
    <w:rsid w:val="009F1379"/>
    <w:rsid w:val="009F13EA"/>
    <w:rsid w:val="009F1D14"/>
    <w:rsid w:val="009F1DCB"/>
    <w:rsid w:val="009F1DE0"/>
    <w:rsid w:val="009F2082"/>
    <w:rsid w:val="009F213F"/>
    <w:rsid w:val="009F2202"/>
    <w:rsid w:val="009F23EE"/>
    <w:rsid w:val="009F2863"/>
    <w:rsid w:val="009F2976"/>
    <w:rsid w:val="009F2CAD"/>
    <w:rsid w:val="009F2F0A"/>
    <w:rsid w:val="009F2F70"/>
    <w:rsid w:val="009F39B7"/>
    <w:rsid w:val="009F3B35"/>
    <w:rsid w:val="009F3B7C"/>
    <w:rsid w:val="009F3DEA"/>
    <w:rsid w:val="009F3E84"/>
    <w:rsid w:val="009F3EB8"/>
    <w:rsid w:val="009F43DE"/>
    <w:rsid w:val="009F49F4"/>
    <w:rsid w:val="009F4A10"/>
    <w:rsid w:val="009F4E3E"/>
    <w:rsid w:val="009F4F96"/>
    <w:rsid w:val="009F5044"/>
    <w:rsid w:val="009F504F"/>
    <w:rsid w:val="009F50AF"/>
    <w:rsid w:val="009F5329"/>
    <w:rsid w:val="009F54C9"/>
    <w:rsid w:val="009F54E4"/>
    <w:rsid w:val="009F5A43"/>
    <w:rsid w:val="009F5A6D"/>
    <w:rsid w:val="009F5AAC"/>
    <w:rsid w:val="009F5AC5"/>
    <w:rsid w:val="009F5B8A"/>
    <w:rsid w:val="009F5DFD"/>
    <w:rsid w:val="009F5F83"/>
    <w:rsid w:val="009F624B"/>
    <w:rsid w:val="009F6283"/>
    <w:rsid w:val="009F631B"/>
    <w:rsid w:val="009F65BC"/>
    <w:rsid w:val="009F682D"/>
    <w:rsid w:val="009F6933"/>
    <w:rsid w:val="009F69E7"/>
    <w:rsid w:val="009F6F9A"/>
    <w:rsid w:val="009F706F"/>
    <w:rsid w:val="009F71B8"/>
    <w:rsid w:val="009F7600"/>
    <w:rsid w:val="009F7B1D"/>
    <w:rsid w:val="00A000FE"/>
    <w:rsid w:val="00A0084A"/>
    <w:rsid w:val="00A0097C"/>
    <w:rsid w:val="00A00FDB"/>
    <w:rsid w:val="00A014CF"/>
    <w:rsid w:val="00A0186C"/>
    <w:rsid w:val="00A0190D"/>
    <w:rsid w:val="00A01B29"/>
    <w:rsid w:val="00A01B4D"/>
    <w:rsid w:val="00A01C12"/>
    <w:rsid w:val="00A01EEE"/>
    <w:rsid w:val="00A021DE"/>
    <w:rsid w:val="00A02383"/>
    <w:rsid w:val="00A028D5"/>
    <w:rsid w:val="00A03032"/>
    <w:rsid w:val="00A03556"/>
    <w:rsid w:val="00A03F02"/>
    <w:rsid w:val="00A0427F"/>
    <w:rsid w:val="00A04503"/>
    <w:rsid w:val="00A04799"/>
    <w:rsid w:val="00A0481D"/>
    <w:rsid w:val="00A05044"/>
    <w:rsid w:val="00A05227"/>
    <w:rsid w:val="00A058AB"/>
    <w:rsid w:val="00A05B00"/>
    <w:rsid w:val="00A05EE1"/>
    <w:rsid w:val="00A06371"/>
    <w:rsid w:val="00A06469"/>
    <w:rsid w:val="00A06A06"/>
    <w:rsid w:val="00A06C25"/>
    <w:rsid w:val="00A070E5"/>
    <w:rsid w:val="00A073C0"/>
    <w:rsid w:val="00A07A20"/>
    <w:rsid w:val="00A07BDC"/>
    <w:rsid w:val="00A10097"/>
    <w:rsid w:val="00A1046C"/>
    <w:rsid w:val="00A10791"/>
    <w:rsid w:val="00A108AD"/>
    <w:rsid w:val="00A109D2"/>
    <w:rsid w:val="00A109E9"/>
    <w:rsid w:val="00A10AB3"/>
    <w:rsid w:val="00A10ED4"/>
    <w:rsid w:val="00A1124A"/>
    <w:rsid w:val="00A11508"/>
    <w:rsid w:val="00A11542"/>
    <w:rsid w:val="00A118F4"/>
    <w:rsid w:val="00A11BF4"/>
    <w:rsid w:val="00A11C0A"/>
    <w:rsid w:val="00A11C69"/>
    <w:rsid w:val="00A123FF"/>
    <w:rsid w:val="00A12809"/>
    <w:rsid w:val="00A12E4B"/>
    <w:rsid w:val="00A132E4"/>
    <w:rsid w:val="00A134BE"/>
    <w:rsid w:val="00A134C3"/>
    <w:rsid w:val="00A135CB"/>
    <w:rsid w:val="00A1385E"/>
    <w:rsid w:val="00A13FBF"/>
    <w:rsid w:val="00A14097"/>
    <w:rsid w:val="00A1420B"/>
    <w:rsid w:val="00A1458D"/>
    <w:rsid w:val="00A14653"/>
    <w:rsid w:val="00A1493F"/>
    <w:rsid w:val="00A14CEC"/>
    <w:rsid w:val="00A14D01"/>
    <w:rsid w:val="00A14DDA"/>
    <w:rsid w:val="00A15024"/>
    <w:rsid w:val="00A15245"/>
    <w:rsid w:val="00A15B84"/>
    <w:rsid w:val="00A15C84"/>
    <w:rsid w:val="00A15C92"/>
    <w:rsid w:val="00A15CFF"/>
    <w:rsid w:val="00A15F7C"/>
    <w:rsid w:val="00A160A7"/>
    <w:rsid w:val="00A1612C"/>
    <w:rsid w:val="00A1624D"/>
    <w:rsid w:val="00A162C3"/>
    <w:rsid w:val="00A162F8"/>
    <w:rsid w:val="00A164D5"/>
    <w:rsid w:val="00A1660A"/>
    <w:rsid w:val="00A16BB6"/>
    <w:rsid w:val="00A17063"/>
    <w:rsid w:val="00A170C0"/>
    <w:rsid w:val="00A171EE"/>
    <w:rsid w:val="00A177B0"/>
    <w:rsid w:val="00A17A03"/>
    <w:rsid w:val="00A17C4E"/>
    <w:rsid w:val="00A17D12"/>
    <w:rsid w:val="00A17DE7"/>
    <w:rsid w:val="00A2005F"/>
    <w:rsid w:val="00A20329"/>
    <w:rsid w:val="00A2032D"/>
    <w:rsid w:val="00A20386"/>
    <w:rsid w:val="00A20968"/>
    <w:rsid w:val="00A20A59"/>
    <w:rsid w:val="00A20D1D"/>
    <w:rsid w:val="00A20DDC"/>
    <w:rsid w:val="00A2105D"/>
    <w:rsid w:val="00A21146"/>
    <w:rsid w:val="00A21342"/>
    <w:rsid w:val="00A21609"/>
    <w:rsid w:val="00A21870"/>
    <w:rsid w:val="00A21943"/>
    <w:rsid w:val="00A21960"/>
    <w:rsid w:val="00A21A26"/>
    <w:rsid w:val="00A21AFC"/>
    <w:rsid w:val="00A21F17"/>
    <w:rsid w:val="00A2203C"/>
    <w:rsid w:val="00A22136"/>
    <w:rsid w:val="00A2213A"/>
    <w:rsid w:val="00A221EA"/>
    <w:rsid w:val="00A22304"/>
    <w:rsid w:val="00A22856"/>
    <w:rsid w:val="00A2295D"/>
    <w:rsid w:val="00A22C92"/>
    <w:rsid w:val="00A22D59"/>
    <w:rsid w:val="00A22D80"/>
    <w:rsid w:val="00A22F11"/>
    <w:rsid w:val="00A22FA4"/>
    <w:rsid w:val="00A23056"/>
    <w:rsid w:val="00A233D5"/>
    <w:rsid w:val="00A239B0"/>
    <w:rsid w:val="00A241B5"/>
    <w:rsid w:val="00A242AF"/>
    <w:rsid w:val="00A245C7"/>
    <w:rsid w:val="00A246A2"/>
    <w:rsid w:val="00A248AF"/>
    <w:rsid w:val="00A24D9E"/>
    <w:rsid w:val="00A25A5C"/>
    <w:rsid w:val="00A25E95"/>
    <w:rsid w:val="00A2616A"/>
    <w:rsid w:val="00A268B2"/>
    <w:rsid w:val="00A2696F"/>
    <w:rsid w:val="00A26BDC"/>
    <w:rsid w:val="00A26C3A"/>
    <w:rsid w:val="00A26C55"/>
    <w:rsid w:val="00A26CA9"/>
    <w:rsid w:val="00A26E29"/>
    <w:rsid w:val="00A26F3B"/>
    <w:rsid w:val="00A272A0"/>
    <w:rsid w:val="00A2735C"/>
    <w:rsid w:val="00A274D1"/>
    <w:rsid w:val="00A277FA"/>
    <w:rsid w:val="00A27A6C"/>
    <w:rsid w:val="00A27B9D"/>
    <w:rsid w:val="00A27D38"/>
    <w:rsid w:val="00A27E44"/>
    <w:rsid w:val="00A30151"/>
    <w:rsid w:val="00A302FF"/>
    <w:rsid w:val="00A309AB"/>
    <w:rsid w:val="00A30BCA"/>
    <w:rsid w:val="00A30C28"/>
    <w:rsid w:val="00A310D2"/>
    <w:rsid w:val="00A31202"/>
    <w:rsid w:val="00A31392"/>
    <w:rsid w:val="00A31495"/>
    <w:rsid w:val="00A3165A"/>
    <w:rsid w:val="00A31838"/>
    <w:rsid w:val="00A319BB"/>
    <w:rsid w:val="00A31EC4"/>
    <w:rsid w:val="00A31F16"/>
    <w:rsid w:val="00A32735"/>
    <w:rsid w:val="00A32828"/>
    <w:rsid w:val="00A32A0C"/>
    <w:rsid w:val="00A32A6F"/>
    <w:rsid w:val="00A32FE5"/>
    <w:rsid w:val="00A33CF8"/>
    <w:rsid w:val="00A33E49"/>
    <w:rsid w:val="00A3422C"/>
    <w:rsid w:val="00A34505"/>
    <w:rsid w:val="00A34A9D"/>
    <w:rsid w:val="00A34CFA"/>
    <w:rsid w:val="00A34EF2"/>
    <w:rsid w:val="00A34FC7"/>
    <w:rsid w:val="00A35329"/>
    <w:rsid w:val="00A35731"/>
    <w:rsid w:val="00A357BF"/>
    <w:rsid w:val="00A35B8E"/>
    <w:rsid w:val="00A35EAA"/>
    <w:rsid w:val="00A36124"/>
    <w:rsid w:val="00A363E8"/>
    <w:rsid w:val="00A3647E"/>
    <w:rsid w:val="00A36B11"/>
    <w:rsid w:val="00A36D72"/>
    <w:rsid w:val="00A36EF7"/>
    <w:rsid w:val="00A36F10"/>
    <w:rsid w:val="00A37381"/>
    <w:rsid w:val="00A374CD"/>
    <w:rsid w:val="00A37AE3"/>
    <w:rsid w:val="00A37E2C"/>
    <w:rsid w:val="00A4016E"/>
    <w:rsid w:val="00A40236"/>
    <w:rsid w:val="00A40B2B"/>
    <w:rsid w:val="00A40DDA"/>
    <w:rsid w:val="00A4134F"/>
    <w:rsid w:val="00A413A0"/>
    <w:rsid w:val="00A4178E"/>
    <w:rsid w:val="00A41C4D"/>
    <w:rsid w:val="00A41F9B"/>
    <w:rsid w:val="00A42607"/>
    <w:rsid w:val="00A42C8E"/>
    <w:rsid w:val="00A42DC9"/>
    <w:rsid w:val="00A430B5"/>
    <w:rsid w:val="00A431AD"/>
    <w:rsid w:val="00A432C3"/>
    <w:rsid w:val="00A432DD"/>
    <w:rsid w:val="00A4360F"/>
    <w:rsid w:val="00A4363F"/>
    <w:rsid w:val="00A4382C"/>
    <w:rsid w:val="00A438C7"/>
    <w:rsid w:val="00A43B69"/>
    <w:rsid w:val="00A44095"/>
    <w:rsid w:val="00A44194"/>
    <w:rsid w:val="00A44B9E"/>
    <w:rsid w:val="00A44C65"/>
    <w:rsid w:val="00A44ED9"/>
    <w:rsid w:val="00A44EEA"/>
    <w:rsid w:val="00A4529B"/>
    <w:rsid w:val="00A455B2"/>
    <w:rsid w:val="00A4584A"/>
    <w:rsid w:val="00A45E48"/>
    <w:rsid w:val="00A45FA2"/>
    <w:rsid w:val="00A46125"/>
    <w:rsid w:val="00A4632E"/>
    <w:rsid w:val="00A46E86"/>
    <w:rsid w:val="00A470B0"/>
    <w:rsid w:val="00A471F5"/>
    <w:rsid w:val="00A47317"/>
    <w:rsid w:val="00A47577"/>
    <w:rsid w:val="00A478DC"/>
    <w:rsid w:val="00A4798A"/>
    <w:rsid w:val="00A50319"/>
    <w:rsid w:val="00A5085B"/>
    <w:rsid w:val="00A50CE3"/>
    <w:rsid w:val="00A510E9"/>
    <w:rsid w:val="00A513A9"/>
    <w:rsid w:val="00A51512"/>
    <w:rsid w:val="00A515A8"/>
    <w:rsid w:val="00A516A4"/>
    <w:rsid w:val="00A52050"/>
    <w:rsid w:val="00A521FB"/>
    <w:rsid w:val="00A523DB"/>
    <w:rsid w:val="00A52BEB"/>
    <w:rsid w:val="00A52D7A"/>
    <w:rsid w:val="00A52DC9"/>
    <w:rsid w:val="00A53411"/>
    <w:rsid w:val="00A53445"/>
    <w:rsid w:val="00A536FE"/>
    <w:rsid w:val="00A53859"/>
    <w:rsid w:val="00A53E26"/>
    <w:rsid w:val="00A5491F"/>
    <w:rsid w:val="00A54C8D"/>
    <w:rsid w:val="00A54FFB"/>
    <w:rsid w:val="00A55483"/>
    <w:rsid w:val="00A556C5"/>
    <w:rsid w:val="00A55774"/>
    <w:rsid w:val="00A557DE"/>
    <w:rsid w:val="00A55875"/>
    <w:rsid w:val="00A55FDB"/>
    <w:rsid w:val="00A5614D"/>
    <w:rsid w:val="00A563F6"/>
    <w:rsid w:val="00A568A3"/>
    <w:rsid w:val="00A56C50"/>
    <w:rsid w:val="00A56CDA"/>
    <w:rsid w:val="00A56DDD"/>
    <w:rsid w:val="00A57105"/>
    <w:rsid w:val="00A571BF"/>
    <w:rsid w:val="00A57290"/>
    <w:rsid w:val="00A572AE"/>
    <w:rsid w:val="00A57428"/>
    <w:rsid w:val="00A574C6"/>
    <w:rsid w:val="00A57776"/>
    <w:rsid w:val="00A57C26"/>
    <w:rsid w:val="00A60162"/>
    <w:rsid w:val="00A6023D"/>
    <w:rsid w:val="00A6055E"/>
    <w:rsid w:val="00A60A98"/>
    <w:rsid w:val="00A60B27"/>
    <w:rsid w:val="00A60CF5"/>
    <w:rsid w:val="00A610C5"/>
    <w:rsid w:val="00A6127E"/>
    <w:rsid w:val="00A61296"/>
    <w:rsid w:val="00A61826"/>
    <w:rsid w:val="00A61974"/>
    <w:rsid w:val="00A61BB2"/>
    <w:rsid w:val="00A61F36"/>
    <w:rsid w:val="00A6214D"/>
    <w:rsid w:val="00A62436"/>
    <w:rsid w:val="00A62B26"/>
    <w:rsid w:val="00A6305A"/>
    <w:rsid w:val="00A6358C"/>
    <w:rsid w:val="00A639E5"/>
    <w:rsid w:val="00A63B00"/>
    <w:rsid w:val="00A63D6B"/>
    <w:rsid w:val="00A64064"/>
    <w:rsid w:val="00A645F5"/>
    <w:rsid w:val="00A6477D"/>
    <w:rsid w:val="00A648BE"/>
    <w:rsid w:val="00A649CD"/>
    <w:rsid w:val="00A64C25"/>
    <w:rsid w:val="00A64D5B"/>
    <w:rsid w:val="00A65418"/>
    <w:rsid w:val="00A656F2"/>
    <w:rsid w:val="00A659DD"/>
    <w:rsid w:val="00A65B0F"/>
    <w:rsid w:val="00A65B12"/>
    <w:rsid w:val="00A6619C"/>
    <w:rsid w:val="00A6621F"/>
    <w:rsid w:val="00A66479"/>
    <w:rsid w:val="00A66674"/>
    <w:rsid w:val="00A669FE"/>
    <w:rsid w:val="00A66D82"/>
    <w:rsid w:val="00A66FF0"/>
    <w:rsid w:val="00A677FA"/>
    <w:rsid w:val="00A67943"/>
    <w:rsid w:val="00A67C2A"/>
    <w:rsid w:val="00A705B4"/>
    <w:rsid w:val="00A70781"/>
    <w:rsid w:val="00A7142D"/>
    <w:rsid w:val="00A7155C"/>
    <w:rsid w:val="00A71CA6"/>
    <w:rsid w:val="00A71F1F"/>
    <w:rsid w:val="00A72925"/>
    <w:rsid w:val="00A72A88"/>
    <w:rsid w:val="00A72B2F"/>
    <w:rsid w:val="00A72FCB"/>
    <w:rsid w:val="00A7311A"/>
    <w:rsid w:val="00A731F7"/>
    <w:rsid w:val="00A73539"/>
    <w:rsid w:val="00A73544"/>
    <w:rsid w:val="00A73698"/>
    <w:rsid w:val="00A73981"/>
    <w:rsid w:val="00A73E19"/>
    <w:rsid w:val="00A73E54"/>
    <w:rsid w:val="00A74017"/>
    <w:rsid w:val="00A74046"/>
    <w:rsid w:val="00A74130"/>
    <w:rsid w:val="00A75561"/>
    <w:rsid w:val="00A75A39"/>
    <w:rsid w:val="00A76143"/>
    <w:rsid w:val="00A76318"/>
    <w:rsid w:val="00A763AD"/>
    <w:rsid w:val="00A76400"/>
    <w:rsid w:val="00A764A6"/>
    <w:rsid w:val="00A7659B"/>
    <w:rsid w:val="00A776F3"/>
    <w:rsid w:val="00A77710"/>
    <w:rsid w:val="00A779AF"/>
    <w:rsid w:val="00A77A99"/>
    <w:rsid w:val="00A77CCB"/>
    <w:rsid w:val="00A77CE9"/>
    <w:rsid w:val="00A77F91"/>
    <w:rsid w:val="00A802B2"/>
    <w:rsid w:val="00A807B7"/>
    <w:rsid w:val="00A807FB"/>
    <w:rsid w:val="00A8092D"/>
    <w:rsid w:val="00A80B57"/>
    <w:rsid w:val="00A80BE9"/>
    <w:rsid w:val="00A80C51"/>
    <w:rsid w:val="00A80EB6"/>
    <w:rsid w:val="00A811B4"/>
    <w:rsid w:val="00A811E7"/>
    <w:rsid w:val="00A81300"/>
    <w:rsid w:val="00A8153D"/>
    <w:rsid w:val="00A81891"/>
    <w:rsid w:val="00A819A4"/>
    <w:rsid w:val="00A81A5D"/>
    <w:rsid w:val="00A81AAC"/>
    <w:rsid w:val="00A81B22"/>
    <w:rsid w:val="00A82198"/>
    <w:rsid w:val="00A823F2"/>
    <w:rsid w:val="00A827A6"/>
    <w:rsid w:val="00A8292E"/>
    <w:rsid w:val="00A82A9D"/>
    <w:rsid w:val="00A82BD8"/>
    <w:rsid w:val="00A82D0D"/>
    <w:rsid w:val="00A83005"/>
    <w:rsid w:val="00A831FE"/>
    <w:rsid w:val="00A8350E"/>
    <w:rsid w:val="00A8364D"/>
    <w:rsid w:val="00A83805"/>
    <w:rsid w:val="00A83EDB"/>
    <w:rsid w:val="00A8401B"/>
    <w:rsid w:val="00A840E1"/>
    <w:rsid w:val="00A8428B"/>
    <w:rsid w:val="00A842EE"/>
    <w:rsid w:val="00A8443D"/>
    <w:rsid w:val="00A84630"/>
    <w:rsid w:val="00A84B83"/>
    <w:rsid w:val="00A84D78"/>
    <w:rsid w:val="00A84DB2"/>
    <w:rsid w:val="00A84F03"/>
    <w:rsid w:val="00A8502A"/>
    <w:rsid w:val="00A8507C"/>
    <w:rsid w:val="00A85298"/>
    <w:rsid w:val="00A85522"/>
    <w:rsid w:val="00A859E5"/>
    <w:rsid w:val="00A85AA3"/>
    <w:rsid w:val="00A863DC"/>
    <w:rsid w:val="00A86844"/>
    <w:rsid w:val="00A8686A"/>
    <w:rsid w:val="00A86870"/>
    <w:rsid w:val="00A86881"/>
    <w:rsid w:val="00A86A22"/>
    <w:rsid w:val="00A86BA4"/>
    <w:rsid w:val="00A86BF4"/>
    <w:rsid w:val="00A8777F"/>
    <w:rsid w:val="00A87CED"/>
    <w:rsid w:val="00A87FBE"/>
    <w:rsid w:val="00A87FEB"/>
    <w:rsid w:val="00A90370"/>
    <w:rsid w:val="00A905B4"/>
    <w:rsid w:val="00A905FE"/>
    <w:rsid w:val="00A907E6"/>
    <w:rsid w:val="00A90BF6"/>
    <w:rsid w:val="00A91067"/>
    <w:rsid w:val="00A9123E"/>
    <w:rsid w:val="00A912E9"/>
    <w:rsid w:val="00A91587"/>
    <w:rsid w:val="00A91608"/>
    <w:rsid w:val="00A91AFB"/>
    <w:rsid w:val="00A91B7D"/>
    <w:rsid w:val="00A9235E"/>
    <w:rsid w:val="00A924F0"/>
    <w:rsid w:val="00A925F3"/>
    <w:rsid w:val="00A928C0"/>
    <w:rsid w:val="00A929C1"/>
    <w:rsid w:val="00A92A08"/>
    <w:rsid w:val="00A93036"/>
    <w:rsid w:val="00A930EF"/>
    <w:rsid w:val="00A9322E"/>
    <w:rsid w:val="00A93722"/>
    <w:rsid w:val="00A93F95"/>
    <w:rsid w:val="00A9448C"/>
    <w:rsid w:val="00A946AF"/>
    <w:rsid w:val="00A94798"/>
    <w:rsid w:val="00A947EB"/>
    <w:rsid w:val="00A94916"/>
    <w:rsid w:val="00A94BA8"/>
    <w:rsid w:val="00A94D5A"/>
    <w:rsid w:val="00A94F97"/>
    <w:rsid w:val="00A94FA5"/>
    <w:rsid w:val="00A952EB"/>
    <w:rsid w:val="00A95BF6"/>
    <w:rsid w:val="00A95FB5"/>
    <w:rsid w:val="00A96383"/>
    <w:rsid w:val="00A96720"/>
    <w:rsid w:val="00A96CE1"/>
    <w:rsid w:val="00A96DC3"/>
    <w:rsid w:val="00A96DC4"/>
    <w:rsid w:val="00A97187"/>
    <w:rsid w:val="00A971ED"/>
    <w:rsid w:val="00A9743B"/>
    <w:rsid w:val="00A977C3"/>
    <w:rsid w:val="00A97911"/>
    <w:rsid w:val="00A97DE0"/>
    <w:rsid w:val="00A97F6B"/>
    <w:rsid w:val="00AA0083"/>
    <w:rsid w:val="00AA0921"/>
    <w:rsid w:val="00AA0A8B"/>
    <w:rsid w:val="00AA0ED2"/>
    <w:rsid w:val="00AA11DD"/>
    <w:rsid w:val="00AA1358"/>
    <w:rsid w:val="00AA14BB"/>
    <w:rsid w:val="00AA16F2"/>
    <w:rsid w:val="00AA1874"/>
    <w:rsid w:val="00AA1B87"/>
    <w:rsid w:val="00AA1C44"/>
    <w:rsid w:val="00AA201A"/>
    <w:rsid w:val="00AA20CF"/>
    <w:rsid w:val="00AA225D"/>
    <w:rsid w:val="00AA23BE"/>
    <w:rsid w:val="00AA2543"/>
    <w:rsid w:val="00AA2A16"/>
    <w:rsid w:val="00AA2F55"/>
    <w:rsid w:val="00AA2F5F"/>
    <w:rsid w:val="00AA2FA3"/>
    <w:rsid w:val="00AA2FD8"/>
    <w:rsid w:val="00AA3995"/>
    <w:rsid w:val="00AA3A85"/>
    <w:rsid w:val="00AA3A9F"/>
    <w:rsid w:val="00AA3DEC"/>
    <w:rsid w:val="00AA3EF8"/>
    <w:rsid w:val="00AA4232"/>
    <w:rsid w:val="00AA4557"/>
    <w:rsid w:val="00AA4B94"/>
    <w:rsid w:val="00AA4BDE"/>
    <w:rsid w:val="00AA4CA8"/>
    <w:rsid w:val="00AA53F9"/>
    <w:rsid w:val="00AA54A2"/>
    <w:rsid w:val="00AA573C"/>
    <w:rsid w:val="00AA595A"/>
    <w:rsid w:val="00AA59FB"/>
    <w:rsid w:val="00AA5DAD"/>
    <w:rsid w:val="00AA5E20"/>
    <w:rsid w:val="00AA5F2E"/>
    <w:rsid w:val="00AA61F8"/>
    <w:rsid w:val="00AA64BE"/>
    <w:rsid w:val="00AA66C1"/>
    <w:rsid w:val="00AA67A8"/>
    <w:rsid w:val="00AA6827"/>
    <w:rsid w:val="00AA6868"/>
    <w:rsid w:val="00AA6A01"/>
    <w:rsid w:val="00AA7192"/>
    <w:rsid w:val="00AA732E"/>
    <w:rsid w:val="00AA765C"/>
    <w:rsid w:val="00AA76DC"/>
    <w:rsid w:val="00AA791E"/>
    <w:rsid w:val="00AA7F15"/>
    <w:rsid w:val="00AB0160"/>
    <w:rsid w:val="00AB0619"/>
    <w:rsid w:val="00AB06F9"/>
    <w:rsid w:val="00AB0984"/>
    <w:rsid w:val="00AB10BE"/>
    <w:rsid w:val="00AB12DE"/>
    <w:rsid w:val="00AB1695"/>
    <w:rsid w:val="00AB18C2"/>
    <w:rsid w:val="00AB1935"/>
    <w:rsid w:val="00AB1CCA"/>
    <w:rsid w:val="00AB1CEC"/>
    <w:rsid w:val="00AB245C"/>
    <w:rsid w:val="00AB2893"/>
    <w:rsid w:val="00AB28AB"/>
    <w:rsid w:val="00AB2E8E"/>
    <w:rsid w:val="00AB3090"/>
    <w:rsid w:val="00AB32E8"/>
    <w:rsid w:val="00AB3510"/>
    <w:rsid w:val="00AB39FC"/>
    <w:rsid w:val="00AB3DF5"/>
    <w:rsid w:val="00AB4002"/>
    <w:rsid w:val="00AB4E2D"/>
    <w:rsid w:val="00AB5083"/>
    <w:rsid w:val="00AB5248"/>
    <w:rsid w:val="00AB526E"/>
    <w:rsid w:val="00AB52E8"/>
    <w:rsid w:val="00AB546F"/>
    <w:rsid w:val="00AB5888"/>
    <w:rsid w:val="00AB59C6"/>
    <w:rsid w:val="00AB5AF6"/>
    <w:rsid w:val="00AB5C41"/>
    <w:rsid w:val="00AB5E32"/>
    <w:rsid w:val="00AB5FBE"/>
    <w:rsid w:val="00AB619C"/>
    <w:rsid w:val="00AB646B"/>
    <w:rsid w:val="00AB658F"/>
    <w:rsid w:val="00AB6846"/>
    <w:rsid w:val="00AB6FBA"/>
    <w:rsid w:val="00AB7163"/>
    <w:rsid w:val="00AB7171"/>
    <w:rsid w:val="00AB718F"/>
    <w:rsid w:val="00AB77D0"/>
    <w:rsid w:val="00AC0043"/>
    <w:rsid w:val="00AC007D"/>
    <w:rsid w:val="00AC0AAC"/>
    <w:rsid w:val="00AC1361"/>
    <w:rsid w:val="00AC14A1"/>
    <w:rsid w:val="00AC158A"/>
    <w:rsid w:val="00AC182B"/>
    <w:rsid w:val="00AC1A99"/>
    <w:rsid w:val="00AC205E"/>
    <w:rsid w:val="00AC220F"/>
    <w:rsid w:val="00AC22A8"/>
    <w:rsid w:val="00AC2329"/>
    <w:rsid w:val="00AC2CC8"/>
    <w:rsid w:val="00AC2EC2"/>
    <w:rsid w:val="00AC3027"/>
    <w:rsid w:val="00AC303C"/>
    <w:rsid w:val="00AC32B1"/>
    <w:rsid w:val="00AC32D0"/>
    <w:rsid w:val="00AC339B"/>
    <w:rsid w:val="00AC3661"/>
    <w:rsid w:val="00AC38B3"/>
    <w:rsid w:val="00AC3AE2"/>
    <w:rsid w:val="00AC4D8C"/>
    <w:rsid w:val="00AC53B1"/>
    <w:rsid w:val="00AC57DC"/>
    <w:rsid w:val="00AC58D6"/>
    <w:rsid w:val="00AC5BCC"/>
    <w:rsid w:val="00AC5BF2"/>
    <w:rsid w:val="00AC5D3D"/>
    <w:rsid w:val="00AC5DF3"/>
    <w:rsid w:val="00AC6264"/>
    <w:rsid w:val="00AC63D4"/>
    <w:rsid w:val="00AC6A0C"/>
    <w:rsid w:val="00AC6E31"/>
    <w:rsid w:val="00AC727E"/>
    <w:rsid w:val="00AC7367"/>
    <w:rsid w:val="00AC742C"/>
    <w:rsid w:val="00AC7934"/>
    <w:rsid w:val="00AC7E54"/>
    <w:rsid w:val="00AC7FC6"/>
    <w:rsid w:val="00AD0C18"/>
    <w:rsid w:val="00AD1109"/>
    <w:rsid w:val="00AD1319"/>
    <w:rsid w:val="00AD18C1"/>
    <w:rsid w:val="00AD230A"/>
    <w:rsid w:val="00AD2529"/>
    <w:rsid w:val="00AD2912"/>
    <w:rsid w:val="00AD2E6A"/>
    <w:rsid w:val="00AD2F7B"/>
    <w:rsid w:val="00AD3420"/>
    <w:rsid w:val="00AD3445"/>
    <w:rsid w:val="00AD346A"/>
    <w:rsid w:val="00AD362A"/>
    <w:rsid w:val="00AD38CA"/>
    <w:rsid w:val="00AD3950"/>
    <w:rsid w:val="00AD3973"/>
    <w:rsid w:val="00AD39E0"/>
    <w:rsid w:val="00AD3A93"/>
    <w:rsid w:val="00AD423B"/>
    <w:rsid w:val="00AD45A5"/>
    <w:rsid w:val="00AD468F"/>
    <w:rsid w:val="00AD4A7D"/>
    <w:rsid w:val="00AD4A9D"/>
    <w:rsid w:val="00AD4CEF"/>
    <w:rsid w:val="00AD4F2B"/>
    <w:rsid w:val="00AD5000"/>
    <w:rsid w:val="00AD5085"/>
    <w:rsid w:val="00AD521D"/>
    <w:rsid w:val="00AD579B"/>
    <w:rsid w:val="00AD57FA"/>
    <w:rsid w:val="00AD5D05"/>
    <w:rsid w:val="00AD608A"/>
    <w:rsid w:val="00AD6333"/>
    <w:rsid w:val="00AD6338"/>
    <w:rsid w:val="00AD6725"/>
    <w:rsid w:val="00AD68C1"/>
    <w:rsid w:val="00AD6966"/>
    <w:rsid w:val="00AD6B2F"/>
    <w:rsid w:val="00AD6D3F"/>
    <w:rsid w:val="00AD6E16"/>
    <w:rsid w:val="00AD7114"/>
    <w:rsid w:val="00AD7169"/>
    <w:rsid w:val="00AD748B"/>
    <w:rsid w:val="00AD7744"/>
    <w:rsid w:val="00AD778E"/>
    <w:rsid w:val="00AD7876"/>
    <w:rsid w:val="00AD79B5"/>
    <w:rsid w:val="00AD7C80"/>
    <w:rsid w:val="00AD7E1B"/>
    <w:rsid w:val="00AE06DE"/>
    <w:rsid w:val="00AE0790"/>
    <w:rsid w:val="00AE0A48"/>
    <w:rsid w:val="00AE0ADE"/>
    <w:rsid w:val="00AE0CFA"/>
    <w:rsid w:val="00AE103F"/>
    <w:rsid w:val="00AE1049"/>
    <w:rsid w:val="00AE109D"/>
    <w:rsid w:val="00AE10EA"/>
    <w:rsid w:val="00AE121E"/>
    <w:rsid w:val="00AE12F8"/>
    <w:rsid w:val="00AE14F6"/>
    <w:rsid w:val="00AE19D4"/>
    <w:rsid w:val="00AE1BB6"/>
    <w:rsid w:val="00AE20D4"/>
    <w:rsid w:val="00AE27A5"/>
    <w:rsid w:val="00AE2AD4"/>
    <w:rsid w:val="00AE2BC3"/>
    <w:rsid w:val="00AE2F4A"/>
    <w:rsid w:val="00AE2F87"/>
    <w:rsid w:val="00AE31AB"/>
    <w:rsid w:val="00AE3229"/>
    <w:rsid w:val="00AE3356"/>
    <w:rsid w:val="00AE3BCC"/>
    <w:rsid w:val="00AE3CC5"/>
    <w:rsid w:val="00AE3CD3"/>
    <w:rsid w:val="00AE3D61"/>
    <w:rsid w:val="00AE424C"/>
    <w:rsid w:val="00AE4C63"/>
    <w:rsid w:val="00AE4DD3"/>
    <w:rsid w:val="00AE4F6C"/>
    <w:rsid w:val="00AE530A"/>
    <w:rsid w:val="00AE5377"/>
    <w:rsid w:val="00AE56F7"/>
    <w:rsid w:val="00AE62A4"/>
    <w:rsid w:val="00AE6966"/>
    <w:rsid w:val="00AE6EB1"/>
    <w:rsid w:val="00AE7206"/>
    <w:rsid w:val="00AE727E"/>
    <w:rsid w:val="00AE7674"/>
    <w:rsid w:val="00AE7746"/>
    <w:rsid w:val="00AE7870"/>
    <w:rsid w:val="00AE7919"/>
    <w:rsid w:val="00AE7A09"/>
    <w:rsid w:val="00AE7A2A"/>
    <w:rsid w:val="00AF0004"/>
    <w:rsid w:val="00AF012B"/>
    <w:rsid w:val="00AF01BD"/>
    <w:rsid w:val="00AF0364"/>
    <w:rsid w:val="00AF1204"/>
    <w:rsid w:val="00AF12C8"/>
    <w:rsid w:val="00AF1961"/>
    <w:rsid w:val="00AF1A75"/>
    <w:rsid w:val="00AF20C6"/>
    <w:rsid w:val="00AF2256"/>
    <w:rsid w:val="00AF2742"/>
    <w:rsid w:val="00AF2AC7"/>
    <w:rsid w:val="00AF2C3D"/>
    <w:rsid w:val="00AF2CF9"/>
    <w:rsid w:val="00AF2DD5"/>
    <w:rsid w:val="00AF308D"/>
    <w:rsid w:val="00AF34D8"/>
    <w:rsid w:val="00AF3586"/>
    <w:rsid w:val="00AF36FA"/>
    <w:rsid w:val="00AF45DE"/>
    <w:rsid w:val="00AF4A3F"/>
    <w:rsid w:val="00AF4C26"/>
    <w:rsid w:val="00AF4E0B"/>
    <w:rsid w:val="00AF5077"/>
    <w:rsid w:val="00AF5093"/>
    <w:rsid w:val="00AF520B"/>
    <w:rsid w:val="00AF55A4"/>
    <w:rsid w:val="00AF5BCB"/>
    <w:rsid w:val="00AF5EB2"/>
    <w:rsid w:val="00AF5F11"/>
    <w:rsid w:val="00AF653A"/>
    <w:rsid w:val="00AF6629"/>
    <w:rsid w:val="00AF667C"/>
    <w:rsid w:val="00AF6850"/>
    <w:rsid w:val="00AF6F92"/>
    <w:rsid w:val="00AF7520"/>
    <w:rsid w:val="00AF76FF"/>
    <w:rsid w:val="00AF7825"/>
    <w:rsid w:val="00AF786E"/>
    <w:rsid w:val="00AF7B38"/>
    <w:rsid w:val="00B00381"/>
    <w:rsid w:val="00B0041B"/>
    <w:rsid w:val="00B0068E"/>
    <w:rsid w:val="00B006E9"/>
    <w:rsid w:val="00B0091D"/>
    <w:rsid w:val="00B010F5"/>
    <w:rsid w:val="00B01A20"/>
    <w:rsid w:val="00B01AD9"/>
    <w:rsid w:val="00B01DA3"/>
    <w:rsid w:val="00B01F72"/>
    <w:rsid w:val="00B02142"/>
    <w:rsid w:val="00B023BF"/>
    <w:rsid w:val="00B02489"/>
    <w:rsid w:val="00B02B92"/>
    <w:rsid w:val="00B02D8F"/>
    <w:rsid w:val="00B02E18"/>
    <w:rsid w:val="00B02E9E"/>
    <w:rsid w:val="00B03351"/>
    <w:rsid w:val="00B04003"/>
    <w:rsid w:val="00B04098"/>
    <w:rsid w:val="00B04498"/>
    <w:rsid w:val="00B0449B"/>
    <w:rsid w:val="00B046F6"/>
    <w:rsid w:val="00B048A2"/>
    <w:rsid w:val="00B04A02"/>
    <w:rsid w:val="00B04ED7"/>
    <w:rsid w:val="00B04FC6"/>
    <w:rsid w:val="00B04FEB"/>
    <w:rsid w:val="00B0553C"/>
    <w:rsid w:val="00B05B52"/>
    <w:rsid w:val="00B05C2B"/>
    <w:rsid w:val="00B05D7A"/>
    <w:rsid w:val="00B05E47"/>
    <w:rsid w:val="00B0613F"/>
    <w:rsid w:val="00B061EF"/>
    <w:rsid w:val="00B06244"/>
    <w:rsid w:val="00B06364"/>
    <w:rsid w:val="00B0639D"/>
    <w:rsid w:val="00B065F3"/>
    <w:rsid w:val="00B067EA"/>
    <w:rsid w:val="00B06A3D"/>
    <w:rsid w:val="00B06A49"/>
    <w:rsid w:val="00B06AAF"/>
    <w:rsid w:val="00B06EE8"/>
    <w:rsid w:val="00B070FF"/>
    <w:rsid w:val="00B07343"/>
    <w:rsid w:val="00B073F3"/>
    <w:rsid w:val="00B073FE"/>
    <w:rsid w:val="00B07526"/>
    <w:rsid w:val="00B0794F"/>
    <w:rsid w:val="00B07B72"/>
    <w:rsid w:val="00B07C57"/>
    <w:rsid w:val="00B07EC4"/>
    <w:rsid w:val="00B101BD"/>
    <w:rsid w:val="00B10D67"/>
    <w:rsid w:val="00B10E13"/>
    <w:rsid w:val="00B10E90"/>
    <w:rsid w:val="00B10FF1"/>
    <w:rsid w:val="00B110B4"/>
    <w:rsid w:val="00B111DD"/>
    <w:rsid w:val="00B1137C"/>
    <w:rsid w:val="00B113E3"/>
    <w:rsid w:val="00B1146C"/>
    <w:rsid w:val="00B11829"/>
    <w:rsid w:val="00B11908"/>
    <w:rsid w:val="00B119AD"/>
    <w:rsid w:val="00B11DA5"/>
    <w:rsid w:val="00B1237D"/>
    <w:rsid w:val="00B1252E"/>
    <w:rsid w:val="00B12534"/>
    <w:rsid w:val="00B12970"/>
    <w:rsid w:val="00B129C4"/>
    <w:rsid w:val="00B12C09"/>
    <w:rsid w:val="00B130BE"/>
    <w:rsid w:val="00B13147"/>
    <w:rsid w:val="00B131C8"/>
    <w:rsid w:val="00B1328B"/>
    <w:rsid w:val="00B1399A"/>
    <w:rsid w:val="00B13CA6"/>
    <w:rsid w:val="00B13D24"/>
    <w:rsid w:val="00B13E78"/>
    <w:rsid w:val="00B14303"/>
    <w:rsid w:val="00B144FC"/>
    <w:rsid w:val="00B14581"/>
    <w:rsid w:val="00B15999"/>
    <w:rsid w:val="00B159E8"/>
    <w:rsid w:val="00B15E5E"/>
    <w:rsid w:val="00B15EFE"/>
    <w:rsid w:val="00B16085"/>
    <w:rsid w:val="00B160C3"/>
    <w:rsid w:val="00B161C3"/>
    <w:rsid w:val="00B162B9"/>
    <w:rsid w:val="00B162D6"/>
    <w:rsid w:val="00B16520"/>
    <w:rsid w:val="00B1669B"/>
    <w:rsid w:val="00B16AFB"/>
    <w:rsid w:val="00B16ECD"/>
    <w:rsid w:val="00B17079"/>
    <w:rsid w:val="00B17119"/>
    <w:rsid w:val="00B17131"/>
    <w:rsid w:val="00B17393"/>
    <w:rsid w:val="00B17620"/>
    <w:rsid w:val="00B1798F"/>
    <w:rsid w:val="00B201C0"/>
    <w:rsid w:val="00B20345"/>
    <w:rsid w:val="00B20CEF"/>
    <w:rsid w:val="00B211FC"/>
    <w:rsid w:val="00B21826"/>
    <w:rsid w:val="00B218F0"/>
    <w:rsid w:val="00B21A63"/>
    <w:rsid w:val="00B21BE6"/>
    <w:rsid w:val="00B21BE8"/>
    <w:rsid w:val="00B21C33"/>
    <w:rsid w:val="00B21D23"/>
    <w:rsid w:val="00B21D61"/>
    <w:rsid w:val="00B21F37"/>
    <w:rsid w:val="00B2227A"/>
    <w:rsid w:val="00B22727"/>
    <w:rsid w:val="00B22A64"/>
    <w:rsid w:val="00B22B22"/>
    <w:rsid w:val="00B22E56"/>
    <w:rsid w:val="00B2366E"/>
    <w:rsid w:val="00B23B2D"/>
    <w:rsid w:val="00B23B69"/>
    <w:rsid w:val="00B23DE9"/>
    <w:rsid w:val="00B243C2"/>
    <w:rsid w:val="00B24537"/>
    <w:rsid w:val="00B2456B"/>
    <w:rsid w:val="00B2481D"/>
    <w:rsid w:val="00B24B8D"/>
    <w:rsid w:val="00B24BBD"/>
    <w:rsid w:val="00B24C73"/>
    <w:rsid w:val="00B24E97"/>
    <w:rsid w:val="00B24F7E"/>
    <w:rsid w:val="00B2513F"/>
    <w:rsid w:val="00B25236"/>
    <w:rsid w:val="00B25610"/>
    <w:rsid w:val="00B2582C"/>
    <w:rsid w:val="00B25D8B"/>
    <w:rsid w:val="00B25DF7"/>
    <w:rsid w:val="00B269E6"/>
    <w:rsid w:val="00B26CB0"/>
    <w:rsid w:val="00B26E1B"/>
    <w:rsid w:val="00B27047"/>
    <w:rsid w:val="00B2742C"/>
    <w:rsid w:val="00B27851"/>
    <w:rsid w:val="00B278DE"/>
    <w:rsid w:val="00B27EEE"/>
    <w:rsid w:val="00B30002"/>
    <w:rsid w:val="00B30393"/>
    <w:rsid w:val="00B3042E"/>
    <w:rsid w:val="00B304C4"/>
    <w:rsid w:val="00B309C0"/>
    <w:rsid w:val="00B30B38"/>
    <w:rsid w:val="00B30BC0"/>
    <w:rsid w:val="00B30D38"/>
    <w:rsid w:val="00B30E9A"/>
    <w:rsid w:val="00B30FD1"/>
    <w:rsid w:val="00B310A0"/>
    <w:rsid w:val="00B311EA"/>
    <w:rsid w:val="00B31246"/>
    <w:rsid w:val="00B312A5"/>
    <w:rsid w:val="00B312C2"/>
    <w:rsid w:val="00B3186F"/>
    <w:rsid w:val="00B318BC"/>
    <w:rsid w:val="00B31BFB"/>
    <w:rsid w:val="00B31F1F"/>
    <w:rsid w:val="00B32194"/>
    <w:rsid w:val="00B32425"/>
    <w:rsid w:val="00B329F5"/>
    <w:rsid w:val="00B32D3E"/>
    <w:rsid w:val="00B32F78"/>
    <w:rsid w:val="00B33372"/>
    <w:rsid w:val="00B33410"/>
    <w:rsid w:val="00B33480"/>
    <w:rsid w:val="00B33667"/>
    <w:rsid w:val="00B336C0"/>
    <w:rsid w:val="00B338CD"/>
    <w:rsid w:val="00B33967"/>
    <w:rsid w:val="00B33C76"/>
    <w:rsid w:val="00B33D10"/>
    <w:rsid w:val="00B33E2E"/>
    <w:rsid w:val="00B3411C"/>
    <w:rsid w:val="00B34122"/>
    <w:rsid w:val="00B34685"/>
    <w:rsid w:val="00B34C14"/>
    <w:rsid w:val="00B34C9F"/>
    <w:rsid w:val="00B352CC"/>
    <w:rsid w:val="00B3559E"/>
    <w:rsid w:val="00B355D9"/>
    <w:rsid w:val="00B35D28"/>
    <w:rsid w:val="00B360E5"/>
    <w:rsid w:val="00B3645F"/>
    <w:rsid w:val="00B3649B"/>
    <w:rsid w:val="00B36AA4"/>
    <w:rsid w:val="00B36CC7"/>
    <w:rsid w:val="00B372D3"/>
    <w:rsid w:val="00B376DC"/>
    <w:rsid w:val="00B379C8"/>
    <w:rsid w:val="00B37BE1"/>
    <w:rsid w:val="00B37C75"/>
    <w:rsid w:val="00B37D07"/>
    <w:rsid w:val="00B4005D"/>
    <w:rsid w:val="00B40280"/>
    <w:rsid w:val="00B409CF"/>
    <w:rsid w:val="00B40ABD"/>
    <w:rsid w:val="00B40DD6"/>
    <w:rsid w:val="00B40E17"/>
    <w:rsid w:val="00B41DB5"/>
    <w:rsid w:val="00B41FFF"/>
    <w:rsid w:val="00B420AA"/>
    <w:rsid w:val="00B4221E"/>
    <w:rsid w:val="00B42233"/>
    <w:rsid w:val="00B422C4"/>
    <w:rsid w:val="00B4233C"/>
    <w:rsid w:val="00B4262F"/>
    <w:rsid w:val="00B42715"/>
    <w:rsid w:val="00B4279F"/>
    <w:rsid w:val="00B428B0"/>
    <w:rsid w:val="00B429A1"/>
    <w:rsid w:val="00B42BBD"/>
    <w:rsid w:val="00B43184"/>
    <w:rsid w:val="00B43416"/>
    <w:rsid w:val="00B43F4E"/>
    <w:rsid w:val="00B4415A"/>
    <w:rsid w:val="00B4434F"/>
    <w:rsid w:val="00B446D0"/>
    <w:rsid w:val="00B44749"/>
    <w:rsid w:val="00B44979"/>
    <w:rsid w:val="00B44D3E"/>
    <w:rsid w:val="00B44EB1"/>
    <w:rsid w:val="00B44EB7"/>
    <w:rsid w:val="00B44EBB"/>
    <w:rsid w:val="00B4514B"/>
    <w:rsid w:val="00B45490"/>
    <w:rsid w:val="00B45672"/>
    <w:rsid w:val="00B458A1"/>
    <w:rsid w:val="00B458F9"/>
    <w:rsid w:val="00B45CF4"/>
    <w:rsid w:val="00B45D90"/>
    <w:rsid w:val="00B45ED9"/>
    <w:rsid w:val="00B45EF2"/>
    <w:rsid w:val="00B4613F"/>
    <w:rsid w:val="00B468D4"/>
    <w:rsid w:val="00B468F5"/>
    <w:rsid w:val="00B46B7D"/>
    <w:rsid w:val="00B46EAA"/>
    <w:rsid w:val="00B46F61"/>
    <w:rsid w:val="00B46F6B"/>
    <w:rsid w:val="00B470FA"/>
    <w:rsid w:val="00B47389"/>
    <w:rsid w:val="00B47792"/>
    <w:rsid w:val="00B477E3"/>
    <w:rsid w:val="00B47A16"/>
    <w:rsid w:val="00B47A4A"/>
    <w:rsid w:val="00B47C22"/>
    <w:rsid w:val="00B50238"/>
    <w:rsid w:val="00B505EB"/>
    <w:rsid w:val="00B5066E"/>
    <w:rsid w:val="00B509A8"/>
    <w:rsid w:val="00B509E7"/>
    <w:rsid w:val="00B51119"/>
    <w:rsid w:val="00B51126"/>
    <w:rsid w:val="00B511D0"/>
    <w:rsid w:val="00B51209"/>
    <w:rsid w:val="00B51512"/>
    <w:rsid w:val="00B515E3"/>
    <w:rsid w:val="00B516FB"/>
    <w:rsid w:val="00B51722"/>
    <w:rsid w:val="00B51924"/>
    <w:rsid w:val="00B51A1C"/>
    <w:rsid w:val="00B5204D"/>
    <w:rsid w:val="00B5211C"/>
    <w:rsid w:val="00B523EB"/>
    <w:rsid w:val="00B5256B"/>
    <w:rsid w:val="00B52800"/>
    <w:rsid w:val="00B52B7F"/>
    <w:rsid w:val="00B52F43"/>
    <w:rsid w:val="00B533B3"/>
    <w:rsid w:val="00B5392F"/>
    <w:rsid w:val="00B53D7A"/>
    <w:rsid w:val="00B5418E"/>
    <w:rsid w:val="00B5472B"/>
    <w:rsid w:val="00B54A4A"/>
    <w:rsid w:val="00B54FC7"/>
    <w:rsid w:val="00B55408"/>
    <w:rsid w:val="00B5543C"/>
    <w:rsid w:val="00B554E8"/>
    <w:rsid w:val="00B56110"/>
    <w:rsid w:val="00B56A76"/>
    <w:rsid w:val="00B570F7"/>
    <w:rsid w:val="00B572FC"/>
    <w:rsid w:val="00B579F5"/>
    <w:rsid w:val="00B60148"/>
    <w:rsid w:val="00B60281"/>
    <w:rsid w:val="00B60673"/>
    <w:rsid w:val="00B608E7"/>
    <w:rsid w:val="00B60C08"/>
    <w:rsid w:val="00B60C9C"/>
    <w:rsid w:val="00B60F85"/>
    <w:rsid w:val="00B60FEF"/>
    <w:rsid w:val="00B61023"/>
    <w:rsid w:val="00B61304"/>
    <w:rsid w:val="00B615B4"/>
    <w:rsid w:val="00B61696"/>
    <w:rsid w:val="00B61BD9"/>
    <w:rsid w:val="00B6235A"/>
    <w:rsid w:val="00B624B0"/>
    <w:rsid w:val="00B62E93"/>
    <w:rsid w:val="00B6367F"/>
    <w:rsid w:val="00B63815"/>
    <w:rsid w:val="00B63831"/>
    <w:rsid w:val="00B63C67"/>
    <w:rsid w:val="00B63E23"/>
    <w:rsid w:val="00B6465F"/>
    <w:rsid w:val="00B6487F"/>
    <w:rsid w:val="00B64C0C"/>
    <w:rsid w:val="00B64FF7"/>
    <w:rsid w:val="00B651A8"/>
    <w:rsid w:val="00B651F0"/>
    <w:rsid w:val="00B6548C"/>
    <w:rsid w:val="00B65B2E"/>
    <w:rsid w:val="00B6614D"/>
    <w:rsid w:val="00B66206"/>
    <w:rsid w:val="00B66266"/>
    <w:rsid w:val="00B667F9"/>
    <w:rsid w:val="00B66889"/>
    <w:rsid w:val="00B67077"/>
    <w:rsid w:val="00B670B0"/>
    <w:rsid w:val="00B6729E"/>
    <w:rsid w:val="00B6734F"/>
    <w:rsid w:val="00B67746"/>
    <w:rsid w:val="00B6795A"/>
    <w:rsid w:val="00B67A7B"/>
    <w:rsid w:val="00B67BA9"/>
    <w:rsid w:val="00B67C32"/>
    <w:rsid w:val="00B67E0D"/>
    <w:rsid w:val="00B702C6"/>
    <w:rsid w:val="00B7091A"/>
    <w:rsid w:val="00B70A0E"/>
    <w:rsid w:val="00B70E5C"/>
    <w:rsid w:val="00B71310"/>
    <w:rsid w:val="00B7157C"/>
    <w:rsid w:val="00B7187D"/>
    <w:rsid w:val="00B71C3D"/>
    <w:rsid w:val="00B71ED7"/>
    <w:rsid w:val="00B7201B"/>
    <w:rsid w:val="00B720BA"/>
    <w:rsid w:val="00B72193"/>
    <w:rsid w:val="00B7222C"/>
    <w:rsid w:val="00B72534"/>
    <w:rsid w:val="00B725F7"/>
    <w:rsid w:val="00B72983"/>
    <w:rsid w:val="00B72E42"/>
    <w:rsid w:val="00B72F9A"/>
    <w:rsid w:val="00B7327A"/>
    <w:rsid w:val="00B733F8"/>
    <w:rsid w:val="00B734AD"/>
    <w:rsid w:val="00B740F9"/>
    <w:rsid w:val="00B74319"/>
    <w:rsid w:val="00B743AF"/>
    <w:rsid w:val="00B74452"/>
    <w:rsid w:val="00B744C8"/>
    <w:rsid w:val="00B744D0"/>
    <w:rsid w:val="00B74ECF"/>
    <w:rsid w:val="00B751BD"/>
    <w:rsid w:val="00B754D2"/>
    <w:rsid w:val="00B75850"/>
    <w:rsid w:val="00B75B71"/>
    <w:rsid w:val="00B75FFB"/>
    <w:rsid w:val="00B76230"/>
    <w:rsid w:val="00B7641E"/>
    <w:rsid w:val="00B7675A"/>
    <w:rsid w:val="00B76A59"/>
    <w:rsid w:val="00B76ADB"/>
    <w:rsid w:val="00B76D71"/>
    <w:rsid w:val="00B76F89"/>
    <w:rsid w:val="00B77065"/>
    <w:rsid w:val="00B77201"/>
    <w:rsid w:val="00B77332"/>
    <w:rsid w:val="00B773BC"/>
    <w:rsid w:val="00B77AD5"/>
    <w:rsid w:val="00B8004A"/>
    <w:rsid w:val="00B801C3"/>
    <w:rsid w:val="00B80282"/>
    <w:rsid w:val="00B80590"/>
    <w:rsid w:val="00B80759"/>
    <w:rsid w:val="00B80786"/>
    <w:rsid w:val="00B80BB3"/>
    <w:rsid w:val="00B80BED"/>
    <w:rsid w:val="00B80F3D"/>
    <w:rsid w:val="00B80F8B"/>
    <w:rsid w:val="00B81015"/>
    <w:rsid w:val="00B810FE"/>
    <w:rsid w:val="00B812FA"/>
    <w:rsid w:val="00B813ED"/>
    <w:rsid w:val="00B8198F"/>
    <w:rsid w:val="00B81B87"/>
    <w:rsid w:val="00B82023"/>
    <w:rsid w:val="00B821F5"/>
    <w:rsid w:val="00B82216"/>
    <w:rsid w:val="00B82907"/>
    <w:rsid w:val="00B82A20"/>
    <w:rsid w:val="00B82B1F"/>
    <w:rsid w:val="00B82D4E"/>
    <w:rsid w:val="00B82D9D"/>
    <w:rsid w:val="00B82DC6"/>
    <w:rsid w:val="00B82F7F"/>
    <w:rsid w:val="00B832EB"/>
    <w:rsid w:val="00B8338B"/>
    <w:rsid w:val="00B8391E"/>
    <w:rsid w:val="00B83D49"/>
    <w:rsid w:val="00B8403F"/>
    <w:rsid w:val="00B84308"/>
    <w:rsid w:val="00B843E7"/>
    <w:rsid w:val="00B84603"/>
    <w:rsid w:val="00B84605"/>
    <w:rsid w:val="00B847D9"/>
    <w:rsid w:val="00B84A07"/>
    <w:rsid w:val="00B84B62"/>
    <w:rsid w:val="00B84F28"/>
    <w:rsid w:val="00B85071"/>
    <w:rsid w:val="00B85453"/>
    <w:rsid w:val="00B85685"/>
    <w:rsid w:val="00B85BB4"/>
    <w:rsid w:val="00B862D0"/>
    <w:rsid w:val="00B863C8"/>
    <w:rsid w:val="00B8643F"/>
    <w:rsid w:val="00B8676A"/>
    <w:rsid w:val="00B86977"/>
    <w:rsid w:val="00B86AC1"/>
    <w:rsid w:val="00B86DDB"/>
    <w:rsid w:val="00B86E0B"/>
    <w:rsid w:val="00B8700E"/>
    <w:rsid w:val="00B879BC"/>
    <w:rsid w:val="00B87F6E"/>
    <w:rsid w:val="00B90202"/>
    <w:rsid w:val="00B903DC"/>
    <w:rsid w:val="00B90787"/>
    <w:rsid w:val="00B908F3"/>
    <w:rsid w:val="00B90902"/>
    <w:rsid w:val="00B90F12"/>
    <w:rsid w:val="00B911CA"/>
    <w:rsid w:val="00B91841"/>
    <w:rsid w:val="00B91ADF"/>
    <w:rsid w:val="00B91BFE"/>
    <w:rsid w:val="00B92057"/>
    <w:rsid w:val="00B92502"/>
    <w:rsid w:val="00B925B6"/>
    <w:rsid w:val="00B92E19"/>
    <w:rsid w:val="00B92FF5"/>
    <w:rsid w:val="00B9308B"/>
    <w:rsid w:val="00B9318C"/>
    <w:rsid w:val="00B9327C"/>
    <w:rsid w:val="00B93580"/>
    <w:rsid w:val="00B93A57"/>
    <w:rsid w:val="00B93BAE"/>
    <w:rsid w:val="00B93F56"/>
    <w:rsid w:val="00B941B8"/>
    <w:rsid w:val="00B94440"/>
    <w:rsid w:val="00B94CEC"/>
    <w:rsid w:val="00B95755"/>
    <w:rsid w:val="00B958BA"/>
    <w:rsid w:val="00B961F2"/>
    <w:rsid w:val="00B96289"/>
    <w:rsid w:val="00B96731"/>
    <w:rsid w:val="00B96B90"/>
    <w:rsid w:val="00B96D1B"/>
    <w:rsid w:val="00B96F39"/>
    <w:rsid w:val="00B9710D"/>
    <w:rsid w:val="00B9712E"/>
    <w:rsid w:val="00B97727"/>
    <w:rsid w:val="00B97962"/>
    <w:rsid w:val="00B97AD2"/>
    <w:rsid w:val="00B97C06"/>
    <w:rsid w:val="00B97C17"/>
    <w:rsid w:val="00BA003B"/>
    <w:rsid w:val="00BA05BC"/>
    <w:rsid w:val="00BA07B5"/>
    <w:rsid w:val="00BA0814"/>
    <w:rsid w:val="00BA09ED"/>
    <w:rsid w:val="00BA0B31"/>
    <w:rsid w:val="00BA0D0F"/>
    <w:rsid w:val="00BA0D42"/>
    <w:rsid w:val="00BA0E10"/>
    <w:rsid w:val="00BA1488"/>
    <w:rsid w:val="00BA14EE"/>
    <w:rsid w:val="00BA17A2"/>
    <w:rsid w:val="00BA1967"/>
    <w:rsid w:val="00BA1D30"/>
    <w:rsid w:val="00BA2767"/>
    <w:rsid w:val="00BA2783"/>
    <w:rsid w:val="00BA284B"/>
    <w:rsid w:val="00BA2C13"/>
    <w:rsid w:val="00BA2D8C"/>
    <w:rsid w:val="00BA2F5E"/>
    <w:rsid w:val="00BA2FFF"/>
    <w:rsid w:val="00BA3633"/>
    <w:rsid w:val="00BA36A9"/>
    <w:rsid w:val="00BA3894"/>
    <w:rsid w:val="00BA3A98"/>
    <w:rsid w:val="00BA3B24"/>
    <w:rsid w:val="00BA3BAB"/>
    <w:rsid w:val="00BA4387"/>
    <w:rsid w:val="00BA447A"/>
    <w:rsid w:val="00BA4545"/>
    <w:rsid w:val="00BA45D0"/>
    <w:rsid w:val="00BA46E4"/>
    <w:rsid w:val="00BA4830"/>
    <w:rsid w:val="00BA4B02"/>
    <w:rsid w:val="00BA4CA0"/>
    <w:rsid w:val="00BA4CFE"/>
    <w:rsid w:val="00BA521F"/>
    <w:rsid w:val="00BA5225"/>
    <w:rsid w:val="00BA56CE"/>
    <w:rsid w:val="00BA5A58"/>
    <w:rsid w:val="00BA5AE9"/>
    <w:rsid w:val="00BA5CCC"/>
    <w:rsid w:val="00BA6159"/>
    <w:rsid w:val="00BA64AB"/>
    <w:rsid w:val="00BA6697"/>
    <w:rsid w:val="00BA67DC"/>
    <w:rsid w:val="00BA6FA1"/>
    <w:rsid w:val="00BA7050"/>
    <w:rsid w:val="00BA7C4C"/>
    <w:rsid w:val="00BB0149"/>
    <w:rsid w:val="00BB09B8"/>
    <w:rsid w:val="00BB105B"/>
    <w:rsid w:val="00BB115D"/>
    <w:rsid w:val="00BB1890"/>
    <w:rsid w:val="00BB1D6F"/>
    <w:rsid w:val="00BB1EF0"/>
    <w:rsid w:val="00BB20A0"/>
    <w:rsid w:val="00BB219B"/>
    <w:rsid w:val="00BB2414"/>
    <w:rsid w:val="00BB2471"/>
    <w:rsid w:val="00BB2488"/>
    <w:rsid w:val="00BB24FC"/>
    <w:rsid w:val="00BB2A16"/>
    <w:rsid w:val="00BB2E29"/>
    <w:rsid w:val="00BB2E3B"/>
    <w:rsid w:val="00BB2F5D"/>
    <w:rsid w:val="00BB301A"/>
    <w:rsid w:val="00BB3230"/>
    <w:rsid w:val="00BB33C0"/>
    <w:rsid w:val="00BB365D"/>
    <w:rsid w:val="00BB3A03"/>
    <w:rsid w:val="00BB3AF0"/>
    <w:rsid w:val="00BB3C62"/>
    <w:rsid w:val="00BB3CF7"/>
    <w:rsid w:val="00BB3DDE"/>
    <w:rsid w:val="00BB40FA"/>
    <w:rsid w:val="00BB4145"/>
    <w:rsid w:val="00BB42E2"/>
    <w:rsid w:val="00BB4488"/>
    <w:rsid w:val="00BB4B15"/>
    <w:rsid w:val="00BB4E8A"/>
    <w:rsid w:val="00BB5184"/>
    <w:rsid w:val="00BB5322"/>
    <w:rsid w:val="00BB5D97"/>
    <w:rsid w:val="00BB5DC3"/>
    <w:rsid w:val="00BB5EDB"/>
    <w:rsid w:val="00BB5F76"/>
    <w:rsid w:val="00BB61F2"/>
    <w:rsid w:val="00BB644C"/>
    <w:rsid w:val="00BB64B0"/>
    <w:rsid w:val="00BB6742"/>
    <w:rsid w:val="00BB6835"/>
    <w:rsid w:val="00BB6AD0"/>
    <w:rsid w:val="00BB6B97"/>
    <w:rsid w:val="00BB6C42"/>
    <w:rsid w:val="00BB6C50"/>
    <w:rsid w:val="00BB6CA3"/>
    <w:rsid w:val="00BB6DC8"/>
    <w:rsid w:val="00BB70C4"/>
    <w:rsid w:val="00BB72C0"/>
    <w:rsid w:val="00BB7322"/>
    <w:rsid w:val="00BB74A0"/>
    <w:rsid w:val="00BB7558"/>
    <w:rsid w:val="00BB7974"/>
    <w:rsid w:val="00BB7A53"/>
    <w:rsid w:val="00BB7C08"/>
    <w:rsid w:val="00BB7E7B"/>
    <w:rsid w:val="00BB7F3D"/>
    <w:rsid w:val="00BC03FE"/>
    <w:rsid w:val="00BC04E0"/>
    <w:rsid w:val="00BC06D1"/>
    <w:rsid w:val="00BC0882"/>
    <w:rsid w:val="00BC0B1A"/>
    <w:rsid w:val="00BC0D2F"/>
    <w:rsid w:val="00BC0D65"/>
    <w:rsid w:val="00BC0EDE"/>
    <w:rsid w:val="00BC0F7E"/>
    <w:rsid w:val="00BC0F8E"/>
    <w:rsid w:val="00BC10E2"/>
    <w:rsid w:val="00BC14F4"/>
    <w:rsid w:val="00BC14FB"/>
    <w:rsid w:val="00BC1621"/>
    <w:rsid w:val="00BC1642"/>
    <w:rsid w:val="00BC1729"/>
    <w:rsid w:val="00BC1DEF"/>
    <w:rsid w:val="00BC20B3"/>
    <w:rsid w:val="00BC2245"/>
    <w:rsid w:val="00BC2AB0"/>
    <w:rsid w:val="00BC2ECA"/>
    <w:rsid w:val="00BC3581"/>
    <w:rsid w:val="00BC3ACC"/>
    <w:rsid w:val="00BC3B81"/>
    <w:rsid w:val="00BC47AB"/>
    <w:rsid w:val="00BC490C"/>
    <w:rsid w:val="00BC4D48"/>
    <w:rsid w:val="00BC4E89"/>
    <w:rsid w:val="00BC4FA8"/>
    <w:rsid w:val="00BC5261"/>
    <w:rsid w:val="00BC52A3"/>
    <w:rsid w:val="00BC5322"/>
    <w:rsid w:val="00BC5546"/>
    <w:rsid w:val="00BC5778"/>
    <w:rsid w:val="00BC5A51"/>
    <w:rsid w:val="00BC5A75"/>
    <w:rsid w:val="00BC6253"/>
    <w:rsid w:val="00BC6341"/>
    <w:rsid w:val="00BC6354"/>
    <w:rsid w:val="00BC641F"/>
    <w:rsid w:val="00BC659D"/>
    <w:rsid w:val="00BC65D6"/>
    <w:rsid w:val="00BC6774"/>
    <w:rsid w:val="00BC68B8"/>
    <w:rsid w:val="00BC6FC3"/>
    <w:rsid w:val="00BC75DF"/>
    <w:rsid w:val="00BC790F"/>
    <w:rsid w:val="00BC79CC"/>
    <w:rsid w:val="00BC7A73"/>
    <w:rsid w:val="00BC7AFA"/>
    <w:rsid w:val="00BC7B8C"/>
    <w:rsid w:val="00BC7D7B"/>
    <w:rsid w:val="00BC7D85"/>
    <w:rsid w:val="00BC7DCE"/>
    <w:rsid w:val="00BC7F21"/>
    <w:rsid w:val="00BD0583"/>
    <w:rsid w:val="00BD0AD8"/>
    <w:rsid w:val="00BD10AF"/>
    <w:rsid w:val="00BD1527"/>
    <w:rsid w:val="00BD15FE"/>
    <w:rsid w:val="00BD1905"/>
    <w:rsid w:val="00BD19F2"/>
    <w:rsid w:val="00BD1A87"/>
    <w:rsid w:val="00BD1B48"/>
    <w:rsid w:val="00BD2230"/>
    <w:rsid w:val="00BD22FE"/>
    <w:rsid w:val="00BD2790"/>
    <w:rsid w:val="00BD295D"/>
    <w:rsid w:val="00BD2A18"/>
    <w:rsid w:val="00BD2B0F"/>
    <w:rsid w:val="00BD308D"/>
    <w:rsid w:val="00BD3232"/>
    <w:rsid w:val="00BD3471"/>
    <w:rsid w:val="00BD3618"/>
    <w:rsid w:val="00BD3A55"/>
    <w:rsid w:val="00BD3E61"/>
    <w:rsid w:val="00BD3F6C"/>
    <w:rsid w:val="00BD417A"/>
    <w:rsid w:val="00BD4746"/>
    <w:rsid w:val="00BD4B32"/>
    <w:rsid w:val="00BD4C5E"/>
    <w:rsid w:val="00BD4F0B"/>
    <w:rsid w:val="00BD4F44"/>
    <w:rsid w:val="00BD5277"/>
    <w:rsid w:val="00BD52C9"/>
    <w:rsid w:val="00BD5341"/>
    <w:rsid w:val="00BD5674"/>
    <w:rsid w:val="00BD5694"/>
    <w:rsid w:val="00BD5869"/>
    <w:rsid w:val="00BD587B"/>
    <w:rsid w:val="00BD5A79"/>
    <w:rsid w:val="00BD639D"/>
    <w:rsid w:val="00BD65B0"/>
    <w:rsid w:val="00BD6BEE"/>
    <w:rsid w:val="00BD6D89"/>
    <w:rsid w:val="00BD6DA6"/>
    <w:rsid w:val="00BD70F0"/>
    <w:rsid w:val="00BD7438"/>
    <w:rsid w:val="00BD75B6"/>
    <w:rsid w:val="00BD77FD"/>
    <w:rsid w:val="00BD7AEC"/>
    <w:rsid w:val="00BD7D19"/>
    <w:rsid w:val="00BD7E24"/>
    <w:rsid w:val="00BD7EA3"/>
    <w:rsid w:val="00BE04F3"/>
    <w:rsid w:val="00BE05E1"/>
    <w:rsid w:val="00BE0635"/>
    <w:rsid w:val="00BE07A0"/>
    <w:rsid w:val="00BE11B6"/>
    <w:rsid w:val="00BE1237"/>
    <w:rsid w:val="00BE1748"/>
    <w:rsid w:val="00BE20EF"/>
    <w:rsid w:val="00BE2235"/>
    <w:rsid w:val="00BE2674"/>
    <w:rsid w:val="00BE2D92"/>
    <w:rsid w:val="00BE2E61"/>
    <w:rsid w:val="00BE3285"/>
    <w:rsid w:val="00BE487A"/>
    <w:rsid w:val="00BE4A78"/>
    <w:rsid w:val="00BE4D4A"/>
    <w:rsid w:val="00BE5060"/>
    <w:rsid w:val="00BE51CE"/>
    <w:rsid w:val="00BE547C"/>
    <w:rsid w:val="00BE594E"/>
    <w:rsid w:val="00BE5A5D"/>
    <w:rsid w:val="00BE5BB4"/>
    <w:rsid w:val="00BE5C6A"/>
    <w:rsid w:val="00BE5DA1"/>
    <w:rsid w:val="00BE6A99"/>
    <w:rsid w:val="00BE6C59"/>
    <w:rsid w:val="00BE6CED"/>
    <w:rsid w:val="00BE6DF5"/>
    <w:rsid w:val="00BE6E83"/>
    <w:rsid w:val="00BE7709"/>
    <w:rsid w:val="00BE7E03"/>
    <w:rsid w:val="00BE7E59"/>
    <w:rsid w:val="00BF0040"/>
    <w:rsid w:val="00BF00EF"/>
    <w:rsid w:val="00BF011E"/>
    <w:rsid w:val="00BF014B"/>
    <w:rsid w:val="00BF0193"/>
    <w:rsid w:val="00BF0578"/>
    <w:rsid w:val="00BF05EB"/>
    <w:rsid w:val="00BF084D"/>
    <w:rsid w:val="00BF087D"/>
    <w:rsid w:val="00BF08BE"/>
    <w:rsid w:val="00BF0B16"/>
    <w:rsid w:val="00BF13AB"/>
    <w:rsid w:val="00BF1522"/>
    <w:rsid w:val="00BF1C59"/>
    <w:rsid w:val="00BF1F0D"/>
    <w:rsid w:val="00BF214C"/>
    <w:rsid w:val="00BF22AA"/>
    <w:rsid w:val="00BF2373"/>
    <w:rsid w:val="00BF2604"/>
    <w:rsid w:val="00BF2BBC"/>
    <w:rsid w:val="00BF2CA6"/>
    <w:rsid w:val="00BF3289"/>
    <w:rsid w:val="00BF35B6"/>
    <w:rsid w:val="00BF37A5"/>
    <w:rsid w:val="00BF38EA"/>
    <w:rsid w:val="00BF3962"/>
    <w:rsid w:val="00BF39E5"/>
    <w:rsid w:val="00BF39F1"/>
    <w:rsid w:val="00BF3A76"/>
    <w:rsid w:val="00BF3E80"/>
    <w:rsid w:val="00BF40FE"/>
    <w:rsid w:val="00BF411D"/>
    <w:rsid w:val="00BF4583"/>
    <w:rsid w:val="00BF4767"/>
    <w:rsid w:val="00BF4840"/>
    <w:rsid w:val="00BF4EB1"/>
    <w:rsid w:val="00BF50F9"/>
    <w:rsid w:val="00BF51CA"/>
    <w:rsid w:val="00BF5794"/>
    <w:rsid w:val="00BF59A8"/>
    <w:rsid w:val="00BF5D38"/>
    <w:rsid w:val="00BF60C4"/>
    <w:rsid w:val="00BF6165"/>
    <w:rsid w:val="00BF618B"/>
    <w:rsid w:val="00BF626C"/>
    <w:rsid w:val="00BF6344"/>
    <w:rsid w:val="00BF63B7"/>
    <w:rsid w:val="00BF673F"/>
    <w:rsid w:val="00BF679D"/>
    <w:rsid w:val="00BF6967"/>
    <w:rsid w:val="00BF6B82"/>
    <w:rsid w:val="00BF6E48"/>
    <w:rsid w:val="00BF7058"/>
    <w:rsid w:val="00BF7108"/>
    <w:rsid w:val="00BF71C6"/>
    <w:rsid w:val="00BF723A"/>
    <w:rsid w:val="00BF7504"/>
    <w:rsid w:val="00BF7FEA"/>
    <w:rsid w:val="00BF7FF2"/>
    <w:rsid w:val="00C00A8A"/>
    <w:rsid w:val="00C00B5E"/>
    <w:rsid w:val="00C00C8F"/>
    <w:rsid w:val="00C00D69"/>
    <w:rsid w:val="00C00EF5"/>
    <w:rsid w:val="00C01435"/>
    <w:rsid w:val="00C014AC"/>
    <w:rsid w:val="00C01551"/>
    <w:rsid w:val="00C015EA"/>
    <w:rsid w:val="00C01883"/>
    <w:rsid w:val="00C01956"/>
    <w:rsid w:val="00C01A47"/>
    <w:rsid w:val="00C01B80"/>
    <w:rsid w:val="00C01BCB"/>
    <w:rsid w:val="00C01FCA"/>
    <w:rsid w:val="00C02250"/>
    <w:rsid w:val="00C02972"/>
    <w:rsid w:val="00C02A1F"/>
    <w:rsid w:val="00C02A66"/>
    <w:rsid w:val="00C02AC8"/>
    <w:rsid w:val="00C02BD9"/>
    <w:rsid w:val="00C02CB7"/>
    <w:rsid w:val="00C032CC"/>
    <w:rsid w:val="00C03405"/>
    <w:rsid w:val="00C034CC"/>
    <w:rsid w:val="00C034E6"/>
    <w:rsid w:val="00C039FD"/>
    <w:rsid w:val="00C042B6"/>
    <w:rsid w:val="00C043D8"/>
    <w:rsid w:val="00C043FA"/>
    <w:rsid w:val="00C047FB"/>
    <w:rsid w:val="00C0480E"/>
    <w:rsid w:val="00C04941"/>
    <w:rsid w:val="00C04958"/>
    <w:rsid w:val="00C04ACC"/>
    <w:rsid w:val="00C04B10"/>
    <w:rsid w:val="00C04BED"/>
    <w:rsid w:val="00C04EAF"/>
    <w:rsid w:val="00C05142"/>
    <w:rsid w:val="00C051F8"/>
    <w:rsid w:val="00C05368"/>
    <w:rsid w:val="00C053FB"/>
    <w:rsid w:val="00C05802"/>
    <w:rsid w:val="00C05940"/>
    <w:rsid w:val="00C05A8F"/>
    <w:rsid w:val="00C05B04"/>
    <w:rsid w:val="00C0667F"/>
    <w:rsid w:val="00C06804"/>
    <w:rsid w:val="00C06A7F"/>
    <w:rsid w:val="00C07160"/>
    <w:rsid w:val="00C07835"/>
    <w:rsid w:val="00C07AAF"/>
    <w:rsid w:val="00C07CB0"/>
    <w:rsid w:val="00C07D0C"/>
    <w:rsid w:val="00C10418"/>
    <w:rsid w:val="00C10880"/>
    <w:rsid w:val="00C10891"/>
    <w:rsid w:val="00C10AF0"/>
    <w:rsid w:val="00C10CDF"/>
    <w:rsid w:val="00C1113C"/>
    <w:rsid w:val="00C11815"/>
    <w:rsid w:val="00C11CBA"/>
    <w:rsid w:val="00C11CDD"/>
    <w:rsid w:val="00C12224"/>
    <w:rsid w:val="00C12432"/>
    <w:rsid w:val="00C1280D"/>
    <w:rsid w:val="00C12961"/>
    <w:rsid w:val="00C12BA9"/>
    <w:rsid w:val="00C12E6E"/>
    <w:rsid w:val="00C132C0"/>
    <w:rsid w:val="00C136E2"/>
    <w:rsid w:val="00C13A49"/>
    <w:rsid w:val="00C13AB3"/>
    <w:rsid w:val="00C13D76"/>
    <w:rsid w:val="00C13DB1"/>
    <w:rsid w:val="00C13DB7"/>
    <w:rsid w:val="00C13DF7"/>
    <w:rsid w:val="00C1436A"/>
    <w:rsid w:val="00C1441E"/>
    <w:rsid w:val="00C14997"/>
    <w:rsid w:val="00C149CB"/>
    <w:rsid w:val="00C14A51"/>
    <w:rsid w:val="00C14EAB"/>
    <w:rsid w:val="00C150B4"/>
    <w:rsid w:val="00C155D4"/>
    <w:rsid w:val="00C15E16"/>
    <w:rsid w:val="00C15E21"/>
    <w:rsid w:val="00C15FF7"/>
    <w:rsid w:val="00C1621B"/>
    <w:rsid w:val="00C167FD"/>
    <w:rsid w:val="00C169F7"/>
    <w:rsid w:val="00C16BA4"/>
    <w:rsid w:val="00C172E8"/>
    <w:rsid w:val="00C178BC"/>
    <w:rsid w:val="00C179C4"/>
    <w:rsid w:val="00C17B6B"/>
    <w:rsid w:val="00C17CFA"/>
    <w:rsid w:val="00C201BB"/>
    <w:rsid w:val="00C202DB"/>
    <w:rsid w:val="00C205FD"/>
    <w:rsid w:val="00C206DB"/>
    <w:rsid w:val="00C20C96"/>
    <w:rsid w:val="00C20E2D"/>
    <w:rsid w:val="00C21243"/>
    <w:rsid w:val="00C2124B"/>
    <w:rsid w:val="00C21671"/>
    <w:rsid w:val="00C21755"/>
    <w:rsid w:val="00C219AA"/>
    <w:rsid w:val="00C21A39"/>
    <w:rsid w:val="00C21EF3"/>
    <w:rsid w:val="00C2203A"/>
    <w:rsid w:val="00C2270F"/>
    <w:rsid w:val="00C2280D"/>
    <w:rsid w:val="00C2284A"/>
    <w:rsid w:val="00C22987"/>
    <w:rsid w:val="00C22D5F"/>
    <w:rsid w:val="00C2303F"/>
    <w:rsid w:val="00C23091"/>
    <w:rsid w:val="00C23117"/>
    <w:rsid w:val="00C2370A"/>
    <w:rsid w:val="00C243EA"/>
    <w:rsid w:val="00C24545"/>
    <w:rsid w:val="00C2460A"/>
    <w:rsid w:val="00C2480F"/>
    <w:rsid w:val="00C24825"/>
    <w:rsid w:val="00C2492B"/>
    <w:rsid w:val="00C249DF"/>
    <w:rsid w:val="00C249F4"/>
    <w:rsid w:val="00C24A34"/>
    <w:rsid w:val="00C24C32"/>
    <w:rsid w:val="00C24CE6"/>
    <w:rsid w:val="00C24E57"/>
    <w:rsid w:val="00C251CB"/>
    <w:rsid w:val="00C25509"/>
    <w:rsid w:val="00C2552B"/>
    <w:rsid w:val="00C25A2B"/>
    <w:rsid w:val="00C25D09"/>
    <w:rsid w:val="00C2649C"/>
    <w:rsid w:val="00C26557"/>
    <w:rsid w:val="00C26639"/>
    <w:rsid w:val="00C26754"/>
    <w:rsid w:val="00C26BBC"/>
    <w:rsid w:val="00C26C4A"/>
    <w:rsid w:val="00C271C0"/>
    <w:rsid w:val="00C27226"/>
    <w:rsid w:val="00C27323"/>
    <w:rsid w:val="00C276AD"/>
    <w:rsid w:val="00C279E0"/>
    <w:rsid w:val="00C27A5F"/>
    <w:rsid w:val="00C27B1C"/>
    <w:rsid w:val="00C27CE5"/>
    <w:rsid w:val="00C27D12"/>
    <w:rsid w:val="00C27D63"/>
    <w:rsid w:val="00C30594"/>
    <w:rsid w:val="00C30826"/>
    <w:rsid w:val="00C30B5B"/>
    <w:rsid w:val="00C310B9"/>
    <w:rsid w:val="00C310DF"/>
    <w:rsid w:val="00C31500"/>
    <w:rsid w:val="00C31B43"/>
    <w:rsid w:val="00C31BA9"/>
    <w:rsid w:val="00C31D62"/>
    <w:rsid w:val="00C31D6B"/>
    <w:rsid w:val="00C31D81"/>
    <w:rsid w:val="00C31EE6"/>
    <w:rsid w:val="00C3200B"/>
    <w:rsid w:val="00C3212A"/>
    <w:rsid w:val="00C3234B"/>
    <w:rsid w:val="00C326D9"/>
    <w:rsid w:val="00C32A72"/>
    <w:rsid w:val="00C32CB9"/>
    <w:rsid w:val="00C32D2A"/>
    <w:rsid w:val="00C3302D"/>
    <w:rsid w:val="00C3303F"/>
    <w:rsid w:val="00C33043"/>
    <w:rsid w:val="00C337DF"/>
    <w:rsid w:val="00C340EA"/>
    <w:rsid w:val="00C34CD7"/>
    <w:rsid w:val="00C34EF5"/>
    <w:rsid w:val="00C35298"/>
    <w:rsid w:val="00C3578F"/>
    <w:rsid w:val="00C35790"/>
    <w:rsid w:val="00C359BA"/>
    <w:rsid w:val="00C35F0E"/>
    <w:rsid w:val="00C36090"/>
    <w:rsid w:val="00C363E5"/>
    <w:rsid w:val="00C3640F"/>
    <w:rsid w:val="00C364A4"/>
    <w:rsid w:val="00C36D73"/>
    <w:rsid w:val="00C3729B"/>
    <w:rsid w:val="00C376D1"/>
    <w:rsid w:val="00C37C47"/>
    <w:rsid w:val="00C37DA2"/>
    <w:rsid w:val="00C37E4C"/>
    <w:rsid w:val="00C4004C"/>
    <w:rsid w:val="00C40076"/>
    <w:rsid w:val="00C40210"/>
    <w:rsid w:val="00C40656"/>
    <w:rsid w:val="00C407B7"/>
    <w:rsid w:val="00C40AC6"/>
    <w:rsid w:val="00C40AE5"/>
    <w:rsid w:val="00C41108"/>
    <w:rsid w:val="00C42366"/>
    <w:rsid w:val="00C425D5"/>
    <w:rsid w:val="00C425F2"/>
    <w:rsid w:val="00C42982"/>
    <w:rsid w:val="00C42A8F"/>
    <w:rsid w:val="00C42C95"/>
    <w:rsid w:val="00C42D89"/>
    <w:rsid w:val="00C430ED"/>
    <w:rsid w:val="00C4332F"/>
    <w:rsid w:val="00C4351A"/>
    <w:rsid w:val="00C43779"/>
    <w:rsid w:val="00C43BB8"/>
    <w:rsid w:val="00C43E1F"/>
    <w:rsid w:val="00C43ED1"/>
    <w:rsid w:val="00C43F6F"/>
    <w:rsid w:val="00C441FA"/>
    <w:rsid w:val="00C442DF"/>
    <w:rsid w:val="00C4469C"/>
    <w:rsid w:val="00C44756"/>
    <w:rsid w:val="00C4485C"/>
    <w:rsid w:val="00C44A61"/>
    <w:rsid w:val="00C44B50"/>
    <w:rsid w:val="00C44C63"/>
    <w:rsid w:val="00C44CDF"/>
    <w:rsid w:val="00C44D5A"/>
    <w:rsid w:val="00C44DF9"/>
    <w:rsid w:val="00C450DC"/>
    <w:rsid w:val="00C455F2"/>
    <w:rsid w:val="00C45CE3"/>
    <w:rsid w:val="00C45F58"/>
    <w:rsid w:val="00C46173"/>
    <w:rsid w:val="00C465C8"/>
    <w:rsid w:val="00C465CB"/>
    <w:rsid w:val="00C46862"/>
    <w:rsid w:val="00C4691A"/>
    <w:rsid w:val="00C46A77"/>
    <w:rsid w:val="00C46B05"/>
    <w:rsid w:val="00C46F9B"/>
    <w:rsid w:val="00C475E4"/>
    <w:rsid w:val="00C47707"/>
    <w:rsid w:val="00C5018A"/>
    <w:rsid w:val="00C5029D"/>
    <w:rsid w:val="00C50598"/>
    <w:rsid w:val="00C505CB"/>
    <w:rsid w:val="00C508E3"/>
    <w:rsid w:val="00C5092A"/>
    <w:rsid w:val="00C50B20"/>
    <w:rsid w:val="00C50EE5"/>
    <w:rsid w:val="00C5109A"/>
    <w:rsid w:val="00C5126C"/>
    <w:rsid w:val="00C512E7"/>
    <w:rsid w:val="00C514A5"/>
    <w:rsid w:val="00C51694"/>
    <w:rsid w:val="00C51C65"/>
    <w:rsid w:val="00C52133"/>
    <w:rsid w:val="00C5215F"/>
    <w:rsid w:val="00C52920"/>
    <w:rsid w:val="00C529A8"/>
    <w:rsid w:val="00C52DA8"/>
    <w:rsid w:val="00C52EE2"/>
    <w:rsid w:val="00C5310E"/>
    <w:rsid w:val="00C53373"/>
    <w:rsid w:val="00C53D0E"/>
    <w:rsid w:val="00C53D63"/>
    <w:rsid w:val="00C53DBC"/>
    <w:rsid w:val="00C53EFC"/>
    <w:rsid w:val="00C53F58"/>
    <w:rsid w:val="00C547AF"/>
    <w:rsid w:val="00C54C89"/>
    <w:rsid w:val="00C55238"/>
    <w:rsid w:val="00C55570"/>
    <w:rsid w:val="00C55588"/>
    <w:rsid w:val="00C556B4"/>
    <w:rsid w:val="00C56092"/>
    <w:rsid w:val="00C5642E"/>
    <w:rsid w:val="00C568B2"/>
    <w:rsid w:val="00C56A45"/>
    <w:rsid w:val="00C56B62"/>
    <w:rsid w:val="00C56E77"/>
    <w:rsid w:val="00C570BD"/>
    <w:rsid w:val="00C572AE"/>
    <w:rsid w:val="00C575A6"/>
    <w:rsid w:val="00C57856"/>
    <w:rsid w:val="00C578B2"/>
    <w:rsid w:val="00C57FD7"/>
    <w:rsid w:val="00C5E050"/>
    <w:rsid w:val="00C6019B"/>
    <w:rsid w:val="00C60219"/>
    <w:rsid w:val="00C602E5"/>
    <w:rsid w:val="00C606DD"/>
    <w:rsid w:val="00C608CC"/>
    <w:rsid w:val="00C60F9D"/>
    <w:rsid w:val="00C61122"/>
    <w:rsid w:val="00C611B9"/>
    <w:rsid w:val="00C611C9"/>
    <w:rsid w:val="00C6178A"/>
    <w:rsid w:val="00C61A01"/>
    <w:rsid w:val="00C61D20"/>
    <w:rsid w:val="00C61F33"/>
    <w:rsid w:val="00C61FE0"/>
    <w:rsid w:val="00C62130"/>
    <w:rsid w:val="00C62474"/>
    <w:rsid w:val="00C6256E"/>
    <w:rsid w:val="00C62B44"/>
    <w:rsid w:val="00C62B7E"/>
    <w:rsid w:val="00C62CAF"/>
    <w:rsid w:val="00C6389F"/>
    <w:rsid w:val="00C6398A"/>
    <w:rsid w:val="00C63C96"/>
    <w:rsid w:val="00C63F96"/>
    <w:rsid w:val="00C642D2"/>
    <w:rsid w:val="00C642E8"/>
    <w:rsid w:val="00C646FA"/>
    <w:rsid w:val="00C647A2"/>
    <w:rsid w:val="00C64D37"/>
    <w:rsid w:val="00C651BB"/>
    <w:rsid w:val="00C652D0"/>
    <w:rsid w:val="00C6555C"/>
    <w:rsid w:val="00C655AE"/>
    <w:rsid w:val="00C65901"/>
    <w:rsid w:val="00C65C14"/>
    <w:rsid w:val="00C661BC"/>
    <w:rsid w:val="00C6629B"/>
    <w:rsid w:val="00C663CC"/>
    <w:rsid w:val="00C66405"/>
    <w:rsid w:val="00C66661"/>
    <w:rsid w:val="00C666A8"/>
    <w:rsid w:val="00C66FA0"/>
    <w:rsid w:val="00C67100"/>
    <w:rsid w:val="00C6722B"/>
    <w:rsid w:val="00C679D3"/>
    <w:rsid w:val="00C67E56"/>
    <w:rsid w:val="00C67E8E"/>
    <w:rsid w:val="00C700D4"/>
    <w:rsid w:val="00C7016D"/>
    <w:rsid w:val="00C701A4"/>
    <w:rsid w:val="00C70271"/>
    <w:rsid w:val="00C7037B"/>
    <w:rsid w:val="00C70DD7"/>
    <w:rsid w:val="00C7110D"/>
    <w:rsid w:val="00C711F9"/>
    <w:rsid w:val="00C71E6D"/>
    <w:rsid w:val="00C72081"/>
    <w:rsid w:val="00C725FC"/>
    <w:rsid w:val="00C7265B"/>
    <w:rsid w:val="00C72793"/>
    <w:rsid w:val="00C72980"/>
    <w:rsid w:val="00C72996"/>
    <w:rsid w:val="00C72B37"/>
    <w:rsid w:val="00C72D7E"/>
    <w:rsid w:val="00C72F61"/>
    <w:rsid w:val="00C7337B"/>
    <w:rsid w:val="00C7340E"/>
    <w:rsid w:val="00C73631"/>
    <w:rsid w:val="00C73ED4"/>
    <w:rsid w:val="00C7441D"/>
    <w:rsid w:val="00C74450"/>
    <w:rsid w:val="00C744A5"/>
    <w:rsid w:val="00C745FF"/>
    <w:rsid w:val="00C746E9"/>
    <w:rsid w:val="00C7496C"/>
    <w:rsid w:val="00C74E3E"/>
    <w:rsid w:val="00C74E55"/>
    <w:rsid w:val="00C74F79"/>
    <w:rsid w:val="00C755DC"/>
    <w:rsid w:val="00C75894"/>
    <w:rsid w:val="00C75B6C"/>
    <w:rsid w:val="00C75C29"/>
    <w:rsid w:val="00C75EB0"/>
    <w:rsid w:val="00C7601C"/>
    <w:rsid w:val="00C76142"/>
    <w:rsid w:val="00C761C5"/>
    <w:rsid w:val="00C762D0"/>
    <w:rsid w:val="00C762E4"/>
    <w:rsid w:val="00C76677"/>
    <w:rsid w:val="00C76845"/>
    <w:rsid w:val="00C76907"/>
    <w:rsid w:val="00C76CAB"/>
    <w:rsid w:val="00C76CF2"/>
    <w:rsid w:val="00C76CF9"/>
    <w:rsid w:val="00C77024"/>
    <w:rsid w:val="00C771EE"/>
    <w:rsid w:val="00C7730B"/>
    <w:rsid w:val="00C77599"/>
    <w:rsid w:val="00C776E9"/>
    <w:rsid w:val="00C77AEE"/>
    <w:rsid w:val="00C77FCA"/>
    <w:rsid w:val="00C803B4"/>
    <w:rsid w:val="00C8075F"/>
    <w:rsid w:val="00C80C1C"/>
    <w:rsid w:val="00C80C44"/>
    <w:rsid w:val="00C80C67"/>
    <w:rsid w:val="00C80FF9"/>
    <w:rsid w:val="00C81075"/>
    <w:rsid w:val="00C81199"/>
    <w:rsid w:val="00C8127F"/>
    <w:rsid w:val="00C8134A"/>
    <w:rsid w:val="00C8135C"/>
    <w:rsid w:val="00C8140B"/>
    <w:rsid w:val="00C816AD"/>
    <w:rsid w:val="00C81943"/>
    <w:rsid w:val="00C81CBD"/>
    <w:rsid w:val="00C81CC7"/>
    <w:rsid w:val="00C81D8A"/>
    <w:rsid w:val="00C81DC1"/>
    <w:rsid w:val="00C81F61"/>
    <w:rsid w:val="00C82D87"/>
    <w:rsid w:val="00C82EC3"/>
    <w:rsid w:val="00C831E7"/>
    <w:rsid w:val="00C83287"/>
    <w:rsid w:val="00C8357C"/>
    <w:rsid w:val="00C83719"/>
    <w:rsid w:val="00C8371D"/>
    <w:rsid w:val="00C83BFD"/>
    <w:rsid w:val="00C83CA8"/>
    <w:rsid w:val="00C83D4F"/>
    <w:rsid w:val="00C843D9"/>
    <w:rsid w:val="00C844A4"/>
    <w:rsid w:val="00C84542"/>
    <w:rsid w:val="00C8486F"/>
    <w:rsid w:val="00C848F7"/>
    <w:rsid w:val="00C84A17"/>
    <w:rsid w:val="00C84C0B"/>
    <w:rsid w:val="00C84DF0"/>
    <w:rsid w:val="00C84FEF"/>
    <w:rsid w:val="00C8502F"/>
    <w:rsid w:val="00C85069"/>
    <w:rsid w:val="00C85311"/>
    <w:rsid w:val="00C856A3"/>
    <w:rsid w:val="00C85A31"/>
    <w:rsid w:val="00C85CF9"/>
    <w:rsid w:val="00C8608E"/>
    <w:rsid w:val="00C861E3"/>
    <w:rsid w:val="00C86795"/>
    <w:rsid w:val="00C8735C"/>
    <w:rsid w:val="00C87381"/>
    <w:rsid w:val="00C87C5E"/>
    <w:rsid w:val="00C902D8"/>
    <w:rsid w:val="00C90519"/>
    <w:rsid w:val="00C9056E"/>
    <w:rsid w:val="00C9084A"/>
    <w:rsid w:val="00C90947"/>
    <w:rsid w:val="00C90A28"/>
    <w:rsid w:val="00C90B2D"/>
    <w:rsid w:val="00C90CC4"/>
    <w:rsid w:val="00C90DAF"/>
    <w:rsid w:val="00C90DBC"/>
    <w:rsid w:val="00C91000"/>
    <w:rsid w:val="00C913DE"/>
    <w:rsid w:val="00C9154A"/>
    <w:rsid w:val="00C91666"/>
    <w:rsid w:val="00C91777"/>
    <w:rsid w:val="00C91895"/>
    <w:rsid w:val="00C918F1"/>
    <w:rsid w:val="00C91F5F"/>
    <w:rsid w:val="00C921E9"/>
    <w:rsid w:val="00C923D3"/>
    <w:rsid w:val="00C926AE"/>
    <w:rsid w:val="00C9276A"/>
    <w:rsid w:val="00C92840"/>
    <w:rsid w:val="00C92964"/>
    <w:rsid w:val="00C929B7"/>
    <w:rsid w:val="00C929F2"/>
    <w:rsid w:val="00C92A76"/>
    <w:rsid w:val="00C92D4E"/>
    <w:rsid w:val="00C92E60"/>
    <w:rsid w:val="00C932D7"/>
    <w:rsid w:val="00C93909"/>
    <w:rsid w:val="00C93E3C"/>
    <w:rsid w:val="00C93FC7"/>
    <w:rsid w:val="00C941E6"/>
    <w:rsid w:val="00C945A7"/>
    <w:rsid w:val="00C945FA"/>
    <w:rsid w:val="00C94AA6"/>
    <w:rsid w:val="00C95A9A"/>
    <w:rsid w:val="00C95C84"/>
    <w:rsid w:val="00C9610B"/>
    <w:rsid w:val="00C96125"/>
    <w:rsid w:val="00C9675C"/>
    <w:rsid w:val="00C96EFD"/>
    <w:rsid w:val="00C96FC1"/>
    <w:rsid w:val="00C971DB"/>
    <w:rsid w:val="00C973B4"/>
    <w:rsid w:val="00C97793"/>
    <w:rsid w:val="00C979EA"/>
    <w:rsid w:val="00C97C2C"/>
    <w:rsid w:val="00C97E3F"/>
    <w:rsid w:val="00C97EF2"/>
    <w:rsid w:val="00CA0069"/>
    <w:rsid w:val="00CA08FB"/>
    <w:rsid w:val="00CA0906"/>
    <w:rsid w:val="00CA0D9F"/>
    <w:rsid w:val="00CA0EAF"/>
    <w:rsid w:val="00CA17E1"/>
    <w:rsid w:val="00CA1BEE"/>
    <w:rsid w:val="00CA20A9"/>
    <w:rsid w:val="00CA21DD"/>
    <w:rsid w:val="00CA237E"/>
    <w:rsid w:val="00CA23FD"/>
    <w:rsid w:val="00CA2791"/>
    <w:rsid w:val="00CA2C86"/>
    <w:rsid w:val="00CA2CF5"/>
    <w:rsid w:val="00CA2DF7"/>
    <w:rsid w:val="00CA2F06"/>
    <w:rsid w:val="00CA2FF1"/>
    <w:rsid w:val="00CA3135"/>
    <w:rsid w:val="00CA3402"/>
    <w:rsid w:val="00CA3495"/>
    <w:rsid w:val="00CA378A"/>
    <w:rsid w:val="00CA39AC"/>
    <w:rsid w:val="00CA3C63"/>
    <w:rsid w:val="00CA3C73"/>
    <w:rsid w:val="00CA3E74"/>
    <w:rsid w:val="00CA3E7B"/>
    <w:rsid w:val="00CA4037"/>
    <w:rsid w:val="00CA40AE"/>
    <w:rsid w:val="00CA4BDB"/>
    <w:rsid w:val="00CA4D57"/>
    <w:rsid w:val="00CA53D0"/>
    <w:rsid w:val="00CA5496"/>
    <w:rsid w:val="00CA55E7"/>
    <w:rsid w:val="00CA5917"/>
    <w:rsid w:val="00CA5BBE"/>
    <w:rsid w:val="00CA5C34"/>
    <w:rsid w:val="00CA5D47"/>
    <w:rsid w:val="00CA6096"/>
    <w:rsid w:val="00CA61C1"/>
    <w:rsid w:val="00CA6409"/>
    <w:rsid w:val="00CA67F4"/>
    <w:rsid w:val="00CA68E0"/>
    <w:rsid w:val="00CA69E8"/>
    <w:rsid w:val="00CA6C33"/>
    <w:rsid w:val="00CA7296"/>
    <w:rsid w:val="00CA754B"/>
    <w:rsid w:val="00CA76FD"/>
    <w:rsid w:val="00CA7701"/>
    <w:rsid w:val="00CA7ED1"/>
    <w:rsid w:val="00CB073B"/>
    <w:rsid w:val="00CB0A46"/>
    <w:rsid w:val="00CB0E68"/>
    <w:rsid w:val="00CB16BE"/>
    <w:rsid w:val="00CB1BA5"/>
    <w:rsid w:val="00CB1CC7"/>
    <w:rsid w:val="00CB1E7A"/>
    <w:rsid w:val="00CB2494"/>
    <w:rsid w:val="00CB24FB"/>
    <w:rsid w:val="00CB269C"/>
    <w:rsid w:val="00CB2E64"/>
    <w:rsid w:val="00CB34FE"/>
    <w:rsid w:val="00CB35F5"/>
    <w:rsid w:val="00CB3664"/>
    <w:rsid w:val="00CB3822"/>
    <w:rsid w:val="00CB3C81"/>
    <w:rsid w:val="00CB3D65"/>
    <w:rsid w:val="00CB3D85"/>
    <w:rsid w:val="00CB3D8E"/>
    <w:rsid w:val="00CB3E98"/>
    <w:rsid w:val="00CB3EA4"/>
    <w:rsid w:val="00CB3FBB"/>
    <w:rsid w:val="00CB41C1"/>
    <w:rsid w:val="00CB4877"/>
    <w:rsid w:val="00CB4A4C"/>
    <w:rsid w:val="00CB4FD6"/>
    <w:rsid w:val="00CB51B4"/>
    <w:rsid w:val="00CB5367"/>
    <w:rsid w:val="00CB5AA5"/>
    <w:rsid w:val="00CB5AEC"/>
    <w:rsid w:val="00CB5D6F"/>
    <w:rsid w:val="00CB5EB3"/>
    <w:rsid w:val="00CB6023"/>
    <w:rsid w:val="00CB61D0"/>
    <w:rsid w:val="00CB6433"/>
    <w:rsid w:val="00CB6515"/>
    <w:rsid w:val="00CB6563"/>
    <w:rsid w:val="00CB6AE9"/>
    <w:rsid w:val="00CB6C02"/>
    <w:rsid w:val="00CB707D"/>
    <w:rsid w:val="00CB716E"/>
    <w:rsid w:val="00CB728B"/>
    <w:rsid w:val="00CB72E4"/>
    <w:rsid w:val="00CB7428"/>
    <w:rsid w:val="00CB7510"/>
    <w:rsid w:val="00CB766C"/>
    <w:rsid w:val="00CB775C"/>
    <w:rsid w:val="00CB7B98"/>
    <w:rsid w:val="00CB7DC0"/>
    <w:rsid w:val="00CC072B"/>
    <w:rsid w:val="00CC0BD2"/>
    <w:rsid w:val="00CC0BDE"/>
    <w:rsid w:val="00CC0BE3"/>
    <w:rsid w:val="00CC0FD7"/>
    <w:rsid w:val="00CC1308"/>
    <w:rsid w:val="00CC16D8"/>
    <w:rsid w:val="00CC1A74"/>
    <w:rsid w:val="00CC1B9D"/>
    <w:rsid w:val="00CC22E5"/>
    <w:rsid w:val="00CC24F8"/>
    <w:rsid w:val="00CC2970"/>
    <w:rsid w:val="00CC2C70"/>
    <w:rsid w:val="00CC2F10"/>
    <w:rsid w:val="00CC30B7"/>
    <w:rsid w:val="00CC3479"/>
    <w:rsid w:val="00CC34E8"/>
    <w:rsid w:val="00CC36F1"/>
    <w:rsid w:val="00CC3844"/>
    <w:rsid w:val="00CC39A9"/>
    <w:rsid w:val="00CC3B39"/>
    <w:rsid w:val="00CC3BC2"/>
    <w:rsid w:val="00CC3C0D"/>
    <w:rsid w:val="00CC3C64"/>
    <w:rsid w:val="00CC4074"/>
    <w:rsid w:val="00CC40EA"/>
    <w:rsid w:val="00CC4205"/>
    <w:rsid w:val="00CC4233"/>
    <w:rsid w:val="00CC441F"/>
    <w:rsid w:val="00CC45C3"/>
    <w:rsid w:val="00CC47FA"/>
    <w:rsid w:val="00CC4A5C"/>
    <w:rsid w:val="00CC4AB2"/>
    <w:rsid w:val="00CC4BE0"/>
    <w:rsid w:val="00CC4C65"/>
    <w:rsid w:val="00CC50AF"/>
    <w:rsid w:val="00CC53B6"/>
    <w:rsid w:val="00CC5413"/>
    <w:rsid w:val="00CC5586"/>
    <w:rsid w:val="00CC56A1"/>
    <w:rsid w:val="00CC57FB"/>
    <w:rsid w:val="00CC5C86"/>
    <w:rsid w:val="00CC5E59"/>
    <w:rsid w:val="00CC6117"/>
    <w:rsid w:val="00CC64C6"/>
    <w:rsid w:val="00CC66F6"/>
    <w:rsid w:val="00CC67BD"/>
    <w:rsid w:val="00CC694F"/>
    <w:rsid w:val="00CC6E24"/>
    <w:rsid w:val="00CC717E"/>
    <w:rsid w:val="00CC7403"/>
    <w:rsid w:val="00CC7719"/>
    <w:rsid w:val="00CC7774"/>
    <w:rsid w:val="00CC7815"/>
    <w:rsid w:val="00CC784A"/>
    <w:rsid w:val="00CC78CA"/>
    <w:rsid w:val="00CC7ADF"/>
    <w:rsid w:val="00CC7E96"/>
    <w:rsid w:val="00CD01CB"/>
    <w:rsid w:val="00CD0285"/>
    <w:rsid w:val="00CD0825"/>
    <w:rsid w:val="00CD0A39"/>
    <w:rsid w:val="00CD1464"/>
    <w:rsid w:val="00CD1543"/>
    <w:rsid w:val="00CD16D3"/>
    <w:rsid w:val="00CD1AAA"/>
    <w:rsid w:val="00CD212C"/>
    <w:rsid w:val="00CD279E"/>
    <w:rsid w:val="00CD2DCE"/>
    <w:rsid w:val="00CD304D"/>
    <w:rsid w:val="00CD3171"/>
    <w:rsid w:val="00CD31F8"/>
    <w:rsid w:val="00CD3B12"/>
    <w:rsid w:val="00CD3C69"/>
    <w:rsid w:val="00CD3E3E"/>
    <w:rsid w:val="00CD4388"/>
    <w:rsid w:val="00CD4864"/>
    <w:rsid w:val="00CD4996"/>
    <w:rsid w:val="00CD49AB"/>
    <w:rsid w:val="00CD4B2A"/>
    <w:rsid w:val="00CD4B99"/>
    <w:rsid w:val="00CD4D71"/>
    <w:rsid w:val="00CD4DCC"/>
    <w:rsid w:val="00CD527B"/>
    <w:rsid w:val="00CD53C6"/>
    <w:rsid w:val="00CD5718"/>
    <w:rsid w:val="00CD5777"/>
    <w:rsid w:val="00CD5905"/>
    <w:rsid w:val="00CD590E"/>
    <w:rsid w:val="00CD5A6D"/>
    <w:rsid w:val="00CD5ABF"/>
    <w:rsid w:val="00CD62DC"/>
    <w:rsid w:val="00CD63BE"/>
    <w:rsid w:val="00CD6516"/>
    <w:rsid w:val="00CD6891"/>
    <w:rsid w:val="00CD6DAB"/>
    <w:rsid w:val="00CD72C2"/>
    <w:rsid w:val="00CD7651"/>
    <w:rsid w:val="00CD7A26"/>
    <w:rsid w:val="00CD7D5F"/>
    <w:rsid w:val="00CE0212"/>
    <w:rsid w:val="00CE02B5"/>
    <w:rsid w:val="00CE031D"/>
    <w:rsid w:val="00CE06D0"/>
    <w:rsid w:val="00CE0A55"/>
    <w:rsid w:val="00CE0C12"/>
    <w:rsid w:val="00CE0EEE"/>
    <w:rsid w:val="00CE1007"/>
    <w:rsid w:val="00CE1620"/>
    <w:rsid w:val="00CE16A4"/>
    <w:rsid w:val="00CE1B26"/>
    <w:rsid w:val="00CE1D08"/>
    <w:rsid w:val="00CE2232"/>
    <w:rsid w:val="00CE2261"/>
    <w:rsid w:val="00CE2734"/>
    <w:rsid w:val="00CE284D"/>
    <w:rsid w:val="00CE292C"/>
    <w:rsid w:val="00CE2A7B"/>
    <w:rsid w:val="00CE2F25"/>
    <w:rsid w:val="00CE3661"/>
    <w:rsid w:val="00CE3828"/>
    <w:rsid w:val="00CE4015"/>
    <w:rsid w:val="00CE4415"/>
    <w:rsid w:val="00CE4472"/>
    <w:rsid w:val="00CE4C53"/>
    <w:rsid w:val="00CE4F3A"/>
    <w:rsid w:val="00CE5132"/>
    <w:rsid w:val="00CE53F4"/>
    <w:rsid w:val="00CE5465"/>
    <w:rsid w:val="00CE58B4"/>
    <w:rsid w:val="00CE5BF7"/>
    <w:rsid w:val="00CE5D20"/>
    <w:rsid w:val="00CE6207"/>
    <w:rsid w:val="00CE6232"/>
    <w:rsid w:val="00CE641C"/>
    <w:rsid w:val="00CE6727"/>
    <w:rsid w:val="00CE7241"/>
    <w:rsid w:val="00CE7489"/>
    <w:rsid w:val="00CE76BF"/>
    <w:rsid w:val="00CE78F8"/>
    <w:rsid w:val="00CE7DC2"/>
    <w:rsid w:val="00CE7FE1"/>
    <w:rsid w:val="00CE7FF1"/>
    <w:rsid w:val="00CF028C"/>
    <w:rsid w:val="00CF03C4"/>
    <w:rsid w:val="00CF051E"/>
    <w:rsid w:val="00CF0870"/>
    <w:rsid w:val="00CF09B3"/>
    <w:rsid w:val="00CF0C05"/>
    <w:rsid w:val="00CF0C6F"/>
    <w:rsid w:val="00CF0D7B"/>
    <w:rsid w:val="00CF176C"/>
    <w:rsid w:val="00CF17E2"/>
    <w:rsid w:val="00CF1D23"/>
    <w:rsid w:val="00CF1D5E"/>
    <w:rsid w:val="00CF1D63"/>
    <w:rsid w:val="00CF229F"/>
    <w:rsid w:val="00CF250F"/>
    <w:rsid w:val="00CF25F1"/>
    <w:rsid w:val="00CF2651"/>
    <w:rsid w:val="00CF2AD0"/>
    <w:rsid w:val="00CF2BA1"/>
    <w:rsid w:val="00CF2CBD"/>
    <w:rsid w:val="00CF35B6"/>
    <w:rsid w:val="00CF3F70"/>
    <w:rsid w:val="00CF4494"/>
    <w:rsid w:val="00CF476C"/>
    <w:rsid w:val="00CF4781"/>
    <w:rsid w:val="00CF4818"/>
    <w:rsid w:val="00CF49C7"/>
    <w:rsid w:val="00CF4CF5"/>
    <w:rsid w:val="00CF4DDA"/>
    <w:rsid w:val="00CF4F7B"/>
    <w:rsid w:val="00CF51CB"/>
    <w:rsid w:val="00CF5469"/>
    <w:rsid w:val="00CF5713"/>
    <w:rsid w:val="00CF574C"/>
    <w:rsid w:val="00CF57E5"/>
    <w:rsid w:val="00CF5B21"/>
    <w:rsid w:val="00CF5C5D"/>
    <w:rsid w:val="00CF5DB4"/>
    <w:rsid w:val="00CF5DC7"/>
    <w:rsid w:val="00CF5F29"/>
    <w:rsid w:val="00CF6792"/>
    <w:rsid w:val="00CF67C9"/>
    <w:rsid w:val="00CF7105"/>
    <w:rsid w:val="00CF7422"/>
    <w:rsid w:val="00CF7C20"/>
    <w:rsid w:val="00CF7D86"/>
    <w:rsid w:val="00CF7E01"/>
    <w:rsid w:val="00D0010D"/>
    <w:rsid w:val="00D004F3"/>
    <w:rsid w:val="00D006E5"/>
    <w:rsid w:val="00D006E6"/>
    <w:rsid w:val="00D009B3"/>
    <w:rsid w:val="00D00B2A"/>
    <w:rsid w:val="00D00C84"/>
    <w:rsid w:val="00D00CB6"/>
    <w:rsid w:val="00D01668"/>
    <w:rsid w:val="00D01BB6"/>
    <w:rsid w:val="00D021FB"/>
    <w:rsid w:val="00D030E5"/>
    <w:rsid w:val="00D03322"/>
    <w:rsid w:val="00D033AC"/>
    <w:rsid w:val="00D03571"/>
    <w:rsid w:val="00D03600"/>
    <w:rsid w:val="00D0362E"/>
    <w:rsid w:val="00D03857"/>
    <w:rsid w:val="00D03C75"/>
    <w:rsid w:val="00D0413E"/>
    <w:rsid w:val="00D04268"/>
    <w:rsid w:val="00D0476C"/>
    <w:rsid w:val="00D04960"/>
    <w:rsid w:val="00D04B17"/>
    <w:rsid w:val="00D04CDA"/>
    <w:rsid w:val="00D057CC"/>
    <w:rsid w:val="00D05D57"/>
    <w:rsid w:val="00D05E75"/>
    <w:rsid w:val="00D061DD"/>
    <w:rsid w:val="00D063E2"/>
    <w:rsid w:val="00D0645C"/>
    <w:rsid w:val="00D065A3"/>
    <w:rsid w:val="00D065B6"/>
    <w:rsid w:val="00D067E5"/>
    <w:rsid w:val="00D06914"/>
    <w:rsid w:val="00D06D37"/>
    <w:rsid w:val="00D07160"/>
    <w:rsid w:val="00D07171"/>
    <w:rsid w:val="00D0731C"/>
    <w:rsid w:val="00D07386"/>
    <w:rsid w:val="00D0773F"/>
    <w:rsid w:val="00D0785A"/>
    <w:rsid w:val="00D079B6"/>
    <w:rsid w:val="00D07E18"/>
    <w:rsid w:val="00D10B59"/>
    <w:rsid w:val="00D10DEB"/>
    <w:rsid w:val="00D11713"/>
    <w:rsid w:val="00D1176A"/>
    <w:rsid w:val="00D11902"/>
    <w:rsid w:val="00D11A8E"/>
    <w:rsid w:val="00D11ADF"/>
    <w:rsid w:val="00D11CB3"/>
    <w:rsid w:val="00D11E80"/>
    <w:rsid w:val="00D11E8F"/>
    <w:rsid w:val="00D11F21"/>
    <w:rsid w:val="00D12915"/>
    <w:rsid w:val="00D129ED"/>
    <w:rsid w:val="00D1320E"/>
    <w:rsid w:val="00D1349B"/>
    <w:rsid w:val="00D135CA"/>
    <w:rsid w:val="00D13955"/>
    <w:rsid w:val="00D13B8A"/>
    <w:rsid w:val="00D13C6F"/>
    <w:rsid w:val="00D143B8"/>
    <w:rsid w:val="00D14AC6"/>
    <w:rsid w:val="00D14B19"/>
    <w:rsid w:val="00D14D43"/>
    <w:rsid w:val="00D15952"/>
    <w:rsid w:val="00D15D72"/>
    <w:rsid w:val="00D15EDA"/>
    <w:rsid w:val="00D163B8"/>
    <w:rsid w:val="00D16591"/>
    <w:rsid w:val="00D16655"/>
    <w:rsid w:val="00D168AA"/>
    <w:rsid w:val="00D169FB"/>
    <w:rsid w:val="00D16B79"/>
    <w:rsid w:val="00D16D33"/>
    <w:rsid w:val="00D17102"/>
    <w:rsid w:val="00D171EB"/>
    <w:rsid w:val="00D172C3"/>
    <w:rsid w:val="00D17CC2"/>
    <w:rsid w:val="00D20136"/>
    <w:rsid w:val="00D20383"/>
    <w:rsid w:val="00D20812"/>
    <w:rsid w:val="00D208A7"/>
    <w:rsid w:val="00D20B37"/>
    <w:rsid w:val="00D21176"/>
    <w:rsid w:val="00D211FA"/>
    <w:rsid w:val="00D21376"/>
    <w:rsid w:val="00D21DE8"/>
    <w:rsid w:val="00D220B7"/>
    <w:rsid w:val="00D2242F"/>
    <w:rsid w:val="00D22461"/>
    <w:rsid w:val="00D22727"/>
    <w:rsid w:val="00D228D5"/>
    <w:rsid w:val="00D22A69"/>
    <w:rsid w:val="00D23110"/>
    <w:rsid w:val="00D232F1"/>
    <w:rsid w:val="00D23342"/>
    <w:rsid w:val="00D2361B"/>
    <w:rsid w:val="00D23724"/>
    <w:rsid w:val="00D237DB"/>
    <w:rsid w:val="00D239DE"/>
    <w:rsid w:val="00D23C17"/>
    <w:rsid w:val="00D23D52"/>
    <w:rsid w:val="00D23DE8"/>
    <w:rsid w:val="00D245D9"/>
    <w:rsid w:val="00D24849"/>
    <w:rsid w:val="00D24C3F"/>
    <w:rsid w:val="00D25044"/>
    <w:rsid w:val="00D251FC"/>
    <w:rsid w:val="00D25441"/>
    <w:rsid w:val="00D255E0"/>
    <w:rsid w:val="00D256C3"/>
    <w:rsid w:val="00D2576B"/>
    <w:rsid w:val="00D257B3"/>
    <w:rsid w:val="00D25947"/>
    <w:rsid w:val="00D25F5C"/>
    <w:rsid w:val="00D26147"/>
    <w:rsid w:val="00D2624A"/>
    <w:rsid w:val="00D266A8"/>
    <w:rsid w:val="00D26741"/>
    <w:rsid w:val="00D26803"/>
    <w:rsid w:val="00D2699C"/>
    <w:rsid w:val="00D26E19"/>
    <w:rsid w:val="00D273C3"/>
    <w:rsid w:val="00D274B5"/>
    <w:rsid w:val="00D27577"/>
    <w:rsid w:val="00D27832"/>
    <w:rsid w:val="00D27C96"/>
    <w:rsid w:val="00D27F45"/>
    <w:rsid w:val="00D30657"/>
    <w:rsid w:val="00D31548"/>
    <w:rsid w:val="00D318DB"/>
    <w:rsid w:val="00D31E35"/>
    <w:rsid w:val="00D31ECC"/>
    <w:rsid w:val="00D31EF3"/>
    <w:rsid w:val="00D321F1"/>
    <w:rsid w:val="00D32280"/>
    <w:rsid w:val="00D32B5F"/>
    <w:rsid w:val="00D33376"/>
    <w:rsid w:val="00D3346B"/>
    <w:rsid w:val="00D334D4"/>
    <w:rsid w:val="00D33508"/>
    <w:rsid w:val="00D3361F"/>
    <w:rsid w:val="00D33890"/>
    <w:rsid w:val="00D338C7"/>
    <w:rsid w:val="00D338DB"/>
    <w:rsid w:val="00D339D4"/>
    <w:rsid w:val="00D33ADB"/>
    <w:rsid w:val="00D33BD8"/>
    <w:rsid w:val="00D33D1E"/>
    <w:rsid w:val="00D33E96"/>
    <w:rsid w:val="00D33F79"/>
    <w:rsid w:val="00D341F7"/>
    <w:rsid w:val="00D342BF"/>
    <w:rsid w:val="00D34362"/>
    <w:rsid w:val="00D3467D"/>
    <w:rsid w:val="00D3469E"/>
    <w:rsid w:val="00D34710"/>
    <w:rsid w:val="00D3489F"/>
    <w:rsid w:val="00D34B03"/>
    <w:rsid w:val="00D34B5A"/>
    <w:rsid w:val="00D35525"/>
    <w:rsid w:val="00D356C2"/>
    <w:rsid w:val="00D359C6"/>
    <w:rsid w:val="00D35D0D"/>
    <w:rsid w:val="00D365A0"/>
    <w:rsid w:val="00D36651"/>
    <w:rsid w:val="00D36A18"/>
    <w:rsid w:val="00D36A50"/>
    <w:rsid w:val="00D36DC5"/>
    <w:rsid w:val="00D3722D"/>
    <w:rsid w:val="00D37365"/>
    <w:rsid w:val="00D374C6"/>
    <w:rsid w:val="00D375D3"/>
    <w:rsid w:val="00D37604"/>
    <w:rsid w:val="00D37773"/>
    <w:rsid w:val="00D37E32"/>
    <w:rsid w:val="00D37E46"/>
    <w:rsid w:val="00D40A0B"/>
    <w:rsid w:val="00D40C02"/>
    <w:rsid w:val="00D40C3A"/>
    <w:rsid w:val="00D40C49"/>
    <w:rsid w:val="00D40F2E"/>
    <w:rsid w:val="00D410C3"/>
    <w:rsid w:val="00D41B43"/>
    <w:rsid w:val="00D42006"/>
    <w:rsid w:val="00D4233D"/>
    <w:rsid w:val="00D4237C"/>
    <w:rsid w:val="00D42882"/>
    <w:rsid w:val="00D429FC"/>
    <w:rsid w:val="00D42A44"/>
    <w:rsid w:val="00D42B7F"/>
    <w:rsid w:val="00D42DA4"/>
    <w:rsid w:val="00D4330B"/>
    <w:rsid w:val="00D4358D"/>
    <w:rsid w:val="00D435DC"/>
    <w:rsid w:val="00D437B2"/>
    <w:rsid w:val="00D43BEE"/>
    <w:rsid w:val="00D440FA"/>
    <w:rsid w:val="00D445C7"/>
    <w:rsid w:val="00D44637"/>
    <w:rsid w:val="00D44857"/>
    <w:rsid w:val="00D44D1C"/>
    <w:rsid w:val="00D44E43"/>
    <w:rsid w:val="00D44EF3"/>
    <w:rsid w:val="00D44F41"/>
    <w:rsid w:val="00D453C6"/>
    <w:rsid w:val="00D45A60"/>
    <w:rsid w:val="00D45EC6"/>
    <w:rsid w:val="00D466C2"/>
    <w:rsid w:val="00D4681B"/>
    <w:rsid w:val="00D468CF"/>
    <w:rsid w:val="00D468D6"/>
    <w:rsid w:val="00D46DD7"/>
    <w:rsid w:val="00D46FB0"/>
    <w:rsid w:val="00D47278"/>
    <w:rsid w:val="00D472BB"/>
    <w:rsid w:val="00D47349"/>
    <w:rsid w:val="00D474B9"/>
    <w:rsid w:val="00D474DE"/>
    <w:rsid w:val="00D476B1"/>
    <w:rsid w:val="00D47F78"/>
    <w:rsid w:val="00D5009E"/>
    <w:rsid w:val="00D500C0"/>
    <w:rsid w:val="00D5044B"/>
    <w:rsid w:val="00D504DA"/>
    <w:rsid w:val="00D50568"/>
    <w:rsid w:val="00D506DE"/>
    <w:rsid w:val="00D50AF7"/>
    <w:rsid w:val="00D50FC1"/>
    <w:rsid w:val="00D51419"/>
    <w:rsid w:val="00D515F8"/>
    <w:rsid w:val="00D51860"/>
    <w:rsid w:val="00D51887"/>
    <w:rsid w:val="00D518B1"/>
    <w:rsid w:val="00D518E6"/>
    <w:rsid w:val="00D519F4"/>
    <w:rsid w:val="00D51B8D"/>
    <w:rsid w:val="00D520A0"/>
    <w:rsid w:val="00D52187"/>
    <w:rsid w:val="00D52775"/>
    <w:rsid w:val="00D527A2"/>
    <w:rsid w:val="00D52928"/>
    <w:rsid w:val="00D52B5F"/>
    <w:rsid w:val="00D52EFD"/>
    <w:rsid w:val="00D53070"/>
    <w:rsid w:val="00D53439"/>
    <w:rsid w:val="00D53981"/>
    <w:rsid w:val="00D53B37"/>
    <w:rsid w:val="00D53DB6"/>
    <w:rsid w:val="00D5412C"/>
    <w:rsid w:val="00D54385"/>
    <w:rsid w:val="00D546DC"/>
    <w:rsid w:val="00D54E1D"/>
    <w:rsid w:val="00D55264"/>
    <w:rsid w:val="00D552E5"/>
    <w:rsid w:val="00D556ED"/>
    <w:rsid w:val="00D5580A"/>
    <w:rsid w:val="00D55E0E"/>
    <w:rsid w:val="00D55F31"/>
    <w:rsid w:val="00D561CA"/>
    <w:rsid w:val="00D56801"/>
    <w:rsid w:val="00D56C33"/>
    <w:rsid w:val="00D56CA6"/>
    <w:rsid w:val="00D56CCE"/>
    <w:rsid w:val="00D56FBB"/>
    <w:rsid w:val="00D57623"/>
    <w:rsid w:val="00D57627"/>
    <w:rsid w:val="00D57825"/>
    <w:rsid w:val="00D57C0F"/>
    <w:rsid w:val="00D57CDC"/>
    <w:rsid w:val="00D57DF6"/>
    <w:rsid w:val="00D6018F"/>
    <w:rsid w:val="00D601D8"/>
    <w:rsid w:val="00D60310"/>
    <w:rsid w:val="00D6045A"/>
    <w:rsid w:val="00D6058E"/>
    <w:rsid w:val="00D60881"/>
    <w:rsid w:val="00D60A92"/>
    <w:rsid w:val="00D60BF6"/>
    <w:rsid w:val="00D611A0"/>
    <w:rsid w:val="00D61554"/>
    <w:rsid w:val="00D6191B"/>
    <w:rsid w:val="00D61AF0"/>
    <w:rsid w:val="00D61C1D"/>
    <w:rsid w:val="00D61D1F"/>
    <w:rsid w:val="00D629D4"/>
    <w:rsid w:val="00D62A4B"/>
    <w:rsid w:val="00D6309D"/>
    <w:rsid w:val="00D630F1"/>
    <w:rsid w:val="00D63187"/>
    <w:rsid w:val="00D633D3"/>
    <w:rsid w:val="00D635BF"/>
    <w:rsid w:val="00D636EA"/>
    <w:rsid w:val="00D63C0B"/>
    <w:rsid w:val="00D63CE0"/>
    <w:rsid w:val="00D64099"/>
    <w:rsid w:val="00D641A8"/>
    <w:rsid w:val="00D64315"/>
    <w:rsid w:val="00D64728"/>
    <w:rsid w:val="00D64784"/>
    <w:rsid w:val="00D64A38"/>
    <w:rsid w:val="00D6500A"/>
    <w:rsid w:val="00D65021"/>
    <w:rsid w:val="00D6580C"/>
    <w:rsid w:val="00D65EEE"/>
    <w:rsid w:val="00D66012"/>
    <w:rsid w:val="00D661D1"/>
    <w:rsid w:val="00D664C3"/>
    <w:rsid w:val="00D66870"/>
    <w:rsid w:val="00D66874"/>
    <w:rsid w:val="00D66954"/>
    <w:rsid w:val="00D66D0F"/>
    <w:rsid w:val="00D66EA1"/>
    <w:rsid w:val="00D67207"/>
    <w:rsid w:val="00D67332"/>
    <w:rsid w:val="00D67336"/>
    <w:rsid w:val="00D6734B"/>
    <w:rsid w:val="00D6777A"/>
    <w:rsid w:val="00D677BE"/>
    <w:rsid w:val="00D67862"/>
    <w:rsid w:val="00D67A92"/>
    <w:rsid w:val="00D67B4C"/>
    <w:rsid w:val="00D67D0D"/>
    <w:rsid w:val="00D67ED8"/>
    <w:rsid w:val="00D67FB3"/>
    <w:rsid w:val="00D703C0"/>
    <w:rsid w:val="00D70A32"/>
    <w:rsid w:val="00D70A70"/>
    <w:rsid w:val="00D714F3"/>
    <w:rsid w:val="00D71944"/>
    <w:rsid w:val="00D726AD"/>
    <w:rsid w:val="00D727E9"/>
    <w:rsid w:val="00D7292B"/>
    <w:rsid w:val="00D7294E"/>
    <w:rsid w:val="00D73027"/>
    <w:rsid w:val="00D73570"/>
    <w:rsid w:val="00D73611"/>
    <w:rsid w:val="00D73CA6"/>
    <w:rsid w:val="00D73FA6"/>
    <w:rsid w:val="00D746C0"/>
    <w:rsid w:val="00D7471E"/>
    <w:rsid w:val="00D74A3D"/>
    <w:rsid w:val="00D74E20"/>
    <w:rsid w:val="00D7508A"/>
    <w:rsid w:val="00D7510A"/>
    <w:rsid w:val="00D75209"/>
    <w:rsid w:val="00D75822"/>
    <w:rsid w:val="00D75CB2"/>
    <w:rsid w:val="00D75EAF"/>
    <w:rsid w:val="00D761FA"/>
    <w:rsid w:val="00D76EB4"/>
    <w:rsid w:val="00D76EEF"/>
    <w:rsid w:val="00D76F95"/>
    <w:rsid w:val="00D778A9"/>
    <w:rsid w:val="00D8008C"/>
    <w:rsid w:val="00D803A3"/>
    <w:rsid w:val="00D80547"/>
    <w:rsid w:val="00D80E49"/>
    <w:rsid w:val="00D81265"/>
    <w:rsid w:val="00D81306"/>
    <w:rsid w:val="00D81323"/>
    <w:rsid w:val="00D8135F"/>
    <w:rsid w:val="00D81C7C"/>
    <w:rsid w:val="00D82296"/>
    <w:rsid w:val="00D8277A"/>
    <w:rsid w:val="00D8280D"/>
    <w:rsid w:val="00D829BA"/>
    <w:rsid w:val="00D82A11"/>
    <w:rsid w:val="00D82A31"/>
    <w:rsid w:val="00D82C33"/>
    <w:rsid w:val="00D82CE7"/>
    <w:rsid w:val="00D82D8A"/>
    <w:rsid w:val="00D82EAE"/>
    <w:rsid w:val="00D82F48"/>
    <w:rsid w:val="00D8341A"/>
    <w:rsid w:val="00D8361B"/>
    <w:rsid w:val="00D83910"/>
    <w:rsid w:val="00D839CD"/>
    <w:rsid w:val="00D841EA"/>
    <w:rsid w:val="00D8441D"/>
    <w:rsid w:val="00D84653"/>
    <w:rsid w:val="00D84834"/>
    <w:rsid w:val="00D84D56"/>
    <w:rsid w:val="00D84F7D"/>
    <w:rsid w:val="00D8560A"/>
    <w:rsid w:val="00D85743"/>
    <w:rsid w:val="00D862F6"/>
    <w:rsid w:val="00D86383"/>
    <w:rsid w:val="00D86417"/>
    <w:rsid w:val="00D8684F"/>
    <w:rsid w:val="00D86FD5"/>
    <w:rsid w:val="00D87759"/>
    <w:rsid w:val="00D8777F"/>
    <w:rsid w:val="00D87BF1"/>
    <w:rsid w:val="00D87E75"/>
    <w:rsid w:val="00D87FB5"/>
    <w:rsid w:val="00D900BC"/>
    <w:rsid w:val="00D90277"/>
    <w:rsid w:val="00D90857"/>
    <w:rsid w:val="00D909E3"/>
    <w:rsid w:val="00D90E19"/>
    <w:rsid w:val="00D90EAF"/>
    <w:rsid w:val="00D9105C"/>
    <w:rsid w:val="00D911E6"/>
    <w:rsid w:val="00D91440"/>
    <w:rsid w:val="00D9186B"/>
    <w:rsid w:val="00D919B6"/>
    <w:rsid w:val="00D921D6"/>
    <w:rsid w:val="00D92218"/>
    <w:rsid w:val="00D92402"/>
    <w:rsid w:val="00D92559"/>
    <w:rsid w:val="00D925D4"/>
    <w:rsid w:val="00D928D2"/>
    <w:rsid w:val="00D92E24"/>
    <w:rsid w:val="00D92F8A"/>
    <w:rsid w:val="00D93463"/>
    <w:rsid w:val="00D93BFD"/>
    <w:rsid w:val="00D93CF1"/>
    <w:rsid w:val="00D93D8D"/>
    <w:rsid w:val="00D93FEC"/>
    <w:rsid w:val="00D941BC"/>
    <w:rsid w:val="00D942B0"/>
    <w:rsid w:val="00D9433A"/>
    <w:rsid w:val="00D9443B"/>
    <w:rsid w:val="00D949B1"/>
    <w:rsid w:val="00D949E4"/>
    <w:rsid w:val="00D95007"/>
    <w:rsid w:val="00D9500B"/>
    <w:rsid w:val="00D955A6"/>
    <w:rsid w:val="00D95C80"/>
    <w:rsid w:val="00D95E82"/>
    <w:rsid w:val="00D96109"/>
    <w:rsid w:val="00D96272"/>
    <w:rsid w:val="00D9646F"/>
    <w:rsid w:val="00D9655A"/>
    <w:rsid w:val="00D967B0"/>
    <w:rsid w:val="00D96846"/>
    <w:rsid w:val="00D96A1B"/>
    <w:rsid w:val="00D96BCF"/>
    <w:rsid w:val="00D96DEB"/>
    <w:rsid w:val="00D97822"/>
    <w:rsid w:val="00DA039C"/>
    <w:rsid w:val="00DA0524"/>
    <w:rsid w:val="00DA0573"/>
    <w:rsid w:val="00DA05F2"/>
    <w:rsid w:val="00DA0845"/>
    <w:rsid w:val="00DA0875"/>
    <w:rsid w:val="00DA08DB"/>
    <w:rsid w:val="00DA0E24"/>
    <w:rsid w:val="00DA0F19"/>
    <w:rsid w:val="00DA1103"/>
    <w:rsid w:val="00DA119F"/>
    <w:rsid w:val="00DA138F"/>
    <w:rsid w:val="00DA19E4"/>
    <w:rsid w:val="00DA1CF6"/>
    <w:rsid w:val="00DA249B"/>
    <w:rsid w:val="00DA2831"/>
    <w:rsid w:val="00DA2841"/>
    <w:rsid w:val="00DA289B"/>
    <w:rsid w:val="00DA2C48"/>
    <w:rsid w:val="00DA2F06"/>
    <w:rsid w:val="00DA2FC3"/>
    <w:rsid w:val="00DA3174"/>
    <w:rsid w:val="00DA32DE"/>
    <w:rsid w:val="00DA3CE0"/>
    <w:rsid w:val="00DA3D6B"/>
    <w:rsid w:val="00DA3DEF"/>
    <w:rsid w:val="00DA40D2"/>
    <w:rsid w:val="00DA42FA"/>
    <w:rsid w:val="00DA4336"/>
    <w:rsid w:val="00DA44D3"/>
    <w:rsid w:val="00DA459C"/>
    <w:rsid w:val="00DA45DB"/>
    <w:rsid w:val="00DA4606"/>
    <w:rsid w:val="00DA4891"/>
    <w:rsid w:val="00DA4FD1"/>
    <w:rsid w:val="00DA536A"/>
    <w:rsid w:val="00DA540E"/>
    <w:rsid w:val="00DA5DF2"/>
    <w:rsid w:val="00DA6054"/>
    <w:rsid w:val="00DA62BC"/>
    <w:rsid w:val="00DA62E5"/>
    <w:rsid w:val="00DA67BE"/>
    <w:rsid w:val="00DA6943"/>
    <w:rsid w:val="00DA6FDB"/>
    <w:rsid w:val="00DA76E3"/>
    <w:rsid w:val="00DA774E"/>
    <w:rsid w:val="00DA7A82"/>
    <w:rsid w:val="00DA7D34"/>
    <w:rsid w:val="00DA7EB9"/>
    <w:rsid w:val="00DB002D"/>
    <w:rsid w:val="00DB01CE"/>
    <w:rsid w:val="00DB035F"/>
    <w:rsid w:val="00DB05C0"/>
    <w:rsid w:val="00DB0607"/>
    <w:rsid w:val="00DB0CF2"/>
    <w:rsid w:val="00DB0E57"/>
    <w:rsid w:val="00DB0EC9"/>
    <w:rsid w:val="00DB0F91"/>
    <w:rsid w:val="00DB1021"/>
    <w:rsid w:val="00DB10AB"/>
    <w:rsid w:val="00DB13EB"/>
    <w:rsid w:val="00DB1753"/>
    <w:rsid w:val="00DB179B"/>
    <w:rsid w:val="00DB17F7"/>
    <w:rsid w:val="00DB1D85"/>
    <w:rsid w:val="00DB1F8D"/>
    <w:rsid w:val="00DB2495"/>
    <w:rsid w:val="00DB32BF"/>
    <w:rsid w:val="00DB369F"/>
    <w:rsid w:val="00DB37F2"/>
    <w:rsid w:val="00DB3900"/>
    <w:rsid w:val="00DB3FAC"/>
    <w:rsid w:val="00DB4144"/>
    <w:rsid w:val="00DB4565"/>
    <w:rsid w:val="00DB4933"/>
    <w:rsid w:val="00DB4A03"/>
    <w:rsid w:val="00DB4B90"/>
    <w:rsid w:val="00DB5062"/>
    <w:rsid w:val="00DB5348"/>
    <w:rsid w:val="00DB5361"/>
    <w:rsid w:val="00DB5438"/>
    <w:rsid w:val="00DB5A8A"/>
    <w:rsid w:val="00DB6428"/>
    <w:rsid w:val="00DB694F"/>
    <w:rsid w:val="00DB6A0D"/>
    <w:rsid w:val="00DB6B51"/>
    <w:rsid w:val="00DB6D8D"/>
    <w:rsid w:val="00DB6E7F"/>
    <w:rsid w:val="00DB6F56"/>
    <w:rsid w:val="00DB7415"/>
    <w:rsid w:val="00DB7B15"/>
    <w:rsid w:val="00DB7B6A"/>
    <w:rsid w:val="00DB7C31"/>
    <w:rsid w:val="00DB7CD5"/>
    <w:rsid w:val="00DB7DEC"/>
    <w:rsid w:val="00DB7F55"/>
    <w:rsid w:val="00DB7F68"/>
    <w:rsid w:val="00DC084B"/>
    <w:rsid w:val="00DC093D"/>
    <w:rsid w:val="00DC0CAF"/>
    <w:rsid w:val="00DC0D77"/>
    <w:rsid w:val="00DC0E48"/>
    <w:rsid w:val="00DC1A2B"/>
    <w:rsid w:val="00DC1A41"/>
    <w:rsid w:val="00DC1A90"/>
    <w:rsid w:val="00DC1C2D"/>
    <w:rsid w:val="00DC1C54"/>
    <w:rsid w:val="00DC1E44"/>
    <w:rsid w:val="00DC2194"/>
    <w:rsid w:val="00DC24B0"/>
    <w:rsid w:val="00DC272A"/>
    <w:rsid w:val="00DC27A7"/>
    <w:rsid w:val="00DC2BDE"/>
    <w:rsid w:val="00DC2C5C"/>
    <w:rsid w:val="00DC33C4"/>
    <w:rsid w:val="00DC3945"/>
    <w:rsid w:val="00DC4075"/>
    <w:rsid w:val="00DC4368"/>
    <w:rsid w:val="00DC44CA"/>
    <w:rsid w:val="00DC45C3"/>
    <w:rsid w:val="00DC4E9A"/>
    <w:rsid w:val="00DC5092"/>
    <w:rsid w:val="00DC56EA"/>
    <w:rsid w:val="00DC5823"/>
    <w:rsid w:val="00DC5870"/>
    <w:rsid w:val="00DC5C30"/>
    <w:rsid w:val="00DC5D03"/>
    <w:rsid w:val="00DC5F4E"/>
    <w:rsid w:val="00DC605B"/>
    <w:rsid w:val="00DC6282"/>
    <w:rsid w:val="00DC6369"/>
    <w:rsid w:val="00DC6530"/>
    <w:rsid w:val="00DC673D"/>
    <w:rsid w:val="00DC692C"/>
    <w:rsid w:val="00DC6F44"/>
    <w:rsid w:val="00DC6F6B"/>
    <w:rsid w:val="00DC6F75"/>
    <w:rsid w:val="00DC762A"/>
    <w:rsid w:val="00DC78FA"/>
    <w:rsid w:val="00DC7D28"/>
    <w:rsid w:val="00DD0683"/>
    <w:rsid w:val="00DD070B"/>
    <w:rsid w:val="00DD0A02"/>
    <w:rsid w:val="00DD0F19"/>
    <w:rsid w:val="00DD0F41"/>
    <w:rsid w:val="00DD0FB5"/>
    <w:rsid w:val="00DD186F"/>
    <w:rsid w:val="00DD1C93"/>
    <w:rsid w:val="00DD1E16"/>
    <w:rsid w:val="00DD20C8"/>
    <w:rsid w:val="00DD20D0"/>
    <w:rsid w:val="00DD241F"/>
    <w:rsid w:val="00DD26BA"/>
    <w:rsid w:val="00DD3010"/>
    <w:rsid w:val="00DD3073"/>
    <w:rsid w:val="00DD3079"/>
    <w:rsid w:val="00DD30C3"/>
    <w:rsid w:val="00DD3178"/>
    <w:rsid w:val="00DD31CF"/>
    <w:rsid w:val="00DD35A8"/>
    <w:rsid w:val="00DD3A5F"/>
    <w:rsid w:val="00DD3B29"/>
    <w:rsid w:val="00DD3E15"/>
    <w:rsid w:val="00DD442F"/>
    <w:rsid w:val="00DD4495"/>
    <w:rsid w:val="00DD4AEB"/>
    <w:rsid w:val="00DD4CA7"/>
    <w:rsid w:val="00DD509C"/>
    <w:rsid w:val="00DD5195"/>
    <w:rsid w:val="00DD5264"/>
    <w:rsid w:val="00DD5591"/>
    <w:rsid w:val="00DD5B44"/>
    <w:rsid w:val="00DD5D08"/>
    <w:rsid w:val="00DD5E11"/>
    <w:rsid w:val="00DD5E91"/>
    <w:rsid w:val="00DD6142"/>
    <w:rsid w:val="00DD6644"/>
    <w:rsid w:val="00DD679A"/>
    <w:rsid w:val="00DD6BE9"/>
    <w:rsid w:val="00DD73B2"/>
    <w:rsid w:val="00DD7500"/>
    <w:rsid w:val="00DD7A67"/>
    <w:rsid w:val="00DD7BD5"/>
    <w:rsid w:val="00DD7E47"/>
    <w:rsid w:val="00DE06D1"/>
    <w:rsid w:val="00DE1625"/>
    <w:rsid w:val="00DE1752"/>
    <w:rsid w:val="00DE226B"/>
    <w:rsid w:val="00DE271B"/>
    <w:rsid w:val="00DE33BC"/>
    <w:rsid w:val="00DE35C2"/>
    <w:rsid w:val="00DE3836"/>
    <w:rsid w:val="00DE3B28"/>
    <w:rsid w:val="00DE3FA1"/>
    <w:rsid w:val="00DE4260"/>
    <w:rsid w:val="00DE468A"/>
    <w:rsid w:val="00DE4A6C"/>
    <w:rsid w:val="00DE4CF7"/>
    <w:rsid w:val="00DE50FC"/>
    <w:rsid w:val="00DE5173"/>
    <w:rsid w:val="00DE5192"/>
    <w:rsid w:val="00DE5EFD"/>
    <w:rsid w:val="00DE69E3"/>
    <w:rsid w:val="00DE6AB5"/>
    <w:rsid w:val="00DE6CB3"/>
    <w:rsid w:val="00DE6DA7"/>
    <w:rsid w:val="00DE6F6D"/>
    <w:rsid w:val="00DE6F8F"/>
    <w:rsid w:val="00DE7172"/>
    <w:rsid w:val="00DE72DE"/>
    <w:rsid w:val="00DE77E7"/>
    <w:rsid w:val="00DF00BC"/>
    <w:rsid w:val="00DF00F4"/>
    <w:rsid w:val="00DF03DA"/>
    <w:rsid w:val="00DF040D"/>
    <w:rsid w:val="00DF06CF"/>
    <w:rsid w:val="00DF087A"/>
    <w:rsid w:val="00DF0BE6"/>
    <w:rsid w:val="00DF133D"/>
    <w:rsid w:val="00DF19B4"/>
    <w:rsid w:val="00DF1F3A"/>
    <w:rsid w:val="00DF2005"/>
    <w:rsid w:val="00DF249A"/>
    <w:rsid w:val="00DF277E"/>
    <w:rsid w:val="00DF27D6"/>
    <w:rsid w:val="00DF29CE"/>
    <w:rsid w:val="00DF2BCE"/>
    <w:rsid w:val="00DF2CB9"/>
    <w:rsid w:val="00DF2E71"/>
    <w:rsid w:val="00DF2F8A"/>
    <w:rsid w:val="00DF313A"/>
    <w:rsid w:val="00DF3315"/>
    <w:rsid w:val="00DF3353"/>
    <w:rsid w:val="00DF33B4"/>
    <w:rsid w:val="00DF3528"/>
    <w:rsid w:val="00DF3965"/>
    <w:rsid w:val="00DF3BD6"/>
    <w:rsid w:val="00DF3F31"/>
    <w:rsid w:val="00DF4090"/>
    <w:rsid w:val="00DF41F4"/>
    <w:rsid w:val="00DF4C1B"/>
    <w:rsid w:val="00DF51D3"/>
    <w:rsid w:val="00DF52AE"/>
    <w:rsid w:val="00DF52CE"/>
    <w:rsid w:val="00DF554C"/>
    <w:rsid w:val="00DF555F"/>
    <w:rsid w:val="00DF55AD"/>
    <w:rsid w:val="00DF571D"/>
    <w:rsid w:val="00DF5BB2"/>
    <w:rsid w:val="00DF5DA6"/>
    <w:rsid w:val="00DF5E86"/>
    <w:rsid w:val="00DF5ED5"/>
    <w:rsid w:val="00DF5FD8"/>
    <w:rsid w:val="00DF60DE"/>
    <w:rsid w:val="00DF6251"/>
    <w:rsid w:val="00DF673C"/>
    <w:rsid w:val="00DF6758"/>
    <w:rsid w:val="00DF6B8E"/>
    <w:rsid w:val="00DF6F0E"/>
    <w:rsid w:val="00DF6F79"/>
    <w:rsid w:val="00DF6FF5"/>
    <w:rsid w:val="00DF7287"/>
    <w:rsid w:val="00DF7412"/>
    <w:rsid w:val="00DF74E0"/>
    <w:rsid w:val="00DF75F9"/>
    <w:rsid w:val="00DF7640"/>
    <w:rsid w:val="00DF786F"/>
    <w:rsid w:val="00DF7BFE"/>
    <w:rsid w:val="00E0040E"/>
    <w:rsid w:val="00E00ABA"/>
    <w:rsid w:val="00E00B59"/>
    <w:rsid w:val="00E00BC3"/>
    <w:rsid w:val="00E00C62"/>
    <w:rsid w:val="00E01061"/>
    <w:rsid w:val="00E01705"/>
    <w:rsid w:val="00E0183F"/>
    <w:rsid w:val="00E018FA"/>
    <w:rsid w:val="00E02051"/>
    <w:rsid w:val="00E0238A"/>
    <w:rsid w:val="00E02459"/>
    <w:rsid w:val="00E025E0"/>
    <w:rsid w:val="00E02628"/>
    <w:rsid w:val="00E027FB"/>
    <w:rsid w:val="00E03382"/>
    <w:rsid w:val="00E03442"/>
    <w:rsid w:val="00E03926"/>
    <w:rsid w:val="00E03C21"/>
    <w:rsid w:val="00E0464D"/>
    <w:rsid w:val="00E04DF1"/>
    <w:rsid w:val="00E04F66"/>
    <w:rsid w:val="00E04FB5"/>
    <w:rsid w:val="00E05083"/>
    <w:rsid w:val="00E05220"/>
    <w:rsid w:val="00E054EA"/>
    <w:rsid w:val="00E05613"/>
    <w:rsid w:val="00E0579F"/>
    <w:rsid w:val="00E05B99"/>
    <w:rsid w:val="00E05DA7"/>
    <w:rsid w:val="00E05E70"/>
    <w:rsid w:val="00E061ED"/>
    <w:rsid w:val="00E061F6"/>
    <w:rsid w:val="00E0636B"/>
    <w:rsid w:val="00E064D8"/>
    <w:rsid w:val="00E068AD"/>
    <w:rsid w:val="00E069A0"/>
    <w:rsid w:val="00E06C33"/>
    <w:rsid w:val="00E06E3D"/>
    <w:rsid w:val="00E06E7C"/>
    <w:rsid w:val="00E06EBC"/>
    <w:rsid w:val="00E06EC4"/>
    <w:rsid w:val="00E0766B"/>
    <w:rsid w:val="00E079D8"/>
    <w:rsid w:val="00E079E2"/>
    <w:rsid w:val="00E07B5D"/>
    <w:rsid w:val="00E07C8C"/>
    <w:rsid w:val="00E07EAF"/>
    <w:rsid w:val="00E07F49"/>
    <w:rsid w:val="00E100ED"/>
    <w:rsid w:val="00E103DA"/>
    <w:rsid w:val="00E106E4"/>
    <w:rsid w:val="00E108C4"/>
    <w:rsid w:val="00E10BFD"/>
    <w:rsid w:val="00E10CC6"/>
    <w:rsid w:val="00E112FF"/>
    <w:rsid w:val="00E11385"/>
    <w:rsid w:val="00E11420"/>
    <w:rsid w:val="00E117E0"/>
    <w:rsid w:val="00E118ED"/>
    <w:rsid w:val="00E11F5D"/>
    <w:rsid w:val="00E124DB"/>
    <w:rsid w:val="00E12603"/>
    <w:rsid w:val="00E12FBC"/>
    <w:rsid w:val="00E13477"/>
    <w:rsid w:val="00E13C1D"/>
    <w:rsid w:val="00E13CAD"/>
    <w:rsid w:val="00E13EB8"/>
    <w:rsid w:val="00E14413"/>
    <w:rsid w:val="00E145EE"/>
    <w:rsid w:val="00E14887"/>
    <w:rsid w:val="00E14A40"/>
    <w:rsid w:val="00E14C80"/>
    <w:rsid w:val="00E14CE8"/>
    <w:rsid w:val="00E14F88"/>
    <w:rsid w:val="00E151F5"/>
    <w:rsid w:val="00E15315"/>
    <w:rsid w:val="00E155D9"/>
    <w:rsid w:val="00E15F05"/>
    <w:rsid w:val="00E160D2"/>
    <w:rsid w:val="00E16148"/>
    <w:rsid w:val="00E16619"/>
    <w:rsid w:val="00E168FD"/>
    <w:rsid w:val="00E16927"/>
    <w:rsid w:val="00E16FD7"/>
    <w:rsid w:val="00E17BF9"/>
    <w:rsid w:val="00E17FBF"/>
    <w:rsid w:val="00E200D0"/>
    <w:rsid w:val="00E202FC"/>
    <w:rsid w:val="00E204BF"/>
    <w:rsid w:val="00E20595"/>
    <w:rsid w:val="00E2077C"/>
    <w:rsid w:val="00E20786"/>
    <w:rsid w:val="00E20A03"/>
    <w:rsid w:val="00E20A7A"/>
    <w:rsid w:val="00E20BEE"/>
    <w:rsid w:val="00E2127A"/>
    <w:rsid w:val="00E21322"/>
    <w:rsid w:val="00E213A2"/>
    <w:rsid w:val="00E21482"/>
    <w:rsid w:val="00E216C2"/>
    <w:rsid w:val="00E21A8A"/>
    <w:rsid w:val="00E21CD6"/>
    <w:rsid w:val="00E21F99"/>
    <w:rsid w:val="00E22AF0"/>
    <w:rsid w:val="00E22BDB"/>
    <w:rsid w:val="00E22D81"/>
    <w:rsid w:val="00E22E81"/>
    <w:rsid w:val="00E22E88"/>
    <w:rsid w:val="00E22ED3"/>
    <w:rsid w:val="00E2307F"/>
    <w:rsid w:val="00E230A0"/>
    <w:rsid w:val="00E23632"/>
    <w:rsid w:val="00E237F1"/>
    <w:rsid w:val="00E2384A"/>
    <w:rsid w:val="00E23FD4"/>
    <w:rsid w:val="00E24096"/>
    <w:rsid w:val="00E240D9"/>
    <w:rsid w:val="00E2467E"/>
    <w:rsid w:val="00E25018"/>
    <w:rsid w:val="00E2517C"/>
    <w:rsid w:val="00E25576"/>
    <w:rsid w:val="00E259B4"/>
    <w:rsid w:val="00E25A1E"/>
    <w:rsid w:val="00E25D0B"/>
    <w:rsid w:val="00E25FE1"/>
    <w:rsid w:val="00E2602E"/>
    <w:rsid w:val="00E2621B"/>
    <w:rsid w:val="00E26467"/>
    <w:rsid w:val="00E26719"/>
    <w:rsid w:val="00E26720"/>
    <w:rsid w:val="00E26BAF"/>
    <w:rsid w:val="00E26C19"/>
    <w:rsid w:val="00E26F2C"/>
    <w:rsid w:val="00E27399"/>
    <w:rsid w:val="00E275E3"/>
    <w:rsid w:val="00E275F7"/>
    <w:rsid w:val="00E27615"/>
    <w:rsid w:val="00E27913"/>
    <w:rsid w:val="00E27E3E"/>
    <w:rsid w:val="00E303A9"/>
    <w:rsid w:val="00E3042D"/>
    <w:rsid w:val="00E304DE"/>
    <w:rsid w:val="00E30762"/>
    <w:rsid w:val="00E30840"/>
    <w:rsid w:val="00E308CC"/>
    <w:rsid w:val="00E308F1"/>
    <w:rsid w:val="00E30C21"/>
    <w:rsid w:val="00E3150C"/>
    <w:rsid w:val="00E31547"/>
    <w:rsid w:val="00E31661"/>
    <w:rsid w:val="00E3172E"/>
    <w:rsid w:val="00E318D4"/>
    <w:rsid w:val="00E31ACC"/>
    <w:rsid w:val="00E31C97"/>
    <w:rsid w:val="00E31E01"/>
    <w:rsid w:val="00E31F01"/>
    <w:rsid w:val="00E32005"/>
    <w:rsid w:val="00E322AB"/>
    <w:rsid w:val="00E32382"/>
    <w:rsid w:val="00E32400"/>
    <w:rsid w:val="00E324CE"/>
    <w:rsid w:val="00E32591"/>
    <w:rsid w:val="00E325D6"/>
    <w:rsid w:val="00E328A7"/>
    <w:rsid w:val="00E328BE"/>
    <w:rsid w:val="00E33447"/>
    <w:rsid w:val="00E3388A"/>
    <w:rsid w:val="00E33C0B"/>
    <w:rsid w:val="00E34290"/>
    <w:rsid w:val="00E348BB"/>
    <w:rsid w:val="00E3500D"/>
    <w:rsid w:val="00E351A0"/>
    <w:rsid w:val="00E353AD"/>
    <w:rsid w:val="00E35E57"/>
    <w:rsid w:val="00E35EC3"/>
    <w:rsid w:val="00E364E5"/>
    <w:rsid w:val="00E36600"/>
    <w:rsid w:val="00E36741"/>
    <w:rsid w:val="00E36A24"/>
    <w:rsid w:val="00E36AA1"/>
    <w:rsid w:val="00E37124"/>
    <w:rsid w:val="00E37159"/>
    <w:rsid w:val="00E37555"/>
    <w:rsid w:val="00E3781B"/>
    <w:rsid w:val="00E37883"/>
    <w:rsid w:val="00E379F7"/>
    <w:rsid w:val="00E37BE8"/>
    <w:rsid w:val="00E37E44"/>
    <w:rsid w:val="00E37FB9"/>
    <w:rsid w:val="00E4023B"/>
    <w:rsid w:val="00E40490"/>
    <w:rsid w:val="00E4065A"/>
    <w:rsid w:val="00E40E26"/>
    <w:rsid w:val="00E41195"/>
    <w:rsid w:val="00E41197"/>
    <w:rsid w:val="00E417BA"/>
    <w:rsid w:val="00E41939"/>
    <w:rsid w:val="00E42233"/>
    <w:rsid w:val="00E424E4"/>
    <w:rsid w:val="00E425B3"/>
    <w:rsid w:val="00E428DB"/>
    <w:rsid w:val="00E43061"/>
    <w:rsid w:val="00E431F4"/>
    <w:rsid w:val="00E436E6"/>
    <w:rsid w:val="00E43701"/>
    <w:rsid w:val="00E43991"/>
    <w:rsid w:val="00E43A6F"/>
    <w:rsid w:val="00E43BF8"/>
    <w:rsid w:val="00E44045"/>
    <w:rsid w:val="00E440B1"/>
    <w:rsid w:val="00E44162"/>
    <w:rsid w:val="00E4421E"/>
    <w:rsid w:val="00E444D0"/>
    <w:rsid w:val="00E44806"/>
    <w:rsid w:val="00E448F8"/>
    <w:rsid w:val="00E44A86"/>
    <w:rsid w:val="00E44C22"/>
    <w:rsid w:val="00E45024"/>
    <w:rsid w:val="00E4507C"/>
    <w:rsid w:val="00E45090"/>
    <w:rsid w:val="00E4522D"/>
    <w:rsid w:val="00E45736"/>
    <w:rsid w:val="00E45833"/>
    <w:rsid w:val="00E45A33"/>
    <w:rsid w:val="00E45B75"/>
    <w:rsid w:val="00E45C1D"/>
    <w:rsid w:val="00E45EE2"/>
    <w:rsid w:val="00E461C1"/>
    <w:rsid w:val="00E461E5"/>
    <w:rsid w:val="00E46500"/>
    <w:rsid w:val="00E46B47"/>
    <w:rsid w:val="00E46CCC"/>
    <w:rsid w:val="00E46D48"/>
    <w:rsid w:val="00E470C4"/>
    <w:rsid w:val="00E4736D"/>
    <w:rsid w:val="00E4744C"/>
    <w:rsid w:val="00E47590"/>
    <w:rsid w:val="00E47651"/>
    <w:rsid w:val="00E476D0"/>
    <w:rsid w:val="00E47746"/>
    <w:rsid w:val="00E47972"/>
    <w:rsid w:val="00E47B57"/>
    <w:rsid w:val="00E47B62"/>
    <w:rsid w:val="00E47E60"/>
    <w:rsid w:val="00E47F44"/>
    <w:rsid w:val="00E50051"/>
    <w:rsid w:val="00E504BA"/>
    <w:rsid w:val="00E50707"/>
    <w:rsid w:val="00E50A5D"/>
    <w:rsid w:val="00E50B22"/>
    <w:rsid w:val="00E50B80"/>
    <w:rsid w:val="00E50DAB"/>
    <w:rsid w:val="00E50E00"/>
    <w:rsid w:val="00E50F67"/>
    <w:rsid w:val="00E5144A"/>
    <w:rsid w:val="00E515D9"/>
    <w:rsid w:val="00E516F5"/>
    <w:rsid w:val="00E5188B"/>
    <w:rsid w:val="00E51A1E"/>
    <w:rsid w:val="00E51BFF"/>
    <w:rsid w:val="00E51CBE"/>
    <w:rsid w:val="00E51E10"/>
    <w:rsid w:val="00E5254D"/>
    <w:rsid w:val="00E5257C"/>
    <w:rsid w:val="00E5258C"/>
    <w:rsid w:val="00E52CDF"/>
    <w:rsid w:val="00E52F42"/>
    <w:rsid w:val="00E52FBE"/>
    <w:rsid w:val="00E5316B"/>
    <w:rsid w:val="00E537AB"/>
    <w:rsid w:val="00E53CF3"/>
    <w:rsid w:val="00E53DB3"/>
    <w:rsid w:val="00E53E04"/>
    <w:rsid w:val="00E54736"/>
    <w:rsid w:val="00E54B48"/>
    <w:rsid w:val="00E54F4C"/>
    <w:rsid w:val="00E556B4"/>
    <w:rsid w:val="00E55A92"/>
    <w:rsid w:val="00E55CDB"/>
    <w:rsid w:val="00E56124"/>
    <w:rsid w:val="00E563B5"/>
    <w:rsid w:val="00E56BA7"/>
    <w:rsid w:val="00E56D68"/>
    <w:rsid w:val="00E56FEC"/>
    <w:rsid w:val="00E5721A"/>
    <w:rsid w:val="00E57806"/>
    <w:rsid w:val="00E57DC3"/>
    <w:rsid w:val="00E57F9E"/>
    <w:rsid w:val="00E60127"/>
    <w:rsid w:val="00E60159"/>
    <w:rsid w:val="00E60382"/>
    <w:rsid w:val="00E60704"/>
    <w:rsid w:val="00E6090E"/>
    <w:rsid w:val="00E60983"/>
    <w:rsid w:val="00E60AA9"/>
    <w:rsid w:val="00E60D32"/>
    <w:rsid w:val="00E60DA5"/>
    <w:rsid w:val="00E610B3"/>
    <w:rsid w:val="00E611AA"/>
    <w:rsid w:val="00E6121C"/>
    <w:rsid w:val="00E61281"/>
    <w:rsid w:val="00E61910"/>
    <w:rsid w:val="00E61A61"/>
    <w:rsid w:val="00E61C8F"/>
    <w:rsid w:val="00E61EC5"/>
    <w:rsid w:val="00E62018"/>
    <w:rsid w:val="00E624E7"/>
    <w:rsid w:val="00E6266E"/>
    <w:rsid w:val="00E62E91"/>
    <w:rsid w:val="00E62FF8"/>
    <w:rsid w:val="00E63167"/>
    <w:rsid w:val="00E6322C"/>
    <w:rsid w:val="00E63963"/>
    <w:rsid w:val="00E63F18"/>
    <w:rsid w:val="00E64028"/>
    <w:rsid w:val="00E64077"/>
    <w:rsid w:val="00E644CB"/>
    <w:rsid w:val="00E64588"/>
    <w:rsid w:val="00E6484E"/>
    <w:rsid w:val="00E64A99"/>
    <w:rsid w:val="00E64AF9"/>
    <w:rsid w:val="00E64B45"/>
    <w:rsid w:val="00E64BA3"/>
    <w:rsid w:val="00E64D94"/>
    <w:rsid w:val="00E64D95"/>
    <w:rsid w:val="00E64EC9"/>
    <w:rsid w:val="00E6584F"/>
    <w:rsid w:val="00E65966"/>
    <w:rsid w:val="00E65A76"/>
    <w:rsid w:val="00E65F6A"/>
    <w:rsid w:val="00E66294"/>
    <w:rsid w:val="00E664AA"/>
    <w:rsid w:val="00E6686B"/>
    <w:rsid w:val="00E66982"/>
    <w:rsid w:val="00E66AA7"/>
    <w:rsid w:val="00E66C13"/>
    <w:rsid w:val="00E66C69"/>
    <w:rsid w:val="00E66C7C"/>
    <w:rsid w:val="00E66ECB"/>
    <w:rsid w:val="00E66F1C"/>
    <w:rsid w:val="00E670BD"/>
    <w:rsid w:val="00E673BA"/>
    <w:rsid w:val="00E674E7"/>
    <w:rsid w:val="00E67640"/>
    <w:rsid w:val="00E67BDE"/>
    <w:rsid w:val="00E67C69"/>
    <w:rsid w:val="00E67DCB"/>
    <w:rsid w:val="00E67FBE"/>
    <w:rsid w:val="00E70081"/>
    <w:rsid w:val="00E702DE"/>
    <w:rsid w:val="00E70301"/>
    <w:rsid w:val="00E7041A"/>
    <w:rsid w:val="00E707A2"/>
    <w:rsid w:val="00E70B78"/>
    <w:rsid w:val="00E70C23"/>
    <w:rsid w:val="00E70D7F"/>
    <w:rsid w:val="00E70E09"/>
    <w:rsid w:val="00E70F8C"/>
    <w:rsid w:val="00E71164"/>
    <w:rsid w:val="00E7128E"/>
    <w:rsid w:val="00E715CC"/>
    <w:rsid w:val="00E716A4"/>
    <w:rsid w:val="00E718BF"/>
    <w:rsid w:val="00E71BE5"/>
    <w:rsid w:val="00E71C32"/>
    <w:rsid w:val="00E71ED9"/>
    <w:rsid w:val="00E7288D"/>
    <w:rsid w:val="00E729B6"/>
    <w:rsid w:val="00E72BB7"/>
    <w:rsid w:val="00E72C79"/>
    <w:rsid w:val="00E72D7F"/>
    <w:rsid w:val="00E72DE6"/>
    <w:rsid w:val="00E72E5D"/>
    <w:rsid w:val="00E72EF3"/>
    <w:rsid w:val="00E73158"/>
    <w:rsid w:val="00E73260"/>
    <w:rsid w:val="00E73668"/>
    <w:rsid w:val="00E7372A"/>
    <w:rsid w:val="00E7381B"/>
    <w:rsid w:val="00E739D7"/>
    <w:rsid w:val="00E73DEF"/>
    <w:rsid w:val="00E73FF3"/>
    <w:rsid w:val="00E744D3"/>
    <w:rsid w:val="00E75066"/>
    <w:rsid w:val="00E751C9"/>
    <w:rsid w:val="00E757D7"/>
    <w:rsid w:val="00E758F9"/>
    <w:rsid w:val="00E759C4"/>
    <w:rsid w:val="00E75A70"/>
    <w:rsid w:val="00E75D97"/>
    <w:rsid w:val="00E75F22"/>
    <w:rsid w:val="00E76684"/>
    <w:rsid w:val="00E7676B"/>
    <w:rsid w:val="00E76C03"/>
    <w:rsid w:val="00E76C0D"/>
    <w:rsid w:val="00E76D13"/>
    <w:rsid w:val="00E77941"/>
    <w:rsid w:val="00E77974"/>
    <w:rsid w:val="00E779A7"/>
    <w:rsid w:val="00E8024F"/>
    <w:rsid w:val="00E803EF"/>
    <w:rsid w:val="00E80589"/>
    <w:rsid w:val="00E805CF"/>
    <w:rsid w:val="00E809E0"/>
    <w:rsid w:val="00E80BFF"/>
    <w:rsid w:val="00E80CB1"/>
    <w:rsid w:val="00E81463"/>
    <w:rsid w:val="00E814B1"/>
    <w:rsid w:val="00E814D9"/>
    <w:rsid w:val="00E81522"/>
    <w:rsid w:val="00E81978"/>
    <w:rsid w:val="00E81B49"/>
    <w:rsid w:val="00E81B83"/>
    <w:rsid w:val="00E8214A"/>
    <w:rsid w:val="00E827F9"/>
    <w:rsid w:val="00E829A8"/>
    <w:rsid w:val="00E829AA"/>
    <w:rsid w:val="00E83062"/>
    <w:rsid w:val="00E832F5"/>
    <w:rsid w:val="00E838DB"/>
    <w:rsid w:val="00E83940"/>
    <w:rsid w:val="00E83EF1"/>
    <w:rsid w:val="00E840CE"/>
    <w:rsid w:val="00E8418C"/>
    <w:rsid w:val="00E841A5"/>
    <w:rsid w:val="00E8465A"/>
    <w:rsid w:val="00E84AA0"/>
    <w:rsid w:val="00E857A1"/>
    <w:rsid w:val="00E85B44"/>
    <w:rsid w:val="00E85E88"/>
    <w:rsid w:val="00E86067"/>
    <w:rsid w:val="00E8617B"/>
    <w:rsid w:val="00E86307"/>
    <w:rsid w:val="00E86612"/>
    <w:rsid w:val="00E86CAF"/>
    <w:rsid w:val="00E86D4F"/>
    <w:rsid w:val="00E86E1D"/>
    <w:rsid w:val="00E871A0"/>
    <w:rsid w:val="00E8731C"/>
    <w:rsid w:val="00E876C1"/>
    <w:rsid w:val="00E8781D"/>
    <w:rsid w:val="00E878A2"/>
    <w:rsid w:val="00E878EC"/>
    <w:rsid w:val="00E8798E"/>
    <w:rsid w:val="00E87DB2"/>
    <w:rsid w:val="00E90137"/>
    <w:rsid w:val="00E902A8"/>
    <w:rsid w:val="00E9032E"/>
    <w:rsid w:val="00E90672"/>
    <w:rsid w:val="00E906E4"/>
    <w:rsid w:val="00E90BAD"/>
    <w:rsid w:val="00E9144A"/>
    <w:rsid w:val="00E914C2"/>
    <w:rsid w:val="00E9181A"/>
    <w:rsid w:val="00E918BC"/>
    <w:rsid w:val="00E91970"/>
    <w:rsid w:val="00E91B89"/>
    <w:rsid w:val="00E91D9D"/>
    <w:rsid w:val="00E91E09"/>
    <w:rsid w:val="00E92534"/>
    <w:rsid w:val="00E9264F"/>
    <w:rsid w:val="00E9296B"/>
    <w:rsid w:val="00E92AC5"/>
    <w:rsid w:val="00E92C8E"/>
    <w:rsid w:val="00E92D6F"/>
    <w:rsid w:val="00E93094"/>
    <w:rsid w:val="00E9342D"/>
    <w:rsid w:val="00E93459"/>
    <w:rsid w:val="00E93572"/>
    <w:rsid w:val="00E9379C"/>
    <w:rsid w:val="00E9381E"/>
    <w:rsid w:val="00E93890"/>
    <w:rsid w:val="00E93939"/>
    <w:rsid w:val="00E939A8"/>
    <w:rsid w:val="00E939DF"/>
    <w:rsid w:val="00E93D5B"/>
    <w:rsid w:val="00E9406E"/>
    <w:rsid w:val="00E94605"/>
    <w:rsid w:val="00E9476F"/>
    <w:rsid w:val="00E953BE"/>
    <w:rsid w:val="00E95DA1"/>
    <w:rsid w:val="00E96180"/>
    <w:rsid w:val="00E9634A"/>
    <w:rsid w:val="00E9638C"/>
    <w:rsid w:val="00E9642B"/>
    <w:rsid w:val="00E9656F"/>
    <w:rsid w:val="00E96747"/>
    <w:rsid w:val="00E96825"/>
    <w:rsid w:val="00E96C54"/>
    <w:rsid w:val="00E96D39"/>
    <w:rsid w:val="00E9734A"/>
    <w:rsid w:val="00E97630"/>
    <w:rsid w:val="00E97892"/>
    <w:rsid w:val="00E97FB5"/>
    <w:rsid w:val="00EA012F"/>
    <w:rsid w:val="00EA019E"/>
    <w:rsid w:val="00EA06F5"/>
    <w:rsid w:val="00EA0CAC"/>
    <w:rsid w:val="00EA0E19"/>
    <w:rsid w:val="00EA1147"/>
    <w:rsid w:val="00EA12EF"/>
    <w:rsid w:val="00EA1968"/>
    <w:rsid w:val="00EA1A6B"/>
    <w:rsid w:val="00EA1B1C"/>
    <w:rsid w:val="00EA2002"/>
    <w:rsid w:val="00EA2276"/>
    <w:rsid w:val="00EA22F9"/>
    <w:rsid w:val="00EA2504"/>
    <w:rsid w:val="00EA25A3"/>
    <w:rsid w:val="00EA25C2"/>
    <w:rsid w:val="00EA25CF"/>
    <w:rsid w:val="00EA280E"/>
    <w:rsid w:val="00EA2D11"/>
    <w:rsid w:val="00EA3185"/>
    <w:rsid w:val="00EA3B3C"/>
    <w:rsid w:val="00EA3BC7"/>
    <w:rsid w:val="00EA3E29"/>
    <w:rsid w:val="00EA3FCB"/>
    <w:rsid w:val="00EA4114"/>
    <w:rsid w:val="00EA41D6"/>
    <w:rsid w:val="00EA4233"/>
    <w:rsid w:val="00EA4376"/>
    <w:rsid w:val="00EA438F"/>
    <w:rsid w:val="00EA4789"/>
    <w:rsid w:val="00EA50D8"/>
    <w:rsid w:val="00EA535B"/>
    <w:rsid w:val="00EA54A6"/>
    <w:rsid w:val="00EA5791"/>
    <w:rsid w:val="00EA5875"/>
    <w:rsid w:val="00EA597E"/>
    <w:rsid w:val="00EA5C92"/>
    <w:rsid w:val="00EA5D74"/>
    <w:rsid w:val="00EA5FE7"/>
    <w:rsid w:val="00EA608F"/>
    <w:rsid w:val="00EA6103"/>
    <w:rsid w:val="00EA64F0"/>
    <w:rsid w:val="00EA6A4A"/>
    <w:rsid w:val="00EA7AEE"/>
    <w:rsid w:val="00EA7ED7"/>
    <w:rsid w:val="00EB0097"/>
    <w:rsid w:val="00EB010A"/>
    <w:rsid w:val="00EB063E"/>
    <w:rsid w:val="00EB0A5C"/>
    <w:rsid w:val="00EB0AC3"/>
    <w:rsid w:val="00EB10B6"/>
    <w:rsid w:val="00EB1143"/>
    <w:rsid w:val="00EB137F"/>
    <w:rsid w:val="00EB13F2"/>
    <w:rsid w:val="00EB1483"/>
    <w:rsid w:val="00EB16DD"/>
    <w:rsid w:val="00EB17A4"/>
    <w:rsid w:val="00EB17CE"/>
    <w:rsid w:val="00EB1B01"/>
    <w:rsid w:val="00EB25E4"/>
    <w:rsid w:val="00EB28E2"/>
    <w:rsid w:val="00EB2D9F"/>
    <w:rsid w:val="00EB2DD3"/>
    <w:rsid w:val="00EB30E0"/>
    <w:rsid w:val="00EB3193"/>
    <w:rsid w:val="00EB3375"/>
    <w:rsid w:val="00EB33DA"/>
    <w:rsid w:val="00EB3963"/>
    <w:rsid w:val="00EB3D2E"/>
    <w:rsid w:val="00EB3F11"/>
    <w:rsid w:val="00EB44A5"/>
    <w:rsid w:val="00EB471C"/>
    <w:rsid w:val="00EB48F2"/>
    <w:rsid w:val="00EB4C14"/>
    <w:rsid w:val="00EB4F7E"/>
    <w:rsid w:val="00EB5196"/>
    <w:rsid w:val="00EB5896"/>
    <w:rsid w:val="00EB5CF4"/>
    <w:rsid w:val="00EB612D"/>
    <w:rsid w:val="00EB6739"/>
    <w:rsid w:val="00EB68B1"/>
    <w:rsid w:val="00EB6D08"/>
    <w:rsid w:val="00EB6D28"/>
    <w:rsid w:val="00EB6FB2"/>
    <w:rsid w:val="00EB79D0"/>
    <w:rsid w:val="00EB7C43"/>
    <w:rsid w:val="00EB7DDC"/>
    <w:rsid w:val="00EB7F4D"/>
    <w:rsid w:val="00EC0493"/>
    <w:rsid w:val="00EC06C9"/>
    <w:rsid w:val="00EC0A1A"/>
    <w:rsid w:val="00EC0B16"/>
    <w:rsid w:val="00EC0DB6"/>
    <w:rsid w:val="00EC0E51"/>
    <w:rsid w:val="00EC0EAD"/>
    <w:rsid w:val="00EC147E"/>
    <w:rsid w:val="00EC14D8"/>
    <w:rsid w:val="00EC15DA"/>
    <w:rsid w:val="00EC1826"/>
    <w:rsid w:val="00EC187F"/>
    <w:rsid w:val="00EC1B3D"/>
    <w:rsid w:val="00EC22D2"/>
    <w:rsid w:val="00EC25E6"/>
    <w:rsid w:val="00EC2C8B"/>
    <w:rsid w:val="00EC2E5F"/>
    <w:rsid w:val="00EC3A5B"/>
    <w:rsid w:val="00EC3A70"/>
    <w:rsid w:val="00EC3BE8"/>
    <w:rsid w:val="00EC3E3A"/>
    <w:rsid w:val="00EC41A4"/>
    <w:rsid w:val="00EC43A1"/>
    <w:rsid w:val="00EC44B5"/>
    <w:rsid w:val="00EC453E"/>
    <w:rsid w:val="00EC4A42"/>
    <w:rsid w:val="00EC4E2D"/>
    <w:rsid w:val="00EC506F"/>
    <w:rsid w:val="00EC550A"/>
    <w:rsid w:val="00EC580D"/>
    <w:rsid w:val="00EC582F"/>
    <w:rsid w:val="00EC5A7F"/>
    <w:rsid w:val="00EC6101"/>
    <w:rsid w:val="00EC61A5"/>
    <w:rsid w:val="00EC634D"/>
    <w:rsid w:val="00EC6809"/>
    <w:rsid w:val="00EC6ED7"/>
    <w:rsid w:val="00EC7021"/>
    <w:rsid w:val="00EC7091"/>
    <w:rsid w:val="00EC73F2"/>
    <w:rsid w:val="00EC77CC"/>
    <w:rsid w:val="00EC78D6"/>
    <w:rsid w:val="00EC7922"/>
    <w:rsid w:val="00EC79C0"/>
    <w:rsid w:val="00EC79E1"/>
    <w:rsid w:val="00EC7AC9"/>
    <w:rsid w:val="00EC7BAF"/>
    <w:rsid w:val="00EC7BBE"/>
    <w:rsid w:val="00EC7BC3"/>
    <w:rsid w:val="00ED0176"/>
    <w:rsid w:val="00ED027F"/>
    <w:rsid w:val="00ED0347"/>
    <w:rsid w:val="00ED036A"/>
    <w:rsid w:val="00ED03A6"/>
    <w:rsid w:val="00ED03BE"/>
    <w:rsid w:val="00ED044B"/>
    <w:rsid w:val="00ED062B"/>
    <w:rsid w:val="00ED0824"/>
    <w:rsid w:val="00ED0940"/>
    <w:rsid w:val="00ED0A7F"/>
    <w:rsid w:val="00ED0B86"/>
    <w:rsid w:val="00ED0D3E"/>
    <w:rsid w:val="00ED0F7B"/>
    <w:rsid w:val="00ED1317"/>
    <w:rsid w:val="00ED13D8"/>
    <w:rsid w:val="00ED15DD"/>
    <w:rsid w:val="00ED17B2"/>
    <w:rsid w:val="00ED1848"/>
    <w:rsid w:val="00ED18BC"/>
    <w:rsid w:val="00ED1A2D"/>
    <w:rsid w:val="00ED1B6A"/>
    <w:rsid w:val="00ED1EFD"/>
    <w:rsid w:val="00ED2065"/>
    <w:rsid w:val="00ED294B"/>
    <w:rsid w:val="00ED2B31"/>
    <w:rsid w:val="00ED2C72"/>
    <w:rsid w:val="00ED2F3B"/>
    <w:rsid w:val="00ED3093"/>
    <w:rsid w:val="00ED3197"/>
    <w:rsid w:val="00ED33A1"/>
    <w:rsid w:val="00ED3600"/>
    <w:rsid w:val="00ED39D8"/>
    <w:rsid w:val="00ED3A85"/>
    <w:rsid w:val="00ED3BE7"/>
    <w:rsid w:val="00ED40C1"/>
    <w:rsid w:val="00ED40FA"/>
    <w:rsid w:val="00ED44A2"/>
    <w:rsid w:val="00ED45A6"/>
    <w:rsid w:val="00ED498D"/>
    <w:rsid w:val="00ED4A29"/>
    <w:rsid w:val="00ED4B7D"/>
    <w:rsid w:val="00ED4FC2"/>
    <w:rsid w:val="00ED5034"/>
    <w:rsid w:val="00ED53F2"/>
    <w:rsid w:val="00ED5544"/>
    <w:rsid w:val="00ED57AB"/>
    <w:rsid w:val="00ED59EF"/>
    <w:rsid w:val="00ED5B43"/>
    <w:rsid w:val="00ED5FD2"/>
    <w:rsid w:val="00ED5FD7"/>
    <w:rsid w:val="00ED61BE"/>
    <w:rsid w:val="00ED64B0"/>
    <w:rsid w:val="00ED6C38"/>
    <w:rsid w:val="00ED6E14"/>
    <w:rsid w:val="00ED6EFD"/>
    <w:rsid w:val="00ED6F56"/>
    <w:rsid w:val="00ED708C"/>
    <w:rsid w:val="00ED77AF"/>
    <w:rsid w:val="00ED7A87"/>
    <w:rsid w:val="00ED7E0F"/>
    <w:rsid w:val="00ED7F07"/>
    <w:rsid w:val="00EE0773"/>
    <w:rsid w:val="00EE0B9E"/>
    <w:rsid w:val="00EE0E6A"/>
    <w:rsid w:val="00EE138A"/>
    <w:rsid w:val="00EE14CC"/>
    <w:rsid w:val="00EE16B3"/>
    <w:rsid w:val="00EE19B3"/>
    <w:rsid w:val="00EE1A39"/>
    <w:rsid w:val="00EE1D78"/>
    <w:rsid w:val="00EE1D8F"/>
    <w:rsid w:val="00EE211C"/>
    <w:rsid w:val="00EE21FF"/>
    <w:rsid w:val="00EE236B"/>
    <w:rsid w:val="00EE259B"/>
    <w:rsid w:val="00EE287B"/>
    <w:rsid w:val="00EE2ABC"/>
    <w:rsid w:val="00EE2AFA"/>
    <w:rsid w:val="00EE2F44"/>
    <w:rsid w:val="00EE3205"/>
    <w:rsid w:val="00EE3789"/>
    <w:rsid w:val="00EE3809"/>
    <w:rsid w:val="00EE39A6"/>
    <w:rsid w:val="00EE3EFC"/>
    <w:rsid w:val="00EE3F07"/>
    <w:rsid w:val="00EE4036"/>
    <w:rsid w:val="00EE4037"/>
    <w:rsid w:val="00EE41CB"/>
    <w:rsid w:val="00EE4263"/>
    <w:rsid w:val="00EE47BC"/>
    <w:rsid w:val="00EE4942"/>
    <w:rsid w:val="00EE4A3F"/>
    <w:rsid w:val="00EE4B3F"/>
    <w:rsid w:val="00EE4CC3"/>
    <w:rsid w:val="00EE5368"/>
    <w:rsid w:val="00EE5643"/>
    <w:rsid w:val="00EE5780"/>
    <w:rsid w:val="00EE5826"/>
    <w:rsid w:val="00EE5A60"/>
    <w:rsid w:val="00EE5F7D"/>
    <w:rsid w:val="00EE63A2"/>
    <w:rsid w:val="00EE63CF"/>
    <w:rsid w:val="00EE69AC"/>
    <w:rsid w:val="00EE6C02"/>
    <w:rsid w:val="00EE6D42"/>
    <w:rsid w:val="00EE7395"/>
    <w:rsid w:val="00EE78F7"/>
    <w:rsid w:val="00EE7A52"/>
    <w:rsid w:val="00EE7B0C"/>
    <w:rsid w:val="00EE7EDB"/>
    <w:rsid w:val="00EF001A"/>
    <w:rsid w:val="00EF0273"/>
    <w:rsid w:val="00EF04A0"/>
    <w:rsid w:val="00EF05A6"/>
    <w:rsid w:val="00EF0824"/>
    <w:rsid w:val="00EF0C95"/>
    <w:rsid w:val="00EF0D27"/>
    <w:rsid w:val="00EF12EA"/>
    <w:rsid w:val="00EF181D"/>
    <w:rsid w:val="00EF195E"/>
    <w:rsid w:val="00EF276B"/>
    <w:rsid w:val="00EF28F7"/>
    <w:rsid w:val="00EF2986"/>
    <w:rsid w:val="00EF2DB3"/>
    <w:rsid w:val="00EF2F3A"/>
    <w:rsid w:val="00EF33AC"/>
    <w:rsid w:val="00EF3457"/>
    <w:rsid w:val="00EF354F"/>
    <w:rsid w:val="00EF3C65"/>
    <w:rsid w:val="00EF3E28"/>
    <w:rsid w:val="00EF3EF9"/>
    <w:rsid w:val="00EF3F93"/>
    <w:rsid w:val="00EF4138"/>
    <w:rsid w:val="00EF43A5"/>
    <w:rsid w:val="00EF46CB"/>
    <w:rsid w:val="00EF47F7"/>
    <w:rsid w:val="00EF48A1"/>
    <w:rsid w:val="00EF49D2"/>
    <w:rsid w:val="00EF4C71"/>
    <w:rsid w:val="00EF5065"/>
    <w:rsid w:val="00EF5386"/>
    <w:rsid w:val="00EF563F"/>
    <w:rsid w:val="00EF5AB6"/>
    <w:rsid w:val="00EF5D7F"/>
    <w:rsid w:val="00EF62EE"/>
    <w:rsid w:val="00EF676F"/>
    <w:rsid w:val="00EF6B84"/>
    <w:rsid w:val="00EF6D2C"/>
    <w:rsid w:val="00EF7753"/>
    <w:rsid w:val="00EF78DE"/>
    <w:rsid w:val="00EF7A17"/>
    <w:rsid w:val="00EF7B6C"/>
    <w:rsid w:val="00EF7BC8"/>
    <w:rsid w:val="00EF7C7B"/>
    <w:rsid w:val="00F0049E"/>
    <w:rsid w:val="00F006B5"/>
    <w:rsid w:val="00F0075F"/>
    <w:rsid w:val="00F00FD6"/>
    <w:rsid w:val="00F010C3"/>
    <w:rsid w:val="00F015B8"/>
    <w:rsid w:val="00F01607"/>
    <w:rsid w:val="00F01650"/>
    <w:rsid w:val="00F01968"/>
    <w:rsid w:val="00F0198C"/>
    <w:rsid w:val="00F01EC7"/>
    <w:rsid w:val="00F01F09"/>
    <w:rsid w:val="00F020CF"/>
    <w:rsid w:val="00F02159"/>
    <w:rsid w:val="00F021EF"/>
    <w:rsid w:val="00F022A6"/>
    <w:rsid w:val="00F0238E"/>
    <w:rsid w:val="00F023CA"/>
    <w:rsid w:val="00F023DA"/>
    <w:rsid w:val="00F02408"/>
    <w:rsid w:val="00F024E4"/>
    <w:rsid w:val="00F02A0B"/>
    <w:rsid w:val="00F02C5C"/>
    <w:rsid w:val="00F02E9D"/>
    <w:rsid w:val="00F0357D"/>
    <w:rsid w:val="00F03B0F"/>
    <w:rsid w:val="00F044A1"/>
    <w:rsid w:val="00F048A3"/>
    <w:rsid w:val="00F04945"/>
    <w:rsid w:val="00F049FA"/>
    <w:rsid w:val="00F04BAF"/>
    <w:rsid w:val="00F04CAF"/>
    <w:rsid w:val="00F04CD4"/>
    <w:rsid w:val="00F057A9"/>
    <w:rsid w:val="00F05864"/>
    <w:rsid w:val="00F059D8"/>
    <w:rsid w:val="00F05A6F"/>
    <w:rsid w:val="00F060AD"/>
    <w:rsid w:val="00F0616B"/>
    <w:rsid w:val="00F06216"/>
    <w:rsid w:val="00F06275"/>
    <w:rsid w:val="00F06406"/>
    <w:rsid w:val="00F0654C"/>
    <w:rsid w:val="00F0670C"/>
    <w:rsid w:val="00F06BB4"/>
    <w:rsid w:val="00F06BC6"/>
    <w:rsid w:val="00F06CDB"/>
    <w:rsid w:val="00F06E60"/>
    <w:rsid w:val="00F07134"/>
    <w:rsid w:val="00F074F0"/>
    <w:rsid w:val="00F07910"/>
    <w:rsid w:val="00F07D07"/>
    <w:rsid w:val="00F07E6B"/>
    <w:rsid w:val="00F101A1"/>
    <w:rsid w:val="00F1026E"/>
    <w:rsid w:val="00F10342"/>
    <w:rsid w:val="00F10584"/>
    <w:rsid w:val="00F105B0"/>
    <w:rsid w:val="00F1102C"/>
    <w:rsid w:val="00F112C0"/>
    <w:rsid w:val="00F112CF"/>
    <w:rsid w:val="00F11B6E"/>
    <w:rsid w:val="00F12228"/>
    <w:rsid w:val="00F126C9"/>
    <w:rsid w:val="00F1293C"/>
    <w:rsid w:val="00F12D89"/>
    <w:rsid w:val="00F131FB"/>
    <w:rsid w:val="00F134DB"/>
    <w:rsid w:val="00F13511"/>
    <w:rsid w:val="00F136BF"/>
    <w:rsid w:val="00F13716"/>
    <w:rsid w:val="00F13863"/>
    <w:rsid w:val="00F1389E"/>
    <w:rsid w:val="00F13992"/>
    <w:rsid w:val="00F13B58"/>
    <w:rsid w:val="00F13C9C"/>
    <w:rsid w:val="00F13F6F"/>
    <w:rsid w:val="00F14290"/>
    <w:rsid w:val="00F14556"/>
    <w:rsid w:val="00F14B8F"/>
    <w:rsid w:val="00F150CA"/>
    <w:rsid w:val="00F15419"/>
    <w:rsid w:val="00F15498"/>
    <w:rsid w:val="00F15A05"/>
    <w:rsid w:val="00F15C56"/>
    <w:rsid w:val="00F15F35"/>
    <w:rsid w:val="00F160EC"/>
    <w:rsid w:val="00F1629F"/>
    <w:rsid w:val="00F1642E"/>
    <w:rsid w:val="00F16560"/>
    <w:rsid w:val="00F165F9"/>
    <w:rsid w:val="00F166B5"/>
    <w:rsid w:val="00F1672A"/>
    <w:rsid w:val="00F16ABB"/>
    <w:rsid w:val="00F16C1F"/>
    <w:rsid w:val="00F16DF8"/>
    <w:rsid w:val="00F17316"/>
    <w:rsid w:val="00F17372"/>
    <w:rsid w:val="00F17579"/>
    <w:rsid w:val="00F17BBC"/>
    <w:rsid w:val="00F20039"/>
    <w:rsid w:val="00F20159"/>
    <w:rsid w:val="00F2045E"/>
    <w:rsid w:val="00F208B9"/>
    <w:rsid w:val="00F20A1F"/>
    <w:rsid w:val="00F21001"/>
    <w:rsid w:val="00F211A3"/>
    <w:rsid w:val="00F212CC"/>
    <w:rsid w:val="00F21958"/>
    <w:rsid w:val="00F21AF2"/>
    <w:rsid w:val="00F21B31"/>
    <w:rsid w:val="00F21C88"/>
    <w:rsid w:val="00F22301"/>
    <w:rsid w:val="00F224B5"/>
    <w:rsid w:val="00F2281F"/>
    <w:rsid w:val="00F228E9"/>
    <w:rsid w:val="00F22CB4"/>
    <w:rsid w:val="00F22FD2"/>
    <w:rsid w:val="00F23056"/>
    <w:rsid w:val="00F2313F"/>
    <w:rsid w:val="00F2369C"/>
    <w:rsid w:val="00F23DEE"/>
    <w:rsid w:val="00F2433A"/>
    <w:rsid w:val="00F24462"/>
    <w:rsid w:val="00F24DC7"/>
    <w:rsid w:val="00F24E82"/>
    <w:rsid w:val="00F2513A"/>
    <w:rsid w:val="00F25209"/>
    <w:rsid w:val="00F25350"/>
    <w:rsid w:val="00F25BFB"/>
    <w:rsid w:val="00F25E47"/>
    <w:rsid w:val="00F2692B"/>
    <w:rsid w:val="00F26C3D"/>
    <w:rsid w:val="00F26E16"/>
    <w:rsid w:val="00F2772C"/>
    <w:rsid w:val="00F277FF"/>
    <w:rsid w:val="00F27CE4"/>
    <w:rsid w:val="00F27F69"/>
    <w:rsid w:val="00F304C6"/>
    <w:rsid w:val="00F306E7"/>
    <w:rsid w:val="00F30B9B"/>
    <w:rsid w:val="00F31254"/>
    <w:rsid w:val="00F31652"/>
    <w:rsid w:val="00F31967"/>
    <w:rsid w:val="00F31A9E"/>
    <w:rsid w:val="00F31B8F"/>
    <w:rsid w:val="00F31C71"/>
    <w:rsid w:val="00F3202A"/>
    <w:rsid w:val="00F32231"/>
    <w:rsid w:val="00F32563"/>
    <w:rsid w:val="00F3270B"/>
    <w:rsid w:val="00F3272E"/>
    <w:rsid w:val="00F32878"/>
    <w:rsid w:val="00F32D6C"/>
    <w:rsid w:val="00F3349C"/>
    <w:rsid w:val="00F3358F"/>
    <w:rsid w:val="00F33EA8"/>
    <w:rsid w:val="00F3450A"/>
    <w:rsid w:val="00F34BAE"/>
    <w:rsid w:val="00F3554D"/>
    <w:rsid w:val="00F35C41"/>
    <w:rsid w:val="00F35C51"/>
    <w:rsid w:val="00F35E14"/>
    <w:rsid w:val="00F366DC"/>
    <w:rsid w:val="00F367E5"/>
    <w:rsid w:val="00F36A5E"/>
    <w:rsid w:val="00F36A65"/>
    <w:rsid w:val="00F36B07"/>
    <w:rsid w:val="00F37368"/>
    <w:rsid w:val="00F3747B"/>
    <w:rsid w:val="00F37A27"/>
    <w:rsid w:val="00F37CD1"/>
    <w:rsid w:val="00F37DEE"/>
    <w:rsid w:val="00F37E3E"/>
    <w:rsid w:val="00F37EF3"/>
    <w:rsid w:val="00F402A4"/>
    <w:rsid w:val="00F40576"/>
    <w:rsid w:val="00F40B5A"/>
    <w:rsid w:val="00F40BBA"/>
    <w:rsid w:val="00F40E41"/>
    <w:rsid w:val="00F415A5"/>
    <w:rsid w:val="00F41656"/>
    <w:rsid w:val="00F41880"/>
    <w:rsid w:val="00F41884"/>
    <w:rsid w:val="00F41A29"/>
    <w:rsid w:val="00F41C74"/>
    <w:rsid w:val="00F41CE9"/>
    <w:rsid w:val="00F42020"/>
    <w:rsid w:val="00F420EF"/>
    <w:rsid w:val="00F4288E"/>
    <w:rsid w:val="00F4293C"/>
    <w:rsid w:val="00F42B58"/>
    <w:rsid w:val="00F42EBB"/>
    <w:rsid w:val="00F42ED4"/>
    <w:rsid w:val="00F43140"/>
    <w:rsid w:val="00F435A6"/>
    <w:rsid w:val="00F43C51"/>
    <w:rsid w:val="00F43CBE"/>
    <w:rsid w:val="00F4416A"/>
    <w:rsid w:val="00F443E4"/>
    <w:rsid w:val="00F44640"/>
    <w:rsid w:val="00F448D8"/>
    <w:rsid w:val="00F44AAC"/>
    <w:rsid w:val="00F451ED"/>
    <w:rsid w:val="00F45802"/>
    <w:rsid w:val="00F45E0B"/>
    <w:rsid w:val="00F45E9D"/>
    <w:rsid w:val="00F4631E"/>
    <w:rsid w:val="00F4635A"/>
    <w:rsid w:val="00F46909"/>
    <w:rsid w:val="00F469B7"/>
    <w:rsid w:val="00F46FC4"/>
    <w:rsid w:val="00F47335"/>
    <w:rsid w:val="00F47C3C"/>
    <w:rsid w:val="00F47E09"/>
    <w:rsid w:val="00F50129"/>
    <w:rsid w:val="00F50AA0"/>
    <w:rsid w:val="00F50C4F"/>
    <w:rsid w:val="00F50D37"/>
    <w:rsid w:val="00F51305"/>
    <w:rsid w:val="00F5134F"/>
    <w:rsid w:val="00F51391"/>
    <w:rsid w:val="00F51811"/>
    <w:rsid w:val="00F51925"/>
    <w:rsid w:val="00F51ADF"/>
    <w:rsid w:val="00F51C1C"/>
    <w:rsid w:val="00F52315"/>
    <w:rsid w:val="00F52496"/>
    <w:rsid w:val="00F52614"/>
    <w:rsid w:val="00F529F4"/>
    <w:rsid w:val="00F52BFB"/>
    <w:rsid w:val="00F52E08"/>
    <w:rsid w:val="00F534B5"/>
    <w:rsid w:val="00F535CC"/>
    <w:rsid w:val="00F53A68"/>
    <w:rsid w:val="00F53A98"/>
    <w:rsid w:val="00F53B34"/>
    <w:rsid w:val="00F54751"/>
    <w:rsid w:val="00F54F06"/>
    <w:rsid w:val="00F551C9"/>
    <w:rsid w:val="00F553A4"/>
    <w:rsid w:val="00F55741"/>
    <w:rsid w:val="00F55B70"/>
    <w:rsid w:val="00F55E4D"/>
    <w:rsid w:val="00F5623F"/>
    <w:rsid w:val="00F5633C"/>
    <w:rsid w:val="00F56357"/>
    <w:rsid w:val="00F565BF"/>
    <w:rsid w:val="00F56AF2"/>
    <w:rsid w:val="00F56F21"/>
    <w:rsid w:val="00F56F53"/>
    <w:rsid w:val="00F5738A"/>
    <w:rsid w:val="00F5750D"/>
    <w:rsid w:val="00F576F7"/>
    <w:rsid w:val="00F5788B"/>
    <w:rsid w:val="00F57D04"/>
    <w:rsid w:val="00F601E3"/>
    <w:rsid w:val="00F6028B"/>
    <w:rsid w:val="00F605D5"/>
    <w:rsid w:val="00F609E5"/>
    <w:rsid w:val="00F60ADE"/>
    <w:rsid w:val="00F60B64"/>
    <w:rsid w:val="00F610AC"/>
    <w:rsid w:val="00F611A5"/>
    <w:rsid w:val="00F611E0"/>
    <w:rsid w:val="00F61216"/>
    <w:rsid w:val="00F614E7"/>
    <w:rsid w:val="00F61770"/>
    <w:rsid w:val="00F61988"/>
    <w:rsid w:val="00F61C53"/>
    <w:rsid w:val="00F61E9F"/>
    <w:rsid w:val="00F6208C"/>
    <w:rsid w:val="00F621D6"/>
    <w:rsid w:val="00F62361"/>
    <w:rsid w:val="00F62AB9"/>
    <w:rsid w:val="00F62E33"/>
    <w:rsid w:val="00F62EC0"/>
    <w:rsid w:val="00F6311F"/>
    <w:rsid w:val="00F63293"/>
    <w:rsid w:val="00F632D8"/>
    <w:rsid w:val="00F63785"/>
    <w:rsid w:val="00F6384E"/>
    <w:rsid w:val="00F63ABF"/>
    <w:rsid w:val="00F64128"/>
    <w:rsid w:val="00F642A1"/>
    <w:rsid w:val="00F6435D"/>
    <w:rsid w:val="00F64364"/>
    <w:rsid w:val="00F64488"/>
    <w:rsid w:val="00F64C4A"/>
    <w:rsid w:val="00F64D82"/>
    <w:rsid w:val="00F65019"/>
    <w:rsid w:val="00F6502C"/>
    <w:rsid w:val="00F6541F"/>
    <w:rsid w:val="00F658D4"/>
    <w:rsid w:val="00F65B34"/>
    <w:rsid w:val="00F65B50"/>
    <w:rsid w:val="00F66867"/>
    <w:rsid w:val="00F66A27"/>
    <w:rsid w:val="00F66A3B"/>
    <w:rsid w:val="00F66AB7"/>
    <w:rsid w:val="00F66E12"/>
    <w:rsid w:val="00F66FC4"/>
    <w:rsid w:val="00F67102"/>
    <w:rsid w:val="00F671A5"/>
    <w:rsid w:val="00F67276"/>
    <w:rsid w:val="00F6737A"/>
    <w:rsid w:val="00F6792F"/>
    <w:rsid w:val="00F6795C"/>
    <w:rsid w:val="00F67DAF"/>
    <w:rsid w:val="00F7016E"/>
    <w:rsid w:val="00F703A5"/>
    <w:rsid w:val="00F709D1"/>
    <w:rsid w:val="00F70D70"/>
    <w:rsid w:val="00F70EEF"/>
    <w:rsid w:val="00F71157"/>
    <w:rsid w:val="00F71332"/>
    <w:rsid w:val="00F713B0"/>
    <w:rsid w:val="00F716BC"/>
    <w:rsid w:val="00F71B09"/>
    <w:rsid w:val="00F71BC6"/>
    <w:rsid w:val="00F71DD8"/>
    <w:rsid w:val="00F71E52"/>
    <w:rsid w:val="00F720D4"/>
    <w:rsid w:val="00F72449"/>
    <w:rsid w:val="00F72CAF"/>
    <w:rsid w:val="00F73123"/>
    <w:rsid w:val="00F735B3"/>
    <w:rsid w:val="00F737CB"/>
    <w:rsid w:val="00F739EF"/>
    <w:rsid w:val="00F73D22"/>
    <w:rsid w:val="00F73D97"/>
    <w:rsid w:val="00F73DC1"/>
    <w:rsid w:val="00F73F97"/>
    <w:rsid w:val="00F74328"/>
    <w:rsid w:val="00F7439D"/>
    <w:rsid w:val="00F745DB"/>
    <w:rsid w:val="00F74E94"/>
    <w:rsid w:val="00F7506F"/>
    <w:rsid w:val="00F75393"/>
    <w:rsid w:val="00F757CC"/>
    <w:rsid w:val="00F758A1"/>
    <w:rsid w:val="00F758D5"/>
    <w:rsid w:val="00F75E12"/>
    <w:rsid w:val="00F75EE0"/>
    <w:rsid w:val="00F760C7"/>
    <w:rsid w:val="00F7658E"/>
    <w:rsid w:val="00F765C9"/>
    <w:rsid w:val="00F766AC"/>
    <w:rsid w:val="00F76968"/>
    <w:rsid w:val="00F76992"/>
    <w:rsid w:val="00F76C39"/>
    <w:rsid w:val="00F76CAE"/>
    <w:rsid w:val="00F76D01"/>
    <w:rsid w:val="00F76EEA"/>
    <w:rsid w:val="00F77254"/>
    <w:rsid w:val="00F7727A"/>
    <w:rsid w:val="00F772C3"/>
    <w:rsid w:val="00F77620"/>
    <w:rsid w:val="00F777B7"/>
    <w:rsid w:val="00F77876"/>
    <w:rsid w:val="00F779A5"/>
    <w:rsid w:val="00F80126"/>
    <w:rsid w:val="00F802DD"/>
    <w:rsid w:val="00F805A0"/>
    <w:rsid w:val="00F80DB0"/>
    <w:rsid w:val="00F81006"/>
    <w:rsid w:val="00F81240"/>
    <w:rsid w:val="00F81340"/>
    <w:rsid w:val="00F8147C"/>
    <w:rsid w:val="00F81886"/>
    <w:rsid w:val="00F818B8"/>
    <w:rsid w:val="00F81EFB"/>
    <w:rsid w:val="00F8239E"/>
    <w:rsid w:val="00F827A1"/>
    <w:rsid w:val="00F82A4C"/>
    <w:rsid w:val="00F82AB2"/>
    <w:rsid w:val="00F833C4"/>
    <w:rsid w:val="00F83481"/>
    <w:rsid w:val="00F83617"/>
    <w:rsid w:val="00F8361C"/>
    <w:rsid w:val="00F83B3D"/>
    <w:rsid w:val="00F83B7C"/>
    <w:rsid w:val="00F83D72"/>
    <w:rsid w:val="00F83EDF"/>
    <w:rsid w:val="00F83F8E"/>
    <w:rsid w:val="00F83F97"/>
    <w:rsid w:val="00F84292"/>
    <w:rsid w:val="00F842B2"/>
    <w:rsid w:val="00F84416"/>
    <w:rsid w:val="00F84671"/>
    <w:rsid w:val="00F84979"/>
    <w:rsid w:val="00F84EFE"/>
    <w:rsid w:val="00F850ED"/>
    <w:rsid w:val="00F85603"/>
    <w:rsid w:val="00F8578E"/>
    <w:rsid w:val="00F85813"/>
    <w:rsid w:val="00F85D68"/>
    <w:rsid w:val="00F85F74"/>
    <w:rsid w:val="00F86229"/>
    <w:rsid w:val="00F87AAC"/>
    <w:rsid w:val="00F87AD3"/>
    <w:rsid w:val="00F87FEE"/>
    <w:rsid w:val="00F900FB"/>
    <w:rsid w:val="00F9016E"/>
    <w:rsid w:val="00F90690"/>
    <w:rsid w:val="00F9085C"/>
    <w:rsid w:val="00F90D39"/>
    <w:rsid w:val="00F90DBB"/>
    <w:rsid w:val="00F90E5C"/>
    <w:rsid w:val="00F90FD8"/>
    <w:rsid w:val="00F9107F"/>
    <w:rsid w:val="00F910D4"/>
    <w:rsid w:val="00F915A5"/>
    <w:rsid w:val="00F91932"/>
    <w:rsid w:val="00F9199D"/>
    <w:rsid w:val="00F91C47"/>
    <w:rsid w:val="00F92098"/>
    <w:rsid w:val="00F920A8"/>
    <w:rsid w:val="00F921DB"/>
    <w:rsid w:val="00F92B06"/>
    <w:rsid w:val="00F92E6A"/>
    <w:rsid w:val="00F9333B"/>
    <w:rsid w:val="00F93528"/>
    <w:rsid w:val="00F93716"/>
    <w:rsid w:val="00F938D5"/>
    <w:rsid w:val="00F93909"/>
    <w:rsid w:val="00F93C46"/>
    <w:rsid w:val="00F93C50"/>
    <w:rsid w:val="00F93CA3"/>
    <w:rsid w:val="00F93D0F"/>
    <w:rsid w:val="00F93D83"/>
    <w:rsid w:val="00F93E91"/>
    <w:rsid w:val="00F9477A"/>
    <w:rsid w:val="00F948F9"/>
    <w:rsid w:val="00F94A05"/>
    <w:rsid w:val="00F94CE7"/>
    <w:rsid w:val="00F95027"/>
    <w:rsid w:val="00F9577F"/>
    <w:rsid w:val="00F95E41"/>
    <w:rsid w:val="00F96047"/>
    <w:rsid w:val="00F96464"/>
    <w:rsid w:val="00F9664C"/>
    <w:rsid w:val="00F96820"/>
    <w:rsid w:val="00F96AC9"/>
    <w:rsid w:val="00F96CC8"/>
    <w:rsid w:val="00F97125"/>
    <w:rsid w:val="00F97155"/>
    <w:rsid w:val="00F97240"/>
    <w:rsid w:val="00F9789A"/>
    <w:rsid w:val="00F97AFB"/>
    <w:rsid w:val="00F97BB7"/>
    <w:rsid w:val="00F97DE1"/>
    <w:rsid w:val="00F97F0C"/>
    <w:rsid w:val="00FA0027"/>
    <w:rsid w:val="00FA0029"/>
    <w:rsid w:val="00FA0042"/>
    <w:rsid w:val="00FA0098"/>
    <w:rsid w:val="00FA01E7"/>
    <w:rsid w:val="00FA050A"/>
    <w:rsid w:val="00FA0954"/>
    <w:rsid w:val="00FA09D7"/>
    <w:rsid w:val="00FA0BF0"/>
    <w:rsid w:val="00FA0E1D"/>
    <w:rsid w:val="00FA0F31"/>
    <w:rsid w:val="00FA0FCD"/>
    <w:rsid w:val="00FA100F"/>
    <w:rsid w:val="00FA12B8"/>
    <w:rsid w:val="00FA1404"/>
    <w:rsid w:val="00FA1662"/>
    <w:rsid w:val="00FA168C"/>
    <w:rsid w:val="00FA16FB"/>
    <w:rsid w:val="00FA18BD"/>
    <w:rsid w:val="00FA1C79"/>
    <w:rsid w:val="00FA1FA5"/>
    <w:rsid w:val="00FA1FE2"/>
    <w:rsid w:val="00FA221A"/>
    <w:rsid w:val="00FA252E"/>
    <w:rsid w:val="00FA263C"/>
    <w:rsid w:val="00FA2992"/>
    <w:rsid w:val="00FA2D87"/>
    <w:rsid w:val="00FA2EA7"/>
    <w:rsid w:val="00FA37FC"/>
    <w:rsid w:val="00FA3909"/>
    <w:rsid w:val="00FA3956"/>
    <w:rsid w:val="00FA3B89"/>
    <w:rsid w:val="00FA3C48"/>
    <w:rsid w:val="00FA45FE"/>
    <w:rsid w:val="00FA4DF5"/>
    <w:rsid w:val="00FA4EC2"/>
    <w:rsid w:val="00FA5051"/>
    <w:rsid w:val="00FA5083"/>
    <w:rsid w:val="00FA51F7"/>
    <w:rsid w:val="00FA55D0"/>
    <w:rsid w:val="00FA5800"/>
    <w:rsid w:val="00FA5C35"/>
    <w:rsid w:val="00FA5EC0"/>
    <w:rsid w:val="00FA5FDC"/>
    <w:rsid w:val="00FA5FEA"/>
    <w:rsid w:val="00FA609E"/>
    <w:rsid w:val="00FA6106"/>
    <w:rsid w:val="00FA626E"/>
    <w:rsid w:val="00FA6604"/>
    <w:rsid w:val="00FA6663"/>
    <w:rsid w:val="00FA68BE"/>
    <w:rsid w:val="00FA68C6"/>
    <w:rsid w:val="00FA700D"/>
    <w:rsid w:val="00FA739B"/>
    <w:rsid w:val="00FA75E9"/>
    <w:rsid w:val="00FA794A"/>
    <w:rsid w:val="00FA7B9D"/>
    <w:rsid w:val="00FA7DA8"/>
    <w:rsid w:val="00FA7E8D"/>
    <w:rsid w:val="00FB061D"/>
    <w:rsid w:val="00FB06A9"/>
    <w:rsid w:val="00FB06CF"/>
    <w:rsid w:val="00FB0A6F"/>
    <w:rsid w:val="00FB0D56"/>
    <w:rsid w:val="00FB1776"/>
    <w:rsid w:val="00FB189E"/>
    <w:rsid w:val="00FB1B06"/>
    <w:rsid w:val="00FB1B07"/>
    <w:rsid w:val="00FB1BA7"/>
    <w:rsid w:val="00FB1C97"/>
    <w:rsid w:val="00FB2192"/>
    <w:rsid w:val="00FB2207"/>
    <w:rsid w:val="00FB23A4"/>
    <w:rsid w:val="00FB241F"/>
    <w:rsid w:val="00FB2576"/>
    <w:rsid w:val="00FB2873"/>
    <w:rsid w:val="00FB2BD1"/>
    <w:rsid w:val="00FB2F39"/>
    <w:rsid w:val="00FB3006"/>
    <w:rsid w:val="00FB30C9"/>
    <w:rsid w:val="00FB31FF"/>
    <w:rsid w:val="00FB354E"/>
    <w:rsid w:val="00FB3C67"/>
    <w:rsid w:val="00FB3E5A"/>
    <w:rsid w:val="00FB4241"/>
    <w:rsid w:val="00FB491D"/>
    <w:rsid w:val="00FB5344"/>
    <w:rsid w:val="00FB564C"/>
    <w:rsid w:val="00FB5A6B"/>
    <w:rsid w:val="00FB603F"/>
    <w:rsid w:val="00FB61E6"/>
    <w:rsid w:val="00FB6778"/>
    <w:rsid w:val="00FB6851"/>
    <w:rsid w:val="00FB69E9"/>
    <w:rsid w:val="00FB69F6"/>
    <w:rsid w:val="00FB6A48"/>
    <w:rsid w:val="00FB6CC1"/>
    <w:rsid w:val="00FB6D51"/>
    <w:rsid w:val="00FB6F7D"/>
    <w:rsid w:val="00FB6FB2"/>
    <w:rsid w:val="00FB7422"/>
    <w:rsid w:val="00FB7557"/>
    <w:rsid w:val="00FB77E7"/>
    <w:rsid w:val="00FB7820"/>
    <w:rsid w:val="00FB79CB"/>
    <w:rsid w:val="00FB7CDA"/>
    <w:rsid w:val="00FC010F"/>
    <w:rsid w:val="00FC035D"/>
    <w:rsid w:val="00FC0BD1"/>
    <w:rsid w:val="00FC0C26"/>
    <w:rsid w:val="00FC0CCD"/>
    <w:rsid w:val="00FC0F2A"/>
    <w:rsid w:val="00FC101A"/>
    <w:rsid w:val="00FC138C"/>
    <w:rsid w:val="00FC13A2"/>
    <w:rsid w:val="00FC1605"/>
    <w:rsid w:val="00FC1847"/>
    <w:rsid w:val="00FC19F0"/>
    <w:rsid w:val="00FC1C6A"/>
    <w:rsid w:val="00FC1E67"/>
    <w:rsid w:val="00FC2521"/>
    <w:rsid w:val="00FC2C94"/>
    <w:rsid w:val="00FC3188"/>
    <w:rsid w:val="00FC33F4"/>
    <w:rsid w:val="00FC3C20"/>
    <w:rsid w:val="00FC3C79"/>
    <w:rsid w:val="00FC4355"/>
    <w:rsid w:val="00FC4641"/>
    <w:rsid w:val="00FC46A4"/>
    <w:rsid w:val="00FC48A5"/>
    <w:rsid w:val="00FC4955"/>
    <w:rsid w:val="00FC4B08"/>
    <w:rsid w:val="00FC4C50"/>
    <w:rsid w:val="00FC4D4B"/>
    <w:rsid w:val="00FC5388"/>
    <w:rsid w:val="00FC5438"/>
    <w:rsid w:val="00FC5769"/>
    <w:rsid w:val="00FC58DA"/>
    <w:rsid w:val="00FC5986"/>
    <w:rsid w:val="00FC5DB6"/>
    <w:rsid w:val="00FC5FBF"/>
    <w:rsid w:val="00FC646E"/>
    <w:rsid w:val="00FC64A7"/>
    <w:rsid w:val="00FC6581"/>
    <w:rsid w:val="00FC6674"/>
    <w:rsid w:val="00FC677E"/>
    <w:rsid w:val="00FC68CA"/>
    <w:rsid w:val="00FC68CB"/>
    <w:rsid w:val="00FC69BE"/>
    <w:rsid w:val="00FC6B43"/>
    <w:rsid w:val="00FC6CAC"/>
    <w:rsid w:val="00FC6E33"/>
    <w:rsid w:val="00FC6E60"/>
    <w:rsid w:val="00FC7027"/>
    <w:rsid w:val="00FC7085"/>
    <w:rsid w:val="00FC7373"/>
    <w:rsid w:val="00FC7553"/>
    <w:rsid w:val="00FC7AD6"/>
    <w:rsid w:val="00FC7CB7"/>
    <w:rsid w:val="00FD0652"/>
    <w:rsid w:val="00FD073D"/>
    <w:rsid w:val="00FD0EFD"/>
    <w:rsid w:val="00FD11A5"/>
    <w:rsid w:val="00FD128E"/>
    <w:rsid w:val="00FD1395"/>
    <w:rsid w:val="00FD1667"/>
    <w:rsid w:val="00FD194A"/>
    <w:rsid w:val="00FD1BB3"/>
    <w:rsid w:val="00FD1FB6"/>
    <w:rsid w:val="00FD1FD3"/>
    <w:rsid w:val="00FD216F"/>
    <w:rsid w:val="00FD2249"/>
    <w:rsid w:val="00FD2AAF"/>
    <w:rsid w:val="00FD2DB1"/>
    <w:rsid w:val="00FD32C7"/>
    <w:rsid w:val="00FD33DA"/>
    <w:rsid w:val="00FD34F5"/>
    <w:rsid w:val="00FD3526"/>
    <w:rsid w:val="00FD35E8"/>
    <w:rsid w:val="00FD3981"/>
    <w:rsid w:val="00FD3A5A"/>
    <w:rsid w:val="00FD3B7C"/>
    <w:rsid w:val="00FD423D"/>
    <w:rsid w:val="00FD451E"/>
    <w:rsid w:val="00FD470F"/>
    <w:rsid w:val="00FD4C68"/>
    <w:rsid w:val="00FD4C6D"/>
    <w:rsid w:val="00FD4ECD"/>
    <w:rsid w:val="00FD5062"/>
    <w:rsid w:val="00FD51D3"/>
    <w:rsid w:val="00FD52A0"/>
    <w:rsid w:val="00FD565B"/>
    <w:rsid w:val="00FD56AE"/>
    <w:rsid w:val="00FD571B"/>
    <w:rsid w:val="00FD5902"/>
    <w:rsid w:val="00FD594F"/>
    <w:rsid w:val="00FD59CF"/>
    <w:rsid w:val="00FD6592"/>
    <w:rsid w:val="00FD6A6F"/>
    <w:rsid w:val="00FD6FC2"/>
    <w:rsid w:val="00FD7522"/>
    <w:rsid w:val="00FD7528"/>
    <w:rsid w:val="00FD77A8"/>
    <w:rsid w:val="00FD7A42"/>
    <w:rsid w:val="00FD7B12"/>
    <w:rsid w:val="00FD7B32"/>
    <w:rsid w:val="00FD7B67"/>
    <w:rsid w:val="00FD7BFE"/>
    <w:rsid w:val="00FD7C78"/>
    <w:rsid w:val="00FE0257"/>
    <w:rsid w:val="00FE0490"/>
    <w:rsid w:val="00FE0526"/>
    <w:rsid w:val="00FE06C5"/>
    <w:rsid w:val="00FE09A8"/>
    <w:rsid w:val="00FE0BA2"/>
    <w:rsid w:val="00FE1774"/>
    <w:rsid w:val="00FE1969"/>
    <w:rsid w:val="00FE1A3F"/>
    <w:rsid w:val="00FE1DF1"/>
    <w:rsid w:val="00FE229E"/>
    <w:rsid w:val="00FE247B"/>
    <w:rsid w:val="00FE2704"/>
    <w:rsid w:val="00FE27BE"/>
    <w:rsid w:val="00FE27E9"/>
    <w:rsid w:val="00FE28B8"/>
    <w:rsid w:val="00FE2926"/>
    <w:rsid w:val="00FE2A33"/>
    <w:rsid w:val="00FE2BE7"/>
    <w:rsid w:val="00FE2CF1"/>
    <w:rsid w:val="00FE2FC0"/>
    <w:rsid w:val="00FE315A"/>
    <w:rsid w:val="00FE33A0"/>
    <w:rsid w:val="00FE37EA"/>
    <w:rsid w:val="00FE43D7"/>
    <w:rsid w:val="00FE468A"/>
    <w:rsid w:val="00FE478B"/>
    <w:rsid w:val="00FE4D9A"/>
    <w:rsid w:val="00FE4F6E"/>
    <w:rsid w:val="00FE51BE"/>
    <w:rsid w:val="00FE5235"/>
    <w:rsid w:val="00FE523D"/>
    <w:rsid w:val="00FE5474"/>
    <w:rsid w:val="00FE550B"/>
    <w:rsid w:val="00FE5631"/>
    <w:rsid w:val="00FE57BC"/>
    <w:rsid w:val="00FE59CB"/>
    <w:rsid w:val="00FE5B22"/>
    <w:rsid w:val="00FE5CEE"/>
    <w:rsid w:val="00FE5D04"/>
    <w:rsid w:val="00FE5D76"/>
    <w:rsid w:val="00FE5FB6"/>
    <w:rsid w:val="00FE5FBD"/>
    <w:rsid w:val="00FE61FC"/>
    <w:rsid w:val="00FE65E9"/>
    <w:rsid w:val="00FE6A4A"/>
    <w:rsid w:val="00FE6BCB"/>
    <w:rsid w:val="00FE70BB"/>
    <w:rsid w:val="00FE7158"/>
    <w:rsid w:val="00FE7242"/>
    <w:rsid w:val="00FE7267"/>
    <w:rsid w:val="00FE72FC"/>
    <w:rsid w:val="00FE76EB"/>
    <w:rsid w:val="00FE77D3"/>
    <w:rsid w:val="00FE7943"/>
    <w:rsid w:val="00FE7CE6"/>
    <w:rsid w:val="00FE7F7C"/>
    <w:rsid w:val="00FF0072"/>
    <w:rsid w:val="00FF0406"/>
    <w:rsid w:val="00FF040C"/>
    <w:rsid w:val="00FF051C"/>
    <w:rsid w:val="00FF05C5"/>
    <w:rsid w:val="00FF0B51"/>
    <w:rsid w:val="00FF1325"/>
    <w:rsid w:val="00FF1855"/>
    <w:rsid w:val="00FF1D3E"/>
    <w:rsid w:val="00FF1EF1"/>
    <w:rsid w:val="00FF2315"/>
    <w:rsid w:val="00FF248B"/>
    <w:rsid w:val="00FF2C4E"/>
    <w:rsid w:val="00FF2C79"/>
    <w:rsid w:val="00FF2DD8"/>
    <w:rsid w:val="00FF2F2C"/>
    <w:rsid w:val="00FF30F5"/>
    <w:rsid w:val="00FF3112"/>
    <w:rsid w:val="00FF367B"/>
    <w:rsid w:val="00FF3978"/>
    <w:rsid w:val="00FF3B72"/>
    <w:rsid w:val="00FF3F58"/>
    <w:rsid w:val="00FF3FB4"/>
    <w:rsid w:val="00FF40AF"/>
    <w:rsid w:val="00FF41CD"/>
    <w:rsid w:val="00FF45F8"/>
    <w:rsid w:val="00FF4C84"/>
    <w:rsid w:val="00FF4D01"/>
    <w:rsid w:val="00FF4D58"/>
    <w:rsid w:val="00FF4E51"/>
    <w:rsid w:val="00FF4F68"/>
    <w:rsid w:val="00FF5179"/>
    <w:rsid w:val="00FF52D1"/>
    <w:rsid w:val="00FF5E74"/>
    <w:rsid w:val="00FF619D"/>
    <w:rsid w:val="00FF65BF"/>
    <w:rsid w:val="00FF6669"/>
    <w:rsid w:val="00FF6A18"/>
    <w:rsid w:val="00FF6B26"/>
    <w:rsid w:val="00FF6C88"/>
    <w:rsid w:val="00FF6C97"/>
    <w:rsid w:val="00FF71BF"/>
    <w:rsid w:val="00FF71E5"/>
    <w:rsid w:val="00FF73A7"/>
    <w:rsid w:val="00FF77CC"/>
    <w:rsid w:val="00FF7841"/>
    <w:rsid w:val="00FF7A0D"/>
    <w:rsid w:val="00FF7A65"/>
    <w:rsid w:val="00FF7D7B"/>
    <w:rsid w:val="0190C7C4"/>
    <w:rsid w:val="02390957"/>
    <w:rsid w:val="0266BE73"/>
    <w:rsid w:val="0297B645"/>
    <w:rsid w:val="02A24182"/>
    <w:rsid w:val="02B5F3EB"/>
    <w:rsid w:val="02C9CEED"/>
    <w:rsid w:val="02EFC512"/>
    <w:rsid w:val="02FFF7C3"/>
    <w:rsid w:val="030C0F22"/>
    <w:rsid w:val="03865BFF"/>
    <w:rsid w:val="0406CE14"/>
    <w:rsid w:val="0451E341"/>
    <w:rsid w:val="04757F64"/>
    <w:rsid w:val="0493B590"/>
    <w:rsid w:val="058734E8"/>
    <w:rsid w:val="05CD87C6"/>
    <w:rsid w:val="06331AC2"/>
    <w:rsid w:val="0646DA23"/>
    <w:rsid w:val="06649E1B"/>
    <w:rsid w:val="068E6382"/>
    <w:rsid w:val="06AF74F0"/>
    <w:rsid w:val="06C845BD"/>
    <w:rsid w:val="06F7E450"/>
    <w:rsid w:val="0709BBED"/>
    <w:rsid w:val="0736E5F7"/>
    <w:rsid w:val="07F82CB1"/>
    <w:rsid w:val="07F8A8A2"/>
    <w:rsid w:val="0809AB1E"/>
    <w:rsid w:val="08589DBE"/>
    <w:rsid w:val="08F6441B"/>
    <w:rsid w:val="09052888"/>
    <w:rsid w:val="0971C8FD"/>
    <w:rsid w:val="09729EF2"/>
    <w:rsid w:val="09AA8E66"/>
    <w:rsid w:val="0A0371C4"/>
    <w:rsid w:val="0AB39ED9"/>
    <w:rsid w:val="0AB8D7FF"/>
    <w:rsid w:val="0B37CB80"/>
    <w:rsid w:val="0BEDCB4C"/>
    <w:rsid w:val="0BEFB71C"/>
    <w:rsid w:val="0BF21051"/>
    <w:rsid w:val="0C2304B0"/>
    <w:rsid w:val="0C37E17C"/>
    <w:rsid w:val="0D4FCF62"/>
    <w:rsid w:val="0D67DD3E"/>
    <w:rsid w:val="0DFA5B23"/>
    <w:rsid w:val="0E00E700"/>
    <w:rsid w:val="0E46B99B"/>
    <w:rsid w:val="0E867269"/>
    <w:rsid w:val="0EB13C03"/>
    <w:rsid w:val="0F06181C"/>
    <w:rsid w:val="0F1AC7E6"/>
    <w:rsid w:val="0F39E8E3"/>
    <w:rsid w:val="0F910A8D"/>
    <w:rsid w:val="0FDC1412"/>
    <w:rsid w:val="101205D1"/>
    <w:rsid w:val="1028EA34"/>
    <w:rsid w:val="10977D96"/>
    <w:rsid w:val="10E179C7"/>
    <w:rsid w:val="113887C2"/>
    <w:rsid w:val="1185751F"/>
    <w:rsid w:val="11ADD632"/>
    <w:rsid w:val="11E99B1D"/>
    <w:rsid w:val="12015A20"/>
    <w:rsid w:val="1229F684"/>
    <w:rsid w:val="123FD7D9"/>
    <w:rsid w:val="12743D74"/>
    <w:rsid w:val="12CF0E9B"/>
    <w:rsid w:val="12DCBD8B"/>
    <w:rsid w:val="13095B25"/>
    <w:rsid w:val="133C5FCD"/>
    <w:rsid w:val="1344ACA6"/>
    <w:rsid w:val="135F3BA5"/>
    <w:rsid w:val="13991348"/>
    <w:rsid w:val="13B08D46"/>
    <w:rsid w:val="13BFEB44"/>
    <w:rsid w:val="14214655"/>
    <w:rsid w:val="1423A4E1"/>
    <w:rsid w:val="1445B15F"/>
    <w:rsid w:val="14CD18E0"/>
    <w:rsid w:val="153D5D14"/>
    <w:rsid w:val="154BB694"/>
    <w:rsid w:val="156B677D"/>
    <w:rsid w:val="1593CD4D"/>
    <w:rsid w:val="15A06C19"/>
    <w:rsid w:val="15ED5808"/>
    <w:rsid w:val="16101C8E"/>
    <w:rsid w:val="16965132"/>
    <w:rsid w:val="1818D43E"/>
    <w:rsid w:val="182F1CD6"/>
    <w:rsid w:val="183D15EC"/>
    <w:rsid w:val="185A1687"/>
    <w:rsid w:val="199961F6"/>
    <w:rsid w:val="19C2FFB1"/>
    <w:rsid w:val="1A0FF34C"/>
    <w:rsid w:val="1A1DF7CF"/>
    <w:rsid w:val="1A7BBC11"/>
    <w:rsid w:val="1AB6C2A4"/>
    <w:rsid w:val="1ABC4A9C"/>
    <w:rsid w:val="1AC349C5"/>
    <w:rsid w:val="1B0FED07"/>
    <w:rsid w:val="1B949D77"/>
    <w:rsid w:val="1BC283D1"/>
    <w:rsid w:val="1BC3046E"/>
    <w:rsid w:val="1BDD3FC5"/>
    <w:rsid w:val="1BEB5072"/>
    <w:rsid w:val="1C6F8294"/>
    <w:rsid w:val="1C7B3A69"/>
    <w:rsid w:val="1D7FF65E"/>
    <w:rsid w:val="1DCD5302"/>
    <w:rsid w:val="1EAE3770"/>
    <w:rsid w:val="1EF23081"/>
    <w:rsid w:val="1F30762C"/>
    <w:rsid w:val="208D3953"/>
    <w:rsid w:val="208F7B3D"/>
    <w:rsid w:val="20A69E1E"/>
    <w:rsid w:val="21D30349"/>
    <w:rsid w:val="22B2F01C"/>
    <w:rsid w:val="22F2C382"/>
    <w:rsid w:val="23304762"/>
    <w:rsid w:val="239DC54D"/>
    <w:rsid w:val="23A9E991"/>
    <w:rsid w:val="24044B0A"/>
    <w:rsid w:val="2445B145"/>
    <w:rsid w:val="257A0F41"/>
    <w:rsid w:val="26348C3E"/>
    <w:rsid w:val="267C678E"/>
    <w:rsid w:val="2749332D"/>
    <w:rsid w:val="279C090F"/>
    <w:rsid w:val="27FA8D02"/>
    <w:rsid w:val="282D4CFB"/>
    <w:rsid w:val="2895EB99"/>
    <w:rsid w:val="28DD26A9"/>
    <w:rsid w:val="29183477"/>
    <w:rsid w:val="2929E4CF"/>
    <w:rsid w:val="2962552C"/>
    <w:rsid w:val="29C7F904"/>
    <w:rsid w:val="2B6BA68B"/>
    <w:rsid w:val="2BFB532B"/>
    <w:rsid w:val="2C1D54DE"/>
    <w:rsid w:val="2D23A406"/>
    <w:rsid w:val="2D2A402E"/>
    <w:rsid w:val="2DC1C118"/>
    <w:rsid w:val="2E123B09"/>
    <w:rsid w:val="2E442A23"/>
    <w:rsid w:val="2E93D8C0"/>
    <w:rsid w:val="2E94BCEF"/>
    <w:rsid w:val="2EB7FECF"/>
    <w:rsid w:val="2EDFE955"/>
    <w:rsid w:val="2F2343D4"/>
    <w:rsid w:val="2FDAC450"/>
    <w:rsid w:val="3084F8AE"/>
    <w:rsid w:val="30ABE120"/>
    <w:rsid w:val="30EFC760"/>
    <w:rsid w:val="314CD6E4"/>
    <w:rsid w:val="31E9A860"/>
    <w:rsid w:val="3223A582"/>
    <w:rsid w:val="328201FA"/>
    <w:rsid w:val="32BEDC3C"/>
    <w:rsid w:val="33E381E2"/>
    <w:rsid w:val="34246D98"/>
    <w:rsid w:val="343DED20"/>
    <w:rsid w:val="345E1AAD"/>
    <w:rsid w:val="34A64D30"/>
    <w:rsid w:val="351FAD00"/>
    <w:rsid w:val="356C09A9"/>
    <w:rsid w:val="35C03DF9"/>
    <w:rsid w:val="35E13632"/>
    <w:rsid w:val="3683F5FE"/>
    <w:rsid w:val="36A7BBF1"/>
    <w:rsid w:val="36DED346"/>
    <w:rsid w:val="36EA1B79"/>
    <w:rsid w:val="36EA33AB"/>
    <w:rsid w:val="3768A35E"/>
    <w:rsid w:val="37823AFA"/>
    <w:rsid w:val="38B2DAEC"/>
    <w:rsid w:val="38B9E82D"/>
    <w:rsid w:val="38C7CF68"/>
    <w:rsid w:val="38E1C5D5"/>
    <w:rsid w:val="38EF85CE"/>
    <w:rsid w:val="39874171"/>
    <w:rsid w:val="399555A4"/>
    <w:rsid w:val="3A51773A"/>
    <w:rsid w:val="3A5CEB60"/>
    <w:rsid w:val="3A8B553B"/>
    <w:rsid w:val="3BC5EC63"/>
    <w:rsid w:val="3BD30CC6"/>
    <w:rsid w:val="3BE616D2"/>
    <w:rsid w:val="3BF896DE"/>
    <w:rsid w:val="3C11E41E"/>
    <w:rsid w:val="3C2D9669"/>
    <w:rsid w:val="3C3C1481"/>
    <w:rsid w:val="3D948C22"/>
    <w:rsid w:val="3D98F4AC"/>
    <w:rsid w:val="3DF8354C"/>
    <w:rsid w:val="3E5C7ABB"/>
    <w:rsid w:val="3F105E28"/>
    <w:rsid w:val="3F581926"/>
    <w:rsid w:val="405AE332"/>
    <w:rsid w:val="407AA967"/>
    <w:rsid w:val="4130301D"/>
    <w:rsid w:val="421EEBB8"/>
    <w:rsid w:val="426D0F55"/>
    <w:rsid w:val="4289E5DB"/>
    <w:rsid w:val="42E7D389"/>
    <w:rsid w:val="43E07D4F"/>
    <w:rsid w:val="44026718"/>
    <w:rsid w:val="448CE9CB"/>
    <w:rsid w:val="459FE378"/>
    <w:rsid w:val="45EB1934"/>
    <w:rsid w:val="461AB0EB"/>
    <w:rsid w:val="46457B99"/>
    <w:rsid w:val="4678B664"/>
    <w:rsid w:val="46CD3E68"/>
    <w:rsid w:val="47106494"/>
    <w:rsid w:val="47A853D0"/>
    <w:rsid w:val="489A2F98"/>
    <w:rsid w:val="4963E966"/>
    <w:rsid w:val="499843D5"/>
    <w:rsid w:val="49B5A83A"/>
    <w:rsid w:val="4A4694F3"/>
    <w:rsid w:val="4AC8622E"/>
    <w:rsid w:val="4B8909B2"/>
    <w:rsid w:val="4BB3C027"/>
    <w:rsid w:val="4BCBE2E7"/>
    <w:rsid w:val="4BD8CD40"/>
    <w:rsid w:val="4C25932D"/>
    <w:rsid w:val="4C3482E2"/>
    <w:rsid w:val="4C40FD74"/>
    <w:rsid w:val="4CE90AE2"/>
    <w:rsid w:val="4DAFC435"/>
    <w:rsid w:val="4DCAB08A"/>
    <w:rsid w:val="4DDDFB5D"/>
    <w:rsid w:val="4DF45BD8"/>
    <w:rsid w:val="4E395362"/>
    <w:rsid w:val="4E9E72DF"/>
    <w:rsid w:val="4EB79B3C"/>
    <w:rsid w:val="4F280E62"/>
    <w:rsid w:val="4F463E17"/>
    <w:rsid w:val="4F4E5A8C"/>
    <w:rsid w:val="4F612566"/>
    <w:rsid w:val="4F623298"/>
    <w:rsid w:val="4FDD1ECB"/>
    <w:rsid w:val="4FFB6BE8"/>
    <w:rsid w:val="50072A33"/>
    <w:rsid w:val="50E35277"/>
    <w:rsid w:val="5104A0F8"/>
    <w:rsid w:val="51583696"/>
    <w:rsid w:val="515F5EA3"/>
    <w:rsid w:val="518592F7"/>
    <w:rsid w:val="51F6BC5B"/>
    <w:rsid w:val="524AF7A2"/>
    <w:rsid w:val="525FAF24"/>
    <w:rsid w:val="53094D70"/>
    <w:rsid w:val="534D7DCA"/>
    <w:rsid w:val="534E399C"/>
    <w:rsid w:val="53A9B134"/>
    <w:rsid w:val="53BB8918"/>
    <w:rsid w:val="54055513"/>
    <w:rsid w:val="54873B7F"/>
    <w:rsid w:val="54AF5D79"/>
    <w:rsid w:val="5581A11C"/>
    <w:rsid w:val="5670E490"/>
    <w:rsid w:val="5685DA5E"/>
    <w:rsid w:val="570E01D4"/>
    <w:rsid w:val="5716101D"/>
    <w:rsid w:val="575DB0C5"/>
    <w:rsid w:val="57768CDB"/>
    <w:rsid w:val="581E4469"/>
    <w:rsid w:val="5849E125"/>
    <w:rsid w:val="589E43AA"/>
    <w:rsid w:val="58EEDF4F"/>
    <w:rsid w:val="59606853"/>
    <w:rsid w:val="5966D366"/>
    <w:rsid w:val="597C056E"/>
    <w:rsid w:val="5AD5DEA9"/>
    <w:rsid w:val="5AFEFE4D"/>
    <w:rsid w:val="5B2E99D1"/>
    <w:rsid w:val="5B3FE6B6"/>
    <w:rsid w:val="5B7F7FD5"/>
    <w:rsid w:val="5C0D3941"/>
    <w:rsid w:val="5D10A5FD"/>
    <w:rsid w:val="5DAA4F51"/>
    <w:rsid w:val="5DC3101A"/>
    <w:rsid w:val="5DFA5245"/>
    <w:rsid w:val="5E579B2C"/>
    <w:rsid w:val="5EB98750"/>
    <w:rsid w:val="5ED3E0CE"/>
    <w:rsid w:val="5F510A34"/>
    <w:rsid w:val="5F97367A"/>
    <w:rsid w:val="5FCF7020"/>
    <w:rsid w:val="5FE03901"/>
    <w:rsid w:val="601B689C"/>
    <w:rsid w:val="6057E767"/>
    <w:rsid w:val="6075BD1E"/>
    <w:rsid w:val="60EDF26F"/>
    <w:rsid w:val="61149443"/>
    <w:rsid w:val="616663E9"/>
    <w:rsid w:val="619437B6"/>
    <w:rsid w:val="6195CE07"/>
    <w:rsid w:val="61D50D17"/>
    <w:rsid w:val="61FFA731"/>
    <w:rsid w:val="6275C572"/>
    <w:rsid w:val="627ADA46"/>
    <w:rsid w:val="63319E68"/>
    <w:rsid w:val="6344818D"/>
    <w:rsid w:val="647E54AD"/>
    <w:rsid w:val="64E18CEA"/>
    <w:rsid w:val="64EE5795"/>
    <w:rsid w:val="654263B2"/>
    <w:rsid w:val="65B56136"/>
    <w:rsid w:val="65D65D0F"/>
    <w:rsid w:val="66179B20"/>
    <w:rsid w:val="6619C940"/>
    <w:rsid w:val="672055E5"/>
    <w:rsid w:val="67CCFA4D"/>
    <w:rsid w:val="67E3C276"/>
    <w:rsid w:val="68050F8B"/>
    <w:rsid w:val="680F2725"/>
    <w:rsid w:val="682499E8"/>
    <w:rsid w:val="68274C37"/>
    <w:rsid w:val="682D7ACE"/>
    <w:rsid w:val="682F12E5"/>
    <w:rsid w:val="6866C8F4"/>
    <w:rsid w:val="68746E7B"/>
    <w:rsid w:val="68CEFB2F"/>
    <w:rsid w:val="68EF1CD1"/>
    <w:rsid w:val="691C7BE9"/>
    <w:rsid w:val="692B917C"/>
    <w:rsid w:val="69535ADC"/>
    <w:rsid w:val="6959C3C0"/>
    <w:rsid w:val="697C7105"/>
    <w:rsid w:val="69FE2E90"/>
    <w:rsid w:val="6A3E1D9B"/>
    <w:rsid w:val="6A42242C"/>
    <w:rsid w:val="6A8AED32"/>
    <w:rsid w:val="6AA9CE32"/>
    <w:rsid w:val="6AE0E526"/>
    <w:rsid w:val="6B07C386"/>
    <w:rsid w:val="6BF3B6BD"/>
    <w:rsid w:val="6C8DEF81"/>
    <w:rsid w:val="6C9704AB"/>
    <w:rsid w:val="6CE29848"/>
    <w:rsid w:val="6D209B9C"/>
    <w:rsid w:val="6E0FDF10"/>
    <w:rsid w:val="6E65404C"/>
    <w:rsid w:val="6ED531E7"/>
    <w:rsid w:val="6F6B6D06"/>
    <w:rsid w:val="6FDD346E"/>
    <w:rsid w:val="717BD937"/>
    <w:rsid w:val="71A528A3"/>
    <w:rsid w:val="71B4112D"/>
    <w:rsid w:val="71F7D92C"/>
    <w:rsid w:val="7270A1CA"/>
    <w:rsid w:val="72E3A1D3"/>
    <w:rsid w:val="7314C10D"/>
    <w:rsid w:val="73CB6F30"/>
    <w:rsid w:val="73EC6B09"/>
    <w:rsid w:val="743C7E8A"/>
    <w:rsid w:val="7440A186"/>
    <w:rsid w:val="74671C16"/>
    <w:rsid w:val="748F79CE"/>
    <w:rsid w:val="754CA122"/>
    <w:rsid w:val="75B5D481"/>
    <w:rsid w:val="75D84EEB"/>
    <w:rsid w:val="76508692"/>
    <w:rsid w:val="765F7169"/>
    <w:rsid w:val="7691A2C3"/>
    <w:rsid w:val="76C6BFA1"/>
    <w:rsid w:val="76E1A3F8"/>
    <w:rsid w:val="77184360"/>
    <w:rsid w:val="7731A1A8"/>
    <w:rsid w:val="7759DAA9"/>
    <w:rsid w:val="77B71FBC"/>
    <w:rsid w:val="780A071D"/>
    <w:rsid w:val="7817800E"/>
    <w:rsid w:val="7867E23F"/>
    <w:rsid w:val="788A9245"/>
    <w:rsid w:val="78CE5A44"/>
    <w:rsid w:val="78F65C6B"/>
    <w:rsid w:val="790A7ADA"/>
    <w:rsid w:val="7922082F"/>
    <w:rsid w:val="7A17E48E"/>
    <w:rsid w:val="7A8C39E5"/>
    <w:rsid w:val="7B972890"/>
    <w:rsid w:val="7BB4B467"/>
    <w:rsid w:val="7BF3BE48"/>
    <w:rsid w:val="7C222823"/>
    <w:rsid w:val="7C7CE705"/>
    <w:rsid w:val="7D2DB757"/>
    <w:rsid w:val="7D77A966"/>
    <w:rsid w:val="7D7ED9C4"/>
    <w:rsid w:val="7E2795F8"/>
    <w:rsid w:val="7E34B7CB"/>
    <w:rsid w:val="7E5F755D"/>
    <w:rsid w:val="7EAA4720"/>
    <w:rsid w:val="7EBD33D7"/>
    <w:rsid w:val="7F71113E"/>
    <w:rsid w:val="7FC36659"/>
    <w:rsid w:val="7FCC0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D4927"/>
  <w15:docId w15:val="{46DED73E-5319-438A-845C-6036D6EB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atentStyles>
  <w:style w:type="paragraph" w:default="1" w:styleId="Normln">
    <w:name w:val="Normal"/>
    <w:qFormat/>
    <w:rsid w:val="0096596D"/>
    <w:pPr>
      <w:jc w:val="both"/>
    </w:pPr>
    <w:rPr>
      <w:rFonts w:asciiTheme="minorHAnsi" w:hAnsiTheme="minorHAnsi"/>
      <w:sz w:val="24"/>
    </w:rPr>
  </w:style>
  <w:style w:type="paragraph" w:styleId="Nadpis1">
    <w:name w:val="heading 1"/>
    <w:aliases w:val="Nadpis 1 Char,vlevo 18b."/>
    <w:basedOn w:val="Normln"/>
    <w:next w:val="Normln"/>
    <w:link w:val="Nadpis1Char1"/>
    <w:uiPriority w:val="9"/>
    <w:qFormat/>
    <w:rsid w:val="00A91587"/>
    <w:pPr>
      <w:keepNext/>
      <w:numPr>
        <w:numId w:val="14"/>
      </w:numPr>
      <w:spacing w:before="240" w:after="240"/>
      <w:jc w:val="center"/>
      <w:outlineLvl w:val="0"/>
    </w:pPr>
    <w:rPr>
      <w:b/>
      <w:bCs/>
      <w:sz w:val="28"/>
      <w:szCs w:val="34"/>
    </w:rPr>
  </w:style>
  <w:style w:type="paragraph" w:styleId="Nadpis2">
    <w:name w:val="heading 2"/>
    <w:aliases w:val="H2,POŘ-Nadpis 2,vlevo 16b."/>
    <w:basedOn w:val="Normln"/>
    <w:next w:val="Normln"/>
    <w:link w:val="Nadpis2Char"/>
    <w:uiPriority w:val="9"/>
    <w:qFormat/>
    <w:rsid w:val="00445CE4"/>
    <w:pPr>
      <w:keepNext/>
      <w:numPr>
        <w:ilvl w:val="1"/>
        <w:numId w:val="14"/>
      </w:numPr>
      <w:autoSpaceDE w:val="0"/>
      <w:autoSpaceDN w:val="0"/>
      <w:adjustRightInd w:val="0"/>
      <w:outlineLvl w:val="1"/>
    </w:pPr>
    <w:rPr>
      <w:rFonts w:eastAsia="SimSun"/>
      <w:b/>
    </w:rPr>
  </w:style>
  <w:style w:type="paragraph" w:styleId="Nadpis3">
    <w:name w:val="heading 3"/>
    <w:aliases w:val="H3,Vysvětlivky,vlevo 14b."/>
    <w:basedOn w:val="Normln"/>
    <w:next w:val="Normln"/>
    <w:link w:val="Nadpis3Char"/>
    <w:uiPriority w:val="9"/>
    <w:qFormat/>
    <w:rsid w:val="00445CE4"/>
    <w:pPr>
      <w:keepNext/>
      <w:numPr>
        <w:ilvl w:val="2"/>
        <w:numId w:val="14"/>
      </w:numPr>
      <w:jc w:val="center"/>
      <w:outlineLvl w:val="2"/>
    </w:pPr>
    <w:rPr>
      <w:b/>
      <w:bCs/>
      <w:color w:val="000000"/>
    </w:rPr>
  </w:style>
  <w:style w:type="paragraph" w:styleId="Nadpis4">
    <w:name w:val="heading 4"/>
    <w:aliases w:val="příloha"/>
    <w:basedOn w:val="Normln"/>
    <w:next w:val="Normln"/>
    <w:link w:val="Nadpis4Char"/>
    <w:uiPriority w:val="9"/>
    <w:qFormat/>
    <w:rsid w:val="0010633C"/>
    <w:pPr>
      <w:keepNext/>
      <w:numPr>
        <w:ilvl w:val="3"/>
        <w:numId w:val="14"/>
      </w:numPr>
      <w:jc w:val="left"/>
      <w:outlineLvl w:val="3"/>
    </w:pPr>
    <w:rPr>
      <w:b/>
      <w:bCs/>
    </w:rPr>
  </w:style>
  <w:style w:type="paragraph" w:styleId="Nadpis5">
    <w:name w:val="heading 5"/>
    <w:basedOn w:val="Normln"/>
    <w:next w:val="Normln"/>
    <w:link w:val="Nadpis5Char"/>
    <w:uiPriority w:val="9"/>
    <w:qFormat/>
    <w:rsid w:val="00445CE4"/>
    <w:pPr>
      <w:keepNext/>
      <w:numPr>
        <w:ilvl w:val="4"/>
        <w:numId w:val="14"/>
      </w:numPr>
      <w:spacing w:before="240" w:after="120"/>
      <w:outlineLvl w:val="4"/>
    </w:pPr>
    <w:rPr>
      <w:b/>
      <w:noProof/>
    </w:rPr>
  </w:style>
  <w:style w:type="paragraph" w:styleId="Nadpis6">
    <w:name w:val="heading 6"/>
    <w:aliases w:val="střed 14b."/>
    <w:basedOn w:val="Normln"/>
    <w:next w:val="Normln"/>
    <w:link w:val="Nadpis6Char"/>
    <w:uiPriority w:val="9"/>
    <w:qFormat/>
    <w:rsid w:val="00445CE4"/>
    <w:pPr>
      <w:keepNext/>
      <w:numPr>
        <w:ilvl w:val="5"/>
        <w:numId w:val="14"/>
      </w:numPr>
      <w:spacing w:before="360"/>
      <w:outlineLvl w:val="5"/>
    </w:pPr>
    <w:rPr>
      <w:b/>
      <w:bCs/>
      <w:noProof/>
      <w:u w:val="single"/>
    </w:rPr>
  </w:style>
  <w:style w:type="paragraph" w:styleId="Nadpis7">
    <w:name w:val="heading 7"/>
    <w:basedOn w:val="Normln"/>
    <w:next w:val="Normln"/>
    <w:link w:val="Nadpis7Char"/>
    <w:uiPriority w:val="9"/>
    <w:qFormat/>
    <w:rsid w:val="002E15D3"/>
    <w:pPr>
      <w:keepNext/>
      <w:numPr>
        <w:ilvl w:val="6"/>
        <w:numId w:val="14"/>
      </w:numPr>
      <w:outlineLvl w:val="6"/>
    </w:pPr>
    <w:rPr>
      <w:rFonts w:ascii="Arial" w:hAnsi="Arial"/>
      <w:b/>
      <w:bCs/>
      <w:color w:val="0000FF"/>
      <w:sz w:val="22"/>
    </w:rPr>
  </w:style>
  <w:style w:type="paragraph" w:styleId="Nadpis8">
    <w:name w:val="heading 8"/>
    <w:basedOn w:val="Normln"/>
    <w:next w:val="Normln"/>
    <w:link w:val="Nadpis8Char"/>
    <w:uiPriority w:val="9"/>
    <w:qFormat/>
    <w:rsid w:val="00445CE4"/>
    <w:pPr>
      <w:keepNext/>
      <w:numPr>
        <w:ilvl w:val="7"/>
        <w:numId w:val="14"/>
      </w:numPr>
      <w:jc w:val="center"/>
      <w:outlineLvl w:val="7"/>
    </w:pPr>
    <w:rPr>
      <w:b/>
      <w:bCs/>
      <w:noProof/>
    </w:rPr>
  </w:style>
  <w:style w:type="paragraph" w:styleId="Nadpis9">
    <w:name w:val="heading 9"/>
    <w:basedOn w:val="Normln"/>
    <w:next w:val="Normln"/>
    <w:link w:val="Nadpis9Char"/>
    <w:uiPriority w:val="9"/>
    <w:qFormat/>
    <w:rsid w:val="002E15D3"/>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445CE4"/>
    <w:rPr>
      <w:b/>
      <w:bCs/>
      <w:sz w:val="32"/>
    </w:rPr>
  </w:style>
  <w:style w:type="paragraph" w:customStyle="1" w:styleId="odsazen">
    <w:name w:val="odsazený"/>
    <w:basedOn w:val="Normln"/>
    <w:rsid w:val="00445CE4"/>
    <w:pPr>
      <w:spacing w:before="120"/>
      <w:ind w:firstLine="567"/>
    </w:pPr>
    <w:rPr>
      <w:iCs/>
    </w:rPr>
  </w:style>
  <w:style w:type="paragraph" w:styleId="Zkladntext">
    <w:name w:val="Body Text"/>
    <w:aliases w:val="?????1,Body ...,Body Text Char,Body Text Char Char,Body Text Char Char Char,Body Text Char1 Char Char,Body Text Char2 Char,Corps de texte INTSUM,Nornální,Základní text - D,Základní text Char,b,Číslovaný seznam (i),Текст1"/>
    <w:basedOn w:val="Normln"/>
    <w:link w:val="ZkladntextChar1"/>
    <w:rsid w:val="00445CE4"/>
    <w:rPr>
      <w:b/>
      <w:bCs/>
      <w:sz w:val="28"/>
      <w:szCs w:val="28"/>
    </w:rPr>
  </w:style>
  <w:style w:type="paragraph" w:styleId="Zkladntextodsazen2">
    <w:name w:val="Body Text Indent 2"/>
    <w:basedOn w:val="Normln"/>
    <w:link w:val="Zkladntextodsazen2Char"/>
    <w:semiHidden/>
    <w:rsid w:val="00445CE4"/>
    <w:pPr>
      <w:ind w:left="1080" w:hanging="1080"/>
    </w:pPr>
  </w:style>
  <w:style w:type="paragraph" w:customStyle="1" w:styleId="vod">
    <w:name w:val="Úvod"/>
    <w:basedOn w:val="Normln"/>
    <w:rsid w:val="00445CE4"/>
    <w:pPr>
      <w:keepNext/>
      <w:spacing w:before="360" w:after="240"/>
      <w:outlineLvl w:val="0"/>
    </w:pPr>
    <w:rPr>
      <w:b/>
      <w:bCs/>
      <w:sz w:val="28"/>
      <w:szCs w:val="28"/>
    </w:rPr>
  </w:style>
  <w:style w:type="paragraph" w:customStyle="1" w:styleId="PlainText1">
    <w:name w:val="Plain Text1"/>
    <w:basedOn w:val="Normln"/>
    <w:rsid w:val="00445CE4"/>
    <w:rPr>
      <w:rFonts w:ascii="Courier New" w:hAnsi="Courier New"/>
    </w:rPr>
  </w:style>
  <w:style w:type="paragraph" w:styleId="Zkladntextodsazen">
    <w:name w:val="Body Text Indent"/>
    <w:aliases w:val=" Char Char Char, Char Char Char Char Char, Char Char1, Char Char1 Char Char,Základní text odsazený Char Char,Základní text odsazený Char Char Char Char,Základní text odsazený Char1,Základní text odsazený Char1 Char Char"/>
    <w:basedOn w:val="Normln"/>
    <w:link w:val="ZkladntextodsazenChar"/>
    <w:semiHidden/>
    <w:rsid w:val="00445CE4"/>
    <w:pPr>
      <w:ind w:firstLine="720"/>
    </w:pPr>
  </w:style>
  <w:style w:type="paragraph" w:styleId="Zkladntext3">
    <w:name w:val="Body Text 3"/>
    <w:basedOn w:val="Normln"/>
    <w:link w:val="Zkladntext3Char"/>
    <w:semiHidden/>
    <w:rsid w:val="00445CE4"/>
    <w:pPr>
      <w:keepNext/>
      <w:keepLines/>
    </w:pPr>
    <w:rPr>
      <w:b/>
      <w:bCs/>
    </w:rPr>
  </w:style>
  <w:style w:type="paragraph" w:styleId="Zkladntext2">
    <w:name w:val="Body Text 2"/>
    <w:basedOn w:val="Normln"/>
    <w:link w:val="Zkladntext2Char"/>
    <w:semiHidden/>
    <w:rsid w:val="00445CE4"/>
    <w:pPr>
      <w:spacing w:after="120" w:line="480" w:lineRule="auto"/>
    </w:pPr>
  </w:style>
  <w:style w:type="paragraph" w:customStyle="1" w:styleId="BodyText21">
    <w:name w:val="Body Text 21"/>
    <w:basedOn w:val="Normln"/>
    <w:rsid w:val="00445CE4"/>
    <w:pPr>
      <w:overflowPunct w:val="0"/>
      <w:autoSpaceDE w:val="0"/>
      <w:autoSpaceDN w:val="0"/>
      <w:adjustRightInd w:val="0"/>
      <w:spacing w:after="120"/>
      <w:textAlignment w:val="baseline"/>
    </w:pPr>
  </w:style>
  <w:style w:type="paragraph" w:styleId="Zpat">
    <w:name w:val="footer"/>
    <w:basedOn w:val="Normln"/>
    <w:link w:val="ZpatChar"/>
    <w:uiPriority w:val="99"/>
    <w:rsid w:val="00445CE4"/>
    <w:pPr>
      <w:tabs>
        <w:tab w:val="center" w:pos="4536"/>
        <w:tab w:val="right" w:pos="9072"/>
      </w:tabs>
    </w:pPr>
  </w:style>
  <w:style w:type="character" w:styleId="slostrnky">
    <w:name w:val="page number"/>
    <w:basedOn w:val="Standardnpsmoodstavce"/>
    <w:semiHidden/>
    <w:rsid w:val="00445CE4"/>
  </w:style>
  <w:style w:type="paragraph" w:styleId="Zhlav">
    <w:name w:val="header"/>
    <w:basedOn w:val="Normln"/>
    <w:link w:val="ZhlavChar"/>
    <w:uiPriority w:val="99"/>
    <w:rsid w:val="00445CE4"/>
    <w:pPr>
      <w:tabs>
        <w:tab w:val="center" w:pos="4536"/>
        <w:tab w:val="right" w:pos="9072"/>
      </w:tabs>
    </w:pPr>
  </w:style>
  <w:style w:type="character" w:styleId="Odkaznakoment">
    <w:name w:val="annotation reference"/>
    <w:basedOn w:val="Standardnpsmoodstavce"/>
    <w:uiPriority w:val="99"/>
    <w:semiHidden/>
    <w:rsid w:val="00445CE4"/>
    <w:rPr>
      <w:sz w:val="16"/>
      <w:szCs w:val="16"/>
    </w:rPr>
  </w:style>
  <w:style w:type="paragraph" w:styleId="Textkomente">
    <w:name w:val="annotation text"/>
    <w:basedOn w:val="Normln"/>
    <w:link w:val="TextkomenteChar"/>
    <w:uiPriority w:val="99"/>
    <w:rsid w:val="00445CE4"/>
  </w:style>
  <w:style w:type="paragraph" w:styleId="Zkladntextodsazen3">
    <w:name w:val="Body Text Indent 3"/>
    <w:basedOn w:val="Normln"/>
    <w:link w:val="Zkladntextodsazen3Char"/>
    <w:semiHidden/>
    <w:rsid w:val="00445CE4"/>
    <w:pPr>
      <w:tabs>
        <w:tab w:val="center" w:pos="4535"/>
      </w:tabs>
      <w:ind w:left="360"/>
    </w:pPr>
    <w:rPr>
      <w:noProof/>
    </w:rPr>
  </w:style>
  <w:style w:type="paragraph" w:customStyle="1" w:styleId="Styl1">
    <w:name w:val="Styl1"/>
    <w:basedOn w:val="Normln"/>
    <w:rsid w:val="00445CE4"/>
    <w:pPr>
      <w:widowControl w:val="0"/>
      <w:autoSpaceDE w:val="0"/>
      <w:autoSpaceDN w:val="0"/>
      <w:adjustRightInd w:val="0"/>
      <w:spacing w:before="120"/>
      <w:ind w:firstLine="709"/>
    </w:pPr>
    <w:rPr>
      <w:noProof/>
    </w:rPr>
  </w:style>
  <w:style w:type="paragraph" w:customStyle="1" w:styleId="Odstavec">
    <w:name w:val="Odstavec"/>
    <w:basedOn w:val="Normln"/>
    <w:rsid w:val="00445CE4"/>
    <w:pPr>
      <w:spacing w:before="120"/>
      <w:ind w:firstLine="709"/>
    </w:pPr>
    <w:rPr>
      <w:noProof/>
    </w:rPr>
  </w:style>
  <w:style w:type="paragraph" w:styleId="Bezmezer">
    <w:name w:val="No Spacing"/>
    <w:aliases w:val="Graf"/>
    <w:link w:val="BezmezerChar"/>
    <w:uiPriority w:val="1"/>
    <w:qFormat/>
    <w:rsid w:val="00C97EF2"/>
    <w:pPr>
      <w:numPr>
        <w:numId w:val="7"/>
      </w:numPr>
      <w:ind w:left="357" w:hanging="357"/>
    </w:pPr>
    <w:rPr>
      <w:rFonts w:asciiTheme="minorHAnsi" w:hAnsiTheme="minorHAnsi"/>
      <w:sz w:val="24"/>
      <w:szCs w:val="24"/>
      <w:lang w:eastAsia="en-US"/>
    </w:rPr>
  </w:style>
  <w:style w:type="paragraph" w:styleId="Odstavecseseznamem">
    <w:name w:val="List Paragraph"/>
    <w:aliases w:val="Dot pt,Indicator Text,LISTA,List Paragraph (Czech Tourism),List Paragraph Char Char Char,List Paragraph à moi,List Paragraph_0,List Paragraph_1,Nad,Nad1,Nadpis pro KZ,No Spacing1,Numbered Para 1,Odstavec_muj,můj Nadpis 2,odrážky"/>
    <w:basedOn w:val="Normln"/>
    <w:link w:val="OdstavecseseznamemChar"/>
    <w:uiPriority w:val="34"/>
    <w:qFormat/>
    <w:rsid w:val="00814C74"/>
    <w:pPr>
      <w:ind w:left="708"/>
    </w:pPr>
  </w:style>
  <w:style w:type="character" w:styleId="Siln">
    <w:name w:val="Strong"/>
    <w:basedOn w:val="Standardnpsmoodstavce"/>
    <w:uiPriority w:val="22"/>
    <w:qFormat/>
    <w:rsid w:val="00B35C94"/>
    <w:rPr>
      <w:b/>
      <w:bCs/>
    </w:rPr>
  </w:style>
  <w:style w:type="character" w:styleId="Znakapoznpodarou">
    <w:name w:val="footnote reference"/>
    <w:aliases w:val="12 b.,4_G,BVI fnr Char Char Char,Char1 Char Char Char,Footnote Char Char Char,Footnote reference number Char Char Char,Footnote symbol Char Char Char,Ref Char Char Char,Times 10 Point Char Char Char,de nota al pie Char Char Char"/>
    <w:basedOn w:val="Standardnpsmoodstavce"/>
    <w:link w:val="BVIfnrCharChar"/>
    <w:uiPriority w:val="99"/>
    <w:qFormat/>
    <w:rsid w:val="00DC76F7"/>
    <w:rPr>
      <w:vertAlign w:val="superscript"/>
    </w:rPr>
  </w:style>
  <w:style w:type="paragraph" w:styleId="Textpoznpodarou">
    <w:name w:val="footnote text"/>
    <w:aliases w:val="Char,Char Char Char1,Char Char1,FSR footnote,Footnote,Footnote Text Char1,Fußnote,Geneva 9,Plonk,Schriftart: 10 pt,Schriftart: 8 pt,Schriftart: 9 pt,Text pozn. pod čarou1,Text pozn. pod čarou_martin_ang,f,fn,lábléc,o,pozn. pod čarou"/>
    <w:basedOn w:val="Normln"/>
    <w:link w:val="TextpoznpodarouChar"/>
    <w:autoRedefine/>
    <w:uiPriority w:val="99"/>
    <w:qFormat/>
    <w:rsid w:val="00CB7B98"/>
    <w:pPr>
      <w:ind w:left="284" w:hanging="284"/>
      <w:contextualSpacing/>
    </w:pPr>
    <w:rPr>
      <w:rFonts w:cstheme="minorHAnsi"/>
      <w:sz w:val="20"/>
    </w:rPr>
  </w:style>
  <w:style w:type="character" w:customStyle="1" w:styleId="TextpoznpodarouChar">
    <w:name w:val="Text pozn. pod čarou Char"/>
    <w:aliases w:val="Char Char,Char Char Char1 Char,Char Char1 Char,FSR footnote Char,Footnote Char,Footnote Text Char1 Char,Fußnote Char,Geneva 9 Char,Plonk Char,Schriftart: 10 pt Char,Schriftart: 8 pt Char,Schriftart: 9 pt Char,f Char,fn Char"/>
    <w:basedOn w:val="Standardnpsmoodstavce"/>
    <w:link w:val="Textpoznpodarou"/>
    <w:uiPriority w:val="99"/>
    <w:rsid w:val="00CB7B98"/>
    <w:rPr>
      <w:rFonts w:asciiTheme="minorHAnsi" w:hAnsiTheme="minorHAnsi" w:cstheme="minorHAnsi"/>
    </w:rPr>
  </w:style>
  <w:style w:type="paragraph" w:styleId="Nzev">
    <w:name w:val="Title"/>
    <w:aliases w:val="Pod čarou"/>
    <w:basedOn w:val="Normln"/>
    <w:link w:val="NzevChar"/>
    <w:uiPriority w:val="10"/>
    <w:qFormat/>
    <w:rsid w:val="00EB4F7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pPr>
    <w:rPr>
      <w:rFonts w:cs="Times New Roman CE obyeejné"/>
      <w:bCs/>
      <w:i/>
      <w:sz w:val="20"/>
      <w:szCs w:val="28"/>
    </w:rPr>
  </w:style>
  <w:style w:type="character" w:customStyle="1" w:styleId="NzevChar">
    <w:name w:val="Název Char"/>
    <w:aliases w:val="Pod čarou Char"/>
    <w:basedOn w:val="Standardnpsmoodstavce"/>
    <w:link w:val="Nzev"/>
    <w:uiPriority w:val="10"/>
    <w:rsid w:val="00EB4F7E"/>
    <w:rPr>
      <w:rFonts w:asciiTheme="minorHAnsi" w:hAnsiTheme="minorHAnsi" w:cs="Times New Roman CE obyeejné"/>
      <w:bCs/>
      <w:i/>
      <w:szCs w:val="28"/>
    </w:rPr>
  </w:style>
  <w:style w:type="character" w:styleId="Hypertextovodkaz">
    <w:name w:val="Hyperlink"/>
    <w:basedOn w:val="Standardnpsmoodstavce"/>
    <w:uiPriority w:val="99"/>
    <w:rsid w:val="00FE449A"/>
    <w:rPr>
      <w:color w:val="0000FF"/>
      <w:u w:val="single"/>
    </w:rPr>
  </w:style>
  <w:style w:type="paragraph" w:styleId="Prosttext">
    <w:name w:val="Plain Text"/>
    <w:basedOn w:val="Normln"/>
    <w:link w:val="ProsttextChar"/>
    <w:uiPriority w:val="99"/>
    <w:unhideWhenUsed/>
    <w:rsid w:val="00CC77E3"/>
    <w:rPr>
      <w:rFonts w:ascii="Consolas" w:eastAsia="Calibri" w:hAnsi="Consolas"/>
      <w:sz w:val="21"/>
      <w:szCs w:val="21"/>
    </w:rPr>
  </w:style>
  <w:style w:type="character" w:customStyle="1" w:styleId="ProsttextChar">
    <w:name w:val="Prostý text Char"/>
    <w:basedOn w:val="Standardnpsmoodstavce"/>
    <w:link w:val="Prosttext"/>
    <w:uiPriority w:val="99"/>
    <w:rsid w:val="00CC77E3"/>
    <w:rPr>
      <w:rFonts w:ascii="Consolas" w:eastAsia="Calibri" w:hAnsi="Consolas"/>
      <w:sz w:val="21"/>
      <w:szCs w:val="21"/>
      <w:lang w:eastAsia="en-US"/>
    </w:rPr>
  </w:style>
  <w:style w:type="table" w:styleId="Mkatabulky">
    <w:name w:val="Table Grid"/>
    <w:basedOn w:val="Normlntabulka"/>
    <w:uiPriority w:val="39"/>
    <w:rsid w:val="00CA6F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ulek">
    <w:name w:val="caption"/>
    <w:basedOn w:val="Normln"/>
    <w:next w:val="Normln"/>
    <w:uiPriority w:val="35"/>
    <w:unhideWhenUsed/>
    <w:qFormat/>
    <w:rsid w:val="00891AB3"/>
    <w:pPr>
      <w:spacing w:after="200"/>
    </w:pPr>
    <w:rPr>
      <w:rFonts w:ascii="Arial" w:eastAsia="Calibri" w:hAnsi="Arial"/>
      <w:b/>
      <w:bCs/>
      <w:color w:val="4F81BD"/>
      <w:sz w:val="18"/>
      <w:szCs w:val="18"/>
    </w:rPr>
  </w:style>
  <w:style w:type="paragraph" w:styleId="Textbubliny">
    <w:name w:val="Balloon Text"/>
    <w:basedOn w:val="Normln"/>
    <w:link w:val="TextbublinyChar"/>
    <w:uiPriority w:val="99"/>
    <w:semiHidden/>
    <w:unhideWhenUsed/>
    <w:rsid w:val="001711B8"/>
    <w:rPr>
      <w:rFonts w:ascii="Tahoma" w:hAnsi="Tahoma" w:cs="Tahoma"/>
      <w:sz w:val="16"/>
      <w:szCs w:val="16"/>
    </w:rPr>
  </w:style>
  <w:style w:type="character" w:customStyle="1" w:styleId="TextbublinyChar">
    <w:name w:val="Text bubliny Char"/>
    <w:basedOn w:val="Standardnpsmoodstavce"/>
    <w:link w:val="Textbubliny"/>
    <w:uiPriority w:val="99"/>
    <w:semiHidden/>
    <w:rsid w:val="001711B8"/>
    <w:rPr>
      <w:rFonts w:ascii="Tahoma" w:hAnsi="Tahoma" w:cs="Tahoma"/>
      <w:sz w:val="16"/>
      <w:szCs w:val="16"/>
      <w:lang w:val="en-US" w:eastAsia="en-US"/>
    </w:rPr>
  </w:style>
  <w:style w:type="paragraph" w:customStyle="1" w:styleId="normalodsazene3">
    <w:name w:val="normalodsazene3"/>
    <w:basedOn w:val="Normln"/>
    <w:rsid w:val="00834C0F"/>
    <w:pPr>
      <w:spacing w:before="30" w:after="75"/>
    </w:pPr>
    <w:rPr>
      <w:rFonts w:ascii="Verdana" w:hAnsi="Verdana"/>
      <w:color w:val="585858"/>
      <w:sz w:val="26"/>
      <w:szCs w:val="26"/>
    </w:rPr>
  </w:style>
  <w:style w:type="paragraph" w:styleId="Normlnweb">
    <w:name w:val="Normal (Web)"/>
    <w:basedOn w:val="Normln"/>
    <w:uiPriority w:val="99"/>
    <w:unhideWhenUsed/>
    <w:rsid w:val="004B5A40"/>
    <w:pPr>
      <w:spacing w:before="100" w:beforeAutospacing="1" w:after="100" w:afterAutospacing="1"/>
    </w:pPr>
  </w:style>
  <w:style w:type="paragraph" w:customStyle="1" w:styleId="Odstavecseseznamem1">
    <w:name w:val="Odstavec se seznamem1"/>
    <w:aliases w:val="Odstavec se seznamem2"/>
    <w:basedOn w:val="Normln"/>
    <w:uiPriority w:val="34"/>
    <w:qFormat/>
    <w:rsid w:val="0055636A"/>
    <w:pPr>
      <w:spacing w:after="200" w:line="276" w:lineRule="auto"/>
      <w:ind w:left="720"/>
      <w:contextualSpacing/>
    </w:pPr>
    <w:rPr>
      <w:rFonts w:ascii="Calibri" w:hAnsi="Calibri"/>
      <w:sz w:val="22"/>
      <w:szCs w:val="22"/>
    </w:rPr>
  </w:style>
  <w:style w:type="character" w:customStyle="1" w:styleId="bbtext">
    <w:name w:val="bbtext"/>
    <w:basedOn w:val="Standardnpsmoodstavce"/>
    <w:rsid w:val="005F012E"/>
  </w:style>
  <w:style w:type="paragraph" w:customStyle="1" w:styleId="lnek3">
    <w:name w:val="článek3"/>
    <w:basedOn w:val="Normln"/>
    <w:rsid w:val="00E579E8"/>
    <w:pPr>
      <w:numPr>
        <w:ilvl w:val="2"/>
        <w:numId w:val="1"/>
      </w:numPr>
      <w:tabs>
        <w:tab w:val="clear" w:pos="1277"/>
      </w:tabs>
      <w:spacing w:after="120"/>
      <w:ind w:left="2220" w:hanging="360"/>
    </w:pPr>
  </w:style>
  <w:style w:type="paragraph" w:customStyle="1" w:styleId="lnek1">
    <w:name w:val="článek1"/>
    <w:basedOn w:val="Normln"/>
    <w:next w:val="lnek2"/>
    <w:rsid w:val="00E579E8"/>
    <w:pPr>
      <w:keepNext/>
      <w:keepLines/>
      <w:numPr>
        <w:numId w:val="1"/>
      </w:numPr>
      <w:spacing w:before="240" w:after="240"/>
      <w:jc w:val="center"/>
    </w:pPr>
    <w:rPr>
      <w:b/>
      <w:sz w:val="28"/>
      <w:szCs w:val="28"/>
    </w:rPr>
  </w:style>
  <w:style w:type="paragraph" w:customStyle="1" w:styleId="lnek2">
    <w:name w:val="článek2"/>
    <w:basedOn w:val="Normln"/>
    <w:next w:val="lnek3"/>
    <w:rsid w:val="00E579E8"/>
    <w:pPr>
      <w:numPr>
        <w:ilvl w:val="1"/>
        <w:numId w:val="1"/>
      </w:numPr>
      <w:spacing w:before="120" w:after="120"/>
    </w:pPr>
    <w:rPr>
      <w:b/>
    </w:rPr>
  </w:style>
  <w:style w:type="paragraph" w:customStyle="1" w:styleId="NormlnKZ">
    <w:name w:val="Normální KZ"/>
    <w:basedOn w:val="Normln"/>
    <w:rsid w:val="006A7F16"/>
    <w:pPr>
      <w:spacing w:after="120"/>
      <w:ind w:firstLine="425"/>
    </w:pPr>
    <w:rPr>
      <w:sz w:val="22"/>
    </w:rPr>
  </w:style>
  <w:style w:type="paragraph" w:customStyle="1" w:styleId="Fous">
    <w:name w:val="Fous"/>
    <w:basedOn w:val="Normln"/>
    <w:rsid w:val="006A7F16"/>
    <w:pPr>
      <w:numPr>
        <w:numId w:val="2"/>
      </w:numPr>
      <w:tabs>
        <w:tab w:val="clear" w:pos="722"/>
        <w:tab w:val="num" w:pos="360"/>
      </w:tabs>
      <w:ind w:left="360" w:hanging="360"/>
    </w:pPr>
    <w:rPr>
      <w:sz w:val="22"/>
    </w:rPr>
  </w:style>
  <w:style w:type="paragraph" w:customStyle="1" w:styleId="Default">
    <w:name w:val="Default"/>
    <w:rsid w:val="00C50826"/>
    <w:pPr>
      <w:autoSpaceDE w:val="0"/>
      <w:autoSpaceDN w:val="0"/>
      <w:adjustRightInd w:val="0"/>
    </w:pPr>
    <w:rPr>
      <w:rFonts w:ascii="Arial" w:hAnsi="Arial" w:cs="Arial"/>
      <w:color w:val="000000"/>
      <w:sz w:val="24"/>
      <w:szCs w:val="24"/>
      <w:lang w:eastAsia="en-US"/>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A30E79"/>
    <w:pPr>
      <w:spacing w:after="160" w:line="240" w:lineRule="exact"/>
    </w:pPr>
    <w:rPr>
      <w:vertAlign w:val="superscript"/>
    </w:rPr>
  </w:style>
  <w:style w:type="character" w:styleId="Zdraznn">
    <w:name w:val="Emphasis"/>
    <w:basedOn w:val="Standardnpsmoodstavce"/>
    <w:uiPriority w:val="20"/>
    <w:qFormat/>
    <w:rsid w:val="00524340"/>
    <w:rPr>
      <w:b/>
      <w:bCs/>
      <w:i w:val="0"/>
      <w:iCs w:val="0"/>
    </w:rPr>
  </w:style>
  <w:style w:type="character" w:customStyle="1" w:styleId="st1">
    <w:name w:val="st1"/>
    <w:basedOn w:val="Standardnpsmoodstavce"/>
    <w:rsid w:val="004C70C2"/>
  </w:style>
  <w:style w:type="character" w:customStyle="1" w:styleId="cizojazycne">
    <w:name w:val="cizojazycne"/>
    <w:basedOn w:val="Standardnpsmoodstavce"/>
    <w:rsid w:val="004C70C2"/>
  </w:style>
  <w:style w:type="character" w:customStyle="1" w:styleId="red-icon">
    <w:name w:val="red-icon"/>
    <w:basedOn w:val="Standardnpsmoodstavce"/>
    <w:rsid w:val="00A91E58"/>
  </w:style>
  <w:style w:type="character" w:customStyle="1" w:styleId="black-icon">
    <w:name w:val="black-icon"/>
    <w:basedOn w:val="Standardnpsmoodstavce"/>
    <w:rsid w:val="00A91E58"/>
  </w:style>
  <w:style w:type="character" w:customStyle="1" w:styleId="hps">
    <w:name w:val="hps"/>
    <w:basedOn w:val="Standardnpsmoodstavce"/>
    <w:rsid w:val="00692B18"/>
  </w:style>
  <w:style w:type="character" w:customStyle="1" w:styleId="shorttext">
    <w:name w:val="short_text"/>
    <w:basedOn w:val="Standardnpsmoodstavce"/>
    <w:rsid w:val="00692B18"/>
  </w:style>
  <w:style w:type="character" w:customStyle="1" w:styleId="Nadpis3Char">
    <w:name w:val="Nadpis 3 Char"/>
    <w:aliases w:val="H3 Char,Vysvětlivky Char,vlevo 14b. Char"/>
    <w:basedOn w:val="Standardnpsmoodstavce"/>
    <w:link w:val="Nadpis3"/>
    <w:uiPriority w:val="9"/>
    <w:rsid w:val="00174C92"/>
    <w:rPr>
      <w:rFonts w:asciiTheme="minorHAnsi" w:hAnsiTheme="minorHAnsi"/>
      <w:b/>
      <w:bCs/>
      <w:color w:val="000000"/>
      <w:sz w:val="24"/>
    </w:rPr>
  </w:style>
  <w:style w:type="character" w:customStyle="1" w:styleId="ZpatChar">
    <w:name w:val="Zápatí Char"/>
    <w:basedOn w:val="Standardnpsmoodstavce"/>
    <w:link w:val="Zpat"/>
    <w:uiPriority w:val="99"/>
    <w:rsid w:val="003D7541"/>
    <w:rPr>
      <w:sz w:val="24"/>
      <w:szCs w:val="24"/>
      <w:lang w:eastAsia="en-US"/>
    </w:rPr>
  </w:style>
  <w:style w:type="character" w:customStyle="1" w:styleId="OdstavecseseznamemChar">
    <w:name w:val="Odstavec se seznamem Char"/>
    <w:aliases w:val="Dot pt Char,Indicator Text Char,LISTA Char,List Paragraph (Czech Tourism) Char,List Paragraph Char Char Char Char,List Paragraph à moi Char,List Paragraph_0 Char,List Paragraph_1 Char,Nad Char,Nad1 Char,Nadpis pro KZ Char"/>
    <w:basedOn w:val="Standardnpsmoodstavce"/>
    <w:link w:val="Odstavecseseznamem"/>
    <w:uiPriority w:val="34"/>
    <w:qFormat/>
    <w:locked/>
    <w:rsid w:val="00CF2CBD"/>
    <w:rPr>
      <w:sz w:val="24"/>
      <w:szCs w:val="24"/>
      <w:lang w:eastAsia="en-US"/>
    </w:rPr>
  </w:style>
  <w:style w:type="character" w:customStyle="1" w:styleId="Nadpis7Char">
    <w:name w:val="Nadpis 7 Char"/>
    <w:basedOn w:val="Standardnpsmoodstavce"/>
    <w:link w:val="Nadpis7"/>
    <w:uiPriority w:val="9"/>
    <w:rsid w:val="002E15D3"/>
    <w:rPr>
      <w:rFonts w:ascii="Arial" w:hAnsi="Arial"/>
      <w:b/>
      <w:bCs/>
      <w:color w:val="0000FF"/>
      <w:sz w:val="22"/>
    </w:rPr>
  </w:style>
  <w:style w:type="character" w:customStyle="1" w:styleId="Nadpis9Char">
    <w:name w:val="Nadpis 9 Char"/>
    <w:basedOn w:val="Standardnpsmoodstavce"/>
    <w:link w:val="Nadpis9"/>
    <w:uiPriority w:val="9"/>
    <w:rsid w:val="002E15D3"/>
    <w:rPr>
      <w:rFonts w:ascii="Cambria" w:hAnsi="Cambria"/>
      <w:sz w:val="22"/>
      <w:szCs w:val="22"/>
    </w:rPr>
  </w:style>
  <w:style w:type="character" w:customStyle="1" w:styleId="ZhlavChar">
    <w:name w:val="Záhlaví Char"/>
    <w:basedOn w:val="Standardnpsmoodstavce"/>
    <w:link w:val="Zhlav"/>
    <w:uiPriority w:val="99"/>
    <w:rsid w:val="0024209B"/>
    <w:rPr>
      <w:sz w:val="24"/>
      <w:szCs w:val="24"/>
      <w:lang w:eastAsia="en-US"/>
    </w:rPr>
  </w:style>
  <w:style w:type="character" w:customStyle="1" w:styleId="Nadpis5Char">
    <w:name w:val="Nadpis 5 Char"/>
    <w:basedOn w:val="Standardnpsmoodstavce"/>
    <w:link w:val="Nadpis5"/>
    <w:uiPriority w:val="9"/>
    <w:rsid w:val="006441C4"/>
    <w:rPr>
      <w:rFonts w:asciiTheme="minorHAnsi" w:hAnsiTheme="minorHAnsi"/>
      <w:b/>
      <w:noProof/>
      <w:sz w:val="24"/>
    </w:rPr>
  </w:style>
  <w:style w:type="character" w:customStyle="1" w:styleId="TextkomenteChar">
    <w:name w:val="Text komentáře Char"/>
    <w:basedOn w:val="Standardnpsmoodstavce"/>
    <w:link w:val="Textkomente"/>
    <w:uiPriority w:val="99"/>
    <w:rsid w:val="00D75209"/>
    <w:rPr>
      <w:lang w:eastAsia="en-US"/>
    </w:rPr>
  </w:style>
  <w:style w:type="paragraph" w:styleId="Revize">
    <w:name w:val="Revision"/>
    <w:hidden/>
    <w:uiPriority w:val="99"/>
    <w:semiHidden/>
    <w:rsid w:val="00F208B9"/>
    <w:rPr>
      <w:sz w:val="24"/>
      <w:szCs w:val="24"/>
      <w:lang w:eastAsia="en-US"/>
    </w:rPr>
  </w:style>
  <w:style w:type="paragraph" w:styleId="Pedmtkomente">
    <w:name w:val="annotation subject"/>
    <w:basedOn w:val="Textkomente"/>
    <w:next w:val="Textkomente"/>
    <w:link w:val="PedmtkomenteChar"/>
    <w:uiPriority w:val="99"/>
    <w:semiHidden/>
    <w:unhideWhenUsed/>
    <w:rsid w:val="009B2545"/>
    <w:rPr>
      <w:b/>
      <w:bCs/>
    </w:rPr>
  </w:style>
  <w:style w:type="character" w:customStyle="1" w:styleId="PedmtkomenteChar">
    <w:name w:val="Předmět komentáře Char"/>
    <w:basedOn w:val="TextkomenteChar"/>
    <w:link w:val="Pedmtkomente"/>
    <w:uiPriority w:val="99"/>
    <w:semiHidden/>
    <w:rsid w:val="009B2545"/>
    <w:rPr>
      <w:b/>
      <w:bCs/>
      <w:lang w:eastAsia="en-US"/>
    </w:rPr>
  </w:style>
  <w:style w:type="paragraph" w:customStyle="1" w:styleId="Poznmka">
    <w:name w:val="Poznámka"/>
    <w:basedOn w:val="Normln"/>
    <w:link w:val="PoznmkaChar"/>
    <w:autoRedefine/>
    <w:qFormat/>
    <w:rsid w:val="00C3302D"/>
    <w:pPr>
      <w:spacing w:before="60"/>
    </w:pPr>
    <w:rPr>
      <w:i/>
      <w:szCs w:val="18"/>
    </w:rPr>
  </w:style>
  <w:style w:type="character" w:customStyle="1" w:styleId="PoznmkaChar">
    <w:name w:val="Poznámka Char"/>
    <w:link w:val="Poznmka"/>
    <w:rsid w:val="00C3302D"/>
    <w:rPr>
      <w:rFonts w:asciiTheme="minorHAnsi" w:hAnsiTheme="minorHAnsi"/>
      <w:i/>
      <w:szCs w:val="18"/>
      <w:lang w:eastAsia="en-US"/>
    </w:rPr>
  </w:style>
  <w:style w:type="paragraph" w:customStyle="1" w:styleId="Nzevtabulky">
    <w:name w:val="Název tabulky"/>
    <w:basedOn w:val="Normln"/>
    <w:qFormat/>
    <w:rsid w:val="00B52B7F"/>
    <w:pPr>
      <w:keepNext/>
      <w:numPr>
        <w:ilvl w:val="1"/>
        <w:numId w:val="3"/>
      </w:numPr>
      <w:spacing w:before="240" w:after="120"/>
    </w:pPr>
    <w:rPr>
      <w:rFonts w:cs="Arial"/>
      <w:szCs w:val="22"/>
    </w:rPr>
  </w:style>
  <w:style w:type="paragraph" w:customStyle="1" w:styleId="Zdroj">
    <w:name w:val="Zdroj"/>
    <w:basedOn w:val="Normln"/>
    <w:link w:val="ZdrojChar"/>
    <w:qFormat/>
    <w:rsid w:val="007F2E73"/>
    <w:pPr>
      <w:ind w:left="57"/>
    </w:pPr>
    <w:rPr>
      <w:i/>
      <w:sz w:val="20"/>
      <w:szCs w:val="18"/>
    </w:rPr>
  </w:style>
  <w:style w:type="character" w:customStyle="1" w:styleId="ZdrojChar">
    <w:name w:val="Zdroj Char"/>
    <w:basedOn w:val="Standardnpsmoodstavce"/>
    <w:link w:val="Zdroj"/>
    <w:locked/>
    <w:rsid w:val="007F2E73"/>
    <w:rPr>
      <w:rFonts w:asciiTheme="minorHAnsi" w:hAnsiTheme="minorHAnsi"/>
      <w:i/>
      <w:szCs w:val="18"/>
    </w:rPr>
  </w:style>
  <w:style w:type="character" w:customStyle="1" w:styleId="Nadpis2Char">
    <w:name w:val="Nadpis 2 Char"/>
    <w:aliases w:val="H2 Char,POŘ-Nadpis 2 Char,vlevo 16b. Char"/>
    <w:basedOn w:val="Standardnpsmoodstavce"/>
    <w:link w:val="Nadpis2"/>
    <w:uiPriority w:val="9"/>
    <w:rsid w:val="00C21EF3"/>
    <w:rPr>
      <w:rFonts w:asciiTheme="minorHAnsi" w:eastAsia="SimSun" w:hAnsiTheme="minorHAnsi"/>
      <w:b/>
      <w:sz w:val="24"/>
    </w:rPr>
  </w:style>
  <w:style w:type="character" w:customStyle="1" w:styleId="Nadpis6Char">
    <w:name w:val="Nadpis 6 Char"/>
    <w:aliases w:val="střed 14b. Char"/>
    <w:basedOn w:val="Standardnpsmoodstavce"/>
    <w:link w:val="Nadpis6"/>
    <w:uiPriority w:val="9"/>
    <w:rsid w:val="00C21EF3"/>
    <w:rPr>
      <w:rFonts w:asciiTheme="minorHAnsi" w:hAnsiTheme="minorHAnsi"/>
      <w:b/>
      <w:bCs/>
      <w:noProof/>
      <w:sz w:val="24"/>
      <w:u w:val="single"/>
    </w:rPr>
  </w:style>
  <w:style w:type="paragraph" w:styleId="Citt">
    <w:name w:val="Quote"/>
    <w:basedOn w:val="Normln"/>
    <w:next w:val="Normln"/>
    <w:link w:val="CittChar"/>
    <w:uiPriority w:val="29"/>
    <w:qFormat/>
    <w:rsid w:val="00C21EF3"/>
    <w:pPr>
      <w:spacing w:before="120"/>
    </w:pPr>
    <w:rPr>
      <w:rFonts w:ascii="Arial" w:eastAsiaTheme="minorHAnsi" w:hAnsi="Arial" w:cstheme="minorBidi"/>
      <w:i/>
      <w:iCs/>
      <w:color w:val="000000" w:themeColor="text1"/>
      <w:sz w:val="22"/>
      <w:szCs w:val="22"/>
    </w:rPr>
  </w:style>
  <w:style w:type="character" w:customStyle="1" w:styleId="CittChar">
    <w:name w:val="Citát Char"/>
    <w:basedOn w:val="Standardnpsmoodstavce"/>
    <w:link w:val="Citt"/>
    <w:uiPriority w:val="29"/>
    <w:rsid w:val="00C21EF3"/>
    <w:rPr>
      <w:rFonts w:ascii="Arial" w:eastAsiaTheme="minorHAnsi" w:hAnsi="Arial" w:cstheme="minorBidi"/>
      <w:i/>
      <w:iCs/>
      <w:color w:val="000000" w:themeColor="text1"/>
      <w:sz w:val="22"/>
      <w:szCs w:val="22"/>
      <w:lang w:eastAsia="en-US"/>
    </w:rPr>
  </w:style>
  <w:style w:type="paragraph" w:customStyle="1" w:styleId="N1">
    <w:name w:val="N1"/>
    <w:basedOn w:val="Normln"/>
    <w:qFormat/>
    <w:rsid w:val="00C21EF3"/>
    <w:pPr>
      <w:keepNext/>
      <w:numPr>
        <w:numId w:val="4"/>
      </w:numPr>
      <w:spacing w:before="240" w:after="240"/>
    </w:pPr>
    <w:rPr>
      <w:rFonts w:ascii="Arial" w:eastAsiaTheme="minorHAnsi" w:hAnsi="Arial" w:cstheme="minorBidi"/>
      <w:b/>
      <w:i/>
      <w:szCs w:val="22"/>
    </w:rPr>
  </w:style>
  <w:style w:type="paragraph" w:customStyle="1" w:styleId="N2">
    <w:name w:val="N2"/>
    <w:basedOn w:val="Normln"/>
    <w:link w:val="N2Char"/>
    <w:qFormat/>
    <w:rsid w:val="00A91587"/>
    <w:pPr>
      <w:keepNext/>
      <w:autoSpaceDE w:val="0"/>
      <w:autoSpaceDN w:val="0"/>
      <w:adjustRightInd w:val="0"/>
      <w:spacing w:before="240" w:after="120"/>
      <w:outlineLvl w:val="2"/>
    </w:pPr>
    <w:rPr>
      <w:rFonts w:eastAsiaTheme="minorHAnsi" w:cstheme="minorBidi"/>
      <w:b/>
      <w:szCs w:val="22"/>
    </w:rPr>
  </w:style>
  <w:style w:type="character" w:customStyle="1" w:styleId="N2Char">
    <w:name w:val="N2 Char"/>
    <w:basedOn w:val="OdstavecseseznamemChar"/>
    <w:link w:val="N2"/>
    <w:rsid w:val="00A91587"/>
    <w:rPr>
      <w:rFonts w:asciiTheme="minorHAnsi" w:eastAsiaTheme="minorHAnsi" w:hAnsiTheme="minorHAnsi" w:cstheme="minorBidi"/>
      <w:b/>
      <w:sz w:val="24"/>
      <w:szCs w:val="22"/>
      <w:lang w:eastAsia="en-US"/>
    </w:rPr>
  </w:style>
  <w:style w:type="paragraph" w:customStyle="1" w:styleId="N3">
    <w:name w:val="N3"/>
    <w:basedOn w:val="Normln"/>
    <w:link w:val="N3Char"/>
    <w:qFormat/>
    <w:rsid w:val="00C21EF3"/>
    <w:pPr>
      <w:keepNext/>
      <w:numPr>
        <w:numId w:val="5"/>
      </w:numPr>
      <w:spacing w:before="240" w:after="240"/>
    </w:pPr>
    <w:rPr>
      <w:rFonts w:ascii="Arial" w:eastAsiaTheme="minorHAnsi" w:hAnsi="Arial" w:cstheme="minorBidi"/>
      <w:i/>
      <w:sz w:val="22"/>
      <w:szCs w:val="22"/>
    </w:rPr>
  </w:style>
  <w:style w:type="character" w:customStyle="1" w:styleId="N3Char">
    <w:name w:val="N3 Char"/>
    <w:basedOn w:val="OdstavecseseznamemChar"/>
    <w:link w:val="N3"/>
    <w:rsid w:val="00C21EF3"/>
    <w:rPr>
      <w:rFonts w:ascii="Arial" w:eastAsiaTheme="minorHAnsi" w:hAnsi="Arial" w:cstheme="minorBidi"/>
      <w:i/>
      <w:sz w:val="22"/>
      <w:szCs w:val="22"/>
      <w:lang w:eastAsia="en-US"/>
    </w:rPr>
  </w:style>
  <w:style w:type="paragraph" w:styleId="Normlnodsazen">
    <w:name w:val="Normal Indent"/>
    <w:basedOn w:val="Normln"/>
    <w:uiPriority w:val="99"/>
    <w:semiHidden/>
    <w:unhideWhenUsed/>
    <w:rsid w:val="00C21EF3"/>
    <w:pPr>
      <w:spacing w:before="120"/>
      <w:ind w:left="708"/>
    </w:pPr>
    <w:rPr>
      <w:rFonts w:ascii="Arial" w:eastAsiaTheme="minorHAnsi" w:hAnsi="Arial" w:cstheme="minorBidi"/>
      <w:sz w:val="22"/>
      <w:szCs w:val="22"/>
    </w:rPr>
  </w:style>
  <w:style w:type="table" w:customStyle="1" w:styleId="Mkatabulky1">
    <w:name w:val="Mřížka tabulky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C21EF3"/>
  </w:style>
  <w:style w:type="numbering" w:customStyle="1" w:styleId="Bezseznamu2">
    <w:name w:val="Bez seznamu2"/>
    <w:next w:val="Bezseznamu"/>
    <w:uiPriority w:val="99"/>
    <w:semiHidden/>
    <w:unhideWhenUsed/>
    <w:rsid w:val="00C21EF3"/>
  </w:style>
  <w:style w:type="numbering" w:customStyle="1" w:styleId="Bezseznamu3">
    <w:name w:val="Bez seznamu3"/>
    <w:next w:val="Bezseznamu"/>
    <w:uiPriority w:val="99"/>
    <w:semiHidden/>
    <w:unhideWhenUsed/>
    <w:rsid w:val="00C21EF3"/>
  </w:style>
  <w:style w:type="paragraph" w:customStyle="1" w:styleId="Nadpis71">
    <w:name w:val="Nadpis 71"/>
    <w:basedOn w:val="Normln"/>
    <w:next w:val="Normln"/>
    <w:uiPriority w:val="9"/>
    <w:unhideWhenUsed/>
    <w:qFormat/>
    <w:rsid w:val="0093467A"/>
    <w:pPr>
      <w:keepNext/>
      <w:keepLines/>
      <w:spacing w:before="200"/>
      <w:outlineLvl w:val="6"/>
    </w:pPr>
    <w:rPr>
      <w:rFonts w:ascii="Cambria" w:hAnsi="Cambria"/>
      <w:i/>
      <w:iCs/>
      <w:color w:val="404040"/>
      <w:lang w:val="en-US"/>
    </w:rPr>
  </w:style>
  <w:style w:type="numbering" w:customStyle="1" w:styleId="Bezseznamu11">
    <w:name w:val="Bez seznamu11"/>
    <w:next w:val="Bezseznamu"/>
    <w:uiPriority w:val="99"/>
    <w:semiHidden/>
    <w:unhideWhenUsed/>
    <w:rsid w:val="00C21EF3"/>
  </w:style>
  <w:style w:type="paragraph" w:customStyle="1" w:styleId="Citt1">
    <w:name w:val="Citát1"/>
    <w:basedOn w:val="Normln"/>
    <w:next w:val="Normln"/>
    <w:uiPriority w:val="29"/>
    <w:qFormat/>
    <w:rsid w:val="00C21EF3"/>
    <w:pPr>
      <w:spacing w:before="120"/>
    </w:pPr>
    <w:rPr>
      <w:rFonts w:ascii="Arial" w:eastAsia="Calibri" w:hAnsi="Arial"/>
      <w:i/>
      <w:iCs/>
      <w:color w:val="000000"/>
      <w:sz w:val="22"/>
      <w:szCs w:val="22"/>
    </w:rPr>
  </w:style>
  <w:style w:type="table" w:customStyle="1" w:styleId="Mkatabulky21">
    <w:name w:val="Mřížka tabulky21"/>
    <w:basedOn w:val="Normlntabulka"/>
    <w:next w:val="Mkatabulky"/>
    <w:uiPriority w:val="39"/>
    <w:rsid w:val="00C21E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1">
    <w:name w:val="Nadpis 7 Char1"/>
    <w:basedOn w:val="Standardnpsmoodstavce"/>
    <w:uiPriority w:val="9"/>
    <w:semiHidden/>
    <w:rsid w:val="00C21EF3"/>
    <w:rPr>
      <w:rFonts w:ascii="Cambria" w:eastAsia="Times New Roman" w:hAnsi="Cambria" w:cs="Times New Roman"/>
      <w:i/>
      <w:iCs/>
      <w:color w:val="404040"/>
      <w:sz w:val="24"/>
      <w:szCs w:val="24"/>
      <w:lang w:val="en-US" w:eastAsia="en-US"/>
    </w:rPr>
  </w:style>
  <w:style w:type="character" w:customStyle="1" w:styleId="CittChar1">
    <w:name w:val="Citát Char1"/>
    <w:basedOn w:val="Standardnpsmoodstavce"/>
    <w:uiPriority w:val="29"/>
    <w:rsid w:val="00C21EF3"/>
    <w:rPr>
      <w:i/>
      <w:iCs/>
      <w:color w:val="000000"/>
      <w:sz w:val="24"/>
      <w:szCs w:val="24"/>
      <w:lang w:val="en-US" w:eastAsia="en-US"/>
    </w:rPr>
  </w:style>
  <w:style w:type="table" w:customStyle="1" w:styleId="Mkatabulky3">
    <w:name w:val="Mřížka tabulky3"/>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4Char">
    <w:name w:val="Nadpis 4 Char"/>
    <w:aliases w:val="příloha Char"/>
    <w:basedOn w:val="Standardnpsmoodstavce"/>
    <w:link w:val="Nadpis4"/>
    <w:uiPriority w:val="9"/>
    <w:rsid w:val="0010633C"/>
    <w:rPr>
      <w:rFonts w:asciiTheme="minorHAnsi" w:hAnsiTheme="minorHAnsi"/>
      <w:b/>
      <w:bCs/>
      <w:sz w:val="24"/>
    </w:rPr>
  </w:style>
  <w:style w:type="numbering" w:customStyle="1" w:styleId="Bezseznamu4">
    <w:name w:val="Bez seznamu4"/>
    <w:next w:val="Bezseznamu"/>
    <w:uiPriority w:val="99"/>
    <w:semiHidden/>
    <w:unhideWhenUsed/>
    <w:rsid w:val="00C21EF3"/>
  </w:style>
  <w:style w:type="paragraph" w:styleId="Nadpisobsahu">
    <w:name w:val="TOC Heading"/>
    <w:basedOn w:val="Nadpis1"/>
    <w:next w:val="Normln"/>
    <w:uiPriority w:val="39"/>
    <w:qFormat/>
    <w:rsid w:val="00C21EF3"/>
    <w:pPr>
      <w:keepLines/>
      <w:spacing w:line="259" w:lineRule="auto"/>
      <w:jc w:val="left"/>
      <w:outlineLvl w:val="9"/>
    </w:pPr>
    <w:rPr>
      <w:rFonts w:ascii="Calibri Light" w:hAnsi="Calibri Light"/>
      <w:b w:val="0"/>
      <w:bCs w:val="0"/>
      <w:color w:val="2E74B5"/>
      <w:sz w:val="32"/>
      <w:szCs w:val="32"/>
    </w:rPr>
  </w:style>
  <w:style w:type="paragraph" w:styleId="Obsah2">
    <w:name w:val="toc 2"/>
    <w:basedOn w:val="Normln"/>
    <w:next w:val="Normln"/>
    <w:autoRedefine/>
    <w:uiPriority w:val="39"/>
    <w:unhideWhenUsed/>
    <w:rsid w:val="00C21EF3"/>
    <w:pPr>
      <w:ind w:left="240"/>
    </w:pPr>
    <w:rPr>
      <w:rFonts w:ascii="Calibri" w:hAnsi="Calibri"/>
    </w:rPr>
  </w:style>
  <w:style w:type="paragraph" w:styleId="Obsah3">
    <w:name w:val="toc 3"/>
    <w:basedOn w:val="Normln"/>
    <w:next w:val="Normln"/>
    <w:autoRedefine/>
    <w:uiPriority w:val="39"/>
    <w:unhideWhenUsed/>
    <w:rsid w:val="00C21EF3"/>
    <w:pPr>
      <w:tabs>
        <w:tab w:val="left" w:pos="960"/>
        <w:tab w:val="right" w:leader="dot" w:pos="9062"/>
      </w:tabs>
      <w:ind w:left="480"/>
    </w:pPr>
    <w:rPr>
      <w:rFonts w:ascii="Calibri" w:hAnsi="Calibri"/>
      <w:noProof/>
    </w:rPr>
  </w:style>
  <w:style w:type="paragraph" w:styleId="Rozloendokumentu">
    <w:name w:val="Document Map"/>
    <w:basedOn w:val="Normln"/>
    <w:link w:val="RozloendokumentuChar"/>
    <w:semiHidden/>
    <w:rsid w:val="00C21EF3"/>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C21EF3"/>
    <w:rPr>
      <w:rFonts w:ascii="Tahoma" w:hAnsi="Tahoma" w:cs="Tahoma"/>
      <w:shd w:val="clear" w:color="auto" w:fill="000080"/>
      <w:lang w:eastAsia="en-US"/>
    </w:rPr>
  </w:style>
  <w:style w:type="paragraph" w:styleId="Zkladntext-prvnodsazen">
    <w:name w:val="Body Text First Indent"/>
    <w:basedOn w:val="Zkladntext"/>
    <w:link w:val="Zkladntext-prvnodsazenChar"/>
    <w:rsid w:val="00C21EF3"/>
    <w:pPr>
      <w:spacing w:after="120"/>
      <w:ind w:firstLine="210"/>
      <w:jc w:val="left"/>
    </w:pPr>
    <w:rPr>
      <w:rFonts w:ascii="Calibri" w:hAnsi="Calibri"/>
      <w:b w:val="0"/>
      <w:bCs w:val="0"/>
      <w:sz w:val="24"/>
      <w:szCs w:val="24"/>
    </w:rPr>
  </w:style>
  <w:style w:type="character" w:customStyle="1" w:styleId="ZkladntextChar1">
    <w:name w:val="Základní text Char1"/>
    <w:aliases w:val="?????1 Char,Body ... Char,Body Text Char Char1,Body Text Char Char Char1,Body Text Char Char Char Char,Body Text Char1 Char Char Char,Body Text Char2 Char Char,Corps de texte INTSUM Char,Nornální Char,Základní text - D Char,b Char"/>
    <w:basedOn w:val="Standardnpsmoodstavce"/>
    <w:link w:val="Zkladntext"/>
    <w:rsid w:val="00C21EF3"/>
    <w:rPr>
      <w:b/>
      <w:bCs/>
      <w:sz w:val="28"/>
      <w:szCs w:val="28"/>
      <w:lang w:eastAsia="en-US"/>
    </w:rPr>
  </w:style>
  <w:style w:type="character" w:customStyle="1" w:styleId="Zkladntext-prvnodsazenChar">
    <w:name w:val="Základní text - první odsazený Char"/>
    <w:basedOn w:val="ZkladntextChar1"/>
    <w:link w:val="Zkladntext-prvnodsazen"/>
    <w:rsid w:val="00C21EF3"/>
    <w:rPr>
      <w:rFonts w:ascii="Calibri" w:hAnsi="Calibri"/>
      <w:b w:val="0"/>
      <w:bCs w:val="0"/>
      <w:sz w:val="24"/>
      <w:szCs w:val="24"/>
      <w:lang w:eastAsia="en-US"/>
    </w:rPr>
  </w:style>
  <w:style w:type="table" w:customStyle="1" w:styleId="Mkatabulky6">
    <w:name w:val="Mřížka tabulky6"/>
    <w:basedOn w:val="Normlntabulka"/>
    <w:next w:val="Mkatabulky"/>
    <w:rsid w:val="00C21E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21EF3"/>
  </w:style>
  <w:style w:type="numbering" w:customStyle="1" w:styleId="Bezseznamu5">
    <w:name w:val="Bez seznamu5"/>
    <w:next w:val="Bezseznamu"/>
    <w:uiPriority w:val="99"/>
    <w:semiHidden/>
    <w:unhideWhenUsed/>
    <w:rsid w:val="00C21EF3"/>
  </w:style>
  <w:style w:type="table" w:customStyle="1" w:styleId="Mkatabulky7">
    <w:name w:val="Mřížka tabulky7"/>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2">
    <w:name w:val="Bez seznamu12"/>
    <w:next w:val="Bezseznamu"/>
    <w:uiPriority w:val="99"/>
    <w:semiHidden/>
    <w:unhideWhenUsed/>
    <w:rsid w:val="00C21EF3"/>
  </w:style>
  <w:style w:type="table" w:customStyle="1" w:styleId="Mkatabulky31">
    <w:name w:val="Mřížka tabulky31"/>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71">
    <w:name w:val="Mřížka tabulky7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6">
    <w:name w:val="Bez seznamu6"/>
    <w:next w:val="Bezseznamu"/>
    <w:uiPriority w:val="99"/>
    <w:semiHidden/>
    <w:unhideWhenUsed/>
    <w:rsid w:val="00C21EF3"/>
  </w:style>
  <w:style w:type="paragraph" w:customStyle="1" w:styleId="Nadpis21">
    <w:name w:val="Nadpis 21"/>
    <w:basedOn w:val="Normln"/>
    <w:next w:val="Normln"/>
    <w:unhideWhenUsed/>
    <w:qFormat/>
    <w:rsid w:val="00C21EF3"/>
    <w:pPr>
      <w:keepNext/>
      <w:keepLines/>
      <w:spacing w:before="200"/>
      <w:outlineLvl w:val="1"/>
    </w:pPr>
    <w:rPr>
      <w:rFonts w:ascii="Cambria" w:hAnsi="Cambria"/>
      <w:b/>
      <w:bCs/>
      <w:color w:val="4F81BD"/>
      <w:sz w:val="26"/>
      <w:szCs w:val="26"/>
    </w:rPr>
  </w:style>
  <w:style w:type="paragraph" w:customStyle="1" w:styleId="Nadpis31">
    <w:name w:val="Nadpis 31"/>
    <w:basedOn w:val="Normln"/>
    <w:next w:val="Normln"/>
    <w:uiPriority w:val="9"/>
    <w:unhideWhenUsed/>
    <w:qFormat/>
    <w:rsid w:val="00C21EF3"/>
    <w:pPr>
      <w:keepNext/>
      <w:keepLines/>
      <w:spacing w:before="40"/>
      <w:outlineLvl w:val="2"/>
    </w:pPr>
    <w:rPr>
      <w:rFonts w:ascii="Cambria" w:hAnsi="Cambria"/>
      <w:color w:val="243F60"/>
    </w:rPr>
  </w:style>
  <w:style w:type="paragraph" w:customStyle="1" w:styleId="Nadpis41">
    <w:name w:val="Nadpis 41"/>
    <w:basedOn w:val="Normln"/>
    <w:next w:val="Normln"/>
    <w:uiPriority w:val="9"/>
    <w:unhideWhenUsed/>
    <w:qFormat/>
    <w:rsid w:val="00C21EF3"/>
    <w:pPr>
      <w:keepNext/>
      <w:keepLines/>
      <w:spacing w:before="40"/>
      <w:outlineLvl w:val="3"/>
    </w:pPr>
    <w:rPr>
      <w:rFonts w:ascii="Cambria" w:hAnsi="Cambria"/>
      <w:i/>
      <w:iCs/>
      <w:color w:val="365F91"/>
      <w:sz w:val="22"/>
      <w:szCs w:val="22"/>
    </w:rPr>
  </w:style>
  <w:style w:type="table" w:customStyle="1" w:styleId="Mkatabulky9">
    <w:name w:val="Mřížka tabulky9"/>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4">
    <w:name w:val="Mřížka tabulky24"/>
    <w:basedOn w:val="Normlntabulka"/>
    <w:next w:val="Mkatabulky"/>
    <w:uiPriority w:val="5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
    <w:name w:val="Mřížka tabulky211"/>
    <w:basedOn w:val="Normlntabulka"/>
    <w:next w:val="Mkatabulky"/>
    <w:uiPriority w:val="59"/>
    <w:rsid w:val="00C21EF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
    <w:name w:val="Mřížka tabulky51"/>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39"/>
    <w:rsid w:val="00C21EF3"/>
    <w:rPr>
      <w:rFonts w:asciiTheme="minorHAnsi"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61">
    <w:name w:val="Mřížka tabulky61"/>
    <w:basedOn w:val="Normlntabulka"/>
    <w:next w:val="Mkatabulky"/>
    <w:rsid w:val="00C21E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1">
    <w:name w:val="Nadpis 2 Char1"/>
    <w:basedOn w:val="Standardnpsmoodstavce"/>
    <w:uiPriority w:val="9"/>
    <w:semiHidden/>
    <w:rsid w:val="00C21EF3"/>
    <w:rPr>
      <w:rFonts w:ascii="Calibri Light" w:eastAsia="Times New Roman" w:hAnsi="Calibri Light" w:cs="Times New Roman"/>
      <w:color w:val="2E74B5"/>
      <w:sz w:val="26"/>
      <w:szCs w:val="26"/>
    </w:rPr>
  </w:style>
  <w:style w:type="character" w:customStyle="1" w:styleId="Nadpis7Char2">
    <w:name w:val="Nadpis 7 Char2"/>
    <w:basedOn w:val="Standardnpsmoodstavce"/>
    <w:uiPriority w:val="9"/>
    <w:semiHidden/>
    <w:rsid w:val="00C21EF3"/>
    <w:rPr>
      <w:rFonts w:ascii="Calibri Light" w:eastAsia="Times New Roman" w:hAnsi="Calibri Light" w:cs="Times New Roman"/>
      <w:i/>
      <w:iCs/>
      <w:color w:val="1F4D78"/>
    </w:rPr>
  </w:style>
  <w:style w:type="character" w:customStyle="1" w:styleId="CittChar2">
    <w:name w:val="Citát Char2"/>
    <w:basedOn w:val="Standardnpsmoodstavce"/>
    <w:uiPriority w:val="29"/>
    <w:rsid w:val="00C21EF3"/>
    <w:rPr>
      <w:rFonts w:cs="Times New Roman"/>
      <w:i/>
      <w:iCs/>
      <w:color w:val="404040"/>
    </w:rPr>
  </w:style>
  <w:style w:type="character" w:customStyle="1" w:styleId="CittChar21">
    <w:name w:val="Citát Char21"/>
    <w:basedOn w:val="Standardnpsmoodstavce"/>
    <w:uiPriority w:val="29"/>
    <w:rsid w:val="00C21EF3"/>
    <w:rPr>
      <w:rFonts w:cs="Times New Roman"/>
      <w:i/>
      <w:iCs/>
      <w:color w:val="404040"/>
    </w:rPr>
  </w:style>
  <w:style w:type="character" w:customStyle="1" w:styleId="Nadpis3Char1">
    <w:name w:val="Nadpis 3 Char1"/>
    <w:basedOn w:val="Standardnpsmoodstavce"/>
    <w:uiPriority w:val="9"/>
    <w:semiHidden/>
    <w:rsid w:val="00C21EF3"/>
    <w:rPr>
      <w:rFonts w:ascii="Calibri Light" w:eastAsia="Times New Roman" w:hAnsi="Calibri Light" w:cs="Times New Roman"/>
      <w:color w:val="1F4D78"/>
      <w:sz w:val="24"/>
      <w:szCs w:val="24"/>
    </w:rPr>
  </w:style>
  <w:style w:type="character" w:customStyle="1" w:styleId="Nadpis4Char1">
    <w:name w:val="Nadpis 4 Char1"/>
    <w:basedOn w:val="Standardnpsmoodstavce"/>
    <w:uiPriority w:val="9"/>
    <w:semiHidden/>
    <w:rsid w:val="00C21EF3"/>
    <w:rPr>
      <w:rFonts w:ascii="Calibri Light" w:eastAsia="Times New Roman" w:hAnsi="Calibri Light" w:cs="Times New Roman"/>
      <w:i/>
      <w:iCs/>
      <w:color w:val="2E74B5"/>
    </w:rPr>
  </w:style>
  <w:style w:type="numbering" w:customStyle="1" w:styleId="Bezseznamu7">
    <w:name w:val="Bez seznamu7"/>
    <w:next w:val="Bezseznamu"/>
    <w:uiPriority w:val="99"/>
    <w:semiHidden/>
    <w:unhideWhenUsed/>
    <w:rsid w:val="00C21EF3"/>
  </w:style>
  <w:style w:type="numbering" w:customStyle="1" w:styleId="Bezseznamu13">
    <w:name w:val="Bez seznamu13"/>
    <w:next w:val="Bezseznamu"/>
    <w:uiPriority w:val="99"/>
    <w:semiHidden/>
    <w:unhideWhenUsed/>
    <w:rsid w:val="00C21EF3"/>
  </w:style>
  <w:style w:type="numbering" w:customStyle="1" w:styleId="Bezseznamu111">
    <w:name w:val="Bez seznamu111"/>
    <w:next w:val="Bezseznamu"/>
    <w:uiPriority w:val="99"/>
    <w:semiHidden/>
    <w:unhideWhenUsed/>
    <w:rsid w:val="00C21EF3"/>
  </w:style>
  <w:style w:type="numbering" w:customStyle="1" w:styleId="Bezseznamu21">
    <w:name w:val="Bez seznamu21"/>
    <w:next w:val="Bezseznamu"/>
    <w:uiPriority w:val="99"/>
    <w:semiHidden/>
    <w:unhideWhenUsed/>
    <w:rsid w:val="00C21EF3"/>
  </w:style>
  <w:style w:type="numbering" w:customStyle="1" w:styleId="Bezseznamu31">
    <w:name w:val="Bez seznamu31"/>
    <w:next w:val="Bezseznamu"/>
    <w:uiPriority w:val="99"/>
    <w:semiHidden/>
    <w:unhideWhenUsed/>
    <w:rsid w:val="00C21EF3"/>
  </w:style>
  <w:style w:type="numbering" w:customStyle="1" w:styleId="Bezseznamu1111">
    <w:name w:val="Bez seznamu1111"/>
    <w:next w:val="Bezseznamu"/>
    <w:uiPriority w:val="99"/>
    <w:semiHidden/>
    <w:unhideWhenUsed/>
    <w:rsid w:val="00C21EF3"/>
  </w:style>
  <w:style w:type="numbering" w:customStyle="1" w:styleId="Bezseznamu41">
    <w:name w:val="Bez seznamu41"/>
    <w:next w:val="Bezseznamu"/>
    <w:uiPriority w:val="99"/>
    <w:semiHidden/>
    <w:unhideWhenUsed/>
    <w:rsid w:val="00C21EF3"/>
  </w:style>
  <w:style w:type="character" w:styleId="slodku">
    <w:name w:val="line number"/>
    <w:basedOn w:val="Standardnpsmoodstavce"/>
    <w:uiPriority w:val="99"/>
    <w:semiHidden/>
    <w:unhideWhenUsed/>
    <w:rsid w:val="00C21EF3"/>
  </w:style>
  <w:style w:type="paragraph" w:customStyle="1" w:styleId="Hlava">
    <w:name w:val="Hlava"/>
    <w:basedOn w:val="Normln"/>
    <w:link w:val="HlavaChar"/>
    <w:qFormat/>
    <w:rsid w:val="00C21EF3"/>
    <w:pPr>
      <w:suppressAutoHyphens/>
      <w:jc w:val="center"/>
    </w:pPr>
    <w:rPr>
      <w:lang w:eastAsia="ar-SA"/>
    </w:rPr>
  </w:style>
  <w:style w:type="character" w:customStyle="1" w:styleId="HlavaChar">
    <w:name w:val="Hlava Char"/>
    <w:link w:val="Hlava"/>
    <w:rsid w:val="00C21EF3"/>
    <w:rPr>
      <w:sz w:val="24"/>
      <w:szCs w:val="24"/>
      <w:lang w:eastAsia="ar-SA"/>
    </w:rPr>
  </w:style>
  <w:style w:type="paragraph" w:customStyle="1" w:styleId="BodyText22">
    <w:name w:val="Body Text 22"/>
    <w:basedOn w:val="Normln"/>
    <w:rsid w:val="00C21EF3"/>
    <w:pPr>
      <w:overflowPunct w:val="0"/>
      <w:autoSpaceDE w:val="0"/>
      <w:autoSpaceDN w:val="0"/>
      <w:adjustRightInd w:val="0"/>
      <w:ind w:firstLine="709"/>
      <w:textAlignment w:val="baseline"/>
    </w:pPr>
  </w:style>
  <w:style w:type="numbering" w:customStyle="1" w:styleId="Styl2">
    <w:name w:val="Styl2"/>
    <w:uiPriority w:val="99"/>
    <w:rsid w:val="006F2E2A"/>
    <w:pPr>
      <w:numPr>
        <w:numId w:val="6"/>
      </w:numPr>
    </w:pPr>
  </w:style>
  <w:style w:type="paragraph" w:customStyle="1" w:styleId="Pa18">
    <w:name w:val="Pa18"/>
    <w:basedOn w:val="Normln"/>
    <w:next w:val="Normln"/>
    <w:rsid w:val="0079253B"/>
    <w:pPr>
      <w:autoSpaceDE w:val="0"/>
      <w:autoSpaceDN w:val="0"/>
      <w:adjustRightInd w:val="0"/>
      <w:spacing w:line="211" w:lineRule="atLeast"/>
      <w:jc w:val="left"/>
    </w:pPr>
    <w:rPr>
      <w:rFonts w:ascii="Calibri" w:hAnsi="Calibri"/>
      <w:szCs w:val="24"/>
    </w:rPr>
  </w:style>
  <w:style w:type="character" w:customStyle="1" w:styleId="A14">
    <w:name w:val="A14"/>
    <w:rsid w:val="0079253B"/>
    <w:rPr>
      <w:b/>
      <w:color w:val="000000"/>
      <w:sz w:val="54"/>
    </w:rPr>
  </w:style>
  <w:style w:type="paragraph" w:customStyle="1" w:styleId="Pa19">
    <w:name w:val="Pa19"/>
    <w:basedOn w:val="Normln"/>
    <w:next w:val="Normln"/>
    <w:rsid w:val="0079253B"/>
    <w:pPr>
      <w:autoSpaceDE w:val="0"/>
      <w:autoSpaceDN w:val="0"/>
      <w:adjustRightInd w:val="0"/>
      <w:spacing w:line="211" w:lineRule="atLeast"/>
      <w:jc w:val="left"/>
    </w:pPr>
    <w:rPr>
      <w:rFonts w:ascii="Calibri" w:hAnsi="Calibri"/>
      <w:szCs w:val="24"/>
    </w:rPr>
  </w:style>
  <w:style w:type="paragraph" w:customStyle="1" w:styleId="Zkladn">
    <w:name w:val="Základní"/>
    <w:basedOn w:val="Normln"/>
    <w:rsid w:val="00554FD1"/>
    <w:pPr>
      <w:spacing w:before="120"/>
    </w:pPr>
    <w:rPr>
      <w:rFonts w:ascii="Arial" w:hAnsi="Arial"/>
      <w:szCs w:val="24"/>
      <w:lang w:eastAsia="en-US"/>
    </w:rPr>
  </w:style>
  <w:style w:type="character" w:customStyle="1" w:styleId="tabulkaChar">
    <w:name w:val="tabulka Char"/>
    <w:basedOn w:val="Standardnpsmoodstavce"/>
    <w:link w:val="tabulka"/>
    <w:locked/>
    <w:rsid w:val="00A57C26"/>
    <w:rPr>
      <w:rFonts w:asciiTheme="minorHAnsi" w:hAnsiTheme="minorHAnsi" w:cstheme="minorHAnsi"/>
      <w:sz w:val="24"/>
      <w:szCs w:val="24"/>
    </w:rPr>
  </w:style>
  <w:style w:type="paragraph" w:customStyle="1" w:styleId="tabulka">
    <w:name w:val="tabulka"/>
    <w:basedOn w:val="Normln"/>
    <w:link w:val="tabulkaChar"/>
    <w:qFormat/>
    <w:rsid w:val="00A57C26"/>
    <w:pPr>
      <w:keepNext/>
      <w:numPr>
        <w:numId w:val="6"/>
      </w:numPr>
    </w:pPr>
    <w:rPr>
      <w:rFonts w:cstheme="minorHAnsi"/>
      <w:szCs w:val="24"/>
    </w:rPr>
  </w:style>
  <w:style w:type="paragraph" w:customStyle="1" w:styleId="l4">
    <w:name w:val="l4"/>
    <w:basedOn w:val="Normln"/>
    <w:rsid w:val="00916704"/>
    <w:pPr>
      <w:spacing w:before="100" w:beforeAutospacing="1" w:after="100" w:afterAutospacing="1"/>
      <w:jc w:val="left"/>
    </w:pPr>
    <w:rPr>
      <w:rFonts w:ascii="Times New Roman" w:hAnsi="Times New Roman"/>
      <w:szCs w:val="24"/>
    </w:rPr>
  </w:style>
  <w:style w:type="paragraph" w:customStyle="1" w:styleId="Nzevtabulka">
    <w:name w:val="Název tabulka"/>
    <w:basedOn w:val="Normln"/>
    <w:link w:val="NzevtabulkaChar"/>
    <w:qFormat/>
    <w:rsid w:val="008C1CD5"/>
    <w:pPr>
      <w:keepNext/>
      <w:numPr>
        <w:numId w:val="8"/>
      </w:numPr>
      <w:ind w:left="357" w:hanging="357"/>
    </w:pPr>
    <w:rPr>
      <w:rFonts w:cstheme="minorHAnsi"/>
      <w:szCs w:val="24"/>
      <w:lang w:eastAsia="en-US"/>
    </w:rPr>
  </w:style>
  <w:style w:type="character" w:customStyle="1" w:styleId="NzevtabulkaChar">
    <w:name w:val="Název tabulka Char"/>
    <w:basedOn w:val="Standardnpsmoodstavce"/>
    <w:link w:val="Nzevtabulka"/>
    <w:locked/>
    <w:rsid w:val="008C1CD5"/>
    <w:rPr>
      <w:rFonts w:asciiTheme="minorHAnsi" w:hAnsiTheme="minorHAnsi" w:cstheme="minorHAnsi"/>
      <w:sz w:val="24"/>
      <w:szCs w:val="24"/>
      <w:lang w:eastAsia="en-US"/>
    </w:rPr>
  </w:style>
  <w:style w:type="character" w:customStyle="1" w:styleId="Nadpis8Char">
    <w:name w:val="Nadpis 8 Char"/>
    <w:basedOn w:val="Standardnpsmoodstavce"/>
    <w:link w:val="Nadpis8"/>
    <w:uiPriority w:val="9"/>
    <w:rsid w:val="008C1CD5"/>
    <w:rPr>
      <w:rFonts w:asciiTheme="minorHAnsi" w:hAnsiTheme="minorHAnsi"/>
      <w:b/>
      <w:bCs/>
      <w:noProof/>
      <w:sz w:val="24"/>
    </w:rPr>
  </w:style>
  <w:style w:type="paragraph" w:styleId="Obsah1">
    <w:name w:val="toc 1"/>
    <w:basedOn w:val="Normln"/>
    <w:next w:val="Normln"/>
    <w:autoRedefine/>
    <w:uiPriority w:val="39"/>
    <w:unhideWhenUsed/>
    <w:rsid w:val="008C1CD5"/>
    <w:pPr>
      <w:tabs>
        <w:tab w:val="left" w:pos="440"/>
        <w:tab w:val="right" w:leader="dot" w:pos="9060"/>
      </w:tabs>
      <w:spacing w:after="60"/>
      <w:ind w:left="284" w:hanging="284"/>
    </w:pPr>
    <w:rPr>
      <w:szCs w:val="24"/>
      <w:lang w:eastAsia="en-US"/>
    </w:rPr>
  </w:style>
  <w:style w:type="character" w:customStyle="1" w:styleId="TextpoznpodarouChar1">
    <w:name w:val="Text pozn. pod čarou Char1"/>
    <w:basedOn w:val="Standardnpsmoodstavce"/>
    <w:uiPriority w:val="99"/>
    <w:semiHidden/>
    <w:rsid w:val="008C1CD5"/>
    <w:rPr>
      <w:sz w:val="20"/>
      <w:szCs w:val="20"/>
    </w:rPr>
  </w:style>
  <w:style w:type="paragraph" w:customStyle="1" w:styleId="Standard">
    <w:name w:val="Standard"/>
    <w:rsid w:val="008C1CD5"/>
    <w:pPr>
      <w:widowControl w:val="0"/>
      <w:suppressAutoHyphens/>
      <w:autoSpaceDN w:val="0"/>
      <w:textAlignment w:val="baseline"/>
    </w:pPr>
    <w:rPr>
      <w:kern w:val="3"/>
      <w:lang w:bidi="hi-IN"/>
    </w:rPr>
  </w:style>
  <w:style w:type="paragraph" w:customStyle="1" w:styleId="p7">
    <w:name w:val="p7"/>
    <w:basedOn w:val="Normln"/>
    <w:rsid w:val="008C1CD5"/>
    <w:pPr>
      <w:spacing w:before="100" w:beforeAutospacing="1" w:after="100" w:afterAutospacing="1"/>
      <w:jc w:val="left"/>
    </w:pPr>
    <w:rPr>
      <w:rFonts w:ascii="Times New Roman" w:hAnsi="Times New Roman"/>
      <w:szCs w:val="24"/>
    </w:rPr>
  </w:style>
  <w:style w:type="character" w:customStyle="1" w:styleId="s2">
    <w:name w:val="s2"/>
    <w:basedOn w:val="Standardnpsmoodstavce"/>
    <w:rsid w:val="008C1CD5"/>
  </w:style>
  <w:style w:type="paragraph" w:customStyle="1" w:styleId="p6">
    <w:name w:val="p6"/>
    <w:basedOn w:val="Normln"/>
    <w:rsid w:val="008C1CD5"/>
    <w:pPr>
      <w:spacing w:before="100" w:beforeAutospacing="1" w:after="100" w:afterAutospacing="1"/>
      <w:jc w:val="left"/>
    </w:pPr>
    <w:rPr>
      <w:rFonts w:ascii="Times New Roman" w:hAnsi="Times New Roman"/>
      <w:szCs w:val="24"/>
    </w:rPr>
  </w:style>
  <w:style w:type="character" w:customStyle="1" w:styleId="s3">
    <w:name w:val="s3"/>
    <w:basedOn w:val="Standardnpsmoodstavce"/>
    <w:rsid w:val="008C1CD5"/>
  </w:style>
  <w:style w:type="paragraph" w:styleId="Podnadpis">
    <w:name w:val="Subtitle"/>
    <w:aliases w:val="tabulka 1. řádek"/>
    <w:basedOn w:val="Normln"/>
    <w:next w:val="Normln"/>
    <w:link w:val="PodnadpisChar"/>
    <w:uiPriority w:val="11"/>
    <w:qFormat/>
    <w:rsid w:val="008C1CD5"/>
    <w:pPr>
      <w:numPr>
        <w:ilvl w:val="1"/>
      </w:numPr>
      <w:contextualSpacing/>
      <w:jc w:val="center"/>
    </w:pPr>
    <w:rPr>
      <w:rFonts w:eastAsiaTheme="minorEastAsia" w:cstheme="minorBidi"/>
      <w:b/>
      <w:sz w:val="22"/>
      <w:szCs w:val="22"/>
      <w:lang w:eastAsia="en-US"/>
    </w:rPr>
  </w:style>
  <w:style w:type="character" w:customStyle="1" w:styleId="PodnadpisChar">
    <w:name w:val="Podnadpis Char"/>
    <w:aliases w:val="tabulka 1. řádek Char"/>
    <w:basedOn w:val="Standardnpsmoodstavce"/>
    <w:link w:val="Podnadpis"/>
    <w:uiPriority w:val="11"/>
    <w:rsid w:val="008C1CD5"/>
    <w:rPr>
      <w:rFonts w:asciiTheme="minorHAnsi" w:eastAsiaTheme="minorEastAsia" w:hAnsiTheme="minorHAnsi" w:cstheme="minorBidi"/>
      <w:b/>
      <w:sz w:val="22"/>
      <w:szCs w:val="22"/>
      <w:lang w:eastAsia="en-US"/>
    </w:rPr>
  </w:style>
  <w:style w:type="character" w:customStyle="1" w:styleId="StylIChar">
    <w:name w:val="Styl I. Char"/>
    <w:link w:val="StylI"/>
    <w:locked/>
    <w:rsid w:val="008C1CD5"/>
    <w:rPr>
      <w:rFonts w:ascii="Arial" w:eastAsia="Calibri" w:hAnsi="Arial" w:cs="Arial"/>
    </w:rPr>
  </w:style>
  <w:style w:type="paragraph" w:customStyle="1" w:styleId="StylI">
    <w:name w:val="Styl I."/>
    <w:basedOn w:val="Odstavecseseznamem"/>
    <w:link w:val="StylIChar"/>
    <w:qFormat/>
    <w:rsid w:val="008C1CD5"/>
    <w:pPr>
      <w:numPr>
        <w:numId w:val="9"/>
      </w:numPr>
      <w:spacing w:before="120" w:after="240"/>
    </w:pPr>
    <w:rPr>
      <w:rFonts w:ascii="Arial" w:eastAsia="Calibri" w:hAnsi="Arial" w:cs="Arial"/>
      <w:sz w:val="20"/>
    </w:rPr>
  </w:style>
  <w:style w:type="paragraph" w:customStyle="1" w:styleId="Stylaa">
    <w:name w:val="Styl aa)"/>
    <w:basedOn w:val="Odstavecseseznamem"/>
    <w:qFormat/>
    <w:rsid w:val="008C1CD5"/>
    <w:pPr>
      <w:numPr>
        <w:ilvl w:val="3"/>
        <w:numId w:val="9"/>
      </w:numPr>
      <w:tabs>
        <w:tab w:val="num" w:pos="360"/>
      </w:tabs>
      <w:spacing w:before="120" w:after="240"/>
    </w:pPr>
    <w:rPr>
      <w:rFonts w:ascii="Arial" w:eastAsia="Calibri" w:hAnsi="Arial" w:cs="Arial"/>
      <w:sz w:val="22"/>
      <w:szCs w:val="22"/>
      <w:lang w:eastAsia="en-US"/>
    </w:rPr>
  </w:style>
  <w:style w:type="paragraph" w:customStyle="1" w:styleId="Styla">
    <w:name w:val="Styl a)"/>
    <w:basedOn w:val="Odstavecseseznamem"/>
    <w:qFormat/>
    <w:rsid w:val="008C1CD5"/>
    <w:pPr>
      <w:numPr>
        <w:ilvl w:val="2"/>
        <w:numId w:val="9"/>
      </w:numPr>
      <w:tabs>
        <w:tab w:val="num" w:pos="360"/>
      </w:tabs>
      <w:spacing w:before="120" w:after="240"/>
    </w:pPr>
    <w:rPr>
      <w:rFonts w:ascii="Arial" w:eastAsia="Calibri" w:hAnsi="Arial" w:cs="Arial"/>
      <w:sz w:val="22"/>
      <w:szCs w:val="22"/>
      <w:lang w:eastAsia="en-US"/>
    </w:rPr>
  </w:style>
  <w:style w:type="character" w:customStyle="1" w:styleId="Styl1Char">
    <w:name w:val="Styl   1. Char"/>
    <w:link w:val="Styl10"/>
    <w:locked/>
    <w:rsid w:val="008C1CD5"/>
    <w:rPr>
      <w:rFonts w:ascii="Arial" w:eastAsia="Calibri" w:hAnsi="Arial" w:cs="Arial"/>
    </w:rPr>
  </w:style>
  <w:style w:type="paragraph" w:customStyle="1" w:styleId="Styl10">
    <w:name w:val="Styl   1."/>
    <w:basedOn w:val="Normln"/>
    <w:link w:val="Styl1Char"/>
    <w:qFormat/>
    <w:rsid w:val="008C1CD5"/>
    <w:pPr>
      <w:spacing w:before="120" w:after="240"/>
      <w:ind w:left="357" w:hanging="357"/>
    </w:pPr>
    <w:rPr>
      <w:rFonts w:ascii="Arial" w:eastAsia="Calibri" w:hAnsi="Arial" w:cs="Arial"/>
      <w:sz w:val="20"/>
    </w:rPr>
  </w:style>
  <w:style w:type="numbering" w:customStyle="1" w:styleId="StylI-aa">
    <w:name w:val="Styl I-aa)"/>
    <w:uiPriority w:val="99"/>
    <w:rsid w:val="008C1CD5"/>
    <w:pPr>
      <w:numPr>
        <w:numId w:val="13"/>
      </w:numPr>
    </w:pPr>
  </w:style>
  <w:style w:type="character" w:customStyle="1" w:styleId="Styl1-IChar">
    <w:name w:val="Styl1 - I. Char"/>
    <w:link w:val="Styl1-I"/>
    <w:locked/>
    <w:rsid w:val="008C1CD5"/>
    <w:rPr>
      <w:rFonts w:ascii="Arial" w:hAnsi="Arial" w:cs="Arial"/>
    </w:rPr>
  </w:style>
  <w:style w:type="paragraph" w:customStyle="1" w:styleId="Styl1-I">
    <w:name w:val="Styl1 - I."/>
    <w:basedOn w:val="Normln"/>
    <w:link w:val="Styl1-IChar"/>
    <w:qFormat/>
    <w:rsid w:val="008C1CD5"/>
    <w:pPr>
      <w:numPr>
        <w:numId w:val="10"/>
      </w:numPr>
      <w:overflowPunct w:val="0"/>
      <w:autoSpaceDE w:val="0"/>
      <w:autoSpaceDN w:val="0"/>
      <w:adjustRightInd w:val="0"/>
      <w:spacing w:before="120" w:after="240"/>
      <w:ind w:left="357" w:hanging="357"/>
    </w:pPr>
    <w:rPr>
      <w:rFonts w:ascii="Arial" w:hAnsi="Arial" w:cs="Arial"/>
      <w:sz w:val="20"/>
    </w:rPr>
  </w:style>
  <w:style w:type="character" w:customStyle="1" w:styleId="Styl1-1Char">
    <w:name w:val="Styl1 - 1. Char"/>
    <w:link w:val="Styl1-1"/>
    <w:locked/>
    <w:rsid w:val="008C1CD5"/>
    <w:rPr>
      <w:rFonts w:ascii="Arial" w:hAnsi="Arial" w:cs="Arial"/>
    </w:rPr>
  </w:style>
  <w:style w:type="paragraph" w:customStyle="1" w:styleId="Styl1-1">
    <w:name w:val="Styl1 - 1."/>
    <w:basedOn w:val="Normln"/>
    <w:link w:val="Styl1-1Char"/>
    <w:qFormat/>
    <w:rsid w:val="008C1CD5"/>
    <w:pPr>
      <w:numPr>
        <w:numId w:val="11"/>
      </w:numPr>
      <w:overflowPunct w:val="0"/>
      <w:autoSpaceDE w:val="0"/>
      <w:autoSpaceDN w:val="0"/>
      <w:adjustRightInd w:val="0"/>
      <w:spacing w:before="120" w:after="240"/>
    </w:pPr>
    <w:rPr>
      <w:rFonts w:ascii="Arial" w:hAnsi="Arial" w:cs="Arial"/>
      <w:sz w:val="20"/>
    </w:rPr>
  </w:style>
  <w:style w:type="character" w:customStyle="1" w:styleId="Nadpis20">
    <w:name w:val="Nadpis #2_"/>
    <w:basedOn w:val="Standardnpsmoodstavce"/>
    <w:link w:val="Nadpis22"/>
    <w:locked/>
    <w:rsid w:val="008C1CD5"/>
    <w:rPr>
      <w:b/>
      <w:bCs/>
      <w:shd w:val="clear" w:color="auto" w:fill="FFFFFF"/>
    </w:rPr>
  </w:style>
  <w:style w:type="paragraph" w:customStyle="1" w:styleId="Nadpis22">
    <w:name w:val="Nadpis #2"/>
    <w:basedOn w:val="Normln"/>
    <w:link w:val="Nadpis20"/>
    <w:rsid w:val="008C1CD5"/>
    <w:pPr>
      <w:widowControl w:val="0"/>
      <w:shd w:val="clear" w:color="auto" w:fill="FFFFFF"/>
      <w:ind w:left="340"/>
      <w:outlineLvl w:val="1"/>
    </w:pPr>
    <w:rPr>
      <w:rFonts w:ascii="Times New Roman" w:hAnsi="Times New Roman"/>
      <w:b/>
      <w:bCs/>
      <w:sz w:val="20"/>
    </w:rPr>
  </w:style>
  <w:style w:type="character" w:customStyle="1" w:styleId="Zkladntext0">
    <w:name w:val="Základní text_"/>
    <w:basedOn w:val="Standardnpsmoodstavce"/>
    <w:link w:val="Zkladntext1"/>
    <w:locked/>
    <w:rsid w:val="008C1CD5"/>
    <w:rPr>
      <w:shd w:val="clear" w:color="auto" w:fill="FFFFFF"/>
    </w:rPr>
  </w:style>
  <w:style w:type="paragraph" w:customStyle="1" w:styleId="Zkladntext1">
    <w:name w:val="Základní text1"/>
    <w:basedOn w:val="Normln"/>
    <w:link w:val="Zkladntext0"/>
    <w:rsid w:val="008C1CD5"/>
    <w:pPr>
      <w:widowControl w:val="0"/>
      <w:shd w:val="clear" w:color="auto" w:fill="FFFFFF"/>
      <w:spacing w:after="260"/>
    </w:pPr>
    <w:rPr>
      <w:rFonts w:ascii="Times New Roman" w:hAnsi="Times New Roman"/>
      <w:sz w:val="20"/>
    </w:rPr>
  </w:style>
  <w:style w:type="character" w:customStyle="1" w:styleId="Nadpis1Char1">
    <w:name w:val="Nadpis 1 Char1"/>
    <w:aliases w:val="Nadpis 1 Char Char,vlevo 18b. Char"/>
    <w:basedOn w:val="Standardnpsmoodstavce"/>
    <w:link w:val="Nadpis1"/>
    <w:uiPriority w:val="9"/>
    <w:rsid w:val="00A91587"/>
    <w:rPr>
      <w:rFonts w:asciiTheme="minorHAnsi" w:hAnsiTheme="minorHAnsi"/>
      <w:b/>
      <w:bCs/>
      <w:sz w:val="28"/>
      <w:szCs w:val="34"/>
    </w:rPr>
  </w:style>
  <w:style w:type="character" w:customStyle="1" w:styleId="Zkladntextodsazen2Char">
    <w:name w:val="Základní text odsazený 2 Char"/>
    <w:basedOn w:val="Standardnpsmoodstavce"/>
    <w:link w:val="Zkladntextodsazen2"/>
    <w:semiHidden/>
    <w:rsid w:val="00D75822"/>
    <w:rPr>
      <w:rFonts w:asciiTheme="minorHAnsi" w:hAnsiTheme="minorHAnsi"/>
      <w:sz w:val="24"/>
    </w:rPr>
  </w:style>
  <w:style w:type="character" w:customStyle="1" w:styleId="ZkladntextodsazenChar">
    <w:name w:val="Základní text odsazený Char"/>
    <w:aliases w:val=" Char Char Char Char, Char Char Char Char Char Char, Char Char1 Char, Char Char1 Char Char Char,Základní text odsazený Char Char Char,Základní text odsazený Char Char Char Char Char,Základní text odsazený Char1 Char"/>
    <w:basedOn w:val="Standardnpsmoodstavce"/>
    <w:link w:val="Zkladntextodsazen"/>
    <w:semiHidden/>
    <w:rsid w:val="00D75822"/>
    <w:rPr>
      <w:rFonts w:asciiTheme="minorHAnsi" w:hAnsiTheme="minorHAnsi"/>
      <w:sz w:val="24"/>
    </w:rPr>
  </w:style>
  <w:style w:type="character" w:customStyle="1" w:styleId="Zkladntext3Char">
    <w:name w:val="Základní text 3 Char"/>
    <w:basedOn w:val="Standardnpsmoodstavce"/>
    <w:link w:val="Zkladntext3"/>
    <w:semiHidden/>
    <w:rsid w:val="00D75822"/>
    <w:rPr>
      <w:rFonts w:asciiTheme="minorHAnsi" w:hAnsiTheme="minorHAnsi"/>
      <w:b/>
      <w:bCs/>
      <w:sz w:val="24"/>
    </w:rPr>
  </w:style>
  <w:style w:type="character" w:customStyle="1" w:styleId="Zkladntext2Char">
    <w:name w:val="Základní text 2 Char"/>
    <w:basedOn w:val="Standardnpsmoodstavce"/>
    <w:link w:val="Zkladntext2"/>
    <w:semiHidden/>
    <w:rsid w:val="00D75822"/>
    <w:rPr>
      <w:rFonts w:asciiTheme="minorHAnsi" w:hAnsiTheme="minorHAnsi"/>
      <w:sz w:val="24"/>
    </w:rPr>
  </w:style>
  <w:style w:type="character" w:customStyle="1" w:styleId="Zkladntextodsazen3Char">
    <w:name w:val="Základní text odsazený 3 Char"/>
    <w:basedOn w:val="Standardnpsmoodstavce"/>
    <w:link w:val="Zkladntextodsazen3"/>
    <w:semiHidden/>
    <w:rsid w:val="00D75822"/>
    <w:rPr>
      <w:rFonts w:asciiTheme="minorHAnsi" w:hAnsiTheme="minorHAnsi"/>
      <w:noProof/>
      <w:sz w:val="24"/>
    </w:rPr>
  </w:style>
  <w:style w:type="paragraph" w:customStyle="1" w:styleId="TextKP">
    <w:name w:val="Text KP"/>
    <w:basedOn w:val="Normln"/>
    <w:link w:val="TextKPChar"/>
    <w:qFormat/>
    <w:rsid w:val="001D280A"/>
    <w:pPr>
      <w:spacing w:before="120" w:after="120"/>
    </w:pPr>
    <w:rPr>
      <w:rFonts w:cstheme="minorHAnsi"/>
      <w:szCs w:val="24"/>
      <w:lang w:eastAsia="en-US"/>
    </w:rPr>
  </w:style>
  <w:style w:type="character" w:customStyle="1" w:styleId="TextKPChar">
    <w:name w:val="Text KP Char"/>
    <w:basedOn w:val="Standardnpsmoodstavce"/>
    <w:link w:val="TextKP"/>
    <w:rsid w:val="001D280A"/>
    <w:rPr>
      <w:rFonts w:asciiTheme="minorHAnsi" w:hAnsiTheme="minorHAnsi" w:cstheme="minorHAnsi"/>
      <w:sz w:val="24"/>
      <w:szCs w:val="24"/>
      <w:lang w:eastAsia="en-US"/>
    </w:rPr>
  </w:style>
  <w:style w:type="paragraph" w:styleId="Obsah9">
    <w:name w:val="toc 9"/>
    <w:basedOn w:val="Normln"/>
    <w:next w:val="Normln"/>
    <w:autoRedefine/>
    <w:uiPriority w:val="39"/>
    <w:semiHidden/>
    <w:unhideWhenUsed/>
    <w:rsid w:val="00921832"/>
    <w:pPr>
      <w:spacing w:after="100"/>
      <w:ind w:left="1920"/>
    </w:pPr>
  </w:style>
  <w:style w:type="character" w:customStyle="1" w:styleId="TextChar">
    <w:name w:val="Text Char"/>
    <w:basedOn w:val="Standardnpsmoodstavce"/>
    <w:link w:val="Text"/>
    <w:locked/>
    <w:rsid w:val="00F27CE4"/>
    <w:rPr>
      <w:rFonts w:ascii="Calibri" w:hAnsi="Calibri" w:cs="Calibri"/>
    </w:rPr>
  </w:style>
  <w:style w:type="paragraph" w:customStyle="1" w:styleId="Text">
    <w:name w:val="Text"/>
    <w:basedOn w:val="Normln"/>
    <w:link w:val="TextChar"/>
    <w:rsid w:val="00F27CE4"/>
    <w:pPr>
      <w:spacing w:before="120" w:after="120"/>
    </w:pPr>
    <w:rPr>
      <w:rFonts w:ascii="Calibri" w:hAnsi="Calibri" w:cs="Calibri"/>
      <w:sz w:val="20"/>
    </w:rPr>
  </w:style>
  <w:style w:type="table" w:styleId="Prosttabulka2">
    <w:name w:val="Plain Table 2"/>
    <w:basedOn w:val="Normlntabulka"/>
    <w:uiPriority w:val="42"/>
    <w:rsid w:val="003F073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Zdrojapozn">
    <w:name w:val="Zdroj a pozn."/>
    <w:basedOn w:val="Normln"/>
    <w:link w:val="ZdrojapoznChar"/>
    <w:qFormat/>
    <w:rsid w:val="00E06E7C"/>
    <w:pPr>
      <w:spacing w:after="120"/>
    </w:pPr>
    <w:rPr>
      <w:rFonts w:ascii="Calibri" w:hAnsi="Calibri"/>
      <w:sz w:val="20"/>
      <w:szCs w:val="24"/>
    </w:rPr>
  </w:style>
  <w:style w:type="character" w:customStyle="1" w:styleId="ZdrojapoznChar">
    <w:name w:val="Zdroj a pozn. Char"/>
    <w:basedOn w:val="Standardnpsmoodstavce"/>
    <w:link w:val="Zdrojapozn"/>
    <w:rsid w:val="00E06E7C"/>
    <w:rPr>
      <w:rFonts w:ascii="Calibri" w:hAnsi="Calibri"/>
      <w:szCs w:val="24"/>
    </w:rPr>
  </w:style>
  <w:style w:type="paragraph" w:customStyle="1" w:styleId="Zdrojeapozn">
    <w:name w:val="Zdroje a pozn."/>
    <w:basedOn w:val="Normln"/>
    <w:next w:val="Normln"/>
    <w:link w:val="ZdrojeapoznChar"/>
    <w:autoRedefine/>
    <w:qFormat/>
    <w:rsid w:val="008105E1"/>
    <w:pPr>
      <w:spacing w:after="120"/>
      <w:ind w:left="567" w:hanging="567"/>
    </w:pPr>
    <w:rPr>
      <w:rFonts w:ascii="Calibri" w:eastAsia="Calibri" w:hAnsi="Calibri" w:cs="Calibri"/>
      <w:i/>
      <w:sz w:val="20"/>
      <w:szCs w:val="22"/>
      <w:lang w:eastAsia="en-US"/>
    </w:rPr>
  </w:style>
  <w:style w:type="character" w:customStyle="1" w:styleId="ZdrojeapoznChar">
    <w:name w:val="Zdroje a pozn. Char"/>
    <w:basedOn w:val="Standardnpsmoodstavce"/>
    <w:link w:val="Zdrojeapozn"/>
    <w:rsid w:val="008105E1"/>
    <w:rPr>
      <w:rFonts w:ascii="Calibri" w:eastAsia="Calibri" w:hAnsi="Calibri" w:cs="Calibri"/>
      <w:i/>
      <w:szCs w:val="22"/>
      <w:lang w:eastAsia="en-US"/>
    </w:rPr>
  </w:style>
  <w:style w:type="table" w:styleId="Prosttabulka1">
    <w:name w:val="Plain Table 1"/>
    <w:basedOn w:val="Normlntabulka"/>
    <w:uiPriority w:val="41"/>
    <w:rsid w:val="006B7E95"/>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11">
    <w:name w:val="Prostá tabulka 11"/>
    <w:basedOn w:val="Normlntabulka"/>
    <w:next w:val="Prosttabulka1"/>
    <w:uiPriority w:val="41"/>
    <w:rsid w:val="0071736B"/>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15">
    <w:name w:val="A15"/>
    <w:rsid w:val="0041379A"/>
    <w:rPr>
      <w:color w:val="000000"/>
      <w:sz w:val="36"/>
      <w:szCs w:val="36"/>
    </w:rPr>
  </w:style>
  <w:style w:type="paragraph" w:styleId="Textvysvtlivek">
    <w:name w:val="endnote text"/>
    <w:basedOn w:val="Normln"/>
    <w:link w:val="TextvysvtlivekChar"/>
    <w:uiPriority w:val="99"/>
    <w:semiHidden/>
    <w:unhideWhenUsed/>
    <w:rsid w:val="00870F3D"/>
    <w:rPr>
      <w:sz w:val="20"/>
    </w:rPr>
  </w:style>
  <w:style w:type="character" w:customStyle="1" w:styleId="TextvysvtlivekChar">
    <w:name w:val="Text vysvětlivek Char"/>
    <w:basedOn w:val="Standardnpsmoodstavce"/>
    <w:link w:val="Textvysvtlivek"/>
    <w:uiPriority w:val="99"/>
    <w:semiHidden/>
    <w:rsid w:val="00870F3D"/>
    <w:rPr>
      <w:rFonts w:asciiTheme="minorHAnsi" w:hAnsiTheme="minorHAnsi"/>
    </w:rPr>
  </w:style>
  <w:style w:type="character" w:styleId="Odkaznavysvtlivky">
    <w:name w:val="endnote reference"/>
    <w:basedOn w:val="Standardnpsmoodstavce"/>
    <w:uiPriority w:val="99"/>
    <w:semiHidden/>
    <w:unhideWhenUsed/>
    <w:rsid w:val="00870F3D"/>
    <w:rPr>
      <w:vertAlign w:val="superscript"/>
    </w:rPr>
  </w:style>
  <w:style w:type="paragraph" w:customStyle="1" w:styleId="KP-normlntun">
    <w:name w:val="KP-normální tučně"/>
    <w:basedOn w:val="Normln"/>
    <w:qFormat/>
    <w:rsid w:val="00F81340"/>
    <w:pPr>
      <w:spacing w:after="120"/>
    </w:pPr>
    <w:rPr>
      <w:rFonts w:cstheme="minorHAnsi"/>
      <w:b/>
      <w:szCs w:val="24"/>
      <w:lang w:eastAsia="en-US"/>
    </w:rPr>
  </w:style>
  <w:style w:type="paragraph" w:customStyle="1" w:styleId="kp-normlntun0">
    <w:name w:val="kp-normlntun"/>
    <w:basedOn w:val="Normln"/>
    <w:rsid w:val="005D4660"/>
    <w:pPr>
      <w:spacing w:after="120"/>
    </w:pPr>
    <w:rPr>
      <w:rFonts w:ascii="Calibri" w:eastAsiaTheme="minorHAnsi" w:hAnsi="Calibri" w:cs="Calibri"/>
      <w:b/>
      <w:bCs/>
      <w:szCs w:val="24"/>
    </w:rPr>
  </w:style>
  <w:style w:type="paragraph" w:customStyle="1" w:styleId="KP-normlntext">
    <w:name w:val="KP-normální text"/>
    <w:basedOn w:val="Normln"/>
    <w:link w:val="KP-normlntextChar"/>
    <w:qFormat/>
    <w:rsid w:val="00F713B0"/>
    <w:pPr>
      <w:spacing w:after="120"/>
    </w:pPr>
    <w:rPr>
      <w:rFonts w:cstheme="minorHAnsi"/>
      <w:szCs w:val="24"/>
      <w:lang w:eastAsia="en-US"/>
    </w:rPr>
  </w:style>
  <w:style w:type="character" w:customStyle="1" w:styleId="KP-normlntextChar">
    <w:name w:val="KP-normální text Char"/>
    <w:link w:val="KP-normlntext"/>
    <w:rsid w:val="00F713B0"/>
    <w:rPr>
      <w:rFonts w:asciiTheme="minorHAnsi" w:hAnsiTheme="minorHAnsi" w:cstheme="minorHAnsi"/>
      <w:sz w:val="24"/>
      <w:szCs w:val="24"/>
      <w:lang w:eastAsia="en-US"/>
    </w:rPr>
  </w:style>
  <w:style w:type="character" w:customStyle="1" w:styleId="CharStyle7">
    <w:name w:val="Char Style 7"/>
    <w:basedOn w:val="Standardnpsmoodstavce"/>
    <w:link w:val="Style6"/>
    <w:locked/>
    <w:rsid w:val="00590EF1"/>
    <w:rPr>
      <w:rFonts w:ascii="Arial" w:eastAsia="Arial" w:hAnsi="Arial" w:cs="Arial"/>
      <w:sz w:val="21"/>
      <w:szCs w:val="21"/>
      <w:shd w:val="clear" w:color="auto" w:fill="FFFFFF"/>
    </w:rPr>
  </w:style>
  <w:style w:type="paragraph" w:customStyle="1" w:styleId="Style6">
    <w:name w:val="Style 6"/>
    <w:basedOn w:val="Normln"/>
    <w:link w:val="CharStyle7"/>
    <w:rsid w:val="00590EF1"/>
    <w:pPr>
      <w:widowControl w:val="0"/>
      <w:shd w:val="clear" w:color="auto" w:fill="FFFFFF"/>
      <w:spacing w:after="320" w:line="292" w:lineRule="exact"/>
      <w:ind w:hanging="420"/>
    </w:pPr>
    <w:rPr>
      <w:rFonts w:ascii="Arial" w:eastAsia="Arial" w:hAnsi="Arial" w:cs="Arial"/>
      <w:sz w:val="21"/>
      <w:szCs w:val="21"/>
    </w:rPr>
  </w:style>
  <w:style w:type="character" w:customStyle="1" w:styleId="Bodytext2Bold">
    <w:name w:val="Body text|2 + Bold"/>
    <w:basedOn w:val="Standardnpsmoodstavce"/>
    <w:rsid w:val="00B847D9"/>
    <w:rPr>
      <w:rFonts w:ascii="Arial" w:hAnsi="Arial" w:cs="Arial" w:hint="default"/>
      <w:b/>
      <w:bCs/>
      <w:i w:val="0"/>
      <w:iCs w:val="0"/>
      <w:smallCaps w:val="0"/>
      <w:strike w:val="0"/>
      <w:dstrike w:val="0"/>
      <w:color w:val="000000"/>
      <w:position w:val="0"/>
      <w:u w:val="none"/>
      <w:effect w:val="none"/>
    </w:rPr>
  </w:style>
  <w:style w:type="paragraph" w:customStyle="1" w:styleId="KP-normlnbezodsazen">
    <w:name w:val="KP-normální bez odsazení"/>
    <w:basedOn w:val="Normln"/>
    <w:qFormat/>
    <w:rsid w:val="00E92D6F"/>
    <w:rPr>
      <w:rFonts w:cstheme="minorHAnsi"/>
      <w:szCs w:val="24"/>
      <w:lang w:eastAsia="en-US"/>
    </w:rPr>
  </w:style>
  <w:style w:type="character" w:styleId="Sledovanodkaz">
    <w:name w:val="FollowedHyperlink"/>
    <w:basedOn w:val="Standardnpsmoodstavce"/>
    <w:uiPriority w:val="99"/>
    <w:semiHidden/>
    <w:unhideWhenUsed/>
    <w:rsid w:val="00AC205E"/>
    <w:rPr>
      <w:color w:val="800080" w:themeColor="followedHyperlink"/>
      <w:u w:val="single"/>
    </w:rPr>
  </w:style>
  <w:style w:type="character" w:customStyle="1" w:styleId="Nevyeenzmnka1">
    <w:name w:val="Nevyřešená zmínka1"/>
    <w:basedOn w:val="Standardnpsmoodstavce"/>
    <w:uiPriority w:val="99"/>
    <w:rsid w:val="00AD6D3F"/>
    <w:rPr>
      <w:color w:val="605E5C"/>
      <w:shd w:val="clear" w:color="auto" w:fill="E1DFDD"/>
    </w:rPr>
  </w:style>
  <w:style w:type="paragraph" w:customStyle="1" w:styleId="KP-normlnmalpsmo">
    <w:name w:val="KP-normální malé písmo"/>
    <w:basedOn w:val="Normln"/>
    <w:qFormat/>
    <w:rsid w:val="002772BE"/>
    <w:pPr>
      <w:ind w:left="1134" w:hanging="1134"/>
    </w:pPr>
    <w:rPr>
      <w:rFonts w:cstheme="minorHAnsi"/>
      <w:bCs/>
      <w:sz w:val="22"/>
      <w:szCs w:val="22"/>
      <w:lang w:eastAsia="en-US"/>
    </w:rPr>
  </w:style>
  <w:style w:type="character" w:customStyle="1" w:styleId="normaltextrun">
    <w:name w:val="normaltextrun"/>
    <w:basedOn w:val="Standardnpsmoodstavce"/>
    <w:rsid w:val="001A78F7"/>
  </w:style>
  <w:style w:type="character" w:customStyle="1" w:styleId="BezmezerChar">
    <w:name w:val="Bez mezer Char"/>
    <w:aliases w:val="Graf Char"/>
    <w:basedOn w:val="Standardnpsmoodstavce"/>
    <w:link w:val="Bezmezer"/>
    <w:uiPriority w:val="1"/>
    <w:rsid w:val="00C03405"/>
    <w:rPr>
      <w:rFonts w:asciiTheme="minorHAnsi" w:hAnsiTheme="minorHAnsi"/>
      <w:sz w:val="24"/>
      <w:szCs w:val="24"/>
      <w:lang w:eastAsia="en-US"/>
    </w:rPr>
  </w:style>
  <w:style w:type="character" w:customStyle="1" w:styleId="badge">
    <w:name w:val="badge"/>
    <w:basedOn w:val="Standardnpsmoodstavce"/>
    <w:rsid w:val="003D3F8B"/>
  </w:style>
  <w:style w:type="character" w:customStyle="1" w:styleId="status">
    <w:name w:val="status"/>
    <w:basedOn w:val="Standardnpsmoodstavce"/>
    <w:rsid w:val="003D3F8B"/>
  </w:style>
  <w:style w:type="character" w:customStyle="1" w:styleId="Styl1-aChar">
    <w:name w:val="Styl1 - a) Char"/>
    <w:basedOn w:val="Standardnpsmoodstavce"/>
    <w:link w:val="Styl1-a"/>
    <w:locked/>
    <w:rsid w:val="00D42006"/>
    <w:rPr>
      <w:rFonts w:ascii="Arial" w:hAnsi="Arial" w:cs="Arial"/>
    </w:rPr>
  </w:style>
  <w:style w:type="paragraph" w:customStyle="1" w:styleId="Styl1-a">
    <w:name w:val="Styl1 - a)"/>
    <w:basedOn w:val="Normln"/>
    <w:link w:val="Styl1-aChar"/>
    <w:qFormat/>
    <w:rsid w:val="00D42006"/>
    <w:pPr>
      <w:numPr>
        <w:numId w:val="15"/>
      </w:numPr>
      <w:overflowPunct w:val="0"/>
      <w:autoSpaceDE w:val="0"/>
      <w:autoSpaceDN w:val="0"/>
      <w:adjustRightInd w:val="0"/>
      <w:spacing w:before="120" w:after="240"/>
    </w:pPr>
    <w:rPr>
      <w:rFonts w:ascii="Arial" w:hAnsi="Arial" w:cs="Arial"/>
      <w:sz w:val="20"/>
    </w:rPr>
  </w:style>
  <w:style w:type="character" w:customStyle="1" w:styleId="KPnormlnChar">
    <w:name w:val="KP normální Char"/>
    <w:basedOn w:val="Standardnpsmoodstavce"/>
    <w:link w:val="KPnormln"/>
    <w:locked/>
    <w:rsid w:val="001856E0"/>
    <w:rPr>
      <w:rFonts w:cstheme="minorHAnsi"/>
      <w:color w:val="000000"/>
      <w:sz w:val="24"/>
    </w:rPr>
  </w:style>
  <w:style w:type="paragraph" w:customStyle="1" w:styleId="KPnormln">
    <w:name w:val="KP normální"/>
    <w:basedOn w:val="Normln"/>
    <w:link w:val="KPnormlnChar"/>
    <w:qFormat/>
    <w:rsid w:val="001856E0"/>
    <w:pPr>
      <w:spacing w:before="120" w:after="120"/>
      <w:ind w:firstLine="720"/>
    </w:pPr>
    <w:rPr>
      <w:rFonts w:ascii="Times New Roman" w:hAnsi="Times New Roman" w:cstheme="minorHAnsi"/>
      <w:color w:val="000000"/>
    </w:rPr>
  </w:style>
  <w:style w:type="character" w:customStyle="1" w:styleId="cscb8a910d">
    <w:name w:val="cscb8a910d"/>
    <w:basedOn w:val="Standardnpsmoodstavce"/>
    <w:rsid w:val="001D3ED0"/>
  </w:style>
  <w:style w:type="character" w:customStyle="1" w:styleId="cs102784">
    <w:name w:val="cs102784"/>
    <w:basedOn w:val="Standardnpsmoodstavce"/>
    <w:rsid w:val="001D3ED0"/>
  </w:style>
  <w:style w:type="numbering" w:customStyle="1" w:styleId="Styl3">
    <w:name w:val="Styl3"/>
    <w:uiPriority w:val="99"/>
    <w:rsid w:val="00CC6117"/>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5407">
      <w:bodyDiv w:val="1"/>
      <w:marLeft w:val="0"/>
      <w:marRight w:val="0"/>
      <w:marTop w:val="0"/>
      <w:marBottom w:val="0"/>
      <w:divBdr>
        <w:top w:val="none" w:sz="0" w:space="0" w:color="auto"/>
        <w:left w:val="none" w:sz="0" w:space="0" w:color="auto"/>
        <w:bottom w:val="none" w:sz="0" w:space="0" w:color="auto"/>
        <w:right w:val="none" w:sz="0" w:space="0" w:color="auto"/>
      </w:divBdr>
    </w:div>
    <w:div w:id="163133988">
      <w:bodyDiv w:val="1"/>
      <w:marLeft w:val="0"/>
      <w:marRight w:val="0"/>
      <w:marTop w:val="0"/>
      <w:marBottom w:val="0"/>
      <w:divBdr>
        <w:top w:val="none" w:sz="0" w:space="0" w:color="auto"/>
        <w:left w:val="none" w:sz="0" w:space="0" w:color="auto"/>
        <w:bottom w:val="none" w:sz="0" w:space="0" w:color="auto"/>
        <w:right w:val="none" w:sz="0" w:space="0" w:color="auto"/>
      </w:divBdr>
    </w:div>
    <w:div w:id="373578819">
      <w:bodyDiv w:val="1"/>
      <w:marLeft w:val="0"/>
      <w:marRight w:val="0"/>
      <w:marTop w:val="0"/>
      <w:marBottom w:val="0"/>
      <w:divBdr>
        <w:top w:val="none" w:sz="0" w:space="0" w:color="auto"/>
        <w:left w:val="none" w:sz="0" w:space="0" w:color="auto"/>
        <w:bottom w:val="none" w:sz="0" w:space="0" w:color="auto"/>
        <w:right w:val="none" w:sz="0" w:space="0" w:color="auto"/>
      </w:divBdr>
    </w:div>
    <w:div w:id="417598765">
      <w:bodyDiv w:val="1"/>
      <w:marLeft w:val="0"/>
      <w:marRight w:val="0"/>
      <w:marTop w:val="0"/>
      <w:marBottom w:val="0"/>
      <w:divBdr>
        <w:top w:val="none" w:sz="0" w:space="0" w:color="auto"/>
        <w:left w:val="none" w:sz="0" w:space="0" w:color="auto"/>
        <w:bottom w:val="none" w:sz="0" w:space="0" w:color="auto"/>
        <w:right w:val="none" w:sz="0" w:space="0" w:color="auto"/>
      </w:divBdr>
    </w:div>
    <w:div w:id="732856058">
      <w:bodyDiv w:val="1"/>
      <w:marLeft w:val="0"/>
      <w:marRight w:val="0"/>
      <w:marTop w:val="0"/>
      <w:marBottom w:val="0"/>
      <w:divBdr>
        <w:top w:val="none" w:sz="0" w:space="0" w:color="auto"/>
        <w:left w:val="none" w:sz="0" w:space="0" w:color="auto"/>
        <w:bottom w:val="none" w:sz="0" w:space="0" w:color="auto"/>
        <w:right w:val="none" w:sz="0" w:space="0" w:color="auto"/>
      </w:divBdr>
    </w:div>
    <w:div w:id="750154394">
      <w:bodyDiv w:val="1"/>
      <w:marLeft w:val="0"/>
      <w:marRight w:val="0"/>
      <w:marTop w:val="0"/>
      <w:marBottom w:val="0"/>
      <w:divBdr>
        <w:top w:val="none" w:sz="0" w:space="0" w:color="auto"/>
        <w:left w:val="none" w:sz="0" w:space="0" w:color="auto"/>
        <w:bottom w:val="none" w:sz="0" w:space="0" w:color="auto"/>
        <w:right w:val="none" w:sz="0" w:space="0" w:color="auto"/>
      </w:divBdr>
    </w:div>
    <w:div w:id="820386521">
      <w:bodyDiv w:val="1"/>
      <w:marLeft w:val="0"/>
      <w:marRight w:val="0"/>
      <w:marTop w:val="0"/>
      <w:marBottom w:val="0"/>
      <w:divBdr>
        <w:top w:val="none" w:sz="0" w:space="0" w:color="auto"/>
        <w:left w:val="none" w:sz="0" w:space="0" w:color="auto"/>
        <w:bottom w:val="none" w:sz="0" w:space="0" w:color="auto"/>
        <w:right w:val="none" w:sz="0" w:space="0" w:color="auto"/>
      </w:divBdr>
    </w:div>
    <w:div w:id="910426614">
      <w:bodyDiv w:val="1"/>
      <w:marLeft w:val="0"/>
      <w:marRight w:val="0"/>
      <w:marTop w:val="0"/>
      <w:marBottom w:val="0"/>
      <w:divBdr>
        <w:top w:val="none" w:sz="0" w:space="0" w:color="auto"/>
        <w:left w:val="none" w:sz="0" w:space="0" w:color="auto"/>
        <w:bottom w:val="none" w:sz="0" w:space="0" w:color="auto"/>
        <w:right w:val="none" w:sz="0" w:space="0" w:color="auto"/>
      </w:divBdr>
    </w:div>
    <w:div w:id="1203204900">
      <w:bodyDiv w:val="1"/>
      <w:marLeft w:val="0"/>
      <w:marRight w:val="0"/>
      <w:marTop w:val="0"/>
      <w:marBottom w:val="0"/>
      <w:divBdr>
        <w:top w:val="none" w:sz="0" w:space="0" w:color="auto"/>
        <w:left w:val="none" w:sz="0" w:space="0" w:color="auto"/>
        <w:bottom w:val="none" w:sz="0" w:space="0" w:color="auto"/>
        <w:right w:val="none" w:sz="0" w:space="0" w:color="auto"/>
      </w:divBdr>
    </w:div>
    <w:div w:id="1496064786">
      <w:bodyDiv w:val="1"/>
      <w:marLeft w:val="0"/>
      <w:marRight w:val="0"/>
      <w:marTop w:val="0"/>
      <w:marBottom w:val="0"/>
      <w:divBdr>
        <w:top w:val="none" w:sz="0" w:space="0" w:color="auto"/>
        <w:left w:val="none" w:sz="0" w:space="0" w:color="auto"/>
        <w:bottom w:val="none" w:sz="0" w:space="0" w:color="auto"/>
        <w:right w:val="none" w:sz="0" w:space="0" w:color="auto"/>
      </w:divBdr>
    </w:div>
    <w:div w:id="1549220653">
      <w:bodyDiv w:val="1"/>
      <w:marLeft w:val="0"/>
      <w:marRight w:val="0"/>
      <w:marTop w:val="0"/>
      <w:marBottom w:val="0"/>
      <w:divBdr>
        <w:top w:val="none" w:sz="0" w:space="0" w:color="auto"/>
        <w:left w:val="none" w:sz="0" w:space="0" w:color="auto"/>
        <w:bottom w:val="none" w:sz="0" w:space="0" w:color="auto"/>
        <w:right w:val="none" w:sz="0" w:space="0" w:color="auto"/>
      </w:divBdr>
    </w:div>
    <w:div w:id="1777094337">
      <w:bodyDiv w:val="1"/>
      <w:marLeft w:val="0"/>
      <w:marRight w:val="0"/>
      <w:marTop w:val="0"/>
      <w:marBottom w:val="0"/>
      <w:divBdr>
        <w:top w:val="none" w:sz="0" w:space="0" w:color="auto"/>
        <w:left w:val="none" w:sz="0" w:space="0" w:color="auto"/>
        <w:bottom w:val="none" w:sz="0" w:space="0" w:color="auto"/>
        <w:right w:val="none" w:sz="0" w:space="0" w:color="auto"/>
      </w:divBdr>
    </w:div>
    <w:div w:id="202200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tateofhousing.e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1\VERNEROVAH\dokumenty\KA%202227\p&#345;ehled%20v&#253;zev%202016%20-%202022-&#381;OI%202%20bod%20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F1\SYKORAP\KZ%20ke%20korektur&#225;m\2023\2023,%20IV\Opraven&#233;\KZ%2022-27,%20&#268;asov&#225;%20osa%20SFPI.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'pro graf'!$I$4</c:f>
              <c:strCache>
                <c:ptCount val="1"/>
                <c:pt idx="0">
                  <c:v>Regenerace sídlišť</c:v>
                </c:pt>
              </c:strCache>
            </c:strRef>
          </c:tx>
          <c:spPr>
            <a:ln w="63500" cap="rnd" cmpd="sng" algn="ctr">
              <a:solidFill>
                <a:schemeClr val="accent1"/>
              </a:solidFill>
              <a:round/>
            </a:ln>
            <a:effectLst/>
          </c:spPr>
          <c:marker>
            <c:symbol val="none"/>
          </c:marker>
          <c:cat>
            <c:numRef>
              <c:f>'pro graf'!$H$5:$H$16</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'pro graf'!$I$5:$I$16</c:f>
              <c:numCache>
                <c:formatCode>General</c:formatCode>
                <c:ptCount val="12"/>
                <c:pt idx="0">
                  <c:v>1</c:v>
                </c:pt>
                <c:pt idx="1">
                  <c:v>1</c:v>
                </c:pt>
                <c:pt idx="2">
                  <c:v>1</c:v>
                </c:pt>
                <c:pt idx="3">
                  <c:v>1</c:v>
                </c:pt>
                <c:pt idx="4">
                  <c:v>1</c:v>
                </c:pt>
                <c:pt idx="5">
                  <c:v>1</c:v>
                </c:pt>
                <c:pt idx="6">
                  <c:v>1</c:v>
                </c:pt>
              </c:numCache>
            </c:numRef>
          </c:val>
          <c:smooth val="0"/>
          <c:extLst>
            <c:ext xmlns:c16="http://schemas.microsoft.com/office/drawing/2014/chart" uri="{C3380CC4-5D6E-409C-BE32-E72D297353CC}">
              <c16:uniqueId val="{00000000-466C-458E-8F8A-AA8BD4116184}"/>
            </c:ext>
          </c:extLst>
        </c:ser>
        <c:ser>
          <c:idx val="1"/>
          <c:order val="1"/>
          <c:tx>
            <c:strRef>
              <c:f>'pro graf'!$J$4</c:f>
              <c:strCache>
                <c:ptCount val="1"/>
                <c:pt idx="0">
                  <c:v>Technická infrastruktura</c:v>
                </c:pt>
              </c:strCache>
            </c:strRef>
          </c:tx>
          <c:spPr>
            <a:ln w="63500" cap="rnd" cmpd="sng" algn="ctr">
              <a:solidFill>
                <a:schemeClr val="accent2"/>
              </a:solidFill>
              <a:round/>
            </a:ln>
            <a:effectLst/>
          </c:spPr>
          <c:marker>
            <c:symbol val="none"/>
          </c:marker>
          <c:cat>
            <c:numRef>
              <c:f>'pro graf'!$H$5:$H$16</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'pro graf'!$J$5:$J$16</c:f>
              <c:numCache>
                <c:formatCode>General</c:formatCode>
                <c:ptCount val="12"/>
                <c:pt idx="0">
                  <c:v>2</c:v>
                </c:pt>
                <c:pt idx="1">
                  <c:v>2</c:v>
                </c:pt>
                <c:pt idx="2">
                  <c:v>2</c:v>
                </c:pt>
                <c:pt idx="3">
                  <c:v>2</c:v>
                </c:pt>
                <c:pt idx="4">
                  <c:v>2</c:v>
                </c:pt>
                <c:pt idx="8">
                  <c:v>2</c:v>
                </c:pt>
                <c:pt idx="9">
                  <c:v>2</c:v>
                </c:pt>
                <c:pt idx="10">
                  <c:v>2</c:v>
                </c:pt>
                <c:pt idx="11">
                  <c:v>2</c:v>
                </c:pt>
              </c:numCache>
            </c:numRef>
          </c:val>
          <c:smooth val="0"/>
          <c:extLst>
            <c:ext xmlns:c16="http://schemas.microsoft.com/office/drawing/2014/chart" uri="{C3380CC4-5D6E-409C-BE32-E72D297353CC}">
              <c16:uniqueId val="{00000001-466C-458E-8F8A-AA8BD4116184}"/>
            </c:ext>
          </c:extLst>
        </c:ser>
        <c:ser>
          <c:idx val="2"/>
          <c:order val="2"/>
          <c:tx>
            <c:strRef>
              <c:f>'pro graf'!$K$4</c:f>
              <c:strCache>
                <c:ptCount val="1"/>
                <c:pt idx="0">
                  <c:v>Podporované byty</c:v>
                </c:pt>
              </c:strCache>
            </c:strRef>
          </c:tx>
          <c:spPr>
            <a:ln w="63500" cap="rnd" cmpd="sng" algn="ctr">
              <a:solidFill>
                <a:schemeClr val="accent3"/>
              </a:solidFill>
              <a:round/>
            </a:ln>
            <a:effectLst/>
          </c:spPr>
          <c:marker>
            <c:symbol val="none"/>
          </c:marker>
          <c:cat>
            <c:numRef>
              <c:f>'pro graf'!$H$5:$H$16</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'pro graf'!$K$5:$K$16</c:f>
              <c:numCache>
                <c:formatCode>General</c:formatCode>
                <c:ptCount val="12"/>
                <c:pt idx="0">
                  <c:v>3</c:v>
                </c:pt>
                <c:pt idx="1">
                  <c:v>3</c:v>
                </c:pt>
                <c:pt idx="2">
                  <c:v>3</c:v>
                </c:pt>
                <c:pt idx="3">
                  <c:v>3</c:v>
                </c:pt>
                <c:pt idx="4">
                  <c:v>3</c:v>
                </c:pt>
                <c:pt idx="5">
                  <c:v>3</c:v>
                </c:pt>
                <c:pt idx="6">
                  <c:v>3</c:v>
                </c:pt>
                <c:pt idx="7">
                  <c:v>3</c:v>
                </c:pt>
                <c:pt idx="8">
                  <c:v>3</c:v>
                </c:pt>
                <c:pt idx="9">
                  <c:v>3</c:v>
                </c:pt>
                <c:pt idx="10">
                  <c:v>3</c:v>
                </c:pt>
              </c:numCache>
            </c:numRef>
          </c:val>
          <c:smooth val="0"/>
          <c:extLst>
            <c:ext xmlns:c16="http://schemas.microsoft.com/office/drawing/2014/chart" uri="{C3380CC4-5D6E-409C-BE32-E72D297353CC}">
              <c16:uniqueId val="{00000002-466C-458E-8F8A-AA8BD4116184}"/>
            </c:ext>
          </c:extLst>
        </c:ser>
        <c:ser>
          <c:idx val="3"/>
          <c:order val="3"/>
          <c:tx>
            <c:strRef>
              <c:f>'pro graf'!$L$4</c:f>
              <c:strCache>
                <c:ptCount val="1"/>
                <c:pt idx="0">
                  <c:v>Olověné rozvody</c:v>
                </c:pt>
              </c:strCache>
            </c:strRef>
          </c:tx>
          <c:spPr>
            <a:ln w="63500" cap="rnd" cmpd="sng" algn="ctr">
              <a:solidFill>
                <a:schemeClr val="accent4"/>
              </a:solidFill>
              <a:round/>
            </a:ln>
            <a:effectLst/>
          </c:spPr>
          <c:marker>
            <c:symbol val="none"/>
          </c:marker>
          <c:cat>
            <c:numRef>
              <c:f>'pro graf'!$H$5:$H$16</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'pro graf'!$L$5:$L$16</c:f>
              <c:numCache>
                <c:formatCode>General</c:formatCode>
                <c:ptCount val="12"/>
                <c:pt idx="0">
                  <c:v>4</c:v>
                </c:pt>
                <c:pt idx="1">
                  <c:v>4</c:v>
                </c:pt>
                <c:pt idx="2">
                  <c:v>4</c:v>
                </c:pt>
                <c:pt idx="3">
                  <c:v>4</c:v>
                </c:pt>
                <c:pt idx="4">
                  <c:v>4</c:v>
                </c:pt>
                <c:pt idx="5">
                  <c:v>4</c:v>
                </c:pt>
                <c:pt idx="6">
                  <c:v>4</c:v>
                </c:pt>
              </c:numCache>
            </c:numRef>
          </c:val>
          <c:smooth val="0"/>
          <c:extLst>
            <c:ext xmlns:c16="http://schemas.microsoft.com/office/drawing/2014/chart" uri="{C3380CC4-5D6E-409C-BE32-E72D297353CC}">
              <c16:uniqueId val="{00000003-466C-458E-8F8A-AA8BD4116184}"/>
            </c:ext>
          </c:extLst>
        </c:ser>
        <c:ser>
          <c:idx val="4"/>
          <c:order val="4"/>
          <c:tx>
            <c:strRef>
              <c:f>'pro graf'!$M$4</c:f>
              <c:strCache>
                <c:ptCount val="1"/>
                <c:pt idx="0">
                  <c:v>Bytové domy bez bariér</c:v>
                </c:pt>
              </c:strCache>
            </c:strRef>
          </c:tx>
          <c:spPr>
            <a:ln w="63500" cap="rnd" cmpd="sng" algn="ctr">
              <a:solidFill>
                <a:schemeClr val="accent5"/>
              </a:solidFill>
              <a:round/>
            </a:ln>
            <a:effectLst/>
          </c:spPr>
          <c:marker>
            <c:symbol val="none"/>
          </c:marker>
          <c:cat>
            <c:numRef>
              <c:f>'pro graf'!$H$5:$H$16</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'pro graf'!$M$5:$M$16</c:f>
              <c:numCache>
                <c:formatCode>General</c:formatCode>
                <c:ptCount val="12"/>
                <c:pt idx="5">
                  <c:v>5</c:v>
                </c:pt>
                <c:pt idx="6">
                  <c:v>5</c:v>
                </c:pt>
                <c:pt idx="7">
                  <c:v>5</c:v>
                </c:pt>
                <c:pt idx="8">
                  <c:v>5</c:v>
                </c:pt>
                <c:pt idx="9">
                  <c:v>5</c:v>
                </c:pt>
                <c:pt idx="10">
                  <c:v>5</c:v>
                </c:pt>
              </c:numCache>
            </c:numRef>
          </c:val>
          <c:smooth val="0"/>
          <c:extLst>
            <c:ext xmlns:c16="http://schemas.microsoft.com/office/drawing/2014/chart" uri="{C3380CC4-5D6E-409C-BE32-E72D297353CC}">
              <c16:uniqueId val="{00000004-466C-458E-8F8A-AA8BD4116184}"/>
            </c:ext>
          </c:extLst>
        </c:ser>
        <c:ser>
          <c:idx val="5"/>
          <c:order val="5"/>
          <c:tx>
            <c:strRef>
              <c:f>'pro graf'!$N$4</c:f>
              <c:strCache>
                <c:ptCount val="1"/>
                <c:pt idx="0">
                  <c:v>SPZ byty</c:v>
                </c:pt>
              </c:strCache>
            </c:strRef>
          </c:tx>
          <c:spPr>
            <a:ln w="63500" cap="rnd" cmpd="sng" algn="ctr">
              <a:solidFill>
                <a:schemeClr val="accent6"/>
              </a:solidFill>
              <a:round/>
            </a:ln>
            <a:effectLst/>
          </c:spPr>
          <c:marker>
            <c:symbol val="none"/>
          </c:marker>
          <c:cat>
            <c:numRef>
              <c:f>'pro graf'!$H$5:$H$16</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'pro graf'!$N$5:$N$16</c:f>
              <c:numCache>
                <c:formatCode>General</c:formatCode>
                <c:ptCount val="12"/>
                <c:pt idx="7">
                  <c:v>6</c:v>
                </c:pt>
                <c:pt idx="8">
                  <c:v>6</c:v>
                </c:pt>
                <c:pt idx="9">
                  <c:v>6</c:v>
                </c:pt>
              </c:numCache>
            </c:numRef>
          </c:val>
          <c:smooth val="0"/>
          <c:extLst>
            <c:ext xmlns:c16="http://schemas.microsoft.com/office/drawing/2014/chart" uri="{C3380CC4-5D6E-409C-BE32-E72D297353CC}">
              <c16:uniqueId val="{00000005-466C-458E-8F8A-AA8BD4116184}"/>
            </c:ext>
          </c:extLst>
        </c:ser>
        <c:ser>
          <c:idx val="6"/>
          <c:order val="6"/>
          <c:tx>
            <c:strRef>
              <c:f>'pro graf'!$O$4</c:f>
              <c:strCache>
                <c:ptCount val="1"/>
                <c:pt idx="0">
                  <c:v>SPZ infrastruktura</c:v>
                </c:pt>
              </c:strCache>
            </c:strRef>
          </c:tx>
          <c:spPr>
            <a:ln w="63500" cap="rnd" cmpd="sng" algn="ctr">
              <a:solidFill>
                <a:schemeClr val="accent1">
                  <a:lumMod val="60000"/>
                </a:schemeClr>
              </a:solidFill>
              <a:round/>
            </a:ln>
            <a:effectLst/>
          </c:spPr>
          <c:marker>
            <c:symbol val="none"/>
          </c:marker>
          <c:cat>
            <c:numRef>
              <c:f>'pro graf'!$H$5:$H$16</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'pro graf'!$O$5:$O$16</c:f>
              <c:numCache>
                <c:formatCode>General</c:formatCode>
                <c:ptCount val="12"/>
                <c:pt idx="7">
                  <c:v>7</c:v>
                </c:pt>
                <c:pt idx="8">
                  <c:v>7</c:v>
                </c:pt>
                <c:pt idx="9">
                  <c:v>7</c:v>
                </c:pt>
              </c:numCache>
            </c:numRef>
          </c:val>
          <c:smooth val="0"/>
          <c:extLst>
            <c:ext xmlns:c16="http://schemas.microsoft.com/office/drawing/2014/chart" uri="{C3380CC4-5D6E-409C-BE32-E72D297353CC}">
              <c16:uniqueId val="{00000006-466C-458E-8F8A-AA8BD4116184}"/>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332445231"/>
        <c:axId val="1347163135"/>
      </c:lineChart>
      <c:catAx>
        <c:axId val="1332445231"/>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cs-CZ"/>
          </a:p>
        </c:txPr>
        <c:crossAx val="1347163135"/>
        <c:crosses val="autoZero"/>
        <c:auto val="1"/>
        <c:lblAlgn val="ctr"/>
        <c:lblOffset val="100"/>
        <c:noMultiLvlLbl val="0"/>
      </c:catAx>
      <c:valAx>
        <c:axId val="1347163135"/>
        <c:scaling>
          <c:orientation val="minMax"/>
        </c:scaling>
        <c:delete val="1"/>
        <c:axPos val="l"/>
        <c:numFmt formatCode="General" sourceLinked="1"/>
        <c:majorTickMark val="none"/>
        <c:minorTickMark val="none"/>
        <c:tickLblPos val="nextTo"/>
        <c:crossAx val="1332445231"/>
        <c:crosses val="autoZero"/>
        <c:crossBetween val="between"/>
      </c:valAx>
      <c:spPr>
        <a:noFill/>
        <a:ln>
          <a:noFill/>
        </a:ln>
        <a:effectLst/>
      </c:spPr>
    </c:plotArea>
    <c:legend>
      <c:legendPos val="b"/>
      <c:layout>
        <c:manualLayout>
          <c:xMode val="edge"/>
          <c:yMode val="edge"/>
          <c:x val="2.6928208987224173E-2"/>
          <c:y val="0.76128102333409053"/>
          <c:w val="0.94400780254844008"/>
          <c:h val="0.2143386434680224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Pro obce</c:v>
                </c:pt>
              </c:strCache>
            </c:strRef>
          </c:tx>
          <c:spPr>
            <a:ln w="63500" cap="rnd" cmpd="sng" algn="ctr">
              <a:solidFill>
                <a:srgbClr val="4F81BD"/>
              </a:solidFill>
              <a:round/>
            </a:ln>
            <a:effectLst/>
          </c:spPr>
          <c:marker>
            <c:symbol val="none"/>
          </c:marker>
          <c:cat>
            <c:numRef>
              <c:f>List1!$A$2:$A$13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List1!$B$2:$B$13</c:f>
              <c:numCache>
                <c:formatCode>General</c:formatCode>
                <c:ptCount val="12"/>
                <c:pt idx="0">
                  <c:v>1</c:v>
                </c:pt>
                <c:pt idx="1">
                  <c:v>1</c:v>
                </c:pt>
              </c:numCache>
            </c:numRef>
          </c:val>
          <c:smooth val="0"/>
          <c:extLst>
            <c:ext xmlns:c16="http://schemas.microsoft.com/office/drawing/2014/chart" uri="{C3380CC4-5D6E-409C-BE32-E72D297353CC}">
              <c16:uniqueId val="{00000000-834F-4E62-82B7-1D34481BE4F7}"/>
            </c:ext>
          </c:extLst>
        </c:ser>
        <c:ser>
          <c:idx val="1"/>
          <c:order val="1"/>
          <c:tx>
            <c:strRef>
              <c:f>List1!$C$1</c:f>
              <c:strCache>
                <c:ptCount val="1"/>
                <c:pt idx="0">
                  <c:v>150</c:v>
                </c:pt>
              </c:strCache>
            </c:strRef>
          </c:tx>
          <c:spPr>
            <a:ln w="63500" cap="rnd" cmpd="sng" algn="ctr">
              <a:solidFill>
                <a:srgbClr val="C0504D"/>
              </a:solidFill>
              <a:round/>
            </a:ln>
            <a:effectLst/>
          </c:spPr>
          <c:marker>
            <c:symbol val="none"/>
          </c:marker>
          <c:cat>
            <c:numRef>
              <c:f>List1!$A$2:$A$13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List1!$C$2:$C$13</c:f>
              <c:numCache>
                <c:formatCode>General</c:formatCode>
                <c:ptCount val="12"/>
                <c:pt idx="0">
                  <c:v>2</c:v>
                </c:pt>
                <c:pt idx="1">
                  <c:v>2</c:v>
                </c:pt>
                <c:pt idx="2">
                  <c:v>2</c:v>
                </c:pt>
                <c:pt idx="3">
                  <c:v>2</c:v>
                </c:pt>
                <c:pt idx="4">
                  <c:v>2</c:v>
                </c:pt>
                <c:pt idx="5">
                  <c:v>2</c:v>
                </c:pt>
                <c:pt idx="6">
                  <c:v>2</c:v>
                </c:pt>
                <c:pt idx="7">
                  <c:v>2</c:v>
                </c:pt>
              </c:numCache>
            </c:numRef>
          </c:val>
          <c:smooth val="0"/>
          <c:extLst>
            <c:ext xmlns:c16="http://schemas.microsoft.com/office/drawing/2014/chart" uri="{C3380CC4-5D6E-409C-BE32-E72D297353CC}">
              <c16:uniqueId val="{00000001-834F-4E62-82B7-1D34481BE4F7}"/>
            </c:ext>
          </c:extLst>
        </c:ser>
        <c:ser>
          <c:idx val="2"/>
          <c:order val="2"/>
          <c:tx>
            <c:strRef>
              <c:f>List1!$D$1</c:f>
              <c:strCache>
                <c:ptCount val="1"/>
                <c:pt idx="0">
                  <c:v>600</c:v>
                </c:pt>
              </c:strCache>
            </c:strRef>
          </c:tx>
          <c:spPr>
            <a:ln w="63500" cap="rnd" cmpd="sng" algn="ctr">
              <a:solidFill>
                <a:srgbClr val="9BBB59"/>
              </a:solidFill>
              <a:round/>
            </a:ln>
            <a:effectLst/>
          </c:spPr>
          <c:marker>
            <c:symbol val="none"/>
          </c:marker>
          <c:cat>
            <c:numRef>
              <c:f>List1!$A$2:$A$13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List1!$D$2:$D$13</c:f>
              <c:numCache>
                <c:formatCode>General</c:formatCode>
                <c:ptCount val="12"/>
                <c:pt idx="5">
                  <c:v>3</c:v>
                </c:pt>
                <c:pt idx="6">
                  <c:v>3</c:v>
                </c:pt>
                <c:pt idx="7">
                  <c:v>3</c:v>
                </c:pt>
              </c:numCache>
            </c:numRef>
          </c:val>
          <c:smooth val="0"/>
          <c:extLst>
            <c:ext xmlns:c16="http://schemas.microsoft.com/office/drawing/2014/chart" uri="{C3380CC4-5D6E-409C-BE32-E72D297353CC}">
              <c16:uniqueId val="{00000002-834F-4E62-82B7-1D34481BE4F7}"/>
            </c:ext>
          </c:extLst>
        </c:ser>
        <c:ser>
          <c:idx val="3"/>
          <c:order val="3"/>
          <c:tx>
            <c:strRef>
              <c:f>List1!$E$1</c:f>
              <c:strCache>
                <c:ptCount val="1"/>
                <c:pt idx="0">
                  <c:v>Panel 2013+</c:v>
                </c:pt>
              </c:strCache>
            </c:strRef>
          </c:tx>
          <c:spPr>
            <a:ln w="63500" cap="rnd" cmpd="sng" algn="ctr">
              <a:solidFill>
                <a:srgbClr val="8064A2"/>
              </a:solidFill>
              <a:round/>
            </a:ln>
            <a:effectLst/>
          </c:spPr>
          <c:marker>
            <c:symbol val="none"/>
          </c:marker>
          <c:cat>
            <c:numRef>
              <c:f>List1!$A$2:$A$13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List1!$E$2:$E$13</c:f>
              <c:numCache>
                <c:formatCode>General</c:formatCode>
                <c:ptCount val="12"/>
                <c:pt idx="2">
                  <c:v>4</c:v>
                </c:pt>
                <c:pt idx="3">
                  <c:v>4</c:v>
                </c:pt>
                <c:pt idx="4">
                  <c:v>4</c:v>
                </c:pt>
                <c:pt idx="5">
                  <c:v>4</c:v>
                </c:pt>
                <c:pt idx="6">
                  <c:v>4</c:v>
                </c:pt>
                <c:pt idx="7">
                  <c:v>4</c:v>
                </c:pt>
                <c:pt idx="8">
                  <c:v>4</c:v>
                </c:pt>
                <c:pt idx="9">
                  <c:v>4</c:v>
                </c:pt>
                <c:pt idx="10">
                  <c:v>4</c:v>
                </c:pt>
                <c:pt idx="11">
                  <c:v>4</c:v>
                </c:pt>
              </c:numCache>
            </c:numRef>
          </c:val>
          <c:smooth val="0"/>
          <c:extLst>
            <c:ext xmlns:c16="http://schemas.microsoft.com/office/drawing/2014/chart" uri="{C3380CC4-5D6E-409C-BE32-E72D297353CC}">
              <c16:uniqueId val="{00000003-834F-4E62-82B7-1D34481BE4F7}"/>
            </c:ext>
          </c:extLst>
        </c:ser>
        <c:ser>
          <c:idx val="4"/>
          <c:order val="4"/>
          <c:tx>
            <c:strRef>
              <c:f>List1!$F$1</c:f>
              <c:strCache>
                <c:ptCount val="1"/>
                <c:pt idx="0">
                  <c:v>Nájemní byty</c:v>
                </c:pt>
              </c:strCache>
            </c:strRef>
          </c:tx>
          <c:spPr>
            <a:ln w="63500" cap="rnd" cmpd="sng" algn="ctr">
              <a:solidFill>
                <a:srgbClr val="4BACC6"/>
              </a:solidFill>
              <a:round/>
            </a:ln>
            <a:effectLst/>
          </c:spPr>
          <c:marker>
            <c:symbol val="none"/>
          </c:marker>
          <c:cat>
            <c:numRef>
              <c:f>List1!$A$2:$A$13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List1!$F$2:$F$13</c:f>
              <c:numCache>
                <c:formatCode>General</c:formatCode>
                <c:ptCount val="12"/>
                <c:pt idx="0">
                  <c:v>5</c:v>
                </c:pt>
                <c:pt idx="1">
                  <c:v>5</c:v>
                </c:pt>
                <c:pt idx="2">
                  <c:v>5</c:v>
                </c:pt>
                <c:pt idx="3">
                  <c:v>5</c:v>
                </c:pt>
                <c:pt idx="4">
                  <c:v>5</c:v>
                </c:pt>
                <c:pt idx="5">
                  <c:v>5</c:v>
                </c:pt>
                <c:pt idx="6">
                  <c:v>5</c:v>
                </c:pt>
                <c:pt idx="7">
                  <c:v>5</c:v>
                </c:pt>
                <c:pt idx="8">
                  <c:v>5</c:v>
                </c:pt>
                <c:pt idx="9">
                  <c:v>5</c:v>
                </c:pt>
                <c:pt idx="10">
                  <c:v>5</c:v>
                </c:pt>
                <c:pt idx="11">
                  <c:v>5</c:v>
                </c:pt>
              </c:numCache>
            </c:numRef>
          </c:val>
          <c:smooth val="0"/>
          <c:extLst>
            <c:ext xmlns:c16="http://schemas.microsoft.com/office/drawing/2014/chart" uri="{C3380CC4-5D6E-409C-BE32-E72D297353CC}">
              <c16:uniqueId val="{00000004-834F-4E62-82B7-1D34481BE4F7}"/>
            </c:ext>
          </c:extLst>
        </c:ser>
        <c:ser>
          <c:idx val="5"/>
          <c:order val="5"/>
          <c:tx>
            <c:strRef>
              <c:f>List1!$G$1</c:f>
              <c:strCache>
                <c:ptCount val="1"/>
                <c:pt idx="0">
                  <c:v>Vlastní bydlení</c:v>
                </c:pt>
              </c:strCache>
            </c:strRef>
          </c:tx>
          <c:spPr>
            <a:ln w="63500" cap="rnd" cmpd="sng" algn="ctr">
              <a:solidFill>
                <a:srgbClr val="F79646"/>
              </a:solidFill>
              <a:round/>
            </a:ln>
            <a:effectLst/>
          </c:spPr>
          <c:marker>
            <c:symbol val="none"/>
          </c:marker>
          <c:cat>
            <c:numRef>
              <c:f>List1!$A$2:$A$13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List1!$G$2:$G$13</c:f>
              <c:numCache>
                <c:formatCode>General</c:formatCode>
                <c:ptCount val="12"/>
                <c:pt idx="7">
                  <c:v>6</c:v>
                </c:pt>
                <c:pt idx="8">
                  <c:v>6</c:v>
                </c:pt>
                <c:pt idx="9">
                  <c:v>6</c:v>
                </c:pt>
                <c:pt idx="10">
                  <c:v>6</c:v>
                </c:pt>
                <c:pt idx="11">
                  <c:v>6</c:v>
                </c:pt>
              </c:numCache>
            </c:numRef>
          </c:val>
          <c:smooth val="0"/>
          <c:extLst>
            <c:ext xmlns:c16="http://schemas.microsoft.com/office/drawing/2014/chart" uri="{C3380CC4-5D6E-409C-BE32-E72D297353CC}">
              <c16:uniqueId val="{00000005-834F-4E62-82B7-1D34481BE4F7}"/>
            </c:ext>
          </c:extLst>
        </c:ser>
        <c:ser>
          <c:idx val="6"/>
          <c:order val="6"/>
          <c:tx>
            <c:strRef>
              <c:f>List1!$H$1</c:f>
              <c:strCache>
                <c:ptCount val="1"/>
                <c:pt idx="0">
                  <c:v>Zateplování</c:v>
                </c:pt>
              </c:strCache>
            </c:strRef>
          </c:tx>
          <c:spPr>
            <a:ln w="63500" cap="rnd" cmpd="sng" algn="ctr">
              <a:solidFill>
                <a:srgbClr val="2C4D75"/>
              </a:solidFill>
              <a:round/>
            </a:ln>
            <a:effectLst/>
          </c:spPr>
          <c:marker>
            <c:symbol val="none"/>
          </c:marker>
          <c:cat>
            <c:numRef>
              <c:f>List1!$A$2:$A$13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List1!$H$2:$H$13</c:f>
              <c:numCache>
                <c:formatCode>General</c:formatCode>
                <c:ptCount val="12"/>
                <c:pt idx="9">
                  <c:v>7</c:v>
                </c:pt>
                <c:pt idx="10">
                  <c:v>7</c:v>
                </c:pt>
                <c:pt idx="11">
                  <c:v>7</c:v>
                </c:pt>
              </c:numCache>
            </c:numRef>
          </c:val>
          <c:smooth val="0"/>
          <c:extLst>
            <c:ext xmlns:c16="http://schemas.microsoft.com/office/drawing/2014/chart" uri="{C3380CC4-5D6E-409C-BE32-E72D297353CC}">
              <c16:uniqueId val="{00000006-834F-4E62-82B7-1D34481BE4F7}"/>
            </c:ext>
          </c:extLst>
        </c:ser>
        <c:ser>
          <c:idx val="7"/>
          <c:order val="7"/>
          <c:tx>
            <c:strRef>
              <c:f>List1!$I$1</c:f>
              <c:strCache>
                <c:ptCount val="1"/>
                <c:pt idx="0">
                  <c:v>Výstavba pro obce</c:v>
                </c:pt>
              </c:strCache>
            </c:strRef>
          </c:tx>
          <c:spPr>
            <a:ln w="63500" cap="rnd" cmpd="sng" algn="ctr">
              <a:solidFill>
                <a:srgbClr val="772C2A"/>
              </a:solidFill>
              <a:round/>
            </a:ln>
            <a:effectLst/>
          </c:spPr>
          <c:marker>
            <c:symbol val="none"/>
          </c:marker>
          <c:cat>
            <c:numRef>
              <c:f>List1!$A$2:$A$13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List1!$I$2:$I$13</c:f>
              <c:numCache>
                <c:formatCode>General</c:formatCode>
                <c:ptCount val="12"/>
                <c:pt idx="8">
                  <c:v>8</c:v>
                </c:pt>
                <c:pt idx="9">
                  <c:v>8</c:v>
                </c:pt>
                <c:pt idx="10">
                  <c:v>8</c:v>
                </c:pt>
                <c:pt idx="11">
                  <c:v>8</c:v>
                </c:pt>
              </c:numCache>
            </c:numRef>
          </c:val>
          <c:smooth val="0"/>
          <c:extLst>
            <c:ext xmlns:c16="http://schemas.microsoft.com/office/drawing/2014/chart" uri="{C3380CC4-5D6E-409C-BE32-E72D297353CC}">
              <c16:uniqueId val="{00000007-834F-4E62-82B7-1D34481BE4F7}"/>
            </c:ext>
          </c:extLst>
        </c:ser>
        <c:ser>
          <c:idx val="8"/>
          <c:order val="8"/>
          <c:tx>
            <c:strRef>
              <c:f>List1!$J$1</c:f>
              <c:strCache>
                <c:ptCount val="1"/>
                <c:pt idx="0">
                  <c:v>Regenerace sídlišť</c:v>
                </c:pt>
              </c:strCache>
            </c:strRef>
          </c:tx>
          <c:spPr>
            <a:ln w="63500" cap="rnd" cmpd="sng" algn="ctr">
              <a:solidFill>
                <a:srgbClr val="5F7530"/>
              </a:solidFill>
              <a:round/>
            </a:ln>
            <a:effectLst/>
          </c:spPr>
          <c:marker>
            <c:symbol val="none"/>
          </c:marker>
          <c:cat>
            <c:numRef>
              <c:f>List1!$A$2:$A$13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List1!$J$2:$J$13</c:f>
              <c:numCache>
                <c:formatCode>General</c:formatCode>
                <c:ptCount val="12"/>
                <c:pt idx="7">
                  <c:v>9</c:v>
                </c:pt>
                <c:pt idx="8">
                  <c:v>9</c:v>
                </c:pt>
                <c:pt idx="9">
                  <c:v>9</c:v>
                </c:pt>
                <c:pt idx="10">
                  <c:v>9</c:v>
                </c:pt>
                <c:pt idx="11">
                  <c:v>9</c:v>
                </c:pt>
              </c:numCache>
            </c:numRef>
          </c:val>
          <c:smooth val="0"/>
          <c:extLst>
            <c:ext xmlns:c16="http://schemas.microsoft.com/office/drawing/2014/chart" uri="{C3380CC4-5D6E-409C-BE32-E72D297353CC}">
              <c16:uniqueId val="{00000008-834F-4E62-82B7-1D34481BE4F7}"/>
            </c:ext>
          </c:extLst>
        </c:ser>
        <c:ser>
          <c:idx val="9"/>
          <c:order val="9"/>
          <c:tx>
            <c:strRef>
              <c:f>List1!$K$1</c:f>
              <c:strCache>
                <c:ptCount val="1"/>
                <c:pt idx="0">
                  <c:v>Živel</c:v>
                </c:pt>
              </c:strCache>
            </c:strRef>
          </c:tx>
          <c:spPr>
            <a:ln w="63500" cap="rnd" cmpd="sng" algn="ctr">
              <a:solidFill>
                <a:srgbClr val="4D3B62"/>
              </a:solidFill>
              <a:round/>
            </a:ln>
            <a:effectLst/>
          </c:spPr>
          <c:marker>
            <c:symbol val="none"/>
          </c:marker>
          <c:cat>
            <c:numRef>
              <c:f>List1!$A$2:$A$13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List1!$K$2:$K$13</c:f>
              <c:numCache>
                <c:formatCode>General</c:formatCode>
                <c:ptCount val="12"/>
                <c:pt idx="10">
                  <c:v>10</c:v>
                </c:pt>
                <c:pt idx="11">
                  <c:v>10</c:v>
                </c:pt>
              </c:numCache>
            </c:numRef>
          </c:val>
          <c:smooth val="0"/>
          <c:extLst>
            <c:ext xmlns:c16="http://schemas.microsoft.com/office/drawing/2014/chart" uri="{C3380CC4-5D6E-409C-BE32-E72D297353CC}">
              <c16:uniqueId val="{00000009-834F-4E62-82B7-1D34481BE4F7}"/>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627469792"/>
        <c:axId val="525901408"/>
      </c:lineChart>
      <c:catAx>
        <c:axId val="6274697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cs-CZ"/>
          </a:p>
        </c:txPr>
        <c:crossAx val="525901408"/>
        <c:crosses val="autoZero"/>
        <c:auto val="1"/>
        <c:lblAlgn val="ctr"/>
        <c:lblOffset val="100"/>
        <c:noMultiLvlLbl val="0"/>
      </c:catAx>
      <c:valAx>
        <c:axId val="525901408"/>
        <c:scaling>
          <c:orientation val="minMax"/>
        </c:scaling>
        <c:delete val="1"/>
        <c:axPos val="l"/>
        <c:numFmt formatCode="General" sourceLinked="1"/>
        <c:majorTickMark val="none"/>
        <c:minorTickMark val="none"/>
        <c:tickLblPos val="nextTo"/>
        <c:crossAx val="627469792"/>
        <c:crosses val="autoZero"/>
        <c:crossBetween val="between"/>
      </c:valAx>
      <c:spPr>
        <a:noFill/>
        <a:ln>
          <a:noFill/>
        </a:ln>
        <a:effectLst/>
      </c:spPr>
    </c:plotArea>
    <c:legend>
      <c:legendPos val="b"/>
      <c:layout>
        <c:manualLayout>
          <c:xMode val="edge"/>
          <c:yMode val="edge"/>
          <c:x val="6.7568984432501492E-2"/>
          <c:y val="0.75327039617430025"/>
          <c:w val="0.85824827452124042"/>
          <c:h val="0.21531599126025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C62DFC7C7CDB84EA46D89F4682317BC" ma:contentTypeVersion="0" ma:contentTypeDescription="Vytvoří nový dokument" ma:contentTypeScope="" ma:versionID="9c55a7eae029b6200cc1b60c92a2a495">
  <xsd:schema xmlns:xsd="http://www.w3.org/2001/XMLSchema" xmlns:xs="http://www.w3.org/2001/XMLSchema" xmlns:p="http://schemas.microsoft.com/office/2006/metadata/properties" targetNamespace="http://schemas.microsoft.com/office/2006/metadata/properties" ma:root="true" ma:fieldsID="c2e859ab3f162ac39b5a50c9082783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86D2D-E3EE-4292-AD7E-3A26B8A0022F}">
  <ds:schemaRefs>
    <ds:schemaRef ds:uri="http://schemas.microsoft.com/sharepoint/v3/contenttype/forms"/>
  </ds:schemaRefs>
</ds:datastoreItem>
</file>

<file path=customXml/itemProps2.xml><?xml version="1.0" encoding="utf-8"?>
<ds:datastoreItem xmlns:ds="http://schemas.openxmlformats.org/officeDocument/2006/customXml" ds:itemID="{3EC167C8-2C01-4ECC-9A5D-5D9CA6877A28}">
  <ds:schemaRef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8717097-E66F-4455-9FCB-C5213E391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F57FB9-B4E5-4DB6-915A-278F181D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9033</Words>
  <Characters>53353</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Kontrolní závěr z kontrolní akce NKÚ č. 22/27 - Peněžní prostředky státu určené na podporu bydlení</vt:lpstr>
    </vt:vector>
  </TitlesOfParts>
  <Company>NKU</Company>
  <LinksUpToDate>false</LinksUpToDate>
  <CharactersWithSpaces>62262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22/27 - Peněžní prostředky státu určené na podporu bydlení</dc:title>
  <dc:subject>Kontrolní závěr z kontrolní akce NKÚ č. 22/27 - Peněžní prostředky státu určené na podporu bydlení</dc:subject>
  <dc:creator>nku@NKU.cz</dc:creator>
  <cp:keywords>kontrolní závěr; bydlení; podpora bydlení</cp:keywords>
  <cp:lastModifiedBy>KOKRDA Daniel</cp:lastModifiedBy>
  <cp:revision>3</cp:revision>
  <cp:lastPrinted>2023-12-08T06:45:00Z</cp:lastPrinted>
  <dcterms:created xsi:type="dcterms:W3CDTF">2023-12-08T06:44:00Z</dcterms:created>
  <dcterms:modified xsi:type="dcterms:W3CDTF">2023-12-08T06:47:00Z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22/27-NKU30/839/23</vt:lpwstr>
  </property>
  <property fmtid="{D5CDD505-2E9C-101B-9397-08002B2CF9AE}" pid="5" name="CJ_PostaDoruc_PisemnostOdpovedNa_Pisemnost">
    <vt:lpwstr>XXX-XXX-XXX</vt:lpwstr>
  </property>
  <property fmtid="{D5CDD505-2E9C-101B-9397-08002B2CF9AE}" pid="6" name="CJ_Spis_Pisemnost">
    <vt:lpwstr>510/187/21</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0x010100AC62DFC7C7CDB84EA46D89F4682317BC</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4.10.2023</vt:lpwstr>
  </property>
  <property fmtid="{D5CDD505-2E9C-101B-9397-08002B2CF9AE}" pid="13" name="DisplayName_CisloObalky_PostaOdes">
    <vt:lpwstr>ČÍSLO OBÁLKY</vt:lpwstr>
  </property>
  <property fmtid="{D5CDD505-2E9C-101B-9397-08002B2CF9AE}" pid="14" name="DisplayName_CJCol">
    <vt:lpwstr>&lt;TABLE&gt;&lt;TR&gt;&lt;TD&gt;Č.j.:&lt;/TD&gt;&lt;TD&gt;22/27-NKU30/839/23&lt;/TD&gt;&lt;/TR&gt;&lt;TR&gt;&lt;TD&gt;&lt;/TD&gt;&lt;TD&gt;&lt;/TD&gt;&lt;/TR&gt;&lt;/TABLE&gt;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Členové Úřadu</vt:lpwstr>
  </property>
  <property fmtid="{D5CDD505-2E9C-101B-9397-08002B2CF9AE}" pid="17" name="DisplayName_UserPoriz_Pisemnost">
    <vt:lpwstr>Bc. Monika Hoffmannová, DiS.</vt:lpwstr>
  </property>
  <property fmtid="{D5CDD505-2E9C-101B-9397-08002B2CF9AE}" pid="18" name="DuvodZmeny_SlozkaStupenUtajeniCollection_Slozka_Pisemnost">
    <vt:lpwstr/>
  </property>
  <property fmtid="{D5CDD505-2E9C-101B-9397-08002B2CF9AE}" pid="19" name="EC_Pisemnost">
    <vt:lpwstr>23-12923/NKU</vt:lpwstr>
  </property>
  <property fmtid="{D5CDD505-2E9C-101B-9397-08002B2CF9AE}" pid="20" name="Key_BarCode_Pisemnost">
    <vt:lpwstr>*B000456691*</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23-12923/NKU</vt:lpwstr>
  </property>
  <property fmtid="{D5CDD505-2E9C-101B-9397-08002B2CF9AE}" pid="34" name="RC">
    <vt:lpwstr/>
  </property>
  <property fmtid="{D5CDD505-2E9C-101B-9397-08002B2CF9AE}" pid="35" name="SkartacniZnakLhuta_PisemnostZnak">
    <vt:lpwstr>?/?</vt:lpwstr>
  </property>
  <property fmtid="{D5CDD505-2E9C-101B-9397-08002B2CF9AE}" pid="36" name="SmlouvaCislo">
    <vt:lpwstr>ČÍSLO SMLOUVY</vt:lpwstr>
  </property>
  <property fmtid="{D5CDD505-2E9C-101B-9397-08002B2CF9AE}" pid="37" name="SZ_Spis_Pisemnost">
    <vt:lpwstr>22/27</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Návrh kontrolního závěru z KA č. 22/27 do PŘ </vt:lpwstr>
  </property>
  <property fmtid="{D5CDD505-2E9C-101B-9397-08002B2CF9AE}" pid="42" name="Zkratka_SpisovyUzel_PoziceZodpo_Pisemnost">
    <vt:lpwstr>30</vt:lpwstr>
  </property>
</Properties>
</file>