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42DF" w14:textId="77777777" w:rsidR="008E6616" w:rsidRPr="009A0492" w:rsidRDefault="008E6616" w:rsidP="000A6177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9A0492"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B8A45A1" wp14:editId="0B8A45A2">
            <wp:simplePos x="0" y="0"/>
            <wp:positionH relativeFrom="margin">
              <wp:posOffset>2555240</wp:posOffset>
            </wp:positionH>
            <wp:positionV relativeFrom="paragraph">
              <wp:posOffset>142875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A42E0" w14:textId="77777777" w:rsidR="008E6616" w:rsidRDefault="008E6616" w:rsidP="000A6177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0B8A42E1" w14:textId="77777777" w:rsidR="00B949D5" w:rsidRPr="009A0492" w:rsidRDefault="00B949D5" w:rsidP="000A6177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0B8A42E2" w14:textId="77777777" w:rsidR="008E6616" w:rsidRPr="008E6616" w:rsidRDefault="008E6616" w:rsidP="000A6177">
      <w:pPr>
        <w:pStyle w:val="Nzev"/>
        <w:spacing w:line="280" w:lineRule="atLeast"/>
        <w:outlineLvl w:val="0"/>
        <w:rPr>
          <w:rFonts w:asciiTheme="minorHAnsi" w:hAnsiTheme="minorHAnsi" w:cstheme="minorHAnsi"/>
          <w:sz w:val="28"/>
          <w:szCs w:val="28"/>
        </w:rPr>
      </w:pPr>
      <w:r w:rsidRPr="008E6616">
        <w:rPr>
          <w:rFonts w:asciiTheme="minorHAnsi" w:hAnsiTheme="minorHAnsi" w:cstheme="minorHAnsi"/>
          <w:sz w:val="28"/>
          <w:szCs w:val="28"/>
        </w:rPr>
        <w:t>Kontrolní závěr z kontrolní akce</w:t>
      </w:r>
    </w:p>
    <w:p w14:paraId="0B8A42E3" w14:textId="77777777" w:rsidR="008E6616" w:rsidRPr="009A0492" w:rsidRDefault="008E6616" w:rsidP="000A6177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0B8A42E4" w14:textId="042B8D73" w:rsidR="008E6616" w:rsidRPr="008E6616" w:rsidRDefault="00C14910" w:rsidP="000A6177">
      <w:pPr>
        <w:spacing w:after="0" w:line="280" w:lineRule="atLeast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20/20</w:t>
      </w:r>
    </w:p>
    <w:p w14:paraId="0B8A42E5" w14:textId="77777777" w:rsidR="008E6616" w:rsidRPr="009A0492" w:rsidRDefault="008E6616" w:rsidP="000A6177">
      <w:pPr>
        <w:pStyle w:val="Nzev"/>
        <w:spacing w:line="280" w:lineRule="atLeast"/>
        <w:outlineLvl w:val="0"/>
        <w:rPr>
          <w:rFonts w:asciiTheme="minorHAnsi" w:hAnsiTheme="minorHAnsi" w:cstheme="minorHAnsi"/>
          <w:szCs w:val="22"/>
        </w:rPr>
      </w:pPr>
    </w:p>
    <w:p w14:paraId="0B8A42E7" w14:textId="7B46D962" w:rsidR="008E6616" w:rsidRDefault="00C14910" w:rsidP="000A6177">
      <w:pPr>
        <w:tabs>
          <w:tab w:val="left" w:pos="7988"/>
        </w:tabs>
        <w:spacing w:after="0" w:line="280" w:lineRule="atLeast"/>
        <w:jc w:val="center"/>
        <w:rPr>
          <w:rFonts w:ascii="Calibri" w:hAnsi="Calibri" w:cs="Calibri"/>
          <w:sz w:val="24"/>
          <w:szCs w:val="24"/>
          <w:highlight w:val="yellow"/>
        </w:rPr>
      </w:pPr>
      <w:r w:rsidRPr="00C14910">
        <w:rPr>
          <w:rFonts w:cstheme="minorHAnsi"/>
          <w:b/>
          <w:sz w:val="28"/>
          <w:szCs w:val="28"/>
        </w:rPr>
        <w:t xml:space="preserve">Peněžní prostředky operačního programu </w:t>
      </w:r>
      <w:r w:rsidRPr="00AE3DE0">
        <w:rPr>
          <w:rFonts w:cstheme="minorHAnsi"/>
          <w:b/>
          <w:i/>
          <w:sz w:val="28"/>
          <w:szCs w:val="28"/>
        </w:rPr>
        <w:t>Podnikání a inovace pro konkurenceschopnost</w:t>
      </w:r>
      <w:r w:rsidRPr="00C14910">
        <w:rPr>
          <w:rFonts w:cstheme="minorHAnsi"/>
          <w:b/>
          <w:sz w:val="28"/>
          <w:szCs w:val="28"/>
        </w:rPr>
        <w:t xml:space="preserve"> poskytované malým a středním podnikatelům na poradenství, marketing a vzdělávání a</w:t>
      </w:r>
      <w:r w:rsidR="00F47536">
        <w:rPr>
          <w:rFonts w:cstheme="minorHAnsi"/>
          <w:b/>
          <w:sz w:val="28"/>
          <w:szCs w:val="28"/>
        </w:rPr>
        <w:t xml:space="preserve"> v souvislosti s nákazou Covid </w:t>
      </w:r>
      <w:r w:rsidRPr="00C14910">
        <w:rPr>
          <w:rFonts w:cstheme="minorHAnsi"/>
          <w:b/>
          <w:sz w:val="28"/>
          <w:szCs w:val="28"/>
        </w:rPr>
        <w:t>19</w:t>
      </w:r>
    </w:p>
    <w:p w14:paraId="0B8A42E8" w14:textId="77777777" w:rsidR="009A0492" w:rsidRPr="008E6616" w:rsidRDefault="009A0492" w:rsidP="000A6177">
      <w:pPr>
        <w:tabs>
          <w:tab w:val="left" w:pos="7988"/>
        </w:tabs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E9" w14:textId="40395FE5" w:rsidR="008E6616" w:rsidRPr="008A1F80" w:rsidRDefault="008E6616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Kontrolní akce byla zařazena do plánu kontrolní činnosti Nejvyššího kontrolního úřa</w:t>
      </w:r>
      <w:r w:rsidR="00C14910">
        <w:rPr>
          <w:rFonts w:ascii="Calibri" w:hAnsi="Calibri" w:cs="Calibri"/>
          <w:sz w:val="24"/>
          <w:szCs w:val="24"/>
        </w:rPr>
        <w:t>du (dále také „NKÚ“) na rok 2020</w:t>
      </w:r>
      <w:r w:rsidRPr="008A1F80">
        <w:rPr>
          <w:rFonts w:ascii="Calibri" w:hAnsi="Calibri" w:cs="Calibri"/>
          <w:sz w:val="24"/>
          <w:szCs w:val="24"/>
        </w:rPr>
        <w:t xml:space="preserve"> pod číslem </w:t>
      </w:r>
      <w:r w:rsidR="00C14910">
        <w:rPr>
          <w:rFonts w:ascii="Calibri" w:hAnsi="Calibri" w:cs="Calibri"/>
          <w:sz w:val="24"/>
          <w:szCs w:val="24"/>
        </w:rPr>
        <w:t>20/20. Kontrolní akci řídil a kontrolní závěr vypracoval člen</w:t>
      </w:r>
      <w:r w:rsidRPr="008A1F80">
        <w:rPr>
          <w:rFonts w:ascii="Calibri" w:hAnsi="Calibri" w:cs="Calibri"/>
          <w:sz w:val="24"/>
          <w:szCs w:val="24"/>
        </w:rPr>
        <w:t xml:space="preserve"> NKÚ Ing. </w:t>
      </w:r>
      <w:r w:rsidR="00C14910">
        <w:rPr>
          <w:rFonts w:ascii="Calibri" w:hAnsi="Calibri" w:cs="Calibri"/>
          <w:sz w:val="24"/>
          <w:szCs w:val="24"/>
        </w:rPr>
        <w:t>Pavel Hrnčíř.</w:t>
      </w:r>
    </w:p>
    <w:p w14:paraId="0B8A42EA" w14:textId="77777777" w:rsidR="008E6616" w:rsidRPr="008E6616" w:rsidRDefault="008E6616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EB" w14:textId="27BC2E17" w:rsidR="008E6616" w:rsidRDefault="008E6616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 xml:space="preserve">Cílem kontroly bylo </w:t>
      </w:r>
      <w:bookmarkStart w:id="1" w:name="_Toc506383339"/>
      <w:bookmarkStart w:id="2" w:name="_Toc256000068"/>
      <w:bookmarkStart w:id="3" w:name="_Toc256000035"/>
      <w:bookmarkStart w:id="4" w:name="_Toc256000002"/>
      <w:r w:rsidRPr="008A1F80">
        <w:rPr>
          <w:rFonts w:ascii="Calibri" w:hAnsi="Calibri" w:cs="Calibri"/>
          <w:sz w:val="24"/>
          <w:szCs w:val="24"/>
        </w:rPr>
        <w:t>prověřit</w:t>
      </w:r>
      <w:r w:rsidR="00C14910">
        <w:rPr>
          <w:rFonts w:ascii="Calibri" w:hAnsi="Calibri" w:cs="Calibri"/>
          <w:sz w:val="24"/>
          <w:szCs w:val="24"/>
        </w:rPr>
        <w:t>, zda poskytování a užití peněžních prostředků určených malým a</w:t>
      </w:r>
      <w:r w:rsidR="002B1FCC">
        <w:rPr>
          <w:rFonts w:ascii="Calibri" w:hAnsi="Calibri" w:cs="Calibri"/>
          <w:sz w:val="24"/>
          <w:szCs w:val="24"/>
        </w:rPr>
        <w:t> </w:t>
      </w:r>
      <w:r w:rsidR="00C14910">
        <w:rPr>
          <w:rFonts w:ascii="Calibri" w:hAnsi="Calibri" w:cs="Calibri"/>
          <w:sz w:val="24"/>
          <w:szCs w:val="24"/>
        </w:rPr>
        <w:t xml:space="preserve">středním podnikatelům na poradenství, marketing, vzdělávání a na opatření </w:t>
      </w:r>
      <w:r w:rsidR="00F47536">
        <w:rPr>
          <w:rFonts w:ascii="Calibri" w:hAnsi="Calibri" w:cs="Calibri"/>
          <w:sz w:val="24"/>
          <w:szCs w:val="24"/>
        </w:rPr>
        <w:t xml:space="preserve">v souvislosti s nákazou Covid </w:t>
      </w:r>
      <w:r w:rsidR="00C14910">
        <w:rPr>
          <w:rFonts w:ascii="Calibri" w:hAnsi="Calibri" w:cs="Calibri"/>
          <w:sz w:val="24"/>
          <w:szCs w:val="24"/>
        </w:rPr>
        <w:t>19 je účelné a hospodárné a zda naplňuje stanovené cíle.</w:t>
      </w:r>
      <w:r w:rsidRPr="008A1F80">
        <w:rPr>
          <w:rFonts w:ascii="Calibri" w:hAnsi="Calibri" w:cs="Calibri"/>
          <w:sz w:val="24"/>
          <w:szCs w:val="24"/>
        </w:rPr>
        <w:t xml:space="preserve"> </w:t>
      </w:r>
      <w:bookmarkEnd w:id="1"/>
      <w:bookmarkEnd w:id="2"/>
      <w:bookmarkEnd w:id="3"/>
      <w:bookmarkEnd w:id="4"/>
    </w:p>
    <w:p w14:paraId="0B8A42EC" w14:textId="13952DBE" w:rsidR="00583F64" w:rsidRDefault="00583F64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EF" w14:textId="77777777" w:rsidR="008E6616" w:rsidRPr="008A1F80" w:rsidRDefault="008E6616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Kontrolované osoby:</w:t>
      </w:r>
    </w:p>
    <w:p w14:paraId="0B8A42F0" w14:textId="683BC2BD" w:rsidR="008E6616" w:rsidRPr="008A1F80" w:rsidRDefault="008E6616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Ministerstvo průmyslu a obchodu</w:t>
      </w:r>
      <w:r w:rsidR="00E73AF1">
        <w:rPr>
          <w:rFonts w:ascii="Calibri" w:hAnsi="Calibri" w:cs="Calibri"/>
          <w:sz w:val="24"/>
          <w:szCs w:val="24"/>
        </w:rPr>
        <w:t xml:space="preserve"> (dále také „MPO“)</w:t>
      </w:r>
      <w:r w:rsidR="001C2D95">
        <w:rPr>
          <w:rFonts w:ascii="Calibri" w:hAnsi="Calibri" w:cs="Calibri"/>
          <w:sz w:val="24"/>
          <w:szCs w:val="24"/>
        </w:rPr>
        <w:t>;</w:t>
      </w:r>
    </w:p>
    <w:p w14:paraId="0B8A42F1" w14:textId="0880F1A2" w:rsidR="008E6616" w:rsidRPr="008A1F80" w:rsidRDefault="008E6616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 w:rsidRPr="008A1F80">
        <w:rPr>
          <w:rFonts w:ascii="Calibri" w:hAnsi="Calibri" w:cs="Calibri"/>
          <w:sz w:val="24"/>
          <w:szCs w:val="24"/>
        </w:rPr>
        <w:t>Agentura pro podnikání a inovace</w:t>
      </w:r>
      <w:r w:rsidR="00C40C28">
        <w:rPr>
          <w:rFonts w:ascii="Calibri" w:hAnsi="Calibri" w:cs="Calibri"/>
          <w:sz w:val="24"/>
          <w:szCs w:val="24"/>
        </w:rPr>
        <w:t>, Praha</w:t>
      </w:r>
      <w:r w:rsidR="00E73AF1">
        <w:rPr>
          <w:rFonts w:ascii="Calibri" w:hAnsi="Calibri" w:cs="Calibri"/>
          <w:sz w:val="24"/>
          <w:szCs w:val="24"/>
        </w:rPr>
        <w:t xml:space="preserve"> (dále také „API“)</w:t>
      </w:r>
      <w:r w:rsidRPr="008A1F80">
        <w:rPr>
          <w:rFonts w:ascii="Calibri" w:hAnsi="Calibri" w:cs="Calibri"/>
          <w:sz w:val="24"/>
          <w:szCs w:val="24"/>
        </w:rPr>
        <w:t>;</w:t>
      </w:r>
    </w:p>
    <w:p w14:paraId="0B8A42F3" w14:textId="209892C0" w:rsidR="008E6616" w:rsidRDefault="00E73AF1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Česká</w:t>
      </w:r>
      <w:r w:rsidR="005C4E17">
        <w:rPr>
          <w:rFonts w:ascii="Calibri" w:hAnsi="Calibri" w:cs="Calibri"/>
          <w:sz w:val="24"/>
          <w:szCs w:val="24"/>
        </w:rPr>
        <w:t xml:space="preserve"> agentura na podporu</w:t>
      </w:r>
      <w:r w:rsidR="001C2D95">
        <w:rPr>
          <w:rFonts w:ascii="Calibri" w:hAnsi="Calibri" w:cs="Calibri"/>
          <w:sz w:val="24"/>
          <w:szCs w:val="24"/>
        </w:rPr>
        <w:t xml:space="preserve"> obchodu</w:t>
      </w:r>
      <w:r w:rsidR="009475F5">
        <w:rPr>
          <w:rFonts w:ascii="Calibri" w:hAnsi="Calibri" w:cs="Calibri"/>
          <w:sz w:val="24"/>
          <w:szCs w:val="24"/>
        </w:rPr>
        <w:t>, Praha</w:t>
      </w:r>
      <w:r>
        <w:rPr>
          <w:rFonts w:ascii="Calibri" w:hAnsi="Calibri" w:cs="Calibri"/>
          <w:sz w:val="24"/>
          <w:szCs w:val="24"/>
        </w:rPr>
        <w:t xml:space="preserve"> (dále také „CzechTrade“)</w:t>
      </w:r>
      <w:r w:rsidR="005C4E17">
        <w:rPr>
          <w:rFonts w:ascii="Calibri" w:hAnsi="Calibri" w:cs="Calibri"/>
          <w:sz w:val="24"/>
          <w:szCs w:val="24"/>
        </w:rPr>
        <w:t>.</w:t>
      </w:r>
    </w:p>
    <w:p w14:paraId="7803557E" w14:textId="32F3C8AC" w:rsidR="005C4E17" w:rsidRDefault="005C4E17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</w:p>
    <w:p w14:paraId="4D6638BD" w14:textId="06F86AA9" w:rsidR="005C4E17" w:rsidRDefault="005C4E17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Kontrolováno bylo období od roku 2015 do roku 2020, v případě věcných souvislostí i období předcházející a následující.</w:t>
      </w:r>
    </w:p>
    <w:p w14:paraId="03209084" w14:textId="1354D77F" w:rsidR="005C4E17" w:rsidRDefault="005C4E17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</w:p>
    <w:p w14:paraId="38DBD7D0" w14:textId="5656D03C" w:rsidR="005C4E17" w:rsidRDefault="005C4E17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Kontrola </w:t>
      </w:r>
      <w:r w:rsidR="000E1B93">
        <w:rPr>
          <w:rFonts w:ascii="Calibri" w:hAnsi="Calibri" w:cs="Calibri"/>
          <w:sz w:val="24"/>
          <w:szCs w:val="24"/>
        </w:rPr>
        <w:t xml:space="preserve">byla </w:t>
      </w:r>
      <w:r>
        <w:rPr>
          <w:rFonts w:ascii="Calibri" w:hAnsi="Calibri" w:cs="Calibri"/>
          <w:sz w:val="24"/>
          <w:szCs w:val="24"/>
        </w:rPr>
        <w:t>u kontrolovaných osob</w:t>
      </w:r>
      <w:r w:rsidR="000E1B93">
        <w:rPr>
          <w:rFonts w:ascii="Calibri" w:hAnsi="Calibri" w:cs="Calibri"/>
          <w:sz w:val="24"/>
          <w:szCs w:val="24"/>
        </w:rPr>
        <w:t xml:space="preserve"> prováděna</w:t>
      </w:r>
      <w:r>
        <w:rPr>
          <w:rFonts w:ascii="Calibri" w:hAnsi="Calibri" w:cs="Calibri"/>
          <w:sz w:val="24"/>
          <w:szCs w:val="24"/>
        </w:rPr>
        <w:t xml:space="preserve"> v době od srpna 2020 do ledna 2021.</w:t>
      </w:r>
    </w:p>
    <w:p w14:paraId="4EEFA305" w14:textId="77777777" w:rsidR="005C4E17" w:rsidRPr="008E6616" w:rsidRDefault="005C4E17" w:rsidP="000A6177">
      <w:pPr>
        <w:spacing w:after="0" w:line="280" w:lineRule="atLeast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B8A42F5" w14:textId="2CB7AA9C" w:rsidR="008E6616" w:rsidRPr="00A40431" w:rsidRDefault="008E6616" w:rsidP="000A6177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A40431">
        <w:rPr>
          <w:rFonts w:ascii="Calibri" w:hAnsi="Calibri" w:cs="Calibri"/>
          <w:b/>
          <w:bCs/>
          <w:i/>
          <w:iCs/>
          <w:sz w:val="24"/>
          <w:szCs w:val="24"/>
        </w:rPr>
        <w:t xml:space="preserve">K o l e g i u m   N K Ú  </w:t>
      </w:r>
      <w:r w:rsidRPr="00A40431">
        <w:rPr>
          <w:rFonts w:ascii="Calibri" w:hAnsi="Calibri" w:cs="Calibri"/>
          <w:sz w:val="24"/>
          <w:szCs w:val="24"/>
        </w:rPr>
        <w:t xml:space="preserve"> </w:t>
      </w:r>
      <w:r w:rsidR="00044C5D" w:rsidRPr="00BE2CEF">
        <w:rPr>
          <w:rFonts w:cs="Calibri"/>
          <w:color w:val="000000"/>
          <w:sz w:val="24"/>
          <w:szCs w:val="24"/>
        </w:rPr>
        <w:t xml:space="preserve">na svém </w:t>
      </w:r>
      <w:r w:rsidR="00044C5D">
        <w:rPr>
          <w:rFonts w:cs="Calibri"/>
          <w:color w:val="000000"/>
          <w:sz w:val="24"/>
          <w:szCs w:val="24"/>
        </w:rPr>
        <w:t xml:space="preserve">VII. </w:t>
      </w:r>
      <w:r w:rsidR="00044C5D" w:rsidRPr="00BE2CEF">
        <w:rPr>
          <w:rFonts w:cs="Calibri"/>
          <w:color w:val="000000"/>
          <w:sz w:val="24"/>
          <w:szCs w:val="24"/>
        </w:rPr>
        <w:t xml:space="preserve">jednání, které se konalo dne </w:t>
      </w:r>
      <w:r w:rsidR="00044C5D">
        <w:rPr>
          <w:rFonts w:cs="Calibri"/>
          <w:color w:val="000000"/>
          <w:sz w:val="24"/>
          <w:szCs w:val="24"/>
        </w:rPr>
        <w:t>19. dubna</w:t>
      </w:r>
      <w:r w:rsidR="00044C5D" w:rsidRPr="00BE2CEF">
        <w:rPr>
          <w:rFonts w:cs="Calibri"/>
          <w:color w:val="000000"/>
          <w:sz w:val="24"/>
          <w:szCs w:val="24"/>
        </w:rPr>
        <w:t xml:space="preserve"> 20</w:t>
      </w:r>
      <w:r w:rsidR="00044C5D">
        <w:rPr>
          <w:rFonts w:cs="Calibri"/>
          <w:color w:val="000000"/>
          <w:sz w:val="24"/>
          <w:szCs w:val="24"/>
        </w:rPr>
        <w:t>21</w:t>
      </w:r>
      <w:r w:rsidR="00044C5D" w:rsidRPr="00BE2CEF">
        <w:rPr>
          <w:rFonts w:cs="Calibri"/>
          <w:color w:val="000000"/>
          <w:sz w:val="24"/>
          <w:szCs w:val="24"/>
        </w:rPr>
        <w:t>,</w:t>
      </w:r>
    </w:p>
    <w:p w14:paraId="0B8A42F6" w14:textId="4620EAB6" w:rsidR="008E6616" w:rsidRPr="00A40431" w:rsidRDefault="008E6616" w:rsidP="000A6177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proofErr w:type="gramStart"/>
      <w:r w:rsidRPr="00A40431">
        <w:rPr>
          <w:rFonts w:ascii="Calibri" w:hAnsi="Calibri" w:cs="Calibri"/>
          <w:b/>
          <w:bCs/>
          <w:i/>
          <w:iCs/>
          <w:sz w:val="24"/>
        </w:rPr>
        <w:t xml:space="preserve">s c h v á l i l o  </w:t>
      </w:r>
      <w:r w:rsidR="002F122F" w:rsidRPr="00A40431">
        <w:rPr>
          <w:rFonts w:ascii="Calibri" w:hAnsi="Calibri" w:cs="Calibri"/>
          <w:sz w:val="24"/>
        </w:rPr>
        <w:t xml:space="preserve"> </w:t>
      </w:r>
      <w:r w:rsidR="00044C5D" w:rsidRPr="00BE2CEF">
        <w:rPr>
          <w:rFonts w:asciiTheme="minorHAnsi" w:hAnsiTheme="minorHAnsi" w:cs="Calibri"/>
          <w:color w:val="000000"/>
          <w:sz w:val="24"/>
        </w:rPr>
        <w:t>usnesením č.</w:t>
      </w:r>
      <w:proofErr w:type="gramEnd"/>
      <w:r w:rsidR="00044C5D" w:rsidRPr="00BE2CEF">
        <w:rPr>
          <w:rFonts w:asciiTheme="minorHAnsi" w:hAnsiTheme="minorHAnsi" w:cs="Calibri"/>
          <w:color w:val="000000"/>
          <w:sz w:val="24"/>
        </w:rPr>
        <w:t xml:space="preserve"> </w:t>
      </w:r>
      <w:r w:rsidR="00BD6566">
        <w:rPr>
          <w:rFonts w:asciiTheme="minorHAnsi" w:hAnsiTheme="minorHAnsi" w:cs="Calibri"/>
          <w:color w:val="000000"/>
          <w:sz w:val="24"/>
        </w:rPr>
        <w:t>10</w:t>
      </w:r>
      <w:r w:rsidR="00044C5D" w:rsidRPr="00BE2CEF">
        <w:rPr>
          <w:rFonts w:asciiTheme="minorHAnsi" w:hAnsiTheme="minorHAnsi" w:cs="Calibri"/>
          <w:color w:val="000000"/>
          <w:sz w:val="24"/>
        </w:rPr>
        <w:t>/</w:t>
      </w:r>
      <w:r w:rsidR="00044C5D">
        <w:rPr>
          <w:rFonts w:asciiTheme="minorHAnsi" w:hAnsiTheme="minorHAnsi" w:cs="Calibri"/>
          <w:color w:val="000000"/>
          <w:sz w:val="24"/>
        </w:rPr>
        <w:t>VII/</w:t>
      </w:r>
      <w:r w:rsidR="00044C5D" w:rsidRPr="00BE2CEF">
        <w:rPr>
          <w:rFonts w:asciiTheme="minorHAnsi" w:hAnsiTheme="minorHAnsi" w:cs="Calibri"/>
          <w:color w:val="000000"/>
          <w:sz w:val="24"/>
        </w:rPr>
        <w:t>20</w:t>
      </w:r>
      <w:r w:rsidR="00044C5D">
        <w:rPr>
          <w:rFonts w:asciiTheme="minorHAnsi" w:hAnsiTheme="minorHAnsi" w:cs="Calibri"/>
          <w:color w:val="000000"/>
          <w:sz w:val="24"/>
        </w:rPr>
        <w:t>21</w:t>
      </w:r>
    </w:p>
    <w:p w14:paraId="0B8A42F7" w14:textId="6F42F393" w:rsidR="00FF0146" w:rsidRDefault="008E6616" w:rsidP="000A6177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  <w:r w:rsidRPr="00A40431">
        <w:rPr>
          <w:rFonts w:ascii="Calibri" w:hAnsi="Calibri" w:cs="Calibri"/>
          <w:b/>
          <w:bCs/>
          <w:i/>
          <w:iCs/>
          <w:sz w:val="24"/>
        </w:rPr>
        <w:t>k o n t r o l n í   z á v ě r</w:t>
      </w:r>
      <w:r w:rsidRPr="00A40431">
        <w:rPr>
          <w:rFonts w:ascii="Calibri" w:hAnsi="Calibri" w:cs="Calibri"/>
          <w:sz w:val="24"/>
        </w:rPr>
        <w:t xml:space="preserve">   </w:t>
      </w:r>
      <w:r w:rsidR="00044C5D" w:rsidRPr="00BE2CEF">
        <w:rPr>
          <w:rFonts w:asciiTheme="minorHAnsi" w:hAnsiTheme="minorHAnsi" w:cs="Calibri"/>
          <w:color w:val="000000"/>
          <w:sz w:val="24"/>
        </w:rPr>
        <w:t>v tomto znění:</w:t>
      </w:r>
    </w:p>
    <w:p w14:paraId="0B8A42F8" w14:textId="77777777" w:rsidR="00D7630D" w:rsidRDefault="00D7630D" w:rsidP="000A6177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</w:p>
    <w:p w14:paraId="0B8A42F9" w14:textId="77777777" w:rsidR="003C20A4" w:rsidRDefault="003C20A4" w:rsidP="000A6177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</w:pPr>
    </w:p>
    <w:p w14:paraId="0B8A42FA" w14:textId="77777777" w:rsidR="003C20A4" w:rsidRDefault="003C20A4" w:rsidP="000A6177">
      <w:pPr>
        <w:pStyle w:val="NormlnKZ"/>
        <w:spacing w:after="0" w:line="360" w:lineRule="auto"/>
        <w:ind w:firstLine="0"/>
        <w:rPr>
          <w:rFonts w:ascii="Calibri" w:hAnsi="Calibri" w:cs="Calibri"/>
          <w:sz w:val="24"/>
        </w:rPr>
        <w:sectPr w:rsidR="003C20A4" w:rsidSect="00A60C2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560" w:right="1417" w:bottom="1276" w:left="1417" w:header="708" w:footer="708" w:gutter="0"/>
          <w:cols w:space="708"/>
          <w:titlePg/>
          <w:docGrid w:linePitch="360"/>
        </w:sectPr>
      </w:pPr>
    </w:p>
    <w:p w14:paraId="48CCF8B1" w14:textId="77777777" w:rsidR="00291CEB" w:rsidRPr="000B1716" w:rsidRDefault="00291CEB" w:rsidP="00291CEB">
      <w:pPr>
        <w:rPr>
          <w:rStyle w:val="A4"/>
          <w:color w:val="BDD6EE" w:themeColor="accent1" w:themeTint="66"/>
          <w:sz w:val="50"/>
          <w:szCs w:val="50"/>
        </w:rPr>
      </w:pPr>
      <w:r w:rsidRPr="000B1716">
        <w:rPr>
          <w:rStyle w:val="A4"/>
          <w:rFonts w:cstheme="minorHAnsi"/>
          <w:color w:val="BDD6EE" w:themeColor="accent1" w:themeTint="66"/>
          <w:sz w:val="50"/>
          <w:szCs w:val="50"/>
        </w:rPr>
        <w:lastRenderedPageBreak/>
        <w:t>Podpora malých a středních podniků</w:t>
      </w:r>
    </w:p>
    <w:p w14:paraId="7A6D6F85" w14:textId="224ADB4B" w:rsidR="00291CEB" w:rsidRDefault="00291CEB" w:rsidP="00291CEB">
      <w:pPr>
        <w:rPr>
          <w:rStyle w:val="A1"/>
          <w:rFonts w:ascii="Calibri Light" w:hAnsi="Calibri Light" w:cs="Calibri Light"/>
        </w:rPr>
      </w:pPr>
    </w:p>
    <w:p w14:paraId="2CCB7E3A" w14:textId="77777777" w:rsidR="00840B0E" w:rsidRPr="00383FAC" w:rsidRDefault="00840B0E" w:rsidP="00291CEB">
      <w:pPr>
        <w:rPr>
          <w:rStyle w:val="A1"/>
          <w:rFonts w:ascii="Calibri Light" w:hAnsi="Calibri Light" w:cs="Calibri Light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1CEB" w14:paraId="776B88AB" w14:textId="77777777" w:rsidTr="003D5DD5">
        <w:trPr>
          <w:trHeight w:val="1918"/>
        </w:trPr>
        <w:tc>
          <w:tcPr>
            <w:tcW w:w="3020" w:type="dxa"/>
          </w:tcPr>
          <w:p w14:paraId="535C3D9F" w14:textId="09044432" w:rsidR="00291CEB" w:rsidRDefault="00291CEB" w:rsidP="003D5DD5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4 090 mil.</w:t>
            </w:r>
            <w:r w:rsidR="00A0199F">
              <w:rPr>
                <w:rStyle w:val="A5"/>
              </w:rPr>
              <w:t xml:space="preserve"> </w:t>
            </w:r>
            <w:r>
              <w:rPr>
                <w:rStyle w:val="A5"/>
              </w:rPr>
              <w:t>Kč</w:t>
            </w:r>
          </w:p>
          <w:p w14:paraId="14B4E3CB" w14:textId="4B7FF1CE" w:rsidR="00291CEB" w:rsidRPr="008E03D1" w:rsidRDefault="00291CEB" w:rsidP="001A18FB">
            <w:pPr>
              <w:jc w:val="center"/>
              <w:rPr>
                <w:rStyle w:val="A1"/>
                <w:bCs/>
                <w:sz w:val="22"/>
                <w:szCs w:val="22"/>
              </w:rPr>
            </w:pPr>
            <w:r w:rsidRPr="008E03D1">
              <w:rPr>
                <w:lang w:eastAsia="cs-CZ"/>
              </w:rPr>
              <w:t>Peněžní prostředky alokované ve vyhlášených výzvách</w:t>
            </w:r>
          </w:p>
        </w:tc>
        <w:tc>
          <w:tcPr>
            <w:tcW w:w="3021" w:type="dxa"/>
          </w:tcPr>
          <w:p w14:paraId="7A938CDA" w14:textId="77777777" w:rsidR="00291CEB" w:rsidRPr="000B1716" w:rsidRDefault="00291CEB" w:rsidP="003D5DD5">
            <w:pPr>
              <w:jc w:val="center"/>
              <w:rPr>
                <w:rStyle w:val="A5"/>
              </w:rPr>
            </w:pPr>
            <w:r w:rsidRPr="000B1716">
              <w:rPr>
                <w:b/>
                <w:sz w:val="40"/>
                <w:szCs w:val="40"/>
                <w:lang w:eastAsia="cs-CZ"/>
              </w:rPr>
              <w:t>2 316 mil. Kč</w:t>
            </w:r>
          </w:p>
          <w:p w14:paraId="098F8A8C" w14:textId="066C4587" w:rsidR="00291CEB" w:rsidRPr="008E03D1" w:rsidRDefault="00291CEB" w:rsidP="00A0199F">
            <w:pPr>
              <w:jc w:val="center"/>
              <w:rPr>
                <w:rStyle w:val="A1"/>
                <w:color w:val="auto"/>
                <w:sz w:val="22"/>
                <w:szCs w:val="22"/>
              </w:rPr>
            </w:pPr>
            <w:r w:rsidRPr="008E03D1">
              <w:rPr>
                <w:lang w:eastAsia="cs-CZ"/>
              </w:rPr>
              <w:t xml:space="preserve">Peněžní prostředky </w:t>
            </w:r>
            <w:r w:rsidR="00443B09" w:rsidRPr="008E03D1">
              <w:rPr>
                <w:lang w:eastAsia="cs-CZ"/>
              </w:rPr>
              <w:t>ve vydaných</w:t>
            </w:r>
            <w:r w:rsidRPr="008E03D1">
              <w:rPr>
                <w:lang w:eastAsia="cs-CZ"/>
              </w:rPr>
              <w:t xml:space="preserve"> rozhodnutích o poskytnutí dotace</w:t>
            </w:r>
          </w:p>
        </w:tc>
        <w:tc>
          <w:tcPr>
            <w:tcW w:w="3021" w:type="dxa"/>
          </w:tcPr>
          <w:p w14:paraId="62C2E05E" w14:textId="77777777" w:rsidR="00291CEB" w:rsidRPr="000B1716" w:rsidRDefault="00291CEB" w:rsidP="003D5DD5">
            <w:pPr>
              <w:jc w:val="center"/>
              <w:rPr>
                <w:rStyle w:val="A5"/>
              </w:rPr>
            </w:pPr>
            <w:r w:rsidRPr="000B1716">
              <w:rPr>
                <w:b/>
                <w:sz w:val="40"/>
                <w:szCs w:val="40"/>
                <w:lang w:eastAsia="cs-CZ"/>
              </w:rPr>
              <w:t>902 mil. Kč</w:t>
            </w:r>
          </w:p>
          <w:p w14:paraId="6926693C" w14:textId="02B40FC8" w:rsidR="00291CEB" w:rsidRPr="008E03D1" w:rsidRDefault="000E1B93" w:rsidP="003D5DD5">
            <w:pPr>
              <w:jc w:val="center"/>
            </w:pPr>
            <w:r>
              <w:rPr>
                <w:lang w:eastAsia="cs-CZ"/>
              </w:rPr>
              <w:t>P</w:t>
            </w:r>
            <w:r w:rsidR="00901325" w:rsidRPr="008E03D1">
              <w:rPr>
                <w:lang w:eastAsia="cs-CZ"/>
              </w:rPr>
              <w:t>eněžní</w:t>
            </w:r>
            <w:r w:rsidR="00291CEB" w:rsidRPr="008E03D1">
              <w:rPr>
                <w:lang w:eastAsia="cs-CZ"/>
              </w:rPr>
              <w:t xml:space="preserve"> prostředky </w:t>
            </w:r>
            <w:r>
              <w:rPr>
                <w:lang w:eastAsia="cs-CZ"/>
              </w:rPr>
              <w:t>s</w:t>
            </w:r>
            <w:r w:rsidRPr="008E03D1">
              <w:rPr>
                <w:lang w:eastAsia="cs-CZ"/>
              </w:rPr>
              <w:t xml:space="preserve">kutečně proplacené </w:t>
            </w:r>
            <w:r w:rsidR="00291CEB" w:rsidRPr="008E03D1">
              <w:rPr>
                <w:lang w:eastAsia="cs-CZ"/>
              </w:rPr>
              <w:t>příjemcům podpory</w:t>
            </w:r>
            <w:r w:rsidR="00291CEB" w:rsidRPr="008E03D1">
              <w:t xml:space="preserve"> </w:t>
            </w:r>
          </w:p>
          <w:p w14:paraId="01A02301" w14:textId="77777777" w:rsidR="00291CEB" w:rsidRPr="002D0F91" w:rsidRDefault="00291CEB" w:rsidP="003D5DD5">
            <w:pPr>
              <w:jc w:val="both"/>
              <w:rPr>
                <w:rStyle w:val="A1"/>
                <w:rFonts w:ascii="Calibri Light" w:hAnsi="Calibri Light" w:cs="Calibri Light"/>
                <w:sz w:val="20"/>
              </w:rPr>
            </w:pPr>
          </w:p>
        </w:tc>
      </w:tr>
      <w:tr w:rsidR="00291CEB" w14:paraId="6D8EC2CD" w14:textId="77777777" w:rsidTr="003D5DD5">
        <w:tc>
          <w:tcPr>
            <w:tcW w:w="3020" w:type="dxa"/>
          </w:tcPr>
          <w:p w14:paraId="736707DF" w14:textId="0FB81F94" w:rsidR="00291CEB" w:rsidRPr="00055D3A" w:rsidRDefault="00291CEB" w:rsidP="003D5DD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901325">
              <w:rPr>
                <w:b/>
                <w:sz w:val="40"/>
                <w:szCs w:val="48"/>
                <w:lang w:eastAsia="cs-CZ"/>
              </w:rPr>
              <w:t>1 047</w:t>
            </w:r>
            <w:r>
              <w:rPr>
                <w:b/>
                <w:sz w:val="20"/>
                <w:szCs w:val="20"/>
              </w:rPr>
              <w:br/>
            </w:r>
            <w:r w:rsidRPr="008E03D1">
              <w:rPr>
                <w:lang w:eastAsia="cs-CZ"/>
              </w:rPr>
              <w:t xml:space="preserve">Počet projektů </w:t>
            </w:r>
            <w:r w:rsidR="00443B09" w:rsidRPr="008E03D1">
              <w:rPr>
                <w:lang w:eastAsia="cs-CZ"/>
              </w:rPr>
              <w:t>s vydaným</w:t>
            </w:r>
            <w:r w:rsidRPr="008E03D1">
              <w:rPr>
                <w:lang w:eastAsia="cs-CZ"/>
              </w:rPr>
              <w:t xml:space="preserve"> rozhodnutím o poskytnutí dotace</w:t>
            </w:r>
          </w:p>
          <w:p w14:paraId="52A5F637" w14:textId="77777777" w:rsidR="00291CEB" w:rsidRDefault="00291CEB" w:rsidP="003D5DD5">
            <w:pPr>
              <w:jc w:val="both"/>
              <w:rPr>
                <w:rStyle w:val="A1"/>
                <w:rFonts w:ascii="Calibri Light" w:hAnsi="Calibri Light" w:cs="Calibri Light"/>
              </w:rPr>
            </w:pPr>
          </w:p>
        </w:tc>
        <w:tc>
          <w:tcPr>
            <w:tcW w:w="3021" w:type="dxa"/>
          </w:tcPr>
          <w:p w14:paraId="6D62DA72" w14:textId="3A8012B3" w:rsidR="00291CEB" w:rsidRPr="00901325" w:rsidRDefault="00291CEB" w:rsidP="003D5DD5">
            <w:pPr>
              <w:jc w:val="center"/>
              <w:rPr>
                <w:rStyle w:val="A1"/>
                <w:rFonts w:cs="Calibri Light"/>
                <w:b/>
                <w:sz w:val="40"/>
                <w:szCs w:val="48"/>
              </w:rPr>
            </w:pPr>
            <w:r w:rsidRPr="00901325">
              <w:rPr>
                <w:rStyle w:val="A1"/>
                <w:rFonts w:cs="Calibri Light"/>
                <w:b/>
                <w:sz w:val="40"/>
                <w:szCs w:val="48"/>
              </w:rPr>
              <w:t>1 promile</w:t>
            </w:r>
          </w:p>
          <w:p w14:paraId="06F558EF" w14:textId="25A03434" w:rsidR="00291CEB" w:rsidRPr="008E03D1" w:rsidRDefault="00291CEB" w:rsidP="001A18FB">
            <w:pPr>
              <w:jc w:val="center"/>
              <w:rPr>
                <w:rStyle w:val="A1"/>
                <w:rFonts w:ascii="Calibri Light" w:hAnsi="Calibri Light" w:cs="Calibri Light"/>
                <w:sz w:val="22"/>
                <w:szCs w:val="22"/>
              </w:rPr>
            </w:pPr>
            <w:r w:rsidRPr="008E03D1">
              <w:rPr>
                <w:rStyle w:val="A1"/>
                <w:rFonts w:cs="Calibri Light"/>
                <w:sz w:val="22"/>
                <w:szCs w:val="22"/>
              </w:rPr>
              <w:t xml:space="preserve">Podíl podpořených </w:t>
            </w:r>
            <w:r w:rsidR="00206A15" w:rsidRPr="008E03D1">
              <w:rPr>
                <w:rStyle w:val="A1"/>
                <w:rFonts w:cs="Calibri Light"/>
                <w:sz w:val="22"/>
                <w:szCs w:val="22"/>
              </w:rPr>
              <w:t>malých a</w:t>
            </w:r>
            <w:r w:rsidR="000E1B93">
              <w:rPr>
                <w:rStyle w:val="A1"/>
                <w:rFonts w:cs="Calibri Light"/>
                <w:sz w:val="22"/>
                <w:szCs w:val="22"/>
              </w:rPr>
              <w:t> </w:t>
            </w:r>
            <w:r w:rsidR="00206A15" w:rsidRPr="008E03D1">
              <w:rPr>
                <w:rStyle w:val="A1"/>
                <w:rFonts w:cs="Calibri Light"/>
                <w:sz w:val="22"/>
                <w:szCs w:val="22"/>
              </w:rPr>
              <w:t>středních podniků</w:t>
            </w:r>
            <w:r w:rsidRPr="008E03D1">
              <w:rPr>
                <w:rStyle w:val="A1"/>
                <w:rFonts w:cs="Calibri Light"/>
                <w:sz w:val="22"/>
                <w:szCs w:val="22"/>
              </w:rPr>
              <w:t xml:space="preserve"> v ČR</w:t>
            </w:r>
          </w:p>
        </w:tc>
        <w:tc>
          <w:tcPr>
            <w:tcW w:w="3021" w:type="dxa"/>
          </w:tcPr>
          <w:p w14:paraId="00644F83" w14:textId="77777777" w:rsidR="00291CEB" w:rsidRPr="00901325" w:rsidRDefault="00291CEB" w:rsidP="00291CEB">
            <w:pPr>
              <w:jc w:val="center"/>
              <w:rPr>
                <w:b/>
                <w:sz w:val="40"/>
                <w:szCs w:val="48"/>
                <w:lang w:eastAsia="cs-CZ"/>
              </w:rPr>
            </w:pPr>
            <w:r w:rsidRPr="00901325">
              <w:rPr>
                <w:b/>
                <w:sz w:val="40"/>
                <w:szCs w:val="48"/>
                <w:lang w:eastAsia="cs-CZ"/>
              </w:rPr>
              <w:t>47 %</w:t>
            </w:r>
          </w:p>
          <w:p w14:paraId="0D616C92" w14:textId="47EDBC31" w:rsidR="00291CEB" w:rsidRPr="008E03D1" w:rsidRDefault="00291CEB" w:rsidP="00443B09">
            <w:pPr>
              <w:jc w:val="center"/>
              <w:rPr>
                <w:rStyle w:val="A1"/>
                <w:rFonts w:ascii="Calibri Light" w:hAnsi="Calibri Light" w:cs="Calibri Light"/>
                <w:sz w:val="20"/>
              </w:rPr>
            </w:pPr>
            <w:r w:rsidRPr="008E03D1">
              <w:rPr>
                <w:lang w:eastAsia="cs-CZ"/>
              </w:rPr>
              <w:t xml:space="preserve">Podíl nákladů </w:t>
            </w:r>
            <w:r w:rsidRPr="008E03D1">
              <w:rPr>
                <w:lang w:eastAsia="cs-CZ"/>
              </w:rPr>
              <w:br/>
              <w:t>na administraci a realizaci interních projektů CzechTrade</w:t>
            </w:r>
          </w:p>
        </w:tc>
      </w:tr>
    </w:tbl>
    <w:p w14:paraId="18D4214B" w14:textId="09F4E7B4" w:rsidR="00291CEB" w:rsidRDefault="00291CEB" w:rsidP="00291CEB">
      <w:pPr>
        <w:pStyle w:val="Text"/>
        <w:tabs>
          <w:tab w:val="left" w:pos="2696"/>
          <w:tab w:val="center" w:pos="4536"/>
        </w:tabs>
        <w:spacing w:before="0"/>
        <w:jc w:val="left"/>
        <w:rPr>
          <w:b/>
        </w:rPr>
      </w:pPr>
    </w:p>
    <w:p w14:paraId="1369A369" w14:textId="77777777" w:rsidR="00291CEB" w:rsidRDefault="00291CEB">
      <w:pPr>
        <w:rPr>
          <w:rFonts w:cstheme="minorHAnsi"/>
          <w:b/>
          <w:sz w:val="24"/>
          <w:szCs w:val="24"/>
        </w:rPr>
      </w:pPr>
      <w:r>
        <w:rPr>
          <w:b/>
        </w:rPr>
        <w:br w:type="page"/>
      </w:r>
    </w:p>
    <w:p w14:paraId="0B8A4322" w14:textId="77777777" w:rsidR="001E1138" w:rsidRPr="007D3809" w:rsidRDefault="001E1138" w:rsidP="000A6177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7D3809">
        <w:rPr>
          <w:sz w:val="28"/>
          <w:szCs w:val="28"/>
        </w:rPr>
        <w:lastRenderedPageBreak/>
        <w:t>I. Shrnutí a vyhodnocení</w:t>
      </w:r>
    </w:p>
    <w:p w14:paraId="0B8A4323" w14:textId="77777777" w:rsidR="00751CEC" w:rsidRPr="00085E9E" w:rsidRDefault="00751CEC" w:rsidP="000A6177">
      <w:pPr>
        <w:spacing w:after="0" w:line="280" w:lineRule="atLeast"/>
        <w:jc w:val="both"/>
        <w:rPr>
          <w:rFonts w:cstheme="minorHAnsi"/>
          <w:bCs/>
          <w:sz w:val="24"/>
          <w:szCs w:val="24"/>
        </w:rPr>
      </w:pPr>
    </w:p>
    <w:p w14:paraId="5AED513D" w14:textId="0FC4F359" w:rsidR="00A01CF1" w:rsidRDefault="00D51726" w:rsidP="00AE3DE0">
      <w:pPr>
        <w:spacing w:after="120" w:line="28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Cílem kontroly bylo prověřit, zda poskytování a </w:t>
      </w:r>
      <w:r w:rsidR="00614C70">
        <w:rPr>
          <w:rFonts w:cstheme="minorHAnsi"/>
          <w:sz w:val="24"/>
          <w:szCs w:val="24"/>
        </w:rPr>
        <w:t xml:space="preserve">užití </w:t>
      </w:r>
      <w:r>
        <w:rPr>
          <w:rFonts w:cstheme="minorHAnsi"/>
          <w:sz w:val="24"/>
          <w:szCs w:val="24"/>
        </w:rPr>
        <w:t xml:space="preserve">peněžních prostředků </w:t>
      </w:r>
      <w:r w:rsidR="00036397">
        <w:rPr>
          <w:rFonts w:cstheme="minorHAnsi"/>
          <w:sz w:val="24"/>
          <w:szCs w:val="24"/>
        </w:rPr>
        <w:t xml:space="preserve">z operačního programu </w:t>
      </w:r>
      <w:r w:rsidR="00036397" w:rsidRPr="00AE3DE0">
        <w:rPr>
          <w:rFonts w:cstheme="minorHAnsi"/>
          <w:sz w:val="24"/>
          <w:szCs w:val="24"/>
        </w:rPr>
        <w:t>Podnikání a inovace pro konkurenceschopnost</w:t>
      </w:r>
      <w:r w:rsidR="00036397">
        <w:rPr>
          <w:rFonts w:cstheme="minorHAnsi"/>
          <w:sz w:val="24"/>
          <w:szCs w:val="24"/>
        </w:rPr>
        <w:t xml:space="preserve"> (dále také „O</w:t>
      </w:r>
      <w:r w:rsidR="003F442B">
        <w:rPr>
          <w:rFonts w:cstheme="minorHAnsi"/>
          <w:sz w:val="24"/>
          <w:szCs w:val="24"/>
        </w:rPr>
        <w:t>PPIK“) určených na podporu malých a středních podnikatelů</w:t>
      </w:r>
      <w:r w:rsidR="00124251">
        <w:rPr>
          <w:rStyle w:val="Znakapoznpodarou"/>
          <w:rFonts w:cstheme="minorHAnsi"/>
          <w:sz w:val="24"/>
          <w:szCs w:val="24"/>
        </w:rPr>
        <w:footnoteReference w:id="1"/>
      </w:r>
      <w:r w:rsidR="00036397">
        <w:rPr>
          <w:rFonts w:cstheme="minorHAnsi"/>
          <w:sz w:val="24"/>
          <w:szCs w:val="24"/>
        </w:rPr>
        <w:t xml:space="preserve"> na poradenství, marketing, vzdělávání a na opatření v s</w:t>
      </w:r>
      <w:r w:rsidR="00B41630">
        <w:rPr>
          <w:rFonts w:cstheme="minorHAnsi"/>
          <w:sz w:val="24"/>
          <w:szCs w:val="24"/>
        </w:rPr>
        <w:t>ouvislosti s nákazou Covid</w:t>
      </w:r>
      <w:r w:rsidR="00AE3DE0">
        <w:rPr>
          <w:rFonts w:cstheme="minorHAnsi"/>
          <w:sz w:val="24"/>
          <w:szCs w:val="24"/>
        </w:rPr>
        <w:t xml:space="preserve"> </w:t>
      </w:r>
      <w:r w:rsidR="00B41630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 xml:space="preserve"> je účelné, hospodárné a zda naplňuje stanovené cíle. </w:t>
      </w:r>
    </w:p>
    <w:p w14:paraId="3FBF7AA2" w14:textId="3DD3EE2C" w:rsidR="008E4C96" w:rsidRPr="004A645E" w:rsidRDefault="008E4C96" w:rsidP="008E4C96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4A645E">
        <w:rPr>
          <w:rFonts w:cstheme="minorHAnsi"/>
          <w:sz w:val="24"/>
          <w:szCs w:val="24"/>
        </w:rPr>
        <w:t xml:space="preserve">Ke dni ukončení kontroly podpořilo </w:t>
      </w:r>
      <w:r w:rsidR="001508A4" w:rsidRPr="004A645E">
        <w:rPr>
          <w:rFonts w:cstheme="minorHAnsi"/>
          <w:sz w:val="24"/>
          <w:szCs w:val="24"/>
        </w:rPr>
        <w:t xml:space="preserve">MPO </w:t>
      </w:r>
      <w:r w:rsidRPr="004A645E">
        <w:rPr>
          <w:rFonts w:cstheme="minorHAnsi"/>
          <w:sz w:val="24"/>
          <w:szCs w:val="24"/>
        </w:rPr>
        <w:t>na základě rozhodnutí o poskytnutí dotace celkem 1 047 projektů v celkovém objemu 2 316,1 mil. Kč, a to včet</w:t>
      </w:r>
      <w:r w:rsidR="002F0ED2">
        <w:rPr>
          <w:rFonts w:cstheme="minorHAnsi"/>
          <w:sz w:val="24"/>
          <w:szCs w:val="24"/>
        </w:rPr>
        <w:t>ně 107 projektů realizovaných v </w:t>
      </w:r>
      <w:r w:rsidRPr="004A645E">
        <w:rPr>
          <w:rFonts w:cstheme="minorHAnsi"/>
          <w:sz w:val="24"/>
          <w:szCs w:val="24"/>
        </w:rPr>
        <w:t>souvislosti s onem</w:t>
      </w:r>
      <w:r w:rsidR="0055721C">
        <w:rPr>
          <w:rFonts w:cstheme="minorHAnsi"/>
          <w:sz w:val="24"/>
          <w:szCs w:val="24"/>
        </w:rPr>
        <w:t>ocněním Covid</w:t>
      </w:r>
      <w:r w:rsidR="00AE3DE0">
        <w:rPr>
          <w:rFonts w:cstheme="minorHAnsi"/>
          <w:sz w:val="24"/>
          <w:szCs w:val="24"/>
        </w:rPr>
        <w:t xml:space="preserve"> </w:t>
      </w:r>
      <w:r w:rsidR="0055721C">
        <w:rPr>
          <w:rFonts w:cstheme="minorHAnsi"/>
          <w:sz w:val="24"/>
          <w:szCs w:val="24"/>
        </w:rPr>
        <w:t>19 ve výši 490,</w:t>
      </w:r>
      <w:r w:rsidRPr="004A645E">
        <w:rPr>
          <w:rFonts w:cstheme="minorHAnsi"/>
          <w:sz w:val="24"/>
          <w:szCs w:val="24"/>
        </w:rPr>
        <w:t>8 mil. Kč.</w:t>
      </w:r>
    </w:p>
    <w:p w14:paraId="25EBE190" w14:textId="541C5416" w:rsidR="0029269A" w:rsidRPr="007C7911" w:rsidRDefault="0029269A" w:rsidP="000A6177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11D52A71" w14:textId="2844CC64" w:rsidR="0029269A" w:rsidRDefault="008E4C96" w:rsidP="00AE3DE0">
      <w:pPr>
        <w:spacing w:after="120" w:line="28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="00871641" w:rsidRPr="002711FC">
        <w:rPr>
          <w:rFonts w:cstheme="minorHAnsi"/>
          <w:b/>
          <w:sz w:val="24"/>
          <w:szCs w:val="24"/>
        </w:rPr>
        <w:t xml:space="preserve">oskytování podpory z OPPIK na poradenství, marketing a </w:t>
      </w:r>
      <w:r w:rsidR="005B70B6">
        <w:rPr>
          <w:rFonts w:cstheme="minorHAnsi"/>
          <w:b/>
          <w:sz w:val="24"/>
          <w:szCs w:val="24"/>
        </w:rPr>
        <w:t>vzdělávání</w:t>
      </w:r>
      <w:r w:rsidR="00871641" w:rsidRPr="002711FC">
        <w:rPr>
          <w:rFonts w:cstheme="minorHAnsi"/>
          <w:b/>
          <w:sz w:val="24"/>
          <w:szCs w:val="24"/>
        </w:rPr>
        <w:t xml:space="preserve"> malých a středních podnikatelů</w:t>
      </w:r>
      <w:r>
        <w:rPr>
          <w:rFonts w:cstheme="minorHAnsi"/>
          <w:b/>
          <w:sz w:val="24"/>
          <w:szCs w:val="24"/>
        </w:rPr>
        <w:t xml:space="preserve"> je problematické </w:t>
      </w:r>
      <w:r w:rsidR="001B1FD3">
        <w:rPr>
          <w:rFonts w:cstheme="minorHAnsi"/>
          <w:b/>
          <w:sz w:val="24"/>
          <w:szCs w:val="24"/>
        </w:rPr>
        <w:t>a není prokazatelné, jakou m</w:t>
      </w:r>
      <w:r w:rsidR="009958CB">
        <w:rPr>
          <w:rFonts w:cstheme="minorHAnsi"/>
          <w:b/>
          <w:sz w:val="24"/>
          <w:szCs w:val="24"/>
        </w:rPr>
        <w:t>ě</w:t>
      </w:r>
      <w:r w:rsidR="001B1FD3">
        <w:rPr>
          <w:rFonts w:cstheme="minorHAnsi"/>
          <w:b/>
          <w:sz w:val="24"/>
          <w:szCs w:val="24"/>
        </w:rPr>
        <w:t>rou podpora přispívá k plnění stanovených cílů.</w:t>
      </w:r>
      <w:r w:rsidR="00871641" w:rsidRPr="002711FC">
        <w:rPr>
          <w:rFonts w:cstheme="minorHAnsi"/>
          <w:b/>
          <w:sz w:val="24"/>
          <w:szCs w:val="24"/>
        </w:rPr>
        <w:t xml:space="preserve"> </w:t>
      </w:r>
    </w:p>
    <w:p w14:paraId="39C9E1FB" w14:textId="4D6980DF" w:rsidR="0029269A" w:rsidRDefault="003D0C44" w:rsidP="00AE3DE0">
      <w:pPr>
        <w:spacing w:after="120" w:line="28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MPO měř</w:t>
      </w:r>
      <w:r w:rsidR="000524AF">
        <w:rPr>
          <w:rFonts w:cstheme="minorHAnsi"/>
          <w:b/>
          <w:sz w:val="24"/>
          <w:szCs w:val="24"/>
        </w:rPr>
        <w:t>ilo</w:t>
      </w:r>
      <w:r>
        <w:rPr>
          <w:rFonts w:cstheme="minorHAnsi"/>
          <w:b/>
          <w:sz w:val="24"/>
          <w:szCs w:val="24"/>
        </w:rPr>
        <w:t xml:space="preserve"> </w:t>
      </w:r>
      <w:r w:rsidR="00614C70">
        <w:rPr>
          <w:rFonts w:cstheme="minorHAnsi"/>
          <w:b/>
          <w:sz w:val="24"/>
          <w:szCs w:val="24"/>
        </w:rPr>
        <w:t>d</w:t>
      </w:r>
      <w:r w:rsidR="0029269A" w:rsidRPr="003E4DBE">
        <w:rPr>
          <w:rFonts w:cstheme="minorHAnsi"/>
          <w:b/>
          <w:sz w:val="24"/>
          <w:szCs w:val="24"/>
        </w:rPr>
        <w:t>osažení stanovených cílů</w:t>
      </w:r>
      <w:r w:rsidR="003F442B">
        <w:rPr>
          <w:rFonts w:cstheme="minorHAnsi"/>
          <w:b/>
          <w:sz w:val="24"/>
          <w:szCs w:val="24"/>
        </w:rPr>
        <w:t xml:space="preserve"> podpory</w:t>
      </w:r>
      <w:r w:rsidR="0029269A" w:rsidRPr="003E4DBE">
        <w:rPr>
          <w:rFonts w:cstheme="minorHAnsi"/>
          <w:b/>
          <w:sz w:val="24"/>
          <w:szCs w:val="24"/>
        </w:rPr>
        <w:t xml:space="preserve"> na ukazatelích zahrnujících všechny ekonomicky aktivní </w:t>
      </w:r>
      <w:r w:rsidR="00324034">
        <w:rPr>
          <w:rFonts w:cstheme="minorHAnsi"/>
          <w:b/>
          <w:sz w:val="24"/>
          <w:szCs w:val="24"/>
        </w:rPr>
        <w:t>malé a střední podniky</w:t>
      </w:r>
      <w:r w:rsidR="00F03E44">
        <w:rPr>
          <w:rFonts w:cstheme="minorHAnsi"/>
          <w:b/>
          <w:sz w:val="24"/>
          <w:szCs w:val="24"/>
        </w:rPr>
        <w:t>,</w:t>
      </w:r>
      <w:r w:rsidR="0029269A" w:rsidRPr="003E4DBE">
        <w:rPr>
          <w:rFonts w:cstheme="minorHAnsi"/>
          <w:b/>
          <w:sz w:val="24"/>
          <w:szCs w:val="24"/>
        </w:rPr>
        <w:t xml:space="preserve"> z</w:t>
      </w:r>
      <w:r w:rsidR="00F03E44">
        <w:rPr>
          <w:rFonts w:cstheme="minorHAnsi"/>
          <w:b/>
          <w:sz w:val="24"/>
          <w:szCs w:val="24"/>
        </w:rPr>
        <w:t> </w:t>
      </w:r>
      <w:r w:rsidR="0029269A" w:rsidRPr="003E4DBE">
        <w:rPr>
          <w:rFonts w:cstheme="minorHAnsi"/>
          <w:b/>
          <w:sz w:val="24"/>
          <w:szCs w:val="24"/>
        </w:rPr>
        <w:t>nichž</w:t>
      </w:r>
      <w:r w:rsidR="00E73AF1">
        <w:rPr>
          <w:rFonts w:cstheme="minorHAnsi"/>
          <w:b/>
          <w:sz w:val="24"/>
          <w:szCs w:val="24"/>
        </w:rPr>
        <w:t xml:space="preserve"> podpořené podniky</w:t>
      </w:r>
      <w:r w:rsidR="002F0ED2">
        <w:rPr>
          <w:rFonts w:cstheme="minorHAnsi"/>
          <w:b/>
          <w:sz w:val="24"/>
          <w:szCs w:val="24"/>
        </w:rPr>
        <w:t xml:space="preserve"> tvoř</w:t>
      </w:r>
      <w:r w:rsidR="000524AF">
        <w:rPr>
          <w:rFonts w:cstheme="minorHAnsi"/>
          <w:b/>
          <w:sz w:val="24"/>
          <w:szCs w:val="24"/>
        </w:rPr>
        <w:t>il</w:t>
      </w:r>
      <w:r w:rsidR="009958CB">
        <w:rPr>
          <w:rFonts w:cstheme="minorHAnsi"/>
          <w:b/>
          <w:sz w:val="24"/>
          <w:szCs w:val="24"/>
        </w:rPr>
        <w:t>y</w:t>
      </w:r>
      <w:r w:rsidR="002F0ED2">
        <w:rPr>
          <w:rFonts w:cstheme="minorHAnsi"/>
          <w:b/>
          <w:sz w:val="24"/>
          <w:szCs w:val="24"/>
        </w:rPr>
        <w:t xml:space="preserve"> jen dílčí část. O </w:t>
      </w:r>
      <w:r w:rsidR="0029269A" w:rsidRPr="003E4DBE">
        <w:rPr>
          <w:rFonts w:cstheme="minorHAnsi"/>
          <w:b/>
          <w:sz w:val="24"/>
          <w:szCs w:val="24"/>
        </w:rPr>
        <w:t>podporu požádalo a následně ji čerpalo jen cca 1 promile z celkového počt</w:t>
      </w:r>
      <w:r>
        <w:rPr>
          <w:rFonts w:cstheme="minorHAnsi"/>
          <w:b/>
          <w:sz w:val="24"/>
          <w:szCs w:val="24"/>
        </w:rPr>
        <w:t>u cca 1,1</w:t>
      </w:r>
      <w:r w:rsidR="001A18FB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mil</w:t>
      </w:r>
      <w:r w:rsidR="001A18FB">
        <w:rPr>
          <w:rFonts w:cstheme="minorHAnsi"/>
          <w:b/>
          <w:sz w:val="24"/>
          <w:szCs w:val="24"/>
        </w:rPr>
        <w:t>ionu</w:t>
      </w:r>
      <w:r>
        <w:rPr>
          <w:rFonts w:cstheme="minorHAnsi"/>
          <w:b/>
          <w:sz w:val="24"/>
          <w:szCs w:val="24"/>
        </w:rPr>
        <w:t xml:space="preserve"> těchto podnik</w:t>
      </w:r>
      <w:r w:rsidR="0029269A" w:rsidRPr="003E4DBE">
        <w:rPr>
          <w:rFonts w:cstheme="minorHAnsi"/>
          <w:b/>
          <w:sz w:val="24"/>
          <w:szCs w:val="24"/>
        </w:rPr>
        <w:t>ů.</w:t>
      </w:r>
      <w:r w:rsidR="006479B7">
        <w:rPr>
          <w:rFonts w:cstheme="minorHAnsi"/>
          <w:b/>
          <w:sz w:val="24"/>
          <w:szCs w:val="24"/>
        </w:rPr>
        <w:t xml:space="preserve"> </w:t>
      </w:r>
      <w:r w:rsidR="0029269A" w:rsidRPr="003E4DBE">
        <w:rPr>
          <w:rFonts w:cstheme="minorHAnsi"/>
          <w:b/>
          <w:sz w:val="24"/>
          <w:szCs w:val="24"/>
        </w:rPr>
        <w:t xml:space="preserve">MPO </w:t>
      </w:r>
      <w:r w:rsidR="006479B7">
        <w:rPr>
          <w:rFonts w:cstheme="minorHAnsi"/>
          <w:b/>
          <w:sz w:val="24"/>
          <w:szCs w:val="24"/>
        </w:rPr>
        <w:t>ne</w:t>
      </w:r>
      <w:r w:rsidR="0029269A">
        <w:rPr>
          <w:rFonts w:cstheme="minorHAnsi"/>
          <w:b/>
          <w:sz w:val="24"/>
          <w:szCs w:val="24"/>
        </w:rPr>
        <w:t xml:space="preserve">bude </w:t>
      </w:r>
      <w:r w:rsidR="00311021">
        <w:rPr>
          <w:rFonts w:cstheme="minorHAnsi"/>
          <w:b/>
          <w:sz w:val="24"/>
          <w:szCs w:val="24"/>
        </w:rPr>
        <w:t>schopn</w:t>
      </w:r>
      <w:r w:rsidR="009958CB">
        <w:rPr>
          <w:rFonts w:cstheme="minorHAnsi"/>
          <w:b/>
          <w:sz w:val="24"/>
          <w:szCs w:val="24"/>
        </w:rPr>
        <w:t>o</w:t>
      </w:r>
      <w:r w:rsidR="00F040C2">
        <w:rPr>
          <w:rFonts w:cstheme="minorHAnsi"/>
          <w:b/>
          <w:sz w:val="24"/>
          <w:szCs w:val="24"/>
        </w:rPr>
        <w:t xml:space="preserve"> po ukončení realizace OPPIK</w:t>
      </w:r>
      <w:r w:rsidR="0029269A" w:rsidRPr="003E4DBE">
        <w:rPr>
          <w:rFonts w:cstheme="minorHAnsi"/>
          <w:b/>
          <w:sz w:val="24"/>
          <w:szCs w:val="24"/>
        </w:rPr>
        <w:t xml:space="preserve"> </w:t>
      </w:r>
      <w:r w:rsidR="006479B7">
        <w:rPr>
          <w:rFonts w:cstheme="minorHAnsi"/>
          <w:b/>
          <w:sz w:val="24"/>
          <w:szCs w:val="24"/>
        </w:rPr>
        <w:t xml:space="preserve">na základě takto nastavených ukazatelů </w:t>
      </w:r>
      <w:r w:rsidR="0029269A" w:rsidRPr="003E4DBE">
        <w:rPr>
          <w:rFonts w:cstheme="minorHAnsi"/>
          <w:b/>
          <w:sz w:val="24"/>
          <w:szCs w:val="24"/>
        </w:rPr>
        <w:t xml:space="preserve">vyhodnotit </w:t>
      </w:r>
      <w:r w:rsidR="0029269A">
        <w:rPr>
          <w:rFonts w:cstheme="minorHAnsi"/>
          <w:b/>
          <w:sz w:val="24"/>
          <w:szCs w:val="24"/>
        </w:rPr>
        <w:t>přínosy poskytované podpory a</w:t>
      </w:r>
      <w:r w:rsidR="008E4A40">
        <w:rPr>
          <w:rFonts w:cstheme="minorHAnsi"/>
          <w:b/>
          <w:sz w:val="24"/>
          <w:szCs w:val="24"/>
        </w:rPr>
        <w:t>ni</w:t>
      </w:r>
      <w:r w:rsidR="0029269A">
        <w:rPr>
          <w:rFonts w:cstheme="minorHAnsi"/>
          <w:b/>
          <w:sz w:val="24"/>
          <w:szCs w:val="24"/>
        </w:rPr>
        <w:t xml:space="preserve"> splnění stanovených cílů. </w:t>
      </w:r>
    </w:p>
    <w:p w14:paraId="416F9596" w14:textId="4FACCADC" w:rsidR="0029269A" w:rsidRPr="003E4DBE" w:rsidRDefault="0029269A" w:rsidP="00AE3DE0">
      <w:pPr>
        <w:spacing w:after="120" w:line="280" w:lineRule="atLeast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 vývoj hodnot cílových ukazatelů, kterých má být dosaženo, nemá vliv jen poskytovaná podpora, ale i jiné ekonomické </w:t>
      </w:r>
      <w:r w:rsidR="00DB43B4">
        <w:rPr>
          <w:rFonts w:cstheme="minorHAnsi"/>
          <w:b/>
          <w:sz w:val="24"/>
          <w:szCs w:val="24"/>
        </w:rPr>
        <w:t>faktory</w:t>
      </w:r>
      <w:r>
        <w:rPr>
          <w:rFonts w:cstheme="minorHAnsi"/>
          <w:b/>
          <w:sz w:val="24"/>
          <w:szCs w:val="24"/>
        </w:rPr>
        <w:t xml:space="preserve">. </w:t>
      </w:r>
      <w:r w:rsidR="00324034">
        <w:rPr>
          <w:rFonts w:cstheme="minorHAnsi"/>
          <w:b/>
          <w:sz w:val="24"/>
          <w:szCs w:val="24"/>
        </w:rPr>
        <w:t>NKÚ zjistil,</w:t>
      </w:r>
      <w:r>
        <w:rPr>
          <w:rFonts w:cstheme="minorHAnsi"/>
          <w:b/>
          <w:sz w:val="24"/>
          <w:szCs w:val="24"/>
        </w:rPr>
        <w:t xml:space="preserve"> že některé </w:t>
      </w:r>
      <w:r w:rsidR="00324034">
        <w:rPr>
          <w:rFonts w:cstheme="minorHAnsi"/>
          <w:b/>
          <w:sz w:val="24"/>
          <w:szCs w:val="24"/>
        </w:rPr>
        <w:t xml:space="preserve">hodnoty </w:t>
      </w:r>
      <w:r>
        <w:rPr>
          <w:rFonts w:cstheme="minorHAnsi"/>
          <w:b/>
          <w:sz w:val="24"/>
          <w:szCs w:val="24"/>
        </w:rPr>
        <w:t>cílov</w:t>
      </w:r>
      <w:r w:rsidR="00324034">
        <w:rPr>
          <w:rFonts w:cstheme="minorHAnsi"/>
          <w:b/>
          <w:sz w:val="24"/>
          <w:szCs w:val="24"/>
        </w:rPr>
        <w:t>ých</w:t>
      </w:r>
      <w:r>
        <w:rPr>
          <w:rFonts w:cstheme="minorHAnsi"/>
          <w:b/>
          <w:sz w:val="24"/>
          <w:szCs w:val="24"/>
        </w:rPr>
        <w:t xml:space="preserve"> ukazatel</w:t>
      </w:r>
      <w:r w:rsidR="00324034">
        <w:rPr>
          <w:rFonts w:cstheme="minorHAnsi"/>
          <w:b/>
          <w:sz w:val="24"/>
          <w:szCs w:val="24"/>
        </w:rPr>
        <w:t>ů</w:t>
      </w:r>
      <w:r>
        <w:rPr>
          <w:rFonts w:cstheme="minorHAnsi"/>
          <w:b/>
          <w:sz w:val="24"/>
          <w:szCs w:val="24"/>
        </w:rPr>
        <w:t xml:space="preserve"> rostly i bez přispění podpory</w:t>
      </w:r>
      <w:r w:rsidR="003A3528">
        <w:rPr>
          <w:rFonts w:cstheme="minorHAnsi"/>
          <w:b/>
          <w:sz w:val="24"/>
          <w:szCs w:val="24"/>
        </w:rPr>
        <w:t xml:space="preserve"> </w:t>
      </w:r>
      <w:r w:rsidR="00306294">
        <w:rPr>
          <w:rFonts w:cstheme="minorHAnsi"/>
          <w:b/>
          <w:sz w:val="24"/>
          <w:szCs w:val="24"/>
        </w:rPr>
        <w:t>(</w:t>
      </w:r>
      <w:r w:rsidR="003A3528">
        <w:rPr>
          <w:rFonts w:cstheme="minorHAnsi"/>
          <w:b/>
          <w:sz w:val="24"/>
          <w:szCs w:val="24"/>
        </w:rPr>
        <w:t>program</w:t>
      </w:r>
      <w:r w:rsidR="00196F61">
        <w:rPr>
          <w:rFonts w:cstheme="minorHAnsi"/>
          <w:b/>
          <w:sz w:val="24"/>
          <w:szCs w:val="24"/>
        </w:rPr>
        <w:t xml:space="preserve"> podpory</w:t>
      </w:r>
      <w:r w:rsidR="003A3528">
        <w:rPr>
          <w:rFonts w:cstheme="minorHAnsi"/>
          <w:b/>
          <w:sz w:val="24"/>
          <w:szCs w:val="24"/>
        </w:rPr>
        <w:t xml:space="preserve"> </w:t>
      </w:r>
      <w:r w:rsidR="003A3528" w:rsidRPr="00AE3DE0">
        <w:rPr>
          <w:rFonts w:cstheme="minorHAnsi"/>
          <w:b/>
          <w:i/>
          <w:sz w:val="24"/>
          <w:szCs w:val="24"/>
        </w:rPr>
        <w:t>Poradenství</w:t>
      </w:r>
      <w:r w:rsidR="00306294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nebo naopak jejich hodnota i</w:t>
      </w:r>
      <w:r w:rsidR="002F0ED2">
        <w:rPr>
          <w:rFonts w:cstheme="minorHAnsi"/>
          <w:b/>
          <w:sz w:val="24"/>
          <w:szCs w:val="24"/>
        </w:rPr>
        <w:t> </w:t>
      </w:r>
      <w:r w:rsidR="00FA595C">
        <w:rPr>
          <w:rFonts w:cstheme="minorHAnsi"/>
          <w:b/>
          <w:sz w:val="24"/>
          <w:szCs w:val="24"/>
        </w:rPr>
        <w:t>přes poskytovanou podporu klesala</w:t>
      </w:r>
      <w:r w:rsidR="003A3528">
        <w:rPr>
          <w:rFonts w:cstheme="minorHAnsi"/>
          <w:b/>
          <w:sz w:val="24"/>
          <w:szCs w:val="24"/>
        </w:rPr>
        <w:t xml:space="preserve"> </w:t>
      </w:r>
      <w:r w:rsidR="00306294">
        <w:rPr>
          <w:rFonts w:cstheme="minorHAnsi"/>
          <w:b/>
          <w:sz w:val="24"/>
          <w:szCs w:val="24"/>
        </w:rPr>
        <w:t>(</w:t>
      </w:r>
      <w:r w:rsidR="003A3528">
        <w:rPr>
          <w:rFonts w:cstheme="minorHAnsi"/>
          <w:b/>
          <w:sz w:val="24"/>
          <w:szCs w:val="24"/>
        </w:rPr>
        <w:t xml:space="preserve">program </w:t>
      </w:r>
      <w:r w:rsidR="00196F61">
        <w:rPr>
          <w:rFonts w:cstheme="minorHAnsi"/>
          <w:b/>
          <w:sz w:val="24"/>
          <w:szCs w:val="24"/>
        </w:rPr>
        <w:t xml:space="preserve">podpory </w:t>
      </w:r>
      <w:r w:rsidR="003A3528" w:rsidRPr="00AE3DE0">
        <w:rPr>
          <w:rFonts w:cstheme="minorHAnsi"/>
          <w:b/>
          <w:i/>
          <w:sz w:val="24"/>
          <w:szCs w:val="24"/>
        </w:rPr>
        <w:t>Marketing</w:t>
      </w:r>
      <w:r w:rsidR="00306294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. </w:t>
      </w:r>
    </w:p>
    <w:p w14:paraId="7E3C4AC8" w14:textId="644E8EEA" w:rsidR="00777FEA" w:rsidRPr="00777FEA" w:rsidRDefault="00777FEA" w:rsidP="00AE3DE0">
      <w:pPr>
        <w:pStyle w:val="Odstavecseseznamem"/>
        <w:spacing w:after="120" w:line="240" w:lineRule="auto"/>
        <w:ind w:left="0"/>
        <w:jc w:val="both"/>
        <w:rPr>
          <w:rFonts w:cstheme="minorHAnsi"/>
          <w:b/>
          <w:sz w:val="24"/>
          <w:szCs w:val="24"/>
        </w:rPr>
      </w:pPr>
      <w:r w:rsidRPr="00777FEA">
        <w:rPr>
          <w:rFonts w:cstheme="minorHAnsi"/>
          <w:b/>
          <w:sz w:val="24"/>
          <w:szCs w:val="24"/>
        </w:rPr>
        <w:t>MPO v podporované oblasti nesled</w:t>
      </w:r>
      <w:r w:rsidR="000524AF">
        <w:rPr>
          <w:rFonts w:cstheme="minorHAnsi"/>
          <w:b/>
          <w:sz w:val="24"/>
          <w:szCs w:val="24"/>
        </w:rPr>
        <w:t>ovalo</w:t>
      </w:r>
      <w:r w:rsidRPr="00777FEA">
        <w:rPr>
          <w:rFonts w:cstheme="minorHAnsi"/>
          <w:b/>
          <w:sz w:val="24"/>
          <w:szCs w:val="24"/>
        </w:rPr>
        <w:t xml:space="preserve"> v době udržitelnosti přínosy podpořených projektů ve vztahu k plnění stanovený</w:t>
      </w:r>
      <w:r w:rsidR="00206A15">
        <w:rPr>
          <w:rFonts w:cstheme="minorHAnsi"/>
          <w:b/>
          <w:sz w:val="24"/>
          <w:szCs w:val="24"/>
        </w:rPr>
        <w:t>ch</w:t>
      </w:r>
      <w:r w:rsidRPr="00777FEA">
        <w:rPr>
          <w:rFonts w:cstheme="minorHAnsi"/>
          <w:b/>
          <w:sz w:val="24"/>
          <w:szCs w:val="24"/>
        </w:rPr>
        <w:t xml:space="preserve"> cílů podpory. </w:t>
      </w:r>
    </w:p>
    <w:p w14:paraId="2DD626B3" w14:textId="5A174293" w:rsidR="004E07EF" w:rsidRPr="00206A15" w:rsidRDefault="004E07EF" w:rsidP="00405E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06A15">
        <w:rPr>
          <w:rFonts w:cstheme="minorHAnsi"/>
          <w:b/>
          <w:sz w:val="24"/>
          <w:szCs w:val="24"/>
        </w:rPr>
        <w:t>NKÚ vyhodnotil riziko nehospodárnosti u interních projektů zajišťovaných příspěvkovou organizací CzechTrade.</w:t>
      </w:r>
    </w:p>
    <w:p w14:paraId="761AECFE" w14:textId="77777777" w:rsidR="006A431B" w:rsidRDefault="006A431B" w:rsidP="00405E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5E6786" w14:textId="7249A9B8" w:rsidR="00405EE0" w:rsidRPr="00405EE0" w:rsidRDefault="00405EE0" w:rsidP="00405E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5EE0">
        <w:rPr>
          <w:rFonts w:cstheme="minorHAnsi"/>
          <w:sz w:val="24"/>
          <w:szCs w:val="24"/>
        </w:rPr>
        <w:t>Výše uvedené celkové vyhodnocení vyplývá z následujících zjištění:</w:t>
      </w:r>
    </w:p>
    <w:p w14:paraId="06B504B0" w14:textId="5B524F0E" w:rsidR="00405EE0" w:rsidRDefault="00405EE0" w:rsidP="000A6177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58844F81" w14:textId="65A5878B" w:rsidR="00405EE0" w:rsidRDefault="00405EE0" w:rsidP="00405EE0">
      <w:pPr>
        <w:pStyle w:val="Odstavecseseznamem"/>
        <w:numPr>
          <w:ilvl w:val="0"/>
          <w:numId w:val="37"/>
        </w:numPr>
        <w:spacing w:after="0" w:line="240" w:lineRule="auto"/>
        <w:ind w:left="0" w:hanging="426"/>
        <w:jc w:val="both"/>
        <w:rPr>
          <w:rFonts w:cstheme="minorHAnsi"/>
          <w:sz w:val="24"/>
          <w:szCs w:val="24"/>
        </w:rPr>
      </w:pPr>
      <w:r w:rsidRPr="005F45A0">
        <w:rPr>
          <w:rFonts w:cstheme="minorHAnsi"/>
          <w:sz w:val="24"/>
          <w:szCs w:val="24"/>
        </w:rPr>
        <w:t>NKÚ na základě</w:t>
      </w:r>
      <w:r>
        <w:rPr>
          <w:rFonts w:cstheme="minorHAnsi"/>
          <w:sz w:val="24"/>
          <w:szCs w:val="24"/>
        </w:rPr>
        <w:t xml:space="preserve"> zjištěných skutečností konstatuje, že hodnoty výsledkových ukazatelů se vyvíjejí nezávisle na poskytnuté podpoře. </w:t>
      </w:r>
      <w:r w:rsidR="00477647">
        <w:rPr>
          <w:rFonts w:cstheme="minorHAnsi"/>
          <w:sz w:val="24"/>
          <w:szCs w:val="24"/>
        </w:rPr>
        <w:t xml:space="preserve">Hodnocené ukazatele výsledku vycházejí z veškeré ekonomické aktivity </w:t>
      </w:r>
      <w:r w:rsidR="00DF5B89">
        <w:rPr>
          <w:rFonts w:cstheme="minorHAnsi"/>
          <w:sz w:val="24"/>
          <w:szCs w:val="24"/>
        </w:rPr>
        <w:t>malých a středních podniků (dále také „</w:t>
      </w:r>
      <w:r w:rsidR="00477647">
        <w:rPr>
          <w:rFonts w:cstheme="minorHAnsi"/>
          <w:sz w:val="24"/>
          <w:szCs w:val="24"/>
        </w:rPr>
        <w:t>MSP</w:t>
      </w:r>
      <w:r w:rsidR="00DF5B89">
        <w:rPr>
          <w:rFonts w:cstheme="minorHAnsi"/>
          <w:sz w:val="24"/>
          <w:szCs w:val="24"/>
        </w:rPr>
        <w:t>“)</w:t>
      </w:r>
      <w:r w:rsidR="00477647">
        <w:rPr>
          <w:rFonts w:cstheme="minorHAnsi"/>
          <w:sz w:val="24"/>
          <w:szCs w:val="24"/>
        </w:rPr>
        <w:t xml:space="preserve">, ale podporu obdrželo pouze </w:t>
      </w:r>
      <w:r w:rsidR="005F45A0">
        <w:rPr>
          <w:rFonts w:cstheme="minorHAnsi"/>
          <w:sz w:val="24"/>
          <w:szCs w:val="24"/>
        </w:rPr>
        <w:t>jedno</w:t>
      </w:r>
      <w:r w:rsidR="00477647">
        <w:rPr>
          <w:rFonts w:cstheme="minorHAnsi"/>
          <w:sz w:val="24"/>
          <w:szCs w:val="24"/>
        </w:rPr>
        <w:t xml:space="preserve"> promile z jejich celkového počtu</w:t>
      </w:r>
      <w:r w:rsidR="004968D4">
        <w:rPr>
          <w:rFonts w:cstheme="minorHAnsi"/>
          <w:sz w:val="24"/>
          <w:szCs w:val="24"/>
        </w:rPr>
        <w:t>.</w:t>
      </w:r>
      <w:r w:rsidR="005806A1">
        <w:rPr>
          <w:rFonts w:cstheme="minorHAnsi"/>
          <w:sz w:val="24"/>
          <w:szCs w:val="24"/>
        </w:rPr>
        <w:t xml:space="preserve"> Není prokazatelné, zda a jak podpora naplnila stanovené cíle.</w:t>
      </w:r>
    </w:p>
    <w:p w14:paraId="2C6F5553" w14:textId="46401697" w:rsidR="00FD0F40" w:rsidRDefault="00FD0F40" w:rsidP="0018573B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1ADFFBB5" w14:textId="7041F94C" w:rsidR="0056343A" w:rsidRPr="0056343A" w:rsidRDefault="003A3528" w:rsidP="0056343A">
      <w:pPr>
        <w:pStyle w:val="Odstavecseseznamem"/>
        <w:numPr>
          <w:ilvl w:val="0"/>
          <w:numId w:val="37"/>
        </w:numPr>
        <w:spacing w:after="0" w:line="240" w:lineRule="auto"/>
        <w:ind w:left="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MPO připravovalo </w:t>
      </w:r>
      <w:r w:rsidR="003153CF">
        <w:rPr>
          <w:rFonts w:cstheme="minorHAnsi"/>
          <w:sz w:val="24"/>
          <w:szCs w:val="24"/>
        </w:rPr>
        <w:t xml:space="preserve">I. výzvu </w:t>
      </w:r>
      <w:r>
        <w:rPr>
          <w:rFonts w:cstheme="minorHAnsi"/>
          <w:sz w:val="24"/>
          <w:szCs w:val="24"/>
        </w:rPr>
        <w:t>program</w:t>
      </w:r>
      <w:r w:rsidR="003153CF">
        <w:rPr>
          <w:rFonts w:cstheme="minorHAnsi"/>
          <w:sz w:val="24"/>
          <w:szCs w:val="24"/>
        </w:rPr>
        <w:t>u podpory</w:t>
      </w:r>
      <w:r>
        <w:rPr>
          <w:rFonts w:cstheme="minorHAnsi"/>
          <w:sz w:val="24"/>
          <w:szCs w:val="24"/>
        </w:rPr>
        <w:t xml:space="preserve"> </w:t>
      </w:r>
      <w:r w:rsidRPr="00AE3DE0">
        <w:rPr>
          <w:rFonts w:cstheme="minorHAnsi"/>
          <w:i/>
          <w:sz w:val="24"/>
          <w:szCs w:val="24"/>
        </w:rPr>
        <w:t>Poradenství</w:t>
      </w:r>
      <w:r>
        <w:rPr>
          <w:rFonts w:cstheme="minorHAnsi"/>
          <w:sz w:val="24"/>
          <w:szCs w:val="24"/>
        </w:rPr>
        <w:t xml:space="preserve"> čtyři roky tak, že první projekty byly realizovány až v roce 2019 a proplaceno bylo jen 239 tis. Kč. </w:t>
      </w:r>
      <w:r w:rsidR="0018573B">
        <w:rPr>
          <w:rFonts w:cstheme="minorHAnsi"/>
          <w:sz w:val="24"/>
          <w:szCs w:val="24"/>
        </w:rPr>
        <w:t>Hodnoty ukazatelů výsledku</w:t>
      </w:r>
      <w:r w:rsidR="00405EE0" w:rsidRPr="00405EE0">
        <w:rPr>
          <w:rFonts w:cstheme="minorHAnsi"/>
          <w:sz w:val="24"/>
          <w:szCs w:val="24"/>
        </w:rPr>
        <w:t xml:space="preserve"> program</w:t>
      </w:r>
      <w:r w:rsidR="0018573B">
        <w:rPr>
          <w:rFonts w:cstheme="minorHAnsi"/>
          <w:sz w:val="24"/>
          <w:szCs w:val="24"/>
        </w:rPr>
        <w:t>u</w:t>
      </w:r>
      <w:r w:rsidR="00405EE0" w:rsidRPr="00405EE0">
        <w:rPr>
          <w:rFonts w:cstheme="minorHAnsi"/>
          <w:sz w:val="24"/>
          <w:szCs w:val="24"/>
        </w:rPr>
        <w:t xml:space="preserve"> podpory </w:t>
      </w:r>
      <w:r w:rsidR="00405EE0" w:rsidRPr="00AE3DE0">
        <w:rPr>
          <w:rFonts w:cstheme="minorHAnsi"/>
          <w:i/>
          <w:sz w:val="24"/>
          <w:szCs w:val="24"/>
        </w:rPr>
        <w:t>Poradenství</w:t>
      </w:r>
      <w:r>
        <w:rPr>
          <w:rFonts w:cstheme="minorHAnsi"/>
          <w:sz w:val="24"/>
          <w:szCs w:val="24"/>
        </w:rPr>
        <w:t xml:space="preserve"> </w:t>
      </w:r>
      <w:r w:rsidR="00405EE0" w:rsidRPr="00405EE0">
        <w:rPr>
          <w:rFonts w:cstheme="minorHAnsi"/>
          <w:sz w:val="24"/>
          <w:szCs w:val="24"/>
        </w:rPr>
        <w:t xml:space="preserve">rostly v letech 2015 </w:t>
      </w:r>
      <w:r w:rsidR="00B41630">
        <w:rPr>
          <w:rFonts w:cstheme="minorHAnsi"/>
          <w:sz w:val="24"/>
          <w:szCs w:val="24"/>
        </w:rPr>
        <w:t>až</w:t>
      </w:r>
      <w:r w:rsidR="0044604C">
        <w:rPr>
          <w:rFonts w:cstheme="minorHAnsi"/>
          <w:sz w:val="24"/>
          <w:szCs w:val="24"/>
        </w:rPr>
        <w:t xml:space="preserve"> </w:t>
      </w:r>
      <w:r w:rsidR="00405EE0" w:rsidRPr="00405EE0">
        <w:rPr>
          <w:rFonts w:cstheme="minorHAnsi"/>
          <w:sz w:val="24"/>
          <w:szCs w:val="24"/>
        </w:rPr>
        <w:t>2019 bez jaké</w:t>
      </w:r>
      <w:r w:rsidR="003153CF">
        <w:rPr>
          <w:rFonts w:cstheme="minorHAnsi"/>
          <w:sz w:val="24"/>
          <w:szCs w:val="24"/>
        </w:rPr>
        <w:t>ho</w:t>
      </w:r>
      <w:r w:rsidR="00405EE0" w:rsidRPr="00405EE0">
        <w:rPr>
          <w:rFonts w:cstheme="minorHAnsi"/>
          <w:sz w:val="24"/>
          <w:szCs w:val="24"/>
        </w:rPr>
        <w:t xml:space="preserve">koliv vlivu </w:t>
      </w:r>
      <w:r w:rsidR="00A16829" w:rsidRPr="00405EE0">
        <w:rPr>
          <w:rFonts w:cstheme="minorHAnsi"/>
          <w:sz w:val="24"/>
          <w:szCs w:val="24"/>
        </w:rPr>
        <w:t xml:space="preserve">podpory </w:t>
      </w:r>
      <w:r w:rsidR="00405EE0" w:rsidRPr="00405EE0">
        <w:rPr>
          <w:rFonts w:cstheme="minorHAnsi"/>
          <w:sz w:val="24"/>
          <w:szCs w:val="24"/>
        </w:rPr>
        <w:lastRenderedPageBreak/>
        <w:t xml:space="preserve">poskytnuté z </w:t>
      </w:r>
      <w:r>
        <w:rPr>
          <w:rFonts w:cstheme="minorHAnsi"/>
          <w:sz w:val="24"/>
          <w:szCs w:val="24"/>
        </w:rPr>
        <w:t>OPPIK</w:t>
      </w:r>
      <w:r w:rsidR="00405EE0" w:rsidRPr="00405EE0">
        <w:rPr>
          <w:rFonts w:cstheme="minorHAnsi"/>
          <w:sz w:val="24"/>
          <w:szCs w:val="24"/>
        </w:rPr>
        <w:t xml:space="preserve">. </w:t>
      </w:r>
      <w:r w:rsidR="002C2058" w:rsidRPr="00E23ECA">
        <w:rPr>
          <w:rFonts w:eastAsia="Calibri" w:cstheme="minorHAnsi"/>
          <w:sz w:val="24"/>
        </w:rPr>
        <w:t xml:space="preserve">MPO nesledovalo skutečné využití </w:t>
      </w:r>
      <w:r w:rsidR="00BD4E84">
        <w:rPr>
          <w:rFonts w:eastAsia="Calibri" w:cstheme="minorHAnsi"/>
          <w:sz w:val="24"/>
        </w:rPr>
        <w:t xml:space="preserve">poradenských </w:t>
      </w:r>
      <w:r w:rsidR="002C2058" w:rsidRPr="00E23ECA">
        <w:rPr>
          <w:rFonts w:eastAsia="Calibri" w:cstheme="minorHAnsi"/>
          <w:sz w:val="24"/>
        </w:rPr>
        <w:t>služeb ani jejich dopad na podnikatelskou činnost.</w:t>
      </w:r>
    </w:p>
    <w:p w14:paraId="7498E3A8" w14:textId="77777777" w:rsidR="0056343A" w:rsidRPr="0056343A" w:rsidRDefault="0056343A" w:rsidP="00A16829">
      <w:pPr>
        <w:pStyle w:val="Odstavecseseznamem"/>
        <w:ind w:left="0"/>
        <w:rPr>
          <w:rFonts w:cstheme="minorHAnsi"/>
          <w:sz w:val="24"/>
          <w:szCs w:val="24"/>
        </w:rPr>
      </w:pPr>
    </w:p>
    <w:p w14:paraId="0C095CE7" w14:textId="4FD6F937" w:rsidR="00E23ECA" w:rsidRDefault="003A3528" w:rsidP="00E23ECA">
      <w:pPr>
        <w:pStyle w:val="Odstavecseseznamem"/>
        <w:numPr>
          <w:ilvl w:val="0"/>
          <w:numId w:val="37"/>
        </w:numPr>
        <w:spacing w:after="0" w:line="240" w:lineRule="auto"/>
        <w:ind w:left="0" w:hanging="426"/>
        <w:jc w:val="both"/>
        <w:rPr>
          <w:rFonts w:cstheme="minorHAnsi"/>
          <w:sz w:val="24"/>
          <w:szCs w:val="24"/>
        </w:rPr>
      </w:pPr>
      <w:r w:rsidRPr="0056343A">
        <w:rPr>
          <w:rFonts w:cstheme="minorHAnsi"/>
          <w:sz w:val="24"/>
          <w:szCs w:val="24"/>
        </w:rPr>
        <w:t>MPO v</w:t>
      </w:r>
      <w:r w:rsidR="0018573B" w:rsidRPr="0056343A">
        <w:rPr>
          <w:rFonts w:cstheme="minorHAnsi"/>
          <w:sz w:val="24"/>
          <w:szCs w:val="24"/>
        </w:rPr>
        <w:t xml:space="preserve"> programu podpory </w:t>
      </w:r>
      <w:r w:rsidR="0018573B" w:rsidRPr="00AE3DE0">
        <w:rPr>
          <w:rFonts w:cstheme="minorHAnsi"/>
          <w:i/>
          <w:sz w:val="24"/>
          <w:szCs w:val="24"/>
        </w:rPr>
        <w:t>Marketing</w:t>
      </w:r>
      <w:r w:rsidRPr="0056343A">
        <w:rPr>
          <w:rFonts w:cstheme="minorHAnsi"/>
          <w:sz w:val="24"/>
          <w:szCs w:val="24"/>
        </w:rPr>
        <w:t xml:space="preserve"> </w:t>
      </w:r>
      <w:r w:rsidR="000E1BD6" w:rsidRPr="0056343A">
        <w:rPr>
          <w:rFonts w:cstheme="minorHAnsi"/>
          <w:sz w:val="24"/>
          <w:szCs w:val="24"/>
        </w:rPr>
        <w:t xml:space="preserve">do ledna 2021 </w:t>
      </w:r>
      <w:r w:rsidRPr="0056343A">
        <w:rPr>
          <w:rFonts w:cstheme="minorHAnsi"/>
          <w:sz w:val="24"/>
          <w:szCs w:val="24"/>
        </w:rPr>
        <w:t>proplatilo</w:t>
      </w:r>
      <w:r w:rsidR="00860B85" w:rsidRPr="0056343A">
        <w:rPr>
          <w:rFonts w:cstheme="minorHAnsi"/>
          <w:sz w:val="24"/>
          <w:szCs w:val="24"/>
        </w:rPr>
        <w:t xml:space="preserve"> 701</w:t>
      </w:r>
      <w:r w:rsidR="0018573B" w:rsidRPr="0056343A">
        <w:rPr>
          <w:rFonts w:cstheme="minorHAnsi"/>
          <w:sz w:val="24"/>
          <w:szCs w:val="24"/>
        </w:rPr>
        <w:t xml:space="preserve"> mil. Kč, avšak jeho ukazatel</w:t>
      </w:r>
      <w:r w:rsidR="00FF4B4A" w:rsidRPr="0056343A">
        <w:rPr>
          <w:rFonts w:cstheme="minorHAnsi"/>
          <w:sz w:val="24"/>
          <w:szCs w:val="24"/>
        </w:rPr>
        <w:t xml:space="preserve"> </w:t>
      </w:r>
      <w:r w:rsidR="0018573B" w:rsidRPr="0056343A">
        <w:rPr>
          <w:rFonts w:cstheme="minorHAnsi"/>
          <w:sz w:val="24"/>
          <w:szCs w:val="24"/>
        </w:rPr>
        <w:t>výsle</w:t>
      </w:r>
      <w:r w:rsidR="00CE447E" w:rsidRPr="0056343A">
        <w:rPr>
          <w:rFonts w:cstheme="minorHAnsi"/>
          <w:sz w:val="24"/>
          <w:szCs w:val="24"/>
        </w:rPr>
        <w:t>dku</w:t>
      </w:r>
      <w:r w:rsidR="00FF4B4A" w:rsidRPr="0056343A">
        <w:rPr>
          <w:rFonts w:cstheme="minorHAnsi"/>
          <w:sz w:val="24"/>
          <w:szCs w:val="24"/>
        </w:rPr>
        <w:t xml:space="preserve"> </w:t>
      </w:r>
      <w:r w:rsidR="00A16829">
        <w:rPr>
          <w:rFonts w:cstheme="minorHAnsi"/>
          <w:sz w:val="24"/>
          <w:szCs w:val="24"/>
        </w:rPr>
        <w:t>„</w:t>
      </w:r>
      <w:r w:rsidR="00BA5C50" w:rsidRPr="00AE3DE0">
        <w:rPr>
          <w:rFonts w:cstheme="minorHAnsi"/>
          <w:i/>
          <w:sz w:val="24"/>
          <w:szCs w:val="24"/>
        </w:rPr>
        <w:t xml:space="preserve">podíl exportu MSP k </w:t>
      </w:r>
      <w:r w:rsidR="00FF4B4A" w:rsidRPr="00AE3DE0">
        <w:rPr>
          <w:rFonts w:cstheme="minorHAnsi"/>
          <w:i/>
          <w:sz w:val="24"/>
          <w:szCs w:val="24"/>
        </w:rPr>
        <w:t>celkovým výkonům MSP</w:t>
      </w:r>
      <w:r w:rsidR="00A16829">
        <w:rPr>
          <w:rFonts w:cstheme="minorHAnsi"/>
          <w:sz w:val="24"/>
          <w:szCs w:val="24"/>
        </w:rPr>
        <w:t>“</w:t>
      </w:r>
      <w:r w:rsidR="00BA5C50">
        <w:rPr>
          <w:rFonts w:cstheme="minorHAnsi"/>
          <w:sz w:val="24"/>
          <w:szCs w:val="24"/>
        </w:rPr>
        <w:t xml:space="preserve"> </w:t>
      </w:r>
      <w:r w:rsidR="00CE447E" w:rsidRPr="0056343A">
        <w:rPr>
          <w:rFonts w:cstheme="minorHAnsi"/>
          <w:sz w:val="24"/>
          <w:szCs w:val="24"/>
        </w:rPr>
        <w:t>od roku 2015 soustavně klesal</w:t>
      </w:r>
      <w:r w:rsidR="0018573B" w:rsidRPr="0056343A">
        <w:rPr>
          <w:rFonts w:cstheme="minorHAnsi"/>
          <w:sz w:val="24"/>
          <w:szCs w:val="24"/>
        </w:rPr>
        <w:t xml:space="preserve">. </w:t>
      </w:r>
      <w:r w:rsidR="004A3C62" w:rsidRPr="0056343A">
        <w:rPr>
          <w:rFonts w:cstheme="minorHAnsi"/>
          <w:sz w:val="24"/>
          <w:szCs w:val="24"/>
        </w:rPr>
        <w:t xml:space="preserve">Není </w:t>
      </w:r>
      <w:r w:rsidR="003153CF" w:rsidRPr="0056343A">
        <w:rPr>
          <w:rFonts w:cstheme="minorHAnsi"/>
          <w:sz w:val="24"/>
          <w:szCs w:val="24"/>
        </w:rPr>
        <w:t>prokazatelné</w:t>
      </w:r>
      <w:r w:rsidR="004A3C62" w:rsidRPr="0056343A">
        <w:rPr>
          <w:rFonts w:cstheme="minorHAnsi"/>
          <w:sz w:val="24"/>
          <w:szCs w:val="24"/>
        </w:rPr>
        <w:t>, zda</w:t>
      </w:r>
      <w:r w:rsidR="003153CF" w:rsidRPr="0056343A">
        <w:rPr>
          <w:rFonts w:cstheme="minorHAnsi"/>
          <w:sz w:val="24"/>
          <w:szCs w:val="24"/>
        </w:rPr>
        <w:t xml:space="preserve"> a jak</w:t>
      </w:r>
      <w:r w:rsidR="004A3C62" w:rsidRPr="0056343A">
        <w:rPr>
          <w:rFonts w:cstheme="minorHAnsi"/>
          <w:sz w:val="24"/>
          <w:szCs w:val="24"/>
        </w:rPr>
        <w:t xml:space="preserve"> podpora naplnila </w:t>
      </w:r>
      <w:r w:rsidR="003153CF" w:rsidRPr="0056343A">
        <w:rPr>
          <w:rFonts w:cstheme="minorHAnsi"/>
          <w:sz w:val="24"/>
          <w:szCs w:val="24"/>
        </w:rPr>
        <w:t xml:space="preserve">stanovený cíl, kterým je </w:t>
      </w:r>
      <w:r w:rsidR="000524AF">
        <w:rPr>
          <w:rFonts w:cstheme="minorHAnsi"/>
          <w:sz w:val="24"/>
          <w:szCs w:val="24"/>
        </w:rPr>
        <w:t>zvýšení exportu a </w:t>
      </w:r>
      <w:r w:rsidR="004A3C62" w:rsidRPr="0056343A">
        <w:rPr>
          <w:rFonts w:cstheme="minorHAnsi"/>
          <w:sz w:val="24"/>
          <w:szCs w:val="24"/>
        </w:rPr>
        <w:t>mezinárodní expanze MSP.</w:t>
      </w:r>
    </w:p>
    <w:p w14:paraId="7DA1D956" w14:textId="77777777" w:rsidR="00E23ECA" w:rsidRPr="00E23ECA" w:rsidRDefault="00E23ECA" w:rsidP="00A16829">
      <w:pPr>
        <w:pStyle w:val="Odstavecseseznamem"/>
        <w:ind w:left="0"/>
        <w:rPr>
          <w:rFonts w:cstheme="minorHAnsi"/>
          <w:sz w:val="24"/>
          <w:szCs w:val="24"/>
        </w:rPr>
      </w:pPr>
    </w:p>
    <w:p w14:paraId="48F8E69D" w14:textId="262C8E48" w:rsidR="003A3528" w:rsidRPr="00E23ECA" w:rsidRDefault="003A3528" w:rsidP="00E23ECA">
      <w:pPr>
        <w:pStyle w:val="Odstavecseseznamem"/>
        <w:numPr>
          <w:ilvl w:val="0"/>
          <w:numId w:val="37"/>
        </w:numPr>
        <w:spacing w:after="0" w:line="240" w:lineRule="auto"/>
        <w:ind w:left="0" w:hanging="426"/>
        <w:jc w:val="both"/>
        <w:rPr>
          <w:rFonts w:cstheme="minorHAnsi"/>
          <w:sz w:val="24"/>
          <w:szCs w:val="24"/>
        </w:rPr>
      </w:pPr>
      <w:r w:rsidRPr="00E23ECA">
        <w:rPr>
          <w:rFonts w:cstheme="minorHAnsi"/>
          <w:sz w:val="24"/>
          <w:szCs w:val="24"/>
        </w:rPr>
        <w:t xml:space="preserve">Náklady na realizaci a administraci </w:t>
      </w:r>
      <w:r w:rsidR="004B70D5" w:rsidRPr="00E23ECA">
        <w:rPr>
          <w:rFonts w:cstheme="minorHAnsi"/>
          <w:sz w:val="24"/>
          <w:szCs w:val="24"/>
        </w:rPr>
        <w:t xml:space="preserve">tzv. </w:t>
      </w:r>
      <w:r w:rsidRPr="00E23ECA">
        <w:rPr>
          <w:rFonts w:cstheme="minorHAnsi"/>
          <w:sz w:val="24"/>
          <w:szCs w:val="24"/>
        </w:rPr>
        <w:t>interních projektů</w:t>
      </w:r>
      <w:r w:rsidR="00CE447E" w:rsidRPr="00E23ECA">
        <w:rPr>
          <w:rFonts w:cstheme="minorHAnsi"/>
          <w:sz w:val="24"/>
          <w:szCs w:val="24"/>
        </w:rPr>
        <w:t xml:space="preserve"> v rámci programu</w:t>
      </w:r>
      <w:r w:rsidR="00196F61" w:rsidRPr="00E23ECA">
        <w:rPr>
          <w:rFonts w:cstheme="minorHAnsi"/>
          <w:sz w:val="24"/>
          <w:szCs w:val="24"/>
        </w:rPr>
        <w:t xml:space="preserve"> podpory</w:t>
      </w:r>
      <w:r w:rsidR="00CE447E" w:rsidRPr="00E23ECA">
        <w:rPr>
          <w:rFonts w:cstheme="minorHAnsi"/>
          <w:sz w:val="24"/>
          <w:szCs w:val="24"/>
        </w:rPr>
        <w:t xml:space="preserve"> </w:t>
      </w:r>
      <w:r w:rsidR="00CE447E" w:rsidRPr="00AE3DE0">
        <w:rPr>
          <w:rFonts w:cstheme="minorHAnsi"/>
          <w:i/>
          <w:sz w:val="24"/>
          <w:szCs w:val="24"/>
        </w:rPr>
        <w:t>Marketing</w:t>
      </w:r>
      <w:r w:rsidRPr="00E23ECA">
        <w:rPr>
          <w:rFonts w:cstheme="minorHAnsi"/>
          <w:sz w:val="24"/>
          <w:szCs w:val="24"/>
        </w:rPr>
        <w:t xml:space="preserve">, kterými zajišťuje příjemce podpory CzechTrade zvýhodněné služby pro </w:t>
      </w:r>
      <w:r w:rsidR="00E23ECA">
        <w:rPr>
          <w:rFonts w:cstheme="minorHAnsi"/>
          <w:sz w:val="24"/>
          <w:szCs w:val="24"/>
        </w:rPr>
        <w:t>MSP</w:t>
      </w:r>
      <w:r w:rsidRPr="00E23ECA">
        <w:rPr>
          <w:rFonts w:cstheme="minorHAnsi"/>
          <w:sz w:val="24"/>
          <w:szCs w:val="24"/>
        </w:rPr>
        <w:t>,</w:t>
      </w:r>
      <w:r w:rsidR="003153CF" w:rsidRPr="00E23ECA">
        <w:rPr>
          <w:rFonts w:cstheme="minorHAnsi"/>
          <w:sz w:val="24"/>
          <w:szCs w:val="24"/>
        </w:rPr>
        <w:t xml:space="preserve"> jsou vysoké a</w:t>
      </w:r>
      <w:r w:rsidR="00777FEA" w:rsidRPr="00E23ECA">
        <w:rPr>
          <w:rFonts w:cstheme="minorHAnsi"/>
          <w:sz w:val="24"/>
          <w:szCs w:val="24"/>
        </w:rPr>
        <w:t xml:space="preserve"> činí</w:t>
      </w:r>
      <w:r w:rsidRPr="00E23ECA">
        <w:rPr>
          <w:rFonts w:cstheme="minorHAnsi"/>
          <w:sz w:val="24"/>
          <w:szCs w:val="24"/>
        </w:rPr>
        <w:t xml:space="preserve"> 47</w:t>
      </w:r>
      <w:r w:rsidR="00D23A3C">
        <w:rPr>
          <w:rFonts w:cstheme="minorHAnsi"/>
          <w:sz w:val="24"/>
          <w:szCs w:val="24"/>
        </w:rPr>
        <w:t> </w:t>
      </w:r>
      <w:r w:rsidRPr="00E23ECA">
        <w:rPr>
          <w:rFonts w:cstheme="minorHAnsi"/>
          <w:sz w:val="24"/>
          <w:szCs w:val="24"/>
        </w:rPr>
        <w:t xml:space="preserve">% ze zatím vyčerpaných peněžních prostředků podpory. Vzhledem k opakovanému prodlužování doby realizace interních projektů </w:t>
      </w:r>
      <w:r w:rsidR="00D23A3C">
        <w:rPr>
          <w:rFonts w:cstheme="minorHAnsi"/>
          <w:sz w:val="24"/>
          <w:szCs w:val="24"/>
        </w:rPr>
        <w:t xml:space="preserve">upozorňuje </w:t>
      </w:r>
      <w:r w:rsidRPr="00E23ECA">
        <w:rPr>
          <w:rFonts w:cstheme="minorHAnsi"/>
          <w:sz w:val="24"/>
          <w:szCs w:val="24"/>
        </w:rPr>
        <w:t xml:space="preserve">NKÚ </w:t>
      </w:r>
      <w:r w:rsidR="00D23A3C">
        <w:rPr>
          <w:rFonts w:cstheme="minorHAnsi"/>
          <w:sz w:val="24"/>
          <w:szCs w:val="24"/>
        </w:rPr>
        <w:t>na</w:t>
      </w:r>
      <w:r w:rsidR="00D23A3C" w:rsidRPr="00E23ECA">
        <w:rPr>
          <w:rFonts w:cstheme="minorHAnsi"/>
          <w:sz w:val="24"/>
          <w:szCs w:val="24"/>
        </w:rPr>
        <w:t xml:space="preserve"> </w:t>
      </w:r>
      <w:r w:rsidRPr="00E23ECA">
        <w:rPr>
          <w:rFonts w:cstheme="minorHAnsi"/>
          <w:sz w:val="24"/>
          <w:szCs w:val="24"/>
        </w:rPr>
        <w:t>riziko dalšího nárůstu podílu těchto nákladů v nepr</w:t>
      </w:r>
      <w:r w:rsidR="002F0ED2" w:rsidRPr="00E23ECA">
        <w:rPr>
          <w:rFonts w:cstheme="minorHAnsi"/>
          <w:sz w:val="24"/>
          <w:szCs w:val="24"/>
        </w:rPr>
        <w:t xml:space="preserve">ospěch samotné podpory </w:t>
      </w:r>
      <w:r w:rsidR="00E23ECA">
        <w:rPr>
          <w:rFonts w:cstheme="minorHAnsi"/>
          <w:sz w:val="24"/>
          <w:szCs w:val="24"/>
        </w:rPr>
        <w:t>MSP</w:t>
      </w:r>
      <w:r w:rsidRPr="00E23ECA">
        <w:rPr>
          <w:rFonts w:cstheme="minorHAnsi"/>
          <w:sz w:val="24"/>
          <w:szCs w:val="24"/>
        </w:rPr>
        <w:t>. To může vést k</w:t>
      </w:r>
      <w:r w:rsidR="004B70D5" w:rsidRPr="00E23ECA">
        <w:rPr>
          <w:rFonts w:cstheme="minorHAnsi"/>
          <w:sz w:val="24"/>
          <w:szCs w:val="24"/>
        </w:rPr>
        <w:t> nehospodárnosti vynaložených peněžních prostředků.</w:t>
      </w:r>
      <w:r w:rsidR="0091278E">
        <w:rPr>
          <w:rFonts w:cstheme="minorHAnsi"/>
          <w:sz w:val="24"/>
          <w:szCs w:val="24"/>
        </w:rPr>
        <w:t xml:space="preserve"> </w:t>
      </w:r>
      <w:r w:rsidR="00B06D50" w:rsidRPr="00E23ECA">
        <w:rPr>
          <w:rFonts w:ascii="Calibri" w:eastAsia="Calibri" w:hAnsi="Calibri" w:cs="Calibri"/>
          <w:color w:val="000000"/>
          <w:sz w:val="24"/>
          <w:szCs w:val="24"/>
        </w:rPr>
        <w:t>Dopad a přínosy poskytovaných služeb na jednotlivé MSP z hlediska jejich schopnosti rozvoje a expanze</w:t>
      </w:r>
      <w:r w:rsidR="00CD71A1">
        <w:rPr>
          <w:rFonts w:ascii="Calibri" w:eastAsia="Calibri" w:hAnsi="Calibri" w:cs="Calibri"/>
          <w:color w:val="000000"/>
          <w:sz w:val="24"/>
          <w:szCs w:val="24"/>
        </w:rPr>
        <w:t xml:space="preserve"> na zahraniční trhy MPO nesledovalo</w:t>
      </w:r>
      <w:r w:rsidR="00B06D50" w:rsidRPr="00E23ECA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5FBCA48" w14:textId="77777777" w:rsidR="00CE447E" w:rsidRDefault="00CE447E" w:rsidP="00CE447E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5EA3695" w14:textId="09C008A0" w:rsidR="00AE39BE" w:rsidRPr="003A3528" w:rsidRDefault="0006475B" w:rsidP="008918E5">
      <w:pPr>
        <w:pStyle w:val="Odstavecseseznamem"/>
        <w:numPr>
          <w:ilvl w:val="0"/>
          <w:numId w:val="37"/>
        </w:numPr>
        <w:spacing w:after="0" w:line="280" w:lineRule="atLeast"/>
        <w:ind w:left="0" w:hanging="426"/>
        <w:jc w:val="both"/>
        <w:rPr>
          <w:rFonts w:cstheme="minorHAnsi"/>
          <w:sz w:val="24"/>
          <w:szCs w:val="24"/>
        </w:rPr>
      </w:pPr>
      <w:r w:rsidRPr="003A3528">
        <w:rPr>
          <w:rFonts w:cstheme="minorHAnsi"/>
          <w:sz w:val="24"/>
          <w:szCs w:val="24"/>
        </w:rPr>
        <w:t>Pro program</w:t>
      </w:r>
      <w:r w:rsidR="00196F61">
        <w:rPr>
          <w:rFonts w:cstheme="minorHAnsi"/>
          <w:sz w:val="24"/>
          <w:szCs w:val="24"/>
        </w:rPr>
        <w:t xml:space="preserve"> podpory</w:t>
      </w:r>
      <w:r w:rsidRPr="003A3528">
        <w:rPr>
          <w:rFonts w:cstheme="minorHAnsi"/>
          <w:sz w:val="24"/>
          <w:szCs w:val="24"/>
        </w:rPr>
        <w:t xml:space="preserve"> </w:t>
      </w:r>
      <w:r w:rsidRPr="00AE3DE0">
        <w:rPr>
          <w:rFonts w:cstheme="minorHAnsi"/>
          <w:i/>
          <w:sz w:val="24"/>
          <w:szCs w:val="24"/>
        </w:rPr>
        <w:t>Školicí střediska</w:t>
      </w:r>
      <w:r w:rsidRPr="003A3528">
        <w:rPr>
          <w:rFonts w:cstheme="minorHAnsi"/>
          <w:sz w:val="24"/>
          <w:szCs w:val="24"/>
        </w:rPr>
        <w:t xml:space="preserve"> stanovilo </w:t>
      </w:r>
      <w:r w:rsidR="00D23A3C" w:rsidRPr="003A3528">
        <w:rPr>
          <w:rFonts w:cstheme="minorHAnsi"/>
          <w:sz w:val="24"/>
          <w:szCs w:val="24"/>
        </w:rPr>
        <w:t xml:space="preserve">MPO </w:t>
      </w:r>
      <w:r w:rsidRPr="003A3528">
        <w:rPr>
          <w:rFonts w:cstheme="minorHAnsi"/>
          <w:sz w:val="24"/>
          <w:szCs w:val="24"/>
        </w:rPr>
        <w:t>výsledkový ukazatel s periodou vykazování 5 let</w:t>
      </w:r>
      <w:r w:rsidR="00832041">
        <w:rPr>
          <w:rFonts w:cstheme="minorHAnsi"/>
          <w:sz w:val="24"/>
          <w:szCs w:val="24"/>
        </w:rPr>
        <w:t>.</w:t>
      </w:r>
      <w:r w:rsidRPr="003A3528">
        <w:rPr>
          <w:rFonts w:cstheme="minorHAnsi"/>
          <w:sz w:val="24"/>
          <w:szCs w:val="24"/>
        </w:rPr>
        <w:t xml:space="preserve"> </w:t>
      </w:r>
      <w:r w:rsidR="00832041">
        <w:rPr>
          <w:rFonts w:cstheme="minorHAnsi"/>
          <w:sz w:val="24"/>
          <w:szCs w:val="24"/>
        </w:rPr>
        <w:t>N</w:t>
      </w:r>
      <w:r w:rsidRPr="003A3528">
        <w:rPr>
          <w:rFonts w:cstheme="minorHAnsi"/>
          <w:sz w:val="24"/>
          <w:szCs w:val="24"/>
        </w:rPr>
        <w:t xml:space="preserve">a základě </w:t>
      </w:r>
      <w:r w:rsidR="00202821">
        <w:rPr>
          <w:rFonts w:cstheme="minorHAnsi"/>
          <w:sz w:val="24"/>
          <w:szCs w:val="24"/>
        </w:rPr>
        <w:t xml:space="preserve">tohoto ukazatele </w:t>
      </w:r>
      <w:r w:rsidRPr="003A3528">
        <w:rPr>
          <w:rFonts w:cstheme="minorHAnsi"/>
          <w:sz w:val="24"/>
          <w:szCs w:val="24"/>
        </w:rPr>
        <w:t xml:space="preserve">nelze vyhodnocovat </w:t>
      </w:r>
      <w:r w:rsidR="00832041" w:rsidRPr="003A3528">
        <w:rPr>
          <w:rFonts w:cstheme="minorHAnsi"/>
          <w:sz w:val="24"/>
          <w:szCs w:val="24"/>
        </w:rPr>
        <w:t xml:space="preserve">průběžně </w:t>
      </w:r>
      <w:r w:rsidRPr="003A3528">
        <w:rPr>
          <w:rFonts w:cstheme="minorHAnsi"/>
          <w:sz w:val="24"/>
          <w:szCs w:val="24"/>
        </w:rPr>
        <w:t>vývoj v</w:t>
      </w:r>
      <w:r w:rsidR="00202821">
        <w:rPr>
          <w:rFonts w:cstheme="minorHAnsi"/>
          <w:sz w:val="24"/>
          <w:szCs w:val="24"/>
        </w:rPr>
        <w:t> </w:t>
      </w:r>
      <w:r w:rsidRPr="003A3528">
        <w:rPr>
          <w:rFonts w:cstheme="minorHAnsi"/>
          <w:sz w:val="24"/>
          <w:szCs w:val="24"/>
        </w:rPr>
        <w:t>podporované oblasti a</w:t>
      </w:r>
      <w:r w:rsidR="00202821">
        <w:rPr>
          <w:rFonts w:cstheme="minorHAnsi"/>
          <w:sz w:val="24"/>
          <w:szCs w:val="24"/>
        </w:rPr>
        <w:t>ni</w:t>
      </w:r>
      <w:r w:rsidRPr="003A3528">
        <w:rPr>
          <w:rFonts w:cstheme="minorHAnsi"/>
          <w:sz w:val="24"/>
          <w:szCs w:val="24"/>
        </w:rPr>
        <w:t xml:space="preserve"> plnění cílů</w:t>
      </w:r>
      <w:r w:rsidR="003A3528" w:rsidRPr="003A3528">
        <w:rPr>
          <w:rFonts w:cstheme="minorHAnsi"/>
          <w:sz w:val="24"/>
          <w:szCs w:val="24"/>
        </w:rPr>
        <w:t>.</w:t>
      </w:r>
      <w:r w:rsidR="003A3528">
        <w:rPr>
          <w:rFonts w:cstheme="minorHAnsi"/>
          <w:sz w:val="24"/>
          <w:szCs w:val="24"/>
        </w:rPr>
        <w:t xml:space="preserve"> </w:t>
      </w:r>
      <w:r w:rsidR="00AE39BE" w:rsidRPr="003A3528">
        <w:rPr>
          <w:rFonts w:cstheme="minorHAnsi"/>
          <w:sz w:val="24"/>
          <w:szCs w:val="24"/>
        </w:rPr>
        <w:t xml:space="preserve">MPO také nevhodně nastavilo způsob sledování vytíženosti školicích středisek, </w:t>
      </w:r>
      <w:r w:rsidR="00202821">
        <w:rPr>
          <w:rFonts w:cstheme="minorHAnsi"/>
          <w:sz w:val="24"/>
          <w:szCs w:val="24"/>
        </w:rPr>
        <w:t>v důsledku čehož</w:t>
      </w:r>
      <w:r w:rsidR="00AE39BE" w:rsidRPr="003A3528">
        <w:rPr>
          <w:rFonts w:cstheme="minorHAnsi"/>
          <w:sz w:val="24"/>
          <w:szCs w:val="24"/>
        </w:rPr>
        <w:t xml:space="preserve"> nemůže vyhodnotit splnění cílů v oblasti vzdělávání a rozvoje lidských zdrojů v podnikatelském sektoru.</w:t>
      </w:r>
    </w:p>
    <w:p w14:paraId="09554278" w14:textId="77777777" w:rsidR="00F96128" w:rsidRPr="00F96128" w:rsidRDefault="00F96128" w:rsidP="00A217B5">
      <w:pPr>
        <w:pStyle w:val="Odstavecseseznamem"/>
        <w:ind w:left="0"/>
        <w:rPr>
          <w:rFonts w:cstheme="minorHAnsi"/>
          <w:sz w:val="24"/>
          <w:szCs w:val="24"/>
        </w:rPr>
      </w:pPr>
    </w:p>
    <w:p w14:paraId="3A54DA32" w14:textId="3E515876" w:rsidR="00405EE0" w:rsidRDefault="0018573B" w:rsidP="00086D8C">
      <w:pPr>
        <w:pStyle w:val="Odstavecseseznamem"/>
        <w:numPr>
          <w:ilvl w:val="0"/>
          <w:numId w:val="37"/>
        </w:numPr>
        <w:spacing w:after="0" w:line="240" w:lineRule="auto"/>
        <w:ind w:left="0" w:hanging="426"/>
        <w:jc w:val="both"/>
        <w:rPr>
          <w:rFonts w:cstheme="minorHAnsi"/>
          <w:sz w:val="24"/>
          <w:szCs w:val="24"/>
        </w:rPr>
      </w:pPr>
      <w:r w:rsidRPr="0018573B">
        <w:rPr>
          <w:rFonts w:cstheme="minorHAnsi"/>
          <w:sz w:val="24"/>
          <w:szCs w:val="24"/>
        </w:rPr>
        <w:t xml:space="preserve">Poskytování podpory z OPPIK na opatření </w:t>
      </w:r>
      <w:r w:rsidR="008359A7">
        <w:rPr>
          <w:rFonts w:cstheme="minorHAnsi"/>
          <w:sz w:val="24"/>
          <w:szCs w:val="24"/>
        </w:rPr>
        <w:t>související</w:t>
      </w:r>
      <w:r w:rsidRPr="0018573B">
        <w:rPr>
          <w:rFonts w:cstheme="minorHAnsi"/>
          <w:sz w:val="24"/>
          <w:szCs w:val="24"/>
        </w:rPr>
        <w:t xml:space="preserve"> s nákazou Covid</w:t>
      </w:r>
      <w:r w:rsidR="00AE3DE0">
        <w:rPr>
          <w:rFonts w:cstheme="minorHAnsi"/>
          <w:sz w:val="24"/>
          <w:szCs w:val="24"/>
        </w:rPr>
        <w:t xml:space="preserve"> </w:t>
      </w:r>
      <w:r w:rsidRPr="0018573B">
        <w:rPr>
          <w:rFonts w:cstheme="minorHAnsi"/>
          <w:sz w:val="24"/>
          <w:szCs w:val="24"/>
        </w:rPr>
        <w:t>19 bylo v době kontroly ve fázi vydávání rozhodnutí o poskytnutí dotace a postupného proplácení peněžních prostř</w:t>
      </w:r>
      <w:r w:rsidR="003A3528">
        <w:rPr>
          <w:rFonts w:cstheme="minorHAnsi"/>
          <w:sz w:val="24"/>
          <w:szCs w:val="24"/>
        </w:rPr>
        <w:t xml:space="preserve">edků. Z nastavených indikátorů </w:t>
      </w:r>
      <w:r w:rsidR="00E23ECA">
        <w:rPr>
          <w:rFonts w:cstheme="minorHAnsi"/>
          <w:sz w:val="24"/>
          <w:szCs w:val="24"/>
        </w:rPr>
        <w:t>je</w:t>
      </w:r>
      <w:r w:rsidRPr="0018573B">
        <w:rPr>
          <w:rFonts w:cstheme="minorHAnsi"/>
          <w:sz w:val="24"/>
          <w:szCs w:val="24"/>
        </w:rPr>
        <w:t xml:space="preserve"> však patrné, že MPO nebude po dokončení projektů schopno vyhodnotit naplnění účelu podpory. </w:t>
      </w:r>
    </w:p>
    <w:p w14:paraId="48E0563F" w14:textId="77777777" w:rsidR="006A431B" w:rsidRPr="006A431B" w:rsidRDefault="006A431B" w:rsidP="00A217B5">
      <w:pPr>
        <w:pStyle w:val="Odstavecseseznamem"/>
        <w:ind w:left="0"/>
        <w:rPr>
          <w:rFonts w:cstheme="minorHAnsi"/>
          <w:sz w:val="24"/>
          <w:szCs w:val="24"/>
        </w:rPr>
      </w:pPr>
    </w:p>
    <w:p w14:paraId="383D4E71" w14:textId="5DE26FC6" w:rsidR="00597EAA" w:rsidRPr="0018573B" w:rsidRDefault="00597EAA" w:rsidP="006A431B">
      <w:pPr>
        <w:pStyle w:val="Odstavecseseznamem"/>
        <w:numPr>
          <w:ilvl w:val="0"/>
          <w:numId w:val="37"/>
        </w:numPr>
        <w:spacing w:after="0" w:line="240" w:lineRule="auto"/>
        <w:ind w:left="0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API </w:t>
      </w:r>
      <w:r w:rsidR="00CD71A1">
        <w:rPr>
          <w:rFonts w:cstheme="minorHAnsi"/>
          <w:sz w:val="24"/>
          <w:szCs w:val="24"/>
        </w:rPr>
        <w:t>nevyhodnocovala</w:t>
      </w:r>
      <w:r w:rsidR="006C01FC">
        <w:rPr>
          <w:rFonts w:cstheme="minorHAnsi"/>
          <w:sz w:val="24"/>
          <w:szCs w:val="24"/>
        </w:rPr>
        <w:t xml:space="preserve"> údaje </w:t>
      </w:r>
      <w:r w:rsidR="00CD71A1">
        <w:rPr>
          <w:rFonts w:cstheme="minorHAnsi"/>
          <w:sz w:val="24"/>
          <w:szCs w:val="24"/>
        </w:rPr>
        <w:t>o efektivnosti programů podpory a</w:t>
      </w:r>
      <w:r w:rsidR="006C01FC">
        <w:rPr>
          <w:rFonts w:cstheme="minorHAnsi"/>
          <w:sz w:val="24"/>
          <w:szCs w:val="24"/>
        </w:rPr>
        <w:t xml:space="preserve"> MPO to po ní </w:t>
      </w:r>
      <w:r w:rsidR="00CD71A1">
        <w:rPr>
          <w:rFonts w:cstheme="minorHAnsi"/>
          <w:sz w:val="24"/>
          <w:szCs w:val="24"/>
        </w:rPr>
        <w:t>nepožadovalo</w:t>
      </w:r>
      <w:r w:rsidR="006C01FC">
        <w:rPr>
          <w:rFonts w:cstheme="minorHAnsi"/>
          <w:sz w:val="24"/>
          <w:szCs w:val="24"/>
        </w:rPr>
        <w:t>.</w:t>
      </w:r>
    </w:p>
    <w:p w14:paraId="433200DA" w14:textId="02C23305" w:rsidR="00405EE0" w:rsidRPr="0012538D" w:rsidRDefault="00405EE0" w:rsidP="000A6177">
      <w:pPr>
        <w:spacing w:after="0" w:line="280" w:lineRule="atLeast"/>
        <w:jc w:val="both"/>
        <w:rPr>
          <w:rFonts w:cstheme="minorHAnsi"/>
          <w:b/>
          <w:sz w:val="24"/>
          <w:szCs w:val="24"/>
        </w:rPr>
      </w:pPr>
    </w:p>
    <w:p w14:paraId="56227AD3" w14:textId="77777777" w:rsidR="0018573B" w:rsidRPr="0012538D" w:rsidRDefault="0018573B" w:rsidP="000A6177">
      <w:pPr>
        <w:pStyle w:val="Nadpis1"/>
        <w:numPr>
          <w:ilvl w:val="0"/>
          <w:numId w:val="0"/>
        </w:numPr>
        <w:spacing w:before="0" w:after="0" w:line="280" w:lineRule="atLeast"/>
        <w:rPr>
          <w:szCs w:val="24"/>
        </w:rPr>
      </w:pPr>
    </w:p>
    <w:p w14:paraId="0E0D7B32" w14:textId="3BC6D692" w:rsidR="003869EF" w:rsidRPr="00891AA7" w:rsidRDefault="003869EF" w:rsidP="000A6177">
      <w:pPr>
        <w:pStyle w:val="Nadpis1"/>
        <w:numPr>
          <w:ilvl w:val="0"/>
          <w:numId w:val="0"/>
        </w:numPr>
        <w:spacing w:before="0" w:after="0" w:line="280" w:lineRule="atLeast"/>
        <w:rPr>
          <w:sz w:val="28"/>
          <w:szCs w:val="28"/>
        </w:rPr>
      </w:pPr>
      <w:r w:rsidRPr="00891AA7">
        <w:rPr>
          <w:sz w:val="28"/>
          <w:szCs w:val="28"/>
        </w:rPr>
        <w:t>II. Informace o kontrolované oblasti</w:t>
      </w:r>
    </w:p>
    <w:p w14:paraId="363BF3BF" w14:textId="77777777" w:rsidR="003869EF" w:rsidRPr="00891AA7" w:rsidRDefault="003869EF" w:rsidP="000A6177">
      <w:pPr>
        <w:spacing w:after="0" w:line="280" w:lineRule="atLeast"/>
        <w:jc w:val="both"/>
        <w:rPr>
          <w:rFonts w:cstheme="minorHAnsi"/>
        </w:rPr>
      </w:pPr>
    </w:p>
    <w:p w14:paraId="3502C446" w14:textId="5BC0B2C2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  <w:szCs w:val="24"/>
        </w:rPr>
      </w:pPr>
      <w:r w:rsidRPr="00826C68">
        <w:rPr>
          <w:rFonts w:cstheme="minorHAnsi"/>
          <w:sz w:val="24"/>
          <w:szCs w:val="24"/>
        </w:rPr>
        <w:t>OPPIK schválila vláda ČR usnesením ze dne 14. července 2014 č. 581</w:t>
      </w:r>
      <w:r w:rsidRPr="00826C68">
        <w:rPr>
          <w:rStyle w:val="Znakapoznpodarou"/>
          <w:rFonts w:cstheme="minorHAnsi"/>
          <w:sz w:val="24"/>
          <w:szCs w:val="24"/>
        </w:rPr>
        <w:footnoteReference w:id="2"/>
      </w:r>
      <w:r w:rsidRPr="00826C68">
        <w:rPr>
          <w:rFonts w:cstheme="minorHAnsi"/>
          <w:sz w:val="24"/>
          <w:szCs w:val="24"/>
        </w:rPr>
        <w:t>. Programový dokument OPPIK byl schválen Evropskou komisí rozhodnutím C(2015) 3039 ze dne 29. dubna 2015.</w:t>
      </w:r>
    </w:p>
    <w:p w14:paraId="46307BC2" w14:textId="77777777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14:paraId="4D08A282" w14:textId="0A96A006" w:rsidR="003869EF" w:rsidRPr="00826C68" w:rsidRDefault="003869EF" w:rsidP="00AE3DE0">
      <w:pPr>
        <w:pStyle w:val="KP-normlntext"/>
        <w:spacing w:line="280" w:lineRule="atLeast"/>
        <w:rPr>
          <w:rFonts w:asciiTheme="minorHAnsi" w:hAnsiTheme="minorHAnsi" w:cstheme="minorHAnsi"/>
          <w:lang w:eastAsia="cs-CZ"/>
        </w:rPr>
      </w:pPr>
      <w:r w:rsidRPr="00826C68">
        <w:rPr>
          <w:rFonts w:asciiTheme="minorHAnsi" w:hAnsiTheme="minorHAnsi" w:cstheme="minorHAnsi"/>
          <w:lang w:eastAsia="cs-CZ"/>
        </w:rPr>
        <w:t xml:space="preserve">OPPIK stanovuje strategii, na základě které bude přispívat ke </w:t>
      </w:r>
      <w:r w:rsidRPr="00826C68">
        <w:rPr>
          <w:rFonts w:asciiTheme="minorHAnsi" w:hAnsiTheme="minorHAnsi" w:cstheme="minorHAnsi"/>
          <w:i/>
          <w:lang w:eastAsia="cs-CZ"/>
        </w:rPr>
        <w:t>Strategii Unie pro inteligentní a udržitelný růst podporující začlenění</w:t>
      </w:r>
      <w:r w:rsidR="00A913AB">
        <w:rPr>
          <w:rFonts w:asciiTheme="minorHAnsi" w:hAnsiTheme="minorHAnsi" w:cstheme="minorHAnsi"/>
          <w:i/>
          <w:lang w:eastAsia="cs-CZ"/>
        </w:rPr>
        <w:t>.</w:t>
      </w:r>
      <w:r w:rsidRPr="00826C68">
        <w:rPr>
          <w:rFonts w:asciiTheme="minorHAnsi" w:hAnsiTheme="minorHAnsi" w:cstheme="minorHAnsi"/>
          <w:lang w:eastAsia="cs-CZ"/>
        </w:rPr>
        <w:t xml:space="preserve"> Tato strategie je v souladu s ustanoveními obsaženými v </w:t>
      </w:r>
      <w:r w:rsidRPr="00826C68">
        <w:rPr>
          <w:rFonts w:asciiTheme="minorHAnsi" w:hAnsiTheme="minorHAnsi" w:cstheme="minorHAnsi"/>
        </w:rPr>
        <w:t>nařízení Evropského parlamentu a Rady (EU) č.</w:t>
      </w:r>
      <w:r w:rsidR="00800C5D">
        <w:rPr>
          <w:rFonts w:asciiTheme="minorHAnsi" w:hAnsiTheme="minorHAnsi" w:cstheme="minorHAnsi"/>
        </w:rPr>
        <w:t xml:space="preserve"> </w:t>
      </w:r>
      <w:r w:rsidRPr="00826C68">
        <w:rPr>
          <w:rFonts w:asciiTheme="minorHAnsi" w:hAnsiTheme="minorHAnsi" w:cstheme="minorHAnsi"/>
        </w:rPr>
        <w:t>1303/2013</w:t>
      </w:r>
      <w:r w:rsidR="00614C70">
        <w:rPr>
          <w:rStyle w:val="Znakapoznpodarou"/>
          <w:rFonts w:asciiTheme="minorHAnsi" w:hAnsiTheme="minorHAnsi" w:cstheme="minorHAnsi"/>
        </w:rPr>
        <w:footnoteReference w:id="3"/>
      </w:r>
      <w:r w:rsidR="00614C70">
        <w:rPr>
          <w:rFonts w:asciiTheme="minorHAnsi" w:hAnsiTheme="minorHAnsi" w:cstheme="minorHAnsi"/>
        </w:rPr>
        <w:t xml:space="preserve"> (dále také „Obecné nařízení“)</w:t>
      </w:r>
      <w:r w:rsidRPr="00826C68">
        <w:rPr>
          <w:rFonts w:asciiTheme="minorHAnsi" w:hAnsiTheme="minorHAnsi" w:cstheme="minorHAnsi"/>
        </w:rPr>
        <w:t xml:space="preserve"> </w:t>
      </w:r>
      <w:r w:rsidR="00E23ECA">
        <w:rPr>
          <w:rFonts w:asciiTheme="minorHAnsi" w:hAnsiTheme="minorHAnsi" w:cstheme="minorHAnsi"/>
          <w:lang w:eastAsia="cs-CZ"/>
        </w:rPr>
        <w:t>a s </w:t>
      </w:r>
      <w:r w:rsidRPr="00826C68">
        <w:rPr>
          <w:rFonts w:asciiTheme="minorHAnsi" w:hAnsiTheme="minorHAnsi" w:cstheme="minorHAnsi"/>
          <w:lang w:eastAsia="cs-CZ"/>
        </w:rPr>
        <w:t xml:space="preserve">obsahem </w:t>
      </w:r>
      <w:r w:rsidRPr="00826C68">
        <w:rPr>
          <w:rFonts w:asciiTheme="minorHAnsi" w:hAnsiTheme="minorHAnsi" w:cstheme="minorHAnsi"/>
          <w:i/>
          <w:lang w:eastAsia="cs-CZ"/>
        </w:rPr>
        <w:t>Dohody o partnerství pro programové období 2014–2020</w:t>
      </w:r>
      <w:r w:rsidRPr="00826C68">
        <w:rPr>
          <w:rFonts w:asciiTheme="minorHAnsi" w:hAnsiTheme="minorHAnsi" w:cstheme="minorHAnsi"/>
          <w:lang w:eastAsia="cs-CZ"/>
        </w:rPr>
        <w:t>.</w:t>
      </w:r>
    </w:p>
    <w:p w14:paraId="5F4F37AE" w14:textId="3BFE6B2D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  <w:szCs w:val="24"/>
          <w:highlight w:val="yellow"/>
        </w:rPr>
      </w:pPr>
    </w:p>
    <w:p w14:paraId="7D1801F9" w14:textId="273575AD" w:rsidR="003869EF" w:rsidRPr="00826C68" w:rsidRDefault="003869EF" w:rsidP="000A6177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826C68">
        <w:rPr>
          <w:rFonts w:cstheme="minorHAnsi"/>
          <w:sz w:val="24"/>
          <w:szCs w:val="24"/>
        </w:rPr>
        <w:t>OPPIK je financován z </w:t>
      </w:r>
      <w:r w:rsidRPr="00AE3DE0">
        <w:rPr>
          <w:rFonts w:cstheme="minorHAnsi"/>
          <w:i/>
          <w:sz w:val="24"/>
          <w:szCs w:val="24"/>
        </w:rPr>
        <w:t>Evropského fondu pro regionální rozvoj</w:t>
      </w:r>
      <w:r w:rsidRPr="00826C68">
        <w:rPr>
          <w:rFonts w:cstheme="minorHAnsi"/>
          <w:sz w:val="24"/>
          <w:szCs w:val="24"/>
        </w:rPr>
        <w:t xml:space="preserve">. Pro OPPIK je vyčleněno celkem 4 331,063 mil. </w:t>
      </w:r>
      <w:r w:rsidR="005371C8">
        <w:rPr>
          <w:rFonts w:cstheme="minorHAnsi"/>
          <w:sz w:val="24"/>
          <w:szCs w:val="24"/>
        </w:rPr>
        <w:t>€</w:t>
      </w:r>
      <w:r w:rsidRPr="00826C68">
        <w:rPr>
          <w:rFonts w:cstheme="minorHAnsi"/>
          <w:sz w:val="24"/>
          <w:szCs w:val="24"/>
        </w:rPr>
        <w:t>, tj. v přepočtu cca 111 871,357 mil. Kč</w:t>
      </w:r>
      <w:r w:rsidRPr="00826C68">
        <w:rPr>
          <w:rStyle w:val="Znakapoznpodarou"/>
          <w:rFonts w:cstheme="minorHAnsi"/>
          <w:sz w:val="24"/>
          <w:szCs w:val="24"/>
        </w:rPr>
        <w:footnoteReference w:id="4"/>
      </w:r>
      <w:r w:rsidRPr="00826C68">
        <w:rPr>
          <w:rFonts w:cstheme="minorHAnsi"/>
          <w:sz w:val="24"/>
          <w:szCs w:val="24"/>
        </w:rPr>
        <w:t xml:space="preserve">. OPPIK tak v rámci </w:t>
      </w:r>
      <w:r w:rsidRPr="00E73AF1">
        <w:rPr>
          <w:rFonts w:cstheme="minorHAnsi"/>
          <w:i/>
          <w:sz w:val="24"/>
          <w:szCs w:val="24"/>
        </w:rPr>
        <w:t>D</w:t>
      </w:r>
      <w:r w:rsidR="003F0F28">
        <w:rPr>
          <w:rFonts w:cstheme="minorHAnsi"/>
          <w:i/>
          <w:sz w:val="24"/>
          <w:szCs w:val="24"/>
        </w:rPr>
        <w:t>ohody o </w:t>
      </w:r>
      <w:r w:rsidR="00E73AF1" w:rsidRPr="00E73AF1">
        <w:rPr>
          <w:rFonts w:cstheme="minorHAnsi"/>
          <w:i/>
          <w:sz w:val="24"/>
          <w:szCs w:val="24"/>
        </w:rPr>
        <w:t>partnerství pro programové období 2014</w:t>
      </w:r>
      <w:r w:rsidR="005371C8">
        <w:rPr>
          <w:rFonts w:cstheme="minorHAnsi"/>
          <w:i/>
          <w:sz w:val="24"/>
          <w:szCs w:val="24"/>
        </w:rPr>
        <w:t>–</w:t>
      </w:r>
      <w:r w:rsidR="00E73AF1" w:rsidRPr="00E73AF1">
        <w:rPr>
          <w:rFonts w:cstheme="minorHAnsi"/>
          <w:i/>
          <w:sz w:val="24"/>
          <w:szCs w:val="24"/>
        </w:rPr>
        <w:t>2020</w:t>
      </w:r>
      <w:r w:rsidRPr="00826C68">
        <w:rPr>
          <w:rFonts w:cstheme="minorHAnsi"/>
          <w:sz w:val="24"/>
          <w:szCs w:val="24"/>
        </w:rPr>
        <w:t xml:space="preserve"> představuje z hlediska finančního objemu třetí největší tematický operační program. OPPIK se skládá z pěti prioritních os. Alokace prioritní osy 2</w:t>
      </w:r>
      <w:r w:rsidRPr="00826C68">
        <w:rPr>
          <w:rFonts w:cstheme="minorHAnsi"/>
          <w:color w:val="000000"/>
          <w:sz w:val="24"/>
          <w:szCs w:val="24"/>
        </w:rPr>
        <w:t xml:space="preserve"> OPPIK </w:t>
      </w:r>
      <w:r w:rsidR="005E1F18" w:rsidRPr="003E76CC">
        <w:rPr>
          <w:rFonts w:cstheme="minorHAnsi"/>
          <w:i/>
          <w:color w:val="000000" w:themeColor="text1"/>
          <w:sz w:val="24"/>
          <w:szCs w:val="24"/>
        </w:rPr>
        <w:t>Rozvoj podnikání a konkurenceschopnosti malých a středních podniků</w:t>
      </w:r>
      <w:r w:rsidR="005E1F18" w:rsidRPr="00826C68">
        <w:rPr>
          <w:rFonts w:cstheme="minorHAnsi"/>
          <w:color w:val="000000"/>
          <w:sz w:val="24"/>
          <w:szCs w:val="24"/>
        </w:rPr>
        <w:t xml:space="preserve"> </w:t>
      </w:r>
      <w:r w:rsidRPr="00826C68">
        <w:rPr>
          <w:rFonts w:cstheme="minorHAnsi"/>
          <w:color w:val="000000"/>
          <w:sz w:val="24"/>
          <w:szCs w:val="24"/>
        </w:rPr>
        <w:t xml:space="preserve">činí 892,130 mil. </w:t>
      </w:r>
      <w:r w:rsidR="005371C8">
        <w:rPr>
          <w:rFonts w:cstheme="minorHAnsi"/>
          <w:color w:val="000000"/>
          <w:sz w:val="24"/>
          <w:szCs w:val="24"/>
        </w:rPr>
        <w:t>€</w:t>
      </w:r>
      <w:r w:rsidRPr="00826C68">
        <w:rPr>
          <w:rFonts w:cstheme="minorHAnsi"/>
          <w:color w:val="000000"/>
          <w:sz w:val="24"/>
          <w:szCs w:val="24"/>
        </w:rPr>
        <w:t>, tj. 23 043,718 mil. Kč (20,6 % z celkové alokace OPPIK).</w:t>
      </w:r>
    </w:p>
    <w:p w14:paraId="1D109FA6" w14:textId="77777777" w:rsidR="003869EF" w:rsidRPr="00826C68" w:rsidRDefault="003869EF" w:rsidP="000A6177">
      <w:pPr>
        <w:spacing w:after="0" w:line="280" w:lineRule="atLeast"/>
        <w:jc w:val="both"/>
        <w:rPr>
          <w:rFonts w:cstheme="minorHAnsi"/>
          <w:color w:val="000000"/>
          <w:sz w:val="24"/>
          <w:szCs w:val="24"/>
          <w:highlight w:val="yellow"/>
        </w:rPr>
      </w:pPr>
    </w:p>
    <w:p w14:paraId="21C97641" w14:textId="0849DAC6" w:rsidR="003869EF" w:rsidRPr="00826C68" w:rsidRDefault="00614C70" w:rsidP="000A6177">
      <w:pPr>
        <w:spacing w:after="0" w:line="28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B45A5">
        <w:rPr>
          <w:rFonts w:cstheme="minorHAnsi"/>
          <w:sz w:val="24"/>
          <w:szCs w:val="24"/>
        </w:rPr>
        <w:t>odpor</w:t>
      </w:r>
      <w:r>
        <w:rPr>
          <w:rFonts w:cstheme="minorHAnsi"/>
          <w:sz w:val="24"/>
          <w:szCs w:val="24"/>
        </w:rPr>
        <w:t>a</w:t>
      </w:r>
      <w:r w:rsidR="003869EF" w:rsidRPr="00826C68">
        <w:rPr>
          <w:rFonts w:cstheme="minorHAnsi"/>
          <w:sz w:val="24"/>
          <w:szCs w:val="24"/>
        </w:rPr>
        <w:t xml:space="preserve"> </w:t>
      </w:r>
      <w:r w:rsidR="00E23ECA">
        <w:rPr>
          <w:rFonts w:cstheme="minorHAnsi"/>
          <w:sz w:val="24"/>
          <w:szCs w:val="24"/>
        </w:rPr>
        <w:t>MSP</w:t>
      </w:r>
      <w:r w:rsidR="003869EF" w:rsidRPr="00826C68">
        <w:rPr>
          <w:rFonts w:cstheme="minorHAnsi"/>
          <w:sz w:val="24"/>
          <w:szCs w:val="24"/>
        </w:rPr>
        <w:t xml:space="preserve"> v oblasti marketingu, poradenství a</w:t>
      </w:r>
      <w:r w:rsidR="00A24436">
        <w:rPr>
          <w:rFonts w:cstheme="minorHAnsi"/>
          <w:sz w:val="24"/>
          <w:szCs w:val="24"/>
        </w:rPr>
        <w:t xml:space="preserve"> </w:t>
      </w:r>
      <w:r w:rsidR="003869EF" w:rsidRPr="00826C68">
        <w:rPr>
          <w:rFonts w:cstheme="minorHAnsi"/>
          <w:sz w:val="24"/>
          <w:szCs w:val="24"/>
        </w:rPr>
        <w:t>vzdělávání</w:t>
      </w:r>
      <w:r w:rsidR="000524AF">
        <w:rPr>
          <w:rFonts w:cstheme="minorHAnsi"/>
          <w:sz w:val="24"/>
          <w:szCs w:val="24"/>
        </w:rPr>
        <w:t xml:space="preserve"> je v rámci OPPIK realizována v </w:t>
      </w:r>
      <w:r w:rsidR="005E1F18">
        <w:rPr>
          <w:rFonts w:cstheme="minorHAnsi"/>
          <w:sz w:val="24"/>
          <w:szCs w:val="24"/>
        </w:rPr>
        <w:t>p</w:t>
      </w:r>
      <w:r w:rsidR="003869EF" w:rsidRPr="00826C68">
        <w:rPr>
          <w:rFonts w:cstheme="minorHAnsi"/>
          <w:sz w:val="24"/>
          <w:szCs w:val="24"/>
        </w:rPr>
        <w:t xml:space="preserve">rioritní ose 2 prostřednictvím programů podpory </w:t>
      </w:r>
      <w:r w:rsidR="003869EF" w:rsidRPr="00AE3DE0">
        <w:rPr>
          <w:rFonts w:cstheme="minorHAnsi"/>
          <w:i/>
          <w:sz w:val="24"/>
          <w:szCs w:val="24"/>
        </w:rPr>
        <w:t>Marketing</w:t>
      </w:r>
      <w:r w:rsidR="003869EF" w:rsidRPr="00826C68">
        <w:rPr>
          <w:rFonts w:cstheme="minorHAnsi"/>
          <w:sz w:val="24"/>
          <w:szCs w:val="24"/>
        </w:rPr>
        <w:t xml:space="preserve">, </w:t>
      </w:r>
      <w:r w:rsidR="001310E4" w:rsidRPr="00AE3DE0">
        <w:rPr>
          <w:rFonts w:cstheme="minorHAnsi"/>
          <w:i/>
          <w:sz w:val="24"/>
          <w:szCs w:val="24"/>
        </w:rPr>
        <w:t>Poradenství</w:t>
      </w:r>
      <w:r w:rsidR="001310E4">
        <w:rPr>
          <w:rFonts w:cstheme="minorHAnsi"/>
          <w:sz w:val="24"/>
          <w:szCs w:val="24"/>
        </w:rPr>
        <w:t xml:space="preserve"> </w:t>
      </w:r>
      <w:r w:rsidR="001310E4" w:rsidRPr="00531F38">
        <w:rPr>
          <w:rFonts w:cstheme="minorHAnsi"/>
          <w:sz w:val="24"/>
          <w:szCs w:val="24"/>
        </w:rPr>
        <w:t>a</w:t>
      </w:r>
      <w:r w:rsidR="001310E4" w:rsidRPr="00AE3DE0">
        <w:rPr>
          <w:rFonts w:cstheme="minorHAnsi"/>
          <w:i/>
          <w:sz w:val="24"/>
          <w:szCs w:val="24"/>
        </w:rPr>
        <w:t xml:space="preserve"> Školicí střediska</w:t>
      </w:r>
      <w:r w:rsidR="001310E4">
        <w:rPr>
          <w:rFonts w:cstheme="minorHAnsi"/>
          <w:sz w:val="24"/>
          <w:szCs w:val="24"/>
        </w:rPr>
        <w:t>.</w:t>
      </w:r>
      <w:r w:rsidR="003869EF" w:rsidRPr="00826C68">
        <w:rPr>
          <w:rFonts w:cstheme="minorHAnsi"/>
          <w:sz w:val="24"/>
          <w:szCs w:val="24"/>
        </w:rPr>
        <w:t xml:space="preserve"> Podpora </w:t>
      </w:r>
      <w:r w:rsidR="00E23ECA">
        <w:rPr>
          <w:rFonts w:cstheme="minorHAnsi"/>
          <w:sz w:val="24"/>
          <w:szCs w:val="24"/>
        </w:rPr>
        <w:t xml:space="preserve">MSP </w:t>
      </w:r>
      <w:r w:rsidR="003869EF" w:rsidRPr="00826C68">
        <w:rPr>
          <w:rFonts w:cstheme="minorHAnsi"/>
          <w:sz w:val="24"/>
          <w:szCs w:val="24"/>
        </w:rPr>
        <w:t>v souvislosti s nákazou Covid</w:t>
      </w:r>
      <w:r w:rsidR="00AE3DE0">
        <w:rPr>
          <w:rFonts w:cstheme="minorHAnsi"/>
          <w:sz w:val="24"/>
          <w:szCs w:val="24"/>
        </w:rPr>
        <w:t xml:space="preserve"> </w:t>
      </w:r>
      <w:r w:rsidR="003869EF" w:rsidRPr="00826C68">
        <w:rPr>
          <w:rFonts w:cstheme="minorHAnsi"/>
          <w:sz w:val="24"/>
          <w:szCs w:val="24"/>
        </w:rPr>
        <w:t xml:space="preserve">19 poskytovaná z OPPIK je soustředěna do dvou výzev různých programů podpory, a to do </w:t>
      </w:r>
      <w:r w:rsidR="00A24436">
        <w:rPr>
          <w:rFonts w:cstheme="minorHAnsi"/>
          <w:sz w:val="24"/>
          <w:szCs w:val="24"/>
        </w:rPr>
        <w:t>v</w:t>
      </w:r>
      <w:r w:rsidR="003869EF" w:rsidRPr="00826C68">
        <w:rPr>
          <w:rFonts w:cstheme="minorHAnsi"/>
          <w:sz w:val="24"/>
          <w:szCs w:val="24"/>
        </w:rPr>
        <w:t xml:space="preserve">ýzvy V. programu podpory </w:t>
      </w:r>
      <w:r w:rsidR="003869EF" w:rsidRPr="00AE3DE0">
        <w:rPr>
          <w:rFonts w:cstheme="minorHAnsi"/>
          <w:i/>
          <w:sz w:val="24"/>
          <w:szCs w:val="24"/>
        </w:rPr>
        <w:t>Inovační vouchery</w:t>
      </w:r>
      <w:r w:rsidR="003869EF" w:rsidRPr="00826C68">
        <w:rPr>
          <w:rFonts w:cstheme="minorHAnsi"/>
          <w:sz w:val="24"/>
          <w:szCs w:val="24"/>
        </w:rPr>
        <w:t xml:space="preserve"> (prioritní osa 1</w:t>
      </w:r>
      <w:r w:rsidR="005E1F18">
        <w:rPr>
          <w:rFonts w:cstheme="minorHAnsi"/>
          <w:sz w:val="24"/>
          <w:szCs w:val="24"/>
        </w:rPr>
        <w:t xml:space="preserve"> </w:t>
      </w:r>
      <w:r w:rsidR="005E1F18" w:rsidRPr="004A770B">
        <w:rPr>
          <w:rFonts w:cstheme="minorHAnsi"/>
          <w:i/>
          <w:color w:val="000000" w:themeColor="text1"/>
          <w:sz w:val="24"/>
          <w:szCs w:val="24"/>
        </w:rPr>
        <w:t>Rozvoj výzkumu a vývoje pro inovace</w:t>
      </w:r>
      <w:r w:rsidR="003869EF" w:rsidRPr="00826C68">
        <w:rPr>
          <w:rFonts w:cstheme="minorHAnsi"/>
          <w:sz w:val="24"/>
          <w:szCs w:val="24"/>
        </w:rPr>
        <w:t xml:space="preserve">) a </w:t>
      </w:r>
      <w:r w:rsidR="00A24436">
        <w:rPr>
          <w:rFonts w:cstheme="minorHAnsi"/>
          <w:sz w:val="24"/>
          <w:szCs w:val="24"/>
        </w:rPr>
        <w:t>do v</w:t>
      </w:r>
      <w:r w:rsidR="003869EF" w:rsidRPr="00826C68">
        <w:rPr>
          <w:rFonts w:cstheme="minorHAnsi"/>
          <w:sz w:val="24"/>
          <w:szCs w:val="24"/>
        </w:rPr>
        <w:t xml:space="preserve">ýzvy XII. programu podpory </w:t>
      </w:r>
      <w:r w:rsidR="003869EF" w:rsidRPr="00AE3DE0">
        <w:rPr>
          <w:rFonts w:cstheme="minorHAnsi"/>
          <w:i/>
          <w:sz w:val="24"/>
          <w:szCs w:val="24"/>
        </w:rPr>
        <w:t>Technologie</w:t>
      </w:r>
      <w:r w:rsidR="005E1F18">
        <w:rPr>
          <w:rFonts w:cstheme="minorHAnsi"/>
          <w:sz w:val="24"/>
          <w:szCs w:val="24"/>
        </w:rPr>
        <w:t xml:space="preserve"> (prioritní osa 2)</w:t>
      </w:r>
      <w:r w:rsidR="003869EF" w:rsidRPr="00826C68">
        <w:rPr>
          <w:rFonts w:cstheme="minorHAnsi"/>
          <w:sz w:val="24"/>
          <w:szCs w:val="24"/>
        </w:rPr>
        <w:t>.</w:t>
      </w:r>
    </w:p>
    <w:p w14:paraId="48CA5203" w14:textId="2D978BF3" w:rsidR="003869EF" w:rsidRDefault="003869EF" w:rsidP="000A6177">
      <w:pPr>
        <w:pStyle w:val="KP-normlntext"/>
        <w:spacing w:after="0" w:line="280" w:lineRule="atLeast"/>
        <w:rPr>
          <w:rFonts w:asciiTheme="minorHAnsi" w:hAnsiTheme="minorHAnsi" w:cstheme="minorHAnsi"/>
          <w:highlight w:val="yellow"/>
        </w:rPr>
      </w:pPr>
    </w:p>
    <w:p w14:paraId="14B911FD" w14:textId="21A00C97" w:rsidR="003869EF" w:rsidRPr="00335798" w:rsidRDefault="00621D4C" w:rsidP="000A6177">
      <w:pPr>
        <w:spacing w:after="0" w:line="280" w:lineRule="atLeast"/>
        <w:jc w:val="both"/>
        <w:rPr>
          <w:rFonts w:cstheme="minorHAnsi"/>
          <w:b/>
          <w:sz w:val="24"/>
        </w:rPr>
      </w:pPr>
      <w:r w:rsidRPr="00335798">
        <w:rPr>
          <w:rFonts w:cstheme="minorHAnsi"/>
          <w:b/>
          <w:sz w:val="24"/>
        </w:rPr>
        <w:t>Tabulka č. 1</w:t>
      </w:r>
      <w:r w:rsidR="003869EF" w:rsidRPr="00335798">
        <w:rPr>
          <w:rFonts w:cstheme="minorHAnsi"/>
          <w:b/>
          <w:sz w:val="24"/>
        </w:rPr>
        <w:t>: Specifické cíle a programy podpory OPPIK podrobené kontrole NKÚ</w:t>
      </w:r>
    </w:p>
    <w:tbl>
      <w:tblPr>
        <w:tblStyle w:val="Mkatabulky"/>
        <w:tblW w:w="9192" w:type="dxa"/>
        <w:tblInd w:w="-5" w:type="dxa"/>
        <w:tblLook w:val="04A0" w:firstRow="1" w:lastRow="0" w:firstColumn="1" w:lastColumn="0" w:noHBand="0" w:noVBand="1"/>
      </w:tblPr>
      <w:tblGrid>
        <w:gridCol w:w="1361"/>
        <w:gridCol w:w="473"/>
        <w:gridCol w:w="2308"/>
        <w:gridCol w:w="1235"/>
        <w:gridCol w:w="1418"/>
        <w:gridCol w:w="1247"/>
        <w:gridCol w:w="1150"/>
      </w:tblGrid>
      <w:tr w:rsidR="00A06F95" w:rsidRPr="00891AA7" w14:paraId="2961653B" w14:textId="6FC1D970" w:rsidTr="00AE3DE0">
        <w:tc>
          <w:tcPr>
            <w:tcW w:w="1361" w:type="dxa"/>
            <w:shd w:val="clear" w:color="auto" w:fill="E5F1FF"/>
            <w:vAlign w:val="center"/>
          </w:tcPr>
          <w:p w14:paraId="31D70DB3" w14:textId="7C2B3D74" w:rsidR="00A06F95" w:rsidRPr="00891AA7" w:rsidRDefault="00A06F95" w:rsidP="00AE3D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>Program podpory</w:t>
            </w:r>
          </w:p>
        </w:tc>
        <w:tc>
          <w:tcPr>
            <w:tcW w:w="2781" w:type="dxa"/>
            <w:gridSpan w:val="2"/>
            <w:shd w:val="clear" w:color="auto" w:fill="E5F1FF"/>
            <w:vAlign w:val="center"/>
          </w:tcPr>
          <w:p w14:paraId="2715E09D" w14:textId="3A48B225" w:rsidR="00A06F95" w:rsidRPr="00891AA7" w:rsidRDefault="00A06F95" w:rsidP="00AE3D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>Specifický cíl</w:t>
            </w:r>
            <w:r>
              <w:rPr>
                <w:rFonts w:cstheme="minorHAnsi"/>
                <w:b/>
                <w:sz w:val="20"/>
                <w:szCs w:val="20"/>
              </w:rPr>
              <w:t xml:space="preserve"> (dále také „SC“)</w:t>
            </w:r>
          </w:p>
        </w:tc>
        <w:tc>
          <w:tcPr>
            <w:tcW w:w="1235" w:type="dxa"/>
            <w:shd w:val="clear" w:color="auto" w:fill="E5F1FF"/>
            <w:vAlign w:val="center"/>
          </w:tcPr>
          <w:p w14:paraId="5399C9E6" w14:textId="491941D4" w:rsidR="00A06F95" w:rsidRPr="00891AA7" w:rsidRDefault="00A06F95" w:rsidP="00AE3D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>Alokace vyhlášených výzev (v</w:t>
            </w:r>
            <w:r w:rsidR="00464D52">
              <w:rPr>
                <w:rFonts w:cstheme="minorHAnsi"/>
                <w:b/>
                <w:sz w:val="20"/>
                <w:szCs w:val="20"/>
              </w:rPr>
              <w:t> </w:t>
            </w:r>
            <w:r w:rsidRPr="00891AA7">
              <w:rPr>
                <w:rFonts w:cstheme="minorHAnsi"/>
                <w:b/>
                <w:sz w:val="20"/>
                <w:szCs w:val="20"/>
              </w:rPr>
              <w:t>mil.</w:t>
            </w:r>
            <w:r w:rsidR="00464D52">
              <w:rPr>
                <w:rFonts w:cstheme="minorHAnsi"/>
                <w:b/>
                <w:sz w:val="20"/>
                <w:szCs w:val="20"/>
              </w:rPr>
              <w:t> </w:t>
            </w:r>
            <w:r w:rsidRPr="00891AA7">
              <w:rPr>
                <w:rFonts w:cstheme="minorHAnsi"/>
                <w:b/>
                <w:sz w:val="20"/>
                <w:szCs w:val="20"/>
              </w:rPr>
              <w:t>Kč)</w:t>
            </w:r>
          </w:p>
        </w:tc>
        <w:tc>
          <w:tcPr>
            <w:tcW w:w="1418" w:type="dxa"/>
            <w:shd w:val="clear" w:color="auto" w:fill="E5F1FF"/>
            <w:vAlign w:val="center"/>
          </w:tcPr>
          <w:p w14:paraId="0E531B3F" w14:textId="4E801970" w:rsidR="00A06F95" w:rsidRDefault="00A06F95" w:rsidP="00AE3D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Počet podpořených projektů s</w:t>
            </w:r>
            <w:r w:rsidR="009B3215">
              <w:rPr>
                <w:rFonts w:cstheme="minorHAnsi"/>
                <w:b/>
                <w:sz w:val="20"/>
                <w:szCs w:val="20"/>
              </w:rPr>
              <w:t> rozhodnutím o poskytnutí dotace (dále také „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RoPD</w:t>
            </w:r>
            <w:proofErr w:type="spellEnd"/>
            <w:r w:rsidR="009B3215">
              <w:rPr>
                <w:rFonts w:cstheme="minorHAnsi"/>
                <w:b/>
                <w:sz w:val="20"/>
                <w:szCs w:val="20"/>
              </w:rPr>
              <w:t>“)</w:t>
            </w:r>
          </w:p>
        </w:tc>
        <w:tc>
          <w:tcPr>
            <w:tcW w:w="1247" w:type="dxa"/>
            <w:shd w:val="clear" w:color="auto" w:fill="E5F1FF"/>
            <w:vAlign w:val="center"/>
          </w:tcPr>
          <w:p w14:paraId="1E3645FE" w14:textId="68FF4538" w:rsidR="00A06F95" w:rsidRDefault="00A06F95" w:rsidP="00AE3D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  <w:r w:rsidRPr="00E20D8A">
              <w:rPr>
                <w:rFonts w:cstheme="minorHAnsi"/>
                <w:b/>
                <w:sz w:val="20"/>
                <w:szCs w:val="20"/>
              </w:rPr>
              <w:t xml:space="preserve">ýše podpory dle </w:t>
            </w:r>
            <w:proofErr w:type="spellStart"/>
            <w:r w:rsidRPr="00E20D8A">
              <w:rPr>
                <w:rFonts w:cstheme="minorHAnsi"/>
                <w:b/>
                <w:sz w:val="20"/>
                <w:szCs w:val="20"/>
              </w:rPr>
              <w:t>RoPD</w:t>
            </w:r>
            <w:proofErr w:type="spellEnd"/>
            <w:r w:rsidRPr="00E20D8A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531F38">
              <w:rPr>
                <w:rFonts w:cstheme="minorHAnsi"/>
                <w:b/>
                <w:sz w:val="20"/>
                <w:szCs w:val="20"/>
              </w:rPr>
              <w:t>v </w:t>
            </w:r>
            <w:r>
              <w:rPr>
                <w:rFonts w:cstheme="minorHAnsi"/>
                <w:b/>
                <w:sz w:val="20"/>
                <w:szCs w:val="20"/>
              </w:rPr>
              <w:t>mil.</w:t>
            </w:r>
            <w:r w:rsidR="00531F38">
              <w:rPr>
                <w:rFonts w:cstheme="minorHAnsi"/>
                <w:b/>
                <w:sz w:val="20"/>
                <w:szCs w:val="20"/>
              </w:rPr>
              <w:t> </w:t>
            </w:r>
            <w:r w:rsidRPr="00E20D8A">
              <w:rPr>
                <w:rFonts w:cstheme="minorHAnsi"/>
                <w:b/>
                <w:sz w:val="20"/>
                <w:szCs w:val="20"/>
              </w:rPr>
              <w:t>Kč)</w:t>
            </w:r>
          </w:p>
        </w:tc>
        <w:tc>
          <w:tcPr>
            <w:tcW w:w="1150" w:type="dxa"/>
            <w:shd w:val="clear" w:color="auto" w:fill="E5F1FF"/>
            <w:vAlign w:val="center"/>
          </w:tcPr>
          <w:p w14:paraId="7ABF91E6" w14:textId="64500A9C" w:rsidR="00A06F95" w:rsidRDefault="00A06F95" w:rsidP="00AE3D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</w:rPr>
              <w:t>S</w:t>
            </w:r>
            <w:r w:rsidRPr="00E20D8A">
              <w:rPr>
                <w:rFonts w:cstheme="minorHAnsi"/>
                <w:b/>
                <w:sz w:val="20"/>
              </w:rPr>
              <w:t>kutečně proplacené prostředky (</w:t>
            </w:r>
            <w:r w:rsidR="00531F38">
              <w:rPr>
                <w:rFonts w:cstheme="minorHAnsi"/>
                <w:b/>
                <w:sz w:val="20"/>
              </w:rPr>
              <w:t>v </w:t>
            </w:r>
            <w:r w:rsidR="00425BF6">
              <w:rPr>
                <w:rFonts w:cstheme="minorHAnsi"/>
                <w:b/>
                <w:sz w:val="20"/>
              </w:rPr>
              <w:t xml:space="preserve">mil. </w:t>
            </w:r>
            <w:r w:rsidRPr="00E20D8A">
              <w:rPr>
                <w:rFonts w:cstheme="minorHAnsi"/>
                <w:b/>
                <w:sz w:val="20"/>
              </w:rPr>
              <w:t>Kč)</w:t>
            </w:r>
          </w:p>
        </w:tc>
      </w:tr>
      <w:tr w:rsidR="00A06F95" w:rsidRPr="00891AA7" w14:paraId="191E2D02" w14:textId="224D1A45" w:rsidTr="00AE3DE0">
        <w:tc>
          <w:tcPr>
            <w:tcW w:w="1361" w:type="dxa"/>
            <w:vAlign w:val="center"/>
          </w:tcPr>
          <w:p w14:paraId="74C2D0A1" w14:textId="21E193BD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>Poradenství</w:t>
            </w:r>
          </w:p>
        </w:tc>
        <w:tc>
          <w:tcPr>
            <w:tcW w:w="473" w:type="dxa"/>
            <w:vAlign w:val="center"/>
          </w:tcPr>
          <w:p w14:paraId="18754F05" w14:textId="68FA068D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2308" w:type="dxa"/>
            <w:vAlign w:val="center"/>
          </w:tcPr>
          <w:p w14:paraId="67652A56" w14:textId="77777777" w:rsidR="00A06F95" w:rsidRPr="00891AA7" w:rsidRDefault="00A06F95" w:rsidP="00AE3DE0">
            <w:pPr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Zvýšit konkurenceschopnost začínajících a rozvojových MSP</w:t>
            </w:r>
          </w:p>
        </w:tc>
        <w:tc>
          <w:tcPr>
            <w:tcW w:w="1235" w:type="dxa"/>
            <w:vAlign w:val="center"/>
          </w:tcPr>
          <w:p w14:paraId="7D5452DA" w14:textId="77777777" w:rsidR="00A06F95" w:rsidRPr="00891AA7" w:rsidRDefault="00A06F95" w:rsidP="00AE3DE0">
            <w:pPr>
              <w:ind w:left="-292" w:right="300" w:firstLine="35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1418" w:type="dxa"/>
            <w:vAlign w:val="center"/>
          </w:tcPr>
          <w:p w14:paraId="7B4B2157" w14:textId="04F6B0FE" w:rsidR="00A06F95" w:rsidRDefault="00A06F95" w:rsidP="00AE3DE0">
            <w:pPr>
              <w:ind w:right="300" w:hanging="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247" w:type="dxa"/>
            <w:vAlign w:val="center"/>
          </w:tcPr>
          <w:p w14:paraId="49BD9F8F" w14:textId="5DC005DE" w:rsidR="00A06F95" w:rsidRDefault="00A06F95" w:rsidP="00AE3DE0">
            <w:pPr>
              <w:ind w:right="1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12,4</w:t>
            </w:r>
          </w:p>
        </w:tc>
        <w:tc>
          <w:tcPr>
            <w:tcW w:w="1150" w:type="dxa"/>
            <w:vAlign w:val="center"/>
          </w:tcPr>
          <w:p w14:paraId="02F58A55" w14:textId="1BE5EE40" w:rsidR="00A06F95" w:rsidRDefault="00425BF6" w:rsidP="00AE3DE0">
            <w:pPr>
              <w:ind w:left="972" w:right="130" w:hanging="9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0,2</w:t>
            </w:r>
          </w:p>
        </w:tc>
      </w:tr>
      <w:tr w:rsidR="00A06F95" w:rsidRPr="00891AA7" w14:paraId="5CFF773D" w14:textId="20C89A60" w:rsidTr="00AE3DE0">
        <w:trPr>
          <w:trHeight w:val="404"/>
        </w:trPr>
        <w:tc>
          <w:tcPr>
            <w:tcW w:w="1361" w:type="dxa"/>
            <w:vAlign w:val="center"/>
          </w:tcPr>
          <w:p w14:paraId="29511A6A" w14:textId="65ED723B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>Marketing</w:t>
            </w:r>
          </w:p>
        </w:tc>
        <w:tc>
          <w:tcPr>
            <w:tcW w:w="473" w:type="dxa"/>
            <w:vAlign w:val="center"/>
          </w:tcPr>
          <w:p w14:paraId="35B15921" w14:textId="7F0CD4FB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2308" w:type="dxa"/>
            <w:vAlign w:val="center"/>
          </w:tcPr>
          <w:p w14:paraId="6FB511B0" w14:textId="77777777" w:rsidR="00A06F95" w:rsidRPr="00891AA7" w:rsidRDefault="00A06F95" w:rsidP="00AE3DE0">
            <w:pPr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Zvýšit internacionalizaci MSP</w:t>
            </w:r>
          </w:p>
        </w:tc>
        <w:tc>
          <w:tcPr>
            <w:tcW w:w="1235" w:type="dxa"/>
            <w:vAlign w:val="center"/>
          </w:tcPr>
          <w:p w14:paraId="62E44969" w14:textId="77777777" w:rsidR="00A06F95" w:rsidRPr="00891AA7" w:rsidRDefault="00A06F95" w:rsidP="00AE3DE0">
            <w:pPr>
              <w:ind w:left="-292" w:right="300" w:firstLine="35"/>
              <w:jc w:val="right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 xml:space="preserve">1 </w:t>
            </w:r>
            <w:r>
              <w:rPr>
                <w:rFonts w:cstheme="minorHAnsi"/>
                <w:sz w:val="20"/>
                <w:szCs w:val="20"/>
              </w:rPr>
              <w:t>85</w:t>
            </w:r>
            <w:r w:rsidRPr="00891AA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35C6DF92" w14:textId="5BCC858D" w:rsidR="00A06F95" w:rsidRDefault="00A06F95" w:rsidP="00AE3DE0">
            <w:pPr>
              <w:ind w:right="300" w:hanging="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247" w:type="dxa"/>
            <w:vAlign w:val="center"/>
          </w:tcPr>
          <w:p w14:paraId="14E05CDD" w14:textId="57E0711A" w:rsidR="00A06F95" w:rsidRDefault="00425BF6" w:rsidP="00AE3DE0">
            <w:pPr>
              <w:ind w:right="1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1 479,4</w:t>
            </w:r>
          </w:p>
        </w:tc>
        <w:tc>
          <w:tcPr>
            <w:tcW w:w="1150" w:type="dxa"/>
            <w:vAlign w:val="center"/>
          </w:tcPr>
          <w:p w14:paraId="4AD710E5" w14:textId="07886EC4" w:rsidR="00A06F95" w:rsidRDefault="00425BF6" w:rsidP="00AE3DE0">
            <w:pPr>
              <w:ind w:left="972" w:right="130" w:hanging="9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701</w:t>
            </w:r>
          </w:p>
        </w:tc>
      </w:tr>
      <w:tr w:rsidR="00A06F95" w:rsidRPr="00891AA7" w14:paraId="7FDEC531" w14:textId="37AFFEA1" w:rsidTr="00AE3DE0">
        <w:tc>
          <w:tcPr>
            <w:tcW w:w="1361" w:type="dxa"/>
            <w:vAlign w:val="center"/>
          </w:tcPr>
          <w:p w14:paraId="6C04C406" w14:textId="61442097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>Školicí střediska</w:t>
            </w:r>
          </w:p>
        </w:tc>
        <w:tc>
          <w:tcPr>
            <w:tcW w:w="473" w:type="dxa"/>
            <w:vAlign w:val="center"/>
          </w:tcPr>
          <w:p w14:paraId="4F8E3E3E" w14:textId="63FEB4BF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2308" w:type="dxa"/>
            <w:vAlign w:val="center"/>
          </w:tcPr>
          <w:p w14:paraId="1EF6BD9F" w14:textId="77777777" w:rsidR="00A06F95" w:rsidRPr="00891AA7" w:rsidRDefault="00A06F95" w:rsidP="00AE3DE0">
            <w:pPr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Zvýšit kapacitu pro odborné vzdělávání MSP</w:t>
            </w:r>
          </w:p>
        </w:tc>
        <w:tc>
          <w:tcPr>
            <w:tcW w:w="1235" w:type="dxa"/>
            <w:vAlign w:val="center"/>
          </w:tcPr>
          <w:p w14:paraId="625A46CB" w14:textId="77777777" w:rsidR="00A06F95" w:rsidRPr="00891AA7" w:rsidRDefault="00A06F95" w:rsidP="00AE3DE0">
            <w:pPr>
              <w:ind w:left="-292" w:right="300" w:firstLine="35"/>
              <w:jc w:val="right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 xml:space="preserve">1 </w:t>
            </w:r>
            <w:r>
              <w:rPr>
                <w:rFonts w:cstheme="minorHAnsi"/>
                <w:sz w:val="20"/>
                <w:szCs w:val="20"/>
              </w:rPr>
              <w:t>380</w:t>
            </w:r>
          </w:p>
        </w:tc>
        <w:tc>
          <w:tcPr>
            <w:tcW w:w="1418" w:type="dxa"/>
            <w:vAlign w:val="center"/>
          </w:tcPr>
          <w:p w14:paraId="08CBEDF6" w14:textId="2DB0EE3C" w:rsidR="00A06F95" w:rsidRDefault="00A06F95" w:rsidP="00AE3DE0">
            <w:pPr>
              <w:ind w:right="300" w:hanging="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113</w:t>
            </w:r>
          </w:p>
        </w:tc>
        <w:tc>
          <w:tcPr>
            <w:tcW w:w="1247" w:type="dxa"/>
            <w:vAlign w:val="center"/>
          </w:tcPr>
          <w:p w14:paraId="77308DBF" w14:textId="04968E10" w:rsidR="00A06F95" w:rsidRDefault="00425BF6" w:rsidP="00AE3DE0">
            <w:pPr>
              <w:ind w:right="1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333,5</w:t>
            </w:r>
          </w:p>
        </w:tc>
        <w:tc>
          <w:tcPr>
            <w:tcW w:w="1150" w:type="dxa"/>
            <w:vAlign w:val="center"/>
          </w:tcPr>
          <w:p w14:paraId="75C82D5E" w14:textId="3EA0B520" w:rsidR="00A06F95" w:rsidRDefault="00425BF6" w:rsidP="00AE3DE0">
            <w:pPr>
              <w:ind w:left="972" w:right="130" w:hanging="9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172,5</w:t>
            </w:r>
          </w:p>
        </w:tc>
      </w:tr>
      <w:tr w:rsidR="00A06F95" w:rsidRPr="00891AA7" w14:paraId="4D0CDDB8" w14:textId="1B8168E9" w:rsidTr="00AE3DE0">
        <w:tc>
          <w:tcPr>
            <w:tcW w:w="1361" w:type="dxa"/>
            <w:vAlign w:val="center"/>
          </w:tcPr>
          <w:p w14:paraId="0D458FCE" w14:textId="064AC9CE" w:rsidR="00A06F95" w:rsidRPr="00891AA7" w:rsidRDefault="00A06F95" w:rsidP="00E20B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 xml:space="preserve">Technologie </w:t>
            </w:r>
            <w:r w:rsidR="008A6303">
              <w:rPr>
                <w:rFonts w:cstheme="minorHAnsi"/>
                <w:b/>
                <w:sz w:val="20"/>
                <w:szCs w:val="20"/>
              </w:rPr>
              <w:t xml:space="preserve">– </w:t>
            </w:r>
            <w:r w:rsidRPr="00891AA7">
              <w:rPr>
                <w:rFonts w:cstheme="minorHAnsi"/>
                <w:b/>
                <w:sz w:val="20"/>
                <w:szCs w:val="20"/>
              </w:rPr>
              <w:t>XII. výzva</w:t>
            </w:r>
          </w:p>
        </w:tc>
        <w:tc>
          <w:tcPr>
            <w:tcW w:w="473" w:type="dxa"/>
            <w:vAlign w:val="center"/>
          </w:tcPr>
          <w:p w14:paraId="203FF7D7" w14:textId="7DCD4B47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2308" w:type="dxa"/>
            <w:vAlign w:val="center"/>
          </w:tcPr>
          <w:p w14:paraId="5113C381" w14:textId="77777777" w:rsidR="00A06F95" w:rsidRPr="00891AA7" w:rsidRDefault="00A06F95" w:rsidP="00AE3DE0">
            <w:pPr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Zvýšit konkurenceschopnost začínajících a rozvojových MSP</w:t>
            </w:r>
          </w:p>
        </w:tc>
        <w:tc>
          <w:tcPr>
            <w:tcW w:w="1235" w:type="dxa"/>
            <w:vAlign w:val="center"/>
          </w:tcPr>
          <w:p w14:paraId="789502A8" w14:textId="77777777" w:rsidR="00A06F95" w:rsidRPr="00891AA7" w:rsidRDefault="00A06F95" w:rsidP="00AE3DE0">
            <w:pPr>
              <w:ind w:left="-289" w:right="170" w:firstLine="34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560*</w:t>
            </w:r>
          </w:p>
        </w:tc>
        <w:tc>
          <w:tcPr>
            <w:tcW w:w="1418" w:type="dxa"/>
            <w:vAlign w:val="center"/>
          </w:tcPr>
          <w:p w14:paraId="1FE3FDCF" w14:textId="35960E14" w:rsidR="00A06F95" w:rsidRDefault="00A06F95" w:rsidP="00AE3DE0">
            <w:pPr>
              <w:ind w:right="300" w:hanging="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247" w:type="dxa"/>
            <w:vAlign w:val="center"/>
          </w:tcPr>
          <w:p w14:paraId="44EC036F" w14:textId="7F3FA0B2" w:rsidR="00A06F95" w:rsidRDefault="00425BF6" w:rsidP="00AE3DE0">
            <w:pPr>
              <w:ind w:right="1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488,4</w:t>
            </w:r>
          </w:p>
        </w:tc>
        <w:tc>
          <w:tcPr>
            <w:tcW w:w="1150" w:type="dxa"/>
            <w:vAlign w:val="center"/>
          </w:tcPr>
          <w:p w14:paraId="4EA26C90" w14:textId="4D4D35FB" w:rsidR="00A06F95" w:rsidRDefault="00425BF6" w:rsidP="00AE3DE0">
            <w:pPr>
              <w:ind w:left="972" w:right="130" w:hanging="9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27,5</w:t>
            </w:r>
          </w:p>
        </w:tc>
      </w:tr>
      <w:tr w:rsidR="00A06F95" w:rsidRPr="00891AA7" w14:paraId="79EFF7BE" w14:textId="482BB9D0" w:rsidTr="00AE3DE0">
        <w:tc>
          <w:tcPr>
            <w:tcW w:w="1361" w:type="dxa"/>
            <w:vAlign w:val="center"/>
          </w:tcPr>
          <w:p w14:paraId="67A6CCCB" w14:textId="33589932" w:rsidR="00A06F95" w:rsidRPr="00891AA7" w:rsidRDefault="00A06F95" w:rsidP="00AE3DE0">
            <w:pPr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b/>
                <w:sz w:val="20"/>
                <w:szCs w:val="20"/>
              </w:rPr>
              <w:t xml:space="preserve">Inovační vouchery </w:t>
            </w:r>
            <w:r w:rsidR="00531F38">
              <w:rPr>
                <w:rFonts w:cstheme="minorHAnsi"/>
                <w:b/>
                <w:sz w:val="20"/>
                <w:szCs w:val="20"/>
              </w:rPr>
              <w:t xml:space="preserve">– </w:t>
            </w:r>
            <w:r w:rsidRPr="00891AA7">
              <w:rPr>
                <w:rFonts w:cstheme="minorHAnsi"/>
                <w:b/>
                <w:sz w:val="20"/>
                <w:szCs w:val="20"/>
              </w:rPr>
              <w:t>V. výzva</w:t>
            </w:r>
          </w:p>
        </w:tc>
        <w:tc>
          <w:tcPr>
            <w:tcW w:w="473" w:type="dxa"/>
            <w:vAlign w:val="center"/>
          </w:tcPr>
          <w:p w14:paraId="01A2C499" w14:textId="40AF80A1" w:rsidR="00A06F95" w:rsidRPr="00891AA7" w:rsidRDefault="00A06F95" w:rsidP="00D65D7D">
            <w:pPr>
              <w:jc w:val="both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2308" w:type="dxa"/>
            <w:vAlign w:val="center"/>
          </w:tcPr>
          <w:p w14:paraId="5C5CD282" w14:textId="7D31EF27" w:rsidR="00A06F95" w:rsidRPr="00891AA7" w:rsidRDefault="00A06F95" w:rsidP="00AE3DE0">
            <w:pPr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Zvýšit intenzitu a</w:t>
            </w:r>
            <w:r w:rsidR="00A0199F">
              <w:rPr>
                <w:rFonts w:cstheme="minorHAnsi"/>
                <w:sz w:val="20"/>
                <w:szCs w:val="20"/>
              </w:rPr>
              <w:t> </w:t>
            </w:r>
            <w:r w:rsidRPr="00891AA7">
              <w:rPr>
                <w:rFonts w:cstheme="minorHAnsi"/>
                <w:sz w:val="20"/>
                <w:szCs w:val="20"/>
              </w:rPr>
              <w:t>účinnost spolupráce ve výzkumu, vývoji a</w:t>
            </w:r>
            <w:r w:rsidR="00A0199F">
              <w:rPr>
                <w:rFonts w:cstheme="minorHAnsi"/>
                <w:sz w:val="20"/>
                <w:szCs w:val="20"/>
              </w:rPr>
              <w:t> </w:t>
            </w:r>
            <w:r w:rsidRPr="00891AA7">
              <w:rPr>
                <w:rFonts w:cstheme="minorHAnsi"/>
                <w:sz w:val="20"/>
                <w:szCs w:val="20"/>
              </w:rPr>
              <w:t>inovacích</w:t>
            </w:r>
          </w:p>
        </w:tc>
        <w:tc>
          <w:tcPr>
            <w:tcW w:w="1235" w:type="dxa"/>
            <w:vAlign w:val="center"/>
          </w:tcPr>
          <w:p w14:paraId="7FDAE3D4" w14:textId="77777777" w:rsidR="00A06F95" w:rsidRPr="00891AA7" w:rsidRDefault="00A06F95" w:rsidP="00AE3DE0">
            <w:pPr>
              <w:ind w:left="-292" w:right="300" w:firstLine="35"/>
              <w:jc w:val="right"/>
              <w:rPr>
                <w:rFonts w:cstheme="minorHAnsi"/>
                <w:sz w:val="20"/>
                <w:szCs w:val="20"/>
              </w:rPr>
            </w:pPr>
            <w:r w:rsidRPr="00891AA7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14:paraId="17344F3D" w14:textId="31476140" w:rsidR="00A06F95" w:rsidRDefault="00A06F95" w:rsidP="00AE3DE0">
            <w:pPr>
              <w:ind w:right="300" w:hanging="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47" w:type="dxa"/>
            <w:vAlign w:val="center"/>
          </w:tcPr>
          <w:p w14:paraId="6C88B182" w14:textId="279B2EED" w:rsidR="00A06F95" w:rsidRDefault="00425BF6" w:rsidP="00AE3DE0">
            <w:pPr>
              <w:ind w:right="13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2,4</w:t>
            </w:r>
          </w:p>
        </w:tc>
        <w:tc>
          <w:tcPr>
            <w:tcW w:w="1150" w:type="dxa"/>
            <w:vAlign w:val="center"/>
          </w:tcPr>
          <w:p w14:paraId="508430CF" w14:textId="33ADD8A0" w:rsidR="00A06F95" w:rsidRDefault="00425BF6" w:rsidP="00AE3DE0">
            <w:pPr>
              <w:ind w:left="972" w:right="130" w:hanging="992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0,4</w:t>
            </w:r>
          </w:p>
        </w:tc>
      </w:tr>
      <w:tr w:rsidR="00A06F95" w:rsidRPr="00F73BFB" w14:paraId="03AB7653" w14:textId="7A5163A4" w:rsidTr="00AE3DE0">
        <w:tc>
          <w:tcPr>
            <w:tcW w:w="1361" w:type="dxa"/>
            <w:vAlign w:val="center"/>
          </w:tcPr>
          <w:p w14:paraId="6A145594" w14:textId="3F32D397" w:rsidR="00A06F95" w:rsidRPr="00F73BFB" w:rsidRDefault="00A06F95" w:rsidP="00D65D7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</w:t>
            </w:r>
            <w:r w:rsidRPr="00F73BFB">
              <w:rPr>
                <w:rFonts w:cstheme="minorHAnsi"/>
                <w:b/>
                <w:sz w:val="20"/>
                <w:szCs w:val="20"/>
              </w:rPr>
              <w:t>elkem</w:t>
            </w:r>
          </w:p>
        </w:tc>
        <w:tc>
          <w:tcPr>
            <w:tcW w:w="473" w:type="dxa"/>
            <w:vAlign w:val="center"/>
          </w:tcPr>
          <w:p w14:paraId="2923F292" w14:textId="77777777" w:rsidR="00A06F95" w:rsidRPr="00F73BFB" w:rsidRDefault="00A06F95" w:rsidP="00D65D7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631DA2C7" w14:textId="77777777" w:rsidR="00A06F95" w:rsidRPr="00F73BFB" w:rsidRDefault="00A06F95" w:rsidP="00D65D7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14:paraId="02FAA109" w14:textId="1B6DC573" w:rsidR="00A06F95" w:rsidRPr="00F73BFB" w:rsidRDefault="00A06F95" w:rsidP="00AE3DE0">
            <w:pPr>
              <w:ind w:left="-292" w:right="300" w:firstLine="35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73BFB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BFB">
              <w:rPr>
                <w:rFonts w:cstheme="minorHAnsi"/>
                <w:b/>
                <w:sz w:val="20"/>
                <w:szCs w:val="20"/>
              </w:rPr>
              <w:t>090</w:t>
            </w:r>
          </w:p>
        </w:tc>
        <w:tc>
          <w:tcPr>
            <w:tcW w:w="1418" w:type="dxa"/>
            <w:vAlign w:val="center"/>
          </w:tcPr>
          <w:p w14:paraId="76244F3D" w14:textId="57D93579" w:rsidR="00A06F95" w:rsidRPr="00F73BFB" w:rsidRDefault="00A06F95" w:rsidP="00AE3DE0">
            <w:pPr>
              <w:ind w:right="300" w:hanging="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F73BFB">
              <w:rPr>
                <w:rFonts w:cstheme="minorHAnsi"/>
                <w:b/>
                <w:sz w:val="20"/>
                <w:szCs w:val="20"/>
              </w:rPr>
              <w:t>1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3BFB">
              <w:rPr>
                <w:rFonts w:cstheme="minorHAnsi"/>
                <w:b/>
                <w:sz w:val="20"/>
                <w:szCs w:val="20"/>
              </w:rPr>
              <w:t>047</w:t>
            </w:r>
          </w:p>
        </w:tc>
        <w:tc>
          <w:tcPr>
            <w:tcW w:w="1247" w:type="dxa"/>
          </w:tcPr>
          <w:p w14:paraId="74F60621" w14:textId="57A62A35" w:rsidR="00A06F95" w:rsidRPr="00F73BFB" w:rsidRDefault="00425BF6" w:rsidP="00AE3DE0">
            <w:pPr>
              <w:ind w:right="13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2 316,1</w:t>
            </w:r>
          </w:p>
        </w:tc>
        <w:tc>
          <w:tcPr>
            <w:tcW w:w="1150" w:type="dxa"/>
          </w:tcPr>
          <w:p w14:paraId="1F6880BE" w14:textId="3F3EB68C" w:rsidR="00A06F95" w:rsidRPr="00F73BFB" w:rsidRDefault="00425BF6" w:rsidP="00AE3DE0">
            <w:pPr>
              <w:ind w:left="972" w:right="130" w:hanging="992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901,6</w:t>
            </w:r>
          </w:p>
        </w:tc>
      </w:tr>
    </w:tbl>
    <w:p w14:paraId="5F47E01D" w14:textId="094E682F" w:rsidR="008A6303" w:rsidRDefault="003869EF" w:rsidP="008A6303">
      <w:pPr>
        <w:spacing w:after="0" w:line="240" w:lineRule="auto"/>
        <w:ind w:left="567" w:hanging="567"/>
        <w:jc w:val="both"/>
        <w:rPr>
          <w:rFonts w:cstheme="minorHAnsi"/>
          <w:color w:val="000000"/>
          <w:sz w:val="20"/>
          <w:szCs w:val="20"/>
        </w:rPr>
      </w:pPr>
      <w:r w:rsidRPr="00806BEF">
        <w:rPr>
          <w:rFonts w:cstheme="minorHAnsi"/>
          <w:b/>
          <w:color w:val="000000"/>
          <w:sz w:val="20"/>
          <w:szCs w:val="20"/>
        </w:rPr>
        <w:t>Zdroj:</w:t>
      </w:r>
      <w:r w:rsidR="00B46194">
        <w:rPr>
          <w:rFonts w:cstheme="minorHAnsi"/>
          <w:color w:val="000000"/>
          <w:sz w:val="20"/>
          <w:szCs w:val="20"/>
        </w:rPr>
        <w:t xml:space="preserve"> </w:t>
      </w:r>
      <w:r w:rsidR="00625AF2">
        <w:rPr>
          <w:rFonts w:cstheme="minorHAnsi"/>
          <w:color w:val="000000"/>
          <w:sz w:val="20"/>
          <w:szCs w:val="20"/>
        </w:rPr>
        <w:t>t</w:t>
      </w:r>
      <w:r w:rsidRPr="00A913AB">
        <w:rPr>
          <w:rFonts w:cstheme="minorHAnsi"/>
          <w:color w:val="000000"/>
          <w:sz w:val="20"/>
          <w:szCs w:val="20"/>
        </w:rPr>
        <w:t xml:space="preserve">exty jednotlivých výzev programů podpory, </w:t>
      </w:r>
      <w:r w:rsidRPr="00A913AB">
        <w:rPr>
          <w:rFonts w:cstheme="minorHAnsi"/>
          <w:sz w:val="20"/>
        </w:rPr>
        <w:t>programový dokument OPPIK, usnesení vlády ČR ze dne 9. února 2015 č. 87.</w:t>
      </w:r>
      <w:r w:rsidR="008A6303" w:rsidRPr="008A6303">
        <w:rPr>
          <w:rFonts w:cstheme="minorHAnsi"/>
          <w:color w:val="000000"/>
          <w:sz w:val="20"/>
          <w:szCs w:val="20"/>
        </w:rPr>
        <w:t xml:space="preserve"> </w:t>
      </w:r>
    </w:p>
    <w:p w14:paraId="0692412B" w14:textId="47A9F4B4" w:rsidR="003869EF" w:rsidRPr="00A913AB" w:rsidRDefault="008A6303" w:rsidP="00AE3DE0">
      <w:pPr>
        <w:spacing w:after="0" w:line="240" w:lineRule="auto"/>
        <w:ind w:left="284" w:hanging="284"/>
        <w:jc w:val="both"/>
        <w:rPr>
          <w:rFonts w:cstheme="minorHAnsi"/>
          <w:sz w:val="20"/>
        </w:rPr>
      </w:pPr>
      <w:r>
        <w:rPr>
          <w:rFonts w:cstheme="minorHAnsi"/>
          <w:color w:val="000000"/>
          <w:sz w:val="20"/>
          <w:szCs w:val="20"/>
        </w:rPr>
        <w:t xml:space="preserve">* </w:t>
      </w:r>
      <w:r>
        <w:rPr>
          <w:rFonts w:cstheme="minorHAnsi"/>
          <w:color w:val="000000"/>
          <w:sz w:val="20"/>
          <w:szCs w:val="20"/>
        </w:rPr>
        <w:tab/>
        <w:t>V dokumentaci výzvy je uvedena plánovaná alokace 300 mil. Kč s možností navýšení.</w:t>
      </w:r>
    </w:p>
    <w:p w14:paraId="3AD9F754" w14:textId="2166084F" w:rsidR="00E97E03" w:rsidRDefault="00E97E03" w:rsidP="000A6177">
      <w:pPr>
        <w:spacing w:after="0"/>
        <w:jc w:val="both"/>
        <w:rPr>
          <w:rFonts w:eastAsia="Calibri" w:cstheme="minorHAnsi"/>
          <w:sz w:val="24"/>
        </w:rPr>
      </w:pPr>
    </w:p>
    <w:p w14:paraId="32521874" w14:textId="42504C1F" w:rsidR="00E97E03" w:rsidRPr="00512340" w:rsidRDefault="003A38BA" w:rsidP="00AE3DE0">
      <w:pPr>
        <w:pStyle w:val="KP-normlntext"/>
        <w:rPr>
          <w:rFonts w:eastAsia="Calibri" w:cstheme="minorHAnsi"/>
        </w:rPr>
      </w:pPr>
      <w:r w:rsidRPr="00E21697">
        <w:rPr>
          <w:rFonts w:asciiTheme="minorHAnsi" w:hAnsiTheme="minorHAnsi" w:cstheme="minorHAnsi"/>
          <w:b/>
        </w:rPr>
        <w:t xml:space="preserve">Program podpory </w:t>
      </w:r>
      <w:r w:rsidRPr="00AE3DE0">
        <w:rPr>
          <w:rFonts w:cstheme="minorHAnsi"/>
          <w:b/>
          <w:i/>
        </w:rPr>
        <w:t>Poradenství</w:t>
      </w:r>
      <w:r>
        <w:rPr>
          <w:rFonts w:asciiTheme="minorHAnsi" w:hAnsiTheme="minorHAnsi" w:cstheme="minorHAnsi"/>
          <w:b/>
        </w:rPr>
        <w:t xml:space="preserve"> </w:t>
      </w:r>
      <w:r w:rsidRPr="003A38BA">
        <w:rPr>
          <w:rFonts w:asciiTheme="minorHAnsi" w:hAnsiTheme="minorHAnsi" w:cstheme="minorHAnsi"/>
        </w:rPr>
        <w:t>realizuje s</w:t>
      </w:r>
      <w:r w:rsidR="008B45A5" w:rsidRPr="003A38BA">
        <w:rPr>
          <w:rFonts w:asciiTheme="minorHAnsi" w:hAnsiTheme="minorHAnsi" w:cstheme="minorHAnsi"/>
        </w:rPr>
        <w:t>pecifický cíl 2.1</w:t>
      </w:r>
      <w:r w:rsidRPr="003A38BA">
        <w:rPr>
          <w:rFonts w:asciiTheme="minorHAnsi" w:hAnsiTheme="minorHAnsi" w:cstheme="minorHAnsi"/>
        </w:rPr>
        <w:t>.</w:t>
      </w:r>
      <w:r w:rsidR="008B45A5" w:rsidRPr="003A38BA">
        <w:rPr>
          <w:rFonts w:asciiTheme="minorHAnsi" w:hAnsiTheme="minorHAnsi" w:cstheme="minorHAnsi"/>
        </w:rPr>
        <w:t xml:space="preserve"> </w:t>
      </w:r>
      <w:r w:rsidR="008B45A5">
        <w:rPr>
          <w:rFonts w:asciiTheme="minorHAnsi" w:hAnsiTheme="minorHAnsi" w:cstheme="minorHAnsi"/>
        </w:rPr>
        <w:t>Jeho cílem je růst</w:t>
      </w:r>
      <w:r w:rsidR="008B45A5" w:rsidRPr="00F27787">
        <w:rPr>
          <w:rFonts w:asciiTheme="minorHAnsi" w:hAnsiTheme="minorHAnsi" w:cstheme="minorHAnsi"/>
        </w:rPr>
        <w:t xml:space="preserve"> </w:t>
      </w:r>
      <w:r w:rsidR="00F27787" w:rsidRPr="00F27787">
        <w:rPr>
          <w:rFonts w:asciiTheme="minorHAnsi" w:hAnsiTheme="minorHAnsi" w:cstheme="minorHAnsi"/>
        </w:rPr>
        <w:t>konkurenceschopnosti MSP prostřednictvím zvýšení počtu no</w:t>
      </w:r>
      <w:r w:rsidR="003F0F28">
        <w:rPr>
          <w:rFonts w:asciiTheme="minorHAnsi" w:hAnsiTheme="minorHAnsi" w:cstheme="minorHAnsi"/>
        </w:rPr>
        <w:t>vých podnikatelských subjektů a </w:t>
      </w:r>
      <w:r w:rsidR="00F27787" w:rsidRPr="00F27787">
        <w:rPr>
          <w:rFonts w:asciiTheme="minorHAnsi" w:hAnsiTheme="minorHAnsi" w:cstheme="minorHAnsi"/>
        </w:rPr>
        <w:t>nových podnikatelských záměrů zejména inovačního charakteru s vysokým potenciálem růstu, ale i na nižších hodnotových řetězcích, a podnikatelů ve službác</w:t>
      </w:r>
      <w:r w:rsidR="00AE39BE">
        <w:rPr>
          <w:rFonts w:asciiTheme="minorHAnsi" w:hAnsiTheme="minorHAnsi" w:cstheme="minorHAnsi"/>
        </w:rPr>
        <w:t xml:space="preserve">h s přínosem pro zaměstnanost. </w:t>
      </w:r>
      <w:r w:rsidR="00F27787" w:rsidRPr="00891AA7">
        <w:rPr>
          <w:rFonts w:asciiTheme="minorHAnsi" w:hAnsiTheme="minorHAnsi" w:cstheme="minorHAnsi"/>
        </w:rPr>
        <w:t xml:space="preserve">Poskytování služeb má být zaměřeno na začínající a rozvojové MSP s cílem </w:t>
      </w:r>
      <w:r w:rsidR="00F27787" w:rsidRPr="00891AA7">
        <w:rPr>
          <w:rFonts w:asciiTheme="minorHAnsi" w:hAnsiTheme="minorHAnsi" w:cstheme="minorHAnsi"/>
        </w:rPr>
        <w:lastRenderedPageBreak/>
        <w:t>přispět k rozvoji podnikatelských aktivit a zvýšit konkurenceschopnost MSP.</w:t>
      </w:r>
      <w:r w:rsidR="003D44D6">
        <w:rPr>
          <w:rFonts w:asciiTheme="minorHAnsi" w:hAnsiTheme="minorHAnsi" w:cstheme="minorHAnsi"/>
        </w:rPr>
        <w:t xml:space="preserve"> </w:t>
      </w:r>
      <w:r w:rsidR="00E97E03" w:rsidRPr="00512340">
        <w:rPr>
          <w:rFonts w:eastAsia="Calibri" w:cstheme="minorHAnsi"/>
        </w:rPr>
        <w:t xml:space="preserve">Alokace programu podpory </w:t>
      </w:r>
      <w:r w:rsidR="00E97E03" w:rsidRPr="00AE3DE0">
        <w:rPr>
          <w:rFonts w:eastAsia="Calibri" w:cstheme="minorHAnsi"/>
          <w:i/>
        </w:rPr>
        <w:t>Poradenství</w:t>
      </w:r>
      <w:r w:rsidR="00E97E03" w:rsidRPr="00512340">
        <w:rPr>
          <w:rFonts w:eastAsia="Calibri" w:cstheme="minorHAnsi"/>
        </w:rPr>
        <w:t xml:space="preserve"> </w:t>
      </w:r>
      <w:r w:rsidR="008B45A5" w:rsidRPr="00512340">
        <w:rPr>
          <w:rFonts w:eastAsia="Calibri" w:cstheme="minorHAnsi"/>
        </w:rPr>
        <w:t>činí</w:t>
      </w:r>
      <w:r w:rsidR="00196F61">
        <w:rPr>
          <w:rFonts w:eastAsia="Calibri" w:cstheme="minorHAnsi"/>
        </w:rPr>
        <w:t xml:space="preserve"> 8 559 125 </w:t>
      </w:r>
      <w:r w:rsidR="00E21697">
        <w:rPr>
          <w:rFonts w:eastAsia="Calibri" w:cstheme="minorHAnsi"/>
        </w:rPr>
        <w:t>€</w:t>
      </w:r>
      <w:r w:rsidR="00E97E03" w:rsidRPr="00512340">
        <w:rPr>
          <w:rFonts w:eastAsia="Calibri" w:cstheme="minorHAnsi"/>
        </w:rPr>
        <w:t xml:space="preserve"> (234 819 594 Kč</w:t>
      </w:r>
      <w:r w:rsidR="008B45A5" w:rsidRPr="00512340">
        <w:rPr>
          <w:rFonts w:eastAsia="Calibri" w:cstheme="minorHAnsi"/>
        </w:rPr>
        <w:t>)</w:t>
      </w:r>
      <w:r w:rsidR="00E97E03" w:rsidRPr="00512340">
        <w:rPr>
          <w:rStyle w:val="Znakapoznpodarou"/>
          <w:rFonts w:eastAsia="Calibri" w:cstheme="minorHAnsi"/>
        </w:rPr>
        <w:footnoteReference w:id="5"/>
      </w:r>
      <w:r w:rsidR="00E97E03" w:rsidRPr="00512340">
        <w:rPr>
          <w:rFonts w:eastAsia="Calibri" w:cstheme="minorHAnsi"/>
        </w:rPr>
        <w:t>.</w:t>
      </w:r>
    </w:p>
    <w:p w14:paraId="4D6FE968" w14:textId="77777777" w:rsidR="00C81FD2" w:rsidRDefault="00C81FD2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</w:p>
    <w:p w14:paraId="7E06F36B" w14:textId="4E16272B" w:rsidR="008B45A5" w:rsidRDefault="003A38BA" w:rsidP="00AE3DE0">
      <w:pPr>
        <w:pStyle w:val="KP-normlntext"/>
        <w:spacing w:line="280" w:lineRule="atLeast"/>
        <w:rPr>
          <w:rFonts w:asciiTheme="minorHAnsi" w:hAnsiTheme="minorHAnsi" w:cstheme="minorHAnsi"/>
        </w:rPr>
      </w:pPr>
      <w:r w:rsidRPr="004C655B">
        <w:rPr>
          <w:rFonts w:asciiTheme="minorHAnsi" w:hAnsiTheme="minorHAnsi" w:cstheme="minorHAnsi"/>
          <w:b/>
        </w:rPr>
        <w:t xml:space="preserve">Program podpory </w:t>
      </w:r>
      <w:r w:rsidRPr="00AE3DE0">
        <w:rPr>
          <w:rFonts w:asciiTheme="minorHAnsi" w:hAnsiTheme="minorHAnsi" w:cstheme="minorHAnsi"/>
          <w:b/>
          <w:i/>
        </w:rPr>
        <w:t>Marketing</w:t>
      </w:r>
      <w:r>
        <w:rPr>
          <w:rFonts w:asciiTheme="minorHAnsi" w:hAnsiTheme="minorHAnsi" w:cstheme="minorHAnsi"/>
          <w:b/>
        </w:rPr>
        <w:t xml:space="preserve"> </w:t>
      </w:r>
      <w:r w:rsidRPr="003A38BA">
        <w:rPr>
          <w:rFonts w:asciiTheme="minorHAnsi" w:hAnsiTheme="minorHAnsi" w:cstheme="minorHAnsi"/>
        </w:rPr>
        <w:t>realizuje s</w:t>
      </w:r>
      <w:r w:rsidR="008B45A5" w:rsidRPr="003A38BA">
        <w:rPr>
          <w:rFonts w:asciiTheme="minorHAnsi" w:hAnsiTheme="minorHAnsi" w:cstheme="minorHAnsi"/>
        </w:rPr>
        <w:t>pecifický cíl 2.</w:t>
      </w:r>
      <w:r w:rsidRPr="003A38BA">
        <w:rPr>
          <w:rFonts w:asciiTheme="minorHAnsi" w:hAnsiTheme="minorHAnsi" w:cstheme="minorHAnsi"/>
        </w:rPr>
        <w:t>2.</w:t>
      </w:r>
      <w:r w:rsidR="008B45A5" w:rsidRPr="00F27787">
        <w:rPr>
          <w:rFonts w:asciiTheme="minorHAnsi" w:hAnsiTheme="minorHAnsi" w:cstheme="minorHAnsi"/>
        </w:rPr>
        <w:t xml:space="preserve"> </w:t>
      </w:r>
      <w:r w:rsidR="008B45A5">
        <w:rPr>
          <w:rFonts w:asciiTheme="minorHAnsi" w:hAnsiTheme="minorHAnsi" w:cstheme="minorHAnsi"/>
        </w:rPr>
        <w:t>Jeho cílem je</w:t>
      </w:r>
      <w:r w:rsidR="00F27787" w:rsidRPr="00F27787">
        <w:rPr>
          <w:rFonts w:asciiTheme="minorHAnsi" w:hAnsiTheme="minorHAnsi" w:cstheme="minorHAnsi"/>
        </w:rPr>
        <w:t xml:space="preserve"> rozvoj internacionalizace podnikání v oblasti sofistikovaných služeb a poradenství</w:t>
      </w:r>
      <w:r w:rsidR="004C655B">
        <w:rPr>
          <w:rFonts w:asciiTheme="minorHAnsi" w:hAnsiTheme="minorHAnsi" w:cstheme="minorHAnsi"/>
        </w:rPr>
        <w:t>, dále</w:t>
      </w:r>
      <w:r w:rsidR="00F27787" w:rsidRPr="00F27787">
        <w:rPr>
          <w:rFonts w:asciiTheme="minorHAnsi" w:hAnsiTheme="minorHAnsi" w:cstheme="minorHAnsi"/>
        </w:rPr>
        <w:t xml:space="preserve"> podpor</w:t>
      </w:r>
      <w:r w:rsidR="004C655B">
        <w:rPr>
          <w:rFonts w:asciiTheme="minorHAnsi" w:hAnsiTheme="minorHAnsi" w:cstheme="minorHAnsi"/>
        </w:rPr>
        <w:t>a</w:t>
      </w:r>
      <w:r w:rsidR="00F27787" w:rsidRPr="00F27787">
        <w:rPr>
          <w:rFonts w:asciiTheme="minorHAnsi" w:hAnsiTheme="minorHAnsi" w:cstheme="minorHAnsi"/>
        </w:rPr>
        <w:t xml:space="preserve"> MSP orientující se na nové zdro</w:t>
      </w:r>
      <w:r w:rsidR="008B45A5">
        <w:rPr>
          <w:rFonts w:asciiTheme="minorHAnsi" w:hAnsiTheme="minorHAnsi" w:cstheme="minorHAnsi"/>
        </w:rPr>
        <w:t>je růstu na zahraničních trzích,</w:t>
      </w:r>
      <w:r w:rsidR="00F27787" w:rsidRPr="00F27787">
        <w:rPr>
          <w:rFonts w:asciiTheme="minorHAnsi" w:hAnsiTheme="minorHAnsi" w:cstheme="minorHAnsi"/>
        </w:rPr>
        <w:t xml:space="preserve"> </w:t>
      </w:r>
      <w:r w:rsidR="00F27787" w:rsidRPr="00891AA7">
        <w:rPr>
          <w:rFonts w:asciiTheme="minorHAnsi" w:hAnsiTheme="minorHAnsi" w:cstheme="minorHAnsi"/>
        </w:rPr>
        <w:t xml:space="preserve">posílení růstových motivací MSP, jejich schopnosti a marketingové připravenosti nacházet nové trhy mimo ČR (územně i produktově), vstupovat na ně a udržet se na nich </w:t>
      </w:r>
      <w:r w:rsidR="004C655B">
        <w:rPr>
          <w:rFonts w:asciiTheme="minorHAnsi" w:hAnsiTheme="minorHAnsi" w:cstheme="minorHAnsi"/>
        </w:rPr>
        <w:t>a také podpora</w:t>
      </w:r>
      <w:r w:rsidR="00F27787" w:rsidRPr="00891AA7">
        <w:rPr>
          <w:rFonts w:asciiTheme="minorHAnsi" w:hAnsiTheme="minorHAnsi" w:cstheme="minorHAnsi"/>
        </w:rPr>
        <w:t xml:space="preserve"> zapojování do mezinárodních programů</w:t>
      </w:r>
      <w:r w:rsidR="004F1581">
        <w:rPr>
          <w:rFonts w:asciiTheme="minorHAnsi" w:hAnsiTheme="minorHAnsi" w:cstheme="minorHAnsi"/>
        </w:rPr>
        <w:t>, s čímž souvisí</w:t>
      </w:r>
      <w:r w:rsidR="00F27787" w:rsidRPr="00891AA7">
        <w:rPr>
          <w:rFonts w:asciiTheme="minorHAnsi" w:hAnsiTheme="minorHAnsi" w:cstheme="minorHAnsi"/>
        </w:rPr>
        <w:t xml:space="preserve"> zvýšená schopnost mezinárodní expanze, rozšiřování exportní působnosti, výrobních a</w:t>
      </w:r>
      <w:r w:rsidR="004F1581">
        <w:rPr>
          <w:rFonts w:asciiTheme="minorHAnsi" w:hAnsiTheme="minorHAnsi" w:cstheme="minorHAnsi"/>
        </w:rPr>
        <w:t> </w:t>
      </w:r>
      <w:r w:rsidR="00F27787" w:rsidRPr="00891AA7">
        <w:rPr>
          <w:rFonts w:asciiTheme="minorHAnsi" w:hAnsiTheme="minorHAnsi" w:cstheme="minorHAnsi"/>
        </w:rPr>
        <w:t>prodejních aktivit.</w:t>
      </w:r>
      <w:r w:rsidR="00F27787">
        <w:rPr>
          <w:rFonts w:asciiTheme="minorHAnsi" w:hAnsiTheme="minorHAnsi" w:cstheme="minorHAnsi"/>
        </w:rPr>
        <w:t xml:space="preserve"> </w:t>
      </w:r>
    </w:p>
    <w:p w14:paraId="48CABE79" w14:textId="56BD22CA" w:rsidR="00F27787" w:rsidRDefault="004F1581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8B45A5">
        <w:rPr>
          <w:rFonts w:asciiTheme="minorHAnsi" w:hAnsiTheme="minorHAnsi" w:cstheme="minorHAnsi"/>
        </w:rPr>
        <w:t xml:space="preserve"> programu podpory </w:t>
      </w:r>
      <w:r w:rsidR="00646196" w:rsidRPr="00AE3DE0">
        <w:rPr>
          <w:rFonts w:asciiTheme="minorHAnsi" w:hAnsiTheme="minorHAnsi" w:cstheme="minorHAnsi"/>
          <w:b/>
          <w:i/>
        </w:rPr>
        <w:t>Marketing</w:t>
      </w:r>
      <w:r w:rsidR="00646196">
        <w:rPr>
          <w:rFonts w:asciiTheme="minorHAnsi" w:hAnsiTheme="minorHAnsi" w:cstheme="minorHAnsi"/>
        </w:rPr>
        <w:t xml:space="preserve"> jsou </w:t>
      </w:r>
      <w:r>
        <w:rPr>
          <w:rFonts w:asciiTheme="minorHAnsi" w:hAnsiTheme="minorHAnsi" w:cstheme="minorHAnsi"/>
        </w:rPr>
        <w:t>financovány</w:t>
      </w:r>
      <w:r w:rsidR="00CE70D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mj. </w:t>
      </w:r>
      <w:r w:rsidR="00F27787" w:rsidRPr="0084378C">
        <w:rPr>
          <w:rFonts w:asciiTheme="minorHAnsi" w:hAnsiTheme="minorHAnsi" w:cstheme="minorHAnsi"/>
        </w:rPr>
        <w:t>projekty</w:t>
      </w:r>
      <w:r w:rsidR="00F27787" w:rsidRPr="00E20D8A">
        <w:rPr>
          <w:rFonts w:asciiTheme="minorHAnsi" w:hAnsiTheme="minorHAnsi" w:cstheme="minorHAnsi"/>
        </w:rPr>
        <w:t xml:space="preserve"> </w:t>
      </w:r>
      <w:r w:rsidR="00646196">
        <w:rPr>
          <w:rFonts w:asciiTheme="minorHAnsi" w:hAnsiTheme="minorHAnsi" w:cstheme="minorHAnsi"/>
        </w:rPr>
        <w:t>určené</w:t>
      </w:r>
      <w:r w:rsidR="00F27787" w:rsidRPr="00E20D8A">
        <w:rPr>
          <w:rFonts w:asciiTheme="minorHAnsi" w:hAnsiTheme="minorHAnsi" w:cstheme="minorHAnsi"/>
        </w:rPr>
        <w:t xml:space="preserve"> pouze pro </w:t>
      </w:r>
      <w:r w:rsidR="00F27787">
        <w:rPr>
          <w:rFonts w:asciiTheme="minorHAnsi" w:hAnsiTheme="minorHAnsi" w:cstheme="minorHAnsi"/>
        </w:rPr>
        <w:t>A</w:t>
      </w:r>
      <w:r w:rsidR="00F27787" w:rsidRPr="00E20D8A">
        <w:rPr>
          <w:rFonts w:asciiTheme="minorHAnsi" w:hAnsiTheme="minorHAnsi" w:cstheme="minorHAnsi"/>
        </w:rPr>
        <w:t>gentur</w:t>
      </w:r>
      <w:r w:rsidR="00F27787">
        <w:rPr>
          <w:rFonts w:asciiTheme="minorHAnsi" w:hAnsiTheme="minorHAnsi" w:cstheme="minorHAnsi"/>
        </w:rPr>
        <w:t>u pro podporu podnikání a investic</w:t>
      </w:r>
      <w:r w:rsidR="00F27787" w:rsidRPr="00E20D8A">
        <w:rPr>
          <w:rFonts w:asciiTheme="minorHAnsi" w:hAnsiTheme="minorHAnsi" w:cstheme="minorHAnsi"/>
        </w:rPr>
        <w:t xml:space="preserve"> CzechInvest</w:t>
      </w:r>
      <w:r w:rsidR="00F27787">
        <w:rPr>
          <w:rFonts w:asciiTheme="minorHAnsi" w:hAnsiTheme="minorHAnsi" w:cstheme="minorHAnsi"/>
        </w:rPr>
        <w:t xml:space="preserve"> (dále také „CzechInvest“)</w:t>
      </w:r>
      <w:r w:rsidR="00F27787" w:rsidRPr="00E20D8A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agenturu </w:t>
      </w:r>
      <w:r w:rsidR="00F27787" w:rsidRPr="00E20D8A">
        <w:rPr>
          <w:rFonts w:asciiTheme="minorHAnsi" w:hAnsiTheme="minorHAnsi" w:cstheme="minorHAnsi"/>
        </w:rPr>
        <w:t>CzechTrade, které jsou příspěvkov</w:t>
      </w:r>
      <w:r w:rsidR="00646196">
        <w:rPr>
          <w:rFonts w:asciiTheme="minorHAnsi" w:hAnsiTheme="minorHAnsi" w:cstheme="minorHAnsi"/>
        </w:rPr>
        <w:t>ými</w:t>
      </w:r>
      <w:r w:rsidR="00F27787" w:rsidRPr="00E20D8A">
        <w:rPr>
          <w:rFonts w:asciiTheme="minorHAnsi" w:hAnsiTheme="minorHAnsi" w:cstheme="minorHAnsi"/>
        </w:rPr>
        <w:t xml:space="preserve"> organizace</w:t>
      </w:r>
      <w:r w:rsidR="00646196">
        <w:rPr>
          <w:rFonts w:asciiTheme="minorHAnsi" w:hAnsiTheme="minorHAnsi" w:cstheme="minorHAnsi"/>
        </w:rPr>
        <w:t>mi podřízenými</w:t>
      </w:r>
      <w:r w:rsidR="00F27787" w:rsidRPr="00E20D8A">
        <w:rPr>
          <w:rFonts w:asciiTheme="minorHAnsi" w:hAnsiTheme="minorHAnsi" w:cstheme="minorHAnsi"/>
        </w:rPr>
        <w:t xml:space="preserve"> MPO</w:t>
      </w:r>
      <w:r w:rsidR="00CE70D2">
        <w:rPr>
          <w:rFonts w:asciiTheme="minorHAnsi" w:hAnsiTheme="minorHAnsi" w:cstheme="minorHAnsi"/>
        </w:rPr>
        <w:t xml:space="preserve"> (dále také „interní projekty“)</w:t>
      </w:r>
      <w:r w:rsidR="00F27787" w:rsidRPr="00E20D8A">
        <w:rPr>
          <w:rFonts w:asciiTheme="minorHAnsi" w:hAnsiTheme="minorHAnsi" w:cstheme="minorHAnsi"/>
        </w:rPr>
        <w:t>. V rámci interních projektů získají CzechInvest a CzechTrade</w:t>
      </w:r>
      <w:r w:rsidR="00E73AF1">
        <w:rPr>
          <w:rFonts w:asciiTheme="minorHAnsi" w:hAnsiTheme="minorHAnsi" w:cstheme="minorHAnsi"/>
        </w:rPr>
        <w:t xml:space="preserve"> jako příjemci podpory</w:t>
      </w:r>
      <w:r w:rsidR="00F27787" w:rsidRPr="00E20D8A">
        <w:rPr>
          <w:rFonts w:asciiTheme="minorHAnsi" w:hAnsiTheme="minorHAnsi" w:cstheme="minorHAnsi"/>
        </w:rPr>
        <w:t xml:space="preserve"> peněžní prostředky, kterými dále zajišťují zvýhodněné služby pro MSP. CzechInvest poskytuje podporu zaměřenou na rozvoj </w:t>
      </w:r>
      <w:r w:rsidR="00464D52">
        <w:rPr>
          <w:rFonts w:asciiTheme="minorHAnsi" w:hAnsiTheme="minorHAnsi" w:cstheme="minorHAnsi"/>
        </w:rPr>
        <w:t>s</w:t>
      </w:r>
      <w:r w:rsidR="00F27787" w:rsidRPr="00E20D8A">
        <w:rPr>
          <w:rFonts w:asciiTheme="minorHAnsi" w:hAnsiTheme="minorHAnsi" w:cstheme="minorHAnsi"/>
        </w:rPr>
        <w:t>tart-</w:t>
      </w:r>
      <w:proofErr w:type="spellStart"/>
      <w:r w:rsidR="00F27787" w:rsidRPr="00E20D8A">
        <w:rPr>
          <w:rFonts w:asciiTheme="minorHAnsi" w:hAnsiTheme="minorHAnsi" w:cstheme="minorHAnsi"/>
        </w:rPr>
        <w:t>upů</w:t>
      </w:r>
      <w:proofErr w:type="spellEnd"/>
      <w:r w:rsidR="00F27787" w:rsidRPr="00E20D8A">
        <w:rPr>
          <w:rFonts w:asciiTheme="minorHAnsi" w:hAnsiTheme="minorHAnsi" w:cstheme="minorHAnsi"/>
        </w:rPr>
        <w:t xml:space="preserve">, posílení jejich schopností a marketingové připravenosti vstupovat a udržet se na zahraničních trzích. CzechTrade poskytuje podporu formou zvýhodněné služby na účast MSP na zahraničních veletrzích a výstavách zaměřených na prioritní oblasti českého průmyslu, na oblast klíčových technologií a poskytuje zvýhodněné služby průmyslových a produktových designérů a podporu účastí na zahraničních výstavách a veletrzích zaměřených na propagaci designu. </w:t>
      </w:r>
    </w:p>
    <w:p w14:paraId="6B1E7C40" w14:textId="77777777" w:rsidR="00254621" w:rsidRDefault="00254621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</w:p>
    <w:p w14:paraId="5E7DDE9F" w14:textId="0DA6A3A1" w:rsidR="00E97E03" w:rsidRPr="00891AA7" w:rsidRDefault="00E97E03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  <w:r w:rsidRPr="00512340">
        <w:rPr>
          <w:rFonts w:asciiTheme="minorHAnsi" w:eastAsia="Calibri" w:hAnsiTheme="minorHAnsi" w:cstheme="minorHAnsi"/>
          <w:szCs w:val="22"/>
        </w:rPr>
        <w:t>Alokace programu pod</w:t>
      </w:r>
      <w:r w:rsidR="004B1B1D">
        <w:rPr>
          <w:rFonts w:asciiTheme="minorHAnsi" w:eastAsia="Calibri" w:hAnsiTheme="minorHAnsi" w:cstheme="minorHAnsi"/>
          <w:szCs w:val="22"/>
        </w:rPr>
        <w:t xml:space="preserve">pory </w:t>
      </w:r>
      <w:r w:rsidR="004B1B1D" w:rsidRPr="00AE3DE0">
        <w:rPr>
          <w:rFonts w:asciiTheme="minorHAnsi" w:eastAsia="Calibri" w:hAnsiTheme="minorHAnsi" w:cstheme="minorHAnsi"/>
          <w:i/>
          <w:szCs w:val="22"/>
        </w:rPr>
        <w:t>Marketing</w:t>
      </w:r>
      <w:r w:rsidR="004B1B1D">
        <w:rPr>
          <w:rFonts w:asciiTheme="minorHAnsi" w:eastAsia="Calibri" w:hAnsiTheme="minorHAnsi" w:cstheme="minorHAnsi"/>
          <w:szCs w:val="22"/>
        </w:rPr>
        <w:t xml:space="preserve"> je 56 540 420 </w:t>
      </w:r>
      <w:r w:rsidR="002D6110">
        <w:rPr>
          <w:rFonts w:asciiTheme="minorHAnsi" w:eastAsia="Calibri" w:hAnsiTheme="minorHAnsi" w:cstheme="minorHAnsi"/>
          <w:szCs w:val="22"/>
        </w:rPr>
        <w:t>€</w:t>
      </w:r>
      <w:r w:rsidRPr="00512340">
        <w:rPr>
          <w:rFonts w:asciiTheme="minorHAnsi" w:eastAsia="Calibri" w:hAnsiTheme="minorHAnsi" w:cstheme="minorHAnsi"/>
          <w:szCs w:val="22"/>
        </w:rPr>
        <w:t xml:space="preserve"> (1 551 186 422,7 Kč</w:t>
      </w:r>
      <w:r w:rsidR="00254621" w:rsidRPr="00512340">
        <w:rPr>
          <w:rFonts w:asciiTheme="minorHAnsi" w:eastAsia="Calibri" w:hAnsiTheme="minorHAnsi" w:cstheme="minorHAnsi"/>
          <w:szCs w:val="22"/>
        </w:rPr>
        <w:t>)</w:t>
      </w:r>
      <w:r w:rsidR="00A52D82" w:rsidRPr="00512340">
        <w:rPr>
          <w:rFonts w:asciiTheme="minorHAnsi" w:eastAsia="Calibri" w:hAnsiTheme="minorHAnsi" w:cstheme="minorHAnsi"/>
          <w:szCs w:val="22"/>
          <w:vertAlign w:val="superscript"/>
        </w:rPr>
        <w:t>4</w:t>
      </w:r>
      <w:r w:rsidRPr="00512340">
        <w:rPr>
          <w:rFonts w:asciiTheme="minorHAnsi" w:eastAsia="Calibri" w:hAnsiTheme="minorHAnsi" w:cstheme="minorHAnsi"/>
          <w:szCs w:val="22"/>
        </w:rPr>
        <w:t>. Dne 9. září</w:t>
      </w:r>
      <w:r w:rsidRPr="002E2256">
        <w:rPr>
          <w:rFonts w:asciiTheme="minorHAnsi" w:eastAsia="Calibri" w:hAnsiTheme="minorHAnsi" w:cstheme="minorHAnsi"/>
          <w:szCs w:val="22"/>
        </w:rPr>
        <w:t xml:space="preserve"> 2020 byla nevyužitá čá</w:t>
      </w:r>
      <w:r w:rsidR="004B1B1D">
        <w:rPr>
          <w:rFonts w:asciiTheme="minorHAnsi" w:eastAsia="Calibri" w:hAnsiTheme="minorHAnsi" w:cstheme="minorHAnsi"/>
          <w:szCs w:val="22"/>
        </w:rPr>
        <w:t xml:space="preserve">st alokace ve výši 3 800 000 </w:t>
      </w:r>
      <w:r w:rsidR="002D6110">
        <w:rPr>
          <w:rFonts w:asciiTheme="minorHAnsi" w:eastAsia="Calibri" w:hAnsiTheme="minorHAnsi" w:cstheme="minorHAnsi"/>
          <w:szCs w:val="22"/>
        </w:rPr>
        <w:t>€</w:t>
      </w:r>
      <w:r w:rsidRPr="002E2256">
        <w:rPr>
          <w:rFonts w:asciiTheme="minorHAnsi" w:eastAsia="Calibri" w:hAnsiTheme="minorHAnsi" w:cstheme="minorHAnsi"/>
          <w:szCs w:val="22"/>
        </w:rPr>
        <w:t xml:space="preserve"> (100 776 000 Kč</w:t>
      </w:r>
      <w:r w:rsidRPr="002E2256">
        <w:rPr>
          <w:rStyle w:val="Znakapoznpodarou"/>
          <w:rFonts w:asciiTheme="minorHAnsi" w:eastAsia="Calibri" w:hAnsiTheme="minorHAnsi" w:cstheme="minorHAnsi"/>
          <w:szCs w:val="22"/>
        </w:rPr>
        <w:footnoteReference w:id="6"/>
      </w:r>
      <w:r w:rsidRPr="002E2256">
        <w:rPr>
          <w:rFonts w:asciiTheme="minorHAnsi" w:eastAsia="Calibri" w:hAnsiTheme="minorHAnsi" w:cstheme="minorHAnsi"/>
          <w:szCs w:val="22"/>
        </w:rPr>
        <w:t xml:space="preserve">) převedena do </w:t>
      </w:r>
      <w:r w:rsidR="002D6110">
        <w:rPr>
          <w:rFonts w:asciiTheme="minorHAnsi" w:eastAsia="Calibri" w:hAnsiTheme="minorHAnsi" w:cstheme="minorHAnsi"/>
          <w:szCs w:val="22"/>
        </w:rPr>
        <w:t>o</w:t>
      </w:r>
      <w:r w:rsidRPr="002E2256">
        <w:rPr>
          <w:rFonts w:asciiTheme="minorHAnsi" w:eastAsia="Calibri" w:hAnsiTheme="minorHAnsi" w:cstheme="minorHAnsi"/>
          <w:szCs w:val="22"/>
        </w:rPr>
        <w:t xml:space="preserve">peračního programu </w:t>
      </w:r>
      <w:r w:rsidRPr="00681131">
        <w:rPr>
          <w:rFonts w:asciiTheme="minorHAnsi" w:eastAsia="Calibri" w:hAnsiTheme="minorHAnsi" w:cstheme="minorHAnsi"/>
          <w:i/>
          <w:szCs w:val="22"/>
        </w:rPr>
        <w:t xml:space="preserve">Zaměstnanost </w:t>
      </w:r>
      <w:r w:rsidR="00BB5AF9" w:rsidRPr="00681131">
        <w:rPr>
          <w:rFonts w:asciiTheme="minorHAnsi" w:eastAsia="Calibri" w:hAnsiTheme="minorHAnsi" w:cstheme="minorHAnsi"/>
          <w:i/>
          <w:szCs w:val="22"/>
        </w:rPr>
        <w:t>2014–2020</w:t>
      </w:r>
      <w:r w:rsidR="00BB5AF9">
        <w:rPr>
          <w:rFonts w:asciiTheme="minorHAnsi" w:eastAsia="Calibri" w:hAnsiTheme="minorHAnsi" w:cstheme="minorHAnsi"/>
          <w:szCs w:val="22"/>
        </w:rPr>
        <w:t xml:space="preserve"> </w:t>
      </w:r>
      <w:r w:rsidRPr="002E2256">
        <w:rPr>
          <w:rFonts w:asciiTheme="minorHAnsi" w:eastAsia="Calibri" w:hAnsiTheme="minorHAnsi" w:cstheme="minorHAnsi"/>
          <w:szCs w:val="22"/>
        </w:rPr>
        <w:t>z</w:t>
      </w:r>
      <w:r w:rsidR="004B1B1D">
        <w:rPr>
          <w:rFonts w:asciiTheme="minorHAnsi" w:eastAsia="Calibri" w:hAnsiTheme="minorHAnsi" w:cstheme="minorHAnsi"/>
          <w:szCs w:val="22"/>
        </w:rPr>
        <w:t> </w:t>
      </w:r>
      <w:r w:rsidRPr="002E2256">
        <w:rPr>
          <w:rFonts w:asciiTheme="minorHAnsi" w:eastAsia="Calibri" w:hAnsiTheme="minorHAnsi" w:cstheme="minorHAnsi"/>
          <w:szCs w:val="22"/>
        </w:rPr>
        <w:t>důvodu</w:t>
      </w:r>
      <w:r w:rsidR="004B1B1D">
        <w:rPr>
          <w:rFonts w:asciiTheme="minorHAnsi" w:eastAsia="Calibri" w:hAnsiTheme="minorHAnsi" w:cstheme="minorHAnsi"/>
          <w:szCs w:val="22"/>
        </w:rPr>
        <w:t xml:space="preserve"> jeho</w:t>
      </w:r>
      <w:r w:rsidRPr="002E2256">
        <w:rPr>
          <w:rFonts w:asciiTheme="minorHAnsi" w:eastAsia="Calibri" w:hAnsiTheme="minorHAnsi" w:cstheme="minorHAnsi"/>
          <w:szCs w:val="22"/>
        </w:rPr>
        <w:t xml:space="preserve"> vyčerpání v souvislosti s poskytovanou podporou na opatření v rámci epidemie Covid</w:t>
      </w:r>
      <w:r w:rsidR="00681131">
        <w:rPr>
          <w:rFonts w:asciiTheme="minorHAnsi" w:eastAsia="Calibri" w:hAnsiTheme="minorHAnsi" w:cstheme="minorHAnsi"/>
          <w:szCs w:val="22"/>
        </w:rPr>
        <w:t xml:space="preserve"> </w:t>
      </w:r>
      <w:r w:rsidRPr="002E2256">
        <w:rPr>
          <w:rFonts w:asciiTheme="minorHAnsi" w:eastAsia="Calibri" w:hAnsiTheme="minorHAnsi" w:cstheme="minorHAnsi"/>
          <w:szCs w:val="22"/>
        </w:rPr>
        <w:t xml:space="preserve"> 19</w:t>
      </w:r>
      <w:r w:rsidRPr="002E2256">
        <w:rPr>
          <w:rStyle w:val="Znakapoznpodarou"/>
          <w:rFonts w:asciiTheme="minorHAnsi" w:eastAsia="Calibri" w:hAnsiTheme="minorHAnsi" w:cstheme="minorHAnsi"/>
          <w:szCs w:val="22"/>
        </w:rPr>
        <w:footnoteReference w:id="7"/>
      </w:r>
      <w:r>
        <w:rPr>
          <w:rFonts w:asciiTheme="minorHAnsi" w:eastAsia="Calibri" w:hAnsiTheme="minorHAnsi" w:cstheme="minorHAnsi"/>
          <w:szCs w:val="22"/>
        </w:rPr>
        <w:t>.</w:t>
      </w:r>
    </w:p>
    <w:p w14:paraId="1A72E228" w14:textId="77777777" w:rsidR="00F73BFB" w:rsidRDefault="00F73BFB" w:rsidP="000A6177">
      <w:pPr>
        <w:pStyle w:val="KP-normlntext"/>
        <w:spacing w:after="0" w:line="280" w:lineRule="atLeast"/>
        <w:rPr>
          <w:rFonts w:asciiTheme="minorHAnsi" w:hAnsiTheme="minorHAnsi" w:cstheme="minorHAnsi"/>
          <w:b/>
        </w:rPr>
      </w:pPr>
    </w:p>
    <w:p w14:paraId="6C8EED83" w14:textId="3D2A6B34" w:rsidR="003869EF" w:rsidRDefault="003A38BA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Program podpory </w:t>
      </w:r>
      <w:r w:rsidRPr="00AE3DE0">
        <w:rPr>
          <w:rFonts w:asciiTheme="minorHAnsi" w:hAnsiTheme="minorHAnsi" w:cstheme="minorHAnsi"/>
          <w:b/>
          <w:i/>
        </w:rPr>
        <w:t>Školicí střediska</w:t>
      </w:r>
      <w:r>
        <w:rPr>
          <w:rFonts w:asciiTheme="minorHAnsi" w:hAnsiTheme="minorHAnsi" w:cstheme="minorHAnsi"/>
          <w:b/>
        </w:rPr>
        <w:t xml:space="preserve"> </w:t>
      </w:r>
      <w:r w:rsidRPr="008E59FF">
        <w:rPr>
          <w:rFonts w:asciiTheme="minorHAnsi" w:hAnsiTheme="minorHAnsi" w:cstheme="minorHAnsi"/>
        </w:rPr>
        <w:t>realizuje s</w:t>
      </w:r>
      <w:r w:rsidR="00254621" w:rsidRPr="008E59FF">
        <w:rPr>
          <w:rFonts w:asciiTheme="minorHAnsi" w:hAnsiTheme="minorHAnsi" w:cstheme="minorHAnsi"/>
        </w:rPr>
        <w:t>pecifický cíl 2.4</w:t>
      </w:r>
      <w:r w:rsidRPr="008E59FF">
        <w:rPr>
          <w:rFonts w:asciiTheme="minorHAnsi" w:hAnsiTheme="minorHAnsi" w:cstheme="minorHAnsi"/>
        </w:rPr>
        <w:t>.</w:t>
      </w:r>
      <w:r w:rsidR="00254621" w:rsidRPr="00254621">
        <w:rPr>
          <w:rFonts w:asciiTheme="minorHAnsi" w:hAnsiTheme="minorHAnsi" w:cstheme="minorHAnsi"/>
          <w:b/>
        </w:rPr>
        <w:t xml:space="preserve"> </w:t>
      </w:r>
      <w:r w:rsidR="003869EF" w:rsidRPr="007B41FF">
        <w:rPr>
          <w:rFonts w:asciiTheme="minorHAnsi" w:hAnsiTheme="minorHAnsi" w:cstheme="minorHAnsi"/>
        </w:rPr>
        <w:t>Cílem programu je rozvoj nové a využití stávající infrastruktury pro vzdělávání a</w:t>
      </w:r>
      <w:r w:rsidR="00BB5AF9">
        <w:rPr>
          <w:rFonts w:asciiTheme="minorHAnsi" w:hAnsiTheme="minorHAnsi" w:cstheme="minorHAnsi"/>
        </w:rPr>
        <w:t xml:space="preserve"> </w:t>
      </w:r>
      <w:r w:rsidR="003869EF" w:rsidRPr="007B41FF">
        <w:rPr>
          <w:rFonts w:asciiTheme="minorHAnsi" w:hAnsiTheme="minorHAnsi" w:cstheme="minorHAnsi"/>
        </w:rPr>
        <w:t>rozvoj lidských zdrojů v podnikatelském sektoru s možností využití této infrastruktury pro potřeby odborné přípravy v počátečním technickém vzdělávání</w:t>
      </w:r>
      <w:r w:rsidR="003869EF">
        <w:rPr>
          <w:rFonts w:asciiTheme="minorHAnsi" w:hAnsiTheme="minorHAnsi" w:cstheme="minorHAnsi"/>
        </w:rPr>
        <w:t>, které spočívá v možnosti proškolení a</w:t>
      </w:r>
      <w:r w:rsidR="00BB5AF9">
        <w:rPr>
          <w:rFonts w:asciiTheme="minorHAnsi" w:hAnsiTheme="minorHAnsi" w:cstheme="minorHAnsi"/>
        </w:rPr>
        <w:t xml:space="preserve"> </w:t>
      </w:r>
      <w:r w:rsidR="003869EF" w:rsidRPr="00E20D8A">
        <w:rPr>
          <w:rFonts w:asciiTheme="minorHAnsi" w:hAnsiTheme="minorHAnsi" w:cstheme="minorHAnsi"/>
        </w:rPr>
        <w:t>seznámení se s rozvíjejícími se novými technologiemi, odbornostmi a procesy v daném oboru a novou legislativou související s podnikáním i s efektivním marketingem, který je nutnou součástí konkurenceschopnosti.</w:t>
      </w:r>
    </w:p>
    <w:p w14:paraId="5AE4B800" w14:textId="77777777" w:rsidR="00512340" w:rsidRDefault="00512340" w:rsidP="000A6177">
      <w:pPr>
        <w:spacing w:after="0"/>
        <w:jc w:val="both"/>
        <w:rPr>
          <w:rFonts w:eastAsia="Calibri" w:cstheme="minorHAnsi"/>
          <w:sz w:val="24"/>
        </w:rPr>
      </w:pPr>
    </w:p>
    <w:p w14:paraId="501C4E40" w14:textId="1F5F7918" w:rsidR="00254621" w:rsidRPr="00512340" w:rsidRDefault="00E97E03" w:rsidP="000A6177">
      <w:pPr>
        <w:spacing w:after="0"/>
        <w:jc w:val="both"/>
        <w:rPr>
          <w:rFonts w:eastAsia="Calibri" w:cstheme="minorHAnsi"/>
          <w:sz w:val="24"/>
        </w:rPr>
      </w:pPr>
      <w:r w:rsidRPr="00AE3DE0">
        <w:rPr>
          <w:rFonts w:eastAsia="Calibri" w:cstheme="minorHAnsi"/>
          <w:spacing w:val="-2"/>
          <w:sz w:val="24"/>
        </w:rPr>
        <w:t xml:space="preserve">Alokace programu podpory </w:t>
      </w:r>
      <w:r w:rsidRPr="00AE3DE0">
        <w:rPr>
          <w:rFonts w:eastAsia="Calibri" w:cstheme="minorHAnsi"/>
          <w:i/>
          <w:spacing w:val="-2"/>
          <w:sz w:val="24"/>
        </w:rPr>
        <w:t>Školicí střediska</w:t>
      </w:r>
      <w:r w:rsidRPr="00AE3DE0">
        <w:rPr>
          <w:rFonts w:eastAsia="Calibri" w:cstheme="minorHAnsi"/>
          <w:spacing w:val="-2"/>
          <w:sz w:val="24"/>
        </w:rPr>
        <w:t xml:space="preserve"> byla</w:t>
      </w:r>
      <w:r w:rsidR="00254621" w:rsidRPr="00AE3DE0">
        <w:rPr>
          <w:rFonts w:eastAsia="Calibri" w:cstheme="minorHAnsi"/>
          <w:spacing w:val="-2"/>
          <w:sz w:val="24"/>
        </w:rPr>
        <w:t xml:space="preserve"> původně</w:t>
      </w:r>
      <w:r w:rsidR="004B1B1D" w:rsidRPr="00AE3DE0">
        <w:rPr>
          <w:rFonts w:eastAsia="Calibri" w:cstheme="minorHAnsi"/>
          <w:spacing w:val="-2"/>
          <w:sz w:val="24"/>
        </w:rPr>
        <w:t xml:space="preserve"> 84 594 827 </w:t>
      </w:r>
      <w:r w:rsidR="00BB5AF9" w:rsidRPr="00AE3DE0">
        <w:rPr>
          <w:rFonts w:eastAsia="Calibri" w:cstheme="minorHAnsi"/>
          <w:spacing w:val="-2"/>
          <w:sz w:val="24"/>
        </w:rPr>
        <w:t>€</w:t>
      </w:r>
      <w:r w:rsidRPr="00AE3DE0">
        <w:rPr>
          <w:rFonts w:eastAsia="Calibri" w:cstheme="minorHAnsi"/>
          <w:spacing w:val="-2"/>
          <w:sz w:val="24"/>
        </w:rPr>
        <w:t xml:space="preserve"> (2 320 859 078,75</w:t>
      </w:r>
      <w:r w:rsidR="00F0182A" w:rsidRPr="00AE3DE0">
        <w:rPr>
          <w:rFonts w:eastAsia="Calibri" w:cstheme="minorHAnsi"/>
          <w:spacing w:val="-2"/>
          <w:sz w:val="24"/>
        </w:rPr>
        <w:t> </w:t>
      </w:r>
      <w:r w:rsidRPr="00AE3DE0">
        <w:rPr>
          <w:rFonts w:eastAsia="Calibri" w:cstheme="minorHAnsi"/>
          <w:spacing w:val="-2"/>
          <w:sz w:val="24"/>
        </w:rPr>
        <w:t>Kč</w:t>
      </w:r>
      <w:r w:rsidR="00254621" w:rsidRPr="00AE3DE0">
        <w:rPr>
          <w:rFonts w:eastAsia="Calibri" w:cstheme="minorHAnsi"/>
          <w:spacing w:val="-2"/>
          <w:sz w:val="24"/>
        </w:rPr>
        <w:t>)</w:t>
      </w:r>
      <w:r w:rsidR="00A52D82" w:rsidRPr="00AE3DE0">
        <w:rPr>
          <w:rFonts w:eastAsia="Calibri" w:cstheme="minorHAnsi"/>
          <w:spacing w:val="-2"/>
          <w:sz w:val="24"/>
          <w:vertAlign w:val="superscript"/>
        </w:rPr>
        <w:t>4</w:t>
      </w:r>
      <w:r w:rsidRPr="00512340">
        <w:rPr>
          <w:rFonts w:eastAsia="Calibri" w:cstheme="minorHAnsi"/>
          <w:sz w:val="24"/>
        </w:rPr>
        <w:t>.</w:t>
      </w:r>
    </w:p>
    <w:p w14:paraId="15A6C46F" w14:textId="218F872B" w:rsidR="00254621" w:rsidRPr="00254621" w:rsidRDefault="00254621" w:rsidP="000A6177">
      <w:pPr>
        <w:spacing w:after="0"/>
        <w:jc w:val="both"/>
        <w:rPr>
          <w:rFonts w:eastAsia="Calibri" w:cstheme="minorHAnsi"/>
          <w:sz w:val="24"/>
          <w:u w:val="single"/>
        </w:rPr>
      </w:pPr>
      <w:r w:rsidRPr="00254621">
        <w:rPr>
          <w:rFonts w:eastAsia="Calibri" w:cstheme="minorHAnsi"/>
          <w:sz w:val="24"/>
          <w:u w:val="single"/>
        </w:rPr>
        <w:t>Od roku 2017 docházelo ke snižování alokace:</w:t>
      </w:r>
    </w:p>
    <w:p w14:paraId="26644E2E" w14:textId="7A42CE74" w:rsidR="00254621" w:rsidRDefault="00E97E03" w:rsidP="00254621">
      <w:pPr>
        <w:pStyle w:val="Odstavecseseznamem"/>
        <w:numPr>
          <w:ilvl w:val="0"/>
          <w:numId w:val="45"/>
        </w:numPr>
        <w:spacing w:after="0"/>
        <w:jc w:val="both"/>
        <w:rPr>
          <w:rFonts w:eastAsia="Calibri" w:cstheme="minorHAnsi"/>
          <w:sz w:val="24"/>
        </w:rPr>
      </w:pPr>
      <w:r w:rsidRPr="00254621">
        <w:rPr>
          <w:rFonts w:eastAsia="Calibri" w:cstheme="minorHAnsi"/>
          <w:sz w:val="24"/>
        </w:rPr>
        <w:t>Dne 7.</w:t>
      </w:r>
      <w:r w:rsidR="00CC09F4">
        <w:rPr>
          <w:rFonts w:eastAsia="Calibri" w:cstheme="minorHAnsi"/>
          <w:sz w:val="24"/>
        </w:rPr>
        <w:t xml:space="preserve"> </w:t>
      </w:r>
      <w:r w:rsidRPr="00254621">
        <w:rPr>
          <w:rFonts w:eastAsia="Calibri" w:cstheme="minorHAnsi"/>
          <w:sz w:val="24"/>
        </w:rPr>
        <w:t>června 2017 schválil Monitorovací výbor</w:t>
      </w:r>
      <w:r w:rsidR="004B1B1D">
        <w:rPr>
          <w:rFonts w:eastAsia="Calibri" w:cstheme="minorHAnsi"/>
          <w:sz w:val="24"/>
        </w:rPr>
        <w:t xml:space="preserve"> OPPIK</w:t>
      </w:r>
      <w:r w:rsidRPr="00254621">
        <w:rPr>
          <w:rFonts w:eastAsia="Calibri" w:cstheme="minorHAnsi"/>
          <w:sz w:val="24"/>
        </w:rPr>
        <w:t xml:space="preserve"> snížení </w:t>
      </w:r>
      <w:r w:rsidR="004B1B1D">
        <w:rPr>
          <w:rFonts w:eastAsia="Calibri" w:cstheme="minorHAnsi"/>
          <w:sz w:val="24"/>
        </w:rPr>
        <w:t xml:space="preserve">původní alokace na 29 094 827 </w:t>
      </w:r>
      <w:r w:rsidR="00A0199F">
        <w:rPr>
          <w:rFonts w:eastAsia="Calibri" w:cstheme="minorHAnsi"/>
          <w:sz w:val="24"/>
        </w:rPr>
        <w:t>€</w:t>
      </w:r>
      <w:r w:rsidRPr="00254621">
        <w:rPr>
          <w:rFonts w:eastAsia="Calibri" w:cstheme="minorHAnsi"/>
          <w:sz w:val="24"/>
        </w:rPr>
        <w:t xml:space="preserve"> (765 630 373 Kč</w:t>
      </w:r>
      <w:r w:rsidR="00A52D82">
        <w:rPr>
          <w:rFonts w:eastAsia="Calibri" w:cstheme="minorHAnsi"/>
          <w:sz w:val="24"/>
        </w:rPr>
        <w:t>)</w:t>
      </w:r>
      <w:r w:rsidRPr="002E2256">
        <w:rPr>
          <w:rStyle w:val="Znakapoznpodarou"/>
          <w:rFonts w:eastAsia="Calibri" w:cstheme="minorHAnsi"/>
          <w:sz w:val="24"/>
        </w:rPr>
        <w:footnoteReference w:id="8"/>
      </w:r>
      <w:r w:rsidRPr="00254621">
        <w:rPr>
          <w:rFonts w:eastAsia="Calibri" w:cstheme="minorHAnsi"/>
          <w:sz w:val="24"/>
        </w:rPr>
        <w:t xml:space="preserve">, a to z důvodu nízkého zájmu o podporu </w:t>
      </w:r>
      <w:r w:rsidR="00CC09F4">
        <w:rPr>
          <w:rFonts w:eastAsia="Calibri" w:cstheme="minorHAnsi"/>
          <w:sz w:val="24"/>
        </w:rPr>
        <w:t>z</w:t>
      </w:r>
      <w:r w:rsidRPr="00254621">
        <w:rPr>
          <w:rFonts w:eastAsia="Calibri" w:cstheme="minorHAnsi"/>
          <w:sz w:val="24"/>
        </w:rPr>
        <w:t xml:space="preserve"> programu </w:t>
      </w:r>
      <w:r w:rsidRPr="00AE3DE0">
        <w:rPr>
          <w:rFonts w:eastAsia="Calibri" w:cstheme="minorHAnsi"/>
          <w:i/>
          <w:sz w:val="24"/>
        </w:rPr>
        <w:t>Školicí středi</w:t>
      </w:r>
      <w:r w:rsidR="004B1B1D" w:rsidRPr="00AE3DE0">
        <w:rPr>
          <w:rFonts w:eastAsia="Calibri" w:cstheme="minorHAnsi"/>
          <w:i/>
          <w:sz w:val="24"/>
        </w:rPr>
        <w:t>ska</w:t>
      </w:r>
      <w:r w:rsidR="004B1B1D">
        <w:rPr>
          <w:rFonts w:eastAsia="Calibri" w:cstheme="minorHAnsi"/>
          <w:sz w:val="24"/>
        </w:rPr>
        <w:t>. Částka ve výši 55,5 mil</w:t>
      </w:r>
      <w:r w:rsidR="00A0199F">
        <w:rPr>
          <w:rFonts w:eastAsia="Calibri" w:cstheme="minorHAnsi"/>
          <w:sz w:val="24"/>
        </w:rPr>
        <w:t>.</w:t>
      </w:r>
      <w:r w:rsidR="004B1B1D">
        <w:rPr>
          <w:rFonts w:eastAsia="Calibri" w:cstheme="minorHAnsi"/>
          <w:sz w:val="24"/>
        </w:rPr>
        <w:t xml:space="preserve"> </w:t>
      </w:r>
      <w:r w:rsidR="00A0199F">
        <w:rPr>
          <w:rFonts w:eastAsia="Calibri" w:cstheme="minorHAnsi"/>
          <w:sz w:val="24"/>
        </w:rPr>
        <w:t>€</w:t>
      </w:r>
      <w:r w:rsidRPr="00254621">
        <w:rPr>
          <w:rFonts w:eastAsia="Calibri" w:cstheme="minorHAnsi"/>
          <w:sz w:val="24"/>
        </w:rPr>
        <w:t xml:space="preserve"> byla převedena do programu podpory </w:t>
      </w:r>
      <w:r w:rsidRPr="00AE3DE0">
        <w:rPr>
          <w:rFonts w:eastAsia="Calibri" w:cstheme="minorHAnsi"/>
          <w:i/>
          <w:sz w:val="24"/>
        </w:rPr>
        <w:t>Nemovitosti</w:t>
      </w:r>
      <w:r w:rsidRPr="00254621">
        <w:rPr>
          <w:rFonts w:eastAsia="Calibri" w:cstheme="minorHAnsi"/>
          <w:sz w:val="24"/>
        </w:rPr>
        <w:t xml:space="preserve"> v SC 2.3 OPPIK. </w:t>
      </w:r>
    </w:p>
    <w:p w14:paraId="1A67B2B7" w14:textId="658403D5" w:rsidR="00254621" w:rsidRDefault="00E97E03" w:rsidP="00254621">
      <w:pPr>
        <w:pStyle w:val="Odstavecseseznamem"/>
        <w:numPr>
          <w:ilvl w:val="0"/>
          <w:numId w:val="45"/>
        </w:numPr>
        <w:spacing w:after="0"/>
        <w:jc w:val="both"/>
        <w:rPr>
          <w:rFonts w:eastAsia="Calibri" w:cstheme="minorHAnsi"/>
          <w:sz w:val="24"/>
        </w:rPr>
      </w:pPr>
      <w:r w:rsidRPr="00254621">
        <w:rPr>
          <w:rFonts w:eastAsia="Calibri" w:cstheme="minorHAnsi"/>
          <w:sz w:val="24"/>
        </w:rPr>
        <w:lastRenderedPageBreak/>
        <w:t xml:space="preserve">Monitorovací výbor </w:t>
      </w:r>
      <w:r w:rsidR="004B1B1D">
        <w:rPr>
          <w:rFonts w:eastAsia="Calibri" w:cstheme="minorHAnsi"/>
          <w:sz w:val="24"/>
        </w:rPr>
        <w:t xml:space="preserve">OPPIK </w:t>
      </w:r>
      <w:r w:rsidRPr="00254621">
        <w:rPr>
          <w:rFonts w:eastAsia="Calibri" w:cstheme="minorHAnsi"/>
          <w:sz w:val="24"/>
        </w:rPr>
        <w:t>dne 24.</w:t>
      </w:r>
      <w:r w:rsidR="00CC09F4">
        <w:rPr>
          <w:rFonts w:eastAsia="Calibri" w:cstheme="minorHAnsi"/>
          <w:sz w:val="24"/>
        </w:rPr>
        <w:t xml:space="preserve"> </w:t>
      </w:r>
      <w:r w:rsidRPr="00254621">
        <w:rPr>
          <w:rFonts w:eastAsia="Calibri" w:cstheme="minorHAnsi"/>
          <w:sz w:val="24"/>
        </w:rPr>
        <w:t xml:space="preserve">října 2019 schválil další snížení alokace programu podpory </w:t>
      </w:r>
      <w:r w:rsidRPr="00AE3DE0">
        <w:rPr>
          <w:rFonts w:eastAsia="Calibri" w:cstheme="minorHAnsi"/>
          <w:i/>
          <w:sz w:val="24"/>
        </w:rPr>
        <w:t>Školicí střediska</w:t>
      </w:r>
      <w:r w:rsidRPr="00254621">
        <w:rPr>
          <w:rFonts w:eastAsia="Calibri" w:cstheme="minorHAnsi"/>
          <w:sz w:val="24"/>
        </w:rPr>
        <w:t xml:space="preserve">, a to na 18 794 827 </w:t>
      </w:r>
      <w:r w:rsidR="00CC09F4">
        <w:rPr>
          <w:rFonts w:eastAsia="Calibri" w:cstheme="minorHAnsi"/>
          <w:sz w:val="24"/>
        </w:rPr>
        <w:t>€</w:t>
      </w:r>
      <w:r w:rsidRPr="00254621">
        <w:rPr>
          <w:rFonts w:eastAsia="Calibri" w:cstheme="minorHAnsi"/>
          <w:sz w:val="24"/>
        </w:rPr>
        <w:t xml:space="preserve"> (481 053 597 Kč</w:t>
      </w:r>
      <w:r w:rsidR="00A52D82">
        <w:rPr>
          <w:rFonts w:eastAsia="Calibri" w:cstheme="minorHAnsi"/>
          <w:sz w:val="24"/>
        </w:rPr>
        <w:t>)</w:t>
      </w:r>
      <w:r w:rsidRPr="002E2256">
        <w:rPr>
          <w:rStyle w:val="Znakapoznpodarou"/>
          <w:rFonts w:eastAsia="Calibri" w:cstheme="minorHAnsi"/>
          <w:sz w:val="24"/>
        </w:rPr>
        <w:footnoteReference w:id="9"/>
      </w:r>
      <w:r w:rsidR="004B1B1D">
        <w:rPr>
          <w:rFonts w:eastAsia="Calibri" w:cstheme="minorHAnsi"/>
          <w:sz w:val="24"/>
        </w:rPr>
        <w:t>. Alokace ve výši 10,3</w:t>
      </w:r>
      <w:r w:rsidR="00F0182A">
        <w:rPr>
          <w:rFonts w:eastAsia="Calibri" w:cstheme="minorHAnsi"/>
          <w:sz w:val="24"/>
        </w:rPr>
        <w:t> </w:t>
      </w:r>
      <w:r w:rsidR="004B1B1D">
        <w:rPr>
          <w:rFonts w:eastAsia="Calibri" w:cstheme="minorHAnsi"/>
          <w:sz w:val="24"/>
        </w:rPr>
        <w:t>mil.</w:t>
      </w:r>
      <w:r w:rsidR="00CC09F4">
        <w:rPr>
          <w:rFonts w:eastAsia="Calibri" w:cstheme="minorHAnsi"/>
          <w:sz w:val="24"/>
        </w:rPr>
        <w:t> €</w:t>
      </w:r>
      <w:r w:rsidRPr="00254621">
        <w:rPr>
          <w:rFonts w:eastAsia="Calibri" w:cstheme="minorHAnsi"/>
          <w:sz w:val="24"/>
        </w:rPr>
        <w:t xml:space="preserve"> byla přesunuta do programu </w:t>
      </w:r>
      <w:r w:rsidRPr="00AE3DE0">
        <w:rPr>
          <w:rFonts w:eastAsia="Calibri" w:cstheme="minorHAnsi"/>
          <w:i/>
          <w:sz w:val="24"/>
        </w:rPr>
        <w:t>Inovace</w:t>
      </w:r>
      <w:r w:rsidRPr="00254621">
        <w:rPr>
          <w:rFonts w:eastAsia="Calibri" w:cstheme="minorHAnsi"/>
          <w:sz w:val="24"/>
        </w:rPr>
        <w:t xml:space="preserve"> v SC 1.1 OPPIK. Důvodem této změny byl pokračující nízký zájem o program podpory </w:t>
      </w:r>
      <w:r w:rsidRPr="00AE3DE0">
        <w:rPr>
          <w:rFonts w:eastAsia="Calibri" w:cstheme="minorHAnsi"/>
          <w:i/>
          <w:sz w:val="24"/>
        </w:rPr>
        <w:t>Školicí střediska</w:t>
      </w:r>
      <w:r w:rsidRPr="00254621">
        <w:rPr>
          <w:rFonts w:eastAsia="Calibri" w:cstheme="minorHAnsi"/>
          <w:sz w:val="24"/>
        </w:rPr>
        <w:t xml:space="preserve">. </w:t>
      </w:r>
    </w:p>
    <w:p w14:paraId="0A7798AC" w14:textId="701B1627" w:rsidR="00254621" w:rsidRDefault="00E97E03" w:rsidP="00254621">
      <w:pPr>
        <w:pStyle w:val="Odstavecseseznamem"/>
        <w:numPr>
          <w:ilvl w:val="0"/>
          <w:numId w:val="45"/>
        </w:numPr>
        <w:spacing w:after="0"/>
        <w:jc w:val="both"/>
        <w:rPr>
          <w:rFonts w:eastAsia="Calibri" w:cstheme="minorHAnsi"/>
          <w:sz w:val="24"/>
        </w:rPr>
      </w:pPr>
      <w:r w:rsidRPr="00254621">
        <w:rPr>
          <w:rFonts w:eastAsia="Calibri" w:cstheme="minorHAnsi"/>
          <w:sz w:val="24"/>
        </w:rPr>
        <w:t>V souvislosti s </w:t>
      </w:r>
      <w:r w:rsidR="00FC46DE" w:rsidRPr="00254621">
        <w:rPr>
          <w:rFonts w:eastAsia="Calibri" w:cstheme="minorHAnsi"/>
          <w:sz w:val="24"/>
        </w:rPr>
        <w:t xml:space="preserve">opatřeními </w:t>
      </w:r>
      <w:r w:rsidRPr="00254621">
        <w:rPr>
          <w:rFonts w:eastAsia="Calibri" w:cstheme="minorHAnsi"/>
          <w:sz w:val="24"/>
        </w:rPr>
        <w:t xml:space="preserve">přijímanými </w:t>
      </w:r>
      <w:r w:rsidR="00CC09F4">
        <w:rPr>
          <w:rFonts w:eastAsia="Calibri" w:cstheme="minorHAnsi"/>
          <w:sz w:val="24"/>
        </w:rPr>
        <w:t>v</w:t>
      </w:r>
      <w:r w:rsidRPr="00254621">
        <w:rPr>
          <w:rFonts w:eastAsia="Calibri" w:cstheme="minorHAnsi"/>
          <w:sz w:val="24"/>
        </w:rPr>
        <w:t xml:space="preserve"> reakc</w:t>
      </w:r>
      <w:r w:rsidR="00CC09F4">
        <w:rPr>
          <w:rFonts w:eastAsia="Calibri" w:cstheme="minorHAnsi"/>
          <w:sz w:val="24"/>
        </w:rPr>
        <w:t>i</w:t>
      </w:r>
      <w:r w:rsidRPr="00254621">
        <w:rPr>
          <w:rFonts w:eastAsia="Calibri" w:cstheme="minorHAnsi"/>
          <w:sz w:val="24"/>
        </w:rPr>
        <w:t xml:space="preserve"> na epidemii </w:t>
      </w:r>
      <w:r w:rsidR="003F0F28">
        <w:rPr>
          <w:rFonts w:eastAsia="Calibri" w:cstheme="minorHAnsi"/>
          <w:sz w:val="24"/>
        </w:rPr>
        <w:t>Covid</w:t>
      </w:r>
      <w:r w:rsidR="00AE3DE0">
        <w:rPr>
          <w:rFonts w:eastAsia="Calibri" w:cstheme="minorHAnsi"/>
          <w:sz w:val="24"/>
        </w:rPr>
        <w:t xml:space="preserve"> </w:t>
      </w:r>
      <w:r w:rsidR="003F0F28">
        <w:rPr>
          <w:rFonts w:eastAsia="Calibri" w:cstheme="minorHAnsi"/>
          <w:sz w:val="24"/>
        </w:rPr>
        <w:t>19</w:t>
      </w:r>
      <w:r w:rsidRPr="00254621">
        <w:rPr>
          <w:rFonts w:eastAsia="Calibri" w:cstheme="minorHAnsi"/>
          <w:sz w:val="24"/>
        </w:rPr>
        <w:t xml:space="preserve"> Monitorovací výbor</w:t>
      </w:r>
      <w:r w:rsidR="004B1B1D">
        <w:rPr>
          <w:rFonts w:eastAsia="Calibri" w:cstheme="minorHAnsi"/>
          <w:sz w:val="24"/>
        </w:rPr>
        <w:t xml:space="preserve"> OPPIK dne</w:t>
      </w:r>
      <w:r w:rsidRPr="00254621">
        <w:rPr>
          <w:rFonts w:eastAsia="Calibri" w:cstheme="minorHAnsi"/>
          <w:sz w:val="24"/>
        </w:rPr>
        <w:t xml:space="preserve"> 9. dubna 2020 snížil alokaci o 10 057</w:t>
      </w:r>
      <w:r w:rsidR="00FC46DE">
        <w:rPr>
          <w:rFonts w:eastAsia="Calibri" w:cstheme="minorHAnsi"/>
          <w:sz w:val="24"/>
        </w:rPr>
        <w:t xml:space="preserve"> </w:t>
      </w:r>
      <w:r w:rsidRPr="00254621">
        <w:rPr>
          <w:rFonts w:eastAsia="Calibri" w:cstheme="minorHAnsi"/>
          <w:sz w:val="24"/>
        </w:rPr>
        <w:t xml:space="preserve">000 </w:t>
      </w:r>
      <w:r w:rsidR="00CC09F4">
        <w:rPr>
          <w:rFonts w:eastAsia="Calibri" w:cstheme="minorHAnsi"/>
          <w:sz w:val="24"/>
        </w:rPr>
        <w:t>€</w:t>
      </w:r>
      <w:r w:rsidRPr="00254621">
        <w:rPr>
          <w:rFonts w:eastAsia="Calibri" w:cstheme="minorHAnsi"/>
          <w:sz w:val="24"/>
        </w:rPr>
        <w:t xml:space="preserve"> na 8</w:t>
      </w:r>
      <w:r w:rsidR="00FC46DE">
        <w:rPr>
          <w:rFonts w:eastAsia="Calibri" w:cstheme="minorHAnsi"/>
          <w:sz w:val="24"/>
        </w:rPr>
        <w:t xml:space="preserve"> </w:t>
      </w:r>
      <w:r w:rsidRPr="00254621">
        <w:rPr>
          <w:rFonts w:eastAsia="Calibri" w:cstheme="minorHAnsi"/>
          <w:sz w:val="24"/>
        </w:rPr>
        <w:t xml:space="preserve">737 827 </w:t>
      </w:r>
      <w:r w:rsidR="00CC09F4">
        <w:rPr>
          <w:rFonts w:eastAsia="Calibri" w:cstheme="minorHAnsi"/>
          <w:sz w:val="24"/>
        </w:rPr>
        <w:t>€</w:t>
      </w:r>
      <w:r w:rsidR="00F0182A">
        <w:rPr>
          <w:rFonts w:eastAsia="Calibri" w:cstheme="minorHAnsi"/>
          <w:sz w:val="24"/>
        </w:rPr>
        <w:t xml:space="preserve"> (235 091 </w:t>
      </w:r>
      <w:r w:rsidRPr="00254621">
        <w:rPr>
          <w:rFonts w:eastAsia="Calibri" w:cstheme="minorHAnsi"/>
          <w:sz w:val="24"/>
        </w:rPr>
        <w:t>235</w:t>
      </w:r>
      <w:r w:rsidR="00CC09F4">
        <w:rPr>
          <w:rFonts w:eastAsia="Calibri" w:cstheme="minorHAnsi"/>
          <w:sz w:val="24"/>
        </w:rPr>
        <w:t> </w:t>
      </w:r>
      <w:r w:rsidRPr="00254621">
        <w:rPr>
          <w:rFonts w:eastAsia="Calibri" w:cstheme="minorHAnsi"/>
          <w:sz w:val="24"/>
        </w:rPr>
        <w:t>Kč</w:t>
      </w:r>
      <w:r w:rsidR="00A52D82">
        <w:rPr>
          <w:rFonts w:eastAsia="Calibri" w:cstheme="minorHAnsi"/>
          <w:sz w:val="24"/>
        </w:rPr>
        <w:t>)</w:t>
      </w:r>
      <w:r w:rsidRPr="002E2256">
        <w:rPr>
          <w:rStyle w:val="Znakapoznpodarou"/>
          <w:rFonts w:eastAsia="Calibri" w:cstheme="minorHAnsi"/>
          <w:sz w:val="24"/>
        </w:rPr>
        <w:footnoteReference w:id="10"/>
      </w:r>
      <w:r w:rsidRPr="00254621">
        <w:rPr>
          <w:rFonts w:eastAsia="Calibri" w:cstheme="minorHAnsi"/>
          <w:sz w:val="24"/>
        </w:rPr>
        <w:t xml:space="preserve">. </w:t>
      </w:r>
      <w:r w:rsidRPr="00DB2ADF">
        <w:rPr>
          <w:rFonts w:eastAsia="Calibri" w:cstheme="minorHAnsi"/>
          <w:sz w:val="24"/>
        </w:rPr>
        <w:t xml:space="preserve">Odebraná alokace byla převedena do programu podpory </w:t>
      </w:r>
      <w:r w:rsidRPr="00AE3DE0">
        <w:rPr>
          <w:rFonts w:eastAsia="Calibri" w:cstheme="minorHAnsi"/>
          <w:i/>
          <w:sz w:val="24"/>
        </w:rPr>
        <w:t>Expanze</w:t>
      </w:r>
      <w:r w:rsidRPr="00DB2ADF">
        <w:rPr>
          <w:rFonts w:eastAsia="Calibri" w:cstheme="minorHAnsi"/>
          <w:sz w:val="24"/>
        </w:rPr>
        <w:t xml:space="preserve"> v SC</w:t>
      </w:r>
      <w:r w:rsidR="00FC46DE">
        <w:rPr>
          <w:rFonts w:eastAsia="Calibri" w:cstheme="minorHAnsi"/>
        </w:rPr>
        <w:t> </w:t>
      </w:r>
      <w:r w:rsidRPr="00DB2ADF">
        <w:rPr>
          <w:rFonts w:eastAsia="Calibri" w:cstheme="minorHAnsi"/>
          <w:sz w:val="24"/>
        </w:rPr>
        <w:t xml:space="preserve">1.1 OPPIK. </w:t>
      </w:r>
    </w:p>
    <w:p w14:paraId="3B09CA37" w14:textId="60673CBF" w:rsidR="00E97E03" w:rsidRPr="00DB2ADF" w:rsidRDefault="00E97E03" w:rsidP="00254621">
      <w:pPr>
        <w:pStyle w:val="Odstavecseseznamem"/>
        <w:numPr>
          <w:ilvl w:val="0"/>
          <w:numId w:val="45"/>
        </w:numPr>
        <w:spacing w:after="0"/>
        <w:jc w:val="both"/>
        <w:rPr>
          <w:rFonts w:eastAsia="Calibri" w:cstheme="minorHAnsi"/>
          <w:sz w:val="24"/>
        </w:rPr>
      </w:pPr>
      <w:r w:rsidRPr="00254621">
        <w:rPr>
          <w:rFonts w:eastAsia="Calibri" w:cstheme="minorHAnsi"/>
          <w:sz w:val="24"/>
        </w:rPr>
        <w:t xml:space="preserve">Dále </w:t>
      </w:r>
      <w:r w:rsidR="00254621">
        <w:rPr>
          <w:rFonts w:eastAsia="Calibri" w:cstheme="minorHAnsi"/>
          <w:sz w:val="24"/>
        </w:rPr>
        <w:t xml:space="preserve">dne </w:t>
      </w:r>
      <w:r w:rsidRPr="00254621">
        <w:rPr>
          <w:rFonts w:eastAsia="Calibri" w:cstheme="minorHAnsi"/>
          <w:sz w:val="24"/>
        </w:rPr>
        <w:t>9. září 2020 Monitorovací výbor</w:t>
      </w:r>
      <w:r w:rsidR="004B1B1D">
        <w:rPr>
          <w:rFonts w:eastAsia="Calibri" w:cstheme="minorHAnsi"/>
          <w:sz w:val="24"/>
        </w:rPr>
        <w:t xml:space="preserve"> OPPIK</w:t>
      </w:r>
      <w:r w:rsidRPr="00254621">
        <w:rPr>
          <w:rFonts w:eastAsia="Calibri" w:cstheme="minorHAnsi"/>
          <w:sz w:val="24"/>
        </w:rPr>
        <w:t xml:space="preserve"> snížil alokaci o 410 000 </w:t>
      </w:r>
      <w:r w:rsidR="00FC46DE">
        <w:rPr>
          <w:rFonts w:eastAsia="Calibri" w:cstheme="minorHAnsi"/>
          <w:sz w:val="24"/>
        </w:rPr>
        <w:t>€</w:t>
      </w:r>
      <w:r w:rsidR="004B1B1D">
        <w:rPr>
          <w:rFonts w:eastAsia="Calibri" w:cstheme="minorHAnsi"/>
          <w:sz w:val="24"/>
        </w:rPr>
        <w:t xml:space="preserve"> na 8 327</w:t>
      </w:r>
      <w:r w:rsidR="00F0182A">
        <w:rPr>
          <w:rFonts w:eastAsia="Calibri" w:cstheme="minorHAnsi"/>
          <w:sz w:val="24"/>
        </w:rPr>
        <w:t> </w:t>
      </w:r>
      <w:r w:rsidR="004B1B1D">
        <w:rPr>
          <w:rFonts w:eastAsia="Calibri" w:cstheme="minorHAnsi"/>
          <w:sz w:val="24"/>
        </w:rPr>
        <w:t>827</w:t>
      </w:r>
      <w:r w:rsidR="00F0182A">
        <w:rPr>
          <w:rFonts w:eastAsia="Calibri" w:cstheme="minorHAnsi"/>
          <w:sz w:val="24"/>
        </w:rPr>
        <w:t> </w:t>
      </w:r>
      <w:r w:rsidR="00FC46DE">
        <w:rPr>
          <w:rFonts w:eastAsia="Calibri" w:cstheme="minorHAnsi"/>
          <w:sz w:val="24"/>
        </w:rPr>
        <w:t>€</w:t>
      </w:r>
      <w:r w:rsidRPr="00254621">
        <w:rPr>
          <w:rFonts w:eastAsia="Calibri" w:cstheme="minorHAnsi"/>
          <w:sz w:val="24"/>
        </w:rPr>
        <w:t xml:space="preserve"> (220 853</w:t>
      </w:r>
      <w:r w:rsidR="007823EA">
        <w:rPr>
          <w:rFonts w:eastAsia="Calibri" w:cstheme="minorHAnsi"/>
          <w:sz w:val="24"/>
        </w:rPr>
        <w:t> </w:t>
      </w:r>
      <w:r w:rsidRPr="00254621">
        <w:rPr>
          <w:rFonts w:eastAsia="Calibri" w:cstheme="minorHAnsi"/>
          <w:sz w:val="24"/>
        </w:rPr>
        <w:t>972</w:t>
      </w:r>
      <w:r w:rsidR="007823EA">
        <w:rPr>
          <w:rFonts w:eastAsia="Calibri" w:cstheme="minorHAnsi"/>
          <w:sz w:val="24"/>
        </w:rPr>
        <w:t> </w:t>
      </w:r>
      <w:r w:rsidRPr="00254621">
        <w:rPr>
          <w:rFonts w:eastAsia="Calibri" w:cstheme="minorHAnsi"/>
          <w:sz w:val="24"/>
        </w:rPr>
        <w:t>Kč</w:t>
      </w:r>
      <w:r w:rsidR="00A52D82">
        <w:rPr>
          <w:rFonts w:eastAsia="Calibri" w:cstheme="minorHAnsi"/>
          <w:sz w:val="24"/>
        </w:rPr>
        <w:t>)</w:t>
      </w:r>
      <w:r w:rsidR="00A52D82">
        <w:rPr>
          <w:rFonts w:eastAsia="Calibri" w:cstheme="minorHAnsi"/>
          <w:sz w:val="24"/>
          <w:vertAlign w:val="superscript"/>
        </w:rPr>
        <w:t>5</w:t>
      </w:r>
      <w:r w:rsidRPr="00254621">
        <w:rPr>
          <w:rFonts w:eastAsia="Calibri" w:cstheme="minorHAnsi"/>
          <w:sz w:val="24"/>
        </w:rPr>
        <w:t xml:space="preserve">. </w:t>
      </w:r>
      <w:r w:rsidRPr="00DB2ADF">
        <w:rPr>
          <w:rFonts w:eastAsia="Calibri" w:cstheme="minorHAnsi"/>
          <w:sz w:val="24"/>
        </w:rPr>
        <w:t xml:space="preserve">Odebraná alokace byla převedena do operačního programu </w:t>
      </w:r>
      <w:r w:rsidRPr="00AE3DE0">
        <w:rPr>
          <w:rFonts w:eastAsia="Calibri" w:cstheme="minorHAnsi"/>
          <w:i/>
          <w:sz w:val="24"/>
          <w:szCs w:val="24"/>
        </w:rPr>
        <w:t>Zaměstnanost</w:t>
      </w:r>
      <w:r w:rsidR="00FC46DE" w:rsidRPr="00AE3DE0">
        <w:rPr>
          <w:rFonts w:eastAsia="Calibri" w:cstheme="minorHAnsi"/>
          <w:i/>
          <w:sz w:val="24"/>
          <w:szCs w:val="24"/>
        </w:rPr>
        <w:t xml:space="preserve"> 2014–2020</w:t>
      </w:r>
      <w:r w:rsidRPr="00DB2ADF">
        <w:rPr>
          <w:rFonts w:eastAsia="Calibri" w:cstheme="minorHAnsi"/>
          <w:sz w:val="24"/>
        </w:rPr>
        <w:t>.</w:t>
      </w:r>
    </w:p>
    <w:p w14:paraId="66E117AC" w14:textId="52A23FA6" w:rsidR="00705388" w:rsidRDefault="00705388" w:rsidP="000A6177">
      <w:pPr>
        <w:spacing w:after="0"/>
        <w:jc w:val="both"/>
        <w:rPr>
          <w:rFonts w:eastAsia="Calibri" w:cstheme="minorHAnsi"/>
          <w:sz w:val="24"/>
        </w:rPr>
      </w:pPr>
    </w:p>
    <w:p w14:paraId="6C8108AC" w14:textId="6726582E" w:rsidR="00705388" w:rsidRDefault="00705388" w:rsidP="000A6177">
      <w:pPr>
        <w:spacing w:after="0"/>
        <w:jc w:val="both"/>
        <w:rPr>
          <w:sz w:val="24"/>
        </w:rPr>
      </w:pPr>
      <w:r w:rsidRPr="00254621">
        <w:rPr>
          <w:rFonts w:eastAsia="Calibri" w:cstheme="minorHAnsi"/>
          <w:b/>
          <w:sz w:val="24"/>
        </w:rPr>
        <w:t xml:space="preserve">Součástí programů podpory </w:t>
      </w:r>
      <w:r w:rsidRPr="00AE3DE0">
        <w:rPr>
          <w:rFonts w:eastAsia="Calibri" w:cstheme="minorHAnsi"/>
          <w:b/>
          <w:i/>
          <w:sz w:val="24"/>
        </w:rPr>
        <w:t>Poradenství</w:t>
      </w:r>
      <w:r w:rsidRPr="00254621">
        <w:rPr>
          <w:rFonts w:eastAsia="Calibri" w:cstheme="minorHAnsi"/>
          <w:b/>
          <w:sz w:val="24"/>
        </w:rPr>
        <w:t xml:space="preserve"> a </w:t>
      </w:r>
      <w:r w:rsidRPr="00AE3DE0">
        <w:rPr>
          <w:rFonts w:eastAsia="Calibri" w:cstheme="minorHAnsi"/>
          <w:b/>
          <w:i/>
          <w:sz w:val="24"/>
        </w:rPr>
        <w:t>Školicí střediska</w:t>
      </w:r>
      <w:r w:rsidRPr="00254621">
        <w:rPr>
          <w:rFonts w:eastAsia="Calibri" w:cstheme="minorHAnsi"/>
          <w:b/>
          <w:sz w:val="24"/>
        </w:rPr>
        <w:t xml:space="preserve"> byly také </w:t>
      </w:r>
      <w:r w:rsidRPr="00254621">
        <w:rPr>
          <w:b/>
          <w:sz w:val="24"/>
        </w:rPr>
        <w:t xml:space="preserve">tzv. ITI – integrované územní investice. </w:t>
      </w:r>
      <w:r>
        <w:rPr>
          <w:sz w:val="24"/>
        </w:rPr>
        <w:t xml:space="preserve">Jejich využití je možné na základě </w:t>
      </w:r>
      <w:r w:rsidR="006B5CF7">
        <w:rPr>
          <w:sz w:val="24"/>
        </w:rPr>
        <w:t>čl. 36 Obecného nařízení</w:t>
      </w:r>
      <w:r w:rsidR="004B1B1D">
        <w:rPr>
          <w:sz w:val="24"/>
        </w:rPr>
        <w:t xml:space="preserve"> a na základě </w:t>
      </w:r>
      <w:r w:rsidR="004B1B1D" w:rsidRPr="00AE3DE0">
        <w:rPr>
          <w:i/>
          <w:sz w:val="24"/>
        </w:rPr>
        <w:t>S</w:t>
      </w:r>
      <w:r w:rsidRPr="00AE3DE0">
        <w:rPr>
          <w:i/>
          <w:sz w:val="24"/>
        </w:rPr>
        <w:t>trategie regionálního rozvoje ČR</w:t>
      </w:r>
      <w:r>
        <w:rPr>
          <w:sz w:val="24"/>
        </w:rPr>
        <w:t xml:space="preserve"> v definovaných metropolitních oblastech, kterých je v ČR sedm</w:t>
      </w:r>
      <w:r w:rsidR="00C03413">
        <w:rPr>
          <w:sz w:val="24"/>
        </w:rPr>
        <w:t xml:space="preserve"> (</w:t>
      </w:r>
      <w:r w:rsidR="00C03413" w:rsidRPr="00C03413">
        <w:rPr>
          <w:sz w:val="24"/>
        </w:rPr>
        <w:t>Praha, Brno, Ostrava, Plzeň</w:t>
      </w:r>
      <w:r w:rsidR="00C03413">
        <w:rPr>
          <w:sz w:val="24"/>
        </w:rPr>
        <w:t>, Ústecko</w:t>
      </w:r>
      <w:r w:rsidR="001547C2">
        <w:rPr>
          <w:sz w:val="24"/>
        </w:rPr>
        <w:t>-chomutovská aglomerace</w:t>
      </w:r>
      <w:r w:rsidR="00C03413" w:rsidRPr="00C03413">
        <w:rPr>
          <w:sz w:val="24"/>
        </w:rPr>
        <w:t>, Olomouck</w:t>
      </w:r>
      <w:r w:rsidR="00C03413">
        <w:rPr>
          <w:sz w:val="24"/>
        </w:rPr>
        <w:t xml:space="preserve">á </w:t>
      </w:r>
      <w:r w:rsidR="001547C2">
        <w:rPr>
          <w:sz w:val="24"/>
        </w:rPr>
        <w:t xml:space="preserve">aglomerace </w:t>
      </w:r>
      <w:r w:rsidR="00C03413">
        <w:rPr>
          <w:sz w:val="24"/>
        </w:rPr>
        <w:t>a Hradecko</w:t>
      </w:r>
      <w:r w:rsidR="001547C2">
        <w:rPr>
          <w:sz w:val="24"/>
        </w:rPr>
        <w:t>-pardubická</w:t>
      </w:r>
      <w:r w:rsidR="00C03413" w:rsidRPr="00C03413">
        <w:rPr>
          <w:sz w:val="24"/>
        </w:rPr>
        <w:t xml:space="preserve"> aglomerace</w:t>
      </w:r>
      <w:r w:rsidR="00C03413">
        <w:rPr>
          <w:sz w:val="24"/>
        </w:rPr>
        <w:t>)</w:t>
      </w:r>
      <w:r>
        <w:rPr>
          <w:sz w:val="24"/>
        </w:rPr>
        <w:t>. Výzvy ITI v program</w:t>
      </w:r>
      <w:r w:rsidR="001547C2">
        <w:rPr>
          <w:sz w:val="24"/>
        </w:rPr>
        <w:t>ech</w:t>
      </w:r>
      <w:r>
        <w:rPr>
          <w:sz w:val="24"/>
        </w:rPr>
        <w:t xml:space="preserve"> podpory </w:t>
      </w:r>
      <w:r w:rsidRPr="00AE3DE0">
        <w:rPr>
          <w:i/>
          <w:sz w:val="24"/>
        </w:rPr>
        <w:t>Pora</w:t>
      </w:r>
      <w:r w:rsidR="000B2C73" w:rsidRPr="00AE3DE0">
        <w:rPr>
          <w:i/>
          <w:sz w:val="24"/>
        </w:rPr>
        <w:t>denství</w:t>
      </w:r>
      <w:r w:rsidR="000B2C73">
        <w:rPr>
          <w:sz w:val="24"/>
        </w:rPr>
        <w:t xml:space="preserve"> a </w:t>
      </w:r>
      <w:r w:rsidR="000B2C73" w:rsidRPr="00AE3DE0">
        <w:rPr>
          <w:i/>
          <w:sz w:val="24"/>
        </w:rPr>
        <w:t>Školicí střediska</w:t>
      </w:r>
      <w:r w:rsidR="000B2C73">
        <w:rPr>
          <w:sz w:val="24"/>
        </w:rPr>
        <w:t xml:space="preserve"> měly</w:t>
      </w:r>
      <w:r>
        <w:rPr>
          <w:sz w:val="24"/>
        </w:rPr>
        <w:t xml:space="preserve"> stejné podmínky a</w:t>
      </w:r>
      <w:r w:rsidR="00D17CC0">
        <w:rPr>
          <w:sz w:val="24"/>
        </w:rPr>
        <w:t xml:space="preserve"> stejná</w:t>
      </w:r>
      <w:r>
        <w:rPr>
          <w:sz w:val="24"/>
        </w:rPr>
        <w:t xml:space="preserve"> pravidla jako standardní výzvy</w:t>
      </w:r>
      <w:r w:rsidR="000B2C73">
        <w:rPr>
          <w:rStyle w:val="Znakapoznpodarou"/>
          <w:sz w:val="24"/>
        </w:rPr>
        <w:footnoteReference w:id="11"/>
      </w:r>
      <w:r>
        <w:rPr>
          <w:sz w:val="24"/>
        </w:rPr>
        <w:t xml:space="preserve"> s tím rozdílem, že projekty</w:t>
      </w:r>
      <w:r w:rsidR="00254621">
        <w:rPr>
          <w:sz w:val="24"/>
        </w:rPr>
        <w:t xml:space="preserve"> v rámci ITI jsou</w:t>
      </w:r>
      <w:r>
        <w:rPr>
          <w:sz w:val="24"/>
        </w:rPr>
        <w:t xml:space="preserve"> realizov</w:t>
      </w:r>
      <w:r w:rsidR="001547C2">
        <w:rPr>
          <w:sz w:val="24"/>
        </w:rPr>
        <w:t>ány</w:t>
      </w:r>
      <w:r>
        <w:rPr>
          <w:sz w:val="24"/>
        </w:rPr>
        <w:t xml:space="preserve"> v dané metro</w:t>
      </w:r>
      <w:r w:rsidR="004B1B1D">
        <w:rPr>
          <w:sz w:val="24"/>
        </w:rPr>
        <w:t>politní oblasti, která také dané</w:t>
      </w:r>
      <w:r>
        <w:rPr>
          <w:sz w:val="24"/>
        </w:rPr>
        <w:t xml:space="preserve"> projekt</w:t>
      </w:r>
      <w:r w:rsidR="004B1B1D">
        <w:rPr>
          <w:sz w:val="24"/>
        </w:rPr>
        <w:t>y</w:t>
      </w:r>
      <w:r>
        <w:rPr>
          <w:sz w:val="24"/>
        </w:rPr>
        <w:t xml:space="preserve"> administruje.</w:t>
      </w:r>
    </w:p>
    <w:p w14:paraId="56728722" w14:textId="77777777" w:rsidR="00705388" w:rsidRPr="006B5CF7" w:rsidRDefault="00705388" w:rsidP="000A6177">
      <w:pPr>
        <w:spacing w:after="0"/>
        <w:jc w:val="both"/>
        <w:rPr>
          <w:sz w:val="24"/>
          <w:szCs w:val="24"/>
        </w:rPr>
      </w:pPr>
    </w:p>
    <w:p w14:paraId="5D966389" w14:textId="08229F2A" w:rsidR="003869EF" w:rsidRPr="00891AA7" w:rsidRDefault="008E59FF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XII. výzva </w:t>
      </w:r>
      <w:r w:rsidRPr="004B1B1D">
        <w:rPr>
          <w:rFonts w:asciiTheme="minorHAnsi" w:hAnsiTheme="minorHAnsi" w:cstheme="minorHAnsi"/>
          <w:b/>
        </w:rPr>
        <w:t>p</w:t>
      </w:r>
      <w:r w:rsidR="000B2C73" w:rsidRPr="008E59FF">
        <w:rPr>
          <w:rFonts w:asciiTheme="minorHAnsi" w:hAnsiTheme="minorHAnsi" w:cstheme="minorHAnsi"/>
          <w:b/>
        </w:rPr>
        <w:t>rogramu podpory</w:t>
      </w:r>
      <w:r w:rsidR="000B2C73" w:rsidRPr="00891AA7">
        <w:rPr>
          <w:rFonts w:asciiTheme="minorHAnsi" w:hAnsiTheme="minorHAnsi" w:cstheme="minorHAnsi"/>
        </w:rPr>
        <w:t xml:space="preserve"> </w:t>
      </w:r>
      <w:r w:rsidR="000B2C73" w:rsidRPr="00E673EA">
        <w:rPr>
          <w:rFonts w:asciiTheme="minorHAnsi" w:hAnsiTheme="minorHAnsi" w:cstheme="minorHAnsi"/>
          <w:b/>
          <w:i/>
        </w:rPr>
        <w:t>Technologie</w:t>
      </w:r>
      <w:r w:rsidR="000B2C73" w:rsidRPr="00891A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má za cíl </w:t>
      </w:r>
      <w:r w:rsidR="003869EF" w:rsidRPr="00891AA7">
        <w:rPr>
          <w:rFonts w:asciiTheme="minorHAnsi" w:hAnsiTheme="minorHAnsi" w:cstheme="minorHAnsi"/>
        </w:rPr>
        <w:t xml:space="preserve">podporovat růst a posilování konkurenceschopnosti </w:t>
      </w:r>
      <w:r w:rsidR="00B82C1E">
        <w:rPr>
          <w:rFonts w:asciiTheme="minorHAnsi" w:hAnsiTheme="minorHAnsi" w:cstheme="minorHAnsi"/>
        </w:rPr>
        <w:t>MSP</w:t>
      </w:r>
      <w:r w:rsidR="003869EF" w:rsidRPr="00891AA7">
        <w:rPr>
          <w:rFonts w:asciiTheme="minorHAnsi" w:hAnsiTheme="minorHAnsi" w:cstheme="minorHAnsi"/>
        </w:rPr>
        <w:t xml:space="preserve"> v oblasti produkce zdravotnických prostředků a osobních ochranných prostředků nebo likvidace infekčního odpadu pro přímý boj proti </w:t>
      </w:r>
      <w:r w:rsidR="003F0F28">
        <w:rPr>
          <w:rFonts w:asciiTheme="minorHAnsi" w:hAnsiTheme="minorHAnsi" w:cstheme="minorHAnsi"/>
        </w:rPr>
        <w:t>nákaze Covid</w:t>
      </w:r>
      <w:r w:rsidR="00E673EA">
        <w:rPr>
          <w:rFonts w:asciiTheme="minorHAnsi" w:hAnsiTheme="minorHAnsi" w:cstheme="minorHAnsi"/>
        </w:rPr>
        <w:t xml:space="preserve"> </w:t>
      </w:r>
      <w:r w:rsidR="003F0F28">
        <w:rPr>
          <w:rFonts w:asciiTheme="minorHAnsi" w:hAnsiTheme="minorHAnsi" w:cstheme="minorHAnsi"/>
        </w:rPr>
        <w:t>19</w:t>
      </w:r>
      <w:r w:rsidR="003869EF" w:rsidRPr="00891AA7">
        <w:rPr>
          <w:rFonts w:asciiTheme="minorHAnsi" w:hAnsiTheme="minorHAnsi" w:cstheme="minorHAnsi"/>
        </w:rPr>
        <w:t>.</w:t>
      </w:r>
    </w:p>
    <w:p w14:paraId="6D756352" w14:textId="77777777" w:rsidR="003869EF" w:rsidRPr="00891AA7" w:rsidRDefault="003869EF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</w:p>
    <w:p w14:paraId="4B7037DA" w14:textId="2F439CB4" w:rsidR="003869EF" w:rsidRDefault="008E59FF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V. výzva</w:t>
      </w:r>
      <w:r w:rsidR="003869EF" w:rsidRPr="00891AA7">
        <w:rPr>
          <w:rFonts w:asciiTheme="minorHAnsi" w:hAnsiTheme="minorHAnsi" w:cstheme="minorHAnsi"/>
        </w:rPr>
        <w:t xml:space="preserve"> </w:t>
      </w:r>
      <w:r w:rsidR="000B2C73" w:rsidRPr="008E59FF">
        <w:rPr>
          <w:rFonts w:asciiTheme="minorHAnsi" w:hAnsiTheme="minorHAnsi" w:cstheme="minorHAnsi"/>
          <w:b/>
        </w:rPr>
        <w:t>programu podpory</w:t>
      </w:r>
      <w:r w:rsidR="000B2C73" w:rsidRPr="00891AA7">
        <w:rPr>
          <w:rFonts w:asciiTheme="minorHAnsi" w:hAnsiTheme="minorHAnsi" w:cstheme="minorHAnsi"/>
        </w:rPr>
        <w:t xml:space="preserve"> </w:t>
      </w:r>
      <w:r w:rsidR="000B2C73" w:rsidRPr="00E673EA">
        <w:rPr>
          <w:rFonts w:asciiTheme="minorHAnsi" w:hAnsiTheme="minorHAnsi" w:cstheme="minorHAnsi"/>
          <w:b/>
          <w:i/>
        </w:rPr>
        <w:t>Inovační vouchery</w:t>
      </w:r>
      <w:r w:rsidR="000B2C73" w:rsidRPr="00891AA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má za cíl </w:t>
      </w:r>
      <w:r w:rsidR="003869EF" w:rsidRPr="00891AA7">
        <w:rPr>
          <w:rFonts w:asciiTheme="minorHAnsi" w:hAnsiTheme="minorHAnsi" w:cstheme="minorHAnsi"/>
        </w:rPr>
        <w:t xml:space="preserve">sdílení poznatků a know-how mezi podnikovou a výzkumnou sférou, které mohou podnikatelské subjekty využít </w:t>
      </w:r>
      <w:r w:rsidR="003F0F28">
        <w:rPr>
          <w:rFonts w:asciiTheme="minorHAnsi" w:hAnsiTheme="minorHAnsi" w:cstheme="minorHAnsi"/>
        </w:rPr>
        <w:t>v boji s nákazou Covid</w:t>
      </w:r>
      <w:r w:rsidR="00E673EA">
        <w:rPr>
          <w:rFonts w:asciiTheme="minorHAnsi" w:hAnsiTheme="minorHAnsi" w:cstheme="minorHAnsi"/>
        </w:rPr>
        <w:t xml:space="preserve"> 1</w:t>
      </w:r>
      <w:r w:rsidR="000B2C73">
        <w:rPr>
          <w:rFonts w:asciiTheme="minorHAnsi" w:hAnsiTheme="minorHAnsi" w:cstheme="minorHAnsi"/>
        </w:rPr>
        <w:t>9 ke</w:t>
      </w:r>
      <w:r w:rsidR="003869EF" w:rsidRPr="00891AA7">
        <w:rPr>
          <w:rFonts w:asciiTheme="minorHAnsi" w:hAnsiTheme="minorHAnsi" w:cstheme="minorHAnsi"/>
        </w:rPr>
        <w:t xml:space="preserve"> zmírnění dopadu dalšího šíření a</w:t>
      </w:r>
      <w:r w:rsidR="007823EA">
        <w:rPr>
          <w:rFonts w:asciiTheme="minorHAnsi" w:hAnsiTheme="minorHAnsi" w:cstheme="minorHAnsi"/>
        </w:rPr>
        <w:t xml:space="preserve"> </w:t>
      </w:r>
      <w:r w:rsidR="003869EF" w:rsidRPr="00891AA7">
        <w:rPr>
          <w:rFonts w:asciiTheme="minorHAnsi" w:hAnsiTheme="minorHAnsi" w:cstheme="minorHAnsi"/>
        </w:rPr>
        <w:t>podporu vzniku preventivních opatření uplatnitelných na trhu.</w:t>
      </w:r>
    </w:p>
    <w:p w14:paraId="342FEDA1" w14:textId="709892D0" w:rsidR="0012538D" w:rsidRDefault="0012538D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</w:p>
    <w:p w14:paraId="284516E6" w14:textId="77777777" w:rsidR="0012538D" w:rsidRPr="00891AA7" w:rsidRDefault="0012538D" w:rsidP="000A6177">
      <w:pPr>
        <w:pStyle w:val="KP-normlntext"/>
        <w:spacing w:after="0" w:line="280" w:lineRule="atLeast"/>
        <w:rPr>
          <w:rFonts w:asciiTheme="minorHAnsi" w:hAnsiTheme="minorHAnsi" w:cstheme="minorHAnsi"/>
        </w:rPr>
      </w:pPr>
    </w:p>
    <w:p w14:paraId="548B9CEF" w14:textId="77777777" w:rsidR="003869EF" w:rsidRPr="00891AA7" w:rsidRDefault="003869EF" w:rsidP="000A6177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891AA7">
        <w:rPr>
          <w:sz w:val="28"/>
          <w:szCs w:val="28"/>
        </w:rPr>
        <w:t>III. Rozsah kontroly</w:t>
      </w:r>
    </w:p>
    <w:p w14:paraId="0B10711E" w14:textId="77777777" w:rsidR="003869EF" w:rsidRPr="00891AA7" w:rsidRDefault="003869EF" w:rsidP="000A6177">
      <w:pPr>
        <w:spacing w:after="0" w:line="280" w:lineRule="atLeast"/>
        <w:jc w:val="both"/>
        <w:rPr>
          <w:rFonts w:cstheme="minorHAnsi"/>
        </w:rPr>
      </w:pPr>
    </w:p>
    <w:p w14:paraId="10D03BC8" w14:textId="64DC3E2E" w:rsidR="003869EF" w:rsidRPr="00826C68" w:rsidRDefault="00777FEA" w:rsidP="000A6177">
      <w:pPr>
        <w:spacing w:after="0" w:line="280" w:lineRule="atLeast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Kontrolou </w:t>
      </w:r>
      <w:r w:rsidR="000B2C73">
        <w:rPr>
          <w:rFonts w:cstheme="minorHAnsi"/>
          <w:bCs/>
          <w:sz w:val="24"/>
        </w:rPr>
        <w:t>byl</w:t>
      </w:r>
      <w:r w:rsidR="003869EF" w:rsidRPr="00826C68">
        <w:rPr>
          <w:rFonts w:cstheme="minorHAnsi"/>
          <w:bCs/>
          <w:sz w:val="24"/>
        </w:rPr>
        <w:t xml:space="preserve"> prověřen systém poskytování a </w:t>
      </w:r>
      <w:r w:rsidR="00F073DA">
        <w:rPr>
          <w:rFonts w:cstheme="minorHAnsi"/>
          <w:bCs/>
          <w:sz w:val="24"/>
        </w:rPr>
        <w:t>užití</w:t>
      </w:r>
      <w:r w:rsidR="00F073DA" w:rsidRPr="00826C68">
        <w:rPr>
          <w:rFonts w:cstheme="minorHAnsi"/>
          <w:bCs/>
          <w:sz w:val="24"/>
        </w:rPr>
        <w:t xml:space="preserve"> </w:t>
      </w:r>
      <w:r w:rsidR="003869EF" w:rsidRPr="00826C68">
        <w:rPr>
          <w:rFonts w:cstheme="minorHAnsi"/>
          <w:bCs/>
          <w:sz w:val="24"/>
        </w:rPr>
        <w:t>peněžn</w:t>
      </w:r>
      <w:r w:rsidR="000524AF">
        <w:rPr>
          <w:rFonts w:cstheme="minorHAnsi"/>
          <w:bCs/>
          <w:sz w:val="24"/>
        </w:rPr>
        <w:t>ích prostředků určených malým a </w:t>
      </w:r>
      <w:r w:rsidR="003869EF" w:rsidRPr="00826C68">
        <w:rPr>
          <w:rFonts w:cstheme="minorHAnsi"/>
          <w:bCs/>
          <w:sz w:val="24"/>
        </w:rPr>
        <w:t>středním podnikatelům na poradenství, marketing, vzděláván</w:t>
      </w:r>
      <w:r w:rsidR="000524AF">
        <w:rPr>
          <w:rFonts w:cstheme="minorHAnsi"/>
          <w:bCs/>
          <w:sz w:val="24"/>
        </w:rPr>
        <w:t>í a na opatření v souvislosti s </w:t>
      </w:r>
      <w:r w:rsidR="003869EF" w:rsidRPr="00826C68">
        <w:rPr>
          <w:rFonts w:cstheme="minorHAnsi"/>
          <w:bCs/>
          <w:sz w:val="24"/>
        </w:rPr>
        <w:t>nákazou Covid</w:t>
      </w:r>
      <w:r w:rsidR="00E55374">
        <w:rPr>
          <w:rFonts w:cstheme="minorHAnsi"/>
          <w:bCs/>
          <w:sz w:val="24"/>
        </w:rPr>
        <w:t xml:space="preserve"> </w:t>
      </w:r>
      <w:r w:rsidR="003869EF" w:rsidRPr="00826C68">
        <w:rPr>
          <w:rFonts w:cstheme="minorHAnsi"/>
          <w:bCs/>
          <w:sz w:val="24"/>
        </w:rPr>
        <w:t xml:space="preserve">19 z operačního programu </w:t>
      </w:r>
      <w:r w:rsidR="003869EF" w:rsidRPr="00826C68">
        <w:rPr>
          <w:rFonts w:cstheme="minorHAnsi"/>
          <w:bCs/>
          <w:i/>
          <w:sz w:val="24"/>
        </w:rPr>
        <w:t>Podnikání a inovace pro konkurenceschopnost</w:t>
      </w:r>
      <w:r w:rsidR="000524AF">
        <w:rPr>
          <w:rFonts w:cstheme="minorHAnsi"/>
          <w:bCs/>
          <w:sz w:val="24"/>
        </w:rPr>
        <w:t>, a </w:t>
      </w:r>
      <w:r w:rsidR="003869EF" w:rsidRPr="00826C68">
        <w:rPr>
          <w:rFonts w:cstheme="minorHAnsi"/>
          <w:bCs/>
          <w:sz w:val="24"/>
        </w:rPr>
        <w:t>to s</w:t>
      </w:r>
      <w:r w:rsidR="00FC4CB6">
        <w:rPr>
          <w:rFonts w:cstheme="minorHAnsi"/>
          <w:bCs/>
          <w:sz w:val="24"/>
        </w:rPr>
        <w:t> </w:t>
      </w:r>
      <w:r w:rsidR="003869EF" w:rsidRPr="00826C68">
        <w:rPr>
          <w:rFonts w:cstheme="minorHAnsi"/>
          <w:bCs/>
          <w:sz w:val="24"/>
        </w:rPr>
        <w:t>ohledem</w:t>
      </w:r>
      <w:r w:rsidR="00FC4CB6">
        <w:rPr>
          <w:rFonts w:cstheme="minorHAnsi"/>
          <w:bCs/>
          <w:sz w:val="24"/>
        </w:rPr>
        <w:t xml:space="preserve"> </w:t>
      </w:r>
      <w:r w:rsidR="00332DE4">
        <w:rPr>
          <w:rFonts w:cstheme="minorHAnsi"/>
          <w:bCs/>
          <w:sz w:val="24"/>
        </w:rPr>
        <w:t xml:space="preserve">na </w:t>
      </w:r>
      <w:r w:rsidR="00FC4CB6">
        <w:rPr>
          <w:rFonts w:cstheme="minorHAnsi"/>
          <w:bCs/>
          <w:sz w:val="24"/>
        </w:rPr>
        <w:t>hospodárnost, účelnost a</w:t>
      </w:r>
      <w:r w:rsidR="003869EF" w:rsidRPr="00826C68">
        <w:rPr>
          <w:rFonts w:cstheme="minorHAnsi"/>
          <w:bCs/>
          <w:sz w:val="24"/>
        </w:rPr>
        <w:t xml:space="preserve"> na plnění stanovených cílů.</w:t>
      </w:r>
    </w:p>
    <w:p w14:paraId="1F921DC2" w14:textId="77777777" w:rsidR="003869EF" w:rsidRPr="00826C68" w:rsidRDefault="003869EF" w:rsidP="000A6177">
      <w:pPr>
        <w:spacing w:after="0" w:line="280" w:lineRule="atLeast"/>
        <w:jc w:val="both"/>
        <w:rPr>
          <w:rFonts w:cstheme="minorHAnsi"/>
          <w:bCs/>
          <w:sz w:val="24"/>
        </w:rPr>
      </w:pPr>
    </w:p>
    <w:p w14:paraId="438C547F" w14:textId="4E0824B8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  <w:lang w:eastAsia="cs-CZ"/>
        </w:rPr>
      </w:pPr>
      <w:r w:rsidRPr="00826C68">
        <w:rPr>
          <w:rFonts w:cstheme="minorHAnsi"/>
          <w:b/>
          <w:sz w:val="24"/>
        </w:rPr>
        <w:t>U MPO</w:t>
      </w:r>
      <w:r w:rsidRPr="00826C68">
        <w:rPr>
          <w:rFonts w:cstheme="minorHAnsi"/>
          <w:sz w:val="24"/>
        </w:rPr>
        <w:t xml:space="preserve"> byl kontrole podroben postup MPO jako řídicího orgánu </w:t>
      </w:r>
      <w:r w:rsidRPr="00826C68">
        <w:rPr>
          <w:rFonts w:cstheme="minorHAnsi"/>
          <w:sz w:val="24"/>
          <w:lang w:eastAsia="cs-CZ"/>
        </w:rPr>
        <w:t>OPPIK</w:t>
      </w:r>
      <w:r w:rsidRPr="00826C68">
        <w:rPr>
          <w:rFonts w:cstheme="minorHAnsi"/>
          <w:sz w:val="24"/>
        </w:rPr>
        <w:t xml:space="preserve"> při</w:t>
      </w:r>
      <w:r w:rsidR="00EB53AB">
        <w:rPr>
          <w:rFonts w:cstheme="minorHAnsi"/>
          <w:sz w:val="24"/>
        </w:rPr>
        <w:t xml:space="preserve"> </w:t>
      </w:r>
      <w:r w:rsidRPr="00826C68">
        <w:rPr>
          <w:rFonts w:cstheme="minorHAnsi"/>
          <w:sz w:val="24"/>
        </w:rPr>
        <w:t>přípravě a </w:t>
      </w:r>
      <w:r w:rsidRPr="00826C68">
        <w:rPr>
          <w:rFonts w:cstheme="minorHAnsi"/>
          <w:sz w:val="24"/>
          <w:lang w:eastAsia="cs-CZ"/>
        </w:rPr>
        <w:t xml:space="preserve">poskytování podpory na marketing, poradenství a vzdělávání </w:t>
      </w:r>
      <w:r w:rsidR="00C57297">
        <w:rPr>
          <w:rFonts w:cstheme="minorHAnsi"/>
          <w:sz w:val="24"/>
          <w:lang w:eastAsia="cs-CZ"/>
        </w:rPr>
        <w:t>MSP</w:t>
      </w:r>
      <w:r w:rsidRPr="00826C68">
        <w:rPr>
          <w:rFonts w:cstheme="minorHAnsi"/>
          <w:sz w:val="24"/>
          <w:lang w:eastAsia="cs-CZ"/>
        </w:rPr>
        <w:t xml:space="preserve"> prostřednictvím programů podpory </w:t>
      </w:r>
      <w:r w:rsidR="003F0F28" w:rsidRPr="00E55374">
        <w:rPr>
          <w:rFonts w:cstheme="minorHAnsi"/>
          <w:i/>
          <w:sz w:val="24"/>
          <w:lang w:eastAsia="cs-CZ"/>
        </w:rPr>
        <w:t>Poradenství</w:t>
      </w:r>
      <w:r w:rsidR="003F0F28">
        <w:rPr>
          <w:rFonts w:cstheme="minorHAnsi"/>
          <w:sz w:val="24"/>
          <w:lang w:eastAsia="cs-CZ"/>
        </w:rPr>
        <w:t xml:space="preserve">, </w:t>
      </w:r>
      <w:r w:rsidRPr="00E55374">
        <w:rPr>
          <w:rFonts w:cstheme="minorHAnsi"/>
          <w:i/>
          <w:sz w:val="24"/>
          <w:lang w:eastAsia="cs-CZ"/>
        </w:rPr>
        <w:t>Marketing</w:t>
      </w:r>
      <w:r w:rsidRPr="00826C68">
        <w:rPr>
          <w:rFonts w:cstheme="minorHAnsi"/>
          <w:sz w:val="24"/>
          <w:lang w:eastAsia="cs-CZ"/>
        </w:rPr>
        <w:t xml:space="preserve"> a </w:t>
      </w:r>
      <w:r w:rsidRPr="00E55374">
        <w:rPr>
          <w:rFonts w:cstheme="minorHAnsi"/>
          <w:i/>
          <w:sz w:val="24"/>
          <w:lang w:eastAsia="cs-CZ"/>
        </w:rPr>
        <w:t>Školicí střediska</w:t>
      </w:r>
      <w:r w:rsidRPr="00826C68">
        <w:rPr>
          <w:rFonts w:cstheme="minorHAnsi"/>
          <w:sz w:val="24"/>
          <w:lang w:eastAsia="cs-CZ"/>
        </w:rPr>
        <w:t xml:space="preserve">. </w:t>
      </w:r>
      <w:r w:rsidRPr="00826C68">
        <w:rPr>
          <w:rFonts w:cstheme="minorHAnsi"/>
          <w:bCs/>
          <w:sz w:val="24"/>
        </w:rPr>
        <w:t>U MPO bylo pr</w:t>
      </w:r>
      <w:r w:rsidRPr="00826C68">
        <w:rPr>
          <w:rFonts w:cstheme="minorHAnsi"/>
          <w:sz w:val="24"/>
        </w:rPr>
        <w:t xml:space="preserve">ověřeno </w:t>
      </w:r>
      <w:r w:rsidRPr="00826C68">
        <w:rPr>
          <w:rFonts w:cstheme="minorHAnsi"/>
          <w:sz w:val="24"/>
          <w:lang w:eastAsia="cs-CZ"/>
        </w:rPr>
        <w:t>poskytování podpory v</w:t>
      </w:r>
      <w:r w:rsidR="003F442B">
        <w:rPr>
          <w:rFonts w:cstheme="minorHAnsi"/>
          <w:sz w:val="24"/>
          <w:lang w:eastAsia="cs-CZ"/>
        </w:rPr>
        <w:t> </w:t>
      </w:r>
      <w:r w:rsidRPr="00826C68">
        <w:rPr>
          <w:rFonts w:cstheme="minorHAnsi"/>
          <w:sz w:val="24"/>
          <w:lang w:eastAsia="cs-CZ"/>
        </w:rPr>
        <w:t>rámci</w:t>
      </w:r>
      <w:r w:rsidR="00534576">
        <w:rPr>
          <w:rFonts w:cstheme="minorHAnsi"/>
          <w:sz w:val="24"/>
          <w:lang w:eastAsia="cs-CZ"/>
        </w:rPr>
        <w:t xml:space="preserve"> prioritní osy</w:t>
      </w:r>
      <w:r w:rsidRPr="00826C68">
        <w:rPr>
          <w:rFonts w:cstheme="minorHAnsi"/>
          <w:sz w:val="24"/>
          <w:lang w:eastAsia="cs-CZ"/>
        </w:rPr>
        <w:t xml:space="preserve"> 2</w:t>
      </w:r>
      <w:r w:rsidR="00EB53AB">
        <w:rPr>
          <w:rFonts w:cstheme="minorHAnsi"/>
          <w:sz w:val="24"/>
          <w:lang w:eastAsia="cs-CZ"/>
        </w:rPr>
        <w:t xml:space="preserve"> OPPIK</w:t>
      </w:r>
      <w:r w:rsidRPr="00826C68">
        <w:rPr>
          <w:rFonts w:cstheme="minorHAnsi"/>
          <w:sz w:val="24"/>
          <w:lang w:eastAsia="cs-CZ"/>
        </w:rPr>
        <w:t xml:space="preserve"> a její</w:t>
      </w:r>
      <w:r w:rsidR="00DD28FD">
        <w:rPr>
          <w:rFonts w:cstheme="minorHAnsi"/>
          <w:sz w:val="24"/>
          <w:lang w:eastAsia="cs-CZ"/>
        </w:rPr>
        <w:t xml:space="preserve">ch specifických cílů 2.1, 2.2 a </w:t>
      </w:r>
      <w:r w:rsidRPr="00826C68">
        <w:rPr>
          <w:rFonts w:cstheme="minorHAnsi"/>
          <w:sz w:val="24"/>
          <w:lang w:eastAsia="cs-CZ"/>
        </w:rPr>
        <w:t>2.4</w:t>
      </w:r>
      <w:r w:rsidR="000B2C73">
        <w:rPr>
          <w:rFonts w:cstheme="minorHAnsi"/>
          <w:sz w:val="24"/>
          <w:lang w:eastAsia="cs-CZ"/>
        </w:rPr>
        <w:t>.</w:t>
      </w:r>
      <w:r w:rsidRPr="00826C68">
        <w:rPr>
          <w:rFonts w:cstheme="minorHAnsi"/>
          <w:sz w:val="24"/>
          <w:lang w:eastAsia="cs-CZ"/>
        </w:rPr>
        <w:t xml:space="preserve"> </w:t>
      </w:r>
      <w:r w:rsidR="000B2C73">
        <w:rPr>
          <w:rFonts w:cstheme="minorHAnsi"/>
          <w:sz w:val="24"/>
          <w:lang w:eastAsia="cs-CZ"/>
        </w:rPr>
        <w:t xml:space="preserve">Prověřeno bylo rovněž </w:t>
      </w:r>
      <w:r w:rsidRPr="00826C68">
        <w:rPr>
          <w:rFonts w:cstheme="minorHAnsi"/>
          <w:sz w:val="24"/>
          <w:lang w:eastAsia="cs-CZ"/>
        </w:rPr>
        <w:t xml:space="preserve">poskytování podpory </w:t>
      </w:r>
      <w:r w:rsidR="00C22EC5">
        <w:rPr>
          <w:rFonts w:cstheme="minorHAnsi"/>
          <w:sz w:val="24"/>
          <w:lang w:eastAsia="cs-CZ"/>
        </w:rPr>
        <w:t>malým a středním podnikům</w:t>
      </w:r>
      <w:r w:rsidRPr="00826C68">
        <w:rPr>
          <w:rFonts w:cstheme="minorHAnsi"/>
          <w:sz w:val="24"/>
          <w:lang w:eastAsia="cs-CZ"/>
        </w:rPr>
        <w:t xml:space="preserve"> v souvislosti </w:t>
      </w:r>
      <w:r w:rsidRPr="00826C68">
        <w:rPr>
          <w:rFonts w:cstheme="minorHAnsi"/>
          <w:sz w:val="24"/>
          <w:lang w:eastAsia="cs-CZ"/>
        </w:rPr>
        <w:lastRenderedPageBreak/>
        <w:t xml:space="preserve">s nákazou Covid 19 v rámci programu podpory </w:t>
      </w:r>
      <w:r w:rsidRPr="00E55374">
        <w:rPr>
          <w:rFonts w:cstheme="minorHAnsi"/>
          <w:i/>
          <w:sz w:val="24"/>
          <w:lang w:eastAsia="cs-CZ"/>
        </w:rPr>
        <w:t>Technologie</w:t>
      </w:r>
      <w:r w:rsidRPr="00826C68">
        <w:rPr>
          <w:rFonts w:cstheme="minorHAnsi"/>
          <w:sz w:val="24"/>
          <w:lang w:eastAsia="cs-CZ"/>
        </w:rPr>
        <w:t xml:space="preserve"> </w:t>
      </w:r>
      <w:r w:rsidR="00EB53AB">
        <w:rPr>
          <w:rFonts w:cstheme="minorHAnsi"/>
          <w:sz w:val="24"/>
          <w:lang w:eastAsia="cs-CZ"/>
        </w:rPr>
        <w:t>(v</w:t>
      </w:r>
      <w:r w:rsidRPr="00826C68">
        <w:rPr>
          <w:rFonts w:cstheme="minorHAnsi"/>
          <w:sz w:val="24"/>
          <w:lang w:eastAsia="cs-CZ"/>
        </w:rPr>
        <w:t>ýzv</w:t>
      </w:r>
      <w:r w:rsidR="00EB53AB">
        <w:rPr>
          <w:rFonts w:cstheme="minorHAnsi"/>
          <w:sz w:val="24"/>
          <w:lang w:eastAsia="cs-CZ"/>
        </w:rPr>
        <w:t>a</w:t>
      </w:r>
      <w:r w:rsidRPr="00826C68">
        <w:rPr>
          <w:rFonts w:cstheme="minorHAnsi"/>
          <w:sz w:val="24"/>
          <w:lang w:eastAsia="cs-CZ"/>
        </w:rPr>
        <w:t xml:space="preserve"> XII.</w:t>
      </w:r>
      <w:r w:rsidR="00EB53AB">
        <w:rPr>
          <w:rFonts w:cstheme="minorHAnsi"/>
          <w:sz w:val="24"/>
          <w:lang w:eastAsia="cs-CZ"/>
        </w:rPr>
        <w:t>)</w:t>
      </w:r>
      <w:r w:rsidRPr="00826C68">
        <w:rPr>
          <w:rFonts w:cstheme="minorHAnsi"/>
          <w:sz w:val="24"/>
          <w:lang w:eastAsia="cs-CZ"/>
        </w:rPr>
        <w:t xml:space="preserve"> a programu podpory </w:t>
      </w:r>
      <w:r w:rsidRPr="00E55374">
        <w:rPr>
          <w:rFonts w:cstheme="minorHAnsi"/>
          <w:i/>
          <w:sz w:val="24"/>
          <w:lang w:eastAsia="cs-CZ"/>
        </w:rPr>
        <w:t>Inovační vouchery</w:t>
      </w:r>
      <w:r w:rsidRPr="00826C68">
        <w:rPr>
          <w:rFonts w:cstheme="minorHAnsi"/>
          <w:sz w:val="24"/>
          <w:lang w:eastAsia="cs-CZ"/>
        </w:rPr>
        <w:t xml:space="preserve"> </w:t>
      </w:r>
      <w:r w:rsidR="00EB53AB">
        <w:rPr>
          <w:rFonts w:cstheme="minorHAnsi"/>
          <w:sz w:val="24"/>
          <w:lang w:eastAsia="cs-CZ"/>
        </w:rPr>
        <w:t>(v</w:t>
      </w:r>
      <w:r w:rsidRPr="00826C68">
        <w:rPr>
          <w:rFonts w:cstheme="minorHAnsi"/>
          <w:sz w:val="24"/>
          <w:lang w:eastAsia="cs-CZ"/>
        </w:rPr>
        <w:t>ýzv</w:t>
      </w:r>
      <w:r w:rsidR="00EB53AB">
        <w:rPr>
          <w:rFonts w:cstheme="minorHAnsi"/>
          <w:sz w:val="24"/>
          <w:lang w:eastAsia="cs-CZ"/>
        </w:rPr>
        <w:t>a</w:t>
      </w:r>
      <w:r w:rsidRPr="00826C68">
        <w:rPr>
          <w:rFonts w:cstheme="minorHAnsi"/>
          <w:sz w:val="24"/>
          <w:lang w:eastAsia="cs-CZ"/>
        </w:rPr>
        <w:t xml:space="preserve"> V</w:t>
      </w:r>
      <w:r w:rsidR="004B1B1D">
        <w:rPr>
          <w:rFonts w:cstheme="minorHAnsi"/>
          <w:sz w:val="24"/>
          <w:lang w:eastAsia="cs-CZ"/>
        </w:rPr>
        <w:t>.</w:t>
      </w:r>
      <w:r w:rsidR="00C22EC5">
        <w:rPr>
          <w:rFonts w:cstheme="minorHAnsi"/>
          <w:sz w:val="24"/>
          <w:lang w:eastAsia="cs-CZ"/>
        </w:rPr>
        <w:t>,</w:t>
      </w:r>
      <w:r w:rsidR="00CF505B">
        <w:rPr>
          <w:rFonts w:cstheme="minorHAnsi"/>
          <w:sz w:val="24"/>
          <w:lang w:eastAsia="cs-CZ"/>
        </w:rPr>
        <w:t xml:space="preserve"> </w:t>
      </w:r>
      <w:r w:rsidR="00C22EC5">
        <w:rPr>
          <w:rFonts w:cstheme="minorHAnsi"/>
          <w:sz w:val="24"/>
          <w:lang w:eastAsia="cs-CZ"/>
        </w:rPr>
        <w:t xml:space="preserve">vyhlášená </w:t>
      </w:r>
      <w:r w:rsidR="00CF505B">
        <w:rPr>
          <w:rFonts w:cstheme="minorHAnsi"/>
          <w:sz w:val="24"/>
          <w:lang w:eastAsia="cs-CZ"/>
        </w:rPr>
        <w:t>v</w:t>
      </w:r>
      <w:r w:rsidR="00EB53AB">
        <w:rPr>
          <w:rFonts w:cstheme="minorHAnsi"/>
          <w:sz w:val="24"/>
          <w:lang w:eastAsia="cs-CZ"/>
        </w:rPr>
        <w:t> </w:t>
      </w:r>
      <w:r w:rsidR="00CF505B">
        <w:rPr>
          <w:rFonts w:cstheme="minorHAnsi"/>
          <w:sz w:val="24"/>
          <w:lang w:eastAsia="cs-CZ"/>
        </w:rPr>
        <w:t xml:space="preserve">rámci </w:t>
      </w:r>
      <w:r w:rsidR="00534576">
        <w:rPr>
          <w:rFonts w:cstheme="minorHAnsi"/>
          <w:sz w:val="24"/>
          <w:lang w:eastAsia="cs-CZ"/>
        </w:rPr>
        <w:t xml:space="preserve">prioritní osy </w:t>
      </w:r>
      <w:r w:rsidR="00CF505B">
        <w:rPr>
          <w:rFonts w:cstheme="minorHAnsi"/>
          <w:sz w:val="24"/>
          <w:lang w:eastAsia="cs-CZ"/>
        </w:rPr>
        <w:t>1</w:t>
      </w:r>
      <w:r w:rsidR="00C22EC5">
        <w:rPr>
          <w:rFonts w:cstheme="minorHAnsi"/>
          <w:sz w:val="24"/>
          <w:lang w:eastAsia="cs-CZ"/>
        </w:rPr>
        <w:t xml:space="preserve"> </w:t>
      </w:r>
      <w:r w:rsidR="00C22EC5" w:rsidRPr="00826C68">
        <w:rPr>
          <w:rFonts w:cstheme="minorHAnsi"/>
          <w:sz w:val="24"/>
          <w:lang w:eastAsia="cs-CZ"/>
        </w:rPr>
        <w:t>OPPIK</w:t>
      </w:r>
      <w:r w:rsidR="00CF505B">
        <w:rPr>
          <w:rFonts w:cstheme="minorHAnsi"/>
          <w:sz w:val="24"/>
          <w:lang w:eastAsia="cs-CZ"/>
        </w:rPr>
        <w:t>)</w:t>
      </w:r>
      <w:r w:rsidRPr="00826C68">
        <w:rPr>
          <w:rFonts w:cstheme="minorHAnsi"/>
          <w:sz w:val="24"/>
          <w:lang w:eastAsia="cs-CZ"/>
        </w:rPr>
        <w:t>.</w:t>
      </w:r>
      <w:r w:rsidR="00036397">
        <w:rPr>
          <w:rFonts w:cstheme="minorHAnsi"/>
          <w:sz w:val="24"/>
          <w:lang w:eastAsia="cs-CZ"/>
        </w:rPr>
        <w:t xml:space="preserve"> </w:t>
      </w:r>
    </w:p>
    <w:p w14:paraId="79926EBD" w14:textId="32BFD564" w:rsidR="003869EF" w:rsidRDefault="003869EF" w:rsidP="000A6177">
      <w:pPr>
        <w:spacing w:after="0" w:line="280" w:lineRule="atLeast"/>
        <w:jc w:val="both"/>
        <w:rPr>
          <w:rFonts w:cstheme="minorHAnsi"/>
          <w:sz w:val="24"/>
          <w:lang w:eastAsia="cs-CZ"/>
        </w:rPr>
      </w:pPr>
    </w:p>
    <w:p w14:paraId="01AF4A5D" w14:textId="287AC4D8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</w:rPr>
      </w:pPr>
      <w:r w:rsidRPr="00826C68">
        <w:rPr>
          <w:rFonts w:cstheme="minorHAnsi"/>
          <w:sz w:val="24"/>
          <w:lang w:eastAsia="cs-CZ"/>
        </w:rPr>
        <w:t>Celkový k</w:t>
      </w:r>
      <w:r w:rsidRPr="00826C68">
        <w:rPr>
          <w:rFonts w:cstheme="minorHAnsi"/>
          <w:sz w:val="24"/>
        </w:rPr>
        <w:t>ontrolovaný objem na úrovni systému</w:t>
      </w:r>
      <w:r w:rsidR="000B2C73">
        <w:rPr>
          <w:rFonts w:cstheme="minorHAnsi"/>
          <w:sz w:val="24"/>
        </w:rPr>
        <w:t xml:space="preserve"> činil u</w:t>
      </w:r>
      <w:r w:rsidRPr="00826C68">
        <w:rPr>
          <w:rFonts w:cstheme="minorHAnsi"/>
          <w:sz w:val="24"/>
        </w:rPr>
        <w:t xml:space="preserve"> MPO </w:t>
      </w:r>
      <w:r w:rsidR="00CF505B" w:rsidRPr="00CF505B">
        <w:rPr>
          <w:rFonts w:cstheme="minorHAnsi"/>
          <w:sz w:val="24"/>
          <w:szCs w:val="24"/>
        </w:rPr>
        <w:t>2</w:t>
      </w:r>
      <w:r w:rsidR="00CF505B">
        <w:rPr>
          <w:rFonts w:cstheme="minorHAnsi"/>
          <w:sz w:val="24"/>
          <w:szCs w:val="24"/>
        </w:rPr>
        <w:t> </w:t>
      </w:r>
      <w:r w:rsidR="00CF505B" w:rsidRPr="00CF505B">
        <w:rPr>
          <w:rFonts w:cstheme="minorHAnsi"/>
          <w:sz w:val="24"/>
          <w:szCs w:val="24"/>
        </w:rPr>
        <w:t>316</w:t>
      </w:r>
      <w:r w:rsidR="00CF505B">
        <w:rPr>
          <w:rFonts w:cstheme="minorHAnsi"/>
          <w:sz w:val="24"/>
          <w:szCs w:val="24"/>
        </w:rPr>
        <w:t> </w:t>
      </w:r>
      <w:r w:rsidR="00CF505B" w:rsidRPr="00CF505B">
        <w:rPr>
          <w:rFonts w:cstheme="minorHAnsi"/>
          <w:sz w:val="24"/>
          <w:szCs w:val="24"/>
        </w:rPr>
        <w:t>113</w:t>
      </w:r>
      <w:r w:rsidR="000B2C73">
        <w:rPr>
          <w:rFonts w:cstheme="minorHAnsi"/>
          <w:sz w:val="24"/>
          <w:szCs w:val="24"/>
        </w:rPr>
        <w:t> </w:t>
      </w:r>
      <w:r w:rsidR="00CF505B" w:rsidRPr="00CF505B">
        <w:rPr>
          <w:rFonts w:cstheme="minorHAnsi"/>
          <w:sz w:val="24"/>
          <w:szCs w:val="24"/>
        </w:rPr>
        <w:t>757</w:t>
      </w:r>
      <w:r w:rsidR="000B2C73">
        <w:rPr>
          <w:rFonts w:cstheme="minorHAnsi"/>
          <w:sz w:val="24"/>
          <w:szCs w:val="24"/>
        </w:rPr>
        <w:t xml:space="preserve"> Kč. Zahrnoval</w:t>
      </w:r>
      <w:r w:rsidR="00CF505B">
        <w:rPr>
          <w:rFonts w:cstheme="minorHAnsi"/>
          <w:sz w:val="24"/>
          <w:szCs w:val="24"/>
        </w:rPr>
        <w:t xml:space="preserve"> </w:t>
      </w:r>
      <w:r w:rsidRPr="00826C68">
        <w:rPr>
          <w:rFonts w:cstheme="minorHAnsi"/>
          <w:color w:val="000000"/>
          <w:sz w:val="24"/>
        </w:rPr>
        <w:t xml:space="preserve">výši </w:t>
      </w:r>
      <w:r w:rsidRPr="00826C68">
        <w:rPr>
          <w:rFonts w:cstheme="minorHAnsi"/>
          <w:sz w:val="24"/>
        </w:rPr>
        <w:t xml:space="preserve">přidělené podpory dle </w:t>
      </w:r>
      <w:proofErr w:type="spellStart"/>
      <w:r w:rsidR="00D87C3B">
        <w:rPr>
          <w:rFonts w:cstheme="minorHAnsi"/>
          <w:sz w:val="24"/>
        </w:rPr>
        <w:t>RoPD</w:t>
      </w:r>
      <w:proofErr w:type="spellEnd"/>
      <w:r w:rsidRPr="00826C68">
        <w:rPr>
          <w:rFonts w:cstheme="minorHAnsi"/>
          <w:sz w:val="24"/>
        </w:rPr>
        <w:t xml:space="preserve"> pro jednotlivé projekty </w:t>
      </w:r>
      <w:r w:rsidR="00B217EE">
        <w:rPr>
          <w:rFonts w:cstheme="minorHAnsi"/>
          <w:sz w:val="24"/>
        </w:rPr>
        <w:t>financované z</w:t>
      </w:r>
      <w:r w:rsidRPr="00826C68">
        <w:rPr>
          <w:rFonts w:cstheme="minorHAnsi"/>
          <w:sz w:val="24"/>
        </w:rPr>
        <w:t> program</w:t>
      </w:r>
      <w:r w:rsidR="00B217EE">
        <w:rPr>
          <w:rFonts w:cstheme="minorHAnsi"/>
          <w:sz w:val="24"/>
        </w:rPr>
        <w:t>ů</w:t>
      </w:r>
      <w:r w:rsidRPr="00826C68">
        <w:rPr>
          <w:rFonts w:cstheme="minorHAnsi"/>
          <w:sz w:val="24"/>
        </w:rPr>
        <w:t xml:space="preserve"> podpory </w:t>
      </w:r>
      <w:r w:rsidRPr="00E55374">
        <w:rPr>
          <w:rFonts w:cstheme="minorHAnsi"/>
          <w:i/>
          <w:sz w:val="24"/>
        </w:rPr>
        <w:t>Poradenství</w:t>
      </w:r>
      <w:r w:rsidRPr="00826C68">
        <w:rPr>
          <w:rFonts w:cstheme="minorHAnsi"/>
          <w:sz w:val="24"/>
        </w:rPr>
        <w:t xml:space="preserve">, </w:t>
      </w:r>
      <w:r w:rsidRPr="00E55374">
        <w:rPr>
          <w:rFonts w:cstheme="minorHAnsi"/>
          <w:i/>
          <w:sz w:val="24"/>
        </w:rPr>
        <w:t>Marketing</w:t>
      </w:r>
      <w:r w:rsidR="00C22EC5">
        <w:rPr>
          <w:rFonts w:cstheme="minorHAnsi"/>
          <w:sz w:val="24"/>
        </w:rPr>
        <w:t xml:space="preserve"> a</w:t>
      </w:r>
      <w:r w:rsidRPr="00826C68">
        <w:rPr>
          <w:rFonts w:cstheme="minorHAnsi"/>
          <w:sz w:val="24"/>
        </w:rPr>
        <w:t xml:space="preserve"> </w:t>
      </w:r>
      <w:r w:rsidRPr="00E55374">
        <w:rPr>
          <w:rFonts w:cstheme="minorHAnsi"/>
          <w:i/>
          <w:sz w:val="24"/>
        </w:rPr>
        <w:t>Školicí střediska</w:t>
      </w:r>
      <w:r w:rsidR="00C22EC5">
        <w:rPr>
          <w:rFonts w:cstheme="minorHAnsi"/>
          <w:sz w:val="24"/>
        </w:rPr>
        <w:t>,</w:t>
      </w:r>
      <w:r w:rsidRPr="00826C68">
        <w:rPr>
          <w:rFonts w:cstheme="minorHAnsi"/>
          <w:sz w:val="24"/>
        </w:rPr>
        <w:t xml:space="preserve"> </w:t>
      </w:r>
      <w:r w:rsidR="00C22EC5">
        <w:rPr>
          <w:rFonts w:cstheme="minorHAnsi"/>
          <w:sz w:val="24"/>
        </w:rPr>
        <w:t xml:space="preserve">z </w:t>
      </w:r>
      <w:r w:rsidRPr="00826C68">
        <w:rPr>
          <w:rFonts w:cstheme="minorHAnsi"/>
          <w:sz w:val="24"/>
        </w:rPr>
        <w:t xml:space="preserve">výzvy V. programu podpory </w:t>
      </w:r>
      <w:r w:rsidRPr="00E55374">
        <w:rPr>
          <w:rFonts w:cstheme="minorHAnsi"/>
          <w:i/>
          <w:sz w:val="24"/>
        </w:rPr>
        <w:t>Inovační vouchery</w:t>
      </w:r>
      <w:r w:rsidRPr="00826C68">
        <w:rPr>
          <w:rFonts w:cstheme="minorHAnsi"/>
          <w:sz w:val="24"/>
        </w:rPr>
        <w:t xml:space="preserve"> a výzvy XII. programu podpory </w:t>
      </w:r>
      <w:r w:rsidRPr="00E55374">
        <w:rPr>
          <w:rFonts w:cstheme="minorHAnsi"/>
          <w:i/>
          <w:sz w:val="24"/>
        </w:rPr>
        <w:t>Technologie</w:t>
      </w:r>
      <w:r w:rsidRPr="00826C68">
        <w:rPr>
          <w:rFonts w:cstheme="minorHAnsi"/>
          <w:sz w:val="24"/>
        </w:rPr>
        <w:t xml:space="preserve"> a u interních projektů programu podpory </w:t>
      </w:r>
      <w:r w:rsidRPr="00E55374">
        <w:rPr>
          <w:rFonts w:cstheme="minorHAnsi"/>
          <w:i/>
          <w:sz w:val="24"/>
        </w:rPr>
        <w:t>Marketing</w:t>
      </w:r>
      <w:r w:rsidRPr="00826C68">
        <w:rPr>
          <w:rFonts w:cstheme="minorHAnsi"/>
          <w:sz w:val="24"/>
        </w:rPr>
        <w:t xml:space="preserve"> celkové způsobilé výdaje jednotlivých projektů.</w:t>
      </w:r>
    </w:p>
    <w:p w14:paraId="3CC49572" w14:textId="77777777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</w:rPr>
      </w:pPr>
    </w:p>
    <w:p w14:paraId="5CA61114" w14:textId="08DE51B6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  <w:lang w:eastAsia="cs-CZ"/>
        </w:rPr>
      </w:pPr>
      <w:r w:rsidRPr="00826C68">
        <w:rPr>
          <w:rFonts w:cstheme="minorHAnsi"/>
          <w:b/>
          <w:sz w:val="24"/>
        </w:rPr>
        <w:t xml:space="preserve">U API </w:t>
      </w:r>
      <w:r w:rsidRPr="00826C68">
        <w:rPr>
          <w:rFonts w:cstheme="minorHAnsi"/>
          <w:sz w:val="24"/>
        </w:rPr>
        <w:t xml:space="preserve">byl kontrole podroben postup API jako zprostředkujícího subjektu </w:t>
      </w:r>
      <w:r w:rsidRPr="00826C68">
        <w:rPr>
          <w:rFonts w:cstheme="minorHAnsi"/>
          <w:sz w:val="24"/>
          <w:lang w:eastAsia="cs-CZ"/>
        </w:rPr>
        <w:t xml:space="preserve">OPPIK, </w:t>
      </w:r>
      <w:r w:rsidR="000B2C73">
        <w:rPr>
          <w:rFonts w:cstheme="minorHAnsi"/>
          <w:sz w:val="24"/>
          <w:lang w:eastAsia="cs-CZ"/>
        </w:rPr>
        <w:t>který zejména zajišťoval</w:t>
      </w:r>
      <w:r w:rsidRPr="00826C68">
        <w:rPr>
          <w:rFonts w:cstheme="minorHAnsi"/>
          <w:sz w:val="24"/>
          <w:lang w:eastAsia="cs-CZ"/>
        </w:rPr>
        <w:t xml:space="preserve"> první stupeň hodnocení projektů, kontrolu žádostí o platbu, kontrolu výběrových řízení, monitoring projektů v rámci realizace a doby udržitelnosti, kontrolu statusu </w:t>
      </w:r>
      <w:r w:rsidR="004B1B1D">
        <w:rPr>
          <w:rFonts w:cstheme="minorHAnsi"/>
          <w:sz w:val="24"/>
          <w:lang w:eastAsia="cs-CZ"/>
        </w:rPr>
        <w:t>MSP</w:t>
      </w:r>
      <w:r w:rsidRPr="00826C68">
        <w:rPr>
          <w:rFonts w:cstheme="minorHAnsi"/>
          <w:sz w:val="24"/>
          <w:lang w:eastAsia="cs-CZ"/>
        </w:rPr>
        <w:t>, kontrolu dodržování stanovených podmínek příjemci podpory a</w:t>
      </w:r>
      <w:r w:rsidR="00E74E7F">
        <w:rPr>
          <w:rFonts w:cstheme="minorHAnsi"/>
          <w:sz w:val="24"/>
          <w:lang w:eastAsia="cs-CZ"/>
        </w:rPr>
        <w:t xml:space="preserve"> </w:t>
      </w:r>
      <w:r w:rsidRPr="00826C68">
        <w:rPr>
          <w:rFonts w:cstheme="minorHAnsi"/>
          <w:sz w:val="24"/>
          <w:lang w:eastAsia="cs-CZ"/>
        </w:rPr>
        <w:t>monitoring realizace programů podpory.</w:t>
      </w:r>
      <w:r w:rsidR="000B2C73">
        <w:rPr>
          <w:rFonts w:cstheme="minorHAnsi"/>
          <w:sz w:val="24"/>
          <w:lang w:eastAsia="cs-CZ"/>
        </w:rPr>
        <w:t xml:space="preserve"> Kontrole byl podroben postup API při administraci 40 projektů v celkovém finančním objemu 99 126 560 Kč, který zahrnoval celkovou výši proplacených peněžních prostředků v žádostech o platbu a celkovou výši požadovaných peněžních prostředků v žádostech o podporu u těch projektů, kterým nebyly dosud proplaceny peněžní prostředky</w:t>
      </w:r>
      <w:r w:rsidR="004B1B1D">
        <w:rPr>
          <w:rFonts w:cstheme="minorHAnsi"/>
          <w:sz w:val="24"/>
          <w:lang w:eastAsia="cs-CZ"/>
        </w:rPr>
        <w:t>.</w:t>
      </w:r>
    </w:p>
    <w:p w14:paraId="69EA14DD" w14:textId="77777777" w:rsidR="003869EF" w:rsidRPr="00826C68" w:rsidRDefault="003869EF" w:rsidP="000A6177">
      <w:pPr>
        <w:spacing w:after="0" w:line="280" w:lineRule="atLeast"/>
        <w:jc w:val="both"/>
        <w:rPr>
          <w:rFonts w:cstheme="minorHAnsi"/>
          <w:sz w:val="24"/>
          <w:lang w:eastAsia="cs-CZ"/>
        </w:rPr>
      </w:pPr>
    </w:p>
    <w:p w14:paraId="7F8AEC91" w14:textId="7D411B16" w:rsidR="003869EF" w:rsidRPr="00826C68" w:rsidRDefault="003869EF" w:rsidP="000A6177">
      <w:pPr>
        <w:spacing w:after="0" w:line="280" w:lineRule="atLeast"/>
        <w:jc w:val="both"/>
        <w:rPr>
          <w:rFonts w:cstheme="minorHAnsi"/>
          <w:bCs/>
          <w:color w:val="000000" w:themeColor="text1"/>
          <w:sz w:val="24"/>
          <w:lang w:eastAsia="cs-CZ"/>
        </w:rPr>
      </w:pPr>
      <w:r w:rsidRPr="00826C68">
        <w:rPr>
          <w:rFonts w:cstheme="minorHAnsi"/>
          <w:b/>
          <w:sz w:val="24"/>
        </w:rPr>
        <w:t>U CzechTrade</w:t>
      </w:r>
      <w:r w:rsidRPr="00826C68">
        <w:rPr>
          <w:rFonts w:cstheme="minorHAnsi"/>
          <w:sz w:val="24"/>
        </w:rPr>
        <w:t xml:space="preserve"> bylo kontrole podrobeno čerpání peněžních prostředků na interní projek</w:t>
      </w:r>
      <w:r w:rsidR="000B2C73">
        <w:rPr>
          <w:rFonts w:cstheme="minorHAnsi"/>
          <w:sz w:val="24"/>
        </w:rPr>
        <w:t xml:space="preserve">ty z programu podpory </w:t>
      </w:r>
      <w:r w:rsidR="000B2C73" w:rsidRPr="00E55374">
        <w:rPr>
          <w:rFonts w:cstheme="minorHAnsi"/>
          <w:i/>
          <w:sz w:val="24"/>
        </w:rPr>
        <w:t>Marketing</w:t>
      </w:r>
      <w:r w:rsidRPr="00826C68">
        <w:rPr>
          <w:rFonts w:cstheme="minorHAnsi"/>
          <w:sz w:val="24"/>
        </w:rPr>
        <w:t xml:space="preserve"> </w:t>
      </w:r>
      <w:r w:rsidR="000B2C73">
        <w:rPr>
          <w:rFonts w:cstheme="minorHAnsi"/>
          <w:sz w:val="24"/>
        </w:rPr>
        <w:t>určených MSP</w:t>
      </w:r>
      <w:r w:rsidRPr="00826C68">
        <w:rPr>
          <w:rFonts w:cstheme="minorHAnsi"/>
          <w:sz w:val="24"/>
        </w:rPr>
        <w:t xml:space="preserve"> na účast na veletrzích, vyhodnocení přínosů jednotlivých akcí pro účastníky, postup agentury při zadávání veřejných zakázek a při administraci interních projektů.</w:t>
      </w:r>
      <w:r w:rsidR="008E59FF">
        <w:rPr>
          <w:rFonts w:cstheme="minorHAnsi"/>
          <w:sz w:val="24"/>
        </w:rPr>
        <w:t xml:space="preserve"> </w:t>
      </w:r>
      <w:r w:rsidRPr="00826C68">
        <w:rPr>
          <w:rFonts w:cstheme="minorHAnsi"/>
          <w:bCs/>
          <w:color w:val="000000" w:themeColor="text1"/>
          <w:sz w:val="24"/>
          <w:lang w:eastAsia="cs-CZ"/>
        </w:rPr>
        <w:t xml:space="preserve">Kontrolovaný objem u CzechTrade </w:t>
      </w:r>
      <w:r w:rsidR="000B2C73">
        <w:rPr>
          <w:rFonts w:cstheme="minorHAnsi"/>
          <w:bCs/>
          <w:color w:val="000000" w:themeColor="text1"/>
          <w:sz w:val="24"/>
          <w:lang w:eastAsia="cs-CZ"/>
        </w:rPr>
        <w:t>činil 315 259 420</w:t>
      </w:r>
      <w:r w:rsidRPr="00826C68">
        <w:rPr>
          <w:rFonts w:cstheme="minorHAnsi"/>
          <w:bCs/>
          <w:color w:val="000000" w:themeColor="text1"/>
          <w:sz w:val="24"/>
          <w:lang w:eastAsia="cs-CZ"/>
        </w:rPr>
        <w:t xml:space="preserve"> Kč, což představuje celkový objem finančních zdrojů interních projektů zkontrolovaných na úrovni systému dle </w:t>
      </w:r>
      <w:proofErr w:type="spellStart"/>
      <w:r w:rsidR="004B1B1D">
        <w:rPr>
          <w:rFonts w:cstheme="minorHAnsi"/>
          <w:bCs/>
          <w:color w:val="000000" w:themeColor="text1"/>
          <w:sz w:val="24"/>
          <w:lang w:eastAsia="cs-CZ"/>
        </w:rPr>
        <w:t>RoPD</w:t>
      </w:r>
      <w:proofErr w:type="spellEnd"/>
      <w:r w:rsidRPr="00826C68">
        <w:rPr>
          <w:rFonts w:cstheme="minorHAnsi"/>
          <w:bCs/>
          <w:color w:val="000000" w:themeColor="text1"/>
          <w:sz w:val="24"/>
          <w:lang w:eastAsia="cs-CZ"/>
        </w:rPr>
        <w:t>.</w:t>
      </w:r>
    </w:p>
    <w:p w14:paraId="0FA26F50" w14:textId="77777777" w:rsidR="003869EF" w:rsidRPr="00891AA7" w:rsidRDefault="003869EF" w:rsidP="000A6177">
      <w:pPr>
        <w:spacing w:after="0" w:line="280" w:lineRule="atLeast"/>
        <w:jc w:val="both"/>
        <w:rPr>
          <w:rFonts w:cstheme="minorHAnsi"/>
        </w:rPr>
      </w:pPr>
    </w:p>
    <w:p w14:paraId="6595149F" w14:textId="77777777" w:rsidR="003869EF" w:rsidRPr="00891AA7" w:rsidRDefault="003869EF" w:rsidP="000A6177">
      <w:pPr>
        <w:spacing w:after="0" w:line="280" w:lineRule="atLeast"/>
        <w:ind w:left="567" w:hanging="567"/>
        <w:jc w:val="both"/>
        <w:rPr>
          <w:rFonts w:cstheme="minorHAnsi"/>
          <w:sz w:val="20"/>
          <w:szCs w:val="20"/>
        </w:rPr>
      </w:pPr>
      <w:r w:rsidRPr="00891AA7">
        <w:rPr>
          <w:rFonts w:cstheme="minorHAnsi"/>
          <w:b/>
          <w:sz w:val="20"/>
          <w:szCs w:val="20"/>
        </w:rPr>
        <w:t>Pozn.:</w:t>
      </w:r>
      <w:r w:rsidRPr="00891AA7">
        <w:rPr>
          <w:rFonts w:cstheme="minorHAnsi"/>
          <w:sz w:val="20"/>
          <w:szCs w:val="20"/>
        </w:rPr>
        <w:tab/>
        <w:t>Právní předpisy uvedené v tomto kontrolním závěru jsou aplikovány ve znění účinném pro kontrolované období.</w:t>
      </w:r>
    </w:p>
    <w:p w14:paraId="2344F952" w14:textId="4D81203E" w:rsidR="003869EF" w:rsidRDefault="003869EF" w:rsidP="000A6177">
      <w:pPr>
        <w:spacing w:after="0" w:line="280" w:lineRule="atLeast"/>
        <w:jc w:val="both"/>
        <w:rPr>
          <w:rFonts w:cstheme="minorHAnsi"/>
        </w:rPr>
      </w:pPr>
    </w:p>
    <w:p w14:paraId="6DBECFE6" w14:textId="77777777" w:rsidR="0012538D" w:rsidRPr="00891AA7" w:rsidRDefault="0012538D" w:rsidP="000A6177">
      <w:pPr>
        <w:spacing w:after="0" w:line="280" w:lineRule="atLeast"/>
        <w:jc w:val="both"/>
        <w:rPr>
          <w:rFonts w:cstheme="minorHAnsi"/>
        </w:rPr>
      </w:pPr>
    </w:p>
    <w:p w14:paraId="469D2092" w14:textId="77777777" w:rsidR="00D65D7D" w:rsidRPr="00D64F39" w:rsidRDefault="00D65D7D" w:rsidP="00D65D7D">
      <w:pPr>
        <w:pStyle w:val="Nadpis1"/>
        <w:numPr>
          <w:ilvl w:val="0"/>
          <w:numId w:val="0"/>
        </w:numPr>
        <w:spacing w:before="0" w:after="0" w:line="280" w:lineRule="atLeast"/>
        <w:ind w:left="357" w:hanging="357"/>
        <w:rPr>
          <w:sz w:val="28"/>
          <w:szCs w:val="28"/>
        </w:rPr>
      </w:pPr>
      <w:r w:rsidRPr="00D64F39">
        <w:rPr>
          <w:sz w:val="28"/>
          <w:szCs w:val="28"/>
        </w:rPr>
        <w:t>IV. Podrobné skutečnosti zjištěné kontrolou</w:t>
      </w:r>
    </w:p>
    <w:p w14:paraId="14F74B98" w14:textId="77777777" w:rsidR="00D65D7D" w:rsidRDefault="00D65D7D" w:rsidP="00D65D7D">
      <w:pPr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</w:p>
    <w:p w14:paraId="723CA775" w14:textId="70132345" w:rsidR="003A38BA" w:rsidRPr="003A38BA" w:rsidRDefault="003A38BA" w:rsidP="00CE447E">
      <w:pPr>
        <w:pStyle w:val="Odstavecseseznamem"/>
        <w:numPr>
          <w:ilvl w:val="0"/>
          <w:numId w:val="47"/>
        </w:numPr>
        <w:spacing w:after="0" w:line="240" w:lineRule="auto"/>
        <w:ind w:left="0" w:hanging="426"/>
        <w:jc w:val="both"/>
        <w:rPr>
          <w:rFonts w:cstheme="minorHAnsi"/>
          <w:b/>
          <w:sz w:val="24"/>
        </w:rPr>
      </w:pPr>
      <w:r w:rsidRPr="003A38BA">
        <w:rPr>
          <w:rFonts w:cstheme="minorHAnsi"/>
          <w:b/>
          <w:sz w:val="24"/>
        </w:rPr>
        <w:t>Neprokázaný přínos podpory pro malé a střední podnikatele</w:t>
      </w:r>
    </w:p>
    <w:p w14:paraId="32272F3F" w14:textId="77777777" w:rsidR="003A38BA" w:rsidRDefault="003A38BA" w:rsidP="00D65D7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</w:rPr>
      </w:pPr>
    </w:p>
    <w:p w14:paraId="6E1BD5CA" w14:textId="0C68E93A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bCs/>
          <w:sz w:val="24"/>
        </w:rPr>
      </w:pPr>
      <w:r>
        <w:rPr>
          <w:rFonts w:cstheme="minorHAnsi"/>
          <w:sz w:val="24"/>
        </w:rPr>
        <w:t>Pokrok realizace OPPIK, která má směřovat k plnění vyt</w:t>
      </w:r>
      <w:r w:rsidR="00196E1D">
        <w:rPr>
          <w:rFonts w:cstheme="minorHAnsi"/>
          <w:sz w:val="24"/>
        </w:rPr>
        <w:t>y</w:t>
      </w:r>
      <w:r>
        <w:rPr>
          <w:rFonts w:cstheme="minorHAnsi"/>
          <w:sz w:val="24"/>
        </w:rPr>
        <w:t>čených cílů, je sledován pomocí ukazatelů</w:t>
      </w:r>
      <w:r>
        <w:rPr>
          <w:rStyle w:val="Znakapoznpodarou"/>
          <w:rFonts w:cstheme="minorHAnsi"/>
          <w:sz w:val="24"/>
        </w:rPr>
        <w:footnoteReference w:id="12"/>
      </w:r>
      <w:r>
        <w:rPr>
          <w:rFonts w:cstheme="minorHAnsi"/>
          <w:sz w:val="24"/>
        </w:rPr>
        <w:t xml:space="preserve">. Pro jejich tvorbu a použití vydalo MMR </w:t>
      </w:r>
      <w:r w:rsidR="00196E1D">
        <w:rPr>
          <w:rFonts w:cstheme="minorHAnsi"/>
          <w:sz w:val="24"/>
        </w:rPr>
        <w:t>m</w:t>
      </w:r>
      <w:r>
        <w:rPr>
          <w:rFonts w:cstheme="minorHAnsi"/>
          <w:sz w:val="24"/>
        </w:rPr>
        <w:t xml:space="preserve">etodický pokyn </w:t>
      </w:r>
      <w:r w:rsidR="00D87C3B" w:rsidRPr="00E55374">
        <w:rPr>
          <w:rFonts w:cstheme="minorHAnsi"/>
          <w:i/>
          <w:sz w:val="24"/>
        </w:rPr>
        <w:t>Zásady tvorby a </w:t>
      </w:r>
      <w:r w:rsidRPr="00E55374">
        <w:rPr>
          <w:rFonts w:cstheme="minorHAnsi"/>
          <w:i/>
          <w:sz w:val="24"/>
        </w:rPr>
        <w:t>používání indikátorů v programovém období 2014</w:t>
      </w:r>
      <w:r w:rsidR="00196E1D" w:rsidRPr="00E55374">
        <w:rPr>
          <w:rFonts w:cstheme="minorHAnsi"/>
          <w:i/>
          <w:sz w:val="24"/>
        </w:rPr>
        <w:t>–</w:t>
      </w:r>
      <w:r w:rsidRPr="00E55374">
        <w:rPr>
          <w:rFonts w:cstheme="minorHAnsi"/>
          <w:i/>
          <w:sz w:val="24"/>
        </w:rPr>
        <w:t>2020</w:t>
      </w:r>
      <w:r>
        <w:rPr>
          <w:rFonts w:cstheme="minorHAnsi"/>
          <w:sz w:val="24"/>
        </w:rPr>
        <w:t>, ve kterém doporučilo říd</w:t>
      </w:r>
      <w:r w:rsidR="00D87C3B">
        <w:rPr>
          <w:rFonts w:cstheme="minorHAnsi"/>
          <w:sz w:val="24"/>
        </w:rPr>
        <w:t>i</w:t>
      </w:r>
      <w:r>
        <w:rPr>
          <w:rFonts w:cstheme="minorHAnsi"/>
          <w:sz w:val="24"/>
        </w:rPr>
        <w:t>cím orgánům</w:t>
      </w:r>
      <w:r w:rsidR="00D87C3B">
        <w:rPr>
          <w:rFonts w:cstheme="minorHAnsi"/>
          <w:sz w:val="24"/>
        </w:rPr>
        <w:t xml:space="preserve"> operačních </w:t>
      </w:r>
      <w:r>
        <w:rPr>
          <w:rFonts w:cstheme="minorHAnsi"/>
          <w:sz w:val="24"/>
        </w:rPr>
        <w:t>programů</w:t>
      </w:r>
      <w:r w:rsidRPr="00770C3A">
        <w:rPr>
          <w:rFonts w:cstheme="minorHAnsi"/>
          <w:bCs/>
          <w:sz w:val="24"/>
        </w:rPr>
        <w:t xml:space="preserve">, </w:t>
      </w:r>
      <w:r w:rsidR="00F073DA">
        <w:rPr>
          <w:rFonts w:cstheme="minorHAnsi"/>
          <w:bCs/>
          <w:sz w:val="24"/>
        </w:rPr>
        <w:t>aby</w:t>
      </w:r>
      <w:r w:rsidR="00F073DA" w:rsidRPr="00770C3A">
        <w:rPr>
          <w:rFonts w:cstheme="minorHAnsi"/>
          <w:bCs/>
          <w:sz w:val="24"/>
        </w:rPr>
        <w:t xml:space="preserve"> </w:t>
      </w:r>
      <w:r w:rsidRPr="00770C3A">
        <w:rPr>
          <w:rFonts w:cstheme="minorHAnsi"/>
          <w:bCs/>
          <w:sz w:val="24"/>
        </w:rPr>
        <w:t xml:space="preserve">na úrovni specifických cílů/opatření/operací programů </w:t>
      </w:r>
      <w:r w:rsidR="00F073DA">
        <w:rPr>
          <w:rFonts w:cstheme="minorHAnsi"/>
          <w:bCs/>
          <w:sz w:val="24"/>
        </w:rPr>
        <w:t>byly</w:t>
      </w:r>
      <w:r>
        <w:rPr>
          <w:rFonts w:cstheme="minorHAnsi"/>
          <w:bCs/>
          <w:sz w:val="24"/>
        </w:rPr>
        <w:t xml:space="preserve"> </w:t>
      </w:r>
      <w:r w:rsidRPr="00770C3A">
        <w:rPr>
          <w:rFonts w:cstheme="minorHAnsi"/>
          <w:bCs/>
          <w:sz w:val="24"/>
        </w:rPr>
        <w:t>stanoveny výsledkové indikátory, které prokazují účinky daného projektu</w:t>
      </w:r>
      <w:r w:rsidR="00196E1D">
        <w:rPr>
          <w:rFonts w:cstheme="minorHAnsi"/>
          <w:bCs/>
          <w:sz w:val="24"/>
        </w:rPr>
        <w:t>,</w:t>
      </w:r>
      <w:r w:rsidRPr="00770C3A">
        <w:rPr>
          <w:rFonts w:cstheme="minorHAnsi"/>
          <w:bCs/>
          <w:sz w:val="24"/>
        </w:rPr>
        <w:t xml:space="preserve"> resp. změnu/přínosy programu/</w:t>
      </w:r>
      <w:r w:rsidRPr="00E55374">
        <w:rPr>
          <w:rFonts w:cstheme="minorHAnsi"/>
          <w:bCs/>
          <w:i/>
          <w:sz w:val="24"/>
        </w:rPr>
        <w:t>Dohody o partnerství</w:t>
      </w:r>
      <w:r w:rsidR="00196E1D" w:rsidRPr="00E55374">
        <w:rPr>
          <w:rFonts w:cstheme="minorHAnsi"/>
          <w:bCs/>
          <w:i/>
          <w:sz w:val="24"/>
        </w:rPr>
        <w:t xml:space="preserve"> pro programové období 2014–2020</w:t>
      </w:r>
      <w:r>
        <w:rPr>
          <w:rFonts w:cstheme="minorHAnsi"/>
          <w:bCs/>
          <w:sz w:val="24"/>
        </w:rPr>
        <w:t>. Indikátory mají měřit</w:t>
      </w:r>
      <w:r w:rsidRPr="00770C3A">
        <w:rPr>
          <w:rFonts w:cstheme="minorHAnsi"/>
          <w:bCs/>
          <w:sz w:val="24"/>
        </w:rPr>
        <w:t xml:space="preserve"> výsledek pomoci (intervencí) a jsou důležitým podkladem pro řízení programu po celou dobu jeho implementace.</w:t>
      </w:r>
    </w:p>
    <w:p w14:paraId="2AE90C92" w14:textId="77777777" w:rsidR="00196E1D" w:rsidRDefault="00196E1D" w:rsidP="00D65D7D">
      <w:pPr>
        <w:pStyle w:val="Odstavecseseznamem"/>
        <w:spacing w:after="0" w:line="240" w:lineRule="auto"/>
        <w:ind w:left="0"/>
        <w:jc w:val="both"/>
        <w:rPr>
          <w:rFonts w:cstheme="minorHAnsi"/>
          <w:bCs/>
          <w:sz w:val="24"/>
        </w:rPr>
      </w:pPr>
    </w:p>
    <w:p w14:paraId="0FCF6C49" w14:textId="685752C9" w:rsidR="00D65D7D" w:rsidRPr="00B41630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MPO sleduje přínosy podpory u SC 2.1, 2.2 a 2.4 pomocí statistických a souhrnných ukazatelů za celou ČR</w:t>
      </w:r>
      <w:r>
        <w:rPr>
          <w:rStyle w:val="Znakapoznpodarou"/>
          <w:rFonts w:cstheme="minorHAnsi"/>
          <w:sz w:val="24"/>
        </w:rPr>
        <w:footnoteReference w:id="13"/>
      </w:r>
      <w:r>
        <w:rPr>
          <w:rFonts w:cstheme="minorHAnsi"/>
          <w:sz w:val="24"/>
          <w:szCs w:val="24"/>
        </w:rPr>
        <w:t xml:space="preserve">, které vycházejí z veškeré ekonomické aktivity </w:t>
      </w:r>
      <w:r w:rsidR="00C57297">
        <w:rPr>
          <w:rFonts w:cstheme="minorHAnsi"/>
          <w:sz w:val="24"/>
          <w:szCs w:val="24"/>
        </w:rPr>
        <w:t>MSP</w:t>
      </w:r>
      <w:r>
        <w:rPr>
          <w:rFonts w:cstheme="minorHAnsi"/>
          <w:sz w:val="24"/>
          <w:szCs w:val="24"/>
        </w:rPr>
        <w:t>. Vývoj hodnot těchto ukazatelů je ovlivněn nejen podporou poskytovanou v rámci uvedených specifických cílů, ale i jinou podporou</w:t>
      </w:r>
      <w:r w:rsidR="000E1B29">
        <w:rPr>
          <w:rFonts w:cstheme="minorHAnsi"/>
          <w:sz w:val="24"/>
          <w:szCs w:val="24"/>
        </w:rPr>
        <w:t xml:space="preserve"> a dalšími ekonomickými </w:t>
      </w:r>
      <w:r w:rsidR="00CE70D2">
        <w:rPr>
          <w:rFonts w:cstheme="minorHAnsi"/>
          <w:sz w:val="24"/>
          <w:szCs w:val="24"/>
        </w:rPr>
        <w:t>faktory</w:t>
      </w:r>
      <w:r w:rsidR="000E1B29">
        <w:rPr>
          <w:rFonts w:cstheme="minorHAnsi"/>
          <w:sz w:val="24"/>
          <w:szCs w:val="24"/>
        </w:rPr>
        <w:t xml:space="preserve">. </w:t>
      </w:r>
      <w:r w:rsidRPr="00F00BAE">
        <w:rPr>
          <w:rFonts w:cstheme="minorHAnsi"/>
          <w:b/>
          <w:sz w:val="24"/>
          <w:szCs w:val="24"/>
        </w:rPr>
        <w:t>MPO tak nemůže pomocí stanovených ukazatelů vy</w:t>
      </w:r>
      <w:r>
        <w:rPr>
          <w:rFonts w:cstheme="minorHAnsi"/>
          <w:b/>
          <w:sz w:val="24"/>
          <w:szCs w:val="24"/>
        </w:rPr>
        <w:t>číslit</w:t>
      </w:r>
      <w:r w:rsidRPr="00F00BAE">
        <w:rPr>
          <w:rFonts w:cstheme="minorHAnsi"/>
          <w:b/>
          <w:sz w:val="24"/>
          <w:szCs w:val="24"/>
        </w:rPr>
        <w:t xml:space="preserve">, jaký vliv </w:t>
      </w:r>
      <w:r w:rsidRPr="002F34FC">
        <w:rPr>
          <w:rFonts w:cstheme="minorHAnsi"/>
          <w:b/>
          <w:sz w:val="24"/>
          <w:szCs w:val="24"/>
        </w:rPr>
        <w:t xml:space="preserve">měla podpora na plnění </w:t>
      </w:r>
      <w:r>
        <w:rPr>
          <w:rFonts w:cstheme="minorHAnsi"/>
          <w:b/>
          <w:sz w:val="24"/>
          <w:szCs w:val="24"/>
        </w:rPr>
        <w:t xml:space="preserve">cílů a </w:t>
      </w:r>
      <w:r w:rsidRPr="002F34FC">
        <w:rPr>
          <w:rFonts w:cstheme="minorHAnsi"/>
          <w:b/>
          <w:sz w:val="24"/>
          <w:szCs w:val="24"/>
        </w:rPr>
        <w:t>očekávaných přínosů</w:t>
      </w:r>
      <w:r w:rsidR="00C76258">
        <w:rPr>
          <w:rFonts w:cstheme="minorHAnsi"/>
          <w:b/>
          <w:sz w:val="24"/>
          <w:szCs w:val="24"/>
        </w:rPr>
        <w:t>,</w:t>
      </w:r>
      <w:r w:rsidRPr="002F34FC">
        <w:rPr>
          <w:rFonts w:cstheme="minorHAnsi"/>
          <w:b/>
          <w:sz w:val="24"/>
          <w:szCs w:val="24"/>
        </w:rPr>
        <w:t xml:space="preserve"> </w:t>
      </w:r>
      <w:r w:rsidRPr="002F34FC">
        <w:rPr>
          <w:rFonts w:cstheme="minorHAnsi"/>
          <w:sz w:val="24"/>
          <w:szCs w:val="24"/>
        </w:rPr>
        <w:t xml:space="preserve">tj. zda </w:t>
      </w:r>
      <w:r w:rsidR="0077771C">
        <w:rPr>
          <w:rFonts w:cstheme="minorHAnsi"/>
          <w:sz w:val="24"/>
          <w:szCs w:val="24"/>
        </w:rPr>
        <w:br/>
      </w:r>
      <w:r w:rsidR="00C76258">
        <w:rPr>
          <w:rFonts w:cstheme="minorHAnsi"/>
          <w:sz w:val="24"/>
          <w:szCs w:val="24"/>
        </w:rPr>
        <w:t>a</w:t>
      </w:r>
      <w:r w:rsidR="0077771C">
        <w:rPr>
          <w:rFonts w:cstheme="minorHAnsi"/>
          <w:sz w:val="24"/>
          <w:szCs w:val="24"/>
        </w:rPr>
        <w:t xml:space="preserve"> </w:t>
      </w:r>
      <w:r w:rsidR="00F073DA" w:rsidRPr="00B41630">
        <w:rPr>
          <w:rFonts w:cstheme="minorHAnsi"/>
          <w:sz w:val="24"/>
          <w:szCs w:val="24"/>
        </w:rPr>
        <w:t>v</w:t>
      </w:r>
      <w:r w:rsidR="00C76258">
        <w:rPr>
          <w:rFonts w:cstheme="minorHAnsi"/>
          <w:sz w:val="24"/>
          <w:szCs w:val="24"/>
        </w:rPr>
        <w:t> </w:t>
      </w:r>
      <w:r w:rsidR="00F073DA" w:rsidRPr="00B41630">
        <w:rPr>
          <w:rFonts w:cstheme="minorHAnsi"/>
          <w:sz w:val="24"/>
          <w:szCs w:val="24"/>
        </w:rPr>
        <w:t>jakém rozsahu</w:t>
      </w:r>
      <w:r w:rsidRPr="00B41630">
        <w:rPr>
          <w:rFonts w:cstheme="minorHAnsi"/>
          <w:sz w:val="24"/>
          <w:szCs w:val="24"/>
        </w:rPr>
        <w:t xml:space="preserve"> došlo vlivem podpory k posílení schopnosti MSP nacházet nové trhy a</w:t>
      </w:r>
      <w:r w:rsidR="0077771C">
        <w:rPr>
          <w:rFonts w:cstheme="minorHAnsi"/>
          <w:sz w:val="24"/>
          <w:szCs w:val="24"/>
        </w:rPr>
        <w:t xml:space="preserve"> </w:t>
      </w:r>
      <w:r w:rsidRPr="00B41630">
        <w:rPr>
          <w:rFonts w:cstheme="minorHAnsi"/>
          <w:sz w:val="24"/>
          <w:szCs w:val="24"/>
        </w:rPr>
        <w:t>udržet se na nich, zda byla rozšířena jejich exportní působnost, zvýšen podíl exportu na výkonech a</w:t>
      </w:r>
      <w:r w:rsidR="0077771C">
        <w:rPr>
          <w:rFonts w:cstheme="minorHAnsi"/>
          <w:sz w:val="24"/>
          <w:szCs w:val="24"/>
        </w:rPr>
        <w:t> </w:t>
      </w:r>
      <w:r w:rsidRPr="00B41630">
        <w:rPr>
          <w:rFonts w:cstheme="minorHAnsi"/>
          <w:sz w:val="24"/>
          <w:szCs w:val="24"/>
        </w:rPr>
        <w:t xml:space="preserve">zvýšeny výrobní a prodejní aktivity. </w:t>
      </w:r>
    </w:p>
    <w:p w14:paraId="2379E8EA" w14:textId="77777777" w:rsidR="00D65D7D" w:rsidRDefault="00D65D7D" w:rsidP="00D65D7D">
      <w:pPr>
        <w:spacing w:after="0" w:line="240" w:lineRule="auto"/>
        <w:jc w:val="both"/>
        <w:rPr>
          <w:rFonts w:cstheme="minorHAnsi"/>
          <w:sz w:val="24"/>
        </w:rPr>
      </w:pPr>
    </w:p>
    <w:p w14:paraId="16E91BEC" w14:textId="212DB13D" w:rsidR="00D65D7D" w:rsidRPr="002F34FC" w:rsidRDefault="00D65D7D" w:rsidP="00D65D7D">
      <w:pPr>
        <w:spacing w:after="0" w:line="240" w:lineRule="auto"/>
        <w:jc w:val="both"/>
        <w:rPr>
          <w:rFonts w:cstheme="minorHAnsi"/>
          <w:b/>
          <w:sz w:val="24"/>
        </w:rPr>
      </w:pPr>
      <w:r w:rsidRPr="00F00BAE">
        <w:rPr>
          <w:rFonts w:cstheme="minorHAnsi"/>
          <w:sz w:val="24"/>
        </w:rPr>
        <w:t xml:space="preserve">Dle </w:t>
      </w:r>
      <w:r w:rsidRPr="00E55374">
        <w:rPr>
          <w:rFonts w:cstheme="minorHAnsi"/>
          <w:i/>
          <w:sz w:val="24"/>
        </w:rPr>
        <w:t>Zprávy o vývoji podnikatelského prostředí v České republice v roce 2018</w:t>
      </w:r>
      <w:r w:rsidRPr="00F00BAE">
        <w:rPr>
          <w:rFonts w:cstheme="minorHAnsi"/>
          <w:sz w:val="24"/>
        </w:rPr>
        <w:t>, kterou zpracovalo MPO, bylo v</w:t>
      </w:r>
      <w:r w:rsidR="000E1B29">
        <w:rPr>
          <w:rFonts w:cstheme="minorHAnsi"/>
          <w:sz w:val="24"/>
        </w:rPr>
        <w:t> </w:t>
      </w:r>
      <w:r w:rsidRPr="00F00BAE">
        <w:rPr>
          <w:rFonts w:cstheme="minorHAnsi"/>
          <w:sz w:val="24"/>
        </w:rPr>
        <w:t>ČR</w:t>
      </w:r>
      <w:r w:rsidR="000E1B29">
        <w:rPr>
          <w:rFonts w:cstheme="minorHAnsi"/>
          <w:sz w:val="24"/>
        </w:rPr>
        <w:t xml:space="preserve"> celkem</w:t>
      </w:r>
      <w:r w:rsidR="00777FEA">
        <w:rPr>
          <w:rFonts w:cstheme="minorHAnsi"/>
          <w:sz w:val="24"/>
        </w:rPr>
        <w:t xml:space="preserve"> 1 </w:t>
      </w:r>
      <w:r w:rsidRPr="00F00BAE">
        <w:rPr>
          <w:rFonts w:cstheme="minorHAnsi"/>
          <w:sz w:val="24"/>
        </w:rPr>
        <w:t>152</w:t>
      </w:r>
      <w:r w:rsidR="00777FEA">
        <w:rPr>
          <w:rFonts w:cstheme="minorHAnsi"/>
          <w:sz w:val="24"/>
        </w:rPr>
        <w:t> </w:t>
      </w:r>
      <w:r w:rsidRPr="00F00BAE">
        <w:rPr>
          <w:rFonts w:cstheme="minorHAnsi"/>
          <w:sz w:val="24"/>
        </w:rPr>
        <w:t xml:space="preserve">735 </w:t>
      </w:r>
      <w:r w:rsidR="00C57297">
        <w:rPr>
          <w:rFonts w:cstheme="minorHAnsi"/>
          <w:sz w:val="24"/>
        </w:rPr>
        <w:t>MSP</w:t>
      </w:r>
      <w:r w:rsidRPr="00F00BAE">
        <w:rPr>
          <w:rFonts w:cstheme="minorHAnsi"/>
          <w:sz w:val="24"/>
        </w:rPr>
        <w:t xml:space="preserve">. Ve vztahu k celkovému počtu podpořených projektů, kterých bylo v dané oblasti 940, je patrné, že </w:t>
      </w:r>
      <w:r w:rsidRPr="002F34FC">
        <w:rPr>
          <w:rFonts w:cstheme="minorHAnsi"/>
          <w:b/>
          <w:sz w:val="24"/>
        </w:rPr>
        <w:t xml:space="preserve">podpořeno bylo necelé </w:t>
      </w:r>
      <w:r w:rsidR="00C10250">
        <w:rPr>
          <w:rFonts w:cstheme="minorHAnsi"/>
          <w:b/>
          <w:sz w:val="24"/>
        </w:rPr>
        <w:t>jedno</w:t>
      </w:r>
      <w:r w:rsidRPr="002F34FC">
        <w:rPr>
          <w:rFonts w:cstheme="minorHAnsi"/>
          <w:b/>
          <w:sz w:val="24"/>
        </w:rPr>
        <w:t xml:space="preserve"> promile </w:t>
      </w:r>
      <w:r w:rsidR="00C57297">
        <w:rPr>
          <w:rFonts w:cstheme="minorHAnsi"/>
          <w:b/>
          <w:sz w:val="24"/>
        </w:rPr>
        <w:t>MSP</w:t>
      </w:r>
      <w:r w:rsidRPr="002F34FC">
        <w:rPr>
          <w:rFonts w:cstheme="minorHAnsi"/>
          <w:b/>
          <w:sz w:val="24"/>
        </w:rPr>
        <w:t xml:space="preserve">. </w:t>
      </w:r>
      <w:r>
        <w:rPr>
          <w:rFonts w:cstheme="minorHAnsi"/>
          <w:b/>
          <w:sz w:val="24"/>
        </w:rPr>
        <w:t>Z této skutečnosti vyplývá, ž</w:t>
      </w:r>
      <w:r w:rsidRPr="002F34FC">
        <w:rPr>
          <w:rFonts w:cstheme="minorHAnsi"/>
          <w:b/>
          <w:sz w:val="24"/>
        </w:rPr>
        <w:t>e na hodnotu ukazatelů</w:t>
      </w:r>
      <w:r>
        <w:rPr>
          <w:rFonts w:cstheme="minorHAnsi"/>
          <w:b/>
          <w:sz w:val="24"/>
        </w:rPr>
        <w:t xml:space="preserve"> sledovaných za </w:t>
      </w:r>
      <w:r w:rsidRPr="002F34FC">
        <w:rPr>
          <w:rFonts w:cstheme="minorHAnsi"/>
          <w:b/>
          <w:sz w:val="24"/>
        </w:rPr>
        <w:t>celou ČR má podpora minimální vliv.</w:t>
      </w:r>
    </w:p>
    <w:p w14:paraId="07E0E815" w14:textId="4F70A4CB" w:rsidR="00D65D7D" w:rsidRDefault="00D65D7D" w:rsidP="00D65D7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6ED816" w14:textId="77777777" w:rsidR="00F0182A" w:rsidRDefault="00F0182A" w:rsidP="00D65D7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A341BB5" w14:textId="70F52741" w:rsidR="00D65D7D" w:rsidRPr="003A38BA" w:rsidRDefault="00124251" w:rsidP="00CE447E">
      <w:pPr>
        <w:pStyle w:val="Odstavecseseznamem"/>
        <w:numPr>
          <w:ilvl w:val="0"/>
          <w:numId w:val="47"/>
        </w:numPr>
        <w:spacing w:after="0" w:line="240" w:lineRule="auto"/>
        <w:ind w:left="0" w:hanging="426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 xml:space="preserve">MPO prostřednictvím programu </w:t>
      </w:r>
      <w:r w:rsidR="000E1B29">
        <w:rPr>
          <w:rFonts w:eastAsia="Calibri" w:cstheme="minorHAnsi"/>
          <w:b/>
          <w:sz w:val="24"/>
        </w:rPr>
        <w:t>podpory</w:t>
      </w:r>
      <w:r w:rsidR="003A38BA" w:rsidRPr="003A38BA">
        <w:rPr>
          <w:rFonts w:eastAsia="Calibri" w:cstheme="minorHAnsi"/>
          <w:b/>
          <w:sz w:val="24"/>
        </w:rPr>
        <w:t xml:space="preserve"> </w:t>
      </w:r>
      <w:r w:rsidR="003A38BA" w:rsidRPr="00E55374">
        <w:rPr>
          <w:rFonts w:eastAsia="Calibri" w:cstheme="minorHAnsi"/>
          <w:b/>
          <w:i/>
          <w:sz w:val="24"/>
        </w:rPr>
        <w:t>Poradenství</w:t>
      </w:r>
      <w:r w:rsidR="003A38BA" w:rsidRPr="003A38BA">
        <w:rPr>
          <w:rFonts w:eastAsia="Calibri" w:cstheme="minorHAnsi"/>
          <w:b/>
          <w:sz w:val="24"/>
        </w:rPr>
        <w:t xml:space="preserve"> podpořil</w:t>
      </w:r>
      <w:r>
        <w:rPr>
          <w:rFonts w:eastAsia="Calibri" w:cstheme="minorHAnsi"/>
          <w:b/>
          <w:sz w:val="24"/>
        </w:rPr>
        <w:t>o</w:t>
      </w:r>
      <w:r w:rsidR="003A38BA" w:rsidRPr="003A38BA">
        <w:rPr>
          <w:rFonts w:eastAsia="Calibri" w:cstheme="minorHAnsi"/>
          <w:b/>
          <w:sz w:val="24"/>
        </w:rPr>
        <w:t xml:space="preserve"> </w:t>
      </w:r>
      <w:r w:rsidR="00C10250" w:rsidRPr="003A38BA">
        <w:rPr>
          <w:rFonts w:eastAsia="Calibri" w:cstheme="minorHAnsi"/>
          <w:b/>
          <w:sz w:val="24"/>
        </w:rPr>
        <w:t xml:space="preserve">MSP </w:t>
      </w:r>
      <w:r w:rsidR="00C10250">
        <w:rPr>
          <w:rFonts w:eastAsia="Calibri" w:cstheme="minorHAnsi"/>
          <w:b/>
          <w:sz w:val="24"/>
        </w:rPr>
        <w:t>v </w:t>
      </w:r>
      <w:r w:rsidR="003A38BA" w:rsidRPr="003A38BA">
        <w:rPr>
          <w:rFonts w:eastAsia="Calibri" w:cstheme="minorHAnsi"/>
          <w:b/>
          <w:sz w:val="24"/>
        </w:rPr>
        <w:t>minimáln</w:t>
      </w:r>
      <w:r w:rsidR="00C10250">
        <w:rPr>
          <w:rFonts w:eastAsia="Calibri" w:cstheme="minorHAnsi"/>
          <w:b/>
          <w:sz w:val="24"/>
        </w:rPr>
        <w:t>í míře</w:t>
      </w:r>
      <w:r w:rsidR="003A38BA" w:rsidRPr="003A38BA">
        <w:rPr>
          <w:rFonts w:eastAsia="Calibri" w:cstheme="minorHAnsi"/>
          <w:b/>
          <w:sz w:val="24"/>
        </w:rPr>
        <w:t>, přesto sledované ukazatele rostly</w:t>
      </w:r>
    </w:p>
    <w:p w14:paraId="18668A6E" w14:textId="77777777" w:rsidR="003A38BA" w:rsidRDefault="003A38BA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sz w:val="24"/>
        </w:rPr>
      </w:pPr>
    </w:p>
    <w:p w14:paraId="72D96A87" w14:textId="1A98221B" w:rsidR="00D65D7D" w:rsidRPr="005776E6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3A38BA">
        <w:rPr>
          <w:rFonts w:eastAsia="Calibri" w:cstheme="minorHAnsi"/>
          <w:b/>
          <w:sz w:val="24"/>
        </w:rPr>
        <w:t xml:space="preserve">Specifický cíl </w:t>
      </w:r>
      <w:r w:rsidRPr="00F20949">
        <w:rPr>
          <w:rFonts w:eastAsia="Calibri" w:cstheme="minorHAnsi"/>
          <w:b/>
          <w:sz w:val="24"/>
        </w:rPr>
        <w:t>2.1</w:t>
      </w:r>
      <w:r>
        <w:rPr>
          <w:rFonts w:eastAsia="Calibri" w:cstheme="minorHAnsi"/>
          <w:sz w:val="24"/>
        </w:rPr>
        <w:t xml:space="preserve"> </w:t>
      </w:r>
      <w:r w:rsidR="003A38BA" w:rsidRPr="003A38BA">
        <w:rPr>
          <w:rFonts w:eastAsia="Calibri" w:cstheme="minorHAnsi"/>
          <w:i/>
          <w:sz w:val="24"/>
        </w:rPr>
        <w:t>Zvýšit konkurenceschopnost začínajících a rozvojových MSP</w:t>
      </w:r>
      <w:r w:rsidR="003A38BA" w:rsidRPr="003A38BA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>je realizov</w:t>
      </w:r>
      <w:r w:rsidR="00A0199F">
        <w:rPr>
          <w:rFonts w:eastAsia="Calibri" w:cstheme="minorHAnsi"/>
          <w:sz w:val="24"/>
        </w:rPr>
        <w:t>án</w:t>
      </w:r>
      <w:r>
        <w:rPr>
          <w:rFonts w:eastAsia="Calibri" w:cstheme="minorHAnsi"/>
          <w:sz w:val="24"/>
        </w:rPr>
        <w:t xml:space="preserve"> prostřednictvím programu</w:t>
      </w:r>
      <w:r w:rsidR="000E1B29">
        <w:rPr>
          <w:rFonts w:eastAsia="Calibri" w:cstheme="minorHAnsi"/>
          <w:sz w:val="24"/>
        </w:rPr>
        <w:t xml:space="preserve"> podpory</w:t>
      </w:r>
      <w:r>
        <w:rPr>
          <w:rFonts w:eastAsia="Calibri" w:cstheme="minorHAnsi"/>
          <w:sz w:val="24"/>
        </w:rPr>
        <w:t xml:space="preserve"> </w:t>
      </w:r>
      <w:r w:rsidRPr="00E55374">
        <w:rPr>
          <w:rFonts w:eastAsia="Calibri" w:cstheme="minorHAnsi"/>
          <w:i/>
          <w:sz w:val="24"/>
        </w:rPr>
        <w:t>Poradenství</w:t>
      </w:r>
      <w:r>
        <w:rPr>
          <w:rFonts w:eastAsia="Calibri" w:cstheme="minorHAnsi"/>
          <w:sz w:val="24"/>
        </w:rPr>
        <w:t>, z něhož b</w:t>
      </w:r>
      <w:r w:rsidRPr="00237444">
        <w:rPr>
          <w:rFonts w:eastAsia="Calibri" w:cstheme="minorHAnsi"/>
          <w:sz w:val="24"/>
        </w:rPr>
        <w:t xml:space="preserve">ylo </w:t>
      </w:r>
      <w:r>
        <w:rPr>
          <w:rFonts w:eastAsia="Calibri" w:cstheme="minorHAnsi"/>
          <w:sz w:val="24"/>
        </w:rPr>
        <w:t xml:space="preserve">do doby ukončení kontroly </w:t>
      </w:r>
      <w:r w:rsidRPr="003621DA">
        <w:rPr>
          <w:rFonts w:eastAsia="Calibri" w:cstheme="minorHAnsi"/>
          <w:sz w:val="24"/>
        </w:rPr>
        <w:t xml:space="preserve">podpořeno </w:t>
      </w:r>
      <w:r w:rsidR="000E1B29">
        <w:rPr>
          <w:rFonts w:eastAsia="Calibri" w:cstheme="minorHAnsi"/>
          <w:sz w:val="24"/>
        </w:rPr>
        <w:t xml:space="preserve">celkem </w:t>
      </w:r>
      <w:r w:rsidRPr="003621DA">
        <w:rPr>
          <w:rFonts w:eastAsia="Calibri" w:cstheme="minorHAnsi"/>
          <w:sz w:val="24"/>
        </w:rPr>
        <w:t xml:space="preserve">27 </w:t>
      </w:r>
      <w:proofErr w:type="gramStart"/>
      <w:r w:rsidRPr="003621DA">
        <w:rPr>
          <w:rFonts w:eastAsia="Calibri" w:cstheme="minorHAnsi"/>
          <w:sz w:val="24"/>
        </w:rPr>
        <w:t xml:space="preserve">projektů a </w:t>
      </w:r>
      <w:r w:rsidR="00EF68DA">
        <w:rPr>
          <w:rFonts w:eastAsia="Calibri" w:cstheme="minorHAnsi"/>
          <w:sz w:val="24"/>
        </w:rPr>
        <w:t>p</w:t>
      </w:r>
      <w:r w:rsidR="001E5371">
        <w:rPr>
          <w:rFonts w:eastAsia="Calibri" w:cstheme="minorHAnsi"/>
          <w:sz w:val="24"/>
        </w:rPr>
        <w:t>roplacen</w:t>
      </w:r>
      <w:r w:rsidR="00EF68DA">
        <w:rPr>
          <w:rFonts w:eastAsia="Calibri" w:cstheme="minorHAnsi"/>
          <w:sz w:val="24"/>
        </w:rPr>
        <w:t>á</w:t>
      </w:r>
      <w:proofErr w:type="gramEnd"/>
      <w:r w:rsidR="00CE1487">
        <w:rPr>
          <w:rFonts w:eastAsia="Calibri" w:cstheme="minorHAnsi"/>
          <w:sz w:val="24"/>
        </w:rPr>
        <w:t xml:space="preserve"> výše podpory činila</w:t>
      </w:r>
      <w:r w:rsidRPr="003621DA">
        <w:rPr>
          <w:rFonts w:eastAsia="Calibri" w:cstheme="minorHAnsi"/>
          <w:sz w:val="24"/>
        </w:rPr>
        <w:t xml:space="preserve"> </w:t>
      </w:r>
      <w:r w:rsidR="001E5371">
        <w:rPr>
          <w:rFonts w:eastAsia="Calibri" w:cstheme="minorHAnsi"/>
          <w:sz w:val="24"/>
        </w:rPr>
        <w:t>239 tis</w:t>
      </w:r>
      <w:r>
        <w:rPr>
          <w:rFonts w:eastAsia="Calibri" w:cstheme="minorHAnsi"/>
          <w:sz w:val="24"/>
        </w:rPr>
        <w:t>.</w:t>
      </w:r>
      <w:r w:rsidRPr="00237444">
        <w:rPr>
          <w:rFonts w:eastAsia="Calibri" w:cstheme="minorHAnsi"/>
          <w:sz w:val="24"/>
        </w:rPr>
        <w:t xml:space="preserve"> Kč.</w:t>
      </w:r>
      <w:r>
        <w:rPr>
          <w:rFonts w:eastAsia="Calibri" w:cstheme="minorHAnsi"/>
          <w:sz w:val="24"/>
        </w:rPr>
        <w:t xml:space="preserve"> </w:t>
      </w:r>
      <w:r>
        <w:rPr>
          <w:rFonts w:cstheme="minorHAnsi"/>
          <w:sz w:val="24"/>
          <w:szCs w:val="24"/>
        </w:rPr>
        <w:t>MPO vyhlásilo první výzvu pro před</w:t>
      </w:r>
      <w:r w:rsidR="00E16B38">
        <w:rPr>
          <w:rFonts w:cstheme="minorHAnsi"/>
          <w:sz w:val="24"/>
          <w:szCs w:val="24"/>
        </w:rPr>
        <w:t>kládání</w:t>
      </w:r>
      <w:r>
        <w:rPr>
          <w:rFonts w:cstheme="minorHAnsi"/>
          <w:sz w:val="24"/>
          <w:szCs w:val="24"/>
        </w:rPr>
        <w:t xml:space="preserve"> žádostí o podporu až </w:t>
      </w:r>
      <w:r w:rsidRPr="00F73BFB">
        <w:rPr>
          <w:rFonts w:cstheme="minorHAnsi"/>
          <w:sz w:val="24"/>
          <w:szCs w:val="24"/>
        </w:rPr>
        <w:t>v srpnu 2019</w:t>
      </w:r>
      <w:r>
        <w:rPr>
          <w:rFonts w:cstheme="minorHAnsi"/>
          <w:sz w:val="24"/>
          <w:szCs w:val="24"/>
        </w:rPr>
        <w:t xml:space="preserve">, tj. až po čtyřech letech od schválení OPPIK. </w:t>
      </w:r>
    </w:p>
    <w:p w14:paraId="19D8A02D" w14:textId="77777777" w:rsidR="00D65D7D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26859DD0" w14:textId="752055CB" w:rsidR="00D65D7D" w:rsidRDefault="00D65D7D" w:rsidP="00D65D7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Calibri" w:cstheme="minorHAnsi"/>
          <w:sz w:val="24"/>
        </w:rPr>
        <w:t>Program</w:t>
      </w:r>
      <w:r w:rsidR="000E1B29">
        <w:rPr>
          <w:rFonts w:eastAsia="Calibri" w:cstheme="minorHAnsi"/>
          <w:sz w:val="24"/>
        </w:rPr>
        <w:t xml:space="preserve"> podpory</w:t>
      </w:r>
      <w:r w:rsidR="00B41630">
        <w:rPr>
          <w:rFonts w:eastAsia="Calibri" w:cstheme="minorHAnsi"/>
          <w:sz w:val="24"/>
        </w:rPr>
        <w:t xml:space="preserve"> </w:t>
      </w:r>
      <w:r w:rsidR="00B41630" w:rsidRPr="00E55374">
        <w:rPr>
          <w:rFonts w:eastAsia="Calibri" w:cstheme="minorHAnsi"/>
          <w:i/>
          <w:sz w:val="24"/>
        </w:rPr>
        <w:t>Poradenství</w:t>
      </w:r>
      <w:r>
        <w:rPr>
          <w:rFonts w:eastAsia="Calibri" w:cstheme="minorHAnsi"/>
          <w:sz w:val="24"/>
        </w:rPr>
        <w:t xml:space="preserve"> je zaměřen na zlepšení dostupnosti poradenských služeb s očekávaným dopadem mimo jiné na vyšší využití tržních příležitostí podniků, posílení marketingové připravenosti nacházet nové trhy a udržet se na nich, rozšíření exportní </w:t>
      </w:r>
      <w:r w:rsidRPr="005776E6">
        <w:rPr>
          <w:rFonts w:eastAsia="Calibri" w:cstheme="minorHAnsi"/>
          <w:sz w:val="24"/>
        </w:rPr>
        <w:t>působnosti a růst podílu exportu na celkových výkonech</w:t>
      </w:r>
      <w:r>
        <w:rPr>
          <w:rFonts w:eastAsia="Calibri" w:cstheme="minorHAnsi"/>
          <w:sz w:val="24"/>
        </w:rPr>
        <w:t xml:space="preserve"> podniků</w:t>
      </w:r>
      <w:r w:rsidR="0051442A">
        <w:rPr>
          <w:rFonts w:eastAsia="Calibri" w:cstheme="minorHAnsi"/>
          <w:sz w:val="24"/>
        </w:rPr>
        <w:t>. MPO sledovalo</w:t>
      </w:r>
      <w:r w:rsidRPr="005776E6">
        <w:rPr>
          <w:rFonts w:eastAsia="Calibri" w:cstheme="minorHAnsi"/>
          <w:sz w:val="24"/>
        </w:rPr>
        <w:t xml:space="preserve"> </w:t>
      </w:r>
      <w:r w:rsidR="00B41630">
        <w:rPr>
          <w:rFonts w:eastAsia="Calibri" w:cstheme="minorHAnsi"/>
          <w:sz w:val="24"/>
        </w:rPr>
        <w:t>výsledky a </w:t>
      </w:r>
      <w:r>
        <w:rPr>
          <w:rFonts w:eastAsia="Calibri" w:cstheme="minorHAnsi"/>
          <w:sz w:val="24"/>
        </w:rPr>
        <w:t>přínosy</w:t>
      </w:r>
      <w:r w:rsidRPr="005776E6">
        <w:rPr>
          <w:rFonts w:eastAsia="Calibri" w:cstheme="minorHAnsi"/>
          <w:sz w:val="24"/>
        </w:rPr>
        <w:t xml:space="preserve"> programu podpory </w:t>
      </w:r>
      <w:r w:rsidRPr="00E55374">
        <w:rPr>
          <w:rFonts w:eastAsia="Calibri" w:cstheme="minorHAnsi"/>
          <w:i/>
          <w:sz w:val="24"/>
        </w:rPr>
        <w:t>Poradenství</w:t>
      </w:r>
      <w:r w:rsidRPr="005776E6">
        <w:rPr>
          <w:rFonts w:eastAsia="Calibri" w:cstheme="minorHAnsi"/>
          <w:sz w:val="24"/>
        </w:rPr>
        <w:t xml:space="preserve"> pomocí statistických ukazatelů za celou ČR. </w:t>
      </w:r>
      <w:r w:rsidRPr="00124F60">
        <w:rPr>
          <w:rFonts w:cstheme="minorHAnsi"/>
          <w:b/>
          <w:sz w:val="24"/>
          <w:szCs w:val="24"/>
        </w:rPr>
        <w:t xml:space="preserve">Hodnoty těchto ukazatelů, kterými </w:t>
      </w:r>
      <w:r w:rsidR="00576987">
        <w:rPr>
          <w:rFonts w:cstheme="minorHAnsi"/>
          <w:b/>
          <w:sz w:val="24"/>
          <w:szCs w:val="24"/>
        </w:rPr>
        <w:t>jsou</w:t>
      </w:r>
      <w:r w:rsidRPr="00124F60">
        <w:rPr>
          <w:rFonts w:cstheme="minorHAnsi"/>
          <w:b/>
          <w:sz w:val="24"/>
          <w:szCs w:val="24"/>
        </w:rPr>
        <w:t xml:space="preserve"> </w:t>
      </w:r>
      <w:r w:rsidR="00576987">
        <w:rPr>
          <w:rFonts w:cstheme="minorHAnsi"/>
          <w:b/>
          <w:sz w:val="24"/>
          <w:szCs w:val="24"/>
        </w:rPr>
        <w:t>„</w:t>
      </w:r>
      <w:r>
        <w:rPr>
          <w:rFonts w:cstheme="minorHAnsi"/>
          <w:b/>
          <w:i/>
          <w:sz w:val="24"/>
          <w:szCs w:val="24"/>
        </w:rPr>
        <w:t>přidaná hodnota MSP jako procento</w:t>
      </w:r>
      <w:r w:rsidRPr="00124F60">
        <w:rPr>
          <w:rFonts w:cstheme="minorHAnsi"/>
          <w:b/>
          <w:i/>
          <w:sz w:val="24"/>
          <w:szCs w:val="24"/>
        </w:rPr>
        <w:t xml:space="preserve"> přidané hodnoty ČR</w:t>
      </w:r>
      <w:r w:rsidR="00576987">
        <w:rPr>
          <w:rFonts w:cstheme="minorHAnsi"/>
          <w:b/>
          <w:sz w:val="24"/>
          <w:szCs w:val="24"/>
        </w:rPr>
        <w:t>“</w:t>
      </w:r>
      <w:r w:rsidRPr="00E55374">
        <w:rPr>
          <w:rFonts w:cstheme="minorHAnsi"/>
          <w:b/>
          <w:sz w:val="24"/>
          <w:szCs w:val="24"/>
        </w:rPr>
        <w:t xml:space="preserve"> a</w:t>
      </w:r>
      <w:r w:rsidR="00576987">
        <w:rPr>
          <w:rFonts w:cstheme="minorHAnsi"/>
          <w:b/>
          <w:sz w:val="24"/>
          <w:szCs w:val="24"/>
        </w:rPr>
        <w:t> „</w:t>
      </w:r>
      <w:r w:rsidRPr="00124F60">
        <w:rPr>
          <w:rFonts w:cstheme="minorHAnsi"/>
          <w:b/>
          <w:i/>
          <w:sz w:val="24"/>
          <w:szCs w:val="24"/>
        </w:rPr>
        <w:t>míra přežití vzniklých podniků</w:t>
      </w:r>
      <w:r w:rsidR="00576987" w:rsidRPr="00E55374">
        <w:rPr>
          <w:rFonts w:cstheme="minorHAnsi"/>
          <w:b/>
          <w:sz w:val="24"/>
          <w:szCs w:val="24"/>
        </w:rPr>
        <w:t>“</w:t>
      </w:r>
      <w:r>
        <w:rPr>
          <w:rFonts w:cstheme="minorHAnsi"/>
          <w:b/>
          <w:sz w:val="24"/>
          <w:szCs w:val="24"/>
        </w:rPr>
        <w:t xml:space="preserve">, </w:t>
      </w:r>
      <w:r w:rsidRPr="00124F60">
        <w:rPr>
          <w:rFonts w:cstheme="minorHAnsi"/>
          <w:b/>
          <w:sz w:val="24"/>
          <w:szCs w:val="24"/>
        </w:rPr>
        <w:t>rostly v letech 2015 až 2019</w:t>
      </w:r>
      <w:r>
        <w:rPr>
          <w:rFonts w:cstheme="minorHAnsi"/>
          <w:b/>
          <w:sz w:val="24"/>
          <w:szCs w:val="24"/>
        </w:rPr>
        <w:t xml:space="preserve"> </w:t>
      </w:r>
      <w:r w:rsidRPr="00124F60">
        <w:rPr>
          <w:rFonts w:cstheme="minorHAnsi"/>
          <w:b/>
          <w:sz w:val="24"/>
          <w:szCs w:val="24"/>
        </w:rPr>
        <w:t>bez jaké</w:t>
      </w:r>
      <w:r w:rsidR="00576987">
        <w:rPr>
          <w:rFonts w:cstheme="minorHAnsi"/>
          <w:b/>
          <w:sz w:val="24"/>
          <w:szCs w:val="24"/>
        </w:rPr>
        <w:t>ho</w:t>
      </w:r>
      <w:r w:rsidRPr="00124F60">
        <w:rPr>
          <w:rFonts w:cstheme="minorHAnsi"/>
          <w:b/>
          <w:sz w:val="24"/>
          <w:szCs w:val="24"/>
        </w:rPr>
        <w:t>koliv vlivu poskytnuté podpory, protože první projekty příjemci podpory realizovali až v roce 2019.</w:t>
      </w:r>
      <w:r w:rsidRPr="005776E6">
        <w:rPr>
          <w:rFonts w:cstheme="minorHAnsi"/>
          <w:sz w:val="24"/>
          <w:szCs w:val="24"/>
        </w:rPr>
        <w:t xml:space="preserve"> </w:t>
      </w:r>
      <w:r w:rsidR="00D07B83">
        <w:rPr>
          <w:rFonts w:cstheme="minorHAnsi"/>
          <w:sz w:val="24"/>
          <w:szCs w:val="24"/>
        </w:rPr>
        <w:t>O</w:t>
      </w:r>
      <w:r w:rsidR="00576987">
        <w:rPr>
          <w:rFonts w:cstheme="minorHAnsi"/>
          <w:sz w:val="24"/>
          <w:szCs w:val="24"/>
        </w:rPr>
        <w:t> </w:t>
      </w:r>
      <w:r w:rsidR="00D07B83">
        <w:rPr>
          <w:rFonts w:cstheme="minorHAnsi"/>
          <w:sz w:val="24"/>
          <w:szCs w:val="24"/>
        </w:rPr>
        <w:t>podporu projevilo záj</w:t>
      </w:r>
      <w:r w:rsidR="00AE3D12">
        <w:rPr>
          <w:rFonts w:cstheme="minorHAnsi"/>
          <w:sz w:val="24"/>
          <w:szCs w:val="24"/>
        </w:rPr>
        <w:t>e</w:t>
      </w:r>
      <w:r w:rsidR="00C57297">
        <w:rPr>
          <w:rFonts w:cstheme="minorHAnsi"/>
          <w:sz w:val="24"/>
          <w:szCs w:val="24"/>
        </w:rPr>
        <w:t>m pouze 27</w:t>
      </w:r>
      <w:r w:rsidR="00D07B83">
        <w:rPr>
          <w:rFonts w:cstheme="minorHAnsi"/>
          <w:sz w:val="24"/>
          <w:szCs w:val="24"/>
        </w:rPr>
        <w:t xml:space="preserve"> žadatelů, na jejichž projekty v</w:t>
      </w:r>
      <w:r w:rsidR="005B4D86">
        <w:rPr>
          <w:rFonts w:cstheme="minorHAnsi"/>
          <w:sz w:val="24"/>
          <w:szCs w:val="24"/>
        </w:rPr>
        <w:t> roce 2020 bylo čerpáno jen 239 tis. Kč</w:t>
      </w:r>
      <w:r w:rsidR="00576987">
        <w:rPr>
          <w:rFonts w:cstheme="minorHAnsi"/>
          <w:sz w:val="24"/>
          <w:szCs w:val="24"/>
        </w:rPr>
        <w:t>.</w:t>
      </w:r>
      <w:r w:rsidR="005B4D86">
        <w:rPr>
          <w:rFonts w:cstheme="minorHAnsi"/>
          <w:sz w:val="24"/>
          <w:szCs w:val="24"/>
        </w:rPr>
        <w:t xml:space="preserve"> </w:t>
      </w:r>
      <w:r w:rsidR="00576987">
        <w:rPr>
          <w:rFonts w:cstheme="minorHAnsi"/>
          <w:sz w:val="24"/>
          <w:szCs w:val="24"/>
        </w:rPr>
        <w:t>J</w:t>
      </w:r>
      <w:r w:rsidR="005B4D86">
        <w:rPr>
          <w:rFonts w:cstheme="minorHAnsi"/>
          <w:sz w:val="24"/>
          <w:szCs w:val="24"/>
        </w:rPr>
        <w:t>e</w:t>
      </w:r>
      <w:r w:rsidR="00D07B83">
        <w:rPr>
          <w:rFonts w:cstheme="minorHAnsi"/>
          <w:sz w:val="24"/>
          <w:szCs w:val="24"/>
        </w:rPr>
        <w:t xml:space="preserve"> tedy</w:t>
      </w:r>
      <w:r w:rsidR="005B4D86">
        <w:rPr>
          <w:rFonts w:cstheme="minorHAnsi"/>
          <w:sz w:val="24"/>
          <w:szCs w:val="24"/>
        </w:rPr>
        <w:t xml:space="preserve"> evidentní, že podpora nemohla mít vliv</w:t>
      </w:r>
      <w:r w:rsidR="00D07B83">
        <w:rPr>
          <w:rFonts w:cstheme="minorHAnsi"/>
          <w:sz w:val="24"/>
          <w:szCs w:val="24"/>
        </w:rPr>
        <w:t xml:space="preserve"> na vývoj</w:t>
      </w:r>
      <w:r w:rsidR="005B4D86">
        <w:rPr>
          <w:rFonts w:cstheme="minorHAnsi"/>
          <w:sz w:val="24"/>
          <w:szCs w:val="24"/>
        </w:rPr>
        <w:t xml:space="preserve"> hodnot výsledkových ukazatelů.</w:t>
      </w:r>
    </w:p>
    <w:p w14:paraId="6F0408A1" w14:textId="77777777" w:rsidR="00D65D7D" w:rsidRDefault="00D65D7D" w:rsidP="00D65D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CC010D" w14:textId="0F9D79B7" w:rsidR="00D65D7D" w:rsidRPr="002E5C23" w:rsidRDefault="00D65D7D" w:rsidP="00D65D7D">
      <w:pPr>
        <w:spacing w:after="0" w:line="240" w:lineRule="auto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sz w:val="24"/>
          <w:szCs w:val="24"/>
        </w:rPr>
        <w:t>MPO sledovalo na úrovni projektů přínosy programu</w:t>
      </w:r>
      <w:r w:rsidR="000E1B29">
        <w:rPr>
          <w:rFonts w:cstheme="minorHAnsi"/>
          <w:sz w:val="24"/>
          <w:szCs w:val="24"/>
        </w:rPr>
        <w:t xml:space="preserve"> podpory</w:t>
      </w:r>
      <w:r>
        <w:rPr>
          <w:rFonts w:cstheme="minorHAnsi"/>
          <w:sz w:val="24"/>
          <w:szCs w:val="24"/>
        </w:rPr>
        <w:t xml:space="preserve"> </w:t>
      </w:r>
      <w:r w:rsidRPr="00E55374">
        <w:rPr>
          <w:rFonts w:cstheme="minorHAnsi"/>
          <w:i/>
          <w:sz w:val="24"/>
          <w:szCs w:val="24"/>
        </w:rPr>
        <w:t>Poradenství</w:t>
      </w:r>
      <w:r>
        <w:rPr>
          <w:rFonts w:cstheme="minorHAnsi"/>
          <w:sz w:val="24"/>
          <w:szCs w:val="24"/>
        </w:rPr>
        <w:t xml:space="preserve"> pomocí </w:t>
      </w:r>
      <w:r>
        <w:rPr>
          <w:rFonts w:eastAsia="Calibri" w:cstheme="minorHAnsi"/>
          <w:sz w:val="24"/>
        </w:rPr>
        <w:t xml:space="preserve">ukazatele </w:t>
      </w:r>
      <w:r w:rsidR="000C15AE">
        <w:rPr>
          <w:rFonts w:eastAsia="Calibri" w:cstheme="minorHAnsi"/>
          <w:sz w:val="24"/>
        </w:rPr>
        <w:t>„</w:t>
      </w:r>
      <w:r w:rsidR="000C15AE">
        <w:rPr>
          <w:rFonts w:eastAsia="Calibri" w:cstheme="minorHAnsi"/>
          <w:i/>
          <w:sz w:val="24"/>
        </w:rPr>
        <w:t>p</w:t>
      </w:r>
      <w:r w:rsidRPr="00060179">
        <w:rPr>
          <w:rFonts w:eastAsia="Calibri" w:cstheme="minorHAnsi"/>
          <w:i/>
          <w:sz w:val="24"/>
        </w:rPr>
        <w:t>očet nabízených oblastí služeb dle projektového záměru</w:t>
      </w:r>
      <w:r w:rsidR="000C15AE">
        <w:rPr>
          <w:rFonts w:eastAsia="Calibri" w:cstheme="minorHAnsi"/>
          <w:sz w:val="24"/>
        </w:rPr>
        <w:t>“</w:t>
      </w:r>
      <w:r w:rsidRPr="00060179">
        <w:rPr>
          <w:rFonts w:eastAsia="Calibri" w:cstheme="minorHAnsi"/>
          <w:sz w:val="24"/>
        </w:rPr>
        <w:t xml:space="preserve">. </w:t>
      </w:r>
      <w:r>
        <w:rPr>
          <w:rFonts w:eastAsia="Calibri" w:cstheme="minorHAnsi"/>
          <w:sz w:val="24"/>
        </w:rPr>
        <w:t xml:space="preserve">Jednalo se o získání potřebného know-how pro zahájení či rozšíření podnikatelské činnosti, zvýšení kvality a efektivity výroby, zvýšení manažerských a marketingových dovedností. </w:t>
      </w:r>
      <w:r w:rsidRPr="00060179">
        <w:rPr>
          <w:rFonts w:eastAsia="Calibri" w:cstheme="minorHAnsi"/>
          <w:sz w:val="24"/>
        </w:rPr>
        <w:t xml:space="preserve">Cílová hodnota </w:t>
      </w:r>
      <w:r>
        <w:rPr>
          <w:rFonts w:eastAsia="Calibri" w:cstheme="minorHAnsi"/>
          <w:sz w:val="24"/>
        </w:rPr>
        <w:t>ukazatele byla</w:t>
      </w:r>
      <w:r w:rsidRPr="00060179">
        <w:rPr>
          <w:rFonts w:eastAsia="Calibri" w:cstheme="minorHAnsi"/>
          <w:sz w:val="24"/>
        </w:rPr>
        <w:t xml:space="preserve"> za každý projekt nastavena na </w:t>
      </w:r>
      <w:r>
        <w:rPr>
          <w:rFonts w:eastAsia="Calibri" w:cstheme="minorHAnsi"/>
          <w:sz w:val="24"/>
        </w:rPr>
        <w:t>hodnotu jedna</w:t>
      </w:r>
      <w:r w:rsidR="000C15AE">
        <w:rPr>
          <w:rFonts w:eastAsia="Calibri" w:cstheme="minorHAnsi"/>
          <w:sz w:val="24"/>
        </w:rPr>
        <w:t>,</w:t>
      </w:r>
      <w:r w:rsidRPr="00060179">
        <w:rPr>
          <w:rFonts w:eastAsia="Calibri" w:cstheme="minorHAnsi"/>
          <w:sz w:val="24"/>
        </w:rPr>
        <w:t xml:space="preserve"> a to i v případě, že by projekt nabízel více služeb. Tento </w:t>
      </w:r>
      <w:r>
        <w:rPr>
          <w:rFonts w:eastAsia="Calibri" w:cstheme="minorHAnsi"/>
          <w:sz w:val="24"/>
        </w:rPr>
        <w:t>ukazatel</w:t>
      </w:r>
      <w:r w:rsidRPr="00060179">
        <w:rPr>
          <w:rFonts w:eastAsia="Calibri" w:cstheme="minorHAnsi"/>
          <w:sz w:val="24"/>
        </w:rPr>
        <w:t xml:space="preserve"> je </w:t>
      </w:r>
      <w:r>
        <w:rPr>
          <w:rFonts w:eastAsia="Calibri" w:cstheme="minorHAnsi"/>
          <w:sz w:val="24"/>
        </w:rPr>
        <w:t xml:space="preserve">pro příjemce podpory </w:t>
      </w:r>
      <w:r w:rsidRPr="00060179">
        <w:rPr>
          <w:rFonts w:eastAsia="Calibri" w:cstheme="minorHAnsi"/>
          <w:sz w:val="24"/>
        </w:rPr>
        <w:t xml:space="preserve">závazný a MPO </w:t>
      </w:r>
      <w:r>
        <w:rPr>
          <w:rFonts w:eastAsia="Calibri" w:cstheme="minorHAnsi"/>
          <w:sz w:val="24"/>
        </w:rPr>
        <w:t>pomocí něj</w:t>
      </w:r>
      <w:r w:rsidR="00124251">
        <w:rPr>
          <w:rFonts w:eastAsia="Calibri" w:cstheme="minorHAnsi"/>
          <w:sz w:val="24"/>
        </w:rPr>
        <w:t xml:space="preserve"> pouze</w:t>
      </w:r>
      <w:r w:rsidRPr="00060179">
        <w:rPr>
          <w:rFonts w:eastAsia="Calibri" w:cstheme="minorHAnsi"/>
          <w:sz w:val="24"/>
        </w:rPr>
        <w:t xml:space="preserve"> </w:t>
      </w:r>
      <w:r w:rsidR="0051442A">
        <w:rPr>
          <w:rFonts w:eastAsia="Calibri" w:cstheme="minorHAnsi"/>
          <w:sz w:val="24"/>
        </w:rPr>
        <w:t>sledovalo</w:t>
      </w:r>
      <w:r>
        <w:rPr>
          <w:rFonts w:eastAsia="Calibri" w:cstheme="minorHAnsi"/>
          <w:sz w:val="24"/>
        </w:rPr>
        <w:t>, zda podpořený podnik nabízí službu</w:t>
      </w:r>
      <w:r w:rsidRPr="00060179">
        <w:rPr>
          <w:rFonts w:eastAsia="Calibri" w:cstheme="minorHAnsi"/>
          <w:sz w:val="24"/>
        </w:rPr>
        <w:t xml:space="preserve"> dle projektového záměru</w:t>
      </w:r>
      <w:r>
        <w:rPr>
          <w:rFonts w:eastAsia="Calibri" w:cstheme="minorHAnsi"/>
          <w:sz w:val="24"/>
        </w:rPr>
        <w:t xml:space="preserve">. </w:t>
      </w:r>
      <w:r>
        <w:rPr>
          <w:rFonts w:eastAsia="Calibri" w:cstheme="minorHAnsi"/>
          <w:b/>
          <w:sz w:val="24"/>
        </w:rPr>
        <w:t>MPO ale nesledovalo</w:t>
      </w:r>
      <w:r w:rsidRPr="002E5C23">
        <w:rPr>
          <w:rFonts w:eastAsia="Calibri" w:cstheme="minorHAnsi"/>
          <w:b/>
          <w:sz w:val="24"/>
        </w:rPr>
        <w:t xml:space="preserve"> skutečné využití služ</w:t>
      </w:r>
      <w:r>
        <w:rPr>
          <w:rFonts w:eastAsia="Calibri" w:cstheme="minorHAnsi"/>
          <w:b/>
          <w:sz w:val="24"/>
        </w:rPr>
        <w:t xml:space="preserve">eb </w:t>
      </w:r>
      <w:r>
        <w:rPr>
          <w:rFonts w:eastAsia="Calibri" w:cstheme="minorHAnsi"/>
          <w:b/>
          <w:sz w:val="24"/>
        </w:rPr>
        <w:lastRenderedPageBreak/>
        <w:t xml:space="preserve">podpořených z programu </w:t>
      </w:r>
      <w:r w:rsidR="000E1B29">
        <w:rPr>
          <w:rFonts w:eastAsia="Calibri" w:cstheme="minorHAnsi"/>
          <w:b/>
          <w:sz w:val="24"/>
        </w:rPr>
        <w:t xml:space="preserve">podpory </w:t>
      </w:r>
      <w:r w:rsidRPr="00E55374">
        <w:rPr>
          <w:rFonts w:eastAsia="Calibri" w:cstheme="minorHAnsi"/>
          <w:b/>
          <w:i/>
          <w:sz w:val="24"/>
        </w:rPr>
        <w:t>Poradenství</w:t>
      </w:r>
      <w:r>
        <w:rPr>
          <w:rFonts w:eastAsia="Calibri" w:cstheme="minorHAnsi"/>
          <w:b/>
          <w:sz w:val="24"/>
        </w:rPr>
        <w:t xml:space="preserve"> ani dopad </w:t>
      </w:r>
      <w:r w:rsidR="00484CCB">
        <w:rPr>
          <w:rFonts w:eastAsia="Calibri" w:cstheme="minorHAnsi"/>
          <w:b/>
          <w:sz w:val="24"/>
        </w:rPr>
        <w:t xml:space="preserve">podpory </w:t>
      </w:r>
      <w:r>
        <w:rPr>
          <w:rFonts w:eastAsia="Calibri" w:cstheme="minorHAnsi"/>
          <w:b/>
          <w:sz w:val="24"/>
        </w:rPr>
        <w:t>na podnikatelskou činnost.</w:t>
      </w:r>
    </w:p>
    <w:p w14:paraId="15510D3E" w14:textId="54775D11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023A2F52" w14:textId="77777777" w:rsidR="00C10250" w:rsidRDefault="00C10250" w:rsidP="00D65D7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6175BBDE" w14:textId="14191FCA" w:rsidR="00D65D7D" w:rsidRPr="003A38BA" w:rsidRDefault="00124251" w:rsidP="00CE447E">
      <w:pPr>
        <w:pStyle w:val="Odstavecseseznamem"/>
        <w:numPr>
          <w:ilvl w:val="0"/>
          <w:numId w:val="47"/>
        </w:numPr>
        <w:spacing w:after="0" w:line="240" w:lineRule="auto"/>
        <w:ind w:left="0" w:hanging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MPO prostřednictvím programu </w:t>
      </w:r>
      <w:r w:rsidR="00777FEA">
        <w:rPr>
          <w:rFonts w:cstheme="minorHAnsi"/>
          <w:b/>
          <w:sz w:val="24"/>
          <w:szCs w:val="24"/>
        </w:rPr>
        <w:t xml:space="preserve">podpory </w:t>
      </w:r>
      <w:r w:rsidR="00777FEA" w:rsidRPr="00E55374">
        <w:rPr>
          <w:rFonts w:cstheme="minorHAnsi"/>
          <w:b/>
          <w:i/>
          <w:sz w:val="24"/>
          <w:szCs w:val="24"/>
        </w:rPr>
        <w:t>Marketing</w:t>
      </w:r>
      <w:r w:rsidR="00777FEA">
        <w:rPr>
          <w:rFonts w:cstheme="minorHAnsi"/>
          <w:b/>
          <w:sz w:val="24"/>
          <w:szCs w:val="24"/>
        </w:rPr>
        <w:t xml:space="preserve"> vynaložil</w:t>
      </w:r>
      <w:r>
        <w:rPr>
          <w:rFonts w:cstheme="minorHAnsi"/>
          <w:b/>
          <w:sz w:val="24"/>
          <w:szCs w:val="24"/>
        </w:rPr>
        <w:t>o</w:t>
      </w:r>
      <w:r w:rsidR="00777FEA">
        <w:rPr>
          <w:rFonts w:cstheme="minorHAnsi"/>
          <w:b/>
          <w:sz w:val="24"/>
          <w:szCs w:val="24"/>
        </w:rPr>
        <w:t xml:space="preserve"> 701</w:t>
      </w:r>
      <w:r w:rsidR="003A38BA" w:rsidRPr="003A38BA">
        <w:rPr>
          <w:rFonts w:cstheme="minorHAnsi"/>
          <w:b/>
          <w:sz w:val="24"/>
          <w:szCs w:val="24"/>
        </w:rPr>
        <w:t xml:space="preserve"> mil. Kč, přesto sledované ukazatele klesaly</w:t>
      </w:r>
    </w:p>
    <w:p w14:paraId="298FB0FB" w14:textId="77777777" w:rsidR="003A38BA" w:rsidRDefault="003A38BA" w:rsidP="00D65D7D">
      <w:pPr>
        <w:pStyle w:val="Odstavecseseznamem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5FD22BEE" w14:textId="3AA53DAD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sz w:val="24"/>
        </w:rPr>
      </w:pPr>
      <w:r w:rsidRPr="003A38BA">
        <w:rPr>
          <w:rFonts w:cstheme="minorHAnsi"/>
          <w:b/>
          <w:sz w:val="24"/>
          <w:szCs w:val="24"/>
        </w:rPr>
        <w:t>Specifický</w:t>
      </w:r>
      <w:r>
        <w:rPr>
          <w:rFonts w:cstheme="minorHAnsi"/>
          <w:sz w:val="24"/>
          <w:szCs w:val="24"/>
        </w:rPr>
        <w:t xml:space="preserve"> </w:t>
      </w:r>
      <w:r w:rsidRPr="00F20949">
        <w:rPr>
          <w:rFonts w:cstheme="minorHAnsi"/>
          <w:b/>
          <w:sz w:val="24"/>
          <w:szCs w:val="24"/>
        </w:rPr>
        <w:t>cíl 2.2</w:t>
      </w:r>
      <w:r>
        <w:rPr>
          <w:rFonts w:cstheme="minorHAnsi"/>
          <w:sz w:val="24"/>
          <w:szCs w:val="24"/>
        </w:rPr>
        <w:t xml:space="preserve"> </w:t>
      </w:r>
      <w:r w:rsidR="003A38BA" w:rsidRPr="003A38BA">
        <w:rPr>
          <w:rFonts w:cstheme="minorHAnsi"/>
          <w:i/>
          <w:sz w:val="24"/>
          <w:szCs w:val="24"/>
        </w:rPr>
        <w:t>Zvýšit internacionalizaci MSP</w:t>
      </w:r>
      <w:r w:rsidR="003A38BA" w:rsidRPr="003A38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 realizován prostřednictvím programu</w:t>
      </w:r>
      <w:r w:rsidR="000E1B29">
        <w:rPr>
          <w:rFonts w:cstheme="minorHAnsi"/>
          <w:sz w:val="24"/>
          <w:szCs w:val="24"/>
        </w:rPr>
        <w:t xml:space="preserve"> podpory</w:t>
      </w:r>
      <w:r>
        <w:rPr>
          <w:rFonts w:cstheme="minorHAnsi"/>
          <w:sz w:val="24"/>
          <w:szCs w:val="24"/>
        </w:rPr>
        <w:t xml:space="preserve"> </w:t>
      </w:r>
      <w:r w:rsidRPr="00E55374">
        <w:rPr>
          <w:rFonts w:cstheme="minorHAnsi"/>
          <w:i/>
          <w:sz w:val="24"/>
          <w:szCs w:val="24"/>
        </w:rPr>
        <w:t>Marketing</w:t>
      </w:r>
      <w:r>
        <w:rPr>
          <w:rFonts w:cstheme="minorHAnsi"/>
          <w:sz w:val="24"/>
          <w:szCs w:val="24"/>
        </w:rPr>
        <w:t xml:space="preserve">. </w:t>
      </w:r>
      <w:r w:rsidRPr="00237444">
        <w:rPr>
          <w:rFonts w:eastAsia="Calibri" w:cstheme="minorHAnsi"/>
          <w:sz w:val="24"/>
        </w:rPr>
        <w:t xml:space="preserve">Realizace programu podpory </w:t>
      </w:r>
      <w:r w:rsidRPr="00E55374">
        <w:rPr>
          <w:rFonts w:eastAsia="Calibri" w:cstheme="minorHAnsi"/>
          <w:i/>
          <w:sz w:val="24"/>
        </w:rPr>
        <w:t>Marketing</w:t>
      </w:r>
      <w:r w:rsidRPr="00237444">
        <w:rPr>
          <w:rFonts w:eastAsia="Calibri" w:cstheme="minorHAnsi"/>
          <w:sz w:val="24"/>
        </w:rPr>
        <w:t xml:space="preserve"> začala v roce 2015. </w:t>
      </w:r>
      <w:r>
        <w:rPr>
          <w:rFonts w:eastAsia="Calibri" w:cstheme="minorHAnsi"/>
          <w:sz w:val="24"/>
        </w:rPr>
        <w:t>Do doby ukončení kontroly b</w:t>
      </w:r>
      <w:r w:rsidRPr="00237444">
        <w:rPr>
          <w:rFonts w:eastAsia="Calibri" w:cstheme="minorHAnsi"/>
          <w:sz w:val="24"/>
        </w:rPr>
        <w:t xml:space="preserve">ylo podpořeno </w:t>
      </w:r>
      <w:r w:rsidR="00B41630">
        <w:rPr>
          <w:rFonts w:eastAsia="Calibri" w:cstheme="minorHAnsi"/>
          <w:sz w:val="24"/>
        </w:rPr>
        <w:t xml:space="preserve">celkem </w:t>
      </w:r>
      <w:r>
        <w:rPr>
          <w:rFonts w:eastAsia="Calibri" w:cstheme="minorHAnsi"/>
          <w:sz w:val="24"/>
        </w:rPr>
        <w:t>800 projekt</w:t>
      </w:r>
      <w:r w:rsidR="004B1B1D">
        <w:rPr>
          <w:rFonts w:eastAsia="Calibri" w:cstheme="minorHAnsi"/>
          <w:sz w:val="24"/>
        </w:rPr>
        <w:t>ů</w:t>
      </w:r>
      <w:r>
        <w:rPr>
          <w:rFonts w:eastAsia="Calibri" w:cstheme="minorHAnsi"/>
          <w:sz w:val="24"/>
        </w:rPr>
        <w:t xml:space="preserve"> a </w:t>
      </w:r>
      <w:r w:rsidRPr="00237444">
        <w:rPr>
          <w:rFonts w:eastAsia="Calibri" w:cstheme="minorHAnsi"/>
          <w:sz w:val="24"/>
        </w:rPr>
        <w:t>proplacená</w:t>
      </w:r>
      <w:r>
        <w:rPr>
          <w:rFonts w:eastAsia="Calibri" w:cstheme="minorHAnsi"/>
          <w:sz w:val="24"/>
        </w:rPr>
        <w:t xml:space="preserve"> výše</w:t>
      </w:r>
      <w:r w:rsidR="0051442A">
        <w:rPr>
          <w:rFonts w:eastAsia="Calibri" w:cstheme="minorHAnsi"/>
          <w:sz w:val="24"/>
        </w:rPr>
        <w:t xml:space="preserve"> podpory činila</w:t>
      </w:r>
      <w:r w:rsidRPr="00237444">
        <w:rPr>
          <w:rFonts w:eastAsia="Calibri" w:cstheme="minorHAnsi"/>
          <w:sz w:val="24"/>
        </w:rPr>
        <w:t xml:space="preserve"> </w:t>
      </w:r>
      <w:r w:rsidR="001C32D3">
        <w:rPr>
          <w:rFonts w:eastAsia="Calibri" w:cstheme="minorHAnsi"/>
          <w:sz w:val="24"/>
        </w:rPr>
        <w:br/>
      </w:r>
      <w:r w:rsidR="00777FEA">
        <w:rPr>
          <w:rFonts w:eastAsia="Calibri" w:cstheme="minorHAnsi"/>
          <w:sz w:val="24"/>
        </w:rPr>
        <w:t>701</w:t>
      </w:r>
      <w:r w:rsidR="001C32D3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>mil.</w:t>
      </w:r>
      <w:r w:rsidRPr="00237444">
        <w:rPr>
          <w:rFonts w:eastAsia="Calibri" w:cstheme="minorHAnsi"/>
          <w:sz w:val="24"/>
        </w:rPr>
        <w:t xml:space="preserve"> Kč. </w:t>
      </w:r>
      <w:r>
        <w:rPr>
          <w:rFonts w:eastAsia="Calibri" w:cstheme="minorHAnsi"/>
          <w:sz w:val="24"/>
        </w:rPr>
        <w:t>Cílem programu je posílení růstových mo</w:t>
      </w:r>
      <w:r w:rsidR="00B41630">
        <w:rPr>
          <w:rFonts w:eastAsia="Calibri" w:cstheme="minorHAnsi"/>
          <w:sz w:val="24"/>
        </w:rPr>
        <w:t>tivací MSP, jejich schopnosti a </w:t>
      </w:r>
      <w:r>
        <w:rPr>
          <w:rFonts w:eastAsia="Calibri" w:cstheme="minorHAnsi"/>
          <w:sz w:val="24"/>
        </w:rPr>
        <w:t xml:space="preserve">marketingové připravenosti nacházet nové trhy mimo ČR, vstupovat na ně a udržet se na nich včetně zapojení do mezinárodních programů. S tím souvisí zvýšená schopnost mezinárodní expanze, rozšiřování exportní působnosti, výrobních a prodejních kapacit. </w:t>
      </w:r>
    </w:p>
    <w:p w14:paraId="1CEC246D" w14:textId="77777777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sz w:val="24"/>
        </w:rPr>
      </w:pPr>
    </w:p>
    <w:p w14:paraId="2A3E30B5" w14:textId="325AA6E9" w:rsidR="00D65D7D" w:rsidRDefault="00CB2BBA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b/>
          <w:sz w:val="24"/>
          <w:szCs w:val="24"/>
        </w:rPr>
        <w:t>Podpora</w:t>
      </w:r>
      <w:r w:rsidRPr="00B132CA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p</w:t>
      </w:r>
      <w:r w:rsidR="00D65D7D" w:rsidRPr="00B132CA">
        <w:rPr>
          <w:rFonts w:eastAsia="Calibri" w:cstheme="minorHAnsi"/>
          <w:b/>
          <w:sz w:val="24"/>
          <w:szCs w:val="24"/>
        </w:rPr>
        <w:t>oskytnutá</w:t>
      </w:r>
      <w:r w:rsidR="00D65D7D">
        <w:rPr>
          <w:rFonts w:eastAsia="Calibri" w:cstheme="minorHAnsi"/>
          <w:b/>
          <w:sz w:val="24"/>
          <w:szCs w:val="24"/>
        </w:rPr>
        <w:t xml:space="preserve"> </w:t>
      </w:r>
      <w:r>
        <w:rPr>
          <w:rFonts w:eastAsia="Calibri" w:cstheme="minorHAnsi"/>
          <w:b/>
          <w:sz w:val="24"/>
          <w:szCs w:val="24"/>
        </w:rPr>
        <w:t>malým a středním podnikům</w:t>
      </w:r>
      <w:r w:rsidR="00D65D7D" w:rsidRPr="00B132CA">
        <w:rPr>
          <w:rFonts w:eastAsia="Calibri" w:cstheme="minorHAnsi"/>
          <w:b/>
          <w:sz w:val="24"/>
          <w:szCs w:val="24"/>
        </w:rPr>
        <w:t xml:space="preserve"> v rámci programu podpory </w:t>
      </w:r>
      <w:r w:rsidR="00D65D7D" w:rsidRPr="00E55374">
        <w:rPr>
          <w:rFonts w:eastAsia="Calibri" w:cstheme="minorHAnsi"/>
          <w:b/>
          <w:i/>
          <w:sz w:val="24"/>
          <w:szCs w:val="24"/>
        </w:rPr>
        <w:t>Marketing</w:t>
      </w:r>
      <w:r w:rsidR="00D65D7D" w:rsidRPr="00B132CA">
        <w:rPr>
          <w:rFonts w:eastAsia="Calibri" w:cstheme="minorHAnsi"/>
          <w:b/>
          <w:sz w:val="24"/>
          <w:szCs w:val="24"/>
        </w:rPr>
        <w:t xml:space="preserve"> </w:t>
      </w:r>
      <w:r w:rsidR="00D65D7D">
        <w:rPr>
          <w:rFonts w:eastAsia="Calibri" w:cstheme="minorHAnsi"/>
          <w:b/>
          <w:sz w:val="24"/>
          <w:szCs w:val="24"/>
        </w:rPr>
        <w:t xml:space="preserve">zatím </w:t>
      </w:r>
      <w:r w:rsidR="00D65D7D" w:rsidRPr="00B132CA">
        <w:rPr>
          <w:rFonts w:eastAsia="Calibri" w:cstheme="minorHAnsi"/>
          <w:b/>
          <w:sz w:val="24"/>
          <w:szCs w:val="24"/>
        </w:rPr>
        <w:t xml:space="preserve">nepřinesla </w:t>
      </w:r>
      <w:r w:rsidR="00D65D7D">
        <w:rPr>
          <w:rFonts w:eastAsia="Calibri" w:cstheme="minorHAnsi"/>
          <w:b/>
          <w:sz w:val="24"/>
          <w:szCs w:val="24"/>
        </w:rPr>
        <w:t xml:space="preserve">očekávané </w:t>
      </w:r>
      <w:r w:rsidR="00D65D7D" w:rsidRPr="00B132CA">
        <w:rPr>
          <w:rFonts w:eastAsia="Calibri" w:cstheme="minorHAnsi"/>
          <w:b/>
          <w:sz w:val="24"/>
          <w:szCs w:val="24"/>
        </w:rPr>
        <w:t>navýšení podílu exportu MSP vůči celkovým výkonům MSP. Tento podíl od roku 2015 i přes poskytovanou p</w:t>
      </w:r>
      <w:r w:rsidR="0051442A">
        <w:rPr>
          <w:rFonts w:eastAsia="Calibri" w:cstheme="minorHAnsi"/>
          <w:b/>
          <w:sz w:val="24"/>
          <w:szCs w:val="24"/>
        </w:rPr>
        <w:t>odporu klesal</w:t>
      </w:r>
      <w:r w:rsidR="00A16829">
        <w:rPr>
          <w:rFonts w:eastAsia="Calibri" w:cstheme="minorHAnsi"/>
          <w:b/>
          <w:sz w:val="24"/>
          <w:szCs w:val="24"/>
        </w:rPr>
        <w:t>,</w:t>
      </w:r>
      <w:r w:rsidR="00D65D7D" w:rsidRPr="00B132CA">
        <w:rPr>
          <w:rFonts w:eastAsia="Calibri" w:cstheme="minorHAnsi"/>
          <w:b/>
          <w:sz w:val="24"/>
          <w:szCs w:val="24"/>
        </w:rPr>
        <w:t xml:space="preserve"> a proto není zřejmé, zda </w:t>
      </w:r>
      <w:r w:rsidR="005D24D2">
        <w:rPr>
          <w:rFonts w:eastAsia="Calibri" w:cstheme="minorHAnsi"/>
          <w:b/>
          <w:sz w:val="24"/>
          <w:szCs w:val="24"/>
        </w:rPr>
        <w:t>tato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D65D7D" w:rsidRPr="00B132CA">
        <w:rPr>
          <w:rFonts w:eastAsia="Calibri" w:cstheme="minorHAnsi"/>
          <w:b/>
          <w:sz w:val="24"/>
          <w:szCs w:val="24"/>
        </w:rPr>
        <w:t xml:space="preserve">podpora </w:t>
      </w:r>
      <w:r w:rsidR="00D65D7D">
        <w:rPr>
          <w:rFonts w:eastAsia="Calibri" w:cstheme="minorHAnsi"/>
          <w:b/>
          <w:sz w:val="24"/>
          <w:szCs w:val="24"/>
        </w:rPr>
        <w:t>naplní svůj účel a</w:t>
      </w:r>
      <w:r w:rsidR="005D24D2">
        <w:rPr>
          <w:rFonts w:eastAsia="Calibri" w:cstheme="minorHAnsi"/>
          <w:b/>
          <w:sz w:val="24"/>
          <w:szCs w:val="24"/>
        </w:rPr>
        <w:t xml:space="preserve"> </w:t>
      </w:r>
      <w:r w:rsidR="002C2058">
        <w:rPr>
          <w:rFonts w:eastAsia="Calibri" w:cstheme="minorHAnsi"/>
          <w:b/>
          <w:sz w:val="24"/>
          <w:szCs w:val="24"/>
        </w:rPr>
        <w:t>přispěje k</w:t>
      </w:r>
      <w:r>
        <w:rPr>
          <w:rFonts w:eastAsia="Calibri" w:cstheme="minorHAnsi"/>
          <w:b/>
          <w:sz w:val="24"/>
          <w:szCs w:val="24"/>
        </w:rPr>
        <w:t>e s</w:t>
      </w:r>
      <w:r w:rsidR="002C2058">
        <w:rPr>
          <w:rFonts w:eastAsia="Calibri" w:cstheme="minorHAnsi"/>
          <w:b/>
          <w:sz w:val="24"/>
          <w:szCs w:val="24"/>
        </w:rPr>
        <w:t xml:space="preserve">plnění </w:t>
      </w:r>
      <w:r w:rsidR="00D65D7D" w:rsidRPr="00B132CA">
        <w:rPr>
          <w:rFonts w:eastAsia="Calibri" w:cstheme="minorHAnsi"/>
          <w:b/>
          <w:sz w:val="24"/>
          <w:szCs w:val="24"/>
        </w:rPr>
        <w:t>cíl</w:t>
      </w:r>
      <w:r w:rsidR="002C2058">
        <w:rPr>
          <w:rFonts w:eastAsia="Calibri" w:cstheme="minorHAnsi"/>
          <w:b/>
          <w:sz w:val="24"/>
          <w:szCs w:val="24"/>
        </w:rPr>
        <w:t>e programu</w:t>
      </w:r>
      <w:r w:rsidR="00B41630">
        <w:rPr>
          <w:rFonts w:eastAsia="Calibri" w:cstheme="minorHAnsi"/>
          <w:b/>
          <w:sz w:val="24"/>
          <w:szCs w:val="24"/>
        </w:rPr>
        <w:t>, kterým je zvýšení exportu a </w:t>
      </w:r>
      <w:r w:rsidR="00D65D7D" w:rsidRPr="00B132CA">
        <w:rPr>
          <w:rFonts w:eastAsia="Calibri" w:cstheme="minorHAnsi"/>
          <w:b/>
          <w:sz w:val="24"/>
          <w:szCs w:val="24"/>
        </w:rPr>
        <w:t>mezinárodní expanze MSP.</w:t>
      </w:r>
      <w:r w:rsidR="00D65D7D">
        <w:rPr>
          <w:rFonts w:eastAsia="Calibri" w:cstheme="minorHAnsi"/>
          <w:b/>
          <w:sz w:val="24"/>
          <w:szCs w:val="24"/>
        </w:rPr>
        <w:t xml:space="preserve"> </w:t>
      </w:r>
      <w:r w:rsidR="00D65D7D" w:rsidRPr="004C7CA5">
        <w:rPr>
          <w:rFonts w:eastAsia="Calibri" w:cstheme="minorHAnsi"/>
          <w:sz w:val="24"/>
        </w:rPr>
        <w:t xml:space="preserve">Výsledky programu podpory </w:t>
      </w:r>
      <w:r w:rsidR="00D65D7D" w:rsidRPr="00E55374">
        <w:rPr>
          <w:rFonts w:eastAsia="Calibri" w:cstheme="minorHAnsi"/>
          <w:i/>
          <w:sz w:val="24"/>
        </w:rPr>
        <w:t>Marketing</w:t>
      </w:r>
      <w:r w:rsidR="00D65D7D" w:rsidRPr="004C7CA5">
        <w:rPr>
          <w:rFonts w:eastAsia="Calibri" w:cstheme="minorHAnsi"/>
          <w:sz w:val="24"/>
        </w:rPr>
        <w:t xml:space="preserve"> jsou sledovány výsledkovým</w:t>
      </w:r>
      <w:r w:rsidR="00D65D7D">
        <w:rPr>
          <w:rFonts w:eastAsia="Calibri" w:cstheme="minorHAnsi"/>
          <w:sz w:val="24"/>
        </w:rPr>
        <w:t xml:space="preserve"> ukazatelem, </w:t>
      </w:r>
      <w:r w:rsidR="000B4A8E">
        <w:rPr>
          <w:rFonts w:eastAsia="Calibri" w:cstheme="minorHAnsi"/>
          <w:sz w:val="24"/>
        </w:rPr>
        <w:t>jehož vývoj</w:t>
      </w:r>
      <w:r w:rsidR="00D65D7D" w:rsidRPr="004C7CA5">
        <w:rPr>
          <w:rFonts w:eastAsia="Calibri" w:cstheme="minorHAnsi"/>
          <w:sz w:val="24"/>
        </w:rPr>
        <w:t xml:space="preserve"> </w:t>
      </w:r>
      <w:r w:rsidR="00D65D7D">
        <w:rPr>
          <w:rFonts w:eastAsia="Calibri" w:cstheme="minorHAnsi"/>
          <w:sz w:val="24"/>
        </w:rPr>
        <w:t xml:space="preserve">je </w:t>
      </w:r>
      <w:r w:rsidR="00005062">
        <w:rPr>
          <w:rFonts w:eastAsia="Calibri" w:cstheme="minorHAnsi"/>
          <w:sz w:val="24"/>
        </w:rPr>
        <w:t>zobrazen v grafu č. 1</w:t>
      </w:r>
      <w:r>
        <w:rPr>
          <w:rFonts w:eastAsia="Calibri" w:cstheme="minorHAnsi"/>
          <w:sz w:val="24"/>
        </w:rPr>
        <w:t>.</w:t>
      </w:r>
      <w:r w:rsidR="00D65D7D" w:rsidRPr="004C7CA5">
        <w:rPr>
          <w:rFonts w:eastAsia="Calibri" w:cstheme="minorHAnsi"/>
          <w:sz w:val="24"/>
        </w:rPr>
        <w:t xml:space="preserve"> </w:t>
      </w:r>
    </w:p>
    <w:p w14:paraId="40269C30" w14:textId="77777777" w:rsidR="00005062" w:rsidRDefault="00005062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sz w:val="24"/>
        </w:rPr>
      </w:pPr>
    </w:p>
    <w:p w14:paraId="1964D322" w14:textId="4EF8903D" w:rsidR="00005062" w:rsidRPr="00005062" w:rsidRDefault="00506071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b/>
          <w:sz w:val="20"/>
        </w:rPr>
      </w:pPr>
      <w:r>
        <w:rPr>
          <w:rFonts w:eastAsia="Calibri" w:cstheme="minorHAnsi"/>
          <w:b/>
          <w:sz w:val="24"/>
        </w:rPr>
        <w:t>Graf</w:t>
      </w:r>
      <w:r w:rsidR="00005062" w:rsidRPr="00005062">
        <w:rPr>
          <w:rFonts w:eastAsia="Calibri" w:cstheme="minorHAnsi"/>
          <w:b/>
          <w:sz w:val="24"/>
        </w:rPr>
        <w:t xml:space="preserve"> č. 1: Vývoj výsledkového ukazatele programu podpory </w:t>
      </w:r>
      <w:r w:rsidR="00005062" w:rsidRPr="00E55374">
        <w:rPr>
          <w:rFonts w:eastAsia="Calibri" w:cstheme="minorHAnsi"/>
          <w:b/>
          <w:i/>
          <w:sz w:val="24"/>
        </w:rPr>
        <w:t>Marketing</w:t>
      </w:r>
      <w:r w:rsidR="00B85A74">
        <w:rPr>
          <w:rStyle w:val="Znakapoznpodarou"/>
          <w:rFonts w:eastAsia="Calibri" w:cstheme="minorHAnsi"/>
          <w:b/>
          <w:sz w:val="24"/>
        </w:rPr>
        <w:footnoteReference w:id="14"/>
      </w:r>
    </w:p>
    <w:p w14:paraId="2EDF51B1" w14:textId="781501B3" w:rsidR="00D65D7D" w:rsidRPr="004C7CA5" w:rsidRDefault="00005062" w:rsidP="00D65D7D">
      <w:pPr>
        <w:spacing w:after="0" w:line="240" w:lineRule="auto"/>
        <w:jc w:val="both"/>
        <w:rPr>
          <w:rFonts w:eastAsia="Calibri" w:cstheme="minorHAnsi"/>
          <w:sz w:val="24"/>
        </w:rPr>
      </w:pPr>
      <w:r>
        <w:rPr>
          <w:noProof/>
          <w:lang w:eastAsia="cs-CZ"/>
        </w:rPr>
        <w:drawing>
          <wp:inline distT="0" distB="0" distL="0" distR="0" wp14:anchorId="58EF2FEE" wp14:editId="4C9C188D">
            <wp:extent cx="5760720" cy="275209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89C2398" w14:textId="1B813F4D" w:rsidR="00D65D7D" w:rsidRPr="00E20D8A" w:rsidRDefault="000E1B29" w:rsidP="00D65D7D">
      <w:pPr>
        <w:spacing w:after="0" w:line="240" w:lineRule="auto"/>
        <w:jc w:val="both"/>
        <w:rPr>
          <w:rFonts w:eastAsia="Calibri" w:cstheme="minorHAnsi"/>
          <w:sz w:val="20"/>
        </w:rPr>
      </w:pPr>
      <w:r w:rsidRPr="000E1B29">
        <w:rPr>
          <w:rFonts w:eastAsia="Calibri" w:cstheme="minorHAnsi"/>
          <w:b/>
          <w:sz w:val="20"/>
        </w:rPr>
        <w:t>Z</w:t>
      </w:r>
      <w:r w:rsidR="00D65D7D" w:rsidRPr="000E1B29">
        <w:rPr>
          <w:rFonts w:eastAsia="Calibri" w:cstheme="minorHAnsi"/>
          <w:b/>
          <w:sz w:val="20"/>
        </w:rPr>
        <w:t>droj:</w:t>
      </w:r>
      <w:r w:rsidR="00D65D7D" w:rsidRPr="00E20D8A">
        <w:rPr>
          <w:rFonts w:eastAsia="Calibri" w:cstheme="minorHAnsi"/>
          <w:sz w:val="20"/>
        </w:rPr>
        <w:t xml:space="preserve"> </w:t>
      </w:r>
      <w:r w:rsidR="005D24D2">
        <w:rPr>
          <w:rFonts w:eastAsia="Calibri" w:cstheme="minorHAnsi"/>
          <w:sz w:val="20"/>
        </w:rPr>
        <w:t>v</w:t>
      </w:r>
      <w:r w:rsidR="00D65D7D" w:rsidRPr="00E20D8A">
        <w:rPr>
          <w:rFonts w:eastAsia="Calibri" w:cstheme="minorHAnsi"/>
          <w:sz w:val="20"/>
        </w:rPr>
        <w:t>ýroční zpráva OPPIK za rok 2019</w:t>
      </w:r>
      <w:r w:rsidR="005D24D2">
        <w:rPr>
          <w:rFonts w:eastAsia="Calibri" w:cstheme="minorHAnsi"/>
          <w:sz w:val="20"/>
        </w:rPr>
        <w:t>;</w:t>
      </w:r>
      <w:r w:rsidR="00005062">
        <w:rPr>
          <w:rFonts w:eastAsia="Calibri" w:cstheme="minorHAnsi"/>
          <w:sz w:val="20"/>
        </w:rPr>
        <w:t xml:space="preserve"> vlastní zpracování NKÚ</w:t>
      </w:r>
      <w:r>
        <w:rPr>
          <w:rFonts w:eastAsia="Calibri" w:cstheme="minorHAnsi"/>
          <w:sz w:val="20"/>
        </w:rPr>
        <w:t>.</w:t>
      </w:r>
    </w:p>
    <w:p w14:paraId="290E5E47" w14:textId="77777777" w:rsidR="00D65D7D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27439E64" w14:textId="4F7C7D11" w:rsidR="00D65D7D" w:rsidRPr="00052897" w:rsidRDefault="00D65D7D" w:rsidP="00D65D7D">
      <w:pPr>
        <w:spacing w:after="0" w:line="240" w:lineRule="auto"/>
        <w:jc w:val="both"/>
        <w:rPr>
          <w:rFonts w:eastAsia="Calibri" w:cstheme="minorHAnsi"/>
          <w:b/>
          <w:sz w:val="24"/>
        </w:rPr>
      </w:pPr>
      <w:r w:rsidRPr="00951F7E">
        <w:rPr>
          <w:rFonts w:eastAsia="Calibri" w:cstheme="minorHAnsi"/>
          <w:sz w:val="24"/>
        </w:rPr>
        <w:t>MPO stanovilo na úrovni</w:t>
      </w:r>
      <w:r>
        <w:rPr>
          <w:rFonts w:eastAsia="Calibri" w:cstheme="minorHAnsi"/>
          <w:sz w:val="24"/>
        </w:rPr>
        <w:t xml:space="preserve"> projektů ukazatele</w:t>
      </w:r>
      <w:r w:rsidRPr="00241F7C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>o počtu účastí MSP na veletrzích, počtu spoluprací MSP s design</w:t>
      </w:r>
      <w:r w:rsidR="00951F7E">
        <w:rPr>
          <w:rFonts w:eastAsia="Calibri" w:cstheme="minorHAnsi"/>
          <w:sz w:val="24"/>
        </w:rPr>
        <w:t>é</w:t>
      </w:r>
      <w:r>
        <w:rPr>
          <w:rFonts w:eastAsia="Calibri" w:cstheme="minorHAnsi"/>
          <w:sz w:val="24"/>
        </w:rPr>
        <w:t>rem a o počtu služeb, které MSP využívají. Cílové hodnoty těchto ukazatelů jsou pro příjemce závazné. Pro hodnocení plnění cílů podpory projektů, kterými je zvýšení schopnosti mezinárodní expanze, rozšiřování exportu, výroby a prodejů podpořených podniků</w:t>
      </w:r>
      <w:r w:rsidR="00C57297">
        <w:rPr>
          <w:rFonts w:eastAsia="Calibri" w:cstheme="minorHAnsi"/>
          <w:sz w:val="24"/>
        </w:rPr>
        <w:t>,</w:t>
      </w:r>
      <w:r>
        <w:rPr>
          <w:rFonts w:eastAsia="Calibri" w:cstheme="minorHAnsi"/>
          <w:sz w:val="24"/>
        </w:rPr>
        <w:t xml:space="preserve"> ale závazné ukazatele </w:t>
      </w:r>
      <w:r w:rsidR="000E1B29">
        <w:rPr>
          <w:rFonts w:eastAsia="Calibri" w:cstheme="minorHAnsi"/>
          <w:sz w:val="24"/>
        </w:rPr>
        <w:t>MPO nestanovilo</w:t>
      </w:r>
      <w:r>
        <w:rPr>
          <w:rFonts w:eastAsia="Calibri" w:cstheme="minorHAnsi"/>
          <w:sz w:val="24"/>
        </w:rPr>
        <w:t xml:space="preserve">. MPO sice sleduje vývoz podpořených </w:t>
      </w:r>
      <w:r>
        <w:rPr>
          <w:rFonts w:eastAsia="Calibri" w:cstheme="minorHAnsi"/>
          <w:sz w:val="24"/>
        </w:rPr>
        <w:lastRenderedPageBreak/>
        <w:t>podniků a jejich výkony v průběhu realizace projektu a následně po dobu</w:t>
      </w:r>
      <w:r w:rsidR="00951F7E">
        <w:rPr>
          <w:rFonts w:eastAsia="Calibri" w:cstheme="minorHAnsi"/>
          <w:sz w:val="24"/>
        </w:rPr>
        <w:t xml:space="preserve"> </w:t>
      </w:r>
      <w:r w:rsidRPr="00D65D7D">
        <w:rPr>
          <w:rFonts w:eastAsia="Calibri" w:cstheme="minorHAnsi"/>
          <w:sz w:val="24"/>
        </w:rPr>
        <w:t>pěti let</w:t>
      </w:r>
      <w:r>
        <w:rPr>
          <w:rStyle w:val="Znakapoznpodarou"/>
          <w:rFonts w:eastAsia="Calibri" w:cstheme="minorHAnsi"/>
          <w:sz w:val="24"/>
        </w:rPr>
        <w:footnoteReference w:id="15"/>
      </w:r>
      <w:r w:rsidRPr="00D65D7D">
        <w:rPr>
          <w:rFonts w:eastAsia="Calibri" w:cstheme="minorHAnsi"/>
          <w:sz w:val="24"/>
        </w:rPr>
        <w:t xml:space="preserve">, </w:t>
      </w:r>
      <w:r>
        <w:rPr>
          <w:rFonts w:eastAsia="Calibri" w:cstheme="minorHAnsi"/>
          <w:sz w:val="24"/>
        </w:rPr>
        <w:t>ale jaký vliv měla</w:t>
      </w:r>
      <w:r w:rsidR="000E1B29">
        <w:rPr>
          <w:rFonts w:eastAsia="Calibri" w:cstheme="minorHAnsi"/>
          <w:sz w:val="24"/>
        </w:rPr>
        <w:t xml:space="preserve"> poskytnutá</w:t>
      </w:r>
      <w:r>
        <w:rPr>
          <w:rFonts w:eastAsia="Calibri" w:cstheme="minorHAnsi"/>
          <w:sz w:val="24"/>
        </w:rPr>
        <w:t xml:space="preserve"> podpora (např</w:t>
      </w:r>
      <w:r w:rsidR="000E1B29">
        <w:rPr>
          <w:rFonts w:eastAsia="Calibri" w:cstheme="minorHAnsi"/>
          <w:sz w:val="24"/>
        </w:rPr>
        <w:t>.</w:t>
      </w:r>
      <w:r>
        <w:rPr>
          <w:rFonts w:eastAsia="Calibri" w:cstheme="minorHAnsi"/>
          <w:sz w:val="24"/>
        </w:rPr>
        <w:t xml:space="preserve"> účast na veletrzích) na vývoz a</w:t>
      </w:r>
      <w:r w:rsidR="000E1B29">
        <w:rPr>
          <w:rFonts w:eastAsia="Calibri" w:cstheme="minorHAnsi"/>
          <w:sz w:val="24"/>
        </w:rPr>
        <w:t xml:space="preserve"> na</w:t>
      </w:r>
      <w:r>
        <w:rPr>
          <w:rFonts w:eastAsia="Calibri" w:cstheme="minorHAnsi"/>
          <w:sz w:val="24"/>
        </w:rPr>
        <w:t xml:space="preserve"> výkony podniků</w:t>
      </w:r>
      <w:r w:rsidR="00F34580">
        <w:rPr>
          <w:rFonts w:eastAsia="Calibri" w:cstheme="minorHAnsi"/>
          <w:sz w:val="24"/>
        </w:rPr>
        <w:t>, to</w:t>
      </w:r>
      <w:r w:rsidR="000E1B29">
        <w:rPr>
          <w:rFonts w:eastAsia="Calibri" w:cstheme="minorHAnsi"/>
          <w:sz w:val="24"/>
        </w:rPr>
        <w:t xml:space="preserve"> MPO</w:t>
      </w:r>
      <w:r w:rsidR="0051442A">
        <w:rPr>
          <w:rFonts w:eastAsia="Calibri" w:cstheme="minorHAnsi"/>
          <w:sz w:val="24"/>
        </w:rPr>
        <w:t xml:space="preserve"> nehodnotilo</w:t>
      </w:r>
      <w:r>
        <w:rPr>
          <w:rFonts w:eastAsia="Calibri" w:cstheme="minorHAnsi"/>
          <w:sz w:val="24"/>
        </w:rPr>
        <w:t>. Stejně tak u interních projektů realizovaný</w:t>
      </w:r>
      <w:r w:rsidR="0051442A">
        <w:rPr>
          <w:rFonts w:eastAsia="Calibri" w:cstheme="minorHAnsi"/>
          <w:sz w:val="24"/>
        </w:rPr>
        <w:t xml:space="preserve">ch prostřednictvím </w:t>
      </w:r>
      <w:r w:rsidR="00F34580">
        <w:rPr>
          <w:rFonts w:eastAsia="Calibri" w:cstheme="minorHAnsi"/>
          <w:sz w:val="24"/>
        </w:rPr>
        <w:t xml:space="preserve">agentur </w:t>
      </w:r>
      <w:r w:rsidR="0051442A">
        <w:rPr>
          <w:rFonts w:eastAsia="Calibri" w:cstheme="minorHAnsi"/>
          <w:sz w:val="24"/>
        </w:rPr>
        <w:t>CzechTrade a</w:t>
      </w:r>
      <w:r w:rsidR="00F34580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 xml:space="preserve">CzechInvest skutečný přínos zvýhodněných služeb, které tyto </w:t>
      </w:r>
      <w:r w:rsidR="00176309">
        <w:rPr>
          <w:rFonts w:eastAsia="Calibri" w:cstheme="minorHAnsi"/>
          <w:sz w:val="24"/>
        </w:rPr>
        <w:t xml:space="preserve">příspěvkové </w:t>
      </w:r>
      <w:r>
        <w:rPr>
          <w:rFonts w:eastAsia="Calibri" w:cstheme="minorHAnsi"/>
          <w:sz w:val="24"/>
        </w:rPr>
        <w:t xml:space="preserve">organizace </w:t>
      </w:r>
      <w:r w:rsidR="0051442A">
        <w:rPr>
          <w:rFonts w:eastAsia="Calibri" w:cstheme="minorHAnsi"/>
          <w:sz w:val="24"/>
        </w:rPr>
        <w:t>poskytovaly</w:t>
      </w:r>
      <w:r>
        <w:rPr>
          <w:rFonts w:eastAsia="Calibri" w:cstheme="minorHAnsi"/>
          <w:sz w:val="24"/>
        </w:rPr>
        <w:t>,</w:t>
      </w:r>
      <w:r w:rsidR="0051442A">
        <w:rPr>
          <w:rFonts w:eastAsia="Calibri" w:cstheme="minorHAnsi"/>
          <w:sz w:val="24"/>
        </w:rPr>
        <w:t xml:space="preserve"> MPO nesledovalo</w:t>
      </w:r>
      <w:r>
        <w:rPr>
          <w:rFonts w:eastAsia="Calibri" w:cstheme="minorHAnsi"/>
          <w:sz w:val="24"/>
        </w:rPr>
        <w:t xml:space="preserve">. </w:t>
      </w:r>
      <w:r w:rsidRPr="00052897">
        <w:rPr>
          <w:rFonts w:eastAsia="Calibri" w:cstheme="minorHAnsi"/>
          <w:b/>
          <w:sz w:val="24"/>
        </w:rPr>
        <w:t>MPO ne</w:t>
      </w:r>
      <w:r>
        <w:rPr>
          <w:rFonts w:eastAsia="Calibri" w:cstheme="minorHAnsi"/>
          <w:b/>
          <w:sz w:val="24"/>
        </w:rPr>
        <w:t>bude moci</w:t>
      </w:r>
      <w:r w:rsidRPr="00052897">
        <w:rPr>
          <w:rFonts w:eastAsia="Calibri" w:cstheme="minorHAnsi"/>
          <w:b/>
          <w:sz w:val="24"/>
        </w:rPr>
        <w:t xml:space="preserve"> pomocí nastavených ukazatelů vyhodnotit plnění cílů a</w:t>
      </w:r>
      <w:r w:rsidR="00F34580">
        <w:rPr>
          <w:rFonts w:eastAsia="Calibri" w:cstheme="minorHAnsi"/>
          <w:b/>
          <w:sz w:val="24"/>
        </w:rPr>
        <w:t>ni</w:t>
      </w:r>
      <w:r w:rsidRPr="00052897">
        <w:rPr>
          <w:rFonts w:eastAsia="Calibri" w:cstheme="minorHAnsi"/>
          <w:b/>
          <w:sz w:val="24"/>
        </w:rPr>
        <w:t xml:space="preserve"> přínos</w:t>
      </w:r>
      <w:r w:rsidR="00F34580">
        <w:rPr>
          <w:rFonts w:eastAsia="Calibri" w:cstheme="minorHAnsi"/>
          <w:b/>
          <w:sz w:val="24"/>
        </w:rPr>
        <w:t>y</w:t>
      </w:r>
      <w:r w:rsidRPr="00052897">
        <w:rPr>
          <w:rFonts w:eastAsia="Calibri" w:cstheme="minorHAnsi"/>
          <w:b/>
          <w:sz w:val="24"/>
        </w:rPr>
        <w:t xml:space="preserve"> </w:t>
      </w:r>
      <w:r>
        <w:rPr>
          <w:rFonts w:eastAsia="Calibri" w:cstheme="minorHAnsi"/>
          <w:b/>
          <w:sz w:val="24"/>
        </w:rPr>
        <w:t xml:space="preserve">projektů podpořených z </w:t>
      </w:r>
      <w:r w:rsidRPr="00052897">
        <w:rPr>
          <w:rFonts w:eastAsia="Calibri" w:cstheme="minorHAnsi"/>
          <w:b/>
          <w:sz w:val="24"/>
        </w:rPr>
        <w:t xml:space="preserve">programu </w:t>
      </w:r>
      <w:r w:rsidR="000E1B29">
        <w:rPr>
          <w:rFonts w:eastAsia="Calibri" w:cstheme="minorHAnsi"/>
          <w:b/>
          <w:sz w:val="24"/>
        </w:rPr>
        <w:t xml:space="preserve">podpory </w:t>
      </w:r>
      <w:r w:rsidRPr="00E55374">
        <w:rPr>
          <w:rFonts w:eastAsia="Calibri" w:cstheme="minorHAnsi"/>
          <w:b/>
          <w:i/>
          <w:sz w:val="24"/>
        </w:rPr>
        <w:t>Marketing</w:t>
      </w:r>
      <w:r w:rsidRPr="00052897">
        <w:rPr>
          <w:rFonts w:eastAsia="Calibri" w:cstheme="minorHAnsi"/>
          <w:b/>
          <w:sz w:val="24"/>
        </w:rPr>
        <w:t>.</w:t>
      </w:r>
    </w:p>
    <w:p w14:paraId="68201893" w14:textId="25FBAC5D" w:rsidR="00D65D7D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431039DC" w14:textId="77777777" w:rsidR="00F0182A" w:rsidRDefault="00F0182A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155D8231" w14:textId="20C6D473" w:rsidR="003A38BA" w:rsidRPr="003A38BA" w:rsidRDefault="00F566A8" w:rsidP="00CE447E">
      <w:pPr>
        <w:pStyle w:val="Odstavecseseznamem"/>
        <w:numPr>
          <w:ilvl w:val="0"/>
          <w:numId w:val="47"/>
        </w:numPr>
        <w:spacing w:after="0" w:line="240" w:lineRule="auto"/>
        <w:ind w:left="0" w:hanging="426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I</w:t>
      </w:r>
      <w:r w:rsidR="003A38BA" w:rsidRPr="003A38BA">
        <w:rPr>
          <w:rFonts w:eastAsia="Calibri" w:cstheme="minorHAnsi"/>
          <w:b/>
          <w:sz w:val="24"/>
        </w:rPr>
        <w:t>nterní projekt</w:t>
      </w:r>
      <w:r>
        <w:rPr>
          <w:rFonts w:eastAsia="Calibri" w:cstheme="minorHAnsi"/>
          <w:b/>
          <w:sz w:val="24"/>
        </w:rPr>
        <w:t>y</w:t>
      </w:r>
      <w:r w:rsidR="003A38BA" w:rsidRPr="003A38BA">
        <w:rPr>
          <w:rFonts w:eastAsia="Calibri" w:cstheme="minorHAnsi"/>
          <w:b/>
          <w:sz w:val="24"/>
        </w:rPr>
        <w:t xml:space="preserve"> programu podpory </w:t>
      </w:r>
      <w:r w:rsidR="003A38BA" w:rsidRPr="00E55374">
        <w:rPr>
          <w:rFonts w:eastAsia="Calibri" w:cstheme="minorHAnsi"/>
          <w:b/>
          <w:i/>
          <w:sz w:val="24"/>
        </w:rPr>
        <w:t>Marketing</w:t>
      </w:r>
    </w:p>
    <w:p w14:paraId="70D4BB11" w14:textId="77777777" w:rsidR="003A38BA" w:rsidRDefault="003A38BA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1639974A" w14:textId="78D63B0A" w:rsidR="00CE447E" w:rsidRPr="004A645E" w:rsidRDefault="00D65D7D" w:rsidP="004A645E">
      <w:pPr>
        <w:pStyle w:val="KP-normlntext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V rámci programu</w:t>
      </w:r>
      <w:r w:rsidR="00B41630">
        <w:rPr>
          <w:rFonts w:asciiTheme="minorHAnsi" w:hAnsiTheme="minorHAnsi" w:cstheme="minorHAnsi"/>
          <w:b/>
        </w:rPr>
        <w:t xml:space="preserve"> podpory</w:t>
      </w:r>
      <w:r>
        <w:rPr>
          <w:rFonts w:asciiTheme="minorHAnsi" w:hAnsiTheme="minorHAnsi" w:cstheme="minorHAnsi"/>
          <w:b/>
        </w:rPr>
        <w:t xml:space="preserve"> </w:t>
      </w:r>
      <w:r w:rsidRPr="00E55374">
        <w:rPr>
          <w:rFonts w:asciiTheme="minorHAnsi" w:hAnsiTheme="minorHAnsi" w:cstheme="minorHAnsi"/>
          <w:b/>
          <w:i/>
        </w:rPr>
        <w:t>Marketing</w:t>
      </w:r>
      <w:r>
        <w:rPr>
          <w:rFonts w:asciiTheme="minorHAnsi" w:hAnsiTheme="minorHAnsi" w:cstheme="minorHAnsi"/>
          <w:b/>
        </w:rPr>
        <w:t xml:space="preserve"> byly </w:t>
      </w:r>
      <w:r w:rsidR="008133A1">
        <w:rPr>
          <w:rFonts w:asciiTheme="minorHAnsi" w:hAnsiTheme="minorHAnsi" w:cstheme="minorHAnsi"/>
          <w:b/>
        </w:rPr>
        <w:t xml:space="preserve">pomocí </w:t>
      </w:r>
      <w:r>
        <w:rPr>
          <w:rFonts w:asciiTheme="minorHAnsi" w:hAnsiTheme="minorHAnsi" w:cstheme="minorHAnsi"/>
          <w:b/>
        </w:rPr>
        <w:t>dvou výzev k předkládá</w:t>
      </w:r>
      <w:r w:rsidR="00C57297">
        <w:rPr>
          <w:rFonts w:asciiTheme="minorHAnsi" w:hAnsiTheme="minorHAnsi" w:cstheme="minorHAnsi"/>
          <w:b/>
        </w:rPr>
        <w:t>ní žádostí o</w:t>
      </w:r>
      <w:r w:rsidR="008133A1">
        <w:rPr>
          <w:rFonts w:asciiTheme="minorHAnsi" w:hAnsiTheme="minorHAnsi" w:cstheme="minorHAnsi"/>
          <w:b/>
        </w:rPr>
        <w:t> </w:t>
      </w:r>
      <w:r w:rsidR="00C57297">
        <w:rPr>
          <w:rFonts w:asciiTheme="minorHAnsi" w:hAnsiTheme="minorHAnsi" w:cstheme="minorHAnsi"/>
          <w:b/>
        </w:rPr>
        <w:t xml:space="preserve">podporu </w:t>
      </w:r>
      <w:r w:rsidR="008133A1">
        <w:rPr>
          <w:rFonts w:asciiTheme="minorHAnsi" w:hAnsiTheme="minorHAnsi" w:cstheme="minorHAnsi"/>
          <w:b/>
        </w:rPr>
        <w:t xml:space="preserve">realizovány </w:t>
      </w:r>
      <w:r w:rsidR="00C57297">
        <w:rPr>
          <w:rFonts w:asciiTheme="minorHAnsi" w:hAnsiTheme="minorHAnsi" w:cstheme="minorHAnsi"/>
          <w:b/>
        </w:rPr>
        <w:t xml:space="preserve">čtyři </w:t>
      </w:r>
      <w:r>
        <w:rPr>
          <w:rFonts w:asciiTheme="minorHAnsi" w:hAnsiTheme="minorHAnsi" w:cstheme="minorHAnsi"/>
          <w:b/>
        </w:rPr>
        <w:t xml:space="preserve">interní projekty, </w:t>
      </w:r>
      <w:r w:rsidR="008133A1">
        <w:rPr>
          <w:rFonts w:asciiTheme="minorHAnsi" w:hAnsiTheme="minorHAnsi" w:cstheme="minorHAnsi"/>
          <w:b/>
        </w:rPr>
        <w:t>jejichž</w:t>
      </w:r>
      <w:r>
        <w:rPr>
          <w:rFonts w:asciiTheme="minorHAnsi" w:hAnsiTheme="minorHAnsi" w:cstheme="minorHAnsi"/>
          <w:b/>
        </w:rPr>
        <w:t xml:space="preserve"> </w:t>
      </w:r>
      <w:r w:rsidR="008133A1">
        <w:rPr>
          <w:rFonts w:asciiTheme="minorHAnsi" w:hAnsiTheme="minorHAnsi" w:cstheme="minorHAnsi"/>
          <w:b/>
        </w:rPr>
        <w:t xml:space="preserve">prostřednictvím </w:t>
      </w:r>
      <w:r>
        <w:rPr>
          <w:rFonts w:asciiTheme="minorHAnsi" w:hAnsiTheme="minorHAnsi" w:cstheme="minorHAnsi"/>
          <w:b/>
        </w:rPr>
        <w:t>dvě příspěvkové organizace MPO čerpaly prostředky programu na zajištění</w:t>
      </w:r>
      <w:r>
        <w:rPr>
          <w:rFonts w:asciiTheme="minorHAnsi" w:hAnsiTheme="minorHAnsi" w:cstheme="minorHAnsi"/>
        </w:rPr>
        <w:t xml:space="preserve"> </w:t>
      </w:r>
      <w:r w:rsidRPr="000B4A8E">
        <w:rPr>
          <w:rFonts w:asciiTheme="minorHAnsi" w:hAnsiTheme="minorHAnsi" w:cstheme="minorHAnsi"/>
          <w:b/>
        </w:rPr>
        <w:t>služeb pro MSP</w:t>
      </w:r>
      <w:r w:rsidRPr="00E5537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CzechInvest </w:t>
      </w:r>
      <w:r w:rsidR="006546A1">
        <w:rPr>
          <w:rFonts w:asciiTheme="minorHAnsi" w:hAnsiTheme="minorHAnsi" w:cstheme="minorHAnsi"/>
        </w:rPr>
        <w:br/>
      </w:r>
      <w:r w:rsidR="001F26FF">
        <w:rPr>
          <w:rFonts w:asciiTheme="minorHAnsi" w:hAnsiTheme="minorHAnsi" w:cstheme="minorHAnsi"/>
        </w:rPr>
        <w:t>pro</w:t>
      </w:r>
      <w:r w:rsidR="006546A1">
        <w:rPr>
          <w:rFonts w:asciiTheme="minorHAnsi" w:hAnsiTheme="minorHAnsi" w:cstheme="minorHAnsi"/>
        </w:rPr>
        <w:t xml:space="preserve"> </w:t>
      </w:r>
      <w:r w:rsidR="001F26FF">
        <w:rPr>
          <w:rFonts w:asciiTheme="minorHAnsi" w:hAnsiTheme="minorHAnsi" w:cstheme="minorHAnsi"/>
        </w:rPr>
        <w:t xml:space="preserve">MSP </w:t>
      </w:r>
      <w:r>
        <w:rPr>
          <w:rFonts w:asciiTheme="minorHAnsi" w:hAnsiTheme="minorHAnsi" w:cstheme="minorHAnsi"/>
        </w:rPr>
        <w:t xml:space="preserve">zajišťoval a hradil </w:t>
      </w:r>
      <w:r w:rsidR="008133A1">
        <w:rPr>
          <w:rFonts w:asciiTheme="minorHAnsi" w:hAnsiTheme="minorHAnsi" w:cstheme="minorHAnsi"/>
        </w:rPr>
        <w:t xml:space="preserve">služby </w:t>
      </w:r>
      <w:r>
        <w:rPr>
          <w:rFonts w:asciiTheme="minorHAnsi" w:hAnsiTheme="minorHAnsi" w:cstheme="minorHAnsi"/>
        </w:rPr>
        <w:t>zaměřené na</w:t>
      </w:r>
      <w:r w:rsidRPr="00E20D8A">
        <w:rPr>
          <w:rFonts w:asciiTheme="minorHAnsi" w:hAnsiTheme="minorHAnsi" w:cstheme="minorHAnsi"/>
        </w:rPr>
        <w:t xml:space="preserve"> rozvoj </w:t>
      </w:r>
      <w:r w:rsidR="00464D52">
        <w:rPr>
          <w:rFonts w:asciiTheme="minorHAnsi" w:hAnsiTheme="minorHAnsi" w:cstheme="minorHAnsi"/>
        </w:rPr>
        <w:t>s</w:t>
      </w:r>
      <w:r w:rsidRPr="00E20D8A">
        <w:rPr>
          <w:rFonts w:asciiTheme="minorHAnsi" w:hAnsiTheme="minorHAnsi" w:cstheme="minorHAnsi"/>
        </w:rPr>
        <w:t>tart-</w:t>
      </w:r>
      <w:proofErr w:type="spellStart"/>
      <w:r w:rsidRPr="00E20D8A">
        <w:rPr>
          <w:rFonts w:asciiTheme="minorHAnsi" w:hAnsiTheme="minorHAnsi" w:cstheme="minorHAnsi"/>
        </w:rPr>
        <w:t>upů</w:t>
      </w:r>
      <w:proofErr w:type="spellEnd"/>
      <w:r w:rsidRPr="00E20D8A">
        <w:rPr>
          <w:rFonts w:asciiTheme="minorHAnsi" w:hAnsiTheme="minorHAnsi" w:cstheme="minorHAnsi"/>
        </w:rPr>
        <w:t>, posílení jejich schopností a</w:t>
      </w:r>
      <w:r w:rsidR="008133A1">
        <w:rPr>
          <w:rFonts w:asciiTheme="minorHAnsi" w:hAnsiTheme="minorHAnsi" w:cstheme="minorHAnsi"/>
        </w:rPr>
        <w:t> </w:t>
      </w:r>
      <w:r w:rsidRPr="00E20D8A">
        <w:rPr>
          <w:rFonts w:asciiTheme="minorHAnsi" w:hAnsiTheme="minorHAnsi" w:cstheme="minorHAnsi"/>
        </w:rPr>
        <w:t xml:space="preserve">marketingové připravenosti vstupovat a udržet se na zahraničních trzích. CzechTrade </w:t>
      </w:r>
      <w:r>
        <w:rPr>
          <w:rFonts w:asciiTheme="minorHAnsi" w:hAnsiTheme="minorHAnsi" w:cstheme="minorHAnsi"/>
        </w:rPr>
        <w:t>zajišťoval a hradil služby pro</w:t>
      </w:r>
      <w:r w:rsidRPr="00E20D8A">
        <w:rPr>
          <w:rFonts w:asciiTheme="minorHAnsi" w:hAnsiTheme="minorHAnsi" w:cstheme="minorHAnsi"/>
        </w:rPr>
        <w:t xml:space="preserve"> účast MSP na zahraničních veletrzích a výstavách zaměřených na prioritní oblasti českého průmyslu, na oblast klíčových technologií a </w:t>
      </w:r>
      <w:r w:rsidR="00176309">
        <w:rPr>
          <w:rFonts w:asciiTheme="minorHAnsi" w:hAnsiTheme="minorHAnsi" w:cstheme="minorHAnsi"/>
        </w:rPr>
        <w:t>poskytoval</w:t>
      </w:r>
      <w:r w:rsidR="00176309" w:rsidRPr="00E20D8A">
        <w:rPr>
          <w:rFonts w:asciiTheme="minorHAnsi" w:hAnsiTheme="minorHAnsi" w:cstheme="minorHAnsi"/>
        </w:rPr>
        <w:t xml:space="preserve"> </w:t>
      </w:r>
      <w:r w:rsidRPr="00E20D8A">
        <w:rPr>
          <w:rFonts w:asciiTheme="minorHAnsi" w:hAnsiTheme="minorHAnsi" w:cstheme="minorHAnsi"/>
        </w:rPr>
        <w:t xml:space="preserve">zvýhodněné služby průmyslových a produktových designérů a podporu účastí na zahraničních výstavách a veletrzích zaměřených na propagaci designu. </w:t>
      </w:r>
      <w:r>
        <w:rPr>
          <w:rFonts w:asciiTheme="minorHAnsi" w:hAnsiTheme="minorHAnsi" w:cstheme="minorHAnsi"/>
        </w:rPr>
        <w:t xml:space="preserve">Projekty měly být ukončeny koncem roku 2018, ale </w:t>
      </w:r>
      <w:r w:rsidR="001F26FF">
        <w:rPr>
          <w:rFonts w:asciiTheme="minorHAnsi" w:hAnsiTheme="minorHAnsi" w:cstheme="minorHAnsi"/>
        </w:rPr>
        <w:t xml:space="preserve">jejich </w:t>
      </w:r>
      <w:r>
        <w:rPr>
          <w:rFonts w:asciiTheme="minorHAnsi" w:hAnsiTheme="minorHAnsi" w:cstheme="minorHAnsi"/>
        </w:rPr>
        <w:t>realizace byla</w:t>
      </w:r>
      <w:r w:rsidR="00CE447E">
        <w:rPr>
          <w:rFonts w:asciiTheme="minorHAnsi" w:hAnsiTheme="minorHAnsi" w:cstheme="minorHAnsi"/>
        </w:rPr>
        <w:t xml:space="preserve"> nejprve prodloužena do konce roku 2020 a poté</w:t>
      </w:r>
      <w:r>
        <w:rPr>
          <w:rFonts w:asciiTheme="minorHAnsi" w:hAnsiTheme="minorHAnsi" w:cstheme="minorHAnsi"/>
        </w:rPr>
        <w:t xml:space="preserve"> z důvodu </w:t>
      </w:r>
      <w:r w:rsidR="000B4A8E">
        <w:rPr>
          <w:rFonts w:asciiTheme="minorHAnsi" w:hAnsiTheme="minorHAnsi" w:cstheme="minorHAnsi"/>
        </w:rPr>
        <w:t>situace související s epid</w:t>
      </w:r>
      <w:r w:rsidR="00BA7423">
        <w:rPr>
          <w:rFonts w:asciiTheme="minorHAnsi" w:hAnsiTheme="minorHAnsi" w:cstheme="minorHAnsi"/>
        </w:rPr>
        <w:t>emií C</w:t>
      </w:r>
      <w:r>
        <w:rPr>
          <w:rFonts w:asciiTheme="minorHAnsi" w:hAnsiTheme="minorHAnsi" w:cstheme="minorHAnsi"/>
        </w:rPr>
        <w:t>ovid</w:t>
      </w:r>
      <w:r w:rsidR="00E55374">
        <w:rPr>
          <w:rFonts w:asciiTheme="minorHAnsi" w:hAnsiTheme="minorHAnsi" w:cstheme="minorHAnsi"/>
        </w:rPr>
        <w:t xml:space="preserve"> </w:t>
      </w:r>
      <w:r w:rsidR="00CE447E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 xml:space="preserve"> </w:t>
      </w:r>
      <w:proofErr w:type="gramStart"/>
      <w:r w:rsidR="00CE447E">
        <w:rPr>
          <w:rFonts w:asciiTheme="minorHAnsi" w:hAnsiTheme="minorHAnsi" w:cstheme="minorHAnsi"/>
        </w:rPr>
        <w:t>byla</w:t>
      </w:r>
      <w:proofErr w:type="gramEnd"/>
      <w:r w:rsidR="00CE447E">
        <w:rPr>
          <w:rFonts w:asciiTheme="minorHAnsi" w:hAnsiTheme="minorHAnsi" w:cstheme="minorHAnsi"/>
        </w:rPr>
        <w:t xml:space="preserve"> realizace projektů </w:t>
      </w:r>
      <w:r>
        <w:rPr>
          <w:rFonts w:asciiTheme="minorHAnsi" w:hAnsiTheme="minorHAnsi" w:cstheme="minorHAnsi"/>
        </w:rPr>
        <w:t>prodloužena do konce roku 2022.</w:t>
      </w:r>
      <w:r w:rsidR="004A645E">
        <w:rPr>
          <w:rFonts w:asciiTheme="minorHAnsi" w:hAnsiTheme="minorHAnsi" w:cstheme="minorHAnsi"/>
        </w:rPr>
        <w:t xml:space="preserve"> </w:t>
      </w:r>
      <w:r w:rsidR="00176309">
        <w:rPr>
          <w:rFonts w:asciiTheme="minorHAnsi" w:hAnsiTheme="minorHAnsi" w:cstheme="minorHAnsi"/>
        </w:rPr>
        <w:t xml:space="preserve">NKÚ </w:t>
      </w:r>
      <w:proofErr w:type="gramStart"/>
      <w:r w:rsidR="00176309">
        <w:rPr>
          <w:rFonts w:asciiTheme="minorHAnsi" w:hAnsiTheme="minorHAnsi" w:cstheme="minorHAnsi"/>
        </w:rPr>
        <w:t>nehodnotil</w:t>
      </w:r>
      <w:proofErr w:type="gramEnd"/>
      <w:r w:rsidR="00176309">
        <w:rPr>
          <w:rFonts w:asciiTheme="minorHAnsi" w:hAnsiTheme="minorHAnsi" w:cstheme="minorHAnsi"/>
        </w:rPr>
        <w:t xml:space="preserve"> </w:t>
      </w:r>
      <w:r w:rsidR="004A645E">
        <w:rPr>
          <w:rFonts w:asciiTheme="minorHAnsi" w:hAnsiTheme="minorHAnsi" w:cstheme="minorHAnsi"/>
        </w:rPr>
        <w:t xml:space="preserve">změny projektů z roku 2020, včetně změn rozpočtu a prodlužování projektů, neboť tyto změny byly provedeny na základě </w:t>
      </w:r>
      <w:r w:rsidR="000E1B29">
        <w:rPr>
          <w:rFonts w:cstheme="minorHAnsi"/>
        </w:rPr>
        <w:t xml:space="preserve">stále </w:t>
      </w:r>
      <w:r w:rsidR="000456F8">
        <w:rPr>
          <w:rFonts w:cstheme="minorHAnsi"/>
        </w:rPr>
        <w:t>trvající</w:t>
      </w:r>
      <w:r w:rsidR="000E1B29">
        <w:rPr>
          <w:rFonts w:cstheme="minorHAnsi"/>
        </w:rPr>
        <w:t xml:space="preserve"> epidemie</w:t>
      </w:r>
      <w:r w:rsidR="00CE447E" w:rsidRPr="0080281F">
        <w:rPr>
          <w:rFonts w:cstheme="minorHAnsi"/>
        </w:rPr>
        <w:t xml:space="preserve"> Covid</w:t>
      </w:r>
      <w:r w:rsidR="00E55374">
        <w:rPr>
          <w:rFonts w:cstheme="minorHAnsi"/>
        </w:rPr>
        <w:t xml:space="preserve"> </w:t>
      </w:r>
      <w:r w:rsidR="00CE447E" w:rsidRPr="0080281F">
        <w:rPr>
          <w:rFonts w:cstheme="minorHAnsi"/>
        </w:rPr>
        <w:t xml:space="preserve">19 ve světě a </w:t>
      </w:r>
      <w:r w:rsidR="000456F8">
        <w:rPr>
          <w:rFonts w:cstheme="minorHAnsi"/>
        </w:rPr>
        <w:t xml:space="preserve">z ní plynoucích </w:t>
      </w:r>
      <w:r w:rsidR="00CE447E" w:rsidRPr="0080281F">
        <w:rPr>
          <w:rFonts w:cstheme="minorHAnsi"/>
        </w:rPr>
        <w:t>omezení</w:t>
      </w:r>
      <w:r w:rsidR="00CE447E">
        <w:rPr>
          <w:rFonts w:cstheme="minorHAnsi"/>
        </w:rPr>
        <w:t>, kter</w:t>
      </w:r>
      <w:r w:rsidR="001F26FF">
        <w:rPr>
          <w:rFonts w:cstheme="minorHAnsi"/>
        </w:rPr>
        <w:t>á</w:t>
      </w:r>
      <w:r w:rsidR="00CE447E">
        <w:rPr>
          <w:rFonts w:cstheme="minorHAnsi"/>
        </w:rPr>
        <w:t xml:space="preserve"> se přímo dotýkají</w:t>
      </w:r>
      <w:r w:rsidR="00B41630">
        <w:rPr>
          <w:rFonts w:cstheme="minorHAnsi"/>
        </w:rPr>
        <w:t xml:space="preserve"> realizace</w:t>
      </w:r>
      <w:r w:rsidR="00CE447E">
        <w:rPr>
          <w:rFonts w:cstheme="minorHAnsi"/>
        </w:rPr>
        <w:t xml:space="preserve"> těchto</w:t>
      </w:r>
      <w:r w:rsidR="00CE447E" w:rsidRPr="0080281F">
        <w:rPr>
          <w:rFonts w:cstheme="minorHAnsi"/>
        </w:rPr>
        <w:t xml:space="preserve"> projekt</w:t>
      </w:r>
      <w:r w:rsidR="00CE447E">
        <w:rPr>
          <w:rFonts w:cstheme="minorHAnsi"/>
        </w:rPr>
        <w:t>ů</w:t>
      </w:r>
      <w:r w:rsidR="00CE447E" w:rsidRPr="0080281F">
        <w:rPr>
          <w:rFonts w:cstheme="minorHAnsi"/>
        </w:rPr>
        <w:t>.</w:t>
      </w:r>
    </w:p>
    <w:p w14:paraId="62B1C1FE" w14:textId="763790C5" w:rsidR="00CE447E" w:rsidRDefault="00CE447E" w:rsidP="00D65D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A83021" w14:textId="54F66A72" w:rsidR="00D65D7D" w:rsidRPr="00497CCA" w:rsidRDefault="00D65D7D" w:rsidP="00D65D7D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BA7423">
        <w:rPr>
          <w:rFonts w:cstheme="minorHAnsi"/>
          <w:b/>
          <w:sz w:val="24"/>
          <w:szCs w:val="24"/>
        </w:rPr>
        <w:t xml:space="preserve">CzechInvest </w:t>
      </w:r>
      <w:r w:rsidRPr="00497CCA">
        <w:rPr>
          <w:rFonts w:cstheme="minorHAnsi"/>
          <w:sz w:val="24"/>
          <w:szCs w:val="24"/>
        </w:rPr>
        <w:t xml:space="preserve">realizuje od května 2016 projekt s názvem </w:t>
      </w:r>
      <w:r w:rsidRPr="00E55374">
        <w:rPr>
          <w:rFonts w:eastAsia="Calibri" w:cstheme="minorHAnsi"/>
          <w:i/>
          <w:sz w:val="24"/>
          <w:szCs w:val="24"/>
        </w:rPr>
        <w:t>Interní projekt Agentury CzechInvest pro podporu začínajících inovativních podnikatelů</w:t>
      </w:r>
      <w:r w:rsidR="000E1B29">
        <w:rPr>
          <w:rFonts w:eastAsia="Calibri" w:cstheme="minorHAnsi"/>
          <w:sz w:val="24"/>
          <w:szCs w:val="24"/>
        </w:rPr>
        <w:t>.</w:t>
      </w:r>
      <w:r w:rsidRPr="00497CCA">
        <w:rPr>
          <w:rFonts w:eastAsia="Calibri" w:cstheme="minorHAnsi"/>
          <w:sz w:val="24"/>
          <w:szCs w:val="24"/>
        </w:rPr>
        <w:t xml:space="preserve"> Cílem projektu je </w:t>
      </w:r>
      <w:r w:rsidRPr="00497CCA">
        <w:rPr>
          <w:rFonts w:eastAsia="Calibri" w:cstheme="minorHAnsi"/>
          <w:sz w:val="24"/>
        </w:rPr>
        <w:t xml:space="preserve">urychlení rozvoje podnikatelských aktivit inovativních MSP a získání zkušeností s podnikáním jak v ČR, tak na vyspělých zahraničních trzích, </w:t>
      </w:r>
      <w:r w:rsidR="00787788">
        <w:rPr>
          <w:rFonts w:eastAsia="Calibri" w:cstheme="minorHAnsi"/>
          <w:sz w:val="24"/>
        </w:rPr>
        <w:t xml:space="preserve">a to </w:t>
      </w:r>
      <w:r w:rsidRPr="00497CCA">
        <w:rPr>
          <w:rFonts w:eastAsia="Calibri" w:cstheme="minorHAnsi"/>
          <w:sz w:val="24"/>
        </w:rPr>
        <w:t xml:space="preserve">prostřednictvím specifických poradenských služeb mentorů, přenosu podnikatelského know-how, podpory komercializace produktu a </w:t>
      </w:r>
      <w:r w:rsidRPr="00497CCA">
        <w:rPr>
          <w:rFonts w:eastAsia="Calibri" w:cstheme="minorHAnsi"/>
          <w:sz w:val="24"/>
          <w:szCs w:val="24"/>
        </w:rPr>
        <w:t xml:space="preserve">transferu výsledků vývojových a inovačních aktivit. Je tak v souladu s cílem programu podpory </w:t>
      </w:r>
      <w:r w:rsidRPr="00E55374">
        <w:rPr>
          <w:rFonts w:eastAsia="Calibri" w:cstheme="minorHAnsi"/>
          <w:i/>
          <w:sz w:val="24"/>
          <w:szCs w:val="24"/>
        </w:rPr>
        <w:t>Marketing</w:t>
      </w:r>
      <w:r w:rsidRPr="00497CCA">
        <w:rPr>
          <w:rFonts w:eastAsia="Calibri" w:cstheme="minorHAnsi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</w:rPr>
        <w:t>Celkové výdaj</w:t>
      </w:r>
      <w:r w:rsidR="00B41630">
        <w:rPr>
          <w:rFonts w:cstheme="minorHAnsi"/>
          <w:color w:val="000000"/>
          <w:sz w:val="24"/>
        </w:rPr>
        <w:t>e rozpočtu projektu činily 195,</w:t>
      </w:r>
      <w:r>
        <w:rPr>
          <w:rFonts w:cstheme="minorHAnsi"/>
          <w:color w:val="000000"/>
          <w:sz w:val="24"/>
        </w:rPr>
        <w:t xml:space="preserve">3 mil. Kč, z toho 141,2 mil. Kč činily výdaje za služby, které CzechInvest zajišťoval pro </w:t>
      </w:r>
      <w:r w:rsidR="000E1B29">
        <w:rPr>
          <w:rFonts w:cstheme="minorHAnsi"/>
          <w:color w:val="000000"/>
          <w:sz w:val="24"/>
        </w:rPr>
        <w:t>MSP</w:t>
      </w:r>
      <w:r>
        <w:rPr>
          <w:rFonts w:cstheme="minorHAnsi"/>
          <w:color w:val="000000"/>
          <w:sz w:val="24"/>
        </w:rPr>
        <w:t xml:space="preserve"> a z podpory hradil. Celkem 54,1 mil. Kč, tj. </w:t>
      </w:r>
      <w:r>
        <w:rPr>
          <w:rFonts w:cstheme="minorHAnsi"/>
          <w:b/>
          <w:color w:val="000000"/>
          <w:sz w:val="24"/>
        </w:rPr>
        <w:t>27,7</w:t>
      </w:r>
      <w:r w:rsidR="000B4A8E">
        <w:rPr>
          <w:rFonts w:cstheme="minorHAnsi"/>
          <w:b/>
          <w:color w:val="000000"/>
          <w:sz w:val="24"/>
        </w:rPr>
        <w:t> </w:t>
      </w:r>
      <w:r w:rsidRPr="00497CCA">
        <w:rPr>
          <w:rFonts w:cstheme="minorHAnsi"/>
          <w:b/>
          <w:color w:val="000000"/>
          <w:sz w:val="24"/>
        </w:rPr>
        <w:t>%</w:t>
      </w:r>
      <w:r w:rsidR="000B4A8E">
        <w:rPr>
          <w:rFonts w:cstheme="minorHAnsi"/>
          <w:b/>
          <w:color w:val="000000"/>
          <w:sz w:val="24"/>
        </w:rPr>
        <w:t>,</w:t>
      </w:r>
      <w:r w:rsidR="00F0182A">
        <w:rPr>
          <w:rFonts w:cstheme="minorHAnsi"/>
          <w:b/>
          <w:color w:val="000000"/>
          <w:sz w:val="24"/>
        </w:rPr>
        <w:t xml:space="preserve"> </w:t>
      </w:r>
      <w:r w:rsidRPr="00497CCA">
        <w:rPr>
          <w:rFonts w:cstheme="minorHAnsi"/>
          <w:b/>
          <w:color w:val="000000"/>
          <w:sz w:val="24"/>
        </w:rPr>
        <w:t xml:space="preserve">bylo vyčleněno </w:t>
      </w:r>
      <w:r w:rsidR="00787788">
        <w:rPr>
          <w:rFonts w:cstheme="minorHAnsi"/>
          <w:b/>
          <w:color w:val="000000"/>
          <w:sz w:val="24"/>
        </w:rPr>
        <w:t>na</w:t>
      </w:r>
      <w:r w:rsidRPr="00497CCA">
        <w:rPr>
          <w:rFonts w:cstheme="minorHAnsi"/>
          <w:b/>
          <w:color w:val="000000"/>
          <w:sz w:val="24"/>
        </w:rPr>
        <w:t xml:space="preserve"> výdaje samotné</w:t>
      </w:r>
      <w:r w:rsidR="00787788">
        <w:rPr>
          <w:rFonts w:cstheme="minorHAnsi"/>
          <w:b/>
          <w:color w:val="000000"/>
          <w:sz w:val="24"/>
        </w:rPr>
        <w:t xml:space="preserve"> agentury</w:t>
      </w:r>
      <w:r w:rsidRPr="00497CCA">
        <w:rPr>
          <w:rFonts w:cstheme="minorHAnsi"/>
          <w:b/>
          <w:color w:val="000000"/>
          <w:sz w:val="24"/>
        </w:rPr>
        <w:t xml:space="preserve"> CzechInvest na zajištění realizace </w:t>
      </w:r>
      <w:r w:rsidR="005B3F13">
        <w:rPr>
          <w:rFonts w:cstheme="minorHAnsi"/>
          <w:b/>
          <w:color w:val="000000"/>
          <w:sz w:val="24"/>
        </w:rPr>
        <w:t>projektu</w:t>
      </w:r>
      <w:r w:rsidRPr="00497CCA">
        <w:rPr>
          <w:rFonts w:cstheme="minorHAnsi"/>
          <w:b/>
          <w:color w:val="000000"/>
          <w:sz w:val="24"/>
        </w:rPr>
        <w:t xml:space="preserve">. </w:t>
      </w:r>
      <w:r w:rsidR="00F566A8" w:rsidRPr="00A06575">
        <w:rPr>
          <w:rFonts w:cstheme="minorHAnsi"/>
          <w:color w:val="000000"/>
          <w:sz w:val="24"/>
        </w:rPr>
        <w:t xml:space="preserve">Informace o projektu </w:t>
      </w:r>
      <w:proofErr w:type="spellStart"/>
      <w:r w:rsidR="00F566A8" w:rsidRPr="00A06575">
        <w:rPr>
          <w:rFonts w:cstheme="minorHAnsi"/>
          <w:color w:val="000000"/>
          <w:sz w:val="24"/>
        </w:rPr>
        <w:t>CzechInvestu</w:t>
      </w:r>
      <w:proofErr w:type="spellEnd"/>
      <w:r w:rsidR="00F566A8" w:rsidRPr="00A06575">
        <w:rPr>
          <w:rFonts w:cstheme="minorHAnsi"/>
          <w:color w:val="000000"/>
          <w:sz w:val="24"/>
        </w:rPr>
        <w:t xml:space="preserve"> jsou čerpány z podkladů předaných </w:t>
      </w:r>
      <w:r w:rsidR="00787788">
        <w:rPr>
          <w:rFonts w:cstheme="minorHAnsi"/>
          <w:color w:val="000000"/>
          <w:sz w:val="24"/>
        </w:rPr>
        <w:t>Ministerstvem průmyslu a obchodu</w:t>
      </w:r>
      <w:r w:rsidR="00F566A8" w:rsidRPr="00A06575">
        <w:rPr>
          <w:rFonts w:cstheme="minorHAnsi"/>
          <w:color w:val="000000"/>
          <w:sz w:val="24"/>
        </w:rPr>
        <w:t>.</w:t>
      </w:r>
    </w:p>
    <w:p w14:paraId="714B1E88" w14:textId="77777777" w:rsidR="00D65D7D" w:rsidRDefault="00D65D7D" w:rsidP="00D65D7D">
      <w:pPr>
        <w:spacing w:after="0" w:line="240" w:lineRule="auto"/>
        <w:jc w:val="both"/>
        <w:rPr>
          <w:rFonts w:cstheme="minorHAnsi"/>
          <w:color w:val="000000"/>
          <w:sz w:val="24"/>
        </w:rPr>
      </w:pPr>
    </w:p>
    <w:p w14:paraId="69DF2F3F" w14:textId="2A00C413" w:rsidR="00D65D7D" w:rsidRPr="00BA7423" w:rsidRDefault="00D65D7D" w:rsidP="00D65D7D">
      <w:pPr>
        <w:spacing w:after="0" w:line="240" w:lineRule="auto"/>
        <w:jc w:val="both"/>
        <w:rPr>
          <w:rFonts w:cstheme="minorHAnsi"/>
          <w:b/>
          <w:color w:val="000000"/>
          <w:sz w:val="24"/>
        </w:rPr>
      </w:pPr>
      <w:r w:rsidRPr="00320ABC">
        <w:rPr>
          <w:rFonts w:cstheme="minorHAnsi"/>
          <w:b/>
          <w:color w:val="000000"/>
          <w:sz w:val="24"/>
        </w:rPr>
        <w:t>CzechTrade</w:t>
      </w:r>
      <w:r w:rsidRPr="00320ABC">
        <w:rPr>
          <w:rFonts w:cstheme="minorHAnsi"/>
          <w:color w:val="000000"/>
          <w:sz w:val="24"/>
        </w:rPr>
        <w:t xml:space="preserve"> realizuje od dubna 2016 celkem tři interní projekty</w:t>
      </w:r>
      <w:r>
        <w:rPr>
          <w:rFonts w:cstheme="minorHAnsi"/>
          <w:color w:val="000000"/>
          <w:sz w:val="24"/>
        </w:rPr>
        <w:t xml:space="preserve">, a to projekt </w:t>
      </w:r>
      <w:r w:rsidRPr="00BA7423">
        <w:rPr>
          <w:rFonts w:cstheme="minorHAnsi"/>
          <w:b/>
          <w:color w:val="000000"/>
          <w:sz w:val="24"/>
        </w:rPr>
        <w:t>NOVUMM</w:t>
      </w:r>
      <w:r w:rsidR="00320ABC">
        <w:rPr>
          <w:rFonts w:cstheme="minorHAnsi"/>
          <w:b/>
          <w:color w:val="000000"/>
          <w:sz w:val="24"/>
        </w:rPr>
        <w:t>,</w:t>
      </w:r>
      <w:r>
        <w:rPr>
          <w:rFonts w:cstheme="minorHAnsi"/>
          <w:color w:val="000000"/>
          <w:sz w:val="24"/>
        </w:rPr>
        <w:t xml:space="preserve"> zaměřený na vstup MSP na zahraniční trhy prostřednictvím zajištění jejich účasti na zahraničních veletrzích a výstavách, </w:t>
      </w:r>
      <w:r w:rsidRPr="00BA7423">
        <w:rPr>
          <w:rFonts w:cstheme="minorHAnsi"/>
          <w:b/>
          <w:color w:val="000000"/>
          <w:sz w:val="24"/>
        </w:rPr>
        <w:t>NOVUMM KET</w:t>
      </w:r>
      <w:r w:rsidR="00320ABC">
        <w:rPr>
          <w:rFonts w:cstheme="minorHAnsi"/>
          <w:b/>
          <w:color w:val="000000"/>
          <w:sz w:val="24"/>
        </w:rPr>
        <w:t>,</w:t>
      </w:r>
      <w:r>
        <w:rPr>
          <w:rFonts w:cstheme="minorHAnsi"/>
          <w:color w:val="000000"/>
          <w:sz w:val="24"/>
        </w:rPr>
        <w:t xml:space="preserve"> zaměřený na stejnou oblast se specializací na nové technologie</w:t>
      </w:r>
      <w:r w:rsidRPr="00353725">
        <w:rPr>
          <w:rFonts w:eastAsia="Calibri" w:cstheme="minorHAnsi"/>
          <w:sz w:val="20"/>
          <w:szCs w:val="20"/>
          <w:vertAlign w:val="superscript"/>
        </w:rPr>
        <w:footnoteReference w:id="16"/>
      </w:r>
      <w:r w:rsidR="00320ABC">
        <w:rPr>
          <w:rFonts w:cstheme="minorHAnsi"/>
          <w:color w:val="000000"/>
          <w:sz w:val="24"/>
        </w:rPr>
        <w:t>,</w:t>
      </w:r>
      <w:r>
        <w:rPr>
          <w:rFonts w:cstheme="minorHAnsi"/>
          <w:color w:val="000000"/>
          <w:sz w:val="24"/>
        </w:rPr>
        <w:t xml:space="preserve"> a projekt </w:t>
      </w:r>
      <w:r w:rsidRPr="00E55374">
        <w:rPr>
          <w:rFonts w:cstheme="minorHAnsi"/>
          <w:b/>
          <w:i/>
          <w:color w:val="000000"/>
          <w:sz w:val="24"/>
        </w:rPr>
        <w:t>Design pro konkurenceschopnost</w:t>
      </w:r>
      <w:r w:rsidR="00320ABC">
        <w:rPr>
          <w:rFonts w:cstheme="minorHAnsi"/>
          <w:b/>
          <w:color w:val="000000"/>
          <w:sz w:val="24"/>
        </w:rPr>
        <w:t>,</w:t>
      </w:r>
      <w:r>
        <w:rPr>
          <w:rFonts w:cstheme="minorHAnsi"/>
          <w:color w:val="000000"/>
          <w:sz w:val="24"/>
        </w:rPr>
        <w:t xml:space="preserve"> zaměřený na spolupráci s design</w:t>
      </w:r>
      <w:r w:rsidR="00320ABC">
        <w:rPr>
          <w:rFonts w:cstheme="minorHAnsi"/>
          <w:color w:val="000000"/>
          <w:sz w:val="24"/>
        </w:rPr>
        <w:t>é</w:t>
      </w:r>
      <w:r>
        <w:rPr>
          <w:rFonts w:cstheme="minorHAnsi"/>
          <w:color w:val="000000"/>
          <w:sz w:val="24"/>
        </w:rPr>
        <w:t xml:space="preserve">rem a propagaci designu v zahraničí prostřednictvím účasti na veletrzích, výstavách apod. Celkové výdaje </w:t>
      </w:r>
      <w:r w:rsidR="00320ABC">
        <w:rPr>
          <w:rFonts w:cstheme="minorHAnsi"/>
          <w:color w:val="000000"/>
          <w:sz w:val="24"/>
        </w:rPr>
        <w:t>těchto</w:t>
      </w:r>
      <w:r>
        <w:rPr>
          <w:rFonts w:cstheme="minorHAnsi"/>
          <w:color w:val="000000"/>
          <w:sz w:val="24"/>
        </w:rPr>
        <w:t xml:space="preserve"> tří projektů činily 315,3 mil. Kč, z toho 196,1 mil. Kč činily výdaje za služby, které CzechTrade zajišťoval pro </w:t>
      </w:r>
      <w:r w:rsidR="000E1B29">
        <w:rPr>
          <w:rFonts w:cstheme="minorHAnsi"/>
          <w:color w:val="000000"/>
          <w:sz w:val="24"/>
        </w:rPr>
        <w:t>MSP</w:t>
      </w:r>
      <w:r w:rsidR="00320ABC">
        <w:rPr>
          <w:rFonts w:cstheme="minorHAnsi"/>
          <w:color w:val="000000"/>
          <w:sz w:val="24"/>
        </w:rPr>
        <w:t>,</w:t>
      </w:r>
      <w:r>
        <w:rPr>
          <w:rFonts w:cstheme="minorHAnsi"/>
          <w:color w:val="000000"/>
          <w:sz w:val="24"/>
        </w:rPr>
        <w:t xml:space="preserve"> a 119,2 mil. Kč, tj. 38 %</w:t>
      </w:r>
      <w:r w:rsidR="000B4A8E">
        <w:rPr>
          <w:rFonts w:cstheme="minorHAnsi"/>
          <w:color w:val="000000"/>
          <w:sz w:val="24"/>
        </w:rPr>
        <w:t>,</w:t>
      </w:r>
      <w:r>
        <w:rPr>
          <w:rFonts w:cstheme="minorHAnsi"/>
          <w:color w:val="000000"/>
          <w:sz w:val="24"/>
        </w:rPr>
        <w:t xml:space="preserve"> bylo vyčleněno</w:t>
      </w:r>
      <w:r w:rsidR="000B4A8E">
        <w:rPr>
          <w:rFonts w:cstheme="minorHAnsi"/>
          <w:color w:val="000000"/>
          <w:sz w:val="24"/>
        </w:rPr>
        <w:t xml:space="preserve"> pro </w:t>
      </w:r>
      <w:r w:rsidR="000B4A8E">
        <w:rPr>
          <w:rFonts w:cstheme="minorHAnsi"/>
          <w:color w:val="000000"/>
          <w:sz w:val="24"/>
        </w:rPr>
        <w:lastRenderedPageBreak/>
        <w:t xml:space="preserve">výdaje samotné </w:t>
      </w:r>
      <w:r w:rsidR="00AC22E8">
        <w:rPr>
          <w:rFonts w:cstheme="minorHAnsi"/>
          <w:color w:val="000000"/>
          <w:sz w:val="24"/>
        </w:rPr>
        <w:t xml:space="preserve">agentury </w:t>
      </w:r>
      <w:r w:rsidR="000B4A8E">
        <w:rPr>
          <w:rFonts w:cstheme="minorHAnsi"/>
          <w:color w:val="000000"/>
          <w:sz w:val="24"/>
        </w:rPr>
        <w:t>CzechTrade</w:t>
      </w:r>
      <w:r>
        <w:rPr>
          <w:rFonts w:cstheme="minorHAnsi"/>
          <w:color w:val="000000"/>
          <w:sz w:val="24"/>
        </w:rPr>
        <w:t xml:space="preserve"> na zajišťování realizace projektů. </w:t>
      </w:r>
      <w:r w:rsidR="00F0182A">
        <w:rPr>
          <w:rFonts w:cstheme="minorHAnsi"/>
          <w:b/>
          <w:color w:val="000000"/>
          <w:sz w:val="24"/>
        </w:rPr>
        <w:t>Skutečné čerpání do 31. </w:t>
      </w:r>
      <w:r w:rsidR="00CE447E" w:rsidRPr="00BA7423">
        <w:rPr>
          <w:rFonts w:cstheme="minorHAnsi"/>
          <w:b/>
          <w:color w:val="000000"/>
          <w:sz w:val="24"/>
        </w:rPr>
        <w:t xml:space="preserve">prosince 2019 ukazuje, že výdaje </w:t>
      </w:r>
      <w:r w:rsidR="00AC22E8">
        <w:rPr>
          <w:rFonts w:cstheme="minorHAnsi"/>
          <w:b/>
          <w:color w:val="000000"/>
          <w:sz w:val="24"/>
        </w:rPr>
        <w:t xml:space="preserve">agentury </w:t>
      </w:r>
      <w:r w:rsidR="00CE447E" w:rsidRPr="00BA7423">
        <w:rPr>
          <w:rFonts w:cstheme="minorHAnsi"/>
          <w:b/>
          <w:color w:val="000000"/>
          <w:sz w:val="24"/>
        </w:rPr>
        <w:t>CzechTrad</w:t>
      </w:r>
      <w:r w:rsidR="000B4A8E">
        <w:rPr>
          <w:rFonts w:cstheme="minorHAnsi"/>
          <w:b/>
          <w:color w:val="000000"/>
          <w:sz w:val="24"/>
        </w:rPr>
        <w:t>e</w:t>
      </w:r>
      <w:r w:rsidR="00CE447E" w:rsidRPr="00BA7423">
        <w:rPr>
          <w:rFonts w:cstheme="minorHAnsi"/>
          <w:b/>
          <w:color w:val="000000"/>
          <w:sz w:val="24"/>
        </w:rPr>
        <w:t xml:space="preserve"> na zajištění realizace</w:t>
      </w:r>
      <w:r w:rsidR="00BA7423">
        <w:rPr>
          <w:rFonts w:cstheme="minorHAnsi"/>
          <w:b/>
          <w:color w:val="000000"/>
          <w:sz w:val="24"/>
        </w:rPr>
        <w:t xml:space="preserve"> těchto tří</w:t>
      </w:r>
      <w:r w:rsidR="00CE447E" w:rsidRPr="00BA7423">
        <w:rPr>
          <w:rFonts w:cstheme="minorHAnsi"/>
          <w:b/>
          <w:color w:val="000000"/>
          <w:sz w:val="24"/>
        </w:rPr>
        <w:t xml:space="preserve"> projektů dosahují</w:t>
      </w:r>
      <w:r w:rsidR="00BA7423">
        <w:rPr>
          <w:rFonts w:cstheme="minorHAnsi"/>
          <w:b/>
          <w:color w:val="000000"/>
          <w:sz w:val="24"/>
        </w:rPr>
        <w:t xml:space="preserve"> v </w:t>
      </w:r>
      <w:r w:rsidR="00CE447E" w:rsidRPr="00BA7423">
        <w:rPr>
          <w:rFonts w:cstheme="minorHAnsi"/>
          <w:b/>
          <w:color w:val="000000"/>
          <w:sz w:val="24"/>
        </w:rPr>
        <w:t>průměr</w:t>
      </w:r>
      <w:r w:rsidR="00BA7423">
        <w:rPr>
          <w:rFonts w:cstheme="minorHAnsi"/>
          <w:b/>
          <w:color w:val="000000"/>
          <w:sz w:val="24"/>
        </w:rPr>
        <w:t>u</w:t>
      </w:r>
      <w:r w:rsidR="00CE447E" w:rsidRPr="00BA7423">
        <w:rPr>
          <w:rFonts w:cstheme="minorHAnsi"/>
          <w:b/>
          <w:color w:val="000000"/>
          <w:sz w:val="24"/>
        </w:rPr>
        <w:t xml:space="preserve"> 47 % </w:t>
      </w:r>
      <w:r w:rsidR="00BA7423">
        <w:rPr>
          <w:rFonts w:cstheme="minorHAnsi"/>
          <w:b/>
          <w:color w:val="000000"/>
          <w:sz w:val="24"/>
        </w:rPr>
        <w:t xml:space="preserve">jejich </w:t>
      </w:r>
      <w:r w:rsidR="00CE447E" w:rsidRPr="00BA7423">
        <w:rPr>
          <w:rFonts w:cstheme="minorHAnsi"/>
          <w:b/>
          <w:color w:val="000000"/>
          <w:sz w:val="24"/>
        </w:rPr>
        <w:t>celkových výdajů.</w:t>
      </w:r>
    </w:p>
    <w:p w14:paraId="32246B84" w14:textId="7A6EE205" w:rsidR="00D65D7D" w:rsidRDefault="00D65D7D" w:rsidP="00D65D7D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97CCA">
        <w:rPr>
          <w:rFonts w:cstheme="minorHAnsi"/>
          <w:color w:val="000000"/>
          <w:sz w:val="24"/>
        </w:rPr>
        <w:t xml:space="preserve">Rozpočet výdajů projektu </w:t>
      </w:r>
      <w:r w:rsidRPr="00FF08B0">
        <w:rPr>
          <w:rFonts w:cstheme="minorHAnsi"/>
          <w:b/>
          <w:color w:val="000000"/>
          <w:sz w:val="24"/>
        </w:rPr>
        <w:t>NOVUMM</w:t>
      </w:r>
      <w:r w:rsidRPr="00497CCA">
        <w:rPr>
          <w:rFonts w:cstheme="minorHAnsi"/>
          <w:color w:val="000000"/>
          <w:sz w:val="24"/>
        </w:rPr>
        <w:t xml:space="preserve"> v celkové výši 190</w:t>
      </w:r>
      <w:r w:rsidR="000E1B29">
        <w:rPr>
          <w:rFonts w:cstheme="minorHAnsi"/>
          <w:color w:val="000000"/>
          <w:sz w:val="24"/>
        </w:rPr>
        <w:t>,3</w:t>
      </w:r>
      <w:r w:rsidRPr="00497CCA">
        <w:rPr>
          <w:rFonts w:cstheme="minorHAnsi"/>
          <w:color w:val="000000"/>
          <w:sz w:val="24"/>
        </w:rPr>
        <w:t xml:space="preserve"> mil. Kč uvažoval s výdaji ve výši </w:t>
      </w:r>
      <w:r w:rsidRPr="00497CCA">
        <w:rPr>
          <w:rFonts w:cstheme="minorHAnsi"/>
          <w:sz w:val="24"/>
          <w:szCs w:val="24"/>
        </w:rPr>
        <w:t xml:space="preserve">120 mil. Kč za služby určené pro </w:t>
      </w:r>
      <w:r w:rsidR="000B4A8E">
        <w:rPr>
          <w:rFonts w:cstheme="minorHAnsi"/>
          <w:sz w:val="24"/>
          <w:szCs w:val="24"/>
        </w:rPr>
        <w:t>MSP</w:t>
      </w:r>
      <w:r w:rsidRPr="00497CCA">
        <w:rPr>
          <w:rFonts w:cstheme="minorHAnsi"/>
          <w:sz w:val="24"/>
          <w:szCs w:val="24"/>
        </w:rPr>
        <w:t xml:space="preserve"> a s výdaji ve výši 70</w:t>
      </w:r>
      <w:r w:rsidR="000E1B29">
        <w:rPr>
          <w:rFonts w:cstheme="minorHAnsi"/>
          <w:sz w:val="24"/>
          <w:szCs w:val="24"/>
        </w:rPr>
        <w:t>,3</w:t>
      </w:r>
      <w:r w:rsidR="00380851">
        <w:rPr>
          <w:rFonts w:cstheme="minorHAnsi"/>
          <w:sz w:val="24"/>
          <w:szCs w:val="24"/>
        </w:rPr>
        <w:t xml:space="preserve"> mil. Kč (37</w:t>
      </w:r>
      <w:r w:rsidRPr="00497CCA">
        <w:rPr>
          <w:rFonts w:cstheme="minorHAnsi"/>
          <w:sz w:val="24"/>
          <w:szCs w:val="24"/>
        </w:rPr>
        <w:t xml:space="preserve"> %) na zajištění </w:t>
      </w:r>
      <w:r w:rsidR="00F566A8">
        <w:rPr>
          <w:rFonts w:cstheme="minorHAnsi"/>
          <w:sz w:val="24"/>
          <w:szCs w:val="24"/>
        </w:rPr>
        <w:t xml:space="preserve">administrace a </w:t>
      </w:r>
      <w:r w:rsidRPr="00497CCA">
        <w:rPr>
          <w:rFonts w:cstheme="minorHAnsi"/>
          <w:sz w:val="24"/>
          <w:szCs w:val="24"/>
        </w:rPr>
        <w:t>realizace projektu (mzdy, cestovné, společný stánek, režijní náklady CzechTrad</w:t>
      </w:r>
      <w:r w:rsidR="00AC6975">
        <w:rPr>
          <w:rFonts w:cstheme="minorHAnsi"/>
          <w:sz w:val="24"/>
          <w:szCs w:val="24"/>
        </w:rPr>
        <w:t>e</w:t>
      </w:r>
      <w:r w:rsidRPr="00497CCA">
        <w:rPr>
          <w:rFonts w:cstheme="minorHAnsi"/>
          <w:sz w:val="24"/>
          <w:szCs w:val="24"/>
        </w:rPr>
        <w:t>). Skutečný podíl výdajů na administraci</w:t>
      </w:r>
      <w:r w:rsidR="00F566A8">
        <w:rPr>
          <w:rFonts w:cstheme="minorHAnsi"/>
          <w:sz w:val="24"/>
          <w:szCs w:val="24"/>
        </w:rPr>
        <w:t xml:space="preserve"> a realizaci</w:t>
      </w:r>
      <w:r w:rsidRPr="00497CCA">
        <w:rPr>
          <w:rFonts w:cstheme="minorHAnsi"/>
          <w:sz w:val="24"/>
          <w:szCs w:val="24"/>
        </w:rPr>
        <w:t xml:space="preserve"> projektu k datu </w:t>
      </w:r>
      <w:r>
        <w:rPr>
          <w:rFonts w:cstheme="minorHAnsi"/>
          <w:sz w:val="24"/>
          <w:szCs w:val="24"/>
        </w:rPr>
        <w:t>31. prosince 2019</w:t>
      </w:r>
      <w:r w:rsidRPr="00497CCA">
        <w:rPr>
          <w:rFonts w:cstheme="minorHAnsi"/>
          <w:sz w:val="24"/>
          <w:szCs w:val="24"/>
        </w:rPr>
        <w:t xml:space="preserve"> byl ještě vyšší, činil </w:t>
      </w:r>
      <w:r>
        <w:rPr>
          <w:rFonts w:cstheme="minorHAnsi"/>
          <w:sz w:val="24"/>
          <w:szCs w:val="24"/>
        </w:rPr>
        <w:t>37,6</w:t>
      </w:r>
      <w:r w:rsidRPr="00497CCA">
        <w:rPr>
          <w:rFonts w:cstheme="minorHAnsi"/>
          <w:sz w:val="24"/>
          <w:szCs w:val="24"/>
        </w:rPr>
        <w:t xml:space="preserve"> mil. Kč, tj</w:t>
      </w:r>
      <w:r w:rsidRPr="00BA7423">
        <w:rPr>
          <w:rFonts w:cstheme="minorHAnsi"/>
          <w:sz w:val="24"/>
          <w:szCs w:val="24"/>
        </w:rPr>
        <w:t>. 46</w:t>
      </w:r>
      <w:r w:rsidR="00380851">
        <w:rPr>
          <w:rFonts w:cstheme="minorHAnsi"/>
          <w:sz w:val="24"/>
          <w:szCs w:val="24"/>
        </w:rPr>
        <w:t>,2</w:t>
      </w:r>
      <w:r w:rsidRPr="00BA7423">
        <w:rPr>
          <w:rFonts w:cstheme="minorHAnsi"/>
          <w:sz w:val="24"/>
          <w:szCs w:val="24"/>
        </w:rPr>
        <w:t xml:space="preserve"> % z celkových vyčerpaných prostředků na projekt.</w:t>
      </w:r>
    </w:p>
    <w:p w14:paraId="3A3D6272" w14:textId="07268B76" w:rsidR="00D65D7D" w:rsidRDefault="00D65D7D" w:rsidP="00D65D7D">
      <w:pPr>
        <w:pStyle w:val="Odstavecseseznamem"/>
        <w:numPr>
          <w:ilvl w:val="0"/>
          <w:numId w:val="46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</w:rPr>
        <w:t xml:space="preserve">Rozpočet výdajů projektu </w:t>
      </w:r>
      <w:r w:rsidRPr="00FF08B0">
        <w:rPr>
          <w:rFonts w:cstheme="minorHAnsi"/>
          <w:b/>
          <w:color w:val="000000"/>
          <w:sz w:val="24"/>
        </w:rPr>
        <w:t>NOVUMM KET</w:t>
      </w:r>
      <w:r w:rsidRPr="00497CCA">
        <w:rPr>
          <w:rFonts w:cstheme="minorHAnsi"/>
          <w:color w:val="000000"/>
          <w:sz w:val="24"/>
        </w:rPr>
        <w:t xml:space="preserve"> v celkové výši </w:t>
      </w:r>
      <w:r>
        <w:rPr>
          <w:rFonts w:cstheme="minorHAnsi"/>
          <w:color w:val="000000"/>
          <w:sz w:val="24"/>
        </w:rPr>
        <w:t>97,9</w:t>
      </w:r>
      <w:r w:rsidRPr="00497CCA">
        <w:rPr>
          <w:rFonts w:cstheme="minorHAnsi"/>
          <w:color w:val="000000"/>
          <w:sz w:val="24"/>
        </w:rPr>
        <w:t xml:space="preserve"> mil. Kč </w:t>
      </w:r>
      <w:r w:rsidR="00886681">
        <w:rPr>
          <w:rFonts w:cstheme="minorHAnsi"/>
          <w:color w:val="000000"/>
          <w:sz w:val="24"/>
        </w:rPr>
        <w:t>(</w:t>
      </w:r>
      <w:r w:rsidR="00886681" w:rsidRPr="00497CCA">
        <w:rPr>
          <w:rFonts w:cstheme="minorHAnsi"/>
          <w:color w:val="000000"/>
          <w:sz w:val="24"/>
        </w:rPr>
        <w:t>po změnách</w:t>
      </w:r>
      <w:r w:rsidR="00886681">
        <w:rPr>
          <w:rFonts w:cstheme="minorHAnsi"/>
          <w:color w:val="000000"/>
          <w:sz w:val="24"/>
        </w:rPr>
        <w:t>)</w:t>
      </w:r>
      <w:r w:rsidR="00886681" w:rsidRPr="00497CCA">
        <w:rPr>
          <w:rFonts w:cstheme="minorHAnsi"/>
          <w:color w:val="000000"/>
          <w:sz w:val="24"/>
        </w:rPr>
        <w:t xml:space="preserve"> </w:t>
      </w:r>
      <w:r w:rsidRPr="00497CCA">
        <w:rPr>
          <w:rFonts w:cstheme="minorHAnsi"/>
          <w:color w:val="000000"/>
          <w:sz w:val="24"/>
        </w:rPr>
        <w:t xml:space="preserve">uvažoval s výdaji ve výši </w:t>
      </w:r>
      <w:r w:rsidR="00380851">
        <w:rPr>
          <w:rFonts w:cstheme="minorHAnsi"/>
          <w:sz w:val="24"/>
          <w:szCs w:val="24"/>
        </w:rPr>
        <w:t>57,8</w:t>
      </w:r>
      <w:r w:rsidRPr="00497CCA">
        <w:rPr>
          <w:rFonts w:cstheme="minorHAnsi"/>
          <w:sz w:val="24"/>
          <w:szCs w:val="24"/>
        </w:rPr>
        <w:t xml:space="preserve"> mil. Kč za služby určené pro </w:t>
      </w:r>
      <w:r w:rsidR="00AC6975">
        <w:rPr>
          <w:rFonts w:cstheme="minorHAnsi"/>
          <w:sz w:val="24"/>
          <w:szCs w:val="24"/>
        </w:rPr>
        <w:t>MSP</w:t>
      </w:r>
      <w:r w:rsidRPr="00497CCA">
        <w:rPr>
          <w:rFonts w:cstheme="minorHAnsi"/>
          <w:sz w:val="24"/>
          <w:szCs w:val="24"/>
        </w:rPr>
        <w:t xml:space="preserve"> a s výdaji ve výši </w:t>
      </w:r>
      <w:r>
        <w:rPr>
          <w:rFonts w:cstheme="minorHAnsi"/>
          <w:sz w:val="24"/>
          <w:szCs w:val="24"/>
        </w:rPr>
        <w:t>40,1</w:t>
      </w:r>
      <w:r w:rsidRPr="00497CCA">
        <w:rPr>
          <w:rFonts w:cstheme="minorHAnsi"/>
          <w:sz w:val="24"/>
          <w:szCs w:val="24"/>
        </w:rPr>
        <w:t xml:space="preserve"> mil. Kč (41 %) na zajištění</w:t>
      </w:r>
      <w:r w:rsidR="00F566A8">
        <w:rPr>
          <w:rFonts w:cstheme="minorHAnsi"/>
          <w:sz w:val="24"/>
          <w:szCs w:val="24"/>
        </w:rPr>
        <w:t xml:space="preserve"> administrace a</w:t>
      </w:r>
      <w:r w:rsidRPr="00497CCA">
        <w:rPr>
          <w:rFonts w:cstheme="minorHAnsi"/>
          <w:sz w:val="24"/>
          <w:szCs w:val="24"/>
        </w:rPr>
        <w:t xml:space="preserve"> realizace projektu (mzdy, cestovné, společný st</w:t>
      </w:r>
      <w:r w:rsidR="00AC6975">
        <w:rPr>
          <w:rFonts w:cstheme="minorHAnsi"/>
          <w:sz w:val="24"/>
          <w:szCs w:val="24"/>
        </w:rPr>
        <w:t>ánek, režijní náklady CzechTrade</w:t>
      </w:r>
      <w:r w:rsidRPr="00497CCA">
        <w:rPr>
          <w:rFonts w:cstheme="minorHAnsi"/>
          <w:sz w:val="24"/>
          <w:szCs w:val="24"/>
        </w:rPr>
        <w:t>). Skutečný podíl výdajů na administraci</w:t>
      </w:r>
      <w:r w:rsidR="00F566A8">
        <w:rPr>
          <w:rFonts w:cstheme="minorHAnsi"/>
          <w:sz w:val="24"/>
          <w:szCs w:val="24"/>
        </w:rPr>
        <w:t xml:space="preserve"> a realizaci</w:t>
      </w:r>
      <w:r w:rsidR="00B41630">
        <w:rPr>
          <w:rFonts w:cstheme="minorHAnsi"/>
          <w:sz w:val="24"/>
          <w:szCs w:val="24"/>
        </w:rPr>
        <w:t xml:space="preserve"> projektu k 31. </w:t>
      </w:r>
      <w:r w:rsidRPr="00497CCA">
        <w:rPr>
          <w:rFonts w:cstheme="minorHAnsi"/>
          <w:sz w:val="24"/>
          <w:szCs w:val="24"/>
        </w:rPr>
        <w:t xml:space="preserve">prosinci 2019 byl ještě vyšší, činil </w:t>
      </w:r>
      <w:r>
        <w:rPr>
          <w:rFonts w:cstheme="minorHAnsi"/>
          <w:sz w:val="24"/>
          <w:szCs w:val="24"/>
        </w:rPr>
        <w:t>21,6</w:t>
      </w:r>
      <w:r w:rsidRPr="00497CCA">
        <w:rPr>
          <w:rFonts w:cstheme="minorHAnsi"/>
          <w:sz w:val="24"/>
          <w:szCs w:val="24"/>
        </w:rPr>
        <w:t xml:space="preserve"> mil. Kč, </w:t>
      </w:r>
      <w:r w:rsidR="00872C9A">
        <w:rPr>
          <w:rFonts w:cstheme="minorHAnsi"/>
          <w:sz w:val="24"/>
          <w:szCs w:val="24"/>
        </w:rPr>
        <w:t>což bylo</w:t>
      </w:r>
      <w:r w:rsidRPr="00497CCA">
        <w:rPr>
          <w:rFonts w:cstheme="minorHAnsi"/>
          <w:sz w:val="24"/>
          <w:szCs w:val="24"/>
        </w:rPr>
        <w:t xml:space="preserve"> </w:t>
      </w:r>
      <w:r w:rsidRPr="00BA7423">
        <w:rPr>
          <w:rFonts w:cstheme="minorHAnsi"/>
          <w:sz w:val="24"/>
          <w:szCs w:val="24"/>
        </w:rPr>
        <w:t xml:space="preserve">53 % z celkových vyčerpaných prostředků na projekt. </w:t>
      </w:r>
      <w:r w:rsidRPr="00497CCA">
        <w:rPr>
          <w:rFonts w:cstheme="minorHAnsi"/>
          <w:sz w:val="24"/>
          <w:szCs w:val="24"/>
        </w:rPr>
        <w:t xml:space="preserve">Vyšší náklady oproti plánovaným jsou v oblasti realizace společných českých expozic a ve mzdách realizačního týmu. </w:t>
      </w:r>
      <w:r w:rsidRPr="00FF08B0">
        <w:rPr>
          <w:rFonts w:cstheme="minorHAnsi"/>
          <w:sz w:val="24"/>
          <w:szCs w:val="24"/>
        </w:rPr>
        <w:t>Náklady na zajištění podpory z projektu NOVUMM KET tak byly vyšší než samotná podpora směřující k MSP.</w:t>
      </w:r>
    </w:p>
    <w:p w14:paraId="5FF691CB" w14:textId="4A195859" w:rsidR="00D65D7D" w:rsidRPr="00497CCA" w:rsidRDefault="00D65D7D" w:rsidP="00D65D7D">
      <w:pPr>
        <w:pStyle w:val="Odstavecseseznamem"/>
        <w:numPr>
          <w:ilvl w:val="0"/>
          <w:numId w:val="46"/>
        </w:numPr>
        <w:spacing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97CCA">
        <w:rPr>
          <w:rFonts w:cstheme="minorHAnsi"/>
          <w:color w:val="000000"/>
          <w:sz w:val="24"/>
        </w:rPr>
        <w:t xml:space="preserve">Rozpočet výdajů projektu </w:t>
      </w:r>
      <w:r w:rsidRPr="00E55374">
        <w:rPr>
          <w:rFonts w:cstheme="minorHAnsi"/>
          <w:b/>
          <w:i/>
          <w:color w:val="000000"/>
          <w:sz w:val="24"/>
        </w:rPr>
        <w:t>Design pro konkurenceschopnost</w:t>
      </w:r>
      <w:r w:rsidRPr="00497CCA">
        <w:rPr>
          <w:rFonts w:cstheme="minorHAnsi"/>
          <w:color w:val="000000"/>
          <w:sz w:val="24"/>
        </w:rPr>
        <w:t xml:space="preserve"> v celkové výši </w:t>
      </w:r>
      <w:r w:rsidR="00380851">
        <w:rPr>
          <w:rFonts w:cstheme="minorHAnsi"/>
          <w:sz w:val="24"/>
        </w:rPr>
        <w:t>27</w:t>
      </w:r>
      <w:r w:rsidRPr="005E061C">
        <w:rPr>
          <w:rFonts w:cstheme="minorHAnsi"/>
          <w:sz w:val="24"/>
        </w:rPr>
        <w:t xml:space="preserve"> </w:t>
      </w:r>
      <w:r w:rsidRPr="00497CCA">
        <w:rPr>
          <w:rFonts w:cstheme="minorHAnsi"/>
          <w:color w:val="000000"/>
          <w:sz w:val="24"/>
        </w:rPr>
        <w:t xml:space="preserve">mil. Kč uvažoval s výdaji ve výši </w:t>
      </w:r>
      <w:r w:rsidR="00380851">
        <w:rPr>
          <w:rFonts w:cstheme="minorHAnsi"/>
          <w:sz w:val="24"/>
          <w:szCs w:val="24"/>
        </w:rPr>
        <w:t>17,6</w:t>
      </w:r>
      <w:r w:rsidRPr="00497CCA">
        <w:rPr>
          <w:rFonts w:cstheme="minorHAnsi"/>
          <w:sz w:val="24"/>
          <w:szCs w:val="24"/>
        </w:rPr>
        <w:t xml:space="preserve"> mil. Kč za služby určené pro </w:t>
      </w:r>
      <w:r w:rsidR="00380851">
        <w:rPr>
          <w:rFonts w:cstheme="minorHAnsi"/>
          <w:sz w:val="24"/>
          <w:szCs w:val="24"/>
        </w:rPr>
        <w:t>MSP</w:t>
      </w:r>
      <w:r w:rsidRPr="00497CCA">
        <w:rPr>
          <w:rFonts w:cstheme="minorHAnsi"/>
          <w:sz w:val="24"/>
          <w:szCs w:val="24"/>
        </w:rPr>
        <w:t xml:space="preserve"> a s výdaji ve</w:t>
      </w:r>
      <w:r w:rsidR="00380851">
        <w:rPr>
          <w:rFonts w:cstheme="minorHAnsi"/>
          <w:sz w:val="24"/>
          <w:szCs w:val="24"/>
        </w:rPr>
        <w:t xml:space="preserve"> výši 9,4</w:t>
      </w:r>
      <w:r w:rsidR="000C410B">
        <w:rPr>
          <w:rFonts w:cstheme="minorHAnsi"/>
          <w:sz w:val="24"/>
          <w:szCs w:val="24"/>
        </w:rPr>
        <w:t> </w:t>
      </w:r>
      <w:r w:rsidRPr="00497CCA">
        <w:rPr>
          <w:rFonts w:cstheme="minorHAnsi"/>
          <w:sz w:val="24"/>
          <w:szCs w:val="24"/>
        </w:rPr>
        <w:t>mil.</w:t>
      </w:r>
      <w:r w:rsidR="000C410B">
        <w:rPr>
          <w:rFonts w:cstheme="minorHAnsi"/>
          <w:sz w:val="24"/>
          <w:szCs w:val="24"/>
        </w:rPr>
        <w:t> </w:t>
      </w:r>
      <w:r w:rsidRPr="00497CCA">
        <w:rPr>
          <w:rFonts w:cstheme="minorHAnsi"/>
          <w:sz w:val="24"/>
          <w:szCs w:val="24"/>
        </w:rPr>
        <w:t>Kč (35</w:t>
      </w:r>
      <w:r w:rsidR="000C410B">
        <w:rPr>
          <w:rFonts w:cstheme="minorHAnsi"/>
          <w:sz w:val="24"/>
          <w:szCs w:val="24"/>
        </w:rPr>
        <w:t> </w:t>
      </w:r>
      <w:r w:rsidRPr="00497CCA">
        <w:rPr>
          <w:rFonts w:cstheme="minorHAnsi"/>
          <w:sz w:val="24"/>
          <w:szCs w:val="24"/>
        </w:rPr>
        <w:t xml:space="preserve">%) na zajištění </w:t>
      </w:r>
      <w:r w:rsidR="00F566A8">
        <w:rPr>
          <w:rFonts w:cstheme="minorHAnsi"/>
          <w:sz w:val="24"/>
          <w:szCs w:val="24"/>
        </w:rPr>
        <w:t xml:space="preserve">administrace a </w:t>
      </w:r>
      <w:r w:rsidRPr="00497CCA">
        <w:rPr>
          <w:rFonts w:cstheme="minorHAnsi"/>
          <w:sz w:val="24"/>
          <w:szCs w:val="24"/>
        </w:rPr>
        <w:t>realizace projektu (mzdy, cestovné, společný stánek, režijní náklady CzechTrad</w:t>
      </w:r>
      <w:r w:rsidR="00380851">
        <w:rPr>
          <w:rFonts w:cstheme="minorHAnsi"/>
          <w:sz w:val="24"/>
          <w:szCs w:val="24"/>
        </w:rPr>
        <w:t>e</w:t>
      </w:r>
      <w:r w:rsidRPr="00497CCA">
        <w:rPr>
          <w:rFonts w:cstheme="minorHAnsi"/>
          <w:sz w:val="24"/>
          <w:szCs w:val="24"/>
        </w:rPr>
        <w:t>). Skutečný podíl výdajů na administraci</w:t>
      </w:r>
      <w:r w:rsidR="00F566A8">
        <w:rPr>
          <w:rFonts w:cstheme="minorHAnsi"/>
          <w:sz w:val="24"/>
          <w:szCs w:val="24"/>
        </w:rPr>
        <w:t xml:space="preserve"> a realizaci</w:t>
      </w:r>
      <w:r w:rsidR="00B41630">
        <w:rPr>
          <w:rFonts w:cstheme="minorHAnsi"/>
          <w:sz w:val="24"/>
          <w:szCs w:val="24"/>
        </w:rPr>
        <w:t xml:space="preserve"> projektu k 31. </w:t>
      </w:r>
      <w:r w:rsidRPr="00497CCA">
        <w:rPr>
          <w:rFonts w:cstheme="minorHAnsi"/>
          <w:sz w:val="24"/>
          <w:szCs w:val="24"/>
        </w:rPr>
        <w:t xml:space="preserve">prosinci 2019 byl ještě vyšší, činil </w:t>
      </w:r>
      <w:r>
        <w:rPr>
          <w:rFonts w:cstheme="minorHAnsi"/>
          <w:sz w:val="24"/>
          <w:szCs w:val="24"/>
        </w:rPr>
        <w:t>5,7</w:t>
      </w:r>
      <w:r w:rsidRPr="00497CCA">
        <w:rPr>
          <w:rFonts w:cstheme="minorHAnsi"/>
          <w:sz w:val="24"/>
          <w:szCs w:val="24"/>
        </w:rPr>
        <w:t xml:space="preserve"> mil. Kč, </w:t>
      </w:r>
      <w:r w:rsidR="00872C9A">
        <w:rPr>
          <w:rFonts w:cstheme="minorHAnsi"/>
          <w:sz w:val="24"/>
          <w:szCs w:val="24"/>
        </w:rPr>
        <w:t>což bylo</w:t>
      </w:r>
      <w:r w:rsidRPr="00BA7423">
        <w:rPr>
          <w:rFonts w:cstheme="minorHAnsi"/>
          <w:sz w:val="24"/>
          <w:szCs w:val="24"/>
        </w:rPr>
        <w:t xml:space="preserve"> </w:t>
      </w:r>
      <w:r w:rsidR="0012538D">
        <w:rPr>
          <w:rFonts w:cstheme="minorHAnsi"/>
          <w:sz w:val="24"/>
          <w:szCs w:val="24"/>
        </w:rPr>
        <w:t>41</w:t>
      </w:r>
      <w:r w:rsidRPr="00BA7423">
        <w:rPr>
          <w:rFonts w:cstheme="minorHAnsi"/>
          <w:sz w:val="24"/>
          <w:szCs w:val="24"/>
        </w:rPr>
        <w:t xml:space="preserve"> % z celkových vyčerpaných prostředků na projekt. V</w:t>
      </w:r>
      <w:r w:rsidRPr="00497CCA">
        <w:rPr>
          <w:rFonts w:cstheme="minorHAnsi"/>
          <w:sz w:val="24"/>
          <w:szCs w:val="24"/>
        </w:rPr>
        <w:t>yšší náklady oproti plánovaným jsou ve výdajích na členy pracovního týmu.</w:t>
      </w:r>
    </w:p>
    <w:p w14:paraId="1144058C" w14:textId="77777777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22417A3" w14:textId="36C344AE" w:rsidR="004E07EF" w:rsidRDefault="004E07EF" w:rsidP="00D65D7D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4E07EF">
        <w:rPr>
          <w:rFonts w:ascii="Calibri" w:eastAsia="Calibri" w:hAnsi="Calibri" w:cs="Calibri"/>
          <w:sz w:val="24"/>
          <w:szCs w:val="24"/>
        </w:rPr>
        <w:t>Při posuzování hospodárnosti rozpočtu v rámci hodnocení interních projektů před jejich schválením hodnotitelé MPO již v roce 2016 konstatovali, že n</w:t>
      </w:r>
      <w:r w:rsidR="005123CB">
        <w:rPr>
          <w:rFonts w:ascii="Calibri" w:eastAsia="Calibri" w:hAnsi="Calibri" w:cs="Calibri"/>
          <w:sz w:val="24"/>
          <w:szCs w:val="24"/>
        </w:rPr>
        <w:t>áklady na jejich administraci a </w:t>
      </w:r>
      <w:r w:rsidRPr="004E07EF">
        <w:rPr>
          <w:rFonts w:ascii="Calibri" w:eastAsia="Calibri" w:hAnsi="Calibri" w:cs="Calibri"/>
          <w:sz w:val="24"/>
          <w:szCs w:val="24"/>
        </w:rPr>
        <w:t xml:space="preserve">realizaci jsou vysoké. To se potvrdilo i výše uvedeným skutečným čerpáním </w:t>
      </w:r>
      <w:r w:rsidR="00096456">
        <w:rPr>
          <w:rFonts w:ascii="Calibri" w:eastAsia="Calibri" w:hAnsi="Calibri" w:cs="Calibri"/>
          <w:sz w:val="24"/>
          <w:szCs w:val="24"/>
        </w:rPr>
        <w:t xml:space="preserve">těchto </w:t>
      </w:r>
      <w:r w:rsidRPr="004E07EF">
        <w:rPr>
          <w:rFonts w:ascii="Calibri" w:eastAsia="Calibri" w:hAnsi="Calibri" w:cs="Calibri"/>
          <w:sz w:val="24"/>
          <w:szCs w:val="24"/>
        </w:rPr>
        <w:t>nákladů, které je v poměru k přímé podpoře MSP vyšší než původně plánované. Další prodlužování doby realizace projektů tak může vést k nehospodárnému nakládání s peněžními prostředky.</w:t>
      </w:r>
    </w:p>
    <w:p w14:paraId="79957571" w14:textId="604FA51D" w:rsidR="00D65D7D" w:rsidRPr="00D85A81" w:rsidRDefault="00D65D7D" w:rsidP="00D65D7D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D85A81">
        <w:rPr>
          <w:rFonts w:ascii="Calibri" w:eastAsia="Calibri" w:hAnsi="Calibri" w:cs="Calibri"/>
          <w:sz w:val="24"/>
          <w:szCs w:val="24"/>
        </w:rPr>
        <w:t>Stav realizac</w:t>
      </w:r>
      <w:r w:rsidR="0051442A">
        <w:rPr>
          <w:rFonts w:ascii="Calibri" w:eastAsia="Calibri" w:hAnsi="Calibri" w:cs="Calibri"/>
          <w:sz w:val="24"/>
          <w:szCs w:val="24"/>
        </w:rPr>
        <w:t>e interních projektů sledovalo</w:t>
      </w:r>
      <w:r w:rsidRPr="00D85A81">
        <w:rPr>
          <w:rFonts w:ascii="Calibri" w:eastAsia="Calibri" w:hAnsi="Calibri" w:cs="Calibri"/>
          <w:sz w:val="24"/>
          <w:szCs w:val="24"/>
        </w:rPr>
        <w:t xml:space="preserve"> </w:t>
      </w:r>
      <w:r w:rsidR="00957C3E">
        <w:rPr>
          <w:rFonts w:ascii="Calibri" w:eastAsia="Calibri" w:hAnsi="Calibri" w:cs="Calibri"/>
          <w:sz w:val="24"/>
          <w:szCs w:val="24"/>
        </w:rPr>
        <w:t xml:space="preserve">MPO </w:t>
      </w:r>
      <w:r w:rsidRPr="00D85A81">
        <w:rPr>
          <w:rFonts w:ascii="Calibri" w:eastAsia="Calibri" w:hAnsi="Calibri" w:cs="Calibri"/>
          <w:sz w:val="24"/>
          <w:szCs w:val="24"/>
        </w:rPr>
        <w:t>pomocí zpráv z realizace projektu, které CzechInves</w:t>
      </w:r>
      <w:r w:rsidR="0051442A">
        <w:rPr>
          <w:rFonts w:ascii="Calibri" w:eastAsia="Calibri" w:hAnsi="Calibri" w:cs="Calibri"/>
          <w:sz w:val="24"/>
          <w:szCs w:val="24"/>
        </w:rPr>
        <w:t>t a</w:t>
      </w:r>
      <w:r w:rsidR="00957C3E">
        <w:rPr>
          <w:rFonts w:ascii="Calibri" w:eastAsia="Calibri" w:hAnsi="Calibri" w:cs="Calibri"/>
          <w:sz w:val="24"/>
          <w:szCs w:val="24"/>
        </w:rPr>
        <w:t xml:space="preserve"> </w:t>
      </w:r>
      <w:r w:rsidR="0051442A">
        <w:rPr>
          <w:rFonts w:ascii="Calibri" w:eastAsia="Calibri" w:hAnsi="Calibri" w:cs="Calibri"/>
          <w:sz w:val="24"/>
          <w:szCs w:val="24"/>
        </w:rPr>
        <w:t>CzechTrade pravidelně podávaly</w:t>
      </w:r>
      <w:r w:rsidRPr="00D85A81">
        <w:rPr>
          <w:rFonts w:ascii="Calibri" w:eastAsia="Calibri" w:hAnsi="Calibri" w:cs="Calibri"/>
          <w:sz w:val="24"/>
          <w:szCs w:val="24"/>
        </w:rPr>
        <w:t xml:space="preserve"> s žádostí o platbu v intervalu 6 měsíců. Ve zprávách jsou informace o vývoji indikátorů povinných k naplnění a informace o konaných výstavách a</w:t>
      </w:r>
      <w:r w:rsidR="00957C3E">
        <w:rPr>
          <w:rFonts w:ascii="Calibri" w:eastAsia="Calibri" w:hAnsi="Calibri" w:cs="Calibri"/>
          <w:sz w:val="24"/>
          <w:szCs w:val="24"/>
        </w:rPr>
        <w:t xml:space="preserve"> </w:t>
      </w:r>
      <w:r w:rsidRPr="00D85A81">
        <w:rPr>
          <w:rFonts w:ascii="Calibri" w:eastAsia="Calibri" w:hAnsi="Calibri" w:cs="Calibri"/>
          <w:sz w:val="24"/>
          <w:szCs w:val="24"/>
        </w:rPr>
        <w:t>veletrzích. Současně CzechInvest a CzechTrade předáv</w:t>
      </w:r>
      <w:r w:rsidR="00957C3E">
        <w:rPr>
          <w:rFonts w:ascii="Calibri" w:eastAsia="Calibri" w:hAnsi="Calibri" w:cs="Calibri"/>
          <w:sz w:val="24"/>
          <w:szCs w:val="24"/>
        </w:rPr>
        <w:t>ají</w:t>
      </w:r>
      <w:r w:rsidRPr="00D85A81">
        <w:rPr>
          <w:rFonts w:ascii="Calibri" w:eastAsia="Calibri" w:hAnsi="Calibri" w:cs="Calibri"/>
          <w:sz w:val="24"/>
          <w:szCs w:val="24"/>
        </w:rPr>
        <w:t xml:space="preserve"> MPO </w:t>
      </w:r>
      <w:r w:rsidR="00957C3E" w:rsidRPr="00E55374">
        <w:rPr>
          <w:rFonts w:ascii="Calibri" w:eastAsia="Calibri" w:hAnsi="Calibri" w:cs="Calibri"/>
          <w:i/>
          <w:sz w:val="24"/>
          <w:szCs w:val="24"/>
        </w:rPr>
        <w:t>e</w:t>
      </w:r>
      <w:r w:rsidRPr="00E55374">
        <w:rPr>
          <w:rFonts w:ascii="Calibri" w:eastAsia="Calibri" w:hAnsi="Calibri" w:cs="Calibri"/>
          <w:i/>
          <w:sz w:val="24"/>
          <w:szCs w:val="24"/>
        </w:rPr>
        <w:t>videnci konečných uživatelů</w:t>
      </w:r>
      <w:r w:rsidRPr="00D85A81">
        <w:rPr>
          <w:rFonts w:ascii="Calibri" w:eastAsia="Calibri" w:hAnsi="Calibri" w:cs="Calibri"/>
          <w:sz w:val="24"/>
          <w:szCs w:val="24"/>
        </w:rPr>
        <w:t>, ve které je uveden seznam podpořených firem a akce, kterých se zúčastnil</w:t>
      </w:r>
      <w:r w:rsidR="00957C3E">
        <w:rPr>
          <w:rFonts w:ascii="Calibri" w:eastAsia="Calibri" w:hAnsi="Calibri" w:cs="Calibri"/>
          <w:sz w:val="24"/>
          <w:szCs w:val="24"/>
        </w:rPr>
        <w:t>y</w:t>
      </w:r>
      <w:r w:rsidRPr="00D85A81">
        <w:rPr>
          <w:rFonts w:ascii="Calibri" w:eastAsia="Calibri" w:hAnsi="Calibri" w:cs="Calibri"/>
          <w:sz w:val="24"/>
          <w:szCs w:val="24"/>
        </w:rPr>
        <w:t xml:space="preserve">. </w:t>
      </w:r>
      <w:r w:rsidRPr="00D85A81">
        <w:rPr>
          <w:rFonts w:ascii="Calibri" w:eastAsia="Calibri" w:hAnsi="Calibri" w:cs="Calibri"/>
          <w:b/>
          <w:color w:val="000000"/>
          <w:sz w:val="24"/>
          <w:szCs w:val="24"/>
        </w:rPr>
        <w:t>Dopad a přínosy poskytovaných služeb na jednotlivé MSP z hledi</w:t>
      </w:r>
      <w:r w:rsidR="0012538D">
        <w:rPr>
          <w:rFonts w:ascii="Calibri" w:eastAsia="Calibri" w:hAnsi="Calibri" w:cs="Calibri"/>
          <w:b/>
          <w:color w:val="000000"/>
          <w:sz w:val="24"/>
          <w:szCs w:val="24"/>
        </w:rPr>
        <w:t>ska jejich schopnosti rozvoje a </w:t>
      </w:r>
      <w:r w:rsidRPr="00D85A81">
        <w:rPr>
          <w:rFonts w:ascii="Calibri" w:eastAsia="Calibri" w:hAnsi="Calibri" w:cs="Calibri"/>
          <w:b/>
          <w:color w:val="000000"/>
          <w:sz w:val="24"/>
          <w:szCs w:val="24"/>
        </w:rPr>
        <w:t xml:space="preserve">expanze </w:t>
      </w:r>
      <w:r w:rsidR="00661AAD">
        <w:rPr>
          <w:rFonts w:ascii="Calibri" w:eastAsia="Calibri" w:hAnsi="Calibri" w:cs="Calibri"/>
          <w:b/>
          <w:color w:val="000000"/>
          <w:sz w:val="24"/>
          <w:szCs w:val="24"/>
        </w:rPr>
        <w:t>na zahraniční trhy MPO nesledovalo</w:t>
      </w:r>
      <w:r w:rsidRPr="00D85A81">
        <w:rPr>
          <w:rFonts w:ascii="Calibri" w:eastAsia="Calibri" w:hAnsi="Calibri" w:cs="Calibri"/>
          <w:b/>
          <w:color w:val="000000"/>
          <w:sz w:val="24"/>
          <w:szCs w:val="24"/>
        </w:rPr>
        <w:t>.</w:t>
      </w:r>
    </w:p>
    <w:p w14:paraId="75C768FB" w14:textId="760A4A3A" w:rsidR="00D65D7D" w:rsidRPr="00D85A81" w:rsidRDefault="00D65D7D" w:rsidP="00D65D7D">
      <w:pPr>
        <w:pStyle w:val="Odstavecseseznamem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85A81">
        <w:rPr>
          <w:rFonts w:ascii="Calibri" w:hAnsi="Calibri" w:cs="Calibri"/>
          <w:sz w:val="24"/>
          <w:szCs w:val="24"/>
        </w:rPr>
        <w:t>V oblasti administrace a veřejných zakázek interních pr</w:t>
      </w:r>
      <w:r w:rsidR="0012538D">
        <w:rPr>
          <w:rFonts w:ascii="Calibri" w:hAnsi="Calibri" w:cs="Calibri"/>
          <w:sz w:val="24"/>
          <w:szCs w:val="24"/>
        </w:rPr>
        <w:t xml:space="preserve">ojektů realizovaných </w:t>
      </w:r>
      <w:r w:rsidR="0023715F">
        <w:rPr>
          <w:rFonts w:ascii="Calibri" w:hAnsi="Calibri" w:cs="Calibri"/>
          <w:sz w:val="24"/>
          <w:szCs w:val="24"/>
        </w:rPr>
        <w:t xml:space="preserve">agenturou </w:t>
      </w:r>
      <w:r w:rsidR="0012538D">
        <w:rPr>
          <w:rFonts w:ascii="Calibri" w:hAnsi="Calibri" w:cs="Calibri"/>
          <w:sz w:val="24"/>
          <w:szCs w:val="24"/>
        </w:rPr>
        <w:t>CzechTrade</w:t>
      </w:r>
      <w:r w:rsidRPr="00D85A81">
        <w:rPr>
          <w:rFonts w:ascii="Calibri" w:hAnsi="Calibri" w:cs="Calibri"/>
          <w:sz w:val="24"/>
          <w:szCs w:val="24"/>
        </w:rPr>
        <w:t xml:space="preserve"> nezjistil NKÚ porušení právních předpisů.</w:t>
      </w:r>
    </w:p>
    <w:p w14:paraId="7E136BFA" w14:textId="5B04D8F0" w:rsidR="00D65D7D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640348A6" w14:textId="77777777" w:rsidR="00F0182A" w:rsidRDefault="00F0182A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02A28018" w14:textId="7DF81880" w:rsidR="003A38BA" w:rsidRPr="003A38BA" w:rsidRDefault="003A38BA" w:rsidP="00CE447E">
      <w:pPr>
        <w:pStyle w:val="Odstavecseseznamem"/>
        <w:numPr>
          <w:ilvl w:val="0"/>
          <w:numId w:val="47"/>
        </w:numPr>
        <w:spacing w:after="0" w:line="240" w:lineRule="auto"/>
        <w:ind w:left="0" w:hanging="426"/>
        <w:jc w:val="both"/>
        <w:rPr>
          <w:rFonts w:eastAsia="Calibri" w:cstheme="minorHAnsi"/>
          <w:b/>
          <w:sz w:val="24"/>
        </w:rPr>
      </w:pPr>
      <w:r w:rsidRPr="003A38BA">
        <w:rPr>
          <w:rFonts w:eastAsia="Calibri" w:cstheme="minorHAnsi"/>
          <w:b/>
          <w:sz w:val="24"/>
        </w:rPr>
        <w:t>Podpora školicích středisek bez vyhodnotitelného přínosu</w:t>
      </w:r>
    </w:p>
    <w:p w14:paraId="20FD84EE" w14:textId="68DD1763" w:rsidR="00D65D7D" w:rsidRDefault="00D65D7D" w:rsidP="00E55374">
      <w:pPr>
        <w:spacing w:after="0" w:line="240" w:lineRule="auto"/>
        <w:rPr>
          <w:rFonts w:eastAsia="Calibri" w:cstheme="minorHAnsi"/>
          <w:b/>
          <w:sz w:val="24"/>
        </w:rPr>
      </w:pPr>
    </w:p>
    <w:p w14:paraId="38E16A24" w14:textId="1156A6CC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sz w:val="24"/>
        </w:rPr>
      </w:pPr>
      <w:r w:rsidRPr="003A38BA">
        <w:rPr>
          <w:rFonts w:cstheme="minorHAnsi"/>
          <w:b/>
          <w:color w:val="000000"/>
          <w:sz w:val="24"/>
          <w:szCs w:val="24"/>
        </w:rPr>
        <w:t>Specifický cíl 2.4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3A38BA" w:rsidRPr="003A38BA">
        <w:rPr>
          <w:rFonts w:cstheme="minorHAnsi"/>
          <w:i/>
          <w:color w:val="000000"/>
          <w:sz w:val="24"/>
          <w:szCs w:val="24"/>
        </w:rPr>
        <w:t>Zvýšit kapacitu pro odborné vzdělávání MSP</w:t>
      </w:r>
      <w:r w:rsidR="003A38BA" w:rsidRPr="003A38BA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je realizován prostřednictvím programu</w:t>
      </w:r>
      <w:r w:rsidR="00BD4E84">
        <w:rPr>
          <w:rFonts w:cstheme="minorHAnsi"/>
          <w:color w:val="000000"/>
          <w:sz w:val="24"/>
          <w:szCs w:val="24"/>
        </w:rPr>
        <w:t xml:space="preserve"> podpory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55374">
        <w:rPr>
          <w:rFonts w:cstheme="minorHAnsi"/>
          <w:i/>
          <w:color w:val="000000"/>
          <w:sz w:val="24"/>
          <w:szCs w:val="24"/>
        </w:rPr>
        <w:t>Školicí střediska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237444">
        <w:rPr>
          <w:rFonts w:eastAsia="Calibri" w:cstheme="minorHAnsi"/>
          <w:sz w:val="24"/>
        </w:rPr>
        <w:t xml:space="preserve">Realizace programu </w:t>
      </w:r>
      <w:r w:rsidR="00380851">
        <w:rPr>
          <w:rFonts w:eastAsia="Calibri" w:cstheme="minorHAnsi"/>
          <w:sz w:val="24"/>
        </w:rPr>
        <w:t>podpory</w:t>
      </w:r>
      <w:r>
        <w:rPr>
          <w:rFonts w:eastAsia="Calibri" w:cstheme="minorHAnsi"/>
          <w:sz w:val="24"/>
        </w:rPr>
        <w:t xml:space="preserve"> začala v roce 2015</w:t>
      </w:r>
      <w:r w:rsidRPr="00237444">
        <w:rPr>
          <w:rFonts w:eastAsia="Calibri" w:cstheme="minorHAnsi"/>
          <w:sz w:val="24"/>
        </w:rPr>
        <w:t xml:space="preserve">. </w:t>
      </w:r>
      <w:r>
        <w:rPr>
          <w:rFonts w:eastAsia="Calibri" w:cstheme="minorHAnsi"/>
          <w:sz w:val="24"/>
        </w:rPr>
        <w:t>Do doby ukončení kontroly b</w:t>
      </w:r>
      <w:r w:rsidRPr="00237444">
        <w:rPr>
          <w:rFonts w:eastAsia="Calibri" w:cstheme="minorHAnsi"/>
          <w:sz w:val="24"/>
        </w:rPr>
        <w:t xml:space="preserve">ylo podpořeno </w:t>
      </w:r>
      <w:r>
        <w:rPr>
          <w:rFonts w:eastAsia="Calibri" w:cstheme="minorHAnsi"/>
          <w:sz w:val="24"/>
        </w:rPr>
        <w:t xml:space="preserve">113 projektů a </w:t>
      </w:r>
      <w:r w:rsidRPr="00237444">
        <w:rPr>
          <w:rFonts w:eastAsia="Calibri" w:cstheme="minorHAnsi"/>
          <w:sz w:val="24"/>
        </w:rPr>
        <w:t>proplacená</w:t>
      </w:r>
      <w:r>
        <w:rPr>
          <w:rFonts w:eastAsia="Calibri" w:cstheme="minorHAnsi"/>
          <w:sz w:val="24"/>
        </w:rPr>
        <w:t xml:space="preserve"> výše</w:t>
      </w:r>
      <w:r w:rsidR="00661AAD">
        <w:rPr>
          <w:rFonts w:eastAsia="Calibri" w:cstheme="minorHAnsi"/>
          <w:sz w:val="24"/>
        </w:rPr>
        <w:t xml:space="preserve"> podpory činila</w:t>
      </w:r>
      <w:r w:rsidRPr="00237444">
        <w:rPr>
          <w:rFonts w:eastAsia="Calibri" w:cstheme="minorHAnsi"/>
          <w:sz w:val="24"/>
        </w:rPr>
        <w:t xml:space="preserve"> </w:t>
      </w:r>
      <w:r w:rsidR="00BD4E84">
        <w:rPr>
          <w:rFonts w:eastAsia="Calibri" w:cstheme="minorHAnsi"/>
          <w:sz w:val="24"/>
        </w:rPr>
        <w:lastRenderedPageBreak/>
        <w:t>172,5 </w:t>
      </w:r>
      <w:r>
        <w:rPr>
          <w:rFonts w:eastAsia="Calibri" w:cstheme="minorHAnsi"/>
          <w:sz w:val="24"/>
        </w:rPr>
        <w:t>mil.</w:t>
      </w:r>
      <w:r w:rsidR="00BD4E84">
        <w:rPr>
          <w:rFonts w:eastAsia="Calibri" w:cstheme="minorHAnsi"/>
          <w:sz w:val="24"/>
        </w:rPr>
        <w:t> </w:t>
      </w:r>
      <w:r w:rsidRPr="00237444">
        <w:rPr>
          <w:rFonts w:eastAsia="Calibri" w:cstheme="minorHAnsi"/>
          <w:sz w:val="24"/>
        </w:rPr>
        <w:t xml:space="preserve">Kč. </w:t>
      </w:r>
      <w:r>
        <w:rPr>
          <w:rFonts w:eastAsia="Calibri" w:cstheme="minorHAnsi"/>
          <w:sz w:val="24"/>
        </w:rPr>
        <w:t xml:space="preserve">Z důvodu nízkého zájmu o podporu převedlo </w:t>
      </w:r>
      <w:r w:rsidR="00347DEC">
        <w:rPr>
          <w:rFonts w:eastAsia="Calibri" w:cstheme="minorHAnsi"/>
          <w:sz w:val="24"/>
        </w:rPr>
        <w:t xml:space="preserve">MPO </w:t>
      </w:r>
      <w:r>
        <w:rPr>
          <w:rFonts w:eastAsia="Calibri" w:cstheme="minorHAnsi"/>
          <w:sz w:val="24"/>
        </w:rPr>
        <w:t xml:space="preserve">postupně </w:t>
      </w:r>
      <w:r w:rsidRPr="005E061C">
        <w:rPr>
          <w:rFonts w:eastAsia="Calibri" w:cstheme="minorHAnsi"/>
          <w:sz w:val="24"/>
        </w:rPr>
        <w:t xml:space="preserve">90 </w:t>
      </w:r>
      <w:r>
        <w:rPr>
          <w:rFonts w:eastAsia="Calibri" w:cstheme="minorHAnsi"/>
          <w:sz w:val="24"/>
        </w:rPr>
        <w:t>% z</w:t>
      </w:r>
      <w:r w:rsidR="00BD4E84">
        <w:rPr>
          <w:rFonts w:eastAsia="Calibri" w:cstheme="minorHAnsi"/>
          <w:sz w:val="24"/>
        </w:rPr>
        <w:t> původní alokace ve výši 2 320,</w:t>
      </w:r>
      <w:r>
        <w:rPr>
          <w:rFonts w:eastAsia="Calibri" w:cstheme="minorHAnsi"/>
          <w:sz w:val="24"/>
        </w:rPr>
        <w:t>9 mil. Kč do jiných programů</w:t>
      </w:r>
      <w:r w:rsidR="00380851">
        <w:rPr>
          <w:rFonts w:eastAsia="Calibri" w:cstheme="minorHAnsi"/>
          <w:sz w:val="24"/>
        </w:rPr>
        <w:t xml:space="preserve"> podpory</w:t>
      </w:r>
      <w:r>
        <w:rPr>
          <w:rFonts w:eastAsia="Calibri" w:cstheme="minorHAnsi"/>
          <w:sz w:val="24"/>
        </w:rPr>
        <w:t xml:space="preserve"> OPPIK. Podnikatelé podle MPO preferovali investice do jiné infrastruktury než vzdělávací a také téměř 30 % žádostí o podporu bylo vyřazeno z důvodu existence škol</w:t>
      </w:r>
      <w:r w:rsidR="00347DEC">
        <w:rPr>
          <w:rFonts w:eastAsia="Calibri" w:cstheme="minorHAnsi"/>
          <w:sz w:val="24"/>
        </w:rPr>
        <w:t>i</w:t>
      </w:r>
      <w:r>
        <w:rPr>
          <w:rFonts w:eastAsia="Calibri" w:cstheme="minorHAnsi"/>
          <w:sz w:val="24"/>
        </w:rPr>
        <w:t>cí kapacity, kterou mohl žadatel využít.</w:t>
      </w:r>
    </w:p>
    <w:p w14:paraId="3AB1AC16" w14:textId="77777777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  <w:sz w:val="24"/>
        </w:rPr>
      </w:pPr>
    </w:p>
    <w:p w14:paraId="4D23ACFF" w14:textId="2BDF4EB0" w:rsidR="00D65D7D" w:rsidRPr="00C33CEC" w:rsidRDefault="00D65D7D" w:rsidP="00D65D7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33CEC">
        <w:rPr>
          <w:rFonts w:ascii="Calibri" w:eastAsia="Calibri" w:hAnsi="Calibri" w:cs="Calibri"/>
          <w:sz w:val="24"/>
          <w:szCs w:val="24"/>
        </w:rPr>
        <w:t xml:space="preserve">Cílem programu </w:t>
      </w:r>
      <w:r w:rsidR="00380851">
        <w:rPr>
          <w:rFonts w:ascii="Calibri" w:eastAsia="Calibri" w:hAnsi="Calibri" w:cs="Calibri"/>
          <w:sz w:val="24"/>
          <w:szCs w:val="24"/>
        </w:rPr>
        <w:t xml:space="preserve">podpory </w:t>
      </w:r>
      <w:r w:rsidRPr="00E55374">
        <w:rPr>
          <w:rFonts w:ascii="Calibri" w:eastAsia="Calibri" w:hAnsi="Calibri" w:cs="Calibri"/>
          <w:i/>
          <w:sz w:val="24"/>
          <w:szCs w:val="24"/>
        </w:rPr>
        <w:t>Školicí střediska</w:t>
      </w:r>
      <w:r w:rsidRPr="00C33CEC">
        <w:rPr>
          <w:rFonts w:ascii="Calibri" w:eastAsia="Calibri" w:hAnsi="Calibri" w:cs="Calibri"/>
          <w:sz w:val="24"/>
          <w:szCs w:val="24"/>
        </w:rPr>
        <w:t xml:space="preserve"> je rozvoj nové a využití stávající infrastruktury pro vzdělávání a rozvoj lidských zdrojů v podnikatelském sektoru s možností využití této infrastruktury pro potřeby odborné přípravy v počátečním technickém vzdělávání včetně </w:t>
      </w:r>
      <w:r w:rsidRPr="00C33CEC">
        <w:rPr>
          <w:rFonts w:ascii="Calibri" w:hAnsi="Calibri" w:cs="Calibri"/>
          <w:sz w:val="24"/>
          <w:szCs w:val="24"/>
        </w:rPr>
        <w:t>proškolení a seznámení se s rozvíjejícími se novými technologiemi, odbornostmi a procesy v daném oboru a novou legislativou související s podnikáním i s efektivním marketingem.</w:t>
      </w:r>
    </w:p>
    <w:p w14:paraId="6CB086C7" w14:textId="77777777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eastAsia="Calibri" w:cstheme="minorHAnsi"/>
        </w:rPr>
      </w:pPr>
    </w:p>
    <w:p w14:paraId="4B2F7FD2" w14:textId="4B130566" w:rsidR="00D65D7D" w:rsidRPr="00F20949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Pr="00F20949">
        <w:rPr>
          <w:rFonts w:cstheme="minorHAnsi"/>
          <w:color w:val="000000"/>
          <w:sz w:val="24"/>
          <w:szCs w:val="24"/>
        </w:rPr>
        <w:t xml:space="preserve">ro hodnocení </w:t>
      </w:r>
      <w:r w:rsidRPr="00F20949">
        <w:rPr>
          <w:rFonts w:cstheme="minorHAnsi"/>
          <w:b/>
          <w:color w:val="000000"/>
          <w:sz w:val="24"/>
          <w:szCs w:val="24"/>
        </w:rPr>
        <w:t>specifického cíle 2.4</w:t>
      </w:r>
      <w:r w:rsidRPr="00F20949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stanovilo </w:t>
      </w:r>
      <w:r w:rsidR="00A461A7">
        <w:rPr>
          <w:rFonts w:cstheme="minorHAnsi"/>
          <w:color w:val="000000"/>
          <w:sz w:val="24"/>
          <w:szCs w:val="24"/>
        </w:rPr>
        <w:t xml:space="preserve">MPO </w:t>
      </w:r>
      <w:r w:rsidRPr="00F20949">
        <w:rPr>
          <w:rFonts w:cstheme="minorHAnsi"/>
          <w:color w:val="000000"/>
          <w:sz w:val="24"/>
          <w:szCs w:val="24"/>
        </w:rPr>
        <w:t xml:space="preserve">ukazatele </w:t>
      </w:r>
      <w:r w:rsidR="00A461A7">
        <w:rPr>
          <w:rFonts w:cstheme="minorHAnsi"/>
          <w:color w:val="000000"/>
          <w:sz w:val="24"/>
          <w:szCs w:val="24"/>
        </w:rPr>
        <w:t>„</w:t>
      </w:r>
      <w:r w:rsidR="00A461A7">
        <w:rPr>
          <w:rFonts w:cstheme="minorHAnsi"/>
          <w:i/>
          <w:sz w:val="24"/>
        </w:rPr>
        <w:t>p</w:t>
      </w:r>
      <w:r w:rsidRPr="00F20949">
        <w:rPr>
          <w:rFonts w:cstheme="minorHAnsi"/>
          <w:i/>
          <w:sz w:val="24"/>
        </w:rPr>
        <w:t>odíl účastníků kurzů dalšího odborného vzdělávání na celkovém počtu zaměstnaných osob u malých podniků</w:t>
      </w:r>
      <w:r w:rsidR="00A461A7">
        <w:rPr>
          <w:rFonts w:cstheme="minorHAnsi"/>
          <w:sz w:val="24"/>
        </w:rPr>
        <w:t>“</w:t>
      </w:r>
      <w:r w:rsidRPr="00F20949">
        <w:rPr>
          <w:rFonts w:cstheme="minorHAnsi"/>
          <w:sz w:val="24"/>
        </w:rPr>
        <w:t xml:space="preserve"> a </w:t>
      </w:r>
      <w:r w:rsidR="00A461A7">
        <w:rPr>
          <w:rFonts w:cstheme="minorHAnsi"/>
          <w:sz w:val="24"/>
        </w:rPr>
        <w:t>„</w:t>
      </w:r>
      <w:r w:rsidR="00A461A7">
        <w:rPr>
          <w:rFonts w:cstheme="minorHAnsi"/>
          <w:i/>
          <w:sz w:val="24"/>
        </w:rPr>
        <w:t>p</w:t>
      </w:r>
      <w:r w:rsidRPr="00F20949">
        <w:rPr>
          <w:rFonts w:cstheme="minorHAnsi"/>
          <w:i/>
          <w:sz w:val="24"/>
        </w:rPr>
        <w:t>odíl účastníků kurzů dalšího odborného vzdělávání na cel</w:t>
      </w:r>
      <w:r w:rsidR="00A60C28">
        <w:rPr>
          <w:rFonts w:cstheme="minorHAnsi"/>
          <w:i/>
          <w:sz w:val="24"/>
        </w:rPr>
        <w:t>kovém počtu zaměstnaných osob u </w:t>
      </w:r>
      <w:r w:rsidRPr="00F20949">
        <w:rPr>
          <w:rFonts w:cstheme="minorHAnsi"/>
          <w:i/>
          <w:sz w:val="24"/>
        </w:rPr>
        <w:t>středních podniků</w:t>
      </w:r>
      <w:r w:rsidR="00A461A7">
        <w:rPr>
          <w:rFonts w:cstheme="minorHAnsi"/>
          <w:sz w:val="24"/>
        </w:rPr>
        <w:t>“</w:t>
      </w:r>
      <w:r w:rsidRPr="00F20949">
        <w:rPr>
          <w:rFonts w:cstheme="minorHAnsi"/>
          <w:i/>
          <w:sz w:val="24"/>
        </w:rPr>
        <w:t xml:space="preserve">. </w:t>
      </w:r>
      <w:r w:rsidRPr="00F20949">
        <w:rPr>
          <w:rFonts w:cstheme="minorHAnsi"/>
          <w:sz w:val="24"/>
        </w:rPr>
        <w:t xml:space="preserve">V listopadu 2017 </w:t>
      </w:r>
      <w:r w:rsidRPr="00F20949">
        <w:rPr>
          <w:rFonts w:cstheme="minorHAnsi"/>
          <w:color w:val="000000"/>
          <w:sz w:val="24"/>
          <w:szCs w:val="24"/>
        </w:rPr>
        <w:t xml:space="preserve">MPO zvýšilo cílové hodnoty těchto ukazatelů pro rok 2023 ze 48 </w:t>
      </w:r>
      <w:r>
        <w:rPr>
          <w:rFonts w:cstheme="minorHAnsi"/>
          <w:color w:val="000000"/>
          <w:sz w:val="24"/>
          <w:szCs w:val="24"/>
        </w:rPr>
        <w:t>% na 81 % u malých podniků a z</w:t>
      </w:r>
      <w:r w:rsidRPr="00F20949">
        <w:rPr>
          <w:rFonts w:cstheme="minorHAnsi"/>
          <w:color w:val="000000"/>
          <w:sz w:val="24"/>
          <w:szCs w:val="24"/>
        </w:rPr>
        <w:t xml:space="preserve"> 62 % na 85 % u středních podniků. Důvodem byla skutečnost, že původní hodnoty vycházely z metodiky ČSÚ, resp. Evropské komise</w:t>
      </w:r>
      <w:r>
        <w:rPr>
          <w:rFonts w:cstheme="minorHAnsi"/>
          <w:color w:val="000000"/>
          <w:sz w:val="24"/>
          <w:szCs w:val="24"/>
        </w:rPr>
        <w:t>,</w:t>
      </w:r>
      <w:r w:rsidRPr="00F20949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a jím uskutečněného</w:t>
      </w:r>
      <w:r w:rsidRPr="00F20949">
        <w:rPr>
          <w:rFonts w:cstheme="minorHAnsi"/>
          <w:color w:val="000000"/>
          <w:sz w:val="24"/>
          <w:szCs w:val="24"/>
        </w:rPr>
        <w:t xml:space="preserve"> průzkumu z roku 2010</w:t>
      </w:r>
      <w:r>
        <w:rPr>
          <w:rFonts w:cstheme="minorHAnsi"/>
          <w:color w:val="000000"/>
          <w:sz w:val="24"/>
          <w:szCs w:val="24"/>
        </w:rPr>
        <w:t xml:space="preserve"> prováděného v pětiletých intervalech</w:t>
      </w:r>
      <w:r w:rsidRPr="00F20949">
        <w:rPr>
          <w:rFonts w:cstheme="minorHAnsi"/>
          <w:color w:val="000000"/>
          <w:sz w:val="24"/>
          <w:szCs w:val="24"/>
        </w:rPr>
        <w:t xml:space="preserve">. </w:t>
      </w:r>
      <w:r>
        <w:rPr>
          <w:rFonts w:cstheme="minorHAnsi"/>
          <w:color w:val="000000"/>
          <w:sz w:val="24"/>
          <w:szCs w:val="24"/>
        </w:rPr>
        <w:t>Následný p</w:t>
      </w:r>
      <w:r w:rsidRPr="00F20949">
        <w:rPr>
          <w:rFonts w:cstheme="minorHAnsi"/>
          <w:sz w:val="24"/>
          <w:szCs w:val="24"/>
        </w:rPr>
        <w:t>růzkum</w:t>
      </w:r>
      <w:r>
        <w:rPr>
          <w:rFonts w:cstheme="minorHAnsi"/>
          <w:sz w:val="24"/>
          <w:szCs w:val="24"/>
        </w:rPr>
        <w:t xml:space="preserve"> z roku 2015 byl proveden podle nové metodiky</w:t>
      </w:r>
      <w:r>
        <w:rPr>
          <w:rStyle w:val="Znakapoznpodarou"/>
          <w:rFonts w:cstheme="minorHAnsi"/>
          <w:sz w:val="24"/>
          <w:szCs w:val="24"/>
        </w:rPr>
        <w:footnoteReference w:id="17"/>
      </w:r>
      <w:r>
        <w:rPr>
          <w:rFonts w:cstheme="minorHAnsi"/>
          <w:sz w:val="24"/>
          <w:szCs w:val="24"/>
        </w:rPr>
        <w:t xml:space="preserve"> a </w:t>
      </w:r>
      <w:r w:rsidRPr="00F20949">
        <w:rPr>
          <w:rFonts w:cstheme="minorHAnsi"/>
          <w:sz w:val="24"/>
          <w:szCs w:val="24"/>
        </w:rPr>
        <w:t>uk</w:t>
      </w:r>
      <w:r>
        <w:rPr>
          <w:rFonts w:cstheme="minorHAnsi"/>
          <w:sz w:val="24"/>
          <w:szCs w:val="24"/>
        </w:rPr>
        <w:t>ázal, že cílové hodnoty ukazatelů</w:t>
      </w:r>
      <w:r w:rsidRPr="00F20949">
        <w:rPr>
          <w:rFonts w:cstheme="minorHAnsi"/>
          <w:sz w:val="24"/>
          <w:szCs w:val="24"/>
        </w:rPr>
        <w:t xml:space="preserve"> byly výrazně překročeny již v roce 2015</w:t>
      </w:r>
      <w:r w:rsidR="00A461A7">
        <w:rPr>
          <w:rFonts w:cstheme="minorHAnsi"/>
          <w:sz w:val="24"/>
          <w:szCs w:val="24"/>
        </w:rPr>
        <w:t>,</w:t>
      </w:r>
      <w:r w:rsidRPr="00F20949">
        <w:rPr>
          <w:rFonts w:cstheme="minorHAnsi"/>
          <w:sz w:val="24"/>
          <w:szCs w:val="24"/>
        </w:rPr>
        <w:t xml:space="preserve"> a tudíž MPO cílové hodnoty v průběhu realizac</w:t>
      </w:r>
      <w:r>
        <w:rPr>
          <w:rFonts w:cstheme="minorHAnsi"/>
          <w:sz w:val="24"/>
          <w:szCs w:val="24"/>
        </w:rPr>
        <w:t xml:space="preserve">e OPPIK navýšilo. </w:t>
      </w:r>
    </w:p>
    <w:p w14:paraId="78477B1F" w14:textId="77777777" w:rsidR="00D65D7D" w:rsidRPr="00F20949" w:rsidRDefault="00D65D7D" w:rsidP="00D65D7D">
      <w:pPr>
        <w:spacing w:after="0" w:line="240" w:lineRule="auto"/>
        <w:jc w:val="both"/>
        <w:rPr>
          <w:rFonts w:cstheme="minorHAnsi"/>
          <w:b/>
          <w:sz w:val="20"/>
        </w:rPr>
      </w:pPr>
    </w:p>
    <w:p w14:paraId="694B3A50" w14:textId="5819D5A1" w:rsidR="00D65D7D" w:rsidRPr="00E22C1A" w:rsidRDefault="00A06F95" w:rsidP="00D65D7D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sz w:val="24"/>
          <w:szCs w:val="24"/>
        </w:rPr>
        <w:t>Tento p</w:t>
      </w:r>
      <w:r w:rsidR="00D65D7D">
        <w:rPr>
          <w:rFonts w:cstheme="minorHAnsi"/>
          <w:sz w:val="24"/>
          <w:szCs w:val="24"/>
        </w:rPr>
        <w:t>růzkum rovněž ukázal</w:t>
      </w:r>
      <w:r w:rsidR="00D65D7D" w:rsidRPr="00F20949">
        <w:rPr>
          <w:rFonts w:cstheme="minorHAnsi"/>
          <w:sz w:val="24"/>
          <w:szCs w:val="24"/>
        </w:rPr>
        <w:t>, že převážná část školení probíh</w:t>
      </w:r>
      <w:r w:rsidR="00380851">
        <w:rPr>
          <w:rFonts w:cstheme="minorHAnsi"/>
          <w:sz w:val="24"/>
          <w:szCs w:val="24"/>
        </w:rPr>
        <w:t>ala</w:t>
      </w:r>
      <w:r w:rsidR="00A60C28">
        <w:rPr>
          <w:rFonts w:cstheme="minorHAnsi"/>
          <w:sz w:val="24"/>
          <w:szCs w:val="24"/>
        </w:rPr>
        <w:t xml:space="preserve"> v podnicích pouze z </w:t>
      </w:r>
      <w:r w:rsidR="00D65D7D" w:rsidRPr="00F20949">
        <w:rPr>
          <w:rFonts w:cstheme="minorHAnsi"/>
          <w:sz w:val="24"/>
          <w:szCs w:val="24"/>
        </w:rPr>
        <w:t xml:space="preserve">důvodu </w:t>
      </w:r>
      <w:r w:rsidR="00961603">
        <w:rPr>
          <w:rFonts w:cstheme="minorHAnsi"/>
          <w:sz w:val="24"/>
          <w:szCs w:val="24"/>
        </w:rPr>
        <w:t>uvedených v právních předpisech</w:t>
      </w:r>
      <w:r w:rsidR="00D65D7D" w:rsidRPr="00F20949">
        <w:rPr>
          <w:rFonts w:cstheme="minorHAnsi"/>
          <w:sz w:val="24"/>
          <w:szCs w:val="24"/>
        </w:rPr>
        <w:t xml:space="preserve">. Nová metodika tak umožnila odlišit povinné vzdělávací aktivity </w:t>
      </w:r>
      <w:r w:rsidR="00546FAB">
        <w:rPr>
          <w:rFonts w:cstheme="minorHAnsi"/>
          <w:sz w:val="24"/>
          <w:szCs w:val="24"/>
        </w:rPr>
        <w:t>vyžadované</w:t>
      </w:r>
      <w:r w:rsidR="00961603">
        <w:rPr>
          <w:rFonts w:cstheme="minorHAnsi"/>
          <w:sz w:val="24"/>
          <w:szCs w:val="24"/>
        </w:rPr>
        <w:t xml:space="preserve"> právní</w:t>
      </w:r>
      <w:r w:rsidR="00546FAB">
        <w:rPr>
          <w:rFonts w:cstheme="minorHAnsi"/>
          <w:sz w:val="24"/>
          <w:szCs w:val="24"/>
        </w:rPr>
        <w:t>mi</w:t>
      </w:r>
      <w:r w:rsidR="00961603">
        <w:rPr>
          <w:rFonts w:cstheme="minorHAnsi"/>
          <w:sz w:val="24"/>
          <w:szCs w:val="24"/>
        </w:rPr>
        <w:t xml:space="preserve"> předpis</w:t>
      </w:r>
      <w:r w:rsidR="00546FAB">
        <w:rPr>
          <w:rFonts w:cstheme="minorHAnsi"/>
          <w:sz w:val="24"/>
          <w:szCs w:val="24"/>
        </w:rPr>
        <w:t>y</w:t>
      </w:r>
      <w:r w:rsidR="00961603">
        <w:rPr>
          <w:rFonts w:cstheme="minorHAnsi"/>
          <w:sz w:val="24"/>
          <w:szCs w:val="24"/>
        </w:rPr>
        <w:t xml:space="preserve"> </w:t>
      </w:r>
      <w:r w:rsidR="00D65D7D" w:rsidRPr="00F20949">
        <w:rPr>
          <w:rFonts w:cstheme="minorHAnsi"/>
          <w:sz w:val="24"/>
          <w:szCs w:val="24"/>
        </w:rPr>
        <w:t xml:space="preserve">a vzdělávací aktivity vyplývající ze strategie daného podniku. </w:t>
      </w:r>
      <w:r w:rsidR="00D65D7D" w:rsidRPr="00F20949">
        <w:rPr>
          <w:rFonts w:cstheme="minorHAnsi"/>
          <w:sz w:val="24"/>
        </w:rPr>
        <w:t xml:space="preserve">MPO ale nevyužilo možnosti ke zpřesnění daných ukazatelů </w:t>
      </w:r>
      <w:r w:rsidR="00546FAB">
        <w:rPr>
          <w:rFonts w:cstheme="minorHAnsi"/>
          <w:sz w:val="24"/>
        </w:rPr>
        <w:t>„</w:t>
      </w:r>
      <w:r w:rsidR="00546FAB">
        <w:rPr>
          <w:rFonts w:cstheme="minorHAnsi"/>
          <w:i/>
          <w:sz w:val="24"/>
        </w:rPr>
        <w:t>p</w:t>
      </w:r>
      <w:r w:rsidR="00D65D7D" w:rsidRPr="00F20949">
        <w:rPr>
          <w:rFonts w:cstheme="minorHAnsi"/>
          <w:i/>
          <w:sz w:val="24"/>
        </w:rPr>
        <w:t>odíl účastníků kurzů dalšího odborného vzdělávání na celkovém počtu zaměstnaných osob u malých podniků</w:t>
      </w:r>
      <w:r w:rsidR="00546FAB">
        <w:rPr>
          <w:rFonts w:cstheme="minorHAnsi"/>
          <w:sz w:val="24"/>
        </w:rPr>
        <w:t>“</w:t>
      </w:r>
      <w:r w:rsidR="00D65D7D" w:rsidRPr="00F20949">
        <w:rPr>
          <w:rFonts w:cstheme="minorHAnsi"/>
          <w:sz w:val="24"/>
        </w:rPr>
        <w:t xml:space="preserve"> a</w:t>
      </w:r>
      <w:r w:rsidR="00546FAB">
        <w:rPr>
          <w:rFonts w:cstheme="minorHAnsi"/>
          <w:sz w:val="24"/>
        </w:rPr>
        <w:t> „</w:t>
      </w:r>
      <w:r w:rsidR="00546FAB">
        <w:rPr>
          <w:rFonts w:cstheme="minorHAnsi"/>
          <w:i/>
          <w:sz w:val="24"/>
        </w:rPr>
        <w:t>p</w:t>
      </w:r>
      <w:r w:rsidR="00D65D7D" w:rsidRPr="00F20949">
        <w:rPr>
          <w:rFonts w:cstheme="minorHAnsi"/>
          <w:i/>
          <w:sz w:val="24"/>
        </w:rPr>
        <w:t>odíl účastníků kurzů dalšího odborného vzdělávání na cel</w:t>
      </w:r>
      <w:r w:rsidR="00A60C28">
        <w:rPr>
          <w:rFonts w:cstheme="minorHAnsi"/>
          <w:i/>
          <w:sz w:val="24"/>
        </w:rPr>
        <w:t>kovém počtu zaměstnaných osob u </w:t>
      </w:r>
      <w:r w:rsidR="00D65D7D" w:rsidRPr="00F20949">
        <w:rPr>
          <w:rFonts w:cstheme="minorHAnsi"/>
          <w:i/>
          <w:sz w:val="24"/>
        </w:rPr>
        <w:t>středních podniků</w:t>
      </w:r>
      <w:r w:rsidR="00546FAB">
        <w:rPr>
          <w:rFonts w:cstheme="minorHAnsi"/>
          <w:sz w:val="24"/>
        </w:rPr>
        <w:t>“</w:t>
      </w:r>
      <w:r w:rsidR="00D65D7D" w:rsidRPr="00F20949">
        <w:rPr>
          <w:rFonts w:cstheme="minorHAnsi"/>
          <w:i/>
          <w:sz w:val="24"/>
        </w:rPr>
        <w:t xml:space="preserve">. </w:t>
      </w:r>
      <w:r w:rsidR="00D65D7D" w:rsidRPr="00F20949">
        <w:rPr>
          <w:rFonts w:cstheme="minorHAnsi"/>
          <w:sz w:val="24"/>
        </w:rPr>
        <w:t xml:space="preserve">Vzhledem k tomu, že </w:t>
      </w:r>
      <w:r w:rsidR="00380851">
        <w:rPr>
          <w:rFonts w:cstheme="minorHAnsi"/>
          <w:sz w:val="24"/>
        </w:rPr>
        <w:t xml:space="preserve">specifický </w:t>
      </w:r>
      <w:r w:rsidR="00D65D7D" w:rsidRPr="00F20949">
        <w:rPr>
          <w:rFonts w:cstheme="minorHAnsi"/>
          <w:sz w:val="24"/>
        </w:rPr>
        <w:t xml:space="preserve">cíl 2.4 </w:t>
      </w:r>
      <w:r w:rsidR="00D65D7D">
        <w:rPr>
          <w:rFonts w:cstheme="minorHAnsi"/>
          <w:sz w:val="24"/>
        </w:rPr>
        <w:t>včetně programu</w:t>
      </w:r>
      <w:r w:rsidR="00380851">
        <w:rPr>
          <w:rFonts w:cstheme="minorHAnsi"/>
          <w:sz w:val="24"/>
        </w:rPr>
        <w:t xml:space="preserve"> podpory</w:t>
      </w:r>
      <w:r w:rsidR="00D65D7D">
        <w:rPr>
          <w:rFonts w:cstheme="minorHAnsi"/>
          <w:sz w:val="24"/>
        </w:rPr>
        <w:t xml:space="preserve"> </w:t>
      </w:r>
      <w:r w:rsidR="00D65D7D" w:rsidRPr="00E55374">
        <w:rPr>
          <w:rFonts w:cstheme="minorHAnsi"/>
          <w:i/>
          <w:sz w:val="24"/>
        </w:rPr>
        <w:t>Školicí střediska</w:t>
      </w:r>
      <w:r w:rsidR="00D65D7D">
        <w:rPr>
          <w:rFonts w:cstheme="minorHAnsi"/>
          <w:sz w:val="24"/>
        </w:rPr>
        <w:t xml:space="preserve"> </w:t>
      </w:r>
      <w:r w:rsidR="00D65D7D" w:rsidRPr="00F20949">
        <w:rPr>
          <w:rFonts w:cstheme="minorHAnsi"/>
          <w:sz w:val="24"/>
        </w:rPr>
        <w:t xml:space="preserve">je zaměřen na podporu infrastruktury pro odborné vzdělávání a zvyšování kvalifikace pracovníků, jsou uvedené ukazatele pro hodnocení cíle nevhodné a </w:t>
      </w:r>
      <w:r w:rsidR="00D65D7D" w:rsidRPr="00F20949">
        <w:rPr>
          <w:rFonts w:cstheme="minorHAnsi"/>
          <w:b/>
          <w:sz w:val="24"/>
        </w:rPr>
        <w:t>MPO pomocí nich nebude schopno řádně vyhodnotit přínosy podpory v oblasti vzdělávání</w:t>
      </w:r>
      <w:r w:rsidR="00D65D7D" w:rsidRPr="00E513F6">
        <w:rPr>
          <w:rFonts w:cstheme="minorHAnsi"/>
          <w:b/>
          <w:sz w:val="24"/>
        </w:rPr>
        <w:t xml:space="preserve"> </w:t>
      </w:r>
      <w:r w:rsidR="00D65D7D">
        <w:rPr>
          <w:rFonts w:cstheme="minorHAnsi"/>
          <w:b/>
          <w:sz w:val="24"/>
        </w:rPr>
        <w:t>u malých a středních podniků</w:t>
      </w:r>
      <w:r w:rsidR="00D65D7D" w:rsidRPr="00F20949">
        <w:rPr>
          <w:rFonts w:cstheme="minorHAnsi"/>
          <w:b/>
          <w:sz w:val="24"/>
        </w:rPr>
        <w:t>.</w:t>
      </w:r>
      <w:r w:rsidR="00D65D7D" w:rsidRPr="006463EE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D65D7D" w:rsidRPr="00E22C1A">
        <w:rPr>
          <w:rFonts w:ascii="Calibri" w:hAnsi="Calibri" w:cs="Calibri"/>
          <w:b/>
          <w:sz w:val="24"/>
          <w:szCs w:val="24"/>
          <w:lang w:eastAsia="cs-CZ"/>
        </w:rPr>
        <w:t>Navíc tyto u</w:t>
      </w:r>
      <w:r w:rsidR="00D65D7D" w:rsidRPr="00E22C1A">
        <w:rPr>
          <w:rFonts w:eastAsia="Calibri" w:cstheme="minorHAnsi"/>
          <w:b/>
          <w:sz w:val="24"/>
        </w:rPr>
        <w:t>kazatele mají pětiletý interval sledování a MPO by je k </w:t>
      </w:r>
      <w:r w:rsidR="00BD4E84">
        <w:rPr>
          <w:rFonts w:eastAsia="Calibri" w:cstheme="minorHAnsi"/>
          <w:b/>
          <w:sz w:val="24"/>
        </w:rPr>
        <w:t xml:space="preserve">hodnocení přínosů mohlo použít </w:t>
      </w:r>
      <w:r w:rsidR="00D65D7D" w:rsidRPr="00E22C1A">
        <w:rPr>
          <w:rFonts w:eastAsia="Calibri" w:cstheme="minorHAnsi"/>
          <w:b/>
          <w:sz w:val="24"/>
        </w:rPr>
        <w:t xml:space="preserve">nejdříve v roce 2026. </w:t>
      </w:r>
    </w:p>
    <w:p w14:paraId="0608F831" w14:textId="77777777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1261D36" w14:textId="6E6B0C97" w:rsidR="00D65D7D" w:rsidRPr="00AB6334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  <w:r w:rsidRPr="000C46AE">
        <w:rPr>
          <w:rFonts w:ascii="Calibri" w:eastAsia="Calibri" w:hAnsi="Calibri" w:cs="Calibri"/>
          <w:sz w:val="24"/>
          <w:szCs w:val="24"/>
        </w:rPr>
        <w:t xml:space="preserve">MPO stanovilo pro příjemce podpory </w:t>
      </w:r>
      <w:r>
        <w:rPr>
          <w:rFonts w:ascii="Calibri" w:eastAsia="Calibri" w:hAnsi="Calibri" w:cs="Calibri"/>
          <w:sz w:val="24"/>
          <w:szCs w:val="24"/>
        </w:rPr>
        <w:t xml:space="preserve">z programu </w:t>
      </w:r>
      <w:r w:rsidRPr="00E55374">
        <w:rPr>
          <w:rFonts w:ascii="Calibri" w:eastAsia="Calibri" w:hAnsi="Calibri" w:cs="Calibri"/>
          <w:i/>
          <w:sz w:val="24"/>
          <w:szCs w:val="24"/>
        </w:rPr>
        <w:t>Školicí střediska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C46AE">
        <w:rPr>
          <w:rFonts w:ascii="Calibri" w:eastAsia="Calibri" w:hAnsi="Calibri" w:cs="Calibri"/>
          <w:sz w:val="24"/>
          <w:szCs w:val="24"/>
        </w:rPr>
        <w:t xml:space="preserve">závazný ukazatel </w:t>
      </w:r>
      <w:r w:rsidR="00FE6695">
        <w:rPr>
          <w:rFonts w:ascii="Calibri" w:eastAsia="Calibri" w:hAnsi="Calibri" w:cs="Calibri"/>
          <w:sz w:val="24"/>
          <w:szCs w:val="24"/>
        </w:rPr>
        <w:t>„</w:t>
      </w:r>
      <w:r w:rsidR="00FE6695">
        <w:rPr>
          <w:rFonts w:ascii="Calibri" w:eastAsia="Calibri" w:hAnsi="Calibri" w:cs="Calibri"/>
          <w:i/>
          <w:sz w:val="24"/>
          <w:szCs w:val="24"/>
        </w:rPr>
        <w:t>n</w:t>
      </w:r>
      <w:r w:rsidRPr="000C46AE">
        <w:rPr>
          <w:rFonts w:ascii="Calibri" w:eastAsia="Calibri" w:hAnsi="Calibri" w:cs="Calibri"/>
          <w:i/>
          <w:sz w:val="24"/>
          <w:szCs w:val="24"/>
        </w:rPr>
        <w:t>ové kapacity pro školení a odborné vzdělávání</w:t>
      </w:r>
      <w:r w:rsidR="00FE6695">
        <w:rPr>
          <w:rFonts w:ascii="Calibri" w:eastAsia="Calibri" w:hAnsi="Calibri" w:cs="Calibri"/>
          <w:sz w:val="24"/>
          <w:szCs w:val="24"/>
        </w:rPr>
        <w:t>“</w:t>
      </w:r>
      <w:r w:rsidRPr="000C46AE">
        <w:rPr>
          <w:rFonts w:ascii="Calibri" w:eastAsia="Calibri" w:hAnsi="Calibri" w:cs="Calibri"/>
          <w:sz w:val="24"/>
          <w:szCs w:val="24"/>
        </w:rPr>
        <w:t xml:space="preserve"> a ukazatel</w:t>
      </w:r>
      <w:r w:rsidRPr="000C46AE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FE6695">
        <w:rPr>
          <w:rFonts w:ascii="Calibri" w:eastAsia="Calibri" w:hAnsi="Calibri" w:cs="Calibri"/>
          <w:sz w:val="24"/>
          <w:szCs w:val="24"/>
        </w:rPr>
        <w:t>„</w:t>
      </w:r>
      <w:r w:rsidR="00FE6695">
        <w:rPr>
          <w:rFonts w:ascii="Calibri" w:eastAsia="Calibri" w:hAnsi="Calibri" w:cs="Calibri"/>
          <w:i/>
          <w:sz w:val="24"/>
          <w:szCs w:val="24"/>
        </w:rPr>
        <w:t>c</w:t>
      </w:r>
      <w:r w:rsidRPr="000C46AE">
        <w:rPr>
          <w:rFonts w:ascii="Calibri" w:eastAsia="Calibri" w:hAnsi="Calibri" w:cs="Calibri"/>
          <w:i/>
          <w:sz w:val="24"/>
          <w:szCs w:val="24"/>
        </w:rPr>
        <w:t>elkový počet účastníků</w:t>
      </w:r>
      <w:r w:rsidR="00FE6695">
        <w:rPr>
          <w:rFonts w:ascii="Calibri" w:eastAsia="Calibri" w:hAnsi="Calibri" w:cs="Calibri"/>
          <w:sz w:val="24"/>
          <w:szCs w:val="24"/>
        </w:rPr>
        <w:t>“</w:t>
      </w:r>
      <w:r w:rsidRPr="000C46AE">
        <w:rPr>
          <w:rFonts w:ascii="Calibri" w:eastAsia="Calibri" w:hAnsi="Calibri" w:cs="Calibri"/>
          <w:sz w:val="24"/>
          <w:szCs w:val="24"/>
        </w:rPr>
        <w:t xml:space="preserve">, který nebyl stanoven jako povinný k naplnění, ale byl posuzován při výběru projektů. </w:t>
      </w:r>
      <w:r w:rsidRPr="00AD24F6">
        <w:rPr>
          <w:rFonts w:eastAsia="Calibri" w:cstheme="minorHAnsi"/>
          <w:sz w:val="24"/>
          <w:szCs w:val="24"/>
        </w:rPr>
        <w:t xml:space="preserve">Podmínkou </w:t>
      </w:r>
      <w:r>
        <w:rPr>
          <w:rFonts w:eastAsia="Calibri" w:cstheme="minorHAnsi"/>
          <w:sz w:val="24"/>
          <w:szCs w:val="24"/>
        </w:rPr>
        <w:t xml:space="preserve">poskytnutí </w:t>
      </w:r>
      <w:r w:rsidR="00CB274C">
        <w:rPr>
          <w:rFonts w:eastAsia="Calibri" w:cstheme="minorHAnsi"/>
          <w:sz w:val="24"/>
          <w:szCs w:val="24"/>
        </w:rPr>
        <w:t>peněžních prostředků</w:t>
      </w:r>
      <w:r w:rsidRPr="00AD24F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z</w:t>
      </w:r>
      <w:r w:rsidR="00380851">
        <w:rPr>
          <w:rFonts w:eastAsia="Calibri" w:cstheme="minorHAnsi"/>
          <w:sz w:val="24"/>
          <w:szCs w:val="24"/>
        </w:rPr>
        <w:t> </w:t>
      </w:r>
      <w:r>
        <w:rPr>
          <w:rFonts w:eastAsia="Calibri" w:cstheme="minorHAnsi"/>
          <w:sz w:val="24"/>
          <w:szCs w:val="24"/>
        </w:rPr>
        <w:t>programu</w:t>
      </w:r>
      <w:r w:rsidR="00380851">
        <w:rPr>
          <w:rFonts w:eastAsia="Calibri" w:cstheme="minorHAnsi"/>
          <w:sz w:val="24"/>
          <w:szCs w:val="24"/>
        </w:rPr>
        <w:t xml:space="preserve"> podpory</w:t>
      </w:r>
      <w:r>
        <w:rPr>
          <w:rFonts w:eastAsia="Calibri" w:cstheme="minorHAnsi"/>
          <w:sz w:val="24"/>
          <w:szCs w:val="24"/>
        </w:rPr>
        <w:t xml:space="preserve"> </w:t>
      </w:r>
      <w:r w:rsidRPr="00E55374">
        <w:rPr>
          <w:rFonts w:eastAsia="Calibri" w:cstheme="minorHAnsi"/>
          <w:i/>
          <w:sz w:val="24"/>
          <w:szCs w:val="24"/>
        </w:rPr>
        <w:t>Školicí střediska</w:t>
      </w:r>
      <w:r>
        <w:rPr>
          <w:rFonts w:eastAsia="Calibri" w:cstheme="minorHAnsi"/>
          <w:sz w:val="24"/>
          <w:szCs w:val="24"/>
        </w:rPr>
        <w:t xml:space="preserve"> byla </w:t>
      </w:r>
      <w:r w:rsidRPr="00AD24F6">
        <w:rPr>
          <w:rFonts w:eastAsia="Calibri" w:cstheme="minorHAnsi"/>
          <w:sz w:val="24"/>
          <w:szCs w:val="24"/>
        </w:rPr>
        <w:t xml:space="preserve">povinnost příjemce podpory </w:t>
      </w:r>
      <w:r>
        <w:rPr>
          <w:rFonts w:eastAsia="Calibri" w:cstheme="minorHAnsi"/>
          <w:sz w:val="24"/>
          <w:szCs w:val="24"/>
        </w:rPr>
        <w:t>využívat</w:t>
      </w:r>
      <w:r w:rsidRPr="00AD24F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středisko pro školení po dobu 5 let</w:t>
      </w:r>
      <w:r w:rsidR="0011167A">
        <w:rPr>
          <w:rFonts w:eastAsia="Calibri" w:cstheme="minorHAnsi"/>
          <w:sz w:val="24"/>
          <w:szCs w:val="24"/>
          <w:vertAlign w:val="superscript"/>
        </w:rPr>
        <w:t>1</w:t>
      </w:r>
      <w:r w:rsidR="00661AAD">
        <w:rPr>
          <w:rFonts w:eastAsia="Calibri" w:cstheme="minorHAnsi"/>
          <w:sz w:val="24"/>
          <w:szCs w:val="24"/>
          <w:vertAlign w:val="superscript"/>
        </w:rPr>
        <w:t>8</w:t>
      </w:r>
      <w:r>
        <w:rPr>
          <w:rFonts w:eastAsia="Calibri" w:cstheme="minorHAnsi"/>
          <w:sz w:val="24"/>
          <w:szCs w:val="24"/>
        </w:rPr>
        <w:t xml:space="preserve"> od ukončení realizace projektu. Příjemce</w:t>
      </w:r>
      <w:r w:rsidR="00380851">
        <w:rPr>
          <w:rFonts w:eastAsia="Calibri" w:cstheme="minorHAnsi"/>
          <w:sz w:val="24"/>
          <w:szCs w:val="24"/>
        </w:rPr>
        <w:t xml:space="preserve"> podpory</w:t>
      </w:r>
      <w:r>
        <w:rPr>
          <w:rFonts w:eastAsia="Calibri" w:cstheme="minorHAnsi"/>
          <w:sz w:val="24"/>
          <w:szCs w:val="24"/>
        </w:rPr>
        <w:t xml:space="preserve"> byl povinen středisko využí</w:t>
      </w:r>
      <w:r w:rsidR="00CB274C">
        <w:rPr>
          <w:rFonts w:eastAsia="Calibri" w:cstheme="minorHAnsi"/>
          <w:sz w:val="24"/>
          <w:szCs w:val="24"/>
        </w:rPr>
        <w:t>va</w:t>
      </w:r>
      <w:r>
        <w:rPr>
          <w:rFonts w:eastAsia="Calibri" w:cstheme="minorHAnsi"/>
          <w:sz w:val="24"/>
          <w:szCs w:val="24"/>
        </w:rPr>
        <w:t>t</w:t>
      </w:r>
      <w:r w:rsidRPr="00AD24F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po dobu </w:t>
      </w:r>
      <w:r w:rsidRPr="00AD24F6">
        <w:rPr>
          <w:rFonts w:eastAsia="Calibri" w:cstheme="minorHAnsi"/>
          <w:sz w:val="24"/>
          <w:szCs w:val="24"/>
        </w:rPr>
        <w:t>odpovídající 30</w:t>
      </w:r>
      <w:r w:rsidR="000C410B">
        <w:rPr>
          <w:rFonts w:eastAsia="Calibri" w:cstheme="minorHAnsi"/>
          <w:sz w:val="24"/>
          <w:szCs w:val="24"/>
        </w:rPr>
        <w:t> </w:t>
      </w:r>
      <w:r w:rsidRPr="00AD24F6">
        <w:rPr>
          <w:rFonts w:eastAsia="Calibri" w:cstheme="minorHAnsi"/>
          <w:sz w:val="24"/>
          <w:szCs w:val="24"/>
        </w:rPr>
        <w:t xml:space="preserve">% z celkových pracovních dnů, přičemž </w:t>
      </w:r>
      <w:r w:rsidRPr="00E55374">
        <w:rPr>
          <w:rFonts w:eastAsia="Calibri" w:cstheme="minorHAnsi"/>
          <w:sz w:val="24"/>
          <w:szCs w:val="24"/>
        </w:rPr>
        <w:t xml:space="preserve">kapacita školicího střediska </w:t>
      </w:r>
      <w:r w:rsidR="00CB274C">
        <w:rPr>
          <w:rFonts w:eastAsia="Calibri" w:cstheme="minorHAnsi"/>
          <w:sz w:val="24"/>
          <w:szCs w:val="24"/>
        </w:rPr>
        <w:t>měla</w:t>
      </w:r>
      <w:r w:rsidRPr="00E55374">
        <w:rPr>
          <w:rFonts w:eastAsia="Calibri" w:cstheme="minorHAnsi"/>
          <w:sz w:val="24"/>
          <w:szCs w:val="24"/>
        </w:rPr>
        <w:t xml:space="preserve"> být naplněna alespoň z</w:t>
      </w:r>
      <w:r w:rsidR="00CB274C" w:rsidRPr="00E55374">
        <w:rPr>
          <w:rFonts w:eastAsia="Calibri" w:cstheme="minorHAnsi"/>
          <w:sz w:val="24"/>
          <w:szCs w:val="24"/>
        </w:rPr>
        <w:t> </w:t>
      </w:r>
      <w:r w:rsidRPr="00E55374">
        <w:rPr>
          <w:rFonts w:eastAsia="Calibri" w:cstheme="minorHAnsi"/>
          <w:sz w:val="24"/>
          <w:szCs w:val="24"/>
        </w:rPr>
        <w:t xml:space="preserve">50 % a čistá doba školení </w:t>
      </w:r>
      <w:r w:rsidR="00CB274C">
        <w:rPr>
          <w:rFonts w:eastAsia="Calibri" w:cstheme="minorHAnsi"/>
          <w:sz w:val="24"/>
          <w:szCs w:val="24"/>
        </w:rPr>
        <w:t>měla trvat</w:t>
      </w:r>
      <w:r w:rsidR="0011167A" w:rsidRPr="00E55374">
        <w:rPr>
          <w:rFonts w:eastAsia="Calibri" w:cstheme="minorHAnsi"/>
          <w:sz w:val="24"/>
          <w:szCs w:val="24"/>
        </w:rPr>
        <w:t xml:space="preserve"> alespoň 3 hodiny (180 minut)</w:t>
      </w:r>
      <w:r w:rsidRPr="009A0B19">
        <w:rPr>
          <w:rStyle w:val="Znakapoznpodarou"/>
          <w:rFonts w:eastAsia="Calibri" w:cstheme="minorHAnsi"/>
        </w:rPr>
        <w:footnoteReference w:id="18"/>
      </w:r>
      <w:r w:rsidRPr="009A0B19">
        <w:rPr>
          <w:rFonts w:eastAsia="Calibri" w:cstheme="minorHAnsi"/>
          <w:sz w:val="24"/>
        </w:rPr>
        <w:t>.</w:t>
      </w:r>
      <w:r>
        <w:rPr>
          <w:rFonts w:eastAsia="Calibri" w:cstheme="minorHAnsi"/>
          <w:sz w:val="24"/>
        </w:rPr>
        <w:t xml:space="preserve"> </w:t>
      </w:r>
      <w:r w:rsidRPr="00CB5995">
        <w:rPr>
          <w:rFonts w:eastAsia="Calibri" w:cstheme="minorHAnsi"/>
          <w:b/>
          <w:sz w:val="24"/>
        </w:rPr>
        <w:t xml:space="preserve">MPO nesledovalo, zda jsou podpořená školicí střediska dostatečně využita ke stanovenému účelu, a to i přesto, že </w:t>
      </w:r>
      <w:r w:rsidRPr="00CB5995">
        <w:rPr>
          <w:rFonts w:eastAsia="Calibri" w:cstheme="minorHAnsi"/>
          <w:b/>
          <w:sz w:val="24"/>
        </w:rPr>
        <w:lastRenderedPageBreak/>
        <w:t xml:space="preserve">nesplnění podmínky využití </w:t>
      </w:r>
      <w:r w:rsidR="0011167A">
        <w:rPr>
          <w:rFonts w:eastAsia="Calibri" w:cstheme="minorHAnsi"/>
          <w:b/>
          <w:sz w:val="24"/>
        </w:rPr>
        <w:t xml:space="preserve">školicích </w:t>
      </w:r>
      <w:r w:rsidRPr="00CB5995">
        <w:rPr>
          <w:rFonts w:eastAsia="Calibri" w:cstheme="minorHAnsi"/>
          <w:b/>
          <w:sz w:val="24"/>
        </w:rPr>
        <w:t xml:space="preserve">středisek mělo vést k vrácení </w:t>
      </w:r>
      <w:r w:rsidR="00BD4E84">
        <w:rPr>
          <w:rFonts w:eastAsia="Calibri" w:cstheme="minorHAnsi"/>
          <w:b/>
          <w:sz w:val="24"/>
        </w:rPr>
        <w:t xml:space="preserve">poskytnuté </w:t>
      </w:r>
      <w:r w:rsidRPr="00CB5995">
        <w:rPr>
          <w:rFonts w:eastAsia="Calibri" w:cstheme="minorHAnsi"/>
          <w:b/>
          <w:sz w:val="24"/>
        </w:rPr>
        <w:t>podpory</w:t>
      </w:r>
      <w:r w:rsidRPr="00E55374">
        <w:rPr>
          <w:rFonts w:eastAsia="Calibri" w:cstheme="minorHAnsi"/>
          <w:b/>
          <w:sz w:val="24"/>
        </w:rPr>
        <w:t xml:space="preserve">. </w:t>
      </w:r>
      <w:r>
        <w:rPr>
          <w:rFonts w:eastAsia="Calibri" w:cstheme="minorHAnsi"/>
          <w:sz w:val="24"/>
        </w:rPr>
        <w:t>T</w:t>
      </w:r>
      <w:r w:rsidRPr="002F1750">
        <w:rPr>
          <w:rFonts w:cstheme="minorHAnsi"/>
          <w:sz w:val="24"/>
          <w:szCs w:val="23"/>
        </w:rPr>
        <w:t xml:space="preserve">eprve </w:t>
      </w:r>
      <w:r>
        <w:rPr>
          <w:rFonts w:cstheme="minorHAnsi"/>
          <w:sz w:val="24"/>
          <w:szCs w:val="23"/>
        </w:rPr>
        <w:t>v době kontroly NKÚ, tj.</w:t>
      </w:r>
      <w:r w:rsidRPr="002F1750">
        <w:rPr>
          <w:rFonts w:cstheme="minorHAnsi"/>
          <w:sz w:val="24"/>
          <w:szCs w:val="23"/>
        </w:rPr>
        <w:t xml:space="preserve"> </w:t>
      </w:r>
      <w:r w:rsidRPr="00450C08">
        <w:rPr>
          <w:rFonts w:cstheme="minorHAnsi"/>
          <w:sz w:val="24"/>
          <w:szCs w:val="23"/>
        </w:rPr>
        <w:t xml:space="preserve">po pěti </w:t>
      </w:r>
      <w:r>
        <w:rPr>
          <w:rFonts w:cstheme="minorHAnsi"/>
          <w:sz w:val="24"/>
          <w:szCs w:val="23"/>
        </w:rPr>
        <w:t>letech běhu programu</w:t>
      </w:r>
      <w:r w:rsidR="00380851">
        <w:rPr>
          <w:rFonts w:cstheme="minorHAnsi"/>
          <w:sz w:val="24"/>
          <w:szCs w:val="23"/>
        </w:rPr>
        <w:t xml:space="preserve"> podpory</w:t>
      </w:r>
      <w:r w:rsidR="009A0B19">
        <w:rPr>
          <w:rFonts w:cstheme="minorHAnsi"/>
          <w:sz w:val="24"/>
          <w:szCs w:val="23"/>
        </w:rPr>
        <w:t>,</w:t>
      </w:r>
      <w:r>
        <w:rPr>
          <w:rFonts w:cstheme="minorHAnsi"/>
          <w:sz w:val="24"/>
          <w:szCs w:val="23"/>
        </w:rPr>
        <w:t xml:space="preserve"> </w:t>
      </w:r>
      <w:r w:rsidR="009A0B19" w:rsidRPr="002F1750">
        <w:rPr>
          <w:rFonts w:cstheme="minorHAnsi"/>
          <w:sz w:val="24"/>
          <w:szCs w:val="23"/>
        </w:rPr>
        <w:t xml:space="preserve">zavedlo </w:t>
      </w:r>
      <w:r w:rsidR="009A0B19">
        <w:rPr>
          <w:rFonts w:cstheme="minorHAnsi"/>
          <w:sz w:val="24"/>
          <w:szCs w:val="23"/>
        </w:rPr>
        <w:t>MPO</w:t>
      </w:r>
      <w:r w:rsidR="009A0B19" w:rsidRPr="002F1750">
        <w:rPr>
          <w:rFonts w:cstheme="minorHAnsi"/>
          <w:sz w:val="24"/>
          <w:szCs w:val="23"/>
        </w:rPr>
        <w:t xml:space="preserve"> </w:t>
      </w:r>
      <w:r w:rsidRPr="002F1750">
        <w:rPr>
          <w:rFonts w:cstheme="minorHAnsi"/>
          <w:sz w:val="24"/>
          <w:szCs w:val="23"/>
        </w:rPr>
        <w:t>jako korekci</w:t>
      </w:r>
      <w:r>
        <w:rPr>
          <w:rFonts w:cstheme="minorHAnsi"/>
          <w:sz w:val="24"/>
          <w:szCs w:val="23"/>
        </w:rPr>
        <w:t xml:space="preserve"> nevhodně nastaveného ukazatele</w:t>
      </w:r>
      <w:r w:rsidR="00661AAD">
        <w:rPr>
          <w:rFonts w:cstheme="minorHAnsi"/>
          <w:sz w:val="24"/>
          <w:szCs w:val="23"/>
        </w:rPr>
        <w:t xml:space="preserve"> </w:t>
      </w:r>
      <w:r w:rsidRPr="002F1750">
        <w:rPr>
          <w:rFonts w:cstheme="minorHAnsi"/>
          <w:sz w:val="24"/>
          <w:szCs w:val="23"/>
        </w:rPr>
        <w:t>povinnost pro příjemce podpory vyplňovat speciální tabulku pro sledování vytíženosti školicích středisek</w:t>
      </w:r>
      <w:r w:rsidR="009A0B19">
        <w:rPr>
          <w:rFonts w:cstheme="minorHAnsi"/>
          <w:sz w:val="24"/>
          <w:szCs w:val="23"/>
        </w:rPr>
        <w:t>.</w:t>
      </w:r>
      <w:r w:rsidRPr="002F1750">
        <w:rPr>
          <w:rFonts w:cstheme="minorHAnsi"/>
          <w:sz w:val="24"/>
          <w:szCs w:val="23"/>
        </w:rPr>
        <w:t xml:space="preserve"> </w:t>
      </w:r>
      <w:r w:rsidR="009A0B19">
        <w:rPr>
          <w:rFonts w:cstheme="minorHAnsi"/>
          <w:sz w:val="24"/>
          <w:szCs w:val="23"/>
        </w:rPr>
        <w:t xml:space="preserve">Tato tabulka by měla </w:t>
      </w:r>
      <w:r w:rsidRPr="002F1750">
        <w:rPr>
          <w:rFonts w:cstheme="minorHAnsi"/>
          <w:sz w:val="24"/>
          <w:szCs w:val="23"/>
        </w:rPr>
        <w:t>být předávána společně se zprávami o udržitelnosti.</w:t>
      </w:r>
      <w:r>
        <w:rPr>
          <w:rFonts w:cstheme="minorHAnsi"/>
          <w:sz w:val="24"/>
          <w:szCs w:val="23"/>
        </w:rPr>
        <w:t xml:space="preserve"> </w:t>
      </w:r>
    </w:p>
    <w:p w14:paraId="4E3B56F1" w14:textId="0D6922A8" w:rsidR="00D65D7D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15634440" w14:textId="77777777" w:rsidR="00C10250" w:rsidRDefault="00C10250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5D238355" w14:textId="63224887" w:rsidR="00CE447E" w:rsidRDefault="00CE447E" w:rsidP="00CE447E">
      <w:pPr>
        <w:pStyle w:val="Odstavecseseznamem"/>
        <w:numPr>
          <w:ilvl w:val="0"/>
          <w:numId w:val="47"/>
        </w:numPr>
        <w:spacing w:after="0" w:line="240" w:lineRule="auto"/>
        <w:ind w:left="0" w:hanging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Podpora </w:t>
      </w:r>
      <w:r w:rsidR="00BA7423">
        <w:rPr>
          <w:rFonts w:cstheme="minorHAnsi"/>
          <w:b/>
          <w:sz w:val="24"/>
          <w:szCs w:val="24"/>
        </w:rPr>
        <w:t>MSP</w:t>
      </w:r>
      <w:r>
        <w:rPr>
          <w:rFonts w:cstheme="minorHAnsi"/>
          <w:b/>
          <w:sz w:val="24"/>
          <w:szCs w:val="24"/>
        </w:rPr>
        <w:t xml:space="preserve"> v souvislosti se situací pandemie Covid 19 bez vyhodnotitelného přínosu</w:t>
      </w:r>
    </w:p>
    <w:p w14:paraId="23DB0391" w14:textId="77777777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242487C7" w14:textId="4A1C3C94" w:rsidR="00D65D7D" w:rsidRPr="00BC5978" w:rsidRDefault="00D65D7D" w:rsidP="00D65D7D">
      <w:pPr>
        <w:spacing w:line="240" w:lineRule="auto"/>
        <w:jc w:val="both"/>
        <w:rPr>
          <w:rFonts w:eastAsia="Calibri" w:cstheme="minorHAnsi"/>
          <w:sz w:val="24"/>
        </w:rPr>
      </w:pPr>
      <w:r w:rsidRPr="00BC5978">
        <w:rPr>
          <w:rFonts w:eastAsia="Calibri" w:cstheme="minorHAnsi"/>
          <w:sz w:val="24"/>
        </w:rPr>
        <w:t>V reakci na vypuknutí pandemie onemocnění Covid</w:t>
      </w:r>
      <w:r w:rsidR="00E55374">
        <w:rPr>
          <w:rFonts w:eastAsia="Calibri" w:cstheme="minorHAnsi"/>
          <w:sz w:val="24"/>
        </w:rPr>
        <w:t xml:space="preserve"> </w:t>
      </w:r>
      <w:r w:rsidRPr="00BC5978">
        <w:rPr>
          <w:rFonts w:eastAsia="Calibri" w:cstheme="minorHAnsi"/>
          <w:sz w:val="24"/>
        </w:rPr>
        <w:t>19 a s tím související omezení ekonomik</w:t>
      </w:r>
      <w:r>
        <w:rPr>
          <w:rFonts w:eastAsia="Calibri" w:cstheme="minorHAnsi"/>
          <w:sz w:val="24"/>
        </w:rPr>
        <w:t xml:space="preserve">y připravilo </w:t>
      </w:r>
      <w:r w:rsidR="00A90A91">
        <w:rPr>
          <w:rFonts w:eastAsia="Calibri" w:cstheme="minorHAnsi"/>
          <w:sz w:val="24"/>
        </w:rPr>
        <w:t xml:space="preserve">MPO </w:t>
      </w:r>
      <w:r>
        <w:rPr>
          <w:rFonts w:eastAsia="Calibri" w:cstheme="minorHAnsi"/>
          <w:sz w:val="24"/>
        </w:rPr>
        <w:t xml:space="preserve">v rámci OPPIK, </w:t>
      </w:r>
      <w:r w:rsidR="00A90A91">
        <w:rPr>
          <w:rFonts w:eastAsia="Calibri" w:cstheme="minorHAnsi"/>
          <w:sz w:val="24"/>
        </w:rPr>
        <w:t xml:space="preserve">resp. </w:t>
      </w:r>
      <w:r>
        <w:rPr>
          <w:rFonts w:eastAsia="Calibri" w:cstheme="minorHAnsi"/>
          <w:sz w:val="24"/>
        </w:rPr>
        <w:t xml:space="preserve">programů </w:t>
      </w:r>
      <w:r w:rsidR="00380851">
        <w:rPr>
          <w:rFonts w:eastAsia="Calibri" w:cstheme="minorHAnsi"/>
          <w:sz w:val="24"/>
        </w:rPr>
        <w:t xml:space="preserve">podpory </w:t>
      </w:r>
      <w:r w:rsidRPr="00E55374">
        <w:rPr>
          <w:rFonts w:eastAsia="Calibri" w:cstheme="minorHAnsi"/>
          <w:b/>
          <w:i/>
          <w:sz w:val="24"/>
          <w:szCs w:val="24"/>
        </w:rPr>
        <w:t>Technologie</w:t>
      </w:r>
      <w:r>
        <w:rPr>
          <w:rFonts w:eastAsia="Calibri" w:cstheme="minorHAnsi"/>
          <w:b/>
          <w:sz w:val="24"/>
          <w:szCs w:val="24"/>
        </w:rPr>
        <w:t xml:space="preserve"> a </w:t>
      </w:r>
      <w:r w:rsidRPr="00E55374">
        <w:rPr>
          <w:rFonts w:eastAsia="Calibri" w:cstheme="minorHAnsi"/>
          <w:b/>
          <w:i/>
          <w:sz w:val="24"/>
        </w:rPr>
        <w:t>Inovační vouchery</w:t>
      </w:r>
      <w:r w:rsidR="00A90A91" w:rsidRPr="00AD1495">
        <w:rPr>
          <w:rFonts w:eastAsia="Calibri" w:cstheme="minorHAnsi"/>
          <w:b/>
          <w:sz w:val="24"/>
        </w:rPr>
        <w:t>,</w:t>
      </w:r>
      <w:r>
        <w:rPr>
          <w:rFonts w:eastAsia="Calibri" w:cstheme="minorHAnsi"/>
          <w:sz w:val="24"/>
        </w:rPr>
        <w:t xml:space="preserve"> dvě</w:t>
      </w:r>
      <w:r w:rsidRPr="00BC5978">
        <w:rPr>
          <w:rFonts w:eastAsia="Calibri" w:cstheme="minorHAnsi"/>
          <w:sz w:val="24"/>
        </w:rPr>
        <w:t xml:space="preserve"> výzvy</w:t>
      </w:r>
      <w:r>
        <w:rPr>
          <w:rFonts w:eastAsia="Calibri" w:cstheme="minorHAnsi"/>
          <w:sz w:val="24"/>
        </w:rPr>
        <w:t xml:space="preserve"> (XII</w:t>
      </w:r>
      <w:r w:rsidR="00B8001A">
        <w:rPr>
          <w:rFonts w:eastAsia="Calibri" w:cstheme="minorHAnsi"/>
          <w:sz w:val="24"/>
        </w:rPr>
        <w:t>.</w:t>
      </w:r>
      <w:r>
        <w:rPr>
          <w:rFonts w:eastAsia="Calibri" w:cstheme="minorHAnsi"/>
          <w:sz w:val="24"/>
        </w:rPr>
        <w:t xml:space="preserve"> a V</w:t>
      </w:r>
      <w:r w:rsidR="00B8001A">
        <w:rPr>
          <w:rFonts w:eastAsia="Calibri" w:cstheme="minorHAnsi"/>
          <w:sz w:val="24"/>
        </w:rPr>
        <w:t>.</w:t>
      </w:r>
      <w:r>
        <w:rPr>
          <w:rFonts w:eastAsia="Calibri" w:cstheme="minorHAnsi"/>
          <w:sz w:val="24"/>
        </w:rPr>
        <w:t>)</w:t>
      </w:r>
      <w:r w:rsidRPr="00BC5978">
        <w:rPr>
          <w:rFonts w:eastAsia="Calibri" w:cstheme="minorHAnsi"/>
          <w:sz w:val="24"/>
        </w:rPr>
        <w:t>, které svým zaměřením mají napomoci k řešení problematiky</w:t>
      </w:r>
      <w:r>
        <w:rPr>
          <w:rFonts w:eastAsia="Calibri" w:cstheme="minorHAnsi"/>
          <w:sz w:val="24"/>
        </w:rPr>
        <w:t xml:space="preserve"> pandemie. V rámci obou výzev bylo podpořeno </w:t>
      </w:r>
      <w:r w:rsidR="00380851">
        <w:rPr>
          <w:rFonts w:eastAsia="Calibri" w:cstheme="minorHAnsi"/>
          <w:sz w:val="24"/>
        </w:rPr>
        <w:t>celkem 107 projektů v celkové výši 490,8</w:t>
      </w:r>
      <w:r>
        <w:rPr>
          <w:rFonts w:eastAsia="Calibri" w:cstheme="minorHAnsi"/>
          <w:sz w:val="24"/>
        </w:rPr>
        <w:t xml:space="preserve"> mil. Kč, přičemž k 1</w:t>
      </w:r>
      <w:r w:rsidR="00BD4E84">
        <w:rPr>
          <w:rFonts w:eastAsia="Calibri" w:cstheme="minorHAnsi"/>
          <w:sz w:val="24"/>
        </w:rPr>
        <w:t>1. </w:t>
      </w:r>
      <w:r w:rsidR="00380851">
        <w:rPr>
          <w:rFonts w:eastAsia="Calibri" w:cstheme="minorHAnsi"/>
          <w:sz w:val="24"/>
        </w:rPr>
        <w:t>lednu 2021 bylo proplaceno 27,9</w:t>
      </w:r>
      <w:r>
        <w:rPr>
          <w:rFonts w:eastAsia="Calibri" w:cstheme="minorHAnsi"/>
          <w:sz w:val="24"/>
        </w:rPr>
        <w:t xml:space="preserve"> mil. Kč.</w:t>
      </w:r>
    </w:p>
    <w:p w14:paraId="28799651" w14:textId="2E91788E" w:rsidR="00D65D7D" w:rsidRPr="00BC5978" w:rsidRDefault="00D65D7D" w:rsidP="00D65D7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C5978">
        <w:rPr>
          <w:rFonts w:eastAsia="Calibri" w:cstheme="minorHAnsi"/>
          <w:sz w:val="24"/>
          <w:szCs w:val="24"/>
        </w:rPr>
        <w:t>Cíle</w:t>
      </w:r>
      <w:r>
        <w:rPr>
          <w:rFonts w:eastAsia="Calibri" w:cstheme="minorHAnsi"/>
          <w:sz w:val="24"/>
          <w:szCs w:val="24"/>
        </w:rPr>
        <w:t>m</w:t>
      </w:r>
      <w:r w:rsidRPr="00BC5978">
        <w:rPr>
          <w:rFonts w:eastAsia="Calibri" w:cstheme="minorHAnsi"/>
          <w:sz w:val="24"/>
          <w:szCs w:val="24"/>
        </w:rPr>
        <w:t xml:space="preserve"> </w:t>
      </w:r>
      <w:r w:rsidR="00B8001A" w:rsidRPr="00BC5978">
        <w:rPr>
          <w:rFonts w:eastAsia="Calibri" w:cstheme="minorHAnsi"/>
          <w:sz w:val="24"/>
          <w:szCs w:val="24"/>
        </w:rPr>
        <w:t>XII.</w:t>
      </w:r>
      <w:r w:rsidR="00B8001A">
        <w:rPr>
          <w:rFonts w:eastAsia="Calibri" w:cstheme="minorHAnsi"/>
          <w:sz w:val="24"/>
          <w:szCs w:val="24"/>
        </w:rPr>
        <w:t xml:space="preserve"> </w:t>
      </w:r>
      <w:r w:rsidRPr="00BC5978">
        <w:rPr>
          <w:rFonts w:eastAsia="Calibri" w:cstheme="minorHAnsi"/>
          <w:sz w:val="24"/>
          <w:szCs w:val="24"/>
        </w:rPr>
        <w:t xml:space="preserve">výzvy programu podpory </w:t>
      </w:r>
      <w:r w:rsidRPr="00E55374">
        <w:rPr>
          <w:rFonts w:eastAsia="Calibri" w:cstheme="minorHAnsi"/>
          <w:b/>
          <w:i/>
          <w:sz w:val="24"/>
          <w:szCs w:val="24"/>
        </w:rPr>
        <w:t>Technologie</w:t>
      </w:r>
      <w:r w:rsidRPr="00BC5978">
        <w:rPr>
          <w:rFonts w:eastAsia="Calibri" w:cstheme="minorHAnsi"/>
          <w:sz w:val="24"/>
          <w:szCs w:val="24"/>
        </w:rPr>
        <w:t xml:space="preserve"> je podpora růstu a posilování konkurenceschopnosti </w:t>
      </w:r>
      <w:r w:rsidR="005123CB">
        <w:rPr>
          <w:rFonts w:eastAsia="Calibri" w:cstheme="minorHAnsi"/>
          <w:sz w:val="24"/>
          <w:szCs w:val="24"/>
        </w:rPr>
        <w:t>MSP</w:t>
      </w:r>
      <w:r w:rsidRPr="00BC5978">
        <w:rPr>
          <w:rFonts w:eastAsia="Calibri" w:cstheme="minorHAnsi"/>
          <w:sz w:val="24"/>
          <w:szCs w:val="24"/>
        </w:rPr>
        <w:t xml:space="preserve"> v oblasti produkce pro přímý boj proti koronavirové infekci. Podporovány jsou projekty, jejichž výsledkem je produkce mate</w:t>
      </w:r>
      <w:r w:rsidR="00BD4E84">
        <w:rPr>
          <w:rFonts w:eastAsia="Calibri" w:cstheme="minorHAnsi"/>
          <w:sz w:val="24"/>
          <w:szCs w:val="24"/>
        </w:rPr>
        <w:t>riálů, technologií a produktů z </w:t>
      </w:r>
      <w:r w:rsidRPr="00BC5978">
        <w:rPr>
          <w:rFonts w:eastAsia="Calibri" w:cstheme="minorHAnsi"/>
          <w:sz w:val="24"/>
          <w:szCs w:val="24"/>
        </w:rPr>
        <w:t xml:space="preserve">oblasti zdravotnických prostředků a prostředků osobní ochrany nebo likvidace infekčního odpadu pro přímý boj proti dalšímu šíření koronavirové infekce, a to dle stanoveného </w:t>
      </w:r>
      <w:r w:rsidR="00B54870" w:rsidRPr="00E55374">
        <w:rPr>
          <w:rFonts w:eastAsia="Calibri" w:cstheme="minorHAnsi"/>
          <w:i/>
          <w:sz w:val="24"/>
          <w:szCs w:val="24"/>
        </w:rPr>
        <w:t>s</w:t>
      </w:r>
      <w:r w:rsidRPr="00E55374">
        <w:rPr>
          <w:rFonts w:eastAsia="Calibri" w:cstheme="minorHAnsi"/>
          <w:i/>
          <w:sz w:val="24"/>
          <w:szCs w:val="24"/>
        </w:rPr>
        <w:t>eznamu osobních ochranných prostředků a zdravotnických prostředků</w:t>
      </w:r>
      <w:r w:rsidRPr="00BC5978">
        <w:rPr>
          <w:rFonts w:eastAsia="Calibri" w:cstheme="minorHAnsi"/>
          <w:sz w:val="24"/>
          <w:szCs w:val="24"/>
        </w:rPr>
        <w:t>, který tvoří přílohu výzvy. Tento seznam stanovilo MPO společně s Ministerstvem zdravotnictví.</w:t>
      </w:r>
    </w:p>
    <w:p w14:paraId="5B885DAB" w14:textId="77777777" w:rsidR="00D65D7D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197E4476" w14:textId="2F99C6F3" w:rsidR="00D65D7D" w:rsidRDefault="00D65D7D" w:rsidP="00D65D7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eastAsia="Calibri" w:cstheme="minorHAnsi"/>
          <w:sz w:val="24"/>
        </w:rPr>
        <w:t xml:space="preserve">Cílem </w:t>
      </w:r>
      <w:r w:rsidR="00B54870">
        <w:rPr>
          <w:rFonts w:eastAsia="Calibri" w:cstheme="minorHAnsi"/>
          <w:sz w:val="24"/>
        </w:rPr>
        <w:t xml:space="preserve">V. </w:t>
      </w:r>
      <w:r>
        <w:rPr>
          <w:rFonts w:eastAsia="Calibri" w:cstheme="minorHAnsi"/>
          <w:sz w:val="24"/>
        </w:rPr>
        <w:t xml:space="preserve">výzvy programu podpory </w:t>
      </w:r>
      <w:r w:rsidRPr="00E55374">
        <w:rPr>
          <w:rFonts w:eastAsia="Calibri" w:cstheme="minorHAnsi"/>
          <w:b/>
          <w:i/>
          <w:sz w:val="24"/>
        </w:rPr>
        <w:t>Inovační vouchery</w:t>
      </w:r>
      <w:r>
        <w:rPr>
          <w:rFonts w:eastAsia="Calibri" w:cstheme="minorHAnsi"/>
          <w:sz w:val="24"/>
        </w:rPr>
        <w:t xml:space="preserve"> je </w:t>
      </w:r>
      <w:r w:rsidRPr="00BC5978">
        <w:rPr>
          <w:rFonts w:cstheme="minorHAnsi"/>
          <w:sz w:val="24"/>
        </w:rPr>
        <w:t>sdílení poznatků a know-how mezi podnikovou a výzkumnou sférou, které</w:t>
      </w:r>
      <w:r w:rsidRPr="00E55374">
        <w:rPr>
          <w:rFonts w:cstheme="minorHAnsi"/>
          <w:sz w:val="24"/>
        </w:rPr>
        <w:t xml:space="preserve"> </w:t>
      </w:r>
      <w:r w:rsidRPr="00BC5978">
        <w:rPr>
          <w:rFonts w:cstheme="minorHAnsi"/>
          <w:sz w:val="24"/>
        </w:rPr>
        <w:t>mohou podnikatelské subjekty využít pro boj proti koronavirové infekci, z toho vyplývajících opatření na zmírnění dopad</w:t>
      </w:r>
      <w:r w:rsidR="00C371E6">
        <w:rPr>
          <w:rFonts w:cstheme="minorHAnsi"/>
          <w:sz w:val="24"/>
        </w:rPr>
        <w:t>ů</w:t>
      </w:r>
      <w:r w:rsidRPr="00BC5978">
        <w:rPr>
          <w:rFonts w:cstheme="minorHAnsi"/>
          <w:sz w:val="24"/>
        </w:rPr>
        <w:t xml:space="preserve"> </w:t>
      </w:r>
      <w:r w:rsidR="00A60C28">
        <w:rPr>
          <w:rFonts w:cstheme="minorHAnsi"/>
          <w:sz w:val="24"/>
        </w:rPr>
        <w:t xml:space="preserve">dalšího šíření </w:t>
      </w:r>
      <w:r w:rsidR="00B54870">
        <w:rPr>
          <w:rFonts w:cstheme="minorHAnsi"/>
          <w:sz w:val="24"/>
        </w:rPr>
        <w:t xml:space="preserve">epidemie </w:t>
      </w:r>
      <w:r w:rsidR="00A60C28">
        <w:rPr>
          <w:rFonts w:cstheme="minorHAnsi"/>
          <w:sz w:val="24"/>
        </w:rPr>
        <w:t>a</w:t>
      </w:r>
      <w:r w:rsidR="00AD1495">
        <w:rPr>
          <w:rFonts w:cstheme="minorHAnsi"/>
          <w:sz w:val="24"/>
        </w:rPr>
        <w:t xml:space="preserve"> pro </w:t>
      </w:r>
      <w:r w:rsidRPr="00BC5978">
        <w:rPr>
          <w:rFonts w:cstheme="minorHAnsi"/>
          <w:sz w:val="24"/>
        </w:rPr>
        <w:t>podpor</w:t>
      </w:r>
      <w:r w:rsidR="00AD1495">
        <w:rPr>
          <w:rFonts w:cstheme="minorHAnsi"/>
          <w:sz w:val="24"/>
        </w:rPr>
        <w:t>u</w:t>
      </w:r>
      <w:r w:rsidRPr="00BC5978">
        <w:rPr>
          <w:rFonts w:cstheme="minorHAnsi"/>
          <w:sz w:val="24"/>
        </w:rPr>
        <w:t xml:space="preserve"> vzniku preventivních opatření uplatnitelných na trhu. Podporovanými aktivitami jsou</w:t>
      </w:r>
      <w:r w:rsidR="00C371E6">
        <w:rPr>
          <w:rFonts w:cstheme="minorHAnsi"/>
          <w:sz w:val="24"/>
        </w:rPr>
        <w:t xml:space="preserve"> mj.</w:t>
      </w:r>
      <w:r w:rsidRPr="00BC5978">
        <w:rPr>
          <w:rFonts w:cstheme="minorHAnsi"/>
          <w:sz w:val="24"/>
        </w:rPr>
        <w:t xml:space="preserve"> nákupy poradenských, expertních a podpůrných služeb v oblasti inovací od organizací pro výzkum a šíření znalostí nebo akreditovaných laboratoří se zaměřením na přístroje a</w:t>
      </w:r>
      <w:r w:rsidR="00AD1495">
        <w:rPr>
          <w:rFonts w:cstheme="minorHAnsi"/>
          <w:sz w:val="24"/>
        </w:rPr>
        <w:t xml:space="preserve"> </w:t>
      </w:r>
      <w:r w:rsidRPr="00BC5978">
        <w:rPr>
          <w:rFonts w:cstheme="minorHAnsi"/>
          <w:sz w:val="24"/>
        </w:rPr>
        <w:t>pomůcky pro péči o nemocné osoby závislé na pečovatelské pomoci, ochranné prostředky pro pracovníky ve zdravotnictví a pro veřejnost, léčiva a léčivé p</w:t>
      </w:r>
      <w:r w:rsidR="00A60C28">
        <w:rPr>
          <w:rFonts w:cstheme="minorHAnsi"/>
          <w:sz w:val="24"/>
        </w:rPr>
        <w:t>rostředky určené pro prevenci a </w:t>
      </w:r>
      <w:r w:rsidRPr="00BC5978">
        <w:rPr>
          <w:rFonts w:cstheme="minorHAnsi"/>
          <w:sz w:val="24"/>
        </w:rPr>
        <w:t>zlepšení stavu či léčbu apod</w:t>
      </w:r>
      <w:r>
        <w:rPr>
          <w:rFonts w:cstheme="minorHAnsi"/>
          <w:sz w:val="24"/>
        </w:rPr>
        <w:t>.</w:t>
      </w:r>
    </w:p>
    <w:p w14:paraId="1C152674" w14:textId="77777777" w:rsidR="00D65D7D" w:rsidRDefault="00D65D7D" w:rsidP="00D65D7D">
      <w:pPr>
        <w:spacing w:after="0" w:line="240" w:lineRule="auto"/>
        <w:jc w:val="both"/>
        <w:rPr>
          <w:rFonts w:cstheme="minorHAnsi"/>
          <w:sz w:val="24"/>
        </w:rPr>
      </w:pPr>
    </w:p>
    <w:p w14:paraId="727103D5" w14:textId="77777777" w:rsidR="00D65D7D" w:rsidRDefault="00D65D7D" w:rsidP="00D65D7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Cíle těchto výzev jsou na úrovni projektů sledovány následujícími indikátory:</w:t>
      </w:r>
    </w:p>
    <w:p w14:paraId="74ACFE75" w14:textId="77777777" w:rsidR="00D65D7D" w:rsidRDefault="00D65D7D" w:rsidP="00D65D7D">
      <w:pPr>
        <w:spacing w:after="0" w:line="240" w:lineRule="auto"/>
        <w:jc w:val="both"/>
        <w:rPr>
          <w:rFonts w:cstheme="minorHAnsi"/>
          <w:sz w:val="24"/>
        </w:rPr>
      </w:pPr>
    </w:p>
    <w:p w14:paraId="2BAAC6EA" w14:textId="63D37BF7" w:rsidR="00D65D7D" w:rsidRPr="00380851" w:rsidRDefault="00D65D7D" w:rsidP="00D65D7D">
      <w:pPr>
        <w:spacing w:after="0" w:line="240" w:lineRule="auto"/>
        <w:jc w:val="both"/>
        <w:rPr>
          <w:rFonts w:cstheme="minorHAnsi"/>
          <w:b/>
          <w:sz w:val="24"/>
        </w:rPr>
      </w:pPr>
      <w:r w:rsidRPr="00380851">
        <w:rPr>
          <w:rFonts w:cstheme="minorHAnsi"/>
          <w:b/>
          <w:sz w:val="24"/>
        </w:rPr>
        <w:t>Tabulka č. 2</w:t>
      </w:r>
      <w:r w:rsidR="004A7EBB" w:rsidRPr="00380851">
        <w:rPr>
          <w:rFonts w:cstheme="minorHAnsi"/>
          <w:b/>
          <w:sz w:val="24"/>
        </w:rPr>
        <w:t>: I</w:t>
      </w:r>
      <w:r w:rsidRPr="00380851">
        <w:rPr>
          <w:rFonts w:cstheme="minorHAnsi"/>
          <w:b/>
          <w:sz w:val="24"/>
        </w:rPr>
        <w:t>ndikátory „</w:t>
      </w:r>
      <w:proofErr w:type="spellStart"/>
      <w:r w:rsidRPr="00380851">
        <w:rPr>
          <w:rFonts w:cstheme="minorHAnsi"/>
          <w:b/>
          <w:sz w:val="24"/>
        </w:rPr>
        <w:t>covidových</w:t>
      </w:r>
      <w:proofErr w:type="spellEnd"/>
      <w:r w:rsidRPr="00380851">
        <w:rPr>
          <w:rFonts w:cstheme="minorHAnsi"/>
          <w:b/>
          <w:sz w:val="24"/>
        </w:rPr>
        <w:t>“ výzev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838"/>
        <w:gridCol w:w="3614"/>
        <w:gridCol w:w="3615"/>
      </w:tblGrid>
      <w:tr w:rsidR="00D65D7D" w:rsidRPr="00601F19" w14:paraId="7B06B54B" w14:textId="77777777" w:rsidTr="00E55374">
        <w:tc>
          <w:tcPr>
            <w:tcW w:w="1838" w:type="dxa"/>
            <w:shd w:val="clear" w:color="auto" w:fill="BDD6EE" w:themeFill="accent1" w:themeFillTint="66"/>
            <w:vAlign w:val="center"/>
          </w:tcPr>
          <w:p w14:paraId="519DD4F3" w14:textId="080C11C0" w:rsidR="00D65D7D" w:rsidRPr="00601F19" w:rsidRDefault="004A7EBB" w:rsidP="00E55374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I</w:t>
            </w:r>
            <w:r w:rsidR="00D65D7D" w:rsidRPr="00601F19">
              <w:rPr>
                <w:rFonts w:eastAsia="Calibri" w:cstheme="minorHAnsi"/>
                <w:b/>
                <w:sz w:val="20"/>
                <w:szCs w:val="20"/>
              </w:rPr>
              <w:t>ndikátory</w:t>
            </w:r>
          </w:p>
        </w:tc>
        <w:tc>
          <w:tcPr>
            <w:tcW w:w="3614" w:type="dxa"/>
            <w:shd w:val="clear" w:color="auto" w:fill="BDD6EE" w:themeFill="accent1" w:themeFillTint="66"/>
            <w:vAlign w:val="center"/>
          </w:tcPr>
          <w:p w14:paraId="2EFF553B" w14:textId="62553ADA" w:rsidR="00D65D7D" w:rsidRPr="00601F19" w:rsidRDefault="004A7EBB" w:rsidP="0061141B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</w:t>
            </w:r>
            <w:r w:rsidR="00D65D7D">
              <w:rPr>
                <w:rFonts w:eastAsia="Calibri" w:cstheme="minorHAnsi"/>
                <w:b/>
                <w:sz w:val="20"/>
                <w:szCs w:val="20"/>
              </w:rPr>
              <w:t xml:space="preserve">ýzva XII. programu podpory </w:t>
            </w:r>
            <w:r w:rsidR="00D65D7D" w:rsidRPr="00E55374">
              <w:rPr>
                <w:rFonts w:eastAsia="Calibri" w:cstheme="minorHAnsi"/>
                <w:b/>
                <w:i/>
                <w:sz w:val="20"/>
                <w:szCs w:val="20"/>
              </w:rPr>
              <w:t>Technologie</w:t>
            </w:r>
          </w:p>
        </w:tc>
        <w:tc>
          <w:tcPr>
            <w:tcW w:w="3615" w:type="dxa"/>
            <w:shd w:val="clear" w:color="auto" w:fill="BDD6EE" w:themeFill="accent1" w:themeFillTint="66"/>
            <w:vAlign w:val="center"/>
          </w:tcPr>
          <w:p w14:paraId="147581F1" w14:textId="1E170CAA" w:rsidR="00D65D7D" w:rsidRPr="00601F19" w:rsidRDefault="003B157A" w:rsidP="0061141B">
            <w:pPr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V</w:t>
            </w:r>
            <w:r w:rsidR="00D65D7D">
              <w:rPr>
                <w:rFonts w:eastAsia="Calibri" w:cstheme="minorHAnsi"/>
                <w:b/>
                <w:sz w:val="20"/>
                <w:szCs w:val="20"/>
              </w:rPr>
              <w:t xml:space="preserve">ýzva V. programu podpory </w:t>
            </w:r>
            <w:r w:rsidR="00D65D7D" w:rsidRPr="00E55374">
              <w:rPr>
                <w:rFonts w:eastAsia="Calibri" w:cstheme="minorHAnsi"/>
                <w:b/>
                <w:i/>
                <w:sz w:val="20"/>
                <w:szCs w:val="20"/>
              </w:rPr>
              <w:t>Inovační</w:t>
            </w:r>
            <w:r w:rsidR="00D65D7D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61141B" w:rsidRPr="00E55374">
              <w:rPr>
                <w:rFonts w:eastAsia="Calibri" w:cstheme="minorHAnsi"/>
                <w:b/>
                <w:i/>
                <w:sz w:val="20"/>
                <w:szCs w:val="20"/>
              </w:rPr>
              <w:t>v</w:t>
            </w:r>
            <w:r w:rsidR="00D65D7D" w:rsidRPr="00E55374">
              <w:rPr>
                <w:rFonts w:eastAsia="Calibri" w:cstheme="minorHAnsi"/>
                <w:b/>
                <w:i/>
                <w:sz w:val="20"/>
                <w:szCs w:val="20"/>
              </w:rPr>
              <w:t>ouchery</w:t>
            </w:r>
          </w:p>
        </w:tc>
      </w:tr>
      <w:tr w:rsidR="00D65D7D" w:rsidRPr="006935BD" w14:paraId="1E653819" w14:textId="77777777" w:rsidTr="00D65D7D">
        <w:tc>
          <w:tcPr>
            <w:tcW w:w="1838" w:type="dxa"/>
          </w:tcPr>
          <w:p w14:paraId="4B65E7AB" w14:textId="77777777" w:rsidR="00D65D7D" w:rsidRPr="006935BD" w:rsidRDefault="00D65D7D" w:rsidP="005123CB">
            <w:pPr>
              <w:rPr>
                <w:rFonts w:eastAsia="Calibri" w:cstheme="minorHAnsi"/>
                <w:sz w:val="20"/>
                <w:szCs w:val="20"/>
              </w:rPr>
            </w:pPr>
            <w:r w:rsidRPr="006935BD">
              <w:rPr>
                <w:rFonts w:eastAsia="Calibri" w:cstheme="minorHAnsi"/>
                <w:sz w:val="20"/>
                <w:szCs w:val="20"/>
              </w:rPr>
              <w:t>povinné k naplnění</w:t>
            </w:r>
          </w:p>
        </w:tc>
        <w:tc>
          <w:tcPr>
            <w:tcW w:w="3614" w:type="dxa"/>
          </w:tcPr>
          <w:p w14:paraId="1F757AD7" w14:textId="754D864F" w:rsidR="00D65D7D" w:rsidRPr="009F2C91" w:rsidRDefault="00D65D7D" w:rsidP="005123CB">
            <w:pPr>
              <w:pStyle w:val="Odstavecseseznamem"/>
              <w:numPr>
                <w:ilvl w:val="0"/>
                <w:numId w:val="38"/>
              </w:numPr>
              <w:rPr>
                <w:rFonts w:eastAsia="Calibri" w:cstheme="minorHAnsi"/>
                <w:sz w:val="20"/>
                <w:szCs w:val="20"/>
              </w:rPr>
            </w:pPr>
            <w:r w:rsidRPr="007705C6">
              <w:rPr>
                <w:rFonts w:eastAsia="Calibri" w:cstheme="minorHAnsi"/>
                <w:sz w:val="20"/>
                <w:szCs w:val="20"/>
              </w:rPr>
              <w:t>Počet instalovaných technologií</w:t>
            </w:r>
          </w:p>
        </w:tc>
        <w:tc>
          <w:tcPr>
            <w:tcW w:w="3615" w:type="dxa"/>
          </w:tcPr>
          <w:p w14:paraId="78F65D46" w14:textId="77777777" w:rsidR="00D65D7D" w:rsidRPr="009F2C91" w:rsidRDefault="00D65D7D" w:rsidP="005123CB">
            <w:pPr>
              <w:pStyle w:val="Odstavecseseznamem"/>
              <w:numPr>
                <w:ilvl w:val="0"/>
                <w:numId w:val="38"/>
              </w:numPr>
              <w:rPr>
                <w:rFonts w:eastAsia="Calibri" w:cstheme="minorHAnsi"/>
                <w:sz w:val="20"/>
                <w:szCs w:val="20"/>
              </w:rPr>
            </w:pPr>
            <w:r w:rsidRPr="007705C6">
              <w:rPr>
                <w:rFonts w:cstheme="minorHAnsi"/>
                <w:color w:val="000000"/>
                <w:sz w:val="20"/>
                <w:szCs w:val="20"/>
              </w:rPr>
              <w:t>Inovační vouchery</w:t>
            </w:r>
          </w:p>
        </w:tc>
      </w:tr>
      <w:tr w:rsidR="00D65D7D" w:rsidRPr="006935BD" w14:paraId="39F13303" w14:textId="77777777" w:rsidTr="00D65D7D">
        <w:tc>
          <w:tcPr>
            <w:tcW w:w="1838" w:type="dxa"/>
          </w:tcPr>
          <w:p w14:paraId="2C25DFB0" w14:textId="77777777" w:rsidR="00D65D7D" w:rsidRPr="006935BD" w:rsidRDefault="00D65D7D" w:rsidP="005123CB">
            <w:pPr>
              <w:rPr>
                <w:rFonts w:eastAsia="Calibri" w:cstheme="minorHAnsi"/>
                <w:sz w:val="20"/>
                <w:szCs w:val="20"/>
              </w:rPr>
            </w:pPr>
            <w:r w:rsidRPr="006935BD">
              <w:rPr>
                <w:rFonts w:eastAsia="Calibri" w:cstheme="minorHAnsi"/>
                <w:sz w:val="20"/>
                <w:szCs w:val="20"/>
              </w:rPr>
              <w:t>povinné k výběru</w:t>
            </w:r>
          </w:p>
        </w:tc>
        <w:tc>
          <w:tcPr>
            <w:tcW w:w="3614" w:type="dxa"/>
          </w:tcPr>
          <w:p w14:paraId="44033D27" w14:textId="77777777" w:rsidR="00D65D7D" w:rsidRPr="007705C6" w:rsidRDefault="00D65D7D" w:rsidP="005123CB">
            <w:pPr>
              <w:pStyle w:val="Odstavecseseznamem"/>
              <w:numPr>
                <w:ilvl w:val="0"/>
                <w:numId w:val="40"/>
              </w:numPr>
              <w:rPr>
                <w:rFonts w:eastAsia="Calibri" w:cstheme="minorHAnsi"/>
                <w:sz w:val="18"/>
                <w:szCs w:val="20"/>
              </w:rPr>
            </w:pPr>
            <w:r w:rsidRPr="007705C6">
              <w:rPr>
                <w:rFonts w:eastAsia="Calibri" w:cstheme="minorHAnsi"/>
                <w:color w:val="00000A"/>
                <w:sz w:val="20"/>
              </w:rPr>
              <w:t>Přidaná hodnota MSP</w:t>
            </w:r>
            <w:r w:rsidRPr="007705C6">
              <w:rPr>
                <w:rFonts w:eastAsia="Calibri" w:cstheme="minorHAnsi"/>
                <w:sz w:val="18"/>
                <w:szCs w:val="20"/>
              </w:rPr>
              <w:t xml:space="preserve"> </w:t>
            </w:r>
          </w:p>
          <w:p w14:paraId="4B4DCF51" w14:textId="77777777" w:rsidR="00D65D7D" w:rsidRPr="007705C6" w:rsidRDefault="00D65D7D" w:rsidP="005123CB">
            <w:pPr>
              <w:pStyle w:val="Odstavecseseznamem"/>
              <w:numPr>
                <w:ilvl w:val="0"/>
                <w:numId w:val="40"/>
              </w:numPr>
              <w:rPr>
                <w:rFonts w:eastAsia="Calibri" w:cstheme="minorHAnsi"/>
                <w:sz w:val="18"/>
                <w:szCs w:val="20"/>
              </w:rPr>
            </w:pPr>
            <w:r w:rsidRPr="007705C6">
              <w:rPr>
                <w:rFonts w:eastAsia="Calibri" w:cstheme="minorHAnsi"/>
                <w:color w:val="00000A"/>
                <w:sz w:val="20"/>
              </w:rPr>
              <w:t>Zvýšení zaměstnanosti v podporovaných podnicích</w:t>
            </w:r>
          </w:p>
          <w:p w14:paraId="03174194" w14:textId="77777777" w:rsidR="00D65D7D" w:rsidRPr="009F2C91" w:rsidRDefault="00D65D7D" w:rsidP="005123CB">
            <w:pPr>
              <w:pStyle w:val="Odstavecseseznamem"/>
              <w:numPr>
                <w:ilvl w:val="0"/>
                <w:numId w:val="40"/>
              </w:numPr>
              <w:rPr>
                <w:rFonts w:eastAsia="Calibri" w:cstheme="minorHAnsi"/>
                <w:sz w:val="20"/>
                <w:szCs w:val="20"/>
              </w:rPr>
            </w:pPr>
            <w:r w:rsidRPr="007705C6">
              <w:rPr>
                <w:rFonts w:eastAsia="Calibri" w:cstheme="minorHAnsi"/>
                <w:color w:val="00000A"/>
                <w:sz w:val="20"/>
              </w:rPr>
              <w:t>Počet nově vytvořených pracovních míst – ženy</w:t>
            </w:r>
          </w:p>
        </w:tc>
        <w:tc>
          <w:tcPr>
            <w:tcW w:w="3615" w:type="dxa"/>
          </w:tcPr>
          <w:p w14:paraId="2E3B7481" w14:textId="3A267983" w:rsidR="00D65D7D" w:rsidRPr="009F2C91" w:rsidRDefault="00D65D7D" w:rsidP="00C371E6">
            <w:pPr>
              <w:pStyle w:val="Odstavecseseznamem"/>
              <w:numPr>
                <w:ilvl w:val="0"/>
                <w:numId w:val="39"/>
              </w:numPr>
              <w:rPr>
                <w:rFonts w:eastAsia="Calibri" w:cstheme="minorHAnsi"/>
                <w:sz w:val="20"/>
                <w:szCs w:val="20"/>
              </w:rPr>
            </w:pPr>
            <w:r w:rsidRPr="007705C6">
              <w:rPr>
                <w:rFonts w:cstheme="minorHAnsi"/>
                <w:color w:val="000000"/>
                <w:sz w:val="20"/>
                <w:szCs w:val="20"/>
              </w:rPr>
              <w:t>Počet podniků spolupracujících s</w:t>
            </w:r>
            <w:r w:rsidR="00C371E6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7705C6">
              <w:rPr>
                <w:rFonts w:cstheme="minorHAnsi"/>
                <w:color w:val="000000"/>
                <w:sz w:val="20"/>
                <w:szCs w:val="20"/>
              </w:rPr>
              <w:t>výzkumnými institucemi</w:t>
            </w:r>
          </w:p>
        </w:tc>
      </w:tr>
    </w:tbl>
    <w:p w14:paraId="753EC2C4" w14:textId="1FBE71BD" w:rsidR="00D65D7D" w:rsidRPr="00601F19" w:rsidRDefault="003B157A" w:rsidP="00D65D7D">
      <w:pPr>
        <w:spacing w:after="0" w:line="240" w:lineRule="auto"/>
        <w:jc w:val="both"/>
        <w:rPr>
          <w:rFonts w:eastAsia="Calibri" w:cstheme="minorHAnsi"/>
          <w:sz w:val="20"/>
        </w:rPr>
      </w:pPr>
      <w:r w:rsidRPr="0011167A">
        <w:rPr>
          <w:rFonts w:eastAsia="Calibri" w:cstheme="minorHAnsi"/>
          <w:b/>
          <w:sz w:val="20"/>
        </w:rPr>
        <w:t>Z</w:t>
      </w:r>
      <w:r w:rsidR="00D65D7D" w:rsidRPr="0011167A">
        <w:rPr>
          <w:rFonts w:eastAsia="Calibri" w:cstheme="minorHAnsi"/>
          <w:b/>
          <w:sz w:val="20"/>
        </w:rPr>
        <w:t>droj:</w:t>
      </w:r>
      <w:r w:rsidR="00D65D7D">
        <w:rPr>
          <w:rFonts w:eastAsia="Calibri" w:cstheme="minorHAnsi"/>
          <w:sz w:val="20"/>
        </w:rPr>
        <w:t xml:space="preserve"> </w:t>
      </w:r>
      <w:r w:rsidR="0061141B">
        <w:rPr>
          <w:rFonts w:eastAsia="Calibri" w:cstheme="minorHAnsi"/>
          <w:sz w:val="20"/>
        </w:rPr>
        <w:t>d</w:t>
      </w:r>
      <w:r w:rsidR="00D65D7D">
        <w:rPr>
          <w:rFonts w:eastAsia="Calibri" w:cstheme="minorHAnsi"/>
          <w:sz w:val="20"/>
        </w:rPr>
        <w:t>okumentace programů</w:t>
      </w:r>
      <w:r w:rsidR="00D65D7D" w:rsidRPr="00601F19">
        <w:rPr>
          <w:rFonts w:eastAsia="Calibri" w:cstheme="minorHAnsi"/>
          <w:sz w:val="20"/>
        </w:rPr>
        <w:t xml:space="preserve"> podpory </w:t>
      </w:r>
      <w:r w:rsidRPr="00E55374">
        <w:rPr>
          <w:rFonts w:eastAsia="Calibri" w:cstheme="minorHAnsi"/>
          <w:i/>
          <w:sz w:val="20"/>
        </w:rPr>
        <w:t>Technologie</w:t>
      </w:r>
      <w:r>
        <w:rPr>
          <w:rFonts w:eastAsia="Calibri" w:cstheme="minorHAnsi"/>
          <w:sz w:val="20"/>
        </w:rPr>
        <w:t xml:space="preserve"> a</w:t>
      </w:r>
      <w:r w:rsidR="00D65D7D">
        <w:rPr>
          <w:rFonts w:eastAsia="Calibri" w:cstheme="minorHAnsi"/>
          <w:sz w:val="20"/>
        </w:rPr>
        <w:t xml:space="preserve"> </w:t>
      </w:r>
      <w:r w:rsidR="00D65D7D" w:rsidRPr="00E55374">
        <w:rPr>
          <w:rFonts w:eastAsia="Calibri" w:cstheme="minorHAnsi"/>
          <w:i/>
          <w:sz w:val="20"/>
        </w:rPr>
        <w:t xml:space="preserve">Inovační </w:t>
      </w:r>
      <w:r w:rsidR="0061141B">
        <w:rPr>
          <w:rFonts w:eastAsia="Calibri" w:cstheme="minorHAnsi"/>
          <w:i/>
          <w:sz w:val="20"/>
        </w:rPr>
        <w:t>v</w:t>
      </w:r>
      <w:r w:rsidR="00D65D7D" w:rsidRPr="00E55374">
        <w:rPr>
          <w:rFonts w:eastAsia="Calibri" w:cstheme="minorHAnsi"/>
          <w:i/>
          <w:sz w:val="20"/>
        </w:rPr>
        <w:t>ouchery</w:t>
      </w:r>
      <w:r>
        <w:rPr>
          <w:rFonts w:eastAsia="Calibri" w:cstheme="minorHAnsi"/>
          <w:sz w:val="20"/>
        </w:rPr>
        <w:t>.</w:t>
      </w:r>
    </w:p>
    <w:p w14:paraId="03C2E0C1" w14:textId="77777777" w:rsidR="00D65D7D" w:rsidRDefault="00D65D7D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79B85850" w14:textId="77777777" w:rsidR="00DA000A" w:rsidRDefault="00DA000A">
      <w:pPr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br w:type="page"/>
      </w:r>
    </w:p>
    <w:p w14:paraId="6634EFDA" w14:textId="7C97B057" w:rsidR="00D65D7D" w:rsidRDefault="007A3F93" w:rsidP="00D65D7D">
      <w:pPr>
        <w:spacing w:after="0" w:line="240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lastRenderedPageBreak/>
        <w:t>MPO p</w:t>
      </w:r>
      <w:r w:rsidR="00D65D7D">
        <w:rPr>
          <w:rFonts w:eastAsia="Calibri" w:cstheme="minorHAnsi"/>
          <w:sz w:val="24"/>
        </w:rPr>
        <w:t>omocí indikátoru povinn</w:t>
      </w:r>
      <w:r w:rsidR="0011167A">
        <w:rPr>
          <w:rFonts w:eastAsia="Calibri" w:cstheme="minorHAnsi"/>
          <w:sz w:val="24"/>
        </w:rPr>
        <w:t>ého</w:t>
      </w:r>
      <w:r w:rsidR="00D65D7D">
        <w:rPr>
          <w:rFonts w:eastAsia="Calibri" w:cstheme="minorHAnsi"/>
          <w:sz w:val="24"/>
        </w:rPr>
        <w:t xml:space="preserve"> k naplnění sled</w:t>
      </w:r>
      <w:r w:rsidR="00A022F4">
        <w:rPr>
          <w:rFonts w:eastAsia="Calibri" w:cstheme="minorHAnsi"/>
          <w:sz w:val="24"/>
        </w:rPr>
        <w:t>ovalo</w:t>
      </w:r>
      <w:r w:rsidR="00D65D7D">
        <w:rPr>
          <w:rFonts w:eastAsia="Calibri" w:cstheme="minorHAnsi"/>
          <w:sz w:val="24"/>
        </w:rPr>
        <w:t xml:space="preserve"> v</w:t>
      </w:r>
      <w:r w:rsidRPr="007A3F93">
        <w:rPr>
          <w:rFonts w:eastAsia="Calibri" w:cstheme="minorHAnsi"/>
          <w:sz w:val="24"/>
        </w:rPr>
        <w:t xml:space="preserve"> </w:t>
      </w:r>
      <w:r>
        <w:rPr>
          <w:rFonts w:eastAsia="Calibri" w:cstheme="minorHAnsi"/>
          <w:sz w:val="24"/>
        </w:rPr>
        <w:t>XII.</w:t>
      </w:r>
      <w:r w:rsidR="00D65D7D">
        <w:rPr>
          <w:rFonts w:eastAsia="Calibri" w:cstheme="minorHAnsi"/>
          <w:sz w:val="24"/>
        </w:rPr>
        <w:t xml:space="preserve"> výzvě</w:t>
      </w:r>
      <w:r>
        <w:rPr>
          <w:rFonts w:eastAsia="Calibri" w:cstheme="minorHAnsi"/>
          <w:sz w:val="24"/>
        </w:rPr>
        <w:t xml:space="preserve"> </w:t>
      </w:r>
      <w:r w:rsidR="00D65D7D">
        <w:rPr>
          <w:rFonts w:eastAsia="Calibri" w:cstheme="minorHAnsi"/>
          <w:sz w:val="24"/>
        </w:rPr>
        <w:t xml:space="preserve">programu podpory </w:t>
      </w:r>
      <w:r w:rsidR="00D65D7D" w:rsidRPr="00E55374">
        <w:rPr>
          <w:rFonts w:eastAsia="Calibri" w:cstheme="minorHAnsi"/>
          <w:i/>
          <w:sz w:val="24"/>
        </w:rPr>
        <w:t>Technologie</w:t>
      </w:r>
      <w:r w:rsidR="00D65D7D">
        <w:rPr>
          <w:rFonts w:eastAsia="Calibri" w:cstheme="minorHAnsi"/>
          <w:sz w:val="24"/>
        </w:rPr>
        <w:t xml:space="preserve"> pouze informaci, zda došlo k pořízení technologie pro splnění cílů výzvy. Cíl</w:t>
      </w:r>
      <w:r w:rsidR="00D65D7D" w:rsidRPr="00015D79">
        <w:rPr>
          <w:rFonts w:eastAsia="Calibri" w:cstheme="minorHAnsi"/>
          <w:sz w:val="24"/>
        </w:rPr>
        <w:t xml:space="preserve"> výzvy, kterým má být produkce materiálů, technologií a produktů z oblasti zdravotnických prostředků a prostředků osobní ochrany nebo likvidace infekčního odpadu, tedy množství </w:t>
      </w:r>
      <w:r w:rsidRPr="00015D79">
        <w:rPr>
          <w:rFonts w:eastAsia="Calibri" w:cstheme="minorHAnsi"/>
          <w:sz w:val="24"/>
        </w:rPr>
        <w:t xml:space="preserve">materiálu </w:t>
      </w:r>
      <w:r w:rsidR="00D65D7D" w:rsidRPr="00015D79">
        <w:rPr>
          <w:rFonts w:eastAsia="Calibri" w:cstheme="minorHAnsi"/>
          <w:sz w:val="24"/>
        </w:rPr>
        <w:t xml:space="preserve">vyprodukovaného </w:t>
      </w:r>
      <w:r>
        <w:rPr>
          <w:rFonts w:eastAsia="Calibri" w:cstheme="minorHAnsi"/>
          <w:sz w:val="24"/>
        </w:rPr>
        <w:t>s využitím</w:t>
      </w:r>
      <w:r w:rsidR="00D65D7D" w:rsidRPr="00015D79">
        <w:rPr>
          <w:rFonts w:eastAsia="Calibri" w:cstheme="minorHAnsi"/>
          <w:sz w:val="24"/>
        </w:rPr>
        <w:t xml:space="preserve"> poskytnuté podpor</w:t>
      </w:r>
      <w:r w:rsidR="00661AAD">
        <w:rPr>
          <w:rFonts w:eastAsia="Calibri" w:cstheme="minorHAnsi"/>
          <w:sz w:val="24"/>
        </w:rPr>
        <w:t>y, MPO žádným ukazatelem nesledovalo</w:t>
      </w:r>
      <w:r w:rsidR="00D65D7D">
        <w:rPr>
          <w:rFonts w:eastAsia="Calibri" w:cstheme="minorHAnsi"/>
          <w:sz w:val="24"/>
        </w:rPr>
        <w:t>.</w:t>
      </w:r>
      <w:r w:rsidR="00D65D7D" w:rsidRPr="00015D79">
        <w:t xml:space="preserve"> </w:t>
      </w:r>
      <w:r w:rsidR="00D65D7D" w:rsidRPr="00015D79">
        <w:rPr>
          <w:rFonts w:eastAsia="Calibri" w:cstheme="minorHAnsi"/>
          <w:b/>
          <w:sz w:val="24"/>
        </w:rPr>
        <w:t>MPO tak nebude schopno vyhodnotit, zda poskytnutá podpora měla pozitivní vliv na produkci v podporované oblasti a zda splnila stanovený účel.</w:t>
      </w:r>
    </w:p>
    <w:p w14:paraId="748C9ABC" w14:textId="77777777" w:rsidR="003B157A" w:rsidRDefault="003B157A" w:rsidP="00D65D7D">
      <w:pPr>
        <w:spacing w:after="0" w:line="240" w:lineRule="auto"/>
        <w:jc w:val="both"/>
        <w:rPr>
          <w:rFonts w:eastAsia="Calibri" w:cstheme="minorHAnsi"/>
          <w:sz w:val="24"/>
        </w:rPr>
      </w:pPr>
    </w:p>
    <w:p w14:paraId="17E270B0" w14:textId="67E29AC1" w:rsidR="00D65D7D" w:rsidRPr="00015D79" w:rsidRDefault="00D65D7D" w:rsidP="00D65D7D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015D79">
        <w:rPr>
          <w:rFonts w:eastAsia="Calibri" w:cstheme="minorHAnsi"/>
          <w:sz w:val="24"/>
          <w:szCs w:val="24"/>
        </w:rPr>
        <w:t xml:space="preserve">U výzvy V. programu podpory </w:t>
      </w:r>
      <w:r w:rsidRPr="00E55374">
        <w:rPr>
          <w:rFonts w:eastAsia="Calibri" w:cstheme="minorHAnsi"/>
          <w:i/>
          <w:sz w:val="24"/>
          <w:szCs w:val="24"/>
        </w:rPr>
        <w:t xml:space="preserve">Inovační </w:t>
      </w:r>
      <w:r w:rsidR="0061141B" w:rsidRPr="00E55374">
        <w:rPr>
          <w:rFonts w:eastAsia="Calibri" w:cstheme="minorHAnsi"/>
          <w:i/>
          <w:sz w:val="24"/>
          <w:szCs w:val="24"/>
        </w:rPr>
        <w:t>v</w:t>
      </w:r>
      <w:r w:rsidRPr="00E55374">
        <w:rPr>
          <w:rFonts w:eastAsia="Calibri" w:cstheme="minorHAnsi"/>
          <w:i/>
          <w:sz w:val="24"/>
          <w:szCs w:val="24"/>
        </w:rPr>
        <w:t>ouchery</w:t>
      </w:r>
      <w:r w:rsidRPr="00015D79">
        <w:rPr>
          <w:rFonts w:eastAsia="Calibri" w:cstheme="minorHAnsi"/>
          <w:sz w:val="24"/>
          <w:szCs w:val="24"/>
        </w:rPr>
        <w:t xml:space="preserve"> MPO pouze sled</w:t>
      </w:r>
      <w:r w:rsidR="00A022F4">
        <w:rPr>
          <w:rFonts w:eastAsia="Calibri" w:cstheme="minorHAnsi"/>
          <w:sz w:val="24"/>
          <w:szCs w:val="24"/>
        </w:rPr>
        <w:t>ovalo</w:t>
      </w:r>
      <w:r w:rsidRPr="00015D79">
        <w:rPr>
          <w:rFonts w:eastAsia="Calibri" w:cstheme="minorHAnsi"/>
          <w:sz w:val="24"/>
          <w:szCs w:val="24"/>
        </w:rPr>
        <w:t xml:space="preserve"> naplnění podmínky podpory, tedy spolupráci </w:t>
      </w:r>
      <w:r w:rsidRPr="00015D79">
        <w:rPr>
          <w:rFonts w:cstheme="minorHAnsi"/>
          <w:sz w:val="24"/>
          <w:szCs w:val="24"/>
        </w:rPr>
        <w:t xml:space="preserve">firem s výzkumnými institucemi a počet nakoupených služeb od organizací specializujících se na výzkum. </w:t>
      </w:r>
      <w:r w:rsidRPr="00015D79">
        <w:rPr>
          <w:rFonts w:cstheme="minorHAnsi"/>
          <w:b/>
          <w:sz w:val="24"/>
          <w:szCs w:val="24"/>
        </w:rPr>
        <w:t>Skutečné využití sdílených poznatků a know-how mezi podnikatelskou a</w:t>
      </w:r>
      <w:r w:rsidR="00825FFA">
        <w:rPr>
          <w:rFonts w:cstheme="minorHAnsi"/>
          <w:b/>
          <w:sz w:val="24"/>
          <w:szCs w:val="24"/>
        </w:rPr>
        <w:t xml:space="preserve"> </w:t>
      </w:r>
      <w:r w:rsidRPr="00015D79">
        <w:rPr>
          <w:rFonts w:cstheme="minorHAnsi"/>
          <w:b/>
          <w:sz w:val="24"/>
          <w:szCs w:val="24"/>
        </w:rPr>
        <w:t>výzkumnou sférou v souladu s cílem podpory, kterým je využití sdílených poznatků a</w:t>
      </w:r>
      <w:r w:rsidR="00825FFA">
        <w:rPr>
          <w:rFonts w:cstheme="minorHAnsi"/>
          <w:b/>
          <w:sz w:val="24"/>
          <w:szCs w:val="24"/>
        </w:rPr>
        <w:t xml:space="preserve"> </w:t>
      </w:r>
      <w:r w:rsidRPr="00015D79">
        <w:rPr>
          <w:rFonts w:cstheme="minorHAnsi"/>
          <w:b/>
          <w:sz w:val="24"/>
          <w:szCs w:val="24"/>
        </w:rPr>
        <w:t>know-how mezi podnikovou a výzkumnou sférou na trhu, MPO pom</w:t>
      </w:r>
      <w:r w:rsidR="00661AAD">
        <w:rPr>
          <w:rFonts w:cstheme="minorHAnsi"/>
          <w:b/>
          <w:sz w:val="24"/>
          <w:szCs w:val="24"/>
        </w:rPr>
        <w:t>ocí žádného indikátoru nesledovalo</w:t>
      </w:r>
      <w:r w:rsidRPr="00015D79">
        <w:rPr>
          <w:rFonts w:cstheme="minorHAnsi"/>
          <w:b/>
          <w:sz w:val="24"/>
          <w:szCs w:val="24"/>
        </w:rPr>
        <w:t>.</w:t>
      </w:r>
      <w:r w:rsidRPr="00015D79">
        <w:rPr>
          <w:rFonts w:cstheme="minorHAnsi"/>
          <w:sz w:val="24"/>
          <w:szCs w:val="24"/>
        </w:rPr>
        <w:t xml:space="preserve"> </w:t>
      </w:r>
      <w:r w:rsidRPr="00015D79">
        <w:rPr>
          <w:rFonts w:cstheme="minorHAnsi"/>
          <w:b/>
          <w:sz w:val="24"/>
          <w:szCs w:val="24"/>
        </w:rPr>
        <w:t xml:space="preserve">MPO tak nebude schopno vyhodnotit, zda podpora v rámci </w:t>
      </w:r>
      <w:r w:rsidR="00825FFA" w:rsidRPr="00015D79">
        <w:rPr>
          <w:rFonts w:cstheme="minorHAnsi"/>
          <w:b/>
          <w:sz w:val="24"/>
          <w:szCs w:val="24"/>
        </w:rPr>
        <w:t xml:space="preserve">V. </w:t>
      </w:r>
      <w:r w:rsidRPr="00015D79">
        <w:rPr>
          <w:rFonts w:cstheme="minorHAnsi"/>
          <w:b/>
          <w:sz w:val="24"/>
          <w:szCs w:val="24"/>
        </w:rPr>
        <w:t>výzvy naplnila svůj účel.</w:t>
      </w:r>
    </w:p>
    <w:p w14:paraId="6509D864" w14:textId="5FAB06AE" w:rsidR="00D65D7D" w:rsidRDefault="00D65D7D" w:rsidP="00D65D7D">
      <w:pPr>
        <w:pStyle w:val="Odstavecseseznamem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3F2C3234" w14:textId="77777777" w:rsidR="00F0182A" w:rsidRDefault="00F0182A" w:rsidP="00D65D7D">
      <w:pPr>
        <w:pStyle w:val="Odstavecseseznamem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45BF66F8" w14:textId="76F83261" w:rsidR="00D65D7D" w:rsidRPr="00BB1677" w:rsidRDefault="00D65D7D" w:rsidP="00BD4E84">
      <w:pPr>
        <w:pStyle w:val="Odstavecseseznamem"/>
        <w:numPr>
          <w:ilvl w:val="0"/>
          <w:numId w:val="47"/>
        </w:numPr>
        <w:spacing w:after="0" w:line="240" w:lineRule="auto"/>
        <w:ind w:left="0" w:hanging="426"/>
        <w:jc w:val="both"/>
        <w:rPr>
          <w:rFonts w:eastAsia="Calibri" w:cstheme="minorHAnsi"/>
          <w:b/>
          <w:sz w:val="24"/>
        </w:rPr>
      </w:pPr>
      <w:r w:rsidRPr="00BB1677">
        <w:rPr>
          <w:rFonts w:eastAsia="Calibri" w:cstheme="minorHAnsi"/>
          <w:b/>
          <w:sz w:val="24"/>
        </w:rPr>
        <w:t xml:space="preserve">Úloha </w:t>
      </w:r>
      <w:r w:rsidRPr="00BB1677">
        <w:rPr>
          <w:rFonts w:ascii="Calibri" w:hAnsi="Calibri" w:cs="Calibri"/>
          <w:b/>
          <w:sz w:val="24"/>
          <w:szCs w:val="24"/>
        </w:rPr>
        <w:t xml:space="preserve">Agentury pro podnikání a inovace při </w:t>
      </w:r>
      <w:r w:rsidRPr="00BB1677">
        <w:rPr>
          <w:rFonts w:eastAsia="Calibri" w:cstheme="minorHAnsi"/>
          <w:b/>
          <w:sz w:val="24"/>
        </w:rPr>
        <w:t>monitoringu a hod</w:t>
      </w:r>
      <w:r>
        <w:rPr>
          <w:rFonts w:eastAsia="Calibri" w:cstheme="minorHAnsi"/>
          <w:b/>
          <w:sz w:val="24"/>
        </w:rPr>
        <w:t>nocení přínosů programů podpory</w:t>
      </w:r>
    </w:p>
    <w:p w14:paraId="5ADE0E7C" w14:textId="77777777" w:rsidR="00D65D7D" w:rsidRPr="003B157A" w:rsidRDefault="00D65D7D" w:rsidP="00BD4E84">
      <w:pPr>
        <w:pStyle w:val="Odstavecseseznamem"/>
        <w:spacing w:after="0" w:line="240" w:lineRule="auto"/>
        <w:jc w:val="both"/>
        <w:rPr>
          <w:rFonts w:eastAsia="Calibri" w:cstheme="minorHAnsi"/>
          <w:sz w:val="24"/>
        </w:rPr>
      </w:pPr>
    </w:p>
    <w:p w14:paraId="13DE9573" w14:textId="362B3B7C" w:rsidR="00D65D7D" w:rsidRDefault="00D65D7D" w:rsidP="00BD4E8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rámci povinností delegovaných na API jako zprostředkující subjekt </w:t>
      </w:r>
      <w:r w:rsidR="00C62D99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patřením ministra průmyslu a obchodu č. 18/2016 má API </w:t>
      </w:r>
      <w:r w:rsidRPr="00FA3EFC">
        <w:rPr>
          <w:rFonts w:cstheme="minorHAnsi"/>
          <w:sz w:val="24"/>
          <w:szCs w:val="24"/>
        </w:rPr>
        <w:t xml:space="preserve">monitorovat realizaci jednotlivých programů podpory/projektů ve své působnosti, shromažďovat a vyhodnocovat údaje o efektivnosti těchto programů podpory/projektů a předávat údaje v podkladech z monitorování </w:t>
      </w:r>
      <w:r w:rsidR="00C62D99">
        <w:rPr>
          <w:rFonts w:cstheme="minorHAnsi"/>
          <w:sz w:val="24"/>
          <w:szCs w:val="24"/>
        </w:rPr>
        <w:t>ř</w:t>
      </w:r>
      <w:r w:rsidRPr="00FA3EFC">
        <w:rPr>
          <w:rFonts w:cstheme="minorHAnsi"/>
          <w:sz w:val="24"/>
          <w:szCs w:val="24"/>
        </w:rPr>
        <w:t>íd</w:t>
      </w:r>
      <w:r w:rsidR="00C62D99">
        <w:rPr>
          <w:rFonts w:cstheme="minorHAnsi"/>
          <w:sz w:val="24"/>
          <w:szCs w:val="24"/>
        </w:rPr>
        <w:t>i</w:t>
      </w:r>
      <w:r w:rsidRPr="00FA3EFC">
        <w:rPr>
          <w:rFonts w:cstheme="minorHAnsi"/>
          <w:sz w:val="24"/>
          <w:szCs w:val="24"/>
        </w:rPr>
        <w:t xml:space="preserve">címu orgánu dle instrukcí. Dále má API připravovat podklady pro monitoring a hodnocení dle instrukcí </w:t>
      </w:r>
      <w:r w:rsidR="00F0182A">
        <w:rPr>
          <w:rFonts w:cstheme="minorHAnsi"/>
          <w:sz w:val="24"/>
          <w:szCs w:val="24"/>
        </w:rPr>
        <w:t>řídicího orgánu</w:t>
      </w:r>
      <w:r w:rsidRPr="00FA3EFC">
        <w:rPr>
          <w:rFonts w:cstheme="minorHAnsi"/>
          <w:sz w:val="24"/>
          <w:szCs w:val="24"/>
        </w:rPr>
        <w:t xml:space="preserve">, zejména pro výroční zprávy a evaluace realizované </w:t>
      </w:r>
      <w:r w:rsidR="00F0182A">
        <w:rPr>
          <w:rFonts w:cstheme="minorHAnsi"/>
          <w:sz w:val="24"/>
          <w:szCs w:val="24"/>
        </w:rPr>
        <w:t>řídicím orgánem</w:t>
      </w:r>
      <w:r w:rsidRPr="00FA3EFC">
        <w:rPr>
          <w:rFonts w:cstheme="minorHAnsi"/>
          <w:sz w:val="24"/>
          <w:szCs w:val="24"/>
        </w:rPr>
        <w:t>.</w:t>
      </w:r>
    </w:p>
    <w:p w14:paraId="5D180D8E" w14:textId="77777777" w:rsidR="00D65D7D" w:rsidRDefault="00D65D7D" w:rsidP="00D65D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CCE3F0" w14:textId="22983775" w:rsidR="00D65D7D" w:rsidRPr="00FA3EFC" w:rsidRDefault="003B157A" w:rsidP="00D65D7D">
      <w:pPr>
        <w:spacing w:after="0" w:line="240" w:lineRule="auto"/>
        <w:jc w:val="both"/>
        <w:rPr>
          <w:rFonts w:cstheme="minorHAnsi"/>
          <w:sz w:val="24"/>
          <w:highlight w:val="yellow"/>
        </w:rPr>
      </w:pPr>
      <w:r>
        <w:rPr>
          <w:rFonts w:cstheme="minorHAnsi"/>
          <w:sz w:val="24"/>
        </w:rPr>
        <w:t>NKÚ zjistil,</w:t>
      </w:r>
      <w:r w:rsidR="00661AAD">
        <w:rPr>
          <w:rFonts w:cstheme="minorHAnsi"/>
          <w:sz w:val="24"/>
        </w:rPr>
        <w:t xml:space="preserve"> že API monitorovala</w:t>
      </w:r>
      <w:r w:rsidR="00D65D7D" w:rsidRPr="00FA3EFC">
        <w:rPr>
          <w:rFonts w:cstheme="minorHAnsi"/>
          <w:sz w:val="24"/>
        </w:rPr>
        <w:t xml:space="preserve"> realizaci jednotlivých programů podpory/projektů ve své působnosti pomocí zpráv z realizace a </w:t>
      </w:r>
      <w:r w:rsidR="00DA000A">
        <w:rPr>
          <w:rFonts w:cstheme="minorHAnsi"/>
          <w:sz w:val="24"/>
        </w:rPr>
        <w:t xml:space="preserve">zpráv o </w:t>
      </w:r>
      <w:r w:rsidR="00D65D7D" w:rsidRPr="00FA3EFC">
        <w:rPr>
          <w:rFonts w:cstheme="minorHAnsi"/>
          <w:sz w:val="24"/>
        </w:rPr>
        <w:t>udrži</w:t>
      </w:r>
      <w:r w:rsidR="00661AAD">
        <w:rPr>
          <w:rFonts w:cstheme="minorHAnsi"/>
          <w:sz w:val="24"/>
        </w:rPr>
        <w:t>telnosti projektů, zajišťovala</w:t>
      </w:r>
      <w:r w:rsidR="00D65D7D" w:rsidRPr="00FA3EFC">
        <w:rPr>
          <w:rFonts w:cstheme="minorHAnsi"/>
          <w:sz w:val="24"/>
        </w:rPr>
        <w:t xml:space="preserve"> zejména </w:t>
      </w:r>
      <w:r w:rsidR="00DA000A">
        <w:rPr>
          <w:rFonts w:cstheme="minorHAnsi"/>
          <w:sz w:val="24"/>
        </w:rPr>
        <w:t xml:space="preserve">to, aby </w:t>
      </w:r>
      <w:r w:rsidR="00D65D7D" w:rsidRPr="00FA3EFC">
        <w:rPr>
          <w:rFonts w:cstheme="minorHAnsi"/>
          <w:sz w:val="24"/>
        </w:rPr>
        <w:t>zpráv</w:t>
      </w:r>
      <w:r w:rsidR="00DA000A">
        <w:rPr>
          <w:rFonts w:cstheme="minorHAnsi"/>
          <w:sz w:val="24"/>
        </w:rPr>
        <w:t>y</w:t>
      </w:r>
      <w:r w:rsidR="00D65D7D" w:rsidRPr="00FA3EFC">
        <w:rPr>
          <w:rFonts w:cstheme="minorHAnsi"/>
          <w:sz w:val="24"/>
        </w:rPr>
        <w:t xml:space="preserve"> z realizace a </w:t>
      </w:r>
      <w:r w:rsidR="00DA000A">
        <w:rPr>
          <w:rFonts w:cstheme="minorHAnsi"/>
          <w:sz w:val="24"/>
        </w:rPr>
        <w:t xml:space="preserve">zprávy o </w:t>
      </w:r>
      <w:r w:rsidR="00D65D7D" w:rsidRPr="00FA3EFC">
        <w:rPr>
          <w:rFonts w:cstheme="minorHAnsi"/>
          <w:sz w:val="24"/>
        </w:rPr>
        <w:t xml:space="preserve">udržitelnosti projektů </w:t>
      </w:r>
      <w:r w:rsidR="00DA000A" w:rsidRPr="00FA3EFC">
        <w:rPr>
          <w:rFonts w:cstheme="minorHAnsi"/>
          <w:sz w:val="24"/>
        </w:rPr>
        <w:t>podáv</w:t>
      </w:r>
      <w:r w:rsidR="00DA000A">
        <w:rPr>
          <w:rFonts w:cstheme="minorHAnsi"/>
          <w:sz w:val="24"/>
        </w:rPr>
        <w:t>ali</w:t>
      </w:r>
      <w:r w:rsidR="00DA000A" w:rsidRPr="00FA3EFC">
        <w:rPr>
          <w:rFonts w:cstheme="minorHAnsi"/>
          <w:sz w:val="24"/>
        </w:rPr>
        <w:t xml:space="preserve"> </w:t>
      </w:r>
      <w:r w:rsidR="00D65D7D" w:rsidRPr="00FA3EFC">
        <w:rPr>
          <w:rFonts w:cstheme="minorHAnsi"/>
          <w:sz w:val="24"/>
        </w:rPr>
        <w:t>příjemci podpory v předepsaných termínech</w:t>
      </w:r>
      <w:r w:rsidR="00DA000A">
        <w:rPr>
          <w:rFonts w:cstheme="minorHAnsi"/>
          <w:sz w:val="24"/>
        </w:rPr>
        <w:t>,</w:t>
      </w:r>
      <w:r w:rsidR="00D65D7D" w:rsidRPr="00FA3EFC">
        <w:rPr>
          <w:rFonts w:cstheme="minorHAnsi"/>
          <w:sz w:val="24"/>
        </w:rPr>
        <w:t xml:space="preserve"> a</w:t>
      </w:r>
      <w:r w:rsidR="00DA000A">
        <w:rPr>
          <w:rFonts w:cstheme="minorHAnsi"/>
          <w:sz w:val="24"/>
        </w:rPr>
        <w:t xml:space="preserve"> </w:t>
      </w:r>
      <w:r w:rsidR="00D65D7D" w:rsidRPr="00FA3EFC">
        <w:rPr>
          <w:rFonts w:cstheme="minorHAnsi"/>
          <w:sz w:val="24"/>
        </w:rPr>
        <w:t>z</w:t>
      </w:r>
      <w:r w:rsidR="00661AAD">
        <w:rPr>
          <w:rFonts w:cstheme="minorHAnsi"/>
          <w:sz w:val="24"/>
        </w:rPr>
        <w:t>ajišťovala</w:t>
      </w:r>
      <w:r w:rsidR="00D65D7D" w:rsidRPr="00FA3EFC">
        <w:rPr>
          <w:rFonts w:cstheme="minorHAnsi"/>
          <w:sz w:val="24"/>
        </w:rPr>
        <w:t xml:space="preserve"> </w:t>
      </w:r>
      <w:r w:rsidR="00DA000A">
        <w:rPr>
          <w:rFonts w:cstheme="minorHAnsi"/>
          <w:sz w:val="24"/>
        </w:rPr>
        <w:t xml:space="preserve">také </w:t>
      </w:r>
      <w:r w:rsidR="00D65D7D" w:rsidRPr="00FA3EFC">
        <w:rPr>
          <w:rFonts w:cstheme="minorHAnsi"/>
          <w:sz w:val="24"/>
        </w:rPr>
        <w:t>správnost obsahu zpráv, zejména pak správn</w:t>
      </w:r>
      <w:r w:rsidR="0011167A">
        <w:rPr>
          <w:rFonts w:cstheme="minorHAnsi"/>
          <w:sz w:val="24"/>
        </w:rPr>
        <w:t>ost hodnot naplnění uváděných u</w:t>
      </w:r>
      <w:r w:rsidR="00DA000A">
        <w:rPr>
          <w:rFonts w:cstheme="minorHAnsi"/>
          <w:sz w:val="24"/>
        </w:rPr>
        <w:t xml:space="preserve"> </w:t>
      </w:r>
      <w:r w:rsidR="00D65D7D" w:rsidRPr="00FA3EFC">
        <w:rPr>
          <w:rFonts w:cstheme="minorHAnsi"/>
          <w:sz w:val="24"/>
        </w:rPr>
        <w:t>jednotlivých indikátorů. Pro potřeby vyhodnocení přín</w:t>
      </w:r>
      <w:r w:rsidR="0011167A">
        <w:rPr>
          <w:rFonts w:cstheme="minorHAnsi"/>
          <w:sz w:val="24"/>
        </w:rPr>
        <w:t>osů projektů jsou ve zprávách o</w:t>
      </w:r>
      <w:r w:rsidR="00DA000A">
        <w:rPr>
          <w:rFonts w:cstheme="minorHAnsi"/>
          <w:sz w:val="24"/>
        </w:rPr>
        <w:t xml:space="preserve"> </w:t>
      </w:r>
      <w:r w:rsidR="00D65D7D" w:rsidRPr="00FA3EFC">
        <w:rPr>
          <w:rFonts w:cstheme="minorHAnsi"/>
          <w:sz w:val="24"/>
        </w:rPr>
        <w:t>realizaci a udržitelnosti projektů uváděny pouze údaje o naplnění jednotlivých indikátorů.</w:t>
      </w:r>
    </w:p>
    <w:p w14:paraId="155168D9" w14:textId="77777777" w:rsidR="00D65D7D" w:rsidRDefault="00D65D7D" w:rsidP="00D65D7D">
      <w:pPr>
        <w:spacing w:after="0" w:line="240" w:lineRule="auto"/>
        <w:jc w:val="both"/>
        <w:rPr>
          <w:rFonts w:cstheme="minorHAnsi"/>
          <w:sz w:val="24"/>
        </w:rPr>
      </w:pPr>
    </w:p>
    <w:p w14:paraId="6F300DA4" w14:textId="59FE3D46" w:rsidR="00D65D7D" w:rsidRDefault="00D65D7D" w:rsidP="00D65D7D">
      <w:pPr>
        <w:spacing w:after="0" w:line="240" w:lineRule="auto"/>
        <w:jc w:val="both"/>
        <w:rPr>
          <w:rFonts w:cstheme="minorHAnsi"/>
          <w:sz w:val="24"/>
        </w:rPr>
      </w:pPr>
      <w:r w:rsidRPr="00FA3EFC">
        <w:rPr>
          <w:rFonts w:cstheme="minorHAnsi"/>
          <w:sz w:val="24"/>
        </w:rPr>
        <w:t>Údaje o efektivnosti p</w:t>
      </w:r>
      <w:r w:rsidR="00661AAD">
        <w:rPr>
          <w:rFonts w:cstheme="minorHAnsi"/>
          <w:sz w:val="24"/>
        </w:rPr>
        <w:t>rogramů podpory/projektů sledovala</w:t>
      </w:r>
      <w:r w:rsidRPr="00FA3EFC">
        <w:rPr>
          <w:rFonts w:cstheme="minorHAnsi"/>
          <w:sz w:val="24"/>
        </w:rPr>
        <w:t xml:space="preserve"> API na úrovni čerpání peněžních prostředků příjemci podpory, vlastní vyhodnocení údajů o efektivnosti programů podpory/projektů pak dále neprovád</w:t>
      </w:r>
      <w:r w:rsidR="00661AAD">
        <w:rPr>
          <w:rFonts w:cstheme="minorHAnsi"/>
          <w:sz w:val="24"/>
        </w:rPr>
        <w:t>ěla</w:t>
      </w:r>
      <w:r w:rsidRPr="00FA3EFC">
        <w:rPr>
          <w:rFonts w:cstheme="minorHAnsi"/>
          <w:sz w:val="24"/>
        </w:rPr>
        <w:t xml:space="preserve">, přestože to má svěřeno </w:t>
      </w:r>
      <w:r>
        <w:rPr>
          <w:rFonts w:cstheme="minorHAnsi"/>
          <w:sz w:val="24"/>
        </w:rPr>
        <w:t>v rámci delegovaných povinností jako zprostředkující subjekt.</w:t>
      </w:r>
      <w:r w:rsidR="00661AAD">
        <w:rPr>
          <w:rFonts w:cstheme="minorHAnsi"/>
          <w:sz w:val="24"/>
        </w:rPr>
        <w:t xml:space="preserve"> API nesledovala</w:t>
      </w:r>
      <w:r w:rsidRPr="00FA3EFC">
        <w:rPr>
          <w:rFonts w:cstheme="minorHAnsi"/>
          <w:sz w:val="24"/>
        </w:rPr>
        <w:t xml:space="preserve"> ani vliv dotací na zlepšení ekonomických ukazatelů podpořených podniků.</w:t>
      </w:r>
    </w:p>
    <w:p w14:paraId="1FAD7AFF" w14:textId="121F84F7" w:rsidR="00FD0F40" w:rsidRDefault="00FD0F40" w:rsidP="00FD0F40">
      <w:pPr>
        <w:spacing w:after="0" w:line="280" w:lineRule="atLeast"/>
        <w:jc w:val="both"/>
        <w:rPr>
          <w:rFonts w:cstheme="minorHAnsi"/>
          <w:sz w:val="24"/>
        </w:rPr>
      </w:pPr>
    </w:p>
    <w:p w14:paraId="5E3CC129" w14:textId="77777777" w:rsidR="00F0182A" w:rsidRDefault="00F0182A" w:rsidP="00FD0F40">
      <w:pPr>
        <w:spacing w:after="0" w:line="280" w:lineRule="atLeast"/>
        <w:jc w:val="both"/>
        <w:rPr>
          <w:rFonts w:cstheme="minorHAnsi"/>
          <w:sz w:val="24"/>
        </w:rPr>
      </w:pPr>
    </w:p>
    <w:p w14:paraId="516B4EFA" w14:textId="77777777" w:rsidR="00A0199F" w:rsidRDefault="00A0199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5D54574F" w14:textId="1002AB1E" w:rsidR="00FD0F40" w:rsidRPr="00244DE2" w:rsidRDefault="00FD0F40" w:rsidP="00FD0F40">
      <w:pPr>
        <w:spacing w:after="0" w:line="280" w:lineRule="atLeast"/>
        <w:jc w:val="both"/>
        <w:rPr>
          <w:rFonts w:cstheme="minorHAnsi"/>
          <w:b/>
          <w:sz w:val="24"/>
        </w:rPr>
      </w:pPr>
      <w:r w:rsidRPr="00244DE2">
        <w:rPr>
          <w:rFonts w:cstheme="minorHAnsi"/>
          <w:b/>
          <w:sz w:val="24"/>
        </w:rPr>
        <w:lastRenderedPageBreak/>
        <w:t>Seznam zkratek</w:t>
      </w:r>
    </w:p>
    <w:p w14:paraId="07A66744" w14:textId="77777777" w:rsidR="00FD0F40" w:rsidRDefault="00FD0F40" w:rsidP="00FD0F40">
      <w:pPr>
        <w:spacing w:after="0" w:line="280" w:lineRule="atLeast"/>
        <w:jc w:val="both"/>
        <w:rPr>
          <w:rFonts w:cstheme="minorHAnsi"/>
          <w:sz w:val="24"/>
        </w:rPr>
      </w:pPr>
    </w:p>
    <w:p w14:paraId="15D44EF5" w14:textId="60CE1580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API</w:t>
      </w:r>
      <w:r w:rsidRPr="004E6FCA">
        <w:rPr>
          <w:sz w:val="24"/>
          <w:szCs w:val="24"/>
        </w:rPr>
        <w:tab/>
        <w:t>Agentura pro podnikání a inovace</w:t>
      </w:r>
    </w:p>
    <w:p w14:paraId="667A7051" w14:textId="6535869E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ČR</w:t>
      </w:r>
      <w:r w:rsidRPr="004E6FCA">
        <w:rPr>
          <w:sz w:val="24"/>
          <w:szCs w:val="24"/>
        </w:rPr>
        <w:tab/>
        <w:t>Česká republika</w:t>
      </w:r>
    </w:p>
    <w:p w14:paraId="0233C6E5" w14:textId="0DE1029E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ČSÚ</w:t>
      </w:r>
      <w:r w:rsidRPr="004E6FCA">
        <w:rPr>
          <w:sz w:val="24"/>
          <w:szCs w:val="24"/>
        </w:rPr>
        <w:tab/>
        <w:t>Český statistický úřad</w:t>
      </w:r>
    </w:p>
    <w:p w14:paraId="1761EF26" w14:textId="3595C035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CVTS</w:t>
      </w:r>
      <w:r w:rsidRPr="004E6FCA">
        <w:rPr>
          <w:sz w:val="24"/>
          <w:szCs w:val="24"/>
        </w:rPr>
        <w:tab/>
      </w:r>
      <w:r w:rsidRPr="00464D52">
        <w:rPr>
          <w:sz w:val="24"/>
          <w:szCs w:val="24"/>
          <w:lang w:val="en-GB"/>
        </w:rPr>
        <w:t>Continuing Vocational Training Survey</w:t>
      </w:r>
    </w:p>
    <w:p w14:paraId="232041E0" w14:textId="50442A2D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CzechInvest</w:t>
      </w:r>
      <w:r w:rsidR="00A06575">
        <w:rPr>
          <w:sz w:val="24"/>
          <w:szCs w:val="24"/>
        </w:rPr>
        <w:tab/>
      </w:r>
      <w:r w:rsidRPr="004E6FCA">
        <w:rPr>
          <w:rFonts w:cstheme="minorHAnsi"/>
          <w:sz w:val="24"/>
          <w:szCs w:val="24"/>
        </w:rPr>
        <w:t>Agentur</w:t>
      </w:r>
      <w:r w:rsidR="002006A2">
        <w:rPr>
          <w:rFonts w:cstheme="minorHAnsi"/>
          <w:sz w:val="24"/>
          <w:szCs w:val="24"/>
        </w:rPr>
        <w:t>a</w:t>
      </w:r>
      <w:r w:rsidRPr="004E6FCA">
        <w:rPr>
          <w:rFonts w:cstheme="minorHAnsi"/>
          <w:sz w:val="24"/>
          <w:szCs w:val="24"/>
        </w:rPr>
        <w:t xml:space="preserve"> pro podporu podnikání a investic CzechInvest</w:t>
      </w:r>
    </w:p>
    <w:p w14:paraId="278BFA47" w14:textId="21B439F7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CzechTrade</w:t>
      </w:r>
      <w:r w:rsidRPr="004E6FCA">
        <w:rPr>
          <w:sz w:val="24"/>
          <w:szCs w:val="24"/>
        </w:rPr>
        <w:tab/>
        <w:t>Česká agentura na podporu obchodu</w:t>
      </w:r>
    </w:p>
    <w:p w14:paraId="400D4FB5" w14:textId="49E508B8" w:rsidR="00FD0F40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ECB</w:t>
      </w:r>
      <w:r w:rsidRPr="004E6FCA">
        <w:rPr>
          <w:sz w:val="24"/>
          <w:szCs w:val="24"/>
        </w:rPr>
        <w:tab/>
        <w:t>Evropská centrální banka</w:t>
      </w:r>
    </w:p>
    <w:p w14:paraId="631EFCD9" w14:textId="089563ED" w:rsidR="00C13AAA" w:rsidRDefault="00C13AAA" w:rsidP="00E55374">
      <w:pPr>
        <w:tabs>
          <w:tab w:val="left" w:pos="2127"/>
        </w:tabs>
        <w:spacing w:after="60"/>
        <w:ind w:left="2127" w:hanging="2127"/>
        <w:rPr>
          <w:sz w:val="24"/>
          <w:szCs w:val="24"/>
        </w:rPr>
      </w:pPr>
      <w:r>
        <w:rPr>
          <w:sz w:val="24"/>
          <w:szCs w:val="24"/>
        </w:rPr>
        <w:t>EU</w:t>
      </w:r>
      <w:r>
        <w:rPr>
          <w:sz w:val="24"/>
          <w:szCs w:val="24"/>
        </w:rPr>
        <w:tab/>
        <w:t>Evropská unie</w:t>
      </w:r>
    </w:p>
    <w:p w14:paraId="7F6C6359" w14:textId="6212D7B6" w:rsidR="00443B09" w:rsidRPr="004E6FCA" w:rsidRDefault="00443B09" w:rsidP="00E55374">
      <w:pPr>
        <w:spacing w:after="60"/>
        <w:ind w:left="2127" w:hanging="2127"/>
        <w:rPr>
          <w:sz w:val="24"/>
          <w:szCs w:val="24"/>
        </w:rPr>
      </w:pPr>
      <w:r>
        <w:rPr>
          <w:sz w:val="24"/>
          <w:szCs w:val="24"/>
        </w:rPr>
        <w:t>interní projekty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projekty</w:t>
      </w:r>
      <w:proofErr w:type="spellEnd"/>
      <w:r>
        <w:rPr>
          <w:sz w:val="24"/>
          <w:szCs w:val="24"/>
        </w:rPr>
        <w:t>, které realizuj</w:t>
      </w:r>
      <w:r w:rsidR="002006A2">
        <w:rPr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="002006A2">
        <w:rPr>
          <w:sz w:val="24"/>
          <w:szCs w:val="24"/>
        </w:rPr>
        <w:t xml:space="preserve">agentury </w:t>
      </w:r>
      <w:r>
        <w:rPr>
          <w:sz w:val="24"/>
          <w:szCs w:val="24"/>
        </w:rPr>
        <w:t xml:space="preserve">CzechInvest a CzechTrade v rámci programu podpory </w:t>
      </w:r>
      <w:r w:rsidRPr="00E55374">
        <w:rPr>
          <w:i/>
          <w:sz w:val="24"/>
          <w:szCs w:val="24"/>
        </w:rPr>
        <w:t>Marketing</w:t>
      </w:r>
    </w:p>
    <w:p w14:paraId="59B7AB65" w14:textId="07EA5961" w:rsidR="00FD0F40" w:rsidRDefault="00A06575" w:rsidP="00E55374">
      <w:pPr>
        <w:spacing w:after="60"/>
        <w:ind w:left="2127" w:hanging="2127"/>
        <w:rPr>
          <w:sz w:val="24"/>
          <w:szCs w:val="24"/>
        </w:rPr>
      </w:pPr>
      <w:r>
        <w:rPr>
          <w:sz w:val="24"/>
          <w:szCs w:val="24"/>
        </w:rPr>
        <w:t>ITI</w:t>
      </w:r>
      <w:r>
        <w:rPr>
          <w:sz w:val="24"/>
          <w:szCs w:val="24"/>
        </w:rPr>
        <w:tab/>
      </w:r>
      <w:r w:rsidR="002006A2">
        <w:rPr>
          <w:sz w:val="24"/>
          <w:szCs w:val="24"/>
        </w:rPr>
        <w:t>i</w:t>
      </w:r>
      <w:r w:rsidR="00FD0F40" w:rsidRPr="004E6FCA">
        <w:rPr>
          <w:sz w:val="24"/>
          <w:szCs w:val="24"/>
        </w:rPr>
        <w:t xml:space="preserve">ntegrované územní investice (z anglického </w:t>
      </w:r>
      <w:r w:rsidR="00FD0F40" w:rsidRPr="00464D52">
        <w:rPr>
          <w:sz w:val="24"/>
          <w:szCs w:val="24"/>
          <w:lang w:val="en-GB"/>
        </w:rPr>
        <w:t>Integrated Territorial Investments</w:t>
      </w:r>
      <w:r w:rsidR="00FD0F40" w:rsidRPr="004E6FCA">
        <w:rPr>
          <w:sz w:val="24"/>
          <w:szCs w:val="24"/>
        </w:rPr>
        <w:t>)</w:t>
      </w:r>
    </w:p>
    <w:p w14:paraId="40D21E48" w14:textId="6DABA1BD" w:rsidR="00D87C3B" w:rsidRPr="004E6FCA" w:rsidRDefault="00D87C3B" w:rsidP="00E55374">
      <w:pPr>
        <w:spacing w:after="60"/>
        <w:ind w:left="2127" w:hanging="2127"/>
        <w:rPr>
          <w:sz w:val="24"/>
          <w:szCs w:val="24"/>
        </w:rPr>
      </w:pPr>
      <w:r>
        <w:rPr>
          <w:sz w:val="24"/>
          <w:szCs w:val="24"/>
        </w:rPr>
        <w:t>MMR</w:t>
      </w:r>
      <w:r>
        <w:rPr>
          <w:sz w:val="24"/>
          <w:szCs w:val="24"/>
        </w:rPr>
        <w:tab/>
        <w:t>Ministerstvo pro místní rozvoj</w:t>
      </w:r>
    </w:p>
    <w:p w14:paraId="763716F5" w14:textId="3C0724B2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>
        <w:rPr>
          <w:sz w:val="24"/>
          <w:szCs w:val="24"/>
        </w:rPr>
        <w:t>MPO</w:t>
      </w:r>
      <w:r>
        <w:rPr>
          <w:sz w:val="24"/>
          <w:szCs w:val="24"/>
        </w:rPr>
        <w:tab/>
        <w:t>M</w:t>
      </w:r>
      <w:r w:rsidRPr="004E6FCA">
        <w:rPr>
          <w:sz w:val="24"/>
          <w:szCs w:val="24"/>
        </w:rPr>
        <w:t>inisterstvo průmyslu a obchodu</w:t>
      </w:r>
    </w:p>
    <w:p w14:paraId="3A78A9F8" w14:textId="23BAA7D9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MSP</w:t>
      </w:r>
      <w:r w:rsidRPr="004E6FCA">
        <w:rPr>
          <w:sz w:val="24"/>
          <w:szCs w:val="24"/>
        </w:rPr>
        <w:tab/>
      </w:r>
      <w:r w:rsidR="00656649">
        <w:rPr>
          <w:sz w:val="24"/>
          <w:szCs w:val="24"/>
        </w:rPr>
        <w:t>m</w:t>
      </w:r>
      <w:r w:rsidR="00BE6A6D">
        <w:rPr>
          <w:sz w:val="24"/>
          <w:szCs w:val="24"/>
        </w:rPr>
        <w:t>al</w:t>
      </w:r>
      <w:r w:rsidR="002C0BBB">
        <w:rPr>
          <w:sz w:val="24"/>
          <w:szCs w:val="24"/>
        </w:rPr>
        <w:t>é</w:t>
      </w:r>
      <w:r w:rsidRPr="004E6FCA">
        <w:rPr>
          <w:sz w:val="24"/>
          <w:szCs w:val="24"/>
        </w:rPr>
        <w:t xml:space="preserve"> a střední podnik</w:t>
      </w:r>
      <w:r w:rsidR="002C0BBB">
        <w:rPr>
          <w:sz w:val="24"/>
          <w:szCs w:val="24"/>
        </w:rPr>
        <w:t>y</w:t>
      </w:r>
    </w:p>
    <w:p w14:paraId="421D5766" w14:textId="504B0B6A" w:rsidR="00FD0F40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NKÚ</w:t>
      </w:r>
      <w:r w:rsidRPr="004E6FCA">
        <w:rPr>
          <w:sz w:val="24"/>
          <w:szCs w:val="24"/>
        </w:rPr>
        <w:tab/>
        <w:t>Nejvyšší kontrolní úřad</w:t>
      </w:r>
    </w:p>
    <w:p w14:paraId="31EF0E88" w14:textId="4E3491D6" w:rsidR="00614C70" w:rsidRPr="00A06575" w:rsidRDefault="00614C70" w:rsidP="00E55374">
      <w:pPr>
        <w:spacing w:after="60"/>
        <w:ind w:left="2127" w:hanging="2127"/>
        <w:rPr>
          <w:sz w:val="24"/>
          <w:szCs w:val="24"/>
        </w:rPr>
      </w:pPr>
      <w:r w:rsidRPr="00A06575">
        <w:rPr>
          <w:sz w:val="24"/>
          <w:szCs w:val="24"/>
        </w:rPr>
        <w:t>Obecné nařízení</w:t>
      </w:r>
      <w:r w:rsidRPr="00A06575">
        <w:rPr>
          <w:sz w:val="24"/>
          <w:szCs w:val="24"/>
        </w:rPr>
        <w:tab/>
      </w:r>
      <w:proofErr w:type="spellStart"/>
      <w:r w:rsidR="002C0BBB">
        <w:rPr>
          <w:sz w:val="24"/>
          <w:szCs w:val="24"/>
        </w:rPr>
        <w:t>nařízení</w:t>
      </w:r>
      <w:proofErr w:type="spellEnd"/>
      <w:r w:rsidR="002C0BBB">
        <w:rPr>
          <w:sz w:val="24"/>
          <w:szCs w:val="24"/>
        </w:rPr>
        <w:t xml:space="preserve"> Evropského parlamentu a Rady</w:t>
      </w:r>
      <w:r w:rsidRPr="00A06575">
        <w:rPr>
          <w:rFonts w:cstheme="minorHAnsi"/>
          <w:sz w:val="24"/>
          <w:szCs w:val="24"/>
        </w:rPr>
        <w:t xml:space="preserve"> (EU) č. 1303/2013 ze dne 17.</w:t>
      </w:r>
      <w:r w:rsidR="002C0BBB">
        <w:rPr>
          <w:rFonts w:cstheme="minorHAnsi"/>
          <w:sz w:val="24"/>
          <w:szCs w:val="24"/>
        </w:rPr>
        <w:t> </w:t>
      </w:r>
      <w:r w:rsidRPr="00A06575">
        <w:rPr>
          <w:rFonts w:cstheme="minorHAnsi"/>
          <w:sz w:val="24"/>
          <w:szCs w:val="24"/>
        </w:rPr>
        <w:t>prosince 2013</w:t>
      </w:r>
    </w:p>
    <w:p w14:paraId="7AAEC8C1" w14:textId="0AB4DD49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 w:rsidRPr="004E6FCA">
        <w:rPr>
          <w:sz w:val="24"/>
          <w:szCs w:val="24"/>
        </w:rPr>
        <w:t>OPPIK</w:t>
      </w:r>
      <w:r w:rsidRPr="004E6FCA">
        <w:rPr>
          <w:sz w:val="24"/>
          <w:szCs w:val="24"/>
        </w:rPr>
        <w:tab/>
      </w:r>
      <w:r w:rsidR="002C0BBB">
        <w:rPr>
          <w:sz w:val="24"/>
          <w:szCs w:val="24"/>
        </w:rPr>
        <w:t>o</w:t>
      </w:r>
      <w:r w:rsidRPr="004E6FCA">
        <w:rPr>
          <w:sz w:val="24"/>
          <w:szCs w:val="24"/>
        </w:rPr>
        <w:t xml:space="preserve">perační program </w:t>
      </w:r>
      <w:r w:rsidR="002C0BBB" w:rsidRPr="00E55374">
        <w:rPr>
          <w:i/>
          <w:sz w:val="24"/>
          <w:szCs w:val="24"/>
        </w:rPr>
        <w:t>P</w:t>
      </w:r>
      <w:r w:rsidRPr="00E55374">
        <w:rPr>
          <w:i/>
          <w:sz w:val="24"/>
          <w:szCs w:val="24"/>
        </w:rPr>
        <w:t>odnikání a inovace pro konkurenceschopnost</w:t>
      </w:r>
    </w:p>
    <w:p w14:paraId="1E58991D" w14:textId="579A026C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proofErr w:type="spellStart"/>
      <w:r>
        <w:rPr>
          <w:sz w:val="24"/>
          <w:szCs w:val="24"/>
        </w:rPr>
        <w:t>RoPD</w:t>
      </w:r>
      <w:proofErr w:type="spellEnd"/>
      <w:r>
        <w:rPr>
          <w:sz w:val="24"/>
          <w:szCs w:val="24"/>
        </w:rPr>
        <w:tab/>
      </w:r>
      <w:r w:rsidR="002C0BBB">
        <w:rPr>
          <w:sz w:val="24"/>
          <w:szCs w:val="24"/>
        </w:rPr>
        <w:t>r</w:t>
      </w:r>
      <w:r w:rsidRPr="004E6FCA">
        <w:rPr>
          <w:sz w:val="24"/>
          <w:szCs w:val="24"/>
        </w:rPr>
        <w:t>ozhodnut</w:t>
      </w:r>
      <w:r w:rsidR="00656649">
        <w:rPr>
          <w:sz w:val="24"/>
          <w:szCs w:val="24"/>
        </w:rPr>
        <w:t>í</w:t>
      </w:r>
      <w:r w:rsidRPr="004E6FCA">
        <w:rPr>
          <w:sz w:val="24"/>
          <w:szCs w:val="24"/>
        </w:rPr>
        <w:t xml:space="preserve"> o poskytnutí dotace</w:t>
      </w:r>
    </w:p>
    <w:p w14:paraId="47F6B0E5" w14:textId="7D6F14BF" w:rsidR="00FD0F40" w:rsidRPr="004E6FCA" w:rsidRDefault="00FD0F40" w:rsidP="00E55374">
      <w:pPr>
        <w:spacing w:after="60"/>
        <w:ind w:left="2127" w:hanging="2127"/>
        <w:rPr>
          <w:sz w:val="24"/>
          <w:szCs w:val="24"/>
        </w:rPr>
      </w:pPr>
      <w:r>
        <w:rPr>
          <w:sz w:val="24"/>
          <w:szCs w:val="24"/>
        </w:rPr>
        <w:t>SC</w:t>
      </w:r>
      <w:r>
        <w:rPr>
          <w:sz w:val="24"/>
          <w:szCs w:val="24"/>
        </w:rPr>
        <w:tab/>
      </w:r>
      <w:r w:rsidR="00656649">
        <w:rPr>
          <w:sz w:val="24"/>
          <w:szCs w:val="24"/>
        </w:rPr>
        <w:t>s</w:t>
      </w:r>
      <w:r w:rsidRPr="004E6FCA">
        <w:rPr>
          <w:sz w:val="24"/>
          <w:szCs w:val="24"/>
        </w:rPr>
        <w:t>pecifický cíl</w:t>
      </w:r>
    </w:p>
    <w:p w14:paraId="6DE4E00C" w14:textId="77777777" w:rsidR="00FD0F40" w:rsidRPr="00E97E03" w:rsidRDefault="00FD0F40" w:rsidP="00FD0F40">
      <w:pPr>
        <w:spacing w:after="0" w:line="280" w:lineRule="atLeast"/>
        <w:jc w:val="both"/>
        <w:rPr>
          <w:rFonts w:cstheme="minorHAnsi"/>
          <w:sz w:val="24"/>
        </w:rPr>
      </w:pPr>
    </w:p>
    <w:p w14:paraId="444B27EC" w14:textId="3654C87E" w:rsidR="00244DE2" w:rsidRPr="00E97E03" w:rsidRDefault="00244DE2" w:rsidP="00FD0F40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</w:rPr>
      </w:pPr>
    </w:p>
    <w:sectPr w:rsidR="00244DE2" w:rsidRPr="00E97E03" w:rsidSect="00C830F9">
      <w:pgSz w:w="11906" w:h="16838"/>
      <w:pgMar w:top="141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32DEA" w14:textId="77777777" w:rsidR="00D65D7D" w:rsidRDefault="00D65D7D" w:rsidP="001E1138">
      <w:pPr>
        <w:spacing w:after="0" w:line="240" w:lineRule="auto"/>
      </w:pPr>
      <w:r>
        <w:separator/>
      </w:r>
    </w:p>
  </w:endnote>
  <w:endnote w:type="continuationSeparator" w:id="0">
    <w:p w14:paraId="7FFDF0DD" w14:textId="77777777" w:rsidR="00D65D7D" w:rsidRDefault="00D65D7D" w:rsidP="001E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F14B" w14:textId="77777777" w:rsidR="000A5D5E" w:rsidRDefault="000A5D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348657"/>
      <w:docPartObj>
        <w:docPartGallery w:val="Page Numbers (Bottom of Page)"/>
        <w:docPartUnique/>
      </w:docPartObj>
    </w:sdtPr>
    <w:sdtEndPr/>
    <w:sdtContent>
      <w:p w14:paraId="0B8A45B7" w14:textId="1857180C" w:rsidR="00D65D7D" w:rsidRDefault="00D65D7D" w:rsidP="0012538D">
        <w:pPr>
          <w:pStyle w:val="Zpat"/>
          <w:jc w:val="center"/>
        </w:pPr>
        <w:r w:rsidRPr="00464D52">
          <w:rPr>
            <w:sz w:val="24"/>
            <w:szCs w:val="24"/>
          </w:rPr>
          <w:fldChar w:fldCharType="begin"/>
        </w:r>
        <w:r w:rsidRPr="00464D52">
          <w:rPr>
            <w:sz w:val="24"/>
            <w:szCs w:val="24"/>
          </w:rPr>
          <w:instrText>PAGE   \* MERGEFORMAT</w:instrText>
        </w:r>
        <w:r w:rsidRPr="00464D52">
          <w:rPr>
            <w:sz w:val="24"/>
            <w:szCs w:val="24"/>
          </w:rPr>
          <w:fldChar w:fldCharType="separate"/>
        </w:r>
        <w:r w:rsidR="000A5D5E">
          <w:rPr>
            <w:noProof/>
            <w:sz w:val="24"/>
            <w:szCs w:val="24"/>
          </w:rPr>
          <w:t>6</w:t>
        </w:r>
        <w:r w:rsidRPr="00464D52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E8201" w14:textId="77777777" w:rsidR="000A5D5E" w:rsidRDefault="000A5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E2696" w14:textId="77777777" w:rsidR="00D65D7D" w:rsidRDefault="00D65D7D" w:rsidP="001E1138">
      <w:pPr>
        <w:spacing w:after="0" w:line="240" w:lineRule="auto"/>
      </w:pPr>
      <w:r>
        <w:separator/>
      </w:r>
    </w:p>
  </w:footnote>
  <w:footnote w:type="continuationSeparator" w:id="0">
    <w:p w14:paraId="658A10D8" w14:textId="77777777" w:rsidR="00D65D7D" w:rsidRDefault="00D65D7D" w:rsidP="001E1138">
      <w:pPr>
        <w:spacing w:after="0" w:line="240" w:lineRule="auto"/>
      </w:pPr>
      <w:r>
        <w:continuationSeparator/>
      </w:r>
    </w:p>
  </w:footnote>
  <w:footnote w:id="1">
    <w:p w14:paraId="04A5D751" w14:textId="617DB057" w:rsidR="00124251" w:rsidRDefault="00124251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 w:rsidR="001508A4">
        <w:t>Pojmy</w:t>
      </w:r>
      <w:r>
        <w:t xml:space="preserve"> </w:t>
      </w:r>
      <w:r w:rsidR="001508A4">
        <w:t>„</w:t>
      </w:r>
      <w:r>
        <w:t>malý a střední podnikatel</w:t>
      </w:r>
      <w:r w:rsidR="001508A4">
        <w:t>“ a</w:t>
      </w:r>
      <w:r>
        <w:t xml:space="preserve"> </w:t>
      </w:r>
      <w:r w:rsidR="001508A4">
        <w:t>„</w:t>
      </w:r>
      <w:r>
        <w:t>malý a střední podnik</w:t>
      </w:r>
      <w:r w:rsidR="001508A4">
        <w:t>“</w:t>
      </w:r>
      <w:r>
        <w:t xml:space="preserve"> jsou v kontextu podporované oblasti používány jako synonyma, </w:t>
      </w:r>
      <w:r w:rsidR="0044129D">
        <w:t xml:space="preserve">obě formulace se objevují v různých dokumentech k OPPIK, </w:t>
      </w:r>
      <w:r>
        <w:t xml:space="preserve">obě formulace odkazují na definici malého a středního podniku dle </w:t>
      </w:r>
      <w:r w:rsidR="001508A4">
        <w:t>p</w:t>
      </w:r>
      <w:r>
        <w:t xml:space="preserve">řílohy č. 1 </w:t>
      </w:r>
      <w:r w:rsidR="001508A4">
        <w:t>n</w:t>
      </w:r>
      <w:r>
        <w:t>ařízení Komise (EU) č. 651/2014 ze dne 17.</w:t>
      </w:r>
      <w:r w:rsidR="00A0199F">
        <w:t> </w:t>
      </w:r>
      <w:r>
        <w:t>června 2014, kterým se v souladu s články 107 a 108 Smlouvy o EU prohlašují určité kategorie podpory za slučitelné s</w:t>
      </w:r>
      <w:r w:rsidR="001508A4">
        <w:t> </w:t>
      </w:r>
      <w:r>
        <w:t>vnitřním trhem</w:t>
      </w:r>
      <w:r w:rsidR="00A0199F">
        <w:t>.</w:t>
      </w:r>
    </w:p>
  </w:footnote>
  <w:footnote w:id="2">
    <w:p w14:paraId="281D854C" w14:textId="6FF79788" w:rsidR="00D65D7D" w:rsidRPr="00773493" w:rsidRDefault="00D65D7D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 w:rsidR="002F0ED2">
        <w:t xml:space="preserve"> </w:t>
      </w:r>
      <w:r w:rsidR="00A0199F">
        <w:tab/>
      </w:r>
      <w:r w:rsidRPr="00773493">
        <w:t>Usnesení vlády ČR ze dne 14. července 2014 č. 581</w:t>
      </w:r>
      <w:r>
        <w:t>,</w:t>
      </w:r>
      <w:r w:rsidRPr="00773493">
        <w:t xml:space="preserve"> </w:t>
      </w:r>
      <w:r w:rsidRPr="00A130AF">
        <w:rPr>
          <w:i/>
        </w:rPr>
        <w:t>k Operačnímu p</w:t>
      </w:r>
      <w:r w:rsidR="002F0ED2">
        <w:rPr>
          <w:i/>
        </w:rPr>
        <w:t xml:space="preserve">rogramu Podnikání a inovace pro </w:t>
      </w:r>
      <w:r w:rsidRPr="00A130AF">
        <w:rPr>
          <w:i/>
        </w:rPr>
        <w:t>konkurenceschopnost 2014–2020</w:t>
      </w:r>
      <w:r w:rsidRPr="00773493">
        <w:t>.</w:t>
      </w:r>
    </w:p>
  </w:footnote>
  <w:footnote w:id="3">
    <w:p w14:paraId="57B5E5BA" w14:textId="37D8F60E" w:rsidR="00614C70" w:rsidRDefault="00614C70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 w:rsidRPr="004218FD">
        <w:rPr>
          <w:rFonts w:cstheme="minorHAnsi"/>
        </w:rPr>
        <w:t>N</w:t>
      </w:r>
      <w:r w:rsidR="00A0199F">
        <w:rPr>
          <w:rFonts w:cstheme="minorHAnsi"/>
        </w:rPr>
        <w:t>ařízení</w:t>
      </w:r>
      <w:r w:rsidRPr="004218FD">
        <w:rPr>
          <w:rFonts w:cstheme="minorHAnsi"/>
        </w:rPr>
        <w:t xml:space="preserve"> E</w:t>
      </w:r>
      <w:r w:rsidR="00A0199F">
        <w:rPr>
          <w:rFonts w:cstheme="minorHAnsi"/>
        </w:rPr>
        <w:t>vropského</w:t>
      </w:r>
      <w:r w:rsidRPr="004218FD">
        <w:rPr>
          <w:rFonts w:cstheme="minorHAnsi"/>
        </w:rPr>
        <w:t xml:space="preserve"> </w:t>
      </w:r>
      <w:r w:rsidR="00A0199F">
        <w:rPr>
          <w:rFonts w:cstheme="minorHAnsi"/>
        </w:rPr>
        <w:t>parlamentu</w:t>
      </w:r>
      <w:r w:rsidRPr="004218FD">
        <w:rPr>
          <w:rFonts w:cstheme="minorHAnsi"/>
        </w:rPr>
        <w:t xml:space="preserve"> </w:t>
      </w:r>
      <w:r w:rsidR="00A0199F">
        <w:rPr>
          <w:rFonts w:cstheme="minorHAnsi"/>
        </w:rPr>
        <w:t>a</w:t>
      </w:r>
      <w:r w:rsidRPr="004218FD">
        <w:rPr>
          <w:rFonts w:cstheme="minorHAnsi"/>
        </w:rPr>
        <w:t xml:space="preserve"> R</w:t>
      </w:r>
      <w:r w:rsidR="00A0199F">
        <w:rPr>
          <w:rFonts w:cstheme="minorHAnsi"/>
        </w:rPr>
        <w:t>ady</w:t>
      </w:r>
      <w:r w:rsidRPr="004218FD">
        <w:rPr>
          <w:rFonts w:cstheme="minorHAnsi"/>
        </w:rPr>
        <w:t xml:space="preserve"> (EU) č. 1303/2013 ze dne 17. prosince 2013</w:t>
      </w:r>
      <w:r w:rsidR="00A0199F">
        <w:rPr>
          <w:rFonts w:cstheme="minorHAnsi"/>
        </w:rPr>
        <w:t>,</w:t>
      </w:r>
      <w:r w:rsidRPr="004218FD">
        <w:rPr>
          <w:rFonts w:cstheme="minorHAnsi"/>
        </w:rPr>
        <w:t xml:space="preserve">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>
        <w:rPr>
          <w:rFonts w:cstheme="minorHAnsi"/>
        </w:rPr>
        <w:t> </w:t>
      </w:r>
      <w:r w:rsidRPr="004218FD">
        <w:rPr>
          <w:rFonts w:cstheme="minorHAnsi"/>
        </w:rPr>
        <w:t>Evropském námořním a rybářském fondu a o zrušení nařízení Rady (ES) č. 1083/2006</w:t>
      </w:r>
      <w:r w:rsidRPr="00704B83">
        <w:rPr>
          <w:rFonts w:cstheme="minorHAnsi"/>
        </w:rPr>
        <w:t>.</w:t>
      </w:r>
    </w:p>
  </w:footnote>
  <w:footnote w:id="4">
    <w:p w14:paraId="0F8F8B88" w14:textId="66DE9C17" w:rsidR="00D65D7D" w:rsidRPr="00773493" w:rsidRDefault="00D65D7D" w:rsidP="00A0199F">
      <w:pPr>
        <w:pStyle w:val="Textpoznpodarou"/>
        <w:ind w:left="284" w:hanging="284"/>
        <w:jc w:val="both"/>
      </w:pPr>
      <w:r w:rsidRPr="00773493">
        <w:rPr>
          <w:rStyle w:val="Znakapoznpodarou"/>
        </w:rPr>
        <w:footnoteRef/>
      </w:r>
      <w:r w:rsidR="002F0ED2">
        <w:t xml:space="preserve"> </w:t>
      </w:r>
      <w:r w:rsidR="00A0199F">
        <w:tab/>
      </w:r>
      <w:r w:rsidRPr="00773493">
        <w:t>P</w:t>
      </w:r>
      <w:r w:rsidRPr="00773493">
        <w:rPr>
          <w:rFonts w:cstheme="minorHAnsi"/>
        </w:rPr>
        <w:t>řepočteno kurzem 25,</w:t>
      </w:r>
      <w:r>
        <w:rPr>
          <w:rFonts w:cstheme="minorHAnsi"/>
        </w:rPr>
        <w:t>8</w:t>
      </w:r>
      <w:r w:rsidRPr="00773493">
        <w:rPr>
          <w:rFonts w:cstheme="minorHAnsi"/>
        </w:rPr>
        <w:t xml:space="preserve">3 CZK/EUR, kurz ECB pro </w:t>
      </w:r>
      <w:r>
        <w:rPr>
          <w:rFonts w:cstheme="minorHAnsi"/>
        </w:rPr>
        <w:t>únor</w:t>
      </w:r>
      <w:r w:rsidRPr="00773493">
        <w:rPr>
          <w:rFonts w:cstheme="minorHAnsi"/>
        </w:rPr>
        <w:t xml:space="preserve"> 20</w:t>
      </w:r>
      <w:r>
        <w:rPr>
          <w:rFonts w:cstheme="minorHAnsi"/>
        </w:rPr>
        <w:t>21</w:t>
      </w:r>
      <w:r w:rsidRPr="00773493">
        <w:rPr>
          <w:rFonts w:cstheme="minorHAnsi"/>
        </w:rPr>
        <w:t>.</w:t>
      </w:r>
    </w:p>
  </w:footnote>
  <w:footnote w:id="5">
    <w:p w14:paraId="1280F8EE" w14:textId="4FEC4C80" w:rsidR="00D65D7D" w:rsidRPr="00145695" w:rsidRDefault="00D65D7D" w:rsidP="00A0199F">
      <w:pPr>
        <w:pStyle w:val="Textpoznpodarou"/>
        <w:ind w:left="284" w:hanging="284"/>
        <w:rPr>
          <w:rFonts w:cstheme="minorHAnsi"/>
        </w:rPr>
      </w:pPr>
      <w:r w:rsidRPr="00145695">
        <w:rPr>
          <w:rStyle w:val="Znakapoznpodarou"/>
          <w:rFonts w:cstheme="minorHAnsi"/>
        </w:rPr>
        <w:footnoteRef/>
      </w:r>
      <w:r w:rsidRPr="00145695">
        <w:rPr>
          <w:rFonts w:cstheme="minorHAnsi"/>
        </w:rPr>
        <w:t xml:space="preserve"> </w:t>
      </w:r>
      <w:r w:rsidR="00A0199F">
        <w:rPr>
          <w:rFonts w:cstheme="minorHAnsi"/>
        </w:rPr>
        <w:tab/>
      </w:r>
      <w:r w:rsidRPr="00145695">
        <w:rPr>
          <w:rFonts w:cstheme="minorHAnsi"/>
        </w:rPr>
        <w:t>Přepočteno z </w:t>
      </w:r>
      <w:r w:rsidR="00767D13">
        <w:rPr>
          <w:rFonts w:cstheme="minorHAnsi"/>
        </w:rPr>
        <w:t>eur</w:t>
      </w:r>
      <w:r w:rsidRPr="00145695">
        <w:rPr>
          <w:rFonts w:cstheme="minorHAnsi"/>
        </w:rPr>
        <w:t xml:space="preserve"> k datu schválení OPPIK Evropskou komisí. Kurz 29. dubna 2015 byl 27,435 </w:t>
      </w:r>
      <w:r w:rsidR="00767D13">
        <w:rPr>
          <w:rFonts w:cstheme="minorHAnsi"/>
        </w:rPr>
        <w:t>CZK</w:t>
      </w:r>
      <w:r>
        <w:rPr>
          <w:rFonts w:cstheme="minorHAnsi"/>
        </w:rPr>
        <w:t>/</w:t>
      </w:r>
      <w:r w:rsidRPr="00145695">
        <w:rPr>
          <w:rFonts w:cstheme="minorHAnsi"/>
        </w:rPr>
        <w:t>EUR.</w:t>
      </w:r>
    </w:p>
  </w:footnote>
  <w:footnote w:id="6">
    <w:p w14:paraId="5C613EDD" w14:textId="230007B5" w:rsidR="00D65D7D" w:rsidRPr="00145695" w:rsidRDefault="00D65D7D" w:rsidP="00A0199F">
      <w:pPr>
        <w:pStyle w:val="Textpoznpodarou"/>
        <w:ind w:left="284" w:hanging="284"/>
        <w:jc w:val="both"/>
        <w:rPr>
          <w:rFonts w:cstheme="minorHAnsi"/>
        </w:rPr>
      </w:pPr>
      <w:r w:rsidRPr="00145695">
        <w:rPr>
          <w:rStyle w:val="Znakapoznpodarou"/>
          <w:rFonts w:cstheme="minorHAnsi"/>
        </w:rPr>
        <w:footnoteRef/>
      </w:r>
      <w:r w:rsidRPr="00145695">
        <w:rPr>
          <w:rFonts w:cstheme="minorHAnsi"/>
        </w:rPr>
        <w:t xml:space="preserve"> </w:t>
      </w:r>
      <w:r w:rsidR="00A0199F">
        <w:rPr>
          <w:rFonts w:cstheme="minorHAnsi"/>
        </w:rPr>
        <w:tab/>
      </w:r>
      <w:r w:rsidRPr="00145695">
        <w:rPr>
          <w:rFonts w:cstheme="minorHAnsi"/>
        </w:rPr>
        <w:t>Přepočteno z</w:t>
      </w:r>
      <w:r>
        <w:rPr>
          <w:rFonts w:cstheme="minorHAnsi"/>
        </w:rPr>
        <w:t> </w:t>
      </w:r>
      <w:r w:rsidR="00767D13">
        <w:rPr>
          <w:rFonts w:cstheme="minorHAnsi"/>
        </w:rPr>
        <w:t>eur</w:t>
      </w:r>
      <w:r>
        <w:rPr>
          <w:rFonts w:cstheme="minorHAnsi"/>
        </w:rPr>
        <w:t xml:space="preserve"> k datu 9. září 2020, kurz měn byl 26,520 </w:t>
      </w:r>
      <w:r w:rsidR="00767D13">
        <w:rPr>
          <w:rFonts w:cstheme="minorHAnsi"/>
        </w:rPr>
        <w:t>CZK</w:t>
      </w:r>
      <w:r>
        <w:rPr>
          <w:rFonts w:cstheme="minorHAnsi"/>
        </w:rPr>
        <w:t>/EUR.</w:t>
      </w:r>
    </w:p>
  </w:footnote>
  <w:footnote w:id="7">
    <w:p w14:paraId="19B59D39" w14:textId="1A917402" w:rsidR="00D65D7D" w:rsidRPr="00145695" w:rsidRDefault="00D65D7D" w:rsidP="00A0199F">
      <w:pPr>
        <w:pStyle w:val="Textpoznpodarou"/>
        <w:ind w:left="284" w:hanging="284"/>
        <w:jc w:val="both"/>
        <w:rPr>
          <w:rFonts w:cstheme="minorHAnsi"/>
        </w:rPr>
      </w:pPr>
      <w:r w:rsidRPr="00145695">
        <w:rPr>
          <w:rStyle w:val="Znakapoznpodarou"/>
          <w:rFonts w:cstheme="minorHAnsi"/>
        </w:rPr>
        <w:footnoteRef/>
      </w:r>
      <w:r w:rsidR="003F0F28">
        <w:rPr>
          <w:rFonts w:cstheme="minorHAnsi"/>
        </w:rPr>
        <w:t xml:space="preserve"> </w:t>
      </w:r>
      <w:r w:rsidR="00A0199F">
        <w:rPr>
          <w:rFonts w:cstheme="minorHAnsi"/>
        </w:rPr>
        <w:tab/>
      </w:r>
      <w:r w:rsidRPr="00145695">
        <w:rPr>
          <w:rFonts w:cstheme="minorHAnsi"/>
        </w:rPr>
        <w:t>NÁVRH ZMĚN OPERAČNÍHO PROGRAMU PODNIKÁNÍ A INOVACE PRO KONKURENCESCHOPNOST 2014–2020, MATERIÁL PRO EVROPSKOU KOMISI, pro zdůvodnění navržených změn OPPIK, srpen 2020</w:t>
      </w:r>
      <w:r w:rsidR="00E275A6">
        <w:rPr>
          <w:rFonts w:cstheme="minorHAnsi"/>
        </w:rPr>
        <w:t>;</w:t>
      </w:r>
      <w:r w:rsidRPr="00145695">
        <w:rPr>
          <w:rFonts w:cstheme="minorHAnsi"/>
        </w:rPr>
        <w:t xml:space="preserve"> materiál schválen Monitorovacím výborem OPPIK 9. září 2020 po připomínkách Evropské komise</w:t>
      </w:r>
      <w:r w:rsidR="00E162FF">
        <w:rPr>
          <w:rFonts w:cstheme="minorHAnsi"/>
        </w:rPr>
        <w:t>.</w:t>
      </w:r>
    </w:p>
  </w:footnote>
  <w:footnote w:id="8">
    <w:p w14:paraId="5EC936AF" w14:textId="2A043547" w:rsidR="00D65D7D" w:rsidRDefault="00D65D7D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 w:rsidRPr="00145695">
        <w:rPr>
          <w:rFonts w:cstheme="minorHAnsi"/>
        </w:rPr>
        <w:t>Přepočteno z</w:t>
      </w:r>
      <w:r>
        <w:rPr>
          <w:rFonts w:cstheme="minorHAnsi"/>
        </w:rPr>
        <w:t> </w:t>
      </w:r>
      <w:r w:rsidR="00A0199F">
        <w:rPr>
          <w:rFonts w:cstheme="minorHAnsi"/>
        </w:rPr>
        <w:t>eur</w:t>
      </w:r>
      <w:r>
        <w:rPr>
          <w:rFonts w:cstheme="minorHAnsi"/>
        </w:rPr>
        <w:t xml:space="preserve"> k datu 7. června 2017, kurz měn byl 26,315 </w:t>
      </w:r>
      <w:r w:rsidR="00767D13">
        <w:rPr>
          <w:rFonts w:cstheme="minorHAnsi"/>
        </w:rPr>
        <w:t>CZK</w:t>
      </w:r>
      <w:r>
        <w:rPr>
          <w:rFonts w:cstheme="minorHAnsi"/>
        </w:rPr>
        <w:t>/EUR.</w:t>
      </w:r>
    </w:p>
  </w:footnote>
  <w:footnote w:id="9">
    <w:p w14:paraId="6843B5C2" w14:textId="2E5F3F0F" w:rsidR="00D65D7D" w:rsidRDefault="00D65D7D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 w:rsidRPr="00145695">
        <w:rPr>
          <w:rFonts w:cstheme="minorHAnsi"/>
        </w:rPr>
        <w:t>Přepočteno z</w:t>
      </w:r>
      <w:r>
        <w:rPr>
          <w:rFonts w:cstheme="minorHAnsi"/>
        </w:rPr>
        <w:t> </w:t>
      </w:r>
      <w:r w:rsidR="00A0199F">
        <w:rPr>
          <w:rFonts w:cstheme="minorHAnsi"/>
        </w:rPr>
        <w:t>eur</w:t>
      </w:r>
      <w:r>
        <w:rPr>
          <w:rFonts w:cstheme="minorHAnsi"/>
        </w:rPr>
        <w:t xml:space="preserve"> k datu 24. října 2019, kurz měn byl 25,595 </w:t>
      </w:r>
      <w:r w:rsidR="004C655B">
        <w:rPr>
          <w:rFonts w:cstheme="minorHAnsi"/>
        </w:rPr>
        <w:t>CZK</w:t>
      </w:r>
      <w:r>
        <w:rPr>
          <w:rFonts w:cstheme="minorHAnsi"/>
        </w:rPr>
        <w:t>/EUR.</w:t>
      </w:r>
    </w:p>
  </w:footnote>
  <w:footnote w:id="10">
    <w:p w14:paraId="08A0C525" w14:textId="678740B6" w:rsidR="00D65D7D" w:rsidRDefault="00D65D7D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 w:rsidRPr="00145695">
        <w:rPr>
          <w:rFonts w:cstheme="minorHAnsi"/>
        </w:rPr>
        <w:t>Přepočteno z</w:t>
      </w:r>
      <w:r>
        <w:rPr>
          <w:rFonts w:cstheme="minorHAnsi"/>
        </w:rPr>
        <w:t> </w:t>
      </w:r>
      <w:r w:rsidR="00A0199F">
        <w:rPr>
          <w:rFonts w:cstheme="minorHAnsi"/>
        </w:rPr>
        <w:t>eur</w:t>
      </w:r>
      <w:r>
        <w:rPr>
          <w:rFonts w:cstheme="minorHAnsi"/>
        </w:rPr>
        <w:t xml:space="preserve"> k datu 9. dubna 2020, kurz měn byl 26,905 </w:t>
      </w:r>
      <w:r w:rsidR="004C655B">
        <w:rPr>
          <w:rFonts w:cstheme="minorHAnsi"/>
        </w:rPr>
        <w:t>CZK</w:t>
      </w:r>
      <w:r>
        <w:rPr>
          <w:rFonts w:cstheme="minorHAnsi"/>
        </w:rPr>
        <w:t>/EUR</w:t>
      </w:r>
      <w:r w:rsidR="00E162FF">
        <w:rPr>
          <w:rFonts w:cstheme="minorHAnsi"/>
        </w:rPr>
        <w:t>.</w:t>
      </w:r>
    </w:p>
  </w:footnote>
  <w:footnote w:id="11">
    <w:p w14:paraId="591401F3" w14:textId="7DCFE6F2" w:rsidR="00D65D7D" w:rsidRDefault="00D65D7D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>
        <w:t>Výzvy na národní úrovni bez regionálního zaměření.</w:t>
      </w:r>
    </w:p>
  </w:footnote>
  <w:footnote w:id="12">
    <w:p w14:paraId="2188515A" w14:textId="32FB8D10" w:rsidR="00D65D7D" w:rsidRPr="00E55374" w:rsidRDefault="00D65D7D" w:rsidP="00A0199F">
      <w:pPr>
        <w:pStyle w:val="Textpoznpodarou"/>
        <w:ind w:left="284" w:hanging="284"/>
        <w:jc w:val="both"/>
      </w:pPr>
      <w:r w:rsidRPr="00464D52">
        <w:rPr>
          <w:rStyle w:val="Znakapoznpodarou"/>
        </w:rPr>
        <w:footnoteRef/>
      </w:r>
      <w:r w:rsidR="004B1B1D" w:rsidRPr="00464D52">
        <w:t xml:space="preserve"> </w:t>
      </w:r>
      <w:r w:rsidR="00A0199F">
        <w:tab/>
      </w:r>
      <w:r w:rsidR="004B1B1D" w:rsidRPr="00464D52">
        <w:t>Č</w:t>
      </w:r>
      <w:r w:rsidRPr="00464D52">
        <w:t>lánek</w:t>
      </w:r>
      <w:r w:rsidR="00B41630" w:rsidRPr="00464D52">
        <w:t xml:space="preserve"> č.</w:t>
      </w:r>
      <w:r w:rsidRPr="00464D52">
        <w:t xml:space="preserve"> 27 nařízení Evropského parlamentu a </w:t>
      </w:r>
      <w:r w:rsidR="00B25CEA">
        <w:t>R</w:t>
      </w:r>
      <w:r w:rsidRPr="00464D52">
        <w:t>ady (EU)</w:t>
      </w:r>
      <w:r w:rsidRPr="00464D52">
        <w:rPr>
          <w:rFonts w:cstheme="minorHAnsi"/>
        </w:rPr>
        <w:t xml:space="preserve"> č. 1303/2013 ze dne 17. prosince 2013</w:t>
      </w:r>
      <w:r w:rsidR="00B25CEA">
        <w:rPr>
          <w:rFonts w:cstheme="minorHAnsi"/>
        </w:rPr>
        <w:t>,</w:t>
      </w:r>
      <w:r w:rsidRPr="00464D52">
        <w:rPr>
          <w:rFonts w:cstheme="minorHAnsi"/>
        </w:rPr>
        <w:t xml:space="preserve"> o společných ustanoveních o Evropském fondu pro regionální rozvoj, Evropském sociálním fondu, Fondu soudržnosti, Evropském zemědělském fondu pro rozvoj venkova a Evropském námořním a rybářském fondu, o obecných ustano</w:t>
      </w:r>
      <w:r w:rsidRPr="00A0199F">
        <w:rPr>
          <w:rFonts w:cstheme="minorHAnsi"/>
        </w:rPr>
        <w:t>veních o Evropském fondu pro regionální rozvoj, Evropském sociálním fondu, Fondu soudržnosti a Evropském námořním a rybářském fondu a o zrušení nařízení Rady (ES) č. 1083/2006.</w:t>
      </w:r>
    </w:p>
  </w:footnote>
  <w:footnote w:id="13">
    <w:p w14:paraId="05A5BE71" w14:textId="3EC1FD9B" w:rsidR="00D65D7D" w:rsidRDefault="00D65D7D" w:rsidP="00A0199F">
      <w:pPr>
        <w:pStyle w:val="Textpoznpodarou"/>
        <w:ind w:left="284" w:hanging="284"/>
        <w:jc w:val="both"/>
      </w:pPr>
      <w:r w:rsidRPr="00F0182A">
        <w:rPr>
          <w:rStyle w:val="Znakapoznpodarou"/>
        </w:rPr>
        <w:footnoteRef/>
      </w:r>
      <w:r w:rsidRPr="00F0182A">
        <w:t xml:space="preserve"> </w:t>
      </w:r>
      <w:r w:rsidR="00A0199F">
        <w:tab/>
      </w:r>
      <w:r w:rsidRPr="00F0182A">
        <w:t xml:space="preserve">Ukazatele, které sleduje </w:t>
      </w:r>
      <w:r w:rsidRPr="00F0182A">
        <w:rPr>
          <w:rFonts w:cstheme="minorHAnsi"/>
        </w:rPr>
        <w:t xml:space="preserve">Český statistický úřad a Eurostat, </w:t>
      </w:r>
      <w:r w:rsidR="00E16B38" w:rsidRPr="00F0182A">
        <w:rPr>
          <w:rFonts w:cstheme="minorHAnsi"/>
        </w:rPr>
        <w:t xml:space="preserve">využívá </w:t>
      </w:r>
      <w:r w:rsidR="00E16B38">
        <w:rPr>
          <w:rFonts w:cstheme="minorHAnsi"/>
        </w:rPr>
        <w:t>v některých případech</w:t>
      </w:r>
      <w:r w:rsidRPr="00F0182A">
        <w:rPr>
          <w:rFonts w:cstheme="minorHAnsi"/>
        </w:rPr>
        <w:t xml:space="preserve"> MPO jako zdroj </w:t>
      </w:r>
      <w:r w:rsidR="00E16B38">
        <w:rPr>
          <w:rFonts w:cstheme="minorHAnsi"/>
        </w:rPr>
        <w:t>pro z</w:t>
      </w:r>
      <w:r w:rsidRPr="00F0182A">
        <w:rPr>
          <w:rFonts w:cstheme="minorHAnsi"/>
        </w:rPr>
        <w:t>právy o vývoji podnikatelského prostředí za příslušné roky</w:t>
      </w:r>
      <w:r w:rsidR="004A7EBB" w:rsidRPr="00F0182A">
        <w:rPr>
          <w:rFonts w:cstheme="minorHAnsi"/>
        </w:rPr>
        <w:t>.</w:t>
      </w:r>
    </w:p>
  </w:footnote>
  <w:footnote w:id="14">
    <w:p w14:paraId="30C2454F" w14:textId="0521A195" w:rsidR="00B85A74" w:rsidRDefault="00B85A74" w:rsidP="00A0199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>
        <w:t>Data p</w:t>
      </w:r>
      <w:r w:rsidR="00A43FF5">
        <w:t>ro roky 2019 a 2020 nebyla v době kontroly</w:t>
      </w:r>
      <w:r>
        <w:t xml:space="preserve"> k</w:t>
      </w:r>
      <w:r w:rsidR="0084378C">
        <w:t> </w:t>
      </w:r>
      <w:r>
        <w:t>dispozici</w:t>
      </w:r>
      <w:r w:rsidR="0084378C">
        <w:t>.</w:t>
      </w:r>
    </w:p>
  </w:footnote>
  <w:footnote w:id="15">
    <w:p w14:paraId="66D9EAA6" w14:textId="3E69538C" w:rsidR="00D65D7D" w:rsidRDefault="00D65D7D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>
        <w:t xml:space="preserve">V případě </w:t>
      </w:r>
      <w:r w:rsidR="00AD3451">
        <w:t xml:space="preserve">IV. </w:t>
      </w:r>
      <w:r>
        <w:t>výzvy tři roky.</w:t>
      </w:r>
    </w:p>
  </w:footnote>
  <w:footnote w:id="16">
    <w:p w14:paraId="4287B93C" w14:textId="2A7B83DE" w:rsidR="00D65D7D" w:rsidRDefault="00D65D7D" w:rsidP="00A0199F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 w:rsidRPr="0057073E">
        <w:rPr>
          <w:rFonts w:ascii="Calibri" w:hAnsi="Calibri" w:cs="Calibri"/>
        </w:rPr>
        <w:t xml:space="preserve">Jedná se zejména o: </w:t>
      </w:r>
      <w:proofErr w:type="spellStart"/>
      <w:r w:rsidRPr="0057073E">
        <w:rPr>
          <w:rFonts w:ascii="Calibri" w:hAnsi="Calibri" w:cs="Calibri"/>
        </w:rPr>
        <w:t>fotoniku</w:t>
      </w:r>
      <w:proofErr w:type="spellEnd"/>
      <w:r w:rsidRPr="0057073E">
        <w:rPr>
          <w:rFonts w:ascii="Calibri" w:hAnsi="Calibri" w:cs="Calibri"/>
        </w:rPr>
        <w:t>, mikro</w:t>
      </w:r>
      <w:r w:rsidR="00F34580" w:rsidRPr="0057073E">
        <w:rPr>
          <w:rFonts w:ascii="Calibri" w:hAnsi="Calibri" w:cs="Calibri"/>
        </w:rPr>
        <w:t>elektroniku</w:t>
      </w:r>
      <w:r w:rsidR="00F34580">
        <w:rPr>
          <w:rFonts w:ascii="Calibri" w:hAnsi="Calibri" w:cs="Calibri"/>
        </w:rPr>
        <w:t>,</w:t>
      </w:r>
      <w:r w:rsidRPr="0057073E">
        <w:rPr>
          <w:rFonts w:ascii="Calibri" w:hAnsi="Calibri" w:cs="Calibri"/>
        </w:rPr>
        <w:t xml:space="preserve"> </w:t>
      </w:r>
      <w:proofErr w:type="spellStart"/>
      <w:r w:rsidRPr="0057073E">
        <w:rPr>
          <w:rFonts w:ascii="Calibri" w:hAnsi="Calibri" w:cs="Calibri"/>
        </w:rPr>
        <w:t>nanoelektroniku</w:t>
      </w:r>
      <w:proofErr w:type="spellEnd"/>
      <w:r w:rsidRPr="0057073E">
        <w:rPr>
          <w:rFonts w:ascii="Calibri" w:hAnsi="Calibri" w:cs="Calibri"/>
        </w:rPr>
        <w:t>, nanotechnologie, pokročilé materiály, průmyslovou biotechnologii a pokročilé výrobní technologie.</w:t>
      </w:r>
    </w:p>
  </w:footnote>
  <w:footnote w:id="17">
    <w:p w14:paraId="6BDA17DF" w14:textId="3ED3F5E7" w:rsidR="00D65D7D" w:rsidRDefault="00D65D7D" w:rsidP="00A0199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A0199F">
        <w:tab/>
      </w:r>
      <w:r w:rsidRPr="00E20D8A">
        <w:rPr>
          <w:rFonts w:cstheme="minorHAnsi"/>
        </w:rPr>
        <w:t xml:space="preserve">Vzdělávání zaměstnaných osob – 2015, analýza a výsledky šetření CVTS </w:t>
      </w:r>
      <w:r>
        <w:rPr>
          <w:rFonts w:cstheme="minorHAnsi"/>
        </w:rPr>
        <w:t>5, čj. 3019/2017</w:t>
      </w:r>
      <w:r w:rsidR="002006A2">
        <w:rPr>
          <w:rFonts w:cstheme="minorHAnsi"/>
        </w:rPr>
        <w:t>-</w:t>
      </w:r>
      <w:r>
        <w:rPr>
          <w:rFonts w:cstheme="minorHAnsi"/>
        </w:rPr>
        <w:t>63, ČSÚ</w:t>
      </w:r>
      <w:r w:rsidR="00F0182A">
        <w:rPr>
          <w:rFonts w:cstheme="minorHAnsi"/>
        </w:rPr>
        <w:t>.</w:t>
      </w:r>
    </w:p>
  </w:footnote>
  <w:footnote w:id="18">
    <w:p w14:paraId="28D2C77D" w14:textId="50D61661" w:rsidR="00D65D7D" w:rsidRPr="00386BBC" w:rsidRDefault="00D65D7D" w:rsidP="00A0199F">
      <w:pPr>
        <w:pStyle w:val="Textpoznpodarou"/>
        <w:ind w:left="284" w:hanging="284"/>
        <w:rPr>
          <w:rFonts w:cstheme="minorHAnsi"/>
        </w:rPr>
      </w:pPr>
      <w:r w:rsidRPr="00386BBC">
        <w:rPr>
          <w:rStyle w:val="Znakapoznpodarou"/>
          <w:rFonts w:cstheme="minorHAnsi"/>
        </w:rPr>
        <w:footnoteRef/>
      </w:r>
      <w:r w:rsidRPr="00386BBC">
        <w:rPr>
          <w:rFonts w:cstheme="minorHAnsi"/>
        </w:rPr>
        <w:t xml:space="preserve"> </w:t>
      </w:r>
      <w:r w:rsidR="00A0199F">
        <w:rPr>
          <w:rFonts w:cstheme="minorHAnsi"/>
        </w:rPr>
        <w:tab/>
      </w:r>
      <w:r w:rsidRPr="004328E2">
        <w:rPr>
          <w:rFonts w:cstheme="minorHAnsi"/>
        </w:rPr>
        <w:t>Ve vý</w:t>
      </w:r>
      <w:r>
        <w:rPr>
          <w:rFonts w:cstheme="minorHAnsi"/>
        </w:rPr>
        <w:t>zvě III je doba udržitelnosti</w:t>
      </w:r>
      <w:r w:rsidRPr="004328E2">
        <w:rPr>
          <w:rFonts w:cstheme="minorHAnsi"/>
        </w:rPr>
        <w:t xml:space="preserve"> 3 roky. Za vytížený den se počítá takový, kdy je kapacita školicího střediska naplněna alespoň z 30 % a čistá doba školení je alespoň 3 hodiny (tj. 180 minut</w:t>
      </w:r>
      <w:r>
        <w:rPr>
          <w:rFonts w:cstheme="minorHAnsi"/>
        </w:rPr>
        <w:t>)</w:t>
      </w:r>
      <w:r w:rsidR="00F0182A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D08C" w14:textId="77777777" w:rsidR="000A5D5E" w:rsidRDefault="000A5D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6062" w14:textId="77777777" w:rsidR="000A5D5E" w:rsidRDefault="000A5D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2F06" w14:textId="77777777" w:rsidR="000A5D5E" w:rsidRDefault="000A5D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C3F"/>
    <w:multiLevelType w:val="hybridMultilevel"/>
    <w:tmpl w:val="B3962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C5AE5"/>
    <w:multiLevelType w:val="hybridMultilevel"/>
    <w:tmpl w:val="054EC502"/>
    <w:lvl w:ilvl="0" w:tplc="FE00E4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81FE6"/>
    <w:multiLevelType w:val="hybridMultilevel"/>
    <w:tmpl w:val="226A8518"/>
    <w:lvl w:ilvl="0" w:tplc="7B165F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13F01"/>
    <w:multiLevelType w:val="hybridMultilevel"/>
    <w:tmpl w:val="99CE0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71DB3"/>
    <w:multiLevelType w:val="hybridMultilevel"/>
    <w:tmpl w:val="48D2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0B26"/>
    <w:multiLevelType w:val="hybridMultilevel"/>
    <w:tmpl w:val="E02A3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2A99"/>
    <w:multiLevelType w:val="hybridMultilevel"/>
    <w:tmpl w:val="4606CA92"/>
    <w:lvl w:ilvl="0" w:tplc="DFD692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5B4289"/>
    <w:multiLevelType w:val="hybridMultilevel"/>
    <w:tmpl w:val="1528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1312"/>
    <w:multiLevelType w:val="hybridMultilevel"/>
    <w:tmpl w:val="A60474EE"/>
    <w:lvl w:ilvl="0" w:tplc="191CAF24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A9B5197"/>
    <w:multiLevelType w:val="hybridMultilevel"/>
    <w:tmpl w:val="AA4A8158"/>
    <w:lvl w:ilvl="0" w:tplc="981A8D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CA2B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47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43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A1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A7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E3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6D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5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51B1"/>
    <w:multiLevelType w:val="hybridMultilevel"/>
    <w:tmpl w:val="F9A4B2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D3D7E"/>
    <w:multiLevelType w:val="hybridMultilevel"/>
    <w:tmpl w:val="10BC4A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F36A1"/>
    <w:multiLevelType w:val="multilevel"/>
    <w:tmpl w:val="F1028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FE3B82"/>
    <w:multiLevelType w:val="hybridMultilevel"/>
    <w:tmpl w:val="75689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211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9268D4"/>
    <w:multiLevelType w:val="hybridMultilevel"/>
    <w:tmpl w:val="CEE24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B5E05"/>
    <w:multiLevelType w:val="multilevel"/>
    <w:tmpl w:val="233293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A0D325A"/>
    <w:multiLevelType w:val="hybridMultilevel"/>
    <w:tmpl w:val="459CCB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251A20"/>
    <w:multiLevelType w:val="hybridMultilevel"/>
    <w:tmpl w:val="24344352"/>
    <w:lvl w:ilvl="0" w:tplc="AAE6AA7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71F16"/>
    <w:multiLevelType w:val="hybridMultilevel"/>
    <w:tmpl w:val="DB96C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C45E3"/>
    <w:multiLevelType w:val="hybridMultilevel"/>
    <w:tmpl w:val="B97A29E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311C9"/>
    <w:multiLevelType w:val="hybridMultilevel"/>
    <w:tmpl w:val="E78680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49106F"/>
    <w:multiLevelType w:val="hybridMultilevel"/>
    <w:tmpl w:val="47CA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A0373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F552B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E1984"/>
    <w:multiLevelType w:val="hybridMultilevel"/>
    <w:tmpl w:val="262A67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AE681C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6C59"/>
    <w:multiLevelType w:val="hybridMultilevel"/>
    <w:tmpl w:val="D116E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0147A"/>
    <w:multiLevelType w:val="hybridMultilevel"/>
    <w:tmpl w:val="5D4EE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71CD6"/>
    <w:multiLevelType w:val="multilevel"/>
    <w:tmpl w:val="6B5039CA"/>
    <w:lvl w:ilvl="0">
      <w:start w:val="1"/>
      <w:numFmt w:val="upperRoman"/>
      <w:pStyle w:val="Nadpis1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D990286"/>
    <w:multiLevelType w:val="hybridMultilevel"/>
    <w:tmpl w:val="F1968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E5D2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B4994"/>
    <w:multiLevelType w:val="hybridMultilevel"/>
    <w:tmpl w:val="CCAECB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442A67"/>
    <w:multiLevelType w:val="hybridMultilevel"/>
    <w:tmpl w:val="F0E04F6C"/>
    <w:lvl w:ilvl="0" w:tplc="55727F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878E0"/>
    <w:multiLevelType w:val="hybridMultilevel"/>
    <w:tmpl w:val="F1920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1424C"/>
    <w:multiLevelType w:val="hybridMultilevel"/>
    <w:tmpl w:val="AF60AB62"/>
    <w:lvl w:ilvl="0" w:tplc="F98E89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213B4"/>
    <w:multiLevelType w:val="hybridMultilevel"/>
    <w:tmpl w:val="31607F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CB5D33"/>
    <w:multiLevelType w:val="hybridMultilevel"/>
    <w:tmpl w:val="A07EB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22229"/>
    <w:multiLevelType w:val="hybridMultilevel"/>
    <w:tmpl w:val="79E26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26F9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7532A6"/>
    <w:multiLevelType w:val="hybridMultilevel"/>
    <w:tmpl w:val="7F4AC34C"/>
    <w:lvl w:ilvl="0" w:tplc="1A50DDE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647BDE"/>
    <w:multiLevelType w:val="hybridMultilevel"/>
    <w:tmpl w:val="F7BC7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A72E9"/>
    <w:multiLevelType w:val="hybridMultilevel"/>
    <w:tmpl w:val="6F1C0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D25ED"/>
    <w:multiLevelType w:val="hybridMultilevel"/>
    <w:tmpl w:val="47D291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3"/>
  </w:num>
  <w:num w:numId="4">
    <w:abstractNumId w:val="29"/>
  </w:num>
  <w:num w:numId="5">
    <w:abstractNumId w:val="29"/>
  </w:num>
  <w:num w:numId="6">
    <w:abstractNumId w:val="29"/>
  </w:num>
  <w:num w:numId="7">
    <w:abstractNumId w:val="11"/>
  </w:num>
  <w:num w:numId="8">
    <w:abstractNumId w:val="10"/>
  </w:num>
  <w:num w:numId="9">
    <w:abstractNumId w:val="29"/>
  </w:num>
  <w:num w:numId="10">
    <w:abstractNumId w:val="2"/>
  </w:num>
  <w:num w:numId="11">
    <w:abstractNumId w:val="9"/>
  </w:num>
  <w:num w:numId="12">
    <w:abstractNumId w:val="26"/>
  </w:num>
  <w:num w:numId="13">
    <w:abstractNumId w:val="24"/>
  </w:num>
  <w:num w:numId="14">
    <w:abstractNumId w:val="6"/>
  </w:num>
  <w:num w:numId="15">
    <w:abstractNumId w:val="30"/>
  </w:num>
  <w:num w:numId="16">
    <w:abstractNumId w:val="36"/>
  </w:num>
  <w:num w:numId="17">
    <w:abstractNumId w:val="23"/>
  </w:num>
  <w:num w:numId="18">
    <w:abstractNumId w:val="13"/>
  </w:num>
  <w:num w:numId="19">
    <w:abstractNumId w:val="39"/>
  </w:num>
  <w:num w:numId="20">
    <w:abstractNumId w:val="7"/>
  </w:num>
  <w:num w:numId="21">
    <w:abstractNumId w:val="17"/>
  </w:num>
  <w:num w:numId="22">
    <w:abstractNumId w:val="20"/>
  </w:num>
  <w:num w:numId="23">
    <w:abstractNumId w:val="21"/>
  </w:num>
  <w:num w:numId="24">
    <w:abstractNumId w:val="16"/>
  </w:num>
  <w:num w:numId="25">
    <w:abstractNumId w:val="14"/>
  </w:num>
  <w:num w:numId="26">
    <w:abstractNumId w:val="28"/>
  </w:num>
  <w:num w:numId="27">
    <w:abstractNumId w:val="18"/>
  </w:num>
  <w:num w:numId="28">
    <w:abstractNumId w:val="1"/>
  </w:num>
  <w:num w:numId="29">
    <w:abstractNumId w:val="33"/>
  </w:num>
  <w:num w:numId="30">
    <w:abstractNumId w:val="22"/>
  </w:num>
  <w:num w:numId="31">
    <w:abstractNumId w:val="41"/>
  </w:num>
  <w:num w:numId="32">
    <w:abstractNumId w:val="15"/>
  </w:num>
  <w:num w:numId="33">
    <w:abstractNumId w:val="5"/>
  </w:num>
  <w:num w:numId="34">
    <w:abstractNumId w:val="40"/>
  </w:num>
  <w:num w:numId="35">
    <w:abstractNumId w:val="4"/>
  </w:num>
  <w:num w:numId="36">
    <w:abstractNumId w:val="27"/>
  </w:num>
  <w:num w:numId="37">
    <w:abstractNumId w:val="19"/>
  </w:num>
  <w:num w:numId="38">
    <w:abstractNumId w:val="35"/>
  </w:num>
  <w:num w:numId="39">
    <w:abstractNumId w:val="25"/>
  </w:num>
  <w:num w:numId="40">
    <w:abstractNumId w:val="0"/>
  </w:num>
  <w:num w:numId="41">
    <w:abstractNumId w:val="42"/>
  </w:num>
  <w:num w:numId="42">
    <w:abstractNumId w:val="31"/>
  </w:num>
  <w:num w:numId="43">
    <w:abstractNumId w:val="38"/>
  </w:num>
  <w:num w:numId="44">
    <w:abstractNumId w:val="12"/>
  </w:num>
  <w:num w:numId="45">
    <w:abstractNumId w:val="8"/>
  </w:num>
  <w:num w:numId="46">
    <w:abstractNumId w:val="3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oNotTrackMoves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38"/>
    <w:rsid w:val="00002A70"/>
    <w:rsid w:val="00005062"/>
    <w:rsid w:val="00005D7E"/>
    <w:rsid w:val="00006832"/>
    <w:rsid w:val="00006A2B"/>
    <w:rsid w:val="00006AFC"/>
    <w:rsid w:val="0001003B"/>
    <w:rsid w:val="0001144E"/>
    <w:rsid w:val="000139F8"/>
    <w:rsid w:val="00014469"/>
    <w:rsid w:val="00021208"/>
    <w:rsid w:val="000257A5"/>
    <w:rsid w:val="00031492"/>
    <w:rsid w:val="00031A3F"/>
    <w:rsid w:val="000336A6"/>
    <w:rsid w:val="0003607D"/>
    <w:rsid w:val="00036397"/>
    <w:rsid w:val="00037886"/>
    <w:rsid w:val="000411EE"/>
    <w:rsid w:val="000419DF"/>
    <w:rsid w:val="00042809"/>
    <w:rsid w:val="00044C5D"/>
    <w:rsid w:val="000456F8"/>
    <w:rsid w:val="00045F16"/>
    <w:rsid w:val="00051375"/>
    <w:rsid w:val="0005140D"/>
    <w:rsid w:val="000524AF"/>
    <w:rsid w:val="000553E2"/>
    <w:rsid w:val="00055E62"/>
    <w:rsid w:val="00056987"/>
    <w:rsid w:val="00056EAD"/>
    <w:rsid w:val="00062E08"/>
    <w:rsid w:val="0006475B"/>
    <w:rsid w:val="00067131"/>
    <w:rsid w:val="00071FB4"/>
    <w:rsid w:val="000730B6"/>
    <w:rsid w:val="00074E5F"/>
    <w:rsid w:val="000751A0"/>
    <w:rsid w:val="00077A2A"/>
    <w:rsid w:val="00085502"/>
    <w:rsid w:val="00085E9E"/>
    <w:rsid w:val="00086969"/>
    <w:rsid w:val="00086D8C"/>
    <w:rsid w:val="00087C93"/>
    <w:rsid w:val="00096456"/>
    <w:rsid w:val="00096A0B"/>
    <w:rsid w:val="000978EE"/>
    <w:rsid w:val="000A5D5E"/>
    <w:rsid w:val="000A6177"/>
    <w:rsid w:val="000B12C5"/>
    <w:rsid w:val="000B1645"/>
    <w:rsid w:val="000B168F"/>
    <w:rsid w:val="000B2C73"/>
    <w:rsid w:val="000B4A8E"/>
    <w:rsid w:val="000B5134"/>
    <w:rsid w:val="000B6920"/>
    <w:rsid w:val="000C15AE"/>
    <w:rsid w:val="000C3BE9"/>
    <w:rsid w:val="000C410B"/>
    <w:rsid w:val="000C5599"/>
    <w:rsid w:val="000D03A2"/>
    <w:rsid w:val="000D0DCD"/>
    <w:rsid w:val="000D52C7"/>
    <w:rsid w:val="000D7D5C"/>
    <w:rsid w:val="000E0DF8"/>
    <w:rsid w:val="000E13AC"/>
    <w:rsid w:val="000E1B29"/>
    <w:rsid w:val="000E1B93"/>
    <w:rsid w:val="000E1BD6"/>
    <w:rsid w:val="000E1D9D"/>
    <w:rsid w:val="000E272E"/>
    <w:rsid w:val="000E2809"/>
    <w:rsid w:val="000E2CF9"/>
    <w:rsid w:val="000E4603"/>
    <w:rsid w:val="000E4634"/>
    <w:rsid w:val="000E71BD"/>
    <w:rsid w:val="000F0AB5"/>
    <w:rsid w:val="0010032B"/>
    <w:rsid w:val="00110253"/>
    <w:rsid w:val="00110C7E"/>
    <w:rsid w:val="00111622"/>
    <w:rsid w:val="0011167A"/>
    <w:rsid w:val="00112821"/>
    <w:rsid w:val="00113E3E"/>
    <w:rsid w:val="001165D1"/>
    <w:rsid w:val="00117912"/>
    <w:rsid w:val="00122AE5"/>
    <w:rsid w:val="00124251"/>
    <w:rsid w:val="00124B61"/>
    <w:rsid w:val="0012538D"/>
    <w:rsid w:val="001310E4"/>
    <w:rsid w:val="00131D28"/>
    <w:rsid w:val="00146177"/>
    <w:rsid w:val="0015065E"/>
    <w:rsid w:val="001508A4"/>
    <w:rsid w:val="00151B8F"/>
    <w:rsid w:val="001547C2"/>
    <w:rsid w:val="0015492D"/>
    <w:rsid w:val="00156C16"/>
    <w:rsid w:val="0016200D"/>
    <w:rsid w:val="0016213B"/>
    <w:rsid w:val="00165FB9"/>
    <w:rsid w:val="00167C00"/>
    <w:rsid w:val="0017205D"/>
    <w:rsid w:val="001724FD"/>
    <w:rsid w:val="001738E2"/>
    <w:rsid w:val="00176309"/>
    <w:rsid w:val="00176E3C"/>
    <w:rsid w:val="00180F33"/>
    <w:rsid w:val="001815BE"/>
    <w:rsid w:val="00184094"/>
    <w:rsid w:val="00184678"/>
    <w:rsid w:val="0018573B"/>
    <w:rsid w:val="00186CA0"/>
    <w:rsid w:val="0019105A"/>
    <w:rsid w:val="0019294A"/>
    <w:rsid w:val="001952B2"/>
    <w:rsid w:val="00195981"/>
    <w:rsid w:val="00196E1D"/>
    <w:rsid w:val="00196F61"/>
    <w:rsid w:val="001972CC"/>
    <w:rsid w:val="00197E88"/>
    <w:rsid w:val="001A0AD7"/>
    <w:rsid w:val="001A18FB"/>
    <w:rsid w:val="001A2010"/>
    <w:rsid w:val="001A3C81"/>
    <w:rsid w:val="001A6BA6"/>
    <w:rsid w:val="001A71EA"/>
    <w:rsid w:val="001B1251"/>
    <w:rsid w:val="001B1E9B"/>
    <w:rsid w:val="001B1FD3"/>
    <w:rsid w:val="001B30A9"/>
    <w:rsid w:val="001B36FB"/>
    <w:rsid w:val="001B3C0A"/>
    <w:rsid w:val="001C0C8F"/>
    <w:rsid w:val="001C2D95"/>
    <w:rsid w:val="001C32D3"/>
    <w:rsid w:val="001C4703"/>
    <w:rsid w:val="001C6023"/>
    <w:rsid w:val="001C6B47"/>
    <w:rsid w:val="001D1592"/>
    <w:rsid w:val="001D3CA9"/>
    <w:rsid w:val="001D4E1E"/>
    <w:rsid w:val="001D7862"/>
    <w:rsid w:val="001E1138"/>
    <w:rsid w:val="001E5371"/>
    <w:rsid w:val="001E69F9"/>
    <w:rsid w:val="001F00F6"/>
    <w:rsid w:val="001F22B0"/>
    <w:rsid w:val="001F26FF"/>
    <w:rsid w:val="001F35DA"/>
    <w:rsid w:val="001F448D"/>
    <w:rsid w:val="001F5FFB"/>
    <w:rsid w:val="001F6B71"/>
    <w:rsid w:val="001F74DD"/>
    <w:rsid w:val="002006A2"/>
    <w:rsid w:val="00202821"/>
    <w:rsid w:val="00206A15"/>
    <w:rsid w:val="00210A07"/>
    <w:rsid w:val="00217124"/>
    <w:rsid w:val="002172FA"/>
    <w:rsid w:val="0022074E"/>
    <w:rsid w:val="00222B8B"/>
    <w:rsid w:val="00223915"/>
    <w:rsid w:val="00225968"/>
    <w:rsid w:val="00226478"/>
    <w:rsid w:val="002273CF"/>
    <w:rsid w:val="00230A43"/>
    <w:rsid w:val="0023715F"/>
    <w:rsid w:val="0023722C"/>
    <w:rsid w:val="0024180B"/>
    <w:rsid w:val="00244DE2"/>
    <w:rsid w:val="00250C65"/>
    <w:rsid w:val="00252432"/>
    <w:rsid w:val="002528D0"/>
    <w:rsid w:val="00252C43"/>
    <w:rsid w:val="002538C1"/>
    <w:rsid w:val="00254621"/>
    <w:rsid w:val="002549E1"/>
    <w:rsid w:val="00257FE6"/>
    <w:rsid w:val="0026066F"/>
    <w:rsid w:val="00263D76"/>
    <w:rsid w:val="00266A52"/>
    <w:rsid w:val="002711FC"/>
    <w:rsid w:val="00272340"/>
    <w:rsid w:val="00274FE6"/>
    <w:rsid w:val="0027584B"/>
    <w:rsid w:val="00275AF0"/>
    <w:rsid w:val="0027615A"/>
    <w:rsid w:val="00277773"/>
    <w:rsid w:val="00282CDB"/>
    <w:rsid w:val="00285D71"/>
    <w:rsid w:val="00291CEB"/>
    <w:rsid w:val="0029269A"/>
    <w:rsid w:val="0029644E"/>
    <w:rsid w:val="00297531"/>
    <w:rsid w:val="002A01D6"/>
    <w:rsid w:val="002A058A"/>
    <w:rsid w:val="002A2972"/>
    <w:rsid w:val="002B0A10"/>
    <w:rsid w:val="002B1FCC"/>
    <w:rsid w:val="002B44BE"/>
    <w:rsid w:val="002C0BBB"/>
    <w:rsid w:val="002C11AC"/>
    <w:rsid w:val="002C2058"/>
    <w:rsid w:val="002D06F5"/>
    <w:rsid w:val="002D357D"/>
    <w:rsid w:val="002D54D4"/>
    <w:rsid w:val="002D6110"/>
    <w:rsid w:val="002E0D93"/>
    <w:rsid w:val="002E4D3A"/>
    <w:rsid w:val="002E540A"/>
    <w:rsid w:val="002F0ED2"/>
    <w:rsid w:val="002F122F"/>
    <w:rsid w:val="002F5483"/>
    <w:rsid w:val="002F7CE2"/>
    <w:rsid w:val="003040D0"/>
    <w:rsid w:val="00304732"/>
    <w:rsid w:val="00306294"/>
    <w:rsid w:val="00310FBE"/>
    <w:rsid w:val="00311021"/>
    <w:rsid w:val="003153CF"/>
    <w:rsid w:val="003174BE"/>
    <w:rsid w:val="00320ABC"/>
    <w:rsid w:val="00324034"/>
    <w:rsid w:val="0032588A"/>
    <w:rsid w:val="00332DE4"/>
    <w:rsid w:val="003331BC"/>
    <w:rsid w:val="00335798"/>
    <w:rsid w:val="00340FEE"/>
    <w:rsid w:val="003447EE"/>
    <w:rsid w:val="00346E5D"/>
    <w:rsid w:val="00347873"/>
    <w:rsid w:val="00347DEC"/>
    <w:rsid w:val="00350C5D"/>
    <w:rsid w:val="00351621"/>
    <w:rsid w:val="00351B81"/>
    <w:rsid w:val="003577CC"/>
    <w:rsid w:val="00363004"/>
    <w:rsid w:val="00363B5F"/>
    <w:rsid w:val="003649DB"/>
    <w:rsid w:val="00364F50"/>
    <w:rsid w:val="00371098"/>
    <w:rsid w:val="003716F2"/>
    <w:rsid w:val="00371EAD"/>
    <w:rsid w:val="00371EBF"/>
    <w:rsid w:val="0037388A"/>
    <w:rsid w:val="0037463C"/>
    <w:rsid w:val="00375133"/>
    <w:rsid w:val="00375FC2"/>
    <w:rsid w:val="00380851"/>
    <w:rsid w:val="003869EF"/>
    <w:rsid w:val="00387358"/>
    <w:rsid w:val="00387674"/>
    <w:rsid w:val="00390685"/>
    <w:rsid w:val="0039470C"/>
    <w:rsid w:val="00397A0B"/>
    <w:rsid w:val="003A0BB2"/>
    <w:rsid w:val="003A0F33"/>
    <w:rsid w:val="003A224D"/>
    <w:rsid w:val="003A2EC6"/>
    <w:rsid w:val="003A3528"/>
    <w:rsid w:val="003A38BA"/>
    <w:rsid w:val="003A4C7C"/>
    <w:rsid w:val="003B0084"/>
    <w:rsid w:val="003B157A"/>
    <w:rsid w:val="003B1F1D"/>
    <w:rsid w:val="003B22F5"/>
    <w:rsid w:val="003B3DEC"/>
    <w:rsid w:val="003B5ED1"/>
    <w:rsid w:val="003B651A"/>
    <w:rsid w:val="003B66E4"/>
    <w:rsid w:val="003B75D3"/>
    <w:rsid w:val="003C20A4"/>
    <w:rsid w:val="003C42C5"/>
    <w:rsid w:val="003C622E"/>
    <w:rsid w:val="003D0C44"/>
    <w:rsid w:val="003D44D6"/>
    <w:rsid w:val="003E0AA1"/>
    <w:rsid w:val="003E0DF0"/>
    <w:rsid w:val="003E13E7"/>
    <w:rsid w:val="003E7AE2"/>
    <w:rsid w:val="003F0504"/>
    <w:rsid w:val="003F0F28"/>
    <w:rsid w:val="003F42B4"/>
    <w:rsid w:val="003F442B"/>
    <w:rsid w:val="003F6E09"/>
    <w:rsid w:val="004015E0"/>
    <w:rsid w:val="00401E0F"/>
    <w:rsid w:val="00403209"/>
    <w:rsid w:val="00403FBB"/>
    <w:rsid w:val="00405EE0"/>
    <w:rsid w:val="00412A0B"/>
    <w:rsid w:val="00413957"/>
    <w:rsid w:val="004140D0"/>
    <w:rsid w:val="00420588"/>
    <w:rsid w:val="004220E6"/>
    <w:rsid w:val="00422963"/>
    <w:rsid w:val="00422AA0"/>
    <w:rsid w:val="00425BF6"/>
    <w:rsid w:val="00426196"/>
    <w:rsid w:val="00436077"/>
    <w:rsid w:val="00437C16"/>
    <w:rsid w:val="00440955"/>
    <w:rsid w:val="0044129D"/>
    <w:rsid w:val="00441734"/>
    <w:rsid w:val="004423C0"/>
    <w:rsid w:val="00442D0A"/>
    <w:rsid w:val="0044396D"/>
    <w:rsid w:val="00443B09"/>
    <w:rsid w:val="004458A4"/>
    <w:rsid w:val="0044604C"/>
    <w:rsid w:val="00446349"/>
    <w:rsid w:val="00453DF7"/>
    <w:rsid w:val="00453F86"/>
    <w:rsid w:val="004555F2"/>
    <w:rsid w:val="00455903"/>
    <w:rsid w:val="004561DB"/>
    <w:rsid w:val="00457F41"/>
    <w:rsid w:val="004615E8"/>
    <w:rsid w:val="004638B6"/>
    <w:rsid w:val="004647BE"/>
    <w:rsid w:val="00464D52"/>
    <w:rsid w:val="00466169"/>
    <w:rsid w:val="00466618"/>
    <w:rsid w:val="00467D19"/>
    <w:rsid w:val="00471E13"/>
    <w:rsid w:val="00477647"/>
    <w:rsid w:val="00477A20"/>
    <w:rsid w:val="00484CCB"/>
    <w:rsid w:val="00487692"/>
    <w:rsid w:val="00487E87"/>
    <w:rsid w:val="004968D4"/>
    <w:rsid w:val="004A3C62"/>
    <w:rsid w:val="004A3D65"/>
    <w:rsid w:val="004A645E"/>
    <w:rsid w:val="004A64CA"/>
    <w:rsid w:val="004A7EBB"/>
    <w:rsid w:val="004B10CE"/>
    <w:rsid w:val="004B1B1D"/>
    <w:rsid w:val="004B3374"/>
    <w:rsid w:val="004B500D"/>
    <w:rsid w:val="004B70D5"/>
    <w:rsid w:val="004C0904"/>
    <w:rsid w:val="004C5024"/>
    <w:rsid w:val="004C655B"/>
    <w:rsid w:val="004C75BB"/>
    <w:rsid w:val="004D2C89"/>
    <w:rsid w:val="004D3645"/>
    <w:rsid w:val="004E07EF"/>
    <w:rsid w:val="004E6FCA"/>
    <w:rsid w:val="004F0482"/>
    <w:rsid w:val="004F1042"/>
    <w:rsid w:val="004F115B"/>
    <w:rsid w:val="004F1581"/>
    <w:rsid w:val="004F17C3"/>
    <w:rsid w:val="004F3015"/>
    <w:rsid w:val="004F4D30"/>
    <w:rsid w:val="004F600F"/>
    <w:rsid w:val="004F6B3B"/>
    <w:rsid w:val="004F77B9"/>
    <w:rsid w:val="00500015"/>
    <w:rsid w:val="005028C8"/>
    <w:rsid w:val="0050294A"/>
    <w:rsid w:val="0050328F"/>
    <w:rsid w:val="00504272"/>
    <w:rsid w:val="00504DD4"/>
    <w:rsid w:val="00506071"/>
    <w:rsid w:val="00507DC1"/>
    <w:rsid w:val="00512340"/>
    <w:rsid w:val="005123CB"/>
    <w:rsid w:val="0051442A"/>
    <w:rsid w:val="00515A63"/>
    <w:rsid w:val="005165E9"/>
    <w:rsid w:val="005226C0"/>
    <w:rsid w:val="00526466"/>
    <w:rsid w:val="00531884"/>
    <w:rsid w:val="00531D02"/>
    <w:rsid w:val="00531F38"/>
    <w:rsid w:val="00534576"/>
    <w:rsid w:val="00534AE6"/>
    <w:rsid w:val="00536CCD"/>
    <w:rsid w:val="005371C8"/>
    <w:rsid w:val="00541EF4"/>
    <w:rsid w:val="0054268E"/>
    <w:rsid w:val="00545201"/>
    <w:rsid w:val="005463FB"/>
    <w:rsid w:val="00546FAB"/>
    <w:rsid w:val="0054752F"/>
    <w:rsid w:val="00552253"/>
    <w:rsid w:val="005530EB"/>
    <w:rsid w:val="00553CF9"/>
    <w:rsid w:val="005552F0"/>
    <w:rsid w:val="005560C8"/>
    <w:rsid w:val="0055721C"/>
    <w:rsid w:val="00560D04"/>
    <w:rsid w:val="005624FC"/>
    <w:rsid w:val="0056343A"/>
    <w:rsid w:val="00564582"/>
    <w:rsid w:val="00564FD1"/>
    <w:rsid w:val="00570230"/>
    <w:rsid w:val="00571842"/>
    <w:rsid w:val="0057316D"/>
    <w:rsid w:val="005731A1"/>
    <w:rsid w:val="00573C9F"/>
    <w:rsid w:val="0057455C"/>
    <w:rsid w:val="005747C2"/>
    <w:rsid w:val="00575982"/>
    <w:rsid w:val="00576987"/>
    <w:rsid w:val="005803D9"/>
    <w:rsid w:val="005806A1"/>
    <w:rsid w:val="00580752"/>
    <w:rsid w:val="005811B5"/>
    <w:rsid w:val="00583AEE"/>
    <w:rsid w:val="00583F64"/>
    <w:rsid w:val="00585C87"/>
    <w:rsid w:val="00587AD7"/>
    <w:rsid w:val="00590456"/>
    <w:rsid w:val="00591E7F"/>
    <w:rsid w:val="00592562"/>
    <w:rsid w:val="0059319E"/>
    <w:rsid w:val="00596C95"/>
    <w:rsid w:val="00597EAA"/>
    <w:rsid w:val="005A1B0A"/>
    <w:rsid w:val="005A26B6"/>
    <w:rsid w:val="005A7791"/>
    <w:rsid w:val="005B064C"/>
    <w:rsid w:val="005B0FCE"/>
    <w:rsid w:val="005B1875"/>
    <w:rsid w:val="005B251A"/>
    <w:rsid w:val="005B3531"/>
    <w:rsid w:val="005B3F13"/>
    <w:rsid w:val="005B4D7F"/>
    <w:rsid w:val="005B4D86"/>
    <w:rsid w:val="005B70B6"/>
    <w:rsid w:val="005C0652"/>
    <w:rsid w:val="005C08D1"/>
    <w:rsid w:val="005C17D2"/>
    <w:rsid w:val="005C4E17"/>
    <w:rsid w:val="005C5A87"/>
    <w:rsid w:val="005C6C5D"/>
    <w:rsid w:val="005C7A47"/>
    <w:rsid w:val="005D12B3"/>
    <w:rsid w:val="005D24D2"/>
    <w:rsid w:val="005D31CC"/>
    <w:rsid w:val="005D34BA"/>
    <w:rsid w:val="005D42F0"/>
    <w:rsid w:val="005D646D"/>
    <w:rsid w:val="005E1F18"/>
    <w:rsid w:val="005E69BC"/>
    <w:rsid w:val="005E7CDF"/>
    <w:rsid w:val="005E7E83"/>
    <w:rsid w:val="005F16FE"/>
    <w:rsid w:val="005F376F"/>
    <w:rsid w:val="005F4260"/>
    <w:rsid w:val="005F45A0"/>
    <w:rsid w:val="005F5517"/>
    <w:rsid w:val="005F6247"/>
    <w:rsid w:val="00601052"/>
    <w:rsid w:val="0060293F"/>
    <w:rsid w:val="00602CF8"/>
    <w:rsid w:val="0060706C"/>
    <w:rsid w:val="00607C06"/>
    <w:rsid w:val="00607CCB"/>
    <w:rsid w:val="0061141B"/>
    <w:rsid w:val="006144B7"/>
    <w:rsid w:val="00614C70"/>
    <w:rsid w:val="00614E6B"/>
    <w:rsid w:val="00621D4C"/>
    <w:rsid w:val="006235AA"/>
    <w:rsid w:val="00624215"/>
    <w:rsid w:val="00625AF2"/>
    <w:rsid w:val="006267DF"/>
    <w:rsid w:val="0064074D"/>
    <w:rsid w:val="00643D00"/>
    <w:rsid w:val="00644C5D"/>
    <w:rsid w:val="00646196"/>
    <w:rsid w:val="00646D85"/>
    <w:rsid w:val="006479B7"/>
    <w:rsid w:val="0065020F"/>
    <w:rsid w:val="00650CD2"/>
    <w:rsid w:val="0065424E"/>
    <w:rsid w:val="006544EA"/>
    <w:rsid w:val="006546A1"/>
    <w:rsid w:val="00656649"/>
    <w:rsid w:val="00661AAD"/>
    <w:rsid w:val="00663250"/>
    <w:rsid w:val="00664151"/>
    <w:rsid w:val="0066454C"/>
    <w:rsid w:val="00667EE3"/>
    <w:rsid w:val="0067286F"/>
    <w:rsid w:val="00675626"/>
    <w:rsid w:val="006765C9"/>
    <w:rsid w:val="0067691D"/>
    <w:rsid w:val="00680D66"/>
    <w:rsid w:val="00681131"/>
    <w:rsid w:val="00681344"/>
    <w:rsid w:val="00681BCD"/>
    <w:rsid w:val="00691384"/>
    <w:rsid w:val="006930ED"/>
    <w:rsid w:val="006937F3"/>
    <w:rsid w:val="00693BF0"/>
    <w:rsid w:val="00694411"/>
    <w:rsid w:val="006979CF"/>
    <w:rsid w:val="006A08D2"/>
    <w:rsid w:val="006A0AB6"/>
    <w:rsid w:val="006A431B"/>
    <w:rsid w:val="006A6986"/>
    <w:rsid w:val="006B1CB3"/>
    <w:rsid w:val="006B2A11"/>
    <w:rsid w:val="006B5CF7"/>
    <w:rsid w:val="006B7272"/>
    <w:rsid w:val="006C01FC"/>
    <w:rsid w:val="006C04EF"/>
    <w:rsid w:val="006C2552"/>
    <w:rsid w:val="006C44BA"/>
    <w:rsid w:val="006C5F62"/>
    <w:rsid w:val="006D1CB2"/>
    <w:rsid w:val="006D2172"/>
    <w:rsid w:val="006D2582"/>
    <w:rsid w:val="006D5242"/>
    <w:rsid w:val="006D78D4"/>
    <w:rsid w:val="006E0E96"/>
    <w:rsid w:val="006E749B"/>
    <w:rsid w:val="006F0B5D"/>
    <w:rsid w:val="006F0B8D"/>
    <w:rsid w:val="006F2403"/>
    <w:rsid w:val="006F2BF2"/>
    <w:rsid w:val="006F513D"/>
    <w:rsid w:val="006F5AD3"/>
    <w:rsid w:val="0070036E"/>
    <w:rsid w:val="00700B02"/>
    <w:rsid w:val="00705388"/>
    <w:rsid w:val="00705744"/>
    <w:rsid w:val="0070699B"/>
    <w:rsid w:val="00711005"/>
    <w:rsid w:val="007119CB"/>
    <w:rsid w:val="007121FE"/>
    <w:rsid w:val="007131B9"/>
    <w:rsid w:val="00723D75"/>
    <w:rsid w:val="00730C93"/>
    <w:rsid w:val="00733D12"/>
    <w:rsid w:val="007350FD"/>
    <w:rsid w:val="00736D50"/>
    <w:rsid w:val="00737529"/>
    <w:rsid w:val="00742AFC"/>
    <w:rsid w:val="00743D6C"/>
    <w:rsid w:val="00744376"/>
    <w:rsid w:val="0074454F"/>
    <w:rsid w:val="007462C7"/>
    <w:rsid w:val="00747D2B"/>
    <w:rsid w:val="00750293"/>
    <w:rsid w:val="007509AA"/>
    <w:rsid w:val="00751CEC"/>
    <w:rsid w:val="00753D47"/>
    <w:rsid w:val="007543CE"/>
    <w:rsid w:val="00755C96"/>
    <w:rsid w:val="007566C5"/>
    <w:rsid w:val="00767D13"/>
    <w:rsid w:val="00770097"/>
    <w:rsid w:val="007731A0"/>
    <w:rsid w:val="00773EB1"/>
    <w:rsid w:val="00776F3F"/>
    <w:rsid w:val="0077771C"/>
    <w:rsid w:val="00777FEA"/>
    <w:rsid w:val="007823EA"/>
    <w:rsid w:val="00782746"/>
    <w:rsid w:val="00783DBE"/>
    <w:rsid w:val="00785A9D"/>
    <w:rsid w:val="00787788"/>
    <w:rsid w:val="00787963"/>
    <w:rsid w:val="0079458E"/>
    <w:rsid w:val="00794F47"/>
    <w:rsid w:val="007A0D45"/>
    <w:rsid w:val="007A0F1D"/>
    <w:rsid w:val="007A3F93"/>
    <w:rsid w:val="007A7317"/>
    <w:rsid w:val="007B04D0"/>
    <w:rsid w:val="007B3246"/>
    <w:rsid w:val="007B406C"/>
    <w:rsid w:val="007C4E6B"/>
    <w:rsid w:val="007C754B"/>
    <w:rsid w:val="007C7911"/>
    <w:rsid w:val="007D3809"/>
    <w:rsid w:val="007D704E"/>
    <w:rsid w:val="007E0C76"/>
    <w:rsid w:val="007E4F6A"/>
    <w:rsid w:val="007E519C"/>
    <w:rsid w:val="007E5F94"/>
    <w:rsid w:val="007E72DC"/>
    <w:rsid w:val="007F0AEB"/>
    <w:rsid w:val="007F2194"/>
    <w:rsid w:val="007F7A36"/>
    <w:rsid w:val="00800095"/>
    <w:rsid w:val="00800C5D"/>
    <w:rsid w:val="00800DC4"/>
    <w:rsid w:val="008015E3"/>
    <w:rsid w:val="0080281F"/>
    <w:rsid w:val="00803F57"/>
    <w:rsid w:val="00806BEF"/>
    <w:rsid w:val="00811BE3"/>
    <w:rsid w:val="008133A1"/>
    <w:rsid w:val="00815893"/>
    <w:rsid w:val="00821FCD"/>
    <w:rsid w:val="00822718"/>
    <w:rsid w:val="00824719"/>
    <w:rsid w:val="008253E1"/>
    <w:rsid w:val="00825FFA"/>
    <w:rsid w:val="00826C68"/>
    <w:rsid w:val="00827773"/>
    <w:rsid w:val="00827FBE"/>
    <w:rsid w:val="00832041"/>
    <w:rsid w:val="0083303D"/>
    <w:rsid w:val="00833575"/>
    <w:rsid w:val="00833EB5"/>
    <w:rsid w:val="008359A7"/>
    <w:rsid w:val="0084015A"/>
    <w:rsid w:val="00840B0E"/>
    <w:rsid w:val="00840D27"/>
    <w:rsid w:val="0084378C"/>
    <w:rsid w:val="00844EBC"/>
    <w:rsid w:val="008451B1"/>
    <w:rsid w:val="0085109B"/>
    <w:rsid w:val="00856424"/>
    <w:rsid w:val="00860B85"/>
    <w:rsid w:val="008626B3"/>
    <w:rsid w:val="00866D1A"/>
    <w:rsid w:val="00871641"/>
    <w:rsid w:val="00872C9A"/>
    <w:rsid w:val="00872E04"/>
    <w:rsid w:val="008744C8"/>
    <w:rsid w:val="00874C24"/>
    <w:rsid w:val="00877EAB"/>
    <w:rsid w:val="0088229D"/>
    <w:rsid w:val="00886681"/>
    <w:rsid w:val="00890683"/>
    <w:rsid w:val="00890B1C"/>
    <w:rsid w:val="00892D9D"/>
    <w:rsid w:val="0089393F"/>
    <w:rsid w:val="00894296"/>
    <w:rsid w:val="008A1F80"/>
    <w:rsid w:val="008A48D0"/>
    <w:rsid w:val="008A6303"/>
    <w:rsid w:val="008A71DE"/>
    <w:rsid w:val="008B22A3"/>
    <w:rsid w:val="008B45A5"/>
    <w:rsid w:val="008B52D8"/>
    <w:rsid w:val="008C04E2"/>
    <w:rsid w:val="008C22C5"/>
    <w:rsid w:val="008C26C2"/>
    <w:rsid w:val="008C33F4"/>
    <w:rsid w:val="008C604E"/>
    <w:rsid w:val="008C7574"/>
    <w:rsid w:val="008D2043"/>
    <w:rsid w:val="008D20E4"/>
    <w:rsid w:val="008D56E0"/>
    <w:rsid w:val="008D7113"/>
    <w:rsid w:val="008E03D1"/>
    <w:rsid w:val="008E1239"/>
    <w:rsid w:val="008E2469"/>
    <w:rsid w:val="008E4A40"/>
    <w:rsid w:val="008E4C96"/>
    <w:rsid w:val="008E59FF"/>
    <w:rsid w:val="008E5A18"/>
    <w:rsid w:val="008E6616"/>
    <w:rsid w:val="008F03EC"/>
    <w:rsid w:val="008F13A2"/>
    <w:rsid w:val="008F2573"/>
    <w:rsid w:val="008F715D"/>
    <w:rsid w:val="00901325"/>
    <w:rsid w:val="00901772"/>
    <w:rsid w:val="00902AF4"/>
    <w:rsid w:val="009043FF"/>
    <w:rsid w:val="00904CD4"/>
    <w:rsid w:val="009074DE"/>
    <w:rsid w:val="00911D4E"/>
    <w:rsid w:val="0091278E"/>
    <w:rsid w:val="00912999"/>
    <w:rsid w:val="009170EB"/>
    <w:rsid w:val="00917D74"/>
    <w:rsid w:val="00920B94"/>
    <w:rsid w:val="009253A6"/>
    <w:rsid w:val="00940648"/>
    <w:rsid w:val="0094143A"/>
    <w:rsid w:val="00941526"/>
    <w:rsid w:val="009448CD"/>
    <w:rsid w:val="009455F6"/>
    <w:rsid w:val="00946D33"/>
    <w:rsid w:val="009475F5"/>
    <w:rsid w:val="00951F7E"/>
    <w:rsid w:val="00955315"/>
    <w:rsid w:val="00957C3E"/>
    <w:rsid w:val="0096075A"/>
    <w:rsid w:val="00961603"/>
    <w:rsid w:val="009650C8"/>
    <w:rsid w:val="00965DB2"/>
    <w:rsid w:val="00966076"/>
    <w:rsid w:val="00966082"/>
    <w:rsid w:val="00971407"/>
    <w:rsid w:val="00971D5C"/>
    <w:rsid w:val="00971ED2"/>
    <w:rsid w:val="00972727"/>
    <w:rsid w:val="00973B0A"/>
    <w:rsid w:val="00974AFA"/>
    <w:rsid w:val="009767D1"/>
    <w:rsid w:val="00980475"/>
    <w:rsid w:val="00984AB9"/>
    <w:rsid w:val="009854FB"/>
    <w:rsid w:val="009913CF"/>
    <w:rsid w:val="00991E5E"/>
    <w:rsid w:val="00993655"/>
    <w:rsid w:val="009941B4"/>
    <w:rsid w:val="009952E4"/>
    <w:rsid w:val="009958CB"/>
    <w:rsid w:val="00995E52"/>
    <w:rsid w:val="00997239"/>
    <w:rsid w:val="00997971"/>
    <w:rsid w:val="009A0492"/>
    <w:rsid w:val="009A0B19"/>
    <w:rsid w:val="009B3215"/>
    <w:rsid w:val="009B3DA1"/>
    <w:rsid w:val="009B4560"/>
    <w:rsid w:val="009B7364"/>
    <w:rsid w:val="009C4136"/>
    <w:rsid w:val="009C583C"/>
    <w:rsid w:val="009C61E3"/>
    <w:rsid w:val="009D0909"/>
    <w:rsid w:val="009D3C27"/>
    <w:rsid w:val="009D47D1"/>
    <w:rsid w:val="009D5422"/>
    <w:rsid w:val="009E08A3"/>
    <w:rsid w:val="009E2124"/>
    <w:rsid w:val="009E2A6D"/>
    <w:rsid w:val="009E3105"/>
    <w:rsid w:val="009E51F6"/>
    <w:rsid w:val="009E6265"/>
    <w:rsid w:val="009E6B8F"/>
    <w:rsid w:val="00A00CCF"/>
    <w:rsid w:val="00A0199F"/>
    <w:rsid w:val="00A01CF1"/>
    <w:rsid w:val="00A022F4"/>
    <w:rsid w:val="00A0419A"/>
    <w:rsid w:val="00A050DE"/>
    <w:rsid w:val="00A0561E"/>
    <w:rsid w:val="00A063D5"/>
    <w:rsid w:val="00A06575"/>
    <w:rsid w:val="00A065F6"/>
    <w:rsid w:val="00A06F95"/>
    <w:rsid w:val="00A07785"/>
    <w:rsid w:val="00A103E6"/>
    <w:rsid w:val="00A10D60"/>
    <w:rsid w:val="00A130AF"/>
    <w:rsid w:val="00A150A0"/>
    <w:rsid w:val="00A16829"/>
    <w:rsid w:val="00A17949"/>
    <w:rsid w:val="00A20998"/>
    <w:rsid w:val="00A20DEB"/>
    <w:rsid w:val="00A2108A"/>
    <w:rsid w:val="00A217B5"/>
    <w:rsid w:val="00A22AB9"/>
    <w:rsid w:val="00A23180"/>
    <w:rsid w:val="00A24436"/>
    <w:rsid w:val="00A3374E"/>
    <w:rsid w:val="00A348C0"/>
    <w:rsid w:val="00A40431"/>
    <w:rsid w:val="00A43FF5"/>
    <w:rsid w:val="00A44E62"/>
    <w:rsid w:val="00A461A7"/>
    <w:rsid w:val="00A52D82"/>
    <w:rsid w:val="00A538F9"/>
    <w:rsid w:val="00A543B0"/>
    <w:rsid w:val="00A55153"/>
    <w:rsid w:val="00A55D91"/>
    <w:rsid w:val="00A565AD"/>
    <w:rsid w:val="00A6090F"/>
    <w:rsid w:val="00A60C28"/>
    <w:rsid w:val="00A613E8"/>
    <w:rsid w:val="00A62529"/>
    <w:rsid w:val="00A7161D"/>
    <w:rsid w:val="00A717F8"/>
    <w:rsid w:val="00A7351A"/>
    <w:rsid w:val="00A75E87"/>
    <w:rsid w:val="00A80441"/>
    <w:rsid w:val="00A86A67"/>
    <w:rsid w:val="00A90623"/>
    <w:rsid w:val="00A90A91"/>
    <w:rsid w:val="00A91283"/>
    <w:rsid w:val="00A913AB"/>
    <w:rsid w:val="00A929CA"/>
    <w:rsid w:val="00A92F70"/>
    <w:rsid w:val="00A947E4"/>
    <w:rsid w:val="00A94AC5"/>
    <w:rsid w:val="00A94CC9"/>
    <w:rsid w:val="00A95AE6"/>
    <w:rsid w:val="00AA23B3"/>
    <w:rsid w:val="00AA3B40"/>
    <w:rsid w:val="00AA3E2E"/>
    <w:rsid w:val="00AA497D"/>
    <w:rsid w:val="00AA79C1"/>
    <w:rsid w:val="00AB2751"/>
    <w:rsid w:val="00AB2780"/>
    <w:rsid w:val="00AB32EC"/>
    <w:rsid w:val="00AC1F7C"/>
    <w:rsid w:val="00AC22E8"/>
    <w:rsid w:val="00AC26A8"/>
    <w:rsid w:val="00AC536B"/>
    <w:rsid w:val="00AC6678"/>
    <w:rsid w:val="00AC6975"/>
    <w:rsid w:val="00AD1495"/>
    <w:rsid w:val="00AD3451"/>
    <w:rsid w:val="00AE1E01"/>
    <w:rsid w:val="00AE39BE"/>
    <w:rsid w:val="00AE3D12"/>
    <w:rsid w:val="00AE3DE0"/>
    <w:rsid w:val="00AE43D6"/>
    <w:rsid w:val="00AE53D1"/>
    <w:rsid w:val="00AF1153"/>
    <w:rsid w:val="00AF1F4C"/>
    <w:rsid w:val="00AF277B"/>
    <w:rsid w:val="00AF320A"/>
    <w:rsid w:val="00B009CA"/>
    <w:rsid w:val="00B06D50"/>
    <w:rsid w:val="00B06D64"/>
    <w:rsid w:val="00B1101E"/>
    <w:rsid w:val="00B11FB3"/>
    <w:rsid w:val="00B13418"/>
    <w:rsid w:val="00B14A1D"/>
    <w:rsid w:val="00B16548"/>
    <w:rsid w:val="00B175F2"/>
    <w:rsid w:val="00B20E2C"/>
    <w:rsid w:val="00B217EE"/>
    <w:rsid w:val="00B25812"/>
    <w:rsid w:val="00B25CEA"/>
    <w:rsid w:val="00B274C9"/>
    <w:rsid w:val="00B302EC"/>
    <w:rsid w:val="00B32ED5"/>
    <w:rsid w:val="00B36152"/>
    <w:rsid w:val="00B37975"/>
    <w:rsid w:val="00B41630"/>
    <w:rsid w:val="00B46194"/>
    <w:rsid w:val="00B46FE6"/>
    <w:rsid w:val="00B511D2"/>
    <w:rsid w:val="00B52864"/>
    <w:rsid w:val="00B540B6"/>
    <w:rsid w:val="00B54870"/>
    <w:rsid w:val="00B57426"/>
    <w:rsid w:val="00B57549"/>
    <w:rsid w:val="00B57CDD"/>
    <w:rsid w:val="00B57DFB"/>
    <w:rsid w:val="00B61D96"/>
    <w:rsid w:val="00B64750"/>
    <w:rsid w:val="00B65753"/>
    <w:rsid w:val="00B700A7"/>
    <w:rsid w:val="00B73715"/>
    <w:rsid w:val="00B74419"/>
    <w:rsid w:val="00B77234"/>
    <w:rsid w:val="00B8001A"/>
    <w:rsid w:val="00B82C1E"/>
    <w:rsid w:val="00B843C7"/>
    <w:rsid w:val="00B85A74"/>
    <w:rsid w:val="00B949D5"/>
    <w:rsid w:val="00B958A1"/>
    <w:rsid w:val="00B967B4"/>
    <w:rsid w:val="00B978BA"/>
    <w:rsid w:val="00B97B4C"/>
    <w:rsid w:val="00B97BF5"/>
    <w:rsid w:val="00BA0800"/>
    <w:rsid w:val="00BA21E4"/>
    <w:rsid w:val="00BA28B1"/>
    <w:rsid w:val="00BA5042"/>
    <w:rsid w:val="00BA54C0"/>
    <w:rsid w:val="00BA5A5C"/>
    <w:rsid w:val="00BA5C50"/>
    <w:rsid w:val="00BA7423"/>
    <w:rsid w:val="00BB1471"/>
    <w:rsid w:val="00BB3DD7"/>
    <w:rsid w:val="00BB4345"/>
    <w:rsid w:val="00BB530D"/>
    <w:rsid w:val="00BB5AF9"/>
    <w:rsid w:val="00BC0A41"/>
    <w:rsid w:val="00BC1DD3"/>
    <w:rsid w:val="00BC28EA"/>
    <w:rsid w:val="00BC2C05"/>
    <w:rsid w:val="00BD296F"/>
    <w:rsid w:val="00BD4252"/>
    <w:rsid w:val="00BD4E84"/>
    <w:rsid w:val="00BD578B"/>
    <w:rsid w:val="00BD605F"/>
    <w:rsid w:val="00BD6566"/>
    <w:rsid w:val="00BE048B"/>
    <w:rsid w:val="00BE204E"/>
    <w:rsid w:val="00BE3361"/>
    <w:rsid w:val="00BE6A6D"/>
    <w:rsid w:val="00BF0B74"/>
    <w:rsid w:val="00C0004E"/>
    <w:rsid w:val="00C00E05"/>
    <w:rsid w:val="00C03413"/>
    <w:rsid w:val="00C03D0D"/>
    <w:rsid w:val="00C077C4"/>
    <w:rsid w:val="00C07851"/>
    <w:rsid w:val="00C10250"/>
    <w:rsid w:val="00C13AAA"/>
    <w:rsid w:val="00C141C7"/>
    <w:rsid w:val="00C14910"/>
    <w:rsid w:val="00C15B95"/>
    <w:rsid w:val="00C16ADB"/>
    <w:rsid w:val="00C17033"/>
    <w:rsid w:val="00C211F2"/>
    <w:rsid w:val="00C216B8"/>
    <w:rsid w:val="00C22EC5"/>
    <w:rsid w:val="00C24CA3"/>
    <w:rsid w:val="00C31E2A"/>
    <w:rsid w:val="00C3228B"/>
    <w:rsid w:val="00C3684E"/>
    <w:rsid w:val="00C36B76"/>
    <w:rsid w:val="00C371E6"/>
    <w:rsid w:val="00C40224"/>
    <w:rsid w:val="00C40C28"/>
    <w:rsid w:val="00C41401"/>
    <w:rsid w:val="00C4327E"/>
    <w:rsid w:val="00C526C5"/>
    <w:rsid w:val="00C55347"/>
    <w:rsid w:val="00C55C2B"/>
    <w:rsid w:val="00C56D20"/>
    <w:rsid w:val="00C57297"/>
    <w:rsid w:val="00C60E1A"/>
    <w:rsid w:val="00C612FB"/>
    <w:rsid w:val="00C628C2"/>
    <w:rsid w:val="00C62D99"/>
    <w:rsid w:val="00C718C5"/>
    <w:rsid w:val="00C74AC9"/>
    <w:rsid w:val="00C76258"/>
    <w:rsid w:val="00C77981"/>
    <w:rsid w:val="00C81FD2"/>
    <w:rsid w:val="00C8238C"/>
    <w:rsid w:val="00C830F9"/>
    <w:rsid w:val="00C91F98"/>
    <w:rsid w:val="00C948BA"/>
    <w:rsid w:val="00C94A14"/>
    <w:rsid w:val="00C955D9"/>
    <w:rsid w:val="00C95EE7"/>
    <w:rsid w:val="00CA37C6"/>
    <w:rsid w:val="00CA3FBD"/>
    <w:rsid w:val="00CA7992"/>
    <w:rsid w:val="00CB1B3F"/>
    <w:rsid w:val="00CB274C"/>
    <w:rsid w:val="00CB2BBA"/>
    <w:rsid w:val="00CB3AD3"/>
    <w:rsid w:val="00CB3B8B"/>
    <w:rsid w:val="00CB5608"/>
    <w:rsid w:val="00CC09F4"/>
    <w:rsid w:val="00CC1A0A"/>
    <w:rsid w:val="00CC28D1"/>
    <w:rsid w:val="00CC2A47"/>
    <w:rsid w:val="00CC6AC6"/>
    <w:rsid w:val="00CC6D5C"/>
    <w:rsid w:val="00CD0907"/>
    <w:rsid w:val="00CD4AFB"/>
    <w:rsid w:val="00CD59F6"/>
    <w:rsid w:val="00CD629F"/>
    <w:rsid w:val="00CD71A1"/>
    <w:rsid w:val="00CE1487"/>
    <w:rsid w:val="00CE3146"/>
    <w:rsid w:val="00CE447E"/>
    <w:rsid w:val="00CE70D2"/>
    <w:rsid w:val="00CF0163"/>
    <w:rsid w:val="00CF505B"/>
    <w:rsid w:val="00D00A4F"/>
    <w:rsid w:val="00D00AAD"/>
    <w:rsid w:val="00D04B65"/>
    <w:rsid w:val="00D06EF1"/>
    <w:rsid w:val="00D073D1"/>
    <w:rsid w:val="00D07B83"/>
    <w:rsid w:val="00D07E40"/>
    <w:rsid w:val="00D13AF0"/>
    <w:rsid w:val="00D14FE5"/>
    <w:rsid w:val="00D17CC0"/>
    <w:rsid w:val="00D202B3"/>
    <w:rsid w:val="00D20A56"/>
    <w:rsid w:val="00D22DB7"/>
    <w:rsid w:val="00D234D0"/>
    <w:rsid w:val="00D23A3C"/>
    <w:rsid w:val="00D26ACF"/>
    <w:rsid w:val="00D31796"/>
    <w:rsid w:val="00D317B4"/>
    <w:rsid w:val="00D35038"/>
    <w:rsid w:val="00D42040"/>
    <w:rsid w:val="00D4553C"/>
    <w:rsid w:val="00D50940"/>
    <w:rsid w:val="00D51726"/>
    <w:rsid w:val="00D522EE"/>
    <w:rsid w:val="00D54BFC"/>
    <w:rsid w:val="00D55DC3"/>
    <w:rsid w:val="00D64F39"/>
    <w:rsid w:val="00D65D7D"/>
    <w:rsid w:val="00D7478B"/>
    <w:rsid w:val="00D7630D"/>
    <w:rsid w:val="00D847BF"/>
    <w:rsid w:val="00D8597F"/>
    <w:rsid w:val="00D870ED"/>
    <w:rsid w:val="00D87C3B"/>
    <w:rsid w:val="00D9312D"/>
    <w:rsid w:val="00D93660"/>
    <w:rsid w:val="00D964FD"/>
    <w:rsid w:val="00D973DD"/>
    <w:rsid w:val="00DA000A"/>
    <w:rsid w:val="00DA321E"/>
    <w:rsid w:val="00DA3677"/>
    <w:rsid w:val="00DA71A2"/>
    <w:rsid w:val="00DB28DE"/>
    <w:rsid w:val="00DB2ADF"/>
    <w:rsid w:val="00DB37ED"/>
    <w:rsid w:val="00DB3E36"/>
    <w:rsid w:val="00DB40C3"/>
    <w:rsid w:val="00DB43B4"/>
    <w:rsid w:val="00DB6646"/>
    <w:rsid w:val="00DC719D"/>
    <w:rsid w:val="00DD262D"/>
    <w:rsid w:val="00DD28FD"/>
    <w:rsid w:val="00DD6075"/>
    <w:rsid w:val="00DD6E95"/>
    <w:rsid w:val="00DE34C4"/>
    <w:rsid w:val="00DE43BD"/>
    <w:rsid w:val="00DE47C7"/>
    <w:rsid w:val="00DF0CD2"/>
    <w:rsid w:val="00DF1768"/>
    <w:rsid w:val="00DF202C"/>
    <w:rsid w:val="00DF3F32"/>
    <w:rsid w:val="00DF4B9A"/>
    <w:rsid w:val="00DF5B89"/>
    <w:rsid w:val="00E01278"/>
    <w:rsid w:val="00E05826"/>
    <w:rsid w:val="00E07515"/>
    <w:rsid w:val="00E07642"/>
    <w:rsid w:val="00E07C36"/>
    <w:rsid w:val="00E11B65"/>
    <w:rsid w:val="00E13341"/>
    <w:rsid w:val="00E162FF"/>
    <w:rsid w:val="00E16B38"/>
    <w:rsid w:val="00E20B6E"/>
    <w:rsid w:val="00E21697"/>
    <w:rsid w:val="00E21FE2"/>
    <w:rsid w:val="00E22CA7"/>
    <w:rsid w:val="00E23ECA"/>
    <w:rsid w:val="00E25E62"/>
    <w:rsid w:val="00E26BAF"/>
    <w:rsid w:val="00E275A6"/>
    <w:rsid w:val="00E3119F"/>
    <w:rsid w:val="00E32221"/>
    <w:rsid w:val="00E33D79"/>
    <w:rsid w:val="00E346B1"/>
    <w:rsid w:val="00E36594"/>
    <w:rsid w:val="00E367AA"/>
    <w:rsid w:val="00E415CC"/>
    <w:rsid w:val="00E429C9"/>
    <w:rsid w:val="00E44711"/>
    <w:rsid w:val="00E51B3B"/>
    <w:rsid w:val="00E53AFA"/>
    <w:rsid w:val="00E55374"/>
    <w:rsid w:val="00E56B78"/>
    <w:rsid w:val="00E6307E"/>
    <w:rsid w:val="00E6326C"/>
    <w:rsid w:val="00E63CC1"/>
    <w:rsid w:val="00E673EA"/>
    <w:rsid w:val="00E709E2"/>
    <w:rsid w:val="00E72F8E"/>
    <w:rsid w:val="00E73AF1"/>
    <w:rsid w:val="00E73C64"/>
    <w:rsid w:val="00E74E7F"/>
    <w:rsid w:val="00E83D70"/>
    <w:rsid w:val="00E83F16"/>
    <w:rsid w:val="00E86053"/>
    <w:rsid w:val="00E8738B"/>
    <w:rsid w:val="00E929A2"/>
    <w:rsid w:val="00E960E5"/>
    <w:rsid w:val="00E96D10"/>
    <w:rsid w:val="00E97BAA"/>
    <w:rsid w:val="00E97E03"/>
    <w:rsid w:val="00EA0331"/>
    <w:rsid w:val="00EA25C2"/>
    <w:rsid w:val="00EA47AD"/>
    <w:rsid w:val="00EA48FA"/>
    <w:rsid w:val="00EB25C1"/>
    <w:rsid w:val="00EB53AB"/>
    <w:rsid w:val="00EC276C"/>
    <w:rsid w:val="00EC36CA"/>
    <w:rsid w:val="00ED0121"/>
    <w:rsid w:val="00ED33A7"/>
    <w:rsid w:val="00ED66B9"/>
    <w:rsid w:val="00ED7B52"/>
    <w:rsid w:val="00EE29EA"/>
    <w:rsid w:val="00EF4289"/>
    <w:rsid w:val="00EF68DA"/>
    <w:rsid w:val="00F00B1E"/>
    <w:rsid w:val="00F0182A"/>
    <w:rsid w:val="00F01975"/>
    <w:rsid w:val="00F03732"/>
    <w:rsid w:val="00F03E44"/>
    <w:rsid w:val="00F040C2"/>
    <w:rsid w:val="00F04409"/>
    <w:rsid w:val="00F04EFF"/>
    <w:rsid w:val="00F073DA"/>
    <w:rsid w:val="00F10E43"/>
    <w:rsid w:val="00F12074"/>
    <w:rsid w:val="00F124D6"/>
    <w:rsid w:val="00F12B11"/>
    <w:rsid w:val="00F1461A"/>
    <w:rsid w:val="00F15527"/>
    <w:rsid w:val="00F16330"/>
    <w:rsid w:val="00F20D4F"/>
    <w:rsid w:val="00F22624"/>
    <w:rsid w:val="00F2331A"/>
    <w:rsid w:val="00F2540B"/>
    <w:rsid w:val="00F27787"/>
    <w:rsid w:val="00F31633"/>
    <w:rsid w:val="00F33A2E"/>
    <w:rsid w:val="00F34580"/>
    <w:rsid w:val="00F35619"/>
    <w:rsid w:val="00F35B6F"/>
    <w:rsid w:val="00F35D9F"/>
    <w:rsid w:val="00F37B27"/>
    <w:rsid w:val="00F4065E"/>
    <w:rsid w:val="00F42079"/>
    <w:rsid w:val="00F42BB6"/>
    <w:rsid w:val="00F43558"/>
    <w:rsid w:val="00F43850"/>
    <w:rsid w:val="00F47536"/>
    <w:rsid w:val="00F50814"/>
    <w:rsid w:val="00F50A2C"/>
    <w:rsid w:val="00F50D39"/>
    <w:rsid w:val="00F54AD9"/>
    <w:rsid w:val="00F566A8"/>
    <w:rsid w:val="00F576EC"/>
    <w:rsid w:val="00F610EE"/>
    <w:rsid w:val="00F6183D"/>
    <w:rsid w:val="00F642AC"/>
    <w:rsid w:val="00F64B61"/>
    <w:rsid w:val="00F67A33"/>
    <w:rsid w:val="00F7080A"/>
    <w:rsid w:val="00F709EC"/>
    <w:rsid w:val="00F73BFB"/>
    <w:rsid w:val="00F75AEA"/>
    <w:rsid w:val="00F81033"/>
    <w:rsid w:val="00F83482"/>
    <w:rsid w:val="00F838EB"/>
    <w:rsid w:val="00F85B09"/>
    <w:rsid w:val="00F85E7A"/>
    <w:rsid w:val="00F866B0"/>
    <w:rsid w:val="00F915F6"/>
    <w:rsid w:val="00F96128"/>
    <w:rsid w:val="00FA2A9A"/>
    <w:rsid w:val="00FA595C"/>
    <w:rsid w:val="00FA7793"/>
    <w:rsid w:val="00FB0363"/>
    <w:rsid w:val="00FB22C8"/>
    <w:rsid w:val="00FB2781"/>
    <w:rsid w:val="00FB5873"/>
    <w:rsid w:val="00FB5A3A"/>
    <w:rsid w:val="00FC1442"/>
    <w:rsid w:val="00FC31F7"/>
    <w:rsid w:val="00FC376D"/>
    <w:rsid w:val="00FC46DE"/>
    <w:rsid w:val="00FC4CB6"/>
    <w:rsid w:val="00FC57F1"/>
    <w:rsid w:val="00FC700A"/>
    <w:rsid w:val="00FD0F40"/>
    <w:rsid w:val="00FD7930"/>
    <w:rsid w:val="00FE0177"/>
    <w:rsid w:val="00FE0DC5"/>
    <w:rsid w:val="00FE2D87"/>
    <w:rsid w:val="00FE6695"/>
    <w:rsid w:val="00FF0146"/>
    <w:rsid w:val="00FF064E"/>
    <w:rsid w:val="00FF08B0"/>
    <w:rsid w:val="00FF2CEF"/>
    <w:rsid w:val="00FF4B4A"/>
    <w:rsid w:val="00FF4C63"/>
    <w:rsid w:val="00FF7934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B8A42DF"/>
  <w15:chartTrackingRefBased/>
  <w15:docId w15:val="{F74EB260-9D4F-499A-9457-E41F0367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1138"/>
  </w:style>
  <w:style w:type="paragraph" w:styleId="Nadpis1">
    <w:name w:val="heading 1"/>
    <w:basedOn w:val="Normln"/>
    <w:next w:val="Normln"/>
    <w:link w:val="Nadpis1Char"/>
    <w:uiPriority w:val="9"/>
    <w:qFormat/>
    <w:rsid w:val="001E1138"/>
    <w:pPr>
      <w:keepNext/>
      <w:numPr>
        <w:numId w:val="1"/>
      </w:numPr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  <w:outlineLvl w:val="0"/>
    </w:pPr>
    <w:rPr>
      <w:rFonts w:eastAsia="Times New Roman" w:cstheme="minorHAnsi"/>
      <w:b/>
      <w:color w:val="000000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1138"/>
    <w:pPr>
      <w:keepNext/>
      <w:keepLines/>
      <w:numPr>
        <w:ilvl w:val="2"/>
        <w:numId w:val="1"/>
      </w:numPr>
      <w:spacing w:before="40" w:after="120" w:line="240" w:lineRule="auto"/>
      <w:jc w:val="both"/>
      <w:outlineLvl w:val="2"/>
    </w:pPr>
    <w:rPr>
      <w:rFonts w:eastAsiaTheme="majorEastAsia" w:cstheme="majorBidi"/>
      <w:bCs/>
      <w:color w:val="000000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E1138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1138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1138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1138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1138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1138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1138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1138"/>
    <w:rPr>
      <w:rFonts w:eastAsiaTheme="majorEastAsia" w:cstheme="majorBidi"/>
      <w:bCs/>
      <w:color w:val="000000"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E1138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113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11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113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11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11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aliases w:val="Schriftart: 9 pt,Schriftart: 10 pt,Schriftart: 8 pt,Char,Char Char Char Char,fn,pozn. pod čarou,Podrozdział,Podrozdzia3,Boston 10,Font: Geneva 9,Fußnotentextf,Geneva 9,Text poznámky pod čiarou 007,f,Text pozn. pod čarou1,o"/>
    <w:basedOn w:val="Normln"/>
    <w:link w:val="TextpoznpodarouChar"/>
    <w:uiPriority w:val="99"/>
    <w:unhideWhenUsed/>
    <w:qFormat/>
    <w:rsid w:val="001E1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Char Char,Char Char Char Char Char,fn Char,pozn. pod čarou Char,Podrozdział Char,Podrozdzia3 Char,Boston 10 Char,Font: Geneva 9 Char,Fußnotentextf Char,f Char"/>
    <w:basedOn w:val="Standardnpsmoodstavce"/>
    <w:link w:val="Textpoznpodarou"/>
    <w:uiPriority w:val="99"/>
    <w:rsid w:val="001E1138"/>
    <w:rPr>
      <w:sz w:val="20"/>
      <w:szCs w:val="20"/>
    </w:rPr>
  </w:style>
  <w:style w:type="character" w:styleId="Znakapoznpodarou">
    <w:name w:val="footnote reference"/>
    <w:aliases w:val="Footnote,Footnote call,PGI Fußnote Ziffer + Times New Roman,12 b.,Zúžené o ...,PGI Fußnote Ziffer,BVI fnr,Footnote symbol,Footnote Reference Number,Footnote Reference Superscript,Appel note de bas de p,Appel note de bas de page,fr"/>
    <w:basedOn w:val="Standardnpsmoodstavce"/>
    <w:uiPriority w:val="99"/>
    <w:unhideWhenUsed/>
    <w:rsid w:val="001E1138"/>
    <w:rPr>
      <w:vertAlign w:val="superscript"/>
    </w:rPr>
  </w:style>
  <w:style w:type="paragraph" w:styleId="Odstavecseseznamem">
    <w:name w:val="List Paragraph"/>
    <w:aliases w:val="Odstavec_muj,odrážky,List Paragraph_0,List Paragraph_0_0,Nadpis pro KZ,Odstavec se seznamem1,Odstavec se seznamem2,List Paragraph,Odstavec_muj1,Odstavec_muj2,Nad,Odstavec_muj3,Nad1,List Paragraph1,Odstavec_muj4,Nad2,List Paragraph2"/>
    <w:basedOn w:val="Normln"/>
    <w:link w:val="OdstavecseseznamemChar"/>
    <w:uiPriority w:val="34"/>
    <w:qFormat/>
    <w:rsid w:val="001E1138"/>
    <w:pPr>
      <w:ind w:left="720"/>
      <w:contextualSpacing/>
    </w:pPr>
  </w:style>
  <w:style w:type="character" w:customStyle="1" w:styleId="OdstavecseseznamemChar">
    <w:name w:val="Odstavec se seznamem Char"/>
    <w:aliases w:val="Odstavec_muj Char,odrážky Char,List Paragraph_0 Char,List Paragraph_0_0 Char,Nadpis pro KZ Char,Odstavec se seznamem1 Char,Odstavec se seznamem2 Char,List Paragraph Char,Odstavec_muj1 Char,Odstavec_muj2 Char,Nad Char,Nad1 Char"/>
    <w:basedOn w:val="Standardnpsmoodstavce"/>
    <w:link w:val="Odstavecseseznamem"/>
    <w:uiPriority w:val="34"/>
    <w:qFormat/>
    <w:rsid w:val="001E1138"/>
  </w:style>
  <w:style w:type="paragraph" w:customStyle="1" w:styleId="KPnormln">
    <w:name w:val="KP normální"/>
    <w:basedOn w:val="Normln"/>
    <w:link w:val="KPnormlnChar"/>
    <w:qFormat/>
    <w:rsid w:val="001E1138"/>
    <w:pPr>
      <w:spacing w:before="120" w:after="120" w:line="240" w:lineRule="auto"/>
      <w:ind w:firstLine="720"/>
      <w:jc w:val="both"/>
    </w:pPr>
    <w:rPr>
      <w:rFonts w:eastAsia="Times New Roman" w:cstheme="minorHAnsi"/>
      <w:color w:val="000000"/>
      <w:sz w:val="24"/>
    </w:rPr>
  </w:style>
  <w:style w:type="character" w:customStyle="1" w:styleId="KPnormlnChar">
    <w:name w:val="KP normální Char"/>
    <w:basedOn w:val="Standardnpsmoodstavce"/>
    <w:link w:val="KPnormln"/>
    <w:rsid w:val="001E1138"/>
    <w:rPr>
      <w:rFonts w:eastAsia="Times New Roman" w:cstheme="minorHAnsi"/>
      <w:color w:val="000000"/>
      <w:sz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E11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E113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E1138"/>
    <w:rPr>
      <w:vertAlign w:val="superscript"/>
    </w:rPr>
  </w:style>
  <w:style w:type="paragraph" w:styleId="Nzev">
    <w:name w:val="Title"/>
    <w:basedOn w:val="Normln"/>
    <w:link w:val="NzevChar"/>
    <w:qFormat/>
    <w:rsid w:val="008E6616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E6616"/>
    <w:rPr>
      <w:rFonts w:ascii="Arial" w:eastAsia="Times New Roman" w:hAnsi="Arial" w:cs="Times New Roman"/>
      <w:b/>
      <w:szCs w:val="20"/>
      <w:lang w:eastAsia="cs-CZ"/>
    </w:rPr>
  </w:style>
  <w:style w:type="paragraph" w:customStyle="1" w:styleId="NormlnKZ">
    <w:name w:val="Normální KZ"/>
    <w:basedOn w:val="Normln"/>
    <w:rsid w:val="008E6616"/>
    <w:pPr>
      <w:spacing w:after="120" w:line="240" w:lineRule="auto"/>
      <w:ind w:firstLine="425"/>
      <w:jc w:val="both"/>
    </w:pPr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7D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650CD2"/>
    <w:pPr>
      <w:spacing w:after="120" w:line="240" w:lineRule="auto"/>
      <w:jc w:val="both"/>
    </w:pPr>
    <w:rPr>
      <w:rFonts w:ascii="Calibri" w:eastAsia="Times New Roman" w:hAnsi="Calibri" w:cs="Arial"/>
      <w:color w:val="000000"/>
      <w:sz w:val="24"/>
      <w:szCs w:val="24"/>
    </w:rPr>
  </w:style>
  <w:style w:type="character" w:customStyle="1" w:styleId="KP-normlntextChar">
    <w:name w:val="KP-normální text Char"/>
    <w:link w:val="KP-normlntext"/>
    <w:rsid w:val="00650CD2"/>
    <w:rPr>
      <w:rFonts w:ascii="Calibri" w:eastAsia="Times New Roman" w:hAnsi="Calibri" w:cs="Arial"/>
      <w:color w:val="000000"/>
      <w:sz w:val="24"/>
      <w:szCs w:val="24"/>
    </w:rPr>
  </w:style>
  <w:style w:type="paragraph" w:customStyle="1" w:styleId="Poznmkapodarou">
    <w:name w:val="Poznámka pod čarou"/>
    <w:basedOn w:val="Textpoznpodarou"/>
    <w:link w:val="PoznmkapodarouChar"/>
    <w:qFormat/>
    <w:rsid w:val="00650CD2"/>
    <w:pPr>
      <w:tabs>
        <w:tab w:val="left" w:pos="284"/>
      </w:tabs>
      <w:ind w:left="284" w:hanging="284"/>
      <w:jc w:val="both"/>
    </w:pPr>
    <w:rPr>
      <w:rFonts w:eastAsia="Times New Roman" w:cs="Times New Roman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650CD2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8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1B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B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B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8F"/>
    <w:rPr>
      <w:b/>
      <w:bCs/>
      <w:sz w:val="20"/>
      <w:szCs w:val="20"/>
    </w:rPr>
  </w:style>
  <w:style w:type="paragraph" w:customStyle="1" w:styleId="Default">
    <w:name w:val="Default"/>
    <w:rsid w:val="00FD79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0A4"/>
  </w:style>
  <w:style w:type="paragraph" w:styleId="Zpat">
    <w:name w:val="footer"/>
    <w:basedOn w:val="Normln"/>
    <w:link w:val="ZpatChar"/>
    <w:uiPriority w:val="99"/>
    <w:unhideWhenUsed/>
    <w:rsid w:val="003C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0A4"/>
  </w:style>
  <w:style w:type="paragraph" w:styleId="Normlnweb">
    <w:name w:val="Normal (Web)"/>
    <w:basedOn w:val="Normln"/>
    <w:uiPriority w:val="99"/>
    <w:semiHidden/>
    <w:unhideWhenUsed/>
    <w:rsid w:val="008F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2">
    <w:name w:val="Mřížka tabulky2"/>
    <w:basedOn w:val="Normlntabulka"/>
    <w:next w:val="Mkatabulky"/>
    <w:uiPriority w:val="39"/>
    <w:rsid w:val="000E0D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link w:val="TabulkaChar"/>
    <w:qFormat/>
    <w:rsid w:val="009D3C27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="Times New Roman" w:hAnsi="Times New Roman" w:cs="Times New Roman"/>
      <w:lang w:eastAsia="cs-CZ"/>
    </w:rPr>
  </w:style>
  <w:style w:type="character" w:customStyle="1" w:styleId="TabulkaChar">
    <w:name w:val="Tabulka Char"/>
    <w:link w:val="Tabulka"/>
    <w:rsid w:val="009D3C27"/>
    <w:rPr>
      <w:rFonts w:ascii="Times New Roman" w:eastAsia="Times New Roman" w:hAnsi="Times New Roman" w:cs="Times New Roman"/>
      <w:lang w:eastAsia="cs-CZ"/>
    </w:rPr>
  </w:style>
  <w:style w:type="character" w:customStyle="1" w:styleId="PoznmkapodarouChar">
    <w:name w:val="Poznámka pod čarou Char"/>
    <w:link w:val="Poznmkapodarou"/>
    <w:rsid w:val="009D3C27"/>
    <w:rPr>
      <w:rFonts w:eastAsia="Times New Roman" w:cs="Times New Roman"/>
      <w:sz w:val="20"/>
      <w:szCs w:val="20"/>
    </w:rPr>
  </w:style>
  <w:style w:type="character" w:styleId="Hypertextovodkaz">
    <w:name w:val="Hyperlink"/>
    <w:basedOn w:val="Standardnpsmoodstavce"/>
    <w:semiHidden/>
    <w:rsid w:val="00DB28DE"/>
    <w:rPr>
      <w:color w:val="0000FF"/>
      <w:u w:val="single"/>
    </w:rPr>
  </w:style>
  <w:style w:type="table" w:customStyle="1" w:styleId="Mkatabulky21">
    <w:name w:val="Mřížka tabulky21"/>
    <w:basedOn w:val="Normlntabulka"/>
    <w:next w:val="Mkatabulky"/>
    <w:uiPriority w:val="39"/>
    <w:rsid w:val="00693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693B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A20DEB"/>
    <w:rPr>
      <w:color w:val="000000"/>
      <w:sz w:val="60"/>
      <w:szCs w:val="60"/>
    </w:rPr>
  </w:style>
  <w:style w:type="character" w:customStyle="1" w:styleId="A1">
    <w:name w:val="A1"/>
    <w:uiPriority w:val="99"/>
    <w:rsid w:val="00291CEB"/>
    <w:rPr>
      <w:color w:val="000000"/>
      <w:sz w:val="28"/>
      <w:szCs w:val="28"/>
    </w:rPr>
  </w:style>
  <w:style w:type="character" w:customStyle="1" w:styleId="A5">
    <w:name w:val="A5"/>
    <w:uiPriority w:val="99"/>
    <w:rsid w:val="00291CEB"/>
    <w:rPr>
      <w:b/>
      <w:bCs/>
      <w:color w:val="000000"/>
      <w:sz w:val="40"/>
      <w:szCs w:val="40"/>
    </w:rPr>
  </w:style>
  <w:style w:type="paragraph" w:customStyle="1" w:styleId="Text">
    <w:name w:val="Text"/>
    <w:basedOn w:val="Normln"/>
    <w:link w:val="TextChar"/>
    <w:qFormat/>
    <w:rsid w:val="00291CEB"/>
    <w:pPr>
      <w:spacing w:before="120" w:after="0" w:line="240" w:lineRule="auto"/>
      <w:jc w:val="both"/>
    </w:pPr>
    <w:rPr>
      <w:rFonts w:cstheme="minorHAnsi"/>
      <w:sz w:val="24"/>
      <w:szCs w:val="24"/>
    </w:rPr>
  </w:style>
  <w:style w:type="character" w:customStyle="1" w:styleId="TextChar">
    <w:name w:val="Text Char"/>
    <w:basedOn w:val="Standardnpsmoodstavce"/>
    <w:link w:val="Text"/>
    <w:rsid w:val="00291CEB"/>
    <w:rPr>
      <w:rFonts w:cstheme="minorHAnsi"/>
      <w:sz w:val="24"/>
      <w:szCs w:val="24"/>
    </w:rPr>
  </w:style>
  <w:style w:type="paragraph" w:styleId="Revize">
    <w:name w:val="Revision"/>
    <w:hidden/>
    <w:uiPriority w:val="99"/>
    <w:semiHidden/>
    <w:rsid w:val="007877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52514817122141"/>
          <c:y val="0.13852474323062558"/>
          <c:w val="0.49783633481458389"/>
          <c:h val="0.72764581888403845"/>
        </c:manualLayout>
      </c:layout>
      <c:scatterChart>
        <c:scatterStyle val="lineMarker"/>
        <c:varyColors val="0"/>
        <c:ser>
          <c:idx val="0"/>
          <c:order val="0"/>
          <c:tx>
            <c:v>Vývoj v době realizace programu podpory Marketing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List1!$H$11:$K$11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xVal>
          <c:yVal>
            <c:numRef>
              <c:f>List1!$H$12:$K$12</c:f>
              <c:numCache>
                <c:formatCode>General</c:formatCode>
                <c:ptCount val="4"/>
                <c:pt idx="0">
                  <c:v>22.9</c:v>
                </c:pt>
                <c:pt idx="1">
                  <c:v>21.84</c:v>
                </c:pt>
                <c:pt idx="2">
                  <c:v>20.81</c:v>
                </c:pt>
                <c:pt idx="3">
                  <c:v>20.16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8A7-4DED-A3EA-1C31ACEDA388}"/>
            </c:ext>
          </c:extLst>
        </c:ser>
        <c:ser>
          <c:idx val="1"/>
          <c:order val="1"/>
          <c:tx>
            <c:v>Výchozí hodnota ukazatele výsledku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B0F0"/>
              </a:solidFill>
              <a:ln w="9525">
                <a:solidFill>
                  <a:srgbClr val="00B0F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List1!$G$11</c:f>
              <c:numCache>
                <c:formatCode>General</c:formatCode>
                <c:ptCount val="1"/>
                <c:pt idx="0">
                  <c:v>2013</c:v>
                </c:pt>
              </c:numCache>
            </c:numRef>
          </c:xVal>
          <c:yVal>
            <c:numRef>
              <c:f>List1!$G$13</c:f>
              <c:numCache>
                <c:formatCode>General</c:formatCode>
                <c:ptCount val="1"/>
                <c:pt idx="0">
                  <c:v>21.2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8A7-4DED-A3EA-1C31ACEDA388}"/>
            </c:ext>
          </c:extLst>
        </c:ser>
        <c:ser>
          <c:idx val="2"/>
          <c:order val="2"/>
          <c:tx>
            <c:v>Cílová hodnota ukazatele výsledku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702970297029702E-2"/>
                  <c:y val="5.181347150259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8A7-4DED-A3EA-1C31ACEDA38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b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List1!$L$11</c:f>
              <c:numCache>
                <c:formatCode>General</c:formatCode>
                <c:ptCount val="1"/>
                <c:pt idx="0">
                  <c:v>2023</c:v>
                </c:pt>
              </c:numCache>
            </c:numRef>
          </c:xVal>
          <c:yVal>
            <c:numRef>
              <c:f>List1!$L$14</c:f>
              <c:numCache>
                <c:formatCode>General</c:formatCode>
                <c:ptCount val="1"/>
                <c:pt idx="0">
                  <c:v>23.05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D8A7-4DED-A3EA-1C31ACEDA3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94660303"/>
        <c:axId val="1994660719"/>
      </c:scatterChart>
      <c:valAx>
        <c:axId val="1994660303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Roky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94660719"/>
        <c:crosses val="autoZero"/>
        <c:crossBetween val="midCat"/>
        <c:majorUnit val="2"/>
        <c:minorUnit val="1"/>
      </c:valAx>
      <c:valAx>
        <c:axId val="1994660719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200" b="0" i="0" baseline="0">
                    <a:effectLst/>
                  </a:rPr>
                  <a:t>Podíl exportu MSP k celkovým výkonům MSP (v</a:t>
                </a:r>
                <a:r>
                  <a:rPr lang="cs-CZ" sz="1000" b="0" i="0" u="none" strike="noStrike" baseline="0">
                    <a:effectLst/>
                  </a:rPr>
                  <a:t> </a:t>
                </a:r>
                <a:r>
                  <a:rPr lang="cs-CZ" sz="1200" b="0" i="0" baseline="0">
                    <a:effectLst/>
                  </a:rPr>
                  <a:t>%)</a:t>
                </a:r>
                <a:endParaRPr lang="cs-CZ" sz="1200">
                  <a:effectLst/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9946603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949457706675551"/>
          <c:y val="0.21129396204339249"/>
          <c:w val="0.22050542293324446"/>
          <c:h val="0.536459200098833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6003-3A99-40EC-BDC2-08B8608B4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0E46C-1E80-402A-A2A8-E663701728A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92DF46-9909-4FD3-9718-8E6251527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610B1-0874-4D9D-9F50-2C1E305B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9F22A732.dotm</Template>
  <TotalTime>4</TotalTime>
  <Pages>16</Pages>
  <Words>5611</Words>
  <Characters>33111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20/20 - Peněžní prostředky operačního programu Podnikání a inovace pro konkurenceschopnost poskytované malým a středním podnikatelům na poradenství, marketing a vzdělávání a v souvislosti s nákazou Covid 19</vt:lpstr>
    </vt:vector>
  </TitlesOfParts>
  <Company>NKU</Company>
  <LinksUpToDate>false</LinksUpToDate>
  <CharactersWithSpaces>38645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20/20 - Peněžní prostředky operačního programu Podnikání a inovace pro konkurenceschopnost poskytované malým a středním podnikatelům na poradenství, marketing a vzdělávání a v souvislosti s nákazou Covid 19</dc:title>
  <dc:subject>Kontrolní závěr z kontrolní akce NKÚ č. 20/20 - Peněžní prostředky operačního programu Podnikání a inovace pro konkurenceschopnost poskytované malým a středním podnikatelům na poradenství, marketing a vzdělávání a v souvislosti s nákazou Covid 19</dc:subject>
  <dc:creator>Nejvyšší kontrolní úřad</dc:creator>
  <cp:keywords/>
  <dc:description/>
  <cp:lastModifiedBy>KOKRDA Daniel</cp:lastModifiedBy>
  <cp:revision>3</cp:revision>
  <cp:lastPrinted>2021-04-29T09:44:00Z</cp:lastPrinted>
  <dcterms:created xsi:type="dcterms:W3CDTF">2021-04-29T09:43:00Z</dcterms:created>
  <dcterms:modified xsi:type="dcterms:W3CDTF">2021-04-29T09:46:00Z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_DocHome">
    <vt:i4>-1657478421</vt:i4>
  </property>
</Properties>
</file>