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F6B7" w14:textId="05FCB28C" w:rsidR="00E61477" w:rsidRDefault="00E61477" w:rsidP="00E61477">
      <w:pPr>
        <w:spacing w:before="0"/>
        <w:jc w:val="center"/>
        <w:rPr>
          <w:color w:val="000000" w:themeColor="text1"/>
        </w:rPr>
      </w:pPr>
      <w:r w:rsidRPr="00E61477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0" locked="0" layoutInCell="1" allowOverlap="1" wp14:anchorId="3592D6FF" wp14:editId="458B1D59">
            <wp:simplePos x="0" y="0"/>
            <wp:positionH relativeFrom="margin">
              <wp:posOffset>2520315</wp:posOffset>
            </wp:positionH>
            <wp:positionV relativeFrom="paragraph">
              <wp:posOffset>18084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168D9" w14:textId="37745C10" w:rsidR="00E61477" w:rsidRDefault="00E61477" w:rsidP="00E61477">
      <w:pPr>
        <w:spacing w:before="0"/>
        <w:jc w:val="center"/>
        <w:rPr>
          <w:color w:val="000000" w:themeColor="text1"/>
        </w:rPr>
      </w:pPr>
    </w:p>
    <w:p w14:paraId="024DC4B7" w14:textId="4B7BC6BE" w:rsidR="00FC307E" w:rsidRPr="00E61477" w:rsidRDefault="00FC307E" w:rsidP="00E61477">
      <w:pPr>
        <w:spacing w:before="0"/>
        <w:jc w:val="center"/>
        <w:rPr>
          <w:color w:val="000000" w:themeColor="text1"/>
        </w:rPr>
      </w:pPr>
    </w:p>
    <w:p w14:paraId="7C80450B" w14:textId="77777777" w:rsidR="00FC307E" w:rsidRPr="00E61477" w:rsidRDefault="00035AAB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E61477">
        <w:rPr>
          <w:b/>
          <w:color w:val="000000" w:themeColor="text1"/>
          <w:sz w:val="28"/>
          <w:szCs w:val="28"/>
        </w:rPr>
        <w:t>Kontrolní závěr z kontrolní akce</w:t>
      </w:r>
    </w:p>
    <w:p w14:paraId="5FE5A96A" w14:textId="77777777" w:rsidR="00FC307E" w:rsidRPr="00E61477" w:rsidRDefault="00FC307E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14:paraId="08A12000" w14:textId="58FFEADF" w:rsidR="00FC307E" w:rsidRDefault="00151CFB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1803EE" w:rsidRPr="00E61477">
        <w:rPr>
          <w:b/>
          <w:color w:val="000000" w:themeColor="text1"/>
          <w:sz w:val="28"/>
          <w:szCs w:val="28"/>
        </w:rPr>
        <w:t>/</w:t>
      </w:r>
      <w:r w:rsidR="004D46B3" w:rsidRPr="00E61477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>6</w:t>
      </w:r>
    </w:p>
    <w:p w14:paraId="6CE241C1" w14:textId="77777777" w:rsidR="003B6BB1" w:rsidRPr="00E61477" w:rsidRDefault="003B6BB1" w:rsidP="00E61477">
      <w:pPr>
        <w:spacing w:before="0"/>
        <w:jc w:val="center"/>
        <w:rPr>
          <w:b/>
          <w:color w:val="000000" w:themeColor="text1"/>
          <w:sz w:val="28"/>
          <w:szCs w:val="28"/>
        </w:rPr>
      </w:pPr>
    </w:p>
    <w:p w14:paraId="28556755" w14:textId="03363204" w:rsidR="00FC307E" w:rsidRPr="00E61477" w:rsidRDefault="00151CFB" w:rsidP="00E61477">
      <w:pPr>
        <w:spacing w:before="0"/>
        <w:jc w:val="center"/>
        <w:rPr>
          <w:i/>
          <w:color w:val="000000" w:themeColor="text1"/>
        </w:rPr>
      </w:pPr>
      <w:r w:rsidRPr="00151CFB">
        <w:rPr>
          <w:b/>
          <w:color w:val="000000" w:themeColor="text1"/>
          <w:sz w:val="28"/>
          <w:szCs w:val="28"/>
        </w:rPr>
        <w:t>Peněžní prostředky státu poskytované veřejným vysokým školám</w:t>
      </w:r>
      <w:bookmarkEnd w:id="0"/>
    </w:p>
    <w:p w14:paraId="6F69FEB8" w14:textId="225412E9" w:rsidR="00FC307E" w:rsidRDefault="00FC307E" w:rsidP="00E61477">
      <w:pPr>
        <w:spacing w:before="0"/>
        <w:rPr>
          <w:color w:val="000000" w:themeColor="text1"/>
        </w:rPr>
      </w:pPr>
    </w:p>
    <w:p w14:paraId="0E66407A" w14:textId="77777777" w:rsidR="00E61477" w:rsidRPr="00E61477" w:rsidRDefault="00E61477" w:rsidP="00E61477">
      <w:pPr>
        <w:spacing w:before="0"/>
        <w:rPr>
          <w:color w:val="000000" w:themeColor="text1"/>
        </w:rPr>
      </w:pPr>
    </w:p>
    <w:p w14:paraId="505DC6B0" w14:textId="296267C0" w:rsidR="00FC307E" w:rsidRPr="00E61477" w:rsidRDefault="00035AAB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>Kontrolní akce byla zařazena do plánu kontrolní činnosti Nejvyššího kontrolního úřadu (dále také</w:t>
      </w:r>
      <w:r w:rsidR="00151CFB">
        <w:rPr>
          <w:color w:val="000000" w:themeColor="text1"/>
        </w:rPr>
        <w:t xml:space="preserve"> „NKÚ“) na rok 2020 pod číslem 20</w:t>
      </w:r>
      <w:r w:rsidR="004D46B3" w:rsidRPr="00E61477">
        <w:rPr>
          <w:color w:val="000000" w:themeColor="text1"/>
        </w:rPr>
        <w:t>/0</w:t>
      </w:r>
      <w:r w:rsidR="00151CFB">
        <w:rPr>
          <w:color w:val="000000" w:themeColor="text1"/>
        </w:rPr>
        <w:t>6</w:t>
      </w:r>
      <w:r w:rsidRPr="00E61477">
        <w:rPr>
          <w:color w:val="000000" w:themeColor="text1"/>
        </w:rPr>
        <w:t>. Kontrolní akci řídil a kontroln</w:t>
      </w:r>
      <w:r w:rsidR="001803EE" w:rsidRPr="00E61477">
        <w:rPr>
          <w:color w:val="000000" w:themeColor="text1"/>
        </w:rPr>
        <w:t xml:space="preserve">í závěr vypracoval člen NKÚ </w:t>
      </w:r>
      <w:r w:rsidR="00151CFB" w:rsidRPr="00151CFB">
        <w:rPr>
          <w:color w:val="000000" w:themeColor="text1"/>
        </w:rPr>
        <w:t>RNDr. Petr Neuvirt</w:t>
      </w:r>
      <w:r w:rsidRPr="00E61477">
        <w:rPr>
          <w:color w:val="000000" w:themeColor="text1"/>
        </w:rPr>
        <w:t>.</w:t>
      </w:r>
    </w:p>
    <w:p w14:paraId="390234D1" w14:textId="77777777" w:rsidR="00802788" w:rsidRPr="00E61477" w:rsidRDefault="00802788" w:rsidP="00E61477">
      <w:pPr>
        <w:spacing w:before="0"/>
        <w:rPr>
          <w:color w:val="000000" w:themeColor="text1"/>
        </w:rPr>
      </w:pPr>
    </w:p>
    <w:p w14:paraId="389C32DE" w14:textId="36F35608" w:rsidR="00FC307E" w:rsidRPr="00E61477" w:rsidRDefault="00035AAB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 xml:space="preserve">Cílem kontroly </w:t>
      </w:r>
      <w:r w:rsidR="00151CFB">
        <w:rPr>
          <w:color w:val="000000" w:themeColor="text1"/>
        </w:rPr>
        <w:t>bylo p</w:t>
      </w:r>
      <w:r w:rsidR="00151CFB" w:rsidRPr="00151CFB">
        <w:rPr>
          <w:color w:val="000000" w:themeColor="text1"/>
        </w:rPr>
        <w:t>rověřit, zda dosavadní způsob financování veřejných vysokých škol motivuje vysoké školy ke zvyšování kvality jejich činnosti a je zacílen na naplňování státem stanovených potřeb</w:t>
      </w:r>
      <w:r w:rsidR="004D46B3" w:rsidRPr="00E61477">
        <w:rPr>
          <w:color w:val="000000" w:themeColor="text1"/>
        </w:rPr>
        <w:t xml:space="preserve">. </w:t>
      </w:r>
      <w:r w:rsidRPr="00E61477">
        <w:rPr>
          <w:color w:val="000000" w:themeColor="text1"/>
        </w:rPr>
        <w:t xml:space="preserve"> </w:t>
      </w:r>
    </w:p>
    <w:p w14:paraId="70CDD7E4" w14:textId="77777777" w:rsidR="00D724BD" w:rsidRPr="00E61477" w:rsidRDefault="00D724BD" w:rsidP="00E61477">
      <w:pPr>
        <w:spacing w:before="0"/>
        <w:rPr>
          <w:color w:val="000000" w:themeColor="text1"/>
        </w:rPr>
      </w:pPr>
    </w:p>
    <w:p w14:paraId="26CB0BC1" w14:textId="057C6E4A" w:rsidR="00076334" w:rsidRPr="00E61477" w:rsidRDefault="00076334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>Kontrolovan</w:t>
      </w:r>
      <w:r w:rsidR="00151CFB">
        <w:rPr>
          <w:color w:val="000000" w:themeColor="text1"/>
        </w:rPr>
        <w:t xml:space="preserve">ým obdobím byly roky </w:t>
      </w:r>
      <w:r w:rsidR="00151CFB" w:rsidRPr="00151CFB">
        <w:rPr>
          <w:color w:val="000000" w:themeColor="text1"/>
        </w:rPr>
        <w:t>2017 až 2019, v případě věcných souvislostí i období předcházející či následující.</w:t>
      </w:r>
    </w:p>
    <w:p w14:paraId="568EA542" w14:textId="77777777" w:rsidR="00076334" w:rsidRPr="00E61477" w:rsidRDefault="00076334" w:rsidP="00E61477">
      <w:pPr>
        <w:spacing w:before="0"/>
        <w:rPr>
          <w:rFonts w:asciiTheme="minorHAnsi" w:hAnsiTheme="minorHAnsi" w:cstheme="minorHAnsi"/>
          <w:color w:val="000000" w:themeColor="text1"/>
        </w:rPr>
      </w:pPr>
    </w:p>
    <w:p w14:paraId="3966AD05" w14:textId="498360AB" w:rsidR="00076334" w:rsidRPr="00E61477" w:rsidRDefault="00076334" w:rsidP="00E61477">
      <w:pPr>
        <w:spacing w:before="0"/>
        <w:rPr>
          <w:color w:val="000000" w:themeColor="text1"/>
        </w:rPr>
      </w:pPr>
      <w:r w:rsidRPr="00E61477">
        <w:rPr>
          <w:color w:val="000000" w:themeColor="text1"/>
        </w:rPr>
        <w:t xml:space="preserve">Kontrola byla prováděna u kontrolovaných osob v období od </w:t>
      </w:r>
      <w:r w:rsidR="00151CFB">
        <w:rPr>
          <w:color w:val="000000" w:themeColor="text1"/>
        </w:rPr>
        <w:t>března 2020</w:t>
      </w:r>
      <w:r w:rsidRPr="00E61477">
        <w:rPr>
          <w:color w:val="000000" w:themeColor="text1"/>
        </w:rPr>
        <w:t xml:space="preserve"> do </w:t>
      </w:r>
      <w:r w:rsidR="0029176C" w:rsidRPr="00E61477">
        <w:rPr>
          <w:color w:val="000000" w:themeColor="text1"/>
        </w:rPr>
        <w:t>prosince</w:t>
      </w:r>
      <w:r w:rsidR="00151CFB">
        <w:rPr>
          <w:color w:val="000000" w:themeColor="text1"/>
        </w:rPr>
        <w:t xml:space="preserve"> 2020</w:t>
      </w:r>
      <w:r w:rsidRPr="00E61477">
        <w:rPr>
          <w:color w:val="000000" w:themeColor="text1"/>
        </w:rPr>
        <w:t>.</w:t>
      </w:r>
    </w:p>
    <w:p w14:paraId="7FFFEAEC" w14:textId="795EB288" w:rsidR="00100351" w:rsidRPr="00E61477" w:rsidRDefault="00100351" w:rsidP="00E61477">
      <w:pPr>
        <w:spacing w:before="0"/>
        <w:rPr>
          <w:color w:val="000000" w:themeColor="text1"/>
        </w:rPr>
      </w:pPr>
    </w:p>
    <w:p w14:paraId="2E813FBD" w14:textId="77777777" w:rsidR="00802788" w:rsidRPr="00E61477" w:rsidRDefault="00802788" w:rsidP="00E61477">
      <w:pPr>
        <w:spacing w:before="0"/>
        <w:rPr>
          <w:color w:val="000000" w:themeColor="text1"/>
        </w:rPr>
      </w:pPr>
    </w:p>
    <w:p w14:paraId="68417BAF" w14:textId="77777777" w:rsidR="00151CFB" w:rsidRDefault="00035AAB" w:rsidP="00151CFB">
      <w:pPr>
        <w:spacing w:before="0" w:after="120"/>
        <w:rPr>
          <w:rFonts w:cs="Arial"/>
          <w:b/>
          <w:color w:val="auto"/>
        </w:rPr>
      </w:pPr>
      <w:r w:rsidRPr="00151CFB">
        <w:rPr>
          <w:rFonts w:cs="Arial"/>
          <w:b/>
          <w:color w:val="auto"/>
        </w:rPr>
        <w:t>Kontrolované osoby:</w:t>
      </w:r>
    </w:p>
    <w:p w14:paraId="052E5BC7" w14:textId="1322F2E4" w:rsidR="009C14FD" w:rsidRDefault="00151CFB" w:rsidP="00151CFB">
      <w:pPr>
        <w:spacing w:before="0" w:after="120"/>
        <w:rPr>
          <w:color w:val="auto"/>
          <w:lang w:eastAsia="cs-CZ"/>
        </w:rPr>
      </w:pPr>
      <w:r w:rsidRPr="00151CFB">
        <w:rPr>
          <w:color w:val="auto"/>
          <w:lang w:eastAsia="cs-CZ"/>
        </w:rPr>
        <w:t>Ministerstvo školství, mládeže a tělovýchovy</w:t>
      </w:r>
      <w:r>
        <w:rPr>
          <w:color w:val="auto"/>
          <w:lang w:eastAsia="cs-CZ"/>
        </w:rPr>
        <w:t xml:space="preserve"> (dále také „MŠMT“);</w:t>
      </w:r>
    </w:p>
    <w:p w14:paraId="3ECCDB56" w14:textId="6A3100F7" w:rsidR="00151CFB" w:rsidRDefault="00151CFB" w:rsidP="00151CFB">
      <w:pPr>
        <w:spacing w:before="0" w:after="120"/>
      </w:pPr>
      <w:r w:rsidRPr="003576BA">
        <w:t>Akademie múzických umění v</w:t>
      </w:r>
      <w:r w:rsidR="00942D64">
        <w:t> </w:t>
      </w:r>
      <w:r w:rsidRPr="003576BA">
        <w:t>Praze</w:t>
      </w:r>
      <w:r w:rsidR="00942D64">
        <w:t xml:space="preserve"> (dále také </w:t>
      </w:r>
      <w:r w:rsidR="00942D64">
        <w:rPr>
          <w:color w:val="auto"/>
          <w:lang w:eastAsia="cs-CZ"/>
        </w:rPr>
        <w:t>„</w:t>
      </w:r>
      <w:r w:rsidR="00942D64">
        <w:t>AMU</w:t>
      </w:r>
      <w:r w:rsidR="00942D64">
        <w:rPr>
          <w:color w:val="auto"/>
          <w:lang w:eastAsia="cs-CZ"/>
        </w:rPr>
        <w:t>“)</w:t>
      </w:r>
      <w:r>
        <w:t>;</w:t>
      </w:r>
    </w:p>
    <w:p w14:paraId="6598ED85" w14:textId="23EF11FD" w:rsidR="00151CFB" w:rsidRDefault="00151CFB" w:rsidP="00151CFB">
      <w:pPr>
        <w:spacing w:before="0" w:after="120"/>
      </w:pPr>
      <w:r w:rsidRPr="003576BA">
        <w:t>Česká zemědělská univerzita v</w:t>
      </w:r>
      <w:r>
        <w:t> </w:t>
      </w:r>
      <w:r w:rsidRPr="003576BA">
        <w:t>Praze</w:t>
      </w:r>
      <w:r w:rsidR="00942D64">
        <w:t xml:space="preserve"> (dále také „ČZU“);</w:t>
      </w:r>
    </w:p>
    <w:p w14:paraId="7D7EC984" w14:textId="1310FEC4" w:rsidR="00151CFB" w:rsidRDefault="00151CFB" w:rsidP="00151CFB">
      <w:pPr>
        <w:spacing w:before="0" w:after="120"/>
      </w:pPr>
      <w:r w:rsidRPr="003576BA">
        <w:t>České vysoké učení technické v</w:t>
      </w:r>
      <w:r w:rsidR="00942D64">
        <w:t> </w:t>
      </w:r>
      <w:r w:rsidRPr="003576BA">
        <w:t>Praze</w:t>
      </w:r>
      <w:r w:rsidR="00942D64">
        <w:t xml:space="preserve"> (dále také „ČVUT“)</w:t>
      </w:r>
      <w:r>
        <w:t>;</w:t>
      </w:r>
    </w:p>
    <w:p w14:paraId="2A804F02" w14:textId="69FC2DCA" w:rsidR="00151CFB" w:rsidRDefault="00151CFB" w:rsidP="00151CFB">
      <w:pPr>
        <w:spacing w:before="0" w:after="120"/>
      </w:pPr>
      <w:r w:rsidRPr="003576BA">
        <w:t>Univerzita Palackého v</w:t>
      </w:r>
      <w:r w:rsidR="00942D64">
        <w:t> </w:t>
      </w:r>
      <w:r w:rsidRPr="003576BA">
        <w:t>Olomouci</w:t>
      </w:r>
      <w:r w:rsidR="0057427F">
        <w:t xml:space="preserve"> (dále také „UP</w:t>
      </w:r>
      <w:r w:rsidR="00942D64">
        <w:t>“)</w:t>
      </w:r>
      <w:r>
        <w:t>;</w:t>
      </w:r>
    </w:p>
    <w:p w14:paraId="21B42E6A" w14:textId="632A2FBC" w:rsidR="00151CFB" w:rsidRDefault="00151CFB" w:rsidP="00151CFB">
      <w:pPr>
        <w:spacing w:before="0" w:after="120"/>
      </w:pPr>
      <w:r w:rsidRPr="003576BA">
        <w:t>Univerzita Tomáše Bati ve Zlíně</w:t>
      </w:r>
      <w:r w:rsidR="00942D64">
        <w:t xml:space="preserve"> (dále také „UTB“)</w:t>
      </w:r>
      <w:r>
        <w:t>;</w:t>
      </w:r>
    </w:p>
    <w:p w14:paraId="6910D415" w14:textId="605A7FD5" w:rsidR="00151CFB" w:rsidRPr="00E61477" w:rsidRDefault="00151CFB" w:rsidP="00151CFB">
      <w:pPr>
        <w:spacing w:before="0" w:after="120"/>
        <w:rPr>
          <w:color w:val="000000" w:themeColor="text1"/>
        </w:rPr>
      </w:pPr>
      <w:r w:rsidRPr="003576BA">
        <w:t>Vysoká škola uměleckoprůmyslová v</w:t>
      </w:r>
      <w:r w:rsidR="00942D64">
        <w:t> </w:t>
      </w:r>
      <w:r w:rsidRPr="003576BA">
        <w:t>Praze</w:t>
      </w:r>
      <w:r w:rsidR="00942D64">
        <w:t xml:space="preserve"> (dále také „UMPRUM“)</w:t>
      </w:r>
      <w:r w:rsidR="005C438C">
        <w:t>.</w:t>
      </w:r>
    </w:p>
    <w:p w14:paraId="1CFC73C6" w14:textId="33085CB4" w:rsidR="00802788" w:rsidRPr="00E61477" w:rsidRDefault="00802788" w:rsidP="00E61477">
      <w:pPr>
        <w:spacing w:before="0"/>
        <w:rPr>
          <w:color w:val="000000" w:themeColor="text1"/>
        </w:rPr>
      </w:pPr>
    </w:p>
    <w:p w14:paraId="79C99168" w14:textId="77777777" w:rsidR="00400DB1" w:rsidRPr="00E61477" w:rsidRDefault="00400DB1" w:rsidP="00E61477">
      <w:pPr>
        <w:spacing w:before="0"/>
        <w:rPr>
          <w:color w:val="000000" w:themeColor="text1"/>
        </w:rPr>
      </w:pPr>
    </w:p>
    <w:p w14:paraId="44DC3C3D" w14:textId="21D9DDC3" w:rsidR="00FC307E" w:rsidRPr="00E61477" w:rsidRDefault="00035AAB" w:rsidP="00E61477">
      <w:pPr>
        <w:spacing w:before="0" w:line="360" w:lineRule="auto"/>
        <w:rPr>
          <w:color w:val="000000" w:themeColor="text1"/>
        </w:rPr>
      </w:pPr>
      <w:r w:rsidRPr="00E61477">
        <w:rPr>
          <w:b/>
          <w:i/>
          <w:color w:val="000000" w:themeColor="text1"/>
          <w:spacing w:val="40"/>
        </w:rPr>
        <w:t>Kolegium</w:t>
      </w:r>
      <w:r w:rsidRPr="00E61477">
        <w:rPr>
          <w:b/>
          <w:i/>
          <w:color w:val="000000" w:themeColor="text1"/>
        </w:rPr>
        <w:t xml:space="preserve">   </w:t>
      </w:r>
      <w:r w:rsidRPr="00E61477">
        <w:rPr>
          <w:b/>
          <w:i/>
          <w:color w:val="000000" w:themeColor="text1"/>
          <w:spacing w:val="40"/>
        </w:rPr>
        <w:t>NKÚ</w:t>
      </w:r>
      <w:r w:rsidRPr="00E61477">
        <w:rPr>
          <w:b/>
          <w:i/>
          <w:color w:val="000000" w:themeColor="text1"/>
        </w:rPr>
        <w:t xml:space="preserve">   </w:t>
      </w:r>
      <w:r w:rsidR="0057687C" w:rsidRPr="00E61477">
        <w:rPr>
          <w:color w:val="000000" w:themeColor="text1"/>
        </w:rPr>
        <w:t>na svém</w:t>
      </w:r>
      <w:r w:rsidR="00893C3D">
        <w:rPr>
          <w:color w:val="000000" w:themeColor="text1"/>
        </w:rPr>
        <w:t xml:space="preserve"> VI.</w:t>
      </w:r>
      <w:r w:rsidR="00A85146">
        <w:rPr>
          <w:color w:val="000000" w:themeColor="text1"/>
        </w:rPr>
        <w:t xml:space="preserve"> </w:t>
      </w:r>
      <w:r w:rsidRPr="00E61477">
        <w:rPr>
          <w:color w:val="000000" w:themeColor="text1"/>
        </w:rPr>
        <w:t xml:space="preserve">jednání, </w:t>
      </w:r>
      <w:r w:rsidR="00C42A80" w:rsidRPr="00E61477">
        <w:rPr>
          <w:color w:val="000000" w:themeColor="text1"/>
        </w:rPr>
        <w:t xml:space="preserve">které se konalo dne </w:t>
      </w:r>
      <w:r w:rsidR="00893C3D">
        <w:rPr>
          <w:color w:val="000000" w:themeColor="text1"/>
        </w:rPr>
        <w:t>22. března</w:t>
      </w:r>
      <w:r w:rsidR="00DA5A17">
        <w:rPr>
          <w:color w:val="000000" w:themeColor="text1"/>
        </w:rPr>
        <w:t xml:space="preserve"> 2021</w:t>
      </w:r>
      <w:r w:rsidRPr="00E61477">
        <w:rPr>
          <w:color w:val="000000" w:themeColor="text1"/>
        </w:rPr>
        <w:t>,</w:t>
      </w:r>
    </w:p>
    <w:p w14:paraId="4FFFDAEF" w14:textId="6CFEEC19" w:rsidR="00FC307E" w:rsidRPr="00E61477" w:rsidRDefault="00035AAB" w:rsidP="00E61477">
      <w:pPr>
        <w:spacing w:before="0" w:line="360" w:lineRule="auto"/>
        <w:rPr>
          <w:color w:val="000000" w:themeColor="text1"/>
        </w:rPr>
      </w:pPr>
      <w:r w:rsidRPr="00E61477">
        <w:rPr>
          <w:b/>
          <w:i/>
          <w:color w:val="000000" w:themeColor="text1"/>
          <w:spacing w:val="40"/>
        </w:rPr>
        <w:t>schválilo</w:t>
      </w:r>
      <w:r w:rsidRPr="00E61477">
        <w:rPr>
          <w:b/>
          <w:i/>
          <w:color w:val="000000" w:themeColor="text1"/>
        </w:rPr>
        <w:t xml:space="preserve">   </w:t>
      </w:r>
      <w:r w:rsidR="0057687C" w:rsidRPr="00E61477">
        <w:rPr>
          <w:color w:val="000000" w:themeColor="text1"/>
        </w:rPr>
        <w:t xml:space="preserve">usnesením č. </w:t>
      </w:r>
      <w:r w:rsidR="006555C2">
        <w:rPr>
          <w:color w:val="000000" w:themeColor="text1"/>
        </w:rPr>
        <w:t>10</w:t>
      </w:r>
      <w:r w:rsidR="00893C3D">
        <w:rPr>
          <w:color w:val="000000" w:themeColor="text1"/>
        </w:rPr>
        <w:t>/VI</w:t>
      </w:r>
      <w:r w:rsidR="006218F0">
        <w:rPr>
          <w:color w:val="000000" w:themeColor="text1"/>
        </w:rPr>
        <w:t>/2021</w:t>
      </w:r>
    </w:p>
    <w:p w14:paraId="257ED672" w14:textId="77777777" w:rsidR="00FC307E" w:rsidRPr="00E61477" w:rsidRDefault="00035AAB" w:rsidP="00E61477">
      <w:pPr>
        <w:spacing w:before="0" w:line="360" w:lineRule="auto"/>
        <w:rPr>
          <w:color w:val="000000" w:themeColor="text1"/>
        </w:rPr>
      </w:pPr>
      <w:r w:rsidRPr="00B11EEB">
        <w:rPr>
          <w:b/>
          <w:i/>
          <w:color w:val="000000" w:themeColor="text1"/>
          <w:spacing w:val="40"/>
        </w:rPr>
        <w:t>kontrolní</w:t>
      </w:r>
      <w:r w:rsidRPr="00B11EEB">
        <w:rPr>
          <w:b/>
          <w:i/>
          <w:color w:val="000000" w:themeColor="text1"/>
        </w:rPr>
        <w:t xml:space="preserve">   </w:t>
      </w:r>
      <w:r w:rsidRPr="00B11EEB">
        <w:rPr>
          <w:b/>
          <w:i/>
          <w:color w:val="000000" w:themeColor="text1"/>
          <w:spacing w:val="40"/>
        </w:rPr>
        <w:t>závěr</w:t>
      </w:r>
      <w:r w:rsidRPr="00E61477">
        <w:rPr>
          <w:color w:val="000000" w:themeColor="text1"/>
        </w:rPr>
        <w:t xml:space="preserve">   v tomto znění:</w:t>
      </w:r>
    </w:p>
    <w:p w14:paraId="0DF5A22B" w14:textId="77777777" w:rsidR="00FC307E" w:rsidRPr="00E61477" w:rsidRDefault="00FC307E" w:rsidP="00E61477">
      <w:pPr>
        <w:spacing w:before="0"/>
        <w:rPr>
          <w:color w:val="000000" w:themeColor="text1"/>
        </w:rPr>
      </w:pPr>
    </w:p>
    <w:p w14:paraId="235AFB6D" w14:textId="77777777" w:rsidR="00FC307E" w:rsidRPr="00E61477" w:rsidRDefault="00035AAB" w:rsidP="00E61477">
      <w:pPr>
        <w:spacing w:before="0"/>
        <w:jc w:val="left"/>
        <w:rPr>
          <w:b/>
          <w:noProof/>
          <w:color w:val="000000" w:themeColor="text1"/>
          <w:lang w:eastAsia="cs-CZ"/>
        </w:rPr>
      </w:pPr>
      <w:r w:rsidRPr="00E61477">
        <w:rPr>
          <w:b/>
          <w:noProof/>
          <w:color w:val="000000" w:themeColor="text1"/>
          <w:lang w:eastAsia="cs-CZ"/>
        </w:rPr>
        <w:br w:type="page"/>
      </w:r>
    </w:p>
    <w:p w14:paraId="1DD70FD0" w14:textId="77777777" w:rsidR="00DD0631" w:rsidRDefault="00DD0631" w:rsidP="00DD0631">
      <w:pPr>
        <w:rPr>
          <w:rStyle w:val="A4"/>
          <w:color w:val="B8CCE4" w:themeColor="accent1" w:themeTint="66"/>
          <w:sz w:val="50"/>
          <w:szCs w:val="50"/>
        </w:rPr>
      </w:pPr>
    </w:p>
    <w:p w14:paraId="0266AFF7" w14:textId="77777777" w:rsidR="00DD0631" w:rsidRDefault="00DD0631" w:rsidP="00DD0631">
      <w:pPr>
        <w:rPr>
          <w:rStyle w:val="A4"/>
          <w:color w:val="B8CCE4" w:themeColor="accent1" w:themeTint="66"/>
          <w:sz w:val="50"/>
          <w:szCs w:val="50"/>
        </w:rPr>
      </w:pPr>
    </w:p>
    <w:p w14:paraId="55BC9CB6" w14:textId="77777777" w:rsidR="00DD0631" w:rsidRDefault="00DD0631" w:rsidP="00DD0631">
      <w:pPr>
        <w:rPr>
          <w:rStyle w:val="A4"/>
          <w:color w:val="B8CCE4" w:themeColor="accent1" w:themeTint="66"/>
          <w:sz w:val="50"/>
          <w:szCs w:val="50"/>
        </w:rPr>
      </w:pPr>
    </w:p>
    <w:p w14:paraId="73AEA2C0" w14:textId="77777777" w:rsidR="00DD0631" w:rsidRDefault="00DD0631" w:rsidP="00DD0631">
      <w:pPr>
        <w:rPr>
          <w:rStyle w:val="A4"/>
          <w:color w:val="B8CCE4" w:themeColor="accent1" w:themeTint="66"/>
          <w:sz w:val="50"/>
          <w:szCs w:val="50"/>
        </w:rPr>
      </w:pPr>
    </w:p>
    <w:p w14:paraId="59376B14" w14:textId="7C6CC42B" w:rsidR="00DD0631" w:rsidRDefault="00DD0631" w:rsidP="00DD0631">
      <w:pPr>
        <w:rPr>
          <w:rStyle w:val="A4"/>
          <w:color w:val="B8CCE4" w:themeColor="accent1" w:themeTint="66"/>
          <w:sz w:val="50"/>
          <w:szCs w:val="50"/>
        </w:rPr>
      </w:pPr>
      <w:r>
        <w:rPr>
          <w:rStyle w:val="A4"/>
          <w:color w:val="B8CCE4" w:themeColor="accent1" w:themeTint="66"/>
          <w:sz w:val="50"/>
          <w:szCs w:val="50"/>
        </w:rPr>
        <w:t>Veřejné vysoké školy</w:t>
      </w:r>
    </w:p>
    <w:p w14:paraId="3E13D3C1" w14:textId="77777777" w:rsidR="00DD0631" w:rsidRPr="00383FAC" w:rsidRDefault="00DD0631" w:rsidP="00DD0631">
      <w:pPr>
        <w:rPr>
          <w:rStyle w:val="A1"/>
          <w:rFonts w:ascii="Calibri Light" w:hAnsi="Calibri Light" w:cs="Calibri Ligh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0631" w14:paraId="06B3682D" w14:textId="77777777" w:rsidTr="00DD0631">
        <w:trPr>
          <w:trHeight w:val="1918"/>
        </w:trPr>
        <w:tc>
          <w:tcPr>
            <w:tcW w:w="3020" w:type="dxa"/>
          </w:tcPr>
          <w:p w14:paraId="19AF65C3" w14:textId="77777777" w:rsidR="00DD0631" w:rsidRDefault="00DD0631" w:rsidP="00DD063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26</w:t>
            </w:r>
          </w:p>
          <w:p w14:paraId="78DFAAB9" w14:textId="77777777" w:rsidR="00DD0631" w:rsidRPr="00DD0631" w:rsidRDefault="00DD0631" w:rsidP="00DD0631">
            <w:pPr>
              <w:jc w:val="center"/>
              <w:rPr>
                <w:rStyle w:val="A1"/>
                <w:b/>
                <w:bCs/>
                <w:sz w:val="24"/>
                <w:szCs w:val="24"/>
              </w:rPr>
            </w:pPr>
            <w:r w:rsidRPr="00DD0631">
              <w:t>Počet veřejných vysokých škol</w:t>
            </w:r>
          </w:p>
        </w:tc>
        <w:tc>
          <w:tcPr>
            <w:tcW w:w="3021" w:type="dxa"/>
          </w:tcPr>
          <w:p w14:paraId="37A586F3" w14:textId="77777777" w:rsidR="00DD0631" w:rsidRDefault="00DD0631" w:rsidP="00DD063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91 %</w:t>
            </w:r>
          </w:p>
          <w:p w14:paraId="6436E8F9" w14:textId="7A71E199" w:rsidR="00DD0631" w:rsidRPr="000B70F1" w:rsidRDefault="00DD0631" w:rsidP="00DD0631">
            <w:pPr>
              <w:jc w:val="center"/>
              <w:rPr>
                <w:rStyle w:val="A1"/>
                <w:color w:val="auto"/>
                <w:sz w:val="20"/>
                <w:szCs w:val="20"/>
              </w:rPr>
            </w:pPr>
            <w:r>
              <w:t>Podíl vysokoškolských studentů</w:t>
            </w:r>
            <w:r w:rsidRPr="005930A6">
              <w:t xml:space="preserve"> </w:t>
            </w:r>
            <w:r w:rsidR="00552776">
              <w:t xml:space="preserve">studujících </w:t>
            </w:r>
            <w:r w:rsidRPr="005930A6">
              <w:t>na veřejných vysokých školách</w:t>
            </w:r>
          </w:p>
        </w:tc>
        <w:tc>
          <w:tcPr>
            <w:tcW w:w="3021" w:type="dxa"/>
          </w:tcPr>
          <w:p w14:paraId="29948A5A" w14:textId="5C2BFF53" w:rsidR="00DD0631" w:rsidRDefault="00DD0631" w:rsidP="00DD0631">
            <w:pPr>
              <w:jc w:val="center"/>
              <w:rPr>
                <w:rStyle w:val="A5"/>
              </w:rPr>
            </w:pPr>
            <w:r>
              <w:rPr>
                <w:b/>
                <w:bCs/>
                <w:sz w:val="40"/>
                <w:szCs w:val="40"/>
              </w:rPr>
              <w:t>45 mld. Kč</w:t>
            </w:r>
          </w:p>
          <w:p w14:paraId="1CC32D73" w14:textId="23B149C6" w:rsidR="00DD0631" w:rsidRPr="002D0F91" w:rsidRDefault="001141B2" w:rsidP="00DD0631">
            <w:pPr>
              <w:rPr>
                <w:rStyle w:val="A1"/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cstheme="minorHAnsi"/>
              </w:rPr>
              <w:t xml:space="preserve">Výdaje MŠMT na </w:t>
            </w:r>
            <w:r w:rsidR="00DD0631">
              <w:rPr>
                <w:rFonts w:cstheme="minorHAnsi"/>
              </w:rPr>
              <w:t xml:space="preserve">veřejné vysoké školy </w:t>
            </w:r>
            <w:r w:rsidR="00DD0631" w:rsidRPr="005930A6">
              <w:rPr>
                <w:rFonts w:cstheme="minorHAnsi"/>
              </w:rPr>
              <w:t>v roce 2019</w:t>
            </w:r>
          </w:p>
        </w:tc>
      </w:tr>
      <w:tr w:rsidR="00D908A5" w14:paraId="2B8701FC" w14:textId="77777777" w:rsidTr="00DD0631">
        <w:tc>
          <w:tcPr>
            <w:tcW w:w="3020" w:type="dxa"/>
          </w:tcPr>
          <w:p w14:paraId="51DA3004" w14:textId="382ABB60" w:rsidR="00D908A5" w:rsidRDefault="00C87F97" w:rsidP="00D908A5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  <w:r w:rsidR="009526E4">
              <w:rPr>
                <w:rStyle w:val="A5"/>
              </w:rPr>
              <w:t xml:space="preserve"> mld. Kč</w:t>
            </w:r>
          </w:p>
          <w:p w14:paraId="2BB04032" w14:textId="69AEBE71" w:rsidR="00D908A5" w:rsidRDefault="00D908A5" w:rsidP="0091119B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F306AA">
              <w:t>N</w:t>
            </w:r>
            <w:r w:rsidRPr="00B27687">
              <w:t xml:space="preserve">árůst prostředků </w:t>
            </w:r>
            <w:r w:rsidRPr="00F306AA">
              <w:t xml:space="preserve">za počet studentů </w:t>
            </w:r>
            <w:r w:rsidR="00D92F81">
              <w:t>mezi roky 2014 a </w:t>
            </w:r>
            <w:r w:rsidR="0091119B">
              <w:t>2020</w:t>
            </w:r>
            <w:r w:rsidR="009526E4">
              <w:t>, a to</w:t>
            </w:r>
            <w:r w:rsidR="009526E4" w:rsidRPr="00F306AA">
              <w:t xml:space="preserve"> </w:t>
            </w:r>
            <w:r w:rsidRPr="00F306AA">
              <w:t>na úkor</w:t>
            </w:r>
            <w:r w:rsidRPr="00B27687">
              <w:t xml:space="preserve"> pokles</w:t>
            </w:r>
            <w:r w:rsidRPr="00F306AA">
              <w:t>u</w:t>
            </w:r>
            <w:r w:rsidRPr="00B27687">
              <w:t xml:space="preserve"> motivační složky za dosažené výsledky</w:t>
            </w:r>
            <w:r w:rsidR="009526E4">
              <w:t xml:space="preserve"> </w:t>
            </w:r>
          </w:p>
        </w:tc>
        <w:tc>
          <w:tcPr>
            <w:tcW w:w="3021" w:type="dxa"/>
          </w:tcPr>
          <w:p w14:paraId="19E32DDE" w14:textId="3F2C1746" w:rsidR="00D908A5" w:rsidRDefault="009526E4" w:rsidP="00D908A5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29</w:t>
            </w:r>
            <w:r w:rsidR="009716E4">
              <w:rPr>
                <w:rStyle w:val="A5"/>
              </w:rPr>
              <w:t>.</w:t>
            </w:r>
          </w:p>
          <w:p w14:paraId="1EB0E340" w14:textId="449B407C" w:rsidR="00D908A5" w:rsidRPr="002D0F91" w:rsidRDefault="00D908A5" w:rsidP="002F33B6">
            <w:pPr>
              <w:jc w:val="center"/>
              <w:rPr>
                <w:rStyle w:val="A1"/>
                <w:rFonts w:ascii="Calibri Light" w:hAnsi="Calibri Light" w:cs="Calibri Light"/>
                <w:sz w:val="20"/>
                <w:szCs w:val="20"/>
              </w:rPr>
            </w:pPr>
            <w:r>
              <w:t>P</w:t>
            </w:r>
            <w:r w:rsidR="009526E4">
              <w:t>ořadí</w:t>
            </w:r>
            <w:r>
              <w:t xml:space="preserve"> ČR v žebříčku hodnotícím vysokoškolské systémy 50 zemí </w:t>
            </w:r>
            <w:r w:rsidR="009526E4">
              <w:t>v roce 2020</w:t>
            </w:r>
            <w:r w:rsidR="006A46A9">
              <w:t>. Za poslední čtyři roky se jedná o pokles o sedm míst</w:t>
            </w:r>
          </w:p>
        </w:tc>
        <w:tc>
          <w:tcPr>
            <w:tcW w:w="3021" w:type="dxa"/>
          </w:tcPr>
          <w:p w14:paraId="6C3789C7" w14:textId="2A7778AE" w:rsidR="00D908A5" w:rsidRDefault="00D908A5" w:rsidP="00D908A5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15 %</w:t>
            </w:r>
          </w:p>
          <w:p w14:paraId="2456A865" w14:textId="1305A3CD" w:rsidR="00D908A5" w:rsidRPr="002D0F91" w:rsidRDefault="00D908A5" w:rsidP="0037170A">
            <w:pPr>
              <w:jc w:val="center"/>
              <w:rPr>
                <w:rStyle w:val="A1"/>
                <w:rFonts w:ascii="Calibri Light" w:hAnsi="Calibri Light" w:cs="Calibri Light"/>
                <w:sz w:val="20"/>
                <w:szCs w:val="20"/>
              </w:rPr>
            </w:pPr>
            <w:r w:rsidRPr="00D908A5">
              <w:t>Zastoupení vysokoškoláků na pozicích nevyžadu</w:t>
            </w:r>
            <w:r w:rsidR="00D92F81">
              <w:t>jících vysokoškolské vzdělání v </w:t>
            </w:r>
            <w:r w:rsidRPr="00D908A5">
              <w:t>roce 2019</w:t>
            </w:r>
          </w:p>
        </w:tc>
      </w:tr>
    </w:tbl>
    <w:p w14:paraId="6103E2C0" w14:textId="5C30F59A" w:rsidR="000413F5" w:rsidRDefault="000413F5">
      <w:pPr>
        <w:spacing w:before="0"/>
        <w:jc w:val="left"/>
        <w:rPr>
          <w:b/>
          <w:sz w:val="28"/>
        </w:rPr>
      </w:pPr>
    </w:p>
    <w:p w14:paraId="0CEB1864" w14:textId="0FEE4DD7" w:rsidR="00C91C82" w:rsidRDefault="00C91C82">
      <w:pPr>
        <w:spacing w:befor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62DDA42" w14:textId="58854D16" w:rsidR="00E61477" w:rsidRDefault="00E61477" w:rsidP="00C50C07">
      <w:pPr>
        <w:keepNext/>
        <w:spacing w:before="240" w:after="240"/>
        <w:ind w:left="357"/>
        <w:jc w:val="center"/>
        <w:outlineLvl w:val="0"/>
        <w:rPr>
          <w:b/>
          <w:sz w:val="28"/>
        </w:rPr>
      </w:pPr>
      <w:r w:rsidRPr="00E61477">
        <w:rPr>
          <w:b/>
          <w:sz w:val="28"/>
        </w:rPr>
        <w:lastRenderedPageBreak/>
        <w:t>I. </w:t>
      </w:r>
      <w:r w:rsidR="00C866CB" w:rsidRPr="00E61477">
        <w:rPr>
          <w:b/>
          <w:sz w:val="28"/>
        </w:rPr>
        <w:t>Shrnutí a vyhodnocení</w:t>
      </w:r>
    </w:p>
    <w:p w14:paraId="17E24909" w14:textId="6C43942B" w:rsidR="00E61477" w:rsidRPr="00E61477" w:rsidRDefault="00D6528C" w:rsidP="00D338FD">
      <w:pPr>
        <w:spacing w:before="0" w:after="120"/>
      </w:pPr>
      <w:r w:rsidRPr="00804473">
        <w:t>NKÚ prověřil,</w:t>
      </w:r>
      <w:r w:rsidR="00AD08D7" w:rsidRPr="00804473">
        <w:t xml:space="preserve"> </w:t>
      </w:r>
      <w:r w:rsidR="00AD08D7" w:rsidRPr="00804473">
        <w:rPr>
          <w:rFonts w:eastAsiaTheme="minorHAnsi" w:cstheme="minorHAnsi"/>
        </w:rPr>
        <w:t>zda</w:t>
      </w:r>
      <w:r w:rsidR="00AD08D7" w:rsidRPr="00AD08D7">
        <w:rPr>
          <w:rFonts w:eastAsiaTheme="minorHAnsi" w:cstheme="minorHAnsi"/>
        </w:rPr>
        <w:t xml:space="preserve"> dosavadní způsob financování veřejných vysokých škol</w:t>
      </w:r>
      <w:r w:rsidR="007C15F1">
        <w:rPr>
          <w:rFonts w:eastAsiaTheme="minorHAnsi" w:cstheme="minorHAnsi"/>
        </w:rPr>
        <w:t xml:space="preserve"> (dále také „VVŠ“)</w:t>
      </w:r>
      <w:r w:rsidR="00AD08D7" w:rsidRPr="00AD08D7">
        <w:rPr>
          <w:rFonts w:eastAsiaTheme="minorHAnsi" w:cstheme="minorHAnsi"/>
        </w:rPr>
        <w:t xml:space="preserve"> motivuje vysoké školy ke zvyšování kvality jejich činnosti a je zacílen na naplňování státem stanovených potřeb. </w:t>
      </w:r>
      <w:r w:rsidR="00F423A7">
        <w:t>Kontrola</w:t>
      </w:r>
      <w:r w:rsidR="00AD08D7" w:rsidRPr="00AD08D7">
        <w:t xml:space="preserve"> byla zaměřena </w:t>
      </w:r>
      <w:r w:rsidR="009506B2">
        <w:t>zejména</w:t>
      </w:r>
      <w:r w:rsidR="00AD08D7" w:rsidRPr="00AD08D7">
        <w:t xml:space="preserve"> na stanovení potřeb a cílů, způsob monitorování jejich plnění</w:t>
      </w:r>
      <w:r w:rsidR="009506B2">
        <w:t xml:space="preserve"> a</w:t>
      </w:r>
      <w:r w:rsidR="00AD08D7" w:rsidRPr="00AD08D7">
        <w:t xml:space="preserve"> </w:t>
      </w:r>
      <w:r w:rsidR="00BF1834">
        <w:t>mechanismus rozdělování podpory.</w:t>
      </w:r>
    </w:p>
    <w:p w14:paraId="259FE669" w14:textId="5B00249A" w:rsidR="00D338FD" w:rsidRDefault="00F87B8A" w:rsidP="00D338FD">
      <w:pPr>
        <w:spacing w:before="0" w:after="120"/>
        <w:rPr>
          <w:b/>
          <w:bCs/>
        </w:rPr>
      </w:pPr>
      <w:r>
        <w:rPr>
          <w:b/>
          <w:bCs/>
        </w:rPr>
        <w:t>MŠMT</w:t>
      </w:r>
      <w:r w:rsidR="00D338FD">
        <w:rPr>
          <w:b/>
          <w:bCs/>
        </w:rPr>
        <w:t xml:space="preserve"> </w:t>
      </w:r>
      <w:r w:rsidR="00012C97">
        <w:rPr>
          <w:b/>
          <w:bCs/>
        </w:rPr>
        <w:t>stanovilo společenské potřeby</w:t>
      </w:r>
      <w:r w:rsidR="00D338FD">
        <w:rPr>
          <w:b/>
          <w:bCs/>
        </w:rPr>
        <w:t xml:space="preserve">, které mají vysoké </w:t>
      </w:r>
      <w:r w:rsidR="00804473">
        <w:rPr>
          <w:b/>
          <w:bCs/>
        </w:rPr>
        <w:t xml:space="preserve">školy </w:t>
      </w:r>
      <w:r w:rsidR="001F7A5C">
        <w:rPr>
          <w:b/>
          <w:bCs/>
        </w:rPr>
        <w:t>plnit</w:t>
      </w:r>
      <w:r w:rsidR="005238CC">
        <w:rPr>
          <w:rStyle w:val="Znakapoznpodarou"/>
          <w:b/>
          <w:bCs/>
        </w:rPr>
        <w:footnoteReference w:id="1"/>
      </w:r>
      <w:r w:rsidR="00F423A7">
        <w:rPr>
          <w:b/>
          <w:bCs/>
        </w:rPr>
        <w:t>. T</w:t>
      </w:r>
      <w:r w:rsidR="00804473">
        <w:rPr>
          <w:b/>
          <w:bCs/>
        </w:rPr>
        <w:t>yto</w:t>
      </w:r>
      <w:r w:rsidR="00D338FD">
        <w:rPr>
          <w:b/>
          <w:bCs/>
        </w:rPr>
        <w:t xml:space="preserve"> </w:t>
      </w:r>
      <w:r w:rsidR="00804473">
        <w:rPr>
          <w:b/>
          <w:bCs/>
        </w:rPr>
        <w:t xml:space="preserve">potřeby </w:t>
      </w:r>
      <w:r w:rsidR="00F423A7">
        <w:rPr>
          <w:b/>
          <w:bCs/>
        </w:rPr>
        <w:t xml:space="preserve">však </w:t>
      </w:r>
      <w:r w:rsidR="00F03724">
        <w:rPr>
          <w:b/>
          <w:bCs/>
        </w:rPr>
        <w:t>nejsou</w:t>
      </w:r>
      <w:r w:rsidR="00F423A7">
        <w:rPr>
          <w:b/>
          <w:bCs/>
        </w:rPr>
        <w:t xml:space="preserve"> </w:t>
      </w:r>
      <w:r w:rsidR="00D338FD">
        <w:rPr>
          <w:b/>
          <w:bCs/>
        </w:rPr>
        <w:t xml:space="preserve">účelně </w:t>
      </w:r>
      <w:r w:rsidR="00F03724">
        <w:rPr>
          <w:b/>
          <w:bCs/>
        </w:rPr>
        <w:t>naplňovány</w:t>
      </w:r>
      <w:r w:rsidR="00D338FD">
        <w:rPr>
          <w:b/>
          <w:bCs/>
        </w:rPr>
        <w:t>.</w:t>
      </w:r>
      <w:r w:rsidR="00F423A7">
        <w:rPr>
          <w:b/>
          <w:bCs/>
        </w:rPr>
        <w:t xml:space="preserve"> Jednou z hlavních příčin je dosavadní způsob financování</w:t>
      </w:r>
      <w:r w:rsidR="006F1F00">
        <w:rPr>
          <w:b/>
          <w:bCs/>
        </w:rPr>
        <w:t xml:space="preserve"> nastavený MŠMT</w:t>
      </w:r>
      <w:r w:rsidR="00D611E9">
        <w:rPr>
          <w:b/>
          <w:bCs/>
        </w:rPr>
        <w:t>,</w:t>
      </w:r>
      <w:r w:rsidR="00F423A7">
        <w:rPr>
          <w:b/>
          <w:bCs/>
        </w:rPr>
        <w:t xml:space="preserve"> </w:t>
      </w:r>
      <w:r>
        <w:rPr>
          <w:b/>
          <w:bCs/>
        </w:rPr>
        <w:t>který</w:t>
      </w:r>
      <w:r w:rsidR="00D338FD">
        <w:rPr>
          <w:b/>
          <w:bCs/>
        </w:rPr>
        <w:t xml:space="preserve"> </w:t>
      </w:r>
      <w:r w:rsidR="00012C97">
        <w:rPr>
          <w:b/>
          <w:bCs/>
        </w:rPr>
        <w:t>vysoké</w:t>
      </w:r>
      <w:r w:rsidR="00D338FD">
        <w:rPr>
          <w:b/>
          <w:bCs/>
        </w:rPr>
        <w:t xml:space="preserve"> škol</w:t>
      </w:r>
      <w:r w:rsidR="00012C97">
        <w:rPr>
          <w:b/>
          <w:bCs/>
        </w:rPr>
        <w:t>y nemotivuje k</w:t>
      </w:r>
      <w:r w:rsidR="00D338FD">
        <w:rPr>
          <w:b/>
          <w:bCs/>
        </w:rPr>
        <w:t xml:space="preserve"> dlouhodobém</w:t>
      </w:r>
      <w:r w:rsidR="00012C97">
        <w:rPr>
          <w:b/>
          <w:bCs/>
        </w:rPr>
        <w:t>u rozvoji, ke</w:t>
      </w:r>
      <w:r w:rsidR="00D338FD">
        <w:rPr>
          <w:b/>
          <w:bCs/>
        </w:rPr>
        <w:t xml:space="preserve"> zvyšování kvality poskytovaného vzdělání, výzkum</w:t>
      </w:r>
      <w:r w:rsidR="00F423A7">
        <w:rPr>
          <w:b/>
          <w:bCs/>
        </w:rPr>
        <w:t>u a dalších činností</w:t>
      </w:r>
      <w:r w:rsidR="00D338FD">
        <w:rPr>
          <w:b/>
          <w:bCs/>
        </w:rPr>
        <w:t xml:space="preserve">. Zároveň </w:t>
      </w:r>
      <w:r w:rsidR="00D611E9">
        <w:rPr>
          <w:b/>
          <w:bCs/>
        </w:rPr>
        <w:t>MŠMT</w:t>
      </w:r>
      <w:r w:rsidR="00D338FD">
        <w:rPr>
          <w:b/>
          <w:bCs/>
        </w:rPr>
        <w:t xml:space="preserve"> </w:t>
      </w:r>
      <w:r w:rsidR="00D611E9">
        <w:rPr>
          <w:b/>
          <w:bCs/>
        </w:rPr>
        <w:t>nepřijímá</w:t>
      </w:r>
      <w:r w:rsidR="00D338FD">
        <w:rPr>
          <w:b/>
          <w:bCs/>
        </w:rPr>
        <w:t xml:space="preserve"> účinná opatření vedoucí k účelnému využití </w:t>
      </w:r>
      <w:r w:rsidR="00346435">
        <w:rPr>
          <w:b/>
          <w:bCs/>
        </w:rPr>
        <w:t xml:space="preserve">peněžních </w:t>
      </w:r>
      <w:r w:rsidR="00D338FD">
        <w:rPr>
          <w:b/>
          <w:bCs/>
        </w:rPr>
        <w:t>prostředků státního rozpočtu poskytovaných na vysoké školství.</w:t>
      </w:r>
      <w:r w:rsidR="00012C97">
        <w:rPr>
          <w:b/>
          <w:bCs/>
        </w:rPr>
        <w:t xml:space="preserve"> Výdaje MŠMT na veřejné vysoké školy v roce 2019 činily 45 mld. Kč.</w:t>
      </w:r>
    </w:p>
    <w:p w14:paraId="025704AB" w14:textId="3FB6DA96" w:rsidR="00D338FD" w:rsidRDefault="00D338FD" w:rsidP="00D338FD">
      <w:pPr>
        <w:spacing w:before="0" w:after="120"/>
        <w:rPr>
          <w:b/>
          <w:bCs/>
        </w:rPr>
      </w:pPr>
      <w:r>
        <w:rPr>
          <w:b/>
          <w:bCs/>
        </w:rPr>
        <w:t xml:space="preserve">Z mezinárodního srovnání mj. vyplývá, že kvalita českých vysokých škol se nezvyšuje a v hodnocení vysokoškolských systémů se naopak postavení České republiky dlouhodobě zhoršuje. </w:t>
      </w:r>
      <w:r w:rsidR="009E535D">
        <w:rPr>
          <w:b/>
          <w:bCs/>
        </w:rPr>
        <w:t>MŠMT tak neplní d</w:t>
      </w:r>
      <w:r>
        <w:rPr>
          <w:b/>
          <w:bCs/>
        </w:rPr>
        <w:t>louhodobý cíl v podobě zvyšování kvality vysokoškolského systému a činnosti</w:t>
      </w:r>
      <w:r w:rsidR="009E535D">
        <w:rPr>
          <w:b/>
          <w:bCs/>
        </w:rPr>
        <w:t xml:space="preserve"> vysokých škol</w:t>
      </w:r>
      <w:r w:rsidR="001F7A5C">
        <w:rPr>
          <w:b/>
          <w:bCs/>
        </w:rPr>
        <w:t>.</w:t>
      </w:r>
    </w:p>
    <w:p w14:paraId="3FEAE3E7" w14:textId="2373C8E5" w:rsidR="00F423A7" w:rsidRDefault="00D338FD" w:rsidP="00D338FD">
      <w:pPr>
        <w:spacing w:before="0" w:after="120"/>
        <w:rPr>
          <w:b/>
          <w:bCs/>
        </w:rPr>
      </w:pPr>
      <w:r w:rsidRPr="00705E7B">
        <w:rPr>
          <w:b/>
          <w:bCs/>
        </w:rPr>
        <w:t>Dlouhodobé plánování</w:t>
      </w:r>
      <w:r>
        <w:rPr>
          <w:b/>
          <w:bCs/>
        </w:rPr>
        <w:t xml:space="preserve"> rozvoje veřejných vysokých škol je v mnoha případech nekonkrétní. </w:t>
      </w:r>
      <w:r w:rsidR="009E535D">
        <w:rPr>
          <w:b/>
          <w:bCs/>
        </w:rPr>
        <w:t>Vysoké školy využívají poskytovanou podporu zejména k naplňování krátkodobých potřeb</w:t>
      </w:r>
      <w:r w:rsidR="006D7BED">
        <w:rPr>
          <w:b/>
          <w:bCs/>
        </w:rPr>
        <w:t>, a to</w:t>
      </w:r>
      <w:r w:rsidR="009E535D">
        <w:rPr>
          <w:b/>
          <w:bCs/>
        </w:rPr>
        <w:t xml:space="preserve"> kvůli tomu, že</w:t>
      </w:r>
      <w:r>
        <w:rPr>
          <w:b/>
          <w:bCs/>
        </w:rPr>
        <w:t xml:space="preserve"> </w:t>
      </w:r>
      <w:r w:rsidR="009E535D">
        <w:rPr>
          <w:b/>
          <w:bCs/>
        </w:rPr>
        <w:t>dlouhodobé plány jejich</w:t>
      </w:r>
      <w:r>
        <w:rPr>
          <w:b/>
          <w:bCs/>
        </w:rPr>
        <w:t xml:space="preserve"> rozvoje </w:t>
      </w:r>
      <w:r w:rsidR="009E535D">
        <w:rPr>
          <w:b/>
          <w:bCs/>
        </w:rPr>
        <w:t>jsou obecné, chybí adekvátní</w:t>
      </w:r>
      <w:r>
        <w:rPr>
          <w:b/>
          <w:bCs/>
        </w:rPr>
        <w:t xml:space="preserve"> vyhodnoc</w:t>
      </w:r>
      <w:r w:rsidR="009E535D">
        <w:rPr>
          <w:b/>
          <w:bCs/>
        </w:rPr>
        <w:t>ování plnění dlouhodobých cílů a z</w:t>
      </w:r>
      <w:r>
        <w:rPr>
          <w:b/>
          <w:bCs/>
        </w:rPr>
        <w:t xml:space="preserve">působ poskytování prostředků </w:t>
      </w:r>
      <w:r w:rsidR="009E535D">
        <w:rPr>
          <w:b/>
          <w:bCs/>
        </w:rPr>
        <w:t>od</w:t>
      </w:r>
      <w:r>
        <w:rPr>
          <w:b/>
          <w:bCs/>
        </w:rPr>
        <w:t xml:space="preserve"> státu</w:t>
      </w:r>
      <w:r w:rsidR="009E535D">
        <w:rPr>
          <w:b/>
          <w:bCs/>
        </w:rPr>
        <w:t xml:space="preserve"> není pro vysoké školy </w:t>
      </w:r>
      <w:r w:rsidR="001141B2">
        <w:rPr>
          <w:b/>
          <w:bCs/>
        </w:rPr>
        <w:t xml:space="preserve">příliš </w:t>
      </w:r>
      <w:r w:rsidR="009E535D">
        <w:rPr>
          <w:b/>
          <w:bCs/>
        </w:rPr>
        <w:t>motivační</w:t>
      </w:r>
      <w:r>
        <w:rPr>
          <w:b/>
          <w:bCs/>
        </w:rPr>
        <w:t xml:space="preserve">. </w:t>
      </w:r>
      <w:r w:rsidR="00F87B8A">
        <w:rPr>
          <w:b/>
          <w:bCs/>
        </w:rPr>
        <w:t xml:space="preserve">Důkazem toho je například nízká schopnost čerpat ze státního rozpočtu </w:t>
      </w:r>
      <w:r w:rsidR="00346435">
        <w:rPr>
          <w:b/>
          <w:bCs/>
        </w:rPr>
        <w:t xml:space="preserve">peněžní </w:t>
      </w:r>
      <w:r w:rsidR="00F87B8A">
        <w:rPr>
          <w:b/>
          <w:bCs/>
        </w:rPr>
        <w:t>prostředky na dlouhodobé investiční záměry.</w:t>
      </w:r>
    </w:p>
    <w:p w14:paraId="1CFFF6AE" w14:textId="57E5B603" w:rsidR="007B6777" w:rsidRDefault="00665CDB" w:rsidP="00D338FD">
      <w:pPr>
        <w:spacing w:before="0" w:after="120"/>
        <w:rPr>
          <w:b/>
          <w:bCs/>
          <w:color w:val="auto"/>
        </w:rPr>
      </w:pPr>
      <w:r w:rsidRPr="00B44B19">
        <w:rPr>
          <w:b/>
          <w:bCs/>
          <w:color w:val="auto"/>
        </w:rPr>
        <w:t>Přestože je dle analýzy MŠMT</w:t>
      </w:r>
      <w:r>
        <w:rPr>
          <w:b/>
          <w:bCs/>
          <w:color w:val="auto"/>
        </w:rPr>
        <w:t xml:space="preserve"> ve vysokém školství nedostatek</w:t>
      </w:r>
      <w:r w:rsidR="00F45C89">
        <w:rPr>
          <w:b/>
          <w:bCs/>
          <w:color w:val="auto"/>
        </w:rPr>
        <w:t xml:space="preserve"> </w:t>
      </w:r>
      <w:r w:rsidR="0061733C">
        <w:rPr>
          <w:b/>
          <w:bCs/>
          <w:color w:val="auto"/>
        </w:rPr>
        <w:t>prostředků</w:t>
      </w:r>
      <w:r>
        <w:rPr>
          <w:b/>
          <w:bCs/>
          <w:color w:val="auto"/>
        </w:rPr>
        <w:t>,</w:t>
      </w:r>
      <w:r w:rsidR="00F45C89">
        <w:rPr>
          <w:b/>
          <w:bCs/>
          <w:color w:val="auto"/>
        </w:rPr>
        <w:t xml:space="preserve"> </w:t>
      </w:r>
      <w:r w:rsidR="00042150">
        <w:rPr>
          <w:b/>
          <w:bCs/>
          <w:color w:val="auto"/>
        </w:rPr>
        <w:t>v</w:t>
      </w:r>
      <w:r w:rsidR="00D611E9" w:rsidRPr="00D611E9">
        <w:rPr>
          <w:b/>
          <w:bCs/>
          <w:color w:val="auto"/>
        </w:rPr>
        <w:t>eřejné v</w:t>
      </w:r>
      <w:r w:rsidR="00F87B8A" w:rsidRPr="00D611E9">
        <w:rPr>
          <w:b/>
          <w:bCs/>
          <w:color w:val="auto"/>
        </w:rPr>
        <w:t xml:space="preserve">ysoké školy </w:t>
      </w:r>
      <w:r w:rsidR="00042150">
        <w:rPr>
          <w:b/>
          <w:bCs/>
          <w:color w:val="auto"/>
        </w:rPr>
        <w:t>opakovaně nevyužily disponibilní</w:t>
      </w:r>
      <w:r w:rsidR="00346435">
        <w:rPr>
          <w:b/>
          <w:bCs/>
          <w:color w:val="auto"/>
        </w:rPr>
        <w:t xml:space="preserve"> prostředky</w:t>
      </w:r>
      <w:r w:rsidR="00D338FD" w:rsidRPr="00D611E9">
        <w:rPr>
          <w:b/>
          <w:bCs/>
          <w:color w:val="auto"/>
        </w:rPr>
        <w:t xml:space="preserve"> a </w:t>
      </w:r>
      <w:r w:rsidR="00D611E9" w:rsidRPr="00D611E9">
        <w:rPr>
          <w:b/>
          <w:bCs/>
          <w:color w:val="auto"/>
        </w:rPr>
        <w:t>každoročně navyšovaly zůstatky svých fondů</w:t>
      </w:r>
      <w:r w:rsidR="00A05EA4" w:rsidRPr="00D611E9">
        <w:rPr>
          <w:b/>
          <w:bCs/>
          <w:color w:val="auto"/>
        </w:rPr>
        <w:t xml:space="preserve">. </w:t>
      </w:r>
      <w:r w:rsidR="00F87B8A" w:rsidRPr="00D611E9">
        <w:rPr>
          <w:b/>
          <w:bCs/>
          <w:color w:val="auto"/>
        </w:rPr>
        <w:t xml:space="preserve">K navyšování </w:t>
      </w:r>
      <w:r w:rsidR="002F129A">
        <w:rPr>
          <w:b/>
          <w:bCs/>
          <w:color w:val="auto"/>
        </w:rPr>
        <w:t xml:space="preserve">fondů </w:t>
      </w:r>
      <w:r w:rsidR="00F87B8A" w:rsidRPr="00D611E9">
        <w:rPr>
          <w:b/>
          <w:bCs/>
          <w:color w:val="auto"/>
        </w:rPr>
        <w:t xml:space="preserve">dochází </w:t>
      </w:r>
      <w:r w:rsidR="002F129A">
        <w:rPr>
          <w:b/>
          <w:bCs/>
          <w:color w:val="auto"/>
        </w:rPr>
        <w:t xml:space="preserve">i </w:t>
      </w:r>
      <w:r w:rsidR="00D338FD" w:rsidRPr="00D611E9">
        <w:rPr>
          <w:b/>
          <w:bCs/>
          <w:color w:val="auto"/>
        </w:rPr>
        <w:t xml:space="preserve">přesto, že výše výdajů na studenta je v mezinárodním srovnání nízká. </w:t>
      </w:r>
    </w:p>
    <w:p w14:paraId="7A90BD63" w14:textId="2BEEC5FF" w:rsidR="00042150" w:rsidRDefault="00D338FD" w:rsidP="00D338FD">
      <w:pPr>
        <w:spacing w:before="0" w:after="120"/>
        <w:rPr>
          <w:b/>
          <w:bCs/>
        </w:rPr>
      </w:pPr>
      <w:r w:rsidRPr="00D611E9">
        <w:rPr>
          <w:b/>
          <w:bCs/>
          <w:color w:val="auto"/>
        </w:rPr>
        <w:t>Problémem je i</w:t>
      </w:r>
      <w:r w:rsidR="00FA6C4F">
        <w:rPr>
          <w:b/>
          <w:bCs/>
          <w:color w:val="auto"/>
        </w:rPr>
        <w:t xml:space="preserve"> </w:t>
      </w:r>
      <w:r w:rsidRPr="00D611E9">
        <w:rPr>
          <w:b/>
          <w:bCs/>
          <w:color w:val="auto"/>
        </w:rPr>
        <w:t xml:space="preserve">snížená schopnost vysokých škol získávat prostředky </w:t>
      </w:r>
      <w:r w:rsidR="00042150">
        <w:rPr>
          <w:b/>
          <w:bCs/>
          <w:color w:val="auto"/>
        </w:rPr>
        <w:t>na výzkum a vývoj v mezinárodních grantových soutěžích</w:t>
      </w:r>
      <w:r w:rsidRPr="00D611E9">
        <w:rPr>
          <w:b/>
          <w:bCs/>
          <w:color w:val="auto"/>
        </w:rPr>
        <w:t xml:space="preserve"> a </w:t>
      </w:r>
      <w:r w:rsidR="00042150">
        <w:rPr>
          <w:b/>
          <w:bCs/>
          <w:color w:val="auto"/>
        </w:rPr>
        <w:t>v rámci</w:t>
      </w:r>
      <w:r w:rsidRPr="00D611E9">
        <w:rPr>
          <w:b/>
          <w:bCs/>
          <w:color w:val="auto"/>
        </w:rPr>
        <w:t xml:space="preserve"> spolupráce se soukromým sek</w:t>
      </w:r>
      <w:r w:rsidR="00042150">
        <w:rPr>
          <w:b/>
          <w:bCs/>
          <w:color w:val="auto"/>
        </w:rPr>
        <w:t>torem.</w:t>
      </w:r>
      <w:r w:rsidR="007B6777">
        <w:rPr>
          <w:b/>
          <w:bCs/>
          <w:color w:val="auto"/>
        </w:rPr>
        <w:t xml:space="preserve"> </w:t>
      </w:r>
      <w:r w:rsidR="00457CA5">
        <w:rPr>
          <w:b/>
          <w:bCs/>
        </w:rPr>
        <w:t>Dosažené výsledky</w:t>
      </w:r>
      <w:r w:rsidR="00457CA5">
        <w:rPr>
          <w:b/>
          <w:bCs/>
          <w:color w:val="auto"/>
        </w:rPr>
        <w:t xml:space="preserve"> českých vysokých škol v</w:t>
      </w:r>
      <w:r w:rsidR="006D7BED">
        <w:rPr>
          <w:b/>
          <w:bCs/>
          <w:color w:val="auto"/>
        </w:rPr>
        <w:t>e výzkumu</w:t>
      </w:r>
      <w:r w:rsidR="00457CA5">
        <w:rPr>
          <w:b/>
          <w:bCs/>
          <w:color w:val="auto"/>
        </w:rPr>
        <w:t xml:space="preserve"> vypovídají o jeho </w:t>
      </w:r>
      <w:r w:rsidR="00457CA5">
        <w:rPr>
          <w:b/>
          <w:bCs/>
        </w:rPr>
        <w:t xml:space="preserve">zhoršující se kvalitě a relevanci. </w:t>
      </w:r>
      <w:r w:rsidR="00422203" w:rsidRPr="00422203">
        <w:rPr>
          <w:b/>
          <w:bCs/>
        </w:rPr>
        <w:t>Stále se zde projevuje systém hodnocení a financování výzkumu, který byl zaměřen zejména na kvantitu</w:t>
      </w:r>
      <w:r w:rsidR="00CD7777">
        <w:rPr>
          <w:b/>
          <w:bCs/>
        </w:rPr>
        <w:t>,</w:t>
      </w:r>
      <w:r w:rsidR="00422203" w:rsidRPr="00422203">
        <w:rPr>
          <w:b/>
          <w:bCs/>
        </w:rPr>
        <w:t xml:space="preserve"> a ne na kvalitu.</w:t>
      </w:r>
      <w:r w:rsidR="007B6777">
        <w:rPr>
          <w:b/>
          <w:bCs/>
        </w:rPr>
        <w:t xml:space="preserve"> Podpora této oblasti nebyla účelná.</w:t>
      </w:r>
    </w:p>
    <w:p w14:paraId="484F6DE5" w14:textId="022E8216" w:rsidR="00863583" w:rsidRPr="00D611E9" w:rsidRDefault="002E18DB" w:rsidP="00D338FD">
      <w:pPr>
        <w:spacing w:before="0" w:after="120"/>
        <w:rPr>
          <w:b/>
          <w:bCs/>
          <w:color w:val="auto"/>
        </w:rPr>
      </w:pPr>
      <w:r>
        <w:rPr>
          <w:b/>
          <w:bCs/>
          <w:color w:val="auto"/>
        </w:rPr>
        <w:t xml:space="preserve">ČR </w:t>
      </w:r>
      <w:r w:rsidR="00457CA5">
        <w:rPr>
          <w:b/>
          <w:bCs/>
          <w:color w:val="auto"/>
        </w:rPr>
        <w:t xml:space="preserve">ve srovnání s jinými zeměmi </w:t>
      </w:r>
      <w:r>
        <w:rPr>
          <w:b/>
          <w:bCs/>
          <w:color w:val="auto"/>
        </w:rPr>
        <w:t>ve velké</w:t>
      </w:r>
      <w:r w:rsidR="00457CA5">
        <w:rPr>
          <w:b/>
          <w:bCs/>
          <w:color w:val="auto"/>
        </w:rPr>
        <w:t xml:space="preserve"> míře upřednostňuje</w:t>
      </w:r>
      <w:r>
        <w:rPr>
          <w:b/>
          <w:bCs/>
          <w:color w:val="auto"/>
        </w:rPr>
        <w:t xml:space="preserve"> magisterské vzdělání před bakalářským</w:t>
      </w:r>
      <w:r w:rsidR="00863583" w:rsidRPr="00863583">
        <w:rPr>
          <w:b/>
          <w:bCs/>
          <w:color w:val="auto"/>
        </w:rPr>
        <w:t xml:space="preserve">. </w:t>
      </w:r>
      <w:r w:rsidR="00457CA5">
        <w:rPr>
          <w:b/>
          <w:bCs/>
          <w:color w:val="auto"/>
        </w:rPr>
        <w:t>MŠMT zavedlo o</w:t>
      </w:r>
      <w:r w:rsidR="00863583" w:rsidRPr="00863583">
        <w:rPr>
          <w:b/>
          <w:bCs/>
          <w:color w:val="auto"/>
        </w:rPr>
        <w:t>patření</w:t>
      </w:r>
      <w:r w:rsidR="00457CA5">
        <w:rPr>
          <w:b/>
          <w:bCs/>
          <w:color w:val="auto"/>
        </w:rPr>
        <w:t xml:space="preserve">, která měla </w:t>
      </w:r>
      <w:r w:rsidR="00863583" w:rsidRPr="00863583">
        <w:rPr>
          <w:b/>
          <w:bCs/>
          <w:color w:val="auto"/>
        </w:rPr>
        <w:t>zvýš</w:t>
      </w:r>
      <w:r w:rsidR="00457CA5">
        <w:rPr>
          <w:b/>
          <w:bCs/>
          <w:color w:val="auto"/>
        </w:rPr>
        <w:t>it podíl bakalářů a více provázat</w:t>
      </w:r>
      <w:r w:rsidR="00863583" w:rsidRPr="00863583">
        <w:rPr>
          <w:b/>
          <w:bCs/>
          <w:color w:val="auto"/>
        </w:rPr>
        <w:t xml:space="preserve"> studijní</w:t>
      </w:r>
      <w:r w:rsidR="00457CA5">
        <w:rPr>
          <w:b/>
          <w:bCs/>
          <w:color w:val="auto"/>
        </w:rPr>
        <w:t xml:space="preserve"> programy</w:t>
      </w:r>
      <w:r w:rsidR="00863583" w:rsidRPr="00863583">
        <w:rPr>
          <w:b/>
          <w:bCs/>
          <w:color w:val="auto"/>
        </w:rPr>
        <w:t xml:space="preserve"> s požadavky trhu práce</w:t>
      </w:r>
      <w:r w:rsidR="00457CA5">
        <w:rPr>
          <w:b/>
          <w:bCs/>
          <w:color w:val="auto"/>
        </w:rPr>
        <w:t>, pouze částečně a navíc po vel</w:t>
      </w:r>
      <w:r w:rsidR="00863583" w:rsidRPr="00863583">
        <w:rPr>
          <w:b/>
          <w:bCs/>
          <w:color w:val="auto"/>
        </w:rPr>
        <w:t xml:space="preserve">mi dlouhé době. </w:t>
      </w:r>
      <w:r w:rsidR="00457CA5">
        <w:rPr>
          <w:b/>
          <w:bCs/>
          <w:color w:val="auto"/>
        </w:rPr>
        <w:t xml:space="preserve">Studium </w:t>
      </w:r>
      <w:r w:rsidR="00457CA5" w:rsidRPr="00863583">
        <w:rPr>
          <w:b/>
          <w:bCs/>
          <w:color w:val="auto"/>
        </w:rPr>
        <w:t xml:space="preserve">není </w:t>
      </w:r>
      <w:r w:rsidR="00457CA5">
        <w:rPr>
          <w:b/>
          <w:bCs/>
          <w:color w:val="auto"/>
        </w:rPr>
        <w:t xml:space="preserve">příliš </w:t>
      </w:r>
      <w:r w:rsidR="00457CA5" w:rsidRPr="00863583">
        <w:rPr>
          <w:b/>
          <w:bCs/>
          <w:color w:val="auto"/>
        </w:rPr>
        <w:t xml:space="preserve">zaměřeno </w:t>
      </w:r>
      <w:r w:rsidR="00457CA5">
        <w:rPr>
          <w:b/>
          <w:bCs/>
          <w:color w:val="auto"/>
        </w:rPr>
        <w:t>na uplatnění absolventů v praxi a téměř každoročně se</w:t>
      </w:r>
      <w:r w:rsidR="00863583" w:rsidRPr="00863583">
        <w:rPr>
          <w:b/>
          <w:bCs/>
          <w:color w:val="auto"/>
        </w:rPr>
        <w:t xml:space="preserve"> </w:t>
      </w:r>
      <w:r w:rsidR="00D110AE">
        <w:rPr>
          <w:b/>
          <w:bCs/>
          <w:color w:val="auto"/>
        </w:rPr>
        <w:t xml:space="preserve">tak </w:t>
      </w:r>
      <w:r w:rsidR="00674E42">
        <w:rPr>
          <w:b/>
          <w:bCs/>
          <w:color w:val="auto"/>
        </w:rPr>
        <w:t>v </w:t>
      </w:r>
      <w:r w:rsidR="00863583" w:rsidRPr="00863583">
        <w:rPr>
          <w:b/>
          <w:bCs/>
          <w:color w:val="auto"/>
        </w:rPr>
        <w:t>ČR zvyšovalo zastoupení vysokoškoláků na pozicích, které takový stupeň vzdělání nevyžadovaly.</w:t>
      </w:r>
    </w:p>
    <w:p w14:paraId="09283101" w14:textId="4D2747CE" w:rsidR="00E61477" w:rsidRPr="00E61477" w:rsidRDefault="00F87B8A" w:rsidP="00D338FD">
      <w:pPr>
        <w:spacing w:before="0" w:after="120"/>
      </w:pPr>
      <w:r>
        <w:rPr>
          <w:b/>
          <w:bCs/>
        </w:rPr>
        <w:t>D</w:t>
      </w:r>
      <w:r w:rsidR="00D338FD">
        <w:rPr>
          <w:b/>
          <w:bCs/>
        </w:rPr>
        <w:t>osavadní způsob financování veřejných vysokých škol nemotivuje vysoké školy ke zvyšování kvality jejich činnosti a není tak zacílen na naplňování státem stanovených potřeb.</w:t>
      </w:r>
      <w:r w:rsidR="00576611">
        <w:rPr>
          <w:b/>
          <w:bCs/>
        </w:rPr>
        <w:t xml:space="preserve"> </w:t>
      </w:r>
      <w:r w:rsidR="00D110AE">
        <w:rPr>
          <w:b/>
          <w:bCs/>
        </w:rPr>
        <w:t>Způsob financování je přitom pro stát v</w:t>
      </w:r>
      <w:r w:rsidR="00D110AE" w:rsidRPr="00346435">
        <w:rPr>
          <w:b/>
          <w:bCs/>
        </w:rPr>
        <w:t>zhledem k akademickým svobodám a právům</w:t>
      </w:r>
      <w:r w:rsidR="00D110AE">
        <w:rPr>
          <w:b/>
          <w:bCs/>
        </w:rPr>
        <w:t xml:space="preserve"> </w:t>
      </w:r>
      <w:r w:rsidR="00D110AE">
        <w:rPr>
          <w:b/>
          <w:bCs/>
        </w:rPr>
        <w:lastRenderedPageBreak/>
        <w:t xml:space="preserve">vysokých škol zásadním nástrojem, jak </w:t>
      </w:r>
      <w:r w:rsidR="00346435">
        <w:rPr>
          <w:b/>
          <w:bCs/>
        </w:rPr>
        <w:t>ovlivn</w:t>
      </w:r>
      <w:r w:rsidR="00D110AE">
        <w:rPr>
          <w:b/>
          <w:bCs/>
        </w:rPr>
        <w:t>it</w:t>
      </w:r>
      <w:r w:rsidR="00576611">
        <w:rPr>
          <w:b/>
          <w:bCs/>
        </w:rPr>
        <w:t xml:space="preserve"> </w:t>
      </w:r>
      <w:r w:rsidR="00D110AE">
        <w:rPr>
          <w:b/>
          <w:bCs/>
        </w:rPr>
        <w:t>jejich činnost</w:t>
      </w:r>
      <w:r w:rsidR="00A05EA4">
        <w:rPr>
          <w:b/>
          <w:bCs/>
        </w:rPr>
        <w:t xml:space="preserve">. </w:t>
      </w:r>
      <w:r w:rsidR="00D110AE" w:rsidRPr="00D110AE">
        <w:rPr>
          <w:b/>
          <w:bCs/>
        </w:rPr>
        <w:t>Vysoké školy se v konečném důsledku nerozvíjí cíleně tak, aby dlouhodobě rostla kvalita jejich činnosti</w:t>
      </w:r>
      <w:r w:rsidR="00D110AE">
        <w:rPr>
          <w:b/>
          <w:bCs/>
        </w:rPr>
        <w:t>.</w:t>
      </w:r>
    </w:p>
    <w:p w14:paraId="5538D5B7" w14:textId="49037238" w:rsidR="005C438C" w:rsidRDefault="005C438C" w:rsidP="00863583">
      <w:pPr>
        <w:keepNext/>
        <w:spacing w:before="0" w:after="120"/>
        <w:rPr>
          <w:rFonts w:eastAsia="Calibri"/>
          <w:color w:val="000000" w:themeColor="text1"/>
        </w:rPr>
      </w:pPr>
      <w:r w:rsidRPr="31AB4979">
        <w:rPr>
          <w:rFonts w:eastAsia="Calibri"/>
          <w:color w:val="000000" w:themeColor="text1"/>
        </w:rPr>
        <w:t>Celkové vyhodnocení se opírá o následující hlavní zjištění z kontroly:</w:t>
      </w:r>
    </w:p>
    <w:p w14:paraId="3E12EDC1" w14:textId="77088A29" w:rsidR="00F600AA" w:rsidRDefault="00F600AA" w:rsidP="00D338FD">
      <w:pPr>
        <w:suppressAutoHyphens/>
        <w:autoSpaceDN w:val="0"/>
        <w:spacing w:before="0" w:after="120"/>
        <w:textAlignment w:val="baseline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Pr="0029097C">
        <w:rPr>
          <w:rFonts w:cstheme="minorHAnsi"/>
          <w:b/>
        </w:rPr>
        <w:t xml:space="preserve">Způsob </w:t>
      </w:r>
      <w:r>
        <w:rPr>
          <w:rFonts w:cstheme="minorHAnsi"/>
          <w:b/>
        </w:rPr>
        <w:t>financování VVŠ</w:t>
      </w:r>
      <w:r w:rsidRPr="0029097C">
        <w:rPr>
          <w:rFonts w:cstheme="minorHAnsi"/>
          <w:b/>
        </w:rPr>
        <w:t xml:space="preserve"> neodpovídal stanoveným potřebám a cílům</w:t>
      </w:r>
    </w:p>
    <w:p w14:paraId="2441B7EB" w14:textId="6B9E4C59" w:rsidR="00F600AA" w:rsidRPr="00870E7A" w:rsidRDefault="00F600AA" w:rsidP="00D338FD">
      <w:pPr>
        <w:spacing w:before="0" w:after="120"/>
        <w:rPr>
          <w:rFonts w:eastAsia="Calibri"/>
          <w:color w:val="000000" w:themeColor="text1"/>
        </w:rPr>
      </w:pPr>
      <w:r w:rsidRPr="004B06B0">
        <w:rPr>
          <w:rFonts w:eastAsia="Calibri"/>
          <w:color w:val="000000" w:themeColor="text1"/>
        </w:rPr>
        <w:t xml:space="preserve">MŠMT dlouhodobě deklaruje potřebu zvyšovat kvalitu činností vysokých škol. Jako základní nástroj podpory zvyšování kvality měl sloužit způsob rozdělování finančních prostředků. MŠMT tak mělo zvyšovat podíl prostředků </w:t>
      </w:r>
      <w:r w:rsidR="002F129A">
        <w:rPr>
          <w:rFonts w:eastAsia="Calibri"/>
          <w:color w:val="000000" w:themeColor="text1"/>
        </w:rPr>
        <w:t>roz</w:t>
      </w:r>
      <w:r w:rsidRPr="004B06B0">
        <w:rPr>
          <w:rFonts w:eastAsia="Calibri"/>
          <w:color w:val="000000" w:themeColor="text1"/>
        </w:rPr>
        <w:t xml:space="preserve">dělovaných na základě výsledků a výkonu, a to na úkor prostředků </w:t>
      </w:r>
      <w:r w:rsidR="002F129A">
        <w:rPr>
          <w:rFonts w:eastAsia="Calibri"/>
          <w:color w:val="000000" w:themeColor="text1"/>
        </w:rPr>
        <w:t>roz</w:t>
      </w:r>
      <w:r w:rsidRPr="004B06B0">
        <w:rPr>
          <w:rFonts w:eastAsia="Calibri"/>
          <w:color w:val="000000" w:themeColor="text1"/>
        </w:rPr>
        <w:t xml:space="preserve">dělovaných na základě počtu studentů. </w:t>
      </w:r>
      <w:r w:rsidR="002F129A" w:rsidRPr="00565713">
        <w:rPr>
          <w:rFonts w:eastAsia="Calibri"/>
          <w:color w:val="000000" w:themeColor="text1"/>
        </w:rPr>
        <w:t>V posledních letech však MŠMT postupovalo zcela opačně a navyšovalo prostředky vyplácené veřejným vysokým školám na základě počtu jejich studentů. Podíl prostředků rozdělovaných veřejným vysokým školám na základě jejich výsledků a výkonu se tak snižoval.</w:t>
      </w:r>
      <w:r w:rsidR="002F129A">
        <w:rPr>
          <w:rFonts w:eastAsia="Calibri"/>
          <w:color w:val="000000" w:themeColor="text1"/>
        </w:rPr>
        <w:t xml:space="preserve"> </w:t>
      </w:r>
      <w:r w:rsidR="00D5756D">
        <w:rPr>
          <w:rFonts w:eastAsia="Calibri"/>
          <w:color w:val="000000" w:themeColor="text1"/>
        </w:rPr>
        <w:t>Rovněž</w:t>
      </w:r>
      <w:r w:rsidRPr="001F7853">
        <w:rPr>
          <w:rFonts w:eastAsia="Calibri"/>
          <w:color w:val="000000" w:themeColor="text1"/>
        </w:rPr>
        <w:t xml:space="preserve"> se snižovaly</w:t>
      </w:r>
      <w:r>
        <w:rPr>
          <w:rFonts w:eastAsia="Calibri"/>
          <w:color w:val="000000" w:themeColor="text1"/>
        </w:rPr>
        <w:t xml:space="preserve"> podíly prostředků poskytnutých</w:t>
      </w:r>
      <w:r w:rsidRPr="001F7853">
        <w:rPr>
          <w:rFonts w:eastAsia="Calibri"/>
          <w:color w:val="000000" w:themeColor="text1"/>
        </w:rPr>
        <w:t xml:space="preserve"> na </w:t>
      </w:r>
      <w:r>
        <w:rPr>
          <w:rFonts w:eastAsia="Calibri"/>
          <w:color w:val="000000" w:themeColor="text1"/>
        </w:rPr>
        <w:t xml:space="preserve">další prioritní oblasti, a sice </w:t>
      </w:r>
      <w:r w:rsidRPr="001F7853">
        <w:rPr>
          <w:rFonts w:eastAsia="Calibri"/>
          <w:color w:val="000000" w:themeColor="text1"/>
        </w:rPr>
        <w:t xml:space="preserve">sociální záležitosti </w:t>
      </w:r>
      <w:r>
        <w:rPr>
          <w:rFonts w:eastAsia="Calibri"/>
          <w:color w:val="000000" w:themeColor="text1"/>
        </w:rPr>
        <w:t xml:space="preserve">studentů a rozvoj vysokých škol. </w:t>
      </w:r>
      <w:r w:rsidRPr="001F7853">
        <w:rPr>
          <w:rFonts w:eastAsia="Calibri"/>
          <w:color w:val="000000" w:themeColor="text1"/>
        </w:rPr>
        <w:t>Způsob rozdělení poskytované podpory tak neodpovídal stanoveným potřebám a cílům.</w:t>
      </w:r>
      <w:r>
        <w:rPr>
          <w:rFonts w:eastAsia="Calibri"/>
          <w:color w:val="000000" w:themeColor="text1"/>
        </w:rPr>
        <w:t xml:space="preserve"> </w:t>
      </w:r>
      <w:r w:rsidRPr="00F32FE0">
        <w:rPr>
          <w:rFonts w:eastAsia="Calibri"/>
          <w:color w:val="000000" w:themeColor="text1"/>
        </w:rPr>
        <w:t>Vzhledem k silné autonomii VVŠ, která je d</w:t>
      </w:r>
      <w:r w:rsidR="005128F0">
        <w:rPr>
          <w:rFonts w:eastAsia="Calibri"/>
          <w:color w:val="000000" w:themeColor="text1"/>
        </w:rPr>
        <w:t>ána</w:t>
      </w:r>
      <w:r w:rsidRPr="00F32FE0">
        <w:rPr>
          <w:rFonts w:eastAsia="Calibri"/>
          <w:color w:val="000000" w:themeColor="text1"/>
        </w:rPr>
        <w:t xml:space="preserve"> zákonem o vysokých školách, je přitom mec</w:t>
      </w:r>
      <w:r w:rsidR="00CA2AEE">
        <w:rPr>
          <w:rFonts w:eastAsia="Calibri"/>
          <w:color w:val="000000" w:themeColor="text1"/>
        </w:rPr>
        <w:t xml:space="preserve">hanismus rozdělování prostředků </w:t>
      </w:r>
      <w:r w:rsidRPr="00F32FE0">
        <w:rPr>
          <w:rFonts w:eastAsia="Calibri"/>
          <w:color w:val="000000" w:themeColor="text1"/>
        </w:rPr>
        <w:t>základním nástrojem, kterým MŠMT může vysokoškolský sektor ovlivňovat.</w:t>
      </w:r>
    </w:p>
    <w:p w14:paraId="3985E1F8" w14:textId="6CA5D17B" w:rsidR="000A03DC" w:rsidRPr="00870E7A" w:rsidRDefault="00F600AA" w:rsidP="00C77942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b/>
          <w:color w:val="auto"/>
          <w:lang w:eastAsia="cs-CZ"/>
        </w:rPr>
        <w:t>2</w:t>
      </w:r>
      <w:r w:rsidR="00870E7A" w:rsidRPr="00C748AD">
        <w:rPr>
          <w:rFonts w:eastAsia="Calibri"/>
          <w:b/>
          <w:color w:val="auto"/>
          <w:lang w:eastAsia="cs-CZ"/>
        </w:rPr>
        <w:t xml:space="preserve">. </w:t>
      </w:r>
      <w:r w:rsidR="00BD1F43" w:rsidRPr="00C748AD">
        <w:rPr>
          <w:rFonts w:eastAsia="Calibri"/>
          <w:b/>
          <w:color w:val="auto"/>
          <w:lang w:eastAsia="cs-CZ"/>
        </w:rPr>
        <w:t>V ČR</w:t>
      </w:r>
      <w:r w:rsidR="000A03DC" w:rsidRPr="00C748AD">
        <w:rPr>
          <w:rFonts w:eastAsia="Calibri"/>
          <w:b/>
          <w:color w:val="auto"/>
          <w:lang w:eastAsia="cs-CZ"/>
        </w:rPr>
        <w:t xml:space="preserve"> je dlouhodobě</w:t>
      </w:r>
      <w:r w:rsidR="000A03DC" w:rsidRPr="00870E7A">
        <w:rPr>
          <w:rFonts w:eastAsia="Calibri"/>
          <w:b/>
          <w:color w:val="auto"/>
          <w:lang w:eastAsia="cs-CZ"/>
        </w:rPr>
        <w:t xml:space="preserve"> nízký podíl dosaženého bakalářského vzdělání</w:t>
      </w:r>
      <w:r w:rsidR="00CD2B54">
        <w:rPr>
          <w:rFonts w:eastAsia="Calibri"/>
          <w:b/>
          <w:color w:val="auto"/>
          <w:lang w:eastAsia="cs-CZ"/>
        </w:rPr>
        <w:t xml:space="preserve">, to navíc </w:t>
      </w:r>
      <w:r w:rsidR="008D2A7F">
        <w:rPr>
          <w:rFonts w:eastAsia="Calibri"/>
          <w:b/>
          <w:color w:val="auto"/>
          <w:lang w:eastAsia="cs-CZ"/>
        </w:rPr>
        <w:t>není téměř</w:t>
      </w:r>
      <w:r w:rsidR="002F129A">
        <w:rPr>
          <w:rFonts w:eastAsia="Calibri"/>
          <w:b/>
          <w:color w:val="auto"/>
          <w:lang w:eastAsia="cs-CZ"/>
        </w:rPr>
        <w:t xml:space="preserve"> vůbec</w:t>
      </w:r>
      <w:r w:rsidR="008D2A7F">
        <w:rPr>
          <w:rFonts w:eastAsia="Calibri"/>
          <w:b/>
          <w:color w:val="auto"/>
          <w:lang w:eastAsia="cs-CZ"/>
        </w:rPr>
        <w:t xml:space="preserve"> </w:t>
      </w:r>
      <w:r w:rsidR="00CD2B54">
        <w:rPr>
          <w:rFonts w:eastAsia="Calibri"/>
          <w:b/>
          <w:color w:val="auto"/>
          <w:lang w:eastAsia="cs-CZ"/>
        </w:rPr>
        <w:t>profesně orientov</w:t>
      </w:r>
      <w:r w:rsidR="00671794">
        <w:rPr>
          <w:rFonts w:eastAsia="Calibri"/>
          <w:b/>
          <w:color w:val="auto"/>
          <w:lang w:eastAsia="cs-CZ"/>
        </w:rPr>
        <w:t>áno</w:t>
      </w:r>
      <w:r w:rsidR="00881C11">
        <w:rPr>
          <w:rStyle w:val="Znakapoznpodarou"/>
          <w:rFonts w:eastAsia="Calibri"/>
          <w:b/>
          <w:color w:val="auto"/>
          <w:lang w:eastAsia="cs-CZ"/>
        </w:rPr>
        <w:footnoteReference w:id="2"/>
      </w:r>
    </w:p>
    <w:p w14:paraId="2C15115C" w14:textId="3062531F" w:rsidR="000A03DC" w:rsidRPr="000A03DC" w:rsidRDefault="000A03DC" w:rsidP="00C77942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 w:rsidRPr="000A03DC">
        <w:rPr>
          <w:rFonts w:eastAsia="Calibri"/>
          <w:color w:val="000000" w:themeColor="text1"/>
        </w:rPr>
        <w:t>ČR směřuje ke splnění národního cíle v po</w:t>
      </w:r>
      <w:r w:rsidR="00443F48">
        <w:rPr>
          <w:rFonts w:eastAsia="Calibri"/>
          <w:color w:val="000000" w:themeColor="text1"/>
        </w:rPr>
        <w:t>dílu</w:t>
      </w:r>
      <w:r w:rsidR="00200D7E">
        <w:rPr>
          <w:rFonts w:eastAsia="Calibri"/>
          <w:color w:val="000000" w:themeColor="text1"/>
        </w:rPr>
        <w:t xml:space="preserve"> vysokoškolsky vzdělaných lidí, který vyplývá ze </w:t>
      </w:r>
      <w:r w:rsidR="00293F6E">
        <w:rPr>
          <w:rFonts w:eastAsia="Calibri"/>
          <w:color w:val="000000" w:themeColor="text1"/>
        </w:rPr>
        <w:t>s</w:t>
      </w:r>
      <w:r w:rsidR="00200D7E" w:rsidRPr="00200D7E">
        <w:rPr>
          <w:rFonts w:eastAsia="Calibri"/>
          <w:color w:val="000000" w:themeColor="text1"/>
        </w:rPr>
        <w:t xml:space="preserve">trategie </w:t>
      </w:r>
      <w:r w:rsidR="00200D7E" w:rsidRPr="00B11EEB">
        <w:rPr>
          <w:rFonts w:eastAsia="Calibri"/>
          <w:i/>
          <w:color w:val="000000" w:themeColor="text1"/>
        </w:rPr>
        <w:t>Evropa 2020</w:t>
      </w:r>
      <w:r w:rsidR="00200D7E">
        <w:rPr>
          <w:rFonts w:eastAsia="Calibri"/>
          <w:color w:val="000000" w:themeColor="text1"/>
        </w:rPr>
        <w:t xml:space="preserve">. </w:t>
      </w:r>
      <w:r w:rsidRPr="000A03DC">
        <w:rPr>
          <w:rFonts w:eastAsia="Calibri"/>
          <w:color w:val="000000" w:themeColor="text1"/>
        </w:rPr>
        <w:t>Struktura dosaženého vysokoškolského vzdělání je</w:t>
      </w:r>
      <w:r w:rsidR="00BD1F43">
        <w:rPr>
          <w:rFonts w:eastAsia="Calibri"/>
          <w:color w:val="000000" w:themeColor="text1"/>
        </w:rPr>
        <w:t xml:space="preserve"> však v porovnání se zeměmi Evropské unie (dále také „EU“)</w:t>
      </w:r>
      <w:r w:rsidRPr="000A03DC">
        <w:rPr>
          <w:rFonts w:eastAsia="Calibri"/>
          <w:color w:val="000000" w:themeColor="text1"/>
        </w:rPr>
        <w:t xml:space="preserve"> a </w:t>
      </w:r>
      <w:r w:rsidR="00FB1896">
        <w:t>Organizace pro hospodářskou spolupráci a rozvoj (dále také „</w:t>
      </w:r>
      <w:r w:rsidRPr="000A03DC">
        <w:rPr>
          <w:rFonts w:eastAsia="Calibri"/>
          <w:color w:val="000000" w:themeColor="text1"/>
        </w:rPr>
        <w:t>OECD</w:t>
      </w:r>
      <w:r w:rsidR="00FB1896">
        <w:rPr>
          <w:rFonts w:eastAsia="Calibri"/>
          <w:color w:val="000000" w:themeColor="text1"/>
        </w:rPr>
        <w:t>“)</w:t>
      </w:r>
      <w:r w:rsidRPr="000A03DC">
        <w:rPr>
          <w:rFonts w:eastAsia="Calibri"/>
          <w:color w:val="000000" w:themeColor="text1"/>
        </w:rPr>
        <w:t xml:space="preserve"> velmi odlišná. </w:t>
      </w:r>
      <w:r w:rsidR="009506B2">
        <w:rPr>
          <w:rFonts w:eastAsia="Calibri"/>
          <w:color w:val="000000" w:themeColor="text1"/>
        </w:rPr>
        <w:t>Průměrný p</w:t>
      </w:r>
      <w:r w:rsidRPr="000A03DC">
        <w:rPr>
          <w:rFonts w:eastAsia="Calibri"/>
          <w:color w:val="000000" w:themeColor="text1"/>
        </w:rPr>
        <w:t>odíl dosaženého bakalářského vzdělání</w:t>
      </w:r>
      <w:r w:rsidR="004F0071">
        <w:rPr>
          <w:rFonts w:eastAsia="Calibri"/>
          <w:color w:val="000000" w:themeColor="text1"/>
        </w:rPr>
        <w:t xml:space="preserve"> </w:t>
      </w:r>
      <w:r w:rsidR="009506B2">
        <w:t>je v EU oproti ČR</w:t>
      </w:r>
      <w:r w:rsidR="004F0071" w:rsidRPr="000D5136">
        <w:t xml:space="preserve"> dvaapůlkrát vyšší a </w:t>
      </w:r>
      <w:r w:rsidR="009506B2">
        <w:t xml:space="preserve">v </w:t>
      </w:r>
      <w:r w:rsidR="004F0071" w:rsidRPr="000D5136">
        <w:t>OECD je vyšší dokonce třikrát.</w:t>
      </w:r>
      <w:r w:rsidR="004F0071">
        <w:t xml:space="preserve"> </w:t>
      </w:r>
      <w:r w:rsidRPr="000A03DC">
        <w:rPr>
          <w:rFonts w:eastAsia="Calibri"/>
          <w:color w:val="000000" w:themeColor="text1"/>
        </w:rPr>
        <w:t xml:space="preserve">MŠMT nezavedlo účinná opatření na podporu zvyšování tohoto podílu a úkol stanovený ve </w:t>
      </w:r>
      <w:r w:rsidRPr="006C4DA6">
        <w:rPr>
          <w:rFonts w:eastAsia="Calibri"/>
          <w:color w:val="000000" w:themeColor="text1"/>
        </w:rPr>
        <w:t>Strategii mezinárodní konkurenceschopnosti</w:t>
      </w:r>
      <w:r w:rsidRPr="000A03DC">
        <w:rPr>
          <w:rFonts w:eastAsia="Calibri"/>
          <w:color w:val="000000" w:themeColor="text1"/>
        </w:rPr>
        <w:t xml:space="preserve"> se tak nedařilo plnit. </w:t>
      </w:r>
      <w:r w:rsidR="009A4928">
        <w:rPr>
          <w:rFonts w:eastAsia="Calibri"/>
          <w:color w:val="000000" w:themeColor="text1"/>
        </w:rPr>
        <w:t xml:space="preserve">Bakalářské studium je </w:t>
      </w:r>
      <w:r w:rsidR="008E0D57">
        <w:rPr>
          <w:rFonts w:eastAsia="Calibri"/>
          <w:color w:val="000000" w:themeColor="text1"/>
        </w:rPr>
        <w:t xml:space="preserve">přitom </w:t>
      </w:r>
      <w:r w:rsidR="009A4928">
        <w:rPr>
          <w:rFonts w:eastAsia="Calibri"/>
          <w:color w:val="000000" w:themeColor="text1"/>
        </w:rPr>
        <w:t xml:space="preserve">vzhledem ke kratší době studia oproti magisterskému studiu finančně méně náročné. </w:t>
      </w:r>
      <w:r w:rsidR="00200D7E">
        <w:t>Zvýšení počtu absolventů bakalářského studia na úkor magisterských absolventů by snížilo ekonomickou náročnost získání vysokoškolského vzdělání, zvýšilo disponibilní prostředky na vysokoškolského studenta</w:t>
      </w:r>
      <w:r w:rsidRPr="000A03DC">
        <w:rPr>
          <w:rFonts w:eastAsia="Calibri"/>
          <w:color w:val="000000" w:themeColor="text1"/>
        </w:rPr>
        <w:t xml:space="preserve"> a v konečném důsledku</w:t>
      </w:r>
      <w:r w:rsidR="00200D7E">
        <w:rPr>
          <w:rFonts w:eastAsia="Calibri"/>
          <w:color w:val="000000" w:themeColor="text1"/>
        </w:rPr>
        <w:t xml:space="preserve"> mohlo</w:t>
      </w:r>
      <w:r w:rsidRPr="000A03DC">
        <w:rPr>
          <w:rFonts w:eastAsia="Calibri"/>
          <w:color w:val="000000" w:themeColor="text1"/>
        </w:rPr>
        <w:t xml:space="preserve"> přispět ke </w:t>
      </w:r>
      <w:r w:rsidR="008E0D57">
        <w:rPr>
          <w:rFonts w:eastAsia="Calibri"/>
          <w:color w:val="000000" w:themeColor="text1"/>
        </w:rPr>
        <w:t>zkvalitnění</w:t>
      </w:r>
      <w:r w:rsidRPr="000A03DC">
        <w:rPr>
          <w:rFonts w:eastAsia="Calibri"/>
          <w:color w:val="000000" w:themeColor="text1"/>
        </w:rPr>
        <w:t xml:space="preserve"> vysokoškolského vzdělání.</w:t>
      </w:r>
    </w:p>
    <w:p w14:paraId="19FB87CE" w14:textId="4029AE1D" w:rsidR="0011486B" w:rsidRDefault="000A03DC" w:rsidP="000A03DC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 w:rsidRPr="000A03DC">
        <w:rPr>
          <w:rFonts w:eastAsia="Calibri"/>
          <w:color w:val="000000" w:themeColor="text1"/>
        </w:rPr>
        <w:t xml:space="preserve">Profesně orientované bakalářské studijní programy byly v ČR zavedeny až v roce 2018, tedy sedm let po schválení </w:t>
      </w:r>
      <w:r w:rsidR="00FF6688" w:rsidRPr="006C4DA6">
        <w:rPr>
          <w:rFonts w:eastAsia="Calibri"/>
          <w:color w:val="000000" w:themeColor="text1"/>
        </w:rPr>
        <w:t>S</w:t>
      </w:r>
      <w:r w:rsidRPr="006C4DA6">
        <w:rPr>
          <w:rFonts w:eastAsia="Calibri"/>
          <w:color w:val="000000" w:themeColor="text1"/>
        </w:rPr>
        <w:t xml:space="preserve">trategie </w:t>
      </w:r>
      <w:r w:rsidR="00FF6688" w:rsidRPr="006C4DA6">
        <w:rPr>
          <w:rFonts w:eastAsia="Calibri"/>
          <w:color w:val="000000" w:themeColor="text1"/>
        </w:rPr>
        <w:t xml:space="preserve">mezinárodní </w:t>
      </w:r>
      <w:r w:rsidRPr="006C4DA6">
        <w:rPr>
          <w:rFonts w:eastAsia="Calibri"/>
          <w:color w:val="000000" w:themeColor="text1"/>
        </w:rPr>
        <w:t>konkurenceschopnosti</w:t>
      </w:r>
      <w:r w:rsidRPr="000A03DC">
        <w:rPr>
          <w:rFonts w:eastAsia="Calibri"/>
          <w:color w:val="000000" w:themeColor="text1"/>
        </w:rPr>
        <w:t>, k</w:t>
      </w:r>
      <w:r w:rsidR="00E057B8">
        <w:rPr>
          <w:rFonts w:eastAsia="Calibri"/>
          <w:color w:val="000000" w:themeColor="text1"/>
        </w:rPr>
        <w:t xml:space="preserve">terá stanovila MŠMT </w:t>
      </w:r>
      <w:r w:rsidRPr="000A03DC">
        <w:rPr>
          <w:rFonts w:eastAsia="Calibri"/>
          <w:color w:val="000000" w:themeColor="text1"/>
        </w:rPr>
        <w:t>úkol podpořit podíl studentů těchto programů. V mezinárodn</w:t>
      </w:r>
      <w:r w:rsidR="00914649">
        <w:rPr>
          <w:rFonts w:eastAsia="Calibri"/>
          <w:color w:val="000000" w:themeColor="text1"/>
        </w:rPr>
        <w:t>ím srovnání je podíl studentů v </w:t>
      </w:r>
      <w:r w:rsidRPr="000A03DC">
        <w:rPr>
          <w:rFonts w:eastAsia="Calibri"/>
          <w:color w:val="000000" w:themeColor="text1"/>
        </w:rPr>
        <w:t>profesně orientovaných bakalářských studij</w:t>
      </w:r>
      <w:r w:rsidR="009506B2">
        <w:rPr>
          <w:rFonts w:eastAsia="Calibri"/>
          <w:color w:val="000000" w:themeColor="text1"/>
        </w:rPr>
        <w:t xml:space="preserve">ních programech velmi nízký, </w:t>
      </w:r>
      <w:r w:rsidR="002A44DF">
        <w:rPr>
          <w:rFonts w:eastAsia="Calibri"/>
          <w:color w:val="000000" w:themeColor="text1"/>
        </w:rPr>
        <w:t xml:space="preserve">oproti evropským zemím s dostupnými údaji </w:t>
      </w:r>
      <w:r w:rsidR="009506B2">
        <w:rPr>
          <w:rFonts w:eastAsia="Calibri"/>
          <w:color w:val="000000" w:themeColor="text1"/>
        </w:rPr>
        <w:t>přibli</w:t>
      </w:r>
      <w:r w:rsidR="002A44DF">
        <w:rPr>
          <w:rFonts w:eastAsia="Calibri"/>
          <w:color w:val="000000" w:themeColor="text1"/>
        </w:rPr>
        <w:t>žně čtvrtinový</w:t>
      </w:r>
      <w:r w:rsidR="009506B2">
        <w:rPr>
          <w:rFonts w:eastAsia="Calibri"/>
          <w:color w:val="000000" w:themeColor="text1"/>
        </w:rPr>
        <w:t>.</w:t>
      </w:r>
      <w:r w:rsidR="00824E3F">
        <w:rPr>
          <w:rFonts w:eastAsia="Calibri"/>
          <w:color w:val="000000" w:themeColor="text1"/>
        </w:rPr>
        <w:t xml:space="preserve"> </w:t>
      </w:r>
    </w:p>
    <w:p w14:paraId="09F62095" w14:textId="7E5F42D7" w:rsidR="004B06B0" w:rsidRDefault="0011486B" w:rsidP="000A03DC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Z</w:t>
      </w:r>
      <w:r w:rsidR="00824E3F" w:rsidRPr="00824E3F">
        <w:rPr>
          <w:rFonts w:eastAsia="Calibri"/>
          <w:color w:val="000000" w:themeColor="text1"/>
        </w:rPr>
        <w:t xml:space="preserve">vyšování podílu vysokoškolsky vzdělaných lidí </w:t>
      </w:r>
      <w:r>
        <w:rPr>
          <w:rFonts w:eastAsia="Calibri"/>
          <w:color w:val="000000" w:themeColor="text1"/>
        </w:rPr>
        <w:t>v</w:t>
      </w:r>
      <w:r w:rsidR="00824E3F" w:rsidRPr="00824E3F">
        <w:rPr>
          <w:rFonts w:eastAsia="Calibri"/>
          <w:color w:val="000000" w:themeColor="text1"/>
        </w:rPr>
        <w:t xml:space="preserve"> d</w:t>
      </w:r>
      <w:r>
        <w:rPr>
          <w:rFonts w:eastAsia="Calibri"/>
          <w:color w:val="000000" w:themeColor="text1"/>
        </w:rPr>
        <w:t>osavadní struktuře</w:t>
      </w:r>
      <w:r w:rsidR="00824E3F" w:rsidRPr="00824E3F">
        <w:rPr>
          <w:rFonts w:eastAsia="Calibri"/>
          <w:color w:val="000000" w:themeColor="text1"/>
        </w:rPr>
        <w:t xml:space="preserve">, kdy </w:t>
      </w:r>
      <w:r>
        <w:rPr>
          <w:rFonts w:eastAsia="Calibri"/>
          <w:color w:val="000000" w:themeColor="text1"/>
        </w:rPr>
        <w:t xml:space="preserve">jednoznačně </w:t>
      </w:r>
      <w:r w:rsidR="00824E3F" w:rsidRPr="00824E3F">
        <w:rPr>
          <w:rFonts w:eastAsia="Calibri"/>
          <w:color w:val="000000" w:themeColor="text1"/>
        </w:rPr>
        <w:t xml:space="preserve">převažují absolventi </w:t>
      </w:r>
      <w:r w:rsidR="00E057B8">
        <w:rPr>
          <w:rFonts w:eastAsia="Calibri"/>
          <w:color w:val="000000" w:themeColor="text1"/>
        </w:rPr>
        <w:t xml:space="preserve">akademické formy </w:t>
      </w:r>
      <w:r w:rsidR="00824E3F" w:rsidRPr="00824E3F">
        <w:rPr>
          <w:rFonts w:eastAsia="Calibri"/>
          <w:color w:val="000000" w:themeColor="text1"/>
        </w:rPr>
        <w:t>studia</w:t>
      </w:r>
      <w:r>
        <w:rPr>
          <w:rFonts w:eastAsia="Calibri"/>
          <w:color w:val="000000" w:themeColor="text1"/>
        </w:rPr>
        <w:t>,</w:t>
      </w:r>
      <w:r w:rsidR="00824E3F" w:rsidRPr="00824E3F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vede</w:t>
      </w:r>
      <w:r w:rsidR="00824E3F" w:rsidRPr="00824E3F">
        <w:rPr>
          <w:rFonts w:eastAsia="Calibri"/>
          <w:color w:val="000000" w:themeColor="text1"/>
        </w:rPr>
        <w:t xml:space="preserve"> k nesouladu s požadavky </w:t>
      </w:r>
      <w:r w:rsidR="00914649">
        <w:rPr>
          <w:rFonts w:eastAsia="Calibri"/>
          <w:color w:val="000000" w:themeColor="text1"/>
        </w:rPr>
        <w:t>ekonomiky a </w:t>
      </w:r>
      <w:r w:rsidR="00824E3F" w:rsidRPr="00824E3F">
        <w:rPr>
          <w:rFonts w:eastAsia="Calibri"/>
          <w:color w:val="000000" w:themeColor="text1"/>
        </w:rPr>
        <w:t xml:space="preserve">trhu práce. </w:t>
      </w:r>
      <w:r>
        <w:rPr>
          <w:rFonts w:eastAsiaTheme="minorHAnsi" w:cstheme="minorHAnsi"/>
        </w:rPr>
        <w:t>Téměř každoročně se zvyšuje zastoupení v</w:t>
      </w:r>
      <w:r>
        <w:t>ysokoškoláků na pozicích, které takový stupeň vzdělání</w:t>
      </w:r>
      <w:r>
        <w:rPr>
          <w:rFonts w:eastAsiaTheme="minorHAnsi" w:cstheme="minorHAnsi"/>
        </w:rPr>
        <w:t xml:space="preserve"> nevyžadovaly.</w:t>
      </w:r>
      <w:r w:rsidR="00E057B8">
        <w:rPr>
          <w:rFonts w:eastAsiaTheme="minorHAnsi" w:cstheme="minorHAnsi"/>
        </w:rPr>
        <w:t xml:space="preserve"> </w:t>
      </w:r>
    </w:p>
    <w:p w14:paraId="45359257" w14:textId="51537B13" w:rsidR="004525D0" w:rsidRDefault="00F600AA" w:rsidP="003164C0">
      <w:pPr>
        <w:keepNext/>
        <w:suppressAutoHyphens/>
        <w:autoSpaceDN w:val="0"/>
        <w:spacing w:before="0" w:after="120"/>
        <w:textAlignment w:val="baseline"/>
        <w:rPr>
          <w:rFonts w:cstheme="minorHAnsi"/>
        </w:rPr>
      </w:pPr>
      <w:r>
        <w:rPr>
          <w:rFonts w:eastAsia="Calibri"/>
          <w:b/>
          <w:color w:val="000000" w:themeColor="text1"/>
        </w:rPr>
        <w:lastRenderedPageBreak/>
        <w:t>3</w:t>
      </w:r>
      <w:r w:rsidR="004525D0" w:rsidRPr="004525D0">
        <w:rPr>
          <w:rFonts w:eastAsia="Calibri"/>
          <w:b/>
          <w:color w:val="000000" w:themeColor="text1"/>
        </w:rPr>
        <w:t xml:space="preserve">. Spolupráce VVŠ se soukromým sektorem </w:t>
      </w:r>
      <w:r w:rsidR="00E057B8">
        <w:rPr>
          <w:rFonts w:eastAsia="Calibri"/>
          <w:b/>
          <w:color w:val="000000" w:themeColor="text1"/>
        </w:rPr>
        <w:t>zůstává dlouhodobě</w:t>
      </w:r>
      <w:r w:rsidR="004525D0" w:rsidRPr="004525D0">
        <w:rPr>
          <w:rFonts w:eastAsia="Calibri"/>
          <w:b/>
          <w:color w:val="000000" w:themeColor="text1"/>
        </w:rPr>
        <w:t xml:space="preserve"> nízká</w:t>
      </w:r>
    </w:p>
    <w:p w14:paraId="0A88ECD5" w14:textId="193DA79F" w:rsidR="004525D0" w:rsidRDefault="004525D0" w:rsidP="00AC07B1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 w:rsidRPr="004525D0">
        <w:rPr>
          <w:rFonts w:eastAsia="Calibri"/>
          <w:color w:val="000000" w:themeColor="text1"/>
        </w:rPr>
        <w:t xml:space="preserve">MŠMT ve strategických dokumentech stanovilo opatření a doporučení, </w:t>
      </w:r>
      <w:r w:rsidR="00E057B8">
        <w:rPr>
          <w:rFonts w:eastAsia="Calibri"/>
          <w:color w:val="000000" w:themeColor="text1"/>
        </w:rPr>
        <w:t>která měla</w:t>
      </w:r>
      <w:r w:rsidRPr="004525D0">
        <w:rPr>
          <w:rFonts w:eastAsia="Calibri"/>
          <w:color w:val="000000" w:themeColor="text1"/>
        </w:rPr>
        <w:t xml:space="preserve"> odstranit nedostatky </w:t>
      </w:r>
      <w:r w:rsidR="00E057B8" w:rsidRPr="004525D0">
        <w:rPr>
          <w:rFonts w:eastAsia="Calibri"/>
          <w:color w:val="000000" w:themeColor="text1"/>
        </w:rPr>
        <w:t xml:space="preserve">identifikované </w:t>
      </w:r>
      <w:r w:rsidRPr="004525D0">
        <w:rPr>
          <w:rFonts w:eastAsia="Calibri"/>
          <w:color w:val="000000" w:themeColor="text1"/>
        </w:rPr>
        <w:t>ve spolupráci VVŠ se soukromou sférou a tuto spolupráci významně zvýšit. MŠMT ovšem nenastavilo systém rozdělování prostředků způsobem, který by VVŠ ke spolupráci se soukromým sektorem významně motivoval</w:t>
      </w:r>
      <w:r w:rsidR="00DC08EE">
        <w:rPr>
          <w:rFonts w:eastAsia="Calibri"/>
          <w:color w:val="000000" w:themeColor="text1"/>
        </w:rPr>
        <w:t>,</w:t>
      </w:r>
      <w:r w:rsidRPr="004525D0">
        <w:rPr>
          <w:rFonts w:eastAsia="Calibri"/>
          <w:color w:val="000000" w:themeColor="text1"/>
        </w:rPr>
        <w:t xml:space="preserve"> a nerealizovalo účinná opatření, která by tuto spolupráci účelně posilovala. Spolupráce VVŠ se soukromým sektorem </w:t>
      </w:r>
      <w:r>
        <w:rPr>
          <w:rFonts w:eastAsia="Calibri"/>
          <w:color w:val="000000" w:themeColor="text1"/>
        </w:rPr>
        <w:t>je dlouhodobě na nízké úrovni</w:t>
      </w:r>
      <w:r w:rsidRPr="004525D0">
        <w:rPr>
          <w:rFonts w:eastAsia="Calibri"/>
          <w:color w:val="000000" w:themeColor="text1"/>
        </w:rPr>
        <w:t>, a to zejména v oblasti výzkumu a vývoje.</w:t>
      </w:r>
    </w:p>
    <w:p w14:paraId="20E063EF" w14:textId="22DDB6E7" w:rsidR="00C77942" w:rsidRPr="00C77942" w:rsidRDefault="00F600AA" w:rsidP="00AC07B1">
      <w:pPr>
        <w:suppressAutoHyphens/>
        <w:autoSpaceDN w:val="0"/>
        <w:spacing w:before="0" w:after="120"/>
        <w:textAlignment w:val="baseline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4</w:t>
      </w:r>
      <w:r w:rsidR="00C77942" w:rsidRPr="00C77942">
        <w:rPr>
          <w:rFonts w:eastAsia="Calibri"/>
          <w:b/>
          <w:color w:val="000000" w:themeColor="text1"/>
        </w:rPr>
        <w:t xml:space="preserve">. </w:t>
      </w:r>
      <w:r w:rsidR="00703221" w:rsidRPr="00C77942">
        <w:rPr>
          <w:rFonts w:eastAsia="Calibri"/>
          <w:b/>
          <w:color w:val="000000" w:themeColor="text1"/>
        </w:rPr>
        <w:t>V</w:t>
      </w:r>
      <w:r w:rsidR="00703221">
        <w:rPr>
          <w:rFonts w:eastAsia="Calibri"/>
          <w:b/>
          <w:color w:val="000000" w:themeColor="text1"/>
        </w:rPr>
        <w:t>ysoké školy nejsou úspěšné v mezinárodních soutěžích o výzkumné granty</w:t>
      </w:r>
      <w:r w:rsidR="00C77942" w:rsidRPr="00C77942">
        <w:rPr>
          <w:rFonts w:eastAsia="Calibri"/>
          <w:b/>
          <w:color w:val="000000" w:themeColor="text1"/>
        </w:rPr>
        <w:t xml:space="preserve"> </w:t>
      </w:r>
    </w:p>
    <w:p w14:paraId="0E841227" w14:textId="6110B353" w:rsidR="00881C11" w:rsidRDefault="00C77942" w:rsidP="00C77942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 w:rsidRPr="00AF4732">
        <w:rPr>
          <w:rFonts w:eastAsia="Calibri"/>
          <w:color w:val="000000" w:themeColor="text1"/>
        </w:rPr>
        <w:t>MŠMT ve strategických</w:t>
      </w:r>
      <w:r w:rsidRPr="00C77942">
        <w:rPr>
          <w:rFonts w:eastAsia="Calibri"/>
          <w:color w:val="000000" w:themeColor="text1"/>
        </w:rPr>
        <w:t xml:space="preserve"> dokumentech stanovilo cíle a </w:t>
      </w:r>
      <w:r w:rsidRPr="00E62370">
        <w:rPr>
          <w:rFonts w:eastAsia="Calibri"/>
          <w:color w:val="auto"/>
        </w:rPr>
        <w:t xml:space="preserve">opatření, jejichž účelem bylo </w:t>
      </w:r>
      <w:r w:rsidR="00E62370" w:rsidRPr="00E62370">
        <w:rPr>
          <w:rFonts w:eastAsia="Calibri"/>
          <w:color w:val="auto"/>
        </w:rPr>
        <w:t>propojit</w:t>
      </w:r>
      <w:r w:rsidRPr="00E62370">
        <w:rPr>
          <w:rFonts w:eastAsia="Calibri"/>
          <w:color w:val="auto"/>
        </w:rPr>
        <w:t xml:space="preserve"> české vysoké školství </w:t>
      </w:r>
      <w:r w:rsidR="00E62370" w:rsidRPr="00E62370">
        <w:rPr>
          <w:rFonts w:eastAsia="Calibri"/>
          <w:color w:val="auto"/>
        </w:rPr>
        <w:t xml:space="preserve">s mezinárodním prostředím </w:t>
      </w:r>
      <w:r w:rsidRPr="00E62370">
        <w:rPr>
          <w:rFonts w:eastAsia="Calibri"/>
          <w:color w:val="auto"/>
        </w:rPr>
        <w:t xml:space="preserve">a podpořit VVŠ </w:t>
      </w:r>
      <w:r w:rsidR="003747EA">
        <w:rPr>
          <w:rFonts w:eastAsia="Calibri"/>
          <w:color w:val="auto"/>
        </w:rPr>
        <w:t xml:space="preserve">ve schopnosti </w:t>
      </w:r>
      <w:r w:rsidR="003747EA">
        <w:t>uspět v mezinárodních soutěžích o výzkumné granty.</w:t>
      </w:r>
      <w:r w:rsidRPr="00E62370">
        <w:rPr>
          <w:rFonts w:eastAsia="Calibri"/>
          <w:color w:val="auto"/>
        </w:rPr>
        <w:t xml:space="preserve"> Podpora </w:t>
      </w:r>
      <w:r w:rsidR="003747EA">
        <w:rPr>
          <w:rFonts w:eastAsia="Calibri"/>
          <w:color w:val="000000" w:themeColor="text1"/>
        </w:rPr>
        <w:t>získávání mezinárodních výzkumných grantů</w:t>
      </w:r>
      <w:r w:rsidRPr="00C77942">
        <w:rPr>
          <w:rFonts w:eastAsia="Calibri"/>
          <w:color w:val="000000" w:themeColor="text1"/>
        </w:rPr>
        <w:t xml:space="preserve"> není ze systému rozdělování prostředků jednotlivým VVŠ zřejmá. MŠMT nenastavilo systém rozdělování prostředků způsobem, který by VVŠ k</w:t>
      </w:r>
      <w:r w:rsidR="003747EA">
        <w:rPr>
          <w:rFonts w:eastAsia="Calibri"/>
          <w:color w:val="000000" w:themeColor="text1"/>
        </w:rPr>
        <w:t> úspěchu v mezinárodní konkurenci</w:t>
      </w:r>
      <w:r w:rsidRPr="00C77942">
        <w:rPr>
          <w:rFonts w:eastAsia="Calibri"/>
          <w:color w:val="000000" w:themeColor="text1"/>
        </w:rPr>
        <w:t xml:space="preserve"> významně motivoval</w:t>
      </w:r>
      <w:r w:rsidR="00AF4732">
        <w:rPr>
          <w:rFonts w:eastAsia="Calibri"/>
          <w:color w:val="000000" w:themeColor="text1"/>
        </w:rPr>
        <w:t>,</w:t>
      </w:r>
      <w:r w:rsidRPr="00C77942">
        <w:rPr>
          <w:rFonts w:eastAsia="Calibri"/>
          <w:color w:val="000000" w:themeColor="text1"/>
        </w:rPr>
        <w:t xml:space="preserve"> a nerealizovalo účinná opatření, která by </w:t>
      </w:r>
      <w:r w:rsidR="003747EA">
        <w:rPr>
          <w:rFonts w:eastAsia="Calibri"/>
          <w:color w:val="000000" w:themeColor="text1"/>
        </w:rPr>
        <w:t>získávání mezinárodních grantů</w:t>
      </w:r>
      <w:r w:rsidRPr="00C77942">
        <w:rPr>
          <w:rFonts w:eastAsia="Calibri"/>
          <w:color w:val="000000" w:themeColor="text1"/>
        </w:rPr>
        <w:t xml:space="preserve"> účelně posilovala. </w:t>
      </w:r>
      <w:r w:rsidR="00E057B8">
        <w:t>Pro vyhodnocení toho, jak se daří plnit cíle v této oblasti, stanovilo MŠMT indikátory, které zachycují úspěšnost</w:t>
      </w:r>
      <w:r w:rsidR="002843EC">
        <w:rPr>
          <w:rFonts w:eastAsia="Calibri"/>
          <w:color w:val="000000" w:themeColor="text1"/>
        </w:rPr>
        <w:t xml:space="preserve"> v čerpání </w:t>
      </w:r>
      <w:r w:rsidRPr="00C77942">
        <w:rPr>
          <w:rFonts w:eastAsia="Calibri"/>
          <w:color w:val="000000" w:themeColor="text1"/>
        </w:rPr>
        <w:t>grantů</w:t>
      </w:r>
      <w:r w:rsidR="002843EC">
        <w:rPr>
          <w:rFonts w:eastAsia="Calibri"/>
          <w:color w:val="000000" w:themeColor="text1"/>
        </w:rPr>
        <w:t xml:space="preserve"> Evropské výzkumné rady</w:t>
      </w:r>
      <w:r w:rsidR="00874447">
        <w:rPr>
          <w:rStyle w:val="Znakapoznpodarou"/>
          <w:rFonts w:eastAsia="Calibri"/>
          <w:color w:val="000000" w:themeColor="text1"/>
        </w:rPr>
        <w:footnoteReference w:id="3"/>
      </w:r>
      <w:r w:rsidR="00103D8C">
        <w:rPr>
          <w:rFonts w:eastAsia="Calibri"/>
          <w:color w:val="000000" w:themeColor="text1"/>
        </w:rPr>
        <w:t xml:space="preserve"> </w:t>
      </w:r>
      <w:r w:rsidR="00103D8C">
        <w:rPr>
          <w:rFonts w:eastAsia="Calibri"/>
          <w:color w:val="000000" w:themeColor="text1"/>
        </w:rPr>
        <w:br/>
      </w:r>
      <w:r w:rsidRPr="00C77942">
        <w:rPr>
          <w:rFonts w:eastAsia="Calibri"/>
          <w:color w:val="000000" w:themeColor="text1"/>
        </w:rPr>
        <w:t>a</w:t>
      </w:r>
      <w:r w:rsidR="00103D8C">
        <w:rPr>
          <w:rFonts w:eastAsia="Calibri"/>
          <w:color w:val="000000" w:themeColor="text1"/>
        </w:rPr>
        <w:t xml:space="preserve"> </w:t>
      </w:r>
      <w:r w:rsidRPr="00C77942">
        <w:rPr>
          <w:rFonts w:eastAsia="Calibri"/>
          <w:color w:val="000000" w:themeColor="text1"/>
        </w:rPr>
        <w:t>prostředků z</w:t>
      </w:r>
      <w:r w:rsidR="00CA2AEE">
        <w:rPr>
          <w:rFonts w:eastAsia="Calibri"/>
          <w:color w:val="000000" w:themeColor="text1"/>
        </w:rPr>
        <w:t> </w:t>
      </w:r>
      <w:r w:rsidR="00EC2608">
        <w:rPr>
          <w:rFonts w:eastAsia="Calibri"/>
          <w:color w:val="000000" w:themeColor="text1"/>
        </w:rPr>
        <w:t>unijního</w:t>
      </w:r>
      <w:r w:rsidR="00CA2AEE">
        <w:rPr>
          <w:rFonts w:eastAsia="Calibri"/>
          <w:color w:val="000000" w:themeColor="text1"/>
        </w:rPr>
        <w:t xml:space="preserve"> </w:t>
      </w:r>
      <w:r w:rsidRPr="00C77942">
        <w:rPr>
          <w:rFonts w:eastAsia="Calibri"/>
          <w:color w:val="000000" w:themeColor="text1"/>
        </w:rPr>
        <w:t xml:space="preserve">programu </w:t>
      </w:r>
      <w:r w:rsidRPr="00B11EEB">
        <w:rPr>
          <w:rFonts w:eastAsia="Calibri"/>
          <w:i/>
          <w:color w:val="000000" w:themeColor="text1"/>
        </w:rPr>
        <w:t>Horizont 2020</w:t>
      </w:r>
      <w:r w:rsidRPr="00C77942">
        <w:rPr>
          <w:rFonts w:eastAsia="Calibri"/>
          <w:color w:val="000000" w:themeColor="text1"/>
        </w:rPr>
        <w:t>. V těchto indikátorech nedošlo k</w:t>
      </w:r>
      <w:r w:rsidR="00200D7E">
        <w:rPr>
          <w:rFonts w:eastAsia="Calibri"/>
          <w:color w:val="000000" w:themeColor="text1"/>
        </w:rPr>
        <w:t> očekávanému zlepšení. N</w:t>
      </w:r>
      <w:r w:rsidRPr="00C77942">
        <w:rPr>
          <w:rFonts w:eastAsia="Calibri"/>
          <w:color w:val="000000" w:themeColor="text1"/>
        </w:rPr>
        <w:t xml:space="preserve">aopak </w:t>
      </w:r>
      <w:r w:rsidR="00200D7E">
        <w:rPr>
          <w:rFonts w:eastAsia="Calibri"/>
          <w:color w:val="000000" w:themeColor="text1"/>
        </w:rPr>
        <w:t xml:space="preserve">se </w:t>
      </w:r>
      <w:r w:rsidRPr="00C77942">
        <w:rPr>
          <w:rFonts w:eastAsia="Calibri"/>
          <w:color w:val="000000" w:themeColor="text1"/>
        </w:rPr>
        <w:t>dl</w:t>
      </w:r>
      <w:r w:rsidR="00200D7E">
        <w:rPr>
          <w:rFonts w:eastAsia="Calibri"/>
          <w:color w:val="000000" w:themeColor="text1"/>
        </w:rPr>
        <w:t>e některých dílčích ukazatelů</w:t>
      </w:r>
      <w:r w:rsidRPr="00C77942">
        <w:rPr>
          <w:rFonts w:eastAsia="Calibri"/>
          <w:color w:val="000000" w:themeColor="text1"/>
        </w:rPr>
        <w:t xml:space="preserve"> schopnost českých vysokých škol čerpat tyto prostředky zhoršila a zůstává v mezinárodním srovnání dlouhodobě nízká.</w:t>
      </w:r>
    </w:p>
    <w:p w14:paraId="0CBFCEBA" w14:textId="1C07823C" w:rsidR="003F0C70" w:rsidRDefault="00CC7A36" w:rsidP="00C77942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>
        <w:rPr>
          <w:rFonts w:eastAsia="Calibri"/>
          <w:color w:val="auto"/>
        </w:rPr>
        <w:t>Schopnost získávat mezinárodní výzkumné granty MŠMT příliš nezohlednilo v systému rozdělování podpory a cíle v této oblasti se nedařilo plnit. P</w:t>
      </w:r>
      <w:r w:rsidR="00E62370" w:rsidRPr="00E62370">
        <w:rPr>
          <w:rFonts w:eastAsia="Calibri"/>
          <w:color w:val="auto"/>
        </w:rPr>
        <w:t>ropojení s mezinárodním prostředím</w:t>
      </w:r>
      <w:r>
        <w:rPr>
          <w:rFonts w:eastAsia="Calibri"/>
          <w:color w:val="auto"/>
        </w:rPr>
        <w:t xml:space="preserve"> oproti tomu MŠMT zohlednilo</w:t>
      </w:r>
      <w:r w:rsidR="00881C11" w:rsidRPr="00E62370">
        <w:rPr>
          <w:rFonts w:eastAsia="Calibri"/>
          <w:color w:val="auto"/>
        </w:rPr>
        <w:t xml:space="preserve"> </w:t>
      </w:r>
      <w:r w:rsidR="00881C11" w:rsidRPr="00C77942">
        <w:rPr>
          <w:rFonts w:eastAsia="Calibri"/>
          <w:color w:val="000000" w:themeColor="text1"/>
        </w:rPr>
        <w:t xml:space="preserve">i v systému rozdělování </w:t>
      </w:r>
      <w:r>
        <w:rPr>
          <w:rFonts w:eastAsia="Calibri"/>
          <w:color w:val="000000" w:themeColor="text1"/>
        </w:rPr>
        <w:t>podpory</w:t>
      </w:r>
      <w:r w:rsidR="00881C11" w:rsidRPr="00C77942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a z</w:t>
      </w:r>
      <w:r w:rsidR="00881C11">
        <w:rPr>
          <w:rFonts w:eastAsia="Calibri"/>
          <w:color w:val="000000" w:themeColor="text1"/>
        </w:rPr>
        <w:t> dostupných údajů</w:t>
      </w:r>
      <w:r w:rsidR="00881C11" w:rsidRPr="00C77942">
        <w:rPr>
          <w:rFonts w:eastAsia="Calibri"/>
          <w:color w:val="000000" w:themeColor="text1"/>
        </w:rPr>
        <w:t xml:space="preserve"> je zřejmé, že se v této oblasti daří stanovené cíle plnit.</w:t>
      </w:r>
    </w:p>
    <w:p w14:paraId="42C2262F" w14:textId="4318B1E6" w:rsidR="00F600AA" w:rsidRDefault="00F600AA" w:rsidP="00F600AA">
      <w:pPr>
        <w:suppressAutoHyphens/>
        <w:autoSpaceDN w:val="0"/>
        <w:spacing w:before="0" w:after="120"/>
        <w:textAlignment w:val="baseline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5</w:t>
      </w:r>
      <w:r w:rsidRPr="003F0C70">
        <w:rPr>
          <w:rFonts w:eastAsia="Calibri"/>
          <w:b/>
          <w:color w:val="000000" w:themeColor="text1"/>
        </w:rPr>
        <w:t xml:space="preserve">. Stanovené indikátory </w:t>
      </w:r>
      <w:r w:rsidR="000259D6">
        <w:rPr>
          <w:rFonts w:eastAsia="Calibri"/>
          <w:b/>
          <w:color w:val="000000" w:themeColor="text1"/>
        </w:rPr>
        <w:t xml:space="preserve">vypovídají o </w:t>
      </w:r>
      <w:r w:rsidR="00EA2BD5">
        <w:rPr>
          <w:rFonts w:eastAsia="Calibri"/>
          <w:b/>
          <w:color w:val="000000" w:themeColor="text1"/>
        </w:rPr>
        <w:t>zhoršující se kvalitě</w:t>
      </w:r>
      <w:r w:rsidR="00F12F32">
        <w:rPr>
          <w:rFonts w:eastAsia="Calibri"/>
          <w:b/>
          <w:color w:val="000000" w:themeColor="text1"/>
        </w:rPr>
        <w:t xml:space="preserve"> a relevanci výzkumu, vývoje a </w:t>
      </w:r>
      <w:r w:rsidRPr="003F0C70">
        <w:rPr>
          <w:rFonts w:eastAsia="Calibri"/>
          <w:b/>
          <w:color w:val="000000" w:themeColor="text1"/>
        </w:rPr>
        <w:t xml:space="preserve">inovací českých </w:t>
      </w:r>
      <w:r w:rsidR="0095347E">
        <w:rPr>
          <w:rFonts w:eastAsia="Calibri"/>
          <w:b/>
          <w:color w:val="000000" w:themeColor="text1"/>
        </w:rPr>
        <w:t>VVŠ</w:t>
      </w:r>
    </w:p>
    <w:p w14:paraId="2163E74D" w14:textId="3C053290" w:rsidR="00F600AA" w:rsidRDefault="00F600AA" w:rsidP="00F600AA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 w:rsidRPr="003F0C70">
        <w:rPr>
          <w:rFonts w:eastAsia="Calibri"/>
          <w:color w:val="000000" w:themeColor="text1"/>
        </w:rPr>
        <w:t xml:space="preserve">Pro hodnocení plnění prioritního cíle </w:t>
      </w:r>
      <w:r w:rsidR="00F87B8A">
        <w:rPr>
          <w:rFonts w:eastAsia="Calibri"/>
          <w:color w:val="000000" w:themeColor="text1"/>
        </w:rPr>
        <w:t>„</w:t>
      </w:r>
      <w:r w:rsidR="00A6685B" w:rsidRPr="00B11EEB">
        <w:rPr>
          <w:rFonts w:eastAsia="Calibri"/>
          <w:i/>
          <w:color w:val="000000" w:themeColor="text1"/>
        </w:rPr>
        <w:t>k</w:t>
      </w:r>
      <w:r w:rsidRPr="00B11EEB">
        <w:rPr>
          <w:rFonts w:eastAsia="Calibri"/>
          <w:i/>
          <w:color w:val="000000" w:themeColor="text1"/>
        </w:rPr>
        <w:t>valitní a relevantní výzkum, vývoj a inovace</w:t>
      </w:r>
      <w:r w:rsidR="00F87B8A">
        <w:rPr>
          <w:rFonts w:eastAsia="Calibri"/>
          <w:color w:val="000000" w:themeColor="text1"/>
        </w:rPr>
        <w:t>“</w:t>
      </w:r>
      <w:r w:rsidRPr="003F0C70">
        <w:rPr>
          <w:rFonts w:eastAsia="Calibri"/>
          <w:color w:val="000000" w:themeColor="text1"/>
        </w:rPr>
        <w:t xml:space="preserve"> stanovilo MŠMT pět indikátorů. Tyto indikátory</w:t>
      </w:r>
      <w:r w:rsidR="00EA2BD5">
        <w:rPr>
          <w:rFonts w:eastAsia="Calibri"/>
          <w:color w:val="000000" w:themeColor="text1"/>
        </w:rPr>
        <w:t xml:space="preserve"> se nedaří plnit, a proto se nedaří </w:t>
      </w:r>
      <w:r w:rsidRPr="003F0C70">
        <w:rPr>
          <w:rFonts w:eastAsia="Calibri"/>
          <w:color w:val="000000" w:themeColor="text1"/>
        </w:rPr>
        <w:t xml:space="preserve">plnit ani příslušný prioritní cíl. Dosažené výsledky naopak indikují zhoršující se kvalitu a relevanci výzkumu, vývoje a inovací českých </w:t>
      </w:r>
      <w:r w:rsidR="008B4730">
        <w:rPr>
          <w:rFonts w:eastAsia="Calibri"/>
          <w:color w:val="000000" w:themeColor="text1"/>
        </w:rPr>
        <w:t>VVŠ</w:t>
      </w:r>
      <w:r>
        <w:rPr>
          <w:rFonts w:eastAsia="Calibri"/>
          <w:color w:val="000000" w:themeColor="text1"/>
        </w:rPr>
        <w:t>.</w:t>
      </w:r>
      <w:r w:rsidR="007B6777">
        <w:rPr>
          <w:rFonts w:eastAsia="Calibri"/>
          <w:color w:val="000000" w:themeColor="text1"/>
        </w:rPr>
        <w:t xml:space="preserve"> </w:t>
      </w:r>
      <w:r w:rsidR="00EA2BD5">
        <w:rPr>
          <w:rFonts w:eastAsia="Calibri"/>
          <w:color w:val="000000" w:themeColor="text1"/>
        </w:rPr>
        <w:t>V</w:t>
      </w:r>
      <w:r>
        <w:rPr>
          <w:rFonts w:eastAsia="Calibri"/>
          <w:color w:val="000000" w:themeColor="text1"/>
        </w:rPr>
        <w:t xml:space="preserve"> oblasti výzkumu nejsou české </w:t>
      </w:r>
      <w:r w:rsidR="008B4730">
        <w:rPr>
          <w:rFonts w:eastAsia="Calibri"/>
          <w:color w:val="000000" w:themeColor="text1"/>
        </w:rPr>
        <w:t>VVŠ</w:t>
      </w:r>
      <w:r>
        <w:rPr>
          <w:rFonts w:eastAsia="Calibri"/>
          <w:color w:val="000000" w:themeColor="text1"/>
        </w:rPr>
        <w:t xml:space="preserve"> dlouhodobě úspěšné v čerpání prostředků ze soukromé sféry a ze zahraničních dotačních programů. Stejně tak je ve výzkumu </w:t>
      </w:r>
      <w:r w:rsidR="00EA2BD5">
        <w:rPr>
          <w:rFonts w:eastAsia="Calibri"/>
          <w:color w:val="000000" w:themeColor="text1"/>
        </w:rPr>
        <w:t>českých VVŠ</w:t>
      </w:r>
      <w:r>
        <w:rPr>
          <w:rFonts w:eastAsia="Calibri"/>
          <w:color w:val="000000" w:themeColor="text1"/>
        </w:rPr>
        <w:t xml:space="preserve"> </w:t>
      </w:r>
      <w:r w:rsidR="008D68A5">
        <w:rPr>
          <w:rFonts w:eastAsia="Calibri"/>
          <w:color w:val="000000" w:themeColor="text1"/>
        </w:rPr>
        <w:t xml:space="preserve">i kvůli systému financování </w:t>
      </w:r>
      <w:r>
        <w:rPr>
          <w:rFonts w:eastAsia="Calibri"/>
          <w:color w:val="000000" w:themeColor="text1"/>
        </w:rPr>
        <w:t xml:space="preserve">stále zřejmý </w:t>
      </w:r>
      <w:r>
        <w:t>důraz</w:t>
      </w:r>
      <w:r w:rsidR="00EA2BD5">
        <w:t xml:space="preserve"> na kvantitu</w:t>
      </w:r>
      <w:r w:rsidR="000F2CB2">
        <w:t>,</w:t>
      </w:r>
      <w:r w:rsidR="00EA2BD5">
        <w:t xml:space="preserve"> </w:t>
      </w:r>
      <w:r w:rsidR="008B4730">
        <w:t>a ne na kvalit</w:t>
      </w:r>
      <w:r w:rsidR="00EA2BD5">
        <w:t>u.</w:t>
      </w:r>
    </w:p>
    <w:p w14:paraId="26C0766A" w14:textId="2466F136" w:rsidR="00287423" w:rsidRDefault="00EA46D2" w:rsidP="000A03DC">
      <w:pPr>
        <w:suppressAutoHyphens/>
        <w:autoSpaceDN w:val="0"/>
        <w:spacing w:before="0" w:after="120"/>
        <w:textAlignment w:val="baseline"/>
        <w:rPr>
          <w:rFonts w:eastAsia="Calibri"/>
          <w:color w:val="000000" w:themeColor="text1"/>
        </w:rPr>
      </w:pPr>
      <w:r>
        <w:rPr>
          <w:b/>
          <w:lang w:eastAsia="cs-CZ"/>
        </w:rPr>
        <w:t>6</w:t>
      </w:r>
      <w:r w:rsidR="00F83F78">
        <w:rPr>
          <w:b/>
          <w:lang w:eastAsia="cs-CZ"/>
        </w:rPr>
        <w:t xml:space="preserve">. </w:t>
      </w:r>
      <w:r w:rsidR="00F83F78" w:rsidRPr="008857DC">
        <w:rPr>
          <w:b/>
          <w:lang w:eastAsia="cs-CZ"/>
        </w:rPr>
        <w:t xml:space="preserve">Prostředky </w:t>
      </w:r>
      <w:r w:rsidR="00F83F78">
        <w:rPr>
          <w:b/>
          <w:lang w:eastAsia="cs-CZ"/>
        </w:rPr>
        <w:t>na investiční p</w:t>
      </w:r>
      <w:r w:rsidR="00F83F78" w:rsidRPr="008857DC">
        <w:rPr>
          <w:b/>
          <w:lang w:eastAsia="cs-CZ"/>
        </w:rPr>
        <w:t xml:space="preserve">rogram </w:t>
      </w:r>
      <w:r w:rsidR="007A6E91">
        <w:rPr>
          <w:b/>
          <w:lang w:eastAsia="cs-CZ"/>
        </w:rPr>
        <w:t xml:space="preserve">zůstávají </w:t>
      </w:r>
      <w:r w:rsidR="00F83F78" w:rsidRPr="008857DC">
        <w:rPr>
          <w:b/>
          <w:lang w:eastAsia="cs-CZ"/>
        </w:rPr>
        <w:t xml:space="preserve">i přes </w:t>
      </w:r>
      <w:r w:rsidR="00F83F78">
        <w:rPr>
          <w:b/>
          <w:lang w:eastAsia="cs-CZ"/>
        </w:rPr>
        <w:t>jeho opakovan</w:t>
      </w:r>
      <w:r w:rsidR="007A6E91">
        <w:rPr>
          <w:b/>
          <w:lang w:eastAsia="cs-CZ"/>
        </w:rPr>
        <w:t>é prodloužení nevyčerpány</w:t>
      </w:r>
    </w:p>
    <w:p w14:paraId="414BE82B" w14:textId="0CC40799" w:rsidR="00F83F78" w:rsidRDefault="00F83F78" w:rsidP="00F83F78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MŠMT na období let 2011 až 2016</w:t>
      </w:r>
      <w:r w:rsidR="004533B9" w:rsidRPr="004533B9">
        <w:rPr>
          <w:lang w:eastAsia="cs-CZ"/>
        </w:rPr>
        <w:t xml:space="preserve"> </w:t>
      </w:r>
      <w:r w:rsidR="004533B9">
        <w:rPr>
          <w:lang w:eastAsia="cs-CZ"/>
        </w:rPr>
        <w:t xml:space="preserve">vyhlásilo investiční program, jehož cílem byla </w:t>
      </w:r>
      <w:r w:rsidR="00171A01">
        <w:rPr>
          <w:lang w:eastAsia="cs-CZ"/>
        </w:rPr>
        <w:t>obnova a </w:t>
      </w:r>
      <w:r w:rsidR="004533B9" w:rsidRPr="00973654">
        <w:rPr>
          <w:lang w:eastAsia="cs-CZ"/>
        </w:rPr>
        <w:t>rozvoj vysokoškolské infrastruktury</w:t>
      </w:r>
      <w:r w:rsidR="004533B9">
        <w:rPr>
          <w:lang w:eastAsia="cs-CZ"/>
        </w:rPr>
        <w:t xml:space="preserve">. </w:t>
      </w:r>
      <w:r w:rsidR="00371D6E">
        <w:rPr>
          <w:lang w:eastAsia="cs-CZ"/>
        </w:rPr>
        <w:t xml:space="preserve">V tomto období </w:t>
      </w:r>
      <w:r w:rsidR="00D338FD">
        <w:rPr>
          <w:lang w:eastAsia="cs-CZ"/>
        </w:rPr>
        <w:t>vysoké školy</w:t>
      </w:r>
      <w:r w:rsidR="00371D6E">
        <w:rPr>
          <w:lang w:eastAsia="cs-CZ"/>
        </w:rPr>
        <w:t xml:space="preserve"> vyčerpaly 5,7 mld. Kč, </w:t>
      </w:r>
      <w:r w:rsidR="00200D7E">
        <w:rPr>
          <w:lang w:eastAsia="cs-CZ"/>
        </w:rPr>
        <w:t>což představuje</w:t>
      </w:r>
      <w:r w:rsidR="00371D6E">
        <w:rPr>
          <w:lang w:eastAsia="cs-CZ"/>
        </w:rPr>
        <w:t xml:space="preserve"> pouze 41 % schválené předpokládané částky. M</w:t>
      </w:r>
      <w:r w:rsidR="004533B9">
        <w:rPr>
          <w:lang w:eastAsia="cs-CZ"/>
        </w:rPr>
        <w:t xml:space="preserve">ŠMT </w:t>
      </w:r>
      <w:r w:rsidR="00371D6E">
        <w:rPr>
          <w:lang w:eastAsia="cs-CZ"/>
        </w:rPr>
        <w:t xml:space="preserve">program </w:t>
      </w:r>
      <w:r w:rsidR="004533B9">
        <w:rPr>
          <w:lang w:eastAsia="cs-CZ"/>
        </w:rPr>
        <w:t>dvakrát aktualizovalo a dobu jeho platnosti prodloužilo až do roku 2021.</w:t>
      </w:r>
      <w:r w:rsidR="00371D6E">
        <w:rPr>
          <w:lang w:eastAsia="cs-CZ"/>
        </w:rPr>
        <w:t xml:space="preserve"> Ani s tímto prodloužením se nevyčerpá původně alokovaná částka ve výši 13,9 mld. Kč. Po ce</w:t>
      </w:r>
      <w:r w:rsidR="00EA2BD5">
        <w:rPr>
          <w:lang w:eastAsia="cs-CZ"/>
        </w:rPr>
        <w:t xml:space="preserve">lou dobu realizace programu </w:t>
      </w:r>
      <w:r w:rsidR="00EA2BD5">
        <w:rPr>
          <w:lang w:eastAsia="cs-CZ"/>
        </w:rPr>
        <w:lastRenderedPageBreak/>
        <w:t>bylo</w:t>
      </w:r>
      <w:r w:rsidR="00371D6E">
        <w:rPr>
          <w:lang w:eastAsia="cs-CZ"/>
        </w:rPr>
        <w:t xml:space="preserve"> skutečné </w:t>
      </w:r>
      <w:r w:rsidR="00EA2BD5">
        <w:rPr>
          <w:lang w:eastAsia="cs-CZ"/>
        </w:rPr>
        <w:t>čerpání prostředků</w:t>
      </w:r>
      <w:r w:rsidR="00371D6E">
        <w:rPr>
          <w:lang w:eastAsia="cs-CZ"/>
        </w:rPr>
        <w:t xml:space="preserve"> </w:t>
      </w:r>
      <w:r w:rsidR="00EA2BD5">
        <w:rPr>
          <w:lang w:eastAsia="cs-CZ"/>
        </w:rPr>
        <w:t>v každém roce významně nižší</w:t>
      </w:r>
      <w:r w:rsidR="00371D6E">
        <w:rPr>
          <w:lang w:eastAsia="cs-CZ"/>
        </w:rPr>
        <w:t xml:space="preserve"> než </w:t>
      </w:r>
      <w:r w:rsidR="00200D7E">
        <w:rPr>
          <w:lang w:eastAsia="cs-CZ"/>
        </w:rPr>
        <w:t>alokace schválená</w:t>
      </w:r>
      <w:r w:rsidR="00371D6E">
        <w:rPr>
          <w:lang w:eastAsia="cs-CZ"/>
        </w:rPr>
        <w:t xml:space="preserve"> v příslušné dokumentaci programu.</w:t>
      </w:r>
      <w:r w:rsidR="00686249">
        <w:rPr>
          <w:lang w:eastAsia="cs-CZ"/>
        </w:rPr>
        <w:t xml:space="preserve"> </w:t>
      </w:r>
      <w:r w:rsidR="002C7CA5" w:rsidRPr="002C7CA5">
        <w:rPr>
          <w:lang w:eastAsia="cs-CZ"/>
        </w:rPr>
        <w:t xml:space="preserve">Již v roce 2017 NKÚ </w:t>
      </w:r>
      <w:r w:rsidR="00171A01">
        <w:rPr>
          <w:lang w:eastAsia="cs-CZ"/>
        </w:rPr>
        <w:t>upozornil v kontrolním závěru z </w:t>
      </w:r>
      <w:r w:rsidR="002C7CA5" w:rsidRPr="002C7CA5">
        <w:rPr>
          <w:lang w:eastAsia="cs-CZ"/>
        </w:rPr>
        <w:t xml:space="preserve">kontrolní akce č. 16/31 </w:t>
      </w:r>
      <w:r w:rsidR="00A3619A">
        <w:rPr>
          <w:lang w:eastAsia="cs-CZ"/>
        </w:rPr>
        <w:t xml:space="preserve">– </w:t>
      </w:r>
      <w:r w:rsidR="002C7CA5" w:rsidRPr="002C7CA5">
        <w:rPr>
          <w:i/>
          <w:lang w:eastAsia="cs-CZ"/>
        </w:rPr>
        <w:t>Rozvoj a obnova materiálně technické základny veřejných vysokých škol</w:t>
      </w:r>
      <w:r w:rsidR="002C7CA5" w:rsidRPr="002C7CA5">
        <w:rPr>
          <w:lang w:eastAsia="cs-CZ"/>
        </w:rPr>
        <w:t>, že program byl špatně nastaven a investiční akce vysokých škol nebyly dobře připraveny.</w:t>
      </w:r>
      <w:r w:rsidR="00686249">
        <w:rPr>
          <w:lang w:eastAsia="cs-CZ"/>
        </w:rPr>
        <w:t xml:space="preserve"> </w:t>
      </w:r>
    </w:p>
    <w:p w14:paraId="2467A280" w14:textId="3FF2D13A" w:rsidR="00EA46D2" w:rsidRPr="00287423" w:rsidRDefault="00EA46D2" w:rsidP="007412F0">
      <w:pPr>
        <w:keepNext/>
        <w:suppressAutoHyphens/>
        <w:autoSpaceDN w:val="0"/>
        <w:spacing w:before="0" w:after="120"/>
        <w:textAlignment w:val="baseline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7. </w:t>
      </w:r>
      <w:r w:rsidR="008B4730" w:rsidRPr="008B4730">
        <w:rPr>
          <w:rFonts w:eastAsia="Calibri"/>
          <w:b/>
          <w:color w:val="000000" w:themeColor="text1"/>
        </w:rPr>
        <w:t>Navzdory deklarované</w:t>
      </w:r>
      <w:r w:rsidR="00F45C89">
        <w:rPr>
          <w:rFonts w:eastAsia="Calibri"/>
          <w:b/>
          <w:color w:val="000000" w:themeColor="text1"/>
        </w:rPr>
        <w:t xml:space="preserve">mu nedostatku </w:t>
      </w:r>
      <w:r w:rsidR="0061733C">
        <w:rPr>
          <w:rFonts w:eastAsia="Calibri"/>
          <w:b/>
          <w:color w:val="000000" w:themeColor="text1"/>
        </w:rPr>
        <w:t>prostředků</w:t>
      </w:r>
      <w:r w:rsidR="008B4730" w:rsidRPr="008B4730">
        <w:rPr>
          <w:rFonts w:eastAsia="Calibri"/>
          <w:b/>
          <w:color w:val="000000" w:themeColor="text1"/>
        </w:rPr>
        <w:t xml:space="preserve"> každoročně </w:t>
      </w:r>
      <w:r w:rsidR="008B4730">
        <w:rPr>
          <w:rFonts w:eastAsia="Calibri"/>
          <w:b/>
          <w:color w:val="000000" w:themeColor="text1"/>
        </w:rPr>
        <w:t xml:space="preserve">významně </w:t>
      </w:r>
      <w:r w:rsidR="008B4730" w:rsidRPr="008B4730">
        <w:rPr>
          <w:rFonts w:eastAsia="Calibri"/>
          <w:b/>
          <w:color w:val="000000" w:themeColor="text1"/>
        </w:rPr>
        <w:t>rostly zůstatky fondů VVŠ</w:t>
      </w:r>
    </w:p>
    <w:p w14:paraId="30B55F7B" w14:textId="57642085" w:rsidR="00EA46D2" w:rsidRDefault="00EA46D2" w:rsidP="00EA46D2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rFonts w:eastAsia="Calibri"/>
          <w:color w:val="000000" w:themeColor="text1"/>
        </w:rPr>
        <w:t xml:space="preserve">V rámci analýz stavu a vývoje </w:t>
      </w:r>
      <w:r w:rsidRPr="00287423">
        <w:rPr>
          <w:rFonts w:eastAsia="Calibri"/>
          <w:color w:val="000000" w:themeColor="text1"/>
        </w:rPr>
        <w:t xml:space="preserve">vysokých škol </w:t>
      </w:r>
      <w:r>
        <w:rPr>
          <w:rFonts w:eastAsia="Calibri"/>
          <w:color w:val="000000" w:themeColor="text1"/>
        </w:rPr>
        <w:t xml:space="preserve">MŠMT </w:t>
      </w:r>
      <w:r w:rsidRPr="008442E2">
        <w:rPr>
          <w:rFonts w:eastAsia="Calibri"/>
          <w:color w:val="000000" w:themeColor="text1"/>
        </w:rPr>
        <w:t xml:space="preserve">konstatovalo </w:t>
      </w:r>
      <w:r>
        <w:rPr>
          <w:rFonts w:eastAsia="Calibri"/>
          <w:color w:val="000000" w:themeColor="text1"/>
        </w:rPr>
        <w:t>mj.</w:t>
      </w:r>
      <w:r w:rsidR="006563C7">
        <w:rPr>
          <w:rFonts w:eastAsia="Calibri"/>
          <w:color w:val="000000" w:themeColor="text1"/>
        </w:rPr>
        <w:t xml:space="preserve"> </w:t>
      </w:r>
      <w:r w:rsidR="00F45C89">
        <w:rPr>
          <w:rFonts w:eastAsia="Calibri"/>
          <w:color w:val="000000" w:themeColor="text1"/>
        </w:rPr>
        <w:t>nedostatek prostředků ve vysokém</w:t>
      </w:r>
      <w:r w:rsidRPr="008442E2">
        <w:rPr>
          <w:rFonts w:eastAsia="Calibri"/>
          <w:color w:val="000000" w:themeColor="text1"/>
        </w:rPr>
        <w:t xml:space="preserve"> školství. </w:t>
      </w:r>
      <w:r>
        <w:rPr>
          <w:rFonts w:eastAsia="Calibri"/>
          <w:color w:val="000000" w:themeColor="text1"/>
        </w:rPr>
        <w:t xml:space="preserve">Z údajů jednotlivých VVŠ je ovšem zřejmé, že VVŠ disponibilní prostředky nevyužívají a převádí je do svých fondů. Zůstatky fondů VVŠ se </w:t>
      </w:r>
      <w:r w:rsidR="008A4EBF">
        <w:rPr>
          <w:rFonts w:eastAsia="Calibri"/>
          <w:color w:val="000000" w:themeColor="text1"/>
        </w:rPr>
        <w:t>v letech 2014 až 2019 každoročně zvyšovaly. Celkově se v tomto období zvýšily téměř o šest miliard Kč, tj. o 45 %.</w:t>
      </w:r>
      <w:r>
        <w:rPr>
          <w:rFonts w:eastAsia="Calibri"/>
          <w:color w:val="000000" w:themeColor="text1"/>
        </w:rPr>
        <w:t xml:space="preserve"> </w:t>
      </w:r>
      <w:r w:rsidRPr="008442E2">
        <w:rPr>
          <w:rFonts w:eastAsia="Calibri"/>
          <w:color w:val="000000" w:themeColor="text1"/>
        </w:rPr>
        <w:t xml:space="preserve">V roce 2019 </w:t>
      </w:r>
      <w:r w:rsidR="00951CBF">
        <w:rPr>
          <w:rFonts w:eastAsia="Calibri"/>
          <w:color w:val="000000" w:themeColor="text1"/>
        </w:rPr>
        <w:t>měly VVŠ na fondech</w:t>
      </w:r>
      <w:r>
        <w:rPr>
          <w:rFonts w:eastAsia="Calibri"/>
          <w:color w:val="000000" w:themeColor="text1"/>
        </w:rPr>
        <w:t xml:space="preserve"> </w:t>
      </w:r>
      <w:r w:rsidRPr="008442E2">
        <w:rPr>
          <w:rFonts w:eastAsia="Calibri"/>
          <w:color w:val="000000" w:themeColor="text1"/>
        </w:rPr>
        <w:t xml:space="preserve">téměř 19 mld. Kč, </w:t>
      </w:r>
      <w:r w:rsidR="008B4730">
        <w:rPr>
          <w:rFonts w:eastAsia="Calibri"/>
          <w:color w:val="000000" w:themeColor="text1"/>
        </w:rPr>
        <w:t>což odpovídalo přibližně 42 %</w:t>
      </w:r>
      <w:r>
        <w:t xml:space="preserve"> výdajů</w:t>
      </w:r>
      <w:r>
        <w:rPr>
          <w:rFonts w:cstheme="minorHAnsi"/>
        </w:rPr>
        <w:t xml:space="preserve"> MŠMT na </w:t>
      </w:r>
      <w:r w:rsidR="00E7221A">
        <w:rPr>
          <w:rFonts w:cstheme="minorHAnsi"/>
        </w:rPr>
        <w:t>VVŠ</w:t>
      </w:r>
      <w:r>
        <w:rPr>
          <w:rFonts w:cstheme="minorHAnsi"/>
        </w:rPr>
        <w:t xml:space="preserve"> pro </w:t>
      </w:r>
      <w:r w:rsidR="008A4EBF">
        <w:rPr>
          <w:rFonts w:cstheme="minorHAnsi"/>
        </w:rPr>
        <w:t>tento</w:t>
      </w:r>
      <w:r>
        <w:rPr>
          <w:rFonts w:cstheme="minorHAnsi"/>
        </w:rPr>
        <w:t xml:space="preserve"> rok.</w:t>
      </w:r>
    </w:p>
    <w:p w14:paraId="2898B2AF" w14:textId="35F92377" w:rsidR="00F01649" w:rsidRDefault="00F01649" w:rsidP="00F01649">
      <w:pPr>
        <w:suppressAutoHyphens/>
        <w:autoSpaceDN w:val="0"/>
        <w:spacing w:before="0" w:after="120"/>
        <w:textAlignment w:val="baseline"/>
        <w:rPr>
          <w:lang w:eastAsia="cs-CZ"/>
        </w:rPr>
      </w:pPr>
      <w:r w:rsidRPr="00F01649">
        <w:rPr>
          <w:b/>
          <w:lang w:eastAsia="cs-CZ"/>
        </w:rPr>
        <w:t>8. Postavení ČR v mezinárodním žebříčku hodnotícím vysokoškolské systémy se dlouhodobě zhoršuje</w:t>
      </w:r>
    </w:p>
    <w:p w14:paraId="7D172649" w14:textId="2C0A3685" w:rsidR="00F01649" w:rsidRDefault="00F01649" w:rsidP="00F83F78">
      <w:pPr>
        <w:autoSpaceDE w:val="0"/>
        <w:autoSpaceDN w:val="0"/>
        <w:adjustRightInd w:val="0"/>
        <w:spacing w:before="0" w:after="120"/>
        <w:rPr>
          <w:lang w:eastAsia="cs-CZ"/>
        </w:rPr>
      </w:pPr>
      <w:r w:rsidRPr="00620A7A">
        <w:rPr>
          <w:lang w:eastAsia="cs-CZ"/>
        </w:rPr>
        <w:t xml:space="preserve">Ve sledovaném období let 2013 až 2020 je zřejmé zhoršující se postavení ČR v žebříčku </w:t>
      </w:r>
      <w:r w:rsidRPr="00B11EEB">
        <w:rPr>
          <w:i/>
          <w:lang w:eastAsia="cs-CZ"/>
        </w:rPr>
        <w:t>Universitas 21</w:t>
      </w:r>
      <w:r w:rsidRPr="00620A7A">
        <w:rPr>
          <w:lang w:eastAsia="cs-CZ"/>
        </w:rPr>
        <w:t>, který hodnotí vysokoškolské systémy. Zhoršení je zřejmé jak v dosaženém skóre vůči nejúspěšnější zemi, tak v pořadí mezi jednotlivými zeměmi. Nejvíce ČR zaostávala v </w:t>
      </w:r>
      <w:r w:rsidR="00147797">
        <w:rPr>
          <w:lang w:eastAsia="cs-CZ"/>
        </w:rPr>
        <w:t>oblasti</w:t>
      </w:r>
      <w:r w:rsidR="00EA2BD5">
        <w:rPr>
          <w:lang w:eastAsia="cs-CZ"/>
        </w:rPr>
        <w:t xml:space="preserve"> v</w:t>
      </w:r>
      <w:r w:rsidRPr="00620A7A">
        <w:rPr>
          <w:lang w:eastAsia="cs-CZ"/>
        </w:rPr>
        <w:t>ýsledků, kde dosahovala pouze přibližně třetiny</w:t>
      </w:r>
      <w:r w:rsidR="00EA2BD5">
        <w:rPr>
          <w:lang w:eastAsia="cs-CZ"/>
        </w:rPr>
        <w:t xml:space="preserve"> výkonnosti nejúspěšnější země.</w:t>
      </w:r>
    </w:p>
    <w:p w14:paraId="329E80FD" w14:textId="16F21AE5" w:rsidR="003B082C" w:rsidRDefault="003B082C" w:rsidP="00F83F78">
      <w:pPr>
        <w:autoSpaceDE w:val="0"/>
        <w:autoSpaceDN w:val="0"/>
        <w:adjustRightInd w:val="0"/>
        <w:spacing w:before="0" w:after="120"/>
        <w:rPr>
          <w:b/>
        </w:rPr>
      </w:pPr>
      <w:r w:rsidRPr="003B082C">
        <w:rPr>
          <w:b/>
          <w:lang w:eastAsia="cs-CZ"/>
        </w:rPr>
        <w:t xml:space="preserve">9. Postavení </w:t>
      </w:r>
      <w:r w:rsidRPr="003B082C">
        <w:rPr>
          <w:b/>
        </w:rPr>
        <w:t>českých VVŠ se v mezinárodní konkurenci nedaří zlepšovat</w:t>
      </w:r>
    </w:p>
    <w:p w14:paraId="60FE728B" w14:textId="317A12FA" w:rsidR="003B082C" w:rsidRPr="003B082C" w:rsidRDefault="003B082C" w:rsidP="00F83F78">
      <w:pPr>
        <w:autoSpaceDE w:val="0"/>
        <w:autoSpaceDN w:val="0"/>
        <w:adjustRightInd w:val="0"/>
        <w:spacing w:before="0" w:after="120"/>
        <w:rPr>
          <w:b/>
          <w:lang w:eastAsia="cs-CZ"/>
        </w:rPr>
      </w:pPr>
      <w:r w:rsidRPr="003B082C">
        <w:rPr>
          <w:lang w:eastAsia="cs-CZ"/>
        </w:rPr>
        <w:t>Z údajů tří žebříčků, které různým způsobem hodnotí kvalitu vysokých škol, je zřejmé, že českým VVŠ se v mezinárodní konkurenci nedaří zlepšovat své postavení.</w:t>
      </w:r>
      <w:r>
        <w:rPr>
          <w:lang w:eastAsia="cs-CZ"/>
        </w:rPr>
        <w:t xml:space="preserve"> </w:t>
      </w:r>
      <w:r w:rsidRPr="003B082C">
        <w:rPr>
          <w:lang w:eastAsia="cs-CZ"/>
        </w:rPr>
        <w:t xml:space="preserve">Mezi tisíci nejlepšími vysokými školami dle </w:t>
      </w:r>
      <w:r w:rsidR="00686249">
        <w:rPr>
          <w:lang w:eastAsia="cs-CZ"/>
        </w:rPr>
        <w:t xml:space="preserve">nejstaršího </w:t>
      </w:r>
      <w:r w:rsidRPr="003B082C">
        <w:rPr>
          <w:lang w:eastAsia="cs-CZ"/>
        </w:rPr>
        <w:t xml:space="preserve">žebříčku ARWU se v roce 2020 umístilo 364 evropských vysokých škol. Nadpoloviční většina z nich se umístila v horní polovině žebříčku. </w:t>
      </w:r>
      <w:r w:rsidR="002C7CA5">
        <w:rPr>
          <w:lang w:eastAsia="cs-CZ"/>
        </w:rPr>
        <w:t xml:space="preserve">Mezi tisíc nejlepších se dostalo sedm z 26 českých VVŠ. </w:t>
      </w:r>
      <w:r w:rsidR="00513E51">
        <w:rPr>
          <w:lang w:eastAsia="cs-CZ"/>
        </w:rPr>
        <w:t>Pouze jedna z nich se umístila v</w:t>
      </w:r>
      <w:r w:rsidRPr="003B082C">
        <w:rPr>
          <w:lang w:eastAsia="cs-CZ"/>
        </w:rPr>
        <w:t xml:space="preserve"> horní polovině žebříčku </w:t>
      </w:r>
      <w:r w:rsidR="00ED7B79">
        <w:rPr>
          <w:lang w:eastAsia="cs-CZ"/>
        </w:rPr>
        <w:t>a zbylých šest</w:t>
      </w:r>
      <w:r w:rsidRPr="003B082C">
        <w:rPr>
          <w:lang w:eastAsia="cs-CZ"/>
        </w:rPr>
        <w:t xml:space="preserve"> </w:t>
      </w:r>
      <w:r w:rsidR="00200D7E">
        <w:rPr>
          <w:lang w:eastAsia="cs-CZ"/>
        </w:rPr>
        <w:t xml:space="preserve">umístěných </w:t>
      </w:r>
      <w:r w:rsidR="00555758">
        <w:rPr>
          <w:lang w:eastAsia="cs-CZ"/>
        </w:rPr>
        <w:t>VVŠ bylo</w:t>
      </w:r>
      <w:r w:rsidRPr="003B082C">
        <w:rPr>
          <w:lang w:eastAsia="cs-CZ"/>
        </w:rPr>
        <w:t xml:space="preserve"> ve spodní polovině žebříčku.</w:t>
      </w:r>
    </w:p>
    <w:p w14:paraId="1C25C698" w14:textId="3740610A" w:rsidR="00287423" w:rsidRDefault="00442250" w:rsidP="000A03DC">
      <w:pPr>
        <w:suppressAutoHyphens/>
        <w:autoSpaceDN w:val="0"/>
        <w:spacing w:before="0" w:after="120"/>
        <w:textAlignment w:val="baseline"/>
        <w:rPr>
          <w:rFonts w:eastAsia="Calibri"/>
          <w:b/>
          <w:color w:val="000000" w:themeColor="text1"/>
        </w:rPr>
      </w:pPr>
      <w:r w:rsidRPr="00442250">
        <w:rPr>
          <w:rFonts w:eastAsia="Calibri"/>
          <w:b/>
          <w:color w:val="000000" w:themeColor="text1"/>
        </w:rPr>
        <w:t xml:space="preserve">10. Plnění strategických záměrů </w:t>
      </w:r>
      <w:r w:rsidR="00EA2BD5">
        <w:rPr>
          <w:rFonts w:eastAsia="Calibri"/>
          <w:b/>
          <w:color w:val="000000" w:themeColor="text1"/>
        </w:rPr>
        <w:t xml:space="preserve">kontrolovaných </w:t>
      </w:r>
      <w:r w:rsidRPr="00442250">
        <w:rPr>
          <w:rFonts w:eastAsia="Calibri"/>
          <w:b/>
          <w:color w:val="000000" w:themeColor="text1"/>
        </w:rPr>
        <w:t xml:space="preserve">vysokých škol nelze </w:t>
      </w:r>
      <w:r w:rsidR="008842CB">
        <w:rPr>
          <w:rFonts w:eastAsia="Calibri"/>
          <w:b/>
          <w:color w:val="000000" w:themeColor="text1"/>
        </w:rPr>
        <w:t>vinou</w:t>
      </w:r>
      <w:r w:rsidRPr="00442250">
        <w:rPr>
          <w:rFonts w:eastAsia="Calibri"/>
          <w:b/>
          <w:color w:val="000000" w:themeColor="text1"/>
        </w:rPr>
        <w:t xml:space="preserve"> jejich nastavení vyhodnotit</w:t>
      </w:r>
    </w:p>
    <w:p w14:paraId="53119BE9" w14:textId="3BD7847D" w:rsidR="00287423" w:rsidRDefault="00DE4414" w:rsidP="0059280A">
      <w:pPr>
        <w:spacing w:before="0" w:after="120"/>
      </w:pPr>
      <w:r>
        <w:rPr>
          <w:rFonts w:eastAsia="Calibri"/>
          <w:color w:val="000000" w:themeColor="text1"/>
        </w:rPr>
        <w:t>V</w:t>
      </w:r>
      <w:r w:rsidR="00D338FD">
        <w:rPr>
          <w:rFonts w:eastAsia="Calibri"/>
          <w:color w:val="000000" w:themeColor="text1"/>
        </w:rPr>
        <w:t>ysoké školy</w:t>
      </w:r>
      <w:r w:rsidR="0059280A">
        <w:rPr>
          <w:rFonts w:eastAsia="Calibri"/>
          <w:color w:val="000000" w:themeColor="text1"/>
        </w:rPr>
        <w:t xml:space="preserve"> zpracovávají na základě zákona strategické zámě</w:t>
      </w:r>
      <w:r w:rsidR="00741A66">
        <w:rPr>
          <w:rFonts w:eastAsia="Calibri"/>
          <w:color w:val="000000" w:themeColor="text1"/>
        </w:rPr>
        <w:t>ry svého rozvoje, které MŠMT zohledňuje</w:t>
      </w:r>
      <w:r w:rsidR="0059280A">
        <w:rPr>
          <w:rFonts w:eastAsia="Calibri"/>
          <w:color w:val="000000" w:themeColor="text1"/>
        </w:rPr>
        <w:t xml:space="preserve"> i při poskytování podpory. Ž</w:t>
      </w:r>
      <w:r w:rsidR="0059280A">
        <w:t>ádná z šesti kontrolovaných škol plnění tohoto strategického dokumentu na období 2011 až 2015 komplexně nevyhodnocovala. V případě strategických záměrů na období 2016 až 2020 se situace částečně zlepšila. U čtyř škol však vzhledem k</w:t>
      </w:r>
      <w:r w:rsidR="00012265">
        <w:t> tomu, že si nestanovily cílové stavy,</w:t>
      </w:r>
      <w:r w:rsidR="0059280A">
        <w:t xml:space="preserve"> nebude možné plnění tohoto klíčového strategického dokumentu </w:t>
      </w:r>
      <w:r w:rsidR="00EA2BD5">
        <w:t>jednoznačně</w:t>
      </w:r>
      <w:r w:rsidR="0059280A">
        <w:t xml:space="preserve"> vyhodnotit. </w:t>
      </w:r>
      <w:r w:rsidR="00611A50">
        <w:t xml:space="preserve">Stanovení cílových stavů kvůli možnosti vyhodnocení MŠMT nepožadovalo. </w:t>
      </w:r>
      <w:r w:rsidR="0059280A">
        <w:t>MŠMT s vysokými školami strategické záměry projed</w:t>
      </w:r>
      <w:r w:rsidR="007E411B">
        <w:t>nalo, žádné výhrady však nemělo a nevyužilo příležitost ovlivnit jejich strategický rozvoj.</w:t>
      </w:r>
    </w:p>
    <w:p w14:paraId="663A62FD" w14:textId="2E950535" w:rsidR="00E61477" w:rsidRDefault="00E61477" w:rsidP="00C50C07">
      <w:pPr>
        <w:keepNext/>
        <w:spacing w:before="240" w:after="240"/>
        <w:ind w:left="357"/>
        <w:jc w:val="center"/>
        <w:outlineLvl w:val="0"/>
        <w:rPr>
          <w:b/>
          <w:color w:val="auto"/>
          <w:sz w:val="28"/>
        </w:rPr>
      </w:pPr>
      <w:r w:rsidRPr="00C50C07">
        <w:rPr>
          <w:b/>
          <w:sz w:val="28"/>
        </w:rPr>
        <w:t>II. </w:t>
      </w:r>
      <w:r w:rsidR="00C866CB" w:rsidRPr="00C50C07">
        <w:rPr>
          <w:b/>
          <w:sz w:val="28"/>
        </w:rPr>
        <w:t>Informace o kontrolované oblasti</w:t>
      </w:r>
    </w:p>
    <w:p w14:paraId="66F16D93" w14:textId="09863504" w:rsidR="006F48A3" w:rsidRDefault="000D2476" w:rsidP="000D2476">
      <w:pPr>
        <w:spacing w:before="0" w:after="120"/>
      </w:pPr>
      <w:r>
        <w:t xml:space="preserve">VVŠ </w:t>
      </w:r>
      <w:r w:rsidRPr="002E4070">
        <w:t>jso</w:t>
      </w:r>
      <w:r w:rsidRPr="003B1340">
        <w:t>u právnické</w:t>
      </w:r>
      <w:r>
        <w:t xml:space="preserve"> osoby zřízené zákonem o vysokých školách. Tento zákon upravuje </w:t>
      </w:r>
      <w:r w:rsidR="004E344F">
        <w:t xml:space="preserve">jejich </w:t>
      </w:r>
      <w:r>
        <w:t xml:space="preserve">postavení a činnost. </w:t>
      </w:r>
      <w:r w:rsidR="00D338FD">
        <w:rPr>
          <w:rFonts w:eastAsiaTheme="minorHAnsi" w:cstheme="minorHAnsi"/>
        </w:rPr>
        <w:t>V</w:t>
      </w:r>
      <w:r w:rsidR="00D338FD" w:rsidRPr="00AD08D7">
        <w:rPr>
          <w:rFonts w:eastAsiaTheme="minorHAnsi" w:cstheme="minorHAnsi"/>
        </w:rPr>
        <w:t>ysoké školy</w:t>
      </w:r>
      <w:r w:rsidR="00D338FD">
        <w:rPr>
          <w:rFonts w:eastAsiaTheme="minorHAnsi" w:cstheme="minorHAnsi"/>
        </w:rPr>
        <w:t xml:space="preserve"> (dále také „VŠ“)</w:t>
      </w:r>
      <w:r w:rsidRPr="002F006A">
        <w:rPr>
          <w:rFonts w:cstheme="minorHAnsi"/>
        </w:rPr>
        <w:t xml:space="preserve"> jako nejvyšší článek vzdělávací soustavy jsou vrcholnými centry vzdělanosti, </w:t>
      </w:r>
      <w:r w:rsidRPr="002B3158">
        <w:rPr>
          <w:rFonts w:cstheme="minorHAnsi"/>
        </w:rPr>
        <w:t xml:space="preserve">nezávislého poznání a tvůrčí činnosti a mají klíčovou úlohu ve vědeckém, kulturním, sociálním a ekonomickém rozvoji. </w:t>
      </w:r>
      <w:r w:rsidR="00686249">
        <w:t>V roce 2020</w:t>
      </w:r>
      <w:r w:rsidRPr="002B3158">
        <w:t xml:space="preserve"> bylo v rámci českého vysokého školství</w:t>
      </w:r>
      <w:r w:rsidR="00074B82">
        <w:t xml:space="preserve"> </w:t>
      </w:r>
      <w:r w:rsidRPr="002B3158">
        <w:t>celkem 26</w:t>
      </w:r>
      <w:r w:rsidR="00074B82">
        <w:t xml:space="preserve"> </w:t>
      </w:r>
      <w:r w:rsidRPr="002B3158">
        <w:t>veřejných vysokých škol a na těchto školách st</w:t>
      </w:r>
      <w:r w:rsidR="006F1F00">
        <w:t>udovalo 91</w:t>
      </w:r>
      <w:r w:rsidR="00074B82">
        <w:t> </w:t>
      </w:r>
      <w:r w:rsidR="006F1F00">
        <w:t>% všech vysokoškolských studentů</w:t>
      </w:r>
      <w:r w:rsidRPr="002B3158">
        <w:t>.</w:t>
      </w:r>
    </w:p>
    <w:p w14:paraId="345CB1BC" w14:textId="099A40D2" w:rsidR="000D2476" w:rsidRPr="00420026" w:rsidRDefault="000D2476" w:rsidP="000D2476">
      <w:pPr>
        <w:spacing w:after="120"/>
        <w:rPr>
          <w:rFonts w:cstheme="minorHAnsi"/>
        </w:rPr>
      </w:pPr>
      <w:r>
        <w:lastRenderedPageBreak/>
        <w:t xml:space="preserve">MŠMT je </w:t>
      </w:r>
      <w:r w:rsidRPr="00420026">
        <w:rPr>
          <w:rFonts w:cstheme="minorHAnsi"/>
        </w:rPr>
        <w:t xml:space="preserve">ústředním orgánem </w:t>
      </w:r>
      <w:r w:rsidR="0031038E">
        <w:rPr>
          <w:rFonts w:cstheme="minorHAnsi"/>
        </w:rPr>
        <w:t>státní správy mj. pro vysoké školy, vzdělávání, vědní politiku, výzkum a vývoj</w:t>
      </w:r>
      <w:r>
        <w:rPr>
          <w:rFonts w:cstheme="minorHAnsi"/>
        </w:rPr>
        <w:t xml:space="preserve">. </w:t>
      </w:r>
      <w:r w:rsidRPr="00420026">
        <w:rPr>
          <w:rFonts w:cstheme="minorHAnsi"/>
        </w:rPr>
        <w:t xml:space="preserve">MŠMT </w:t>
      </w:r>
      <w:r>
        <w:rPr>
          <w:rFonts w:cstheme="minorHAnsi"/>
        </w:rPr>
        <w:t xml:space="preserve">je </w:t>
      </w:r>
      <w:r w:rsidRPr="00420026">
        <w:rPr>
          <w:rFonts w:cstheme="minorHAnsi"/>
        </w:rPr>
        <w:t>správcem kapitoly státního rozpočtu, z</w:t>
      </w:r>
      <w:r w:rsidR="0097507B">
        <w:rPr>
          <w:rFonts w:cstheme="minorHAnsi"/>
        </w:rPr>
        <w:t>e</w:t>
      </w:r>
      <w:r w:rsidRPr="00420026">
        <w:rPr>
          <w:rFonts w:cstheme="minorHAnsi"/>
        </w:rPr>
        <w:t xml:space="preserve"> které je financována vzdělávací činnost </w:t>
      </w:r>
      <w:r>
        <w:rPr>
          <w:rFonts w:cstheme="minorHAnsi"/>
        </w:rPr>
        <w:t>VVŠ</w:t>
      </w:r>
      <w:r w:rsidR="0097507B">
        <w:rPr>
          <w:rFonts w:cstheme="minorHAnsi"/>
        </w:rPr>
        <w:t>,</w:t>
      </w:r>
      <w:r w:rsidRPr="00420026">
        <w:rPr>
          <w:rFonts w:cstheme="minorHAnsi"/>
        </w:rPr>
        <w:t xml:space="preserve"> a je správcem investičního programu zaměřeného na reprodukci</w:t>
      </w:r>
      <w:r>
        <w:rPr>
          <w:rFonts w:cstheme="minorHAnsi"/>
        </w:rPr>
        <w:t xml:space="preserve"> majetku</w:t>
      </w:r>
      <w:r w:rsidR="0097507B">
        <w:rPr>
          <w:rFonts w:cstheme="minorHAnsi"/>
        </w:rPr>
        <w:t xml:space="preserve"> veřejných vysokých škol</w:t>
      </w:r>
      <w:r w:rsidRPr="00420026">
        <w:rPr>
          <w:rFonts w:cstheme="minorHAnsi"/>
        </w:rPr>
        <w:t xml:space="preserve">. </w:t>
      </w:r>
    </w:p>
    <w:p w14:paraId="40CA1D0F" w14:textId="11F19E6E" w:rsidR="000D2476" w:rsidRDefault="000D2476" w:rsidP="000D2476">
      <w:pPr>
        <w:spacing w:before="0" w:after="120"/>
        <w:rPr>
          <w:rFonts w:cstheme="minorHAnsi"/>
        </w:rPr>
      </w:pPr>
      <w:r w:rsidRPr="00420026">
        <w:rPr>
          <w:rFonts w:cstheme="minorHAnsi"/>
        </w:rPr>
        <w:t xml:space="preserve">MŠMT je rovněž poskytovatelem </w:t>
      </w:r>
      <w:r>
        <w:rPr>
          <w:rFonts w:cstheme="minorHAnsi"/>
        </w:rPr>
        <w:t xml:space="preserve">účelové i </w:t>
      </w:r>
      <w:r w:rsidRPr="00420026">
        <w:rPr>
          <w:rFonts w:cstheme="minorHAnsi"/>
        </w:rPr>
        <w:t xml:space="preserve">institucionální podpory výzkumu, vývoje a inovací na </w:t>
      </w:r>
      <w:r>
        <w:rPr>
          <w:rFonts w:cstheme="minorHAnsi"/>
        </w:rPr>
        <w:t>VVŠ</w:t>
      </w:r>
      <w:r w:rsidRPr="00420026">
        <w:rPr>
          <w:rFonts w:cstheme="minorHAnsi"/>
        </w:rPr>
        <w:t xml:space="preserve">. </w:t>
      </w:r>
      <w:r w:rsidR="00447E4E">
        <w:rPr>
          <w:rFonts w:cstheme="minorHAnsi"/>
        </w:rPr>
        <w:t>Dále je MŠMT</w:t>
      </w:r>
      <w:r w:rsidRPr="00420026">
        <w:rPr>
          <w:rFonts w:cstheme="minorHAnsi"/>
        </w:rPr>
        <w:t xml:space="preserve"> říd</w:t>
      </w:r>
      <w:r w:rsidR="0097507B">
        <w:rPr>
          <w:rFonts w:cstheme="minorHAnsi"/>
        </w:rPr>
        <w:t>i</w:t>
      </w:r>
      <w:r w:rsidRPr="00420026">
        <w:rPr>
          <w:rFonts w:cstheme="minorHAnsi"/>
        </w:rPr>
        <w:t xml:space="preserve">cím orgánem </w:t>
      </w:r>
      <w:r w:rsidR="0097507B">
        <w:rPr>
          <w:rFonts w:cstheme="minorHAnsi"/>
        </w:rPr>
        <w:t>o</w:t>
      </w:r>
      <w:r w:rsidRPr="00420026">
        <w:rPr>
          <w:rFonts w:cstheme="minorHAnsi"/>
        </w:rPr>
        <w:t>perační</w:t>
      </w:r>
      <w:r w:rsidR="0097507B">
        <w:rPr>
          <w:rFonts w:cstheme="minorHAnsi"/>
        </w:rPr>
        <w:t>ho</w:t>
      </w:r>
      <w:r w:rsidRPr="00420026">
        <w:rPr>
          <w:rFonts w:cstheme="minorHAnsi"/>
        </w:rPr>
        <w:t xml:space="preserve"> program</w:t>
      </w:r>
      <w:r w:rsidR="0097507B">
        <w:rPr>
          <w:rFonts w:cstheme="minorHAnsi"/>
        </w:rPr>
        <w:t>u</w:t>
      </w:r>
      <w:r w:rsidRPr="00420026">
        <w:rPr>
          <w:rFonts w:cstheme="minorHAnsi"/>
        </w:rPr>
        <w:t xml:space="preserve"> </w:t>
      </w:r>
      <w:r w:rsidRPr="00B11EEB">
        <w:rPr>
          <w:rFonts w:cstheme="minorHAnsi"/>
          <w:i/>
        </w:rPr>
        <w:t>Výzkum, vývoj a vzdělávání</w:t>
      </w:r>
      <w:r>
        <w:rPr>
          <w:rFonts w:cstheme="minorHAnsi"/>
        </w:rPr>
        <w:t xml:space="preserve"> </w:t>
      </w:r>
      <w:r w:rsidRPr="00420026">
        <w:rPr>
          <w:rFonts w:eastAsiaTheme="minorHAnsi" w:cstheme="minorHAnsi"/>
        </w:rPr>
        <w:t>(dále</w:t>
      </w:r>
      <w:r w:rsidR="0097507B">
        <w:rPr>
          <w:rFonts w:eastAsiaTheme="minorHAnsi" w:cstheme="minorHAnsi"/>
        </w:rPr>
        <w:t> </w:t>
      </w:r>
      <w:r w:rsidRPr="00420026">
        <w:rPr>
          <w:rFonts w:eastAsiaTheme="minorHAnsi" w:cstheme="minorHAnsi"/>
        </w:rPr>
        <w:t>také „OP VVV“)</w:t>
      </w:r>
      <w:r w:rsidRPr="00420026">
        <w:rPr>
          <w:rFonts w:cstheme="minorHAnsi"/>
        </w:rPr>
        <w:t>.</w:t>
      </w:r>
    </w:p>
    <w:p w14:paraId="5D1176E7" w14:textId="2770BDF1" w:rsidR="000D2476" w:rsidRDefault="000D2476" w:rsidP="00970DE0">
      <w:pPr>
        <w:autoSpaceDE w:val="0"/>
        <w:autoSpaceDN w:val="0"/>
        <w:adjustRightInd w:val="0"/>
        <w:spacing w:before="0" w:after="120"/>
        <w:rPr>
          <w:lang w:eastAsia="cs-CZ"/>
        </w:rPr>
      </w:pPr>
      <w:r w:rsidRPr="00970DE0">
        <w:rPr>
          <w:lang w:eastAsia="cs-CZ"/>
        </w:rPr>
        <w:t xml:space="preserve">Na základě zákona o vysokých školách MŠMT mj. vypracovává výroční zprávu o stavu vysokého školství a strategický záměr pro tuto oblast, projednává a vyhodnocuje strategické záměry VVŠ, rozděluje jim finanční prostředky a kontroluje jejich využití. </w:t>
      </w:r>
      <w:r>
        <w:rPr>
          <w:lang w:eastAsia="cs-CZ"/>
        </w:rPr>
        <w:t xml:space="preserve">VVŠ na základě tohoto zákona </w:t>
      </w:r>
      <w:r w:rsidR="00447E4E">
        <w:rPr>
          <w:lang w:eastAsia="cs-CZ"/>
        </w:rPr>
        <w:t>mj. vypracovávají výroční zprávy</w:t>
      </w:r>
      <w:r>
        <w:rPr>
          <w:lang w:eastAsia="cs-CZ"/>
        </w:rPr>
        <w:t xml:space="preserve"> o činnosti a </w:t>
      </w:r>
      <w:r w:rsidRPr="009B14B4">
        <w:rPr>
          <w:lang w:eastAsia="cs-CZ"/>
        </w:rPr>
        <w:t>hospodaření</w:t>
      </w:r>
      <w:r>
        <w:rPr>
          <w:lang w:eastAsia="cs-CZ"/>
        </w:rPr>
        <w:t>, vypracovávají vlastní strategický záměr a realizují vnitřní hodnocení kvality.</w:t>
      </w:r>
    </w:p>
    <w:p w14:paraId="5E115268" w14:textId="0D69C744" w:rsidR="00970DE0" w:rsidRDefault="000D2476" w:rsidP="00970DE0">
      <w:pPr>
        <w:autoSpaceDE w:val="0"/>
        <w:autoSpaceDN w:val="0"/>
        <w:adjustRightInd w:val="0"/>
        <w:spacing w:before="0" w:after="120"/>
        <w:rPr>
          <w:lang w:eastAsia="cs-CZ"/>
        </w:rPr>
      </w:pPr>
      <w:r w:rsidRPr="00970DE0">
        <w:rPr>
          <w:lang w:eastAsia="cs-CZ"/>
        </w:rPr>
        <w:t xml:space="preserve">Základním strategickým dokumentem </w:t>
      </w:r>
      <w:r w:rsidR="00665CDB">
        <w:rPr>
          <w:lang w:eastAsia="cs-CZ"/>
        </w:rPr>
        <w:t>byla</w:t>
      </w:r>
      <w:r w:rsidRPr="00970DE0">
        <w:rPr>
          <w:lang w:eastAsia="cs-CZ"/>
        </w:rPr>
        <w:t xml:space="preserve"> </w:t>
      </w:r>
      <w:r w:rsidRPr="00B11EEB">
        <w:rPr>
          <w:i/>
          <w:lang w:eastAsia="cs-CZ"/>
        </w:rPr>
        <w:t>Strategie vzdělávací politiky České republiky do rok</w:t>
      </w:r>
      <w:r w:rsidR="00665CDB" w:rsidRPr="00B11EEB">
        <w:rPr>
          <w:i/>
          <w:lang w:eastAsia="cs-CZ"/>
        </w:rPr>
        <w:t>u 2020</w:t>
      </w:r>
      <w:r w:rsidR="00665CDB">
        <w:rPr>
          <w:lang w:eastAsia="cs-CZ"/>
        </w:rPr>
        <w:t>. Oblast vysokých škol</w:t>
      </w:r>
      <w:r w:rsidRPr="00970DE0">
        <w:rPr>
          <w:lang w:eastAsia="cs-CZ"/>
        </w:rPr>
        <w:t xml:space="preserve"> pak </w:t>
      </w:r>
      <w:r w:rsidR="00665CDB">
        <w:rPr>
          <w:lang w:eastAsia="cs-CZ"/>
        </w:rPr>
        <w:t xml:space="preserve">byla </w:t>
      </w:r>
      <w:r w:rsidRPr="00970DE0">
        <w:rPr>
          <w:lang w:eastAsia="cs-CZ"/>
        </w:rPr>
        <w:t xml:space="preserve">dále řešena v dokumentech </w:t>
      </w:r>
      <w:r w:rsidRPr="00B11EEB">
        <w:rPr>
          <w:i/>
          <w:lang w:eastAsia="cs-CZ"/>
        </w:rPr>
        <w:t>Rámec rozvoje vysokého školství do roku 2020</w:t>
      </w:r>
      <w:r w:rsidR="004C26F6">
        <w:rPr>
          <w:lang w:eastAsia="cs-CZ"/>
        </w:rPr>
        <w:t xml:space="preserve"> (dále také „Rámec“)</w:t>
      </w:r>
      <w:r w:rsidRPr="00970DE0">
        <w:rPr>
          <w:lang w:eastAsia="cs-CZ"/>
        </w:rPr>
        <w:t xml:space="preserve"> a </w:t>
      </w:r>
      <w:r w:rsidRPr="00B11EEB">
        <w:rPr>
          <w:i/>
          <w:lang w:eastAsia="cs-CZ"/>
        </w:rPr>
        <w:t>Dlouhodobý záměr</w:t>
      </w:r>
      <w:r w:rsidR="00E30D95" w:rsidRPr="00B11EEB">
        <w:rPr>
          <w:rStyle w:val="Znakapoznpodarou"/>
          <w:i/>
          <w:lang w:eastAsia="cs-CZ"/>
        </w:rPr>
        <w:footnoteReference w:id="4"/>
      </w:r>
      <w:r w:rsidR="003F5802" w:rsidRPr="00B11EEB">
        <w:rPr>
          <w:i/>
          <w:lang w:eastAsia="cs-CZ"/>
        </w:rPr>
        <w:t xml:space="preserve"> vzdělávací a</w:t>
      </w:r>
      <w:r w:rsidR="00A930F2">
        <w:rPr>
          <w:i/>
          <w:lang w:eastAsia="cs-CZ"/>
        </w:rPr>
        <w:t xml:space="preserve"> </w:t>
      </w:r>
      <w:r w:rsidRPr="00B11EEB">
        <w:rPr>
          <w:i/>
          <w:lang w:eastAsia="cs-CZ"/>
        </w:rPr>
        <w:t>vědecké, výzkumné, vývojové a inovační, umělecké a další tvůrčí činnosti pro oblast vysokých škol na léta 201</w:t>
      </w:r>
      <w:r w:rsidR="003F5802" w:rsidRPr="00B11EEB">
        <w:rPr>
          <w:i/>
          <w:lang w:eastAsia="cs-CZ"/>
        </w:rPr>
        <w:t>6–</w:t>
      </w:r>
      <w:r w:rsidRPr="00B11EEB">
        <w:rPr>
          <w:i/>
          <w:lang w:eastAsia="cs-CZ"/>
        </w:rPr>
        <w:t>2020</w:t>
      </w:r>
      <w:r w:rsidR="00E30D95">
        <w:rPr>
          <w:lang w:eastAsia="cs-CZ"/>
        </w:rPr>
        <w:t xml:space="preserve"> (dále také „DZ VŠ 2016“)</w:t>
      </w:r>
      <w:r w:rsidRPr="00970DE0">
        <w:rPr>
          <w:lang w:eastAsia="cs-CZ"/>
        </w:rPr>
        <w:t>. Tento doku</w:t>
      </w:r>
      <w:r w:rsidR="00665CDB">
        <w:rPr>
          <w:lang w:eastAsia="cs-CZ"/>
        </w:rPr>
        <w:t>ment MŠMT každoročně aktualizovalo</w:t>
      </w:r>
      <w:r w:rsidRPr="00970DE0">
        <w:rPr>
          <w:lang w:eastAsia="cs-CZ"/>
        </w:rPr>
        <w:t>.</w:t>
      </w:r>
      <w:r w:rsidR="00665CDB">
        <w:rPr>
          <w:lang w:eastAsia="cs-CZ"/>
        </w:rPr>
        <w:t xml:space="preserve"> </w:t>
      </w:r>
      <w:r w:rsidR="008E52B9">
        <w:rPr>
          <w:lang w:eastAsia="cs-CZ"/>
        </w:rPr>
        <w:t xml:space="preserve">Po roce 2020 jsou hlavní strategické dokumenty zejména </w:t>
      </w:r>
      <w:r w:rsidR="00665CDB" w:rsidRPr="00B11EEB">
        <w:rPr>
          <w:i/>
        </w:rPr>
        <w:t>Strategický záměr ministerstva pro oblast vysokých škol na období od roku 2021</w:t>
      </w:r>
      <w:r w:rsidR="008E52B9">
        <w:t xml:space="preserve"> a </w:t>
      </w:r>
      <w:r w:rsidR="008E52B9" w:rsidRPr="00B11EEB">
        <w:rPr>
          <w:i/>
        </w:rPr>
        <w:t>Strategie vzdělávací politiky České republiky do roku 2030+</w:t>
      </w:r>
      <w:r w:rsidR="008E52B9">
        <w:t>.</w:t>
      </w:r>
    </w:p>
    <w:p w14:paraId="0049321F" w14:textId="2D3B908D" w:rsidR="000D2476" w:rsidRPr="00970DE0" w:rsidRDefault="000D2476" w:rsidP="00970DE0">
      <w:pPr>
        <w:autoSpaceDE w:val="0"/>
        <w:autoSpaceDN w:val="0"/>
        <w:adjustRightInd w:val="0"/>
        <w:spacing w:before="0" w:after="120"/>
        <w:rPr>
          <w:lang w:eastAsia="cs-CZ"/>
        </w:rPr>
      </w:pPr>
      <w:r w:rsidRPr="00970DE0">
        <w:rPr>
          <w:lang w:eastAsia="cs-CZ"/>
        </w:rPr>
        <w:t xml:space="preserve">Na oblast vysokých škol mají vliv i další strategické materiály, jejichž autorem není MŠMT. Jedná se např. o Evropskou komisí vydaný dokument </w:t>
      </w:r>
      <w:r w:rsidRPr="00B11EEB">
        <w:rPr>
          <w:i/>
          <w:lang w:eastAsia="cs-CZ"/>
        </w:rPr>
        <w:t xml:space="preserve">Evropa 2020 </w:t>
      </w:r>
      <w:r w:rsidR="00A930F2" w:rsidRPr="00B11EEB">
        <w:rPr>
          <w:i/>
          <w:lang w:eastAsia="cs-CZ"/>
        </w:rPr>
        <w:t>–</w:t>
      </w:r>
      <w:r w:rsidRPr="00B11EEB">
        <w:rPr>
          <w:i/>
          <w:lang w:eastAsia="cs-CZ"/>
        </w:rPr>
        <w:t xml:space="preserve"> Strategie pro inteligentní a udržitelný růst podporující začlenění</w:t>
      </w:r>
      <w:r w:rsidR="00670531">
        <w:rPr>
          <w:lang w:eastAsia="cs-CZ"/>
        </w:rPr>
        <w:t xml:space="preserve"> (dále také „</w:t>
      </w:r>
      <w:r w:rsidR="004F49EB">
        <w:rPr>
          <w:lang w:eastAsia="cs-CZ"/>
        </w:rPr>
        <w:t>s</w:t>
      </w:r>
      <w:r w:rsidR="00670531">
        <w:rPr>
          <w:lang w:eastAsia="cs-CZ"/>
        </w:rPr>
        <w:t xml:space="preserve">trategie </w:t>
      </w:r>
      <w:r w:rsidR="00670531" w:rsidRPr="00103D8C">
        <w:rPr>
          <w:i/>
          <w:lang w:eastAsia="cs-CZ"/>
        </w:rPr>
        <w:t>Evropa 2020</w:t>
      </w:r>
      <w:r w:rsidR="00670531">
        <w:rPr>
          <w:lang w:eastAsia="cs-CZ"/>
        </w:rPr>
        <w:t>“)</w:t>
      </w:r>
      <w:r w:rsidR="00447E4E">
        <w:rPr>
          <w:lang w:eastAsia="cs-CZ"/>
        </w:rPr>
        <w:t>.</w:t>
      </w:r>
      <w:r w:rsidR="004E344F">
        <w:rPr>
          <w:lang w:eastAsia="cs-CZ"/>
        </w:rPr>
        <w:t xml:space="preserve"> </w:t>
      </w:r>
      <w:r w:rsidR="00447E4E">
        <w:rPr>
          <w:lang w:eastAsia="cs-CZ"/>
        </w:rPr>
        <w:t>Zde</w:t>
      </w:r>
      <w:r w:rsidR="004E344F">
        <w:rPr>
          <w:lang w:eastAsia="cs-CZ"/>
        </w:rPr>
        <w:t xml:space="preserve"> byl</w:t>
      </w:r>
      <w:r w:rsidR="00970DE0">
        <w:rPr>
          <w:lang w:eastAsia="cs-CZ"/>
        </w:rPr>
        <w:t xml:space="preserve"> pro EU</w:t>
      </w:r>
      <w:r w:rsidR="004E344F">
        <w:rPr>
          <w:lang w:eastAsia="cs-CZ"/>
        </w:rPr>
        <w:t xml:space="preserve"> stanoven </w:t>
      </w:r>
      <w:r w:rsidR="00970DE0">
        <w:rPr>
          <w:lang w:eastAsia="cs-CZ"/>
        </w:rPr>
        <w:t xml:space="preserve">cíl do roku 2020 </w:t>
      </w:r>
      <w:r w:rsidR="004E344F" w:rsidRPr="00F707BD">
        <w:rPr>
          <w:lang w:eastAsia="cs-CZ"/>
        </w:rPr>
        <w:t>navýšit podíl osob ve věku 30 až 34 let, které dosáhly terciárního vzdělání</w:t>
      </w:r>
      <w:r w:rsidR="00555758">
        <w:rPr>
          <w:rStyle w:val="Znakapoznpodarou"/>
          <w:lang w:eastAsia="cs-CZ"/>
        </w:rPr>
        <w:footnoteReference w:id="5"/>
      </w:r>
      <w:r w:rsidR="00447E4E">
        <w:rPr>
          <w:lang w:eastAsia="cs-CZ"/>
        </w:rPr>
        <w:t>,</w:t>
      </w:r>
      <w:r w:rsidR="004E344F" w:rsidRPr="00F707BD">
        <w:rPr>
          <w:lang w:eastAsia="cs-CZ"/>
        </w:rPr>
        <w:t xml:space="preserve"> na nejméně 40</w:t>
      </w:r>
      <w:r w:rsidR="004E344F">
        <w:rPr>
          <w:lang w:eastAsia="cs-CZ"/>
        </w:rPr>
        <w:t xml:space="preserve"> </w:t>
      </w:r>
      <w:r w:rsidR="004E344F" w:rsidRPr="00F707BD">
        <w:rPr>
          <w:lang w:eastAsia="cs-CZ"/>
        </w:rPr>
        <w:t xml:space="preserve">%. </w:t>
      </w:r>
      <w:r w:rsidR="00360936">
        <w:rPr>
          <w:lang w:eastAsia="cs-CZ"/>
        </w:rPr>
        <w:t xml:space="preserve">Vláda ČR </w:t>
      </w:r>
      <w:r w:rsidR="00970DE0">
        <w:rPr>
          <w:lang w:eastAsia="cs-CZ"/>
        </w:rPr>
        <w:t xml:space="preserve">se </w:t>
      </w:r>
      <w:r w:rsidR="00360936">
        <w:rPr>
          <w:lang w:eastAsia="cs-CZ"/>
        </w:rPr>
        <w:t xml:space="preserve">v roce 2012 </w:t>
      </w:r>
      <w:r w:rsidR="00970DE0">
        <w:rPr>
          <w:lang w:eastAsia="cs-CZ"/>
        </w:rPr>
        <w:t>zavázala</w:t>
      </w:r>
      <w:r w:rsidR="00360936">
        <w:rPr>
          <w:lang w:eastAsia="cs-CZ"/>
        </w:rPr>
        <w:t xml:space="preserve"> k dosažení podílu ve výši 32 %, MŠMT</w:t>
      </w:r>
      <w:r>
        <w:rPr>
          <w:lang w:eastAsia="cs-CZ"/>
        </w:rPr>
        <w:t xml:space="preserve"> </w:t>
      </w:r>
      <w:r w:rsidR="00360936">
        <w:rPr>
          <w:lang w:eastAsia="cs-CZ"/>
        </w:rPr>
        <w:t xml:space="preserve">následně v DZ VŠ 2016 stanovilo jako cíl dosažení podílu 35 %. </w:t>
      </w:r>
      <w:r w:rsidR="00970DE0">
        <w:rPr>
          <w:lang w:eastAsia="cs-CZ"/>
        </w:rPr>
        <w:t xml:space="preserve">Dále se jedná o </w:t>
      </w:r>
      <w:r w:rsidRPr="00B11EEB">
        <w:rPr>
          <w:i/>
          <w:lang w:eastAsia="cs-CZ"/>
        </w:rPr>
        <w:t>Strategii mezinárodní konkurenceschopnosti</w:t>
      </w:r>
      <w:r w:rsidR="003F5802" w:rsidRPr="00B11EEB">
        <w:rPr>
          <w:i/>
          <w:lang w:eastAsia="cs-CZ"/>
        </w:rPr>
        <w:t xml:space="preserve"> České republiky na období 2012–</w:t>
      </w:r>
      <w:r w:rsidRPr="00B11EEB">
        <w:rPr>
          <w:i/>
          <w:lang w:eastAsia="cs-CZ"/>
        </w:rPr>
        <w:t>2020</w:t>
      </w:r>
      <w:r w:rsidR="00970DE0" w:rsidRPr="00970DE0">
        <w:rPr>
          <w:lang w:eastAsia="cs-CZ"/>
        </w:rPr>
        <w:t xml:space="preserve"> (dále také „Strategie mezinárodní konkurenceschopnosti“)</w:t>
      </w:r>
      <w:r w:rsidRPr="00970DE0">
        <w:rPr>
          <w:lang w:eastAsia="cs-CZ"/>
        </w:rPr>
        <w:t>, jejímž autorem je Ministerstvo</w:t>
      </w:r>
      <w:r w:rsidR="003F5802">
        <w:rPr>
          <w:lang w:eastAsia="cs-CZ"/>
        </w:rPr>
        <w:t xml:space="preserve"> průmyslu a </w:t>
      </w:r>
      <w:r w:rsidR="007B7391">
        <w:rPr>
          <w:lang w:eastAsia="cs-CZ"/>
        </w:rPr>
        <w:t>obchodu</w:t>
      </w:r>
      <w:r w:rsidRPr="00970DE0">
        <w:rPr>
          <w:lang w:eastAsia="cs-CZ"/>
        </w:rPr>
        <w:t>.</w:t>
      </w:r>
      <w:r w:rsidR="00970DE0" w:rsidRPr="00970DE0">
        <w:rPr>
          <w:lang w:eastAsia="cs-CZ"/>
        </w:rPr>
        <w:t xml:space="preserve"> Tento dokument obsahuje 43 </w:t>
      </w:r>
      <w:r w:rsidR="00CF3418">
        <w:rPr>
          <w:lang w:eastAsia="cs-CZ"/>
        </w:rPr>
        <w:t>projektů</w:t>
      </w:r>
      <w:r w:rsidR="00970DE0" w:rsidRPr="00970DE0">
        <w:rPr>
          <w:lang w:eastAsia="cs-CZ"/>
        </w:rPr>
        <w:t xml:space="preserve"> z různých oblastí, včetně vysokého školství, s cílem vytvořit přívětivé podmínky pro tvořivé podnikání, inovace a růst životní úrovně.</w:t>
      </w:r>
    </w:p>
    <w:p w14:paraId="219EFDDE" w14:textId="62D77BA2" w:rsidR="00A8251F" w:rsidRPr="00970DE0" w:rsidRDefault="00F345DE" w:rsidP="00970DE0">
      <w:pPr>
        <w:autoSpaceDE w:val="0"/>
        <w:autoSpaceDN w:val="0"/>
        <w:adjustRightInd w:val="0"/>
        <w:spacing w:before="0" w:after="120"/>
        <w:rPr>
          <w:lang w:eastAsia="cs-CZ"/>
        </w:rPr>
      </w:pPr>
      <w:r w:rsidRPr="00F345DE">
        <w:rPr>
          <w:lang w:eastAsia="cs-CZ"/>
        </w:rPr>
        <w:t>Vývoj celkových výdajů MŠMT na veřejné vysoké školy zobrazuje následující tabulka.</w:t>
      </w:r>
    </w:p>
    <w:p w14:paraId="3DB9FDAA" w14:textId="0A773712" w:rsidR="00A8251F" w:rsidRDefault="00CF3418" w:rsidP="003A728F">
      <w:pPr>
        <w:tabs>
          <w:tab w:val="right" w:pos="9070"/>
        </w:tabs>
        <w:rPr>
          <w:rFonts w:cstheme="minorHAnsi"/>
        </w:rPr>
      </w:pPr>
      <w:r>
        <w:rPr>
          <w:rFonts w:cstheme="minorHAnsi"/>
        </w:rPr>
        <w:t xml:space="preserve">Tabulka č. </w:t>
      </w:r>
      <w:r w:rsidR="000F6F4C">
        <w:rPr>
          <w:rFonts w:cstheme="minorHAnsi"/>
        </w:rPr>
        <w:t>1</w:t>
      </w:r>
      <w:r w:rsidR="00A8251F">
        <w:rPr>
          <w:rFonts w:cstheme="minorHAnsi"/>
        </w:rPr>
        <w:t xml:space="preserve">: </w:t>
      </w:r>
      <w:r w:rsidR="00F345DE">
        <w:rPr>
          <w:rFonts w:cstheme="minorHAnsi"/>
        </w:rPr>
        <w:t xml:space="preserve">Celkové výdaje MŠMT na veřejné vysoké školy v letech 2017 až 2019 </w:t>
      </w:r>
      <w:r w:rsidR="003A728F">
        <w:rPr>
          <w:rFonts w:cstheme="minorHAnsi"/>
        </w:rPr>
        <w:tab/>
      </w:r>
      <w:r w:rsidR="002F33B6">
        <w:rPr>
          <w:rFonts w:cstheme="minorHAnsi"/>
        </w:rPr>
        <w:t>(</w:t>
      </w:r>
      <w:r w:rsidR="00F345DE">
        <w:rPr>
          <w:rFonts w:cstheme="minorHAnsi"/>
        </w:rPr>
        <w:t>v tis. Kč</w:t>
      </w:r>
      <w:r w:rsidR="002F33B6">
        <w:rPr>
          <w:rFonts w:cstheme="minorHAnsi"/>
        </w:rPr>
        <w:t>)</w:t>
      </w:r>
    </w:p>
    <w:tbl>
      <w:tblPr>
        <w:tblStyle w:val="Mkatabulky3"/>
        <w:tblW w:w="5000" w:type="pct"/>
        <w:tblLook w:val="04A0" w:firstRow="1" w:lastRow="0" w:firstColumn="1" w:lastColumn="0" w:noHBand="0" w:noVBand="1"/>
      </w:tblPr>
      <w:tblGrid>
        <w:gridCol w:w="2830"/>
        <w:gridCol w:w="1700"/>
        <w:gridCol w:w="2265"/>
        <w:gridCol w:w="2265"/>
      </w:tblGrid>
      <w:tr w:rsidR="00A8251F" w:rsidRPr="0096091A" w14:paraId="44165B2A" w14:textId="77777777" w:rsidTr="00F345DE">
        <w:trPr>
          <w:trHeight w:val="334"/>
        </w:trPr>
        <w:tc>
          <w:tcPr>
            <w:tcW w:w="1562" w:type="pct"/>
            <w:shd w:val="clear" w:color="auto" w:fill="E5F1FF"/>
            <w:vAlign w:val="center"/>
          </w:tcPr>
          <w:p w14:paraId="2345449E" w14:textId="77777777" w:rsidR="00A8251F" w:rsidRPr="0096091A" w:rsidRDefault="00A8251F" w:rsidP="009506B2">
            <w:pPr>
              <w:spacing w:line="256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E5F1FF"/>
            <w:vAlign w:val="center"/>
          </w:tcPr>
          <w:p w14:paraId="33661D6B" w14:textId="77777777" w:rsidR="00A8251F" w:rsidRPr="0096091A" w:rsidRDefault="00A8251F" w:rsidP="00B11EEB">
            <w:pPr>
              <w:spacing w:before="0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6091A">
              <w:rPr>
                <w:rFonts w:cstheme="minorBidi"/>
                <w:b/>
                <w:sz w:val="20"/>
                <w:szCs w:val="20"/>
              </w:rPr>
              <w:t>2017</w:t>
            </w:r>
          </w:p>
        </w:tc>
        <w:tc>
          <w:tcPr>
            <w:tcW w:w="1250" w:type="pct"/>
            <w:shd w:val="clear" w:color="auto" w:fill="E5F1FF"/>
            <w:vAlign w:val="center"/>
          </w:tcPr>
          <w:p w14:paraId="6F83584D" w14:textId="77777777" w:rsidR="00A8251F" w:rsidRPr="0096091A" w:rsidRDefault="00A8251F" w:rsidP="00B11EEB">
            <w:pPr>
              <w:spacing w:before="0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6091A">
              <w:rPr>
                <w:rFonts w:cstheme="minorBidi"/>
                <w:b/>
                <w:sz w:val="20"/>
                <w:szCs w:val="20"/>
              </w:rPr>
              <w:t>2018</w:t>
            </w:r>
          </w:p>
        </w:tc>
        <w:tc>
          <w:tcPr>
            <w:tcW w:w="1250" w:type="pct"/>
            <w:shd w:val="clear" w:color="auto" w:fill="E5F1FF"/>
            <w:vAlign w:val="center"/>
          </w:tcPr>
          <w:p w14:paraId="1CDF7849" w14:textId="77777777" w:rsidR="00A8251F" w:rsidRPr="0096091A" w:rsidRDefault="00A8251F" w:rsidP="00B11EEB">
            <w:pPr>
              <w:spacing w:before="0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6091A">
              <w:rPr>
                <w:rFonts w:cstheme="minorBidi"/>
                <w:b/>
                <w:sz w:val="20"/>
                <w:szCs w:val="20"/>
              </w:rPr>
              <w:t>2019</w:t>
            </w:r>
          </w:p>
        </w:tc>
      </w:tr>
      <w:tr w:rsidR="00F345DE" w:rsidRPr="0096091A" w14:paraId="667F7D28" w14:textId="77777777" w:rsidTr="00F345DE">
        <w:trPr>
          <w:trHeight w:val="352"/>
        </w:trPr>
        <w:tc>
          <w:tcPr>
            <w:tcW w:w="1562" w:type="pct"/>
            <w:vAlign w:val="center"/>
          </w:tcPr>
          <w:p w14:paraId="28B44183" w14:textId="2232822F" w:rsidR="00F345DE" w:rsidRPr="0096091A" w:rsidRDefault="00F345DE" w:rsidP="00F345DE">
            <w:pPr>
              <w:spacing w:line="256" w:lineRule="auto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na veřejné vysoké školy</w:t>
            </w:r>
          </w:p>
        </w:tc>
        <w:tc>
          <w:tcPr>
            <w:tcW w:w="938" w:type="pct"/>
            <w:vAlign w:val="center"/>
          </w:tcPr>
          <w:p w14:paraId="2641FD9B" w14:textId="06261138" w:rsidR="00F345DE" w:rsidRPr="0096091A" w:rsidRDefault="00F345DE" w:rsidP="00F345D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32 678 612,23</w:t>
            </w:r>
          </w:p>
        </w:tc>
        <w:tc>
          <w:tcPr>
            <w:tcW w:w="1250" w:type="pct"/>
            <w:vAlign w:val="center"/>
          </w:tcPr>
          <w:p w14:paraId="4CAAF3EE" w14:textId="3122F8CA" w:rsidR="00F345DE" w:rsidRPr="0096091A" w:rsidRDefault="00F345DE" w:rsidP="00F345D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46 178 738,95</w:t>
            </w:r>
          </w:p>
        </w:tc>
        <w:tc>
          <w:tcPr>
            <w:tcW w:w="1250" w:type="pct"/>
            <w:vAlign w:val="center"/>
          </w:tcPr>
          <w:p w14:paraId="555CDC62" w14:textId="4C25EB8E" w:rsidR="00F345DE" w:rsidRPr="0096091A" w:rsidRDefault="00F345DE" w:rsidP="00F345DE">
            <w:pPr>
              <w:spacing w:line="256" w:lineRule="auto"/>
              <w:jc w:val="right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44 958 746,38</w:t>
            </w:r>
          </w:p>
        </w:tc>
      </w:tr>
    </w:tbl>
    <w:p w14:paraId="4FE43E5B" w14:textId="6B29E0C3" w:rsidR="00287423" w:rsidRDefault="00A8251F" w:rsidP="00A8251F">
      <w:pPr>
        <w:spacing w:before="0" w:after="120"/>
        <w:rPr>
          <w:rFonts w:cstheme="minorHAnsi"/>
          <w:sz w:val="20"/>
          <w:szCs w:val="20"/>
        </w:rPr>
      </w:pPr>
      <w:r w:rsidRPr="003F5802">
        <w:rPr>
          <w:rFonts w:cstheme="minorHAnsi"/>
          <w:b/>
          <w:sz w:val="20"/>
          <w:szCs w:val="20"/>
        </w:rPr>
        <w:t>Zdroj:</w:t>
      </w:r>
      <w:r w:rsidRPr="0096091A">
        <w:rPr>
          <w:rFonts w:cstheme="minorHAnsi"/>
          <w:sz w:val="20"/>
          <w:szCs w:val="20"/>
        </w:rPr>
        <w:t xml:space="preserve"> </w:t>
      </w:r>
      <w:r w:rsidR="002F33B6">
        <w:rPr>
          <w:rFonts w:cstheme="minorHAnsi"/>
          <w:sz w:val="20"/>
          <w:szCs w:val="20"/>
        </w:rPr>
        <w:t>z</w:t>
      </w:r>
      <w:r w:rsidRPr="0096091A">
        <w:rPr>
          <w:rFonts w:cstheme="minorHAnsi"/>
          <w:sz w:val="20"/>
          <w:szCs w:val="20"/>
        </w:rPr>
        <w:t>ávěrečn</w:t>
      </w:r>
      <w:r w:rsidR="002F33B6">
        <w:rPr>
          <w:rFonts w:cstheme="minorHAnsi"/>
          <w:sz w:val="20"/>
          <w:szCs w:val="20"/>
        </w:rPr>
        <w:t>é</w:t>
      </w:r>
      <w:r w:rsidRPr="0096091A">
        <w:rPr>
          <w:rFonts w:cstheme="minorHAnsi"/>
          <w:sz w:val="20"/>
          <w:szCs w:val="20"/>
        </w:rPr>
        <w:t xml:space="preserve"> úč</w:t>
      </w:r>
      <w:r w:rsidR="002F33B6">
        <w:rPr>
          <w:rFonts w:cstheme="minorHAnsi"/>
          <w:sz w:val="20"/>
          <w:szCs w:val="20"/>
        </w:rPr>
        <w:t>ty</w:t>
      </w:r>
      <w:r w:rsidRPr="0096091A">
        <w:rPr>
          <w:rFonts w:cstheme="minorHAnsi"/>
          <w:sz w:val="20"/>
          <w:szCs w:val="20"/>
        </w:rPr>
        <w:t xml:space="preserve"> kapitoly 333 – MŠMT za roky 2017, 2018 a</w:t>
      </w:r>
      <w:r>
        <w:rPr>
          <w:rFonts w:cstheme="minorHAnsi"/>
          <w:sz w:val="20"/>
          <w:szCs w:val="20"/>
        </w:rPr>
        <w:t xml:space="preserve"> </w:t>
      </w:r>
      <w:r w:rsidRPr="0096091A">
        <w:rPr>
          <w:rFonts w:cstheme="minorHAnsi"/>
          <w:sz w:val="20"/>
          <w:szCs w:val="20"/>
        </w:rPr>
        <w:t>2019</w:t>
      </w:r>
      <w:r w:rsidR="003F5802">
        <w:rPr>
          <w:rFonts w:cstheme="minorHAnsi"/>
          <w:sz w:val="20"/>
          <w:szCs w:val="20"/>
        </w:rPr>
        <w:t>.</w:t>
      </w:r>
    </w:p>
    <w:p w14:paraId="180A07E4" w14:textId="03CD35DB" w:rsidR="00F345DE" w:rsidRDefault="00F345DE" w:rsidP="00A8251F">
      <w:pPr>
        <w:spacing w:before="0" w:after="120"/>
      </w:pPr>
      <w:r>
        <w:t>Výdaje MŠMT na VVŠ významně vzrostly v roce 2018. Tento růst byl způsoben mj. navýšením prostředků určených na</w:t>
      </w:r>
      <w:r w:rsidR="007412F0">
        <w:t xml:space="preserve"> mzdy vysokoškolských pedagogů a </w:t>
      </w:r>
      <w:r>
        <w:t>výdajů na výzkum, vývoj a inovace.</w:t>
      </w:r>
    </w:p>
    <w:p w14:paraId="6622A2D5" w14:textId="77777777" w:rsidR="005436F9" w:rsidRDefault="005436F9">
      <w:pPr>
        <w:spacing w:befor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2E954A7B" w14:textId="54309074" w:rsidR="00A8251F" w:rsidRPr="00420026" w:rsidRDefault="00A8251F" w:rsidP="00A8251F">
      <w:pPr>
        <w:rPr>
          <w:rFonts w:cstheme="minorHAnsi"/>
        </w:rPr>
      </w:pPr>
      <w:r w:rsidRPr="00420026">
        <w:rPr>
          <w:rFonts w:cstheme="minorHAnsi"/>
        </w:rPr>
        <w:lastRenderedPageBreak/>
        <w:t xml:space="preserve">Financování vysokých škol ze strany MŠMT </w:t>
      </w:r>
      <w:r>
        <w:rPr>
          <w:rFonts w:cstheme="minorHAnsi"/>
        </w:rPr>
        <w:t>lze</w:t>
      </w:r>
      <w:r w:rsidRPr="00420026">
        <w:rPr>
          <w:rFonts w:cstheme="minorHAnsi"/>
        </w:rPr>
        <w:t xml:space="preserve"> z hlediska způsobu poskytování, administrace a návazně i užití poskytnutých prostředků člen</w:t>
      </w:r>
      <w:r>
        <w:rPr>
          <w:rFonts w:cstheme="minorHAnsi"/>
        </w:rPr>
        <w:t>it</w:t>
      </w:r>
      <w:r w:rsidRPr="00420026">
        <w:rPr>
          <w:rFonts w:cstheme="minorHAnsi"/>
        </w:rPr>
        <w:t xml:space="preserve"> do čtyř základních oblastí:</w:t>
      </w:r>
    </w:p>
    <w:p w14:paraId="30571D1D" w14:textId="6B0D6BAF" w:rsidR="00A8251F" w:rsidRPr="00420026" w:rsidRDefault="00802318" w:rsidP="00A8251F">
      <w:pPr>
        <w:pStyle w:val="Odstavecseseznamem"/>
        <w:numPr>
          <w:ilvl w:val="0"/>
          <w:numId w:val="21"/>
        </w:num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8251F" w:rsidRPr="00420026">
        <w:rPr>
          <w:rFonts w:asciiTheme="minorHAnsi" w:hAnsiTheme="minorHAnsi" w:cstheme="minorHAnsi"/>
        </w:rPr>
        <w:t>ormativní financování, určené zejména na naplňování základního poslání vysokých škol, a to vzdělávací činnosti</w:t>
      </w:r>
      <w:r>
        <w:rPr>
          <w:rFonts w:asciiTheme="minorHAnsi" w:hAnsiTheme="minorHAnsi" w:cstheme="minorHAnsi"/>
        </w:rPr>
        <w:t>;</w:t>
      </w:r>
    </w:p>
    <w:p w14:paraId="19049F81" w14:textId="7CE8F662" w:rsidR="00A8251F" w:rsidRPr="00420026" w:rsidRDefault="00802318" w:rsidP="00A8251F">
      <w:pPr>
        <w:pStyle w:val="Odstavecseseznamem"/>
        <w:numPr>
          <w:ilvl w:val="0"/>
          <w:numId w:val="21"/>
        </w:num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8251F" w:rsidRPr="00420026">
        <w:rPr>
          <w:rFonts w:asciiTheme="minorHAnsi" w:hAnsiTheme="minorHAnsi" w:cstheme="minorHAnsi"/>
        </w:rPr>
        <w:t>rogramové financování, určené na vytváření podmínek pro další roz</w:t>
      </w:r>
      <w:r w:rsidR="003F5802">
        <w:rPr>
          <w:rFonts w:asciiTheme="minorHAnsi" w:hAnsiTheme="minorHAnsi" w:cstheme="minorHAnsi"/>
        </w:rPr>
        <w:t>voj vysokých škol, a </w:t>
      </w:r>
      <w:r w:rsidR="00A8251F" w:rsidRPr="00420026">
        <w:rPr>
          <w:rFonts w:asciiTheme="minorHAnsi" w:hAnsiTheme="minorHAnsi" w:cstheme="minorHAnsi"/>
        </w:rPr>
        <w:t>to reprodukci jejich majetku</w:t>
      </w:r>
      <w:r>
        <w:rPr>
          <w:rFonts w:asciiTheme="minorHAnsi" w:hAnsiTheme="minorHAnsi" w:cstheme="minorHAnsi"/>
        </w:rPr>
        <w:t>;</w:t>
      </w:r>
    </w:p>
    <w:p w14:paraId="6167D3A8" w14:textId="1040F754" w:rsidR="00A8251F" w:rsidRPr="00420026" w:rsidRDefault="00802318" w:rsidP="00A8251F">
      <w:pPr>
        <w:pStyle w:val="Odstavecseseznamem"/>
        <w:numPr>
          <w:ilvl w:val="0"/>
          <w:numId w:val="21"/>
        </w:num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8251F" w:rsidRPr="00420026">
        <w:rPr>
          <w:rFonts w:asciiTheme="minorHAnsi" w:hAnsiTheme="minorHAnsi" w:cstheme="minorHAnsi"/>
        </w:rPr>
        <w:t>odpora výzkumu, vývoje a inovací prováděných na vysokých školách</w:t>
      </w:r>
      <w:r>
        <w:rPr>
          <w:rFonts w:asciiTheme="minorHAnsi" w:hAnsiTheme="minorHAnsi" w:cstheme="minorHAnsi"/>
        </w:rPr>
        <w:t>;</w:t>
      </w:r>
    </w:p>
    <w:p w14:paraId="467E6C7B" w14:textId="275D1062" w:rsidR="00A8251F" w:rsidRPr="00A8251F" w:rsidRDefault="00802318" w:rsidP="00A8251F">
      <w:pPr>
        <w:pStyle w:val="Odstavecseseznamem"/>
        <w:numPr>
          <w:ilvl w:val="0"/>
          <w:numId w:val="21"/>
        </w:numPr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A8251F" w:rsidRPr="00420026">
        <w:rPr>
          <w:rFonts w:asciiTheme="minorHAnsi" w:hAnsiTheme="minorHAnsi" w:cstheme="minorHAnsi"/>
        </w:rPr>
        <w:t>rostředky ze zahraničí, zejména ze strukturálních fondů a komun</w:t>
      </w:r>
      <w:r w:rsidR="00A8251F">
        <w:rPr>
          <w:rFonts w:asciiTheme="minorHAnsi" w:hAnsiTheme="minorHAnsi" w:cstheme="minorHAnsi"/>
        </w:rPr>
        <w:t>itárních programů Evropské unie</w:t>
      </w:r>
      <w:r>
        <w:rPr>
          <w:rFonts w:asciiTheme="minorHAnsi" w:hAnsiTheme="minorHAnsi" w:cstheme="minorHAnsi"/>
        </w:rPr>
        <w:t>.</w:t>
      </w:r>
    </w:p>
    <w:p w14:paraId="1F2CFEB5" w14:textId="77777777" w:rsidR="00A8251F" w:rsidRPr="00420026" w:rsidRDefault="00A8251F" w:rsidP="00C50C07">
      <w:pPr>
        <w:keepNext/>
        <w:spacing w:before="0" w:after="120"/>
        <w:rPr>
          <w:rFonts w:cstheme="minorHAnsi"/>
          <w:b/>
        </w:rPr>
      </w:pPr>
      <w:r w:rsidRPr="00420026">
        <w:rPr>
          <w:rFonts w:cstheme="minorHAnsi"/>
          <w:b/>
        </w:rPr>
        <w:t>Normativní financování</w:t>
      </w:r>
    </w:p>
    <w:p w14:paraId="1C343A33" w14:textId="253DCE18" w:rsidR="00A8251F" w:rsidRPr="00420026" w:rsidRDefault="00A8251F" w:rsidP="00C50C07">
      <w:pPr>
        <w:spacing w:before="0" w:after="120"/>
        <w:rPr>
          <w:rFonts w:eastAsiaTheme="minorHAnsi" w:cstheme="minorHAnsi"/>
        </w:rPr>
      </w:pPr>
      <w:r w:rsidRPr="00420026">
        <w:rPr>
          <w:rFonts w:eastAsiaTheme="minorHAnsi" w:cstheme="minorHAnsi"/>
        </w:rPr>
        <w:t xml:space="preserve">Veřejným vysokým školám je ze státního rozpočtu podle zákona o vysokých školách poskytován příspěvek na vzdělávací a vědeckou, výzkumnou, vývojovou a inovační, uměleckou nebo další tvůrčí činnost. Vedle toho jsou </w:t>
      </w:r>
      <w:r>
        <w:rPr>
          <w:rFonts w:eastAsiaTheme="minorHAnsi" w:cstheme="minorHAnsi"/>
        </w:rPr>
        <w:t>VVŠ</w:t>
      </w:r>
      <w:r w:rsidRPr="00420026">
        <w:rPr>
          <w:rFonts w:eastAsiaTheme="minorHAnsi" w:cstheme="minorHAnsi"/>
        </w:rPr>
        <w:t xml:space="preserve"> poskytovány dotace na </w:t>
      </w:r>
      <w:r>
        <w:rPr>
          <w:rFonts w:eastAsiaTheme="minorHAnsi" w:cstheme="minorHAnsi"/>
        </w:rPr>
        <w:t xml:space="preserve">jejich </w:t>
      </w:r>
      <w:r w:rsidRPr="00420026">
        <w:rPr>
          <w:rFonts w:eastAsiaTheme="minorHAnsi" w:cstheme="minorHAnsi"/>
        </w:rPr>
        <w:t>rozvoj a dotace zejména na ubytování a stravování studentů. Pro stanovení v</w:t>
      </w:r>
      <w:r w:rsidR="003F5802">
        <w:rPr>
          <w:rFonts w:eastAsiaTheme="minorHAnsi" w:cstheme="minorHAnsi"/>
        </w:rPr>
        <w:t>ýše příspěvku je rozhodný typ a </w:t>
      </w:r>
      <w:r w:rsidRPr="00420026">
        <w:rPr>
          <w:rFonts w:eastAsiaTheme="minorHAnsi" w:cstheme="minorHAnsi"/>
        </w:rPr>
        <w:t>finanční náročnost akreditovaných studijních programů a programů celoživotního vzdělávání, počet studentů a dosažené výsledky ve vzdělávací a vědecké, výzkumné, vývojové a inovační, umělecké nebo další tvůrčí činnosti a její náročnost. Výši příspěvku i poskytnutých dotací rovněž ovlivňuje strategický záměr dané školy a strategický záměr pro oblast vysokých škol vypracovaný MŠMT. O poskytnutí příspěvku nebo dotace rozhoduje MŠMT rozhodnutím na základě žádosti vysoké školy.</w:t>
      </w:r>
      <w:r>
        <w:rPr>
          <w:rFonts w:eastAsia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0D7D2B">
        <w:rPr>
          <w:rFonts w:asciiTheme="minorHAnsi" w:hAnsiTheme="minorHAnsi" w:cstheme="minorHAnsi"/>
        </w:rPr>
        <w:t>ormativní</w:t>
      </w:r>
      <w:r w:rsidR="00676F98">
        <w:rPr>
          <w:rFonts w:asciiTheme="minorHAnsi" w:hAnsiTheme="minorHAnsi" w:cstheme="minorHAnsi"/>
        </w:rPr>
        <w:t xml:space="preserve"> financování představuje nejvý</w:t>
      </w:r>
      <w:r>
        <w:rPr>
          <w:rFonts w:asciiTheme="minorHAnsi" w:hAnsiTheme="minorHAnsi" w:cstheme="minorHAnsi"/>
        </w:rPr>
        <w:t xml:space="preserve">znamnější </w:t>
      </w:r>
      <w:r w:rsidR="00360936">
        <w:rPr>
          <w:rFonts w:asciiTheme="minorHAnsi" w:hAnsiTheme="minorHAnsi" w:cstheme="minorHAnsi"/>
        </w:rPr>
        <w:t>část</w:t>
      </w:r>
      <w:r>
        <w:rPr>
          <w:rFonts w:asciiTheme="minorHAnsi" w:hAnsiTheme="minorHAnsi" w:cstheme="minorHAnsi"/>
        </w:rPr>
        <w:t xml:space="preserve"> výdajů MŠMT na VVŠ</w:t>
      </w:r>
      <w:r w:rsidR="00360936">
        <w:rPr>
          <w:rFonts w:asciiTheme="minorHAnsi" w:hAnsiTheme="minorHAnsi" w:cstheme="minorHAnsi"/>
        </w:rPr>
        <w:t>.</w:t>
      </w:r>
    </w:p>
    <w:p w14:paraId="1AA98534" w14:textId="77777777" w:rsidR="00A8251F" w:rsidRPr="00420026" w:rsidRDefault="00A8251F" w:rsidP="00C50C07">
      <w:pPr>
        <w:keepNext/>
        <w:autoSpaceDE w:val="0"/>
        <w:autoSpaceDN w:val="0"/>
        <w:adjustRightInd w:val="0"/>
        <w:spacing w:before="0" w:after="120"/>
        <w:rPr>
          <w:rFonts w:eastAsiaTheme="minorHAnsi" w:cstheme="minorHAnsi"/>
          <w:b/>
        </w:rPr>
      </w:pPr>
      <w:r w:rsidRPr="00420026">
        <w:rPr>
          <w:rFonts w:eastAsiaTheme="minorHAnsi" w:cstheme="minorHAnsi"/>
          <w:b/>
        </w:rPr>
        <w:t>Programové financování</w:t>
      </w:r>
    </w:p>
    <w:p w14:paraId="7467EB16" w14:textId="384A424A" w:rsidR="00A8251F" w:rsidRPr="00420026" w:rsidRDefault="00A8251F" w:rsidP="00C50C07">
      <w:pPr>
        <w:keepNext/>
        <w:autoSpaceDE w:val="0"/>
        <w:autoSpaceDN w:val="0"/>
        <w:adjustRightInd w:val="0"/>
        <w:spacing w:before="0" w:after="120"/>
        <w:rPr>
          <w:rFonts w:eastAsiaTheme="minorHAnsi" w:cstheme="minorHAnsi"/>
          <w:b/>
        </w:rPr>
      </w:pPr>
      <w:r w:rsidRPr="00420026">
        <w:rPr>
          <w:rFonts w:eastAsiaTheme="minorHAnsi" w:cstheme="minorHAnsi"/>
        </w:rPr>
        <w:t xml:space="preserve">Programové financování slouží k rozvoji a obnově majetku </w:t>
      </w:r>
      <w:r>
        <w:rPr>
          <w:rFonts w:eastAsiaTheme="minorHAnsi" w:cstheme="minorHAnsi"/>
        </w:rPr>
        <w:t>VVŠ</w:t>
      </w:r>
      <w:r w:rsidRPr="00420026">
        <w:rPr>
          <w:rFonts w:eastAsiaTheme="minorHAnsi" w:cstheme="minorHAnsi"/>
        </w:rPr>
        <w:t xml:space="preserve"> a </w:t>
      </w:r>
      <w:r w:rsidR="003113CC">
        <w:rPr>
          <w:rFonts w:eastAsiaTheme="minorHAnsi" w:cstheme="minorHAnsi"/>
        </w:rPr>
        <w:t>bylo</w:t>
      </w:r>
      <w:r w:rsidRPr="00420026">
        <w:rPr>
          <w:rFonts w:eastAsiaTheme="minorHAnsi" w:cstheme="minorHAnsi"/>
        </w:rPr>
        <w:t xml:space="preserve"> uskutečňováno </w:t>
      </w:r>
      <w:r>
        <w:rPr>
          <w:rFonts w:eastAsiaTheme="minorHAnsi" w:cstheme="minorHAnsi"/>
        </w:rPr>
        <w:t xml:space="preserve">zejména </w:t>
      </w:r>
      <w:r w:rsidRPr="00420026">
        <w:rPr>
          <w:rFonts w:eastAsiaTheme="minorHAnsi" w:cstheme="minorHAnsi"/>
        </w:rPr>
        <w:t xml:space="preserve">prostřednictvím </w:t>
      </w:r>
      <w:r w:rsidR="00D95AF2">
        <w:rPr>
          <w:rFonts w:eastAsiaTheme="minorHAnsi" w:cstheme="minorHAnsi"/>
        </w:rPr>
        <w:t>p</w:t>
      </w:r>
      <w:r w:rsidRPr="00420026">
        <w:rPr>
          <w:rFonts w:eastAsiaTheme="minorHAnsi" w:cstheme="minorHAnsi"/>
        </w:rPr>
        <w:t>rogramu</w:t>
      </w:r>
      <w:r w:rsidRPr="00420026">
        <w:rPr>
          <w:rFonts w:eastAsiaTheme="minorHAnsi" w:cstheme="minorHAnsi"/>
          <w:b/>
          <w:bCs/>
          <w:i/>
          <w:iCs/>
        </w:rPr>
        <w:t xml:space="preserve"> </w:t>
      </w:r>
      <w:r w:rsidRPr="00420026">
        <w:rPr>
          <w:rFonts w:eastAsiaTheme="minorHAnsi" w:cstheme="minorHAnsi"/>
          <w:bCs/>
          <w:iCs/>
        </w:rPr>
        <w:t xml:space="preserve">133 210 </w:t>
      </w:r>
      <w:r w:rsidR="00C85504">
        <w:rPr>
          <w:lang w:eastAsia="cs-CZ"/>
        </w:rPr>
        <w:t>–</w:t>
      </w:r>
      <w:r w:rsidRPr="00420026">
        <w:rPr>
          <w:rFonts w:eastAsiaTheme="minorHAnsi" w:cstheme="minorHAnsi"/>
          <w:bCs/>
          <w:iCs/>
        </w:rPr>
        <w:t xml:space="preserve"> </w:t>
      </w:r>
      <w:r w:rsidRPr="00B11EEB">
        <w:rPr>
          <w:rFonts w:eastAsiaTheme="minorHAnsi" w:cstheme="minorHAnsi"/>
          <w:bCs/>
          <w:i/>
          <w:iCs/>
        </w:rPr>
        <w:t>Podpora rozvoje a obnovy veřejných vysokých škol</w:t>
      </w:r>
      <w:r w:rsidRPr="00420026">
        <w:rPr>
          <w:rFonts w:eastAsiaTheme="minorHAnsi" w:cstheme="minorHAnsi"/>
          <w:bCs/>
          <w:iCs/>
        </w:rPr>
        <w:t>, jehož správcem je MŠMT.</w:t>
      </w:r>
    </w:p>
    <w:p w14:paraId="51B2AAF8" w14:textId="77777777" w:rsidR="00A8251F" w:rsidRPr="00420026" w:rsidRDefault="00A8251F" w:rsidP="00C50C07">
      <w:pPr>
        <w:autoSpaceDE w:val="0"/>
        <w:autoSpaceDN w:val="0"/>
        <w:adjustRightInd w:val="0"/>
        <w:spacing w:before="0" w:after="120"/>
        <w:rPr>
          <w:rFonts w:eastAsiaTheme="minorHAnsi" w:cstheme="minorHAnsi"/>
          <w:b/>
          <w:bCs/>
          <w:iCs/>
        </w:rPr>
      </w:pPr>
      <w:r w:rsidRPr="00420026">
        <w:rPr>
          <w:rFonts w:eastAsiaTheme="minorHAnsi" w:cstheme="minorHAnsi"/>
          <w:b/>
          <w:bCs/>
          <w:iCs/>
        </w:rPr>
        <w:t>Podpora výzkumu, vývoje a inovací</w:t>
      </w:r>
    </w:p>
    <w:p w14:paraId="4E55CF39" w14:textId="4F700343" w:rsidR="00A8251F" w:rsidRPr="00420026" w:rsidRDefault="00A8251F" w:rsidP="00C50C07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420026">
        <w:rPr>
          <w:rFonts w:eastAsiaTheme="minorHAnsi" w:cstheme="minorHAnsi"/>
        </w:rPr>
        <w:t>Financování výzkumu, vývoje a inovací na vysokých š</w:t>
      </w:r>
      <w:r w:rsidR="00C85504">
        <w:rPr>
          <w:rFonts w:eastAsiaTheme="minorHAnsi" w:cstheme="minorHAnsi"/>
        </w:rPr>
        <w:t>kolách probíhá formou účelové a </w:t>
      </w:r>
      <w:r w:rsidRPr="00420026">
        <w:rPr>
          <w:rFonts w:eastAsiaTheme="minorHAnsi" w:cstheme="minorHAnsi"/>
        </w:rPr>
        <w:t>institucionální podpory. Účelová podpora výzkumu, vývoje a inovací na vysokých školách je vedle MŠMT financována i prostře</w:t>
      </w:r>
      <w:r>
        <w:rPr>
          <w:rFonts w:eastAsiaTheme="minorHAnsi" w:cstheme="minorHAnsi"/>
        </w:rPr>
        <w:t xml:space="preserve">dnictvím dalších poskytovatelů, </w:t>
      </w:r>
      <w:r w:rsidRPr="00420026">
        <w:rPr>
          <w:rFonts w:eastAsiaTheme="minorHAnsi" w:cstheme="minorHAnsi"/>
        </w:rPr>
        <w:t>např. Grantovou agenturou</w:t>
      </w:r>
      <w:r w:rsidR="00103D8C">
        <w:rPr>
          <w:rFonts w:eastAsiaTheme="minorHAnsi" w:cstheme="minorHAnsi"/>
        </w:rPr>
        <w:t xml:space="preserve"> </w:t>
      </w:r>
      <w:r w:rsidRPr="00420026">
        <w:rPr>
          <w:rFonts w:eastAsiaTheme="minorHAnsi" w:cstheme="minorHAnsi"/>
        </w:rPr>
        <w:t>ČR</w:t>
      </w:r>
      <w:r>
        <w:rPr>
          <w:rFonts w:eastAsiaTheme="minorHAnsi" w:cstheme="minorHAnsi"/>
        </w:rPr>
        <w:t xml:space="preserve"> či Technologickou agenturou ČR</w:t>
      </w:r>
      <w:r w:rsidRPr="00420026">
        <w:rPr>
          <w:rFonts w:eastAsiaTheme="minorHAnsi" w:cstheme="minorHAnsi"/>
        </w:rPr>
        <w:t>.</w:t>
      </w:r>
    </w:p>
    <w:p w14:paraId="4CFBA376" w14:textId="77777777" w:rsidR="00A8251F" w:rsidRPr="00420026" w:rsidRDefault="00A8251F" w:rsidP="00C50C07">
      <w:pPr>
        <w:keepNext/>
        <w:autoSpaceDE w:val="0"/>
        <w:autoSpaceDN w:val="0"/>
        <w:adjustRightInd w:val="0"/>
        <w:spacing w:before="0" w:after="120"/>
        <w:rPr>
          <w:rFonts w:eastAsiaTheme="minorHAnsi" w:cstheme="minorHAnsi"/>
          <w:b/>
          <w:bCs/>
          <w:iCs/>
        </w:rPr>
      </w:pPr>
      <w:r w:rsidRPr="00420026">
        <w:rPr>
          <w:rFonts w:eastAsiaTheme="minorHAnsi" w:cstheme="minorHAnsi"/>
          <w:b/>
          <w:bCs/>
          <w:iCs/>
        </w:rPr>
        <w:t>Peněžní prostředky ze zahraničí</w:t>
      </w:r>
    </w:p>
    <w:p w14:paraId="4956751F" w14:textId="0E877428" w:rsidR="00A8251F" w:rsidRDefault="00A8251F" w:rsidP="00C50C07">
      <w:pPr>
        <w:keepNext/>
        <w:spacing w:before="0" w:after="120"/>
        <w:rPr>
          <w:rFonts w:eastAsiaTheme="minorHAnsi" w:cstheme="minorHAnsi"/>
        </w:rPr>
      </w:pPr>
      <w:r w:rsidRPr="00420026">
        <w:rPr>
          <w:rFonts w:eastAsiaTheme="minorHAnsi" w:cstheme="minorHAnsi"/>
        </w:rPr>
        <w:t xml:space="preserve">Vysoké školy získávají pro financování své činnosti také peněžní prostředky ze zahraničí. Zásadní roli hrají prostředky plynoucí ze strukturálních fondů a komunitárních programů EU. Nejdůležitějším zdrojem uvedených prostředků v programovém období let 2014 až 2020 </w:t>
      </w:r>
      <w:r w:rsidR="00360936">
        <w:rPr>
          <w:rFonts w:eastAsiaTheme="minorHAnsi" w:cstheme="minorHAnsi"/>
        </w:rPr>
        <w:t>byl</w:t>
      </w:r>
      <w:r w:rsidRPr="00420026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>OP VVV</w:t>
      </w:r>
      <w:r w:rsidRPr="00420026">
        <w:rPr>
          <w:rFonts w:eastAsiaTheme="minorHAnsi" w:cstheme="minorHAnsi"/>
        </w:rPr>
        <w:t>, jehož říd</w:t>
      </w:r>
      <w:r w:rsidR="00D95AF2">
        <w:rPr>
          <w:rFonts w:eastAsiaTheme="minorHAnsi" w:cstheme="minorHAnsi"/>
        </w:rPr>
        <w:t>i</w:t>
      </w:r>
      <w:r w:rsidRPr="00420026">
        <w:rPr>
          <w:rFonts w:eastAsiaTheme="minorHAnsi" w:cstheme="minorHAnsi"/>
        </w:rPr>
        <w:t xml:space="preserve">cím orgánem </w:t>
      </w:r>
      <w:r w:rsidR="003113CC">
        <w:rPr>
          <w:rFonts w:eastAsiaTheme="minorHAnsi" w:cstheme="minorHAnsi"/>
        </w:rPr>
        <w:t>bylo</w:t>
      </w:r>
      <w:r w:rsidRPr="00420026">
        <w:rPr>
          <w:rFonts w:eastAsiaTheme="minorHAnsi" w:cstheme="minorHAnsi"/>
        </w:rPr>
        <w:t xml:space="preserve"> MŠMT.</w:t>
      </w:r>
      <w:r>
        <w:rPr>
          <w:rFonts w:eastAsiaTheme="minorHAnsi" w:cstheme="minorHAnsi"/>
        </w:rPr>
        <w:t xml:space="preserve"> </w:t>
      </w:r>
      <w:r w:rsidRPr="004D408F">
        <w:rPr>
          <w:rFonts w:eastAsiaTheme="minorHAnsi" w:cstheme="minorHAnsi"/>
        </w:rPr>
        <w:t>Celková alokace uvedeného operačního programu pro období let 2014 až 2020 čin</w:t>
      </w:r>
      <w:r w:rsidR="00360936">
        <w:rPr>
          <w:rFonts w:eastAsiaTheme="minorHAnsi" w:cstheme="minorHAnsi"/>
        </w:rPr>
        <w:t>ila</w:t>
      </w:r>
      <w:r w:rsidRPr="004D408F">
        <w:rPr>
          <w:rFonts w:eastAsiaTheme="minorHAnsi" w:cstheme="minorHAnsi"/>
        </w:rPr>
        <w:t xml:space="preserve"> </w:t>
      </w:r>
      <w:r w:rsidR="00360936">
        <w:rPr>
          <w:rFonts w:eastAsiaTheme="minorHAnsi" w:cstheme="minorHAnsi"/>
        </w:rPr>
        <w:t>2,77 mld. €. OP VVV se zaměřil</w:t>
      </w:r>
      <w:r>
        <w:rPr>
          <w:rFonts w:eastAsiaTheme="minorHAnsi" w:cstheme="minorHAnsi"/>
        </w:rPr>
        <w:t xml:space="preserve"> </w:t>
      </w:r>
      <w:r w:rsidR="0031038E">
        <w:rPr>
          <w:rFonts w:eastAsiaTheme="minorHAnsi" w:cstheme="minorHAnsi"/>
        </w:rPr>
        <w:t xml:space="preserve">mj. </w:t>
      </w:r>
      <w:r>
        <w:rPr>
          <w:rFonts w:eastAsiaTheme="minorHAnsi" w:cstheme="minorHAnsi"/>
        </w:rPr>
        <w:t>na zvýšení kapacit pro výzkum a</w:t>
      </w:r>
      <w:r w:rsidRPr="004D408F">
        <w:rPr>
          <w:rFonts w:eastAsiaTheme="minorHAnsi" w:cstheme="minorHAnsi"/>
        </w:rPr>
        <w:t xml:space="preserve"> rozvoj vysokých škol a lidských zdrojů pro výzkum a vývoj </w:t>
      </w:r>
      <w:r w:rsidR="0031038E">
        <w:rPr>
          <w:rFonts w:eastAsiaTheme="minorHAnsi" w:cstheme="minorHAnsi"/>
        </w:rPr>
        <w:t>(dále také „VaV“).</w:t>
      </w:r>
    </w:p>
    <w:p w14:paraId="63F260D8" w14:textId="77777777" w:rsidR="00CF3418" w:rsidRDefault="00676F98" w:rsidP="00C50C07">
      <w:pPr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  <w:b/>
        </w:rPr>
        <w:t>Stanovení výše podpory</w:t>
      </w:r>
      <w:r w:rsidR="00CF3418" w:rsidRPr="00CF3418">
        <w:rPr>
          <w:rFonts w:eastAsiaTheme="minorHAnsi" w:cstheme="minorHAnsi"/>
        </w:rPr>
        <w:t xml:space="preserve"> </w:t>
      </w:r>
    </w:p>
    <w:p w14:paraId="21A55AD2" w14:textId="2C3EFC87" w:rsidR="00676F98" w:rsidRPr="00676F98" w:rsidRDefault="00CF3418" w:rsidP="00C50C07">
      <w:pPr>
        <w:spacing w:before="0" w:after="120"/>
        <w:rPr>
          <w:rFonts w:eastAsiaTheme="minorHAnsi" w:cstheme="minorHAnsi"/>
          <w:b/>
        </w:rPr>
      </w:pPr>
      <w:r w:rsidRPr="000D7D2B">
        <w:rPr>
          <w:rFonts w:eastAsiaTheme="minorHAnsi" w:cstheme="minorHAnsi"/>
        </w:rPr>
        <w:t xml:space="preserve">MŠMT </w:t>
      </w:r>
      <w:r w:rsidR="00785387">
        <w:rPr>
          <w:rFonts w:eastAsiaTheme="minorHAnsi" w:cstheme="minorHAnsi"/>
        </w:rPr>
        <w:t>poskytovalo</w:t>
      </w:r>
      <w:r>
        <w:rPr>
          <w:rFonts w:eastAsiaTheme="minorHAnsi" w:cstheme="minorHAnsi"/>
        </w:rPr>
        <w:t xml:space="preserve"> </w:t>
      </w:r>
      <w:r w:rsidRPr="000D7D2B">
        <w:rPr>
          <w:rFonts w:eastAsiaTheme="minorHAnsi" w:cstheme="minorHAnsi"/>
        </w:rPr>
        <w:t>příspěvky a dotace</w:t>
      </w:r>
      <w:r>
        <w:rPr>
          <w:rFonts w:eastAsiaTheme="minorHAnsi" w:cstheme="minorHAnsi"/>
        </w:rPr>
        <w:t xml:space="preserve"> VVŠ</w:t>
      </w:r>
      <w:r w:rsidRPr="000D7D2B">
        <w:rPr>
          <w:rFonts w:eastAsiaTheme="minorHAnsi" w:cstheme="minorHAnsi"/>
        </w:rPr>
        <w:t xml:space="preserve"> podle </w:t>
      </w:r>
      <w:r w:rsidRPr="00B11EEB">
        <w:rPr>
          <w:rFonts w:eastAsiaTheme="minorHAnsi" w:cstheme="minorHAnsi"/>
          <w:i/>
        </w:rPr>
        <w:t>Pravidel pro poskytování příspěvku a dotací veřejným vysokým školám Ministerstvem školství, mládeže a tělovýchovy</w:t>
      </w:r>
      <w:r>
        <w:rPr>
          <w:rFonts w:eastAsiaTheme="minorHAnsi" w:cstheme="minorHAnsi"/>
        </w:rPr>
        <w:t xml:space="preserve"> </w:t>
      </w:r>
      <w:r w:rsidRPr="000D7D2B">
        <w:rPr>
          <w:rFonts w:eastAsiaTheme="minorHAnsi" w:cstheme="minorHAnsi"/>
        </w:rPr>
        <w:t>(dále také „Pravidla“</w:t>
      </w:r>
      <w:r>
        <w:rPr>
          <w:rFonts w:eastAsiaTheme="minorHAnsi" w:cstheme="minorHAnsi"/>
        </w:rPr>
        <w:t xml:space="preserve">). </w:t>
      </w:r>
      <w:r w:rsidRPr="000D7D2B">
        <w:rPr>
          <w:rFonts w:eastAsiaTheme="minorHAnsi" w:cstheme="minorHAnsi"/>
        </w:rPr>
        <w:t xml:space="preserve">Znění Pravidel </w:t>
      </w:r>
      <w:r>
        <w:rPr>
          <w:rFonts w:eastAsiaTheme="minorHAnsi" w:cstheme="minorHAnsi"/>
        </w:rPr>
        <w:t>MŠMT každoročně aktualizovalo</w:t>
      </w:r>
      <w:r w:rsidRPr="000D7D2B">
        <w:rPr>
          <w:rFonts w:eastAsiaTheme="minorHAnsi" w:cstheme="minorHAnsi"/>
        </w:rPr>
        <w:t>.</w:t>
      </w:r>
    </w:p>
    <w:p w14:paraId="5F99F3CB" w14:textId="0B88DF77" w:rsidR="00676F98" w:rsidRPr="00676F98" w:rsidRDefault="00676F98" w:rsidP="00C50C07">
      <w:pPr>
        <w:spacing w:before="0" w:after="120"/>
        <w:rPr>
          <w:rFonts w:eastAsiaTheme="minorHAnsi" w:cstheme="minorHAnsi"/>
        </w:rPr>
      </w:pPr>
      <w:r w:rsidRPr="00676F98">
        <w:rPr>
          <w:rFonts w:eastAsiaTheme="minorHAnsi" w:cstheme="minorHAnsi"/>
        </w:rPr>
        <w:t xml:space="preserve">Příspěvek a dotace poskytované VVŠ jsou členěny na rozpočtové okruhy a ukazatele. Největší část podpory poskytuje MŠMT v rámci rozpočtového </w:t>
      </w:r>
      <w:r w:rsidR="00447E4E">
        <w:rPr>
          <w:rFonts w:eastAsiaTheme="minorHAnsi" w:cstheme="minorHAnsi"/>
        </w:rPr>
        <w:t xml:space="preserve">okruhu I, a to v roce 2019 cca </w:t>
      </w:r>
      <w:r w:rsidRPr="00676F98">
        <w:rPr>
          <w:rFonts w:eastAsiaTheme="minorHAnsi" w:cstheme="minorHAnsi"/>
        </w:rPr>
        <w:t>8</w:t>
      </w:r>
      <w:r w:rsidR="006E0454">
        <w:rPr>
          <w:rFonts w:eastAsiaTheme="minorHAnsi" w:cstheme="minorHAnsi"/>
        </w:rPr>
        <w:t xml:space="preserve">3,7 % </w:t>
      </w:r>
      <w:r w:rsidR="006E0454" w:rsidRPr="00E2655C">
        <w:rPr>
          <w:rFonts w:asciiTheme="minorHAnsi" w:hAnsiTheme="minorHAnsi" w:cstheme="minorHAnsi"/>
        </w:rPr>
        <w:lastRenderedPageBreak/>
        <w:t xml:space="preserve">objemu </w:t>
      </w:r>
      <w:r w:rsidR="006E0454">
        <w:rPr>
          <w:rFonts w:asciiTheme="minorHAnsi" w:hAnsiTheme="minorHAnsi" w:cstheme="minorHAnsi"/>
        </w:rPr>
        <w:t xml:space="preserve">všech rozpočtových okruhů. </w:t>
      </w:r>
      <w:r w:rsidRPr="00676F98">
        <w:rPr>
          <w:rFonts w:eastAsiaTheme="minorHAnsi" w:cstheme="minorHAnsi"/>
        </w:rPr>
        <w:t>Rozpočtový okruh I je zaměřen na institucionální financování VVŠ, které je odvozeno od rozsahu a ekonomické náročnosti výkonů VVŠ (část fixní) a výstupů činnosti VVŠ a jejich kvality (část výkonová). Od roku 20</w:t>
      </w:r>
      <w:r w:rsidR="00CF3418">
        <w:rPr>
          <w:rFonts w:eastAsiaTheme="minorHAnsi" w:cstheme="minorHAnsi"/>
        </w:rPr>
        <w:t>19</w:t>
      </w:r>
      <w:r w:rsidRPr="00676F98">
        <w:rPr>
          <w:rFonts w:eastAsiaTheme="minorHAnsi" w:cstheme="minorHAnsi"/>
        </w:rPr>
        <w:t xml:space="preserve"> jsou v rámci rozpočtového okruhu I poskytovány i prostředky cíleně určené na podporu vzdělávací a ostatní tvůrčí činnosti v konkrétních oblastech vzdělávání, definovaných na základě společenské poptávky. Pro porovnání kvality a výkonů jsou VVŠ rozděleny do čtyř segmentů, v nichž jsou odděleně porovnávány dosažené hodnoty v jednotlivých indikátorech kvality a výkonu. Finanční prostředky alokované v rozpočtovém okruhu I jsou VVŠ poskytovány formou příspěvku. </w:t>
      </w:r>
    </w:p>
    <w:p w14:paraId="317E14BB" w14:textId="3307A61F" w:rsidR="00A8251F" w:rsidRPr="00676F98" w:rsidRDefault="00676F98" w:rsidP="00C50C07">
      <w:pPr>
        <w:spacing w:before="0" w:after="120"/>
        <w:rPr>
          <w:rFonts w:eastAsiaTheme="minorHAnsi" w:cstheme="minorHAnsi"/>
        </w:rPr>
      </w:pPr>
      <w:r w:rsidRPr="00676F98">
        <w:rPr>
          <w:rFonts w:eastAsiaTheme="minorHAnsi" w:cstheme="minorHAnsi"/>
        </w:rPr>
        <w:t>Rozpočtový okruh II sdružuje ukazatele zaměřené na podporu studentů formou stipendií nebo dotací. Rozpočtový okruh III obsahuje nástroje podpory rozvoje VVŠ. Rozpočtový okruh IV zahrnuje ukazatele zaměřené na mezinárodní spolupráci a ostatní výdaje VVŠ.</w:t>
      </w:r>
    </w:p>
    <w:p w14:paraId="4388D0C9" w14:textId="77AF25C3" w:rsidR="000141D2" w:rsidRDefault="00287423" w:rsidP="00C50C07">
      <w:pPr>
        <w:spacing w:before="0" w:after="120"/>
      </w:pPr>
      <w:r w:rsidRPr="00676F98">
        <w:rPr>
          <w:rFonts w:eastAsiaTheme="minorHAnsi" w:cstheme="minorHAnsi"/>
        </w:rPr>
        <w:t xml:space="preserve">Nejvýznamnějším veřejným zdrojem financování VVŠ byl příspěvek MŠMT, který ve sledovaném období rovněž vykázal největší absolutní nárůst. Nejvýznamnější nákladovou položkou VVŠ byly osobní náklady, které </w:t>
      </w:r>
      <w:r w:rsidR="002D21DE">
        <w:rPr>
          <w:rFonts w:eastAsiaTheme="minorHAnsi" w:cstheme="minorHAnsi"/>
        </w:rPr>
        <w:t>tvořily</w:t>
      </w:r>
      <w:r w:rsidRPr="00676F98">
        <w:rPr>
          <w:rFonts w:eastAsiaTheme="minorHAnsi" w:cstheme="minorHAnsi"/>
        </w:rPr>
        <w:t xml:space="preserve"> více než polo</w:t>
      </w:r>
      <w:r w:rsidR="00841957">
        <w:rPr>
          <w:rFonts w:eastAsiaTheme="minorHAnsi" w:cstheme="minorHAnsi"/>
        </w:rPr>
        <w:t>vinu veškerých nákladů. Od roku</w:t>
      </w:r>
      <w:r w:rsidR="002D21DE">
        <w:rPr>
          <w:rFonts w:eastAsiaTheme="minorHAnsi" w:cstheme="minorHAnsi"/>
        </w:rPr>
        <w:t xml:space="preserve"> </w:t>
      </w:r>
      <w:r w:rsidRPr="00676F98">
        <w:rPr>
          <w:rFonts w:eastAsiaTheme="minorHAnsi" w:cstheme="minorHAnsi"/>
        </w:rPr>
        <w:t xml:space="preserve">2015 je zřejmý </w:t>
      </w:r>
      <w:r w:rsidR="00CF3418">
        <w:rPr>
          <w:rFonts w:eastAsiaTheme="minorHAnsi" w:cstheme="minorHAnsi"/>
        </w:rPr>
        <w:t xml:space="preserve">jejich </w:t>
      </w:r>
      <w:r w:rsidRPr="00676F98">
        <w:rPr>
          <w:rFonts w:eastAsiaTheme="minorHAnsi" w:cstheme="minorHAnsi"/>
        </w:rPr>
        <w:t>každoroční nárůst. V roce 2015 činil podíl osobních nákladů na celkových nákladech 50,8 % a v roce 2019 pak 55,6 %.</w:t>
      </w:r>
    </w:p>
    <w:p w14:paraId="08D1E1D9" w14:textId="4E336693" w:rsidR="000141D2" w:rsidRPr="00C50C07" w:rsidRDefault="000141D2" w:rsidP="00C50C07">
      <w:pPr>
        <w:keepNext/>
        <w:spacing w:before="240" w:after="240"/>
        <w:ind w:left="357"/>
        <w:jc w:val="center"/>
        <w:outlineLvl w:val="0"/>
        <w:rPr>
          <w:b/>
          <w:sz w:val="28"/>
        </w:rPr>
      </w:pPr>
      <w:r w:rsidRPr="000141D2">
        <w:rPr>
          <w:b/>
          <w:sz w:val="28"/>
        </w:rPr>
        <w:t>III. </w:t>
      </w:r>
      <w:r w:rsidR="00C866CB" w:rsidRPr="000141D2">
        <w:rPr>
          <w:b/>
          <w:sz w:val="28"/>
        </w:rPr>
        <w:t>Rozsah kontroly</w:t>
      </w:r>
    </w:p>
    <w:p w14:paraId="3DA8663F" w14:textId="77777777" w:rsidR="009A1063" w:rsidRDefault="00E4426C" w:rsidP="00B11EEB">
      <w:pPr>
        <w:spacing w:before="0" w:after="120"/>
        <w:rPr>
          <w:rFonts w:eastAsiaTheme="minorHAnsi" w:cstheme="minorHAnsi"/>
        </w:rPr>
      </w:pPr>
      <w:r w:rsidRPr="00E4426C">
        <w:rPr>
          <w:rFonts w:eastAsiaTheme="minorHAnsi" w:cstheme="minorHAnsi"/>
        </w:rPr>
        <w:t xml:space="preserve">Předmětem kontrolní akce byly peněžní prostředky státu poskytované veřejným vysokým školám. Cílem kontroly bylo prověřit, zda dosavadní způsob financování veřejných vysokých škol motivuje vysoké školy ke zvyšování kvality jejich činnosti a je zacílen na naplňování státem stanovených potřeb. </w:t>
      </w:r>
    </w:p>
    <w:p w14:paraId="10042952" w14:textId="3C92AC8E" w:rsidR="00E4426C" w:rsidRDefault="009A1063" w:rsidP="00B11EEB">
      <w:pPr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</w:rPr>
        <w:t xml:space="preserve">Kontrola byla provedena u MŠMT a šesti vybraných veřejných </w:t>
      </w:r>
      <w:r w:rsidR="00762760">
        <w:rPr>
          <w:rFonts w:eastAsiaTheme="minorHAnsi" w:cstheme="minorHAnsi"/>
        </w:rPr>
        <w:t xml:space="preserve">vysokých </w:t>
      </w:r>
      <w:r w:rsidR="00841957">
        <w:rPr>
          <w:rFonts w:eastAsiaTheme="minorHAnsi" w:cstheme="minorHAnsi"/>
        </w:rPr>
        <w:t>škol. Jednalo se o </w:t>
      </w:r>
      <w:r>
        <w:rPr>
          <w:rFonts w:eastAsiaTheme="minorHAnsi" w:cstheme="minorHAnsi"/>
        </w:rPr>
        <w:t xml:space="preserve">Akademii múzických umění v Praze, Českou zemědělskou univerzitu v Praze, </w:t>
      </w:r>
      <w:r w:rsidRPr="009A1063">
        <w:rPr>
          <w:rFonts w:eastAsiaTheme="minorHAnsi" w:cstheme="minorHAnsi"/>
        </w:rPr>
        <w:t xml:space="preserve">České </w:t>
      </w:r>
      <w:r>
        <w:rPr>
          <w:rFonts w:eastAsiaTheme="minorHAnsi" w:cstheme="minorHAnsi"/>
        </w:rPr>
        <w:t>vysoké učení technické v Praze, Univerzitu Palackého v Olomouci, Univerzitu</w:t>
      </w:r>
      <w:r w:rsidRPr="009A1063">
        <w:rPr>
          <w:rFonts w:eastAsiaTheme="minorHAnsi" w:cstheme="minorHAnsi"/>
        </w:rPr>
        <w:t xml:space="preserve"> Tomáše Bati ve Zlíně </w:t>
      </w:r>
      <w:r w:rsidR="00841957">
        <w:rPr>
          <w:rFonts w:eastAsiaTheme="minorHAnsi" w:cstheme="minorHAnsi"/>
        </w:rPr>
        <w:t>a </w:t>
      </w:r>
      <w:r>
        <w:rPr>
          <w:rFonts w:eastAsiaTheme="minorHAnsi" w:cstheme="minorHAnsi"/>
        </w:rPr>
        <w:t>Vysokou škol</w:t>
      </w:r>
      <w:r w:rsidR="000C3788">
        <w:rPr>
          <w:rFonts w:eastAsiaTheme="minorHAnsi" w:cstheme="minorHAnsi"/>
        </w:rPr>
        <w:t>u</w:t>
      </w:r>
      <w:r>
        <w:rPr>
          <w:rFonts w:eastAsiaTheme="minorHAnsi" w:cstheme="minorHAnsi"/>
        </w:rPr>
        <w:t xml:space="preserve"> uměleckoprůmyslovou</w:t>
      </w:r>
      <w:r w:rsidRPr="009A1063">
        <w:rPr>
          <w:rFonts w:eastAsiaTheme="minorHAnsi" w:cstheme="minorHAnsi"/>
        </w:rPr>
        <w:t xml:space="preserve"> v Praze.</w:t>
      </w:r>
      <w:r>
        <w:rPr>
          <w:rFonts w:eastAsiaTheme="minorHAnsi" w:cstheme="minorHAnsi"/>
        </w:rPr>
        <w:t xml:space="preserve"> Tyto školy</w:t>
      </w:r>
      <w:r>
        <w:t xml:space="preserve"> byly ke kontrole vybrány zejména na základě objemu obdržené podpory a zastoupení jednotlivých segmentů </w:t>
      </w:r>
      <w:r w:rsidR="00762760">
        <w:t>VVŠ</w:t>
      </w:r>
      <w:r>
        <w:t>.</w:t>
      </w:r>
    </w:p>
    <w:p w14:paraId="0368CFFD" w14:textId="656CB401" w:rsidR="0022328E" w:rsidRPr="00E4426C" w:rsidRDefault="00E4426C" w:rsidP="00C50C07">
      <w:pPr>
        <w:spacing w:before="0" w:after="120"/>
        <w:rPr>
          <w:rFonts w:eastAsiaTheme="minorHAnsi" w:cstheme="minorHAnsi"/>
        </w:rPr>
      </w:pPr>
      <w:r w:rsidRPr="002B3C12">
        <w:rPr>
          <w:rFonts w:eastAsiaTheme="minorHAnsi" w:cstheme="minorHAnsi"/>
        </w:rPr>
        <w:t>Ko</w:t>
      </w:r>
      <w:r w:rsidR="00754359" w:rsidRPr="002B3C12">
        <w:rPr>
          <w:rFonts w:eastAsiaTheme="minorHAnsi" w:cstheme="minorHAnsi"/>
        </w:rPr>
        <w:t>ntrolováno bylo období let</w:t>
      </w:r>
      <w:r w:rsidR="00754359">
        <w:rPr>
          <w:rFonts w:eastAsiaTheme="minorHAnsi" w:cstheme="minorHAnsi"/>
        </w:rPr>
        <w:t xml:space="preserve"> 2017 až </w:t>
      </w:r>
      <w:r w:rsidRPr="00E4426C">
        <w:rPr>
          <w:rFonts w:eastAsiaTheme="minorHAnsi" w:cstheme="minorHAnsi"/>
        </w:rPr>
        <w:t>2019, v případě věcných souvislostí i období předcházející či následující.</w:t>
      </w:r>
      <w:r w:rsidRPr="00E4426C">
        <w:t xml:space="preserve"> </w:t>
      </w:r>
      <w:r w:rsidR="006E0454">
        <w:t>Dle dostupnosti dat byly n</w:t>
      </w:r>
      <w:r>
        <w:t>ěkteré ukazatele</w:t>
      </w:r>
      <w:r w:rsidR="00064AC5">
        <w:t xml:space="preserve"> prověřeny již od roku 2010</w:t>
      </w:r>
      <w:r>
        <w:t xml:space="preserve">. Jednalo se zejména o vyhodnocení trendů. </w:t>
      </w:r>
      <w:r>
        <w:rPr>
          <w:rFonts w:asciiTheme="minorHAnsi" w:hAnsiTheme="minorHAnsi" w:cstheme="minorHAnsi"/>
          <w:bCs/>
        </w:rPr>
        <w:t>Kvůli větší vypovídací schopnosti tak bylo záměrně zvoleno delší časové období.</w:t>
      </w:r>
    </w:p>
    <w:p w14:paraId="6ABD9E74" w14:textId="2CB27F72" w:rsidR="00E4426C" w:rsidRDefault="00E4426C" w:rsidP="00C50C07">
      <w:pPr>
        <w:spacing w:before="0" w:after="120"/>
      </w:pPr>
      <w:r w:rsidRPr="00E4426C">
        <w:t xml:space="preserve">Kontrolovaný objem na úrovni systému vycházel z výdajů MŠMT na </w:t>
      </w:r>
      <w:r w:rsidR="00D45725">
        <w:t xml:space="preserve">veřejné </w:t>
      </w:r>
      <w:r w:rsidRPr="00E4426C">
        <w:t>vysoké školy a za roky</w:t>
      </w:r>
      <w:r>
        <w:t xml:space="preserve"> 2017 až 2019 činil přibližně </w:t>
      </w:r>
      <w:r w:rsidR="00D45725">
        <w:t>124</w:t>
      </w:r>
      <w:r>
        <w:t> mld. Kč.</w:t>
      </w:r>
    </w:p>
    <w:p w14:paraId="16A763F3" w14:textId="1AE781C4" w:rsidR="00E4426C" w:rsidRDefault="005C2F0C" w:rsidP="00C50C07">
      <w:pPr>
        <w:spacing w:before="0" w:after="120"/>
      </w:pPr>
      <w:r>
        <w:t>NKÚ prověřil</w:t>
      </w:r>
      <w:r w:rsidR="00E4426C">
        <w:t xml:space="preserve"> </w:t>
      </w:r>
      <w:r>
        <w:t>zejména,</w:t>
      </w:r>
      <w:r w:rsidR="00E4426C" w:rsidRPr="003576BA">
        <w:t xml:space="preserve"> zda má MŠMT jasnou představu o tom, čeho a proč chce poskytovanou podporou dosáhnout</w:t>
      </w:r>
      <w:r w:rsidR="00B628A3">
        <w:t>,</w:t>
      </w:r>
      <w:r w:rsidR="00E4426C" w:rsidRPr="003576BA">
        <w:t xml:space="preserve"> a do jaké míry se mu to daří. </w:t>
      </w:r>
      <w:r w:rsidR="00E4426C">
        <w:t>Kontrola tak byla</w:t>
      </w:r>
      <w:r w:rsidR="00E4426C" w:rsidRPr="003576BA">
        <w:t xml:space="preserve"> zaměřena mj. na stanovení potřeb a cílů, zp</w:t>
      </w:r>
      <w:r w:rsidR="00754359">
        <w:t>ůsob monitorování jejich plnění a</w:t>
      </w:r>
      <w:r w:rsidR="00E4426C" w:rsidRPr="003576BA">
        <w:t xml:space="preserve"> mechanismus rozdělování podpory.</w:t>
      </w:r>
      <w:r w:rsidR="006E0454" w:rsidRPr="006E0454">
        <w:t xml:space="preserve"> </w:t>
      </w:r>
      <w:r w:rsidR="006E0454">
        <w:t>Současně bylo</w:t>
      </w:r>
      <w:r w:rsidR="006E0454" w:rsidRPr="003576BA">
        <w:t xml:space="preserve"> </w:t>
      </w:r>
      <w:r w:rsidR="006E0454">
        <w:t>v jednotlivých oblastech provedeno mezinárodní</w:t>
      </w:r>
      <w:r w:rsidR="006E0454" w:rsidRPr="003576BA">
        <w:t xml:space="preserve"> srovnání</w:t>
      </w:r>
      <w:r w:rsidR="006E0454">
        <w:t>.</w:t>
      </w:r>
    </w:p>
    <w:p w14:paraId="35F94169" w14:textId="1E09ACAE" w:rsidR="00E4426C" w:rsidRDefault="00064AC5" w:rsidP="00C50C07">
      <w:pPr>
        <w:spacing w:before="0" w:after="120"/>
      </w:pPr>
      <w:r>
        <w:t xml:space="preserve">U šesti veřejných vysokých škol </w:t>
      </w:r>
      <w:r w:rsidR="00483098">
        <w:t>kontrola</w:t>
      </w:r>
      <w:r>
        <w:t xml:space="preserve"> prověř</w:t>
      </w:r>
      <w:r w:rsidR="00483098">
        <w:t>ila</w:t>
      </w:r>
      <w:r>
        <w:t xml:space="preserve"> zejména nastavení a konkrétnost strategických záměrů jednotlivých škol a úspěšnost v jejich realizaci. Prověřeno tak bylo, zda mají jednotlivé VVŠ konkrétní představu o použití poskytované podpory </w:t>
      </w:r>
      <w:r w:rsidR="00841957">
        <w:t>ke svému dlouhodobému rozvoji a </w:t>
      </w:r>
      <w:r>
        <w:t>zda se jim daří tuto představu naplňovat.</w:t>
      </w:r>
      <w:r w:rsidR="001036A3">
        <w:t xml:space="preserve"> </w:t>
      </w:r>
    </w:p>
    <w:p w14:paraId="3CAF2EB8" w14:textId="30586545" w:rsidR="00757C61" w:rsidRDefault="000141D2" w:rsidP="002A496D">
      <w:pPr>
        <w:keepNext/>
        <w:spacing w:before="240" w:after="240"/>
        <w:ind w:left="357"/>
        <w:jc w:val="center"/>
        <w:outlineLvl w:val="0"/>
        <w:rPr>
          <w:b/>
          <w:sz w:val="28"/>
        </w:rPr>
      </w:pPr>
      <w:r w:rsidRPr="000141D2">
        <w:rPr>
          <w:b/>
          <w:sz w:val="28"/>
        </w:rPr>
        <w:lastRenderedPageBreak/>
        <w:t>IV. </w:t>
      </w:r>
      <w:r w:rsidR="00757C61" w:rsidRPr="000141D2">
        <w:rPr>
          <w:b/>
          <w:sz w:val="28"/>
        </w:rPr>
        <w:t>Podrobné skutečnosti zjištěné kontrolou</w:t>
      </w:r>
    </w:p>
    <w:p w14:paraId="483C1817" w14:textId="29F0C2CB" w:rsidR="00F600AA" w:rsidRDefault="00F600AA" w:rsidP="002A496D">
      <w:pPr>
        <w:keepNext/>
        <w:autoSpaceDE w:val="0"/>
        <w:autoSpaceDN w:val="0"/>
        <w:adjustRightInd w:val="0"/>
        <w:spacing w:before="0" w:after="120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Pr="0029097C">
        <w:rPr>
          <w:rFonts w:cstheme="minorHAnsi"/>
          <w:b/>
        </w:rPr>
        <w:t xml:space="preserve">Způsob </w:t>
      </w:r>
      <w:r>
        <w:rPr>
          <w:rFonts w:cstheme="minorHAnsi"/>
          <w:b/>
        </w:rPr>
        <w:t>financování VVŠ</w:t>
      </w:r>
      <w:r w:rsidRPr="0029097C">
        <w:rPr>
          <w:rFonts w:cstheme="minorHAnsi"/>
          <w:b/>
        </w:rPr>
        <w:t xml:space="preserve"> neodpovídal stanoveným potřebám a cílům</w:t>
      </w:r>
    </w:p>
    <w:p w14:paraId="4474F86E" w14:textId="732A0465" w:rsidR="00F600AA" w:rsidRDefault="00F600AA" w:rsidP="00F600AA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5B44DE">
        <w:rPr>
          <w:rFonts w:eastAsiaTheme="minorHAnsi" w:cstheme="minorHAnsi"/>
        </w:rPr>
        <w:t xml:space="preserve">MŠMT </w:t>
      </w:r>
      <w:r>
        <w:rPr>
          <w:rFonts w:eastAsiaTheme="minorHAnsi" w:cstheme="minorHAnsi"/>
        </w:rPr>
        <w:t xml:space="preserve">v koncepčních dokumentech </w:t>
      </w:r>
      <w:r w:rsidRPr="005B44DE">
        <w:rPr>
          <w:rFonts w:eastAsiaTheme="minorHAnsi" w:cstheme="minorHAnsi"/>
        </w:rPr>
        <w:t>dlouhodobě deklaruje potřebu zvyšovat kvalitu činností vysokých škol.</w:t>
      </w:r>
      <w:r>
        <w:rPr>
          <w:rFonts w:eastAsiaTheme="minorHAnsi" w:cstheme="minorHAnsi"/>
        </w:rPr>
        <w:t xml:space="preserve"> Nástrojem měl být zejména mechanismus rozdělování peněžních prostředků. K tomu MŠMT v DZ VŠ 2016 mj. stanovilo opatření: </w:t>
      </w:r>
      <w:r w:rsidRPr="004E6667">
        <w:rPr>
          <w:rFonts w:eastAsiaTheme="minorHAnsi" w:cstheme="minorHAnsi"/>
        </w:rPr>
        <w:t>„</w:t>
      </w:r>
      <w:r w:rsidRPr="00E30D95">
        <w:rPr>
          <w:rFonts w:eastAsiaTheme="minorHAnsi" w:cstheme="minorHAnsi"/>
          <w:i/>
        </w:rPr>
        <w:t>Zvýšit podíl prostředků přidělovaných na základě výsledků a výkonu vysokých škol: Bude snížena role financování podle indikátorů na vstupu činností vysokých škol a podle počtu studentů. Současné výstupní indikátory budou posíleny a doplněny novými tak, aby se zvyšoval podíl rozp</w:t>
      </w:r>
      <w:r w:rsidR="006566E5">
        <w:rPr>
          <w:rFonts w:eastAsiaTheme="minorHAnsi" w:cstheme="minorHAnsi"/>
          <w:i/>
        </w:rPr>
        <w:t>očtu rozdělovaný podle výkonu a </w:t>
      </w:r>
      <w:r w:rsidRPr="00E30D95">
        <w:rPr>
          <w:rFonts w:eastAsiaTheme="minorHAnsi" w:cstheme="minorHAnsi"/>
          <w:i/>
        </w:rPr>
        <w:t>lépe odrážel kvalitu činností vysokých škol.</w:t>
      </w:r>
      <w:r w:rsidRPr="004E6667">
        <w:rPr>
          <w:rFonts w:eastAsiaTheme="minorHAnsi" w:cstheme="minorHAnsi"/>
        </w:rPr>
        <w:t xml:space="preserve">“ </w:t>
      </w:r>
      <w:r>
        <w:rPr>
          <w:rFonts w:eastAsiaTheme="minorHAnsi" w:cstheme="minorHAnsi"/>
        </w:rPr>
        <w:t>Mezi další priority patří také podpora jejich rozvoje a sociálních záležitostí studentů.</w:t>
      </w:r>
    </w:p>
    <w:p w14:paraId="566B7824" w14:textId="77777777" w:rsidR="00F600AA" w:rsidRDefault="00F600AA" w:rsidP="00F600AA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F56697">
        <w:rPr>
          <w:rFonts w:eastAsiaTheme="minorHAnsi" w:cstheme="minorHAnsi"/>
        </w:rPr>
        <w:t>MŠMT rozdělilo VVŠ do čtyř segmentů, v rámci kterých následně porovnávalo jejich výkonnost. Tento způsob zohlednil specifičnost činností jednotlivých VVŠ. Od roku 2019 MŠMT rovněž poskytuje prostředky i na základě společenských priorit.</w:t>
      </w:r>
    </w:p>
    <w:p w14:paraId="73ECD14B" w14:textId="0E589B71" w:rsidR="00F600AA" w:rsidRDefault="00F600AA" w:rsidP="00F600AA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4B06B0">
        <w:rPr>
          <w:rFonts w:eastAsiaTheme="minorHAnsi" w:cstheme="minorHAnsi"/>
        </w:rPr>
        <w:t>Systém rozdělování podpory zahrnuje množství indikátorů výkonu, které by měly VVŠ motivovat např. k mezinárodní spolupráci, podpoře uplatnění absolventů, získávání vlastních zdrojů financování a měly by vést k celkovému zkvalitnění činností VVŠ.</w:t>
      </w:r>
      <w:r>
        <w:rPr>
          <w:rFonts w:eastAsiaTheme="minorHAnsi" w:cstheme="minorHAnsi"/>
        </w:rPr>
        <w:t xml:space="preserve"> </w:t>
      </w:r>
      <w:r w:rsidRPr="004E6667">
        <w:rPr>
          <w:rFonts w:eastAsiaTheme="minorHAnsi" w:cstheme="minorHAnsi"/>
        </w:rPr>
        <w:t xml:space="preserve">Ve výkonové části, která v letech 2018 až 2020 představovala 17,15 % prostředků v rámci nejvýznamnějšího rozpočtového okruhu I, stanovilo MŠMT osm indikátorů. Průměrná váha jednoho indikátoru výkonu činila pouze 2,1 % z celkového objemu prostředků v rámci rozpočtového okruhu I. Např. </w:t>
      </w:r>
      <w:r>
        <w:rPr>
          <w:rFonts w:eastAsiaTheme="minorHAnsi" w:cstheme="minorHAnsi"/>
        </w:rPr>
        <w:t xml:space="preserve">váha </w:t>
      </w:r>
      <w:r w:rsidRPr="004E6667">
        <w:rPr>
          <w:rFonts w:eastAsiaTheme="minorHAnsi" w:cstheme="minorHAnsi"/>
        </w:rPr>
        <w:t>indikátor</w:t>
      </w:r>
      <w:r>
        <w:rPr>
          <w:rFonts w:eastAsiaTheme="minorHAnsi" w:cstheme="minorHAnsi"/>
        </w:rPr>
        <w:t>u</w:t>
      </w:r>
      <w:r w:rsidRPr="004E6667">
        <w:rPr>
          <w:rFonts w:eastAsiaTheme="minorHAnsi" w:cstheme="minorHAnsi"/>
        </w:rPr>
        <w:t xml:space="preserve"> </w:t>
      </w:r>
      <w:r w:rsidR="0061303E">
        <w:rPr>
          <w:rFonts w:eastAsiaTheme="minorHAnsi" w:cstheme="minorHAnsi"/>
        </w:rPr>
        <w:t>„</w:t>
      </w:r>
      <w:r w:rsidR="00CF48A1" w:rsidRPr="00B11EEB">
        <w:rPr>
          <w:rFonts w:eastAsiaTheme="minorHAnsi" w:cstheme="minorHAnsi"/>
          <w:i/>
        </w:rPr>
        <w:t>s</w:t>
      </w:r>
      <w:r w:rsidRPr="00B11EEB">
        <w:rPr>
          <w:rFonts w:eastAsiaTheme="minorHAnsi" w:cstheme="minorHAnsi"/>
          <w:i/>
        </w:rPr>
        <w:t>tudia v cizím jazyce</w:t>
      </w:r>
      <w:r w:rsidR="0061303E" w:rsidRPr="00EB49FF">
        <w:rPr>
          <w:rFonts w:eastAsiaTheme="minorHAnsi" w:cstheme="minorHAnsi"/>
        </w:rPr>
        <w:t>“</w:t>
      </w:r>
      <w:r w:rsidRPr="00EB49FF">
        <w:rPr>
          <w:rFonts w:eastAsiaTheme="minorHAnsi" w:cstheme="minorHAnsi"/>
        </w:rPr>
        <w:t xml:space="preserve"> </w:t>
      </w:r>
      <w:r w:rsidRPr="004E6667">
        <w:rPr>
          <w:rFonts w:eastAsiaTheme="minorHAnsi" w:cstheme="minorHAnsi"/>
        </w:rPr>
        <w:t>pro jednotlivé VVŠ činila maximálně pouze 0,6 % z celkového objemu prostředků v rámci rozpočtového okruhu I.</w:t>
      </w:r>
      <w:r w:rsidRPr="004B06B0">
        <w:rPr>
          <w:rFonts w:eastAsiaTheme="minorHAnsi" w:cstheme="minorHAnsi"/>
        </w:rPr>
        <w:t xml:space="preserve"> Váhy těchto indikátorů jsou velmi nízké, což motivační účinek významně oslabuje. Motivační účinek je rovněž oslaben</w:t>
      </w:r>
      <w:r w:rsidR="00FD6163">
        <w:rPr>
          <w:rFonts w:eastAsiaTheme="minorHAnsi" w:cstheme="minorHAnsi"/>
        </w:rPr>
        <w:t xml:space="preserve"> uplatňovanou zásadou, že</w:t>
      </w:r>
      <w:r w:rsidRPr="004B06B0">
        <w:rPr>
          <w:rFonts w:eastAsiaTheme="minorHAnsi" w:cstheme="minorHAnsi"/>
        </w:rPr>
        <w:t xml:space="preserve"> změnou algoritmu výpočtu může dojít k meziročnímu poklesu prostředků v rozpočtovém okruhu I u jedné VVŠ nejvíce o 2 %.</w:t>
      </w:r>
    </w:p>
    <w:p w14:paraId="5F2630BE" w14:textId="6B4AC334" w:rsidR="00F600AA" w:rsidRDefault="00F600AA" w:rsidP="00F600AA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4E6667">
        <w:rPr>
          <w:rFonts w:eastAsiaTheme="minorHAnsi" w:cstheme="minorHAnsi"/>
        </w:rPr>
        <w:t>Indikátor VaV představuje pro naprostou většinu VVŠ (20 z 26) nejvýznamnější výkonový indikátor s váhou 30 %. Rozhodující část tohoto indikátoru tvoří tzv. RIV body</w:t>
      </w:r>
      <w:r w:rsidR="00FB03A8">
        <w:rPr>
          <w:rStyle w:val="Znakapoznpodarou"/>
          <w:rFonts w:eastAsiaTheme="minorHAnsi" w:cstheme="minorHAnsi"/>
        </w:rPr>
        <w:footnoteReference w:id="6"/>
      </w:r>
      <w:r w:rsidRPr="004E6667">
        <w:rPr>
          <w:rFonts w:eastAsiaTheme="minorHAnsi" w:cstheme="minorHAnsi"/>
        </w:rPr>
        <w:t xml:space="preserve">, které přitom výzkumné organizace, včetně VVŠ, motivují především k masové produkci vědeckých článků, </w:t>
      </w:r>
      <w:r w:rsidR="00275C25">
        <w:rPr>
          <w:rFonts w:eastAsiaTheme="minorHAnsi" w:cstheme="minorHAnsi"/>
        </w:rPr>
        <w:t>a to mnohdy na úkor jejich kvality</w:t>
      </w:r>
      <w:r w:rsidRPr="004E6667">
        <w:rPr>
          <w:rFonts w:eastAsiaTheme="minorHAnsi" w:cstheme="minorHAnsi"/>
        </w:rPr>
        <w:t>. Hlavní ukazatel výkonové části tak ve vztahu ke kvalitě činností VVŠ nemá velkou vypovídací hodnotu.</w:t>
      </w:r>
    </w:p>
    <w:p w14:paraId="5728C4A9" w14:textId="33879D7D" w:rsidR="00AC3470" w:rsidRDefault="00F600AA" w:rsidP="00F600AA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Čerpání prostředků dle jednotlivých rozpočtov</w:t>
      </w:r>
      <w:r w:rsidR="00DE7767">
        <w:rPr>
          <w:lang w:eastAsia="cs-CZ"/>
        </w:rPr>
        <w:t>ých okruhů v letech 2014 až 2020</w:t>
      </w:r>
      <w:r>
        <w:rPr>
          <w:lang w:eastAsia="cs-CZ"/>
        </w:rPr>
        <w:t xml:space="preserve"> zobrazují následující tabulky. První tabulka je ve finančním vyjádření</w:t>
      </w:r>
      <w:r w:rsidR="00AC3470">
        <w:rPr>
          <w:lang w:eastAsia="cs-CZ"/>
        </w:rPr>
        <w:t>,</w:t>
      </w:r>
      <w:r>
        <w:rPr>
          <w:lang w:eastAsia="cs-CZ"/>
        </w:rPr>
        <w:t xml:space="preserve"> druhá </w:t>
      </w:r>
      <w:r w:rsidR="00AC3470">
        <w:rPr>
          <w:lang w:eastAsia="cs-CZ"/>
        </w:rPr>
        <w:t xml:space="preserve">uvádí </w:t>
      </w:r>
      <w:r>
        <w:rPr>
          <w:lang w:eastAsia="cs-CZ"/>
        </w:rPr>
        <w:t xml:space="preserve">procentuální </w:t>
      </w:r>
      <w:r w:rsidR="00AC3470">
        <w:rPr>
          <w:lang w:eastAsia="cs-CZ"/>
        </w:rPr>
        <w:t>podíly</w:t>
      </w:r>
      <w:r>
        <w:rPr>
          <w:lang w:eastAsia="cs-CZ"/>
        </w:rPr>
        <w:t>.</w:t>
      </w:r>
    </w:p>
    <w:p w14:paraId="34450FE4" w14:textId="77777777" w:rsidR="00AC3470" w:rsidRDefault="00AC3470">
      <w:pPr>
        <w:spacing w:before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687B81C5" w14:textId="77777777" w:rsidR="002F33B6" w:rsidRDefault="00F600AA" w:rsidP="00F600AA">
      <w:pPr>
        <w:keepNext/>
        <w:autoSpaceDE w:val="0"/>
        <w:autoSpaceDN w:val="0"/>
        <w:adjustRightInd w:val="0"/>
        <w:spacing w:before="0"/>
        <w:rPr>
          <w:lang w:eastAsia="cs-CZ"/>
        </w:rPr>
      </w:pPr>
      <w:r>
        <w:rPr>
          <w:lang w:eastAsia="cs-CZ"/>
        </w:rPr>
        <w:lastRenderedPageBreak/>
        <w:t xml:space="preserve">Tabulka č. </w:t>
      </w:r>
      <w:r w:rsidR="000F6F4C">
        <w:rPr>
          <w:lang w:eastAsia="cs-CZ"/>
        </w:rPr>
        <w:t>2</w:t>
      </w:r>
      <w:r>
        <w:rPr>
          <w:lang w:eastAsia="cs-CZ"/>
        </w:rPr>
        <w:t>: Čerpání prostředků dle jednotlivých rozpočtov</w:t>
      </w:r>
      <w:r w:rsidR="00DE7767">
        <w:rPr>
          <w:lang w:eastAsia="cs-CZ"/>
        </w:rPr>
        <w:t>ých okruhů v letech 2014 až 2020</w:t>
      </w:r>
      <w:r>
        <w:rPr>
          <w:lang w:eastAsia="cs-CZ"/>
        </w:rPr>
        <w:t xml:space="preserve"> </w:t>
      </w:r>
    </w:p>
    <w:p w14:paraId="520D66DA" w14:textId="5BC191D3" w:rsidR="00F600AA" w:rsidRDefault="002F33B6" w:rsidP="002F33B6">
      <w:pPr>
        <w:keepNext/>
        <w:tabs>
          <w:tab w:val="right" w:pos="9070"/>
        </w:tabs>
        <w:autoSpaceDE w:val="0"/>
        <w:autoSpaceDN w:val="0"/>
        <w:adjustRightInd w:val="0"/>
        <w:spacing w:before="0"/>
        <w:rPr>
          <w:lang w:eastAsia="cs-CZ"/>
        </w:rPr>
      </w:pPr>
      <w:r>
        <w:rPr>
          <w:lang w:eastAsia="cs-CZ"/>
        </w:rPr>
        <w:tab/>
        <w:t>(</w:t>
      </w:r>
      <w:r w:rsidR="00F600AA">
        <w:rPr>
          <w:lang w:eastAsia="cs-CZ"/>
        </w:rPr>
        <w:t>v mil. Kč</w:t>
      </w:r>
      <w:r>
        <w:rPr>
          <w:lang w:eastAsia="cs-CZ"/>
        </w:rPr>
        <w:t>)</w:t>
      </w:r>
    </w:p>
    <w:tbl>
      <w:tblPr>
        <w:tblW w:w="91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907"/>
        <w:gridCol w:w="737"/>
        <w:gridCol w:w="737"/>
        <w:gridCol w:w="737"/>
        <w:gridCol w:w="1077"/>
        <w:gridCol w:w="1077"/>
        <w:gridCol w:w="1077"/>
      </w:tblGrid>
      <w:tr w:rsidR="00E421F7" w:rsidRPr="00DF659F" w14:paraId="285E3693" w14:textId="77777777" w:rsidTr="00B11EEB">
        <w:trPr>
          <w:trHeight w:val="3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672FA2C4" w14:textId="77777777" w:rsidR="00F600AA" w:rsidRPr="00B11EEB" w:rsidRDefault="00F600AA" w:rsidP="00B11EEB">
            <w:pPr>
              <w:keepNext/>
              <w:ind w:right="10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Rozpočtový okruh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298436C9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503680FB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55FEED5B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2FE4A389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716292B0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6DA2548F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0792DE13" w14:textId="77777777" w:rsidR="00F600AA" w:rsidRPr="00B11EEB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</w:tr>
      <w:tr w:rsidR="00E421F7" w:rsidRPr="00DF659F" w14:paraId="2DA8760C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DAB" w14:textId="0C9FA5B7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 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Institucionální financování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1E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15 602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AD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16 466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38F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15 811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779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16 562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35F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18 693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C59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20 305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9BF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20 979</w:t>
            </w:r>
          </w:p>
        </w:tc>
      </w:tr>
      <w:tr w:rsidR="00E421F7" w:rsidRPr="00DF659F" w14:paraId="1508B246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9C0" w14:textId="77777777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  </w:t>
            </w: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z toho</w:t>
            </w: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fixní část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7D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12 091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C84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12 514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104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12 017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C814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14 905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A6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15 487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A7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16 313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48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16 795</w:t>
            </w:r>
          </w:p>
        </w:tc>
      </w:tr>
      <w:tr w:rsidR="00E421F7" w:rsidRPr="00DF659F" w14:paraId="64F0F652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E480" w14:textId="77777777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  </w:t>
            </w: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z toho</w:t>
            </w: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výkonová část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76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3 510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709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3 952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C1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3 795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0D5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1 656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1CF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3 206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FCA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3 377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30A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3 477</w:t>
            </w:r>
          </w:p>
        </w:tc>
      </w:tr>
      <w:tr w:rsidR="00E421F7" w:rsidRPr="00DF659F" w14:paraId="6B676C3C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EB4" w14:textId="77777777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  </w:t>
            </w: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z toho</w:t>
            </w: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část společenské poptávky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CF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AED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1A6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54F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9AC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BCE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615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4C8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707</w:t>
            </w:r>
          </w:p>
        </w:tc>
      </w:tr>
      <w:tr w:rsidR="00E421F7" w:rsidRPr="00DF659F" w14:paraId="181F198A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20BF" w14:textId="77777777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Poměr fixní/výkonové části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2F6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77,5/22,5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718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76/24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7CFF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76/24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0F8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90/10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FC5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82,85/17,15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B9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82,85/17,15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6E8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82,85/17,15</w:t>
            </w:r>
          </w:p>
        </w:tc>
      </w:tr>
      <w:tr w:rsidR="00E421F7" w:rsidRPr="00DF659F" w14:paraId="61AB34F8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301" w14:textId="63A50D5C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II 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Podpora studentů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F5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2 074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DFF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1 999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97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1 910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0AA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1 832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1B1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2 221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FF9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2 206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85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2 305</w:t>
            </w:r>
          </w:p>
        </w:tc>
      </w:tr>
      <w:tr w:rsidR="00E421F7" w:rsidRPr="00DF659F" w14:paraId="3383FBC1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041C" w14:textId="4DFE5EE2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III 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Rozvoj VVŠ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CD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A16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5E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BB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118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F99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1 225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76F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1 195</w:t>
            </w:r>
          </w:p>
        </w:tc>
      </w:tr>
      <w:tr w:rsidR="00E421F7" w:rsidRPr="00DF659F" w14:paraId="6672BFB6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ECDC" w14:textId="1545EEA8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IV 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Mezinárodní spolupráce a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 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44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584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CE78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9A0D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10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36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9DB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651</w:t>
            </w:r>
          </w:p>
        </w:tc>
      </w:tr>
      <w:tr w:rsidR="00E421F7" w:rsidRPr="00DF659F" w14:paraId="56EFD8D4" w14:textId="77777777" w:rsidTr="00B11EEB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5B318C79" w14:textId="77777777" w:rsidR="00F600AA" w:rsidRPr="00B11EEB" w:rsidRDefault="00F600AA" w:rsidP="00B11EEB">
            <w:pPr>
              <w:keepNext/>
              <w:ind w:right="103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6E6D24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19 255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301CC85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20 019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5B3EFC2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19 319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A5BA39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20 087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489F4EF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22 803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22A435C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24 248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0B04FB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25 130</w:t>
            </w:r>
          </w:p>
        </w:tc>
      </w:tr>
    </w:tbl>
    <w:p w14:paraId="4A5E2EAE" w14:textId="36E15802" w:rsidR="00F600AA" w:rsidRDefault="00F600AA" w:rsidP="00F600AA">
      <w:pPr>
        <w:keepNext/>
        <w:autoSpaceDE w:val="0"/>
        <w:autoSpaceDN w:val="0"/>
        <w:adjustRightInd w:val="0"/>
        <w:spacing w:before="0"/>
        <w:rPr>
          <w:sz w:val="20"/>
          <w:szCs w:val="20"/>
          <w:lang w:eastAsia="cs-CZ"/>
        </w:rPr>
      </w:pPr>
      <w:r w:rsidRPr="006566E5">
        <w:rPr>
          <w:b/>
          <w:sz w:val="20"/>
          <w:szCs w:val="20"/>
          <w:lang w:eastAsia="cs-CZ"/>
        </w:rPr>
        <w:t>Zdroj:</w:t>
      </w:r>
      <w:r w:rsidRPr="00CC3412">
        <w:rPr>
          <w:sz w:val="20"/>
          <w:szCs w:val="20"/>
          <w:lang w:eastAsia="cs-CZ"/>
        </w:rPr>
        <w:t xml:space="preserve"> </w:t>
      </w:r>
      <w:r w:rsidR="002F33B6">
        <w:rPr>
          <w:sz w:val="20"/>
          <w:szCs w:val="20"/>
          <w:lang w:eastAsia="cs-CZ"/>
        </w:rPr>
        <w:t>i</w:t>
      </w:r>
      <w:r>
        <w:rPr>
          <w:sz w:val="20"/>
          <w:szCs w:val="20"/>
          <w:lang w:eastAsia="cs-CZ"/>
        </w:rPr>
        <w:t xml:space="preserve">nformace </w:t>
      </w:r>
      <w:r w:rsidRPr="00CC3412">
        <w:rPr>
          <w:sz w:val="20"/>
          <w:szCs w:val="20"/>
          <w:lang w:eastAsia="cs-CZ"/>
        </w:rPr>
        <w:t>MŠMT</w:t>
      </w:r>
      <w:r w:rsidR="006566E5">
        <w:rPr>
          <w:sz w:val="20"/>
          <w:szCs w:val="20"/>
          <w:lang w:eastAsia="cs-CZ"/>
        </w:rPr>
        <w:t>.</w:t>
      </w:r>
    </w:p>
    <w:p w14:paraId="1A31B81C" w14:textId="6523DC80" w:rsidR="00F600AA" w:rsidRDefault="00F600AA" w:rsidP="00F600AA">
      <w:pPr>
        <w:autoSpaceDE w:val="0"/>
        <w:autoSpaceDN w:val="0"/>
        <w:adjustRightInd w:val="0"/>
        <w:spacing w:before="0" w:after="120"/>
        <w:rPr>
          <w:sz w:val="20"/>
          <w:szCs w:val="20"/>
          <w:lang w:eastAsia="cs-CZ"/>
        </w:rPr>
      </w:pPr>
      <w:r w:rsidRPr="006566E5">
        <w:rPr>
          <w:b/>
          <w:sz w:val="20"/>
          <w:szCs w:val="20"/>
          <w:lang w:eastAsia="cs-CZ"/>
        </w:rPr>
        <w:t>Pozn.</w:t>
      </w:r>
      <w:r w:rsidR="006566E5">
        <w:rPr>
          <w:b/>
          <w:sz w:val="20"/>
          <w:szCs w:val="20"/>
          <w:lang w:eastAsia="cs-CZ"/>
        </w:rPr>
        <w:t>:</w:t>
      </w:r>
      <w:r>
        <w:rPr>
          <w:sz w:val="20"/>
          <w:szCs w:val="20"/>
          <w:lang w:eastAsia="cs-CZ"/>
        </w:rPr>
        <w:t xml:space="preserve"> Za rok 2020 se jedná o předpokládané údaje</w:t>
      </w:r>
      <w:r w:rsidR="006566E5">
        <w:rPr>
          <w:sz w:val="20"/>
          <w:szCs w:val="20"/>
          <w:lang w:eastAsia="cs-CZ"/>
        </w:rPr>
        <w:t>.</w:t>
      </w:r>
    </w:p>
    <w:p w14:paraId="0070B70F" w14:textId="1BB8B935" w:rsidR="00F600AA" w:rsidRDefault="00F600AA" w:rsidP="00B11EEB">
      <w:pPr>
        <w:keepNext/>
        <w:tabs>
          <w:tab w:val="right" w:pos="9070"/>
        </w:tabs>
        <w:autoSpaceDE w:val="0"/>
        <w:autoSpaceDN w:val="0"/>
        <w:adjustRightInd w:val="0"/>
        <w:spacing w:before="0"/>
        <w:rPr>
          <w:lang w:eastAsia="cs-CZ"/>
        </w:rPr>
      </w:pPr>
      <w:r>
        <w:rPr>
          <w:lang w:eastAsia="cs-CZ"/>
        </w:rPr>
        <w:t>Tabulka</w:t>
      </w:r>
      <w:r w:rsidR="00E72DC9">
        <w:rPr>
          <w:lang w:eastAsia="cs-CZ"/>
        </w:rPr>
        <w:t xml:space="preserve"> </w:t>
      </w:r>
      <w:r>
        <w:rPr>
          <w:lang w:eastAsia="cs-CZ"/>
        </w:rPr>
        <w:t xml:space="preserve">č. </w:t>
      </w:r>
      <w:r w:rsidR="000F6F4C">
        <w:rPr>
          <w:lang w:eastAsia="cs-CZ"/>
        </w:rPr>
        <w:t>3</w:t>
      </w:r>
      <w:r>
        <w:rPr>
          <w:lang w:eastAsia="cs-CZ"/>
        </w:rPr>
        <w:t xml:space="preserve">: </w:t>
      </w:r>
      <w:r w:rsidR="002F33B6">
        <w:rPr>
          <w:lang w:eastAsia="cs-CZ"/>
        </w:rPr>
        <w:tab/>
      </w:r>
      <w:r>
        <w:rPr>
          <w:lang w:eastAsia="cs-CZ"/>
        </w:rPr>
        <w:t>Čerpání prostředků</w:t>
      </w:r>
      <w:r w:rsidR="00E72DC9">
        <w:rPr>
          <w:lang w:eastAsia="cs-CZ"/>
        </w:rPr>
        <w:t xml:space="preserve"> </w:t>
      </w:r>
      <w:r>
        <w:rPr>
          <w:lang w:eastAsia="cs-CZ"/>
        </w:rPr>
        <w:t>dle</w:t>
      </w:r>
      <w:r w:rsidR="00E72DC9">
        <w:rPr>
          <w:lang w:eastAsia="cs-CZ"/>
        </w:rPr>
        <w:t xml:space="preserve"> </w:t>
      </w:r>
      <w:r>
        <w:rPr>
          <w:lang w:eastAsia="cs-CZ"/>
        </w:rPr>
        <w:t>jednotlivých</w:t>
      </w:r>
      <w:r w:rsidR="00E72DC9">
        <w:rPr>
          <w:lang w:eastAsia="cs-CZ"/>
        </w:rPr>
        <w:t xml:space="preserve"> </w:t>
      </w:r>
      <w:r>
        <w:rPr>
          <w:lang w:eastAsia="cs-CZ"/>
        </w:rPr>
        <w:t>rozpočtov</w:t>
      </w:r>
      <w:r w:rsidR="00DE7767">
        <w:rPr>
          <w:lang w:eastAsia="cs-CZ"/>
        </w:rPr>
        <w:t>ých</w:t>
      </w:r>
      <w:r w:rsidR="00E72DC9">
        <w:rPr>
          <w:lang w:eastAsia="cs-CZ"/>
        </w:rPr>
        <w:t xml:space="preserve"> </w:t>
      </w:r>
      <w:r w:rsidR="00DE7767">
        <w:rPr>
          <w:lang w:eastAsia="cs-CZ"/>
        </w:rPr>
        <w:t>okruhů v</w:t>
      </w:r>
      <w:r w:rsidR="00E72DC9">
        <w:rPr>
          <w:lang w:eastAsia="cs-CZ"/>
        </w:rPr>
        <w:t> </w:t>
      </w:r>
      <w:r w:rsidR="00DE7767">
        <w:rPr>
          <w:lang w:eastAsia="cs-CZ"/>
        </w:rPr>
        <w:t>letech 2014</w:t>
      </w:r>
      <w:r w:rsidR="00AC3470">
        <w:rPr>
          <w:lang w:eastAsia="cs-CZ"/>
        </w:rPr>
        <w:t xml:space="preserve"> </w:t>
      </w:r>
      <w:r w:rsidR="00DE7767">
        <w:rPr>
          <w:lang w:eastAsia="cs-CZ"/>
        </w:rPr>
        <w:t>až 2020</w:t>
      </w:r>
      <w:r>
        <w:rPr>
          <w:lang w:eastAsia="cs-CZ"/>
        </w:rPr>
        <w:t xml:space="preserve"> </w:t>
      </w:r>
      <w:r w:rsidR="002F33B6">
        <w:rPr>
          <w:lang w:eastAsia="cs-CZ"/>
        </w:rPr>
        <w:tab/>
        <w:t>(</w:t>
      </w:r>
      <w:r>
        <w:rPr>
          <w:lang w:eastAsia="cs-CZ"/>
        </w:rPr>
        <w:t>v %</w:t>
      </w:r>
      <w:r w:rsidR="002F33B6">
        <w:rPr>
          <w:lang w:eastAsia="cs-CZ"/>
        </w:rPr>
        <w:t>)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702"/>
        <w:gridCol w:w="700"/>
        <w:gridCol w:w="700"/>
        <w:gridCol w:w="700"/>
        <w:gridCol w:w="700"/>
        <w:gridCol w:w="700"/>
        <w:gridCol w:w="718"/>
        <w:gridCol w:w="920"/>
      </w:tblGrid>
      <w:tr w:rsidR="00F600AA" w:rsidRPr="007E76DC" w14:paraId="4C4CC076" w14:textId="77777777" w:rsidTr="00B11EEB">
        <w:trPr>
          <w:trHeight w:val="300"/>
        </w:trPr>
        <w:tc>
          <w:tcPr>
            <w:tcW w:w="1821" w:type="pct"/>
            <w:shd w:val="clear" w:color="000000" w:fill="E5F1FF"/>
            <w:noWrap/>
            <w:vAlign w:val="bottom"/>
            <w:hideMark/>
          </w:tcPr>
          <w:p w14:paraId="7F2B665B" w14:textId="77777777" w:rsidR="00F600AA" w:rsidRPr="003C34D0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3C34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Rozpočtový okruh</w:t>
            </w:r>
          </w:p>
        </w:tc>
        <w:tc>
          <w:tcPr>
            <w:tcW w:w="382" w:type="pct"/>
            <w:shd w:val="clear" w:color="000000" w:fill="E5F1FF"/>
            <w:noWrap/>
            <w:vAlign w:val="bottom"/>
            <w:hideMark/>
          </w:tcPr>
          <w:p w14:paraId="3F029BD5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381" w:type="pct"/>
            <w:shd w:val="clear" w:color="000000" w:fill="E5F1FF"/>
            <w:noWrap/>
            <w:vAlign w:val="bottom"/>
            <w:hideMark/>
          </w:tcPr>
          <w:p w14:paraId="6221199C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381" w:type="pct"/>
            <w:shd w:val="clear" w:color="000000" w:fill="E5F1FF"/>
            <w:noWrap/>
            <w:vAlign w:val="bottom"/>
            <w:hideMark/>
          </w:tcPr>
          <w:p w14:paraId="2AE070B5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381" w:type="pct"/>
            <w:shd w:val="clear" w:color="000000" w:fill="E5F1FF"/>
            <w:noWrap/>
            <w:vAlign w:val="bottom"/>
            <w:hideMark/>
          </w:tcPr>
          <w:p w14:paraId="7F508CF7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381" w:type="pct"/>
            <w:shd w:val="clear" w:color="000000" w:fill="E5F1FF"/>
            <w:noWrap/>
            <w:vAlign w:val="bottom"/>
            <w:hideMark/>
          </w:tcPr>
          <w:p w14:paraId="503CEF4B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381" w:type="pct"/>
            <w:shd w:val="clear" w:color="000000" w:fill="E5F1FF"/>
            <w:noWrap/>
            <w:vAlign w:val="bottom"/>
            <w:hideMark/>
          </w:tcPr>
          <w:p w14:paraId="4CB4EAFC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391" w:type="pct"/>
            <w:shd w:val="clear" w:color="000000" w:fill="E5F1FF"/>
            <w:noWrap/>
            <w:vAlign w:val="bottom"/>
            <w:hideMark/>
          </w:tcPr>
          <w:p w14:paraId="53A79E1C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502" w:type="pct"/>
            <w:shd w:val="clear" w:color="000000" w:fill="E5F1FF"/>
            <w:noWrap/>
            <w:vAlign w:val="bottom"/>
            <w:hideMark/>
          </w:tcPr>
          <w:p w14:paraId="60698CD5" w14:textId="77777777" w:rsidR="00F600AA" w:rsidRPr="00E421F7" w:rsidRDefault="00F600AA" w:rsidP="00F423A7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E421F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Průměr</w:t>
            </w:r>
          </w:p>
        </w:tc>
      </w:tr>
      <w:tr w:rsidR="00F600AA" w:rsidRPr="007E76DC" w14:paraId="6912D7A3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center"/>
            <w:hideMark/>
          </w:tcPr>
          <w:p w14:paraId="37805D16" w14:textId="18A5D7EF" w:rsidR="00F600AA" w:rsidRPr="00B11EEB" w:rsidRDefault="00F600AA" w:rsidP="003C34D0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 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Institucionální financování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527FF64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81,0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1216C64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82,3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0EC0464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81,8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015551D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82,4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4131472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82,0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1A825BF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83,7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160DC5C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83,5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296A2B7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82,4</w:t>
            </w:r>
          </w:p>
        </w:tc>
      </w:tr>
      <w:tr w:rsidR="00F600AA" w:rsidRPr="007E76DC" w14:paraId="23C57798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12E76CC6" w14:textId="77777777" w:rsidR="00F600AA" w:rsidRPr="00B11EEB" w:rsidRDefault="00F600AA" w:rsidP="00F423A7">
            <w:pPr>
              <w:keepNext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  </w:t>
            </w: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z toho</w:t>
            </w: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fixní část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5344924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77,5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08AC063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76,0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4A77E2D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76,0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74474BE4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90,0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E37639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82,8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DF451C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80,3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0F2028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80,1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5F56E614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80,4</w:t>
            </w:r>
          </w:p>
        </w:tc>
      </w:tr>
      <w:tr w:rsidR="00F600AA" w:rsidRPr="007E76DC" w14:paraId="0CFEE801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6989B77E" w14:textId="77777777" w:rsidR="00F600AA" w:rsidRPr="00B11EEB" w:rsidRDefault="00F600AA" w:rsidP="00F423A7">
            <w:pPr>
              <w:keepNext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  </w:t>
            </w: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z toho</w:t>
            </w: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výkonová část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63513C3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22,5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3E808D0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24,0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4AE5CF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24,0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103073E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10,0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2DDA288D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17,2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25526A5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16,6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65C63929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16,6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008BC48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18,7</w:t>
            </w:r>
          </w:p>
        </w:tc>
      </w:tr>
      <w:tr w:rsidR="00F600AA" w:rsidRPr="007E76DC" w14:paraId="329C52B6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2A171EFF" w14:textId="77777777" w:rsidR="00F600AA" w:rsidRPr="00B11EEB" w:rsidRDefault="00F600AA" w:rsidP="00F423A7">
            <w:pPr>
              <w:keepNext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  </w:t>
            </w: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z toho</w:t>
            </w: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 xml:space="preserve"> část společenské poptávky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540CD73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0BA85DFD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52A7359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897FF4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A2896B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229C69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3,0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7B5455B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  <w:t>3,4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0032A97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i/>
                <w:sz w:val="18"/>
                <w:szCs w:val="18"/>
                <w:lang w:eastAsia="cs-CZ"/>
              </w:rPr>
              <w:t>0,9</w:t>
            </w:r>
          </w:p>
        </w:tc>
      </w:tr>
      <w:tr w:rsidR="00F600AA" w:rsidRPr="007E76DC" w14:paraId="26C441AB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321DDC19" w14:textId="2D59AFB6" w:rsidR="00F600AA" w:rsidRPr="00B11EEB" w:rsidRDefault="00F600AA" w:rsidP="003C34D0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II </w:t>
            </w:r>
            <w:r w:rsidR="00E421F7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Podpora studentů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3E9173FD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10,8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D1B80A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322AAE1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9,9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7402667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9,1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1B2185DA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7018ACA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7DA53053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9,2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453BEB72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9,7</w:t>
            </w:r>
          </w:p>
        </w:tc>
      </w:tr>
      <w:tr w:rsidR="00F600AA" w:rsidRPr="007E76DC" w14:paraId="4D54AD77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5217FB03" w14:textId="64B6A252" w:rsidR="00F600AA" w:rsidRPr="00B11EEB" w:rsidRDefault="00F600AA" w:rsidP="003C34D0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III </w:t>
            </w:r>
            <w:r w:rsidR="003C34D0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Rozvoj VVŠ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7D057D4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6A3E8CE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92702C5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18A23AE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5,7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22BA62A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3672CA8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5,1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0829054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4,8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28BBF28C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5,5</w:t>
            </w:r>
          </w:p>
        </w:tc>
      </w:tr>
      <w:tr w:rsidR="00F600AA" w:rsidRPr="007E76DC" w14:paraId="7C9253B6" w14:textId="77777777" w:rsidTr="00B11EEB">
        <w:trPr>
          <w:trHeight w:val="300"/>
        </w:trPr>
        <w:tc>
          <w:tcPr>
            <w:tcW w:w="1821" w:type="pct"/>
            <w:shd w:val="clear" w:color="auto" w:fill="auto"/>
            <w:noWrap/>
            <w:vAlign w:val="bottom"/>
            <w:hideMark/>
          </w:tcPr>
          <w:p w14:paraId="448F8872" w14:textId="4D7E0F63" w:rsidR="00F600AA" w:rsidRPr="00B11EEB" w:rsidRDefault="00F600AA" w:rsidP="003C34D0">
            <w:pPr>
              <w:keepNext/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RO IV </w:t>
            </w:r>
            <w:r w:rsidR="003C34D0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 xml:space="preserve"> Mezinárodní spolupráce a ostatní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14:paraId="51724B9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28C9BE7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5E9C84F7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2,3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35A5D83D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2,7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36657434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3,2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6D27B2C6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14:paraId="2702458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2,6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1D3104D0" w14:textId="77777777" w:rsidR="00F600AA" w:rsidRPr="00B11EEB" w:rsidRDefault="00F600AA" w:rsidP="00F423A7">
            <w:pPr>
              <w:keepNext/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11EEB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2,5</w:t>
            </w:r>
          </w:p>
        </w:tc>
      </w:tr>
    </w:tbl>
    <w:p w14:paraId="14A25725" w14:textId="78211C82" w:rsidR="00F600AA" w:rsidRDefault="00F600AA" w:rsidP="00F600AA">
      <w:pPr>
        <w:keepNext/>
        <w:autoSpaceDE w:val="0"/>
        <w:autoSpaceDN w:val="0"/>
        <w:adjustRightInd w:val="0"/>
        <w:spacing w:before="0"/>
        <w:rPr>
          <w:sz w:val="20"/>
          <w:szCs w:val="20"/>
          <w:lang w:eastAsia="cs-CZ"/>
        </w:rPr>
      </w:pPr>
      <w:r w:rsidRPr="00D247FB">
        <w:rPr>
          <w:b/>
          <w:sz w:val="20"/>
          <w:szCs w:val="20"/>
          <w:lang w:eastAsia="cs-CZ"/>
        </w:rPr>
        <w:t>Zdroj:</w:t>
      </w:r>
      <w:r w:rsidRPr="00CC3412">
        <w:rPr>
          <w:sz w:val="20"/>
          <w:szCs w:val="20"/>
          <w:lang w:eastAsia="cs-CZ"/>
        </w:rPr>
        <w:t xml:space="preserve"> </w:t>
      </w:r>
      <w:r w:rsidR="002F33B6">
        <w:rPr>
          <w:sz w:val="20"/>
          <w:szCs w:val="20"/>
          <w:lang w:eastAsia="cs-CZ"/>
        </w:rPr>
        <w:t>i</w:t>
      </w:r>
      <w:r>
        <w:rPr>
          <w:sz w:val="20"/>
          <w:szCs w:val="20"/>
          <w:lang w:eastAsia="cs-CZ"/>
        </w:rPr>
        <w:t xml:space="preserve">nformace </w:t>
      </w:r>
      <w:r w:rsidRPr="00CC3412">
        <w:rPr>
          <w:sz w:val="20"/>
          <w:szCs w:val="20"/>
          <w:lang w:eastAsia="cs-CZ"/>
        </w:rPr>
        <w:t>MŠMT</w:t>
      </w:r>
      <w:r w:rsidR="00D247FB">
        <w:rPr>
          <w:sz w:val="20"/>
          <w:szCs w:val="20"/>
          <w:lang w:eastAsia="cs-CZ"/>
        </w:rPr>
        <w:t>.</w:t>
      </w:r>
    </w:p>
    <w:p w14:paraId="32F5DAD1" w14:textId="126958F6" w:rsidR="00F600AA" w:rsidRDefault="00F600AA" w:rsidP="00F600AA">
      <w:pPr>
        <w:autoSpaceDE w:val="0"/>
        <w:autoSpaceDN w:val="0"/>
        <w:adjustRightInd w:val="0"/>
        <w:spacing w:before="0" w:after="120"/>
        <w:rPr>
          <w:sz w:val="20"/>
          <w:szCs w:val="20"/>
          <w:lang w:eastAsia="cs-CZ"/>
        </w:rPr>
      </w:pPr>
      <w:r w:rsidRPr="00D247FB">
        <w:rPr>
          <w:b/>
          <w:sz w:val="20"/>
          <w:szCs w:val="20"/>
          <w:lang w:eastAsia="cs-CZ"/>
        </w:rPr>
        <w:t>Pozn.</w:t>
      </w:r>
      <w:r w:rsidR="00D247FB">
        <w:rPr>
          <w:sz w:val="20"/>
          <w:szCs w:val="20"/>
          <w:lang w:eastAsia="cs-CZ"/>
        </w:rPr>
        <w:t xml:space="preserve">: </w:t>
      </w:r>
      <w:r>
        <w:rPr>
          <w:sz w:val="20"/>
          <w:szCs w:val="20"/>
          <w:lang w:eastAsia="cs-CZ"/>
        </w:rPr>
        <w:t>Za rok 2020 se jedná o předpokládané údaje</w:t>
      </w:r>
      <w:r w:rsidR="00D247FB">
        <w:rPr>
          <w:sz w:val="20"/>
          <w:szCs w:val="20"/>
          <w:lang w:eastAsia="cs-CZ"/>
        </w:rPr>
        <w:t>.</w:t>
      </w:r>
    </w:p>
    <w:p w14:paraId="1CD85C7E" w14:textId="5939932C" w:rsidR="00F600AA" w:rsidRDefault="00F600AA" w:rsidP="00F600AA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Rostoucí podíl na čerpaných prostředcích ve sledovaném období vykázal největší rozpočtový okruh I, který v roce 2014 činil 81,0 % a v roce 20</w:t>
      </w:r>
      <w:r w:rsidR="00DE7767">
        <w:rPr>
          <w:lang w:eastAsia="cs-CZ"/>
        </w:rPr>
        <w:t>20</w:t>
      </w:r>
      <w:r>
        <w:rPr>
          <w:lang w:eastAsia="cs-CZ"/>
        </w:rPr>
        <w:t xml:space="preserve"> čini</w:t>
      </w:r>
      <w:r w:rsidR="00D247FB">
        <w:rPr>
          <w:lang w:eastAsia="cs-CZ"/>
        </w:rPr>
        <w:t>l 83,5 %. Klesal naopak podíl u </w:t>
      </w:r>
      <w:r>
        <w:rPr>
          <w:lang w:eastAsia="cs-CZ"/>
        </w:rPr>
        <w:t xml:space="preserve">rozpočtového okruhu II, a to z 10,8 % v roce 2014 na 9,2 % v roce 2020. Stejně tak klesal podíl u rozpočtového okruhu III, a to z 6 % v roce 2014 na 4,8 % v roce 2020. Podíl rozpočtového okruhu IV osciloval kolem průměru ve výši 2,5 %. </w:t>
      </w:r>
    </w:p>
    <w:p w14:paraId="33611C13" w14:textId="294F955F" w:rsidR="00F600AA" w:rsidRPr="00CC3412" w:rsidRDefault="00F600AA" w:rsidP="00F600AA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 xml:space="preserve">V rámci rozpočtového okruhu I je zřejmý rovněž nárůst fixní části na úkor části výkonové. </w:t>
      </w:r>
      <w:r w:rsidR="00D247FB">
        <w:rPr>
          <w:lang w:eastAsia="cs-CZ"/>
        </w:rPr>
        <w:t>V </w:t>
      </w:r>
      <w:r w:rsidRPr="00CC3412">
        <w:rPr>
          <w:lang w:eastAsia="cs-CZ"/>
        </w:rPr>
        <w:t>roce 2014 připadalo na výkonovou složku 22,5</w:t>
      </w:r>
      <w:r>
        <w:rPr>
          <w:lang w:eastAsia="cs-CZ"/>
        </w:rPr>
        <w:t xml:space="preserve"> </w:t>
      </w:r>
      <w:r w:rsidRPr="00CC3412">
        <w:rPr>
          <w:lang w:eastAsia="cs-CZ"/>
        </w:rPr>
        <w:t xml:space="preserve">% z částky </w:t>
      </w:r>
      <w:r w:rsidR="00D247FB">
        <w:rPr>
          <w:lang w:eastAsia="cs-CZ"/>
        </w:rPr>
        <w:t>určené na rozpočtový okruh I, v </w:t>
      </w:r>
      <w:r w:rsidRPr="00CC3412">
        <w:rPr>
          <w:lang w:eastAsia="cs-CZ"/>
        </w:rPr>
        <w:t>roce 2015 a 2016 dokonce 24</w:t>
      </w:r>
      <w:r>
        <w:rPr>
          <w:lang w:eastAsia="cs-CZ"/>
        </w:rPr>
        <w:t xml:space="preserve"> </w:t>
      </w:r>
      <w:r w:rsidRPr="00CC3412">
        <w:rPr>
          <w:lang w:eastAsia="cs-CZ"/>
        </w:rPr>
        <w:t>%, potom v roce 2017 nastal znatelný propad na 10</w:t>
      </w:r>
      <w:r>
        <w:rPr>
          <w:lang w:eastAsia="cs-CZ"/>
        </w:rPr>
        <w:t xml:space="preserve"> </w:t>
      </w:r>
      <w:r w:rsidRPr="00CC3412">
        <w:rPr>
          <w:lang w:eastAsia="cs-CZ"/>
        </w:rPr>
        <w:t>% a v letech 2018 až 2020 činil podíl výkonové složky 17,15</w:t>
      </w:r>
      <w:r>
        <w:rPr>
          <w:lang w:eastAsia="cs-CZ"/>
        </w:rPr>
        <w:t xml:space="preserve"> </w:t>
      </w:r>
      <w:r w:rsidRPr="00CC3412">
        <w:rPr>
          <w:lang w:eastAsia="cs-CZ"/>
        </w:rPr>
        <w:t xml:space="preserve">%. Podíl výkonové části </w:t>
      </w:r>
      <w:r w:rsidR="00CC3F0E">
        <w:rPr>
          <w:lang w:eastAsia="cs-CZ"/>
        </w:rPr>
        <w:t>byl</w:t>
      </w:r>
      <w:r w:rsidRPr="00CC3412">
        <w:rPr>
          <w:lang w:eastAsia="cs-CZ"/>
        </w:rPr>
        <w:t xml:space="preserve"> tak v letech 2017 až 2020 </w:t>
      </w:r>
      <w:r>
        <w:rPr>
          <w:lang w:eastAsia="cs-CZ"/>
        </w:rPr>
        <w:t xml:space="preserve">znatelně nižší </w:t>
      </w:r>
      <w:r w:rsidRPr="00CC3412">
        <w:rPr>
          <w:lang w:eastAsia="cs-CZ"/>
        </w:rPr>
        <w:t xml:space="preserve">než v letech 2014 až 2016. </w:t>
      </w:r>
    </w:p>
    <w:p w14:paraId="2F7ED7A0" w14:textId="4F2E3795" w:rsidR="00F600AA" w:rsidRDefault="00F600AA" w:rsidP="00F600AA">
      <w:pPr>
        <w:autoSpaceDE w:val="0"/>
        <w:autoSpaceDN w:val="0"/>
        <w:adjustRightInd w:val="0"/>
        <w:spacing w:before="0" w:after="120"/>
        <w:rPr>
          <w:lang w:eastAsia="cs-CZ"/>
        </w:rPr>
      </w:pPr>
      <w:r w:rsidRPr="00CC3412">
        <w:rPr>
          <w:lang w:eastAsia="cs-CZ"/>
        </w:rPr>
        <w:t xml:space="preserve">Ve finančním vyjádření stále </w:t>
      </w:r>
      <w:r w:rsidRPr="00870A3C">
        <w:rPr>
          <w:lang w:eastAsia="cs-CZ"/>
        </w:rPr>
        <w:t>ještě nedosah</w:t>
      </w:r>
      <w:r>
        <w:rPr>
          <w:lang w:eastAsia="cs-CZ"/>
        </w:rPr>
        <w:t>ovala</w:t>
      </w:r>
      <w:r w:rsidRPr="00870A3C">
        <w:rPr>
          <w:lang w:eastAsia="cs-CZ"/>
        </w:rPr>
        <w:t xml:space="preserve"> částka určená na výkonovou část v roce 2020 výše z let 2014, 2015 ani 2016</w:t>
      </w:r>
      <w:r w:rsidR="00CC3F0E">
        <w:rPr>
          <w:lang w:eastAsia="cs-CZ"/>
        </w:rPr>
        <w:t>,</w:t>
      </w:r>
      <w:r w:rsidRPr="00870A3C">
        <w:rPr>
          <w:lang w:eastAsia="cs-CZ"/>
        </w:rPr>
        <w:t xml:space="preserve"> a to i přesto, že celkový objem finančních prostředků </w:t>
      </w:r>
      <w:r w:rsidR="00103D8C">
        <w:rPr>
          <w:lang w:eastAsia="cs-CZ"/>
        </w:rPr>
        <w:br/>
      </w:r>
      <w:r w:rsidRPr="00870A3C">
        <w:rPr>
          <w:lang w:eastAsia="cs-CZ"/>
        </w:rPr>
        <w:t xml:space="preserve">na rozpočtový okruh I se značně zvýšil. Oproti roku 2014 byly prostředky určené na fixní </w:t>
      </w:r>
      <w:r w:rsidR="00103D8C">
        <w:rPr>
          <w:lang w:eastAsia="cs-CZ"/>
        </w:rPr>
        <w:br/>
      </w:r>
      <w:r w:rsidRPr="00870A3C">
        <w:rPr>
          <w:lang w:eastAsia="cs-CZ"/>
        </w:rPr>
        <w:t>část v roce 2020 vyšší přibližně o 4,7 mld. Kč. Téměř celé navýšení rozpočtu rozpočtového okruhu</w:t>
      </w:r>
      <w:r w:rsidR="003C0959">
        <w:rPr>
          <w:lang w:eastAsia="cs-CZ"/>
        </w:rPr>
        <w:t xml:space="preserve"> </w:t>
      </w:r>
      <w:r w:rsidRPr="00870A3C">
        <w:rPr>
          <w:lang w:eastAsia="cs-CZ"/>
        </w:rPr>
        <w:t xml:space="preserve">I v letech 2017 až 2020 (bez započítání nově </w:t>
      </w:r>
      <w:r>
        <w:rPr>
          <w:lang w:eastAsia="cs-CZ"/>
        </w:rPr>
        <w:t>vzniklé části společenské poptávky) tak MŠMT použilo</w:t>
      </w:r>
      <w:r w:rsidRPr="00CC3412">
        <w:rPr>
          <w:lang w:eastAsia="cs-CZ"/>
        </w:rPr>
        <w:t xml:space="preserve"> na </w:t>
      </w:r>
      <w:r>
        <w:rPr>
          <w:lang w:eastAsia="cs-CZ"/>
        </w:rPr>
        <w:t xml:space="preserve">navýšení prostředků ve </w:t>
      </w:r>
      <w:r w:rsidRPr="00CC3412">
        <w:rPr>
          <w:lang w:eastAsia="cs-CZ"/>
        </w:rPr>
        <w:t>fixní část</w:t>
      </w:r>
      <w:r>
        <w:rPr>
          <w:lang w:eastAsia="cs-CZ"/>
        </w:rPr>
        <w:t>i, která vychází zejména z počtu studentů.</w:t>
      </w:r>
      <w:r w:rsidR="00956AF3">
        <w:rPr>
          <w:lang w:eastAsia="cs-CZ"/>
        </w:rPr>
        <w:t xml:space="preserve"> </w:t>
      </w:r>
      <w:r w:rsidR="00956AF3" w:rsidRPr="004E6667">
        <w:rPr>
          <w:rFonts w:eastAsiaTheme="minorHAnsi" w:cstheme="minorHAnsi"/>
        </w:rPr>
        <w:lastRenderedPageBreak/>
        <w:t xml:space="preserve">Počet studentů na VVŠ přitom </w:t>
      </w:r>
      <w:r w:rsidR="00956AF3">
        <w:rPr>
          <w:rFonts w:eastAsiaTheme="minorHAnsi" w:cstheme="minorHAnsi"/>
        </w:rPr>
        <w:t xml:space="preserve">kvůli demografickému vývoji </w:t>
      </w:r>
      <w:r w:rsidR="00956AF3" w:rsidRPr="004E6667">
        <w:rPr>
          <w:rFonts w:eastAsiaTheme="minorHAnsi" w:cstheme="minorHAnsi"/>
        </w:rPr>
        <w:t>dlouhodobě vykazuje sestupný trend, když v letech 2014 až 2019 klesl z počtu 308 219 na 261 269, tj. o přibližně 15 %.</w:t>
      </w:r>
    </w:p>
    <w:p w14:paraId="25C069FB" w14:textId="083E62BF" w:rsidR="00F600AA" w:rsidRPr="00F600AA" w:rsidRDefault="00F600AA" w:rsidP="00F600AA">
      <w:pPr>
        <w:spacing w:before="0" w:after="120"/>
        <w:rPr>
          <w:rFonts w:eastAsiaTheme="minorHAnsi" w:cstheme="minorHAnsi"/>
        </w:rPr>
      </w:pPr>
      <w:r w:rsidRPr="00F32FE0">
        <w:rPr>
          <w:rFonts w:eastAsiaTheme="minorHAnsi" w:cstheme="minorHAnsi"/>
        </w:rPr>
        <w:t xml:space="preserve">Podíl prostředků </w:t>
      </w:r>
      <w:r w:rsidR="00956AF3">
        <w:rPr>
          <w:rFonts w:eastAsiaTheme="minorHAnsi" w:cstheme="minorHAnsi"/>
        </w:rPr>
        <w:t>roz</w:t>
      </w:r>
      <w:r w:rsidRPr="00F32FE0">
        <w:rPr>
          <w:rFonts w:eastAsiaTheme="minorHAnsi" w:cstheme="minorHAnsi"/>
        </w:rPr>
        <w:t xml:space="preserve">dělovaných na základě výsledků a výkonu </w:t>
      </w:r>
      <w:r w:rsidR="00004C13" w:rsidRPr="00F32FE0">
        <w:rPr>
          <w:rFonts w:eastAsiaTheme="minorHAnsi" w:cstheme="minorHAnsi"/>
        </w:rPr>
        <w:t xml:space="preserve">byl </w:t>
      </w:r>
      <w:r w:rsidRPr="00F32FE0">
        <w:rPr>
          <w:rFonts w:eastAsiaTheme="minorHAnsi" w:cstheme="minorHAnsi"/>
        </w:rPr>
        <w:t>v letech 2017 až 2020 nižší</w:t>
      </w:r>
      <w:r w:rsidR="00FA2DBE">
        <w:rPr>
          <w:rFonts w:eastAsiaTheme="minorHAnsi" w:cstheme="minorHAnsi"/>
        </w:rPr>
        <w:t xml:space="preserve"> než v letech 2014 až 2016. I z finančního</w:t>
      </w:r>
      <w:r w:rsidRPr="00F32FE0">
        <w:rPr>
          <w:rFonts w:eastAsiaTheme="minorHAnsi" w:cstheme="minorHAnsi"/>
        </w:rPr>
        <w:t xml:space="preserve"> vyjádření je zřejmé, že MŠMT navyšovalo především prostředky vyplácené na základě počtu studentů</w:t>
      </w:r>
      <w:r w:rsidR="00004C13">
        <w:rPr>
          <w:rFonts w:eastAsiaTheme="minorHAnsi" w:cstheme="minorHAnsi"/>
        </w:rPr>
        <w:t>,</w:t>
      </w:r>
      <w:r w:rsidRPr="00F32FE0">
        <w:rPr>
          <w:rFonts w:eastAsiaTheme="minorHAnsi" w:cstheme="minorHAnsi"/>
        </w:rPr>
        <w:t xml:space="preserve"> nikoli</w:t>
      </w:r>
      <w:r w:rsidR="0015791B">
        <w:rPr>
          <w:rFonts w:eastAsiaTheme="minorHAnsi" w:cstheme="minorHAnsi"/>
        </w:rPr>
        <w:t xml:space="preserve"> na základě ukazatelů výkonu </w:t>
      </w:r>
      <w:r w:rsidR="0015791B" w:rsidRPr="0015791B">
        <w:rPr>
          <w:rFonts w:eastAsiaTheme="minorHAnsi"/>
        </w:rPr>
        <w:t>a</w:t>
      </w:r>
      <w:r w:rsidR="00103D8C">
        <w:rPr>
          <w:rFonts w:eastAsiaTheme="minorHAnsi"/>
        </w:rPr>
        <w:t xml:space="preserve"> </w:t>
      </w:r>
      <w:r w:rsidRPr="0015791B">
        <w:rPr>
          <w:rFonts w:eastAsiaTheme="minorHAnsi"/>
        </w:rPr>
        <w:t>kvality</w:t>
      </w:r>
      <w:r w:rsidRPr="00F32FE0">
        <w:rPr>
          <w:rFonts w:eastAsiaTheme="minorHAnsi" w:cstheme="minorHAnsi"/>
        </w:rPr>
        <w:t>.</w:t>
      </w:r>
      <w:r>
        <w:rPr>
          <w:rFonts w:eastAsiaTheme="minorHAnsi" w:cstheme="minorHAnsi"/>
        </w:rPr>
        <w:t xml:space="preserve"> </w:t>
      </w:r>
      <w:r w:rsidRPr="004E6667">
        <w:rPr>
          <w:rFonts w:eastAsiaTheme="minorHAnsi" w:cstheme="minorHAnsi"/>
        </w:rPr>
        <w:t xml:space="preserve">Význam a váha ukazatelů výkonu a kvality, na základě kterých MŠMT rozdělovalo podporu jednotlivým VVŠ, se tak v tomto období snižovaly </w:t>
      </w:r>
      <w:r w:rsidR="00011741">
        <w:rPr>
          <w:rFonts w:eastAsiaTheme="minorHAnsi" w:cstheme="minorHAnsi"/>
        </w:rPr>
        <w:t>ve prospěch</w:t>
      </w:r>
      <w:r w:rsidRPr="004E6667">
        <w:rPr>
          <w:rFonts w:eastAsiaTheme="minorHAnsi" w:cstheme="minorHAnsi"/>
        </w:rPr>
        <w:t xml:space="preserve"> ukazatele počtu studentů. Stejně tak se snižovaly podíly prostředků poskytnutých v rámci rozpočtových okruhů II a III, které byly určeny na sociální záležitosti studentů a rozvoj vysokých škol. Způsob rozdělení poskytované podpory tak neodpovíd</w:t>
      </w:r>
      <w:r>
        <w:rPr>
          <w:rFonts w:eastAsiaTheme="minorHAnsi" w:cstheme="minorHAnsi"/>
        </w:rPr>
        <w:t>al stanoveným potřebám a cílům.</w:t>
      </w:r>
    </w:p>
    <w:p w14:paraId="0299A916" w14:textId="6F18830C" w:rsidR="00561022" w:rsidRDefault="00F600AA" w:rsidP="00CD2B54">
      <w:pPr>
        <w:spacing w:before="0" w:after="120"/>
        <w:rPr>
          <w:rFonts w:eastAsia="Calibri"/>
          <w:b/>
          <w:color w:val="auto"/>
          <w:lang w:eastAsia="cs-CZ"/>
        </w:rPr>
      </w:pPr>
      <w:r>
        <w:rPr>
          <w:rFonts w:eastAsia="Calibri"/>
          <w:b/>
          <w:color w:val="auto"/>
          <w:lang w:eastAsia="cs-CZ"/>
        </w:rPr>
        <w:t>2</w:t>
      </w:r>
      <w:r w:rsidR="00561022" w:rsidRPr="00561022">
        <w:rPr>
          <w:rFonts w:eastAsia="Calibri"/>
          <w:b/>
          <w:color w:val="auto"/>
          <w:lang w:eastAsia="cs-CZ"/>
        </w:rPr>
        <w:t xml:space="preserve">. </w:t>
      </w:r>
      <w:r w:rsidR="00CD2B54" w:rsidRPr="00870E7A">
        <w:rPr>
          <w:rFonts w:eastAsia="Calibri"/>
          <w:b/>
          <w:color w:val="auto"/>
          <w:lang w:eastAsia="cs-CZ"/>
        </w:rPr>
        <w:t>V ČR je dlouhodobě nízký podíl dosaženého bakalářského vzdělání</w:t>
      </w:r>
      <w:r w:rsidR="00CD2B54">
        <w:rPr>
          <w:rFonts w:eastAsia="Calibri"/>
          <w:b/>
          <w:color w:val="auto"/>
          <w:lang w:eastAsia="cs-CZ"/>
        </w:rPr>
        <w:t xml:space="preserve">, to navíc </w:t>
      </w:r>
      <w:r w:rsidR="008D2A7F">
        <w:rPr>
          <w:rFonts w:eastAsia="Calibri"/>
          <w:b/>
          <w:color w:val="auto"/>
          <w:lang w:eastAsia="cs-CZ"/>
        </w:rPr>
        <w:t>není téměř</w:t>
      </w:r>
      <w:r w:rsidR="002F129A">
        <w:rPr>
          <w:rFonts w:eastAsia="Calibri"/>
          <w:b/>
          <w:color w:val="auto"/>
          <w:lang w:eastAsia="cs-CZ"/>
        </w:rPr>
        <w:t xml:space="preserve"> vůbec</w:t>
      </w:r>
      <w:r w:rsidR="008D2A7F">
        <w:rPr>
          <w:rFonts w:eastAsia="Calibri"/>
          <w:b/>
          <w:color w:val="auto"/>
          <w:lang w:eastAsia="cs-CZ"/>
        </w:rPr>
        <w:t xml:space="preserve"> </w:t>
      </w:r>
      <w:r w:rsidR="00CD2B54">
        <w:rPr>
          <w:rFonts w:eastAsia="Calibri"/>
          <w:b/>
          <w:color w:val="auto"/>
          <w:lang w:eastAsia="cs-CZ"/>
        </w:rPr>
        <w:t>profesně orientov</w:t>
      </w:r>
      <w:r w:rsidR="00011741">
        <w:rPr>
          <w:rFonts w:eastAsia="Calibri"/>
          <w:b/>
          <w:color w:val="auto"/>
          <w:lang w:eastAsia="cs-CZ"/>
        </w:rPr>
        <w:t>áno</w:t>
      </w:r>
    </w:p>
    <w:p w14:paraId="617022D6" w14:textId="1A684E36" w:rsidR="00561022" w:rsidRDefault="000F6F4C" w:rsidP="00561022">
      <w:pPr>
        <w:spacing w:before="0" w:after="120"/>
      </w:pPr>
      <w:r>
        <w:rPr>
          <w:lang w:eastAsia="cs-CZ"/>
        </w:rPr>
        <w:t xml:space="preserve">V rámci </w:t>
      </w:r>
      <w:r w:rsidR="00011741">
        <w:rPr>
          <w:lang w:eastAsia="cs-CZ"/>
        </w:rPr>
        <w:t>s</w:t>
      </w:r>
      <w:r>
        <w:rPr>
          <w:lang w:eastAsia="cs-CZ"/>
        </w:rPr>
        <w:t xml:space="preserve">trategie </w:t>
      </w:r>
      <w:r w:rsidRPr="00B11EEB">
        <w:rPr>
          <w:i/>
          <w:lang w:eastAsia="cs-CZ"/>
        </w:rPr>
        <w:t>Evropa 2020</w:t>
      </w:r>
      <w:r>
        <w:rPr>
          <w:lang w:eastAsia="cs-CZ"/>
        </w:rPr>
        <w:t xml:space="preserve"> byl stanoven cíl </w:t>
      </w:r>
      <w:r w:rsidRPr="00F707BD">
        <w:rPr>
          <w:lang w:eastAsia="cs-CZ"/>
        </w:rPr>
        <w:t xml:space="preserve">navýšit podíl osob </w:t>
      </w:r>
      <w:r>
        <w:rPr>
          <w:lang w:eastAsia="cs-CZ"/>
        </w:rPr>
        <w:t>s dosaženým terciárním</w:t>
      </w:r>
      <w:r w:rsidRPr="00F707BD">
        <w:rPr>
          <w:lang w:eastAsia="cs-CZ"/>
        </w:rPr>
        <w:t xml:space="preserve"> vzdělání</w:t>
      </w:r>
      <w:r>
        <w:t>m</w:t>
      </w:r>
      <w:r>
        <w:rPr>
          <w:lang w:eastAsia="cs-CZ"/>
        </w:rPr>
        <w:t xml:space="preserve">. </w:t>
      </w:r>
      <w:r w:rsidR="00561022">
        <w:rPr>
          <w:color w:val="auto"/>
        </w:rPr>
        <w:t xml:space="preserve">Vývoj </w:t>
      </w:r>
      <w:r>
        <w:rPr>
          <w:color w:val="auto"/>
        </w:rPr>
        <w:t>v této oblasti</w:t>
      </w:r>
      <w:r w:rsidR="00561022">
        <w:t xml:space="preserve"> zobrazuje následující tabulka.</w:t>
      </w:r>
    </w:p>
    <w:p w14:paraId="3BFBEC28" w14:textId="084B10D6" w:rsidR="00561022" w:rsidRDefault="00561022" w:rsidP="002F33B6">
      <w:pPr>
        <w:keepNext/>
        <w:tabs>
          <w:tab w:val="right" w:pos="9070"/>
        </w:tabs>
        <w:spacing w:before="0"/>
      </w:pPr>
      <w:r w:rsidRPr="00EA2806">
        <w:t xml:space="preserve">Tabulka č. </w:t>
      </w:r>
      <w:r w:rsidR="000F6F4C">
        <w:t>4</w:t>
      </w:r>
      <w:r>
        <w:t>:</w:t>
      </w:r>
      <w:r w:rsidRPr="00EA2806">
        <w:t xml:space="preserve"> Dosažené terciární vzdělání v </w:t>
      </w:r>
      <w:r>
        <w:t>rámci populace ve věku 30</w:t>
      </w:r>
      <w:r w:rsidR="00011741">
        <w:t>–</w:t>
      </w:r>
      <w:r>
        <w:t xml:space="preserve">34 let </w:t>
      </w:r>
      <w:r w:rsidR="002F33B6">
        <w:tab/>
        <w:t>(</w:t>
      </w:r>
      <w:r w:rsidRPr="00EA2806">
        <w:t>v %</w:t>
      </w:r>
      <w:r w:rsidR="002F33B6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919"/>
        <w:gridCol w:w="863"/>
        <w:gridCol w:w="863"/>
        <w:gridCol w:w="863"/>
        <w:gridCol w:w="863"/>
        <w:gridCol w:w="863"/>
        <w:gridCol w:w="863"/>
        <w:gridCol w:w="863"/>
      </w:tblGrid>
      <w:tr w:rsidR="00561022" w:rsidRPr="00561022" w14:paraId="3CFD87E9" w14:textId="77777777" w:rsidTr="00561022">
        <w:trPr>
          <w:trHeight w:val="392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1D8712C0" w14:textId="77777777" w:rsidR="00561022" w:rsidRPr="00561022" w:rsidRDefault="00561022" w:rsidP="00561022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bottom"/>
          </w:tcPr>
          <w:p w14:paraId="61E6FFC7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bottom"/>
          </w:tcPr>
          <w:p w14:paraId="75EF5FB0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7B36E070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bottom"/>
          </w:tcPr>
          <w:p w14:paraId="034D327C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43967405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7DEDCDC4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26FBC2E7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2370E492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2019</w:t>
            </w:r>
          </w:p>
        </w:tc>
      </w:tr>
      <w:tr w:rsidR="00561022" w:rsidRPr="00561022" w14:paraId="7666B403" w14:textId="77777777" w:rsidTr="00561022">
        <w:trPr>
          <w:trHeight w:val="412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CB6F" w14:textId="77777777" w:rsidR="00561022" w:rsidRPr="00561022" w:rsidRDefault="00561022" w:rsidP="00561022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060B3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25,6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AAB23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26,7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3E12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28,2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E2901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30,1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FDED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 xml:space="preserve">32,8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2F6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34,2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691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24A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35,1</w:t>
            </w:r>
          </w:p>
        </w:tc>
      </w:tr>
      <w:tr w:rsidR="00561022" w:rsidRPr="00561022" w14:paraId="24B3A496" w14:textId="77777777" w:rsidTr="00561022">
        <w:trPr>
          <w:trHeight w:val="418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BCD7" w14:textId="77777777" w:rsidR="00561022" w:rsidRPr="00561022" w:rsidRDefault="00561022" w:rsidP="00561022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Průměr EU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D77B7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35,8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6B219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36,8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446C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37,9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CA6D1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38,7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9FC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39,1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E57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39,9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98A0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40,7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DD81" w14:textId="77777777" w:rsidR="00561022" w:rsidRPr="00561022" w:rsidRDefault="00561022" w:rsidP="00561022">
            <w:pPr>
              <w:keepNext/>
              <w:spacing w:before="0"/>
              <w:jc w:val="center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40,3</w:t>
            </w:r>
          </w:p>
        </w:tc>
      </w:tr>
    </w:tbl>
    <w:p w14:paraId="0A2F8CE4" w14:textId="42D194D8" w:rsidR="00561022" w:rsidRDefault="00561022" w:rsidP="00561022">
      <w:pPr>
        <w:keepNext/>
        <w:spacing w:before="0" w:after="120"/>
        <w:rPr>
          <w:color w:val="auto"/>
        </w:rPr>
      </w:pPr>
      <w:r w:rsidRPr="0015791B">
        <w:rPr>
          <w:b/>
          <w:sz w:val="20"/>
          <w:szCs w:val="20"/>
        </w:rPr>
        <w:t>Zdroj:</w:t>
      </w:r>
      <w:r w:rsidRPr="008C0042">
        <w:rPr>
          <w:sz w:val="20"/>
          <w:szCs w:val="20"/>
        </w:rPr>
        <w:t xml:space="preserve"> Eurostat</w:t>
      </w:r>
      <w:r w:rsidR="00667EB8">
        <w:rPr>
          <w:sz w:val="20"/>
          <w:szCs w:val="20"/>
        </w:rPr>
        <w:t>;</w:t>
      </w:r>
      <w:r w:rsidRPr="008C0042">
        <w:rPr>
          <w:sz w:val="20"/>
          <w:szCs w:val="20"/>
        </w:rPr>
        <w:t xml:space="preserve"> vlastní zpracování</w:t>
      </w:r>
      <w:r w:rsidR="00667EB8">
        <w:rPr>
          <w:sz w:val="20"/>
          <w:szCs w:val="20"/>
        </w:rPr>
        <w:t xml:space="preserve"> NKÚ</w:t>
      </w:r>
      <w:r w:rsidR="0015791B">
        <w:rPr>
          <w:sz w:val="20"/>
          <w:szCs w:val="20"/>
        </w:rPr>
        <w:t>.</w:t>
      </w:r>
    </w:p>
    <w:p w14:paraId="7222CB0C" w14:textId="4CF4FC64" w:rsidR="00561022" w:rsidRDefault="00561022" w:rsidP="00561022">
      <w:pPr>
        <w:spacing w:before="0" w:after="120"/>
        <w:rPr>
          <w:color w:val="auto"/>
        </w:rPr>
      </w:pPr>
      <w:r w:rsidRPr="00561022">
        <w:rPr>
          <w:color w:val="auto"/>
        </w:rPr>
        <w:t xml:space="preserve">Výchozí hodnota </w:t>
      </w:r>
      <w:r w:rsidR="00FB1896">
        <w:rPr>
          <w:color w:val="auto"/>
        </w:rPr>
        <w:t>ČR</w:t>
      </w:r>
      <w:r w:rsidRPr="00561022">
        <w:rPr>
          <w:color w:val="auto"/>
        </w:rPr>
        <w:t xml:space="preserve"> v roce 2012 činila 25,6 % populace ve věku</w:t>
      </w:r>
      <w:r w:rsidR="0015791B">
        <w:rPr>
          <w:color w:val="auto"/>
        </w:rPr>
        <w:t xml:space="preserve"> 30</w:t>
      </w:r>
      <w:r w:rsidR="0015791B">
        <w:rPr>
          <w:lang w:eastAsia="cs-CZ"/>
        </w:rPr>
        <w:t>–</w:t>
      </w:r>
      <w:r w:rsidR="000F6F4C">
        <w:rPr>
          <w:color w:val="auto"/>
        </w:rPr>
        <w:t>34 let s dosaženým terciár</w:t>
      </w:r>
      <w:r w:rsidRPr="00561022">
        <w:rPr>
          <w:color w:val="auto"/>
        </w:rPr>
        <w:t xml:space="preserve">ním vzděláním. Národní cíl stanovený </w:t>
      </w:r>
      <w:r w:rsidR="00E30D95">
        <w:rPr>
          <w:color w:val="auto"/>
        </w:rPr>
        <w:t xml:space="preserve">v roce 2012 </w:t>
      </w:r>
      <w:r w:rsidRPr="00561022">
        <w:rPr>
          <w:color w:val="auto"/>
        </w:rPr>
        <w:t xml:space="preserve">vládou </w:t>
      </w:r>
      <w:r w:rsidR="0076750C">
        <w:rPr>
          <w:color w:val="auto"/>
        </w:rPr>
        <w:t xml:space="preserve">v rámci </w:t>
      </w:r>
      <w:r w:rsidR="00FF580C">
        <w:rPr>
          <w:color w:val="auto"/>
        </w:rPr>
        <w:t>s</w:t>
      </w:r>
      <w:r w:rsidR="0076750C">
        <w:rPr>
          <w:color w:val="auto"/>
        </w:rPr>
        <w:t xml:space="preserve">trategie </w:t>
      </w:r>
      <w:r w:rsidR="0076750C" w:rsidRPr="00B11EEB">
        <w:rPr>
          <w:i/>
          <w:color w:val="auto"/>
        </w:rPr>
        <w:t>Evropa 2020</w:t>
      </w:r>
      <w:r w:rsidR="0076750C">
        <w:rPr>
          <w:color w:val="auto"/>
        </w:rPr>
        <w:t xml:space="preserve"> </w:t>
      </w:r>
      <w:r w:rsidRPr="00561022">
        <w:rPr>
          <w:color w:val="auto"/>
        </w:rPr>
        <w:t xml:space="preserve">(32 %) ČR splnila již v roce 2016 a prioritní cíl stanovený </w:t>
      </w:r>
      <w:r w:rsidR="00E30D95">
        <w:rPr>
          <w:color w:val="auto"/>
        </w:rPr>
        <w:t xml:space="preserve">v roce 2015 </w:t>
      </w:r>
      <w:r w:rsidRPr="00561022">
        <w:rPr>
          <w:color w:val="auto"/>
        </w:rPr>
        <w:t xml:space="preserve">MŠMT </w:t>
      </w:r>
      <w:r w:rsidR="00E30D95">
        <w:rPr>
          <w:color w:val="auto"/>
        </w:rPr>
        <w:t xml:space="preserve">v DZ VŠ 2016 </w:t>
      </w:r>
      <w:r w:rsidRPr="00561022">
        <w:rPr>
          <w:color w:val="auto"/>
        </w:rPr>
        <w:t>(35</w:t>
      </w:r>
      <w:r w:rsidR="00760751">
        <w:rPr>
          <w:color w:val="auto"/>
        </w:rPr>
        <w:t> </w:t>
      </w:r>
      <w:r w:rsidRPr="00561022">
        <w:rPr>
          <w:color w:val="auto"/>
        </w:rPr>
        <w:t xml:space="preserve">%) splnila ČR v roce 2019. Ke splnění cíle směřuje i EU, </w:t>
      </w:r>
      <w:r w:rsidR="00FF580C">
        <w:rPr>
          <w:color w:val="auto"/>
        </w:rPr>
        <w:t>neboť</w:t>
      </w:r>
      <w:r w:rsidRPr="00561022">
        <w:rPr>
          <w:color w:val="auto"/>
        </w:rPr>
        <w:t xml:space="preserve"> v posledních dvou letech překročila stanovenou hranici 40 %. Oproti EU vykazuje ČR cca o pět procentních bo</w:t>
      </w:r>
      <w:r w:rsidR="0015791B">
        <w:rPr>
          <w:color w:val="auto"/>
        </w:rPr>
        <w:t>dů nižší podíl osob s </w:t>
      </w:r>
      <w:r w:rsidR="00EE0E36">
        <w:rPr>
          <w:color w:val="auto"/>
        </w:rPr>
        <w:t>terciárním</w:t>
      </w:r>
      <w:r w:rsidR="0015791B">
        <w:rPr>
          <w:color w:val="auto"/>
        </w:rPr>
        <w:t xml:space="preserve"> vzděláním ve věku 30</w:t>
      </w:r>
      <w:r w:rsidR="0015791B">
        <w:rPr>
          <w:lang w:eastAsia="cs-CZ"/>
        </w:rPr>
        <w:t>–</w:t>
      </w:r>
      <w:r w:rsidRPr="00561022">
        <w:rPr>
          <w:color w:val="auto"/>
        </w:rPr>
        <w:t>34 let, rozdíl se však téměř každoročně snižuje.</w:t>
      </w:r>
    </w:p>
    <w:p w14:paraId="5B4E5373" w14:textId="0F855E98" w:rsidR="00561022" w:rsidRPr="00D877F4" w:rsidRDefault="00561022" w:rsidP="00561022">
      <w:pPr>
        <w:autoSpaceDE w:val="0"/>
        <w:autoSpaceDN w:val="0"/>
        <w:adjustRightInd w:val="0"/>
        <w:spacing w:before="0" w:after="120"/>
      </w:pPr>
      <w:r>
        <w:t>J</w:t>
      </w:r>
      <w:r w:rsidRPr="00D877F4">
        <w:t>ak zobrazuje následující tabulka</w:t>
      </w:r>
      <w:r>
        <w:t>,</w:t>
      </w:r>
      <w:r w:rsidRPr="00D877F4">
        <w:t xml:space="preserve"> </w:t>
      </w:r>
      <w:r>
        <w:t>s</w:t>
      </w:r>
      <w:r w:rsidRPr="00D877F4">
        <w:t>truktura vysokoškolsky vzdělaných osob se však v ČR v p</w:t>
      </w:r>
      <w:r>
        <w:t xml:space="preserve">orovnání s EU i </w:t>
      </w:r>
      <w:r w:rsidR="007C5D3A">
        <w:t>OECD</w:t>
      </w:r>
      <w:r>
        <w:t xml:space="preserve"> velmi liší.</w:t>
      </w:r>
    </w:p>
    <w:p w14:paraId="03903485" w14:textId="0E2EE6F8" w:rsidR="00561022" w:rsidRDefault="00561022" w:rsidP="002F33B6">
      <w:pPr>
        <w:keepNext/>
        <w:tabs>
          <w:tab w:val="right" w:pos="9070"/>
        </w:tabs>
        <w:spacing w:before="0"/>
        <w:ind w:left="1276" w:hanging="1276"/>
      </w:pPr>
      <w:r w:rsidRPr="00D877F4">
        <w:lastRenderedPageBreak/>
        <w:t xml:space="preserve">Tabulka č. </w:t>
      </w:r>
      <w:r w:rsidR="000F6F4C">
        <w:t>5</w:t>
      </w:r>
      <w:r>
        <w:t xml:space="preserve">: </w:t>
      </w:r>
      <w:r w:rsidR="002F33B6">
        <w:tab/>
      </w:r>
      <w:r w:rsidRPr="00D877F4">
        <w:t>Dosažené vzdělání bakalářského a magisterského stupně v r</w:t>
      </w:r>
      <w:r w:rsidR="0076750C">
        <w:t>ámci populace ve věku 25</w:t>
      </w:r>
      <w:r w:rsidR="0015791B">
        <w:rPr>
          <w:lang w:eastAsia="cs-CZ"/>
        </w:rPr>
        <w:t>–</w:t>
      </w:r>
      <w:r>
        <w:t xml:space="preserve">64 let </w:t>
      </w:r>
      <w:r w:rsidR="002F33B6">
        <w:tab/>
        <w:t>(</w:t>
      </w:r>
      <w:r>
        <w:t>v %</w:t>
      </w:r>
      <w:r w:rsidR="002F33B6"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988"/>
        <w:gridCol w:w="920"/>
        <w:gridCol w:w="975"/>
        <w:gridCol w:w="975"/>
        <w:gridCol w:w="975"/>
        <w:gridCol w:w="984"/>
      </w:tblGrid>
      <w:tr w:rsidR="00561022" w:rsidRPr="00561022" w14:paraId="0E0FB7FC" w14:textId="77777777" w:rsidTr="00561022">
        <w:trPr>
          <w:trHeight w:val="321"/>
        </w:trPr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30965296" w14:textId="77777777" w:rsidR="00561022" w:rsidRPr="00561022" w:rsidRDefault="00561022" w:rsidP="00561022">
            <w:pPr>
              <w:keepNext/>
              <w:spacing w:before="0"/>
              <w:rPr>
                <w:lang w:eastAsia="cs-CZ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11EB151E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0295E476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4B6A3E0F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45DBB253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1854E1B6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0B63C881" w14:textId="77777777" w:rsidR="00561022" w:rsidRPr="00561022" w:rsidRDefault="00561022" w:rsidP="00561022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561022">
              <w:rPr>
                <w:b/>
                <w:sz w:val="20"/>
                <w:szCs w:val="20"/>
                <w:lang w:eastAsia="cs-CZ"/>
              </w:rPr>
              <w:t>2019</w:t>
            </w:r>
          </w:p>
        </w:tc>
      </w:tr>
      <w:tr w:rsidR="00561022" w:rsidRPr="00561022" w14:paraId="0EF4A285" w14:textId="77777777" w:rsidTr="00B11EEB">
        <w:trPr>
          <w:trHeight w:val="321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0C11FE17" w14:textId="060A66A7" w:rsidR="00561022" w:rsidRPr="00561022" w:rsidRDefault="00561022" w:rsidP="002E432E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 xml:space="preserve">ČR </w:t>
            </w:r>
            <w:r w:rsidR="002E432E">
              <w:rPr>
                <w:sz w:val="20"/>
                <w:szCs w:val="20"/>
                <w:lang w:eastAsia="cs-CZ"/>
              </w:rPr>
              <w:t>–</w:t>
            </w:r>
            <w:r w:rsidRPr="00561022">
              <w:rPr>
                <w:sz w:val="20"/>
                <w:szCs w:val="20"/>
                <w:lang w:eastAsia="cs-CZ"/>
              </w:rPr>
              <w:t xml:space="preserve"> bakalářský stupeň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94D6D08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A5C99FC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D8C165C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242C201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619807F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B6363B3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6</w:t>
            </w:r>
          </w:p>
        </w:tc>
      </w:tr>
      <w:tr w:rsidR="00561022" w:rsidRPr="00561022" w14:paraId="671B4AE2" w14:textId="77777777" w:rsidTr="00B11EEB">
        <w:trPr>
          <w:trHeight w:val="321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FA6" w14:textId="5810BF6A" w:rsidR="00561022" w:rsidRPr="00561022" w:rsidRDefault="00561022" w:rsidP="002E432E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 xml:space="preserve">ČR </w:t>
            </w:r>
            <w:r w:rsidR="002E432E">
              <w:rPr>
                <w:sz w:val="20"/>
                <w:szCs w:val="20"/>
                <w:lang w:eastAsia="cs-CZ"/>
              </w:rPr>
              <w:t>–</w:t>
            </w:r>
            <w:r w:rsidRPr="00561022">
              <w:rPr>
                <w:sz w:val="20"/>
                <w:szCs w:val="20"/>
                <w:lang w:eastAsia="cs-CZ"/>
              </w:rPr>
              <w:t xml:space="preserve"> magisterský stupeň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AA26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B48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44D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FD4A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604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61E4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17</w:t>
            </w:r>
          </w:p>
        </w:tc>
      </w:tr>
      <w:tr w:rsidR="00561022" w:rsidRPr="00561022" w14:paraId="03ACC21B" w14:textId="77777777" w:rsidTr="00B11EEB">
        <w:trPr>
          <w:trHeight w:val="321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1D149EE3" w14:textId="158C242F" w:rsidR="00561022" w:rsidRPr="00561022" w:rsidRDefault="00561022" w:rsidP="002E432E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EU průměr</w:t>
            </w:r>
            <w:r w:rsidRPr="00561022">
              <w:rPr>
                <w:sz w:val="20"/>
                <w:szCs w:val="20"/>
                <w:vertAlign w:val="superscript"/>
                <w:lang w:eastAsia="cs-CZ"/>
              </w:rPr>
              <w:footnoteReference w:id="7"/>
            </w:r>
            <w:r w:rsidRPr="00561022">
              <w:rPr>
                <w:sz w:val="20"/>
                <w:szCs w:val="20"/>
                <w:lang w:eastAsia="cs-CZ"/>
              </w:rPr>
              <w:t xml:space="preserve"> </w:t>
            </w:r>
            <w:r w:rsidR="002E432E">
              <w:rPr>
                <w:sz w:val="20"/>
                <w:szCs w:val="20"/>
                <w:lang w:eastAsia="cs-CZ"/>
              </w:rPr>
              <w:t>–</w:t>
            </w:r>
            <w:r w:rsidRPr="00561022">
              <w:rPr>
                <w:sz w:val="20"/>
                <w:szCs w:val="20"/>
                <w:lang w:eastAsia="cs-CZ"/>
              </w:rPr>
              <w:t xml:space="preserve"> bakalářský stupeň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B203BB0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E9EA4E1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72832B2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C2D79CF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7A6B4F1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1786AFB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15</w:t>
            </w:r>
          </w:p>
        </w:tc>
      </w:tr>
      <w:tr w:rsidR="00561022" w:rsidRPr="00561022" w14:paraId="55A1DB52" w14:textId="77777777" w:rsidTr="00B11EEB">
        <w:trPr>
          <w:trHeight w:val="321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BA7" w14:textId="3C54D2A0" w:rsidR="00561022" w:rsidRPr="00561022" w:rsidRDefault="00561022" w:rsidP="002E432E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 xml:space="preserve">EU průměr </w:t>
            </w:r>
            <w:r w:rsidR="002E432E">
              <w:rPr>
                <w:sz w:val="20"/>
                <w:szCs w:val="20"/>
                <w:lang w:eastAsia="cs-CZ"/>
              </w:rPr>
              <w:t>–</w:t>
            </w:r>
            <w:r w:rsidRPr="00561022">
              <w:rPr>
                <w:sz w:val="20"/>
                <w:szCs w:val="20"/>
                <w:lang w:eastAsia="cs-CZ"/>
              </w:rPr>
              <w:t xml:space="preserve"> magisterský stupeň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A3A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3241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2B7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0DE4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B47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B627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16</w:t>
            </w:r>
          </w:p>
        </w:tc>
      </w:tr>
      <w:tr w:rsidR="00561022" w:rsidRPr="00561022" w14:paraId="653BD74F" w14:textId="77777777" w:rsidTr="00B11EEB">
        <w:trPr>
          <w:trHeight w:val="321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3D67C669" w14:textId="1D211CC5" w:rsidR="00561022" w:rsidRPr="00561022" w:rsidRDefault="00561022" w:rsidP="002E432E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OECD průměr</w:t>
            </w:r>
            <w:r w:rsidRPr="00561022">
              <w:rPr>
                <w:sz w:val="20"/>
                <w:szCs w:val="20"/>
                <w:vertAlign w:val="superscript"/>
                <w:lang w:eastAsia="cs-CZ"/>
              </w:rPr>
              <w:footnoteReference w:id="8"/>
            </w:r>
            <w:r w:rsidRPr="00561022">
              <w:rPr>
                <w:sz w:val="20"/>
                <w:szCs w:val="20"/>
                <w:lang w:eastAsia="cs-CZ"/>
              </w:rPr>
              <w:t xml:space="preserve"> </w:t>
            </w:r>
            <w:r w:rsidR="002E432E">
              <w:rPr>
                <w:sz w:val="20"/>
                <w:szCs w:val="20"/>
                <w:lang w:eastAsia="cs-CZ"/>
              </w:rPr>
              <w:t>–</w:t>
            </w:r>
            <w:r w:rsidRPr="00561022">
              <w:rPr>
                <w:sz w:val="20"/>
                <w:szCs w:val="20"/>
                <w:lang w:eastAsia="cs-CZ"/>
              </w:rPr>
              <w:t xml:space="preserve"> bakalářský stupeň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1337A04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EDCDD6B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A273647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D5A048F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16D8F5B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32172BE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18</w:t>
            </w:r>
          </w:p>
        </w:tc>
      </w:tr>
      <w:tr w:rsidR="00561022" w:rsidRPr="00561022" w14:paraId="03E4E20D" w14:textId="77777777" w:rsidTr="00B11EEB">
        <w:trPr>
          <w:trHeight w:val="321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EE4E" w14:textId="1A596079" w:rsidR="00561022" w:rsidRPr="00561022" w:rsidRDefault="00561022" w:rsidP="002E432E">
            <w:pPr>
              <w:keepNext/>
              <w:spacing w:before="0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 xml:space="preserve">OECD průměr </w:t>
            </w:r>
            <w:r w:rsidR="002E432E">
              <w:rPr>
                <w:sz w:val="20"/>
                <w:szCs w:val="20"/>
                <w:lang w:eastAsia="cs-CZ"/>
              </w:rPr>
              <w:t>–</w:t>
            </w:r>
            <w:r w:rsidRPr="00561022">
              <w:rPr>
                <w:sz w:val="20"/>
                <w:szCs w:val="20"/>
                <w:lang w:eastAsia="cs-CZ"/>
              </w:rPr>
              <w:t xml:space="preserve"> magisterský stupeň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02CC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2B7F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6361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B93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005B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063" w14:textId="77777777" w:rsidR="00561022" w:rsidRPr="00561022" w:rsidRDefault="00561022" w:rsidP="00B11EEB">
            <w:pPr>
              <w:keepNext/>
              <w:spacing w:before="0"/>
              <w:ind w:right="283"/>
              <w:jc w:val="right"/>
              <w:rPr>
                <w:sz w:val="20"/>
                <w:szCs w:val="20"/>
                <w:lang w:eastAsia="cs-CZ"/>
              </w:rPr>
            </w:pPr>
            <w:r w:rsidRPr="00561022">
              <w:rPr>
                <w:sz w:val="20"/>
                <w:szCs w:val="20"/>
                <w:lang w:eastAsia="cs-CZ"/>
              </w:rPr>
              <w:t>13</w:t>
            </w:r>
          </w:p>
        </w:tc>
      </w:tr>
    </w:tbl>
    <w:p w14:paraId="5C5FC799" w14:textId="71D6D08E" w:rsidR="00561022" w:rsidRDefault="00561022" w:rsidP="00561022">
      <w:pPr>
        <w:keepNext/>
        <w:spacing w:before="0" w:after="120"/>
        <w:rPr>
          <w:sz w:val="20"/>
          <w:szCs w:val="20"/>
        </w:rPr>
      </w:pPr>
      <w:r w:rsidRPr="0015791B">
        <w:rPr>
          <w:b/>
          <w:sz w:val="20"/>
          <w:szCs w:val="20"/>
        </w:rPr>
        <w:t>Zdroj:</w:t>
      </w:r>
      <w:r w:rsidRPr="008C0042">
        <w:rPr>
          <w:sz w:val="20"/>
          <w:szCs w:val="20"/>
        </w:rPr>
        <w:t xml:space="preserve"> OECD – </w:t>
      </w:r>
      <w:r w:rsidRPr="00B11EEB">
        <w:rPr>
          <w:i/>
          <w:sz w:val="20"/>
          <w:szCs w:val="20"/>
        </w:rPr>
        <w:t xml:space="preserve">Education at </w:t>
      </w:r>
      <w:r w:rsidR="000542C5" w:rsidRPr="00B11EEB">
        <w:rPr>
          <w:i/>
          <w:sz w:val="20"/>
          <w:szCs w:val="20"/>
        </w:rPr>
        <w:t xml:space="preserve">a </w:t>
      </w:r>
      <w:r w:rsidRPr="00B11EEB">
        <w:rPr>
          <w:i/>
          <w:sz w:val="20"/>
          <w:szCs w:val="20"/>
        </w:rPr>
        <w:t>Glance</w:t>
      </w:r>
      <w:r w:rsidR="002E432E">
        <w:rPr>
          <w:sz w:val="20"/>
          <w:szCs w:val="20"/>
        </w:rPr>
        <w:t>;</w:t>
      </w:r>
      <w:r w:rsidRPr="008C0042">
        <w:rPr>
          <w:sz w:val="20"/>
          <w:szCs w:val="20"/>
        </w:rPr>
        <w:t xml:space="preserve"> vlastní zpracování</w:t>
      </w:r>
      <w:r w:rsidR="002E432E">
        <w:rPr>
          <w:sz w:val="20"/>
          <w:szCs w:val="20"/>
        </w:rPr>
        <w:t xml:space="preserve"> NKÚ</w:t>
      </w:r>
      <w:r w:rsidR="0015791B">
        <w:rPr>
          <w:sz w:val="20"/>
          <w:szCs w:val="20"/>
        </w:rPr>
        <w:t>.</w:t>
      </w:r>
    </w:p>
    <w:p w14:paraId="350E45F3" w14:textId="33BEB073" w:rsidR="000D5136" w:rsidRDefault="0076750C" w:rsidP="00D3533C">
      <w:pPr>
        <w:keepNext/>
        <w:spacing w:before="0" w:after="120"/>
      </w:pPr>
      <w:r>
        <w:t>V rámci populace ve věku 25</w:t>
      </w:r>
      <w:r w:rsidR="0015791B">
        <w:rPr>
          <w:lang w:eastAsia="cs-CZ"/>
        </w:rPr>
        <w:t>–</w:t>
      </w:r>
      <w:r w:rsidR="000D5136" w:rsidRPr="000D5136">
        <w:t xml:space="preserve">64 let dosahuje ČR vyššího podílu dosaženého magisterského vzdělání než průměr EU i OECD. Oproti tomu v podílu dosaženého bakalářského vzdělání ČR výrazně zaostává, </w:t>
      </w:r>
      <w:r w:rsidR="000542C5">
        <w:t>neboť</w:t>
      </w:r>
      <w:r w:rsidR="000D5136" w:rsidRPr="000D5136">
        <w:t xml:space="preserve"> průměr EU je dvaapůlkrát vyšší a průměr OECD je vyšší dokonce třikrát. V ČR je počet lidí s dosaženým magisterským vzděláním oproti počtu lidí s dosaženým bakalářským vzděláním téměř trojnásobný. V průměru EU je</w:t>
      </w:r>
      <w:r w:rsidR="0015791B">
        <w:t xml:space="preserve"> tento poměr přitom vyrovnaný a </w:t>
      </w:r>
      <w:r w:rsidR="000D5136" w:rsidRPr="000D5136">
        <w:t>v OECD je dokonce více lidí s dosaženým bakalářským vzděláním.</w:t>
      </w:r>
    </w:p>
    <w:p w14:paraId="2FF1FA34" w14:textId="7F37A7FF" w:rsidR="000D5136" w:rsidRDefault="000D5136" w:rsidP="00045158">
      <w:pPr>
        <w:spacing w:before="0" w:after="120"/>
        <w:rPr>
          <w:rFonts w:eastAsiaTheme="minorHAnsi" w:cstheme="minorBidi"/>
        </w:rPr>
      </w:pPr>
      <w:r>
        <w:t xml:space="preserve">Již v roce 2011 vláda schválila </w:t>
      </w:r>
      <w:r>
        <w:rPr>
          <w:rFonts w:eastAsiaTheme="minorHAnsi" w:cstheme="minorBidi"/>
        </w:rPr>
        <w:t>Strategii</w:t>
      </w:r>
      <w:r w:rsidRPr="008C4CB1">
        <w:rPr>
          <w:rFonts w:eastAsiaTheme="minorHAnsi" w:cstheme="minorBidi"/>
        </w:rPr>
        <w:t xml:space="preserve"> mezinárodní konkurenceschopnosti</w:t>
      </w:r>
      <w:r>
        <w:rPr>
          <w:rFonts w:eastAsiaTheme="minorHAnsi" w:cstheme="minorBidi"/>
        </w:rPr>
        <w:t>. Jedním z projektů je</w:t>
      </w:r>
      <w:r w:rsidRPr="008C4CB1">
        <w:rPr>
          <w:rFonts w:eastAsiaTheme="minorHAnsi" w:cstheme="minorBidi"/>
        </w:rPr>
        <w:t xml:space="preserve"> </w:t>
      </w:r>
      <w:r w:rsidR="00D966BE">
        <w:rPr>
          <w:rFonts w:eastAsiaTheme="minorHAnsi" w:cstheme="minorBidi"/>
        </w:rPr>
        <w:t>„</w:t>
      </w:r>
      <w:r w:rsidRPr="00B11EEB">
        <w:rPr>
          <w:rFonts w:eastAsiaTheme="minorHAnsi" w:cstheme="minorBidi"/>
          <w:i/>
        </w:rPr>
        <w:t>5.22 Reforma vysokého školství</w:t>
      </w:r>
      <w:r w:rsidR="00D966BE">
        <w:rPr>
          <w:rFonts w:eastAsiaTheme="minorHAnsi" w:cstheme="minorBidi"/>
        </w:rPr>
        <w:t>“</w:t>
      </w:r>
      <w:r w:rsidRPr="008C4CB1">
        <w:rPr>
          <w:rFonts w:eastAsiaTheme="minorHAnsi" w:cstheme="minorBidi"/>
        </w:rPr>
        <w:t xml:space="preserve">, kde byl mj. stanoven úkol: </w:t>
      </w:r>
      <w:r w:rsidR="00357F0D">
        <w:rPr>
          <w:rFonts w:eastAsiaTheme="minorHAnsi" w:cstheme="minorBidi"/>
        </w:rPr>
        <w:t>„</w:t>
      </w:r>
      <w:r w:rsidR="000946BA" w:rsidRPr="008C4CB1">
        <w:rPr>
          <w:rFonts w:eastAsiaTheme="minorHAnsi" w:cstheme="minorBidi"/>
          <w:i/>
        </w:rPr>
        <w:t>Stát by měl usměrňovat zvýšení poměru studentů BC programů vůči studentům MA programů a podpořit podíl studentů pro</w:t>
      </w:r>
      <w:r w:rsidR="000946BA">
        <w:rPr>
          <w:rFonts w:eastAsiaTheme="minorHAnsi" w:cstheme="minorBidi"/>
          <w:i/>
        </w:rPr>
        <w:t>fesně orientovaných BC programů</w:t>
      </w:r>
      <w:r w:rsidR="00357F0D">
        <w:rPr>
          <w:rFonts w:eastAsiaTheme="minorHAnsi" w:cstheme="minorBidi"/>
        </w:rPr>
        <w:t>.</w:t>
      </w:r>
      <w:r w:rsidRPr="00B11EEB">
        <w:rPr>
          <w:rFonts w:eastAsiaTheme="minorHAnsi" w:cstheme="minorBidi"/>
        </w:rPr>
        <w:t>“</w:t>
      </w:r>
      <w:r>
        <w:rPr>
          <w:rFonts w:eastAsiaTheme="minorHAnsi" w:cstheme="minorBidi"/>
          <w:i/>
        </w:rPr>
        <w:t xml:space="preserve"> </w:t>
      </w:r>
      <w:r w:rsidRPr="000D5136">
        <w:rPr>
          <w:rFonts w:eastAsiaTheme="minorHAnsi" w:cstheme="minorBidi"/>
        </w:rPr>
        <w:t>MŠMT</w:t>
      </w:r>
      <w:r w:rsidR="00FF6688">
        <w:rPr>
          <w:rFonts w:eastAsiaTheme="minorHAnsi" w:cstheme="minorBidi"/>
        </w:rPr>
        <w:t xml:space="preserve"> jakožto gestor tohoto úkolu</w:t>
      </w:r>
      <w:r w:rsidRPr="000D5136">
        <w:rPr>
          <w:rFonts w:eastAsiaTheme="minorHAnsi" w:cstheme="minorBidi"/>
        </w:rPr>
        <w:t xml:space="preserve"> nezavedlo účinná opatření podporující zvýšení poměru studentů bakalářských programů vůči studentům magisterských programů. Tento poměr se</w:t>
      </w:r>
      <w:r w:rsidR="0015791B">
        <w:rPr>
          <w:rFonts w:eastAsiaTheme="minorHAnsi" w:cstheme="minorBidi"/>
        </w:rPr>
        <w:t xml:space="preserve"> nedaří významněji zvyšovat a</w:t>
      </w:r>
      <w:r w:rsidR="00357F0D">
        <w:rPr>
          <w:rFonts w:eastAsiaTheme="minorHAnsi" w:cstheme="minorBidi"/>
        </w:rPr>
        <w:t xml:space="preserve"> </w:t>
      </w:r>
      <w:r w:rsidR="0015791B">
        <w:rPr>
          <w:rFonts w:eastAsiaTheme="minorHAnsi" w:cstheme="minorBidi"/>
        </w:rPr>
        <w:t>v </w:t>
      </w:r>
      <w:r w:rsidRPr="000D5136">
        <w:rPr>
          <w:rFonts w:eastAsiaTheme="minorHAnsi" w:cstheme="minorBidi"/>
        </w:rPr>
        <w:t>mezinárodním srovnání je velmi nízký. Cíl stanovený ve Strategii mezinárodní konkurenceschopnosti se tak nedaří plnit.</w:t>
      </w:r>
    </w:p>
    <w:p w14:paraId="06797704" w14:textId="2D0B49A9" w:rsidR="00D3533C" w:rsidRPr="008C4CB1" w:rsidRDefault="00D3533C" w:rsidP="00045158">
      <w:pPr>
        <w:autoSpaceDE w:val="0"/>
        <w:autoSpaceDN w:val="0"/>
        <w:adjustRightInd w:val="0"/>
        <w:spacing w:before="0" w:after="120"/>
        <w:rPr>
          <w:rFonts w:eastAsiaTheme="minorHAnsi" w:cstheme="minorHAnsi"/>
          <w:b/>
        </w:rPr>
      </w:pPr>
      <w:r w:rsidRPr="008C4CB1">
        <w:rPr>
          <w:rFonts w:eastAsiaTheme="minorHAnsi" w:cstheme="minorHAnsi"/>
        </w:rPr>
        <w:t xml:space="preserve">Mezinárodní srovnání </w:t>
      </w:r>
      <w:r w:rsidR="00686249">
        <w:rPr>
          <w:rFonts w:eastAsiaTheme="minorHAnsi" w:cstheme="minorHAnsi"/>
        </w:rPr>
        <w:t xml:space="preserve">výdajů </w:t>
      </w:r>
      <w:r w:rsidR="003C0CC2">
        <w:rPr>
          <w:rFonts w:eastAsiaTheme="minorHAnsi" w:cstheme="minorHAnsi"/>
        </w:rPr>
        <w:t xml:space="preserve">na vysokoškolské vzdělávání v přepočtu </w:t>
      </w:r>
      <w:r w:rsidR="00686249">
        <w:rPr>
          <w:rFonts w:eastAsiaTheme="minorHAnsi" w:cstheme="minorHAnsi"/>
        </w:rPr>
        <w:t xml:space="preserve">na </w:t>
      </w:r>
      <w:r w:rsidR="003C0CC2">
        <w:rPr>
          <w:rFonts w:eastAsiaTheme="minorHAnsi" w:cstheme="minorHAnsi"/>
        </w:rPr>
        <w:t xml:space="preserve">jednoho </w:t>
      </w:r>
      <w:r w:rsidR="00686249">
        <w:rPr>
          <w:rFonts w:eastAsiaTheme="minorHAnsi" w:cstheme="minorHAnsi"/>
        </w:rPr>
        <w:t>studenta</w:t>
      </w:r>
      <w:r>
        <w:rPr>
          <w:rFonts w:eastAsiaTheme="minorHAnsi" w:cstheme="minorHAnsi"/>
        </w:rPr>
        <w:t xml:space="preserve"> zobrazuje následující graf</w:t>
      </w:r>
      <w:r w:rsidRPr="00B11EEB">
        <w:rPr>
          <w:rFonts w:eastAsiaTheme="minorHAnsi" w:cstheme="minorHAnsi"/>
        </w:rPr>
        <w:t>.</w:t>
      </w:r>
    </w:p>
    <w:p w14:paraId="4342DD42" w14:textId="44B15245" w:rsidR="00D3533C" w:rsidRPr="008C4CB1" w:rsidRDefault="00D3533C" w:rsidP="003354C7">
      <w:pPr>
        <w:keepNext/>
        <w:autoSpaceDE w:val="0"/>
        <w:autoSpaceDN w:val="0"/>
        <w:adjustRightInd w:val="0"/>
        <w:spacing w:before="0"/>
        <w:ind w:left="993" w:hanging="993"/>
        <w:rPr>
          <w:rFonts w:eastAsiaTheme="minorHAnsi" w:cstheme="minorHAnsi"/>
        </w:rPr>
      </w:pPr>
      <w:r w:rsidRPr="008C4CB1">
        <w:rPr>
          <w:rFonts w:eastAsiaTheme="minorHAnsi" w:cstheme="minorHAnsi"/>
        </w:rPr>
        <w:lastRenderedPageBreak/>
        <w:t>Graf č.</w:t>
      </w:r>
      <w:r w:rsidR="0076750C">
        <w:rPr>
          <w:rFonts w:eastAsiaTheme="minorHAnsi" w:cstheme="minorHAnsi"/>
        </w:rPr>
        <w:t xml:space="preserve"> </w:t>
      </w:r>
      <w:r w:rsidR="000F6F4C">
        <w:rPr>
          <w:rFonts w:eastAsiaTheme="minorHAnsi" w:cstheme="minorHAnsi"/>
        </w:rPr>
        <w:t>1</w:t>
      </w:r>
      <w:r>
        <w:rPr>
          <w:rFonts w:eastAsiaTheme="minorHAnsi" w:cstheme="minorHAnsi"/>
        </w:rPr>
        <w:t>:</w:t>
      </w:r>
      <w:r w:rsidRPr="008C4CB1">
        <w:rPr>
          <w:rFonts w:eastAsiaTheme="minorHAnsi" w:cstheme="minorHAnsi"/>
        </w:rPr>
        <w:t xml:space="preserve"> </w:t>
      </w:r>
      <w:r w:rsidR="003354C7">
        <w:rPr>
          <w:rFonts w:eastAsiaTheme="minorHAnsi" w:cstheme="minorHAnsi"/>
        </w:rPr>
        <w:tab/>
      </w:r>
      <w:r w:rsidRPr="008C4CB1">
        <w:rPr>
          <w:rFonts w:eastAsiaTheme="minorHAnsi" w:cstheme="minorHAnsi"/>
        </w:rPr>
        <w:t xml:space="preserve">Průměrná </w:t>
      </w:r>
      <w:r w:rsidR="000F6F4C">
        <w:rPr>
          <w:rFonts w:eastAsiaTheme="minorHAnsi" w:cstheme="minorHAnsi"/>
        </w:rPr>
        <w:t>výše celkových výdajů na terciár</w:t>
      </w:r>
      <w:r w:rsidRPr="008C4CB1">
        <w:rPr>
          <w:rFonts w:eastAsiaTheme="minorHAnsi" w:cstheme="minorHAnsi"/>
        </w:rPr>
        <w:t>ní vzdělá</w:t>
      </w:r>
      <w:r w:rsidR="004941CB">
        <w:rPr>
          <w:rFonts w:eastAsiaTheme="minorHAnsi" w:cstheme="minorHAnsi"/>
        </w:rPr>
        <w:t>vá</w:t>
      </w:r>
      <w:r w:rsidRPr="008C4CB1">
        <w:rPr>
          <w:rFonts w:eastAsiaTheme="minorHAnsi" w:cstheme="minorHAnsi"/>
        </w:rPr>
        <w:t xml:space="preserve">ní </w:t>
      </w:r>
      <w:r w:rsidR="004941CB">
        <w:rPr>
          <w:rFonts w:eastAsiaTheme="minorHAnsi" w:cstheme="minorHAnsi"/>
        </w:rPr>
        <w:t xml:space="preserve">v </w:t>
      </w:r>
      <w:r w:rsidRPr="008C4CB1">
        <w:rPr>
          <w:rFonts w:eastAsiaTheme="minorHAnsi" w:cstheme="minorHAnsi"/>
        </w:rPr>
        <w:t>přepočt</w:t>
      </w:r>
      <w:r w:rsidR="004941CB">
        <w:rPr>
          <w:rFonts w:eastAsiaTheme="minorHAnsi" w:cstheme="minorHAnsi"/>
        </w:rPr>
        <w:t>u</w:t>
      </w:r>
      <w:r w:rsidRPr="008C4CB1">
        <w:rPr>
          <w:rFonts w:eastAsiaTheme="minorHAnsi" w:cstheme="minorHAnsi"/>
        </w:rPr>
        <w:t xml:space="preserve"> na </w:t>
      </w:r>
      <w:r w:rsidR="004941CB">
        <w:rPr>
          <w:rFonts w:eastAsiaTheme="minorHAnsi" w:cstheme="minorHAnsi"/>
        </w:rPr>
        <w:t xml:space="preserve">jednoho </w:t>
      </w:r>
      <w:r w:rsidRPr="008C4CB1">
        <w:rPr>
          <w:rFonts w:eastAsiaTheme="minorHAnsi" w:cstheme="minorHAnsi"/>
        </w:rPr>
        <w:t>studenta v</w:t>
      </w:r>
      <w:r w:rsidR="003354C7">
        <w:rPr>
          <w:rFonts w:eastAsiaTheme="minorHAnsi" w:cstheme="minorHAnsi"/>
        </w:rPr>
        <w:t> </w:t>
      </w:r>
      <w:r w:rsidRPr="008C4CB1">
        <w:rPr>
          <w:rFonts w:eastAsiaTheme="minorHAnsi" w:cstheme="minorHAnsi"/>
        </w:rPr>
        <w:t xml:space="preserve">roce 2017 </w:t>
      </w:r>
      <w:r w:rsidR="004941CB">
        <w:rPr>
          <w:rFonts w:eastAsiaTheme="minorHAnsi" w:cstheme="minorHAnsi"/>
        </w:rPr>
        <w:t>(</w:t>
      </w:r>
      <w:r w:rsidRPr="008C4CB1">
        <w:rPr>
          <w:rFonts w:eastAsiaTheme="minorHAnsi" w:cstheme="minorHAnsi"/>
        </w:rPr>
        <w:t>v USD</w:t>
      </w:r>
      <w:r w:rsidR="004941CB">
        <w:rPr>
          <w:rFonts w:eastAsiaTheme="minorHAnsi" w:cstheme="minorHAnsi"/>
        </w:rPr>
        <w:t>)</w:t>
      </w:r>
    </w:p>
    <w:p w14:paraId="772F0949" w14:textId="3BD8DAEF" w:rsidR="00D3533C" w:rsidRPr="00D06852" w:rsidRDefault="00CD4672" w:rsidP="00045158">
      <w:pPr>
        <w:keepNext/>
        <w:autoSpaceDE w:val="0"/>
        <w:autoSpaceDN w:val="0"/>
        <w:adjustRightInd w:val="0"/>
        <w:spacing w:before="0"/>
        <w:rPr>
          <w:rFonts w:eastAsiaTheme="minorHAnsi" w:cstheme="minorHAnsi"/>
        </w:rPr>
      </w:pPr>
      <w:r w:rsidRPr="00572CA0">
        <w:rPr>
          <w:rFonts w:eastAsiaTheme="minorHAnsi" w:cstheme="minorBidi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0" locked="0" layoutInCell="1" allowOverlap="1" wp14:anchorId="03CBDA71" wp14:editId="68CB98BB">
            <wp:simplePos x="0" y="0"/>
            <wp:positionH relativeFrom="column">
              <wp:posOffset>-1298</wp:posOffset>
            </wp:positionH>
            <wp:positionV relativeFrom="paragraph">
              <wp:posOffset>3147</wp:posOffset>
            </wp:positionV>
            <wp:extent cx="5760720" cy="2341880"/>
            <wp:effectExtent l="0" t="0" r="0" b="1270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33C" w:rsidRPr="00572CA0">
        <w:rPr>
          <w:rFonts w:eastAsiaTheme="minorHAnsi" w:cstheme="minorBidi"/>
          <w:b/>
          <w:sz w:val="20"/>
          <w:szCs w:val="20"/>
        </w:rPr>
        <w:t>Zdroj:</w:t>
      </w:r>
      <w:r w:rsidR="00D3533C" w:rsidRPr="002B3158">
        <w:rPr>
          <w:rFonts w:eastAsiaTheme="minorHAnsi" w:cstheme="minorBidi"/>
          <w:sz w:val="20"/>
          <w:szCs w:val="20"/>
        </w:rPr>
        <w:t xml:space="preserve"> </w:t>
      </w:r>
      <w:r w:rsidR="00D3533C" w:rsidRPr="00B11EEB">
        <w:rPr>
          <w:rFonts w:eastAsiaTheme="minorHAnsi" w:cstheme="minorBidi"/>
          <w:i/>
          <w:sz w:val="20"/>
          <w:szCs w:val="20"/>
        </w:rPr>
        <w:t xml:space="preserve">Education at </w:t>
      </w:r>
      <w:r w:rsidR="004941CB" w:rsidRPr="00B11EEB">
        <w:rPr>
          <w:rFonts w:eastAsiaTheme="minorHAnsi" w:cstheme="minorBidi"/>
          <w:i/>
          <w:sz w:val="20"/>
          <w:szCs w:val="20"/>
        </w:rPr>
        <w:t xml:space="preserve">a </w:t>
      </w:r>
      <w:r w:rsidR="00D3533C" w:rsidRPr="00B11EEB">
        <w:rPr>
          <w:rFonts w:eastAsiaTheme="minorHAnsi" w:cstheme="minorBidi"/>
          <w:i/>
          <w:sz w:val="20"/>
          <w:szCs w:val="20"/>
        </w:rPr>
        <w:t>Glance 2020</w:t>
      </w:r>
      <w:r w:rsidR="00D3533C" w:rsidRPr="002B3158">
        <w:rPr>
          <w:rFonts w:eastAsiaTheme="minorHAnsi" w:cstheme="minorBidi"/>
          <w:sz w:val="20"/>
          <w:szCs w:val="20"/>
        </w:rPr>
        <w:t>; OECD Indicators; vlastní zpracování</w:t>
      </w:r>
      <w:r w:rsidR="004941CB">
        <w:rPr>
          <w:rFonts w:eastAsiaTheme="minorHAnsi" w:cstheme="minorBidi"/>
          <w:sz w:val="20"/>
          <w:szCs w:val="20"/>
        </w:rPr>
        <w:t xml:space="preserve"> NKÚ</w:t>
      </w:r>
      <w:r w:rsidR="00572CA0">
        <w:rPr>
          <w:rFonts w:eastAsiaTheme="minorHAnsi" w:cstheme="minorBidi"/>
          <w:sz w:val="20"/>
          <w:szCs w:val="20"/>
        </w:rPr>
        <w:t>.</w:t>
      </w:r>
    </w:p>
    <w:p w14:paraId="502C5BB2" w14:textId="461B1C72" w:rsidR="00D3533C" w:rsidRPr="00153F8F" w:rsidRDefault="00D3533C" w:rsidP="003C0CC2">
      <w:pPr>
        <w:keepNext/>
        <w:autoSpaceDE w:val="0"/>
        <w:autoSpaceDN w:val="0"/>
        <w:adjustRightInd w:val="0"/>
        <w:spacing w:before="0" w:after="120"/>
        <w:ind w:left="567" w:hanging="567"/>
        <w:rPr>
          <w:rFonts w:eastAsia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572CA0">
        <w:rPr>
          <w:rFonts w:eastAsiaTheme="minorHAnsi" w:cstheme="minorHAnsi"/>
          <w:b/>
          <w:sz w:val="20"/>
          <w:szCs w:val="20"/>
        </w:rPr>
        <w:t>Pozn.</w:t>
      </w:r>
      <w:r w:rsidR="00572CA0">
        <w:rPr>
          <w:rFonts w:eastAsiaTheme="minorHAnsi" w:cstheme="minorHAnsi"/>
          <w:sz w:val="20"/>
          <w:szCs w:val="20"/>
        </w:rPr>
        <w:t xml:space="preserve">: </w:t>
      </w:r>
      <w:r w:rsidR="003C0CC2">
        <w:rPr>
          <w:rFonts w:eastAsiaTheme="minorHAnsi" w:cstheme="minorHAnsi"/>
          <w:sz w:val="20"/>
          <w:szCs w:val="20"/>
        </w:rPr>
        <w:tab/>
      </w:r>
      <w:r w:rsidRPr="002B3158">
        <w:rPr>
          <w:rFonts w:eastAsiaTheme="minorHAnsi" w:cstheme="minorHAnsi"/>
          <w:sz w:val="20"/>
          <w:szCs w:val="20"/>
        </w:rPr>
        <w:t>Jedná se o celkové výdaje na vzdělávací instituce a programy, pro které jsou k dispozici příslušné údaje. Výdaje v národních měnách se převádějí na USD vydělením hodnoty národní měny indexem parity kupní síly pro hrubý domácí produkt.</w:t>
      </w:r>
    </w:p>
    <w:p w14:paraId="0DCCF699" w14:textId="6965B4A0" w:rsidR="00D3533C" w:rsidRPr="000D5136" w:rsidRDefault="00D3533C" w:rsidP="00045158">
      <w:pPr>
        <w:spacing w:before="0" w:after="120"/>
        <w:rPr>
          <w:color w:val="auto"/>
        </w:rPr>
      </w:pPr>
      <w:r w:rsidRPr="008506A7">
        <w:rPr>
          <w:rFonts w:eastAsiaTheme="minorHAnsi" w:cstheme="minorHAnsi"/>
        </w:rPr>
        <w:t>Česká republika</w:t>
      </w:r>
      <w:r w:rsidRPr="008C4CB1">
        <w:rPr>
          <w:rFonts w:eastAsiaTheme="minorHAnsi" w:cstheme="minorHAnsi"/>
        </w:rPr>
        <w:t xml:space="preserve"> měla v roce 2017 </w:t>
      </w:r>
      <w:r w:rsidR="00686249">
        <w:rPr>
          <w:rFonts w:eastAsiaTheme="minorHAnsi" w:cstheme="minorHAnsi"/>
        </w:rPr>
        <w:t>průměrnou výši výdajů na terciár</w:t>
      </w:r>
      <w:r w:rsidRPr="008C4CB1">
        <w:rPr>
          <w:rFonts w:eastAsiaTheme="minorHAnsi" w:cstheme="minorHAnsi"/>
        </w:rPr>
        <w:t>ní vzdělá</w:t>
      </w:r>
      <w:r w:rsidR="008506A7">
        <w:rPr>
          <w:rFonts w:eastAsiaTheme="minorHAnsi" w:cstheme="minorHAnsi"/>
        </w:rPr>
        <w:t>vá</w:t>
      </w:r>
      <w:r w:rsidRPr="008C4CB1">
        <w:rPr>
          <w:rFonts w:eastAsiaTheme="minorHAnsi" w:cstheme="minorHAnsi"/>
        </w:rPr>
        <w:t xml:space="preserve">ní </w:t>
      </w:r>
      <w:r w:rsidR="008506A7">
        <w:rPr>
          <w:rFonts w:eastAsiaTheme="minorHAnsi" w:cstheme="minorHAnsi"/>
        </w:rPr>
        <w:t xml:space="preserve">v přepočtu </w:t>
      </w:r>
      <w:r w:rsidRPr="008C4CB1">
        <w:rPr>
          <w:rFonts w:eastAsiaTheme="minorHAnsi" w:cstheme="minorHAnsi"/>
        </w:rPr>
        <w:t xml:space="preserve">na </w:t>
      </w:r>
      <w:r w:rsidR="008506A7">
        <w:rPr>
          <w:rFonts w:eastAsiaTheme="minorHAnsi" w:cstheme="minorHAnsi"/>
        </w:rPr>
        <w:t xml:space="preserve">jednoho </w:t>
      </w:r>
      <w:r w:rsidRPr="008C4CB1">
        <w:rPr>
          <w:rFonts w:eastAsiaTheme="minorHAnsi" w:cstheme="minorHAnsi"/>
        </w:rPr>
        <w:t xml:space="preserve">studenta 11 484 $, což je téměř o třetinu méně, než </w:t>
      </w:r>
      <w:r w:rsidR="008506A7">
        <w:rPr>
          <w:rFonts w:eastAsiaTheme="minorHAnsi" w:cstheme="minorHAnsi"/>
        </w:rPr>
        <w:t>činí</w:t>
      </w:r>
      <w:r w:rsidRPr="008C4CB1">
        <w:rPr>
          <w:rFonts w:eastAsiaTheme="minorHAnsi" w:cstheme="minorHAnsi"/>
        </w:rPr>
        <w:t xml:space="preserve"> průměr EU a OECD.</w:t>
      </w:r>
      <w:r w:rsidR="0081487A">
        <w:rPr>
          <w:rFonts w:eastAsiaTheme="minorHAnsi" w:cstheme="minorHAnsi"/>
        </w:rPr>
        <w:t xml:space="preserve"> </w:t>
      </w:r>
      <w:r w:rsidR="0081487A" w:rsidRPr="008C4CB1">
        <w:rPr>
          <w:rFonts w:eastAsiaTheme="minorHAnsi" w:cstheme="minorHAnsi"/>
        </w:rPr>
        <w:t>Ma</w:t>
      </w:r>
      <w:r w:rsidR="00652BD5">
        <w:rPr>
          <w:rFonts w:eastAsiaTheme="minorHAnsi" w:cstheme="minorHAnsi"/>
        </w:rPr>
        <w:t>gisterské studium je vzhledem k delší době</w:t>
      </w:r>
      <w:r w:rsidR="0081487A" w:rsidRPr="008C4CB1">
        <w:rPr>
          <w:rFonts w:eastAsiaTheme="minorHAnsi" w:cstheme="minorHAnsi"/>
        </w:rPr>
        <w:t xml:space="preserve"> studia finančně výrazně náročnější než bakalářské studium.</w:t>
      </w:r>
      <w:r w:rsidR="0081487A">
        <w:rPr>
          <w:rFonts w:eastAsiaTheme="minorHAnsi" w:cstheme="minorHAnsi"/>
        </w:rPr>
        <w:t xml:space="preserve"> </w:t>
      </w:r>
      <w:r w:rsidR="0081487A" w:rsidRPr="0081487A">
        <w:rPr>
          <w:rFonts w:eastAsiaTheme="minorHAnsi" w:cstheme="minorHAnsi"/>
        </w:rPr>
        <w:t xml:space="preserve">Navzdory omezeným prostředkům je </w:t>
      </w:r>
      <w:r w:rsidR="00686249">
        <w:rPr>
          <w:rFonts w:eastAsiaTheme="minorHAnsi" w:cstheme="minorHAnsi"/>
        </w:rPr>
        <w:t xml:space="preserve">v mezinárodním srovnání </w:t>
      </w:r>
      <w:r w:rsidR="0081487A" w:rsidRPr="0081487A">
        <w:rPr>
          <w:rFonts w:eastAsiaTheme="minorHAnsi" w:cstheme="minorHAnsi"/>
        </w:rPr>
        <w:t>v ČR velký podíl finančně</w:t>
      </w:r>
      <w:r w:rsidR="00686249">
        <w:rPr>
          <w:rFonts w:eastAsiaTheme="minorHAnsi" w:cstheme="minorHAnsi"/>
        </w:rPr>
        <w:t xml:space="preserve"> náročného magisterského studia a </w:t>
      </w:r>
      <w:r w:rsidR="00652BD5">
        <w:rPr>
          <w:rFonts w:eastAsiaTheme="minorHAnsi" w:cstheme="minorHAnsi"/>
        </w:rPr>
        <w:t>finančně méně náročné</w:t>
      </w:r>
      <w:r w:rsidR="00686249">
        <w:rPr>
          <w:rFonts w:eastAsiaTheme="minorHAnsi" w:cstheme="minorHAnsi"/>
        </w:rPr>
        <w:t xml:space="preserve"> bakalářské studium je využíváno velmi málo.</w:t>
      </w:r>
    </w:p>
    <w:p w14:paraId="5D18EF28" w14:textId="1499AE43" w:rsidR="000946BA" w:rsidRDefault="000946BA" w:rsidP="00045158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</w:rPr>
        <w:t>V rámci plnění druhé části výše uvedeného úkolu v podobě podpory</w:t>
      </w:r>
      <w:r w:rsidRPr="00976020">
        <w:rPr>
          <w:rFonts w:eastAsiaTheme="minorHAnsi" w:cstheme="minorHAnsi"/>
        </w:rPr>
        <w:t xml:space="preserve"> podíl</w:t>
      </w:r>
      <w:r>
        <w:rPr>
          <w:rFonts w:eastAsiaTheme="minorHAnsi" w:cstheme="minorHAnsi"/>
        </w:rPr>
        <w:t>u</w:t>
      </w:r>
      <w:r w:rsidRPr="00976020">
        <w:rPr>
          <w:rFonts w:eastAsiaTheme="minorHAnsi" w:cstheme="minorHAnsi"/>
        </w:rPr>
        <w:t xml:space="preserve"> studentů profesně orientovaných </w:t>
      </w:r>
      <w:r>
        <w:rPr>
          <w:rFonts w:eastAsiaTheme="minorHAnsi" w:cstheme="minorHAnsi"/>
        </w:rPr>
        <w:t>bakalářských</w:t>
      </w:r>
      <w:r w:rsidRPr="00976020">
        <w:rPr>
          <w:rFonts w:eastAsiaTheme="minorHAnsi" w:cstheme="minorHAnsi"/>
        </w:rPr>
        <w:t xml:space="preserve"> programů</w:t>
      </w:r>
      <w:r>
        <w:rPr>
          <w:rFonts w:eastAsiaTheme="minorHAnsi" w:cstheme="minorHAnsi"/>
        </w:rPr>
        <w:t xml:space="preserve"> byla schválena novela zákona o vysokých školách. Touto novelou účinnou od 1. 9. 2016 byl zaveden profil studijních programů, který se členil na akademický a profesní. U profesně zaměřených studijních programů </w:t>
      </w:r>
      <w:r w:rsidR="0076750C">
        <w:rPr>
          <w:rFonts w:eastAsiaTheme="minorHAnsi" w:cstheme="minorHAnsi"/>
        </w:rPr>
        <w:t xml:space="preserve">je </w:t>
      </w:r>
      <w:r>
        <w:rPr>
          <w:rFonts w:eastAsiaTheme="minorHAnsi" w:cstheme="minorHAnsi"/>
        </w:rPr>
        <w:t xml:space="preserve">kladen důraz na zvládnutí praktických dovedností potřebných k </w:t>
      </w:r>
      <w:r w:rsidRPr="00976020">
        <w:rPr>
          <w:rFonts w:eastAsiaTheme="minorHAnsi" w:cstheme="minorHAnsi"/>
        </w:rPr>
        <w:t>výkonu povolání podložených nezbytnými teoreti</w:t>
      </w:r>
      <w:r>
        <w:rPr>
          <w:rFonts w:eastAsiaTheme="minorHAnsi" w:cstheme="minorHAnsi"/>
        </w:rPr>
        <w:t xml:space="preserve">ckými znalostmi. </w:t>
      </w:r>
    </w:p>
    <w:p w14:paraId="29F001CF" w14:textId="66BF0C17" w:rsidR="000A03DC" w:rsidRDefault="000A03DC" w:rsidP="00045158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0A03DC">
        <w:rPr>
          <w:rFonts w:eastAsiaTheme="minorHAnsi" w:cstheme="minorHAnsi"/>
        </w:rPr>
        <w:t>Přestože byla Strategie mezinárodní konkurenceschopnosti schválen</w:t>
      </w:r>
      <w:r w:rsidR="00D93EE5">
        <w:rPr>
          <w:rFonts w:eastAsiaTheme="minorHAnsi" w:cstheme="minorHAnsi"/>
        </w:rPr>
        <w:t>a</w:t>
      </w:r>
      <w:r w:rsidRPr="000A03DC">
        <w:rPr>
          <w:rFonts w:eastAsiaTheme="minorHAnsi" w:cstheme="minorHAnsi"/>
        </w:rPr>
        <w:t xml:space="preserve"> již v roce 2011, </w:t>
      </w:r>
      <w:r w:rsidR="00D61E01">
        <w:rPr>
          <w:rFonts w:cstheme="minorHAnsi"/>
        </w:rPr>
        <w:t>první studenti nastoupili do profesně orientovaných bakalářských studijních programů až v roce 2018</w:t>
      </w:r>
      <w:r w:rsidRPr="000A03DC">
        <w:rPr>
          <w:rFonts w:eastAsiaTheme="minorHAnsi" w:cstheme="minorHAnsi"/>
        </w:rPr>
        <w:t>.</w:t>
      </w:r>
      <w:r>
        <w:rPr>
          <w:rFonts w:eastAsiaTheme="minorHAnsi" w:cstheme="minorHAnsi"/>
        </w:rPr>
        <w:t xml:space="preserve"> Jejich podíl na celkovém počtu studentů </w:t>
      </w:r>
      <w:r w:rsidR="007D7317">
        <w:rPr>
          <w:rFonts w:eastAsiaTheme="minorHAnsi" w:cstheme="minorHAnsi"/>
        </w:rPr>
        <w:t xml:space="preserve">(bakalářského i magisterského studia) </w:t>
      </w:r>
      <w:r>
        <w:rPr>
          <w:rFonts w:eastAsiaTheme="minorHAnsi" w:cstheme="minorHAnsi"/>
        </w:rPr>
        <w:t xml:space="preserve">v tomto roce dle MŠMT činil 0,5 % a v roce 2019 </w:t>
      </w:r>
      <w:r w:rsidR="00D61E01">
        <w:rPr>
          <w:rFonts w:eastAsiaTheme="minorHAnsi" w:cstheme="minorHAnsi"/>
        </w:rPr>
        <w:t>vzrostl na</w:t>
      </w:r>
      <w:r>
        <w:rPr>
          <w:rFonts w:eastAsiaTheme="minorHAnsi" w:cstheme="minorHAnsi"/>
        </w:rPr>
        <w:t xml:space="preserve"> 3,6 %.</w:t>
      </w:r>
    </w:p>
    <w:p w14:paraId="5D62D3AA" w14:textId="405482FA" w:rsidR="000A03DC" w:rsidRDefault="000A03DC" w:rsidP="000A03DC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8E1EEF">
        <w:rPr>
          <w:rFonts w:eastAsiaTheme="minorHAnsi" w:cstheme="minorHAnsi"/>
        </w:rPr>
        <w:t>Mezinárodní srovnání podílu studentů v profesně orientovaných bakalářských studijních programech zobrazuje následující graf.</w:t>
      </w:r>
    </w:p>
    <w:p w14:paraId="0076EC60" w14:textId="62E2EF11" w:rsidR="000A03DC" w:rsidRPr="00961E89" w:rsidRDefault="0076750C" w:rsidP="003354C7">
      <w:pPr>
        <w:keepNext/>
        <w:autoSpaceDE w:val="0"/>
        <w:autoSpaceDN w:val="0"/>
        <w:adjustRightInd w:val="0"/>
        <w:ind w:left="993" w:hanging="993"/>
        <w:rPr>
          <w:rFonts w:eastAsiaTheme="minorHAnsi" w:cstheme="minorHAnsi"/>
        </w:rPr>
      </w:pPr>
      <w:r>
        <w:rPr>
          <w:rFonts w:eastAsiaTheme="minorHAnsi" w:cstheme="minorHAnsi"/>
        </w:rPr>
        <w:lastRenderedPageBreak/>
        <w:t>Graf č. </w:t>
      </w:r>
      <w:r w:rsidR="000F6F4C">
        <w:rPr>
          <w:rFonts w:eastAsiaTheme="minorHAnsi" w:cstheme="minorHAnsi"/>
        </w:rPr>
        <w:t>2</w:t>
      </w:r>
      <w:r w:rsidR="000A03DC">
        <w:rPr>
          <w:rFonts w:eastAsiaTheme="minorHAnsi" w:cstheme="minorHAnsi"/>
        </w:rPr>
        <w:t xml:space="preserve">: </w:t>
      </w:r>
      <w:r w:rsidR="003354C7">
        <w:rPr>
          <w:rFonts w:eastAsiaTheme="minorHAnsi" w:cstheme="minorHAnsi"/>
        </w:rPr>
        <w:tab/>
      </w:r>
      <w:r w:rsidR="000A03DC" w:rsidRPr="002F33B6">
        <w:rPr>
          <w:rFonts w:eastAsiaTheme="minorHAnsi" w:cstheme="minorHAnsi"/>
        </w:rPr>
        <w:t>Podíl</w:t>
      </w:r>
      <w:r w:rsidR="000A03DC" w:rsidRPr="009425D5">
        <w:rPr>
          <w:rFonts w:eastAsiaTheme="minorHAnsi" w:cstheme="minorHAnsi"/>
        </w:rPr>
        <w:t xml:space="preserve"> </w:t>
      </w:r>
      <w:r w:rsidR="000A03DC" w:rsidRPr="00961E89">
        <w:rPr>
          <w:rFonts w:eastAsiaTheme="minorHAnsi" w:cstheme="minorHAnsi"/>
        </w:rPr>
        <w:t xml:space="preserve">studentů v profesně orientovaném vzdělávání na bakalářské nebo srovnatelné úrovni z celkového počtu bakalářských studentů v roce 2018 </w:t>
      </w:r>
      <w:r w:rsidR="003354C7">
        <w:rPr>
          <w:rFonts w:eastAsiaTheme="minorHAnsi" w:cstheme="minorHAnsi"/>
        </w:rPr>
        <w:t>(</w:t>
      </w:r>
      <w:r w:rsidR="000A03DC" w:rsidRPr="00961E89">
        <w:rPr>
          <w:rFonts w:eastAsiaTheme="minorHAnsi" w:cstheme="minorHAnsi"/>
        </w:rPr>
        <w:t>v %</w:t>
      </w:r>
      <w:r w:rsidR="003354C7">
        <w:rPr>
          <w:rFonts w:eastAsiaTheme="minorHAnsi" w:cstheme="minorHAnsi"/>
        </w:rPr>
        <w:t>)</w:t>
      </w:r>
      <w:r w:rsidR="000A03DC">
        <w:rPr>
          <w:rStyle w:val="Znakapoznpodarou"/>
          <w:rFonts w:eastAsiaTheme="minorHAnsi" w:cstheme="minorHAnsi"/>
        </w:rPr>
        <w:footnoteReference w:id="9"/>
      </w:r>
      <w:r w:rsidR="000A03DC" w:rsidRPr="009425D5">
        <w:rPr>
          <w:rFonts w:eastAsiaTheme="minorHAnsi" w:cstheme="minorHAnsi"/>
        </w:rPr>
        <w:t xml:space="preserve"> </w:t>
      </w:r>
    </w:p>
    <w:p w14:paraId="05318E43" w14:textId="060BAA2F" w:rsidR="000A03DC" w:rsidRDefault="00CD4672" w:rsidP="000A03DC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>
        <w:rPr>
          <w:noProof/>
          <w:lang w:eastAsia="cs-CZ"/>
        </w:rPr>
        <w:drawing>
          <wp:inline distT="0" distB="0" distL="0" distR="0" wp14:anchorId="4CE92F91" wp14:editId="642F0A46">
            <wp:extent cx="5759450" cy="2856230"/>
            <wp:effectExtent l="0" t="0" r="0" b="127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0A03DC" w:rsidRPr="00572CA0">
        <w:rPr>
          <w:rFonts w:eastAsiaTheme="minorHAnsi" w:cstheme="minorHAnsi"/>
          <w:b/>
          <w:sz w:val="20"/>
          <w:szCs w:val="20"/>
        </w:rPr>
        <w:t>Zdroj:</w:t>
      </w:r>
      <w:r w:rsidR="000A03DC" w:rsidRPr="00961E89">
        <w:rPr>
          <w:rFonts w:eastAsiaTheme="minorHAnsi" w:cstheme="minorHAnsi"/>
          <w:sz w:val="20"/>
          <w:szCs w:val="20"/>
        </w:rPr>
        <w:t xml:space="preserve"> </w:t>
      </w:r>
      <w:r w:rsidR="000A03DC" w:rsidRPr="00961E89">
        <w:rPr>
          <w:sz w:val="20"/>
          <w:szCs w:val="20"/>
        </w:rPr>
        <w:t>Eurostat</w:t>
      </w:r>
      <w:r w:rsidR="00A3594D">
        <w:rPr>
          <w:sz w:val="20"/>
          <w:szCs w:val="20"/>
        </w:rPr>
        <w:t>;</w:t>
      </w:r>
      <w:r w:rsidR="000A03DC" w:rsidRPr="00961E89">
        <w:rPr>
          <w:sz w:val="20"/>
          <w:szCs w:val="20"/>
        </w:rPr>
        <w:t xml:space="preserve"> vlastní zpracování</w:t>
      </w:r>
      <w:r w:rsidR="00A3594D">
        <w:rPr>
          <w:sz w:val="20"/>
          <w:szCs w:val="20"/>
        </w:rPr>
        <w:t xml:space="preserve"> NKÚ</w:t>
      </w:r>
      <w:r w:rsidR="00572CA0">
        <w:rPr>
          <w:sz w:val="20"/>
          <w:szCs w:val="20"/>
        </w:rPr>
        <w:t>.</w:t>
      </w:r>
    </w:p>
    <w:p w14:paraId="493FA160" w14:textId="088C8AF8" w:rsidR="000A03DC" w:rsidRDefault="000A03DC" w:rsidP="000A03DC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990161">
        <w:rPr>
          <w:rFonts w:eastAsiaTheme="minorHAnsi" w:cstheme="minorHAnsi"/>
        </w:rPr>
        <w:t>V roce 2018 byl podíl studentů</w:t>
      </w:r>
      <w:r>
        <w:rPr>
          <w:rFonts w:eastAsiaTheme="minorHAnsi" w:cstheme="minorHAnsi"/>
        </w:rPr>
        <w:t xml:space="preserve"> profesně orientovaných bakalářských programů v ČR v porovnání s ostatními zeměmi téměř nejnižší. Z 15 zemí, které zavedly profesně orientované bakalářské programy a které disponovaly příslušnými údaji, byla ČR na 14.</w:t>
      </w:r>
      <w:r w:rsidR="001070FC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>místě. Podíl studentů profesně orientovaných bakalářských programů byl v ČR dle statistik Eurostat</w:t>
      </w:r>
      <w:r w:rsidR="00990161">
        <w:rPr>
          <w:rFonts w:eastAsiaTheme="minorHAnsi" w:cstheme="minorHAnsi"/>
        </w:rPr>
        <w:t>u</w:t>
      </w:r>
      <w:r>
        <w:rPr>
          <w:rFonts w:eastAsiaTheme="minorHAnsi" w:cstheme="minorHAnsi"/>
        </w:rPr>
        <w:t xml:space="preserve"> 10,3 %. Průměr ostatních zemí, za které byly tyto údaje k dispozici, činil 40,3 % a oproti ČR byl téměř čtyřnásobný.</w:t>
      </w:r>
    </w:p>
    <w:p w14:paraId="189F5878" w14:textId="4C36ED1A" w:rsidR="000A03DC" w:rsidRDefault="000A03DC" w:rsidP="000A03DC">
      <w:pPr>
        <w:autoSpaceDE w:val="0"/>
        <w:autoSpaceDN w:val="0"/>
        <w:adjustRightInd w:val="0"/>
        <w:spacing w:before="0" w:after="120"/>
      </w:pPr>
      <w:r>
        <w:rPr>
          <w:rFonts w:eastAsiaTheme="minorHAnsi" w:cstheme="minorHAnsi"/>
        </w:rPr>
        <w:t xml:space="preserve">S počtem a strukturou vysokoškolsky vzdělaných lidí, stejně tak i s profilem studijních programů, souvisí i následné uplatnění absolventů. </w:t>
      </w:r>
      <w:r w:rsidR="00652BD5">
        <w:rPr>
          <w:rFonts w:eastAsiaTheme="minorHAnsi" w:cstheme="minorHAnsi"/>
        </w:rPr>
        <w:t xml:space="preserve">Eurostat sleduje ukazatel </w:t>
      </w:r>
      <w:r w:rsidR="00652BD5">
        <w:t>z</w:t>
      </w:r>
      <w:r>
        <w:t>astoupení vysokoškoláků na pozicích, které vyso</w:t>
      </w:r>
      <w:r w:rsidR="00652BD5">
        <w:t>koškolské vz</w:t>
      </w:r>
      <w:r w:rsidR="00572CA0">
        <w:t>dělání nevyžad</w:t>
      </w:r>
      <w:r w:rsidR="002F69FD">
        <w:t>ují</w:t>
      </w:r>
      <w:r w:rsidR="00572CA0">
        <w:t>. Jedná se o</w:t>
      </w:r>
      <w:r w:rsidR="002F69FD">
        <w:t xml:space="preserve"> </w:t>
      </w:r>
      <w:r w:rsidR="00652BD5">
        <w:t>vyjádření souladu s trhem práce. Změny</w:t>
      </w:r>
      <w:r w:rsidR="002F7F3E">
        <w:t xml:space="preserve"> </w:t>
      </w:r>
      <w:r w:rsidR="00652BD5">
        <w:t xml:space="preserve">v počtu a struktuře vysokoškolsky vzdělaných lidí by měly vycházet z požadavků trhu práce a směřování ekonomiky. Vývoj tohoto ukazatele </w:t>
      </w:r>
      <w:r>
        <w:t>zobrazuje následující tabulka.</w:t>
      </w:r>
    </w:p>
    <w:p w14:paraId="556BF5F2" w14:textId="23837B7D" w:rsidR="000A03DC" w:rsidRDefault="0076750C" w:rsidP="00B11EEB">
      <w:pPr>
        <w:keepNext/>
        <w:tabs>
          <w:tab w:val="right" w:pos="9070"/>
        </w:tabs>
        <w:autoSpaceDE w:val="0"/>
        <w:autoSpaceDN w:val="0"/>
        <w:adjustRightInd w:val="0"/>
        <w:ind w:left="1304" w:hanging="1304"/>
      </w:pPr>
      <w:r>
        <w:t xml:space="preserve">Tabulka č. </w:t>
      </w:r>
      <w:r w:rsidR="000F6F4C">
        <w:t>6</w:t>
      </w:r>
      <w:r w:rsidR="000A03DC">
        <w:t xml:space="preserve">: </w:t>
      </w:r>
      <w:r w:rsidR="003354C7">
        <w:tab/>
      </w:r>
      <w:r w:rsidR="000A03DC">
        <w:t xml:space="preserve">Zastoupení vysokoškoláků na pozicích nevyžadujících vysokoškolské vzdělání </w:t>
      </w:r>
      <w:r w:rsidR="003354C7">
        <w:tab/>
        <w:t>(</w:t>
      </w:r>
      <w:r w:rsidR="000A03DC">
        <w:t>v</w:t>
      </w:r>
      <w:r w:rsidR="002F69FD">
        <w:t> </w:t>
      </w:r>
      <w:r w:rsidR="000A03DC">
        <w:t>%</w:t>
      </w:r>
      <w:r w:rsidR="003354C7">
        <w:t>)</w:t>
      </w:r>
    </w:p>
    <w:tbl>
      <w:tblPr>
        <w:tblW w:w="909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851"/>
        <w:gridCol w:w="806"/>
        <w:gridCol w:w="784"/>
        <w:gridCol w:w="784"/>
        <w:gridCol w:w="806"/>
        <w:gridCol w:w="806"/>
        <w:gridCol w:w="806"/>
        <w:gridCol w:w="806"/>
        <w:gridCol w:w="784"/>
        <w:gridCol w:w="784"/>
      </w:tblGrid>
      <w:tr w:rsidR="000A03DC" w:rsidRPr="00495A89" w14:paraId="0461D978" w14:textId="77777777" w:rsidTr="00DE7767">
        <w:trPr>
          <w:trHeight w:val="327"/>
        </w:trPr>
        <w:tc>
          <w:tcPr>
            <w:tcW w:w="1075" w:type="dxa"/>
            <w:shd w:val="clear" w:color="000000" w:fill="E5F1FF"/>
            <w:noWrap/>
            <w:vAlign w:val="center"/>
            <w:hideMark/>
          </w:tcPr>
          <w:p w14:paraId="29C731F0" w14:textId="77777777" w:rsidR="000A03DC" w:rsidRPr="00495A89" w:rsidRDefault="000A03DC" w:rsidP="00870E7A">
            <w:pPr>
              <w:keepNext/>
              <w:jc w:val="center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000000" w:fill="E5F1FF"/>
            <w:noWrap/>
            <w:vAlign w:val="center"/>
            <w:hideMark/>
          </w:tcPr>
          <w:p w14:paraId="59D382AD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806" w:type="dxa"/>
            <w:shd w:val="clear" w:color="000000" w:fill="E5F1FF"/>
            <w:noWrap/>
            <w:vAlign w:val="center"/>
            <w:hideMark/>
          </w:tcPr>
          <w:p w14:paraId="2249136C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784" w:type="dxa"/>
            <w:shd w:val="clear" w:color="000000" w:fill="E5F1FF"/>
            <w:noWrap/>
            <w:vAlign w:val="center"/>
            <w:hideMark/>
          </w:tcPr>
          <w:p w14:paraId="687AD147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84" w:type="dxa"/>
            <w:shd w:val="clear" w:color="000000" w:fill="E5F1FF"/>
            <w:noWrap/>
            <w:vAlign w:val="center"/>
            <w:hideMark/>
          </w:tcPr>
          <w:p w14:paraId="4ABB6FBA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806" w:type="dxa"/>
            <w:shd w:val="clear" w:color="000000" w:fill="E5F1FF"/>
            <w:noWrap/>
            <w:vAlign w:val="center"/>
            <w:hideMark/>
          </w:tcPr>
          <w:p w14:paraId="13BA11BB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806" w:type="dxa"/>
            <w:shd w:val="clear" w:color="000000" w:fill="E5F1FF"/>
            <w:noWrap/>
            <w:vAlign w:val="center"/>
            <w:hideMark/>
          </w:tcPr>
          <w:p w14:paraId="644700A2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806" w:type="dxa"/>
            <w:shd w:val="clear" w:color="000000" w:fill="E5F1FF"/>
            <w:noWrap/>
            <w:vAlign w:val="center"/>
            <w:hideMark/>
          </w:tcPr>
          <w:p w14:paraId="12F02E8E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806" w:type="dxa"/>
            <w:shd w:val="clear" w:color="000000" w:fill="E5F1FF"/>
            <w:noWrap/>
            <w:vAlign w:val="center"/>
            <w:hideMark/>
          </w:tcPr>
          <w:p w14:paraId="2336C00D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784" w:type="dxa"/>
            <w:shd w:val="clear" w:color="000000" w:fill="E5F1FF"/>
            <w:noWrap/>
            <w:vAlign w:val="center"/>
            <w:hideMark/>
          </w:tcPr>
          <w:p w14:paraId="06726A9F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784" w:type="dxa"/>
            <w:shd w:val="clear" w:color="000000" w:fill="E5F1FF"/>
            <w:noWrap/>
            <w:vAlign w:val="center"/>
            <w:hideMark/>
          </w:tcPr>
          <w:p w14:paraId="6E711C91" w14:textId="77777777" w:rsidR="000A03DC" w:rsidRPr="00495A89" w:rsidRDefault="000A03DC" w:rsidP="00B11EEB">
            <w:pPr>
              <w:keepNext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495A89">
              <w:rPr>
                <w:b/>
                <w:sz w:val="20"/>
                <w:szCs w:val="20"/>
                <w:lang w:eastAsia="cs-CZ"/>
              </w:rPr>
              <w:t>2019</w:t>
            </w:r>
          </w:p>
        </w:tc>
      </w:tr>
      <w:tr w:rsidR="000A03DC" w:rsidRPr="001047A9" w14:paraId="2329985F" w14:textId="77777777" w:rsidTr="00DE7767">
        <w:trPr>
          <w:trHeight w:val="327"/>
        </w:trPr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8E08E8F" w14:textId="77777777" w:rsidR="000A03DC" w:rsidRPr="001047A9" w:rsidRDefault="000A03DC" w:rsidP="00870E7A">
            <w:pPr>
              <w:keepNext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ČR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C9E61C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8,3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18D71B2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12,7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5A4FBC56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12,5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3FF9270E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45C0892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13,3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9C1A3A0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13,4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44AF221E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13,7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DBCAF72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14,5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AA35406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14,6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06DB3915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15,1</w:t>
            </w:r>
          </w:p>
        </w:tc>
      </w:tr>
      <w:tr w:rsidR="000A03DC" w:rsidRPr="001047A9" w14:paraId="33787715" w14:textId="77777777" w:rsidTr="00DE7767">
        <w:trPr>
          <w:trHeight w:val="327"/>
        </w:trPr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0DC741C4" w14:textId="77777777" w:rsidR="000A03DC" w:rsidRPr="001047A9" w:rsidRDefault="000A03DC" w:rsidP="00870E7A">
            <w:pPr>
              <w:keepNext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Průměr EU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32BA18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20,3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251A05E9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7261714A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20,7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F44262F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479AE1F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B1994F6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21,8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F744F99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21,7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C1E7D31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68B5AE1E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22,1</w:t>
            </w: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14:paraId="1CE5B5B4" w14:textId="77777777" w:rsidR="000A03DC" w:rsidRPr="001047A9" w:rsidRDefault="000A03DC" w:rsidP="00B11EEB">
            <w:pPr>
              <w:keepNext/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1047A9">
              <w:rPr>
                <w:sz w:val="20"/>
                <w:szCs w:val="20"/>
                <w:lang w:eastAsia="cs-CZ"/>
              </w:rPr>
              <w:t>21,9</w:t>
            </w:r>
          </w:p>
        </w:tc>
      </w:tr>
    </w:tbl>
    <w:p w14:paraId="67AA179C" w14:textId="0625204A" w:rsidR="000A03DC" w:rsidRDefault="000A03DC" w:rsidP="000A03DC">
      <w:pPr>
        <w:autoSpaceDE w:val="0"/>
        <w:autoSpaceDN w:val="0"/>
        <w:adjustRightInd w:val="0"/>
        <w:spacing w:before="0" w:after="120"/>
        <w:rPr>
          <w:sz w:val="20"/>
          <w:szCs w:val="20"/>
        </w:rPr>
      </w:pPr>
      <w:r w:rsidRPr="00572CA0">
        <w:rPr>
          <w:b/>
          <w:sz w:val="20"/>
          <w:szCs w:val="20"/>
        </w:rPr>
        <w:t>Zdroj:</w:t>
      </w:r>
      <w:r w:rsidRPr="00495A89">
        <w:rPr>
          <w:sz w:val="20"/>
          <w:szCs w:val="20"/>
        </w:rPr>
        <w:t xml:space="preserve"> Eurostat</w:t>
      </w:r>
      <w:r w:rsidR="002F69FD">
        <w:rPr>
          <w:sz w:val="20"/>
          <w:szCs w:val="20"/>
        </w:rPr>
        <w:t>;</w:t>
      </w:r>
      <w:r w:rsidRPr="00495A89">
        <w:rPr>
          <w:sz w:val="20"/>
          <w:szCs w:val="20"/>
        </w:rPr>
        <w:t xml:space="preserve"> vlastní</w:t>
      </w:r>
      <w:r>
        <w:rPr>
          <w:sz w:val="20"/>
          <w:szCs w:val="20"/>
        </w:rPr>
        <w:t xml:space="preserve"> zpracování</w:t>
      </w:r>
      <w:r w:rsidR="002F69FD">
        <w:rPr>
          <w:sz w:val="20"/>
          <w:szCs w:val="20"/>
        </w:rPr>
        <w:t xml:space="preserve"> NKÚ</w:t>
      </w:r>
      <w:r w:rsidR="00572CA0">
        <w:rPr>
          <w:sz w:val="20"/>
          <w:szCs w:val="20"/>
        </w:rPr>
        <w:t>.</w:t>
      </w:r>
    </w:p>
    <w:p w14:paraId="3DDECC4B" w14:textId="3FE1E647" w:rsidR="000A03DC" w:rsidRDefault="000A03DC" w:rsidP="000A03DC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</w:rPr>
        <w:t xml:space="preserve">V ČR na pozicích, které nevyžadovaly vysokoškolské vzdělání, v roce 2019 pracovalo 15,1 % vysokoškoláků. V tomto ukazateli tak ČR dosahuje lepších hodnot než průměr EU, který činil 21,9 %. Trend je však v ČR značně nepříznivý, </w:t>
      </w:r>
      <w:r w:rsidR="00B91791">
        <w:rPr>
          <w:rFonts w:eastAsiaTheme="minorHAnsi" w:cstheme="minorHAnsi"/>
        </w:rPr>
        <w:t>neboť</w:t>
      </w:r>
      <w:r>
        <w:rPr>
          <w:rFonts w:eastAsiaTheme="minorHAnsi" w:cstheme="minorHAnsi"/>
        </w:rPr>
        <w:t xml:space="preserve"> v posledních deseti letech </w:t>
      </w:r>
      <w:r w:rsidR="00B91791">
        <w:rPr>
          <w:rFonts w:eastAsiaTheme="minorHAnsi" w:cstheme="minorHAnsi"/>
        </w:rPr>
        <w:t xml:space="preserve">se </w:t>
      </w:r>
      <w:r>
        <w:rPr>
          <w:rFonts w:eastAsiaTheme="minorHAnsi" w:cstheme="minorHAnsi"/>
        </w:rPr>
        <w:t>zastoupení v</w:t>
      </w:r>
      <w:r>
        <w:t>ysokoškoláků na pozicích nevyžadujících vysokoškolské vzdělání</w:t>
      </w:r>
      <w:r>
        <w:rPr>
          <w:rFonts w:eastAsiaTheme="minorHAnsi" w:cstheme="minorHAnsi"/>
        </w:rPr>
        <w:t xml:space="preserve"> téměř každoročně zvyšovalo. V roce 2010 </w:t>
      </w:r>
      <w:r w:rsidR="00B91791">
        <w:rPr>
          <w:rFonts w:eastAsiaTheme="minorHAnsi" w:cstheme="minorHAnsi"/>
        </w:rPr>
        <w:t xml:space="preserve">dosáhl tento ukazatel </w:t>
      </w:r>
      <w:r>
        <w:rPr>
          <w:rFonts w:eastAsiaTheme="minorHAnsi" w:cstheme="minorHAnsi"/>
        </w:rPr>
        <w:t xml:space="preserve">v ČR </w:t>
      </w:r>
      <w:r w:rsidR="00B91791">
        <w:rPr>
          <w:rFonts w:eastAsiaTheme="minorHAnsi" w:cstheme="minorHAnsi"/>
        </w:rPr>
        <w:t>hodnoty</w:t>
      </w:r>
      <w:r>
        <w:rPr>
          <w:rFonts w:eastAsiaTheme="minorHAnsi" w:cstheme="minorHAnsi"/>
        </w:rPr>
        <w:t xml:space="preserve"> 8,3 %, tedy o 6,8 procentní</w:t>
      </w:r>
      <w:r w:rsidR="00B91791">
        <w:rPr>
          <w:rFonts w:eastAsiaTheme="minorHAnsi" w:cstheme="minorHAnsi"/>
        </w:rPr>
        <w:t>ho</w:t>
      </w:r>
      <w:r>
        <w:rPr>
          <w:rFonts w:eastAsiaTheme="minorHAnsi" w:cstheme="minorHAnsi"/>
        </w:rPr>
        <w:t xml:space="preserve"> bod</w:t>
      </w:r>
      <w:r w:rsidR="00B91791">
        <w:rPr>
          <w:rFonts w:eastAsiaTheme="minorHAnsi" w:cstheme="minorHAnsi"/>
        </w:rPr>
        <w:t>u</w:t>
      </w:r>
      <w:r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lastRenderedPageBreak/>
        <w:t>méně než v roce 2019. Průměr EU se ve sledovaném období deseti let rovněž zvýšil, ovšem pouze nepatrně, o</w:t>
      </w:r>
      <w:r w:rsidR="002F69FD">
        <w:rPr>
          <w:rFonts w:eastAsiaTheme="minorHAnsi" w:cstheme="minorHAnsi"/>
        </w:rPr>
        <w:t> </w:t>
      </w:r>
      <w:r>
        <w:rPr>
          <w:rFonts w:eastAsiaTheme="minorHAnsi" w:cstheme="minorHAnsi"/>
        </w:rPr>
        <w:t>1,6</w:t>
      </w:r>
      <w:r w:rsidR="002F69FD">
        <w:rPr>
          <w:rFonts w:eastAsiaTheme="minorHAnsi" w:cstheme="minorHAnsi"/>
        </w:rPr>
        <w:t> </w:t>
      </w:r>
      <w:r>
        <w:rPr>
          <w:rFonts w:eastAsiaTheme="minorHAnsi" w:cstheme="minorHAnsi"/>
        </w:rPr>
        <w:t>procentní</w:t>
      </w:r>
      <w:r w:rsidR="00B91791">
        <w:rPr>
          <w:rFonts w:eastAsiaTheme="minorHAnsi" w:cstheme="minorHAnsi"/>
        </w:rPr>
        <w:t>ho</w:t>
      </w:r>
      <w:r>
        <w:rPr>
          <w:rFonts w:eastAsiaTheme="minorHAnsi" w:cstheme="minorHAnsi"/>
        </w:rPr>
        <w:t xml:space="preserve"> bod</w:t>
      </w:r>
      <w:r w:rsidR="00B91791">
        <w:rPr>
          <w:rFonts w:eastAsiaTheme="minorHAnsi" w:cstheme="minorHAnsi"/>
        </w:rPr>
        <w:t>u</w:t>
      </w:r>
      <w:r>
        <w:rPr>
          <w:rFonts w:eastAsiaTheme="minorHAnsi" w:cstheme="minorHAnsi"/>
        </w:rPr>
        <w:t>.</w:t>
      </w:r>
    </w:p>
    <w:p w14:paraId="2713CACF" w14:textId="7E65CC7C" w:rsidR="006B6B71" w:rsidRDefault="00EA46D2" w:rsidP="004E6667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>
        <w:rPr>
          <w:rFonts w:eastAsia="Calibri"/>
          <w:b/>
          <w:color w:val="000000" w:themeColor="text1"/>
        </w:rPr>
        <w:t>3</w:t>
      </w:r>
      <w:r w:rsidR="004525D0" w:rsidRPr="004525D0">
        <w:rPr>
          <w:rFonts w:eastAsia="Calibri"/>
          <w:b/>
          <w:color w:val="000000" w:themeColor="text1"/>
        </w:rPr>
        <w:t xml:space="preserve">. Spolupráce VVŠ se soukromým sektorem </w:t>
      </w:r>
      <w:r w:rsidR="00E057B8">
        <w:rPr>
          <w:rFonts w:eastAsia="Calibri"/>
          <w:b/>
          <w:color w:val="000000" w:themeColor="text1"/>
        </w:rPr>
        <w:t>zůstává dlouhodobě</w:t>
      </w:r>
      <w:r w:rsidR="003E0AC6" w:rsidRPr="004525D0">
        <w:rPr>
          <w:rFonts w:eastAsia="Calibri"/>
          <w:b/>
          <w:color w:val="000000" w:themeColor="text1"/>
        </w:rPr>
        <w:t xml:space="preserve"> </w:t>
      </w:r>
      <w:r w:rsidR="004525D0" w:rsidRPr="004525D0">
        <w:rPr>
          <w:rFonts w:eastAsia="Calibri"/>
          <w:b/>
          <w:color w:val="000000" w:themeColor="text1"/>
        </w:rPr>
        <w:t>nízká</w:t>
      </w:r>
    </w:p>
    <w:p w14:paraId="5194C6BD" w14:textId="584C1572" w:rsidR="00086422" w:rsidRDefault="00DD4182" w:rsidP="004E6667">
      <w:pPr>
        <w:autoSpaceDE w:val="0"/>
        <w:autoSpaceDN w:val="0"/>
        <w:adjustRightInd w:val="0"/>
        <w:spacing w:before="0" w:after="120"/>
      </w:pPr>
      <w:r>
        <w:rPr>
          <w:rFonts w:eastAsiaTheme="minorHAnsi" w:cstheme="minorHAnsi"/>
        </w:rPr>
        <w:t>V koncepčních dokumentech MŠMT jako slabou stránku uvedlo mj.</w:t>
      </w:r>
      <w:r w:rsidR="00B97A55">
        <w:rPr>
          <w:rFonts w:eastAsiaTheme="minorHAnsi" w:cstheme="minorHAnsi"/>
        </w:rPr>
        <w:t xml:space="preserve"> </w:t>
      </w:r>
      <w:r w:rsidRPr="00331B01">
        <w:t>nízké provázání spolupráce mezi vysokými školami a aplikační sférou</w:t>
      </w:r>
      <w:r>
        <w:t xml:space="preserve">. Stanovilo rovněž opatření na podporu této spolupráce. Jako jediný </w:t>
      </w:r>
      <w:r w:rsidRPr="00026B72">
        <w:t xml:space="preserve">měřitelný </w:t>
      </w:r>
      <w:r>
        <w:t>indikátor</w:t>
      </w:r>
      <w:r w:rsidRPr="00026B72">
        <w:t xml:space="preserve"> </w:t>
      </w:r>
      <w:r>
        <w:t>pro hodnocení</w:t>
      </w:r>
      <w:r w:rsidRPr="00026B72">
        <w:t xml:space="preserve"> spolupráce VVŠ a soukromého sektoru</w:t>
      </w:r>
      <w:r>
        <w:t xml:space="preserve"> MŠMT stanovilo „</w:t>
      </w:r>
      <w:r w:rsidRPr="00DD4182">
        <w:rPr>
          <w:i/>
        </w:rPr>
        <w:t>Podíl příjmů na výzkumnou, vývojovou a inovační činnost ve vysokoškolském sektoru ČR plynoucích ze soukromých zdrojů meziročně poroste a ve sledovaném období se alespoň zdvojnásobí.</w:t>
      </w:r>
      <w:r>
        <w:t>“ Výchozím rokem byl rok 2015 a rokem, kdy mělo být dosaženo cílového stavu</w:t>
      </w:r>
      <w:r w:rsidR="00086422">
        <w:t>,</w:t>
      </w:r>
      <w:r>
        <w:t xml:space="preserve"> rok 2020.</w:t>
      </w:r>
    </w:p>
    <w:p w14:paraId="1B44AE14" w14:textId="57531053" w:rsidR="00086422" w:rsidRDefault="00086422" w:rsidP="00B11EEB">
      <w:pPr>
        <w:tabs>
          <w:tab w:val="right" w:pos="9070"/>
        </w:tabs>
        <w:ind w:left="1304" w:hanging="1304"/>
      </w:pPr>
      <w:r w:rsidRPr="00021B27">
        <w:t xml:space="preserve">Tabulka č. </w:t>
      </w:r>
      <w:r w:rsidR="000F6F4C">
        <w:t>7</w:t>
      </w:r>
      <w:r>
        <w:t xml:space="preserve">: </w:t>
      </w:r>
      <w:r w:rsidR="003354C7">
        <w:tab/>
      </w:r>
      <w:r w:rsidRPr="00021B27">
        <w:t xml:space="preserve">Podíl podnikových zdrojů </w:t>
      </w:r>
      <w:r w:rsidR="005F337E">
        <w:t xml:space="preserve">plynoucích do </w:t>
      </w:r>
      <w:r w:rsidRPr="00021B27">
        <w:t>vysokoškolské</w:t>
      </w:r>
      <w:r w:rsidR="005F337E">
        <w:t>ho</w:t>
      </w:r>
      <w:r w:rsidRPr="00021B27">
        <w:t xml:space="preserve"> sektoru </w:t>
      </w:r>
      <w:r w:rsidR="005F337E">
        <w:t>na financování</w:t>
      </w:r>
      <w:r w:rsidRPr="00021B27">
        <w:t xml:space="preserve"> VaV </w:t>
      </w:r>
      <w:r>
        <w:t>v letech 2015</w:t>
      </w:r>
      <w:r w:rsidRPr="0047544E">
        <w:t xml:space="preserve"> až 2019</w:t>
      </w:r>
      <w:r>
        <w:t xml:space="preserve"> </w:t>
      </w:r>
      <w:r w:rsidR="003354C7">
        <w:tab/>
        <w:t>(</w:t>
      </w:r>
      <w:r>
        <w:t>v %</w:t>
      </w:r>
      <w:r w:rsidR="003354C7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812"/>
        <w:gridCol w:w="1812"/>
        <w:gridCol w:w="1812"/>
        <w:gridCol w:w="1808"/>
      </w:tblGrid>
      <w:tr w:rsidR="00086422" w:rsidRPr="00021B27" w14:paraId="30BC1B63" w14:textId="77777777" w:rsidTr="00B11EEB">
        <w:trPr>
          <w:trHeight w:val="340"/>
        </w:trPr>
        <w:tc>
          <w:tcPr>
            <w:tcW w:w="1002" w:type="pct"/>
            <w:shd w:val="clear" w:color="000000" w:fill="E5F1FF"/>
            <w:noWrap/>
            <w:vAlign w:val="center"/>
            <w:hideMark/>
          </w:tcPr>
          <w:p w14:paraId="332198E7" w14:textId="77777777" w:rsidR="00086422" w:rsidRPr="00021B27" w:rsidRDefault="00086422" w:rsidP="00B11EEB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021B27">
              <w:rPr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000" w:type="pct"/>
            <w:shd w:val="clear" w:color="000000" w:fill="E5F1FF"/>
            <w:noWrap/>
            <w:vAlign w:val="center"/>
            <w:hideMark/>
          </w:tcPr>
          <w:p w14:paraId="2AF3B54E" w14:textId="77777777" w:rsidR="00086422" w:rsidRPr="00021B27" w:rsidRDefault="00086422" w:rsidP="00B11EEB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021B27">
              <w:rPr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000" w:type="pct"/>
            <w:shd w:val="clear" w:color="000000" w:fill="E5F1FF"/>
            <w:noWrap/>
            <w:vAlign w:val="center"/>
            <w:hideMark/>
          </w:tcPr>
          <w:p w14:paraId="627F2D94" w14:textId="77777777" w:rsidR="00086422" w:rsidRPr="00021B27" w:rsidRDefault="00086422" w:rsidP="00B11EEB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021B27">
              <w:rPr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000" w:type="pct"/>
            <w:shd w:val="clear" w:color="000000" w:fill="E5F1FF"/>
            <w:noWrap/>
            <w:vAlign w:val="center"/>
            <w:hideMark/>
          </w:tcPr>
          <w:p w14:paraId="4404621A" w14:textId="77777777" w:rsidR="00086422" w:rsidRPr="00021B27" w:rsidRDefault="00086422" w:rsidP="00B11EEB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021B27">
              <w:rPr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998" w:type="pct"/>
            <w:shd w:val="clear" w:color="000000" w:fill="E5F1FF"/>
            <w:noWrap/>
            <w:vAlign w:val="center"/>
            <w:hideMark/>
          </w:tcPr>
          <w:p w14:paraId="77346964" w14:textId="77777777" w:rsidR="00086422" w:rsidRPr="00021B27" w:rsidRDefault="00086422" w:rsidP="00B11EEB">
            <w:pPr>
              <w:spacing w:before="0"/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 w:rsidRPr="00021B27">
              <w:rPr>
                <w:b/>
                <w:bCs/>
                <w:sz w:val="20"/>
                <w:szCs w:val="20"/>
                <w:lang w:eastAsia="cs-CZ"/>
              </w:rPr>
              <w:t>2019</w:t>
            </w:r>
          </w:p>
        </w:tc>
      </w:tr>
      <w:tr w:rsidR="00086422" w:rsidRPr="00021B27" w14:paraId="63C74205" w14:textId="77777777" w:rsidTr="00B11EEB">
        <w:trPr>
          <w:trHeight w:val="340"/>
        </w:trPr>
        <w:tc>
          <w:tcPr>
            <w:tcW w:w="1002" w:type="pct"/>
            <w:shd w:val="clear" w:color="auto" w:fill="auto"/>
            <w:noWrap/>
            <w:vAlign w:val="bottom"/>
            <w:hideMark/>
          </w:tcPr>
          <w:p w14:paraId="58393D7D" w14:textId="77777777" w:rsidR="00086422" w:rsidRPr="00021B27" w:rsidRDefault="00086422" w:rsidP="00B11EEB">
            <w:pPr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021B27">
              <w:rPr>
                <w:sz w:val="20"/>
                <w:szCs w:val="20"/>
                <w:lang w:eastAsia="cs-CZ"/>
              </w:rPr>
              <w:t>4,2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26F8DC86" w14:textId="77777777" w:rsidR="00086422" w:rsidRPr="00021B27" w:rsidRDefault="00086422" w:rsidP="00B11EEB">
            <w:pPr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021B27">
              <w:rPr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3430BAAD" w14:textId="77777777" w:rsidR="00086422" w:rsidRPr="00021B27" w:rsidRDefault="00086422" w:rsidP="00B11EEB">
            <w:pPr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021B27">
              <w:rPr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14:paraId="4C7648F4" w14:textId="77777777" w:rsidR="00086422" w:rsidRPr="00021B27" w:rsidRDefault="00086422" w:rsidP="00B11EEB">
            <w:pPr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021B27">
              <w:rPr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998" w:type="pct"/>
            <w:shd w:val="clear" w:color="auto" w:fill="auto"/>
            <w:noWrap/>
            <w:vAlign w:val="bottom"/>
            <w:hideMark/>
          </w:tcPr>
          <w:p w14:paraId="70D984C4" w14:textId="77777777" w:rsidR="00086422" w:rsidRPr="00021B27" w:rsidRDefault="00086422" w:rsidP="00B11EEB">
            <w:pPr>
              <w:spacing w:before="0"/>
              <w:jc w:val="right"/>
              <w:rPr>
                <w:sz w:val="20"/>
                <w:szCs w:val="20"/>
                <w:lang w:eastAsia="cs-CZ"/>
              </w:rPr>
            </w:pPr>
            <w:r w:rsidRPr="00021B27">
              <w:rPr>
                <w:sz w:val="20"/>
                <w:szCs w:val="20"/>
                <w:lang w:eastAsia="cs-CZ"/>
              </w:rPr>
              <w:t>4,2</w:t>
            </w:r>
          </w:p>
        </w:tc>
      </w:tr>
    </w:tbl>
    <w:p w14:paraId="769191D1" w14:textId="28A6314C" w:rsidR="006B6B71" w:rsidRDefault="00086422" w:rsidP="004E6667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037E1F">
        <w:rPr>
          <w:b/>
          <w:sz w:val="20"/>
          <w:szCs w:val="20"/>
        </w:rPr>
        <w:t>Zdroj:</w:t>
      </w:r>
      <w:r w:rsidRPr="0047544E">
        <w:rPr>
          <w:sz w:val="20"/>
          <w:szCs w:val="20"/>
        </w:rPr>
        <w:t xml:space="preserve"> ČSÚ</w:t>
      </w:r>
      <w:r w:rsidR="005F337E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</w:t>
      </w:r>
      <w:r w:rsidR="005F337E">
        <w:rPr>
          <w:sz w:val="20"/>
          <w:szCs w:val="20"/>
        </w:rPr>
        <w:t xml:space="preserve"> NKÚ</w:t>
      </w:r>
      <w:r w:rsidR="00037E1F">
        <w:rPr>
          <w:sz w:val="20"/>
          <w:szCs w:val="20"/>
        </w:rPr>
        <w:t>.</w:t>
      </w:r>
      <w:r>
        <w:t xml:space="preserve"> </w:t>
      </w:r>
    </w:p>
    <w:p w14:paraId="0BBF3D2B" w14:textId="53A12EED" w:rsidR="006B6B71" w:rsidRDefault="00B77989" w:rsidP="004E6667">
      <w:pPr>
        <w:autoSpaceDE w:val="0"/>
        <w:autoSpaceDN w:val="0"/>
        <w:adjustRightInd w:val="0"/>
        <w:spacing w:before="0" w:after="120"/>
      </w:pPr>
      <w:r>
        <w:t>P</w:t>
      </w:r>
      <w:r w:rsidRPr="003A5853">
        <w:t>odnikov</w:t>
      </w:r>
      <w:r>
        <w:t>é</w:t>
      </w:r>
      <w:r w:rsidRPr="003A5853">
        <w:t xml:space="preserve"> zdroj</w:t>
      </w:r>
      <w:r>
        <w:t>e</w:t>
      </w:r>
      <w:r w:rsidRPr="003A5853">
        <w:t xml:space="preserve"> </w:t>
      </w:r>
      <w:r>
        <w:t xml:space="preserve">využité </w:t>
      </w:r>
      <w:r w:rsidRPr="003A5853">
        <w:t>v roce 20</w:t>
      </w:r>
      <w:r>
        <w:t>15</w:t>
      </w:r>
      <w:r w:rsidRPr="003A5853">
        <w:t xml:space="preserve"> </w:t>
      </w:r>
      <w:r>
        <w:t>ve v</w:t>
      </w:r>
      <w:r w:rsidR="00086422" w:rsidRPr="003A5853">
        <w:t>ysokoškolsk</w:t>
      </w:r>
      <w:r>
        <w:t>ém</w:t>
      </w:r>
      <w:r w:rsidR="00086422" w:rsidRPr="003A5853">
        <w:t xml:space="preserve"> sektor</w:t>
      </w:r>
      <w:r>
        <w:t>u k</w:t>
      </w:r>
      <w:r w:rsidR="00086422" w:rsidRPr="003A5853">
        <w:t xml:space="preserve"> </w:t>
      </w:r>
      <w:r w:rsidRPr="003A5853">
        <w:t>financov</w:t>
      </w:r>
      <w:r>
        <w:t>ání</w:t>
      </w:r>
      <w:r w:rsidR="00086422" w:rsidRPr="003A5853">
        <w:t xml:space="preserve"> VaV </w:t>
      </w:r>
      <w:r>
        <w:t xml:space="preserve">dosáhly výše </w:t>
      </w:r>
      <w:r w:rsidR="00086422" w:rsidRPr="003A5853">
        <w:t>4,2 %</w:t>
      </w:r>
      <w:r w:rsidR="00086422">
        <w:t>. V roce 2019 byl tento podíl na stejné hodnotě jako ve výchozím roce 2015 a</w:t>
      </w:r>
      <w:r>
        <w:t> </w:t>
      </w:r>
      <w:r w:rsidR="00086422">
        <w:t xml:space="preserve">nesměřoval tak k dosažení požadované dvojnásobné hodnoty v roce 2020. </w:t>
      </w:r>
      <w:r w:rsidR="00086422" w:rsidRPr="003A5853">
        <w:t>I v roce 2019 se jednalo o pouhý zlomek celkových podnikových zdrojů financování VaV v Čes</w:t>
      </w:r>
      <w:r w:rsidR="00086422">
        <w:t>ké republice. P</w:t>
      </w:r>
      <w:r w:rsidR="00086422" w:rsidRPr="003A5853">
        <w:t xml:space="preserve">odnikové zdroje financování VaV realizované ve vysokoškolském sektoru </w:t>
      </w:r>
      <w:r w:rsidR="00086422">
        <w:t xml:space="preserve">v roce 2019 dle statistik ČSÚ </w:t>
      </w:r>
      <w:r w:rsidR="00086422" w:rsidRPr="003A5853">
        <w:t>činily 1 020 mil. Kč, což představovalo 1,6 % celkových podnikových zdrojů financování VaV.</w:t>
      </w:r>
    </w:p>
    <w:p w14:paraId="0BD5B595" w14:textId="699218BB" w:rsidR="00086422" w:rsidRDefault="00086422" w:rsidP="004E6667">
      <w:pPr>
        <w:autoSpaceDE w:val="0"/>
        <w:autoSpaceDN w:val="0"/>
        <w:adjustRightInd w:val="0"/>
        <w:spacing w:before="0" w:after="120"/>
      </w:pPr>
      <w:r>
        <w:t>Spolupráci VVŠ se soukromým sektorem lze částečně monitorovat rovněž pomocí ukazatele výnosů z transferů znalostí</w:t>
      </w:r>
      <w:r>
        <w:rPr>
          <w:rStyle w:val="Znakapoznpodarou"/>
        </w:rPr>
        <w:footnoteReference w:id="10"/>
      </w:r>
      <w:r>
        <w:t>. V</w:t>
      </w:r>
      <w:r w:rsidRPr="00C75FBB">
        <w:t>ýnosy z transferů znalostí</w:t>
      </w:r>
      <w:r>
        <w:t xml:space="preserve"> zohledňovalo MŠMT při rozdělování prostředků jednotlivým VVŠ. Jednalo se o jednu ze tří složek </w:t>
      </w:r>
      <w:r>
        <w:rPr>
          <w:lang w:eastAsia="cs-CZ"/>
        </w:rPr>
        <w:t>i</w:t>
      </w:r>
      <w:r w:rsidRPr="00AD0733">
        <w:rPr>
          <w:lang w:eastAsia="cs-CZ"/>
        </w:rPr>
        <w:t>ndikátor</w:t>
      </w:r>
      <w:r>
        <w:rPr>
          <w:lang w:eastAsia="cs-CZ"/>
        </w:rPr>
        <w:t>u</w:t>
      </w:r>
      <w:r w:rsidRPr="00AD0733">
        <w:rPr>
          <w:lang w:eastAsia="cs-CZ"/>
        </w:rPr>
        <w:t xml:space="preserve"> </w:t>
      </w:r>
      <w:r w:rsidR="0095021E">
        <w:rPr>
          <w:lang w:eastAsia="cs-CZ"/>
        </w:rPr>
        <w:t>„</w:t>
      </w:r>
      <w:r w:rsidR="00963D73" w:rsidRPr="00B11EEB">
        <w:rPr>
          <w:i/>
          <w:lang w:eastAsia="cs-CZ"/>
        </w:rPr>
        <w:t>e</w:t>
      </w:r>
      <w:r w:rsidRPr="00B11EEB">
        <w:rPr>
          <w:i/>
          <w:lang w:eastAsia="cs-CZ"/>
        </w:rPr>
        <w:t>xterní příjmy</w:t>
      </w:r>
      <w:r w:rsidR="0095021E">
        <w:rPr>
          <w:lang w:eastAsia="cs-CZ"/>
        </w:rPr>
        <w:t>“</w:t>
      </w:r>
      <w:r w:rsidRPr="00F15F7B">
        <w:rPr>
          <w:lang w:eastAsia="cs-CZ"/>
        </w:rPr>
        <w:t>.</w:t>
      </w:r>
      <w:r>
        <w:rPr>
          <w:lang w:eastAsia="cs-CZ"/>
        </w:rPr>
        <w:t xml:space="preserve"> </w:t>
      </w:r>
      <w:r w:rsidRPr="00F15F7B">
        <w:rPr>
          <w:lang w:eastAsia="cs-CZ"/>
        </w:rPr>
        <w:t>Vá</w:t>
      </w:r>
      <w:r>
        <w:rPr>
          <w:lang w:eastAsia="cs-CZ"/>
        </w:rPr>
        <w:t xml:space="preserve">ha </w:t>
      </w:r>
      <w:r w:rsidR="0095021E">
        <w:rPr>
          <w:lang w:eastAsia="cs-CZ"/>
        </w:rPr>
        <w:t>tohoto indikátoru činila pro jednotlivé VVŠ</w:t>
      </w:r>
      <w:r w:rsidRPr="00F15F7B">
        <w:rPr>
          <w:lang w:eastAsia="cs-CZ"/>
        </w:rPr>
        <w:t xml:space="preserve"> maximálně pouze 1,1 </w:t>
      </w:r>
      <w:r w:rsidRPr="00DB7443">
        <w:rPr>
          <w:lang w:eastAsia="cs-CZ"/>
        </w:rPr>
        <w:t xml:space="preserve">% z celkového objemu prostředků v rámci rozpočtového okruhu I. </w:t>
      </w:r>
      <w:r w:rsidRPr="00DB7443">
        <w:t xml:space="preserve">Výnosy z transferů znalostí </w:t>
      </w:r>
      <w:r>
        <w:t xml:space="preserve">navíc </w:t>
      </w:r>
      <w:r w:rsidRPr="00DB7443">
        <w:t>tvořily jen jednu ze tří položek, ze kterých byl tento indikátor tvořen. Motivační účinek podpory spolupráce VVŠ se soukromou sférou tak byl v tomto ohledu zanedbatelný.</w:t>
      </w:r>
    </w:p>
    <w:p w14:paraId="30D71765" w14:textId="0BBC8FB4" w:rsidR="00086422" w:rsidRDefault="00EA46D2" w:rsidP="004E6667">
      <w:pPr>
        <w:autoSpaceDE w:val="0"/>
        <w:autoSpaceDN w:val="0"/>
        <w:adjustRightInd w:val="0"/>
        <w:spacing w:before="0" w:after="120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4</w:t>
      </w:r>
      <w:r w:rsidR="007A6E91" w:rsidRPr="00C77942">
        <w:rPr>
          <w:rFonts w:eastAsia="Calibri"/>
          <w:b/>
          <w:color w:val="000000" w:themeColor="text1"/>
        </w:rPr>
        <w:t xml:space="preserve">. </w:t>
      </w:r>
      <w:r w:rsidR="008D01B0" w:rsidRPr="00C77942">
        <w:rPr>
          <w:rFonts w:eastAsia="Calibri"/>
          <w:b/>
          <w:color w:val="000000" w:themeColor="text1"/>
        </w:rPr>
        <w:t>V</w:t>
      </w:r>
      <w:r w:rsidR="008D01B0">
        <w:rPr>
          <w:rFonts w:eastAsia="Calibri"/>
          <w:b/>
          <w:color w:val="000000" w:themeColor="text1"/>
        </w:rPr>
        <w:t>ysoké školy nejsou úspěšné v mezinárodních soutěžích o výzkumné granty</w:t>
      </w:r>
    </w:p>
    <w:p w14:paraId="366444CD" w14:textId="077F2C45" w:rsidR="00C77942" w:rsidRPr="00B11EEB" w:rsidRDefault="00C77942" w:rsidP="00C77942">
      <w:pPr>
        <w:autoSpaceDE w:val="0"/>
        <w:autoSpaceDN w:val="0"/>
        <w:adjustRightInd w:val="0"/>
        <w:spacing w:before="0" w:after="120"/>
      </w:pPr>
      <w:r>
        <w:t xml:space="preserve">Podporou </w:t>
      </w:r>
      <w:r w:rsidR="00B578F2">
        <w:t>propoj</w:t>
      </w:r>
      <w:r w:rsidR="00EA5678">
        <w:t>ování</w:t>
      </w:r>
      <w:r w:rsidR="00B578F2">
        <w:t xml:space="preserve"> vysokých škol s mezinárodním prostředím</w:t>
      </w:r>
      <w:r>
        <w:t xml:space="preserve"> a schopnost</w:t>
      </w:r>
      <w:r w:rsidR="000B699A">
        <w:t>í</w:t>
      </w:r>
      <w:r>
        <w:t xml:space="preserve"> VVŠ </w:t>
      </w:r>
      <w:r w:rsidR="008D01B0">
        <w:t>uspět v mezinárodních soutěžích o výzkumné granty</w:t>
      </w:r>
      <w:r>
        <w:t xml:space="preserve"> se MŠMT zabývalo např. v Rámci. MŠMT zde mj. stanovilo opatření </w:t>
      </w:r>
      <w:r w:rsidRPr="00B11EEB">
        <w:t>„</w:t>
      </w:r>
      <w:r w:rsidRPr="00214AAF">
        <w:rPr>
          <w:i/>
        </w:rPr>
        <w:t>motivovat vysoké školy k posilování mezinárodního aspektu v tvůrčích činnostech a v rámci mechanismu financování více zohledňovat úspěch v mezinárodních grantových soutěžích</w:t>
      </w:r>
      <w:r w:rsidRPr="00B11EEB">
        <w:t>“.</w:t>
      </w:r>
    </w:p>
    <w:p w14:paraId="0F280DD5" w14:textId="1C4BBB50" w:rsidR="00874447" w:rsidRDefault="00874447" w:rsidP="00874447">
      <w:r w:rsidRPr="004B6780">
        <w:t>Na podporu schopnosti</w:t>
      </w:r>
      <w:r>
        <w:t xml:space="preserve"> </w:t>
      </w:r>
      <w:r w:rsidRPr="00C52C4A">
        <w:t xml:space="preserve">VVŠ </w:t>
      </w:r>
      <w:r w:rsidR="008D01B0">
        <w:t>uspět v mezinárodních soutěžích o výzkumné granty</w:t>
      </w:r>
      <w:r>
        <w:t xml:space="preserve"> MŠMT stanovilo v systému rozdělování prostředků v rámci normativního financování indikátor </w:t>
      </w:r>
      <w:r w:rsidR="00B578F2">
        <w:t>„</w:t>
      </w:r>
      <w:r w:rsidR="004B6780" w:rsidRPr="00B11EEB">
        <w:rPr>
          <w:i/>
        </w:rPr>
        <w:t>e</w:t>
      </w:r>
      <w:r w:rsidRPr="00B11EEB">
        <w:rPr>
          <w:i/>
        </w:rPr>
        <w:t>xterní příjmy</w:t>
      </w:r>
      <w:r w:rsidR="00B578F2">
        <w:t>“</w:t>
      </w:r>
      <w:r>
        <w:t>, který byl součástí indikátorů výkonové části rozpo</w:t>
      </w:r>
      <w:r w:rsidR="00B578F2">
        <w:t xml:space="preserve">čtového okruhu I. </w:t>
      </w:r>
      <w:r w:rsidR="00F17D8B">
        <w:br/>
      </w:r>
      <w:r w:rsidR="00B578F2">
        <w:t xml:space="preserve">Jednou ze tří </w:t>
      </w:r>
      <w:r>
        <w:t>složek tohoto indikátoru byla účelová neinvestiční podpora</w:t>
      </w:r>
      <w:r w:rsidRPr="00896BE1">
        <w:t xml:space="preserve"> </w:t>
      </w:r>
      <w:r>
        <w:t xml:space="preserve">výzkumu, vývoje </w:t>
      </w:r>
      <w:r>
        <w:lastRenderedPageBreak/>
        <w:t>a</w:t>
      </w:r>
      <w:r w:rsidR="00F17D8B">
        <w:t> </w:t>
      </w:r>
      <w:r>
        <w:t xml:space="preserve">inovací – </w:t>
      </w:r>
      <w:r w:rsidR="00CC3AEB">
        <w:t>jednalo se o objem</w:t>
      </w:r>
      <w:r w:rsidRPr="00896BE1">
        <w:t xml:space="preserve"> účelových neinvestičních prostředků (včetně zahraničních) na výzkum a</w:t>
      </w:r>
      <w:r w:rsidR="00DA5458">
        <w:t xml:space="preserve"> </w:t>
      </w:r>
      <w:r w:rsidRPr="00896BE1">
        <w:t xml:space="preserve">vývoj vyjma prostředků získaných z programů strukturálních fondů EU a vyjma prostředků získaných </w:t>
      </w:r>
      <w:r w:rsidR="0075209D">
        <w:t>v </w:t>
      </w:r>
      <w:r w:rsidRPr="00896BE1">
        <w:t xml:space="preserve">rámci </w:t>
      </w:r>
      <w:r w:rsidR="004B6780" w:rsidRPr="00B11EEB">
        <w:rPr>
          <w:i/>
        </w:rPr>
        <w:t>n</w:t>
      </w:r>
      <w:r w:rsidRPr="00B11EEB">
        <w:rPr>
          <w:i/>
        </w:rPr>
        <w:t>árodních programů udržitelnosti</w:t>
      </w:r>
      <w:r w:rsidRPr="00896BE1">
        <w:t xml:space="preserve"> MŠMT</w:t>
      </w:r>
      <w:r>
        <w:t xml:space="preserve">. </w:t>
      </w:r>
      <w:r w:rsidRPr="00F15F7B">
        <w:rPr>
          <w:lang w:eastAsia="cs-CZ"/>
        </w:rPr>
        <w:t xml:space="preserve">Váha indikátoru </w:t>
      </w:r>
      <w:r w:rsidR="00B578F2">
        <w:rPr>
          <w:lang w:eastAsia="cs-CZ"/>
        </w:rPr>
        <w:t>„</w:t>
      </w:r>
      <w:r w:rsidR="004B6780" w:rsidRPr="00B11EEB">
        <w:rPr>
          <w:i/>
          <w:lang w:eastAsia="cs-CZ"/>
        </w:rPr>
        <w:t>e</w:t>
      </w:r>
      <w:r w:rsidRPr="00B11EEB">
        <w:rPr>
          <w:i/>
          <w:lang w:eastAsia="cs-CZ"/>
        </w:rPr>
        <w:t>xterní příjmy</w:t>
      </w:r>
      <w:r w:rsidR="00B578F2">
        <w:rPr>
          <w:lang w:eastAsia="cs-CZ"/>
        </w:rPr>
        <w:t>“</w:t>
      </w:r>
      <w:r w:rsidRPr="00F15F7B">
        <w:rPr>
          <w:lang w:eastAsia="cs-CZ"/>
        </w:rPr>
        <w:t xml:space="preserve"> pro jednotlivé VVŠ činila maximálně pouze 1,1 </w:t>
      </w:r>
      <w:r w:rsidRPr="00DB7443">
        <w:rPr>
          <w:lang w:eastAsia="cs-CZ"/>
        </w:rPr>
        <w:t xml:space="preserve">% z celkového objemu prostředků v rámci rozpočtového okruhu I. </w:t>
      </w:r>
      <w:r>
        <w:t>Účelová neinvestiční podpora</w:t>
      </w:r>
      <w:r w:rsidRPr="00896BE1">
        <w:t xml:space="preserve"> </w:t>
      </w:r>
      <w:r>
        <w:t>výzkumu, vývoje a</w:t>
      </w:r>
      <w:r w:rsidR="00F17D8B">
        <w:t> </w:t>
      </w:r>
      <w:r>
        <w:t>inovací navíc tvořila</w:t>
      </w:r>
      <w:r w:rsidRPr="00DB7443">
        <w:t xml:space="preserve"> jen jednu ze tří položek, ze kterých byl tento indikátor tvořen. Motivační účinek </w:t>
      </w:r>
      <w:r>
        <w:t xml:space="preserve">podpory </w:t>
      </w:r>
      <w:r w:rsidRPr="00C52C4A">
        <w:t xml:space="preserve">schopnosti VVŠ </w:t>
      </w:r>
      <w:r w:rsidR="008D01B0">
        <w:t>uspět v mezinárodních soutěžích o výzkumné granty</w:t>
      </w:r>
      <w:r w:rsidRPr="00DB7443">
        <w:t xml:space="preserve"> tak byl v tomto ohledu zanedbatelný.</w:t>
      </w:r>
    </w:p>
    <w:p w14:paraId="38D156D6" w14:textId="481ABEDE" w:rsidR="00874447" w:rsidRDefault="006360C4" w:rsidP="00874447">
      <w:r>
        <w:t xml:space="preserve">Pro hodnocení plnění cíle v podobě zlepšení schopnosti VVŠ </w:t>
      </w:r>
      <w:r w:rsidR="008D01B0">
        <w:t>uspět v mezinárodních soutěžích o výzkumné granty</w:t>
      </w:r>
      <w:r w:rsidR="00874447">
        <w:t xml:space="preserve"> stanovilo </w:t>
      </w:r>
      <w:r w:rsidR="00CC3AEB">
        <w:t xml:space="preserve">MŠMT </w:t>
      </w:r>
      <w:r w:rsidR="00874447">
        <w:t>dva měřitelné indikátory. Prvním je podíl finančních prostředků získaných vysokoškolským sektorem ČR z rám</w:t>
      </w:r>
      <w:r w:rsidR="0075209D">
        <w:t xml:space="preserve">cového programu EU pro výzkum </w:t>
      </w:r>
      <w:r w:rsidR="003C0959">
        <w:br/>
      </w:r>
      <w:r w:rsidR="0075209D">
        <w:t>a</w:t>
      </w:r>
      <w:r w:rsidR="003C0959">
        <w:t xml:space="preserve"> </w:t>
      </w:r>
      <w:r w:rsidR="00874447">
        <w:t xml:space="preserve">inovace </w:t>
      </w:r>
      <w:r w:rsidR="00874447" w:rsidRPr="00B11EEB">
        <w:rPr>
          <w:i/>
        </w:rPr>
        <w:t>Horizont 2020</w:t>
      </w:r>
      <w:r w:rsidR="00874447">
        <w:t xml:space="preserve">. MŠMT stanovilo, že tento podíl poroste jak v četnosti účastí, tak v absolutních hodnotách. Další indikátor stanovilo </w:t>
      </w:r>
      <w:r w:rsidR="00822028">
        <w:t xml:space="preserve">MŠMT </w:t>
      </w:r>
      <w:r w:rsidR="00874447">
        <w:t xml:space="preserve">v podobě počtu držitelů </w:t>
      </w:r>
      <w:r w:rsidR="002E7D25">
        <w:rPr>
          <w:rFonts w:eastAsia="Calibri"/>
          <w:color w:val="000000" w:themeColor="text1"/>
        </w:rPr>
        <w:t>grantů</w:t>
      </w:r>
      <w:r w:rsidR="002E7D25">
        <w:t xml:space="preserve"> </w:t>
      </w:r>
      <w:r w:rsidR="0039173F">
        <w:rPr>
          <w:rFonts w:eastAsia="Calibri"/>
          <w:color w:val="000000" w:themeColor="text1"/>
        </w:rPr>
        <w:t xml:space="preserve">ERC </w:t>
      </w:r>
      <w:r w:rsidR="00874447">
        <w:t xml:space="preserve">získaných vysokoškolským sektorem ČR. Počet držitelů </w:t>
      </w:r>
      <w:r w:rsidR="002E7D25">
        <w:t xml:space="preserve">grantů </w:t>
      </w:r>
      <w:r w:rsidR="00874447">
        <w:t xml:space="preserve">ERC z řad českých vysokých škol se má dle tohoto </w:t>
      </w:r>
      <w:r w:rsidR="00D5756D">
        <w:t>cíle přiblížit průměru zemí EU</w:t>
      </w:r>
      <w:r w:rsidR="00874447">
        <w:t xml:space="preserve"> a v průběhu sledovaného období meziročně růst.</w:t>
      </w:r>
      <w:r w:rsidR="00A63098">
        <w:t xml:space="preserve"> </w:t>
      </w:r>
    </w:p>
    <w:p w14:paraId="655442A6" w14:textId="60568D57" w:rsidR="00874447" w:rsidRPr="00C71218" w:rsidRDefault="00874447" w:rsidP="00B11EEB">
      <w:pPr>
        <w:tabs>
          <w:tab w:val="right" w:pos="9070"/>
        </w:tabs>
        <w:spacing w:line="259" w:lineRule="auto"/>
        <w:ind w:left="1304" w:hanging="1304"/>
      </w:pPr>
      <w:r w:rsidRPr="00C71218">
        <w:t>Tabulka č.</w:t>
      </w:r>
      <w:r>
        <w:t> </w:t>
      </w:r>
      <w:r w:rsidR="000F6F4C">
        <w:t>8</w:t>
      </w:r>
      <w:r>
        <w:t xml:space="preserve">: </w:t>
      </w:r>
      <w:r w:rsidR="003354C7">
        <w:tab/>
      </w:r>
      <w:r w:rsidRPr="00C71218">
        <w:t xml:space="preserve">Finanční podpora </w:t>
      </w:r>
      <w:r w:rsidR="00822028">
        <w:t xml:space="preserve">VŠ ČR (bez grantů ERC) </w:t>
      </w:r>
      <w:r w:rsidR="00AB2381">
        <w:t>z </w:t>
      </w:r>
      <w:r w:rsidR="00AB2381" w:rsidRPr="00C71218">
        <w:t xml:space="preserve">programu </w:t>
      </w:r>
      <w:r w:rsidR="00AB2381" w:rsidRPr="002273E3">
        <w:rPr>
          <w:i/>
        </w:rPr>
        <w:t>Horizont 2020</w:t>
      </w:r>
      <w:r w:rsidR="00AB2381">
        <w:t xml:space="preserve"> a počet účastí VŠ ČR </w:t>
      </w:r>
      <w:r w:rsidR="00AB2381" w:rsidRPr="00C71218">
        <w:t>v</w:t>
      </w:r>
      <w:r w:rsidR="00AB2381">
        <w:t> to</w:t>
      </w:r>
      <w:r w:rsidR="00862835">
        <w:t>mto</w:t>
      </w:r>
      <w:r w:rsidR="00AB2381">
        <w:t xml:space="preserve"> programu </w:t>
      </w:r>
      <w:r w:rsidR="00B578F2">
        <w:t>v letech 2015</w:t>
      </w:r>
      <w:r w:rsidRPr="00C71218">
        <w:t xml:space="preserve"> až 2020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025"/>
        <w:gridCol w:w="1025"/>
        <w:gridCol w:w="1025"/>
        <w:gridCol w:w="1025"/>
        <w:gridCol w:w="1026"/>
        <w:gridCol w:w="1026"/>
        <w:gridCol w:w="1021"/>
      </w:tblGrid>
      <w:tr w:rsidR="00874447" w:rsidRPr="00B93AEE" w14:paraId="5DD2BFB1" w14:textId="77777777" w:rsidTr="00874447">
        <w:trPr>
          <w:trHeight w:val="30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C8DC693" w14:textId="77777777" w:rsidR="00874447" w:rsidRPr="00762760" w:rsidRDefault="00874447" w:rsidP="00F01649">
            <w:pPr>
              <w:jc w:val="center"/>
              <w:rPr>
                <w:spacing w:val="-12"/>
                <w:sz w:val="20"/>
                <w:szCs w:val="20"/>
                <w:lang w:eastAsia="cs-CZ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5B1007" w14:textId="77777777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82BA35" w14:textId="77777777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12E38AE" w14:textId="77777777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41323E" w14:textId="77777777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3155DB" w14:textId="77777777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B78A87" w14:textId="77777777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2020</w:t>
            </w:r>
            <w:r w:rsidRPr="00762760">
              <w:rPr>
                <w:sz w:val="20"/>
                <w:szCs w:val="20"/>
              </w:rPr>
              <w:t>*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84A19F6" w14:textId="4D3C3A1F" w:rsidR="00874447" w:rsidRPr="00762760" w:rsidRDefault="00874447" w:rsidP="00F01649">
            <w:pPr>
              <w:jc w:val="center"/>
              <w:rPr>
                <w:b/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b/>
                <w:spacing w:val="-12"/>
                <w:sz w:val="20"/>
                <w:szCs w:val="20"/>
                <w:lang w:eastAsia="cs-CZ"/>
              </w:rPr>
              <w:t>Průměr</w:t>
            </w:r>
          </w:p>
        </w:tc>
      </w:tr>
      <w:tr w:rsidR="00762760" w:rsidRPr="00B93AEE" w14:paraId="26D42B36" w14:textId="77777777" w:rsidTr="00874447">
        <w:trPr>
          <w:trHeight w:val="30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8A3ED4" w14:textId="73792F53" w:rsidR="00762760" w:rsidRDefault="00762760" w:rsidP="00B11EEB">
            <w:pPr>
              <w:spacing w:before="0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 xml:space="preserve">ČR </w:t>
            </w:r>
            <w:r w:rsidR="003354C7">
              <w:rPr>
                <w:sz w:val="20"/>
                <w:szCs w:val="20"/>
                <w:lang w:eastAsia="cs-CZ"/>
              </w:rPr>
              <w:t>–</w:t>
            </w:r>
            <w:r w:rsidRPr="00B11EEB">
              <w:rPr>
                <w:sz w:val="20"/>
                <w:szCs w:val="20"/>
                <w:lang w:eastAsia="cs-CZ"/>
              </w:rPr>
              <w:t xml:space="preserve"> výše podpory VŠ</w:t>
            </w:r>
          </w:p>
          <w:p w14:paraId="7910D485" w14:textId="0ABC4848" w:rsidR="00822028" w:rsidRPr="00B11EEB" w:rsidRDefault="00822028" w:rsidP="00B11EEB">
            <w:pPr>
              <w:spacing w:before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(v €)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B4EEB" w14:textId="0B197280" w:rsidR="00762760" w:rsidRPr="00762760" w:rsidRDefault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20 988 540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CF9A16" w14:textId="6A4A48FA" w:rsidR="00762760" w:rsidRPr="00762760" w:rsidRDefault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12 537 632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571CA0" w14:textId="3EDE8CAA" w:rsidR="00762760" w:rsidRPr="00762760" w:rsidRDefault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13 544 483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F20FC7" w14:textId="7AC73A88" w:rsidR="00762760" w:rsidRPr="00762760" w:rsidRDefault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20 228 780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53FD1E" w14:textId="481D7F5F" w:rsidR="00762760" w:rsidRPr="00762760" w:rsidRDefault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47 210 007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2227BC" w14:textId="255618D0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28 076 266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5B4E36" w14:textId="48182D65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23 764 285</w:t>
            </w:r>
          </w:p>
        </w:tc>
      </w:tr>
      <w:tr w:rsidR="00762760" w:rsidRPr="00B93AEE" w14:paraId="78A0BF8D" w14:textId="77777777" w:rsidTr="00874447">
        <w:trPr>
          <w:trHeight w:val="300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8A75EF" w14:textId="2EAC450A" w:rsidR="00762760" w:rsidRPr="00B11EEB" w:rsidRDefault="00762760" w:rsidP="00C20A92">
            <w:pPr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 xml:space="preserve">ČR </w:t>
            </w:r>
            <w:r w:rsidR="003354C7">
              <w:rPr>
                <w:sz w:val="20"/>
                <w:szCs w:val="20"/>
                <w:lang w:eastAsia="cs-CZ"/>
              </w:rPr>
              <w:t>–</w:t>
            </w:r>
            <w:r w:rsidRPr="00B11EEB">
              <w:rPr>
                <w:sz w:val="20"/>
                <w:szCs w:val="20"/>
                <w:lang w:eastAsia="cs-CZ"/>
              </w:rPr>
              <w:t xml:space="preserve"> počet účastí VŠ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EC2896" w14:textId="24B9BF21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E0C5C" w14:textId="0B3DE81C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8D07A8" w14:textId="10CB5AC2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6B7087" w14:textId="2441971B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8C33C" w14:textId="7E4A3D18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F6A69E" w14:textId="6267D468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2E2B9" w14:textId="45A8C4A1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76</w:t>
            </w:r>
          </w:p>
        </w:tc>
      </w:tr>
      <w:tr w:rsidR="00762760" w:rsidRPr="00B93AEE" w14:paraId="28F24AEF" w14:textId="77777777" w:rsidTr="00874447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73D" w14:textId="7D944D19" w:rsidR="00762760" w:rsidRPr="00B11EEB" w:rsidRDefault="007D7317" w:rsidP="00762760">
            <w:pPr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Průměr účastí VŠ EU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1291" w14:textId="798CAD30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FEE" w14:textId="4BC92B89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606" w14:textId="06C941EC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19F" w14:textId="0811C846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1880" w14:textId="119696C0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B3E" w14:textId="08C56A59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232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28CD9" w14:textId="08815E27" w:rsidR="00762760" w:rsidRPr="00762760" w:rsidRDefault="00762760" w:rsidP="00762760">
            <w:pPr>
              <w:jc w:val="right"/>
              <w:rPr>
                <w:spacing w:val="-12"/>
                <w:sz w:val="20"/>
                <w:szCs w:val="20"/>
                <w:lang w:eastAsia="cs-CZ"/>
              </w:rPr>
            </w:pPr>
            <w:r w:rsidRPr="00762760">
              <w:rPr>
                <w:spacing w:val="-12"/>
                <w:sz w:val="20"/>
                <w:szCs w:val="20"/>
                <w:lang w:eastAsia="cs-CZ"/>
              </w:rPr>
              <w:t>217</w:t>
            </w:r>
          </w:p>
        </w:tc>
      </w:tr>
    </w:tbl>
    <w:p w14:paraId="72316E17" w14:textId="21E16F32" w:rsidR="00874447" w:rsidRDefault="00874447" w:rsidP="007D7317">
      <w:pPr>
        <w:spacing w:before="0" w:line="259" w:lineRule="auto"/>
        <w:rPr>
          <w:sz w:val="20"/>
          <w:szCs w:val="20"/>
        </w:rPr>
      </w:pPr>
      <w:r w:rsidRPr="006B5B13">
        <w:rPr>
          <w:b/>
          <w:sz w:val="20"/>
          <w:szCs w:val="20"/>
        </w:rPr>
        <w:t>Zdroj:</w:t>
      </w:r>
      <w:r w:rsidRPr="00C71218">
        <w:rPr>
          <w:sz w:val="20"/>
          <w:szCs w:val="20"/>
        </w:rPr>
        <w:t xml:space="preserve"> European Commission (SEDIA)</w:t>
      </w:r>
      <w:r w:rsidR="00AB238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15" w:history="1">
        <w:r>
          <w:rPr>
            <w:rStyle w:val="Hypertextovodkaz"/>
            <w:sz w:val="20"/>
            <w:szCs w:val="20"/>
          </w:rPr>
          <w:t>odkaz</w:t>
        </w:r>
      </w:hyperlink>
      <w:r w:rsidR="002E7D25">
        <w:rPr>
          <w:rStyle w:val="Hypertextovodkaz"/>
          <w:sz w:val="20"/>
          <w:szCs w:val="20"/>
        </w:rPr>
        <w:t>;</w:t>
      </w:r>
      <w:r w:rsidRPr="00C71218">
        <w:rPr>
          <w:sz w:val="20"/>
          <w:szCs w:val="20"/>
        </w:rPr>
        <w:t xml:space="preserve"> vlastní zpracování</w:t>
      </w:r>
      <w:r w:rsidR="002E7D25">
        <w:rPr>
          <w:sz w:val="20"/>
          <w:szCs w:val="20"/>
        </w:rPr>
        <w:t xml:space="preserve"> NKÚ</w:t>
      </w:r>
      <w:r w:rsidR="006B5B13">
        <w:rPr>
          <w:sz w:val="20"/>
          <w:szCs w:val="20"/>
        </w:rPr>
        <w:t>.</w:t>
      </w:r>
    </w:p>
    <w:p w14:paraId="4DF9EB92" w14:textId="37B3D2EE" w:rsidR="007D7317" w:rsidRDefault="007D7317" w:rsidP="002E7D25">
      <w:pPr>
        <w:spacing w:before="0" w:line="259" w:lineRule="auto"/>
        <w:ind w:left="567" w:hanging="567"/>
        <w:rPr>
          <w:sz w:val="20"/>
          <w:szCs w:val="20"/>
        </w:rPr>
      </w:pPr>
      <w:r w:rsidRPr="006B5B13">
        <w:rPr>
          <w:b/>
          <w:sz w:val="20"/>
          <w:szCs w:val="20"/>
        </w:rPr>
        <w:t>Pozn.</w:t>
      </w:r>
      <w:r w:rsidR="006B5B13" w:rsidRPr="006B5B13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E7D25">
        <w:rPr>
          <w:sz w:val="20"/>
          <w:szCs w:val="20"/>
        </w:rPr>
        <w:tab/>
      </w:r>
      <w:r>
        <w:rPr>
          <w:sz w:val="20"/>
          <w:szCs w:val="20"/>
        </w:rPr>
        <w:t xml:space="preserve">Program </w:t>
      </w:r>
      <w:r w:rsidRPr="00B11EEB">
        <w:rPr>
          <w:i/>
          <w:sz w:val="20"/>
          <w:szCs w:val="20"/>
        </w:rPr>
        <w:t>Horizont 2020</w:t>
      </w:r>
      <w:r>
        <w:rPr>
          <w:sz w:val="20"/>
          <w:szCs w:val="20"/>
        </w:rPr>
        <w:t xml:space="preserve"> čerpaly kromě vysokých škol i jiné výzkumné instituce. Ty v této tabulce nejsou zahrnuty.</w:t>
      </w:r>
    </w:p>
    <w:p w14:paraId="18BF664F" w14:textId="755BAA75" w:rsidR="00874447" w:rsidRDefault="00874447" w:rsidP="002E7D25">
      <w:pPr>
        <w:spacing w:before="0" w:after="120"/>
        <w:ind w:left="284" w:hanging="284"/>
      </w:pPr>
      <w:r w:rsidRPr="00312919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2E7D25">
        <w:rPr>
          <w:sz w:val="20"/>
          <w:szCs w:val="20"/>
        </w:rPr>
        <w:tab/>
      </w:r>
      <w:r w:rsidR="00E737AD">
        <w:rPr>
          <w:sz w:val="20"/>
          <w:szCs w:val="20"/>
        </w:rPr>
        <w:t>Údaje k 16. 2. 2021</w:t>
      </w:r>
      <w:r w:rsidR="002E7D25">
        <w:rPr>
          <w:sz w:val="20"/>
          <w:szCs w:val="20"/>
        </w:rPr>
        <w:t>.</w:t>
      </w:r>
    </w:p>
    <w:p w14:paraId="5AE60DD5" w14:textId="285107CC" w:rsidR="00874447" w:rsidRDefault="00B46221" w:rsidP="00C77942">
      <w:pPr>
        <w:autoSpaceDE w:val="0"/>
        <w:autoSpaceDN w:val="0"/>
        <w:adjustRightInd w:val="0"/>
        <w:spacing w:before="0" w:after="120"/>
      </w:pPr>
      <w:r>
        <w:t>Ve výchozím</w:t>
      </w:r>
      <w:r w:rsidR="00AB2381">
        <w:t xml:space="preserve"> </w:t>
      </w:r>
      <w:r>
        <w:t>roce 2015 získaly české vysoké školy podporu z pro</w:t>
      </w:r>
      <w:r w:rsidR="00762760">
        <w:t xml:space="preserve">gramu </w:t>
      </w:r>
      <w:r w:rsidR="00762760" w:rsidRPr="00B11EEB">
        <w:rPr>
          <w:i/>
        </w:rPr>
        <w:t>Horizont 2020</w:t>
      </w:r>
      <w:r w:rsidR="00762760">
        <w:t xml:space="preserve"> ve výši 21</w:t>
      </w:r>
      <w:r>
        <w:t xml:space="preserve"> mil. </w:t>
      </w:r>
      <w:r w:rsidR="00AB2381">
        <w:t>€</w:t>
      </w:r>
      <w:r>
        <w:t xml:space="preserve">, a to </w:t>
      </w:r>
      <w:r w:rsidR="00AB2381">
        <w:t>na základě</w:t>
      </w:r>
      <w:r>
        <w:t xml:space="preserve"> 81 účastí</w:t>
      </w:r>
      <w:r w:rsidR="00862835">
        <w:t xml:space="preserve"> v podpo</w:t>
      </w:r>
      <w:r w:rsidR="00C11222">
        <w:t>řených</w:t>
      </w:r>
      <w:r w:rsidR="00862835">
        <w:t xml:space="preserve"> projektech</w:t>
      </w:r>
      <w:r>
        <w:t>. Tyto hodnoty překonaly české VŠ v letech 2019 a 2020. V letech 2016 až 2018 byly poč</w:t>
      </w:r>
      <w:r w:rsidR="00862835">
        <w:t>ty</w:t>
      </w:r>
      <w:r>
        <w:t xml:space="preserve"> účastí </w:t>
      </w:r>
      <w:r w:rsidR="00862835">
        <w:t>i</w:t>
      </w:r>
      <w:r>
        <w:t xml:space="preserve"> výše podpor oproti výchozímu roku 2015 vždy nižší. Průměr za sledované období se oproti výchozímu roku mírně zvýšil ve výši podpory, naopak se mírně snížil v počtu účastí.</w:t>
      </w:r>
    </w:p>
    <w:p w14:paraId="3A033BFB" w14:textId="7740E6B7" w:rsidR="00B46221" w:rsidRDefault="00B46221" w:rsidP="00C77942">
      <w:pPr>
        <w:autoSpaceDE w:val="0"/>
        <w:autoSpaceDN w:val="0"/>
        <w:adjustRightInd w:val="0"/>
        <w:spacing w:before="0" w:after="120"/>
      </w:pPr>
      <w:r w:rsidRPr="00B46221">
        <w:t xml:space="preserve">Stanovený cíl v podobě rostoucí výše získaných prostředků a </w:t>
      </w:r>
      <w:r w:rsidR="00862835">
        <w:t xml:space="preserve">rostoucího </w:t>
      </w:r>
      <w:r w:rsidRPr="00B46221">
        <w:t>počtu účastí v</w:t>
      </w:r>
      <w:r w:rsidR="00862835">
        <w:t> </w:t>
      </w:r>
      <w:r w:rsidRPr="00B46221">
        <w:t xml:space="preserve">programu </w:t>
      </w:r>
      <w:r w:rsidRPr="00B11EEB">
        <w:rPr>
          <w:i/>
        </w:rPr>
        <w:t>Horizont</w:t>
      </w:r>
      <w:r w:rsidR="00862835">
        <w:rPr>
          <w:i/>
        </w:rPr>
        <w:t xml:space="preserve"> </w:t>
      </w:r>
      <w:r w:rsidRPr="00B11EEB">
        <w:rPr>
          <w:i/>
        </w:rPr>
        <w:t>2020</w:t>
      </w:r>
      <w:r w:rsidRPr="00B46221">
        <w:t xml:space="preserve"> se splnit nepodařilo. České VŠ nejsou dlouhodobě úspěšné ani v</w:t>
      </w:r>
      <w:r w:rsidR="00862835">
        <w:t> </w:t>
      </w:r>
      <w:r w:rsidRPr="00B46221">
        <w:t>mezinárodním srovnání. Průměrný počet účastí vysokoškolského sekto</w:t>
      </w:r>
      <w:r w:rsidR="00564B17">
        <w:t>ru v projektech financovaných z </w:t>
      </w:r>
      <w:r w:rsidRPr="00B46221">
        <w:t xml:space="preserve">programu </w:t>
      </w:r>
      <w:r w:rsidRPr="00B11EEB">
        <w:rPr>
          <w:i/>
        </w:rPr>
        <w:t>Horizont 2020</w:t>
      </w:r>
      <w:r w:rsidRPr="00B46221">
        <w:t xml:space="preserve"> byl v EU téměř třikrát vyšší než v ČR.</w:t>
      </w:r>
    </w:p>
    <w:p w14:paraId="1B663345" w14:textId="6B0E77AA" w:rsidR="00B46221" w:rsidRDefault="00B46221" w:rsidP="00B11EEB">
      <w:pPr>
        <w:keepNext/>
        <w:spacing w:line="259" w:lineRule="auto"/>
        <w:ind w:left="1304" w:right="-2" w:hanging="1304"/>
      </w:pPr>
      <w:r>
        <w:lastRenderedPageBreak/>
        <w:t xml:space="preserve">Tabulka č. </w:t>
      </w:r>
      <w:r w:rsidR="000F6F4C">
        <w:t>9</w:t>
      </w:r>
      <w:r>
        <w:t xml:space="preserve">: </w:t>
      </w:r>
      <w:r w:rsidR="003354C7">
        <w:tab/>
      </w:r>
      <w:r w:rsidRPr="007D2F71">
        <w:t xml:space="preserve">Počet držitelů grantů </w:t>
      </w:r>
      <w:r w:rsidR="00AB2381" w:rsidRPr="007D2F71">
        <w:t xml:space="preserve">ERC </w:t>
      </w:r>
      <w:r>
        <w:t>ve vysokoškolském</w:t>
      </w:r>
      <w:r w:rsidRPr="007D2F71">
        <w:t xml:space="preserve"> sektoru</w:t>
      </w:r>
      <w:r>
        <w:t xml:space="preserve"> </w:t>
      </w:r>
      <w:r w:rsidR="00C11222">
        <w:t xml:space="preserve">ČR </w:t>
      </w:r>
      <w:r>
        <w:t>a ce</w:t>
      </w:r>
      <w:r w:rsidR="00A3722A">
        <w:t>lková výše podpory v letech 2015 až 2020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1100"/>
        <w:gridCol w:w="1100"/>
        <w:gridCol w:w="1100"/>
        <w:gridCol w:w="1100"/>
        <w:gridCol w:w="1100"/>
        <w:gridCol w:w="1100"/>
      </w:tblGrid>
      <w:tr w:rsidR="00AB2381" w:rsidRPr="00B93AEE" w14:paraId="4B4C3D91" w14:textId="77777777" w:rsidTr="00B11EEB">
        <w:trPr>
          <w:trHeight w:val="3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FEF73D" w14:textId="77777777" w:rsidR="00B3759A" w:rsidRPr="00B93AEE" w:rsidRDefault="00B3759A" w:rsidP="00B11EEB">
            <w:pPr>
              <w:keepNext/>
              <w:tabs>
                <w:tab w:val="left" w:pos="2906"/>
              </w:tabs>
              <w:ind w:right="159"/>
              <w:jc w:val="center"/>
              <w:rPr>
                <w:spacing w:val="-12"/>
                <w:sz w:val="18"/>
                <w:szCs w:val="18"/>
                <w:lang w:eastAsia="cs-C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15FDF4B" w14:textId="673042E1" w:rsidR="00B3759A" w:rsidRPr="00B93AEE" w:rsidRDefault="00B3759A" w:rsidP="00B11EEB">
            <w:pPr>
              <w:keepNext/>
              <w:spacing w:before="0"/>
              <w:jc w:val="center"/>
              <w:rPr>
                <w:b/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05E496" w14:textId="4D3664A1" w:rsidR="00B3759A" w:rsidRPr="00B93AEE" w:rsidRDefault="00B3759A" w:rsidP="00B11EEB">
            <w:pPr>
              <w:keepNext/>
              <w:spacing w:before="0"/>
              <w:jc w:val="center"/>
              <w:rPr>
                <w:b/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1F2C01" w14:textId="5801A020" w:rsidR="00B3759A" w:rsidRPr="00B93AEE" w:rsidRDefault="00B3759A" w:rsidP="00B11EEB">
            <w:pPr>
              <w:keepNext/>
              <w:spacing w:before="0"/>
              <w:jc w:val="center"/>
              <w:rPr>
                <w:b/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E7FBAE" w14:textId="3EDEB033" w:rsidR="00B3759A" w:rsidRPr="00B93AEE" w:rsidRDefault="00B3759A" w:rsidP="00B11EEB">
            <w:pPr>
              <w:keepNext/>
              <w:spacing w:before="0"/>
              <w:jc w:val="center"/>
              <w:rPr>
                <w:b/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AF0978" w14:textId="11173D2D" w:rsidR="00B3759A" w:rsidRPr="00B93AEE" w:rsidRDefault="00B3759A" w:rsidP="00B11EEB">
            <w:pPr>
              <w:keepNext/>
              <w:spacing w:before="0"/>
              <w:jc w:val="center"/>
              <w:rPr>
                <w:b/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0B1078" w14:textId="6CE272D1" w:rsidR="00B3759A" w:rsidRPr="00B93AEE" w:rsidRDefault="00B3759A" w:rsidP="00B11EEB">
            <w:pPr>
              <w:keepNext/>
              <w:spacing w:before="0"/>
              <w:jc w:val="center"/>
              <w:rPr>
                <w:b/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b/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*</w:t>
            </w:r>
          </w:p>
        </w:tc>
      </w:tr>
      <w:tr w:rsidR="00AB2381" w:rsidRPr="00B93AEE" w14:paraId="1B767333" w14:textId="77777777" w:rsidTr="00B11EEB">
        <w:trPr>
          <w:trHeight w:val="3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2CCCD" w14:textId="3180A853" w:rsidR="00B3759A" w:rsidRPr="00B93AEE" w:rsidRDefault="00AB2381" w:rsidP="00B11EEB">
            <w:pPr>
              <w:keepNext/>
              <w:tabs>
                <w:tab w:val="left" w:pos="2906"/>
              </w:tabs>
              <w:ind w:right="159"/>
              <w:rPr>
                <w:spacing w:val="-12"/>
                <w:sz w:val="18"/>
                <w:szCs w:val="18"/>
                <w:lang w:eastAsia="cs-CZ"/>
              </w:rPr>
            </w:pPr>
            <w:r>
              <w:rPr>
                <w:sz w:val="20"/>
                <w:szCs w:val="20"/>
              </w:rPr>
              <w:t>D</w:t>
            </w:r>
            <w:r w:rsidR="00B3759A" w:rsidRPr="00374B03">
              <w:rPr>
                <w:sz w:val="20"/>
                <w:szCs w:val="20"/>
              </w:rPr>
              <w:t xml:space="preserve">ržitelé grantů </w:t>
            </w:r>
            <w:r w:rsidRPr="00374B03">
              <w:rPr>
                <w:sz w:val="20"/>
                <w:szCs w:val="20"/>
              </w:rPr>
              <w:t xml:space="preserve">ERC </w:t>
            </w:r>
            <w:r w:rsidR="00B3759A" w:rsidRPr="00374B03">
              <w:rPr>
                <w:sz w:val="20"/>
                <w:szCs w:val="20"/>
              </w:rPr>
              <w:t xml:space="preserve">z </w:t>
            </w:r>
            <w:r w:rsidRPr="00374B03">
              <w:rPr>
                <w:sz w:val="20"/>
                <w:szCs w:val="20"/>
              </w:rPr>
              <w:t xml:space="preserve">VŠ </w:t>
            </w:r>
            <w:r w:rsidR="00B3759A" w:rsidRPr="00374B03">
              <w:rPr>
                <w:sz w:val="20"/>
                <w:szCs w:val="20"/>
              </w:rPr>
              <w:t>ČR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7A83F" w14:textId="423064C9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E2F36" w14:textId="27C5AD19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5F88A" w14:textId="20377024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CC2BD" w14:textId="693C841A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7A920" w14:textId="388431EA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0FE9A6" w14:textId="1D492887" w:rsidR="00B3759A" w:rsidRPr="0059266C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2381" w:rsidRPr="00B93AEE" w14:paraId="51805DC3" w14:textId="77777777" w:rsidTr="00B11EEB">
        <w:trPr>
          <w:trHeight w:val="34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A61" w14:textId="36A42F8A" w:rsidR="00B3759A" w:rsidRPr="00B93AEE" w:rsidRDefault="00B3759A" w:rsidP="00B11EEB">
            <w:pPr>
              <w:keepNext/>
              <w:tabs>
                <w:tab w:val="left" w:pos="2906"/>
              </w:tabs>
              <w:ind w:right="159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 xml:space="preserve">Celková výše podpory </w:t>
            </w:r>
            <w:r w:rsidR="00AB2381">
              <w:rPr>
                <w:sz w:val="20"/>
                <w:szCs w:val="20"/>
              </w:rPr>
              <w:t>(</w:t>
            </w:r>
            <w:r w:rsidRPr="00374B03">
              <w:rPr>
                <w:sz w:val="20"/>
                <w:szCs w:val="20"/>
              </w:rPr>
              <w:t>v €</w:t>
            </w:r>
            <w:r w:rsidR="00AB2381">
              <w:rPr>
                <w:sz w:val="20"/>
                <w:szCs w:val="20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590" w14:textId="330496BF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6 564 728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CB6" w14:textId="7C4BFF8D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3 499 874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6E49" w14:textId="786BFCF7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7 917 104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AE3" w14:textId="33352F0D" w:rsidR="00B3759A" w:rsidRPr="00B93AEE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 w:rsidRPr="00374B03">
              <w:rPr>
                <w:sz w:val="20"/>
                <w:szCs w:val="20"/>
              </w:rPr>
              <w:t>4 241 959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8488" w14:textId="434CDE23" w:rsidR="00B3759A" w:rsidRPr="00B93AEE" w:rsidRDefault="001A6F82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>
              <w:rPr>
                <w:sz w:val="20"/>
                <w:szCs w:val="20"/>
              </w:rPr>
              <w:t>2 143 750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4F2A" w14:textId="05EBBC3D" w:rsidR="00B3759A" w:rsidRPr="0059266C" w:rsidRDefault="00B3759A" w:rsidP="00B11EEB">
            <w:pPr>
              <w:keepNext/>
              <w:spacing w:before="0"/>
              <w:jc w:val="right"/>
              <w:rPr>
                <w:spacing w:val="-12"/>
                <w:sz w:val="18"/>
                <w:szCs w:val="18"/>
                <w:lang w:eastAsia="cs-CZ"/>
              </w:rPr>
            </w:pPr>
            <w:r>
              <w:rPr>
                <w:sz w:val="20"/>
                <w:szCs w:val="20"/>
              </w:rPr>
              <w:t>3 485 066</w:t>
            </w:r>
          </w:p>
        </w:tc>
      </w:tr>
    </w:tbl>
    <w:p w14:paraId="2E4419D6" w14:textId="2FC649D3" w:rsidR="00B46221" w:rsidRDefault="00B46221" w:rsidP="00B3759A">
      <w:pPr>
        <w:keepNext/>
        <w:spacing w:before="0" w:line="259" w:lineRule="auto"/>
        <w:jc w:val="left"/>
        <w:rPr>
          <w:sz w:val="20"/>
          <w:szCs w:val="20"/>
        </w:rPr>
      </w:pPr>
      <w:r w:rsidRPr="00564B17">
        <w:rPr>
          <w:b/>
          <w:sz w:val="20"/>
          <w:szCs w:val="20"/>
        </w:rPr>
        <w:t>Zdroj:</w:t>
      </w:r>
      <w:r w:rsidRPr="00AC3BEC">
        <w:t xml:space="preserve"> </w:t>
      </w:r>
      <w:r>
        <w:rPr>
          <w:sz w:val="20"/>
          <w:szCs w:val="20"/>
        </w:rPr>
        <w:t>European Research Council</w:t>
      </w:r>
      <w:r w:rsidR="00AB2381">
        <w:rPr>
          <w:sz w:val="20"/>
          <w:szCs w:val="20"/>
        </w:rPr>
        <w:t>,</w:t>
      </w:r>
      <w:r>
        <w:t xml:space="preserve"> </w:t>
      </w:r>
      <w:hyperlink r:id="rId16" w:history="1">
        <w:r>
          <w:rPr>
            <w:rStyle w:val="Hypertextovodkaz"/>
            <w:sz w:val="20"/>
            <w:szCs w:val="20"/>
          </w:rPr>
          <w:t>odkaz</w:t>
        </w:r>
      </w:hyperlink>
      <w:r w:rsidR="00AB2381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</w:t>
      </w:r>
      <w:r w:rsidR="00AB2381">
        <w:rPr>
          <w:sz w:val="20"/>
          <w:szCs w:val="20"/>
        </w:rPr>
        <w:t xml:space="preserve"> NKÚ</w:t>
      </w:r>
      <w:r w:rsidR="00564B17">
        <w:rPr>
          <w:sz w:val="20"/>
          <w:szCs w:val="20"/>
        </w:rPr>
        <w:t>.</w:t>
      </w:r>
    </w:p>
    <w:p w14:paraId="529FDC71" w14:textId="650AFD0A" w:rsidR="00874447" w:rsidRDefault="00B46221" w:rsidP="00AB2381">
      <w:pPr>
        <w:keepNext/>
        <w:autoSpaceDE w:val="0"/>
        <w:autoSpaceDN w:val="0"/>
        <w:adjustRightInd w:val="0"/>
        <w:spacing w:before="0" w:after="120"/>
        <w:ind w:left="284" w:hanging="284"/>
        <w:rPr>
          <w:sz w:val="20"/>
          <w:szCs w:val="20"/>
        </w:rPr>
      </w:pPr>
      <w:r>
        <w:rPr>
          <w:sz w:val="20"/>
          <w:szCs w:val="20"/>
        </w:rPr>
        <w:t>*</w:t>
      </w:r>
      <w:r w:rsidR="00AB2381">
        <w:rPr>
          <w:sz w:val="20"/>
          <w:szCs w:val="20"/>
        </w:rPr>
        <w:tab/>
      </w:r>
      <w:r w:rsidR="002E2F80">
        <w:rPr>
          <w:sz w:val="20"/>
          <w:szCs w:val="20"/>
        </w:rPr>
        <w:t>Údaje k</w:t>
      </w:r>
      <w:r>
        <w:rPr>
          <w:sz w:val="20"/>
          <w:szCs w:val="20"/>
        </w:rPr>
        <w:t xml:space="preserve"> 1</w:t>
      </w:r>
      <w:r w:rsidR="004177EC">
        <w:rPr>
          <w:sz w:val="20"/>
          <w:szCs w:val="20"/>
        </w:rPr>
        <w:t>6. 2. 2021</w:t>
      </w:r>
      <w:r w:rsidR="00AB2381">
        <w:rPr>
          <w:sz w:val="20"/>
          <w:szCs w:val="20"/>
        </w:rPr>
        <w:t>.</w:t>
      </w:r>
    </w:p>
    <w:p w14:paraId="283707A3" w14:textId="167B8A0B" w:rsidR="00B46221" w:rsidRDefault="00B46221" w:rsidP="00B46221">
      <w:pPr>
        <w:spacing w:before="0" w:after="120" w:line="259" w:lineRule="auto"/>
      </w:pPr>
      <w:r w:rsidRPr="00F23FBD">
        <w:t xml:space="preserve">České </w:t>
      </w:r>
      <w:r w:rsidR="00AD40A4">
        <w:t xml:space="preserve">vysoké školy (vždy se jednalo o </w:t>
      </w:r>
      <w:r w:rsidRPr="00F23FBD">
        <w:t>VVŠ</w:t>
      </w:r>
      <w:r w:rsidR="00AD40A4">
        <w:t>)</w:t>
      </w:r>
      <w:r w:rsidRPr="00F23FBD">
        <w:t xml:space="preserve"> </w:t>
      </w:r>
      <w:r w:rsidR="00A3722A">
        <w:t>získaly v letech 2015 až 20</w:t>
      </w:r>
      <w:r w:rsidR="00B11EEB">
        <w:t>20</w:t>
      </w:r>
      <w:r>
        <w:t xml:space="preserve"> celkově 1</w:t>
      </w:r>
      <w:r w:rsidR="00B11EEB">
        <w:t>9</w:t>
      </w:r>
      <w:r w:rsidRPr="00F23FBD">
        <w:t xml:space="preserve"> </w:t>
      </w:r>
      <w:r w:rsidR="00215D19" w:rsidRPr="00F23FBD">
        <w:t xml:space="preserve">grantů </w:t>
      </w:r>
      <w:r w:rsidRPr="00F23FBD">
        <w:t>ERC. V tabu</w:t>
      </w:r>
      <w:r>
        <w:t>lce jich je zaznamenáno pouze</w:t>
      </w:r>
      <w:r w:rsidR="004034A6">
        <w:t xml:space="preserve"> 17</w:t>
      </w:r>
      <w:r w:rsidRPr="00F23FBD">
        <w:t>, protože ČR ztratila dva granty v letech 2017 a</w:t>
      </w:r>
      <w:r w:rsidR="00215D19">
        <w:t> </w:t>
      </w:r>
      <w:r w:rsidRPr="00F23FBD">
        <w:t>2018 tím, že jejich řešitelé (oba z</w:t>
      </w:r>
      <w:r w:rsidR="000F09D5">
        <w:t> Univerzity Karlovy</w:t>
      </w:r>
      <w:r w:rsidRPr="00F23FBD">
        <w:t>) odešli i s granty na zahraniční vysoké školy. Ve výchozím roce 2015 získaly české V</w:t>
      </w:r>
      <w:r>
        <w:t>V</w:t>
      </w:r>
      <w:r w:rsidRPr="00F23FBD">
        <w:t xml:space="preserve">Š tři </w:t>
      </w:r>
      <w:r w:rsidR="00215D19" w:rsidRPr="00F23FBD">
        <w:t xml:space="preserve">granty </w:t>
      </w:r>
      <w:r w:rsidRPr="00F23FBD">
        <w:t>ERC v celkové výši podpory téměř 6,6 mil. </w:t>
      </w:r>
      <w:r w:rsidR="00215D19">
        <w:t>€</w:t>
      </w:r>
      <w:r w:rsidRPr="00F23FBD">
        <w:t xml:space="preserve">. </w:t>
      </w:r>
      <w:r w:rsidR="002369C7">
        <w:t>Č</w:t>
      </w:r>
      <w:r w:rsidRPr="00F23FBD">
        <w:t>eské V</w:t>
      </w:r>
      <w:r>
        <w:t>V</w:t>
      </w:r>
      <w:r w:rsidRPr="00F23FBD">
        <w:t>Š dosáhly vyššího</w:t>
      </w:r>
      <w:r w:rsidR="009375CD">
        <w:t xml:space="preserve"> </w:t>
      </w:r>
      <w:r w:rsidRPr="00F23FBD">
        <w:t xml:space="preserve">počtu držitelů </w:t>
      </w:r>
      <w:r w:rsidR="00215D19" w:rsidRPr="00F23FBD">
        <w:t xml:space="preserve">grantů </w:t>
      </w:r>
      <w:r w:rsidRPr="00F23FBD">
        <w:t xml:space="preserve">ERC a </w:t>
      </w:r>
      <w:r w:rsidR="009375CD">
        <w:t xml:space="preserve">většího objemu </w:t>
      </w:r>
      <w:r w:rsidRPr="00F23FBD">
        <w:t>podpory pouze</w:t>
      </w:r>
      <w:r>
        <w:t xml:space="preserve"> v roce 2017. V následujících letech došlo k poklesu</w:t>
      </w:r>
      <w:r w:rsidRPr="00F23FBD">
        <w:t xml:space="preserve"> jak v počtu </w:t>
      </w:r>
      <w:r>
        <w:t xml:space="preserve">držitelů </w:t>
      </w:r>
      <w:r w:rsidR="00215D19">
        <w:t xml:space="preserve">grantů </w:t>
      </w:r>
      <w:r>
        <w:t>ERC</w:t>
      </w:r>
      <w:r w:rsidRPr="00F23FBD">
        <w:t xml:space="preserve">, tak i ve výši </w:t>
      </w:r>
      <w:r>
        <w:t>získané</w:t>
      </w:r>
      <w:r w:rsidRPr="00F23FBD">
        <w:t xml:space="preserve"> podpory. </w:t>
      </w:r>
      <w:r>
        <w:t xml:space="preserve">V průběžném hodnocení DZ VŠ 2016 MŠMT uvedlo, že průměrný </w:t>
      </w:r>
      <w:r w:rsidR="00D5756D">
        <w:t>počet grantových držitelů v EU</w:t>
      </w:r>
      <w:r>
        <w:t xml:space="preserve"> se pohybuje kolem 12,3. MŠMT k tomu mj. uvedlo</w:t>
      </w:r>
      <w:r w:rsidR="009375CD">
        <w:t>:</w:t>
      </w:r>
      <w:r>
        <w:t xml:space="preserve"> </w:t>
      </w:r>
      <w:r w:rsidRPr="00B538BF">
        <w:t>„</w:t>
      </w:r>
      <w:r w:rsidRPr="00E8003D">
        <w:rPr>
          <w:i/>
        </w:rPr>
        <w:t>Účast v</w:t>
      </w:r>
      <w:r w:rsidR="00215D19">
        <w:rPr>
          <w:i/>
        </w:rPr>
        <w:t> </w:t>
      </w:r>
      <w:r w:rsidRPr="00E8003D">
        <w:rPr>
          <w:i/>
        </w:rPr>
        <w:t>projektech financovaných z ERC grantu může být v ČR ovlivněna možností vysokoškolského sektoru získávat zdroje z OP VVV, který není tak kompetitivní.</w:t>
      </w:r>
      <w:r w:rsidRPr="00B538BF">
        <w:t>“</w:t>
      </w:r>
      <w:r w:rsidRPr="00215D19">
        <w:t xml:space="preserve"> </w:t>
      </w:r>
    </w:p>
    <w:p w14:paraId="50FE1D01" w14:textId="6A86DD9A" w:rsidR="00B46221" w:rsidRDefault="00B46221" w:rsidP="00760751">
      <w:pPr>
        <w:spacing w:before="0" w:after="120" w:line="259" w:lineRule="auto"/>
      </w:pPr>
      <w:r>
        <w:t>S</w:t>
      </w:r>
      <w:r w:rsidRPr="00B46221">
        <w:t xml:space="preserve">tanovený cíl v podobě meziročního růstu počtu držitelů prestižních </w:t>
      </w:r>
      <w:r w:rsidR="009375CD" w:rsidRPr="00B46221">
        <w:t xml:space="preserve">grantů </w:t>
      </w:r>
      <w:r w:rsidRPr="00B46221">
        <w:t>ERC a přiblížení se evropskému průměru</w:t>
      </w:r>
      <w:r>
        <w:t xml:space="preserve"> se nepodařilo splnit</w:t>
      </w:r>
      <w:r w:rsidRPr="00B46221">
        <w:t xml:space="preserve">. V této oblasti naopak došlo dle dostupných dat ke zhoršení, </w:t>
      </w:r>
      <w:r w:rsidR="009375CD">
        <w:t>neboť</w:t>
      </w:r>
      <w:r w:rsidRPr="00B46221">
        <w:t xml:space="preserve"> ve většině let byly české VVŠ oproti výchozímu roku 2015 méně úspěšné v počtu získaných grantů i celkové výši obdržené podpory</w:t>
      </w:r>
      <w:r>
        <w:t xml:space="preserve">. </w:t>
      </w:r>
      <w:r w:rsidR="00D9118F">
        <w:t>Ve sledovaném</w:t>
      </w:r>
      <w:r w:rsidRPr="00B46221">
        <w:t xml:space="preserve"> období</w:t>
      </w:r>
      <w:r w:rsidR="00D9118F">
        <w:t xml:space="preserve"> rovněž</w:t>
      </w:r>
      <w:r w:rsidRPr="00B46221">
        <w:t xml:space="preserve"> </w:t>
      </w:r>
      <w:r w:rsidR="00D9118F">
        <w:t>odešli dva vědci</w:t>
      </w:r>
      <w:r w:rsidRPr="00B46221">
        <w:t xml:space="preserve"> na zahraniční vysoké školy i se získanými </w:t>
      </w:r>
      <w:r w:rsidR="009375CD" w:rsidRPr="00B46221">
        <w:t xml:space="preserve">granty </w:t>
      </w:r>
      <w:r w:rsidRPr="00B46221">
        <w:t>ERC.</w:t>
      </w:r>
    </w:p>
    <w:p w14:paraId="067F6F67" w14:textId="4DC39F3B" w:rsidR="005908FE" w:rsidRDefault="005908FE" w:rsidP="005908FE">
      <w:pPr>
        <w:autoSpaceDE w:val="0"/>
        <w:autoSpaceDN w:val="0"/>
        <w:adjustRightInd w:val="0"/>
        <w:spacing w:before="0" w:after="120"/>
      </w:pPr>
      <w:r>
        <w:t xml:space="preserve">Podporu </w:t>
      </w:r>
      <w:r w:rsidR="00E62370">
        <w:t>propojení vysokých škol s mezinárodním prostředím</w:t>
      </w:r>
      <w:r>
        <w:t xml:space="preserve"> zohlednilo </w:t>
      </w:r>
      <w:r w:rsidR="000B4E86">
        <w:t xml:space="preserve">MŠMT </w:t>
      </w:r>
      <w:r>
        <w:t xml:space="preserve">i v systému rozdělování prostředků jednotlivým VVŠ. Na podporu mezinárodní spolupráce je stanoven rozpočtový okruh IV. Rovněž v rámci výkonové části rozpočtového okruhu I stanovilo MŠMT indikátor </w:t>
      </w:r>
      <w:r w:rsidR="00141DB6">
        <w:t>„</w:t>
      </w:r>
      <w:r w:rsidR="000B4E86" w:rsidRPr="00B11EEB">
        <w:rPr>
          <w:i/>
        </w:rPr>
        <w:t>m</w:t>
      </w:r>
      <w:r w:rsidRPr="00B11EEB">
        <w:rPr>
          <w:i/>
        </w:rPr>
        <w:t>ezinárodní mobilit</w:t>
      </w:r>
      <w:r w:rsidR="000B4E86">
        <w:rPr>
          <w:i/>
        </w:rPr>
        <w:t>a</w:t>
      </w:r>
      <w:r w:rsidR="00141DB6">
        <w:t>“</w:t>
      </w:r>
      <w:r>
        <w:t xml:space="preserve"> s váhou 20</w:t>
      </w:r>
      <w:r w:rsidR="000B4E86">
        <w:t>–</w:t>
      </w:r>
      <w:r>
        <w:t xml:space="preserve">22 %, což je v rámci </w:t>
      </w:r>
      <w:r w:rsidR="00141DB6">
        <w:t>této části nadprůměrná hodnota.</w:t>
      </w:r>
    </w:p>
    <w:p w14:paraId="42621F23" w14:textId="49AEFA7B" w:rsidR="005908FE" w:rsidRDefault="00E62370" w:rsidP="005908FE">
      <w:pPr>
        <w:spacing w:before="0" w:after="120" w:line="259" w:lineRule="auto"/>
      </w:pPr>
      <w:r>
        <w:t>V oblasti propojení s mezinárodním prostředím</w:t>
      </w:r>
      <w:r w:rsidR="005908FE">
        <w:t xml:space="preserve"> stanovilo MŠMT pět měřitelných indikátorů, jejichž vývoj hodnotilo v průběžném hodnocení DZ VŠ 2016. Jedná se zejména o indikátory sledující mezinárodní mobilitu studentů, počty studijních programů realizovaných ve spolupráci se zahraničními vysokými školami a studijní progr</w:t>
      </w:r>
      <w:r w:rsidR="004B58B8">
        <w:t>amy vyučované v cizím jazyce. Z </w:t>
      </w:r>
      <w:r w:rsidR="005908FE">
        <w:t>průběžného hodnocení vyplývá, že v této oblasti dochází ke zlepšení a stanovené cíle se daří plnit.</w:t>
      </w:r>
    </w:p>
    <w:p w14:paraId="781F08AD" w14:textId="009656DD" w:rsidR="003F0C70" w:rsidRDefault="00EA46D2" w:rsidP="00B46221">
      <w:pPr>
        <w:autoSpaceDE w:val="0"/>
        <w:autoSpaceDN w:val="0"/>
        <w:adjustRightInd w:val="0"/>
        <w:spacing w:before="0" w:after="120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>5</w:t>
      </w:r>
      <w:r w:rsidR="003F0C70" w:rsidRPr="003F0C70">
        <w:rPr>
          <w:rFonts w:eastAsia="Calibri"/>
          <w:b/>
          <w:color w:val="000000" w:themeColor="text1"/>
        </w:rPr>
        <w:t xml:space="preserve">. </w:t>
      </w:r>
      <w:r w:rsidR="00BC418C" w:rsidRPr="003F0C70">
        <w:rPr>
          <w:rFonts w:eastAsia="Calibri"/>
          <w:b/>
          <w:color w:val="000000" w:themeColor="text1"/>
        </w:rPr>
        <w:t xml:space="preserve">Stanovené indikátory </w:t>
      </w:r>
      <w:r w:rsidR="000259D6">
        <w:rPr>
          <w:rFonts w:eastAsia="Calibri"/>
          <w:b/>
          <w:color w:val="000000" w:themeColor="text1"/>
        </w:rPr>
        <w:t xml:space="preserve">vypovídají o </w:t>
      </w:r>
      <w:r w:rsidR="00BC418C">
        <w:rPr>
          <w:rFonts w:eastAsia="Calibri"/>
          <w:b/>
          <w:color w:val="000000" w:themeColor="text1"/>
        </w:rPr>
        <w:t>zhoršující se kvalitě</w:t>
      </w:r>
      <w:r w:rsidR="00BC418C" w:rsidRPr="003F0C70">
        <w:rPr>
          <w:rFonts w:eastAsia="Calibri"/>
          <w:b/>
          <w:color w:val="000000" w:themeColor="text1"/>
        </w:rPr>
        <w:t xml:space="preserve"> a relevanci výzkumu, vý</w:t>
      </w:r>
      <w:r w:rsidR="004B58B8">
        <w:rPr>
          <w:rFonts w:eastAsia="Calibri"/>
          <w:b/>
          <w:color w:val="000000" w:themeColor="text1"/>
        </w:rPr>
        <w:t>voje a </w:t>
      </w:r>
      <w:r w:rsidR="00BC418C" w:rsidRPr="003F0C70">
        <w:rPr>
          <w:rFonts w:eastAsia="Calibri"/>
          <w:b/>
          <w:color w:val="000000" w:themeColor="text1"/>
        </w:rPr>
        <w:t xml:space="preserve">inovací českých </w:t>
      </w:r>
      <w:r w:rsidR="0095347E">
        <w:rPr>
          <w:rFonts w:eastAsia="Calibri"/>
          <w:b/>
          <w:color w:val="000000" w:themeColor="text1"/>
        </w:rPr>
        <w:t>VVŠ</w:t>
      </w:r>
    </w:p>
    <w:p w14:paraId="630B216E" w14:textId="32CE36B6" w:rsidR="003F0C70" w:rsidRDefault="003F0C70" w:rsidP="00B46221">
      <w:pPr>
        <w:autoSpaceDE w:val="0"/>
        <w:autoSpaceDN w:val="0"/>
        <w:adjustRightInd w:val="0"/>
        <w:spacing w:before="0" w:after="120"/>
      </w:pPr>
      <w:r w:rsidRPr="008F6593">
        <w:t xml:space="preserve">Úspěšnost v čerpání grantů </w:t>
      </w:r>
      <w:r w:rsidR="008F6593" w:rsidRPr="008F6593">
        <w:t xml:space="preserve">ERC </w:t>
      </w:r>
      <w:r w:rsidRPr="008F6593">
        <w:t>a prostředků</w:t>
      </w:r>
      <w:r w:rsidRPr="003F0C70">
        <w:t xml:space="preserve"> z programu </w:t>
      </w:r>
      <w:r w:rsidRPr="00B11EEB">
        <w:rPr>
          <w:i/>
        </w:rPr>
        <w:t>Ho</w:t>
      </w:r>
      <w:r w:rsidR="00247A6C" w:rsidRPr="00B11EEB">
        <w:rPr>
          <w:i/>
        </w:rPr>
        <w:t>rizont 2020</w:t>
      </w:r>
      <w:r w:rsidR="00247A6C">
        <w:t xml:space="preserve"> </w:t>
      </w:r>
      <w:r w:rsidR="008F6593">
        <w:t xml:space="preserve">monitorovaly </w:t>
      </w:r>
      <w:r w:rsidR="00247A6C">
        <w:t>dva z </w:t>
      </w:r>
      <w:r w:rsidRPr="003F0C70">
        <w:t xml:space="preserve">pěti indikátorů, kterými MŠMT hodnotilo plnění prioritního cíle 5 DZ VŠ 2016: </w:t>
      </w:r>
      <w:r w:rsidR="00E13550">
        <w:t>„</w:t>
      </w:r>
      <w:r w:rsidR="008F6593" w:rsidRPr="00B11EEB">
        <w:rPr>
          <w:i/>
        </w:rPr>
        <w:t>k</w:t>
      </w:r>
      <w:r w:rsidR="00247A6C" w:rsidRPr="00B11EEB">
        <w:rPr>
          <w:i/>
        </w:rPr>
        <w:t>valitní a </w:t>
      </w:r>
      <w:r w:rsidRPr="00B11EEB">
        <w:rPr>
          <w:i/>
        </w:rPr>
        <w:t>relevantní výzkum, vývoj a inovace</w:t>
      </w:r>
      <w:r w:rsidR="00E13550">
        <w:t>“</w:t>
      </w:r>
      <w:r w:rsidRPr="003F0C70">
        <w:t>. Třetím indikátorem byl podíl příjmů na výzkumnou, vývojovou a inovační činnost ve vysokoškolském sektoru ČR plynoucích ze so</w:t>
      </w:r>
      <w:r>
        <w:t>ukromých zdrojů. J</w:t>
      </w:r>
      <w:r w:rsidRPr="003F0C70">
        <w:t>ak je uvedeno v předchozí</w:t>
      </w:r>
      <w:r>
        <w:t>ch</w:t>
      </w:r>
      <w:r w:rsidRPr="003F0C70">
        <w:t xml:space="preserve"> </w:t>
      </w:r>
      <w:r>
        <w:t xml:space="preserve">bodech tohoto kontrolního závěru, </w:t>
      </w:r>
      <w:r w:rsidR="00DD25AC">
        <w:t>tyto tři indikátory se nedařilo plnit.</w:t>
      </w:r>
    </w:p>
    <w:p w14:paraId="17FB2DF6" w14:textId="4DC70FB6" w:rsidR="008F511F" w:rsidRDefault="00DD25AC" w:rsidP="00B46221">
      <w:pPr>
        <w:autoSpaceDE w:val="0"/>
        <w:autoSpaceDN w:val="0"/>
        <w:adjustRightInd w:val="0"/>
        <w:spacing w:before="0" w:after="120"/>
      </w:pPr>
      <w:r>
        <w:lastRenderedPageBreak/>
        <w:t>Zbylé indikátory představovaly p</w:t>
      </w:r>
      <w:r w:rsidRPr="000B0DF4">
        <w:t xml:space="preserve">očet </w:t>
      </w:r>
      <w:r>
        <w:t xml:space="preserve">a citovanost </w:t>
      </w:r>
      <w:r w:rsidRPr="000B0DF4">
        <w:t>publikací vzniklý</w:t>
      </w:r>
      <w:r>
        <w:t>ch</w:t>
      </w:r>
      <w:r w:rsidRPr="000B0DF4">
        <w:t xml:space="preserve"> ve vysokoškolském sektoru ČR </w:t>
      </w:r>
      <w:r w:rsidR="007D7667">
        <w:t>v přepočtu na</w:t>
      </w:r>
      <w:r w:rsidRPr="000B0DF4">
        <w:t xml:space="preserve"> </w:t>
      </w:r>
      <w:r>
        <w:t>přepočteného</w:t>
      </w:r>
      <w:r w:rsidRPr="000B0DF4">
        <w:t xml:space="preserve"> pracovníka ve výzkumu a vývoji podle registru </w:t>
      </w:r>
      <w:r w:rsidRPr="00CA0DDF">
        <w:t>Thomson Reuters</w:t>
      </w:r>
      <w:r w:rsidRPr="000B0DF4">
        <w:t xml:space="preserve"> </w:t>
      </w:r>
      <w:r w:rsidRPr="00B11EEB">
        <w:rPr>
          <w:i/>
        </w:rPr>
        <w:t>Web of Science</w:t>
      </w:r>
      <w:r>
        <w:t>. Cílem bylo, aby oba indikátory</w:t>
      </w:r>
      <w:r w:rsidR="00C90BFF">
        <w:t xml:space="preserve"> vykazovaly růstovou tendenci a</w:t>
      </w:r>
      <w:r w:rsidR="007D7667">
        <w:t xml:space="preserve"> </w:t>
      </w:r>
      <w:r>
        <w:t xml:space="preserve">dosahovaly </w:t>
      </w:r>
      <w:r w:rsidRPr="00A52A8B">
        <w:t>minimálně průměr</w:t>
      </w:r>
      <w:r w:rsidR="00D5756D">
        <w:t>u zemí EU</w:t>
      </w:r>
      <w:r>
        <w:t>. V průběžném hodnocení DZ VŠ 2016 MŠMT uvedlo, že tyto indikátory mají omezenou vypovídací schopnost. Určité trendy jsou z nich však zřejmé.</w:t>
      </w:r>
      <w:r w:rsidR="0055386F">
        <w:t xml:space="preserve"> </w:t>
      </w:r>
      <w:r>
        <w:t xml:space="preserve">Počet publikací v ČR se ve sledovaném období </w:t>
      </w:r>
      <w:r w:rsidR="0055386F">
        <w:t>příliš</w:t>
      </w:r>
      <w:r>
        <w:t xml:space="preserve"> nezměnil a ve srovnání s průměrem EU byl téměř dvojnásobný, zatímco v citovanosti jsme pod evropským průměrem a ve sledovaném období let 2015 až 2018 došlo ke zhoršení jak vůči průměru EU, tak vůči výchozímu stavu roku 2015. </w:t>
      </w:r>
      <w:r w:rsidR="0055386F">
        <w:t xml:space="preserve">V roce 2016 činila průměrná normovaná citovanost v českém </w:t>
      </w:r>
      <w:r w:rsidR="00CA0DDF">
        <w:t>vysokoškolském</w:t>
      </w:r>
      <w:r w:rsidR="0055386F">
        <w:t xml:space="preserve"> sektoru 1,19 a byla dokonce mírně vyšší než v EU. V následujících letech je však zřejmý pokles, v roce 2018 činila citovanost v ČR již jen 0,95 a v EU 1,10. </w:t>
      </w:r>
      <w:r w:rsidR="00141DB6">
        <w:t>U českých VŠ</w:t>
      </w:r>
      <w:r>
        <w:t xml:space="preserve"> je tak v oblasti výzkumu a vývoje st</w:t>
      </w:r>
      <w:r w:rsidR="0095347E">
        <w:t>ále zřejmý důraz na kvantitu</w:t>
      </w:r>
      <w:r w:rsidR="000F2CB2">
        <w:t>,</w:t>
      </w:r>
      <w:r w:rsidR="0095347E">
        <w:t xml:space="preserve"> a ne na kvalit</w:t>
      </w:r>
      <w:r>
        <w:t>u, na což m</w:t>
      </w:r>
      <w:r w:rsidR="001F0CB9">
        <w:t>á vliv i </w:t>
      </w:r>
      <w:r>
        <w:t>hodnocení</w:t>
      </w:r>
      <w:r w:rsidR="00141DB6">
        <w:t xml:space="preserve"> výzkumných organizací, včetně </w:t>
      </w:r>
      <w:r>
        <w:t xml:space="preserve">VŠ, na základě </w:t>
      </w:r>
      <w:r w:rsidR="00141DB6">
        <w:rPr>
          <w:lang w:eastAsia="cs-CZ"/>
        </w:rPr>
        <w:t>tzv. RIV bodů.</w:t>
      </w:r>
    </w:p>
    <w:p w14:paraId="24CEDB72" w14:textId="242A24C9" w:rsidR="00DD25AC" w:rsidRDefault="00DD25AC" w:rsidP="00B46221">
      <w:pPr>
        <w:autoSpaceDE w:val="0"/>
        <w:autoSpaceDN w:val="0"/>
        <w:adjustRightInd w:val="0"/>
        <w:spacing w:before="0" w:after="120"/>
      </w:pPr>
      <w:r>
        <w:t xml:space="preserve">Indikátory stanovené pro hodnocení kvality a relevance </w:t>
      </w:r>
      <w:r w:rsidRPr="003F0C70">
        <w:t>výzkum</w:t>
      </w:r>
      <w:r>
        <w:t>u</w:t>
      </w:r>
      <w:r w:rsidRPr="003F0C70">
        <w:t>, vývoj</w:t>
      </w:r>
      <w:r>
        <w:t>e a inovací VVŠ se nedařilo plnit.</w:t>
      </w:r>
    </w:p>
    <w:p w14:paraId="616F8CFD" w14:textId="1EB652BC" w:rsidR="00F83F78" w:rsidRDefault="00EA46D2" w:rsidP="00B769EA">
      <w:pPr>
        <w:keepNext/>
        <w:autoSpaceDE w:val="0"/>
        <w:autoSpaceDN w:val="0"/>
        <w:adjustRightInd w:val="0"/>
        <w:spacing w:before="0" w:after="120"/>
        <w:rPr>
          <w:b/>
          <w:lang w:eastAsia="cs-CZ"/>
        </w:rPr>
      </w:pPr>
      <w:r>
        <w:rPr>
          <w:b/>
          <w:lang w:eastAsia="cs-CZ"/>
        </w:rPr>
        <w:t>6</w:t>
      </w:r>
      <w:r w:rsidR="007A6E91">
        <w:rPr>
          <w:b/>
          <w:lang w:eastAsia="cs-CZ"/>
        </w:rPr>
        <w:t xml:space="preserve">. </w:t>
      </w:r>
      <w:r w:rsidR="007A6E91" w:rsidRPr="008857DC">
        <w:rPr>
          <w:b/>
          <w:lang w:eastAsia="cs-CZ"/>
        </w:rPr>
        <w:t xml:space="preserve">Prostředky </w:t>
      </w:r>
      <w:r w:rsidR="007A6E91">
        <w:rPr>
          <w:b/>
          <w:lang w:eastAsia="cs-CZ"/>
        </w:rPr>
        <w:t>na investiční p</w:t>
      </w:r>
      <w:r w:rsidR="007A6E91" w:rsidRPr="008857DC">
        <w:rPr>
          <w:b/>
          <w:lang w:eastAsia="cs-CZ"/>
        </w:rPr>
        <w:t xml:space="preserve">rogram </w:t>
      </w:r>
      <w:r w:rsidR="007A6E91">
        <w:rPr>
          <w:b/>
          <w:lang w:eastAsia="cs-CZ"/>
        </w:rPr>
        <w:t xml:space="preserve">zůstávají </w:t>
      </w:r>
      <w:r w:rsidR="007A6E91" w:rsidRPr="008857DC">
        <w:rPr>
          <w:b/>
          <w:lang w:eastAsia="cs-CZ"/>
        </w:rPr>
        <w:t xml:space="preserve">i přes </w:t>
      </w:r>
      <w:r w:rsidR="007A6E91">
        <w:rPr>
          <w:b/>
          <w:lang w:eastAsia="cs-CZ"/>
        </w:rPr>
        <w:t>jeho opakované prodloužení nevyčerpány</w:t>
      </w:r>
    </w:p>
    <w:p w14:paraId="4790FEC6" w14:textId="2469140F" w:rsidR="00F83F78" w:rsidRDefault="00F83F78" w:rsidP="00B769EA">
      <w:pPr>
        <w:keepNext/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U</w:t>
      </w:r>
      <w:r w:rsidRPr="004E3FDF">
        <w:rPr>
          <w:lang w:eastAsia="cs-CZ"/>
        </w:rPr>
        <w:t xml:space="preserve">snesením vlády České republiky ze dne 31. </w:t>
      </w:r>
      <w:r w:rsidR="00D03C38">
        <w:rPr>
          <w:lang w:eastAsia="cs-CZ"/>
        </w:rPr>
        <w:t>srpna</w:t>
      </w:r>
      <w:r w:rsidRPr="004E3FDF">
        <w:rPr>
          <w:lang w:eastAsia="cs-CZ"/>
        </w:rPr>
        <w:t xml:space="preserve"> 2011</w:t>
      </w:r>
      <w:r>
        <w:rPr>
          <w:lang w:eastAsia="cs-CZ"/>
        </w:rPr>
        <w:t xml:space="preserve"> </w:t>
      </w:r>
      <w:r w:rsidR="00D03C38" w:rsidRPr="004E3FDF">
        <w:rPr>
          <w:lang w:eastAsia="cs-CZ"/>
        </w:rPr>
        <w:t xml:space="preserve">č. 653 </w:t>
      </w:r>
      <w:r>
        <w:rPr>
          <w:lang w:eastAsia="cs-CZ"/>
        </w:rPr>
        <w:t xml:space="preserve">byl schválen </w:t>
      </w:r>
      <w:r w:rsidR="00D03C38">
        <w:rPr>
          <w:lang w:eastAsia="cs-CZ"/>
        </w:rPr>
        <w:t>p</w:t>
      </w:r>
      <w:r w:rsidR="001F0CB9">
        <w:rPr>
          <w:lang w:eastAsia="cs-CZ"/>
        </w:rPr>
        <w:t xml:space="preserve">rogram </w:t>
      </w:r>
      <w:r w:rsidR="00D03C38">
        <w:rPr>
          <w:lang w:eastAsia="cs-CZ"/>
        </w:rPr>
        <w:br/>
      </w:r>
      <w:r w:rsidR="001F0CB9">
        <w:rPr>
          <w:lang w:eastAsia="cs-CZ"/>
        </w:rPr>
        <w:t>133 210 –</w:t>
      </w:r>
      <w:r w:rsidRPr="00F83F78">
        <w:rPr>
          <w:lang w:eastAsia="cs-CZ"/>
        </w:rPr>
        <w:t xml:space="preserve"> </w:t>
      </w:r>
      <w:r w:rsidRPr="00B11EEB">
        <w:rPr>
          <w:i/>
          <w:lang w:eastAsia="cs-CZ"/>
        </w:rPr>
        <w:t>Rozvoj a obnova materiálně technické základny veřejných vysokých škol</w:t>
      </w:r>
      <w:r>
        <w:rPr>
          <w:lang w:eastAsia="cs-CZ"/>
        </w:rPr>
        <w:t>. Cílem programu byla</w:t>
      </w:r>
      <w:r w:rsidRPr="00973654">
        <w:rPr>
          <w:lang w:eastAsia="cs-CZ"/>
        </w:rPr>
        <w:t xml:space="preserve"> obnova a rozvoj vysokoškolské infrastruktury podporující zkvalitnění výuky, výzkumu a kultury a</w:t>
      </w:r>
      <w:r>
        <w:rPr>
          <w:lang w:eastAsia="cs-CZ"/>
        </w:rPr>
        <w:t>kademického prostředí.</w:t>
      </w:r>
      <w:r w:rsidRPr="00F83F78">
        <w:rPr>
          <w:lang w:eastAsia="cs-CZ"/>
        </w:rPr>
        <w:t xml:space="preserve"> </w:t>
      </w:r>
      <w:r>
        <w:rPr>
          <w:lang w:eastAsia="cs-CZ"/>
        </w:rPr>
        <w:t>Program MŠMT vyhlásilo na období let 2011 až 2016.</w:t>
      </w:r>
    </w:p>
    <w:p w14:paraId="600C66E9" w14:textId="429A5C8C" w:rsidR="00F83F78" w:rsidRDefault="00F83F78" w:rsidP="00B46221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Program 133 210 prověřoval NKÚ již v rámci kontrolní akce č. 16/31</w:t>
      </w:r>
      <w:r w:rsidR="00D03C38">
        <w:rPr>
          <w:lang w:eastAsia="cs-CZ"/>
        </w:rPr>
        <w:t xml:space="preserve"> –</w:t>
      </w:r>
      <w:r>
        <w:rPr>
          <w:lang w:eastAsia="cs-CZ"/>
        </w:rPr>
        <w:t xml:space="preserve"> </w:t>
      </w:r>
      <w:r w:rsidRPr="00951CBF">
        <w:rPr>
          <w:i/>
          <w:lang w:eastAsia="cs-CZ"/>
        </w:rPr>
        <w:t>Rozvoj a obnova materiálně technické základny veřejných vysokých škol</w:t>
      </w:r>
      <w:r>
        <w:rPr>
          <w:lang w:eastAsia="cs-CZ"/>
        </w:rPr>
        <w:t>. NKÚ v kontrolním závěru z července 2017 mj. uvedl, že tento p</w:t>
      </w:r>
      <w:r w:rsidRPr="00B86C6B">
        <w:rPr>
          <w:lang w:eastAsia="cs-CZ"/>
        </w:rPr>
        <w:t>rogram nevycházel z jasně definovaných technických parametrů</w:t>
      </w:r>
      <w:r>
        <w:rPr>
          <w:lang w:eastAsia="cs-CZ"/>
        </w:rPr>
        <w:t xml:space="preserve">, </w:t>
      </w:r>
      <w:r w:rsidRPr="00B86C6B">
        <w:rPr>
          <w:lang w:eastAsia="cs-CZ"/>
        </w:rPr>
        <w:t>ne</w:t>
      </w:r>
      <w:r>
        <w:rPr>
          <w:lang w:eastAsia="cs-CZ"/>
        </w:rPr>
        <w:t>byl</w:t>
      </w:r>
      <w:r w:rsidRPr="00B86C6B">
        <w:rPr>
          <w:lang w:eastAsia="cs-CZ"/>
        </w:rPr>
        <w:t xml:space="preserve"> realizován podle </w:t>
      </w:r>
      <w:r>
        <w:rPr>
          <w:lang w:eastAsia="cs-CZ"/>
        </w:rPr>
        <w:t>původně stanovených předpokladů a</w:t>
      </w:r>
      <w:r w:rsidRPr="00503E6E">
        <w:rPr>
          <w:lang w:eastAsia="cs-CZ"/>
        </w:rPr>
        <w:t xml:space="preserve"> </w:t>
      </w:r>
      <w:r>
        <w:rPr>
          <w:lang w:eastAsia="cs-CZ"/>
        </w:rPr>
        <w:t xml:space="preserve">nebude jej možno adekvátně vyhodnotit. </w:t>
      </w:r>
      <w:r w:rsidRPr="00503E6E">
        <w:rPr>
          <w:lang w:eastAsia="cs-CZ"/>
        </w:rPr>
        <w:t>MŠMT schvalovalo koncepční záměry, které neo</w:t>
      </w:r>
      <w:r w:rsidR="001F0CB9">
        <w:rPr>
          <w:lang w:eastAsia="cs-CZ"/>
        </w:rPr>
        <w:t>bsahovaly kompletní informace z </w:t>
      </w:r>
      <w:r w:rsidRPr="00503E6E">
        <w:rPr>
          <w:lang w:eastAsia="cs-CZ"/>
        </w:rPr>
        <w:t>oblasti financování rozvoje investičních potřeb VVŠ</w:t>
      </w:r>
      <w:r>
        <w:rPr>
          <w:lang w:eastAsia="cs-CZ"/>
        </w:rPr>
        <w:t>.</w:t>
      </w:r>
      <w:r w:rsidRPr="00503E6E">
        <w:rPr>
          <w:lang w:eastAsia="cs-CZ"/>
        </w:rPr>
        <w:t xml:space="preserve"> </w:t>
      </w:r>
      <w:r>
        <w:rPr>
          <w:lang w:eastAsia="cs-CZ"/>
        </w:rPr>
        <w:t>Dále NKÚ upozornil mj. na riziko, že n</w:t>
      </w:r>
      <w:r w:rsidRPr="00503E6E">
        <w:rPr>
          <w:lang w:eastAsia="cs-CZ"/>
        </w:rPr>
        <w:t>edostatečná připravenost jednotlivých akcí povede k dalšímu prodlužování programu.</w:t>
      </w:r>
    </w:p>
    <w:p w14:paraId="761B06FE" w14:textId="42D24EB6" w:rsidR="00F83F78" w:rsidRDefault="00F83F78" w:rsidP="00B46221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 xml:space="preserve">MŠMT </w:t>
      </w:r>
      <w:r w:rsidR="00E45B68">
        <w:rPr>
          <w:lang w:eastAsia="cs-CZ"/>
        </w:rPr>
        <w:t>p</w:t>
      </w:r>
      <w:r>
        <w:rPr>
          <w:lang w:eastAsia="cs-CZ"/>
        </w:rPr>
        <w:t>rogram 133 210 dvakrát aktualizovalo. P</w:t>
      </w:r>
      <w:r w:rsidRPr="00973654">
        <w:rPr>
          <w:lang w:eastAsia="cs-CZ"/>
        </w:rPr>
        <w:t>rvní aktualizace byla schválena usnesením v</w:t>
      </w:r>
      <w:r w:rsidR="00605D9A">
        <w:rPr>
          <w:lang w:eastAsia="cs-CZ"/>
        </w:rPr>
        <w:t>lády České republiky ze dne 24.</w:t>
      </w:r>
      <w:r w:rsidR="0033012A">
        <w:rPr>
          <w:lang w:eastAsia="cs-CZ"/>
        </w:rPr>
        <w:t xml:space="preserve"> června </w:t>
      </w:r>
      <w:r w:rsidRPr="00973654">
        <w:rPr>
          <w:lang w:eastAsia="cs-CZ"/>
        </w:rPr>
        <w:t>2015</w:t>
      </w:r>
      <w:r w:rsidRPr="00826BE3">
        <w:rPr>
          <w:lang w:eastAsia="cs-CZ"/>
        </w:rPr>
        <w:t xml:space="preserve"> </w:t>
      </w:r>
      <w:r w:rsidRPr="00973654">
        <w:rPr>
          <w:lang w:eastAsia="cs-CZ"/>
        </w:rPr>
        <w:t>č. 494</w:t>
      </w:r>
      <w:r>
        <w:rPr>
          <w:lang w:eastAsia="cs-CZ"/>
        </w:rPr>
        <w:t>. Tímto usnesením byla lhůta realiz</w:t>
      </w:r>
      <w:r w:rsidR="00605D9A">
        <w:rPr>
          <w:lang w:eastAsia="cs-CZ"/>
        </w:rPr>
        <w:t>ace programu prodloužena do 31. 12. </w:t>
      </w:r>
      <w:r>
        <w:rPr>
          <w:lang w:eastAsia="cs-CZ"/>
        </w:rPr>
        <w:t>2019.</w:t>
      </w:r>
      <w:r w:rsidRPr="00973654">
        <w:rPr>
          <w:lang w:eastAsia="cs-CZ"/>
        </w:rPr>
        <w:t xml:space="preserve"> </w:t>
      </w:r>
      <w:r>
        <w:rPr>
          <w:lang w:eastAsia="cs-CZ"/>
        </w:rPr>
        <w:t>D</w:t>
      </w:r>
      <w:r w:rsidRPr="00973654">
        <w:rPr>
          <w:lang w:eastAsia="cs-CZ"/>
        </w:rPr>
        <w:t xml:space="preserve">ruhá aktualizace byla schválena usnesením vlády </w:t>
      </w:r>
      <w:r w:rsidR="00605D9A">
        <w:rPr>
          <w:lang w:eastAsia="cs-CZ"/>
        </w:rPr>
        <w:t>ze dne 9.</w:t>
      </w:r>
      <w:r w:rsidR="0033012A">
        <w:rPr>
          <w:lang w:eastAsia="cs-CZ"/>
        </w:rPr>
        <w:t xml:space="preserve"> prosince </w:t>
      </w:r>
      <w:r>
        <w:rPr>
          <w:lang w:eastAsia="cs-CZ"/>
        </w:rPr>
        <w:t>2019</w:t>
      </w:r>
      <w:r w:rsidRPr="00826BE3">
        <w:rPr>
          <w:lang w:eastAsia="cs-CZ"/>
        </w:rPr>
        <w:t xml:space="preserve"> </w:t>
      </w:r>
      <w:r w:rsidRPr="00973654">
        <w:rPr>
          <w:lang w:eastAsia="cs-CZ"/>
        </w:rPr>
        <w:t>č.</w:t>
      </w:r>
      <w:r>
        <w:rPr>
          <w:lang w:eastAsia="cs-CZ"/>
        </w:rPr>
        <w:t> 899. Tímto usnesením byla lhůta realiz</w:t>
      </w:r>
      <w:r w:rsidR="00605D9A">
        <w:rPr>
          <w:lang w:eastAsia="cs-CZ"/>
        </w:rPr>
        <w:t>ace programu prodloužena do 31. 12. </w:t>
      </w:r>
      <w:r>
        <w:rPr>
          <w:lang w:eastAsia="cs-CZ"/>
        </w:rPr>
        <w:t>2021.</w:t>
      </w:r>
      <w:r w:rsidR="005645D5">
        <w:rPr>
          <w:lang w:eastAsia="cs-CZ"/>
        </w:rPr>
        <w:t xml:space="preserve"> Na základě druhé aktualizace již VVŠ nemohly do programu zaregistrovat další investiční akce, </w:t>
      </w:r>
      <w:r w:rsidR="0033012A">
        <w:rPr>
          <w:lang w:eastAsia="cs-CZ"/>
        </w:rPr>
        <w:t xml:space="preserve">neboť </w:t>
      </w:r>
      <w:r w:rsidR="005645D5">
        <w:rPr>
          <w:lang w:eastAsia="cs-CZ"/>
        </w:rPr>
        <w:t>prodloužení sloužilo pouze k dokončení realizací již započatých akcí.</w:t>
      </w:r>
      <w:r w:rsidR="00A235B2">
        <w:rPr>
          <w:lang w:eastAsia="cs-CZ"/>
        </w:rPr>
        <w:t xml:space="preserve"> </w:t>
      </w:r>
      <w:r>
        <w:rPr>
          <w:lang w:eastAsia="cs-CZ"/>
        </w:rPr>
        <w:t xml:space="preserve">Přehled </w:t>
      </w:r>
      <w:r w:rsidR="003113CC">
        <w:rPr>
          <w:lang w:eastAsia="cs-CZ"/>
        </w:rPr>
        <w:t>alokace a skutečného čerpání</w:t>
      </w:r>
      <w:r>
        <w:rPr>
          <w:lang w:eastAsia="cs-CZ"/>
        </w:rPr>
        <w:t xml:space="preserve"> </w:t>
      </w:r>
      <w:r w:rsidR="003113CC">
        <w:rPr>
          <w:lang w:eastAsia="cs-CZ"/>
        </w:rPr>
        <w:t xml:space="preserve">prostředků </w:t>
      </w:r>
      <w:r>
        <w:rPr>
          <w:lang w:eastAsia="cs-CZ"/>
        </w:rPr>
        <w:t>programu ze státního rozpočtu zobrazuje následující tabulka.</w:t>
      </w:r>
    </w:p>
    <w:p w14:paraId="4DE60787" w14:textId="160A21A2" w:rsidR="00F83F78" w:rsidRDefault="00F83F78" w:rsidP="002F33B6">
      <w:pPr>
        <w:keepNext/>
        <w:tabs>
          <w:tab w:val="right" w:pos="9070"/>
        </w:tabs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lastRenderedPageBreak/>
        <w:t xml:space="preserve">Tabulka č. </w:t>
      </w:r>
      <w:r w:rsidR="008E4F89">
        <w:rPr>
          <w:lang w:eastAsia="cs-CZ"/>
        </w:rPr>
        <w:t>10</w:t>
      </w:r>
      <w:r>
        <w:rPr>
          <w:lang w:eastAsia="cs-CZ"/>
        </w:rPr>
        <w:t xml:space="preserve">: </w:t>
      </w:r>
      <w:r w:rsidR="003113CC">
        <w:rPr>
          <w:lang w:eastAsia="cs-CZ"/>
        </w:rPr>
        <w:t>Alokace a skutečné</w:t>
      </w:r>
      <w:r w:rsidR="003113CC" w:rsidRPr="003113CC">
        <w:rPr>
          <w:lang w:eastAsia="cs-CZ"/>
        </w:rPr>
        <w:t xml:space="preserve"> čerpání </w:t>
      </w:r>
      <w:r w:rsidR="006D0899">
        <w:rPr>
          <w:lang w:eastAsia="cs-CZ"/>
        </w:rPr>
        <w:t>p</w:t>
      </w:r>
      <w:r>
        <w:rPr>
          <w:lang w:eastAsia="cs-CZ"/>
        </w:rPr>
        <w:t xml:space="preserve">rogramu 133 210 </w:t>
      </w:r>
      <w:r w:rsidR="002F33B6">
        <w:rPr>
          <w:lang w:eastAsia="cs-CZ"/>
        </w:rPr>
        <w:tab/>
        <w:t>(</w:t>
      </w:r>
      <w:r>
        <w:rPr>
          <w:lang w:eastAsia="cs-CZ"/>
        </w:rPr>
        <w:t>v Kč</w:t>
      </w:r>
      <w:r w:rsidR="002F33B6">
        <w:rPr>
          <w:lang w:eastAsia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5"/>
        <w:gridCol w:w="2028"/>
        <w:gridCol w:w="2029"/>
        <w:gridCol w:w="2029"/>
        <w:gridCol w:w="2029"/>
      </w:tblGrid>
      <w:tr w:rsidR="00F83F78" w:rsidRPr="004D51B7" w14:paraId="632AB64D" w14:textId="77777777" w:rsidTr="00F01649">
        <w:tc>
          <w:tcPr>
            <w:tcW w:w="946" w:type="dxa"/>
            <w:shd w:val="clear" w:color="auto" w:fill="E5F1FF"/>
            <w:vAlign w:val="center"/>
          </w:tcPr>
          <w:p w14:paraId="0CBBB158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Rok</w:t>
            </w:r>
          </w:p>
        </w:tc>
        <w:tc>
          <w:tcPr>
            <w:tcW w:w="2029" w:type="dxa"/>
            <w:shd w:val="clear" w:color="auto" w:fill="E5F1FF"/>
            <w:vAlign w:val="center"/>
          </w:tcPr>
          <w:p w14:paraId="178F34A5" w14:textId="1DB905F1" w:rsidR="00F83F78" w:rsidRPr="004D51B7" w:rsidRDefault="00F83F78" w:rsidP="00320E86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Dokumentace 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rogramu 133 210</w:t>
            </w:r>
          </w:p>
        </w:tc>
        <w:tc>
          <w:tcPr>
            <w:tcW w:w="2029" w:type="dxa"/>
            <w:shd w:val="clear" w:color="auto" w:fill="E5F1FF"/>
            <w:vAlign w:val="center"/>
          </w:tcPr>
          <w:p w14:paraId="6BE34FD7" w14:textId="5E25A9F8" w:rsidR="00F83F78" w:rsidRPr="004D51B7" w:rsidRDefault="00F83F78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Ak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tualizace dokumentace 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rogramu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D0899"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133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6D0899"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210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roku 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2029" w:type="dxa"/>
            <w:shd w:val="clear" w:color="auto" w:fill="E5F1FF"/>
            <w:vAlign w:val="center"/>
          </w:tcPr>
          <w:p w14:paraId="0A7AEA43" w14:textId="65F66A81" w:rsidR="00F83F78" w:rsidRPr="004D51B7" w:rsidRDefault="00F83F78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Aktualizace dokumentace 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ro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gramu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D0899"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133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6D0899"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210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roku 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029" w:type="dxa"/>
            <w:shd w:val="clear" w:color="auto" w:fill="E5F1FF"/>
            <w:vAlign w:val="center"/>
          </w:tcPr>
          <w:p w14:paraId="2879C942" w14:textId="3960C7C8" w:rsidR="00F83F78" w:rsidRPr="004D51B7" w:rsidRDefault="00F83F78">
            <w:pPr>
              <w:keepNext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Skutečnost do roku 2019 + plán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roky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2020 a</w:t>
            </w:r>
            <w:r w:rsidR="006D0899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</w:p>
        </w:tc>
      </w:tr>
      <w:tr w:rsidR="00F83F78" w:rsidRPr="004D51B7" w14:paraId="17EE2545" w14:textId="77777777" w:rsidTr="00F01649">
        <w:tc>
          <w:tcPr>
            <w:tcW w:w="946" w:type="dxa"/>
            <w:vAlign w:val="center"/>
          </w:tcPr>
          <w:p w14:paraId="78A09331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2011</w:t>
            </w:r>
          </w:p>
        </w:tc>
        <w:tc>
          <w:tcPr>
            <w:tcW w:w="2029" w:type="dxa"/>
            <w:vAlign w:val="center"/>
          </w:tcPr>
          <w:p w14:paraId="433BBC3B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211 254 000,00</w:t>
            </w:r>
          </w:p>
        </w:tc>
        <w:tc>
          <w:tcPr>
            <w:tcW w:w="2029" w:type="dxa"/>
            <w:vAlign w:val="center"/>
          </w:tcPr>
          <w:p w14:paraId="65B0FFF8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27 803 190,00</w:t>
            </w:r>
          </w:p>
        </w:tc>
        <w:tc>
          <w:tcPr>
            <w:tcW w:w="2029" w:type="dxa"/>
            <w:vAlign w:val="center"/>
          </w:tcPr>
          <w:p w14:paraId="5258B372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27 803 190,00</w:t>
            </w:r>
          </w:p>
        </w:tc>
        <w:tc>
          <w:tcPr>
            <w:tcW w:w="2029" w:type="dxa"/>
            <w:vAlign w:val="center"/>
          </w:tcPr>
          <w:p w14:paraId="2FE8FAE6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27 803 190,00</w:t>
            </w:r>
          </w:p>
        </w:tc>
      </w:tr>
      <w:tr w:rsidR="00F83F78" w:rsidRPr="004D51B7" w14:paraId="635650F8" w14:textId="77777777" w:rsidTr="00F01649">
        <w:tc>
          <w:tcPr>
            <w:tcW w:w="946" w:type="dxa"/>
            <w:vAlign w:val="center"/>
          </w:tcPr>
          <w:p w14:paraId="26188822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2012</w:t>
            </w:r>
          </w:p>
        </w:tc>
        <w:tc>
          <w:tcPr>
            <w:tcW w:w="2029" w:type="dxa"/>
            <w:vAlign w:val="center"/>
          </w:tcPr>
          <w:p w14:paraId="162B3F72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1 764 410 000,00</w:t>
            </w:r>
          </w:p>
        </w:tc>
        <w:tc>
          <w:tcPr>
            <w:tcW w:w="2029" w:type="dxa"/>
            <w:vAlign w:val="center"/>
          </w:tcPr>
          <w:p w14:paraId="142DA9A5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314 385 575,28</w:t>
            </w:r>
          </w:p>
        </w:tc>
        <w:tc>
          <w:tcPr>
            <w:tcW w:w="2029" w:type="dxa"/>
            <w:vAlign w:val="center"/>
          </w:tcPr>
          <w:p w14:paraId="36D1DF61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314 385 575,28</w:t>
            </w:r>
          </w:p>
        </w:tc>
        <w:tc>
          <w:tcPr>
            <w:tcW w:w="2029" w:type="dxa"/>
            <w:vAlign w:val="center"/>
          </w:tcPr>
          <w:p w14:paraId="2C736E2C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314 385 575,28</w:t>
            </w:r>
          </w:p>
        </w:tc>
      </w:tr>
      <w:tr w:rsidR="00F83F78" w:rsidRPr="004D51B7" w14:paraId="6C99F603" w14:textId="77777777" w:rsidTr="00F01649">
        <w:tc>
          <w:tcPr>
            <w:tcW w:w="946" w:type="dxa"/>
            <w:vAlign w:val="center"/>
          </w:tcPr>
          <w:p w14:paraId="016D22C6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2029" w:type="dxa"/>
            <w:vAlign w:val="center"/>
          </w:tcPr>
          <w:p w14:paraId="52DBAFE4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2 882 000 000,00</w:t>
            </w:r>
          </w:p>
        </w:tc>
        <w:tc>
          <w:tcPr>
            <w:tcW w:w="2029" w:type="dxa"/>
            <w:vAlign w:val="center"/>
          </w:tcPr>
          <w:p w14:paraId="50F78CE1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583 904 703,57</w:t>
            </w:r>
          </w:p>
        </w:tc>
        <w:tc>
          <w:tcPr>
            <w:tcW w:w="2029" w:type="dxa"/>
            <w:vAlign w:val="center"/>
          </w:tcPr>
          <w:p w14:paraId="43E46AE1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583 904 703,57</w:t>
            </w:r>
          </w:p>
        </w:tc>
        <w:tc>
          <w:tcPr>
            <w:tcW w:w="2029" w:type="dxa"/>
            <w:vAlign w:val="center"/>
          </w:tcPr>
          <w:p w14:paraId="2CE51D18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583 904 703,57</w:t>
            </w:r>
          </w:p>
        </w:tc>
      </w:tr>
      <w:tr w:rsidR="00F83F78" w:rsidRPr="004D51B7" w14:paraId="748C3DC7" w14:textId="77777777" w:rsidTr="00F01649">
        <w:tc>
          <w:tcPr>
            <w:tcW w:w="946" w:type="dxa"/>
            <w:vAlign w:val="center"/>
          </w:tcPr>
          <w:p w14:paraId="697FB830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2014</w:t>
            </w:r>
          </w:p>
        </w:tc>
        <w:tc>
          <w:tcPr>
            <w:tcW w:w="2029" w:type="dxa"/>
            <w:vAlign w:val="center"/>
          </w:tcPr>
          <w:p w14:paraId="63CA073E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3 004 000 000,00</w:t>
            </w:r>
          </w:p>
        </w:tc>
        <w:tc>
          <w:tcPr>
            <w:tcW w:w="2029" w:type="dxa"/>
            <w:vAlign w:val="center"/>
          </w:tcPr>
          <w:p w14:paraId="5884AE63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996 857 520,88</w:t>
            </w:r>
          </w:p>
        </w:tc>
        <w:tc>
          <w:tcPr>
            <w:tcW w:w="2029" w:type="dxa"/>
            <w:vAlign w:val="center"/>
          </w:tcPr>
          <w:p w14:paraId="7522F623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996 857 520,88</w:t>
            </w:r>
          </w:p>
        </w:tc>
        <w:tc>
          <w:tcPr>
            <w:tcW w:w="2029" w:type="dxa"/>
            <w:vAlign w:val="center"/>
          </w:tcPr>
          <w:p w14:paraId="59498550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996 857 520,88</w:t>
            </w:r>
          </w:p>
        </w:tc>
      </w:tr>
      <w:tr w:rsidR="00F83F78" w:rsidRPr="004D51B7" w14:paraId="2DDE79A5" w14:textId="77777777" w:rsidTr="00F01649">
        <w:tc>
          <w:tcPr>
            <w:tcW w:w="946" w:type="dxa"/>
            <w:vAlign w:val="center"/>
          </w:tcPr>
          <w:p w14:paraId="432AF4D4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2015</w:t>
            </w:r>
          </w:p>
        </w:tc>
        <w:tc>
          <w:tcPr>
            <w:tcW w:w="2029" w:type="dxa"/>
            <w:vAlign w:val="center"/>
          </w:tcPr>
          <w:p w14:paraId="61FF3477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3 004 000 000,00</w:t>
            </w:r>
          </w:p>
        </w:tc>
        <w:tc>
          <w:tcPr>
            <w:tcW w:w="2029" w:type="dxa"/>
            <w:vAlign w:val="center"/>
          </w:tcPr>
          <w:p w14:paraId="168CB610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4 095 733 892,00</w:t>
            </w:r>
          </w:p>
        </w:tc>
        <w:tc>
          <w:tcPr>
            <w:tcW w:w="2029" w:type="dxa"/>
            <w:vAlign w:val="center"/>
          </w:tcPr>
          <w:p w14:paraId="2F314ED1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1 833 150 344,83</w:t>
            </w:r>
          </w:p>
        </w:tc>
        <w:tc>
          <w:tcPr>
            <w:tcW w:w="2029" w:type="dxa"/>
            <w:vAlign w:val="center"/>
          </w:tcPr>
          <w:p w14:paraId="11A97AF3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1 833 150 344,83</w:t>
            </w:r>
          </w:p>
        </w:tc>
      </w:tr>
      <w:tr w:rsidR="00F83F78" w:rsidRPr="004D51B7" w14:paraId="3350D6A2" w14:textId="77777777" w:rsidTr="00F01649">
        <w:tc>
          <w:tcPr>
            <w:tcW w:w="946" w:type="dxa"/>
            <w:vAlign w:val="center"/>
          </w:tcPr>
          <w:p w14:paraId="4AED7FB7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029" w:type="dxa"/>
            <w:vAlign w:val="center"/>
          </w:tcPr>
          <w:p w14:paraId="144961FB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3 004 000 000,00</w:t>
            </w:r>
          </w:p>
        </w:tc>
        <w:tc>
          <w:tcPr>
            <w:tcW w:w="2029" w:type="dxa"/>
            <w:vAlign w:val="center"/>
          </w:tcPr>
          <w:p w14:paraId="5E408D22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2 263 529 999,00</w:t>
            </w:r>
          </w:p>
        </w:tc>
        <w:tc>
          <w:tcPr>
            <w:tcW w:w="2029" w:type="dxa"/>
            <w:vAlign w:val="center"/>
          </w:tcPr>
          <w:p w14:paraId="6D733EF8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1 981 548 342,39</w:t>
            </w:r>
          </w:p>
        </w:tc>
        <w:tc>
          <w:tcPr>
            <w:tcW w:w="2029" w:type="dxa"/>
            <w:vAlign w:val="center"/>
          </w:tcPr>
          <w:p w14:paraId="7943A654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1 981 548 342,39</w:t>
            </w:r>
          </w:p>
        </w:tc>
      </w:tr>
      <w:tr w:rsidR="00F83F78" w:rsidRPr="004D51B7" w14:paraId="41500415" w14:textId="77777777" w:rsidTr="00F01649">
        <w:trPr>
          <w:trHeight w:val="293"/>
        </w:trPr>
        <w:tc>
          <w:tcPr>
            <w:tcW w:w="946" w:type="dxa"/>
            <w:vAlign w:val="center"/>
          </w:tcPr>
          <w:p w14:paraId="3F46D0E7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029" w:type="dxa"/>
            <w:vAlign w:val="center"/>
          </w:tcPr>
          <w:p w14:paraId="1AC915C5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2F54F6F7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2 263 530 001,00</w:t>
            </w:r>
          </w:p>
        </w:tc>
        <w:tc>
          <w:tcPr>
            <w:tcW w:w="2029" w:type="dxa"/>
            <w:vAlign w:val="center"/>
          </w:tcPr>
          <w:p w14:paraId="699337BF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1 488 152 588,63</w:t>
            </w:r>
          </w:p>
        </w:tc>
        <w:tc>
          <w:tcPr>
            <w:tcW w:w="2029" w:type="dxa"/>
            <w:vAlign w:val="center"/>
          </w:tcPr>
          <w:p w14:paraId="4FCE884E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1 488 152 588,63</w:t>
            </w:r>
          </w:p>
        </w:tc>
      </w:tr>
      <w:tr w:rsidR="00F83F78" w:rsidRPr="004D51B7" w14:paraId="1726A38F" w14:textId="77777777" w:rsidTr="00F01649">
        <w:tc>
          <w:tcPr>
            <w:tcW w:w="946" w:type="dxa"/>
            <w:vAlign w:val="center"/>
          </w:tcPr>
          <w:p w14:paraId="35B97B1D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029" w:type="dxa"/>
            <w:vAlign w:val="center"/>
          </w:tcPr>
          <w:p w14:paraId="27B4C713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D45FEF0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2 039 337 788,00</w:t>
            </w:r>
          </w:p>
        </w:tc>
        <w:tc>
          <w:tcPr>
            <w:tcW w:w="2029" w:type="dxa"/>
            <w:vAlign w:val="center"/>
          </w:tcPr>
          <w:p w14:paraId="615231A0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1 605 336 766,53</w:t>
            </w:r>
          </w:p>
        </w:tc>
        <w:tc>
          <w:tcPr>
            <w:tcW w:w="2029" w:type="dxa"/>
            <w:vAlign w:val="center"/>
          </w:tcPr>
          <w:p w14:paraId="2946AB4E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1 605 336 766,53</w:t>
            </w:r>
          </w:p>
        </w:tc>
      </w:tr>
      <w:tr w:rsidR="00F83F78" w:rsidRPr="004D51B7" w14:paraId="095AD20F" w14:textId="77777777" w:rsidTr="00F01649">
        <w:tc>
          <w:tcPr>
            <w:tcW w:w="946" w:type="dxa"/>
            <w:vAlign w:val="center"/>
          </w:tcPr>
          <w:p w14:paraId="405D5EB8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2029" w:type="dxa"/>
            <w:vAlign w:val="center"/>
          </w:tcPr>
          <w:p w14:paraId="59079468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12D53246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1 249 613 330,00</w:t>
            </w:r>
          </w:p>
        </w:tc>
        <w:tc>
          <w:tcPr>
            <w:tcW w:w="2029" w:type="dxa"/>
            <w:vAlign w:val="center"/>
          </w:tcPr>
          <w:p w14:paraId="17F66EC4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3 559 431 709,47</w:t>
            </w:r>
          </w:p>
        </w:tc>
        <w:tc>
          <w:tcPr>
            <w:tcW w:w="2029" w:type="dxa"/>
            <w:vAlign w:val="center"/>
          </w:tcPr>
          <w:p w14:paraId="640405AE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2 729 267 053,85</w:t>
            </w:r>
          </w:p>
        </w:tc>
      </w:tr>
      <w:tr w:rsidR="00F83F78" w:rsidRPr="004D51B7" w14:paraId="477F90C1" w14:textId="77777777" w:rsidTr="00F01649">
        <w:tc>
          <w:tcPr>
            <w:tcW w:w="946" w:type="dxa"/>
            <w:vAlign w:val="center"/>
          </w:tcPr>
          <w:p w14:paraId="7C3947DC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2029" w:type="dxa"/>
            <w:vAlign w:val="center"/>
          </w:tcPr>
          <w:p w14:paraId="3C86CEE3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1ABBBFFF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2FC151D6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266D3B10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282 820 086,37</w:t>
            </w:r>
          </w:p>
        </w:tc>
      </w:tr>
      <w:tr w:rsidR="00F83F78" w:rsidRPr="004D51B7" w14:paraId="4EE4B2D1" w14:textId="77777777" w:rsidTr="00F01649">
        <w:tc>
          <w:tcPr>
            <w:tcW w:w="946" w:type="dxa"/>
            <w:vAlign w:val="center"/>
          </w:tcPr>
          <w:p w14:paraId="03E121F2" w14:textId="77777777" w:rsidR="00F83F78" w:rsidRPr="004D51B7" w:rsidRDefault="00F83F78" w:rsidP="00F01649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2029" w:type="dxa"/>
            <w:vAlign w:val="center"/>
          </w:tcPr>
          <w:p w14:paraId="6EDFEE9E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1FD21BF6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5A8769E2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14:paraId="17F5E1D0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sz w:val="20"/>
                <w:szCs w:val="20"/>
              </w:rPr>
              <w:t>368 802 271,00</w:t>
            </w:r>
          </w:p>
        </w:tc>
      </w:tr>
      <w:tr w:rsidR="00F83F78" w:rsidRPr="004D51B7" w14:paraId="50C7740C" w14:textId="77777777" w:rsidTr="00F01649">
        <w:tc>
          <w:tcPr>
            <w:tcW w:w="946" w:type="dxa"/>
            <w:shd w:val="clear" w:color="auto" w:fill="F2C6C9"/>
          </w:tcPr>
          <w:p w14:paraId="36ACD5FE" w14:textId="77777777" w:rsidR="00F83F78" w:rsidRPr="00826BE3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BE3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2029" w:type="dxa"/>
            <w:shd w:val="clear" w:color="auto" w:fill="F2C6C9"/>
            <w:vAlign w:val="center"/>
          </w:tcPr>
          <w:p w14:paraId="1F9A317D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13 869 664 000,00</w:t>
            </w:r>
          </w:p>
        </w:tc>
        <w:tc>
          <w:tcPr>
            <w:tcW w:w="2029" w:type="dxa"/>
            <w:shd w:val="clear" w:color="auto" w:fill="F2C6C9"/>
            <w:vAlign w:val="center"/>
          </w:tcPr>
          <w:p w14:paraId="7969556F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13 834 695 999,73</w:t>
            </w:r>
          </w:p>
        </w:tc>
        <w:tc>
          <w:tcPr>
            <w:tcW w:w="2029" w:type="dxa"/>
            <w:shd w:val="clear" w:color="auto" w:fill="F2C6C9"/>
            <w:vAlign w:val="center"/>
          </w:tcPr>
          <w:p w14:paraId="58FF7909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12 390 570 741,58</w:t>
            </w:r>
          </w:p>
        </w:tc>
        <w:tc>
          <w:tcPr>
            <w:tcW w:w="2029" w:type="dxa"/>
            <w:shd w:val="clear" w:color="auto" w:fill="F2C6C9"/>
            <w:vAlign w:val="center"/>
          </w:tcPr>
          <w:p w14:paraId="5BD335E5" w14:textId="77777777" w:rsidR="00F83F78" w:rsidRPr="004D51B7" w:rsidRDefault="00F83F78" w:rsidP="00F01649">
            <w:pPr>
              <w:keepNext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51B7">
              <w:rPr>
                <w:rFonts w:asciiTheme="minorHAnsi" w:hAnsiTheme="minorHAnsi" w:cstheme="minorHAnsi"/>
                <w:b/>
                <w:sz w:val="20"/>
                <w:szCs w:val="20"/>
              </w:rPr>
              <w:t>12 212 028 443,33</w:t>
            </w:r>
          </w:p>
        </w:tc>
      </w:tr>
    </w:tbl>
    <w:p w14:paraId="3BD27F49" w14:textId="50DD133B" w:rsidR="00F83F78" w:rsidRDefault="00F83F78" w:rsidP="00B46221">
      <w:pPr>
        <w:autoSpaceDE w:val="0"/>
        <w:autoSpaceDN w:val="0"/>
        <w:adjustRightInd w:val="0"/>
        <w:spacing w:before="0" w:after="120"/>
      </w:pPr>
      <w:r w:rsidRPr="001F0CB9">
        <w:rPr>
          <w:rFonts w:cstheme="minorHAnsi"/>
          <w:b/>
          <w:sz w:val="20"/>
          <w:szCs w:val="20"/>
        </w:rPr>
        <w:t>Zdroj:</w:t>
      </w:r>
      <w:r>
        <w:rPr>
          <w:rFonts w:cstheme="minorHAnsi"/>
          <w:sz w:val="20"/>
          <w:szCs w:val="20"/>
        </w:rPr>
        <w:t xml:space="preserve"> </w:t>
      </w:r>
      <w:r w:rsidR="002F33B6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nformace MŠMT</w:t>
      </w:r>
      <w:r w:rsidR="001F0CB9">
        <w:rPr>
          <w:rFonts w:cstheme="minorHAnsi"/>
          <w:sz w:val="20"/>
          <w:szCs w:val="20"/>
        </w:rPr>
        <w:t>.</w:t>
      </w:r>
    </w:p>
    <w:p w14:paraId="3ABF434F" w14:textId="0F33172C" w:rsidR="00086422" w:rsidRDefault="003113CC" w:rsidP="004E6667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V roce 2011 činila</w:t>
      </w:r>
      <w:r w:rsidR="00F83F78">
        <w:rPr>
          <w:lang w:eastAsia="cs-CZ"/>
        </w:rPr>
        <w:t xml:space="preserve"> </w:t>
      </w:r>
      <w:r>
        <w:rPr>
          <w:lang w:eastAsia="cs-CZ"/>
        </w:rPr>
        <w:t xml:space="preserve">alokovaná částka </w:t>
      </w:r>
      <w:r w:rsidR="00F83F78">
        <w:rPr>
          <w:lang w:eastAsia="cs-CZ"/>
        </w:rPr>
        <w:t>ze st</w:t>
      </w:r>
      <w:r>
        <w:rPr>
          <w:lang w:eastAsia="cs-CZ"/>
        </w:rPr>
        <w:t xml:space="preserve">átního rozpočtu na celé období </w:t>
      </w:r>
      <w:r w:rsidR="00320E86">
        <w:rPr>
          <w:lang w:eastAsia="cs-CZ"/>
        </w:rPr>
        <w:t>p</w:t>
      </w:r>
      <w:r w:rsidR="00F83F78">
        <w:rPr>
          <w:lang w:eastAsia="cs-CZ"/>
        </w:rPr>
        <w:t>rogramu 133 210 přibližně 13,9</w:t>
      </w:r>
      <w:r w:rsidR="003C0959">
        <w:rPr>
          <w:lang w:eastAsia="cs-CZ"/>
        </w:rPr>
        <w:t xml:space="preserve"> </w:t>
      </w:r>
      <w:r w:rsidR="00F83F78">
        <w:rPr>
          <w:lang w:eastAsia="cs-CZ"/>
        </w:rPr>
        <w:t>mld.</w:t>
      </w:r>
      <w:r w:rsidR="003C0959">
        <w:rPr>
          <w:lang w:eastAsia="cs-CZ"/>
        </w:rPr>
        <w:t xml:space="preserve"> </w:t>
      </w:r>
      <w:r w:rsidR="00F83F78">
        <w:rPr>
          <w:lang w:eastAsia="cs-CZ"/>
        </w:rPr>
        <w:t>Kč. Skutečné čerpání v letech 2011 až 2016 přitom činilo pouze přibližně 5,7 mld. Kč, tj. 41 % schválené předpokládané částky. Se započtením prodlouženého období let 2017 až 2019</w:t>
      </w:r>
      <w:r w:rsidR="00F83F78" w:rsidRPr="006F743D">
        <w:rPr>
          <w:lang w:eastAsia="cs-CZ"/>
        </w:rPr>
        <w:t xml:space="preserve"> </w:t>
      </w:r>
      <w:r>
        <w:rPr>
          <w:lang w:eastAsia="cs-CZ"/>
        </w:rPr>
        <w:t>činilo</w:t>
      </w:r>
      <w:r w:rsidR="00F83F78">
        <w:rPr>
          <w:lang w:eastAsia="cs-CZ"/>
        </w:rPr>
        <w:t xml:space="preserve"> skutečné </w:t>
      </w:r>
      <w:r>
        <w:rPr>
          <w:lang w:eastAsia="cs-CZ"/>
        </w:rPr>
        <w:t>čerpání</w:t>
      </w:r>
      <w:r w:rsidR="00F83F78">
        <w:rPr>
          <w:lang w:eastAsia="cs-CZ"/>
        </w:rPr>
        <w:t xml:space="preserve"> ze státního rozpočtu 11,6 mld. Kč, což je stále o více než 2 mld. Kč méně,</w:t>
      </w:r>
      <w:r w:rsidR="00F83F78" w:rsidRPr="006F743D">
        <w:rPr>
          <w:lang w:eastAsia="cs-CZ"/>
        </w:rPr>
        <w:t xml:space="preserve"> </w:t>
      </w:r>
      <w:r>
        <w:rPr>
          <w:lang w:eastAsia="cs-CZ"/>
        </w:rPr>
        <w:t>než činila</w:t>
      </w:r>
      <w:r w:rsidR="00F83F78">
        <w:rPr>
          <w:lang w:eastAsia="cs-CZ"/>
        </w:rPr>
        <w:t xml:space="preserve"> </w:t>
      </w:r>
      <w:r>
        <w:rPr>
          <w:lang w:eastAsia="cs-CZ"/>
        </w:rPr>
        <w:t>alokovaná částka schválená</w:t>
      </w:r>
      <w:r w:rsidR="00F83F78">
        <w:rPr>
          <w:lang w:eastAsia="cs-CZ"/>
        </w:rPr>
        <w:t xml:space="preserve"> na celé původně plánované období let 2011 až 2016. Po celou dobu realiza</w:t>
      </w:r>
      <w:r w:rsidR="005908FE">
        <w:rPr>
          <w:lang w:eastAsia="cs-CZ"/>
        </w:rPr>
        <w:t xml:space="preserve">ce </w:t>
      </w:r>
      <w:r w:rsidR="00FE6CD9">
        <w:rPr>
          <w:lang w:eastAsia="cs-CZ"/>
        </w:rPr>
        <w:t>p</w:t>
      </w:r>
      <w:r w:rsidR="005908FE">
        <w:rPr>
          <w:lang w:eastAsia="cs-CZ"/>
        </w:rPr>
        <w:t>rogramu 133 210 bylo</w:t>
      </w:r>
      <w:r w:rsidR="00F83F78">
        <w:rPr>
          <w:lang w:eastAsia="cs-CZ"/>
        </w:rPr>
        <w:t xml:space="preserve"> skutečné </w:t>
      </w:r>
      <w:r w:rsidR="005908FE">
        <w:rPr>
          <w:lang w:eastAsia="cs-CZ"/>
        </w:rPr>
        <w:t>čerpání prostředků</w:t>
      </w:r>
      <w:r w:rsidR="00F83F78">
        <w:rPr>
          <w:lang w:eastAsia="cs-CZ"/>
        </w:rPr>
        <w:t xml:space="preserve"> ze státního rozpočtu v každém roce významně nižší než </w:t>
      </w:r>
      <w:r>
        <w:rPr>
          <w:lang w:eastAsia="cs-CZ"/>
        </w:rPr>
        <w:t>alokace schválená</w:t>
      </w:r>
      <w:r w:rsidR="00F83F78">
        <w:rPr>
          <w:lang w:eastAsia="cs-CZ"/>
        </w:rPr>
        <w:t xml:space="preserve"> v dokumentaci programu, včetně je</w:t>
      </w:r>
      <w:r w:rsidR="00951CBF">
        <w:rPr>
          <w:lang w:eastAsia="cs-CZ"/>
        </w:rPr>
        <w:t>ho</w:t>
      </w:r>
      <w:r w:rsidR="00F83F78">
        <w:rPr>
          <w:lang w:eastAsia="cs-CZ"/>
        </w:rPr>
        <w:t xml:space="preserve"> aktualizací.</w:t>
      </w:r>
    </w:p>
    <w:p w14:paraId="5286DD09" w14:textId="2851B966" w:rsidR="00F83F78" w:rsidRDefault="00F83F78" w:rsidP="00444F65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lang w:eastAsia="cs-CZ"/>
        </w:rPr>
        <w:t>Z dokumentace programu</w:t>
      </w:r>
      <w:r w:rsidRPr="00897AB7">
        <w:rPr>
          <w:lang w:eastAsia="cs-CZ"/>
        </w:rPr>
        <w:t xml:space="preserve"> vyplývá, že jeho administrace je značně časově náročná, a to jak pro správce programu, tak i příjemce dotace.</w:t>
      </w:r>
      <w:r>
        <w:rPr>
          <w:lang w:eastAsia="cs-CZ"/>
        </w:rPr>
        <w:t xml:space="preserve"> </w:t>
      </w:r>
      <w:r w:rsidRPr="00F83F78">
        <w:rPr>
          <w:lang w:eastAsia="cs-CZ"/>
        </w:rPr>
        <w:t xml:space="preserve">Prostředky alokované na investiční </w:t>
      </w:r>
      <w:r w:rsidR="00906649">
        <w:rPr>
          <w:lang w:eastAsia="cs-CZ"/>
        </w:rPr>
        <w:t>p</w:t>
      </w:r>
      <w:r w:rsidRPr="00F83F78">
        <w:rPr>
          <w:lang w:eastAsia="cs-CZ"/>
        </w:rPr>
        <w:t>rogram 133</w:t>
      </w:r>
      <w:r w:rsidR="00906649">
        <w:rPr>
          <w:lang w:eastAsia="cs-CZ"/>
        </w:rPr>
        <w:t> </w:t>
      </w:r>
      <w:r w:rsidRPr="00F83F78">
        <w:rPr>
          <w:lang w:eastAsia="cs-CZ"/>
        </w:rPr>
        <w:t>210 se i přes opakované prodloužení doby platnosti nedaří vyčerpat.</w:t>
      </w:r>
    </w:p>
    <w:p w14:paraId="7B2FD2D4" w14:textId="39FB8F5E" w:rsidR="00923263" w:rsidRDefault="00923263" w:rsidP="00EC73A8">
      <w:pPr>
        <w:autoSpaceDE w:val="0"/>
        <w:autoSpaceDN w:val="0"/>
        <w:adjustRightInd w:val="0"/>
        <w:spacing w:before="0" w:after="120"/>
      </w:pPr>
      <w:r>
        <w:rPr>
          <w:lang w:eastAsia="cs-CZ"/>
        </w:rPr>
        <w:t xml:space="preserve">Na </w:t>
      </w:r>
      <w:r w:rsidR="00906649">
        <w:rPr>
          <w:lang w:eastAsia="cs-CZ"/>
        </w:rPr>
        <w:t>p</w:t>
      </w:r>
      <w:r>
        <w:rPr>
          <w:lang w:eastAsia="cs-CZ"/>
        </w:rPr>
        <w:t xml:space="preserve">rogram </w:t>
      </w:r>
      <w:r w:rsidRPr="00923263">
        <w:rPr>
          <w:lang w:eastAsia="cs-CZ"/>
        </w:rPr>
        <w:t>133</w:t>
      </w:r>
      <w:r>
        <w:rPr>
          <w:lang w:eastAsia="cs-CZ"/>
        </w:rPr>
        <w:t> </w:t>
      </w:r>
      <w:r w:rsidRPr="00923263">
        <w:rPr>
          <w:lang w:eastAsia="cs-CZ"/>
        </w:rPr>
        <w:t>210</w:t>
      </w:r>
      <w:r>
        <w:rPr>
          <w:lang w:eastAsia="cs-CZ"/>
        </w:rPr>
        <w:t xml:space="preserve"> navazuje </w:t>
      </w:r>
      <w:r w:rsidR="002672DC">
        <w:rPr>
          <w:lang w:eastAsia="cs-CZ"/>
        </w:rPr>
        <w:t>p</w:t>
      </w:r>
      <w:r w:rsidRPr="00923263">
        <w:rPr>
          <w:lang w:eastAsia="cs-CZ"/>
        </w:rPr>
        <w:t>rogram 133</w:t>
      </w:r>
      <w:r>
        <w:rPr>
          <w:lang w:eastAsia="cs-CZ"/>
        </w:rPr>
        <w:t> </w:t>
      </w:r>
      <w:r w:rsidRPr="00923263">
        <w:rPr>
          <w:lang w:eastAsia="cs-CZ"/>
        </w:rPr>
        <w:t>220</w:t>
      </w:r>
      <w:r>
        <w:rPr>
          <w:lang w:eastAsia="cs-CZ"/>
        </w:rPr>
        <w:t xml:space="preserve"> se schválenou alokací prostředků na období 2019 až 2026 ve výši 12,5 mld.</w:t>
      </w:r>
      <w:r w:rsidR="002672DC">
        <w:rPr>
          <w:lang w:eastAsia="cs-CZ"/>
        </w:rPr>
        <w:t xml:space="preserve"> </w:t>
      </w:r>
      <w:r>
        <w:rPr>
          <w:lang w:eastAsia="cs-CZ"/>
        </w:rPr>
        <w:t>Kč. MŠMT začalo vyplácet prostředky v rám</w:t>
      </w:r>
      <w:r w:rsidR="003E5C43">
        <w:rPr>
          <w:lang w:eastAsia="cs-CZ"/>
        </w:rPr>
        <w:t xml:space="preserve">ci tohoto programu v roce 2019, kdy poskytlo </w:t>
      </w:r>
      <w:r w:rsidR="0095347E">
        <w:rPr>
          <w:lang w:eastAsia="cs-CZ"/>
        </w:rPr>
        <w:t>29,9</w:t>
      </w:r>
      <w:r w:rsidR="002672DC">
        <w:rPr>
          <w:lang w:eastAsia="cs-CZ"/>
        </w:rPr>
        <w:t xml:space="preserve"> </w:t>
      </w:r>
      <w:r w:rsidR="0095347E">
        <w:rPr>
          <w:lang w:eastAsia="cs-CZ"/>
        </w:rPr>
        <w:t>mil.</w:t>
      </w:r>
      <w:r w:rsidR="002672DC">
        <w:rPr>
          <w:lang w:eastAsia="cs-CZ"/>
        </w:rPr>
        <w:t xml:space="preserve"> </w:t>
      </w:r>
      <w:r w:rsidR="0095347E">
        <w:rPr>
          <w:lang w:eastAsia="cs-CZ"/>
        </w:rPr>
        <w:t>Kč.</w:t>
      </w:r>
      <w:r>
        <w:rPr>
          <w:lang w:eastAsia="cs-CZ"/>
        </w:rPr>
        <w:t xml:space="preserve"> </w:t>
      </w:r>
      <w:r w:rsidR="0095347E">
        <w:rPr>
          <w:lang w:eastAsia="cs-CZ"/>
        </w:rPr>
        <w:t xml:space="preserve">Schválená alokace prostředků na tento rok činila </w:t>
      </w:r>
      <w:r w:rsidR="002672DC">
        <w:rPr>
          <w:lang w:eastAsia="cs-CZ"/>
        </w:rPr>
        <w:br/>
      </w:r>
      <w:r w:rsidR="0095347E">
        <w:rPr>
          <w:lang w:eastAsia="cs-CZ"/>
        </w:rPr>
        <w:t>500</w:t>
      </w:r>
      <w:r w:rsidR="002672DC">
        <w:rPr>
          <w:lang w:eastAsia="cs-CZ"/>
        </w:rPr>
        <w:t xml:space="preserve"> </w:t>
      </w:r>
      <w:r w:rsidR="0095347E">
        <w:rPr>
          <w:lang w:eastAsia="cs-CZ"/>
        </w:rPr>
        <w:t>mil. Kč. O</w:t>
      </w:r>
      <w:r>
        <w:rPr>
          <w:lang w:eastAsia="cs-CZ"/>
        </w:rPr>
        <w:t xml:space="preserve">bdobně jako u </w:t>
      </w:r>
      <w:r w:rsidR="002672DC">
        <w:rPr>
          <w:lang w:eastAsia="cs-CZ"/>
        </w:rPr>
        <w:t>p</w:t>
      </w:r>
      <w:r>
        <w:rPr>
          <w:lang w:eastAsia="cs-CZ"/>
        </w:rPr>
        <w:t xml:space="preserve">rogramu 133 210 </w:t>
      </w:r>
      <w:r w:rsidR="0095347E">
        <w:rPr>
          <w:lang w:eastAsia="cs-CZ"/>
        </w:rPr>
        <w:t>tak bylo skutečné čerpání prostředků ze státního rozpočtu významně nižší, než byla schválená alokace těchto prostředků.</w:t>
      </w:r>
    </w:p>
    <w:p w14:paraId="55CE4C6D" w14:textId="2EF9E857" w:rsidR="00EA46D2" w:rsidRDefault="00EA46D2" w:rsidP="00EA46D2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>
        <w:rPr>
          <w:rFonts w:eastAsia="Calibri"/>
          <w:b/>
          <w:color w:val="000000" w:themeColor="text1"/>
        </w:rPr>
        <w:t xml:space="preserve">7. </w:t>
      </w:r>
      <w:r w:rsidR="008B4730" w:rsidRPr="008B4730">
        <w:rPr>
          <w:rFonts w:eastAsia="Calibri"/>
          <w:b/>
          <w:color w:val="000000" w:themeColor="text1"/>
        </w:rPr>
        <w:t>Navzdory deklarované</w:t>
      </w:r>
      <w:r w:rsidR="00F45C89">
        <w:rPr>
          <w:rFonts w:eastAsia="Calibri"/>
          <w:b/>
          <w:color w:val="000000" w:themeColor="text1"/>
        </w:rPr>
        <w:t>mu nedostatku</w:t>
      </w:r>
      <w:r w:rsidR="008B4730" w:rsidRPr="008B4730">
        <w:rPr>
          <w:rFonts w:eastAsia="Calibri"/>
          <w:b/>
          <w:color w:val="000000" w:themeColor="text1"/>
        </w:rPr>
        <w:t xml:space="preserve"> </w:t>
      </w:r>
      <w:r w:rsidR="0061733C">
        <w:rPr>
          <w:rFonts w:eastAsia="Calibri"/>
          <w:b/>
          <w:color w:val="000000" w:themeColor="text1"/>
        </w:rPr>
        <w:t>prostředků</w:t>
      </w:r>
      <w:r w:rsidR="008B4730" w:rsidRPr="008B4730">
        <w:rPr>
          <w:rFonts w:eastAsia="Calibri"/>
          <w:b/>
          <w:color w:val="000000" w:themeColor="text1"/>
        </w:rPr>
        <w:t xml:space="preserve"> každoročně </w:t>
      </w:r>
      <w:r w:rsidR="008B4730">
        <w:rPr>
          <w:rFonts w:eastAsia="Calibri"/>
          <w:b/>
          <w:color w:val="000000" w:themeColor="text1"/>
        </w:rPr>
        <w:t xml:space="preserve">významně </w:t>
      </w:r>
      <w:r w:rsidR="008B4730" w:rsidRPr="008B4730">
        <w:rPr>
          <w:rFonts w:eastAsia="Calibri"/>
          <w:b/>
          <w:color w:val="000000" w:themeColor="text1"/>
        </w:rPr>
        <w:t>rostly zůstatky fondů VVŠ</w:t>
      </w:r>
    </w:p>
    <w:p w14:paraId="6656CE0F" w14:textId="726A8171" w:rsidR="00EA46D2" w:rsidRDefault="00EA46D2" w:rsidP="00EA46D2">
      <w:pPr>
        <w:autoSpaceDE w:val="0"/>
        <w:autoSpaceDN w:val="0"/>
        <w:adjustRightInd w:val="0"/>
        <w:spacing w:before="0" w:after="120"/>
      </w:pPr>
      <w:r w:rsidRPr="00287423">
        <w:rPr>
          <w:rFonts w:eastAsia="Calibri"/>
          <w:color w:val="000000" w:themeColor="text1"/>
        </w:rPr>
        <w:t>MŠMT disponovalo komplexní analýzou stavu vysokých škol s ohledem na potřeby státu, které mají vysoké školy naplňovat.</w:t>
      </w:r>
      <w:r>
        <w:rPr>
          <w:rFonts w:eastAsia="Calibri"/>
          <w:color w:val="000000" w:themeColor="text1"/>
        </w:rPr>
        <w:t xml:space="preserve"> Zde MŠMT </w:t>
      </w:r>
      <w:r>
        <w:t xml:space="preserve">konstatovalo mj. vysokou závislost VVŠ </w:t>
      </w:r>
      <w:r w:rsidR="00F45C89">
        <w:t>na veřejných zdrojích a celkově</w:t>
      </w:r>
      <w:r>
        <w:t xml:space="preserve"> </w:t>
      </w:r>
      <w:r w:rsidR="00F45C89">
        <w:t>nedostatek prostředků ve</w:t>
      </w:r>
      <w:r>
        <w:t xml:space="preserve"> vysoké</w:t>
      </w:r>
      <w:r w:rsidR="00F45C89">
        <w:t>m</w:t>
      </w:r>
      <w:r>
        <w:t xml:space="preserve"> školství. MŠMT rovněž monitoruje vývoj na jednotlivých VVŠ prostřednictvím </w:t>
      </w:r>
      <w:r w:rsidR="00130107">
        <w:t>v</w:t>
      </w:r>
      <w:r>
        <w:t>ýročních zpráv</w:t>
      </w:r>
      <w:r w:rsidR="00CB67A2">
        <w:t xml:space="preserve"> o činnosti a </w:t>
      </w:r>
      <w:r w:rsidR="002672DC">
        <w:t>v</w:t>
      </w:r>
      <w:r w:rsidR="00CB67A2">
        <w:t xml:space="preserve">ýročních zpráv </w:t>
      </w:r>
      <w:r w:rsidR="003C0959">
        <w:br/>
      </w:r>
      <w:r w:rsidR="00CB67A2">
        <w:t>o</w:t>
      </w:r>
      <w:r w:rsidR="003C0959">
        <w:t xml:space="preserve"> </w:t>
      </w:r>
      <w:r>
        <w:t xml:space="preserve">hospodaření, které VVŠ každoročně zveřejňují ve stanovené struktuře a se stanovenými </w:t>
      </w:r>
      <w:r>
        <w:lastRenderedPageBreak/>
        <w:t xml:space="preserve">náležitostmi. Údaje </w:t>
      </w:r>
      <w:r w:rsidR="00A9415A">
        <w:t xml:space="preserve">o tvorbě fondů převzaté </w:t>
      </w:r>
      <w:r>
        <w:t>z </w:t>
      </w:r>
      <w:r w:rsidR="00130107">
        <w:t>v</w:t>
      </w:r>
      <w:r>
        <w:t>ýročních zpráv o hospodaření zobrazuje následující tabulka.</w:t>
      </w:r>
    </w:p>
    <w:p w14:paraId="2B2BF4D6" w14:textId="1C7EAA71" w:rsidR="00EA46D2" w:rsidRDefault="00EA46D2" w:rsidP="002F33B6">
      <w:pPr>
        <w:keepNext/>
        <w:tabs>
          <w:tab w:val="right" w:pos="9070"/>
        </w:tabs>
        <w:autoSpaceDE w:val="0"/>
        <w:autoSpaceDN w:val="0"/>
        <w:adjustRightInd w:val="0"/>
      </w:pPr>
      <w:r>
        <w:t xml:space="preserve">Tabulka č. </w:t>
      </w:r>
      <w:r w:rsidR="008E4F89">
        <w:t>11</w:t>
      </w:r>
      <w:r>
        <w:t xml:space="preserve">: Zůstatky fondů VVŠ v letech 2014 až 2019 </w:t>
      </w:r>
      <w:r w:rsidR="002F33B6">
        <w:tab/>
        <w:t>(</w:t>
      </w:r>
      <w:r>
        <w:t>v tis. Kč</w:t>
      </w:r>
      <w:r w:rsidR="002F33B6">
        <w:t>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018"/>
        <w:gridCol w:w="1018"/>
        <w:gridCol w:w="1015"/>
        <w:gridCol w:w="1015"/>
        <w:gridCol w:w="1015"/>
        <w:gridCol w:w="1015"/>
        <w:gridCol w:w="1267"/>
      </w:tblGrid>
      <w:tr w:rsidR="002A782A" w:rsidRPr="00D4233D" w14:paraId="5E2680C0" w14:textId="77777777" w:rsidTr="00B11EEB">
        <w:trPr>
          <w:trHeight w:val="30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05C71FC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Fond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58DABE3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2707E70D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537B16A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49E2B96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2FB11E6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24EAA0DD" w14:textId="77777777" w:rsidR="00EA46D2" w:rsidRPr="00D4233D" w:rsidRDefault="00EA46D2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829FEF2" w14:textId="0D5A28C3" w:rsidR="00EA46D2" w:rsidRPr="00D4233D" w:rsidRDefault="0095347E" w:rsidP="00DF1DA9">
            <w:pPr>
              <w:keepNext/>
              <w:jc w:val="center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>
              <w:rPr>
                <w:b/>
                <w:bCs/>
                <w:spacing w:val="-10"/>
                <w:sz w:val="20"/>
                <w:szCs w:val="20"/>
                <w:lang w:eastAsia="cs-CZ"/>
              </w:rPr>
              <w:t xml:space="preserve">Rozdíl </w:t>
            </w:r>
            <w:r w:rsidR="00DC5B51">
              <w:rPr>
                <w:b/>
                <w:bCs/>
                <w:spacing w:val="-10"/>
                <w:sz w:val="20"/>
                <w:szCs w:val="20"/>
                <w:lang w:eastAsia="cs-CZ"/>
              </w:rPr>
              <w:t xml:space="preserve">let </w:t>
            </w:r>
            <w:r>
              <w:rPr>
                <w:b/>
                <w:bCs/>
                <w:spacing w:val="-10"/>
                <w:sz w:val="20"/>
                <w:szCs w:val="20"/>
                <w:lang w:eastAsia="cs-CZ"/>
              </w:rPr>
              <w:t>2019 a 2014</w:t>
            </w:r>
            <w:r w:rsidR="007F7A24">
              <w:rPr>
                <w:b/>
                <w:bCs/>
                <w:spacing w:val="-10"/>
                <w:sz w:val="20"/>
                <w:szCs w:val="20"/>
                <w:lang w:eastAsia="cs-CZ"/>
              </w:rPr>
              <w:t xml:space="preserve"> v %</w:t>
            </w:r>
          </w:p>
        </w:tc>
      </w:tr>
      <w:tr w:rsidR="002A782A" w:rsidRPr="00D4233D" w14:paraId="7E0389F1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2BD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Fond provozních prostředků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701A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7 339 241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4D7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8 133 741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A11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7 937 893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3D42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8 595 118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FA13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10 223 428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705C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11 161 946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61DF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52</w:t>
            </w:r>
            <w:r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03AB890F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BE6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Fond reprodukce investičního majetku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1F62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3 393 737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AA80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3 323 311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74F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3 663 381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E20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4 064 773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5F3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4 115 346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3CC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4 498 928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126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33</w:t>
            </w:r>
            <w:r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0E12ECF5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770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Stipendijní fond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D38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788 638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EF03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809 481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E9F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849 691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BD03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890 270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7FF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945 191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6C68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932 089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CBC4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18</w:t>
            </w:r>
            <w:r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4341AB00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2D0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Fond účelově určených prostředků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34B1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626 893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DCD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665 914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BA10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741 041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FD1C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817 961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FA67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925 413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C74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1 194 759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EB82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91</w:t>
            </w:r>
            <w:r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2B0103BB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17F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Rezervní fond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E74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434 337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1F66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468 346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5BED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476 458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510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540 303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9B4B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571 064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55F9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556 669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2778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28</w:t>
            </w:r>
            <w:r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05423834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E4E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Fond sociální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A37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217 631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EB1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229 201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68D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242 708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FA6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262 148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A09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309 785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EFDF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353 214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51E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62</w:t>
            </w:r>
            <w:r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3EC915B7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05F" w14:textId="77777777" w:rsidR="00EA46D2" w:rsidRPr="00B11EEB" w:rsidRDefault="00EA46D2" w:rsidP="00DE4414">
            <w:pPr>
              <w:keepNext/>
              <w:jc w:val="left"/>
              <w:rPr>
                <w:sz w:val="20"/>
                <w:szCs w:val="20"/>
                <w:lang w:eastAsia="cs-CZ"/>
              </w:rPr>
            </w:pPr>
            <w:r w:rsidRPr="00B11EEB">
              <w:rPr>
                <w:sz w:val="20"/>
                <w:szCs w:val="20"/>
                <w:lang w:eastAsia="cs-CZ"/>
              </w:rPr>
              <w:t>Fond odměn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02B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266 959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B6C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257 573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CB37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246 752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5EC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251 947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8984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240 100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B11" w14:textId="77777777" w:rsidR="00EA46D2" w:rsidRPr="00D4233D" w:rsidRDefault="00EA46D2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spacing w:val="-10"/>
                <w:sz w:val="20"/>
                <w:szCs w:val="20"/>
                <w:lang w:eastAsia="cs-CZ"/>
              </w:rPr>
              <w:t>249 419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BB45" w14:textId="2AC016A7" w:rsidR="00EA46D2" w:rsidRPr="00D4233D" w:rsidRDefault="005F5F76" w:rsidP="00DE4414">
            <w:pPr>
              <w:keepNext/>
              <w:jc w:val="right"/>
              <w:rPr>
                <w:spacing w:val="-10"/>
                <w:sz w:val="20"/>
                <w:szCs w:val="20"/>
                <w:lang w:eastAsia="cs-CZ"/>
              </w:rPr>
            </w:pPr>
            <w:r w:rsidRPr="00101FA2">
              <w:rPr>
                <w:sz w:val="20"/>
                <w:szCs w:val="20"/>
              </w:rPr>
              <w:t>−</w:t>
            </w:r>
            <w:r w:rsidR="00EA46D2" w:rsidRPr="00D4233D">
              <w:rPr>
                <w:spacing w:val="-10"/>
                <w:sz w:val="20"/>
                <w:szCs w:val="20"/>
                <w:lang w:eastAsia="cs-CZ"/>
              </w:rPr>
              <w:t>7</w:t>
            </w:r>
            <w:r w:rsidR="00EA46D2">
              <w:rPr>
                <w:spacing w:val="-10"/>
                <w:sz w:val="20"/>
                <w:szCs w:val="20"/>
                <w:lang w:eastAsia="cs-CZ"/>
              </w:rPr>
              <w:t xml:space="preserve"> </w:t>
            </w:r>
            <w:r w:rsidR="00EA46D2" w:rsidRPr="00D4233D">
              <w:rPr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  <w:tr w:rsidR="002A782A" w:rsidRPr="00D4233D" w14:paraId="3010A8B5" w14:textId="77777777" w:rsidTr="00B11EEB">
        <w:trPr>
          <w:trHeight w:val="300"/>
        </w:trPr>
        <w:tc>
          <w:tcPr>
            <w:tcW w:w="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4352EA8B" w14:textId="77777777" w:rsidR="00EA46D2" w:rsidRPr="00B11EEB" w:rsidRDefault="00EA46D2" w:rsidP="00DE4414">
            <w:pPr>
              <w:keepNext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B11EEB">
              <w:rPr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5EFCA0E6" w14:textId="78B0C4B6" w:rsidR="00EA46D2" w:rsidRPr="00D4233D" w:rsidRDefault="00EA46D2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13</w:t>
            </w:r>
            <w:r w:rsidR="00340545">
              <w:rPr>
                <w:b/>
                <w:bCs/>
                <w:spacing w:val="-10"/>
                <w:sz w:val="20"/>
                <w:szCs w:val="20"/>
                <w:lang w:eastAsia="cs-CZ"/>
              </w:rPr>
              <w:t xml:space="preserve"> 067 436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CB57F8F" w14:textId="1F4CC538" w:rsidR="00EA46D2" w:rsidRPr="00D4233D" w:rsidRDefault="00340545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>
              <w:rPr>
                <w:b/>
                <w:bCs/>
                <w:spacing w:val="-10"/>
                <w:sz w:val="20"/>
                <w:szCs w:val="20"/>
                <w:lang w:eastAsia="cs-CZ"/>
              </w:rPr>
              <w:t>13 887 567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79EB48EB" w14:textId="77777777" w:rsidR="00EA46D2" w:rsidRPr="00D4233D" w:rsidRDefault="00EA46D2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14 157 924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52595382" w14:textId="6E0B5B51" w:rsidR="00EA46D2" w:rsidRPr="00D4233D" w:rsidRDefault="00340545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>
              <w:rPr>
                <w:b/>
                <w:bCs/>
                <w:spacing w:val="-10"/>
                <w:sz w:val="20"/>
                <w:szCs w:val="20"/>
                <w:lang w:eastAsia="cs-CZ"/>
              </w:rPr>
              <w:t>15 422 520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47E5910C" w14:textId="77777777" w:rsidR="00EA46D2" w:rsidRPr="00D4233D" w:rsidRDefault="00EA46D2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17 330 327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4CFA45A3" w14:textId="6B3DBE66" w:rsidR="00EA46D2" w:rsidRPr="00D4233D" w:rsidRDefault="00340545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>
              <w:rPr>
                <w:b/>
                <w:bCs/>
                <w:spacing w:val="-10"/>
                <w:sz w:val="20"/>
                <w:szCs w:val="20"/>
                <w:lang w:eastAsia="cs-CZ"/>
              </w:rPr>
              <w:t>18 947 024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384E549C" w14:textId="5F42162E" w:rsidR="00EA46D2" w:rsidRPr="00D4233D" w:rsidRDefault="00EA46D2" w:rsidP="00DE4414">
            <w:pPr>
              <w:keepNext/>
              <w:jc w:val="right"/>
              <w:rPr>
                <w:b/>
                <w:bCs/>
                <w:spacing w:val="-10"/>
                <w:sz w:val="20"/>
                <w:szCs w:val="20"/>
                <w:lang w:eastAsia="cs-CZ"/>
              </w:rPr>
            </w:pP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45</w:t>
            </w:r>
            <w:r w:rsidR="002F33B6">
              <w:rPr>
                <w:b/>
                <w:bCs/>
                <w:spacing w:val="-10"/>
                <w:sz w:val="20"/>
                <w:szCs w:val="20"/>
                <w:lang w:eastAsia="cs-CZ"/>
              </w:rPr>
              <w:t xml:space="preserve"> </w:t>
            </w:r>
            <w:r w:rsidRPr="00D4233D">
              <w:rPr>
                <w:b/>
                <w:bCs/>
                <w:spacing w:val="-10"/>
                <w:sz w:val="20"/>
                <w:szCs w:val="20"/>
                <w:lang w:eastAsia="cs-CZ"/>
              </w:rPr>
              <w:t>%</w:t>
            </w:r>
          </w:p>
        </w:tc>
      </w:tr>
    </w:tbl>
    <w:p w14:paraId="0A24FEE6" w14:textId="5F40D4C8" w:rsidR="00EA46D2" w:rsidRDefault="00EA46D2" w:rsidP="00EA46D2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CB67A2">
        <w:rPr>
          <w:b/>
          <w:sz w:val="20"/>
          <w:szCs w:val="20"/>
        </w:rPr>
        <w:t>Zdroj:</w:t>
      </w:r>
      <w:r w:rsidRPr="00446318">
        <w:rPr>
          <w:sz w:val="20"/>
          <w:szCs w:val="20"/>
        </w:rPr>
        <w:t xml:space="preserve"> </w:t>
      </w:r>
      <w:r w:rsidR="002F33B6">
        <w:rPr>
          <w:sz w:val="20"/>
          <w:szCs w:val="20"/>
        </w:rPr>
        <w:t>i</w:t>
      </w:r>
      <w:r>
        <w:rPr>
          <w:sz w:val="20"/>
          <w:szCs w:val="20"/>
        </w:rPr>
        <w:t xml:space="preserve">nformace </w:t>
      </w:r>
      <w:r w:rsidRPr="00446318">
        <w:rPr>
          <w:sz w:val="20"/>
          <w:szCs w:val="20"/>
        </w:rPr>
        <w:t>MŠMT</w:t>
      </w:r>
      <w:r w:rsidR="00A9415A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</w:t>
      </w:r>
      <w:r w:rsidR="00A9415A">
        <w:rPr>
          <w:sz w:val="20"/>
          <w:szCs w:val="20"/>
        </w:rPr>
        <w:t xml:space="preserve"> NKÚ</w:t>
      </w:r>
      <w:r w:rsidR="00CB67A2">
        <w:rPr>
          <w:sz w:val="20"/>
          <w:szCs w:val="20"/>
        </w:rPr>
        <w:t>.</w:t>
      </w:r>
    </w:p>
    <w:p w14:paraId="48537A8C" w14:textId="7EA1F1DD" w:rsidR="00EA46D2" w:rsidRDefault="00EA46D2" w:rsidP="00EA46D2">
      <w:pPr>
        <w:autoSpaceDE w:val="0"/>
        <w:autoSpaceDN w:val="0"/>
        <w:adjustRightInd w:val="0"/>
        <w:spacing w:before="0" w:after="120"/>
      </w:pPr>
      <w:r w:rsidRPr="00C84810">
        <w:t xml:space="preserve">Přestože je </w:t>
      </w:r>
      <w:r w:rsidR="000A27C1" w:rsidRPr="00C84810">
        <w:t xml:space="preserve">ve </w:t>
      </w:r>
      <w:r w:rsidRPr="00C84810">
        <w:t>vysoké</w:t>
      </w:r>
      <w:r w:rsidR="000A27C1" w:rsidRPr="00C84810">
        <w:t>m</w:t>
      </w:r>
      <w:r w:rsidRPr="00C84810">
        <w:t xml:space="preserve"> školství</w:t>
      </w:r>
      <w:r w:rsidRPr="00D4233D">
        <w:t xml:space="preserve"> dle </w:t>
      </w:r>
      <w:r w:rsidR="00141DB6">
        <w:t>a</w:t>
      </w:r>
      <w:r>
        <w:t>nalýzy hospodaření</w:t>
      </w:r>
      <w:r w:rsidRPr="00D4233D">
        <w:t xml:space="preserve"> </w:t>
      </w:r>
      <w:r w:rsidR="00F45C89">
        <w:t>nedostatek prostředků</w:t>
      </w:r>
      <w:r w:rsidRPr="00D4233D">
        <w:t>, z tabulky je zřejmý každoroční nárůst zůstatků na fondech VVŠ.</w:t>
      </w:r>
      <w:r>
        <w:t xml:space="preserve"> V roce 2019 činily zůstatky fondů VVŠ téměř 19 mld. Kč, což je oproti roku 2014 o 5,9 mld. Kč více, tj. o 45 %. Ve sledovaném období se o desítky procent zvýšily zůstatky všech fondů s výjimkou nejmenšího </w:t>
      </w:r>
      <w:r w:rsidR="00C84810" w:rsidRPr="00B11EEB">
        <w:rPr>
          <w:i/>
        </w:rPr>
        <w:t>f</w:t>
      </w:r>
      <w:r w:rsidRPr="00B11EEB">
        <w:rPr>
          <w:i/>
        </w:rPr>
        <w:t>ondu odměn</w:t>
      </w:r>
      <w:r>
        <w:t xml:space="preserve">, jehož zůstatek o 7 % poklesl. Nejvýznamnější fond představoval </w:t>
      </w:r>
      <w:r w:rsidR="00C84810" w:rsidRPr="00B11EEB">
        <w:rPr>
          <w:i/>
        </w:rPr>
        <w:t>f</w:t>
      </w:r>
      <w:r w:rsidRPr="00B11EEB">
        <w:rPr>
          <w:i/>
        </w:rPr>
        <w:t>ond provozních prostředků</w:t>
      </w:r>
      <w:r>
        <w:t xml:space="preserve">. V tomto fondu měly VVŠ každoročně více prostředků než v ostatních fondech dohromady. </w:t>
      </w:r>
      <w:r w:rsidR="0095347E">
        <w:t>V roce 2019 byl zůstatek tohoto fondu o 52 % vyšší než v roce 2014.</w:t>
      </w:r>
    </w:p>
    <w:p w14:paraId="45912127" w14:textId="089168CC" w:rsidR="00EA46D2" w:rsidRDefault="00EA46D2" w:rsidP="00EA46D2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t xml:space="preserve">Na případné </w:t>
      </w:r>
      <w:r w:rsidR="0095347E">
        <w:t>om</w:t>
      </w:r>
      <w:r w:rsidR="00986BAC">
        <w:t>e</w:t>
      </w:r>
      <w:r w:rsidR="0095347E">
        <w:t>zení</w:t>
      </w:r>
      <w:r>
        <w:t xml:space="preserve"> prostředků </w:t>
      </w:r>
      <w:r w:rsidR="00986BAC">
        <w:t>pro</w:t>
      </w:r>
      <w:r>
        <w:t xml:space="preserve"> </w:t>
      </w:r>
      <w:r w:rsidR="00986BAC">
        <w:rPr>
          <w:rFonts w:cstheme="minorHAnsi"/>
        </w:rPr>
        <w:t xml:space="preserve">VVŠ </w:t>
      </w:r>
      <w:r>
        <w:rPr>
          <w:rFonts w:cstheme="minorHAnsi"/>
        </w:rPr>
        <w:t>ze</w:t>
      </w:r>
      <w:r w:rsidR="00986BAC">
        <w:rPr>
          <w:rFonts w:cstheme="minorHAnsi"/>
        </w:rPr>
        <w:t xml:space="preserve"> strukturálních fondů EU</w:t>
      </w:r>
      <w:r>
        <w:rPr>
          <w:rFonts w:cstheme="minorHAnsi"/>
        </w:rPr>
        <w:t xml:space="preserve"> se MŠMT nepřipravuje. </w:t>
      </w:r>
      <w:r w:rsidRPr="007666D4">
        <w:rPr>
          <w:lang w:eastAsia="cs-CZ"/>
        </w:rPr>
        <w:t xml:space="preserve">Systém financování VVŠ je </w:t>
      </w:r>
      <w:r>
        <w:rPr>
          <w:lang w:eastAsia="cs-CZ"/>
        </w:rPr>
        <w:t xml:space="preserve">dle </w:t>
      </w:r>
      <w:r w:rsidR="009C543A">
        <w:rPr>
          <w:lang w:eastAsia="cs-CZ"/>
        </w:rPr>
        <w:t xml:space="preserve">vyjádření </w:t>
      </w:r>
      <w:r>
        <w:rPr>
          <w:lang w:eastAsia="cs-CZ"/>
        </w:rPr>
        <w:t xml:space="preserve">MŠMT </w:t>
      </w:r>
      <w:r w:rsidRPr="007666D4">
        <w:rPr>
          <w:lang w:eastAsia="cs-CZ"/>
        </w:rPr>
        <w:t>nastaven tak, že finanční prostředky plynoucí VVŠ ze strukturálních fondů EU jsou zdrojem nad rámec prostředků nutných pro financování nákladů jejich běžného provozu.</w:t>
      </w:r>
    </w:p>
    <w:p w14:paraId="77D1BAFA" w14:textId="20A6924B" w:rsidR="00EA46D2" w:rsidRPr="00EC73A8" w:rsidRDefault="00EA46D2" w:rsidP="00EA46D2">
      <w:pPr>
        <w:autoSpaceDE w:val="0"/>
        <w:autoSpaceDN w:val="0"/>
        <w:adjustRightInd w:val="0"/>
        <w:spacing w:before="0" w:after="120"/>
        <w:rPr>
          <w:lang w:eastAsia="cs-CZ"/>
        </w:rPr>
      </w:pPr>
      <w:r>
        <w:rPr>
          <w:rFonts w:eastAsiaTheme="minorHAnsi" w:cstheme="minorHAnsi"/>
        </w:rPr>
        <w:t xml:space="preserve">Oproti tomu </w:t>
      </w:r>
      <w:r w:rsidR="005645D5">
        <w:rPr>
          <w:lang w:eastAsia="cs-CZ"/>
        </w:rPr>
        <w:t xml:space="preserve">MŠMT </w:t>
      </w:r>
      <w:r>
        <w:rPr>
          <w:lang w:eastAsia="cs-CZ"/>
        </w:rPr>
        <w:t xml:space="preserve">reaguje na dopady vyvolané pandemií </w:t>
      </w:r>
      <w:r w:rsidR="004423D3">
        <w:rPr>
          <w:lang w:eastAsia="cs-CZ"/>
        </w:rPr>
        <w:t>covidu</w:t>
      </w:r>
      <w:r>
        <w:rPr>
          <w:lang w:eastAsia="cs-CZ"/>
        </w:rPr>
        <w:t xml:space="preserve">-19. </w:t>
      </w:r>
      <w:r w:rsidRPr="008442E2">
        <w:rPr>
          <w:lang w:eastAsia="cs-CZ"/>
        </w:rPr>
        <w:t xml:space="preserve">Ohledně pandemie </w:t>
      </w:r>
      <w:r w:rsidR="004423D3">
        <w:rPr>
          <w:lang w:eastAsia="cs-CZ"/>
        </w:rPr>
        <w:t>covidu</w:t>
      </w:r>
      <w:r w:rsidRPr="008442E2">
        <w:rPr>
          <w:lang w:eastAsia="cs-CZ"/>
        </w:rPr>
        <w:t>-19 MŠMT s vysokými školami komunikuje. MŠMT má odha</w:t>
      </w:r>
      <w:r>
        <w:rPr>
          <w:lang w:eastAsia="cs-CZ"/>
        </w:rPr>
        <w:t xml:space="preserve">d dopadu na jejich hospodaření. </w:t>
      </w:r>
      <w:r>
        <w:t xml:space="preserve">Za období prvních osmi měsíců roku 2020 se jedná o cca 1,2 mld. Kč. Jsou zde započítány zejména ztráty příjmů za studenty studující v cizím jazyce, za kurzy a vzdělávací akce, za smluvní výzkum, ztráty v provozu kolejí a menz, zvýšené náklady např. v důsledku nutného posílení IT systémů apod. </w:t>
      </w:r>
      <w:r w:rsidRPr="008442E2">
        <w:rPr>
          <w:lang w:eastAsia="cs-CZ"/>
        </w:rPr>
        <w:t>Žádné kompenzace MŠMT v době kontroly neposkytlo, nicméně v návrhu rozpočtu na rok 2021 zohlednilo očekávané dopady pandemie.</w:t>
      </w:r>
    </w:p>
    <w:p w14:paraId="5B7CF45C" w14:textId="74B25E4E" w:rsidR="00F01649" w:rsidRDefault="00F01649" w:rsidP="00444F65">
      <w:pPr>
        <w:autoSpaceDE w:val="0"/>
        <w:autoSpaceDN w:val="0"/>
        <w:adjustRightInd w:val="0"/>
        <w:spacing w:before="0" w:after="120"/>
        <w:rPr>
          <w:rFonts w:eastAsiaTheme="minorHAnsi" w:cstheme="minorHAnsi"/>
        </w:rPr>
      </w:pPr>
      <w:r w:rsidRPr="00F01649">
        <w:rPr>
          <w:b/>
          <w:lang w:eastAsia="cs-CZ"/>
        </w:rPr>
        <w:t>8. Postavení ČR v mezinárodním žebříčku hodnotícím vysokoškolské systémy se dlouhodobě zhoršuje</w:t>
      </w:r>
    </w:p>
    <w:p w14:paraId="6DE3F9D0" w14:textId="77777777" w:rsidR="00147797" w:rsidRPr="0064548A" w:rsidRDefault="00147797" w:rsidP="00147797">
      <w:pPr>
        <w:spacing w:after="120"/>
        <w:rPr>
          <w:lang w:val="en-GB"/>
        </w:rPr>
      </w:pPr>
      <w:r w:rsidRPr="0064548A">
        <w:t xml:space="preserve">V mezinárodním prostředí dlouhodobě dochází k hodnocení kvality činnosti vysokých škol. Existuje řada žebříčků vysokých škol, které hodnotí kvalitu vysokých škol v celé škále jejich činností. </w:t>
      </w:r>
      <w:r>
        <w:t xml:space="preserve">Existuje i žebříček hodnocení kvality vysokoškolských systémů jednotlivých zemí jako </w:t>
      </w:r>
      <w:r>
        <w:lastRenderedPageBreak/>
        <w:t>celku. Takové hodnocení poskytuje žebříček</w:t>
      </w:r>
      <w:r>
        <w:rPr>
          <w:lang w:val="en-GB"/>
        </w:rPr>
        <w:t xml:space="preserve"> </w:t>
      </w:r>
      <w:hyperlink r:id="rId17" w:history="1">
        <w:r w:rsidRPr="00B11EEB">
          <w:rPr>
            <w:rStyle w:val="Hypertextovodkaz"/>
            <w:i/>
            <w:color w:val="0070C0"/>
            <w:lang w:val="en-GB"/>
          </w:rPr>
          <w:t>Universitas</w:t>
        </w:r>
        <w:r w:rsidRPr="00B11EEB">
          <w:rPr>
            <w:rStyle w:val="Hypertextovodkaz"/>
            <w:i/>
            <w:color w:val="0070C0"/>
          </w:rPr>
          <w:t xml:space="preserve"> 21</w:t>
        </w:r>
        <w:r>
          <w:rPr>
            <w:rStyle w:val="Hypertextovodkaz"/>
            <w:color w:val="0070C0"/>
          </w:rPr>
          <w:t xml:space="preserve"> </w:t>
        </w:r>
        <w:r>
          <w:rPr>
            <w:rStyle w:val="Hypertextovodkaz"/>
            <w:color w:val="0070C0"/>
            <w:lang w:val="en-GB"/>
          </w:rPr>
          <w:t>(Ranking of National Higher Education</w:t>
        </w:r>
        <w:r>
          <w:rPr>
            <w:rStyle w:val="Hypertextovodkaz"/>
            <w:color w:val="0070C0"/>
          </w:rPr>
          <w:t xml:space="preserve"> Systems)</w:t>
        </w:r>
      </w:hyperlink>
      <w:r>
        <w:t>.</w:t>
      </w:r>
    </w:p>
    <w:p w14:paraId="5DF3A269" w14:textId="51DE3699" w:rsidR="00147797" w:rsidRDefault="00147797" w:rsidP="00147797">
      <w:pPr>
        <w:spacing w:after="120"/>
      </w:pPr>
      <w:r w:rsidRPr="00EC6EF3">
        <w:t xml:space="preserve">Mezinárodní žebříček </w:t>
      </w:r>
      <w:r w:rsidRPr="00B11EEB">
        <w:rPr>
          <w:b/>
          <w:i/>
        </w:rPr>
        <w:t>Universitas 21</w:t>
      </w:r>
      <w:r w:rsidRPr="00EC6EF3">
        <w:t xml:space="preserve"> </w:t>
      </w:r>
      <w:r>
        <w:t>hodnotí a s</w:t>
      </w:r>
      <w:r w:rsidRPr="00EC6EF3">
        <w:t xml:space="preserve">rovnává </w:t>
      </w:r>
      <w:r>
        <w:t xml:space="preserve">celkové </w:t>
      </w:r>
      <w:r w:rsidRPr="00EC6EF3">
        <w:t>vysokoškolské systémy</w:t>
      </w:r>
      <w:r>
        <w:t xml:space="preserve"> jednotlivých států. Je založen na myšlence,</w:t>
      </w:r>
      <w:r w:rsidRPr="00EC6EF3">
        <w:t xml:space="preserve"> že ekonomický, sociální a kulturní rozvoj země závisí na kvalitě celého vysokého školství, nikoli pouze na kvalitě několika prestižních výzkumně orientovaných univerzit.</w:t>
      </w:r>
      <w:r>
        <w:t xml:space="preserve"> Žebříček vysokoškolských systémů padesáti zemí světa zveřejňuje </w:t>
      </w:r>
      <w:r w:rsidR="00922307">
        <w:t>nadnárodní sdružení</w:t>
      </w:r>
      <w:r w:rsidRPr="00EC6EF3">
        <w:t xml:space="preserve"> výzkumných univerzit U21</w:t>
      </w:r>
      <w:r>
        <w:t>. Hodnocení provádí</w:t>
      </w:r>
      <w:r w:rsidRPr="00EC6EF3">
        <w:t xml:space="preserve"> tým výzkumníků australského Institutu aplikovaného ekonomického a sociálního výzkumu (Melbourne Institute of Applied Economic and Social Research) na Univerzitě v Melbourne.</w:t>
      </w:r>
    </w:p>
    <w:p w14:paraId="66AA8E1A" w14:textId="54E15EFA" w:rsidR="00147797" w:rsidRDefault="00147797" w:rsidP="00147797">
      <w:pPr>
        <w:spacing w:after="120"/>
      </w:pPr>
      <w:r w:rsidRPr="00EC6EF3">
        <w:t xml:space="preserve">Vysokoškolské systémy jsou </w:t>
      </w:r>
      <w:r>
        <w:t>v</w:t>
      </w:r>
      <w:r w:rsidRPr="00EC6EF3">
        <w:t xml:space="preserve"> žebříčku </w:t>
      </w:r>
      <w:r w:rsidRPr="00B11EEB">
        <w:rPr>
          <w:i/>
        </w:rPr>
        <w:t>Universitas 21</w:t>
      </w:r>
      <w:r w:rsidRPr="00EC6EF3">
        <w:t xml:space="preserve"> hodnoceny podle více než dvou desítek </w:t>
      </w:r>
      <w:r>
        <w:t>ukazatel</w:t>
      </w:r>
      <w:r w:rsidRPr="00EC6EF3">
        <w:t>ů</w:t>
      </w:r>
      <w:r>
        <w:t xml:space="preserve"> v rámci čtyř oblastí. Jsou hodnoceny oblasti zastupující </w:t>
      </w:r>
      <w:r w:rsidRPr="008F1C8B">
        <w:rPr>
          <w:b/>
        </w:rPr>
        <w:t>zdroje</w:t>
      </w:r>
      <w:r>
        <w:t xml:space="preserve"> (</w:t>
      </w:r>
      <w:r w:rsidRPr="00EC6EF3">
        <w:t>veřejné a soukromé výdaje na vysokoškolské vzdělávání a výzkum</w:t>
      </w:r>
      <w:r>
        <w:t xml:space="preserve">), </w:t>
      </w:r>
      <w:r w:rsidRPr="008F1C8B">
        <w:rPr>
          <w:b/>
        </w:rPr>
        <w:t>prostředí</w:t>
      </w:r>
      <w:r>
        <w:t xml:space="preserve"> (</w:t>
      </w:r>
      <w:r w:rsidRPr="00EC6EF3">
        <w:t>vládní politika a regulace, kvalita poskytování informací, podíl žen mezi učiteli a studenty</w:t>
      </w:r>
      <w:r>
        <w:t xml:space="preserve"> apod.), </w:t>
      </w:r>
      <w:r w:rsidRPr="008F1C8B">
        <w:rPr>
          <w:b/>
        </w:rPr>
        <w:t>otevřenost</w:t>
      </w:r>
      <w:r>
        <w:t xml:space="preserve"> (</w:t>
      </w:r>
      <w:r w:rsidRPr="00EC6EF3">
        <w:t>mezinárodní spolupráce a zahraniční studenti</w:t>
      </w:r>
      <w:r>
        <w:t xml:space="preserve">, otevřený přístup k informacím) a zejména </w:t>
      </w:r>
      <w:r w:rsidRPr="008F1C8B">
        <w:rPr>
          <w:b/>
        </w:rPr>
        <w:t>výsledky</w:t>
      </w:r>
      <w:r>
        <w:t xml:space="preserve"> (u</w:t>
      </w:r>
      <w:r w:rsidRPr="00EC6EF3">
        <w:t>místění vysokých škol dané země v mezinárodních žebří</w:t>
      </w:r>
      <w:r>
        <w:t>čcích, počty vědeckých článků a </w:t>
      </w:r>
      <w:r w:rsidRPr="00EC6EF3">
        <w:t>jejich citací a zaměstnatelnost absolventů na trhu práce</w:t>
      </w:r>
      <w:r>
        <w:t>).</w:t>
      </w:r>
    </w:p>
    <w:p w14:paraId="381A743B" w14:textId="1E9A5813" w:rsidR="00147797" w:rsidRDefault="00147797" w:rsidP="00147797">
      <w:pPr>
        <w:spacing w:after="120"/>
      </w:pPr>
      <w:r w:rsidRPr="00EC6EF3">
        <w:t xml:space="preserve">Zemi, která je v dané </w:t>
      </w:r>
      <w:r>
        <w:t>oblasti</w:t>
      </w:r>
      <w:r w:rsidRPr="00EC6EF3">
        <w:t xml:space="preserve"> nejúspěšnější, je přiřazeno skóre 100</w:t>
      </w:r>
      <w:r>
        <w:t>. P</w:t>
      </w:r>
      <w:r w:rsidRPr="00EC6EF3">
        <w:t xml:space="preserve">ozice ostatních zemí jsou vyjádřeny jako procenta z tohoto nejvyššího skóre. Skóre každé země má </w:t>
      </w:r>
      <w:r>
        <w:t xml:space="preserve">tedy </w:t>
      </w:r>
      <w:r w:rsidRPr="00EC6EF3">
        <w:t xml:space="preserve">vždy relativní povahu vůči nejlepšímu výsledku. </w:t>
      </w:r>
      <w:r>
        <w:t>Zlepšení v dosaženém skóre však nemusí nutně znamenat posun v pořadí. J</w:t>
      </w:r>
      <w:r w:rsidRPr="00EC6EF3">
        <w:t>e</w:t>
      </w:r>
      <w:r>
        <w:t xml:space="preserve"> vždy</w:t>
      </w:r>
      <w:r w:rsidRPr="00EC6EF3">
        <w:t xml:space="preserve"> potřeba zohlednit dynamiku vývoje</w:t>
      </w:r>
      <w:r w:rsidR="00054D46">
        <w:t xml:space="preserve"> </w:t>
      </w:r>
      <w:r>
        <w:t>ostatních zemí</w:t>
      </w:r>
      <w:r w:rsidRPr="00EC6EF3">
        <w:t>.</w:t>
      </w:r>
    </w:p>
    <w:p w14:paraId="69E9CDC7" w14:textId="77777777" w:rsidR="00147797" w:rsidRPr="00EC6EF3" w:rsidRDefault="00147797" w:rsidP="00147797">
      <w:pPr>
        <w:spacing w:after="120"/>
      </w:pPr>
      <w:r w:rsidRPr="00EC6EF3">
        <w:t xml:space="preserve">Vývoj skóre ČR dosaženého v jednotlivých </w:t>
      </w:r>
      <w:r>
        <w:t>oblastech</w:t>
      </w:r>
      <w:r w:rsidRPr="00EC6EF3">
        <w:t xml:space="preserve"> a v celkovém hodnocení zobrazuje následující graf.</w:t>
      </w:r>
    </w:p>
    <w:p w14:paraId="2108AB27" w14:textId="11C042A0" w:rsidR="00F01649" w:rsidRDefault="00147797" w:rsidP="00147797">
      <w:pPr>
        <w:keepNext/>
        <w:spacing w:before="0"/>
        <w:rPr>
          <w:shd w:val="clear" w:color="auto" w:fill="FFFFFF"/>
        </w:rPr>
      </w:pPr>
      <w:r w:rsidRPr="00EC6EF3">
        <w:t>Graf č. 3: Skóre ČR</w:t>
      </w:r>
      <w:r w:rsidRPr="00EC6EF3">
        <w:rPr>
          <w:shd w:val="clear" w:color="auto" w:fill="FFFFFF"/>
        </w:rPr>
        <w:t xml:space="preserve"> v žebříčku </w:t>
      </w:r>
      <w:r w:rsidRPr="00B11EEB">
        <w:rPr>
          <w:i/>
          <w:shd w:val="clear" w:color="auto" w:fill="FFFFFF"/>
        </w:rPr>
        <w:t>Universitas 21</w:t>
      </w:r>
      <w:r w:rsidRPr="00EC6EF3">
        <w:rPr>
          <w:shd w:val="clear" w:color="auto" w:fill="FFFFFF"/>
        </w:rPr>
        <w:t xml:space="preserve"> v letech 2013 a 2020</w:t>
      </w:r>
    </w:p>
    <w:p w14:paraId="17C8BF35" w14:textId="518992AC" w:rsidR="00147797" w:rsidRDefault="00F2012F" w:rsidP="00147797">
      <w:pPr>
        <w:keepNext/>
        <w:spacing w:before="0"/>
        <w:rPr>
          <w:rFonts w:eastAsia="Calibri"/>
          <w:b/>
          <w:color w:val="auto"/>
          <w:lang w:eastAsia="cs-CZ"/>
        </w:rPr>
      </w:pPr>
      <w:r w:rsidRPr="00BF2F30">
        <w:rPr>
          <w:noProof/>
          <w:color w:val="004595"/>
          <w:lang w:eastAsia="cs-CZ"/>
        </w:rPr>
        <w:drawing>
          <wp:inline distT="0" distB="0" distL="0" distR="0" wp14:anchorId="25CCA6BB" wp14:editId="52AA5FBF">
            <wp:extent cx="5759450" cy="282765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F55C48A" w14:textId="43D08DD9" w:rsidR="00147797" w:rsidRDefault="00147797" w:rsidP="00147797">
      <w:pPr>
        <w:keepNext/>
        <w:spacing w:before="0" w:after="120"/>
        <w:rPr>
          <w:sz w:val="20"/>
          <w:szCs w:val="20"/>
          <w:shd w:val="clear" w:color="auto" w:fill="FFFFFF"/>
        </w:rPr>
      </w:pPr>
      <w:r w:rsidRPr="00921C34">
        <w:rPr>
          <w:b/>
          <w:sz w:val="20"/>
          <w:szCs w:val="20"/>
          <w:shd w:val="clear" w:color="auto" w:fill="FFFFFF"/>
        </w:rPr>
        <w:t xml:space="preserve">Zdroj: </w:t>
      </w:r>
      <w:hyperlink r:id="rId19" w:history="1">
        <w:r w:rsidRPr="00B11EEB">
          <w:rPr>
            <w:color w:val="0563C1"/>
            <w:sz w:val="20"/>
            <w:szCs w:val="20"/>
            <w:u w:val="single"/>
            <w:shd w:val="clear" w:color="auto" w:fill="FFFFFF"/>
          </w:rPr>
          <w:t>www.universitas21.com</w:t>
        </w:r>
      </w:hyperlink>
      <w:r w:rsidR="00856DB8" w:rsidRPr="00B11EEB">
        <w:rPr>
          <w:color w:val="auto"/>
          <w:sz w:val="20"/>
          <w:szCs w:val="20"/>
          <w:shd w:val="clear" w:color="auto" w:fill="FFFFFF"/>
        </w:rPr>
        <w:t>;</w:t>
      </w:r>
      <w:r w:rsidRPr="00147797">
        <w:rPr>
          <w:sz w:val="20"/>
          <w:szCs w:val="20"/>
          <w:shd w:val="clear" w:color="auto" w:fill="FFFFFF"/>
        </w:rPr>
        <w:t xml:space="preserve"> vlastní zpracování</w:t>
      </w:r>
      <w:r w:rsidR="00856DB8">
        <w:rPr>
          <w:sz w:val="20"/>
          <w:szCs w:val="20"/>
          <w:shd w:val="clear" w:color="auto" w:fill="FFFFFF"/>
        </w:rPr>
        <w:t xml:space="preserve"> NKÚ</w:t>
      </w:r>
      <w:r w:rsidR="00921C34">
        <w:rPr>
          <w:sz w:val="20"/>
          <w:szCs w:val="20"/>
          <w:shd w:val="clear" w:color="auto" w:fill="FFFFFF"/>
        </w:rPr>
        <w:t>.</w:t>
      </w:r>
    </w:p>
    <w:p w14:paraId="52AC640A" w14:textId="32DE9CC4" w:rsidR="00147797" w:rsidRDefault="00147797" w:rsidP="00147797">
      <w:pPr>
        <w:spacing w:after="120"/>
      </w:pPr>
      <w:r w:rsidRPr="00EC6EF3">
        <w:t xml:space="preserve">Nejlepších výsledků dosáhla </w:t>
      </w:r>
      <w:r>
        <w:t xml:space="preserve">ČR </w:t>
      </w:r>
      <w:r w:rsidRPr="00EC6EF3">
        <w:t>v</w:t>
      </w:r>
      <w:r>
        <w:t> oblasti hodnocení</w:t>
      </w:r>
      <w:r w:rsidRPr="00EC6EF3">
        <w:t xml:space="preserve"> </w:t>
      </w:r>
      <w:r>
        <w:t>p</w:t>
      </w:r>
      <w:r w:rsidRPr="00EC6EF3">
        <w:t xml:space="preserve">rostředí. </w:t>
      </w:r>
      <w:r>
        <w:t>Přesto za posledních osm let ztratila ČR téměř 19 procentních bodů ve</w:t>
      </w:r>
      <w:r w:rsidR="00595FB8">
        <w:t xml:space="preserve"> </w:t>
      </w:r>
      <w:r>
        <w:t xml:space="preserve">srovnání s nejlépe umístěnou zemí v této oblasti. Naopak pravidelně </w:t>
      </w:r>
      <w:r w:rsidRPr="00EC6EF3">
        <w:t>nejnižší skóre dosahuje ČR v</w:t>
      </w:r>
      <w:r>
        <w:t> oblasti hodnocení výsledků. Za po</w:t>
      </w:r>
      <w:r w:rsidR="00922307">
        <w:t>sledních osm let sice došlo k </w:t>
      </w:r>
      <w:r>
        <w:t xml:space="preserve">růstu skóre v této oblasti o téměř 5 procentních bodů, přesto </w:t>
      </w:r>
      <w:r w:rsidRPr="00B027BC">
        <w:t xml:space="preserve">ČR </w:t>
      </w:r>
      <w:r>
        <w:t xml:space="preserve">v oblasti výsledků </w:t>
      </w:r>
      <w:r w:rsidRPr="00B027BC">
        <w:t xml:space="preserve">zaznamenává každoročně nejhorší skóre a výrazné zaostávání vůči ostatním </w:t>
      </w:r>
      <w:r w:rsidRPr="00B027BC">
        <w:lastRenderedPageBreak/>
        <w:t xml:space="preserve">sledovaným </w:t>
      </w:r>
      <w:r>
        <w:t>oblastem</w:t>
      </w:r>
      <w:r w:rsidRPr="00B027BC">
        <w:t xml:space="preserve"> </w:t>
      </w:r>
      <w:r>
        <w:t>i</w:t>
      </w:r>
      <w:r w:rsidRPr="00B027BC">
        <w:t xml:space="preserve"> vůči nejúspěšnější zemi.</w:t>
      </w:r>
      <w:r>
        <w:t xml:space="preserve"> Právě oblast hodnocení výsledků má však největší dopad na celkové hodnocení. </w:t>
      </w:r>
    </w:p>
    <w:p w14:paraId="3A86A348" w14:textId="58AE05B0" w:rsidR="00147797" w:rsidRDefault="00147797" w:rsidP="00147797">
      <w:pPr>
        <w:spacing w:after="120"/>
      </w:pPr>
      <w:r>
        <w:t xml:space="preserve">V celkovém hodnocení </w:t>
      </w:r>
      <w:r w:rsidR="00E270F4">
        <w:t xml:space="preserve">dosahuje </w:t>
      </w:r>
      <w:r>
        <w:t xml:space="preserve">ČR dlouhodobě jen něco málo přes polovinu hodnocení nejúspěšnější země. V roce 2020 činilo skóre ČR v celkovém hodnocení 54,8 % výsledku nejúspěšnější země, </w:t>
      </w:r>
      <w:r w:rsidRPr="00EC6EF3">
        <w:t>kterou byly Spojené státy americké.</w:t>
      </w:r>
      <w:r>
        <w:t xml:space="preserve"> Jde o nejnižší hodnocení ČR za posledních osm let. </w:t>
      </w:r>
    </w:p>
    <w:p w14:paraId="5EFD9B4D" w14:textId="70A3ACC1" w:rsidR="00147797" w:rsidRDefault="00147797" w:rsidP="00922307">
      <w:pPr>
        <w:spacing w:before="0" w:after="120"/>
      </w:pPr>
      <w:r>
        <w:t xml:space="preserve">Uvedený vývoj hodnocení má vliv na postavení ČR v žebříčku. </w:t>
      </w:r>
      <w:r w:rsidRPr="00EC6EF3">
        <w:t xml:space="preserve">Vývoj pořadí ČR dosaženého v celkovém hodnocení </w:t>
      </w:r>
      <w:r w:rsidR="00F2012F">
        <w:t xml:space="preserve">a </w:t>
      </w:r>
      <w:r w:rsidR="00F2012F" w:rsidRPr="00EC6EF3">
        <w:t xml:space="preserve">v jednotlivých </w:t>
      </w:r>
      <w:r w:rsidR="00F2012F">
        <w:t>oblastech</w:t>
      </w:r>
      <w:r w:rsidR="00F2012F" w:rsidRPr="00EC6EF3">
        <w:t xml:space="preserve"> </w:t>
      </w:r>
      <w:r w:rsidR="00F2012F">
        <w:t>zobrazují</w:t>
      </w:r>
      <w:r w:rsidRPr="00EC6EF3">
        <w:t xml:space="preserve"> následující graf</w:t>
      </w:r>
      <w:r w:rsidR="00F2012F">
        <w:t xml:space="preserve"> a tabulka</w:t>
      </w:r>
      <w:r w:rsidRPr="00EC6EF3">
        <w:t>.</w:t>
      </w:r>
    </w:p>
    <w:p w14:paraId="202FFF3B" w14:textId="7395CB6C" w:rsidR="00147797" w:rsidRDefault="00147797" w:rsidP="00147797">
      <w:pPr>
        <w:keepNext/>
        <w:spacing w:before="0"/>
        <w:rPr>
          <w:shd w:val="clear" w:color="auto" w:fill="FFFFFF"/>
        </w:rPr>
      </w:pPr>
      <w:r w:rsidRPr="00147797">
        <w:rPr>
          <w:rFonts w:cs="Times New Roman"/>
          <w:color w:val="auto"/>
        </w:rPr>
        <w:t>Graf č. 4: Pořadí ČR</w:t>
      </w:r>
      <w:r w:rsidRPr="00147797">
        <w:rPr>
          <w:shd w:val="clear" w:color="auto" w:fill="FFFFFF"/>
        </w:rPr>
        <w:t xml:space="preserve"> v</w:t>
      </w:r>
      <w:r w:rsidR="00F2012F">
        <w:rPr>
          <w:shd w:val="clear" w:color="auto" w:fill="FFFFFF"/>
        </w:rPr>
        <w:t xml:space="preserve"> celkovém hodnocení </w:t>
      </w:r>
      <w:r w:rsidRPr="00147797">
        <w:rPr>
          <w:shd w:val="clear" w:color="auto" w:fill="FFFFFF"/>
        </w:rPr>
        <w:t xml:space="preserve">žebříčku </w:t>
      </w:r>
      <w:r w:rsidRPr="00B11EEB">
        <w:rPr>
          <w:i/>
          <w:shd w:val="clear" w:color="auto" w:fill="FFFFFF"/>
        </w:rPr>
        <w:t>Universitas 21</w:t>
      </w:r>
      <w:r w:rsidRPr="00147797">
        <w:rPr>
          <w:shd w:val="clear" w:color="auto" w:fill="FFFFFF"/>
        </w:rPr>
        <w:t xml:space="preserve"> v letech 2013 až 2020</w:t>
      </w:r>
    </w:p>
    <w:p w14:paraId="4BC0F951" w14:textId="6B911C72" w:rsidR="00F2012F" w:rsidRPr="00147797" w:rsidRDefault="005564EE" w:rsidP="005564EE">
      <w:pPr>
        <w:keepNext/>
        <w:spacing w:before="0"/>
        <w:rPr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75AF401E" wp14:editId="06E0173D">
            <wp:extent cx="5759450" cy="2742565"/>
            <wp:effectExtent l="0" t="0" r="0" b="63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7F4316" w14:textId="37573307" w:rsidR="00147797" w:rsidRDefault="00147797" w:rsidP="00147797">
      <w:pPr>
        <w:keepNext/>
        <w:spacing w:before="0" w:after="120"/>
        <w:rPr>
          <w:sz w:val="20"/>
          <w:szCs w:val="20"/>
          <w:shd w:val="clear" w:color="auto" w:fill="FFFFFF"/>
        </w:rPr>
      </w:pPr>
      <w:r w:rsidRPr="00921C34">
        <w:rPr>
          <w:rFonts w:cs="Times New Roman"/>
          <w:b/>
          <w:color w:val="auto"/>
          <w:sz w:val="20"/>
          <w:szCs w:val="20"/>
          <w:shd w:val="clear" w:color="auto" w:fill="FFFFFF"/>
        </w:rPr>
        <w:t>Zdroj:</w:t>
      </w:r>
      <w:r w:rsidRPr="00147797">
        <w:rPr>
          <w:sz w:val="20"/>
          <w:szCs w:val="20"/>
          <w:shd w:val="clear" w:color="auto" w:fill="FFFFFF"/>
        </w:rPr>
        <w:t xml:space="preserve"> </w:t>
      </w:r>
      <w:hyperlink r:id="rId21" w:history="1">
        <w:r w:rsidRPr="00147797">
          <w:rPr>
            <w:color w:val="0563C1"/>
            <w:sz w:val="20"/>
            <w:szCs w:val="20"/>
            <w:u w:val="single"/>
            <w:shd w:val="clear" w:color="auto" w:fill="FFFFFF"/>
          </w:rPr>
          <w:t>www.universitas21.com</w:t>
        </w:r>
      </w:hyperlink>
      <w:r w:rsidR="008D0E54">
        <w:rPr>
          <w:sz w:val="20"/>
          <w:szCs w:val="20"/>
          <w:shd w:val="clear" w:color="auto" w:fill="FFFFFF"/>
        </w:rPr>
        <w:t>;</w:t>
      </w:r>
      <w:r w:rsidRPr="00147797">
        <w:rPr>
          <w:sz w:val="20"/>
          <w:szCs w:val="20"/>
          <w:shd w:val="clear" w:color="auto" w:fill="FFFFFF"/>
        </w:rPr>
        <w:t xml:space="preserve"> vlastní zpracování</w:t>
      </w:r>
      <w:r w:rsidR="008D0E54">
        <w:rPr>
          <w:sz w:val="20"/>
          <w:szCs w:val="20"/>
          <w:shd w:val="clear" w:color="auto" w:fill="FFFFFF"/>
        </w:rPr>
        <w:t xml:space="preserve"> NKÚ</w:t>
      </w:r>
      <w:r w:rsidR="00921C34">
        <w:rPr>
          <w:sz w:val="20"/>
          <w:szCs w:val="20"/>
          <w:shd w:val="clear" w:color="auto" w:fill="FFFFFF"/>
        </w:rPr>
        <w:t>.</w:t>
      </w:r>
    </w:p>
    <w:p w14:paraId="3B2D64C5" w14:textId="527CE1A2" w:rsidR="00F2012F" w:rsidRDefault="00F2012F" w:rsidP="00F2012F">
      <w:pPr>
        <w:keepNext/>
        <w:autoSpaceDE w:val="0"/>
        <w:autoSpaceDN w:val="0"/>
        <w:adjustRightInd w:val="0"/>
      </w:pPr>
      <w:r w:rsidRPr="00F2012F">
        <w:t xml:space="preserve">Tabulka č. 12: Pořadí ČR v jednotlivých oblastech žebříčku </w:t>
      </w:r>
      <w:r w:rsidRPr="00B11EEB">
        <w:rPr>
          <w:i/>
        </w:rPr>
        <w:t>Universitas 21</w:t>
      </w:r>
      <w:r w:rsidRPr="00F2012F">
        <w:t xml:space="preserve"> v letech 2013 a 2020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38"/>
        <w:gridCol w:w="1655"/>
        <w:gridCol w:w="1657"/>
        <w:gridCol w:w="1654"/>
        <w:gridCol w:w="1656"/>
      </w:tblGrid>
      <w:tr w:rsidR="006C3162" w:rsidRPr="004F0A5E" w14:paraId="00F0E19B" w14:textId="77777777" w:rsidTr="006C3162">
        <w:tc>
          <w:tcPr>
            <w:tcW w:w="1345" w:type="pct"/>
            <w:shd w:val="clear" w:color="auto" w:fill="E5F1FF"/>
          </w:tcPr>
          <w:p w14:paraId="0318EDD0" w14:textId="77777777" w:rsidR="006C3162" w:rsidRPr="004F0A5E" w:rsidRDefault="006C3162" w:rsidP="00DF1DA9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913" w:type="pct"/>
            <w:shd w:val="clear" w:color="auto" w:fill="E5F1FF"/>
          </w:tcPr>
          <w:p w14:paraId="6E67F198" w14:textId="77777777" w:rsidR="006C3162" w:rsidRPr="004F0A5E" w:rsidRDefault="006C3162" w:rsidP="00DF1DA9">
            <w:pPr>
              <w:spacing w:after="120"/>
              <w:jc w:val="center"/>
              <w:rPr>
                <w:b/>
                <w:sz w:val="20"/>
              </w:rPr>
            </w:pPr>
            <w:r w:rsidRPr="004F0A5E">
              <w:rPr>
                <w:b/>
                <w:sz w:val="20"/>
              </w:rPr>
              <w:t>Otevřenost</w:t>
            </w:r>
          </w:p>
        </w:tc>
        <w:tc>
          <w:tcPr>
            <w:tcW w:w="914" w:type="pct"/>
            <w:shd w:val="clear" w:color="auto" w:fill="E5F1FF"/>
          </w:tcPr>
          <w:p w14:paraId="24AC346E" w14:textId="77777777" w:rsidR="006C3162" w:rsidRPr="004F0A5E" w:rsidRDefault="006C3162" w:rsidP="00DF1DA9">
            <w:pPr>
              <w:spacing w:after="120"/>
              <w:jc w:val="center"/>
              <w:rPr>
                <w:b/>
                <w:sz w:val="20"/>
              </w:rPr>
            </w:pPr>
            <w:r w:rsidRPr="004F0A5E">
              <w:rPr>
                <w:b/>
                <w:sz w:val="20"/>
              </w:rPr>
              <w:t>Prostředí</w:t>
            </w:r>
          </w:p>
        </w:tc>
        <w:tc>
          <w:tcPr>
            <w:tcW w:w="913" w:type="pct"/>
            <w:shd w:val="clear" w:color="auto" w:fill="E5F1FF"/>
          </w:tcPr>
          <w:p w14:paraId="7D643334" w14:textId="77777777" w:rsidR="006C3162" w:rsidRPr="004F0A5E" w:rsidRDefault="006C3162" w:rsidP="00DF1DA9">
            <w:pPr>
              <w:spacing w:after="120"/>
              <w:jc w:val="center"/>
              <w:rPr>
                <w:b/>
                <w:sz w:val="20"/>
              </w:rPr>
            </w:pPr>
            <w:r w:rsidRPr="004F0A5E">
              <w:rPr>
                <w:b/>
                <w:sz w:val="20"/>
              </w:rPr>
              <w:t>Zdroje</w:t>
            </w:r>
          </w:p>
        </w:tc>
        <w:tc>
          <w:tcPr>
            <w:tcW w:w="914" w:type="pct"/>
            <w:shd w:val="clear" w:color="auto" w:fill="E5F1FF"/>
          </w:tcPr>
          <w:p w14:paraId="080D4A87" w14:textId="77777777" w:rsidR="006C3162" w:rsidRPr="004F0A5E" w:rsidRDefault="006C3162" w:rsidP="00DF1DA9">
            <w:pPr>
              <w:spacing w:after="120"/>
              <w:jc w:val="center"/>
              <w:rPr>
                <w:b/>
                <w:sz w:val="20"/>
              </w:rPr>
            </w:pPr>
            <w:r w:rsidRPr="004F0A5E">
              <w:rPr>
                <w:b/>
                <w:sz w:val="20"/>
              </w:rPr>
              <w:t>Výsledky</w:t>
            </w:r>
          </w:p>
        </w:tc>
      </w:tr>
      <w:tr w:rsidR="006C3162" w:rsidRPr="004F0A5E" w14:paraId="5F767AB4" w14:textId="77777777" w:rsidTr="006C3162">
        <w:tc>
          <w:tcPr>
            <w:tcW w:w="1345" w:type="pct"/>
            <w:shd w:val="clear" w:color="auto" w:fill="auto"/>
          </w:tcPr>
          <w:p w14:paraId="340BB281" w14:textId="274D6AE9" w:rsidR="006C3162" w:rsidRPr="004F0A5E" w:rsidRDefault="006C3162" w:rsidP="002A782A">
            <w:pPr>
              <w:spacing w:after="120"/>
              <w:rPr>
                <w:sz w:val="20"/>
              </w:rPr>
            </w:pPr>
            <w:r w:rsidRPr="004F0A5E">
              <w:rPr>
                <w:sz w:val="20"/>
              </w:rPr>
              <w:t>Umístění v roce 2013</w:t>
            </w:r>
          </w:p>
        </w:tc>
        <w:tc>
          <w:tcPr>
            <w:tcW w:w="913" w:type="pct"/>
            <w:shd w:val="clear" w:color="auto" w:fill="auto"/>
          </w:tcPr>
          <w:p w14:paraId="3FCBC55F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C272A3" wp14:editId="35B4C97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197485</wp:posOffset>
                      </wp:positionV>
                      <wp:extent cx="127000" cy="237269"/>
                      <wp:effectExtent l="19050" t="0" r="44450" b="29845"/>
                      <wp:wrapNone/>
                      <wp:docPr id="3" name="Šipka dolů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3726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solidFill>
                                  <a:srgbClr val="BD2A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F090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 dolů 3" o:spid="_x0000_s1026" type="#_x0000_t67" style="position:absolute;margin-left:2.4pt;margin-top:15.55pt;width:10pt;height:1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" adj="15819" fillcolor="#bd2a33" strokecolor="#bd2a33" strokeweight="2pt"/>
                  </w:pict>
                </mc:Fallback>
              </mc:AlternateContent>
            </w:r>
            <w:r w:rsidRPr="004F0A5E">
              <w:rPr>
                <w:sz w:val="20"/>
              </w:rPr>
              <w:t>15. místo</w:t>
            </w:r>
          </w:p>
        </w:tc>
        <w:tc>
          <w:tcPr>
            <w:tcW w:w="914" w:type="pct"/>
            <w:shd w:val="clear" w:color="auto" w:fill="auto"/>
          </w:tcPr>
          <w:p w14:paraId="075FAFEF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24D98" wp14:editId="3487BF3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198755</wp:posOffset>
                      </wp:positionV>
                      <wp:extent cx="127000" cy="237269"/>
                      <wp:effectExtent l="19050" t="0" r="44450" b="29845"/>
                      <wp:wrapNone/>
                      <wp:docPr id="13" name="Šipka dolů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3726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solidFill>
                                  <a:srgbClr val="BD2A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A64DD" id="Šipka dolů 13" o:spid="_x0000_s1026" type="#_x0000_t67" style="position:absolute;margin-left:2.45pt;margin-top:15.65pt;width:10pt;height:1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" adj="15819" fillcolor="#bd2a33" strokecolor="#bd2a33" strokeweight="2pt"/>
                  </w:pict>
                </mc:Fallback>
              </mc:AlternateContent>
            </w:r>
            <w:r w:rsidRPr="004F0A5E">
              <w:rPr>
                <w:sz w:val="20"/>
              </w:rPr>
              <w:t>11. místo</w:t>
            </w:r>
          </w:p>
        </w:tc>
        <w:tc>
          <w:tcPr>
            <w:tcW w:w="913" w:type="pct"/>
            <w:shd w:val="clear" w:color="auto" w:fill="auto"/>
          </w:tcPr>
          <w:p w14:paraId="7CED1A85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BFC30D" wp14:editId="15AA9F4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187325</wp:posOffset>
                      </wp:positionV>
                      <wp:extent cx="127000" cy="236855"/>
                      <wp:effectExtent l="19050" t="0" r="44450" b="29845"/>
                      <wp:wrapNone/>
                      <wp:docPr id="14" name="Šipka dolů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368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solidFill>
                                  <a:srgbClr val="BD2A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1A6C9" id="Šipka dolů 14" o:spid="_x0000_s1026" type="#_x0000_t67" style="position:absolute;margin-left:1.05pt;margin-top:14.75pt;width:10pt;height:1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" adj="15809" fillcolor="#bd2a33" strokecolor="#bd2a33" strokeweight="2pt"/>
                  </w:pict>
                </mc:Fallback>
              </mc:AlternateContent>
            </w:r>
            <w:r w:rsidRPr="004F0A5E">
              <w:rPr>
                <w:sz w:val="20"/>
              </w:rPr>
              <w:t>34. místo</w:t>
            </w:r>
          </w:p>
        </w:tc>
        <w:tc>
          <w:tcPr>
            <w:tcW w:w="914" w:type="pct"/>
            <w:shd w:val="clear" w:color="auto" w:fill="auto"/>
          </w:tcPr>
          <w:p w14:paraId="2F1F5116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ADC45B" wp14:editId="1E52B52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199390</wp:posOffset>
                      </wp:positionV>
                      <wp:extent cx="127000" cy="236855"/>
                      <wp:effectExtent l="19050" t="0" r="44450" b="29845"/>
                      <wp:wrapNone/>
                      <wp:docPr id="5" name="Šipka dolů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2368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solidFill>
                                  <a:srgbClr val="BD2A3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BAE3" id="Šipka dolů 5" o:spid="_x0000_s1026" type="#_x0000_t67" style="position:absolute;margin-left:2.15pt;margin-top:15.7pt;width:10pt;height:18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" adj="15809" fillcolor="#bd2a33" strokecolor="#bd2a33" strokeweight="2pt"/>
                  </w:pict>
                </mc:Fallback>
              </mc:AlternateContent>
            </w:r>
            <w:r w:rsidRPr="004F0A5E">
              <w:rPr>
                <w:sz w:val="20"/>
              </w:rPr>
              <w:t>29. místo</w:t>
            </w:r>
          </w:p>
        </w:tc>
      </w:tr>
      <w:tr w:rsidR="006C3162" w:rsidRPr="004F0A5E" w14:paraId="0A43BD51" w14:textId="77777777" w:rsidTr="006C3162">
        <w:tc>
          <w:tcPr>
            <w:tcW w:w="1345" w:type="pct"/>
            <w:shd w:val="clear" w:color="auto" w:fill="auto"/>
          </w:tcPr>
          <w:p w14:paraId="5F4E30B1" w14:textId="77777777" w:rsidR="006C3162" w:rsidRPr="004F0A5E" w:rsidRDefault="006C3162" w:rsidP="00DF1DA9">
            <w:pPr>
              <w:spacing w:after="120"/>
              <w:rPr>
                <w:sz w:val="20"/>
              </w:rPr>
            </w:pPr>
            <w:r w:rsidRPr="004F0A5E">
              <w:rPr>
                <w:sz w:val="20"/>
              </w:rPr>
              <w:t>Umístění v roce 2020</w:t>
            </w:r>
          </w:p>
        </w:tc>
        <w:tc>
          <w:tcPr>
            <w:tcW w:w="913" w:type="pct"/>
            <w:shd w:val="clear" w:color="auto" w:fill="auto"/>
          </w:tcPr>
          <w:p w14:paraId="55AEE651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sz w:val="20"/>
              </w:rPr>
              <w:t>21. místo</w:t>
            </w:r>
          </w:p>
        </w:tc>
        <w:tc>
          <w:tcPr>
            <w:tcW w:w="914" w:type="pct"/>
            <w:shd w:val="clear" w:color="auto" w:fill="auto"/>
          </w:tcPr>
          <w:p w14:paraId="31C6A078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sz w:val="20"/>
              </w:rPr>
              <w:t>33. místo</w:t>
            </w:r>
          </w:p>
        </w:tc>
        <w:tc>
          <w:tcPr>
            <w:tcW w:w="913" w:type="pct"/>
            <w:shd w:val="clear" w:color="auto" w:fill="auto"/>
          </w:tcPr>
          <w:p w14:paraId="2C06FCC7" w14:textId="600B3E8A" w:rsidR="006C3162" w:rsidRPr="004F0A5E" w:rsidRDefault="006C3162" w:rsidP="002A782A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sz w:val="20"/>
              </w:rPr>
              <w:t>37. místo</w:t>
            </w:r>
          </w:p>
        </w:tc>
        <w:tc>
          <w:tcPr>
            <w:tcW w:w="914" w:type="pct"/>
            <w:shd w:val="clear" w:color="auto" w:fill="auto"/>
          </w:tcPr>
          <w:p w14:paraId="231C2853" w14:textId="77777777" w:rsidR="006C3162" w:rsidRPr="004F0A5E" w:rsidRDefault="006C3162" w:rsidP="00DF1DA9">
            <w:pPr>
              <w:spacing w:after="120"/>
              <w:ind w:left="227"/>
              <w:jc w:val="center"/>
              <w:rPr>
                <w:sz w:val="20"/>
              </w:rPr>
            </w:pPr>
            <w:r w:rsidRPr="004F0A5E">
              <w:rPr>
                <w:sz w:val="20"/>
              </w:rPr>
              <w:t>30. místo</w:t>
            </w:r>
          </w:p>
        </w:tc>
      </w:tr>
    </w:tbl>
    <w:p w14:paraId="1BE8DDEB" w14:textId="2A6B226E" w:rsidR="00F2012F" w:rsidRDefault="00F2012F" w:rsidP="00F2012F">
      <w:pPr>
        <w:keepNext/>
        <w:autoSpaceDE w:val="0"/>
        <w:autoSpaceDN w:val="0"/>
        <w:adjustRightInd w:val="0"/>
        <w:spacing w:before="0" w:after="120"/>
        <w:rPr>
          <w:sz w:val="20"/>
          <w:szCs w:val="20"/>
          <w:shd w:val="clear" w:color="auto" w:fill="FFFFFF"/>
        </w:rPr>
      </w:pPr>
      <w:r w:rsidRPr="00921C34">
        <w:rPr>
          <w:rFonts w:cs="Times New Roman"/>
          <w:b/>
          <w:color w:val="auto"/>
          <w:sz w:val="20"/>
          <w:szCs w:val="20"/>
          <w:shd w:val="clear" w:color="auto" w:fill="FFFFFF"/>
        </w:rPr>
        <w:t>Zdroj:</w:t>
      </w:r>
      <w:r w:rsidRPr="00921C34">
        <w:rPr>
          <w:b/>
          <w:sz w:val="20"/>
          <w:szCs w:val="20"/>
          <w:shd w:val="clear" w:color="auto" w:fill="FFFFFF"/>
        </w:rPr>
        <w:t xml:space="preserve"> </w:t>
      </w:r>
      <w:hyperlink r:id="rId22" w:history="1">
        <w:r w:rsidRPr="00147797">
          <w:rPr>
            <w:color w:val="0563C1"/>
            <w:sz w:val="20"/>
            <w:szCs w:val="20"/>
            <w:u w:val="single"/>
            <w:shd w:val="clear" w:color="auto" w:fill="FFFFFF"/>
          </w:rPr>
          <w:t>www.universitas21.com</w:t>
        </w:r>
      </w:hyperlink>
      <w:r w:rsidR="008D0E54">
        <w:rPr>
          <w:sz w:val="20"/>
          <w:szCs w:val="20"/>
          <w:shd w:val="clear" w:color="auto" w:fill="FFFFFF"/>
        </w:rPr>
        <w:t>;</w:t>
      </w:r>
      <w:r w:rsidRPr="00147797">
        <w:rPr>
          <w:sz w:val="20"/>
          <w:szCs w:val="20"/>
          <w:shd w:val="clear" w:color="auto" w:fill="FFFFFF"/>
        </w:rPr>
        <w:t xml:space="preserve"> vlastní zpracování</w:t>
      </w:r>
      <w:r w:rsidR="008D0E54">
        <w:rPr>
          <w:sz w:val="20"/>
          <w:szCs w:val="20"/>
          <w:shd w:val="clear" w:color="auto" w:fill="FFFFFF"/>
        </w:rPr>
        <w:t xml:space="preserve"> NKÚ</w:t>
      </w:r>
      <w:r w:rsidR="00921C34">
        <w:rPr>
          <w:sz w:val="20"/>
          <w:szCs w:val="20"/>
          <w:shd w:val="clear" w:color="auto" w:fill="FFFFFF"/>
        </w:rPr>
        <w:t>.</w:t>
      </w:r>
    </w:p>
    <w:p w14:paraId="37912F0A" w14:textId="28FE962E" w:rsidR="00147797" w:rsidRDefault="00147797" w:rsidP="00F2012F">
      <w:pPr>
        <w:spacing w:after="120"/>
        <w:rPr>
          <w:rFonts w:eastAsia="Calibri"/>
          <w:b/>
          <w:color w:val="auto"/>
          <w:lang w:eastAsia="cs-CZ"/>
        </w:rPr>
      </w:pPr>
      <w:r w:rsidRPr="007806DD">
        <w:t xml:space="preserve">V pořadí zemí se ČR </w:t>
      </w:r>
      <w:r>
        <w:t xml:space="preserve">zhoršila </w:t>
      </w:r>
      <w:r w:rsidRPr="007806DD">
        <w:t xml:space="preserve">ve všech </w:t>
      </w:r>
      <w:r>
        <w:t>hodnocených oblastech</w:t>
      </w:r>
      <w:r w:rsidRPr="007806DD">
        <w:t xml:space="preserve"> i v celkovém hodnocení.</w:t>
      </w:r>
      <w:r>
        <w:t xml:space="preserve"> V celkovém pořadí žebříčku </w:t>
      </w:r>
      <w:r w:rsidRPr="00B11EEB">
        <w:rPr>
          <w:i/>
        </w:rPr>
        <w:t>Universitas 21</w:t>
      </w:r>
      <w:r>
        <w:t xml:space="preserve"> nenavázala ČR na pozitivní vývoj z let 2013 až 2016. Přestože ještě v roce 2016 patřila ČR 22. příčka v pořadí, v roce 2020 zaujímal český vysokoškolský systém až 29. příčku z padesáti hodnocených zemí.</w:t>
      </w:r>
      <w:r w:rsidRPr="00FB5214">
        <w:t xml:space="preserve"> </w:t>
      </w:r>
      <w:r>
        <w:t xml:space="preserve">Je to nejhorší umístění ČR za </w:t>
      </w:r>
      <w:r w:rsidR="00F2012F">
        <w:t>celé sledované období</w:t>
      </w:r>
      <w:r>
        <w:t xml:space="preserve"> osm</w:t>
      </w:r>
      <w:r w:rsidR="00F2012F">
        <w:t>i</w:t>
      </w:r>
      <w:r>
        <w:t xml:space="preserve"> let.</w:t>
      </w:r>
    </w:p>
    <w:p w14:paraId="3AE1BC65" w14:textId="4DF12ADD" w:rsidR="00F01649" w:rsidRDefault="003B082C" w:rsidP="006B6B71">
      <w:pPr>
        <w:spacing w:before="0" w:after="120"/>
        <w:rPr>
          <w:b/>
        </w:rPr>
      </w:pPr>
      <w:r w:rsidRPr="003B082C">
        <w:rPr>
          <w:b/>
          <w:lang w:eastAsia="cs-CZ"/>
        </w:rPr>
        <w:t xml:space="preserve">9. Postavení </w:t>
      </w:r>
      <w:r w:rsidRPr="003B082C">
        <w:rPr>
          <w:b/>
        </w:rPr>
        <w:t>českých VVŠ se v mezinárodní konkurenci nedaří zlepšovat</w:t>
      </w:r>
    </w:p>
    <w:p w14:paraId="2F1D0B0B" w14:textId="77777777" w:rsidR="004F52D8" w:rsidRPr="00B30F8B" w:rsidRDefault="004F52D8" w:rsidP="004F52D8">
      <w:pPr>
        <w:ind w:right="284"/>
      </w:pPr>
      <w:r w:rsidRPr="008A16C6">
        <w:t>Vedle hodnocení celých vysokoškolských</w:t>
      </w:r>
      <w:r>
        <w:t xml:space="preserve"> systémů dochází k mezinárodnímu srovnání kvality činnosti i na úrovni jednotlivých vysokých škol. Celá řada mezinárodních žebříčků hodnotí vysoké školy na základě vybraných ukazatelů podstatných pro posouzení kvality jejich činnosti. Mezi nejznámější a mezinárodně nejuznávanější patří:</w:t>
      </w:r>
    </w:p>
    <w:p w14:paraId="083D5E52" w14:textId="6B1497D2" w:rsidR="004F52D8" w:rsidRDefault="009425D5" w:rsidP="00B11EEB">
      <w:pPr>
        <w:spacing w:before="40"/>
        <w:ind w:right="284"/>
      </w:pPr>
      <w:hyperlink r:id="rId23" w:history="1">
        <w:r w:rsidR="004F52D8">
          <w:rPr>
            <w:rStyle w:val="Hypertextovodkaz"/>
            <w:color w:val="0070C0"/>
            <w:lang w:val="en-GB"/>
          </w:rPr>
          <w:t>The Academic Ranking of World Universities</w:t>
        </w:r>
        <w:r w:rsidR="004F52D8">
          <w:rPr>
            <w:rStyle w:val="Hypertextovodkaz"/>
            <w:color w:val="0070C0"/>
          </w:rPr>
          <w:t xml:space="preserve"> (ARWU)</w:t>
        </w:r>
      </w:hyperlink>
    </w:p>
    <w:p w14:paraId="3558218B" w14:textId="77777777" w:rsidR="004F52D8" w:rsidRDefault="009425D5" w:rsidP="00B11EEB">
      <w:pPr>
        <w:spacing w:before="40"/>
        <w:ind w:right="284"/>
        <w:rPr>
          <w:lang w:val="en-GB"/>
        </w:rPr>
      </w:pPr>
      <w:hyperlink r:id="rId24" w:history="1">
        <w:r w:rsidR="004F52D8">
          <w:rPr>
            <w:rStyle w:val="Hypertextovodkaz"/>
            <w:color w:val="0070C0"/>
            <w:lang w:val="en-GB"/>
          </w:rPr>
          <w:t>QS World University Rankings (QS)</w:t>
        </w:r>
      </w:hyperlink>
    </w:p>
    <w:p w14:paraId="110B9C5A" w14:textId="77777777" w:rsidR="004F52D8" w:rsidRPr="0028709E" w:rsidRDefault="009425D5" w:rsidP="00B11EEB">
      <w:pPr>
        <w:spacing w:before="40"/>
        <w:ind w:right="284"/>
        <w:rPr>
          <w:rStyle w:val="Hypertextovodkaz"/>
          <w:color w:val="0070C0"/>
          <w:lang w:val="en-GB"/>
        </w:rPr>
      </w:pPr>
      <w:hyperlink r:id="rId25" w:anchor="!/page/0/length/25/sort_by/rank/sort_order/asc/cols/stats" w:history="1">
        <w:r w:rsidR="004F52D8">
          <w:rPr>
            <w:rStyle w:val="Hypertextovodkaz"/>
            <w:color w:val="0070C0"/>
            <w:lang w:val="en-GB"/>
          </w:rPr>
          <w:t>The Times Higher Education World University Rankings (THE)</w:t>
        </w:r>
      </w:hyperlink>
    </w:p>
    <w:p w14:paraId="0579EDC8" w14:textId="77777777" w:rsidR="004F52D8" w:rsidRPr="000A03A0" w:rsidRDefault="004F52D8" w:rsidP="004F52D8">
      <w:pPr>
        <w:spacing w:before="240" w:after="120"/>
      </w:pPr>
      <w:r w:rsidRPr="000A03A0">
        <w:lastRenderedPageBreak/>
        <w:t xml:space="preserve">Žebříček </w:t>
      </w:r>
      <w:r w:rsidRPr="00A15D2C">
        <w:rPr>
          <w:b/>
        </w:rPr>
        <w:t>ARWU</w:t>
      </w:r>
      <w:r w:rsidRPr="000A03A0">
        <w:t xml:space="preserve"> je nejstarším mezin</w:t>
      </w:r>
      <w:r>
        <w:t>árodním žebříčkem hodnocení vysokých škol. Zpočátku vznikal pod záštitou Šanghajské univerzity, v současnosti je vytvářen společností Shanghai Ranking Consultancy. Žebříček se zaměřuje především</w:t>
      </w:r>
      <w:r w:rsidRPr="000A03A0">
        <w:t xml:space="preserve"> na vědeckou a výzkumnou úroveň vysokých škol univerzitního typu, které porovnává na základě šesti </w:t>
      </w:r>
      <w:r>
        <w:t>ukazatel</w:t>
      </w:r>
      <w:r w:rsidRPr="000A03A0">
        <w:t>ů.</w:t>
      </w:r>
    </w:p>
    <w:p w14:paraId="31A3D744" w14:textId="6C738082" w:rsidR="004F52D8" w:rsidRDefault="00986C26" w:rsidP="004F52D8">
      <w:pPr>
        <w:spacing w:after="120"/>
      </w:pPr>
      <w:r>
        <w:t>Umístění českých VVŠ v žebříčku ARWU zobrazuje následující tabulka.</w:t>
      </w:r>
    </w:p>
    <w:p w14:paraId="2615FC68" w14:textId="7F9D6F12" w:rsidR="00986C26" w:rsidRDefault="00986C26" w:rsidP="00986C26">
      <w:pPr>
        <w:keepNext/>
        <w:spacing w:before="0"/>
      </w:pPr>
      <w:r>
        <w:t>Tabulka č. 13: Umístění českých VVŠ v žebříčku ARWU</w:t>
      </w:r>
    </w:p>
    <w:tbl>
      <w:tblPr>
        <w:tblStyle w:val="Mkatabulky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125"/>
        <w:gridCol w:w="2412"/>
        <w:gridCol w:w="2401"/>
      </w:tblGrid>
      <w:tr w:rsidR="00986C26" w:rsidRPr="00FA164F" w14:paraId="2793CB8E" w14:textId="77777777" w:rsidTr="00986C26">
        <w:tc>
          <w:tcPr>
            <w:tcW w:w="1171" w:type="pct"/>
            <w:shd w:val="clear" w:color="auto" w:fill="E5F1FF"/>
            <w:vAlign w:val="center"/>
          </w:tcPr>
          <w:p w14:paraId="28A91B85" w14:textId="7CD82EE0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VVŠ</w:t>
            </w:r>
          </w:p>
        </w:tc>
        <w:tc>
          <w:tcPr>
            <w:tcW w:w="1173" w:type="pct"/>
            <w:shd w:val="clear" w:color="auto" w:fill="E5F1FF"/>
            <w:vAlign w:val="center"/>
          </w:tcPr>
          <w:p w14:paraId="7A9180AC" w14:textId="6919C40C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2005</w:t>
            </w:r>
            <w:r>
              <w:rPr>
                <w:b/>
                <w:sz w:val="20"/>
              </w:rPr>
              <w:t xml:space="preserve"> až 2016</w:t>
            </w:r>
          </w:p>
          <w:p w14:paraId="3B025200" w14:textId="77777777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500 univerzit</w:t>
            </w:r>
          </w:p>
        </w:tc>
        <w:tc>
          <w:tcPr>
            <w:tcW w:w="1331" w:type="pct"/>
            <w:shd w:val="clear" w:color="auto" w:fill="E5F1FF"/>
            <w:vAlign w:val="center"/>
          </w:tcPr>
          <w:p w14:paraId="6310AC3B" w14:textId="77777777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2017</w:t>
            </w:r>
          </w:p>
          <w:p w14:paraId="11AC324C" w14:textId="77777777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800 univerzit</w:t>
            </w:r>
          </w:p>
        </w:tc>
        <w:tc>
          <w:tcPr>
            <w:tcW w:w="1325" w:type="pct"/>
            <w:shd w:val="clear" w:color="auto" w:fill="E5F1FF"/>
            <w:vAlign w:val="center"/>
          </w:tcPr>
          <w:p w14:paraId="16123F71" w14:textId="4ADAB48A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14:paraId="55187D82" w14:textId="77777777" w:rsidR="00986C26" w:rsidRPr="00FA164F" w:rsidRDefault="00986C26" w:rsidP="00986C26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1 000 univerzit</w:t>
            </w:r>
          </w:p>
        </w:tc>
      </w:tr>
      <w:tr w:rsidR="00986C26" w:rsidRPr="00FA164F" w14:paraId="5772DBCB" w14:textId="77777777" w:rsidTr="00986C26">
        <w:tc>
          <w:tcPr>
            <w:tcW w:w="1171" w:type="pct"/>
          </w:tcPr>
          <w:p w14:paraId="6BF4CC91" w14:textId="77777777" w:rsidR="00986C26" w:rsidRPr="00FA164F" w:rsidRDefault="00986C26" w:rsidP="00986C26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>Univerzita Karlova</w:t>
            </w:r>
          </w:p>
        </w:tc>
        <w:tc>
          <w:tcPr>
            <w:tcW w:w="3829" w:type="pct"/>
            <w:gridSpan w:val="3"/>
            <w:vAlign w:val="center"/>
          </w:tcPr>
          <w:p w14:paraId="6D259FDD" w14:textId="591E0AA3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Pr="00FA164F">
              <w:rPr>
                <w:sz w:val="20"/>
              </w:rPr>
              <w:t>dílené 201. až 300. místo</w:t>
            </w:r>
          </w:p>
        </w:tc>
      </w:tr>
      <w:tr w:rsidR="00986C26" w:rsidRPr="00FA164F" w14:paraId="15165024" w14:textId="77777777" w:rsidTr="00986C26">
        <w:tc>
          <w:tcPr>
            <w:tcW w:w="1171" w:type="pct"/>
          </w:tcPr>
          <w:p w14:paraId="6C66D3FC" w14:textId="77777777" w:rsidR="00986C26" w:rsidRPr="00FA164F" w:rsidRDefault="00986C26" w:rsidP="00986C26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>ČVUT</w:t>
            </w:r>
          </w:p>
        </w:tc>
        <w:tc>
          <w:tcPr>
            <w:tcW w:w="1173" w:type="pct"/>
            <w:vAlign w:val="center"/>
          </w:tcPr>
          <w:p w14:paraId="3FDF5133" w14:textId="7B5BB735" w:rsidR="00986C26" w:rsidRPr="00FA164F" w:rsidRDefault="00A45B70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31" w:type="pct"/>
            <w:vAlign w:val="center"/>
          </w:tcPr>
          <w:p w14:paraId="753AE5AB" w14:textId="77777777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Sdílené 601. až 700. místo</w:t>
            </w:r>
          </w:p>
        </w:tc>
        <w:tc>
          <w:tcPr>
            <w:tcW w:w="1325" w:type="pct"/>
            <w:vAlign w:val="center"/>
          </w:tcPr>
          <w:p w14:paraId="6F89D0A5" w14:textId="5B3C176F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Sdílené 7</w:t>
            </w:r>
            <w:r w:rsidRPr="00FA164F">
              <w:rPr>
                <w:sz w:val="20"/>
              </w:rPr>
              <w:t>01</w:t>
            </w:r>
            <w:r>
              <w:rPr>
                <w:sz w:val="20"/>
              </w:rPr>
              <w:t>. až 8</w:t>
            </w:r>
            <w:r w:rsidRPr="00FA164F">
              <w:rPr>
                <w:sz w:val="20"/>
              </w:rPr>
              <w:t>00. místo</w:t>
            </w:r>
          </w:p>
        </w:tc>
      </w:tr>
      <w:tr w:rsidR="00986C26" w:rsidRPr="00FA164F" w14:paraId="322D8525" w14:textId="77777777" w:rsidTr="00986C26">
        <w:tc>
          <w:tcPr>
            <w:tcW w:w="1171" w:type="pct"/>
          </w:tcPr>
          <w:p w14:paraId="140D34D8" w14:textId="089054B5" w:rsidR="00986C26" w:rsidRPr="00FA164F" w:rsidRDefault="00986C26" w:rsidP="00FC456B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 xml:space="preserve">Masarykova </w:t>
            </w:r>
            <w:r w:rsidR="00A45B70">
              <w:rPr>
                <w:sz w:val="20"/>
              </w:rPr>
              <w:t>u</w:t>
            </w:r>
            <w:r w:rsidRPr="00FA164F">
              <w:rPr>
                <w:sz w:val="20"/>
              </w:rPr>
              <w:t>niverzita</w:t>
            </w:r>
          </w:p>
        </w:tc>
        <w:tc>
          <w:tcPr>
            <w:tcW w:w="1173" w:type="pct"/>
            <w:vAlign w:val="center"/>
          </w:tcPr>
          <w:p w14:paraId="59B10C0C" w14:textId="240E5F53" w:rsidR="00986C26" w:rsidRPr="00FA164F" w:rsidRDefault="00A45B70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656" w:type="pct"/>
            <w:gridSpan w:val="2"/>
            <w:vAlign w:val="center"/>
          </w:tcPr>
          <w:p w14:paraId="340B57A1" w14:textId="1798350A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Sdílené 601. až 700. místo</w:t>
            </w:r>
          </w:p>
        </w:tc>
      </w:tr>
      <w:tr w:rsidR="00986C26" w:rsidRPr="00FA164F" w14:paraId="08086FFC" w14:textId="77777777" w:rsidTr="00986C26">
        <w:tc>
          <w:tcPr>
            <w:tcW w:w="1171" w:type="pct"/>
          </w:tcPr>
          <w:p w14:paraId="1759A520" w14:textId="77777777" w:rsidR="00986C26" w:rsidRPr="00FA164F" w:rsidRDefault="00986C26" w:rsidP="00986C26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>Univerzita Palackého</w:t>
            </w:r>
          </w:p>
        </w:tc>
        <w:tc>
          <w:tcPr>
            <w:tcW w:w="1173" w:type="pct"/>
            <w:vAlign w:val="center"/>
          </w:tcPr>
          <w:p w14:paraId="65207771" w14:textId="566BB623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31" w:type="pct"/>
            <w:vAlign w:val="center"/>
          </w:tcPr>
          <w:p w14:paraId="29931A72" w14:textId="77777777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Sdílené 601. až 700. místo</w:t>
            </w:r>
          </w:p>
        </w:tc>
        <w:tc>
          <w:tcPr>
            <w:tcW w:w="1325" w:type="pct"/>
            <w:vAlign w:val="center"/>
          </w:tcPr>
          <w:p w14:paraId="0B6A4C94" w14:textId="13702E8C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Sdílené 5</w:t>
            </w:r>
            <w:r w:rsidRPr="00FA164F">
              <w:rPr>
                <w:sz w:val="20"/>
              </w:rPr>
              <w:t>01.</w:t>
            </w:r>
            <w:r>
              <w:rPr>
                <w:sz w:val="20"/>
              </w:rPr>
              <w:t xml:space="preserve"> až 6</w:t>
            </w:r>
            <w:r w:rsidRPr="00FA164F">
              <w:rPr>
                <w:sz w:val="20"/>
              </w:rPr>
              <w:t>00. místo</w:t>
            </w:r>
          </w:p>
        </w:tc>
      </w:tr>
      <w:tr w:rsidR="00986C26" w:rsidRPr="00FA164F" w14:paraId="58A12D1D" w14:textId="77777777" w:rsidTr="00986C26">
        <w:tc>
          <w:tcPr>
            <w:tcW w:w="1171" w:type="pct"/>
          </w:tcPr>
          <w:p w14:paraId="46BCBC16" w14:textId="77777777" w:rsidR="00986C26" w:rsidRPr="00FA164F" w:rsidRDefault="00986C26" w:rsidP="00986C26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>Česká zemědělská univerzita</w:t>
            </w:r>
          </w:p>
        </w:tc>
        <w:tc>
          <w:tcPr>
            <w:tcW w:w="1173" w:type="pct"/>
            <w:vAlign w:val="center"/>
          </w:tcPr>
          <w:p w14:paraId="518871E8" w14:textId="7D374563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31" w:type="pct"/>
            <w:vAlign w:val="center"/>
          </w:tcPr>
          <w:p w14:paraId="7A86A9EB" w14:textId="4C6DDDA7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25" w:type="pct"/>
            <w:vAlign w:val="center"/>
          </w:tcPr>
          <w:p w14:paraId="1B319801" w14:textId="77E4DAAC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Sdílené 8</w:t>
            </w:r>
            <w:r w:rsidRPr="00FA164F">
              <w:rPr>
                <w:sz w:val="20"/>
              </w:rPr>
              <w:t>01</w:t>
            </w:r>
            <w:r>
              <w:rPr>
                <w:sz w:val="20"/>
              </w:rPr>
              <w:t>. až 9</w:t>
            </w:r>
            <w:r w:rsidRPr="00FA164F">
              <w:rPr>
                <w:sz w:val="20"/>
              </w:rPr>
              <w:t>00. místo</w:t>
            </w:r>
          </w:p>
        </w:tc>
      </w:tr>
      <w:tr w:rsidR="00986C26" w:rsidRPr="00FA164F" w14:paraId="5C1C7EFE" w14:textId="77777777" w:rsidTr="00986C26">
        <w:tc>
          <w:tcPr>
            <w:tcW w:w="1171" w:type="pct"/>
          </w:tcPr>
          <w:p w14:paraId="3A4C87B4" w14:textId="77777777" w:rsidR="00986C26" w:rsidRPr="00FA164F" w:rsidRDefault="00986C26" w:rsidP="00986C26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 xml:space="preserve">Vysoká škola </w:t>
            </w:r>
            <w:r>
              <w:rPr>
                <w:sz w:val="20"/>
              </w:rPr>
              <w:br/>
            </w:r>
            <w:r w:rsidRPr="00FA164F">
              <w:rPr>
                <w:sz w:val="20"/>
              </w:rPr>
              <w:t>chemicko-technologická</w:t>
            </w:r>
          </w:p>
        </w:tc>
        <w:tc>
          <w:tcPr>
            <w:tcW w:w="1173" w:type="pct"/>
            <w:vAlign w:val="center"/>
          </w:tcPr>
          <w:p w14:paraId="24FED9E3" w14:textId="2DDD1EB8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31" w:type="pct"/>
            <w:vAlign w:val="center"/>
          </w:tcPr>
          <w:p w14:paraId="5FF9969B" w14:textId="16F04486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25" w:type="pct"/>
            <w:vAlign w:val="center"/>
          </w:tcPr>
          <w:p w14:paraId="05139A8B" w14:textId="246C7D7C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Sdílené 9</w:t>
            </w:r>
            <w:r w:rsidRPr="00FA164F">
              <w:rPr>
                <w:sz w:val="20"/>
              </w:rPr>
              <w:t>01.</w:t>
            </w:r>
            <w:r>
              <w:rPr>
                <w:sz w:val="20"/>
              </w:rPr>
              <w:t xml:space="preserve"> až 1</w:t>
            </w:r>
            <w:r w:rsidR="00A45B70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164F">
              <w:rPr>
                <w:sz w:val="20"/>
              </w:rPr>
              <w:t>00. místo</w:t>
            </w:r>
          </w:p>
        </w:tc>
      </w:tr>
      <w:tr w:rsidR="00986C26" w:rsidRPr="00FA164F" w14:paraId="204D3F68" w14:textId="77777777" w:rsidTr="00986C26">
        <w:tc>
          <w:tcPr>
            <w:tcW w:w="1171" w:type="pct"/>
          </w:tcPr>
          <w:p w14:paraId="4C40AE77" w14:textId="77777777" w:rsidR="00986C26" w:rsidRPr="00FA164F" w:rsidRDefault="00986C26" w:rsidP="00986C26">
            <w:pPr>
              <w:keepNext/>
              <w:spacing w:before="0"/>
              <w:jc w:val="left"/>
              <w:rPr>
                <w:sz w:val="20"/>
              </w:rPr>
            </w:pPr>
            <w:r w:rsidRPr="00FA164F">
              <w:rPr>
                <w:sz w:val="20"/>
              </w:rPr>
              <w:t>Jihočeská univerzita</w:t>
            </w:r>
          </w:p>
        </w:tc>
        <w:tc>
          <w:tcPr>
            <w:tcW w:w="1173" w:type="pct"/>
            <w:vAlign w:val="center"/>
          </w:tcPr>
          <w:p w14:paraId="6871DD0D" w14:textId="1A818DB1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31" w:type="pct"/>
            <w:vAlign w:val="center"/>
          </w:tcPr>
          <w:p w14:paraId="733A230C" w14:textId="77257DF0" w:rsidR="00986C26" w:rsidRPr="00FA164F" w:rsidRDefault="00FC456B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325" w:type="pct"/>
            <w:vAlign w:val="center"/>
          </w:tcPr>
          <w:p w14:paraId="185F6FB5" w14:textId="1497AE5B" w:rsidR="00986C26" w:rsidRPr="00FA164F" w:rsidRDefault="00986C26" w:rsidP="00986C26">
            <w:pPr>
              <w:keepNext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Sdílené 9</w:t>
            </w:r>
            <w:r w:rsidRPr="00FA164F">
              <w:rPr>
                <w:sz w:val="20"/>
              </w:rPr>
              <w:t>01.</w:t>
            </w:r>
            <w:r>
              <w:rPr>
                <w:sz w:val="20"/>
              </w:rPr>
              <w:t xml:space="preserve"> až 1</w:t>
            </w:r>
            <w:r w:rsidR="00A45B70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Pr="00FA164F">
              <w:rPr>
                <w:sz w:val="20"/>
              </w:rPr>
              <w:t>00. místo</w:t>
            </w:r>
          </w:p>
        </w:tc>
      </w:tr>
    </w:tbl>
    <w:p w14:paraId="55BAFE53" w14:textId="745D5AB1" w:rsidR="00986C26" w:rsidRPr="000A03A0" w:rsidRDefault="00986C26" w:rsidP="00986C26">
      <w:pPr>
        <w:keepNext/>
        <w:spacing w:before="0" w:after="120"/>
      </w:pPr>
      <w:r w:rsidRPr="00921C34">
        <w:rPr>
          <w:rFonts w:cs="Times New Roman"/>
          <w:b/>
          <w:color w:val="auto"/>
          <w:sz w:val="20"/>
          <w:szCs w:val="20"/>
          <w:shd w:val="clear" w:color="auto" w:fill="FFFFFF"/>
        </w:rPr>
        <w:t>Zdroj:</w:t>
      </w:r>
      <w:r w:rsidRPr="00921C34">
        <w:rPr>
          <w:b/>
          <w:sz w:val="20"/>
          <w:szCs w:val="20"/>
          <w:shd w:val="clear" w:color="auto" w:fill="FFFFFF"/>
        </w:rPr>
        <w:t xml:space="preserve"> </w:t>
      </w:r>
      <w:hyperlink r:id="rId26" w:history="1">
        <w:r>
          <w:rPr>
            <w:color w:val="0563C1"/>
            <w:sz w:val="20"/>
            <w:szCs w:val="20"/>
            <w:u w:val="single"/>
            <w:shd w:val="clear" w:color="auto" w:fill="FFFFFF"/>
          </w:rPr>
          <w:t>www.shanghairanking.com</w:t>
        </w:r>
      </w:hyperlink>
      <w:r w:rsidR="00A45B70">
        <w:rPr>
          <w:sz w:val="20"/>
          <w:szCs w:val="20"/>
          <w:shd w:val="clear" w:color="auto" w:fill="FFFFFF"/>
        </w:rPr>
        <w:t>;</w:t>
      </w:r>
      <w:r w:rsidRPr="00147797">
        <w:rPr>
          <w:sz w:val="20"/>
          <w:szCs w:val="20"/>
          <w:shd w:val="clear" w:color="auto" w:fill="FFFFFF"/>
        </w:rPr>
        <w:t xml:space="preserve"> vlastní zpracování</w:t>
      </w:r>
      <w:r w:rsidR="00A45B70">
        <w:rPr>
          <w:sz w:val="20"/>
          <w:szCs w:val="20"/>
          <w:shd w:val="clear" w:color="auto" w:fill="FFFFFF"/>
        </w:rPr>
        <w:t xml:space="preserve"> NKÚ</w:t>
      </w:r>
      <w:r w:rsidR="00921C34">
        <w:rPr>
          <w:sz w:val="20"/>
          <w:szCs w:val="20"/>
          <w:shd w:val="clear" w:color="auto" w:fill="FFFFFF"/>
        </w:rPr>
        <w:t>.</w:t>
      </w:r>
    </w:p>
    <w:p w14:paraId="75861BB9" w14:textId="3B23B8A3" w:rsidR="004F52D8" w:rsidRPr="000A03A0" w:rsidRDefault="004F52D8" w:rsidP="004F52D8">
      <w:pPr>
        <w:spacing w:after="120"/>
      </w:pPr>
      <w:r w:rsidRPr="004E69FB">
        <w:t>Počet českých VVŠ v žebříčku</w:t>
      </w:r>
      <w:r w:rsidRPr="0028709E">
        <w:t xml:space="preserve"> ARWU se postupně navýšil z jednoho zástupce až na sedm VVŠ. K tomuto navyšování však docházelo </w:t>
      </w:r>
      <w:r>
        <w:t xml:space="preserve">pouze </w:t>
      </w:r>
      <w:r w:rsidRPr="0028709E">
        <w:t>na základě rozšiřování žebříčku. Mezi tisíci nejlepšími vysokými školami dle žebříčku ARWU se v roce 2020 umístilo 364 evropských vysokých škol. Nadpoloviční většina z nich se umístila v horní polovině žebříčku. Oproti tomu ČR má v horní polovině žebříčku pouze jediné zastoupení a zbylých šest VVŠ je ve spodní polovině žebříčku.</w:t>
      </w:r>
    </w:p>
    <w:p w14:paraId="34E2881C" w14:textId="45067FA5" w:rsidR="004F52D8" w:rsidRPr="00B11EEB" w:rsidRDefault="004F52D8" w:rsidP="004F52D8">
      <w:pPr>
        <w:spacing w:after="120"/>
      </w:pPr>
      <w:r w:rsidRPr="000A03A0">
        <w:t>Umístění českých VVŠ v mezinárodních žebříčcích sleduje i MŠMT. V </w:t>
      </w:r>
      <w:r w:rsidRPr="000A03A0">
        <w:rPr>
          <w:rFonts w:eastAsia="Calibri"/>
        </w:rPr>
        <w:t>DZ VŠ 2016</w:t>
      </w:r>
      <w:r w:rsidRPr="00B11EEB">
        <w:rPr>
          <w:rFonts w:eastAsia="Calibri"/>
          <w:color w:val="auto"/>
        </w:rPr>
        <w:t xml:space="preserve"> </w:t>
      </w:r>
      <w:r w:rsidRPr="000A03A0">
        <w:rPr>
          <w:rFonts w:eastAsia="Calibri"/>
        </w:rPr>
        <w:t>v rámci prioritního cíle „</w:t>
      </w:r>
      <w:r w:rsidR="009A03B4" w:rsidRPr="00B11EEB">
        <w:rPr>
          <w:rFonts w:eastAsia="Calibri"/>
          <w:i/>
        </w:rPr>
        <w:t>z</w:t>
      </w:r>
      <w:r w:rsidRPr="00B11EEB">
        <w:rPr>
          <w:rFonts w:eastAsia="Calibri"/>
          <w:i/>
        </w:rPr>
        <w:t>ajišťování kvality</w:t>
      </w:r>
      <w:r w:rsidRPr="000A03A0">
        <w:rPr>
          <w:rFonts w:eastAsia="Calibri"/>
        </w:rPr>
        <w:t xml:space="preserve">“ stanovilo mj. následující indikátor: </w:t>
      </w:r>
      <w:r w:rsidRPr="00B11EEB">
        <w:rPr>
          <w:rFonts w:eastAsia="Calibri"/>
        </w:rPr>
        <w:t>„</w:t>
      </w:r>
      <w:r w:rsidRPr="000A03A0">
        <w:rPr>
          <w:i/>
        </w:rPr>
        <w:t>Alespoň tři české vysoké školy se umístí mezi prvními pěti sty nejlépe hodnocenými institucemi v mezinárodním žebříčku QS a alespoň dvě české vysoké školy se umístí mezi prvními čtyřmi sty v mezinárodním žebříčku Times Higher Education.</w:t>
      </w:r>
      <w:r w:rsidRPr="00B11EEB">
        <w:t>“</w:t>
      </w:r>
    </w:p>
    <w:p w14:paraId="4F831F57" w14:textId="255BB7E8" w:rsidR="00943DF4" w:rsidRPr="000A03A0" w:rsidRDefault="004F52D8" w:rsidP="004F52D8">
      <w:pPr>
        <w:spacing w:after="120"/>
        <w:rPr>
          <w:color w:val="000000" w:themeColor="text1"/>
        </w:rPr>
      </w:pPr>
      <w:r w:rsidRPr="000A03A0">
        <w:rPr>
          <w:color w:val="000000" w:themeColor="text1"/>
        </w:rPr>
        <w:t xml:space="preserve">Žebříček </w:t>
      </w:r>
      <w:r w:rsidRPr="00A15D2C">
        <w:rPr>
          <w:b/>
          <w:color w:val="000000" w:themeColor="text1"/>
        </w:rPr>
        <w:t>QS</w:t>
      </w:r>
      <w:r w:rsidRPr="000A03A0">
        <w:rPr>
          <w:color w:val="000000" w:themeColor="text1"/>
        </w:rPr>
        <w:t xml:space="preserve"> </w:t>
      </w:r>
      <w:r w:rsidRPr="00C91C82">
        <w:rPr>
          <w:color w:val="000000" w:themeColor="text1"/>
        </w:rPr>
        <w:t>je druhý nejstarší mezi</w:t>
      </w:r>
      <w:r w:rsidR="00C91C82">
        <w:rPr>
          <w:color w:val="000000" w:themeColor="text1"/>
        </w:rPr>
        <w:t xml:space="preserve">národní žebříček vysokých škol a </w:t>
      </w:r>
      <w:r w:rsidR="00372E80">
        <w:rPr>
          <w:color w:val="000000" w:themeColor="text1"/>
        </w:rPr>
        <w:t>zveřejňuje hodnocení</w:t>
      </w:r>
      <w:r w:rsidRPr="00C91C82">
        <w:rPr>
          <w:color w:val="000000" w:themeColor="text1"/>
        </w:rPr>
        <w:t xml:space="preserve"> tisíc</w:t>
      </w:r>
      <w:r w:rsidR="00E37F7E">
        <w:rPr>
          <w:color w:val="000000" w:themeColor="text1"/>
        </w:rPr>
        <w:t>ovky</w:t>
      </w:r>
      <w:r w:rsidRPr="00C91C82">
        <w:rPr>
          <w:color w:val="000000" w:themeColor="text1"/>
        </w:rPr>
        <w:t xml:space="preserve"> vysokých škol. </w:t>
      </w:r>
      <w:r w:rsidR="00943DF4" w:rsidRPr="00C91C82">
        <w:t xml:space="preserve">Je koncipován tak, aby přinášel vícerozměrný pohled na relativně silné stránky předních vysokých škol. </w:t>
      </w:r>
      <w:r w:rsidR="00550263" w:rsidRPr="00C91C82">
        <w:rPr>
          <w:color w:val="000000" w:themeColor="text1"/>
        </w:rPr>
        <w:t xml:space="preserve">Je založen na hodnocení </w:t>
      </w:r>
      <w:r w:rsidR="00943DF4" w:rsidRPr="00C91C82">
        <w:rPr>
          <w:color w:val="000000" w:themeColor="text1"/>
        </w:rPr>
        <w:t xml:space="preserve">v šesti dimenzích </w:t>
      </w:r>
      <w:r w:rsidR="00550263" w:rsidRPr="00C91C82">
        <w:rPr>
          <w:color w:val="000000" w:themeColor="text1"/>
        </w:rPr>
        <w:t xml:space="preserve">a velkou váhu přikládá zpětné vazbě </w:t>
      </w:r>
      <w:r w:rsidR="00943DF4" w:rsidRPr="00C91C82">
        <w:rPr>
          <w:color w:val="000000" w:themeColor="text1"/>
        </w:rPr>
        <w:t>od akademi</w:t>
      </w:r>
      <w:r w:rsidR="00C91C82" w:rsidRPr="00C91C82">
        <w:rPr>
          <w:color w:val="000000" w:themeColor="text1"/>
        </w:rPr>
        <w:t>ků a zaměstnavatelů absolventů.</w:t>
      </w:r>
    </w:p>
    <w:p w14:paraId="15260541" w14:textId="0F6CF7E9" w:rsidR="00372E80" w:rsidRDefault="00372E80" w:rsidP="004F52D8">
      <w:pPr>
        <w:spacing w:after="120"/>
      </w:pPr>
      <w:r>
        <w:t xml:space="preserve">Jak </w:t>
      </w:r>
      <w:r w:rsidR="005658D8">
        <w:t>je patrné</w:t>
      </w:r>
      <w:r w:rsidR="00E37F7E">
        <w:t xml:space="preserve"> z</w:t>
      </w:r>
      <w:r>
        <w:t xml:space="preserve"> následující tabulk</w:t>
      </w:r>
      <w:r w:rsidR="005658D8">
        <w:t>y</w:t>
      </w:r>
      <w:r>
        <w:t>, p</w:t>
      </w:r>
      <w:r w:rsidR="004F52D8" w:rsidRPr="000A03A0">
        <w:t xml:space="preserve">očet českých VVŠ umístěných v první pětistovce žebříčku QS </w:t>
      </w:r>
      <w:r w:rsidR="005658D8">
        <w:t>se</w:t>
      </w:r>
      <w:r w:rsidR="004F52D8" w:rsidRPr="000A03A0">
        <w:t xml:space="preserve"> ve sledovaném období </w:t>
      </w:r>
      <w:r w:rsidR="005658D8">
        <w:t>měnil</w:t>
      </w:r>
      <w:r w:rsidR="004F52D8" w:rsidRPr="000A03A0">
        <w:t>.</w:t>
      </w:r>
    </w:p>
    <w:p w14:paraId="73E5E15D" w14:textId="57943FD6" w:rsidR="00372E80" w:rsidRDefault="00372E80" w:rsidP="00372E80">
      <w:pPr>
        <w:keepNext/>
        <w:spacing w:before="0"/>
      </w:pPr>
      <w:r>
        <w:t>Tabulka č. 14:</w:t>
      </w:r>
      <w:r w:rsidR="004F52D8" w:rsidRPr="000A03A0">
        <w:t xml:space="preserve"> </w:t>
      </w:r>
      <w:r w:rsidRPr="00372E80">
        <w:t>Počet českých VVŠ v první pětistovce univerzit v žebříčku QS</w:t>
      </w:r>
    </w:p>
    <w:tbl>
      <w:tblPr>
        <w:tblStyle w:val="Mkatabulky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1398"/>
        <w:gridCol w:w="1399"/>
        <w:gridCol w:w="1356"/>
        <w:gridCol w:w="1263"/>
        <w:gridCol w:w="1076"/>
        <w:gridCol w:w="1076"/>
      </w:tblGrid>
      <w:tr w:rsidR="00372E80" w:rsidRPr="00FA164F" w14:paraId="1BA6A684" w14:textId="77777777" w:rsidTr="00914649">
        <w:trPr>
          <w:trHeight w:val="238"/>
        </w:trPr>
        <w:tc>
          <w:tcPr>
            <w:tcW w:w="1492" w:type="dxa"/>
            <w:shd w:val="clear" w:color="auto" w:fill="E5F1FF"/>
          </w:tcPr>
          <w:p w14:paraId="17497E98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2015</w:t>
            </w:r>
          </w:p>
        </w:tc>
        <w:tc>
          <w:tcPr>
            <w:tcW w:w="1398" w:type="dxa"/>
            <w:shd w:val="clear" w:color="auto" w:fill="E5F1FF"/>
          </w:tcPr>
          <w:p w14:paraId="798A3FCB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2016</w:t>
            </w:r>
          </w:p>
        </w:tc>
        <w:tc>
          <w:tcPr>
            <w:tcW w:w="1399" w:type="dxa"/>
            <w:shd w:val="clear" w:color="auto" w:fill="E5F1FF"/>
          </w:tcPr>
          <w:p w14:paraId="47BE3FE3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2017</w:t>
            </w:r>
          </w:p>
        </w:tc>
        <w:tc>
          <w:tcPr>
            <w:tcW w:w="1356" w:type="dxa"/>
            <w:shd w:val="clear" w:color="auto" w:fill="E5F1FF"/>
          </w:tcPr>
          <w:p w14:paraId="68A5CC17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2018</w:t>
            </w:r>
          </w:p>
        </w:tc>
        <w:tc>
          <w:tcPr>
            <w:tcW w:w="1263" w:type="dxa"/>
            <w:shd w:val="clear" w:color="auto" w:fill="E5F1FF"/>
          </w:tcPr>
          <w:p w14:paraId="3B938C63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2019</w:t>
            </w:r>
          </w:p>
        </w:tc>
        <w:tc>
          <w:tcPr>
            <w:tcW w:w="1076" w:type="dxa"/>
            <w:shd w:val="clear" w:color="auto" w:fill="E5F1FF"/>
          </w:tcPr>
          <w:p w14:paraId="267D7960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2020</w:t>
            </w:r>
          </w:p>
        </w:tc>
        <w:tc>
          <w:tcPr>
            <w:tcW w:w="1076" w:type="dxa"/>
            <w:shd w:val="clear" w:color="auto" w:fill="E5F1FF"/>
          </w:tcPr>
          <w:p w14:paraId="36A60F53" w14:textId="77777777" w:rsidR="00372E80" w:rsidRPr="00FA164F" w:rsidRDefault="00372E80" w:rsidP="00372E80">
            <w:pPr>
              <w:keepNext/>
              <w:spacing w:before="0"/>
              <w:jc w:val="center"/>
              <w:rPr>
                <w:b/>
                <w:sz w:val="20"/>
              </w:rPr>
            </w:pPr>
            <w:r w:rsidRPr="00FA164F">
              <w:rPr>
                <w:b/>
                <w:sz w:val="20"/>
              </w:rPr>
              <w:t>2021</w:t>
            </w:r>
          </w:p>
        </w:tc>
      </w:tr>
      <w:tr w:rsidR="00372E80" w:rsidRPr="00FA164F" w14:paraId="5C615EE9" w14:textId="77777777" w:rsidTr="00914649">
        <w:tc>
          <w:tcPr>
            <w:tcW w:w="1492" w:type="dxa"/>
          </w:tcPr>
          <w:p w14:paraId="634ED4BE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2</w:t>
            </w:r>
          </w:p>
        </w:tc>
        <w:tc>
          <w:tcPr>
            <w:tcW w:w="1398" w:type="dxa"/>
          </w:tcPr>
          <w:p w14:paraId="62445F1A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2</w:t>
            </w:r>
          </w:p>
        </w:tc>
        <w:tc>
          <w:tcPr>
            <w:tcW w:w="1399" w:type="dxa"/>
          </w:tcPr>
          <w:p w14:paraId="74015FBA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1</w:t>
            </w:r>
          </w:p>
        </w:tc>
        <w:tc>
          <w:tcPr>
            <w:tcW w:w="1356" w:type="dxa"/>
          </w:tcPr>
          <w:p w14:paraId="73C2695D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2</w:t>
            </w:r>
          </w:p>
        </w:tc>
        <w:tc>
          <w:tcPr>
            <w:tcW w:w="1263" w:type="dxa"/>
          </w:tcPr>
          <w:p w14:paraId="04510C4D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1</w:t>
            </w:r>
          </w:p>
        </w:tc>
        <w:tc>
          <w:tcPr>
            <w:tcW w:w="1076" w:type="dxa"/>
          </w:tcPr>
          <w:p w14:paraId="34518EA9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3</w:t>
            </w:r>
          </w:p>
        </w:tc>
        <w:tc>
          <w:tcPr>
            <w:tcW w:w="1076" w:type="dxa"/>
          </w:tcPr>
          <w:p w14:paraId="37DAB513" w14:textId="77777777" w:rsidR="00372E80" w:rsidRPr="00FA164F" w:rsidRDefault="00372E80" w:rsidP="00372E80">
            <w:pPr>
              <w:keepNext/>
              <w:spacing w:before="0"/>
              <w:jc w:val="center"/>
              <w:rPr>
                <w:sz w:val="20"/>
              </w:rPr>
            </w:pPr>
            <w:r w:rsidRPr="00FA164F">
              <w:rPr>
                <w:sz w:val="20"/>
              </w:rPr>
              <w:t>3</w:t>
            </w:r>
          </w:p>
        </w:tc>
      </w:tr>
    </w:tbl>
    <w:p w14:paraId="6D61E4D5" w14:textId="626F63D5" w:rsidR="00372E80" w:rsidRDefault="00372E80" w:rsidP="00B11EEB">
      <w:pPr>
        <w:spacing w:before="0" w:after="120"/>
      </w:pPr>
      <w:r w:rsidRPr="00921C34">
        <w:rPr>
          <w:rFonts w:cs="Times New Roman"/>
          <w:b/>
          <w:color w:val="auto"/>
          <w:sz w:val="20"/>
          <w:szCs w:val="20"/>
          <w:shd w:val="clear" w:color="auto" w:fill="FFFFFF"/>
        </w:rPr>
        <w:t>Zdroj:</w:t>
      </w:r>
      <w:r w:rsidRPr="00147797">
        <w:rPr>
          <w:sz w:val="20"/>
          <w:szCs w:val="20"/>
          <w:shd w:val="clear" w:color="auto" w:fill="FFFFFF"/>
        </w:rPr>
        <w:t xml:space="preserve"> </w:t>
      </w:r>
      <w:hyperlink r:id="rId27" w:history="1">
        <w:r w:rsidR="00196B90">
          <w:rPr>
            <w:color w:val="0563C1"/>
            <w:sz w:val="20"/>
            <w:szCs w:val="20"/>
            <w:u w:val="single"/>
            <w:shd w:val="clear" w:color="auto" w:fill="FFFFFF"/>
          </w:rPr>
          <w:t>www.topuniversities.com</w:t>
        </w:r>
      </w:hyperlink>
      <w:r w:rsidR="005658D8">
        <w:rPr>
          <w:sz w:val="20"/>
          <w:szCs w:val="20"/>
          <w:shd w:val="clear" w:color="auto" w:fill="FFFFFF"/>
        </w:rPr>
        <w:t>;</w:t>
      </w:r>
      <w:r w:rsidRPr="00147797">
        <w:rPr>
          <w:sz w:val="20"/>
          <w:szCs w:val="20"/>
          <w:shd w:val="clear" w:color="auto" w:fill="FFFFFF"/>
        </w:rPr>
        <w:t xml:space="preserve"> vlastní zpracování</w:t>
      </w:r>
      <w:r w:rsidR="005658D8">
        <w:rPr>
          <w:sz w:val="20"/>
          <w:szCs w:val="20"/>
          <w:shd w:val="clear" w:color="auto" w:fill="FFFFFF"/>
        </w:rPr>
        <w:t xml:space="preserve"> NKÚ</w:t>
      </w:r>
      <w:r w:rsidR="00921C34">
        <w:rPr>
          <w:sz w:val="20"/>
          <w:szCs w:val="20"/>
          <w:shd w:val="clear" w:color="auto" w:fill="FFFFFF"/>
        </w:rPr>
        <w:t>.</w:t>
      </w:r>
    </w:p>
    <w:p w14:paraId="34A764A0" w14:textId="7C545FF4" w:rsidR="004F52D8" w:rsidRPr="000A03A0" w:rsidRDefault="004F52D8" w:rsidP="004F52D8">
      <w:pPr>
        <w:spacing w:after="120"/>
      </w:pPr>
      <w:r w:rsidRPr="00E37F7E">
        <w:lastRenderedPageBreak/>
        <w:t>Stanovený cíl MŠMT</w:t>
      </w:r>
      <w:r w:rsidRPr="000A03A0">
        <w:t xml:space="preserve"> pro sledované období se povedlo splnit</w:t>
      </w:r>
      <w:r w:rsidR="00921C34">
        <w:t xml:space="preserve"> až v žebříčcích </w:t>
      </w:r>
      <w:r w:rsidR="00E37F7E">
        <w:t>n</w:t>
      </w:r>
      <w:r w:rsidR="00921C34">
        <w:t>a roky 2020 a </w:t>
      </w:r>
      <w:r w:rsidRPr="008067CB">
        <w:t>2021</w:t>
      </w:r>
      <w:r w:rsidRPr="008067CB">
        <w:rPr>
          <w:rStyle w:val="Znakapoznpodarou"/>
        </w:rPr>
        <w:footnoteReference w:id="11"/>
      </w:r>
      <w:r w:rsidR="00E37F7E">
        <w:t>,</w:t>
      </w:r>
      <w:r w:rsidRPr="000A03A0">
        <w:t xml:space="preserve"> ve kterých se v první pětistovce umístily tři české VVŠ. </w:t>
      </w:r>
    </w:p>
    <w:p w14:paraId="14CC16E2" w14:textId="4BF21BDC" w:rsidR="004F52D8" w:rsidRPr="000A03A0" w:rsidRDefault="004F52D8" w:rsidP="004F52D8">
      <w:pPr>
        <w:spacing w:after="120"/>
      </w:pPr>
      <w:r w:rsidRPr="005B16A2">
        <w:t xml:space="preserve">Žebříček </w:t>
      </w:r>
      <w:r w:rsidRPr="005B16A2">
        <w:rPr>
          <w:b/>
        </w:rPr>
        <w:t>THE</w:t>
      </w:r>
      <w:r w:rsidRPr="005B16A2">
        <w:t xml:space="preserve"> je vydáván</w:t>
      </w:r>
      <w:r w:rsidRPr="000A03A0">
        <w:t xml:space="preserve"> od roku 2010. </w:t>
      </w:r>
      <w:r w:rsidRPr="000A03A0">
        <w:rPr>
          <w:color w:val="000000" w:themeColor="text1"/>
        </w:rPr>
        <w:t xml:space="preserve">Je založen na hodnocení 13 </w:t>
      </w:r>
      <w:r>
        <w:rPr>
          <w:color w:val="000000" w:themeColor="text1"/>
        </w:rPr>
        <w:t>ukazatelů</w:t>
      </w:r>
      <w:r w:rsidRPr="000A03A0">
        <w:rPr>
          <w:color w:val="000000" w:themeColor="text1"/>
        </w:rPr>
        <w:t xml:space="preserve"> v pěti </w:t>
      </w:r>
      <w:r>
        <w:rPr>
          <w:color w:val="000000" w:themeColor="text1"/>
        </w:rPr>
        <w:t>oblastech</w:t>
      </w:r>
      <w:r w:rsidRPr="000A03A0">
        <w:rPr>
          <w:color w:val="000000" w:themeColor="text1"/>
        </w:rPr>
        <w:t xml:space="preserve"> a ve velké míře </w:t>
      </w:r>
      <w:r w:rsidRPr="000A03A0">
        <w:t xml:space="preserve">zohledňuje velikost hodnocených institucí. </w:t>
      </w:r>
      <w:r>
        <w:t xml:space="preserve">Žebříček v současnosti hodnotí přes 1 500 vysokých škol. </w:t>
      </w:r>
      <w:r w:rsidRPr="000A03A0">
        <w:t>V žebříčku THE se mezi prvními čtyřmi sty školami v letech 2015 a 2016 umístila jedna česká VVŠ. V letech 2017 až 2020 jsou první čtyři stovky v žebříčku bez zastoupení českých VVŠ. Cíl MŠMT se tak splnit nepodařilo</w:t>
      </w:r>
      <w:r>
        <w:t>.</w:t>
      </w:r>
      <w:r w:rsidRPr="000A03A0">
        <w:t xml:space="preserve"> </w:t>
      </w:r>
      <w:r>
        <w:t>Došlo naopak</w:t>
      </w:r>
      <w:r w:rsidRPr="000A03A0">
        <w:t xml:space="preserve"> ke zhoršení oproti výchozímu stavu.</w:t>
      </w:r>
    </w:p>
    <w:p w14:paraId="30FB866A" w14:textId="7A279102" w:rsidR="00BA7E01" w:rsidRPr="00BA7E01" w:rsidRDefault="004F52D8" w:rsidP="004F52D8">
      <w:pPr>
        <w:spacing w:before="0" w:after="120"/>
        <w:rPr>
          <w:rFonts w:eastAsia="Calibri"/>
          <w:color w:val="auto"/>
          <w:lang w:eastAsia="cs-CZ"/>
        </w:rPr>
      </w:pPr>
      <w:r w:rsidRPr="00930E8D">
        <w:t xml:space="preserve">Z uvedených mezinárodních srovnání vysokých škol není patrné zvyšování kvality českých VVŠ, které by vedlo k výraznějšímu posunu v pořadí </w:t>
      </w:r>
      <w:r w:rsidR="00DD2D0C">
        <w:t>č</w:t>
      </w:r>
      <w:r w:rsidR="00A26C05">
        <w:t>i</w:t>
      </w:r>
      <w:r w:rsidR="00DD2D0C">
        <w:t xml:space="preserve"> k početnějšímu zastoupení</w:t>
      </w:r>
      <w:r w:rsidRPr="00930E8D">
        <w:t xml:space="preserve"> v horních polovinách </w:t>
      </w:r>
      <w:r w:rsidR="00DD2D0C">
        <w:t>zmíněných</w:t>
      </w:r>
      <w:r w:rsidRPr="00930E8D">
        <w:t xml:space="preserve"> žebříčků. Z uvedeného přehledu také vyplývá, že v mezinárodních žebříčcích sledovaných MŠMT se</w:t>
      </w:r>
      <w:r>
        <w:t xml:space="preserve"> českým VVŠ dlouhodobě příliš nedařilo </w:t>
      </w:r>
      <w:r w:rsidRPr="00930E8D">
        <w:t>zlepšovat své postavení a plnit stanovený prioritní cíl „</w:t>
      </w:r>
      <w:r w:rsidR="00DD2D0C" w:rsidRPr="00B11EEB">
        <w:rPr>
          <w:i/>
        </w:rPr>
        <w:t>z</w:t>
      </w:r>
      <w:r w:rsidRPr="00B11EEB">
        <w:rPr>
          <w:i/>
        </w:rPr>
        <w:t>ajišťování kvality</w:t>
      </w:r>
      <w:r w:rsidRPr="00930E8D">
        <w:t>“.</w:t>
      </w:r>
    </w:p>
    <w:p w14:paraId="17E32F0F" w14:textId="33594F60" w:rsidR="00F01649" w:rsidRDefault="00442250" w:rsidP="006B6B71">
      <w:pPr>
        <w:spacing w:before="0" w:after="120"/>
        <w:rPr>
          <w:rFonts w:eastAsia="Calibri"/>
          <w:b/>
          <w:color w:val="auto"/>
          <w:lang w:eastAsia="cs-CZ"/>
        </w:rPr>
      </w:pPr>
      <w:r w:rsidRPr="00442250">
        <w:rPr>
          <w:rFonts w:eastAsia="Calibri"/>
          <w:b/>
          <w:color w:val="000000" w:themeColor="text1"/>
        </w:rPr>
        <w:t xml:space="preserve">10. Plnění strategických záměrů </w:t>
      </w:r>
      <w:r w:rsidR="00BC418C">
        <w:rPr>
          <w:rFonts w:eastAsia="Calibri"/>
          <w:b/>
          <w:color w:val="000000" w:themeColor="text1"/>
        </w:rPr>
        <w:t xml:space="preserve">kontrolovaných </w:t>
      </w:r>
      <w:r w:rsidRPr="00442250">
        <w:rPr>
          <w:rFonts w:eastAsia="Calibri"/>
          <w:b/>
          <w:color w:val="000000" w:themeColor="text1"/>
        </w:rPr>
        <w:t xml:space="preserve">vysokých škol nelze </w:t>
      </w:r>
      <w:r w:rsidR="00DD2D0C">
        <w:rPr>
          <w:rFonts w:eastAsia="Calibri"/>
          <w:b/>
          <w:color w:val="000000" w:themeColor="text1"/>
        </w:rPr>
        <w:t>vinou</w:t>
      </w:r>
      <w:r w:rsidRPr="00442250">
        <w:rPr>
          <w:rFonts w:eastAsia="Calibri"/>
          <w:b/>
          <w:color w:val="000000" w:themeColor="text1"/>
        </w:rPr>
        <w:t xml:space="preserve"> jejich nastavení vyhodnotit</w:t>
      </w:r>
    </w:p>
    <w:p w14:paraId="3A0773A2" w14:textId="0446D7D1" w:rsidR="00442250" w:rsidRPr="00442250" w:rsidRDefault="00442250" w:rsidP="00442250">
      <w:pPr>
        <w:spacing w:before="0" w:after="120"/>
      </w:pPr>
      <w:r w:rsidRPr="00442250">
        <w:t>Klíčovým strategickým dokumentem</w:t>
      </w:r>
      <w:r w:rsidR="003113CC">
        <w:t xml:space="preserve"> MŠMT</w:t>
      </w:r>
      <w:r w:rsidRPr="00442250">
        <w:t>, který stanovil priority a opatření v oblasti v</w:t>
      </w:r>
      <w:r w:rsidR="00ED7B79">
        <w:t>ysokoškolské politiky, je tzv. strategický</w:t>
      </w:r>
      <w:r w:rsidRPr="00442250">
        <w:t xml:space="preserve"> záměr. V tomto dokumentu s platností na roky 2011 až 2015 MŠMT nestanovilo indikátory plnění stanovených cílů a i </w:t>
      </w:r>
      <w:r w:rsidR="00311496">
        <w:t>kvůli</w:t>
      </w:r>
      <w:r w:rsidRPr="00442250">
        <w:t xml:space="preserve"> tomu nebylo schopno jejich plnění ani skutečné dopady realizace tohoto dokumentu vyhodnotit. V</w:t>
      </w:r>
      <w:r w:rsidR="005B0223">
        <w:t>e</w:t>
      </w:r>
      <w:r w:rsidRPr="00442250">
        <w:t xml:space="preserve"> </w:t>
      </w:r>
      <w:r w:rsidR="005B0223">
        <w:t>strategickém záměru</w:t>
      </w:r>
      <w:r w:rsidRPr="00442250">
        <w:t xml:space="preserve"> s</w:t>
      </w:r>
      <w:r w:rsidR="006731EB">
        <w:t> </w:t>
      </w:r>
      <w:r w:rsidRPr="00442250">
        <w:t>platností na roky 2016 až 2020 již MŠMT měřitelné ukazatele stanovilo a v roce 2018 plnění tohoto dokumentu průběžně hodnotilo.</w:t>
      </w:r>
    </w:p>
    <w:p w14:paraId="28283F48" w14:textId="6293F17D" w:rsidR="006B6B71" w:rsidRDefault="00442250" w:rsidP="00442250">
      <w:pPr>
        <w:spacing w:before="0" w:after="120"/>
        <w:rPr>
          <w:rFonts w:eastAsiaTheme="minorHAnsi" w:cstheme="minorHAnsi"/>
        </w:rPr>
      </w:pPr>
      <w:r w:rsidRPr="00442250">
        <w:t xml:space="preserve">MŠMT nehodnotilo </w:t>
      </w:r>
      <w:r w:rsidR="003643BC">
        <w:t>ani</w:t>
      </w:r>
      <w:r w:rsidRPr="00442250">
        <w:t xml:space="preserve"> plnění Rámce, a to přestože v tomto dokumentu stanovilo mj. hlavní cíl, opatření a úkoly, harmonogram i indikátory implementace.</w:t>
      </w:r>
      <w:r>
        <w:t xml:space="preserve"> </w:t>
      </w:r>
      <w:r w:rsidRPr="00403E8C">
        <w:rPr>
          <w:rFonts w:eastAsiaTheme="minorHAnsi" w:cstheme="minorHAnsi"/>
        </w:rPr>
        <w:t>Relevantní opatření a</w:t>
      </w:r>
      <w:r w:rsidR="003643BC">
        <w:rPr>
          <w:rFonts w:eastAsiaTheme="minorHAnsi" w:cstheme="minorHAnsi"/>
        </w:rPr>
        <w:t xml:space="preserve"> </w:t>
      </w:r>
      <w:r w:rsidRPr="00403E8C">
        <w:rPr>
          <w:rFonts w:eastAsiaTheme="minorHAnsi" w:cstheme="minorHAnsi"/>
        </w:rPr>
        <w:t xml:space="preserve">cíle Rámce byly promítnuty do </w:t>
      </w:r>
      <w:r>
        <w:rPr>
          <w:rFonts w:eastAsiaTheme="minorHAnsi" w:cstheme="minorHAnsi"/>
        </w:rPr>
        <w:t>OP VVV</w:t>
      </w:r>
      <w:r w:rsidRPr="00403E8C">
        <w:rPr>
          <w:rFonts w:eastAsiaTheme="minorHAnsi" w:cstheme="minorHAnsi"/>
        </w:rPr>
        <w:t xml:space="preserve"> a do </w:t>
      </w:r>
      <w:r>
        <w:rPr>
          <w:rFonts w:eastAsiaTheme="minorHAnsi" w:cstheme="minorHAnsi"/>
        </w:rPr>
        <w:t>DZ VŠ 2016</w:t>
      </w:r>
      <w:r w:rsidRPr="00403E8C">
        <w:rPr>
          <w:rFonts w:eastAsiaTheme="minorHAnsi" w:cstheme="minorHAnsi"/>
        </w:rPr>
        <w:t>, jejichž implementace je předmětem samostatného hodnocení.</w:t>
      </w:r>
    </w:p>
    <w:p w14:paraId="1FC1AE63" w14:textId="38BCAFD8" w:rsidR="006731EB" w:rsidRDefault="00217C82" w:rsidP="00217C82">
      <w:pPr>
        <w:spacing w:before="0" w:after="120"/>
        <w:rPr>
          <w:rFonts w:eastAsiaTheme="minorHAnsi" w:cstheme="minorHAnsi"/>
        </w:rPr>
      </w:pPr>
      <w:r>
        <w:rPr>
          <w:rFonts w:eastAsiaTheme="minorHAnsi" w:cstheme="minorHAnsi"/>
        </w:rPr>
        <w:t xml:space="preserve">Pro výši příspěvku </w:t>
      </w:r>
      <w:r w:rsidR="003643BC">
        <w:rPr>
          <w:rFonts w:eastAsiaTheme="minorHAnsi" w:cstheme="minorHAnsi"/>
        </w:rPr>
        <w:t>veřejné vysoké škole</w:t>
      </w:r>
      <w:r>
        <w:rPr>
          <w:rFonts w:eastAsiaTheme="minorHAnsi" w:cstheme="minorHAnsi"/>
        </w:rPr>
        <w:t xml:space="preserve"> jsou rozhodné kromě strategického záměru MŠMT rovněž </w:t>
      </w:r>
      <w:r w:rsidR="00F45C89">
        <w:rPr>
          <w:rFonts w:eastAsiaTheme="minorHAnsi" w:cstheme="minorHAnsi"/>
        </w:rPr>
        <w:t>údaje ze strategických</w:t>
      </w:r>
      <w:r>
        <w:rPr>
          <w:rFonts w:eastAsiaTheme="minorHAnsi" w:cstheme="minorHAnsi"/>
        </w:rPr>
        <w:t xml:space="preserve"> záměr</w:t>
      </w:r>
      <w:r w:rsidR="00F45C89">
        <w:rPr>
          <w:rFonts w:eastAsiaTheme="minorHAnsi" w:cstheme="minorHAnsi"/>
        </w:rPr>
        <w:t>ů</w:t>
      </w:r>
      <w:r>
        <w:rPr>
          <w:rFonts w:eastAsiaTheme="minorHAnsi" w:cstheme="minorHAnsi"/>
        </w:rPr>
        <w:t xml:space="preserve"> jednotlivých VVŠ. </w:t>
      </w:r>
      <w:r w:rsidR="006731EB" w:rsidRPr="004C7ED7">
        <w:t xml:space="preserve">Strategické </w:t>
      </w:r>
      <w:r w:rsidR="006731EB" w:rsidRPr="00FA3391">
        <w:t>záměry VV</w:t>
      </w:r>
      <w:r w:rsidR="00EF440A">
        <w:t>Š mají sloužit jejich rozvoji a</w:t>
      </w:r>
      <w:r w:rsidR="003643BC">
        <w:t xml:space="preserve"> </w:t>
      </w:r>
      <w:r w:rsidR="006731EB" w:rsidRPr="00FA3391">
        <w:t>pomoci naplnit cíle stanovené M</w:t>
      </w:r>
      <w:r w:rsidR="003643BC">
        <w:t>inisterstvem školství, mládeže a tělovýchovy</w:t>
      </w:r>
      <w:r w:rsidR="006731EB">
        <w:rPr>
          <w:rFonts w:eastAsiaTheme="minorHAnsi" w:cstheme="minorHAnsi"/>
        </w:rPr>
        <w:t xml:space="preserve">. </w:t>
      </w:r>
      <w:r>
        <w:rPr>
          <w:rFonts w:eastAsiaTheme="minorHAnsi" w:cstheme="minorHAnsi"/>
        </w:rPr>
        <w:t xml:space="preserve">Tyto záměry musí VVŠ vypracovat, s MŠMT projednat a zveřejnit. </w:t>
      </w:r>
    </w:p>
    <w:p w14:paraId="30957362" w14:textId="1CC69502" w:rsidR="00FE6CC3" w:rsidRDefault="00217C82" w:rsidP="00217C82">
      <w:pPr>
        <w:spacing w:before="0" w:after="120"/>
      </w:pPr>
      <w:r>
        <w:t xml:space="preserve">Kontrolou u šesti VVŠ bylo zjištěno, že žádná z nich své </w:t>
      </w:r>
      <w:r w:rsidR="00713A7B">
        <w:t>strategické</w:t>
      </w:r>
      <w:r>
        <w:t xml:space="preserve"> záměry na období 2011 až 2015 komplexně nevyhodnocovala.</w:t>
      </w:r>
      <w:r w:rsidR="006731EB">
        <w:t xml:space="preserve"> </w:t>
      </w:r>
      <w:r w:rsidR="00713A7B">
        <w:t>Strategické</w:t>
      </w:r>
      <w:r w:rsidR="00FE6CC3">
        <w:t xml:space="preserve"> záměry všech kontrolovaných VVŠ na období 2016 až 2020 obsahovaly m</w:t>
      </w:r>
      <w:r w:rsidR="00FE6CC3" w:rsidRPr="00FE6CC3">
        <w:t>ěřitelné indikátory kvalitativního či kvantitativního charakteru</w:t>
      </w:r>
      <w:r w:rsidR="00FE6CC3">
        <w:t>.</w:t>
      </w:r>
      <w:r w:rsidR="0004428A">
        <w:t xml:space="preserve"> Cílové hodnoty či stavy však stanovily pouze ČZU a v neveřejných materiálech </w:t>
      </w:r>
      <w:r w:rsidR="00EF440A">
        <w:t>také ČVUT. U </w:t>
      </w:r>
      <w:r w:rsidR="00BF734C">
        <w:t>ostatních VVŠ nebyly cílové stavy znám</w:t>
      </w:r>
      <w:r w:rsidR="0087144E">
        <w:t>y,</w:t>
      </w:r>
      <w:r w:rsidR="00BF734C">
        <w:t xml:space="preserve"> a nebylo</w:t>
      </w:r>
      <w:r w:rsidR="0087144E">
        <w:t xml:space="preserve"> tudíž</w:t>
      </w:r>
      <w:r w:rsidR="00BF734C">
        <w:t xml:space="preserve"> možné určit, v jaké míře došlo k plnění stanovených cílů a celého </w:t>
      </w:r>
      <w:r w:rsidR="00713A7B">
        <w:t>strategického</w:t>
      </w:r>
      <w:r w:rsidR="00BF734C">
        <w:t xml:space="preserve"> záměru. Tyto klíčové strategické dokumenty tak nebudou schop</w:t>
      </w:r>
      <w:r w:rsidR="00311496">
        <w:t xml:space="preserve">ny adekvátně vyhodnotit VVŠ ani </w:t>
      </w:r>
      <w:r w:rsidR="00BF734C">
        <w:t>MŠMT.</w:t>
      </w:r>
      <w:r w:rsidR="00BF4171">
        <w:t xml:space="preserve"> Povinnost uvést</w:t>
      </w:r>
      <w:r w:rsidR="00BF4171" w:rsidRPr="00BF4171">
        <w:t xml:space="preserve"> ukazatele, pomocí kterých lze doložit míru dosahování stanovených cílů, a to vče</w:t>
      </w:r>
      <w:r w:rsidR="00BF4171">
        <w:t>tně výchozích a cílových hodnot, MŠMT nestanovilo.</w:t>
      </w:r>
    </w:p>
    <w:p w14:paraId="5E5A947F" w14:textId="44E07C7E" w:rsidR="001B0CA2" w:rsidRDefault="00C5641D" w:rsidP="00C5641D">
      <w:pPr>
        <w:spacing w:before="0" w:after="120"/>
      </w:pPr>
      <w:r>
        <w:t xml:space="preserve">MŠMT v letech 2016 až 2019 projednalo </w:t>
      </w:r>
      <w:r w:rsidR="00713A7B">
        <w:t>strategické</w:t>
      </w:r>
      <w:r>
        <w:t xml:space="preserve"> záměry všech VVŠ, včetně jejich každoročních aktualizací. MŠMT z těchto jednání vždy zpracovalo zápisy. Ty byly standardizované </w:t>
      </w:r>
      <w:r w:rsidR="00311496">
        <w:t>a v</w:t>
      </w:r>
      <w:r>
        <w:t xml:space="preserve"> závěru každého zápisu bylo uvedeno, ž</w:t>
      </w:r>
      <w:r w:rsidR="00447202">
        <w:t>e projednávané dokumenty jsou v </w:t>
      </w:r>
      <w:r>
        <w:t xml:space="preserve">souladu s prioritami strategických dokumentů MŠMT a byly projednány, čímž fakticky došlo </w:t>
      </w:r>
      <w:r>
        <w:lastRenderedPageBreak/>
        <w:t xml:space="preserve">k jejich schválení. Žádné výhrady k projednávaným dokumentům šesti kontrolovaných VVŠ </w:t>
      </w:r>
      <w:r w:rsidR="00C211B8" w:rsidRPr="00FA3391">
        <w:t>M</w:t>
      </w:r>
      <w:r w:rsidR="00C211B8">
        <w:t>inisterstvo školství, mládeže a tělovýchovy</w:t>
      </w:r>
      <w:r>
        <w:t xml:space="preserve"> neuplatnilo.</w:t>
      </w:r>
    </w:p>
    <w:p w14:paraId="29E01994" w14:textId="7314D147" w:rsidR="001B0CA2" w:rsidRDefault="001B0CA2" w:rsidP="00C5641D">
      <w:pPr>
        <w:spacing w:before="0" w:after="120"/>
        <w:rPr>
          <w:b/>
        </w:rPr>
      </w:pPr>
      <w:r w:rsidRPr="001B0CA2">
        <w:rPr>
          <w:b/>
        </w:rPr>
        <w:t>Ostatní skutečnosti zjištěné u VVŠ</w:t>
      </w:r>
    </w:p>
    <w:p w14:paraId="3C337C2D" w14:textId="19228C1E" w:rsidR="001B0CA2" w:rsidRPr="00943532" w:rsidRDefault="001B0CA2" w:rsidP="00943532">
      <w:pPr>
        <w:spacing w:before="0" w:after="120"/>
      </w:pPr>
      <w:r w:rsidRPr="00943532">
        <w:t xml:space="preserve">VVŠ měly </w:t>
      </w:r>
      <w:r w:rsidR="00311496">
        <w:t xml:space="preserve">zákonnou </w:t>
      </w:r>
      <w:r w:rsidRPr="00943532">
        <w:t xml:space="preserve">povinnost přijmout </w:t>
      </w:r>
      <w:r w:rsidR="00311496">
        <w:t xml:space="preserve">do </w:t>
      </w:r>
      <w:r w:rsidR="00311496" w:rsidRPr="00943532">
        <w:t>31. 8. 2017</w:t>
      </w:r>
      <w:r w:rsidR="00311496">
        <w:t xml:space="preserve"> </w:t>
      </w:r>
      <w:r w:rsidRPr="00943532">
        <w:t xml:space="preserve">jako vnitřní předpis </w:t>
      </w:r>
      <w:r w:rsidR="00311496">
        <w:t>„</w:t>
      </w:r>
      <w:r w:rsidR="007C24E3" w:rsidRPr="00B11EEB">
        <w:rPr>
          <w:i/>
        </w:rPr>
        <w:t>p</w:t>
      </w:r>
      <w:r w:rsidRPr="00B11EEB">
        <w:rPr>
          <w:i/>
        </w:rPr>
        <w:t>ravidla systému zajišťování kvality vzdělávací, tvůrčí a s nimi souvisejících činností a vnitřního hodnocení kvality vzdělávací, tvůrčí a s nimi souvisejících činností</w:t>
      </w:r>
      <w:r w:rsidR="00311496">
        <w:t>“.</w:t>
      </w:r>
      <w:r w:rsidR="00943532" w:rsidRPr="00943532">
        <w:t xml:space="preserve"> </w:t>
      </w:r>
      <w:r w:rsidRPr="00943532">
        <w:t>Pouze dvě z kontrolovaných vysokých škol (ČZU a UTB) zaregistrovaly a přijaly</w:t>
      </w:r>
      <w:r w:rsidR="00943532" w:rsidRPr="00943532">
        <w:t xml:space="preserve"> tento předpis</w:t>
      </w:r>
      <w:r w:rsidRPr="00943532">
        <w:t xml:space="preserve"> v</w:t>
      </w:r>
      <w:r w:rsidR="00741A66">
        <w:t>e</w:t>
      </w:r>
      <w:r w:rsidRPr="00943532">
        <w:t xml:space="preserve"> stanoveném termínu</w:t>
      </w:r>
      <w:r w:rsidR="007C24E3">
        <w:t>,</w:t>
      </w:r>
      <w:r w:rsidRPr="00943532">
        <w:t xml:space="preserve"> všechny ostatní je</w:t>
      </w:r>
      <w:r w:rsidR="007C24E3">
        <w:t>j</w:t>
      </w:r>
      <w:r w:rsidRPr="00943532">
        <w:t xml:space="preserve"> přijaly po termínu, a to i s </w:t>
      </w:r>
      <w:r w:rsidR="00943532" w:rsidRPr="00943532">
        <w:t>deseti</w:t>
      </w:r>
      <w:r w:rsidRPr="00943532">
        <w:t xml:space="preserve">měsíčním zpožděním (ČVUT). </w:t>
      </w:r>
    </w:p>
    <w:p w14:paraId="7147CAEC" w14:textId="347350AC" w:rsidR="004F25A7" w:rsidRDefault="00943532" w:rsidP="004F25A7">
      <w:pPr>
        <w:spacing w:before="0" w:after="120"/>
      </w:pPr>
      <w:r w:rsidRPr="00943532">
        <w:t>Způsob vnitřního hodnocení kvality se na jednotlivých VVŠ velmi lišil.</w:t>
      </w:r>
      <w:r w:rsidR="001B0CA2" w:rsidRPr="00943532">
        <w:t xml:space="preserve"> </w:t>
      </w:r>
      <w:r w:rsidRPr="00943532">
        <w:t xml:space="preserve">Např. AMU roztříštila hodnocení jednotlivých činností do mnoha aktivit s každoročním vyhodnocením, </w:t>
      </w:r>
      <w:r w:rsidR="00741A66">
        <w:t>které</w:t>
      </w:r>
      <w:r w:rsidR="001B0CA2" w:rsidRPr="00943532">
        <w:t xml:space="preserve"> následně nebyla schopna </w:t>
      </w:r>
      <w:r w:rsidRPr="00943532">
        <w:t>dle nastavených pravidel realizovat.</w:t>
      </w:r>
      <w:r w:rsidR="004F25A7">
        <w:t xml:space="preserve"> Vysoké školy mají zákonnou povinnost ve zprávách popsat výsledky vnitřního hodnocení a uvést přijatá opatření ke zjištěným nedostatkům. ČVUT přijatá opatření neuváděl</w:t>
      </w:r>
      <w:r w:rsidR="00D161D2">
        <w:t>o</w:t>
      </w:r>
      <w:r w:rsidR="004F25A7">
        <w:t xml:space="preserve"> a v roce 2019 neuvedl</w:t>
      </w:r>
      <w:r w:rsidR="00D161D2">
        <w:t>o</w:t>
      </w:r>
      <w:r w:rsidR="004F25A7">
        <w:t xml:space="preserve"> ani zjištěné nedostatky, pouze popsal</w:t>
      </w:r>
      <w:r w:rsidR="00D161D2">
        <w:t>o</w:t>
      </w:r>
      <w:r w:rsidR="004F25A7">
        <w:t xml:space="preserve"> nejvýznamnější změny.</w:t>
      </w:r>
    </w:p>
    <w:p w14:paraId="0A27BC11" w14:textId="14E34EA8" w:rsidR="00FC2EA6" w:rsidRPr="001B0CA2" w:rsidRDefault="00FC2EA6" w:rsidP="004F25A7">
      <w:pPr>
        <w:spacing w:before="0" w:after="120"/>
        <w:rPr>
          <w:b/>
        </w:rPr>
      </w:pPr>
      <w:r>
        <w:t xml:space="preserve">Kontrolou bylo zjištěno, že </w:t>
      </w:r>
      <w:r w:rsidR="00FD2A26">
        <w:t>čtyři</w:t>
      </w:r>
      <w:r>
        <w:t xml:space="preserve"> </w:t>
      </w:r>
      <w:r w:rsidR="00FD2A26">
        <w:t>z šesti kontrolovaných škol měly</w:t>
      </w:r>
      <w:r>
        <w:t xml:space="preserve"> vypracov</w:t>
      </w:r>
      <w:r w:rsidR="00083211">
        <w:t>ány</w:t>
      </w:r>
      <w:r>
        <w:t xml:space="preserve"> dlouhodobé investiční plány. Takov</w:t>
      </w:r>
      <w:r w:rsidR="00083211">
        <w:t>é</w:t>
      </w:r>
      <w:r>
        <w:t xml:space="preserve"> plán</w:t>
      </w:r>
      <w:r w:rsidR="00083211">
        <w:t>y</w:t>
      </w:r>
      <w:r>
        <w:t xml:space="preserve"> neměl</w:t>
      </w:r>
      <w:r w:rsidR="00083211">
        <w:t>y</w:t>
      </w:r>
      <w:r>
        <w:t xml:space="preserve"> U</w:t>
      </w:r>
      <w:r w:rsidR="009E169D">
        <w:t>M</w:t>
      </w:r>
      <w:r>
        <w:t>PRUM</w:t>
      </w:r>
      <w:r w:rsidR="00FD2A26">
        <w:t xml:space="preserve"> a UTB, </w:t>
      </w:r>
      <w:r w:rsidR="00083211">
        <w:t>ty</w:t>
      </w:r>
      <w:r w:rsidR="005A63ED">
        <w:t>to školy</w:t>
      </w:r>
      <w:r w:rsidR="00FD2A26">
        <w:t xml:space="preserve"> pouze některé investiční akce obecně </w:t>
      </w:r>
      <w:r w:rsidR="00083211">
        <w:t>uváděly</w:t>
      </w:r>
      <w:r w:rsidR="00FD2A26">
        <w:t xml:space="preserve"> ve sv</w:t>
      </w:r>
      <w:r w:rsidR="00083211">
        <w:t>ých</w:t>
      </w:r>
      <w:r w:rsidR="00FD2A26">
        <w:t xml:space="preserve"> strategick</w:t>
      </w:r>
      <w:r w:rsidR="00083211">
        <w:t>ých</w:t>
      </w:r>
      <w:r w:rsidR="00FD2A26">
        <w:t xml:space="preserve"> záměr</w:t>
      </w:r>
      <w:r w:rsidR="00083211">
        <w:t>ech</w:t>
      </w:r>
      <w:r>
        <w:t xml:space="preserve">. </w:t>
      </w:r>
      <w:r w:rsidR="005F22D9">
        <w:t>Pro roky 2019 a 2020 vypracovaly všechny vysoké školy p</w:t>
      </w:r>
      <w:r>
        <w:t>lán</w:t>
      </w:r>
      <w:r w:rsidR="005F22D9">
        <w:t>y</w:t>
      </w:r>
      <w:r>
        <w:t xml:space="preserve"> investičních aktivit. Všechny kontrolované VVŠ čerpaly prostředky z investičního programu 133 210. V realizaci investičních akcí docházelo k posouvání termínů, </w:t>
      </w:r>
      <w:r w:rsidR="00A701AA">
        <w:t>příčinou byly problémy</w:t>
      </w:r>
      <w:r>
        <w:t xml:space="preserve"> spojen</w:t>
      </w:r>
      <w:r w:rsidR="00A701AA">
        <w:t>é</w:t>
      </w:r>
      <w:r>
        <w:t xml:space="preserve"> se zajištěním části finančních prostředků </w:t>
      </w:r>
      <w:r w:rsidR="00703726">
        <w:t>vyžadovaných ve formě</w:t>
      </w:r>
      <w:r>
        <w:t xml:space="preserve"> spoluúčasti školy (např. ČZU), nedostatečn</w:t>
      </w:r>
      <w:r w:rsidR="00A701AA">
        <w:t>á</w:t>
      </w:r>
      <w:r>
        <w:t xml:space="preserve"> flexibilit</w:t>
      </w:r>
      <w:r w:rsidR="00A701AA">
        <w:t>a</w:t>
      </w:r>
      <w:r>
        <w:t xml:space="preserve"> dotačních podmínek </w:t>
      </w:r>
      <w:r w:rsidR="00A701AA">
        <w:t>při</w:t>
      </w:r>
      <w:r>
        <w:t xml:space="preserve"> změn</w:t>
      </w:r>
      <w:r w:rsidR="00A701AA">
        <w:t>ách</w:t>
      </w:r>
      <w:r>
        <w:t xml:space="preserve"> akcí (U</w:t>
      </w:r>
      <w:r w:rsidR="009E169D">
        <w:t>M</w:t>
      </w:r>
      <w:r>
        <w:t>P</w:t>
      </w:r>
      <w:r w:rsidR="009E169D">
        <w:t>RUM</w:t>
      </w:r>
      <w:r>
        <w:t>, ČVUT), problémy s lhůtami výběrových řízení (U</w:t>
      </w:r>
      <w:r w:rsidR="009E169D">
        <w:t>M</w:t>
      </w:r>
      <w:r>
        <w:t>P</w:t>
      </w:r>
      <w:r w:rsidR="009E169D">
        <w:t>RUM</w:t>
      </w:r>
      <w:r>
        <w:t>, AMU) nebo zdlouhavý schvalovací proces při administrac</w:t>
      </w:r>
      <w:r w:rsidR="006A1AAF">
        <w:t>i akcí (AMU)</w:t>
      </w:r>
      <w:r w:rsidR="00D46A11">
        <w:t>.</w:t>
      </w:r>
    </w:p>
    <w:p w14:paraId="020CE283" w14:textId="77777777" w:rsidR="002E7D25" w:rsidRDefault="002E7D25">
      <w:pPr>
        <w:spacing w:before="0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755CF0E" w14:textId="22D93682" w:rsidR="001702E5" w:rsidRPr="008E30B9" w:rsidRDefault="00A41184" w:rsidP="00D20208">
      <w:pPr>
        <w:keepNext/>
        <w:spacing w:before="0" w:after="120"/>
      </w:pPr>
      <w:r w:rsidRPr="000141D2">
        <w:rPr>
          <w:rFonts w:cstheme="minorHAnsi"/>
          <w:b/>
        </w:rPr>
        <w:lastRenderedPageBreak/>
        <w:t>Seznam zkratek</w:t>
      </w:r>
    </w:p>
    <w:p w14:paraId="1AADFA4E" w14:textId="77777777" w:rsidR="00390F3F" w:rsidRDefault="00390F3F" w:rsidP="009601AD">
      <w:pPr>
        <w:keepNext/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AMU</w:t>
      </w:r>
      <w:r>
        <w:rPr>
          <w:rFonts w:cs="Times New Roman"/>
          <w:color w:val="auto"/>
          <w:lang w:eastAsia="cs-CZ"/>
        </w:rPr>
        <w:tab/>
        <w:t>Akademie múzických umění v Praze</w:t>
      </w:r>
    </w:p>
    <w:p w14:paraId="1F684433" w14:textId="02F90B0D" w:rsidR="00390F3F" w:rsidRDefault="00390F3F" w:rsidP="009601AD">
      <w:pPr>
        <w:keepNext/>
        <w:spacing w:before="0" w:after="40"/>
        <w:ind w:left="2977" w:hanging="2977"/>
        <w:jc w:val="left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ARWU</w:t>
      </w:r>
      <w:r>
        <w:rPr>
          <w:rFonts w:cs="Times New Roman"/>
          <w:color w:val="auto"/>
          <w:lang w:eastAsia="cs-CZ"/>
        </w:rPr>
        <w:tab/>
      </w:r>
      <w:r>
        <w:t xml:space="preserve">mezinárodní žebříček </w:t>
      </w:r>
      <w:r w:rsidR="00A15FD8">
        <w:t>univerzit</w:t>
      </w:r>
      <w:r>
        <w:t xml:space="preserve"> </w:t>
      </w:r>
      <w:r w:rsidRPr="00B11EEB">
        <w:rPr>
          <w:rFonts w:cs="Times New Roman"/>
          <w:i/>
          <w:color w:val="auto"/>
          <w:lang w:eastAsia="cs-CZ"/>
        </w:rPr>
        <w:t>The Academic Ranking of</w:t>
      </w:r>
      <w:r w:rsidR="00A15FD8">
        <w:rPr>
          <w:rFonts w:cs="Times New Roman"/>
          <w:i/>
          <w:color w:val="auto"/>
          <w:lang w:eastAsia="cs-CZ"/>
        </w:rPr>
        <w:t> </w:t>
      </w:r>
      <w:r w:rsidRPr="00B11EEB">
        <w:rPr>
          <w:rFonts w:cs="Times New Roman"/>
          <w:i/>
          <w:color w:val="auto"/>
          <w:lang w:eastAsia="cs-CZ"/>
        </w:rPr>
        <w:t>World Universities</w:t>
      </w:r>
    </w:p>
    <w:p w14:paraId="7E0D2566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 w:rsidRPr="006B2A93">
        <w:rPr>
          <w:rFonts w:cs="Times New Roman"/>
          <w:color w:val="auto"/>
          <w:lang w:eastAsia="cs-CZ"/>
        </w:rPr>
        <w:t>ČR</w:t>
      </w:r>
      <w:r>
        <w:rPr>
          <w:rFonts w:cs="Times New Roman"/>
          <w:color w:val="auto"/>
          <w:lang w:eastAsia="cs-CZ"/>
        </w:rPr>
        <w:tab/>
      </w:r>
      <w:r w:rsidRPr="006B2A93">
        <w:rPr>
          <w:rFonts w:cs="Times New Roman"/>
          <w:color w:val="auto"/>
          <w:lang w:eastAsia="cs-CZ"/>
        </w:rPr>
        <w:t>Česká republika</w:t>
      </w:r>
    </w:p>
    <w:p w14:paraId="5960C831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ČSÚ</w:t>
      </w:r>
      <w:r>
        <w:rPr>
          <w:rFonts w:cs="Times New Roman"/>
          <w:color w:val="auto"/>
          <w:lang w:eastAsia="cs-CZ"/>
        </w:rPr>
        <w:tab/>
        <w:t>Český statistický úřad</w:t>
      </w:r>
    </w:p>
    <w:p w14:paraId="70ECEFAB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ČVUT</w:t>
      </w:r>
      <w:r>
        <w:rPr>
          <w:rFonts w:cs="Times New Roman"/>
          <w:color w:val="auto"/>
          <w:lang w:eastAsia="cs-CZ"/>
        </w:rPr>
        <w:tab/>
        <w:t>České vysoké učení technické v Praze</w:t>
      </w:r>
    </w:p>
    <w:p w14:paraId="4CB3543A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ČZU</w:t>
      </w:r>
      <w:r>
        <w:rPr>
          <w:rFonts w:cs="Times New Roman"/>
          <w:color w:val="auto"/>
          <w:lang w:eastAsia="cs-CZ"/>
        </w:rPr>
        <w:tab/>
        <w:t>Česká zemědělská univerzita v Praze</w:t>
      </w:r>
    </w:p>
    <w:p w14:paraId="16B31E7F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DZ VŠ 2016</w:t>
      </w:r>
      <w:r>
        <w:rPr>
          <w:rFonts w:cs="Times New Roman"/>
          <w:color w:val="auto"/>
          <w:lang w:eastAsia="cs-CZ"/>
        </w:rPr>
        <w:tab/>
      </w:r>
      <w:r w:rsidRPr="00B11EEB">
        <w:rPr>
          <w:i/>
          <w:lang w:eastAsia="cs-CZ"/>
        </w:rPr>
        <w:t>Dlouhodobý záměr vzdělávací a vědecké, výzkumné, vývojové a inovační, umělecké a další tvůrčí činnosti pro oblast vysokých škol na léta 2016–2020</w:t>
      </w:r>
    </w:p>
    <w:p w14:paraId="70A5B76A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ERC</w:t>
      </w:r>
      <w:r>
        <w:rPr>
          <w:rFonts w:cs="Times New Roman"/>
          <w:color w:val="auto"/>
          <w:lang w:eastAsia="cs-CZ"/>
        </w:rPr>
        <w:tab/>
      </w:r>
      <w:r>
        <w:t>Evropská výzkumná rada (</w:t>
      </w:r>
      <w:r w:rsidRPr="00446B0C">
        <w:rPr>
          <w:lang w:val="en-GB"/>
        </w:rPr>
        <w:t>European Research Council</w:t>
      </w:r>
      <w:r>
        <w:t>)</w:t>
      </w:r>
    </w:p>
    <w:p w14:paraId="207A5013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EU</w:t>
      </w:r>
      <w:r>
        <w:rPr>
          <w:rFonts w:cs="Times New Roman"/>
          <w:color w:val="auto"/>
          <w:lang w:eastAsia="cs-CZ"/>
        </w:rPr>
        <w:tab/>
        <w:t>Evropská unie</w:t>
      </w:r>
    </w:p>
    <w:p w14:paraId="0F5EB868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IT</w:t>
      </w:r>
      <w:r>
        <w:rPr>
          <w:rFonts w:cs="Times New Roman"/>
          <w:color w:val="auto"/>
          <w:lang w:eastAsia="cs-CZ"/>
        </w:rPr>
        <w:tab/>
        <w:t>informační technologie</w:t>
      </w:r>
    </w:p>
    <w:p w14:paraId="3FD5168B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kapitola 333 – MŠMT</w:t>
      </w:r>
      <w:r>
        <w:rPr>
          <w:rFonts w:cs="Times New Roman"/>
          <w:color w:val="auto"/>
          <w:lang w:eastAsia="cs-CZ"/>
        </w:rPr>
        <w:tab/>
        <w:t xml:space="preserve">kapitola státního rozpočtu 333 – </w:t>
      </w:r>
      <w:r w:rsidRPr="00B11EEB">
        <w:rPr>
          <w:rFonts w:cs="Times New Roman"/>
          <w:i/>
          <w:color w:val="auto"/>
          <w:lang w:eastAsia="cs-CZ"/>
        </w:rPr>
        <w:t>Ministerstvo školství, mládeže a tělovýchovy</w:t>
      </w:r>
    </w:p>
    <w:p w14:paraId="4EA23D54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 w:rsidRPr="006B2A93">
        <w:rPr>
          <w:rFonts w:cs="Times New Roman"/>
          <w:color w:val="auto"/>
          <w:lang w:eastAsia="cs-CZ"/>
        </w:rPr>
        <w:t>MŠMT</w:t>
      </w:r>
      <w:r w:rsidRPr="006B2A93">
        <w:rPr>
          <w:rFonts w:cs="Times New Roman"/>
          <w:color w:val="auto"/>
          <w:lang w:eastAsia="cs-CZ"/>
        </w:rPr>
        <w:tab/>
        <w:t>Ministerstvo školství, mládeže a tělovýchovy</w:t>
      </w:r>
    </w:p>
    <w:p w14:paraId="4117A50B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NKÚ</w:t>
      </w:r>
      <w:r>
        <w:rPr>
          <w:rFonts w:cs="Times New Roman"/>
          <w:color w:val="auto"/>
          <w:lang w:eastAsia="cs-CZ"/>
        </w:rPr>
        <w:tab/>
        <w:t>Nejvyšší kontrolní úřad</w:t>
      </w:r>
    </w:p>
    <w:p w14:paraId="4323758E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OECD</w:t>
      </w:r>
      <w:r>
        <w:rPr>
          <w:rFonts w:cs="Times New Roman"/>
          <w:color w:val="auto"/>
          <w:lang w:eastAsia="cs-CZ"/>
        </w:rPr>
        <w:tab/>
      </w:r>
      <w:r>
        <w:t>Organizace pro hospodářskou spolupráci a rozvoj</w:t>
      </w:r>
    </w:p>
    <w:p w14:paraId="4261AB44" w14:textId="2729989A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OP VVV</w:t>
      </w:r>
      <w:r>
        <w:rPr>
          <w:rFonts w:cs="Times New Roman"/>
          <w:color w:val="auto"/>
          <w:lang w:eastAsia="cs-CZ"/>
        </w:rPr>
        <w:tab/>
        <w:t xml:space="preserve">operační program </w:t>
      </w:r>
      <w:r w:rsidRPr="00B11EEB">
        <w:rPr>
          <w:rFonts w:cs="Times New Roman"/>
          <w:i/>
          <w:color w:val="auto"/>
          <w:lang w:eastAsia="cs-CZ"/>
        </w:rPr>
        <w:t>Výzkum, vývoj a vzdělávání</w:t>
      </w:r>
    </w:p>
    <w:p w14:paraId="37F43203" w14:textId="288CB510" w:rsidR="00390F3F" w:rsidRDefault="00390F3F" w:rsidP="009601AD">
      <w:pPr>
        <w:spacing w:before="0" w:after="40"/>
        <w:ind w:left="2977" w:hanging="2977"/>
        <w:rPr>
          <w:rFonts w:eastAsiaTheme="minorHAnsi" w:cstheme="minorHAnsi"/>
        </w:rPr>
      </w:pPr>
      <w:r>
        <w:rPr>
          <w:rFonts w:cstheme="minorHAnsi"/>
        </w:rPr>
        <w:t>Pravidla</w:t>
      </w:r>
      <w:r>
        <w:rPr>
          <w:rFonts w:cstheme="minorHAnsi"/>
        </w:rPr>
        <w:tab/>
      </w:r>
      <w:r w:rsidRPr="00B11EEB">
        <w:rPr>
          <w:rFonts w:eastAsiaTheme="minorHAnsi" w:cstheme="minorHAnsi"/>
          <w:i/>
        </w:rPr>
        <w:t>Pravidla pro poskytování příspěvku a dotací veřejným vysokým školám Ministerstvem školství, mládeže a tělovýchovy</w:t>
      </w:r>
    </w:p>
    <w:p w14:paraId="2E2F5C8E" w14:textId="390AF5CA" w:rsidR="00390F3F" w:rsidRDefault="00390F3F" w:rsidP="009601AD">
      <w:pPr>
        <w:spacing w:before="0" w:after="40"/>
        <w:ind w:left="2977" w:hanging="2977"/>
        <w:jc w:val="left"/>
        <w:rPr>
          <w:rFonts w:eastAsiaTheme="minorHAnsi" w:cstheme="minorHAnsi"/>
        </w:rPr>
      </w:pPr>
      <w:r>
        <w:rPr>
          <w:rFonts w:eastAsiaTheme="minorHAnsi" w:cstheme="minorHAnsi"/>
        </w:rPr>
        <w:t>QS</w:t>
      </w:r>
      <w:r>
        <w:rPr>
          <w:rFonts w:eastAsiaTheme="minorHAnsi" w:cstheme="minorHAnsi"/>
        </w:rPr>
        <w:tab/>
      </w:r>
      <w:r>
        <w:t xml:space="preserve">mezinárodní žebříček </w:t>
      </w:r>
      <w:r w:rsidR="00A15FD8">
        <w:t>univerzit</w:t>
      </w:r>
      <w:r>
        <w:t xml:space="preserve"> </w:t>
      </w:r>
      <w:r w:rsidRPr="00B11EEB">
        <w:rPr>
          <w:rFonts w:eastAsiaTheme="minorHAnsi" w:cstheme="minorHAnsi"/>
          <w:i/>
        </w:rPr>
        <w:t>QS World University Rankings</w:t>
      </w:r>
    </w:p>
    <w:p w14:paraId="69FE87A7" w14:textId="77777777" w:rsidR="00390F3F" w:rsidRPr="001249B6" w:rsidRDefault="00390F3F" w:rsidP="009601AD">
      <w:pPr>
        <w:spacing w:before="0" w:after="40"/>
        <w:ind w:left="2977" w:hanging="2977"/>
        <w:rPr>
          <w:rFonts w:cstheme="minorHAnsi"/>
        </w:rPr>
      </w:pPr>
      <w:r>
        <w:rPr>
          <w:rFonts w:eastAsiaTheme="minorHAnsi" w:cstheme="minorHAnsi"/>
        </w:rPr>
        <w:t>Rámec</w:t>
      </w:r>
      <w:r>
        <w:rPr>
          <w:rFonts w:eastAsiaTheme="minorHAnsi" w:cstheme="minorHAnsi"/>
        </w:rPr>
        <w:tab/>
      </w:r>
      <w:r w:rsidRPr="00B11EEB">
        <w:rPr>
          <w:i/>
          <w:lang w:eastAsia="cs-CZ"/>
        </w:rPr>
        <w:t>Rámec rozvoje vysokého školství do roku 2020</w:t>
      </w:r>
    </w:p>
    <w:p w14:paraId="64A70A3A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RIV body</w:t>
      </w:r>
      <w:r>
        <w:rPr>
          <w:rFonts w:cs="Times New Roman"/>
          <w:color w:val="auto"/>
          <w:lang w:eastAsia="cs-CZ"/>
        </w:rPr>
        <w:tab/>
        <w:t>bodové hodnocení výsledků výzkumu uvedených v „rejstříku informací o výsledcích“ (RIV)</w:t>
      </w:r>
    </w:p>
    <w:p w14:paraId="774036DF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RO</w:t>
      </w:r>
      <w:r>
        <w:rPr>
          <w:rFonts w:cs="Times New Roman"/>
          <w:color w:val="auto"/>
          <w:lang w:eastAsia="cs-CZ"/>
        </w:rPr>
        <w:tab/>
        <w:t>rozpočtový okruh</w:t>
      </w:r>
    </w:p>
    <w:p w14:paraId="7586071D" w14:textId="49C345F8" w:rsidR="00390F3F" w:rsidRDefault="00390F3F" w:rsidP="009601AD">
      <w:pPr>
        <w:spacing w:before="0" w:after="40"/>
        <w:ind w:left="2977" w:hanging="2977"/>
        <w:jc w:val="left"/>
        <w:rPr>
          <w:lang w:eastAsia="cs-CZ"/>
        </w:rPr>
      </w:pPr>
      <w:r>
        <w:rPr>
          <w:rFonts w:cs="Times New Roman"/>
          <w:color w:val="auto"/>
          <w:lang w:eastAsia="cs-CZ"/>
        </w:rPr>
        <w:t xml:space="preserve">strategie </w:t>
      </w:r>
      <w:r w:rsidRPr="00B11EEB">
        <w:rPr>
          <w:rFonts w:cs="Times New Roman"/>
          <w:i/>
          <w:color w:val="auto"/>
          <w:lang w:eastAsia="cs-CZ"/>
        </w:rPr>
        <w:t>Evropa 2020</w:t>
      </w:r>
      <w:r>
        <w:rPr>
          <w:rFonts w:cs="Times New Roman"/>
          <w:color w:val="auto"/>
          <w:lang w:eastAsia="cs-CZ"/>
        </w:rPr>
        <w:tab/>
      </w:r>
      <w:r w:rsidRPr="00B11EEB">
        <w:rPr>
          <w:i/>
          <w:lang w:eastAsia="cs-CZ"/>
        </w:rPr>
        <w:t>Evropa 2020 – Strategie pro inteligentní a udržitelný růst podporující začlenění</w:t>
      </w:r>
    </w:p>
    <w:p w14:paraId="44FA9878" w14:textId="77777777" w:rsidR="008B5C91" w:rsidRDefault="00390F3F" w:rsidP="009601AD">
      <w:pPr>
        <w:widowControl w:val="0"/>
        <w:spacing w:before="0" w:after="40"/>
        <w:ind w:left="2977" w:hanging="2977"/>
        <w:rPr>
          <w:rFonts w:eastAsiaTheme="minorHAnsi" w:cstheme="minorBidi"/>
        </w:rPr>
      </w:pPr>
      <w:r w:rsidRPr="008C4CB1">
        <w:rPr>
          <w:rFonts w:eastAsiaTheme="minorHAnsi" w:cstheme="minorBidi"/>
        </w:rPr>
        <w:t>Strategie mezinárodní</w:t>
      </w:r>
      <w:r>
        <w:rPr>
          <w:rFonts w:eastAsiaTheme="minorHAnsi" w:cstheme="minorBidi"/>
        </w:rPr>
        <w:tab/>
      </w:r>
      <w:r w:rsidRPr="00B11EEB">
        <w:rPr>
          <w:i/>
          <w:lang w:eastAsia="cs-CZ"/>
        </w:rPr>
        <w:t>Strategie mezinárodní</w:t>
      </w:r>
      <w:r w:rsidRPr="00B11EEB">
        <w:rPr>
          <w:rFonts w:eastAsiaTheme="minorHAnsi" w:cstheme="minorBidi"/>
          <w:i/>
        </w:rPr>
        <w:t xml:space="preserve"> konkurenceschopnosti České republiky</w:t>
      </w:r>
      <w:r w:rsidR="008B5C91" w:rsidRPr="008B5C91">
        <w:rPr>
          <w:rFonts w:eastAsiaTheme="minorHAnsi" w:cstheme="minorBidi"/>
        </w:rPr>
        <w:t xml:space="preserve"> </w:t>
      </w:r>
    </w:p>
    <w:p w14:paraId="6009147B" w14:textId="504D6A7A" w:rsidR="008B5C91" w:rsidRDefault="008B5C91" w:rsidP="009601AD">
      <w:pPr>
        <w:widowControl w:val="0"/>
        <w:spacing w:before="0" w:after="40"/>
        <w:ind w:left="2977" w:hanging="2977"/>
        <w:rPr>
          <w:rFonts w:cs="Times New Roman"/>
          <w:color w:val="auto"/>
          <w:lang w:eastAsia="cs-CZ"/>
        </w:rPr>
      </w:pPr>
      <w:r w:rsidRPr="008C4CB1">
        <w:rPr>
          <w:rFonts w:eastAsiaTheme="minorHAnsi" w:cstheme="minorBidi"/>
        </w:rPr>
        <w:t>konkurenceschopnosti</w:t>
      </w:r>
      <w:r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ab/>
      </w:r>
      <w:r w:rsidRPr="00B11EEB">
        <w:rPr>
          <w:rFonts w:eastAsiaTheme="minorHAnsi" w:cstheme="minorBidi"/>
          <w:i/>
        </w:rPr>
        <w:t>na období 2012–2020</w:t>
      </w:r>
    </w:p>
    <w:p w14:paraId="7437AF10" w14:textId="17AFA44D" w:rsidR="00390F3F" w:rsidRDefault="00390F3F" w:rsidP="009601AD">
      <w:pPr>
        <w:widowControl w:val="0"/>
        <w:spacing w:before="0" w:after="40"/>
        <w:ind w:left="2977" w:hanging="2977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>THE</w:t>
      </w:r>
      <w:r>
        <w:rPr>
          <w:rFonts w:eastAsiaTheme="minorHAnsi" w:cstheme="minorBidi"/>
        </w:rPr>
        <w:tab/>
      </w:r>
      <w:r>
        <w:t xml:space="preserve">mezinárodní žebříček </w:t>
      </w:r>
      <w:r w:rsidR="00A15FD8">
        <w:t>univerzit</w:t>
      </w:r>
      <w:r>
        <w:t xml:space="preserve"> </w:t>
      </w:r>
      <w:r w:rsidRPr="00B11EEB">
        <w:rPr>
          <w:rFonts w:eastAsiaTheme="minorHAnsi" w:cstheme="minorBidi"/>
          <w:i/>
        </w:rPr>
        <w:t>Times Higher Education</w:t>
      </w:r>
    </w:p>
    <w:p w14:paraId="1743E5C3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UMPRUM</w:t>
      </w:r>
      <w:r>
        <w:rPr>
          <w:rFonts w:cs="Times New Roman"/>
          <w:color w:val="auto"/>
          <w:lang w:eastAsia="cs-CZ"/>
        </w:rPr>
        <w:tab/>
        <w:t>Vysoká škola uměleckoprůmyslová v Praze</w:t>
      </w:r>
    </w:p>
    <w:p w14:paraId="22D22184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UP</w:t>
      </w:r>
      <w:r>
        <w:rPr>
          <w:rFonts w:cs="Times New Roman"/>
          <w:color w:val="auto"/>
          <w:lang w:eastAsia="cs-CZ"/>
        </w:rPr>
        <w:tab/>
        <w:t>Univerzita Palackého v Olomouci</w:t>
      </w:r>
    </w:p>
    <w:p w14:paraId="725C76DA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USD</w:t>
      </w:r>
      <w:r>
        <w:rPr>
          <w:rFonts w:cs="Times New Roman"/>
          <w:color w:val="auto"/>
          <w:lang w:eastAsia="cs-CZ"/>
        </w:rPr>
        <w:tab/>
        <w:t>americký dolar</w:t>
      </w:r>
    </w:p>
    <w:p w14:paraId="60488859" w14:textId="77777777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UTB</w:t>
      </w:r>
      <w:r>
        <w:rPr>
          <w:rFonts w:cs="Times New Roman"/>
          <w:color w:val="auto"/>
          <w:lang w:eastAsia="cs-CZ"/>
        </w:rPr>
        <w:tab/>
        <w:t>Univerzita Tomáše Bati ve Zlíně</w:t>
      </w:r>
    </w:p>
    <w:p w14:paraId="59A3A19C" w14:textId="636019A7" w:rsidR="00390F3F" w:rsidRDefault="00390F3F" w:rsidP="009601AD">
      <w:pPr>
        <w:widowControl w:val="0"/>
        <w:spacing w:before="0" w:after="40"/>
        <w:ind w:left="2977" w:hanging="2977"/>
        <w:rPr>
          <w:rFonts w:cstheme="minorHAnsi"/>
        </w:rPr>
      </w:pPr>
      <w:r>
        <w:rPr>
          <w:rFonts w:eastAsiaTheme="minorHAnsi" w:cstheme="minorBidi"/>
        </w:rPr>
        <w:t>VaV</w:t>
      </w:r>
      <w:r>
        <w:rPr>
          <w:rFonts w:eastAsiaTheme="minorHAnsi" w:cstheme="minorBidi"/>
        </w:rPr>
        <w:tab/>
        <w:t>výzkum a vývoj</w:t>
      </w:r>
    </w:p>
    <w:p w14:paraId="757BD15C" w14:textId="78C4FE58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VŠ</w:t>
      </w:r>
      <w:r>
        <w:rPr>
          <w:rFonts w:cs="Times New Roman"/>
          <w:color w:val="auto"/>
          <w:lang w:eastAsia="cs-CZ"/>
        </w:rPr>
        <w:tab/>
        <w:t>vysoké školy</w:t>
      </w:r>
    </w:p>
    <w:p w14:paraId="2A1BA1A5" w14:textId="385E7EA4" w:rsidR="00390F3F" w:rsidRDefault="00390F3F" w:rsidP="009601AD">
      <w:pPr>
        <w:spacing w:before="0" w:after="40"/>
        <w:ind w:left="2977" w:hanging="2977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VVŠ</w:t>
      </w:r>
      <w:r>
        <w:rPr>
          <w:rFonts w:cs="Times New Roman"/>
          <w:color w:val="auto"/>
          <w:lang w:eastAsia="cs-CZ"/>
        </w:rPr>
        <w:tab/>
        <w:t>veřejné vysoké školy</w:t>
      </w:r>
    </w:p>
    <w:p w14:paraId="40570EEE" w14:textId="56670EBC" w:rsidR="00390F3F" w:rsidRDefault="00390F3F" w:rsidP="00B11EEB">
      <w:pPr>
        <w:spacing w:line="252" w:lineRule="auto"/>
        <w:ind w:left="2977" w:hanging="2977"/>
        <w:rPr>
          <w:rFonts w:cs="Times New Roman"/>
          <w:color w:val="auto"/>
          <w:lang w:eastAsia="cs-CZ"/>
        </w:rPr>
      </w:pPr>
    </w:p>
    <w:p w14:paraId="4AAD3802" w14:textId="04CE0FAB" w:rsidR="00390F3F" w:rsidRPr="006B2A93" w:rsidRDefault="00390F3F" w:rsidP="00B11EEB">
      <w:pPr>
        <w:tabs>
          <w:tab w:val="left" w:pos="2694"/>
        </w:tabs>
        <w:spacing w:before="0" w:line="252" w:lineRule="auto"/>
        <w:ind w:left="2977" w:hanging="2977"/>
        <w:jc w:val="left"/>
        <w:rPr>
          <w:rFonts w:cs="Times New Roman"/>
          <w:color w:val="auto"/>
          <w:lang w:eastAsia="cs-CZ"/>
        </w:rPr>
      </w:pPr>
      <w:r>
        <w:rPr>
          <w:rFonts w:cs="Times New Roman"/>
          <w:color w:val="auto"/>
          <w:lang w:eastAsia="cs-CZ"/>
        </w:rPr>
        <w:t>zákon o vysokých školách</w:t>
      </w:r>
      <w:r>
        <w:rPr>
          <w:rFonts w:cs="Times New Roman"/>
          <w:color w:val="auto"/>
          <w:lang w:eastAsia="cs-CZ"/>
        </w:rPr>
        <w:tab/>
        <w:t>–</w:t>
      </w:r>
      <w:r>
        <w:rPr>
          <w:rFonts w:cs="Times New Roman"/>
          <w:color w:val="auto"/>
          <w:lang w:eastAsia="cs-CZ"/>
        </w:rPr>
        <w:tab/>
        <w:t xml:space="preserve">zákon č. </w:t>
      </w:r>
      <w:r w:rsidRPr="00EB26B6">
        <w:rPr>
          <w:rFonts w:cstheme="minorHAnsi"/>
        </w:rPr>
        <w:t>111/1998 Sb.,</w:t>
      </w:r>
      <w:r>
        <w:rPr>
          <w:rFonts w:cstheme="minorHAnsi"/>
        </w:rPr>
        <w:t xml:space="preserve"> o vysokých školách a o změně a </w:t>
      </w:r>
      <w:r w:rsidRPr="00EB26B6">
        <w:rPr>
          <w:rFonts w:cstheme="minorHAnsi"/>
        </w:rPr>
        <w:t>doplnění dalších zákonů</w:t>
      </w:r>
      <w:r>
        <w:rPr>
          <w:rFonts w:cstheme="minorHAnsi"/>
        </w:rPr>
        <w:t xml:space="preserve"> (zákon o vysokých školách)</w:t>
      </w:r>
    </w:p>
    <w:sectPr w:rsidR="00390F3F" w:rsidRPr="006B2A93" w:rsidSect="00FC307E">
      <w:footerReference w:type="default" r:id="rId2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0A29" w14:textId="77777777" w:rsidR="00307442" w:rsidRDefault="00307442">
      <w:pPr>
        <w:spacing w:before="0"/>
      </w:pPr>
      <w:r>
        <w:separator/>
      </w:r>
    </w:p>
  </w:endnote>
  <w:endnote w:type="continuationSeparator" w:id="0">
    <w:p w14:paraId="3F780D6A" w14:textId="77777777" w:rsidR="00307442" w:rsidRDefault="003074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CF59" w14:textId="57ACA1FD" w:rsidR="003C0959" w:rsidRPr="001548CB" w:rsidRDefault="003C0959" w:rsidP="00FC307E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 w:rsidR="009425D5">
      <w:rPr>
        <w:noProof/>
      </w:rPr>
      <w:t>2</w:t>
    </w:r>
    <w:r w:rsidRPr="001548C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2BEB8" w14:textId="77777777" w:rsidR="00307442" w:rsidRDefault="00307442" w:rsidP="00FC307E">
      <w:r>
        <w:separator/>
      </w:r>
    </w:p>
  </w:footnote>
  <w:footnote w:type="continuationSeparator" w:id="0">
    <w:p w14:paraId="566FE535" w14:textId="77777777" w:rsidR="00307442" w:rsidRDefault="00307442" w:rsidP="00FC307E">
      <w:r>
        <w:continuationSeparator/>
      </w:r>
    </w:p>
  </w:footnote>
  <w:footnote w:id="1">
    <w:p w14:paraId="7054828B" w14:textId="3D5D7686" w:rsidR="003C0959" w:rsidRDefault="003C0959" w:rsidP="00745A6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Působnost MŠMT je uvedena v ustanovení § 87 zákona</w:t>
      </w:r>
      <w:r w:rsidRPr="00EB26B6">
        <w:rPr>
          <w:rFonts w:cstheme="minorHAnsi"/>
        </w:rPr>
        <w:t xml:space="preserve"> č. 111/1998 Sb.,</w:t>
      </w:r>
      <w:r>
        <w:rPr>
          <w:rFonts w:cstheme="minorHAnsi"/>
        </w:rPr>
        <w:t xml:space="preserve"> o vysokých školách a o změně a </w:t>
      </w:r>
      <w:r w:rsidRPr="00EB26B6">
        <w:rPr>
          <w:rFonts w:cstheme="minorHAnsi"/>
        </w:rPr>
        <w:t>doplnění dalších zákonů</w:t>
      </w:r>
      <w:r>
        <w:rPr>
          <w:rFonts w:cstheme="minorHAnsi"/>
        </w:rPr>
        <w:t xml:space="preserve"> (</w:t>
      </w:r>
      <w:r w:rsidRPr="0031038E">
        <w:rPr>
          <w:rFonts w:cstheme="minorHAnsi"/>
        </w:rPr>
        <w:t>zákon o vysokých školách</w:t>
      </w:r>
      <w:r>
        <w:rPr>
          <w:rFonts w:cstheme="minorHAnsi"/>
        </w:rPr>
        <w:t>) (dále také „zákon o vysokých školách“).</w:t>
      </w:r>
    </w:p>
  </w:footnote>
  <w:footnote w:id="2">
    <w:p w14:paraId="71C40890" w14:textId="436DBC18" w:rsidR="003C0959" w:rsidRDefault="003C0959" w:rsidP="00745A6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eastAsia="Calibri"/>
          <w:color w:val="000000" w:themeColor="text1"/>
        </w:rPr>
        <w:t xml:space="preserve">U profesně orientovaných </w:t>
      </w:r>
      <w:r>
        <w:rPr>
          <w:rFonts w:eastAsiaTheme="minorHAnsi" w:cstheme="minorHAnsi"/>
        </w:rPr>
        <w:t xml:space="preserve">studijních programů je kladen důraz na zvládnutí praktických dovedností potřebných k </w:t>
      </w:r>
      <w:r w:rsidRPr="00976020">
        <w:rPr>
          <w:rFonts w:eastAsiaTheme="minorHAnsi" w:cstheme="minorHAnsi"/>
        </w:rPr>
        <w:t>výkonu povolání podložených nezbytnými teoreti</w:t>
      </w:r>
      <w:r>
        <w:rPr>
          <w:rFonts w:eastAsiaTheme="minorHAnsi" w:cstheme="minorHAnsi"/>
        </w:rPr>
        <w:t>ckými znalostmi. Tomuto vymezení odpovídají akreditační standardy, které výrazně</w:t>
      </w:r>
      <w:r w:rsidRPr="00976020">
        <w:rPr>
          <w:rFonts w:eastAsiaTheme="minorHAnsi" w:cstheme="minorHAnsi"/>
        </w:rPr>
        <w:t xml:space="preserve"> </w:t>
      </w:r>
      <w:r>
        <w:rPr>
          <w:rFonts w:eastAsiaTheme="minorHAnsi" w:cstheme="minorHAnsi"/>
        </w:rPr>
        <w:t>zohledňují zapojení odborníků z praxe do činností a procesu vysoké školy. V profesně zaměř</w:t>
      </w:r>
      <w:r w:rsidRPr="00976020">
        <w:rPr>
          <w:rFonts w:eastAsiaTheme="minorHAnsi" w:cstheme="minorHAnsi"/>
        </w:rPr>
        <w:t xml:space="preserve">ených </w:t>
      </w:r>
      <w:r>
        <w:rPr>
          <w:rFonts w:eastAsiaTheme="minorHAnsi" w:cstheme="minorHAnsi"/>
        </w:rPr>
        <w:t xml:space="preserve">studijních </w:t>
      </w:r>
      <w:r w:rsidRPr="00976020">
        <w:rPr>
          <w:rFonts w:eastAsiaTheme="minorHAnsi" w:cstheme="minorHAnsi"/>
        </w:rPr>
        <w:t>programech</w:t>
      </w:r>
      <w:r>
        <w:rPr>
          <w:rFonts w:eastAsiaTheme="minorHAnsi" w:cstheme="minorHAnsi"/>
        </w:rPr>
        <w:t xml:space="preserve"> je zavedena do studijních plánů</w:t>
      </w:r>
      <w:r w:rsidRPr="00976020">
        <w:rPr>
          <w:rFonts w:eastAsiaTheme="minorHAnsi" w:cstheme="minorHAnsi"/>
        </w:rPr>
        <w:t xml:space="preserve"> povinná</w:t>
      </w:r>
      <w:r>
        <w:rPr>
          <w:rFonts w:eastAsiaTheme="minorHAnsi" w:cstheme="minorHAnsi"/>
        </w:rPr>
        <w:t xml:space="preserve"> odborná praxe.</w:t>
      </w:r>
    </w:p>
  </w:footnote>
  <w:footnote w:id="3">
    <w:p w14:paraId="4F559459" w14:textId="2C513231" w:rsidR="003C0959" w:rsidRDefault="003C0959" w:rsidP="00745A6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Granty </w:t>
      </w:r>
      <w:r>
        <w:rPr>
          <w:rFonts w:eastAsia="Calibri"/>
          <w:color w:val="000000" w:themeColor="text1"/>
        </w:rPr>
        <w:t>Evropské výzkumné rady (dále také „ERC“)</w:t>
      </w:r>
      <w:r>
        <w:t xml:space="preserve"> odráží kvalitu podmínek pro provádění tzv. hraničního výzkumu, což je termín EU pro špičkový primárně základní výzkum světové úrovně, u kterého je předpoklad, že bude hnací silou pokroku.</w:t>
      </w:r>
    </w:p>
  </w:footnote>
  <w:footnote w:id="4">
    <w:p w14:paraId="145D613A" w14:textId="0857AEA6" w:rsidR="003C0959" w:rsidRDefault="003C0959" w:rsidP="002F33B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eastAsiaTheme="minorHAnsi"/>
        </w:rPr>
        <w:t>Do 31. 8. 2016 se na základě zákona o vysokých školách používal termín „dlouhodobý záměr“, následně „strategický záměr“.</w:t>
      </w:r>
    </w:p>
  </w:footnote>
  <w:footnote w:id="5">
    <w:p w14:paraId="07680683" w14:textId="610BA04A" w:rsidR="003C0959" w:rsidRDefault="003C0959" w:rsidP="002F33B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ČR se jedná zejména o vzdělání na vysokých školách a vyšších odborných školách.</w:t>
      </w:r>
    </w:p>
  </w:footnote>
  <w:footnote w:id="6">
    <w:p w14:paraId="2E2FA17F" w14:textId="66E64F53" w:rsidR="003C0959" w:rsidRDefault="003C0959" w:rsidP="002F33B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Jedná se o body získané za jednotlivé druhy výsledků v rámci výzkumu, vývoje a inovací, evidované v </w:t>
      </w:r>
      <w:r>
        <w:rPr>
          <w:lang w:eastAsia="cs-CZ"/>
        </w:rPr>
        <w:t xml:space="preserve">rejstříku informací o výsledcích. Na základě těchto bodů se rozdělovala podpora výzkumným organizacím. </w:t>
      </w:r>
    </w:p>
  </w:footnote>
  <w:footnote w:id="7">
    <w:p w14:paraId="7EC0B867" w14:textId="22C20499" w:rsidR="003C0959" w:rsidRDefault="003C0959" w:rsidP="002F33B6">
      <w:pPr>
        <w:pStyle w:val="Textpoznpodarou"/>
        <w:ind w:left="284" w:hanging="284"/>
      </w:pPr>
      <w:r w:rsidRPr="00561022">
        <w:rPr>
          <w:rStyle w:val="Znakapoznpodarou"/>
        </w:rPr>
        <w:footnoteRef/>
      </w:r>
      <w:r>
        <w:t xml:space="preserve"> </w:t>
      </w:r>
      <w:r>
        <w:tab/>
        <w:t>EU průměr – počítá se jako vážený průměr hodnot údajů ze všech zemí EU, pro které jsou data k dispozici. Převážně jde o průměr 22 zemí.</w:t>
      </w:r>
    </w:p>
  </w:footnote>
  <w:footnote w:id="8">
    <w:p w14:paraId="426F43A6" w14:textId="192FABBB" w:rsidR="003C0959" w:rsidRDefault="003C0959" w:rsidP="002F33B6">
      <w:pPr>
        <w:pStyle w:val="Textpoznpodarou"/>
        <w:ind w:left="284" w:hanging="284"/>
      </w:pPr>
      <w:r w:rsidRPr="00561022">
        <w:rPr>
          <w:rStyle w:val="Znakapoznpodarou"/>
        </w:rPr>
        <w:footnoteRef/>
      </w:r>
      <w:r>
        <w:t xml:space="preserve"> </w:t>
      </w:r>
      <w:r>
        <w:tab/>
        <w:t>OECD průměr – počítá se jako vážený průměr hodnot údajů ze všech zemí OECD, pro které jsou data k dispozici.</w:t>
      </w:r>
    </w:p>
  </w:footnote>
  <w:footnote w:id="9">
    <w:p w14:paraId="41995144" w14:textId="22BFAA14" w:rsidR="003C0959" w:rsidRDefault="003C0959" w:rsidP="002F33B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Metodologie započítávání údajů dle MŠMT a dle Eurostatu se liší. MŠMT zohledňuje údaje o profesně orientovaných studijních programech podle zákona o vysokých školách. Eurostat tyto údaje nezapočítává, ale uvádí např. údaje za vyšší odborné školy.</w:t>
      </w:r>
    </w:p>
  </w:footnote>
  <w:footnote w:id="10">
    <w:p w14:paraId="23C295E5" w14:textId="39D9F931" w:rsidR="003C0959" w:rsidRDefault="003C0959" w:rsidP="002F33B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75FBB">
        <w:t xml:space="preserve">Transfer znalostí </w:t>
      </w:r>
      <w:r>
        <w:t>je</w:t>
      </w:r>
      <w:r w:rsidRPr="00C75FBB">
        <w:t xml:space="preserve"> proces, jehož cílem je získávání, shromažďování a sdílení explicitních a implicitních znalostí včetně dovedností a kompetencí v hospodářských i nehospodářských činnostech, mezi </w:t>
      </w:r>
      <w:r>
        <w:t>něž lze zařadit např. spolupráci</w:t>
      </w:r>
      <w:r w:rsidRPr="00C75FBB">
        <w:t xml:space="preserve"> při výzkumu, poradenství, poskytová</w:t>
      </w:r>
      <w:r>
        <w:t>ní licencí, publikace a mobilitu</w:t>
      </w:r>
      <w:r w:rsidRPr="00C75FBB">
        <w:t xml:space="preserve"> výzkumných pracovníků, </w:t>
      </w:r>
      <w:r>
        <w:t>kteří</w:t>
      </w:r>
      <w:r w:rsidRPr="00C75FBB">
        <w:t xml:space="preserve"> se podílejí na těchto činnostech.</w:t>
      </w:r>
    </w:p>
  </w:footnote>
  <w:footnote w:id="11">
    <w:p w14:paraId="5133F9BC" w14:textId="217B6CB2" w:rsidR="003C0959" w:rsidRDefault="003C0959" w:rsidP="002A782A">
      <w:pPr>
        <w:pStyle w:val="Textpoznpodarou"/>
        <w:ind w:left="284" w:hanging="284"/>
      </w:pPr>
      <w:r w:rsidRPr="008067CB">
        <w:rPr>
          <w:rStyle w:val="Znakapoznpodarou"/>
        </w:rPr>
        <w:footnoteRef/>
      </w:r>
      <w:r w:rsidRPr="008067CB">
        <w:t xml:space="preserve"> </w:t>
      </w:r>
      <w:r>
        <w:tab/>
      </w:r>
      <w:r w:rsidRPr="008067CB">
        <w:t>Žebříček je sestavován dopředu na nadcházející rok.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A20"/>
    <w:multiLevelType w:val="hybridMultilevel"/>
    <w:tmpl w:val="A7C4A128"/>
    <w:lvl w:ilvl="0" w:tplc="7D8AA84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0C030E0" w:tentative="1">
      <w:start w:val="1"/>
      <w:numFmt w:val="lowerLetter"/>
      <w:lvlText w:val="%2."/>
      <w:lvlJc w:val="left"/>
      <w:pPr>
        <w:ind w:left="1440" w:hanging="360"/>
      </w:pPr>
    </w:lvl>
    <w:lvl w:ilvl="2" w:tplc="8F44B1BA" w:tentative="1">
      <w:start w:val="1"/>
      <w:numFmt w:val="lowerRoman"/>
      <w:lvlText w:val="%3."/>
      <w:lvlJc w:val="right"/>
      <w:pPr>
        <w:ind w:left="2160" w:hanging="180"/>
      </w:pPr>
    </w:lvl>
    <w:lvl w:ilvl="3" w:tplc="C29C523C" w:tentative="1">
      <w:start w:val="1"/>
      <w:numFmt w:val="decimal"/>
      <w:lvlText w:val="%4."/>
      <w:lvlJc w:val="left"/>
      <w:pPr>
        <w:ind w:left="2880" w:hanging="360"/>
      </w:pPr>
    </w:lvl>
    <w:lvl w:ilvl="4" w:tplc="6112607E" w:tentative="1">
      <w:start w:val="1"/>
      <w:numFmt w:val="lowerLetter"/>
      <w:lvlText w:val="%5."/>
      <w:lvlJc w:val="left"/>
      <w:pPr>
        <w:ind w:left="3600" w:hanging="360"/>
      </w:pPr>
    </w:lvl>
    <w:lvl w:ilvl="5" w:tplc="2828FE24" w:tentative="1">
      <w:start w:val="1"/>
      <w:numFmt w:val="lowerRoman"/>
      <w:lvlText w:val="%6."/>
      <w:lvlJc w:val="right"/>
      <w:pPr>
        <w:ind w:left="4320" w:hanging="180"/>
      </w:pPr>
    </w:lvl>
    <w:lvl w:ilvl="6" w:tplc="49C0BD6E" w:tentative="1">
      <w:start w:val="1"/>
      <w:numFmt w:val="decimal"/>
      <w:lvlText w:val="%7."/>
      <w:lvlJc w:val="left"/>
      <w:pPr>
        <w:ind w:left="5040" w:hanging="360"/>
      </w:pPr>
    </w:lvl>
    <w:lvl w:ilvl="7" w:tplc="C8A2872A" w:tentative="1">
      <w:start w:val="1"/>
      <w:numFmt w:val="lowerLetter"/>
      <w:lvlText w:val="%8."/>
      <w:lvlJc w:val="left"/>
      <w:pPr>
        <w:ind w:left="5760" w:hanging="360"/>
      </w:pPr>
    </w:lvl>
    <w:lvl w:ilvl="8" w:tplc="FB245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BBD"/>
    <w:multiLevelType w:val="hybridMultilevel"/>
    <w:tmpl w:val="FBA0C886"/>
    <w:lvl w:ilvl="0" w:tplc="B770B160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2DF435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7057E4">
      <w:start w:val="1"/>
      <w:numFmt w:val="lowerRoman"/>
      <w:lvlText w:val="%3."/>
      <w:lvlJc w:val="right"/>
      <w:pPr>
        <w:ind w:left="2160" w:hanging="180"/>
      </w:pPr>
    </w:lvl>
    <w:lvl w:ilvl="3" w:tplc="3E5CA75A" w:tentative="1">
      <w:start w:val="1"/>
      <w:numFmt w:val="decimal"/>
      <w:lvlText w:val="%4."/>
      <w:lvlJc w:val="left"/>
      <w:pPr>
        <w:ind w:left="2880" w:hanging="360"/>
      </w:pPr>
    </w:lvl>
    <w:lvl w:ilvl="4" w:tplc="D7AA2F7A" w:tentative="1">
      <w:start w:val="1"/>
      <w:numFmt w:val="lowerLetter"/>
      <w:lvlText w:val="%5."/>
      <w:lvlJc w:val="left"/>
      <w:pPr>
        <w:ind w:left="3600" w:hanging="360"/>
      </w:pPr>
    </w:lvl>
    <w:lvl w:ilvl="5" w:tplc="EB70BD42" w:tentative="1">
      <w:start w:val="1"/>
      <w:numFmt w:val="lowerRoman"/>
      <w:lvlText w:val="%6."/>
      <w:lvlJc w:val="right"/>
      <w:pPr>
        <w:ind w:left="4320" w:hanging="180"/>
      </w:pPr>
    </w:lvl>
    <w:lvl w:ilvl="6" w:tplc="003C565E" w:tentative="1">
      <w:start w:val="1"/>
      <w:numFmt w:val="decimal"/>
      <w:lvlText w:val="%7."/>
      <w:lvlJc w:val="left"/>
      <w:pPr>
        <w:ind w:left="5040" w:hanging="360"/>
      </w:pPr>
    </w:lvl>
    <w:lvl w:ilvl="7" w:tplc="C37CE40A" w:tentative="1">
      <w:start w:val="1"/>
      <w:numFmt w:val="lowerLetter"/>
      <w:lvlText w:val="%8."/>
      <w:lvlJc w:val="left"/>
      <w:pPr>
        <w:ind w:left="5760" w:hanging="360"/>
      </w:pPr>
    </w:lvl>
    <w:lvl w:ilvl="8" w:tplc="ED14D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12A97"/>
    <w:multiLevelType w:val="hybridMultilevel"/>
    <w:tmpl w:val="51129EB6"/>
    <w:lvl w:ilvl="0" w:tplc="BBF6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FACC3C" w:tentative="1">
      <w:start w:val="1"/>
      <w:numFmt w:val="lowerLetter"/>
      <w:lvlText w:val="%2."/>
      <w:lvlJc w:val="left"/>
      <w:pPr>
        <w:ind w:left="1440" w:hanging="360"/>
      </w:pPr>
    </w:lvl>
    <w:lvl w:ilvl="2" w:tplc="C352BE64" w:tentative="1">
      <w:start w:val="1"/>
      <w:numFmt w:val="lowerRoman"/>
      <w:lvlText w:val="%3."/>
      <w:lvlJc w:val="right"/>
      <w:pPr>
        <w:ind w:left="2160" w:hanging="180"/>
      </w:pPr>
    </w:lvl>
    <w:lvl w:ilvl="3" w:tplc="7FC076E0" w:tentative="1">
      <w:start w:val="1"/>
      <w:numFmt w:val="decimal"/>
      <w:lvlText w:val="%4."/>
      <w:lvlJc w:val="left"/>
      <w:pPr>
        <w:ind w:left="2880" w:hanging="360"/>
      </w:pPr>
    </w:lvl>
    <w:lvl w:ilvl="4" w:tplc="07048140" w:tentative="1">
      <w:start w:val="1"/>
      <w:numFmt w:val="lowerLetter"/>
      <w:lvlText w:val="%5."/>
      <w:lvlJc w:val="left"/>
      <w:pPr>
        <w:ind w:left="3600" w:hanging="360"/>
      </w:pPr>
    </w:lvl>
    <w:lvl w:ilvl="5" w:tplc="DF58C46E" w:tentative="1">
      <w:start w:val="1"/>
      <w:numFmt w:val="lowerRoman"/>
      <w:lvlText w:val="%6."/>
      <w:lvlJc w:val="right"/>
      <w:pPr>
        <w:ind w:left="4320" w:hanging="180"/>
      </w:pPr>
    </w:lvl>
    <w:lvl w:ilvl="6" w:tplc="29AE624A" w:tentative="1">
      <w:start w:val="1"/>
      <w:numFmt w:val="decimal"/>
      <w:lvlText w:val="%7."/>
      <w:lvlJc w:val="left"/>
      <w:pPr>
        <w:ind w:left="5040" w:hanging="360"/>
      </w:pPr>
    </w:lvl>
    <w:lvl w:ilvl="7" w:tplc="09D238FE" w:tentative="1">
      <w:start w:val="1"/>
      <w:numFmt w:val="lowerLetter"/>
      <w:lvlText w:val="%8."/>
      <w:lvlJc w:val="left"/>
      <w:pPr>
        <w:ind w:left="5760" w:hanging="360"/>
      </w:pPr>
    </w:lvl>
    <w:lvl w:ilvl="8" w:tplc="F1865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0099B"/>
    <w:multiLevelType w:val="hybridMultilevel"/>
    <w:tmpl w:val="D364384E"/>
    <w:lvl w:ilvl="0" w:tplc="B9AEE9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949244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F600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4CC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4C9E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784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02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14CA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C2A6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13C4C"/>
    <w:multiLevelType w:val="multilevel"/>
    <w:tmpl w:val="C1C895D6"/>
    <w:lvl w:ilvl="0">
      <w:start w:val="1"/>
      <w:numFmt w:val="none"/>
      <w:lvlText w:val="5 a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F3129D"/>
    <w:multiLevelType w:val="hybridMultilevel"/>
    <w:tmpl w:val="719E491A"/>
    <w:lvl w:ilvl="0" w:tplc="BBF6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FACC3C" w:tentative="1">
      <w:start w:val="1"/>
      <w:numFmt w:val="lowerLetter"/>
      <w:lvlText w:val="%2."/>
      <w:lvlJc w:val="left"/>
      <w:pPr>
        <w:ind w:left="1440" w:hanging="360"/>
      </w:pPr>
    </w:lvl>
    <w:lvl w:ilvl="2" w:tplc="C352BE64" w:tentative="1">
      <w:start w:val="1"/>
      <w:numFmt w:val="lowerRoman"/>
      <w:lvlText w:val="%3."/>
      <w:lvlJc w:val="right"/>
      <w:pPr>
        <w:ind w:left="2160" w:hanging="180"/>
      </w:pPr>
    </w:lvl>
    <w:lvl w:ilvl="3" w:tplc="7FC076E0" w:tentative="1">
      <w:start w:val="1"/>
      <w:numFmt w:val="decimal"/>
      <w:lvlText w:val="%4."/>
      <w:lvlJc w:val="left"/>
      <w:pPr>
        <w:ind w:left="2880" w:hanging="360"/>
      </w:pPr>
    </w:lvl>
    <w:lvl w:ilvl="4" w:tplc="07048140" w:tentative="1">
      <w:start w:val="1"/>
      <w:numFmt w:val="lowerLetter"/>
      <w:lvlText w:val="%5."/>
      <w:lvlJc w:val="left"/>
      <w:pPr>
        <w:ind w:left="3600" w:hanging="360"/>
      </w:pPr>
    </w:lvl>
    <w:lvl w:ilvl="5" w:tplc="DF58C46E" w:tentative="1">
      <w:start w:val="1"/>
      <w:numFmt w:val="lowerRoman"/>
      <w:lvlText w:val="%6."/>
      <w:lvlJc w:val="right"/>
      <w:pPr>
        <w:ind w:left="4320" w:hanging="180"/>
      </w:pPr>
    </w:lvl>
    <w:lvl w:ilvl="6" w:tplc="29AE624A" w:tentative="1">
      <w:start w:val="1"/>
      <w:numFmt w:val="decimal"/>
      <w:lvlText w:val="%7."/>
      <w:lvlJc w:val="left"/>
      <w:pPr>
        <w:ind w:left="5040" w:hanging="360"/>
      </w:pPr>
    </w:lvl>
    <w:lvl w:ilvl="7" w:tplc="09D238FE" w:tentative="1">
      <w:start w:val="1"/>
      <w:numFmt w:val="lowerLetter"/>
      <w:lvlText w:val="%8."/>
      <w:lvlJc w:val="left"/>
      <w:pPr>
        <w:ind w:left="5760" w:hanging="360"/>
      </w:pPr>
    </w:lvl>
    <w:lvl w:ilvl="8" w:tplc="F1865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5BBD"/>
    <w:multiLevelType w:val="hybridMultilevel"/>
    <w:tmpl w:val="34366D68"/>
    <w:lvl w:ilvl="0" w:tplc="9E9C4C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828DD"/>
    <w:multiLevelType w:val="hybridMultilevel"/>
    <w:tmpl w:val="B482664E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85D9A"/>
    <w:multiLevelType w:val="hybridMultilevel"/>
    <w:tmpl w:val="5AC47F0C"/>
    <w:lvl w:ilvl="0" w:tplc="CF34B47C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A1D86E9A">
      <w:start w:val="1"/>
      <w:numFmt w:val="lowerLetter"/>
      <w:lvlText w:val="%2."/>
      <w:lvlJc w:val="left"/>
      <w:pPr>
        <w:ind w:left="1440" w:hanging="360"/>
      </w:pPr>
    </w:lvl>
    <w:lvl w:ilvl="2" w:tplc="879AB316" w:tentative="1">
      <w:start w:val="1"/>
      <w:numFmt w:val="lowerRoman"/>
      <w:lvlText w:val="%3."/>
      <w:lvlJc w:val="right"/>
      <w:pPr>
        <w:ind w:left="2160" w:hanging="180"/>
      </w:pPr>
    </w:lvl>
    <w:lvl w:ilvl="3" w:tplc="0452002E" w:tentative="1">
      <w:start w:val="1"/>
      <w:numFmt w:val="decimal"/>
      <w:lvlText w:val="%4."/>
      <w:lvlJc w:val="left"/>
      <w:pPr>
        <w:ind w:left="2880" w:hanging="360"/>
      </w:pPr>
    </w:lvl>
    <w:lvl w:ilvl="4" w:tplc="3E466F30" w:tentative="1">
      <w:start w:val="1"/>
      <w:numFmt w:val="lowerLetter"/>
      <w:lvlText w:val="%5."/>
      <w:lvlJc w:val="left"/>
      <w:pPr>
        <w:ind w:left="3600" w:hanging="360"/>
      </w:pPr>
    </w:lvl>
    <w:lvl w:ilvl="5" w:tplc="16D2CDC0" w:tentative="1">
      <w:start w:val="1"/>
      <w:numFmt w:val="lowerRoman"/>
      <w:lvlText w:val="%6."/>
      <w:lvlJc w:val="right"/>
      <w:pPr>
        <w:ind w:left="4320" w:hanging="180"/>
      </w:pPr>
    </w:lvl>
    <w:lvl w:ilvl="6" w:tplc="C8B418D2" w:tentative="1">
      <w:start w:val="1"/>
      <w:numFmt w:val="decimal"/>
      <w:lvlText w:val="%7."/>
      <w:lvlJc w:val="left"/>
      <w:pPr>
        <w:ind w:left="5040" w:hanging="360"/>
      </w:pPr>
    </w:lvl>
    <w:lvl w:ilvl="7" w:tplc="7C4AB6C0" w:tentative="1">
      <w:start w:val="1"/>
      <w:numFmt w:val="lowerLetter"/>
      <w:lvlText w:val="%8."/>
      <w:lvlJc w:val="left"/>
      <w:pPr>
        <w:ind w:left="5760" w:hanging="360"/>
      </w:pPr>
    </w:lvl>
    <w:lvl w:ilvl="8" w:tplc="8FE26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4B8A"/>
    <w:multiLevelType w:val="hybridMultilevel"/>
    <w:tmpl w:val="6DDC2894"/>
    <w:lvl w:ilvl="0" w:tplc="906873A8">
      <w:start w:val="1"/>
      <w:numFmt w:val="decimal"/>
      <w:lvlText w:val="%1."/>
      <w:lvlJc w:val="left"/>
      <w:pPr>
        <w:ind w:left="720" w:hanging="360"/>
      </w:pPr>
    </w:lvl>
    <w:lvl w:ilvl="1" w:tplc="635884D8" w:tentative="1">
      <w:start w:val="1"/>
      <w:numFmt w:val="lowerLetter"/>
      <w:lvlText w:val="%2."/>
      <w:lvlJc w:val="left"/>
      <w:pPr>
        <w:ind w:left="1440" w:hanging="360"/>
      </w:pPr>
    </w:lvl>
    <w:lvl w:ilvl="2" w:tplc="B8DA04D4" w:tentative="1">
      <w:start w:val="1"/>
      <w:numFmt w:val="lowerRoman"/>
      <w:lvlText w:val="%3."/>
      <w:lvlJc w:val="right"/>
      <w:pPr>
        <w:ind w:left="2160" w:hanging="180"/>
      </w:pPr>
    </w:lvl>
    <w:lvl w:ilvl="3" w:tplc="8CDA1ED2" w:tentative="1">
      <w:start w:val="1"/>
      <w:numFmt w:val="decimal"/>
      <w:lvlText w:val="%4."/>
      <w:lvlJc w:val="left"/>
      <w:pPr>
        <w:ind w:left="2880" w:hanging="360"/>
      </w:pPr>
    </w:lvl>
    <w:lvl w:ilvl="4" w:tplc="A058C610" w:tentative="1">
      <w:start w:val="1"/>
      <w:numFmt w:val="lowerLetter"/>
      <w:lvlText w:val="%5."/>
      <w:lvlJc w:val="left"/>
      <w:pPr>
        <w:ind w:left="3600" w:hanging="360"/>
      </w:pPr>
    </w:lvl>
    <w:lvl w:ilvl="5" w:tplc="0886806A" w:tentative="1">
      <w:start w:val="1"/>
      <w:numFmt w:val="lowerRoman"/>
      <w:lvlText w:val="%6."/>
      <w:lvlJc w:val="right"/>
      <w:pPr>
        <w:ind w:left="4320" w:hanging="180"/>
      </w:pPr>
    </w:lvl>
    <w:lvl w:ilvl="6" w:tplc="02F6FDCA" w:tentative="1">
      <w:start w:val="1"/>
      <w:numFmt w:val="decimal"/>
      <w:lvlText w:val="%7."/>
      <w:lvlJc w:val="left"/>
      <w:pPr>
        <w:ind w:left="5040" w:hanging="360"/>
      </w:pPr>
    </w:lvl>
    <w:lvl w:ilvl="7" w:tplc="C854E4AC" w:tentative="1">
      <w:start w:val="1"/>
      <w:numFmt w:val="lowerLetter"/>
      <w:lvlText w:val="%8."/>
      <w:lvlJc w:val="left"/>
      <w:pPr>
        <w:ind w:left="5760" w:hanging="360"/>
      </w:pPr>
    </w:lvl>
    <w:lvl w:ilvl="8" w:tplc="3D50A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7F52"/>
    <w:multiLevelType w:val="hybridMultilevel"/>
    <w:tmpl w:val="433CA766"/>
    <w:lvl w:ilvl="0" w:tplc="6E0C5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7483B"/>
    <w:multiLevelType w:val="hybridMultilevel"/>
    <w:tmpl w:val="90A80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B2F7E"/>
    <w:multiLevelType w:val="hybridMultilevel"/>
    <w:tmpl w:val="66183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83762"/>
    <w:multiLevelType w:val="hybridMultilevel"/>
    <w:tmpl w:val="CB0658CE"/>
    <w:lvl w:ilvl="0" w:tplc="CD4A0C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5E69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489AC34C" w:tentative="1">
      <w:start w:val="1"/>
      <w:numFmt w:val="lowerRoman"/>
      <w:lvlText w:val="%3."/>
      <w:lvlJc w:val="right"/>
      <w:pPr>
        <w:ind w:left="1800" w:hanging="180"/>
      </w:pPr>
    </w:lvl>
    <w:lvl w:ilvl="3" w:tplc="BC34A826" w:tentative="1">
      <w:start w:val="1"/>
      <w:numFmt w:val="decimal"/>
      <w:lvlText w:val="%4."/>
      <w:lvlJc w:val="left"/>
      <w:pPr>
        <w:ind w:left="2520" w:hanging="360"/>
      </w:pPr>
    </w:lvl>
    <w:lvl w:ilvl="4" w:tplc="3E1E532C">
      <w:start w:val="1"/>
      <w:numFmt w:val="lowerLetter"/>
      <w:lvlText w:val="%5."/>
      <w:lvlJc w:val="left"/>
      <w:pPr>
        <w:ind w:left="3240" w:hanging="360"/>
      </w:pPr>
    </w:lvl>
    <w:lvl w:ilvl="5" w:tplc="256AA9EA" w:tentative="1">
      <w:start w:val="1"/>
      <w:numFmt w:val="lowerRoman"/>
      <w:lvlText w:val="%6."/>
      <w:lvlJc w:val="right"/>
      <w:pPr>
        <w:ind w:left="3960" w:hanging="180"/>
      </w:pPr>
    </w:lvl>
    <w:lvl w:ilvl="6" w:tplc="02BAF9C2" w:tentative="1">
      <w:start w:val="1"/>
      <w:numFmt w:val="decimal"/>
      <w:lvlText w:val="%7."/>
      <w:lvlJc w:val="left"/>
      <w:pPr>
        <w:ind w:left="4680" w:hanging="360"/>
      </w:pPr>
    </w:lvl>
    <w:lvl w:ilvl="7" w:tplc="34F28D42" w:tentative="1">
      <w:start w:val="1"/>
      <w:numFmt w:val="lowerLetter"/>
      <w:lvlText w:val="%8."/>
      <w:lvlJc w:val="left"/>
      <w:pPr>
        <w:ind w:left="5400" w:hanging="360"/>
      </w:pPr>
    </w:lvl>
    <w:lvl w:ilvl="8" w:tplc="954870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FA1E54"/>
    <w:multiLevelType w:val="hybridMultilevel"/>
    <w:tmpl w:val="772403AE"/>
    <w:lvl w:ilvl="0" w:tplc="CD4A0CA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D9FACC3C">
      <w:start w:val="1"/>
      <w:numFmt w:val="lowerLetter"/>
      <w:lvlText w:val="%2."/>
      <w:lvlJc w:val="left"/>
      <w:pPr>
        <w:ind w:left="1080" w:hanging="360"/>
      </w:pPr>
    </w:lvl>
    <w:lvl w:ilvl="2" w:tplc="C352BE64" w:tentative="1">
      <w:start w:val="1"/>
      <w:numFmt w:val="lowerRoman"/>
      <w:lvlText w:val="%3."/>
      <w:lvlJc w:val="right"/>
      <w:pPr>
        <w:ind w:left="1800" w:hanging="180"/>
      </w:pPr>
    </w:lvl>
    <w:lvl w:ilvl="3" w:tplc="7FC076E0" w:tentative="1">
      <w:start w:val="1"/>
      <w:numFmt w:val="decimal"/>
      <w:lvlText w:val="%4."/>
      <w:lvlJc w:val="left"/>
      <w:pPr>
        <w:ind w:left="2520" w:hanging="360"/>
      </w:pPr>
    </w:lvl>
    <w:lvl w:ilvl="4" w:tplc="07048140" w:tentative="1">
      <w:start w:val="1"/>
      <w:numFmt w:val="lowerLetter"/>
      <w:lvlText w:val="%5."/>
      <w:lvlJc w:val="left"/>
      <w:pPr>
        <w:ind w:left="3240" w:hanging="360"/>
      </w:pPr>
    </w:lvl>
    <w:lvl w:ilvl="5" w:tplc="DF58C46E" w:tentative="1">
      <w:start w:val="1"/>
      <w:numFmt w:val="lowerRoman"/>
      <w:lvlText w:val="%6."/>
      <w:lvlJc w:val="right"/>
      <w:pPr>
        <w:ind w:left="3960" w:hanging="180"/>
      </w:pPr>
    </w:lvl>
    <w:lvl w:ilvl="6" w:tplc="29AE624A" w:tentative="1">
      <w:start w:val="1"/>
      <w:numFmt w:val="decimal"/>
      <w:lvlText w:val="%7."/>
      <w:lvlJc w:val="left"/>
      <w:pPr>
        <w:ind w:left="4680" w:hanging="360"/>
      </w:pPr>
    </w:lvl>
    <w:lvl w:ilvl="7" w:tplc="09D238FE" w:tentative="1">
      <w:start w:val="1"/>
      <w:numFmt w:val="lowerLetter"/>
      <w:lvlText w:val="%8."/>
      <w:lvlJc w:val="left"/>
      <w:pPr>
        <w:ind w:left="5400" w:hanging="360"/>
      </w:pPr>
    </w:lvl>
    <w:lvl w:ilvl="8" w:tplc="F1865C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647DA2"/>
    <w:multiLevelType w:val="hybridMultilevel"/>
    <w:tmpl w:val="839EC032"/>
    <w:lvl w:ilvl="0" w:tplc="BBF68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9FACC3C" w:tentative="1">
      <w:start w:val="1"/>
      <w:numFmt w:val="lowerLetter"/>
      <w:lvlText w:val="%2."/>
      <w:lvlJc w:val="left"/>
      <w:pPr>
        <w:ind w:left="1440" w:hanging="360"/>
      </w:pPr>
    </w:lvl>
    <w:lvl w:ilvl="2" w:tplc="C352BE64" w:tentative="1">
      <w:start w:val="1"/>
      <w:numFmt w:val="lowerRoman"/>
      <w:lvlText w:val="%3."/>
      <w:lvlJc w:val="right"/>
      <w:pPr>
        <w:ind w:left="2160" w:hanging="180"/>
      </w:pPr>
    </w:lvl>
    <w:lvl w:ilvl="3" w:tplc="7FC076E0" w:tentative="1">
      <w:start w:val="1"/>
      <w:numFmt w:val="decimal"/>
      <w:lvlText w:val="%4."/>
      <w:lvlJc w:val="left"/>
      <w:pPr>
        <w:ind w:left="2880" w:hanging="360"/>
      </w:pPr>
    </w:lvl>
    <w:lvl w:ilvl="4" w:tplc="07048140" w:tentative="1">
      <w:start w:val="1"/>
      <w:numFmt w:val="lowerLetter"/>
      <w:lvlText w:val="%5."/>
      <w:lvlJc w:val="left"/>
      <w:pPr>
        <w:ind w:left="3600" w:hanging="360"/>
      </w:pPr>
    </w:lvl>
    <w:lvl w:ilvl="5" w:tplc="DF58C46E" w:tentative="1">
      <w:start w:val="1"/>
      <w:numFmt w:val="lowerRoman"/>
      <w:lvlText w:val="%6."/>
      <w:lvlJc w:val="right"/>
      <w:pPr>
        <w:ind w:left="4320" w:hanging="180"/>
      </w:pPr>
    </w:lvl>
    <w:lvl w:ilvl="6" w:tplc="29AE624A" w:tentative="1">
      <w:start w:val="1"/>
      <w:numFmt w:val="decimal"/>
      <w:lvlText w:val="%7."/>
      <w:lvlJc w:val="left"/>
      <w:pPr>
        <w:ind w:left="5040" w:hanging="360"/>
      </w:pPr>
    </w:lvl>
    <w:lvl w:ilvl="7" w:tplc="09D238FE" w:tentative="1">
      <w:start w:val="1"/>
      <w:numFmt w:val="lowerLetter"/>
      <w:lvlText w:val="%8."/>
      <w:lvlJc w:val="left"/>
      <w:pPr>
        <w:ind w:left="5760" w:hanging="360"/>
      </w:pPr>
    </w:lvl>
    <w:lvl w:ilvl="8" w:tplc="F1865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F0B20"/>
    <w:multiLevelType w:val="hybridMultilevel"/>
    <w:tmpl w:val="E10C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1045"/>
    <w:multiLevelType w:val="hybridMultilevel"/>
    <w:tmpl w:val="D2DAA4DC"/>
    <w:lvl w:ilvl="0" w:tplc="827A1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25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40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64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2A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6B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A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DAB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90D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2ED2D8D"/>
    <w:multiLevelType w:val="hybridMultilevel"/>
    <w:tmpl w:val="7DD6F198"/>
    <w:lvl w:ilvl="0" w:tplc="EB5E1E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756B9B"/>
    <w:multiLevelType w:val="hybridMultilevel"/>
    <w:tmpl w:val="BEAE8992"/>
    <w:lvl w:ilvl="0" w:tplc="116CCF1A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16"/>
  </w:num>
  <w:num w:numId="15">
    <w:abstractNumId w:val="2"/>
  </w:num>
  <w:num w:numId="16">
    <w:abstractNumId w:val="20"/>
  </w:num>
  <w:num w:numId="17">
    <w:abstractNumId w:val="6"/>
  </w:num>
  <w:num w:numId="18">
    <w:abstractNumId w:val="7"/>
  </w:num>
  <w:num w:numId="19">
    <w:abstractNumId w:val="1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5"/>
    <w:rsid w:val="00000647"/>
    <w:rsid w:val="00001851"/>
    <w:rsid w:val="0000193F"/>
    <w:rsid w:val="00001B7C"/>
    <w:rsid w:val="00002D40"/>
    <w:rsid w:val="00004C13"/>
    <w:rsid w:val="00005465"/>
    <w:rsid w:val="00005863"/>
    <w:rsid w:val="00007866"/>
    <w:rsid w:val="00007E00"/>
    <w:rsid w:val="00010276"/>
    <w:rsid w:val="00010DF6"/>
    <w:rsid w:val="00011741"/>
    <w:rsid w:val="00011C15"/>
    <w:rsid w:val="00012265"/>
    <w:rsid w:val="00012C97"/>
    <w:rsid w:val="000141D2"/>
    <w:rsid w:val="000162CA"/>
    <w:rsid w:val="00016487"/>
    <w:rsid w:val="000214C8"/>
    <w:rsid w:val="00022263"/>
    <w:rsid w:val="000259D6"/>
    <w:rsid w:val="00030068"/>
    <w:rsid w:val="00032947"/>
    <w:rsid w:val="00035AAB"/>
    <w:rsid w:val="000378AE"/>
    <w:rsid w:val="00037E1F"/>
    <w:rsid w:val="0004075B"/>
    <w:rsid w:val="000413F5"/>
    <w:rsid w:val="00042150"/>
    <w:rsid w:val="0004428A"/>
    <w:rsid w:val="0004504C"/>
    <w:rsid w:val="00045158"/>
    <w:rsid w:val="00045687"/>
    <w:rsid w:val="000507AB"/>
    <w:rsid w:val="00051801"/>
    <w:rsid w:val="000542C5"/>
    <w:rsid w:val="00054D46"/>
    <w:rsid w:val="00064AC5"/>
    <w:rsid w:val="000738F7"/>
    <w:rsid w:val="00074B82"/>
    <w:rsid w:val="00076334"/>
    <w:rsid w:val="0008218A"/>
    <w:rsid w:val="00083211"/>
    <w:rsid w:val="00085BB9"/>
    <w:rsid w:val="00086422"/>
    <w:rsid w:val="00092CF3"/>
    <w:rsid w:val="00092E92"/>
    <w:rsid w:val="000930B4"/>
    <w:rsid w:val="000932AF"/>
    <w:rsid w:val="00093690"/>
    <w:rsid w:val="000946BA"/>
    <w:rsid w:val="000A03DC"/>
    <w:rsid w:val="000A27C1"/>
    <w:rsid w:val="000A3896"/>
    <w:rsid w:val="000B2373"/>
    <w:rsid w:val="000B252A"/>
    <w:rsid w:val="000B2A9D"/>
    <w:rsid w:val="000B3209"/>
    <w:rsid w:val="000B4C9C"/>
    <w:rsid w:val="000B4E86"/>
    <w:rsid w:val="000B6941"/>
    <w:rsid w:val="000B699A"/>
    <w:rsid w:val="000C0178"/>
    <w:rsid w:val="000C09C6"/>
    <w:rsid w:val="000C1D8A"/>
    <w:rsid w:val="000C3788"/>
    <w:rsid w:val="000D062D"/>
    <w:rsid w:val="000D2476"/>
    <w:rsid w:val="000D345A"/>
    <w:rsid w:val="000D5136"/>
    <w:rsid w:val="000E0018"/>
    <w:rsid w:val="000E4C90"/>
    <w:rsid w:val="000E4FF8"/>
    <w:rsid w:val="000E7471"/>
    <w:rsid w:val="000F0198"/>
    <w:rsid w:val="000F0940"/>
    <w:rsid w:val="000F09D5"/>
    <w:rsid w:val="000F2666"/>
    <w:rsid w:val="000F2CB2"/>
    <w:rsid w:val="000F4A8D"/>
    <w:rsid w:val="000F6F4C"/>
    <w:rsid w:val="000F7D9C"/>
    <w:rsid w:val="00100351"/>
    <w:rsid w:val="001036A3"/>
    <w:rsid w:val="00103D8C"/>
    <w:rsid w:val="00103ED3"/>
    <w:rsid w:val="00103FD3"/>
    <w:rsid w:val="00104C47"/>
    <w:rsid w:val="001070FC"/>
    <w:rsid w:val="001141B2"/>
    <w:rsid w:val="001146C8"/>
    <w:rsid w:val="0011486B"/>
    <w:rsid w:val="001161AB"/>
    <w:rsid w:val="00120621"/>
    <w:rsid w:val="0012363D"/>
    <w:rsid w:val="0012463D"/>
    <w:rsid w:val="001249B6"/>
    <w:rsid w:val="00125465"/>
    <w:rsid w:val="00125CBE"/>
    <w:rsid w:val="00130107"/>
    <w:rsid w:val="001350C3"/>
    <w:rsid w:val="001372F3"/>
    <w:rsid w:val="00140E5B"/>
    <w:rsid w:val="0014186D"/>
    <w:rsid w:val="00141DB6"/>
    <w:rsid w:val="0014349B"/>
    <w:rsid w:val="00145534"/>
    <w:rsid w:val="00145719"/>
    <w:rsid w:val="00147797"/>
    <w:rsid w:val="00151CFB"/>
    <w:rsid w:val="00152AA0"/>
    <w:rsid w:val="00153889"/>
    <w:rsid w:val="00153F8F"/>
    <w:rsid w:val="001548D0"/>
    <w:rsid w:val="00155744"/>
    <w:rsid w:val="0015689A"/>
    <w:rsid w:val="0015756E"/>
    <w:rsid w:val="0015791B"/>
    <w:rsid w:val="00160D7C"/>
    <w:rsid w:val="0016636A"/>
    <w:rsid w:val="001702E5"/>
    <w:rsid w:val="00171A01"/>
    <w:rsid w:val="00172DE4"/>
    <w:rsid w:val="00173104"/>
    <w:rsid w:val="00175BAF"/>
    <w:rsid w:val="001803EE"/>
    <w:rsid w:val="001860FF"/>
    <w:rsid w:val="00187DE3"/>
    <w:rsid w:val="00191095"/>
    <w:rsid w:val="001918BE"/>
    <w:rsid w:val="00195731"/>
    <w:rsid w:val="00196B90"/>
    <w:rsid w:val="001A0EED"/>
    <w:rsid w:val="001A1C2F"/>
    <w:rsid w:val="001A2320"/>
    <w:rsid w:val="001A2327"/>
    <w:rsid w:val="001A48AF"/>
    <w:rsid w:val="001A6F82"/>
    <w:rsid w:val="001B0719"/>
    <w:rsid w:val="001B0BB3"/>
    <w:rsid w:val="001B0CA2"/>
    <w:rsid w:val="001B471E"/>
    <w:rsid w:val="001C18FA"/>
    <w:rsid w:val="001C193E"/>
    <w:rsid w:val="001C1C99"/>
    <w:rsid w:val="001C44BF"/>
    <w:rsid w:val="001C4FE7"/>
    <w:rsid w:val="001C5C9C"/>
    <w:rsid w:val="001D02F7"/>
    <w:rsid w:val="001D1678"/>
    <w:rsid w:val="001D1804"/>
    <w:rsid w:val="001D2FE9"/>
    <w:rsid w:val="001D3954"/>
    <w:rsid w:val="001D539B"/>
    <w:rsid w:val="001D76CB"/>
    <w:rsid w:val="001D7F1A"/>
    <w:rsid w:val="001E47DB"/>
    <w:rsid w:val="001E554A"/>
    <w:rsid w:val="001E6D5D"/>
    <w:rsid w:val="001E79AB"/>
    <w:rsid w:val="001F0CB9"/>
    <w:rsid w:val="001F0FAA"/>
    <w:rsid w:val="001F2BE6"/>
    <w:rsid w:val="001F2EDD"/>
    <w:rsid w:val="001F7853"/>
    <w:rsid w:val="001F7A5C"/>
    <w:rsid w:val="00200D7E"/>
    <w:rsid w:val="002019B4"/>
    <w:rsid w:val="002045E7"/>
    <w:rsid w:val="00212722"/>
    <w:rsid w:val="00214654"/>
    <w:rsid w:val="00215D19"/>
    <w:rsid w:val="00217C82"/>
    <w:rsid w:val="00221AA9"/>
    <w:rsid w:val="0022328E"/>
    <w:rsid w:val="00224B41"/>
    <w:rsid w:val="00224F44"/>
    <w:rsid w:val="002334AF"/>
    <w:rsid w:val="00233CBF"/>
    <w:rsid w:val="002369C7"/>
    <w:rsid w:val="00236C18"/>
    <w:rsid w:val="00236E9A"/>
    <w:rsid w:val="00236FC9"/>
    <w:rsid w:val="002377B2"/>
    <w:rsid w:val="00247A6C"/>
    <w:rsid w:val="00250247"/>
    <w:rsid w:val="00257546"/>
    <w:rsid w:val="00257C2A"/>
    <w:rsid w:val="00264FDA"/>
    <w:rsid w:val="002672DC"/>
    <w:rsid w:val="00267A4B"/>
    <w:rsid w:val="00270165"/>
    <w:rsid w:val="002729B7"/>
    <w:rsid w:val="00273E38"/>
    <w:rsid w:val="00275C25"/>
    <w:rsid w:val="00276F32"/>
    <w:rsid w:val="00276FF8"/>
    <w:rsid w:val="002805A7"/>
    <w:rsid w:val="00283DB5"/>
    <w:rsid w:val="002843EC"/>
    <w:rsid w:val="00285167"/>
    <w:rsid w:val="00286B19"/>
    <w:rsid w:val="00287423"/>
    <w:rsid w:val="0029176C"/>
    <w:rsid w:val="00291812"/>
    <w:rsid w:val="00292B0A"/>
    <w:rsid w:val="00293F6E"/>
    <w:rsid w:val="00296302"/>
    <w:rsid w:val="00297D99"/>
    <w:rsid w:val="002A0BD9"/>
    <w:rsid w:val="002A10E0"/>
    <w:rsid w:val="002A2B5A"/>
    <w:rsid w:val="002A2D3A"/>
    <w:rsid w:val="002A44DF"/>
    <w:rsid w:val="002A496D"/>
    <w:rsid w:val="002A7217"/>
    <w:rsid w:val="002A782A"/>
    <w:rsid w:val="002B2015"/>
    <w:rsid w:val="002B3C12"/>
    <w:rsid w:val="002B6DF7"/>
    <w:rsid w:val="002B6EC7"/>
    <w:rsid w:val="002C2A5F"/>
    <w:rsid w:val="002C3B65"/>
    <w:rsid w:val="002C7C01"/>
    <w:rsid w:val="002C7CA5"/>
    <w:rsid w:val="002D021C"/>
    <w:rsid w:val="002D077F"/>
    <w:rsid w:val="002D21DE"/>
    <w:rsid w:val="002D27BE"/>
    <w:rsid w:val="002D31C7"/>
    <w:rsid w:val="002D573D"/>
    <w:rsid w:val="002E11FC"/>
    <w:rsid w:val="002E18DB"/>
    <w:rsid w:val="002E1A47"/>
    <w:rsid w:val="002E2F80"/>
    <w:rsid w:val="002E432E"/>
    <w:rsid w:val="002E450A"/>
    <w:rsid w:val="002E4560"/>
    <w:rsid w:val="002E5CE9"/>
    <w:rsid w:val="002E6351"/>
    <w:rsid w:val="002E7D25"/>
    <w:rsid w:val="002E7FA5"/>
    <w:rsid w:val="002F0EB7"/>
    <w:rsid w:val="002F0FCC"/>
    <w:rsid w:val="002F129A"/>
    <w:rsid w:val="002F33B6"/>
    <w:rsid w:val="002F69FD"/>
    <w:rsid w:val="002F7F3E"/>
    <w:rsid w:val="00300E1A"/>
    <w:rsid w:val="00301D51"/>
    <w:rsid w:val="00303420"/>
    <w:rsid w:val="00303AA1"/>
    <w:rsid w:val="00307442"/>
    <w:rsid w:val="0031038E"/>
    <w:rsid w:val="003113CC"/>
    <w:rsid w:val="00311496"/>
    <w:rsid w:val="003164C0"/>
    <w:rsid w:val="00320575"/>
    <w:rsid w:val="00320E86"/>
    <w:rsid w:val="00323E17"/>
    <w:rsid w:val="00325CCA"/>
    <w:rsid w:val="00326C2E"/>
    <w:rsid w:val="0033012A"/>
    <w:rsid w:val="003353E1"/>
    <w:rsid w:val="003354C7"/>
    <w:rsid w:val="00340545"/>
    <w:rsid w:val="00344A7E"/>
    <w:rsid w:val="00346435"/>
    <w:rsid w:val="003467B4"/>
    <w:rsid w:val="003502E0"/>
    <w:rsid w:val="0035373A"/>
    <w:rsid w:val="00354902"/>
    <w:rsid w:val="00355218"/>
    <w:rsid w:val="00355386"/>
    <w:rsid w:val="00357F0D"/>
    <w:rsid w:val="00360936"/>
    <w:rsid w:val="003643BC"/>
    <w:rsid w:val="003645A9"/>
    <w:rsid w:val="00367FE6"/>
    <w:rsid w:val="0037170A"/>
    <w:rsid w:val="00371D6E"/>
    <w:rsid w:val="00371D9C"/>
    <w:rsid w:val="00372E80"/>
    <w:rsid w:val="003747EA"/>
    <w:rsid w:val="00375A27"/>
    <w:rsid w:val="0037721D"/>
    <w:rsid w:val="00380063"/>
    <w:rsid w:val="003848A8"/>
    <w:rsid w:val="00390F3F"/>
    <w:rsid w:val="0039173F"/>
    <w:rsid w:val="0039290F"/>
    <w:rsid w:val="00392CA7"/>
    <w:rsid w:val="003933D0"/>
    <w:rsid w:val="00393A23"/>
    <w:rsid w:val="00396FC2"/>
    <w:rsid w:val="003A038F"/>
    <w:rsid w:val="003A1922"/>
    <w:rsid w:val="003A244B"/>
    <w:rsid w:val="003A3218"/>
    <w:rsid w:val="003A4D0D"/>
    <w:rsid w:val="003A5ABD"/>
    <w:rsid w:val="003A728F"/>
    <w:rsid w:val="003B0151"/>
    <w:rsid w:val="003B082C"/>
    <w:rsid w:val="003B5E4C"/>
    <w:rsid w:val="003B6BB1"/>
    <w:rsid w:val="003C0959"/>
    <w:rsid w:val="003C0CC2"/>
    <w:rsid w:val="003C2F74"/>
    <w:rsid w:val="003C34D0"/>
    <w:rsid w:val="003C45EE"/>
    <w:rsid w:val="003D3A23"/>
    <w:rsid w:val="003D5936"/>
    <w:rsid w:val="003E04F4"/>
    <w:rsid w:val="003E0AC6"/>
    <w:rsid w:val="003E526B"/>
    <w:rsid w:val="003E5C43"/>
    <w:rsid w:val="003E5F8C"/>
    <w:rsid w:val="003E683A"/>
    <w:rsid w:val="003E6FCD"/>
    <w:rsid w:val="003F0C70"/>
    <w:rsid w:val="003F1C6B"/>
    <w:rsid w:val="003F254D"/>
    <w:rsid w:val="003F2AE7"/>
    <w:rsid w:val="003F3253"/>
    <w:rsid w:val="003F33A3"/>
    <w:rsid w:val="003F5555"/>
    <w:rsid w:val="003F5802"/>
    <w:rsid w:val="003F5ACE"/>
    <w:rsid w:val="003F5C00"/>
    <w:rsid w:val="00400DB1"/>
    <w:rsid w:val="00402ED6"/>
    <w:rsid w:val="004034A6"/>
    <w:rsid w:val="004050D8"/>
    <w:rsid w:val="00405B98"/>
    <w:rsid w:val="00414B9F"/>
    <w:rsid w:val="004177EC"/>
    <w:rsid w:val="00420226"/>
    <w:rsid w:val="00422203"/>
    <w:rsid w:val="004265CF"/>
    <w:rsid w:val="00426AB6"/>
    <w:rsid w:val="004336C0"/>
    <w:rsid w:val="00435648"/>
    <w:rsid w:val="00435FE0"/>
    <w:rsid w:val="00437C05"/>
    <w:rsid w:val="004404E6"/>
    <w:rsid w:val="00442170"/>
    <w:rsid w:val="00442250"/>
    <w:rsid w:val="004423D3"/>
    <w:rsid w:val="00443F48"/>
    <w:rsid w:val="00444F65"/>
    <w:rsid w:val="00446B0C"/>
    <w:rsid w:val="00447016"/>
    <w:rsid w:val="00447202"/>
    <w:rsid w:val="00447E4E"/>
    <w:rsid w:val="00447F4C"/>
    <w:rsid w:val="004525D0"/>
    <w:rsid w:val="00452A7A"/>
    <w:rsid w:val="004533B9"/>
    <w:rsid w:val="004548EC"/>
    <w:rsid w:val="004578DE"/>
    <w:rsid w:val="00457CA5"/>
    <w:rsid w:val="00460C65"/>
    <w:rsid w:val="004673BF"/>
    <w:rsid w:val="00472268"/>
    <w:rsid w:val="00472A01"/>
    <w:rsid w:val="004748E6"/>
    <w:rsid w:val="00476F1A"/>
    <w:rsid w:val="00482B5B"/>
    <w:rsid w:val="00483098"/>
    <w:rsid w:val="00483BB0"/>
    <w:rsid w:val="00490506"/>
    <w:rsid w:val="004941CB"/>
    <w:rsid w:val="00495546"/>
    <w:rsid w:val="0049663C"/>
    <w:rsid w:val="0049713B"/>
    <w:rsid w:val="00497AF7"/>
    <w:rsid w:val="004A3481"/>
    <w:rsid w:val="004A56EC"/>
    <w:rsid w:val="004B05BA"/>
    <w:rsid w:val="004B06B0"/>
    <w:rsid w:val="004B2570"/>
    <w:rsid w:val="004B58B8"/>
    <w:rsid w:val="004B6780"/>
    <w:rsid w:val="004B7FAD"/>
    <w:rsid w:val="004C1A66"/>
    <w:rsid w:val="004C24CB"/>
    <w:rsid w:val="004C26F6"/>
    <w:rsid w:val="004C2A0F"/>
    <w:rsid w:val="004C6582"/>
    <w:rsid w:val="004D21E0"/>
    <w:rsid w:val="004D255A"/>
    <w:rsid w:val="004D46B3"/>
    <w:rsid w:val="004E2F9F"/>
    <w:rsid w:val="004E344F"/>
    <w:rsid w:val="004E5727"/>
    <w:rsid w:val="004E6667"/>
    <w:rsid w:val="004E67F2"/>
    <w:rsid w:val="004E69FB"/>
    <w:rsid w:val="004F0071"/>
    <w:rsid w:val="004F10E8"/>
    <w:rsid w:val="004F25A7"/>
    <w:rsid w:val="004F49EB"/>
    <w:rsid w:val="004F52D8"/>
    <w:rsid w:val="004F5930"/>
    <w:rsid w:val="00500EBA"/>
    <w:rsid w:val="005018A1"/>
    <w:rsid w:val="00506861"/>
    <w:rsid w:val="005128F0"/>
    <w:rsid w:val="005129EC"/>
    <w:rsid w:val="00513E51"/>
    <w:rsid w:val="00515787"/>
    <w:rsid w:val="00517420"/>
    <w:rsid w:val="0051758F"/>
    <w:rsid w:val="00522B04"/>
    <w:rsid w:val="005238CC"/>
    <w:rsid w:val="00530032"/>
    <w:rsid w:val="005324B9"/>
    <w:rsid w:val="00535B7E"/>
    <w:rsid w:val="00541617"/>
    <w:rsid w:val="00541DDD"/>
    <w:rsid w:val="005436F9"/>
    <w:rsid w:val="0054386D"/>
    <w:rsid w:val="00546C43"/>
    <w:rsid w:val="00547A57"/>
    <w:rsid w:val="00550263"/>
    <w:rsid w:val="00552776"/>
    <w:rsid w:val="0055293A"/>
    <w:rsid w:val="00552D4A"/>
    <w:rsid w:val="0055386F"/>
    <w:rsid w:val="00555758"/>
    <w:rsid w:val="005564EE"/>
    <w:rsid w:val="00561022"/>
    <w:rsid w:val="005610D3"/>
    <w:rsid w:val="00564407"/>
    <w:rsid w:val="005645D5"/>
    <w:rsid w:val="00564B17"/>
    <w:rsid w:val="00564BB3"/>
    <w:rsid w:val="0056536E"/>
    <w:rsid w:val="005658D8"/>
    <w:rsid w:val="00567EBF"/>
    <w:rsid w:val="00572CA0"/>
    <w:rsid w:val="0057427F"/>
    <w:rsid w:val="00576611"/>
    <w:rsid w:val="0057687C"/>
    <w:rsid w:val="00577578"/>
    <w:rsid w:val="00581593"/>
    <w:rsid w:val="00587881"/>
    <w:rsid w:val="005908FE"/>
    <w:rsid w:val="00591958"/>
    <w:rsid w:val="0059280A"/>
    <w:rsid w:val="005930A6"/>
    <w:rsid w:val="005940A4"/>
    <w:rsid w:val="00595FB8"/>
    <w:rsid w:val="00596343"/>
    <w:rsid w:val="00596825"/>
    <w:rsid w:val="005A63ED"/>
    <w:rsid w:val="005B0223"/>
    <w:rsid w:val="005B16A2"/>
    <w:rsid w:val="005B2A26"/>
    <w:rsid w:val="005B3499"/>
    <w:rsid w:val="005B44DE"/>
    <w:rsid w:val="005B5298"/>
    <w:rsid w:val="005C217C"/>
    <w:rsid w:val="005C2BE7"/>
    <w:rsid w:val="005C2F0C"/>
    <w:rsid w:val="005C438C"/>
    <w:rsid w:val="005C51F4"/>
    <w:rsid w:val="005D0DC3"/>
    <w:rsid w:val="005D52D0"/>
    <w:rsid w:val="005E206E"/>
    <w:rsid w:val="005E26AC"/>
    <w:rsid w:val="005E5603"/>
    <w:rsid w:val="005E6CF3"/>
    <w:rsid w:val="005F1AAE"/>
    <w:rsid w:val="005F22D9"/>
    <w:rsid w:val="005F30D7"/>
    <w:rsid w:val="005F337E"/>
    <w:rsid w:val="005F5F76"/>
    <w:rsid w:val="00602B85"/>
    <w:rsid w:val="00602F89"/>
    <w:rsid w:val="00605D9A"/>
    <w:rsid w:val="00611A50"/>
    <w:rsid w:val="0061303E"/>
    <w:rsid w:val="00613E56"/>
    <w:rsid w:val="00617156"/>
    <w:rsid w:val="0061733C"/>
    <w:rsid w:val="00620A7A"/>
    <w:rsid w:val="00620E72"/>
    <w:rsid w:val="006218F0"/>
    <w:rsid w:val="00625E67"/>
    <w:rsid w:val="00627244"/>
    <w:rsid w:val="0063173B"/>
    <w:rsid w:val="006336A4"/>
    <w:rsid w:val="00635FE3"/>
    <w:rsid w:val="006360C4"/>
    <w:rsid w:val="00641D2C"/>
    <w:rsid w:val="0064239C"/>
    <w:rsid w:val="0064262C"/>
    <w:rsid w:val="00643B49"/>
    <w:rsid w:val="00652BD5"/>
    <w:rsid w:val="006531EF"/>
    <w:rsid w:val="006555C2"/>
    <w:rsid w:val="006563C7"/>
    <w:rsid w:val="006566E5"/>
    <w:rsid w:val="00657E4F"/>
    <w:rsid w:val="00665AB7"/>
    <w:rsid w:val="00665CDB"/>
    <w:rsid w:val="00667EB8"/>
    <w:rsid w:val="00670531"/>
    <w:rsid w:val="00671794"/>
    <w:rsid w:val="006718F8"/>
    <w:rsid w:val="006731EB"/>
    <w:rsid w:val="00674E42"/>
    <w:rsid w:val="00676F98"/>
    <w:rsid w:val="006838D0"/>
    <w:rsid w:val="00686249"/>
    <w:rsid w:val="00687346"/>
    <w:rsid w:val="00687DF3"/>
    <w:rsid w:val="00692F98"/>
    <w:rsid w:val="00694835"/>
    <w:rsid w:val="0069567B"/>
    <w:rsid w:val="006A1AAF"/>
    <w:rsid w:val="006A46A9"/>
    <w:rsid w:val="006A4847"/>
    <w:rsid w:val="006A4E8B"/>
    <w:rsid w:val="006A5D5F"/>
    <w:rsid w:val="006A79C0"/>
    <w:rsid w:val="006B0642"/>
    <w:rsid w:val="006B102B"/>
    <w:rsid w:val="006B2A93"/>
    <w:rsid w:val="006B32A3"/>
    <w:rsid w:val="006B5B13"/>
    <w:rsid w:val="006B6B11"/>
    <w:rsid w:val="006B6B71"/>
    <w:rsid w:val="006C054B"/>
    <w:rsid w:val="006C05CD"/>
    <w:rsid w:val="006C3162"/>
    <w:rsid w:val="006C4DA6"/>
    <w:rsid w:val="006D0535"/>
    <w:rsid w:val="006D0899"/>
    <w:rsid w:val="006D1EC5"/>
    <w:rsid w:val="006D7A2D"/>
    <w:rsid w:val="006D7BED"/>
    <w:rsid w:val="006D7D04"/>
    <w:rsid w:val="006E0454"/>
    <w:rsid w:val="006E287E"/>
    <w:rsid w:val="006E382B"/>
    <w:rsid w:val="006E4584"/>
    <w:rsid w:val="006E6164"/>
    <w:rsid w:val="006E691B"/>
    <w:rsid w:val="006E71F8"/>
    <w:rsid w:val="006E757E"/>
    <w:rsid w:val="006F0C26"/>
    <w:rsid w:val="006F1F00"/>
    <w:rsid w:val="006F48A3"/>
    <w:rsid w:val="00700916"/>
    <w:rsid w:val="00700999"/>
    <w:rsid w:val="00703221"/>
    <w:rsid w:val="00703726"/>
    <w:rsid w:val="00705E7B"/>
    <w:rsid w:val="00713125"/>
    <w:rsid w:val="00713A7B"/>
    <w:rsid w:val="007143FE"/>
    <w:rsid w:val="00716C0C"/>
    <w:rsid w:val="00720B22"/>
    <w:rsid w:val="0072168B"/>
    <w:rsid w:val="00722AF6"/>
    <w:rsid w:val="00730780"/>
    <w:rsid w:val="0073145E"/>
    <w:rsid w:val="00733299"/>
    <w:rsid w:val="00734522"/>
    <w:rsid w:val="00734B26"/>
    <w:rsid w:val="00736E48"/>
    <w:rsid w:val="0074083A"/>
    <w:rsid w:val="007412F0"/>
    <w:rsid w:val="00741618"/>
    <w:rsid w:val="00741A66"/>
    <w:rsid w:val="007440AA"/>
    <w:rsid w:val="00744403"/>
    <w:rsid w:val="00745A6D"/>
    <w:rsid w:val="0075209D"/>
    <w:rsid w:val="00754359"/>
    <w:rsid w:val="00757C61"/>
    <w:rsid w:val="007605E8"/>
    <w:rsid w:val="00760751"/>
    <w:rsid w:val="00761C2F"/>
    <w:rsid w:val="0076216A"/>
    <w:rsid w:val="00762760"/>
    <w:rsid w:val="007633AF"/>
    <w:rsid w:val="00763AF4"/>
    <w:rsid w:val="00764AD0"/>
    <w:rsid w:val="00764C29"/>
    <w:rsid w:val="0076750C"/>
    <w:rsid w:val="00774C22"/>
    <w:rsid w:val="00777017"/>
    <w:rsid w:val="007823A8"/>
    <w:rsid w:val="00783968"/>
    <w:rsid w:val="00784333"/>
    <w:rsid w:val="00785387"/>
    <w:rsid w:val="00794CE7"/>
    <w:rsid w:val="00795E82"/>
    <w:rsid w:val="00797E99"/>
    <w:rsid w:val="007A1B2E"/>
    <w:rsid w:val="007A38C3"/>
    <w:rsid w:val="007A5A0B"/>
    <w:rsid w:val="007A6E91"/>
    <w:rsid w:val="007B0695"/>
    <w:rsid w:val="007B34C6"/>
    <w:rsid w:val="007B6777"/>
    <w:rsid w:val="007B7391"/>
    <w:rsid w:val="007C15F1"/>
    <w:rsid w:val="007C19AA"/>
    <w:rsid w:val="007C24E3"/>
    <w:rsid w:val="007C3D73"/>
    <w:rsid w:val="007C4A3B"/>
    <w:rsid w:val="007C5CB6"/>
    <w:rsid w:val="007C5D3A"/>
    <w:rsid w:val="007D00E0"/>
    <w:rsid w:val="007D0418"/>
    <w:rsid w:val="007D09BC"/>
    <w:rsid w:val="007D1A6B"/>
    <w:rsid w:val="007D4A63"/>
    <w:rsid w:val="007D7317"/>
    <w:rsid w:val="007D7667"/>
    <w:rsid w:val="007E0869"/>
    <w:rsid w:val="007E1ADB"/>
    <w:rsid w:val="007E3339"/>
    <w:rsid w:val="007E336F"/>
    <w:rsid w:val="007E411B"/>
    <w:rsid w:val="007E5151"/>
    <w:rsid w:val="007F1119"/>
    <w:rsid w:val="007F6BB2"/>
    <w:rsid w:val="007F7A24"/>
    <w:rsid w:val="00801672"/>
    <w:rsid w:val="00802318"/>
    <w:rsid w:val="00802788"/>
    <w:rsid w:val="00804473"/>
    <w:rsid w:val="008059E6"/>
    <w:rsid w:val="00812A40"/>
    <w:rsid w:val="0081425D"/>
    <w:rsid w:val="0081487A"/>
    <w:rsid w:val="00820DFB"/>
    <w:rsid w:val="00821E6F"/>
    <w:rsid w:val="00822028"/>
    <w:rsid w:val="008239EE"/>
    <w:rsid w:val="00823AD4"/>
    <w:rsid w:val="00824E3F"/>
    <w:rsid w:val="00826A9A"/>
    <w:rsid w:val="00831666"/>
    <w:rsid w:val="008349A3"/>
    <w:rsid w:val="00836929"/>
    <w:rsid w:val="008369B2"/>
    <w:rsid w:val="00840B4E"/>
    <w:rsid w:val="00841957"/>
    <w:rsid w:val="00843EE1"/>
    <w:rsid w:val="00844141"/>
    <w:rsid w:val="008442E2"/>
    <w:rsid w:val="008506A7"/>
    <w:rsid w:val="00855090"/>
    <w:rsid w:val="00856DB8"/>
    <w:rsid w:val="00856E5C"/>
    <w:rsid w:val="0086088D"/>
    <w:rsid w:val="00860929"/>
    <w:rsid w:val="00862835"/>
    <w:rsid w:val="00863583"/>
    <w:rsid w:val="00864069"/>
    <w:rsid w:val="008664E5"/>
    <w:rsid w:val="00870758"/>
    <w:rsid w:val="00870E7A"/>
    <w:rsid w:val="008711D1"/>
    <w:rsid w:val="0087144E"/>
    <w:rsid w:val="008714E8"/>
    <w:rsid w:val="00871C37"/>
    <w:rsid w:val="00874447"/>
    <w:rsid w:val="00881C11"/>
    <w:rsid w:val="008842CB"/>
    <w:rsid w:val="008915E2"/>
    <w:rsid w:val="00893C3D"/>
    <w:rsid w:val="008A16C6"/>
    <w:rsid w:val="008A29CD"/>
    <w:rsid w:val="008A3357"/>
    <w:rsid w:val="008A4258"/>
    <w:rsid w:val="008A4614"/>
    <w:rsid w:val="008A4EBF"/>
    <w:rsid w:val="008A5677"/>
    <w:rsid w:val="008A5838"/>
    <w:rsid w:val="008B14FB"/>
    <w:rsid w:val="008B1E18"/>
    <w:rsid w:val="008B36D3"/>
    <w:rsid w:val="008B3B98"/>
    <w:rsid w:val="008B3F99"/>
    <w:rsid w:val="008B4491"/>
    <w:rsid w:val="008B4730"/>
    <w:rsid w:val="008B4FEF"/>
    <w:rsid w:val="008B5C91"/>
    <w:rsid w:val="008C06C6"/>
    <w:rsid w:val="008C0A59"/>
    <w:rsid w:val="008C4DFF"/>
    <w:rsid w:val="008C6748"/>
    <w:rsid w:val="008D01B0"/>
    <w:rsid w:val="008D0E54"/>
    <w:rsid w:val="008D286D"/>
    <w:rsid w:val="008D2A7F"/>
    <w:rsid w:val="008D4F01"/>
    <w:rsid w:val="008D68A5"/>
    <w:rsid w:val="008D6A33"/>
    <w:rsid w:val="008E035A"/>
    <w:rsid w:val="008E0D57"/>
    <w:rsid w:val="008E30B9"/>
    <w:rsid w:val="008E4AFD"/>
    <w:rsid w:val="008E4F89"/>
    <w:rsid w:val="008E52B9"/>
    <w:rsid w:val="008E66D6"/>
    <w:rsid w:val="008F174B"/>
    <w:rsid w:val="008F1C12"/>
    <w:rsid w:val="008F2E87"/>
    <w:rsid w:val="008F39BF"/>
    <w:rsid w:val="008F466B"/>
    <w:rsid w:val="008F511F"/>
    <w:rsid w:val="008F6593"/>
    <w:rsid w:val="00901281"/>
    <w:rsid w:val="00904341"/>
    <w:rsid w:val="009047FF"/>
    <w:rsid w:val="00906649"/>
    <w:rsid w:val="0091119B"/>
    <w:rsid w:val="00913FFE"/>
    <w:rsid w:val="00914649"/>
    <w:rsid w:val="00916ABD"/>
    <w:rsid w:val="00917097"/>
    <w:rsid w:val="00917867"/>
    <w:rsid w:val="009205D2"/>
    <w:rsid w:val="009208E9"/>
    <w:rsid w:val="00921C34"/>
    <w:rsid w:val="00922307"/>
    <w:rsid w:val="00923263"/>
    <w:rsid w:val="009238A7"/>
    <w:rsid w:val="00925D39"/>
    <w:rsid w:val="00930FCC"/>
    <w:rsid w:val="0093353B"/>
    <w:rsid w:val="009375CD"/>
    <w:rsid w:val="00940634"/>
    <w:rsid w:val="009425D5"/>
    <w:rsid w:val="00942D64"/>
    <w:rsid w:val="00943532"/>
    <w:rsid w:val="00943DF4"/>
    <w:rsid w:val="0094408C"/>
    <w:rsid w:val="009454BC"/>
    <w:rsid w:val="00945847"/>
    <w:rsid w:val="009465CA"/>
    <w:rsid w:val="0095021E"/>
    <w:rsid w:val="009506B2"/>
    <w:rsid w:val="00951706"/>
    <w:rsid w:val="00951CBF"/>
    <w:rsid w:val="009526E4"/>
    <w:rsid w:val="0095347E"/>
    <w:rsid w:val="0095616B"/>
    <w:rsid w:val="00956AF3"/>
    <w:rsid w:val="00956E43"/>
    <w:rsid w:val="009601AD"/>
    <w:rsid w:val="0096027B"/>
    <w:rsid w:val="00961150"/>
    <w:rsid w:val="00961C07"/>
    <w:rsid w:val="009622C0"/>
    <w:rsid w:val="00963D73"/>
    <w:rsid w:val="009640CF"/>
    <w:rsid w:val="00964300"/>
    <w:rsid w:val="00965286"/>
    <w:rsid w:val="00970DE0"/>
    <w:rsid w:val="009716E4"/>
    <w:rsid w:val="00971A91"/>
    <w:rsid w:val="0097507B"/>
    <w:rsid w:val="00982CC2"/>
    <w:rsid w:val="00983C5D"/>
    <w:rsid w:val="00984530"/>
    <w:rsid w:val="0098581E"/>
    <w:rsid w:val="00986BAC"/>
    <w:rsid w:val="00986C26"/>
    <w:rsid w:val="00990161"/>
    <w:rsid w:val="009945DE"/>
    <w:rsid w:val="00994846"/>
    <w:rsid w:val="00996D03"/>
    <w:rsid w:val="00997774"/>
    <w:rsid w:val="009A03B4"/>
    <w:rsid w:val="009A0997"/>
    <w:rsid w:val="009A1063"/>
    <w:rsid w:val="009A3A8B"/>
    <w:rsid w:val="009A4928"/>
    <w:rsid w:val="009A582E"/>
    <w:rsid w:val="009B091D"/>
    <w:rsid w:val="009B382F"/>
    <w:rsid w:val="009B4E82"/>
    <w:rsid w:val="009B5871"/>
    <w:rsid w:val="009B6BB2"/>
    <w:rsid w:val="009C02C1"/>
    <w:rsid w:val="009C14FD"/>
    <w:rsid w:val="009C258F"/>
    <w:rsid w:val="009C543A"/>
    <w:rsid w:val="009C5566"/>
    <w:rsid w:val="009D4127"/>
    <w:rsid w:val="009D78D4"/>
    <w:rsid w:val="009D7FAF"/>
    <w:rsid w:val="009E169D"/>
    <w:rsid w:val="009E34A4"/>
    <w:rsid w:val="009E506C"/>
    <w:rsid w:val="009E535D"/>
    <w:rsid w:val="009E711F"/>
    <w:rsid w:val="009F2686"/>
    <w:rsid w:val="009F46E4"/>
    <w:rsid w:val="009F6479"/>
    <w:rsid w:val="00A0113C"/>
    <w:rsid w:val="00A01642"/>
    <w:rsid w:val="00A0322D"/>
    <w:rsid w:val="00A04F95"/>
    <w:rsid w:val="00A05EA4"/>
    <w:rsid w:val="00A10C6F"/>
    <w:rsid w:val="00A11DE0"/>
    <w:rsid w:val="00A14B80"/>
    <w:rsid w:val="00A158E5"/>
    <w:rsid w:val="00A15FD8"/>
    <w:rsid w:val="00A164B0"/>
    <w:rsid w:val="00A235B2"/>
    <w:rsid w:val="00A25467"/>
    <w:rsid w:val="00A255FA"/>
    <w:rsid w:val="00A26C05"/>
    <w:rsid w:val="00A31A7A"/>
    <w:rsid w:val="00A338B0"/>
    <w:rsid w:val="00A3594D"/>
    <w:rsid w:val="00A3619A"/>
    <w:rsid w:val="00A3722A"/>
    <w:rsid w:val="00A37F93"/>
    <w:rsid w:val="00A41184"/>
    <w:rsid w:val="00A419AF"/>
    <w:rsid w:val="00A4378C"/>
    <w:rsid w:val="00A45B70"/>
    <w:rsid w:val="00A50749"/>
    <w:rsid w:val="00A50B77"/>
    <w:rsid w:val="00A5460A"/>
    <w:rsid w:val="00A54F4C"/>
    <w:rsid w:val="00A56517"/>
    <w:rsid w:val="00A57CBC"/>
    <w:rsid w:val="00A603CB"/>
    <w:rsid w:val="00A60DBA"/>
    <w:rsid w:val="00A616A8"/>
    <w:rsid w:val="00A62C4E"/>
    <w:rsid w:val="00A63098"/>
    <w:rsid w:val="00A6685B"/>
    <w:rsid w:val="00A701AA"/>
    <w:rsid w:val="00A729D6"/>
    <w:rsid w:val="00A72A28"/>
    <w:rsid w:val="00A73C52"/>
    <w:rsid w:val="00A7765A"/>
    <w:rsid w:val="00A777C7"/>
    <w:rsid w:val="00A817BA"/>
    <w:rsid w:val="00A8251F"/>
    <w:rsid w:val="00A8276C"/>
    <w:rsid w:val="00A85146"/>
    <w:rsid w:val="00A863BB"/>
    <w:rsid w:val="00A87409"/>
    <w:rsid w:val="00A90952"/>
    <w:rsid w:val="00A930F2"/>
    <w:rsid w:val="00A93340"/>
    <w:rsid w:val="00A9415A"/>
    <w:rsid w:val="00A9418F"/>
    <w:rsid w:val="00A94EC5"/>
    <w:rsid w:val="00A95CF6"/>
    <w:rsid w:val="00AA17B4"/>
    <w:rsid w:val="00AA503C"/>
    <w:rsid w:val="00AA55E3"/>
    <w:rsid w:val="00AA7F14"/>
    <w:rsid w:val="00AB2381"/>
    <w:rsid w:val="00AB2C62"/>
    <w:rsid w:val="00AB31C0"/>
    <w:rsid w:val="00AB553E"/>
    <w:rsid w:val="00AB6C3B"/>
    <w:rsid w:val="00AB79B3"/>
    <w:rsid w:val="00AC07B1"/>
    <w:rsid w:val="00AC3470"/>
    <w:rsid w:val="00AC3B8A"/>
    <w:rsid w:val="00AC6678"/>
    <w:rsid w:val="00AD08D7"/>
    <w:rsid w:val="00AD0A9E"/>
    <w:rsid w:val="00AD1573"/>
    <w:rsid w:val="00AD2791"/>
    <w:rsid w:val="00AD38D2"/>
    <w:rsid w:val="00AD40A4"/>
    <w:rsid w:val="00AD476C"/>
    <w:rsid w:val="00AD4C82"/>
    <w:rsid w:val="00AE43EE"/>
    <w:rsid w:val="00AE5660"/>
    <w:rsid w:val="00AF2A99"/>
    <w:rsid w:val="00AF4732"/>
    <w:rsid w:val="00AF4957"/>
    <w:rsid w:val="00AF4F85"/>
    <w:rsid w:val="00AF60FD"/>
    <w:rsid w:val="00AF7088"/>
    <w:rsid w:val="00AF73C4"/>
    <w:rsid w:val="00B01A98"/>
    <w:rsid w:val="00B04EF6"/>
    <w:rsid w:val="00B06591"/>
    <w:rsid w:val="00B06A53"/>
    <w:rsid w:val="00B06AEA"/>
    <w:rsid w:val="00B11A9D"/>
    <w:rsid w:val="00B11EEB"/>
    <w:rsid w:val="00B1394D"/>
    <w:rsid w:val="00B15005"/>
    <w:rsid w:val="00B211CB"/>
    <w:rsid w:val="00B251EA"/>
    <w:rsid w:val="00B26243"/>
    <w:rsid w:val="00B31044"/>
    <w:rsid w:val="00B34034"/>
    <w:rsid w:val="00B35387"/>
    <w:rsid w:val="00B35BC5"/>
    <w:rsid w:val="00B36CB0"/>
    <w:rsid w:val="00B374E8"/>
    <w:rsid w:val="00B3759A"/>
    <w:rsid w:val="00B3785D"/>
    <w:rsid w:val="00B4171A"/>
    <w:rsid w:val="00B41984"/>
    <w:rsid w:val="00B42AEC"/>
    <w:rsid w:val="00B43F3A"/>
    <w:rsid w:val="00B4421E"/>
    <w:rsid w:val="00B44B19"/>
    <w:rsid w:val="00B45782"/>
    <w:rsid w:val="00B46221"/>
    <w:rsid w:val="00B46334"/>
    <w:rsid w:val="00B479D1"/>
    <w:rsid w:val="00B50B43"/>
    <w:rsid w:val="00B538BF"/>
    <w:rsid w:val="00B5501B"/>
    <w:rsid w:val="00B578F2"/>
    <w:rsid w:val="00B61CE4"/>
    <w:rsid w:val="00B628A3"/>
    <w:rsid w:val="00B653A1"/>
    <w:rsid w:val="00B679CF"/>
    <w:rsid w:val="00B76562"/>
    <w:rsid w:val="00B769EA"/>
    <w:rsid w:val="00B77989"/>
    <w:rsid w:val="00B84A9C"/>
    <w:rsid w:val="00B863F9"/>
    <w:rsid w:val="00B90453"/>
    <w:rsid w:val="00B91791"/>
    <w:rsid w:val="00B9208F"/>
    <w:rsid w:val="00B935F8"/>
    <w:rsid w:val="00B93A93"/>
    <w:rsid w:val="00B9409A"/>
    <w:rsid w:val="00B976F8"/>
    <w:rsid w:val="00B97A55"/>
    <w:rsid w:val="00B97A9F"/>
    <w:rsid w:val="00B97F89"/>
    <w:rsid w:val="00BA4D73"/>
    <w:rsid w:val="00BA6B70"/>
    <w:rsid w:val="00BA7495"/>
    <w:rsid w:val="00BA7E01"/>
    <w:rsid w:val="00BB093D"/>
    <w:rsid w:val="00BB104E"/>
    <w:rsid w:val="00BB1B4B"/>
    <w:rsid w:val="00BB336A"/>
    <w:rsid w:val="00BB4133"/>
    <w:rsid w:val="00BB745F"/>
    <w:rsid w:val="00BC3225"/>
    <w:rsid w:val="00BC418C"/>
    <w:rsid w:val="00BC609C"/>
    <w:rsid w:val="00BC6983"/>
    <w:rsid w:val="00BD1F43"/>
    <w:rsid w:val="00BE1FFF"/>
    <w:rsid w:val="00BE35BD"/>
    <w:rsid w:val="00BE36C4"/>
    <w:rsid w:val="00BF1834"/>
    <w:rsid w:val="00BF20DC"/>
    <w:rsid w:val="00BF2DCF"/>
    <w:rsid w:val="00BF38CD"/>
    <w:rsid w:val="00BF3C67"/>
    <w:rsid w:val="00BF3E71"/>
    <w:rsid w:val="00BF4171"/>
    <w:rsid w:val="00BF5C3A"/>
    <w:rsid w:val="00BF5CBB"/>
    <w:rsid w:val="00BF734C"/>
    <w:rsid w:val="00BF7CD7"/>
    <w:rsid w:val="00C044BE"/>
    <w:rsid w:val="00C11222"/>
    <w:rsid w:val="00C11B34"/>
    <w:rsid w:val="00C15493"/>
    <w:rsid w:val="00C20166"/>
    <w:rsid w:val="00C20A92"/>
    <w:rsid w:val="00C211B8"/>
    <w:rsid w:val="00C21CB7"/>
    <w:rsid w:val="00C27A75"/>
    <w:rsid w:val="00C3263C"/>
    <w:rsid w:val="00C32FDD"/>
    <w:rsid w:val="00C34700"/>
    <w:rsid w:val="00C41883"/>
    <w:rsid w:val="00C42A80"/>
    <w:rsid w:val="00C433BC"/>
    <w:rsid w:val="00C50C07"/>
    <w:rsid w:val="00C50DA9"/>
    <w:rsid w:val="00C522D2"/>
    <w:rsid w:val="00C526CD"/>
    <w:rsid w:val="00C554BA"/>
    <w:rsid w:val="00C5641D"/>
    <w:rsid w:val="00C57D7E"/>
    <w:rsid w:val="00C6028D"/>
    <w:rsid w:val="00C6129E"/>
    <w:rsid w:val="00C6269B"/>
    <w:rsid w:val="00C734CA"/>
    <w:rsid w:val="00C748AD"/>
    <w:rsid w:val="00C77942"/>
    <w:rsid w:val="00C8104F"/>
    <w:rsid w:val="00C843EC"/>
    <w:rsid w:val="00C84810"/>
    <w:rsid w:val="00C84EC5"/>
    <w:rsid w:val="00C85504"/>
    <w:rsid w:val="00C85FF6"/>
    <w:rsid w:val="00C864A2"/>
    <w:rsid w:val="00C866CB"/>
    <w:rsid w:val="00C87F97"/>
    <w:rsid w:val="00C90BFF"/>
    <w:rsid w:val="00C91C82"/>
    <w:rsid w:val="00C961B0"/>
    <w:rsid w:val="00C96AC6"/>
    <w:rsid w:val="00CA0DDF"/>
    <w:rsid w:val="00CA2AEE"/>
    <w:rsid w:val="00CA2E4B"/>
    <w:rsid w:val="00CA4054"/>
    <w:rsid w:val="00CA4F69"/>
    <w:rsid w:val="00CA5268"/>
    <w:rsid w:val="00CB67A2"/>
    <w:rsid w:val="00CB7847"/>
    <w:rsid w:val="00CC3AEB"/>
    <w:rsid w:val="00CC3F0E"/>
    <w:rsid w:val="00CC7A36"/>
    <w:rsid w:val="00CC7E0A"/>
    <w:rsid w:val="00CD072A"/>
    <w:rsid w:val="00CD2B54"/>
    <w:rsid w:val="00CD4672"/>
    <w:rsid w:val="00CD4DED"/>
    <w:rsid w:val="00CD5991"/>
    <w:rsid w:val="00CD7777"/>
    <w:rsid w:val="00CE2FC3"/>
    <w:rsid w:val="00CE3A67"/>
    <w:rsid w:val="00CE5A76"/>
    <w:rsid w:val="00CF3418"/>
    <w:rsid w:val="00CF48A1"/>
    <w:rsid w:val="00CF5352"/>
    <w:rsid w:val="00D009FA"/>
    <w:rsid w:val="00D0324F"/>
    <w:rsid w:val="00D03C38"/>
    <w:rsid w:val="00D056E8"/>
    <w:rsid w:val="00D05BF5"/>
    <w:rsid w:val="00D110AE"/>
    <w:rsid w:val="00D115E5"/>
    <w:rsid w:val="00D15722"/>
    <w:rsid w:val="00D161D2"/>
    <w:rsid w:val="00D168D5"/>
    <w:rsid w:val="00D1718C"/>
    <w:rsid w:val="00D20208"/>
    <w:rsid w:val="00D24057"/>
    <w:rsid w:val="00D2435F"/>
    <w:rsid w:val="00D247FB"/>
    <w:rsid w:val="00D3095B"/>
    <w:rsid w:val="00D310F7"/>
    <w:rsid w:val="00D32056"/>
    <w:rsid w:val="00D32145"/>
    <w:rsid w:val="00D3314C"/>
    <w:rsid w:val="00D338FD"/>
    <w:rsid w:val="00D3533C"/>
    <w:rsid w:val="00D3593D"/>
    <w:rsid w:val="00D36B30"/>
    <w:rsid w:val="00D42F68"/>
    <w:rsid w:val="00D45725"/>
    <w:rsid w:val="00D46A11"/>
    <w:rsid w:val="00D46E88"/>
    <w:rsid w:val="00D500B2"/>
    <w:rsid w:val="00D52E6C"/>
    <w:rsid w:val="00D548B2"/>
    <w:rsid w:val="00D55A39"/>
    <w:rsid w:val="00D55A6E"/>
    <w:rsid w:val="00D5756D"/>
    <w:rsid w:val="00D60AE9"/>
    <w:rsid w:val="00D611E9"/>
    <w:rsid w:val="00D61E01"/>
    <w:rsid w:val="00D6201E"/>
    <w:rsid w:val="00D646BE"/>
    <w:rsid w:val="00D64AFA"/>
    <w:rsid w:val="00D64FE9"/>
    <w:rsid w:val="00D6528C"/>
    <w:rsid w:val="00D724BD"/>
    <w:rsid w:val="00D74B95"/>
    <w:rsid w:val="00D7519B"/>
    <w:rsid w:val="00D76AF2"/>
    <w:rsid w:val="00D80E13"/>
    <w:rsid w:val="00D81C39"/>
    <w:rsid w:val="00D82FB3"/>
    <w:rsid w:val="00D833B7"/>
    <w:rsid w:val="00D8349A"/>
    <w:rsid w:val="00D83704"/>
    <w:rsid w:val="00D874F0"/>
    <w:rsid w:val="00D908A5"/>
    <w:rsid w:val="00D9118F"/>
    <w:rsid w:val="00D92F81"/>
    <w:rsid w:val="00D93EE5"/>
    <w:rsid w:val="00D94672"/>
    <w:rsid w:val="00D95AF2"/>
    <w:rsid w:val="00D966BE"/>
    <w:rsid w:val="00D97EBC"/>
    <w:rsid w:val="00DA1C01"/>
    <w:rsid w:val="00DA4403"/>
    <w:rsid w:val="00DA513E"/>
    <w:rsid w:val="00DA5458"/>
    <w:rsid w:val="00DA57CB"/>
    <w:rsid w:val="00DA5A17"/>
    <w:rsid w:val="00DB42F1"/>
    <w:rsid w:val="00DB546A"/>
    <w:rsid w:val="00DB5F57"/>
    <w:rsid w:val="00DB6486"/>
    <w:rsid w:val="00DB7D6F"/>
    <w:rsid w:val="00DC08EE"/>
    <w:rsid w:val="00DC1FE9"/>
    <w:rsid w:val="00DC44E1"/>
    <w:rsid w:val="00DC5B51"/>
    <w:rsid w:val="00DC7E7F"/>
    <w:rsid w:val="00DD0631"/>
    <w:rsid w:val="00DD18F5"/>
    <w:rsid w:val="00DD25AC"/>
    <w:rsid w:val="00DD2D0C"/>
    <w:rsid w:val="00DD3BC2"/>
    <w:rsid w:val="00DD4182"/>
    <w:rsid w:val="00DD73F4"/>
    <w:rsid w:val="00DD7C96"/>
    <w:rsid w:val="00DE01E7"/>
    <w:rsid w:val="00DE0746"/>
    <w:rsid w:val="00DE3661"/>
    <w:rsid w:val="00DE4414"/>
    <w:rsid w:val="00DE4E4E"/>
    <w:rsid w:val="00DE7767"/>
    <w:rsid w:val="00DF0A5B"/>
    <w:rsid w:val="00DF1DA9"/>
    <w:rsid w:val="00DF69E8"/>
    <w:rsid w:val="00DF73E2"/>
    <w:rsid w:val="00E004E0"/>
    <w:rsid w:val="00E02E8E"/>
    <w:rsid w:val="00E042F0"/>
    <w:rsid w:val="00E057B8"/>
    <w:rsid w:val="00E07421"/>
    <w:rsid w:val="00E13550"/>
    <w:rsid w:val="00E15639"/>
    <w:rsid w:val="00E1669B"/>
    <w:rsid w:val="00E21873"/>
    <w:rsid w:val="00E23101"/>
    <w:rsid w:val="00E235EE"/>
    <w:rsid w:val="00E23988"/>
    <w:rsid w:val="00E23B7E"/>
    <w:rsid w:val="00E23E64"/>
    <w:rsid w:val="00E270F4"/>
    <w:rsid w:val="00E30D95"/>
    <w:rsid w:val="00E372D0"/>
    <w:rsid w:val="00E37F7E"/>
    <w:rsid w:val="00E41BB0"/>
    <w:rsid w:val="00E421F7"/>
    <w:rsid w:val="00E4426C"/>
    <w:rsid w:val="00E45B68"/>
    <w:rsid w:val="00E465E7"/>
    <w:rsid w:val="00E55446"/>
    <w:rsid w:val="00E566B5"/>
    <w:rsid w:val="00E5718B"/>
    <w:rsid w:val="00E60F0F"/>
    <w:rsid w:val="00E61477"/>
    <w:rsid w:val="00E62370"/>
    <w:rsid w:val="00E6449A"/>
    <w:rsid w:val="00E6510C"/>
    <w:rsid w:val="00E6566C"/>
    <w:rsid w:val="00E666D4"/>
    <w:rsid w:val="00E67300"/>
    <w:rsid w:val="00E67571"/>
    <w:rsid w:val="00E7221A"/>
    <w:rsid w:val="00E72DC9"/>
    <w:rsid w:val="00E737AD"/>
    <w:rsid w:val="00E75A2F"/>
    <w:rsid w:val="00E81536"/>
    <w:rsid w:val="00E8378A"/>
    <w:rsid w:val="00E83C7D"/>
    <w:rsid w:val="00E85C89"/>
    <w:rsid w:val="00E86338"/>
    <w:rsid w:val="00E87F87"/>
    <w:rsid w:val="00E97755"/>
    <w:rsid w:val="00EA2BD5"/>
    <w:rsid w:val="00EA46D2"/>
    <w:rsid w:val="00EA501B"/>
    <w:rsid w:val="00EA5678"/>
    <w:rsid w:val="00EA7A84"/>
    <w:rsid w:val="00EB2430"/>
    <w:rsid w:val="00EB34B8"/>
    <w:rsid w:val="00EB371E"/>
    <w:rsid w:val="00EB3817"/>
    <w:rsid w:val="00EB4054"/>
    <w:rsid w:val="00EB49FF"/>
    <w:rsid w:val="00EC1974"/>
    <w:rsid w:val="00EC2608"/>
    <w:rsid w:val="00EC27FB"/>
    <w:rsid w:val="00EC4CCE"/>
    <w:rsid w:val="00EC68AE"/>
    <w:rsid w:val="00EC73A8"/>
    <w:rsid w:val="00ED054D"/>
    <w:rsid w:val="00ED1DAB"/>
    <w:rsid w:val="00ED1FAB"/>
    <w:rsid w:val="00ED2DBC"/>
    <w:rsid w:val="00ED3E55"/>
    <w:rsid w:val="00ED5287"/>
    <w:rsid w:val="00ED7B79"/>
    <w:rsid w:val="00EE0E36"/>
    <w:rsid w:val="00EE10E4"/>
    <w:rsid w:val="00EE2386"/>
    <w:rsid w:val="00EE2EE6"/>
    <w:rsid w:val="00EE58B6"/>
    <w:rsid w:val="00EE6F1A"/>
    <w:rsid w:val="00EF20CA"/>
    <w:rsid w:val="00EF4083"/>
    <w:rsid w:val="00EF440A"/>
    <w:rsid w:val="00EF6214"/>
    <w:rsid w:val="00EF7E23"/>
    <w:rsid w:val="00F01649"/>
    <w:rsid w:val="00F03724"/>
    <w:rsid w:val="00F0388E"/>
    <w:rsid w:val="00F04FD4"/>
    <w:rsid w:val="00F115C8"/>
    <w:rsid w:val="00F116DB"/>
    <w:rsid w:val="00F11A8A"/>
    <w:rsid w:val="00F11B36"/>
    <w:rsid w:val="00F12F32"/>
    <w:rsid w:val="00F13362"/>
    <w:rsid w:val="00F14FED"/>
    <w:rsid w:val="00F15E1B"/>
    <w:rsid w:val="00F17D8B"/>
    <w:rsid w:val="00F2012F"/>
    <w:rsid w:val="00F201ED"/>
    <w:rsid w:val="00F2063E"/>
    <w:rsid w:val="00F22783"/>
    <w:rsid w:val="00F22BA3"/>
    <w:rsid w:val="00F25901"/>
    <w:rsid w:val="00F306AA"/>
    <w:rsid w:val="00F3150F"/>
    <w:rsid w:val="00F317EE"/>
    <w:rsid w:val="00F32FE0"/>
    <w:rsid w:val="00F33CA1"/>
    <w:rsid w:val="00F345DE"/>
    <w:rsid w:val="00F351CA"/>
    <w:rsid w:val="00F36360"/>
    <w:rsid w:val="00F364E9"/>
    <w:rsid w:val="00F37BF8"/>
    <w:rsid w:val="00F41D4B"/>
    <w:rsid w:val="00F423A7"/>
    <w:rsid w:val="00F44698"/>
    <w:rsid w:val="00F45C89"/>
    <w:rsid w:val="00F503B5"/>
    <w:rsid w:val="00F50B3E"/>
    <w:rsid w:val="00F54A5B"/>
    <w:rsid w:val="00F55CE5"/>
    <w:rsid w:val="00F56697"/>
    <w:rsid w:val="00F56825"/>
    <w:rsid w:val="00F600AA"/>
    <w:rsid w:val="00F6039C"/>
    <w:rsid w:val="00F6157D"/>
    <w:rsid w:val="00F61977"/>
    <w:rsid w:val="00F6281E"/>
    <w:rsid w:val="00F67FD6"/>
    <w:rsid w:val="00F71CDD"/>
    <w:rsid w:val="00F81055"/>
    <w:rsid w:val="00F812A1"/>
    <w:rsid w:val="00F83F78"/>
    <w:rsid w:val="00F84B88"/>
    <w:rsid w:val="00F86206"/>
    <w:rsid w:val="00F867B3"/>
    <w:rsid w:val="00F87B8A"/>
    <w:rsid w:val="00F94C6D"/>
    <w:rsid w:val="00F96319"/>
    <w:rsid w:val="00FA0317"/>
    <w:rsid w:val="00FA2DBE"/>
    <w:rsid w:val="00FA58A6"/>
    <w:rsid w:val="00FA6C4F"/>
    <w:rsid w:val="00FB03A8"/>
    <w:rsid w:val="00FB1270"/>
    <w:rsid w:val="00FB15E1"/>
    <w:rsid w:val="00FB1896"/>
    <w:rsid w:val="00FB7666"/>
    <w:rsid w:val="00FC2EA6"/>
    <w:rsid w:val="00FC307E"/>
    <w:rsid w:val="00FC456B"/>
    <w:rsid w:val="00FC76AC"/>
    <w:rsid w:val="00FD0758"/>
    <w:rsid w:val="00FD248F"/>
    <w:rsid w:val="00FD2A26"/>
    <w:rsid w:val="00FD480C"/>
    <w:rsid w:val="00FD5C08"/>
    <w:rsid w:val="00FD6163"/>
    <w:rsid w:val="00FD7515"/>
    <w:rsid w:val="00FD7AA9"/>
    <w:rsid w:val="00FE5943"/>
    <w:rsid w:val="00FE6C89"/>
    <w:rsid w:val="00FE6CC3"/>
    <w:rsid w:val="00FE6CD9"/>
    <w:rsid w:val="00FE6D9F"/>
    <w:rsid w:val="00FF221C"/>
    <w:rsid w:val="00FF44E7"/>
    <w:rsid w:val="00FF580C"/>
    <w:rsid w:val="00FF6177"/>
    <w:rsid w:val="00FF6688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944DF"/>
  <w15:docId w15:val="{4E520E98-68C6-4479-A047-724BAD75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DAB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Nad,Nadpis pro KZ,odrážky,Odstavec cíl se seznamem,můj Nadpis 2,List Paragraph_0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aliases w:val="fn,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qFormat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fn Char,Footnote Char,Text poznámky pod čiarou 007 Char,Schriftart: 9 pt Char,Schriftart: 10 pt Char,Schriftart: 8 pt Char,Fußnotentextf Char,Geneva 9 Char,Font: Geneva 9 Char,Boston 10 Char,f Char"/>
    <w:link w:val="Textpoznpodarou"/>
    <w:uiPriority w:val="99"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,4_G,Appel note de bas de p,Appel note de bas de page,BVI fnr,Char Car Car Car Car,Footnote Reference Superscript,Footnote symbol"/>
    <w:uiPriority w:val="99"/>
    <w:unhideWhenUsed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Nadpis pro KZ Char,odrážky Char,Odstavec cíl se seznamem Char,můj Nadpis 2 Char,List Paragraph_0 Char"/>
    <w:link w:val="Odstavecseseznamem"/>
    <w:uiPriority w:val="34"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Z-normln">
    <w:name w:val="KZ-normální"/>
    <w:basedOn w:val="Normln"/>
    <w:link w:val="KZ-normlnChar"/>
    <w:qFormat/>
    <w:rsid w:val="00304687"/>
    <w:pPr>
      <w:spacing w:after="120"/>
    </w:pPr>
    <w:rPr>
      <w:rFonts w:asciiTheme="minorHAnsi" w:hAnsiTheme="minorHAnsi" w:cs="Arial"/>
      <w:szCs w:val="22"/>
    </w:rPr>
  </w:style>
  <w:style w:type="character" w:customStyle="1" w:styleId="KZ-normlnChar">
    <w:name w:val="KZ-normální Char"/>
    <w:link w:val="KZ-normln"/>
    <w:rsid w:val="00304687"/>
    <w:rPr>
      <w:rFonts w:asciiTheme="minorHAnsi" w:hAnsiTheme="minorHAnsi" w:cs="Arial"/>
      <w:color w:val="000000"/>
      <w:sz w:val="24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5869C6"/>
    <w:pPr>
      <w:spacing w:before="0"/>
    </w:pPr>
    <w:rPr>
      <w:rFonts w:asciiTheme="minorHAnsi" w:hAnsiTheme="minorHAnsi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605C"/>
    <w:rPr>
      <w:rFonts w:ascii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EF20CA"/>
    <w:pPr>
      <w:jc w:val="both"/>
    </w:pPr>
    <w:rPr>
      <w:rFonts w:asciiTheme="minorHAnsi" w:hAnsiTheme="minorHAnsi" w:cs="Arial"/>
      <w:sz w:val="24"/>
      <w:szCs w:val="24"/>
      <w:lang w:eastAsia="en-US"/>
    </w:rPr>
  </w:style>
  <w:style w:type="character" w:customStyle="1" w:styleId="A15">
    <w:name w:val="A15"/>
    <w:uiPriority w:val="99"/>
    <w:rsid w:val="00964300"/>
    <w:rPr>
      <w:color w:val="000000"/>
      <w:sz w:val="36"/>
      <w:szCs w:val="36"/>
    </w:rPr>
  </w:style>
  <w:style w:type="table" w:customStyle="1" w:styleId="Mkatabulky1">
    <w:name w:val="Mřížka tabulky1"/>
    <w:basedOn w:val="Normlntabulka"/>
    <w:next w:val="Mkatabulky"/>
    <w:uiPriority w:val="39"/>
    <w:rsid w:val="005E20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6243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6243"/>
    <w:rPr>
      <w:rFonts w:ascii="Calibri" w:hAnsi="Calibri" w:cs="Calibri"/>
      <w:color w:val="00000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26243"/>
    <w:rPr>
      <w:vertAlign w:val="superscript"/>
    </w:rPr>
  </w:style>
  <w:style w:type="paragraph" w:styleId="Revize">
    <w:name w:val="Revision"/>
    <w:hidden/>
    <w:uiPriority w:val="99"/>
    <w:semiHidden/>
    <w:rsid w:val="003A4D0D"/>
    <w:rPr>
      <w:rFonts w:ascii="Calibri" w:hAnsi="Calibri"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6221"/>
    <w:rPr>
      <w:color w:val="800080" w:themeColor="followedHyperlink"/>
      <w:u w:val="single"/>
    </w:rPr>
  </w:style>
  <w:style w:type="table" w:customStyle="1" w:styleId="Mkatabulky3">
    <w:name w:val="Mřížka tabulky3"/>
    <w:basedOn w:val="Normlntabulka"/>
    <w:next w:val="Mkatabulky"/>
    <w:uiPriority w:val="39"/>
    <w:rsid w:val="00A82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DD0631"/>
    <w:rPr>
      <w:color w:val="000000"/>
      <w:sz w:val="28"/>
      <w:szCs w:val="28"/>
    </w:rPr>
  </w:style>
  <w:style w:type="character" w:customStyle="1" w:styleId="A4">
    <w:name w:val="A4"/>
    <w:uiPriority w:val="99"/>
    <w:rsid w:val="00DD0631"/>
    <w:rPr>
      <w:color w:val="000000"/>
      <w:sz w:val="60"/>
      <w:szCs w:val="60"/>
    </w:rPr>
  </w:style>
  <w:style w:type="character" w:customStyle="1" w:styleId="A5">
    <w:name w:val="A5"/>
    <w:uiPriority w:val="99"/>
    <w:rsid w:val="00DD0631"/>
    <w:rPr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chart" Target="charts/chart3.xml"/><Relationship Id="rId26" Type="http://schemas.openxmlformats.org/officeDocument/2006/relationships/hyperlink" Target="http://www.shanghairanking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versitas21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universitas21.com/network/u21-open-resources-and-publications/u21-rankings/u21-ranking-national-higher-education" TargetMode="External"/><Relationship Id="rId25" Type="http://schemas.openxmlformats.org/officeDocument/2006/relationships/hyperlink" Target="https://www.timeshighereducation.com/world-university-rankings/2021/world-rank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c.europa.eu/projects-figures/erc-funded-projects" TargetMode="External"/><Relationship Id="rId20" Type="http://schemas.openxmlformats.org/officeDocument/2006/relationships/chart" Target="charts/chart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topuniversities.com/university-rankings-articles/world-university-rankings/top-universities-world-2021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ec.europa.eu/info/funding-tenders/opportunities/portal/screen/opportunities/horizon-dashboard" TargetMode="External"/><Relationship Id="rId23" Type="http://schemas.openxmlformats.org/officeDocument/2006/relationships/hyperlink" Target="http://www.shanghairanking.com/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universitas21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http://www.universitas21.com" TargetMode="External"/><Relationship Id="rId27" Type="http://schemas.openxmlformats.org/officeDocument/2006/relationships/hyperlink" Target="https://www.topuniversities.com/university-rankings-articles/world-university-rankings/top-universities-world-2021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Graf%20v%20aplikaci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VOJTKOVIC\KA%202006\profesn&#283;%20orientovan&#237;%20bakal&#225;&#345;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F1\VOJTKOVIC\KA%202006\mezin&#225;rodn&#237;%20srovn&#225;n&#237;%20tabulky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129276667714571E-2"/>
          <c:y val="9.9965608689664101E-2"/>
          <c:w val="0.94468068928709814"/>
          <c:h val="0.704702030819051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4595"/>
            </a:solidFill>
            <a:ln>
              <a:noFill/>
            </a:ln>
            <a:effectLst/>
            <a:sp3d/>
          </c:spPr>
          <c:invertIfNegative val="0"/>
          <c:dPt>
            <c:idx val="6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F59-4C7A-8AB4-D77F0828470C}"/>
              </c:ext>
            </c:extLst>
          </c:dPt>
          <c:dPt>
            <c:idx val="17"/>
            <c:invertIfNegative val="0"/>
            <c:bubble3D val="0"/>
            <c:spPr>
              <a:solidFill>
                <a:srgbClr val="BD2A33"/>
              </a:solidFill>
              <a:ln>
                <a:solidFill>
                  <a:srgbClr val="BD2A33"/>
                </a:solidFill>
              </a:ln>
              <a:effectLst/>
              <a:sp3d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F59-4C7A-8AB4-D77F0828470C}"/>
              </c:ext>
            </c:extLst>
          </c:dPt>
          <c:dPt>
            <c:idx val="18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F59-4C7A-8AB4-D77F0828470C}"/>
              </c:ext>
            </c:extLst>
          </c:dPt>
          <c:dLbls>
            <c:dLbl>
              <c:idx val="6"/>
              <c:layout>
                <c:manualLayout>
                  <c:x val="1.3475572497882216E-2"/>
                  <c:y val="-1.718576528259352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0258"/>
                        <a:gd name="adj2" fmla="val 76387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1-FF59-4C7A-8AB4-D77F0828470C}"/>
                </c:ext>
              </c:extLst>
            </c:dLbl>
            <c:dLbl>
              <c:idx val="17"/>
              <c:layout>
                <c:manualLayout>
                  <c:x val="-5.8931696037995286E-2"/>
                  <c:y val="-7.4280065588330738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0205"/>
                        <a:gd name="adj2" fmla="val 154771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FF59-4C7A-8AB4-D77F0828470C}"/>
                </c:ext>
              </c:extLst>
            </c:dLbl>
            <c:dLbl>
              <c:idx val="18"/>
              <c:layout>
                <c:manualLayout>
                  <c:x val="0.11412254023802586"/>
                  <c:y val="-7.0690641706663074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59418"/>
                        <a:gd name="adj2" fmla="val 159704"/>
                      </a:avLst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5-FF59-4C7A-8AB4-D77F0828470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0"/>
              </c:ext>
            </c:extLst>
          </c:dLbls>
          <c:cat>
            <c:strRef>
              <c:f>'[Graf v aplikaci Microsoft Word]výdaje na studenta'!$A$1:$A$36</c:f>
              <c:strCache>
                <c:ptCount val="36"/>
                <c:pt idx="0">
                  <c:v>Mexiko</c:v>
                </c:pt>
                <c:pt idx="1">
                  <c:v>Lotyšško</c:v>
                </c:pt>
                <c:pt idx="2">
                  <c:v>Chile</c:v>
                </c:pt>
                <c:pt idx="3">
                  <c:v>Turecko</c:v>
                </c:pt>
                <c:pt idx="4">
                  <c:v>Polsko</c:v>
                </c:pt>
                <c:pt idx="5">
                  <c:v>Jižní Korea</c:v>
                </c:pt>
                <c:pt idx="6">
                  <c:v>Česká republika</c:v>
                </c:pt>
                <c:pt idx="7">
                  <c:v>Slovensko</c:v>
                </c:pt>
                <c:pt idx="8">
                  <c:v>Portugalsko</c:v>
                </c:pt>
                <c:pt idx="9">
                  <c:v>Itálie</c:v>
                </c:pt>
                <c:pt idx="10">
                  <c:v>Izrael</c:v>
                </c:pt>
                <c:pt idx="11">
                  <c:v>Slovinsko</c:v>
                </c:pt>
                <c:pt idx="12">
                  <c:v>Maďarsko</c:v>
                </c:pt>
                <c:pt idx="13">
                  <c:v>Španělsko</c:v>
                </c:pt>
                <c:pt idx="14">
                  <c:v>Estonsko</c:v>
                </c:pt>
                <c:pt idx="15">
                  <c:v>Nový Zéland</c:v>
                </c:pt>
                <c:pt idx="16">
                  <c:v>Island</c:v>
                </c:pt>
                <c:pt idx="17">
                  <c:v>OECD průměr</c:v>
                </c:pt>
                <c:pt idx="18">
                  <c:v>EU23 průměr</c:v>
                </c:pt>
                <c:pt idx="19">
                  <c:v>Irsko</c:v>
                </c:pt>
                <c:pt idx="20">
                  <c:v>Francie</c:v>
                </c:pt>
                <c:pt idx="21">
                  <c:v>Finsko</c:v>
                </c:pt>
                <c:pt idx="22">
                  <c:v>Dánsko</c:v>
                </c:pt>
                <c:pt idx="23">
                  <c:v>Německo</c:v>
                </c:pt>
                <c:pt idx="24">
                  <c:v>Japonsko</c:v>
                </c:pt>
                <c:pt idx="25">
                  <c:v>Rakousko</c:v>
                </c:pt>
                <c:pt idx="26">
                  <c:v>Belgie</c:v>
                </c:pt>
                <c:pt idx="27">
                  <c:v>Austrálie</c:v>
                </c:pt>
                <c:pt idx="28">
                  <c:v>Nizozemsko</c:v>
                </c:pt>
                <c:pt idx="29">
                  <c:v>Norsko</c:v>
                </c:pt>
                <c:pt idx="30">
                  <c:v>Kanada</c:v>
                </c:pt>
                <c:pt idx="31">
                  <c:v>Švédsko</c:v>
                </c:pt>
                <c:pt idx="32">
                  <c:v>Švýcarsko</c:v>
                </c:pt>
                <c:pt idx="33">
                  <c:v>Velká Británie</c:v>
                </c:pt>
                <c:pt idx="34">
                  <c:v>USA</c:v>
                </c:pt>
                <c:pt idx="35">
                  <c:v>Lucembursko</c:v>
                </c:pt>
              </c:strCache>
            </c:strRef>
          </c:cat>
          <c:val>
            <c:numRef>
              <c:f>'[Graf v aplikaci Microsoft Word]výdaje na studenta'!$B$1:$B$36</c:f>
              <c:numCache>
                <c:formatCode>#,##0</c:formatCode>
                <c:ptCount val="36"/>
                <c:pt idx="0">
                  <c:v>6586.3735000000006</c:v>
                </c:pt>
                <c:pt idx="1">
                  <c:v>8346.3866999999918</c:v>
                </c:pt>
                <c:pt idx="2">
                  <c:v>9609.7949000000008</c:v>
                </c:pt>
                <c:pt idx="3">
                  <c:v>9707.7724999999991</c:v>
                </c:pt>
                <c:pt idx="4">
                  <c:v>10043.841</c:v>
                </c:pt>
                <c:pt idx="5">
                  <c:v>10632.976000000001</c:v>
                </c:pt>
                <c:pt idx="6">
                  <c:v>11484.276</c:v>
                </c:pt>
                <c:pt idx="7">
                  <c:v>11714.593000000004</c:v>
                </c:pt>
                <c:pt idx="8">
                  <c:v>11788.302</c:v>
                </c:pt>
                <c:pt idx="9">
                  <c:v>12226.261</c:v>
                </c:pt>
                <c:pt idx="10">
                  <c:v>12310.460999999992</c:v>
                </c:pt>
                <c:pt idx="11">
                  <c:v>12787.102999999996</c:v>
                </c:pt>
                <c:pt idx="12">
                  <c:v>12878.351000000001</c:v>
                </c:pt>
                <c:pt idx="13">
                  <c:v>13446.102999999996</c:v>
                </c:pt>
                <c:pt idx="14">
                  <c:v>14580.328</c:v>
                </c:pt>
                <c:pt idx="15">
                  <c:v>16067.971</c:v>
                </c:pt>
                <c:pt idx="16">
                  <c:v>16270.384</c:v>
                </c:pt>
                <c:pt idx="17">
                  <c:v>16327.298000000004</c:v>
                </c:pt>
                <c:pt idx="18">
                  <c:v>16687.592000000001</c:v>
                </c:pt>
                <c:pt idx="19">
                  <c:v>16794.146000000001</c:v>
                </c:pt>
                <c:pt idx="20">
                  <c:v>16951.532999999996</c:v>
                </c:pt>
                <c:pt idx="21">
                  <c:v>17729.726999999999</c:v>
                </c:pt>
                <c:pt idx="22">
                  <c:v>18062.096000000001</c:v>
                </c:pt>
                <c:pt idx="23">
                  <c:v>18486.437999999998</c:v>
                </c:pt>
                <c:pt idx="24">
                  <c:v>18838.734</c:v>
                </c:pt>
                <c:pt idx="25">
                  <c:v>19089.011999999992</c:v>
                </c:pt>
                <c:pt idx="26">
                  <c:v>19421.884999999998</c:v>
                </c:pt>
                <c:pt idx="27">
                  <c:v>20435.75</c:v>
                </c:pt>
                <c:pt idx="28">
                  <c:v>20445.080000000005</c:v>
                </c:pt>
                <c:pt idx="29">
                  <c:v>23438.550999999996</c:v>
                </c:pt>
                <c:pt idx="30">
                  <c:v>24671.09</c:v>
                </c:pt>
                <c:pt idx="31">
                  <c:v>25584.050999999996</c:v>
                </c:pt>
                <c:pt idx="32">
                  <c:v>27830.573308931991</c:v>
                </c:pt>
                <c:pt idx="33">
                  <c:v>28144.092000000001</c:v>
                </c:pt>
                <c:pt idx="34">
                  <c:v>33063.352000000014</c:v>
                </c:pt>
                <c:pt idx="35">
                  <c:v>52088.551000000007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59-4C7A-8AB4-D77F08284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40608"/>
        <c:axId val="85142528"/>
      </c:barChart>
      <c:catAx>
        <c:axId val="8514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accent1"/>
            </a:solidFill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142528"/>
        <c:crosses val="autoZero"/>
        <c:auto val="1"/>
        <c:lblAlgn val="ctr"/>
        <c:lblOffset val="100"/>
        <c:noMultiLvlLbl val="0"/>
      </c:catAx>
      <c:valAx>
        <c:axId val="8514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5140608"/>
        <c:crosses val="autoZero"/>
        <c:crossBetween val="between"/>
      </c:valAx>
      <c:spPr>
        <a:noFill/>
        <a:ln>
          <a:noFill/>
        </a:ln>
        <a:effectLst/>
        <a:sp3d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spcAft>
          <a:spcPts val="600"/>
        </a:spcAft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12696090772556407"/>
          <c:y val="3.57324165070740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1E4-4060-B85A-1A2C683D744D}"/>
              </c:ext>
            </c:extLst>
          </c:dPt>
          <c:dPt>
            <c:idx val="14"/>
            <c:invertIfNegative val="0"/>
            <c:bubble3D val="0"/>
            <c:spPr>
              <a:solidFill>
                <a:srgbClr val="BD2A3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1E4-4060-B85A-1A2C683D744D}"/>
              </c:ext>
            </c:extLst>
          </c:dPt>
          <c:dLbls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40,3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E4-4060-B85A-1A2C683D744D}"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10,3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1E4-4060-B85A-1A2C683D74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List1!$A$3:$A$19</c:f>
              <c:strCache>
                <c:ptCount val="16"/>
                <c:pt idx="0">
                  <c:v>Lotyšsko</c:v>
                </c:pt>
                <c:pt idx="1">
                  <c:v>Belgie</c:v>
                </c:pt>
                <c:pt idx="2">
                  <c:v>Dánsko</c:v>
                </c:pt>
                <c:pt idx="3">
                  <c:v>Slovinsko</c:v>
                </c:pt>
                <c:pt idx="4">
                  <c:v>Lucembursko</c:v>
                </c:pt>
                <c:pt idx="5">
                  <c:v>Chorvatsko</c:v>
                </c:pt>
                <c:pt idx="6">
                  <c:v>Litva</c:v>
                </c:pt>
                <c:pt idx="7">
                  <c:v>Průměr</c:v>
                </c:pt>
                <c:pt idx="8">
                  <c:v>Řecko</c:v>
                </c:pt>
                <c:pt idx="9">
                  <c:v>Francie</c:v>
                </c:pt>
                <c:pt idx="10">
                  <c:v>Švýcarsko</c:v>
                </c:pt>
                <c:pt idx="11">
                  <c:v>Srbsko</c:v>
                </c:pt>
                <c:pt idx="12">
                  <c:v>Severní Makedonie</c:v>
                </c:pt>
                <c:pt idx="13">
                  <c:v>Černá Hora</c:v>
                </c:pt>
                <c:pt idx="14">
                  <c:v>Česká republika</c:v>
                </c:pt>
                <c:pt idx="15">
                  <c:v>Německo</c:v>
                </c:pt>
              </c:strCache>
              <c:extLst/>
            </c:strRef>
          </c:cat>
          <c:val>
            <c:numRef>
              <c:f>List1!$F$3:$F$19</c:f>
              <c:numCache>
                <c:formatCode>0.0</c:formatCode>
                <c:ptCount val="16"/>
                <c:pt idx="0">
                  <c:v>64</c:v>
                </c:pt>
                <c:pt idx="1">
                  <c:v>63.4</c:v>
                </c:pt>
                <c:pt idx="2">
                  <c:v>60.1</c:v>
                </c:pt>
                <c:pt idx="3">
                  <c:v>46</c:v>
                </c:pt>
                <c:pt idx="4">
                  <c:v>44.2</c:v>
                </c:pt>
                <c:pt idx="5">
                  <c:v>41.1</c:v>
                </c:pt>
                <c:pt idx="6">
                  <c:v>40.5</c:v>
                </c:pt>
                <c:pt idx="7">
                  <c:v>40.299999999999997</c:v>
                </c:pt>
                <c:pt idx="8">
                  <c:v>35.4</c:v>
                </c:pt>
                <c:pt idx="9">
                  <c:v>28.3</c:v>
                </c:pt>
                <c:pt idx="10">
                  <c:v>24.7</c:v>
                </c:pt>
                <c:pt idx="11">
                  <c:v>22.7</c:v>
                </c:pt>
                <c:pt idx="12">
                  <c:v>18.899999999999999</c:v>
                </c:pt>
                <c:pt idx="13">
                  <c:v>16.600000000000001</c:v>
                </c:pt>
                <c:pt idx="14">
                  <c:v>10.3</c:v>
                </c:pt>
                <c:pt idx="15">
                  <c:v>9.6999999999999993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A1E4-4060-B85A-1A2C683D7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1450975"/>
        <c:axId val="661455551"/>
      </c:barChart>
      <c:catAx>
        <c:axId val="661450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61455551"/>
        <c:crossesAt val="0"/>
        <c:auto val="1"/>
        <c:lblAlgn val="ctr"/>
        <c:lblOffset val="100"/>
        <c:tickLblSkip val="1"/>
        <c:noMultiLvlLbl val="0"/>
      </c:catAx>
      <c:valAx>
        <c:axId val="66145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614509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0" vert="horz"/>
    <a:lstStyle/>
    <a:p>
      <a:pPr>
        <a:defRPr>
          <a:ln>
            <a:noFill/>
          </a:ln>
          <a:solidFill>
            <a:schemeClr val="tx1"/>
          </a:solidFill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914384185989977E-2"/>
          <c:y val="7.6353020435661348E-2"/>
          <c:w val="0.89975587946765745"/>
          <c:h val="0.819455343738893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List1!$B$30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  <a:sp3d>
              <a:contourClr>
                <a:srgbClr val="203864"/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4595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List1!$A$31:$A$35</c:f>
              <c:strCache>
                <c:ptCount val="5"/>
                <c:pt idx="0">
                  <c:v>Zdroje</c:v>
                </c:pt>
                <c:pt idx="1">
                  <c:v>Prostředí</c:v>
                </c:pt>
                <c:pt idx="2">
                  <c:v>Otevřenost</c:v>
                </c:pt>
                <c:pt idx="3">
                  <c:v>Výsledky</c:v>
                </c:pt>
                <c:pt idx="4">
                  <c:v>Celkem</c:v>
                </c:pt>
              </c:strCache>
            </c:strRef>
          </c:cat>
          <c:val>
            <c:numRef>
              <c:f>List1!$B$31:$B$35</c:f>
              <c:numCache>
                <c:formatCode>0.0</c:formatCode>
                <c:ptCount val="5"/>
                <c:pt idx="0">
                  <c:v>46</c:v>
                </c:pt>
                <c:pt idx="1">
                  <c:v>93</c:v>
                </c:pt>
                <c:pt idx="2">
                  <c:v>64</c:v>
                </c:pt>
                <c:pt idx="3">
                  <c:v>33</c:v>
                </c:pt>
                <c:pt idx="4">
                  <c:v>56.7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75-4112-BDB7-3E02004EE0E7}"/>
            </c:ext>
          </c:extLst>
        </c:ser>
        <c:ser>
          <c:idx val="1"/>
          <c:order val="1"/>
          <c:tx>
            <c:strRef>
              <c:f>List1!$C$30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4999999999999949E-2"/>
                  <c:y val="-4.6296296296297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75-4112-BDB7-3E02004EE0E7}"/>
                </c:ext>
              </c:extLst>
            </c:dLbl>
            <c:dLbl>
              <c:idx val="1"/>
              <c:layout>
                <c:manualLayout>
                  <c:x val="1.9043311427306385E-2"/>
                  <c:y val="-1.8103693696720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75-4112-BDB7-3E02004EE0E7}"/>
                </c:ext>
              </c:extLst>
            </c:dLbl>
            <c:dLbl>
              <c:idx val="2"/>
              <c:layout>
                <c:manualLayout>
                  <c:x val="2.0188733299186554E-2"/>
                  <c:y val="-1.4303725171564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75-4112-BDB7-3E02004EE0E7}"/>
                </c:ext>
              </c:extLst>
            </c:dLbl>
            <c:dLbl>
              <c:idx val="3"/>
              <c:layout>
                <c:manualLayout>
                  <c:x val="1.3401974146836937E-2"/>
                  <c:y val="-1.4027170924317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75-4112-BDB7-3E02004EE0E7}"/>
                </c:ext>
              </c:extLst>
            </c:dLbl>
            <c:dLbl>
              <c:idx val="4"/>
              <c:layout>
                <c:manualLayout>
                  <c:x val="1.953016347047027E-2"/>
                  <c:y val="-1.4165448047940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75-4112-BDB7-3E02004EE0E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BD2A33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BD2A33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List1!$A$31:$A$35</c:f>
              <c:strCache>
                <c:ptCount val="5"/>
                <c:pt idx="0">
                  <c:v>Zdroje</c:v>
                </c:pt>
                <c:pt idx="1">
                  <c:v>Prostředí</c:v>
                </c:pt>
                <c:pt idx="2">
                  <c:v>Otevřenost</c:v>
                </c:pt>
                <c:pt idx="3">
                  <c:v>Výsledky</c:v>
                </c:pt>
                <c:pt idx="4">
                  <c:v>Celkem</c:v>
                </c:pt>
              </c:strCache>
            </c:strRef>
          </c:cat>
          <c:val>
            <c:numRef>
              <c:f>List1!$C$31:$C$35</c:f>
              <c:numCache>
                <c:formatCode>0.0</c:formatCode>
                <c:ptCount val="5"/>
                <c:pt idx="0">
                  <c:v>43.4</c:v>
                </c:pt>
                <c:pt idx="1">
                  <c:v>74.5</c:v>
                </c:pt>
                <c:pt idx="2">
                  <c:v>59.7</c:v>
                </c:pt>
                <c:pt idx="3">
                  <c:v>37.9</c:v>
                </c:pt>
                <c:pt idx="4">
                  <c:v>54.8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D75-4112-BDB7-3E02004EE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0"/>
        <c:axId val="922853040"/>
        <c:axId val="922854704"/>
      </c:barChart>
      <c:catAx>
        <c:axId val="92285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ysClr val="windowText" lastClr="000000">
                <a:lumMod val="25000"/>
                <a:lumOff val="7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22854704"/>
        <c:crosses val="autoZero"/>
        <c:auto val="1"/>
        <c:lblAlgn val="ctr"/>
        <c:lblOffset val="100"/>
        <c:noMultiLvlLbl val="0"/>
      </c:catAx>
      <c:valAx>
        <c:axId val="92285470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2285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362395714868605"/>
          <c:y val="6.0408005927172867E-2"/>
          <c:w val="0.15683910790092803"/>
          <c:h val="0.151584263285301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5301316502103927E-2"/>
                  <c:y val="-7.1760352872557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A2-4B4F-99FB-E37BA523C3C4}"/>
                </c:ext>
              </c:extLst>
            </c:dLbl>
            <c:dLbl>
              <c:idx val="2"/>
              <c:layout>
                <c:manualLayout>
                  <c:x val="-3.6436591259425902E-2"/>
                  <c:y val="-6.0722878390201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A2-4B4F-99FB-E37BA523C3C4}"/>
                </c:ext>
              </c:extLst>
            </c:dLbl>
            <c:dLbl>
              <c:idx val="4"/>
              <c:layout>
                <c:manualLayout>
                  <c:x val="-1.6595321418156065E-2"/>
                  <c:y val="-6.0722878390201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A2-4B4F-99FB-E37BA523C3C4}"/>
                </c:ext>
              </c:extLst>
            </c:dLbl>
            <c:dLbl>
              <c:idx val="5"/>
              <c:layout>
                <c:manualLayout>
                  <c:x val="-2.1004492493993887E-2"/>
                  <c:y val="-7.9241396908719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A2-4B4F-99FB-E37BA523C3C4}"/>
                </c:ext>
              </c:extLst>
            </c:dLbl>
            <c:dLbl>
              <c:idx val="7"/>
              <c:layout>
                <c:manualLayout>
                  <c:x val="-9.9815648043994499E-3"/>
                  <c:y val="-7.4611767279090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A2-4B4F-99FB-E37BA523C3C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4595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4595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List1!$B$2:$B$9</c:f>
              <c:numCache>
                <c:formatCode>General</c:formatCode>
                <c:ptCount val="8"/>
                <c:pt idx="0">
                  <c:v>25</c:v>
                </c:pt>
                <c:pt idx="1">
                  <c:v>26</c:v>
                </c:pt>
                <c:pt idx="2">
                  <c:v>23</c:v>
                </c:pt>
                <c:pt idx="3">
                  <c:v>22</c:v>
                </c:pt>
                <c:pt idx="4">
                  <c:v>24</c:v>
                </c:pt>
                <c:pt idx="5">
                  <c:v>27</c:v>
                </c:pt>
                <c:pt idx="6">
                  <c:v>26</c:v>
                </c:pt>
                <c:pt idx="7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2A2-4B4F-99FB-E37BA523C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25585967"/>
        <c:axId val="1025585551"/>
      </c:lineChart>
      <c:catAx>
        <c:axId val="102558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25585551"/>
        <c:crosses val="max"/>
        <c:auto val="1"/>
        <c:lblAlgn val="ctr"/>
        <c:lblOffset val="100"/>
        <c:noMultiLvlLbl val="0"/>
      </c:catAx>
      <c:valAx>
        <c:axId val="1025585551"/>
        <c:scaling>
          <c:orientation val="maxMin"/>
          <c:min val="20"/>
        </c:scaling>
        <c:delete val="1"/>
        <c:axPos val="l"/>
        <c:numFmt formatCode="General" sourceLinked="1"/>
        <c:majorTickMark val="out"/>
        <c:minorTickMark val="none"/>
        <c:tickLblPos val="nextTo"/>
        <c:crossAx val="1025585967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D6635C457454F8F4818D5BF313C31" ma:contentTypeVersion="1" ma:contentTypeDescription="Vytvořit nový dokument" ma:contentTypeScope="" ma:versionID="3a10ca6631ce4a6d861cb8d140cc2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86ddc695c65c7f54ad55065a6a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860F6-713F-4D43-AD1A-E8E5A901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EEBC8-6C84-4482-819F-9B61FE15D7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43CE9B5-F1F1-4514-ABB4-B8EF171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8E7726CC.dotm</Template>
  <TotalTime>1</TotalTime>
  <Pages>27</Pages>
  <Words>10150</Words>
  <Characters>58389</Characters>
  <Application>Microsoft Office Word</Application>
  <DocSecurity>4</DocSecurity>
  <Lines>486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</vt:lpstr>
    </vt:vector>
  </TitlesOfParts>
  <Company>NKU</Company>
  <LinksUpToDate>false</LinksUpToDate>
  <CharactersWithSpaces>68403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20/06 - Peněžní prostředky státu poskytované veřejným vysokým školám</dc:title>
  <dc:creator>Nejvyšší kontrolní úřad</dc:creator>
  <cp:keywords>kontrolní závěr; veřejné vysoké školy; školství</cp:keywords>
  <cp:lastModifiedBy>KOKRDA Daniel</cp:lastModifiedBy>
  <cp:revision>2</cp:revision>
  <cp:lastPrinted>2019-04-29T11:01:00Z</cp:lastPrinted>
  <dcterms:created xsi:type="dcterms:W3CDTF">2021-04-07T10:35:00Z</dcterms:created>
  <dcterms:modified xsi:type="dcterms:W3CDTF">2021-04-07T10:35:00Z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17/15-NKU30/552/18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">
    <vt:lpwstr>Dokument</vt:lpwstr>
  </property>
  <property fmtid="{D5CDD505-2E9C-101B-9397-08002B2CF9AE}" pid="8" name="ContentTypeId">
    <vt:lpwstr>0x010100489D6635C457454F8F4818D5BF313C31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21.6.2018</vt:lpwstr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EC_Pisemnost">
    <vt:lpwstr>18-7895/NKU</vt:lpwstr>
  </property>
  <property fmtid="{D5CDD505-2E9C-101B-9397-08002B2CF9AE}" pid="15" name="Key_BarCode_Pisemnost">
    <vt:lpwstr>*B000315677*</vt:lpwstr>
  </property>
  <property fmtid="{D5CDD505-2E9C-101B-9397-08002B2CF9AE}" pid="16" name="KRukam">
    <vt:lpwstr>{KRukam}</vt:lpwstr>
  </property>
  <property fmtid="{D5CDD505-2E9C-101B-9397-08002B2CF9AE}" pid="17" name="NameAddress_Contact_SpisovyUzel_PoziceZodpo_Pisemnost">
    <vt:lpwstr>ADRESÁT SU...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1</vt:lpwstr>
  </property>
  <property fmtid="{D5CDD505-2E9C-101B-9397-08002B2CF9AE}" pid="21" name="PocetListu_Pisemnost">
    <vt:lpwstr>1</vt:lpwstr>
  </property>
  <property fmtid="{D5CDD505-2E9C-101B-9397-08002B2CF9AE}" pid="22" name="PocetPriloh_Pisemnost">
    <vt:lpwstr>0</vt:lpwstr>
  </property>
  <property fmtid="{D5CDD505-2E9C-101B-9397-08002B2CF9AE}" pid="23" name="Podpis">
    <vt:lpwstr/>
  </property>
  <property fmtid="{D5CDD505-2E9C-101B-9397-08002B2CF9AE}" pid="24" name="PostalAddress_Contact_SpisovyUzel_PoziceZodpo_Pisemnost">
    <vt:lpwstr>ADRESA SU...</vt:lpwstr>
  </property>
  <property fmtid="{D5CDD505-2E9C-101B-9397-08002B2CF9AE}" pid="25" name="RC">
    <vt:lpwstr/>
  </property>
  <property fmtid="{D5CDD505-2E9C-101B-9397-08002B2CF9AE}" pid="26" name="SkartacniZnakLhuta_PisemnostZnak">
    <vt:lpwstr>?/?</vt:lpwstr>
  </property>
  <property fmtid="{D5CDD505-2E9C-101B-9397-08002B2CF9AE}" pid="27" name="SmlouvaCislo">
    <vt:lpwstr>ČÍSLO SMLOUVY</vt:lpwstr>
  </property>
  <property fmtid="{D5CDD505-2E9C-101B-9397-08002B2CF9AE}" pid="28" name="SZ_Spis_Pisemnost">
    <vt:lpwstr>17/15</vt:lpwstr>
  </property>
  <property fmtid="{D5CDD505-2E9C-101B-9397-08002B2CF9AE}" pid="29" name="TEST">
    <vt:lpwstr>testovací pole</vt:lpwstr>
  </property>
  <property fmtid="{D5CDD505-2E9C-101B-9397-08002B2CF9AE}" pid="30" name="TypPrilohy_Pisemnost">
    <vt:lpwstr>TYP PŘÍLOHY</vt:lpwstr>
  </property>
  <property fmtid="{D5CDD505-2E9C-101B-9397-08002B2CF9AE}" pid="31" name="UserName_PisemnostTypZpristupneniInformaciZOSZ_Pisemnost">
    <vt:lpwstr>ZOSZ_UserName</vt:lpwstr>
  </property>
  <property fmtid="{D5CDD505-2E9C-101B-9397-08002B2CF9AE}" pid="32" name="Vec_Pisemnost">
    <vt:lpwstr>Návrh kontrolního závěru 17/15 do připomínek</vt:lpwstr>
  </property>
  <property fmtid="{D5CDD505-2E9C-101B-9397-08002B2CF9AE}" pid="33" name="Zkratka_SpisovyUzel_PoziceZodpo_Pisemnost">
    <vt:lpwstr>30</vt:lpwstr>
  </property>
</Properties>
</file>