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B946" w14:textId="5ED76C66" w:rsidR="008B28D2" w:rsidRPr="003E098C" w:rsidRDefault="008B0577" w:rsidP="00C42E39">
      <w:pPr>
        <w:spacing w:before="0"/>
        <w:jc w:val="center"/>
        <w:rPr>
          <w:color w:val="auto"/>
        </w:rPr>
      </w:pPr>
      <w:r w:rsidRPr="003E098C">
        <w:rPr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721E4F1B" wp14:editId="0FCDA23E">
            <wp:simplePos x="0" y="0"/>
            <wp:positionH relativeFrom="margin">
              <wp:posOffset>2520315</wp:posOffset>
            </wp:positionH>
            <wp:positionV relativeFrom="paragraph">
              <wp:posOffset>635</wp:posOffset>
            </wp:positionV>
            <wp:extent cx="764540" cy="539750"/>
            <wp:effectExtent l="0" t="0" r="0" b="0"/>
            <wp:wrapTopAndBottom/>
            <wp:docPr id="1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69063" name="obrázek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988BF" w14:textId="77777777" w:rsidR="008B28D2" w:rsidRPr="003E098C" w:rsidRDefault="008B28D2" w:rsidP="00C42E39">
      <w:pPr>
        <w:spacing w:before="0"/>
        <w:jc w:val="center"/>
        <w:rPr>
          <w:color w:val="auto"/>
        </w:rPr>
      </w:pPr>
    </w:p>
    <w:p w14:paraId="053FEAD2" w14:textId="77777777" w:rsidR="008B28D2" w:rsidRPr="003E098C" w:rsidRDefault="008B28D2" w:rsidP="00C42E39">
      <w:pPr>
        <w:spacing w:before="0"/>
        <w:jc w:val="center"/>
        <w:rPr>
          <w:color w:val="auto"/>
        </w:rPr>
      </w:pPr>
    </w:p>
    <w:p w14:paraId="00202F31" w14:textId="77777777" w:rsidR="008B28D2" w:rsidRPr="003E098C" w:rsidRDefault="008B0577" w:rsidP="00C42E39">
      <w:pPr>
        <w:spacing w:before="0"/>
        <w:jc w:val="center"/>
        <w:rPr>
          <w:b/>
          <w:color w:val="auto"/>
          <w:sz w:val="28"/>
          <w:szCs w:val="28"/>
        </w:rPr>
      </w:pPr>
      <w:bookmarkStart w:id="0" w:name="_GoBack"/>
      <w:r w:rsidRPr="003E098C">
        <w:rPr>
          <w:b/>
          <w:color w:val="auto"/>
          <w:sz w:val="28"/>
          <w:szCs w:val="28"/>
        </w:rPr>
        <w:t>Kontrolní závěr z kontrolní akce</w:t>
      </w:r>
    </w:p>
    <w:p w14:paraId="6DBF276A" w14:textId="77777777" w:rsidR="008B28D2" w:rsidRPr="003E098C" w:rsidRDefault="008B28D2" w:rsidP="00C42E39">
      <w:pPr>
        <w:spacing w:before="0"/>
        <w:jc w:val="center"/>
        <w:rPr>
          <w:color w:val="auto"/>
        </w:rPr>
      </w:pPr>
    </w:p>
    <w:p w14:paraId="59580BB0" w14:textId="77777777" w:rsidR="008B28D2" w:rsidRPr="003E098C" w:rsidRDefault="008B0577" w:rsidP="00C42E39">
      <w:pPr>
        <w:spacing w:before="0"/>
        <w:jc w:val="center"/>
        <w:rPr>
          <w:b/>
          <w:color w:val="auto"/>
          <w:sz w:val="28"/>
          <w:szCs w:val="28"/>
        </w:rPr>
      </w:pPr>
      <w:r w:rsidRPr="003E098C">
        <w:rPr>
          <w:b/>
          <w:color w:val="auto"/>
          <w:sz w:val="28"/>
          <w:szCs w:val="28"/>
        </w:rPr>
        <w:t>20</w:t>
      </w:r>
      <w:r w:rsidR="000A269E" w:rsidRPr="003E098C">
        <w:rPr>
          <w:b/>
          <w:color w:val="auto"/>
          <w:sz w:val="28"/>
          <w:szCs w:val="28"/>
        </w:rPr>
        <w:t>/</w:t>
      </w:r>
      <w:r w:rsidRPr="003E098C">
        <w:rPr>
          <w:b/>
          <w:color w:val="auto"/>
          <w:sz w:val="28"/>
          <w:szCs w:val="28"/>
        </w:rPr>
        <w:t>02</w:t>
      </w:r>
    </w:p>
    <w:p w14:paraId="21C542AB" w14:textId="77777777" w:rsidR="008B28D2" w:rsidRPr="003E098C" w:rsidRDefault="008B28D2" w:rsidP="00C42E39">
      <w:pPr>
        <w:spacing w:before="0"/>
        <w:jc w:val="center"/>
        <w:rPr>
          <w:color w:val="auto"/>
        </w:rPr>
      </w:pPr>
    </w:p>
    <w:p w14:paraId="279B6AE5" w14:textId="77777777" w:rsidR="008B28D2" w:rsidRPr="003E098C" w:rsidRDefault="008B0577" w:rsidP="00C42E39">
      <w:pPr>
        <w:spacing w:before="0"/>
        <w:jc w:val="center"/>
        <w:rPr>
          <w:i/>
          <w:color w:val="auto"/>
        </w:rPr>
      </w:pPr>
      <w:r w:rsidRPr="003E098C">
        <w:rPr>
          <w:rFonts w:cstheme="minorHAnsi"/>
          <w:b/>
          <w:color w:val="auto"/>
          <w:sz w:val="28"/>
          <w:szCs w:val="28"/>
        </w:rPr>
        <w:t>M</w:t>
      </w:r>
      <w:r w:rsidR="000A269E" w:rsidRPr="003E098C">
        <w:rPr>
          <w:rFonts w:cstheme="minorHAnsi"/>
          <w:b/>
          <w:color w:val="auto"/>
          <w:sz w:val="28"/>
          <w:szCs w:val="28"/>
        </w:rPr>
        <w:t>ajetek</w:t>
      </w:r>
      <w:r w:rsidRPr="003E098C">
        <w:rPr>
          <w:rFonts w:cstheme="minorHAnsi"/>
          <w:b/>
          <w:color w:val="auto"/>
          <w:sz w:val="28"/>
          <w:szCs w:val="28"/>
        </w:rPr>
        <w:t xml:space="preserve"> a peněžní prostředky</w:t>
      </w:r>
      <w:r w:rsidR="000A269E" w:rsidRPr="003E098C">
        <w:rPr>
          <w:rFonts w:cstheme="minorHAnsi"/>
          <w:b/>
          <w:color w:val="auto"/>
          <w:sz w:val="28"/>
          <w:szCs w:val="28"/>
        </w:rPr>
        <w:t xml:space="preserve"> státu, s</w:t>
      </w:r>
      <w:r w:rsidRPr="003E098C">
        <w:rPr>
          <w:rFonts w:cstheme="minorHAnsi"/>
          <w:b/>
          <w:color w:val="auto"/>
          <w:sz w:val="28"/>
          <w:szCs w:val="28"/>
        </w:rPr>
        <w:t>e kterými je příslušný hospodařit Úřad pro zastupování státu ve věcech majetkových</w:t>
      </w:r>
    </w:p>
    <w:bookmarkEnd w:id="0"/>
    <w:p w14:paraId="1060A5B1" w14:textId="77777777" w:rsidR="008B28D2" w:rsidRPr="003E098C" w:rsidRDefault="008B28D2">
      <w:pPr>
        <w:spacing w:before="0"/>
        <w:rPr>
          <w:color w:val="auto"/>
        </w:rPr>
      </w:pPr>
    </w:p>
    <w:p w14:paraId="66C12A40" w14:textId="77777777" w:rsidR="008B28D2" w:rsidRPr="003E098C" w:rsidRDefault="008B28D2">
      <w:pPr>
        <w:spacing w:before="0"/>
        <w:rPr>
          <w:color w:val="auto"/>
        </w:rPr>
      </w:pPr>
    </w:p>
    <w:p w14:paraId="1B7EC6DF" w14:textId="77777777" w:rsidR="008B28D2" w:rsidRPr="003E098C" w:rsidRDefault="008B0577">
      <w:pPr>
        <w:spacing w:before="0"/>
        <w:rPr>
          <w:color w:val="auto"/>
        </w:rPr>
      </w:pPr>
      <w:r w:rsidRPr="003E098C">
        <w:rPr>
          <w:color w:val="auto"/>
        </w:rPr>
        <w:t>Kontrolní akce byla zařazena do plánu kontrolní činnosti Nejvyššího kontrolního úřadu (dále jen „NKÚ“) na rok 20</w:t>
      </w:r>
      <w:r w:rsidR="00CB1540" w:rsidRPr="003E098C">
        <w:rPr>
          <w:color w:val="auto"/>
        </w:rPr>
        <w:t>20</w:t>
      </w:r>
      <w:r w:rsidRPr="003E098C">
        <w:rPr>
          <w:color w:val="auto"/>
        </w:rPr>
        <w:t xml:space="preserve"> pod číslem </w:t>
      </w:r>
      <w:r w:rsidR="00CB1540" w:rsidRPr="003E098C">
        <w:rPr>
          <w:color w:val="auto"/>
        </w:rPr>
        <w:t>20</w:t>
      </w:r>
      <w:r w:rsidRPr="003E098C">
        <w:rPr>
          <w:color w:val="auto"/>
        </w:rPr>
        <w:t>/</w:t>
      </w:r>
      <w:r w:rsidR="00CB1540" w:rsidRPr="003E098C">
        <w:rPr>
          <w:color w:val="auto"/>
        </w:rPr>
        <w:t>02</w:t>
      </w:r>
      <w:r w:rsidRPr="003E098C">
        <w:rPr>
          <w:color w:val="auto"/>
        </w:rPr>
        <w:t>. Kontrolní akci řídil a kontrolní závěr vypracoval člen</w:t>
      </w:r>
      <w:r w:rsidR="0082249E">
        <w:rPr>
          <w:color w:val="auto"/>
        </w:rPr>
        <w:t> </w:t>
      </w:r>
      <w:r w:rsidRPr="003E098C">
        <w:rPr>
          <w:color w:val="auto"/>
        </w:rPr>
        <w:t>NKÚ RNDr.</w:t>
      </w:r>
      <w:r w:rsidR="0082249E">
        <w:rPr>
          <w:color w:val="auto"/>
        </w:rPr>
        <w:t> </w:t>
      </w:r>
      <w:r w:rsidRPr="003E098C">
        <w:rPr>
          <w:color w:val="auto"/>
        </w:rPr>
        <w:t>Vladimír Koníček.</w:t>
      </w:r>
    </w:p>
    <w:p w14:paraId="69A028E2" w14:textId="77777777" w:rsidR="008B28D2" w:rsidRPr="003E098C" w:rsidRDefault="008B28D2">
      <w:pPr>
        <w:spacing w:before="0"/>
        <w:rPr>
          <w:color w:val="auto"/>
        </w:rPr>
      </w:pPr>
    </w:p>
    <w:p w14:paraId="404D5811" w14:textId="77777777" w:rsidR="008B28D2" w:rsidRPr="003E098C" w:rsidRDefault="008B0577">
      <w:pPr>
        <w:spacing w:before="0"/>
        <w:rPr>
          <w:rFonts w:asciiTheme="minorHAnsi" w:hAnsiTheme="minorHAnsi" w:cstheme="minorHAnsi"/>
          <w:color w:val="auto"/>
        </w:rPr>
      </w:pPr>
      <w:r w:rsidRPr="003E098C">
        <w:rPr>
          <w:color w:val="auto"/>
        </w:rPr>
        <w:t xml:space="preserve">Cílem kontroly bylo </w:t>
      </w:r>
      <w:r w:rsidRPr="003E098C">
        <w:rPr>
          <w:rFonts w:cstheme="minorHAnsi"/>
          <w:color w:val="auto"/>
        </w:rPr>
        <w:t xml:space="preserve">prověřit, </w:t>
      </w:r>
      <w:r w:rsidR="00CB1540" w:rsidRPr="003E098C">
        <w:rPr>
          <w:rFonts w:cstheme="minorHAnsi"/>
          <w:color w:val="auto"/>
        </w:rPr>
        <w:t>zda Úřad pro zastupování státu ve věcech majetkových hospodařil s majetkem a peněžními prostředky státu hospodárně, efektivně a v souladu s právními předpisy</w:t>
      </w:r>
      <w:r w:rsidRPr="003E098C">
        <w:rPr>
          <w:rFonts w:cstheme="minorHAnsi"/>
          <w:color w:val="auto"/>
        </w:rPr>
        <w:t>.</w:t>
      </w:r>
      <w:r w:rsidRPr="003E098C">
        <w:rPr>
          <w:rStyle w:val="FootnoteCharacters"/>
          <w:rFonts w:cstheme="minorHAnsi"/>
          <w:color w:val="auto"/>
        </w:rPr>
        <w:t xml:space="preserve"> </w:t>
      </w:r>
    </w:p>
    <w:p w14:paraId="72386894" w14:textId="77777777" w:rsidR="008B28D2" w:rsidRPr="003E098C" w:rsidRDefault="008B28D2">
      <w:pPr>
        <w:spacing w:before="0"/>
        <w:rPr>
          <w:color w:val="auto"/>
        </w:rPr>
      </w:pPr>
    </w:p>
    <w:p w14:paraId="7910DEE3" w14:textId="77777777" w:rsidR="008B28D2" w:rsidRPr="003E098C" w:rsidRDefault="008B0577">
      <w:pPr>
        <w:spacing w:before="0"/>
        <w:rPr>
          <w:color w:val="auto"/>
        </w:rPr>
      </w:pPr>
      <w:r w:rsidRPr="003E098C">
        <w:rPr>
          <w:color w:val="auto"/>
        </w:rPr>
        <w:t>Kontrola byla prováděna u kontrolovan</w:t>
      </w:r>
      <w:r w:rsidR="00124153" w:rsidRPr="003E098C">
        <w:rPr>
          <w:color w:val="auto"/>
        </w:rPr>
        <w:t>é</w:t>
      </w:r>
      <w:r w:rsidRPr="003E098C">
        <w:rPr>
          <w:color w:val="auto"/>
        </w:rPr>
        <w:t xml:space="preserve"> osob</w:t>
      </w:r>
      <w:r w:rsidR="00124153" w:rsidRPr="003E098C">
        <w:rPr>
          <w:color w:val="auto"/>
        </w:rPr>
        <w:t>y</w:t>
      </w:r>
      <w:r w:rsidRPr="003E098C">
        <w:rPr>
          <w:color w:val="auto"/>
        </w:rPr>
        <w:t xml:space="preserve"> v období od </w:t>
      </w:r>
      <w:r w:rsidR="00CB1540" w:rsidRPr="003E098C">
        <w:rPr>
          <w:color w:val="auto"/>
        </w:rPr>
        <w:t xml:space="preserve">ledna 2020 </w:t>
      </w:r>
      <w:r w:rsidRPr="003E098C">
        <w:rPr>
          <w:color w:val="auto"/>
        </w:rPr>
        <w:t>do</w:t>
      </w:r>
      <w:r w:rsidR="00CB1540" w:rsidRPr="003E098C">
        <w:rPr>
          <w:color w:val="auto"/>
        </w:rPr>
        <w:t xml:space="preserve"> září 2020</w:t>
      </w:r>
      <w:r w:rsidRPr="003E098C">
        <w:rPr>
          <w:color w:val="auto"/>
        </w:rPr>
        <w:t xml:space="preserve">. </w:t>
      </w:r>
    </w:p>
    <w:p w14:paraId="1743A4AD" w14:textId="77777777" w:rsidR="008B28D2" w:rsidRPr="003E098C" w:rsidRDefault="008B28D2">
      <w:pPr>
        <w:spacing w:before="0"/>
        <w:rPr>
          <w:color w:val="auto"/>
        </w:rPr>
      </w:pPr>
    </w:p>
    <w:p w14:paraId="19113E37" w14:textId="77777777" w:rsidR="008B28D2" w:rsidRPr="003E098C" w:rsidRDefault="008B0577">
      <w:pPr>
        <w:spacing w:before="0"/>
        <w:rPr>
          <w:color w:val="auto"/>
        </w:rPr>
      </w:pPr>
      <w:r w:rsidRPr="003E098C">
        <w:rPr>
          <w:color w:val="auto"/>
        </w:rPr>
        <w:t>Kontrolovaným obdobím byly roky 201</w:t>
      </w:r>
      <w:r w:rsidR="00124153" w:rsidRPr="003E098C">
        <w:rPr>
          <w:color w:val="auto"/>
        </w:rPr>
        <w:t>7</w:t>
      </w:r>
      <w:r w:rsidRPr="003E098C">
        <w:rPr>
          <w:color w:val="auto"/>
        </w:rPr>
        <w:t xml:space="preserve"> až 201</w:t>
      </w:r>
      <w:r w:rsidR="00124153" w:rsidRPr="003E098C">
        <w:rPr>
          <w:color w:val="auto"/>
        </w:rPr>
        <w:t>9</w:t>
      </w:r>
      <w:r w:rsidRPr="003E098C">
        <w:rPr>
          <w:color w:val="auto"/>
        </w:rPr>
        <w:t>, v případě věcných souvislostí i období předcházející a následující.</w:t>
      </w:r>
    </w:p>
    <w:p w14:paraId="458C94C1" w14:textId="77777777" w:rsidR="008B28D2" w:rsidRPr="003E098C" w:rsidRDefault="008B28D2">
      <w:pPr>
        <w:spacing w:before="0"/>
        <w:rPr>
          <w:color w:val="auto"/>
        </w:rPr>
      </w:pPr>
    </w:p>
    <w:p w14:paraId="3D33829C" w14:textId="77777777" w:rsidR="008B28D2" w:rsidRPr="003E098C" w:rsidRDefault="008B0577" w:rsidP="00124153">
      <w:pPr>
        <w:spacing w:before="0"/>
        <w:jc w:val="left"/>
        <w:rPr>
          <w:color w:val="auto"/>
        </w:rPr>
      </w:pPr>
      <w:r w:rsidRPr="003E098C">
        <w:rPr>
          <w:b/>
          <w:color w:val="auto"/>
        </w:rPr>
        <w:t>Kontrolovan</w:t>
      </w:r>
      <w:r w:rsidR="00124153" w:rsidRPr="003E098C">
        <w:rPr>
          <w:b/>
          <w:color w:val="auto"/>
        </w:rPr>
        <w:t>á</w:t>
      </w:r>
      <w:r w:rsidRPr="003E098C">
        <w:rPr>
          <w:b/>
          <w:color w:val="auto"/>
        </w:rPr>
        <w:t xml:space="preserve"> osob</w:t>
      </w:r>
      <w:r w:rsidR="00124153" w:rsidRPr="003E098C">
        <w:rPr>
          <w:b/>
          <w:color w:val="auto"/>
        </w:rPr>
        <w:t>a</w:t>
      </w:r>
      <w:r w:rsidRPr="003E098C">
        <w:rPr>
          <w:b/>
          <w:color w:val="auto"/>
        </w:rPr>
        <w:t>:</w:t>
      </w:r>
      <w:r w:rsidRPr="003E098C">
        <w:rPr>
          <w:b/>
          <w:color w:val="auto"/>
        </w:rPr>
        <w:br/>
      </w:r>
      <w:r w:rsidR="00124153" w:rsidRPr="003E098C">
        <w:rPr>
          <w:rFonts w:cstheme="minorHAnsi"/>
          <w:color w:val="auto"/>
        </w:rPr>
        <w:t>Úřad pro zastupování státu ve věcech majetkových</w:t>
      </w:r>
      <w:r w:rsidR="004215A7" w:rsidRPr="003E098C">
        <w:rPr>
          <w:rFonts w:cstheme="minorHAnsi"/>
          <w:color w:val="auto"/>
        </w:rPr>
        <w:t>, Praha</w:t>
      </w:r>
      <w:r w:rsidR="00124153" w:rsidRPr="003E098C">
        <w:rPr>
          <w:rFonts w:cstheme="minorHAnsi"/>
          <w:color w:val="auto"/>
        </w:rPr>
        <w:t xml:space="preserve"> (dále jen „ÚZSVM“).</w:t>
      </w:r>
      <w:r w:rsidR="00124153" w:rsidRPr="003E098C">
        <w:rPr>
          <w:color w:val="auto"/>
        </w:rPr>
        <w:t xml:space="preserve"> </w:t>
      </w:r>
    </w:p>
    <w:p w14:paraId="7C2673FC" w14:textId="77777777" w:rsidR="008B28D2" w:rsidRDefault="008B28D2">
      <w:pPr>
        <w:spacing w:before="0"/>
        <w:rPr>
          <w:color w:val="auto"/>
        </w:rPr>
      </w:pPr>
    </w:p>
    <w:p w14:paraId="6A3C782A" w14:textId="77777777" w:rsidR="0082249E" w:rsidRPr="003E098C" w:rsidRDefault="0082249E">
      <w:pPr>
        <w:spacing w:before="0"/>
        <w:rPr>
          <w:color w:val="auto"/>
        </w:rPr>
      </w:pPr>
    </w:p>
    <w:p w14:paraId="2CDAD992" w14:textId="77777777" w:rsidR="008B28D2" w:rsidRPr="003E098C" w:rsidRDefault="008B0577">
      <w:pPr>
        <w:spacing w:before="0" w:line="360" w:lineRule="auto"/>
        <w:rPr>
          <w:color w:val="auto"/>
        </w:rPr>
      </w:pPr>
      <w:r w:rsidRPr="003E098C">
        <w:rPr>
          <w:b/>
          <w:i/>
          <w:color w:val="auto"/>
          <w:spacing w:val="40"/>
        </w:rPr>
        <w:t>Kolegium</w:t>
      </w:r>
      <w:r w:rsidRPr="003E098C">
        <w:rPr>
          <w:b/>
          <w:i/>
          <w:color w:val="auto"/>
        </w:rPr>
        <w:t xml:space="preserve">   </w:t>
      </w:r>
      <w:r w:rsidRPr="003E098C">
        <w:rPr>
          <w:b/>
          <w:i/>
          <w:color w:val="auto"/>
          <w:spacing w:val="40"/>
        </w:rPr>
        <w:t>NKÚ</w:t>
      </w:r>
      <w:r w:rsidRPr="003E098C">
        <w:rPr>
          <w:b/>
          <w:i/>
          <w:color w:val="auto"/>
        </w:rPr>
        <w:t xml:space="preserve">   </w:t>
      </w:r>
      <w:r w:rsidRPr="003E098C">
        <w:rPr>
          <w:color w:val="auto"/>
        </w:rPr>
        <w:t xml:space="preserve">na svém </w:t>
      </w:r>
      <w:r w:rsidR="00C866BD">
        <w:rPr>
          <w:color w:val="auto"/>
        </w:rPr>
        <w:t xml:space="preserve">IV. </w:t>
      </w:r>
      <w:r w:rsidRPr="003E098C">
        <w:rPr>
          <w:color w:val="auto"/>
        </w:rPr>
        <w:t xml:space="preserve">jednání, které se konalo dne </w:t>
      </w:r>
      <w:r w:rsidR="00095A52">
        <w:rPr>
          <w:color w:val="auto"/>
        </w:rPr>
        <w:t xml:space="preserve">22. </w:t>
      </w:r>
      <w:r w:rsidR="005922CF">
        <w:rPr>
          <w:color w:val="auto"/>
        </w:rPr>
        <w:t>února</w:t>
      </w:r>
      <w:r w:rsidRPr="003E098C">
        <w:rPr>
          <w:color w:val="auto"/>
        </w:rPr>
        <w:t xml:space="preserve"> 202</w:t>
      </w:r>
      <w:r w:rsidR="00065C9A" w:rsidRPr="003E098C">
        <w:rPr>
          <w:color w:val="auto"/>
        </w:rPr>
        <w:t>1</w:t>
      </w:r>
      <w:r w:rsidRPr="003E098C">
        <w:rPr>
          <w:color w:val="auto"/>
        </w:rPr>
        <w:t>,</w:t>
      </w:r>
    </w:p>
    <w:p w14:paraId="62D9889C" w14:textId="77777777" w:rsidR="008B28D2" w:rsidRPr="003E098C" w:rsidRDefault="008B0577">
      <w:pPr>
        <w:spacing w:before="0" w:line="360" w:lineRule="auto"/>
        <w:rPr>
          <w:color w:val="auto"/>
        </w:rPr>
      </w:pPr>
      <w:r w:rsidRPr="003E098C">
        <w:rPr>
          <w:b/>
          <w:i/>
          <w:color w:val="auto"/>
          <w:spacing w:val="40"/>
        </w:rPr>
        <w:t>schválilo</w:t>
      </w:r>
      <w:r w:rsidRPr="003E098C">
        <w:rPr>
          <w:b/>
          <w:i/>
          <w:color w:val="auto"/>
        </w:rPr>
        <w:t xml:space="preserve">   </w:t>
      </w:r>
      <w:r w:rsidRPr="003E098C">
        <w:rPr>
          <w:color w:val="auto"/>
        </w:rPr>
        <w:t xml:space="preserve">usnesením č. </w:t>
      </w:r>
      <w:r w:rsidR="00095A52">
        <w:rPr>
          <w:color w:val="auto"/>
        </w:rPr>
        <w:t>10/IV</w:t>
      </w:r>
      <w:r w:rsidRPr="003E098C">
        <w:rPr>
          <w:color w:val="auto"/>
        </w:rPr>
        <w:t>/202</w:t>
      </w:r>
      <w:r w:rsidR="00065C9A" w:rsidRPr="003E098C">
        <w:rPr>
          <w:color w:val="auto"/>
        </w:rPr>
        <w:t>1</w:t>
      </w:r>
    </w:p>
    <w:p w14:paraId="4E5AA8F4" w14:textId="77777777" w:rsidR="008B28D2" w:rsidRPr="003E098C" w:rsidRDefault="008B0577">
      <w:pPr>
        <w:spacing w:before="0" w:line="360" w:lineRule="auto"/>
        <w:rPr>
          <w:color w:val="auto"/>
        </w:rPr>
      </w:pPr>
      <w:r w:rsidRPr="003E098C">
        <w:rPr>
          <w:b/>
          <w:i/>
          <w:color w:val="auto"/>
          <w:spacing w:val="40"/>
        </w:rPr>
        <w:t>kontrolní</w:t>
      </w:r>
      <w:r w:rsidRPr="003E098C">
        <w:rPr>
          <w:b/>
          <w:i/>
          <w:color w:val="auto"/>
        </w:rPr>
        <w:t xml:space="preserve">   </w:t>
      </w:r>
      <w:r w:rsidRPr="003E098C">
        <w:rPr>
          <w:b/>
          <w:i/>
          <w:color w:val="auto"/>
          <w:spacing w:val="40"/>
        </w:rPr>
        <w:t>závěr</w:t>
      </w:r>
      <w:r w:rsidRPr="003E098C">
        <w:rPr>
          <w:color w:val="auto"/>
        </w:rPr>
        <w:t xml:space="preserve">   v tomto znění:</w:t>
      </w:r>
    </w:p>
    <w:p w14:paraId="07108225" w14:textId="77777777" w:rsidR="008B28D2" w:rsidRPr="003E098C" w:rsidRDefault="008B28D2">
      <w:pPr>
        <w:spacing w:before="0"/>
        <w:rPr>
          <w:color w:val="auto"/>
        </w:rPr>
      </w:pPr>
    </w:p>
    <w:p w14:paraId="1F5D6F54" w14:textId="77777777" w:rsidR="008B28D2" w:rsidRPr="003E098C" w:rsidRDefault="008B28D2">
      <w:pPr>
        <w:spacing w:before="0"/>
        <w:rPr>
          <w:color w:val="auto"/>
        </w:rPr>
      </w:pPr>
    </w:p>
    <w:p w14:paraId="5E84B198" w14:textId="77777777" w:rsidR="008B28D2" w:rsidRPr="003E098C" w:rsidRDefault="008B0577">
      <w:pPr>
        <w:spacing w:before="0"/>
        <w:jc w:val="left"/>
        <w:rPr>
          <w:color w:val="auto"/>
        </w:rPr>
      </w:pPr>
      <w:r w:rsidRPr="003E098C">
        <w:rPr>
          <w:color w:val="auto"/>
        </w:rPr>
        <w:br w:type="page"/>
      </w:r>
    </w:p>
    <w:p w14:paraId="239E0A62" w14:textId="77777777" w:rsidR="00A53075" w:rsidRPr="003E098C" w:rsidRDefault="008B0577" w:rsidP="008C0002">
      <w:pPr>
        <w:spacing w:before="0"/>
        <w:jc w:val="center"/>
        <w:outlineLvl w:val="0"/>
        <w:rPr>
          <w:b/>
          <w:color w:val="auto"/>
          <w:sz w:val="48"/>
          <w:szCs w:val="48"/>
        </w:rPr>
      </w:pPr>
      <w:r w:rsidRPr="003E098C">
        <w:rPr>
          <w:b/>
          <w:color w:val="auto"/>
          <w:sz w:val="48"/>
          <w:szCs w:val="48"/>
        </w:rPr>
        <w:lastRenderedPageBreak/>
        <w:t>ÚZSVM</w:t>
      </w:r>
    </w:p>
    <w:p w14:paraId="0101163D" w14:textId="77777777" w:rsidR="00A53075" w:rsidRPr="003E098C" w:rsidRDefault="00A53075" w:rsidP="008C0002">
      <w:pPr>
        <w:spacing w:before="0"/>
        <w:jc w:val="center"/>
        <w:outlineLvl w:val="0"/>
        <w:rPr>
          <w:b/>
          <w:color w:val="auto"/>
          <w:sz w:val="48"/>
          <w:szCs w:val="48"/>
        </w:rPr>
      </w:pPr>
    </w:p>
    <w:p w14:paraId="21BEE453" w14:textId="77777777" w:rsidR="00A53075" w:rsidRPr="003E098C" w:rsidRDefault="00A53075" w:rsidP="008C0002">
      <w:pPr>
        <w:spacing w:before="0"/>
        <w:jc w:val="center"/>
        <w:outlineLvl w:val="0"/>
        <w:rPr>
          <w:b/>
          <w:color w:val="auto"/>
          <w:sz w:val="48"/>
          <w:szCs w:val="48"/>
        </w:rPr>
      </w:pPr>
    </w:p>
    <w:p w14:paraId="334A068B" w14:textId="77777777" w:rsidR="008B28D2" w:rsidRPr="003E098C" w:rsidRDefault="008B28D2" w:rsidP="008C0002">
      <w:pPr>
        <w:spacing w:before="0"/>
        <w:jc w:val="center"/>
        <w:outlineLvl w:val="0"/>
        <w:rPr>
          <w:b/>
          <w:color w:val="auto"/>
          <w:sz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3E098C" w:rsidRPr="003E098C" w14:paraId="7552B046" w14:textId="77777777" w:rsidTr="00414E0C">
        <w:trPr>
          <w:trHeight w:val="60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9E9BEED" w14:textId="77777777" w:rsidR="00A53075" w:rsidRPr="003E098C" w:rsidRDefault="008B0577" w:rsidP="008707F2">
            <w:pPr>
              <w:pStyle w:val="Pa18"/>
              <w:spacing w:line="240" w:lineRule="auto"/>
              <w:jc w:val="center"/>
              <w:rPr>
                <w:rStyle w:val="A14"/>
                <w:rFonts w:cs="Calibri"/>
                <w:b w:val="0"/>
                <w:bCs/>
                <w:color w:val="auto"/>
                <w:sz w:val="48"/>
                <w:szCs w:val="28"/>
              </w:rPr>
            </w:pPr>
            <w:r w:rsidRPr="003E098C">
              <w:rPr>
                <w:b/>
                <w:sz w:val="48"/>
                <w:szCs w:val="52"/>
              </w:rPr>
              <w:t>10,</w:t>
            </w:r>
            <w:r w:rsidR="008707F2" w:rsidRPr="003E098C">
              <w:rPr>
                <w:b/>
                <w:sz w:val="48"/>
                <w:szCs w:val="52"/>
              </w:rPr>
              <w:t>1</w:t>
            </w:r>
            <w:r w:rsidRPr="003E098C">
              <w:rPr>
                <w:b/>
                <w:sz w:val="48"/>
                <w:szCs w:val="52"/>
              </w:rPr>
              <w:t>0 mld. Kč</w:t>
            </w:r>
          </w:p>
        </w:tc>
        <w:tc>
          <w:tcPr>
            <w:tcW w:w="4534" w:type="dxa"/>
            <w:vAlign w:val="center"/>
          </w:tcPr>
          <w:p w14:paraId="574E63AC" w14:textId="77777777" w:rsidR="00A53075" w:rsidRPr="003E098C" w:rsidRDefault="008B0577" w:rsidP="00A53075">
            <w:pPr>
              <w:pStyle w:val="Pa18"/>
              <w:spacing w:line="240" w:lineRule="auto"/>
              <w:jc w:val="center"/>
              <w:rPr>
                <w:rFonts w:cs="Calibri"/>
                <w:b/>
                <w:sz w:val="48"/>
                <w:szCs w:val="52"/>
              </w:rPr>
            </w:pPr>
            <w:r w:rsidRPr="003E098C">
              <w:rPr>
                <w:rFonts w:cs="Calibri"/>
                <w:b/>
                <w:sz w:val="48"/>
                <w:szCs w:val="52"/>
              </w:rPr>
              <w:t>2,50 mld. Kč</w:t>
            </w:r>
          </w:p>
        </w:tc>
      </w:tr>
      <w:tr w:rsidR="00AC4755" w:rsidRPr="003E098C" w14:paraId="41D64010" w14:textId="77777777" w:rsidTr="00414E0C">
        <w:trPr>
          <w:trHeight w:val="1245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04151C3" w14:textId="77777777" w:rsidR="00A53075" w:rsidRPr="003E098C" w:rsidRDefault="008B0577" w:rsidP="00A53075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>Hodnota pozemků a staveb</w:t>
            </w:r>
            <w:r w:rsidR="003E098C">
              <w:rPr>
                <w:rFonts w:cs="Calibri"/>
              </w:rPr>
              <w:t>,</w:t>
            </w:r>
            <w:r w:rsidRPr="003E098C">
              <w:rPr>
                <w:rFonts w:cs="Calibri"/>
              </w:rPr>
              <w:t xml:space="preserve"> </w:t>
            </w:r>
            <w:r w:rsidR="00065C9A" w:rsidRPr="003E098C">
              <w:rPr>
                <w:rFonts w:cs="Calibri"/>
              </w:rPr>
              <w:t>s nimiž byl příslušný hospodařit ÚZSVM</w:t>
            </w:r>
          </w:p>
          <w:p w14:paraId="64EA61B5" w14:textId="77777777" w:rsidR="00A53075" w:rsidRPr="003E098C" w:rsidRDefault="008B0577" w:rsidP="00C7273C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>k 31. 12</w:t>
            </w:r>
            <w:r w:rsidR="00C7273C" w:rsidRPr="003E098C">
              <w:rPr>
                <w:rFonts w:cs="Calibri"/>
              </w:rPr>
              <w:t>.</w:t>
            </w:r>
            <w:r w:rsidRPr="003E098C">
              <w:rPr>
                <w:rFonts w:cs="Calibri"/>
              </w:rPr>
              <w:t xml:space="preserve"> 2019</w:t>
            </w:r>
          </w:p>
        </w:tc>
        <w:tc>
          <w:tcPr>
            <w:tcW w:w="4534" w:type="dxa"/>
            <w:vAlign w:val="center"/>
          </w:tcPr>
          <w:p w14:paraId="0EB33B9E" w14:textId="77777777" w:rsidR="00A53075" w:rsidRPr="003E098C" w:rsidRDefault="00304F1E" w:rsidP="00A53075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asciiTheme="minorHAnsi" w:hAnsiTheme="minorHAnsi"/>
              </w:rPr>
              <w:t>Účetní hodnota nemovitého majetku bezúplatně převedeného</w:t>
            </w:r>
            <w:r w:rsidRPr="003E098C">
              <w:rPr>
                <w:rFonts w:cs="Calibri"/>
              </w:rPr>
              <w:t xml:space="preserve"> </w:t>
            </w:r>
            <w:r w:rsidR="00677C96" w:rsidRPr="003E098C">
              <w:rPr>
                <w:rFonts w:cs="Calibri"/>
              </w:rPr>
              <w:t>na jiné osoby v letech 2017</w:t>
            </w:r>
            <w:r w:rsidR="00677C96" w:rsidRPr="003E098C">
              <w:t>–</w:t>
            </w:r>
            <w:r w:rsidR="008B0577" w:rsidRPr="003E098C">
              <w:rPr>
                <w:rFonts w:cs="Calibri"/>
              </w:rPr>
              <w:t>2019</w:t>
            </w:r>
          </w:p>
          <w:p w14:paraId="0D02DC9E" w14:textId="77777777" w:rsidR="00A53075" w:rsidRPr="003E098C" w:rsidRDefault="00A53075" w:rsidP="00414E0C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</w:p>
        </w:tc>
      </w:tr>
    </w:tbl>
    <w:p w14:paraId="53647529" w14:textId="77777777" w:rsidR="00181157" w:rsidRPr="003E098C" w:rsidRDefault="00181157" w:rsidP="00771A76">
      <w:pPr>
        <w:spacing w:before="0"/>
        <w:jc w:val="left"/>
        <w:outlineLvl w:val="0"/>
        <w:rPr>
          <w:b/>
          <w:color w:val="auto"/>
          <w:sz w:val="28"/>
        </w:rPr>
      </w:pPr>
    </w:p>
    <w:p w14:paraId="4FEF8D72" w14:textId="77777777" w:rsidR="006033EF" w:rsidRPr="003E098C" w:rsidRDefault="006033EF" w:rsidP="006033EF">
      <w:pPr>
        <w:spacing w:before="0"/>
        <w:rPr>
          <w:color w:val="auto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3E098C" w:rsidRPr="003E098C" w14:paraId="7526EF60" w14:textId="77777777" w:rsidTr="006033EF">
        <w:trPr>
          <w:trHeight w:val="60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412294E" w14:textId="77777777" w:rsidR="006033EF" w:rsidRPr="003E098C" w:rsidRDefault="008B0577" w:rsidP="00F73E1E">
            <w:pPr>
              <w:pStyle w:val="Pa18"/>
              <w:spacing w:line="240" w:lineRule="auto"/>
              <w:jc w:val="center"/>
              <w:rPr>
                <w:rStyle w:val="A14"/>
                <w:rFonts w:cs="Calibri"/>
                <w:b w:val="0"/>
                <w:bCs/>
                <w:color w:val="auto"/>
                <w:sz w:val="48"/>
                <w:szCs w:val="28"/>
              </w:rPr>
            </w:pPr>
            <w:r w:rsidRPr="003E098C">
              <w:rPr>
                <w:b/>
                <w:sz w:val="48"/>
                <w:szCs w:val="52"/>
              </w:rPr>
              <w:t>2,97 mld. Kč</w:t>
            </w:r>
          </w:p>
        </w:tc>
        <w:tc>
          <w:tcPr>
            <w:tcW w:w="4534" w:type="dxa"/>
            <w:vAlign w:val="center"/>
          </w:tcPr>
          <w:p w14:paraId="37C7557A" w14:textId="77777777" w:rsidR="006033EF" w:rsidRPr="003E098C" w:rsidRDefault="008B0577" w:rsidP="00F73E1E">
            <w:pPr>
              <w:pStyle w:val="Pa18"/>
              <w:spacing w:line="240" w:lineRule="auto"/>
              <w:jc w:val="center"/>
              <w:rPr>
                <w:rFonts w:cs="Calibri"/>
                <w:b/>
                <w:sz w:val="48"/>
                <w:szCs w:val="52"/>
              </w:rPr>
            </w:pPr>
            <w:r w:rsidRPr="003E098C">
              <w:rPr>
                <w:rFonts w:cs="Calibri"/>
                <w:b/>
                <w:sz w:val="48"/>
                <w:szCs w:val="52"/>
              </w:rPr>
              <w:t>0,68 mld. Kč</w:t>
            </w:r>
          </w:p>
        </w:tc>
      </w:tr>
      <w:tr w:rsidR="00AC4755" w:rsidRPr="003E098C" w14:paraId="531408F5" w14:textId="77777777" w:rsidTr="006033EF">
        <w:trPr>
          <w:trHeight w:val="1245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71BA2FB5" w14:textId="77777777" w:rsidR="00A9768A" w:rsidRPr="003E098C" w:rsidRDefault="008B0577" w:rsidP="00F73E1E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 xml:space="preserve">Příjmy z prodeje nemovitostí </w:t>
            </w:r>
          </w:p>
          <w:p w14:paraId="0EC51A15" w14:textId="77777777" w:rsidR="006033EF" w:rsidRPr="003E098C" w:rsidRDefault="008B0577" w:rsidP="00F73E1E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>v letech 2017</w:t>
            </w:r>
            <w:r w:rsidRPr="003E098C">
              <w:t>–</w:t>
            </w:r>
            <w:r w:rsidRPr="003E098C">
              <w:rPr>
                <w:rFonts w:cs="Calibri"/>
              </w:rPr>
              <w:t>2019</w:t>
            </w:r>
          </w:p>
        </w:tc>
        <w:tc>
          <w:tcPr>
            <w:tcW w:w="4534" w:type="dxa"/>
            <w:vAlign w:val="center"/>
          </w:tcPr>
          <w:p w14:paraId="3A865DB0" w14:textId="77777777" w:rsidR="00A9768A" w:rsidRPr="003E098C" w:rsidRDefault="008B0577" w:rsidP="00F73E1E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 xml:space="preserve">Příjmy z pronájmu nemovitostí </w:t>
            </w:r>
          </w:p>
          <w:p w14:paraId="4FC4FC68" w14:textId="77777777" w:rsidR="006033EF" w:rsidRPr="003E098C" w:rsidRDefault="008B0577" w:rsidP="00F73E1E">
            <w:pPr>
              <w:pStyle w:val="Pa19"/>
              <w:spacing w:before="20" w:after="20" w:line="240" w:lineRule="auto"/>
              <w:jc w:val="center"/>
              <w:rPr>
                <w:rFonts w:cs="Calibri"/>
              </w:rPr>
            </w:pPr>
            <w:r w:rsidRPr="003E098C">
              <w:rPr>
                <w:rFonts w:cs="Calibri"/>
              </w:rPr>
              <w:t>v letech 2017</w:t>
            </w:r>
            <w:r w:rsidRPr="003E098C">
              <w:t>–</w:t>
            </w:r>
            <w:r w:rsidRPr="003E098C">
              <w:rPr>
                <w:rFonts w:cs="Calibri"/>
              </w:rPr>
              <w:t>2019</w:t>
            </w:r>
          </w:p>
        </w:tc>
      </w:tr>
    </w:tbl>
    <w:p w14:paraId="42A87D6A" w14:textId="77777777" w:rsidR="006033EF" w:rsidRDefault="006033EF" w:rsidP="00C42E39">
      <w:pPr>
        <w:spacing w:before="0"/>
        <w:jc w:val="center"/>
        <w:rPr>
          <w:bCs/>
          <w:color w:val="auto"/>
        </w:rPr>
      </w:pPr>
    </w:p>
    <w:p w14:paraId="54E02040" w14:textId="77777777" w:rsidR="00C42E39" w:rsidRPr="00C42E39" w:rsidRDefault="00C42E39" w:rsidP="00C42E39">
      <w:pPr>
        <w:spacing w:before="0"/>
        <w:jc w:val="center"/>
        <w:rPr>
          <w:bCs/>
          <w:color w:val="auto"/>
        </w:rPr>
      </w:pPr>
    </w:p>
    <w:p w14:paraId="354221CD" w14:textId="77777777" w:rsidR="00A03E39" w:rsidRPr="00C50202" w:rsidRDefault="008B0577" w:rsidP="00C50202">
      <w:pPr>
        <w:spacing w:before="0"/>
        <w:jc w:val="center"/>
        <w:rPr>
          <w:bCs/>
          <w:color w:val="auto"/>
        </w:rPr>
      </w:pPr>
      <w:r w:rsidRPr="003E098C">
        <w:rPr>
          <w:noProof/>
          <w:color w:val="auto"/>
          <w:lang w:eastAsia="cs-CZ"/>
        </w:rPr>
        <w:drawing>
          <wp:inline distT="0" distB="0" distL="0" distR="0" wp14:anchorId="5ED5D97F" wp14:editId="4D05C716">
            <wp:extent cx="5759450" cy="3594100"/>
            <wp:effectExtent l="0" t="0" r="0" b="635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5177430" w14:textId="77777777" w:rsidR="00A03E39" w:rsidRPr="00C50202" w:rsidRDefault="00A03E39" w:rsidP="00C50202">
      <w:pPr>
        <w:spacing w:before="0"/>
        <w:jc w:val="center"/>
        <w:rPr>
          <w:bCs/>
          <w:color w:val="auto"/>
        </w:rPr>
      </w:pPr>
    </w:p>
    <w:p w14:paraId="2FD1308D" w14:textId="77777777" w:rsidR="00A53075" w:rsidRPr="00C50202" w:rsidRDefault="008B0577" w:rsidP="00C50202">
      <w:pPr>
        <w:spacing w:before="0"/>
        <w:rPr>
          <w:bCs/>
          <w:color w:val="auto"/>
        </w:rPr>
      </w:pPr>
      <w:r w:rsidRPr="00C50202">
        <w:rPr>
          <w:color w:val="auto"/>
        </w:rPr>
        <w:br w:type="page"/>
      </w:r>
    </w:p>
    <w:p w14:paraId="07406645" w14:textId="77777777" w:rsidR="008B28D2" w:rsidRPr="003E098C" w:rsidRDefault="008B0577" w:rsidP="002849FA">
      <w:pPr>
        <w:pStyle w:val="Nadpis1"/>
        <w:spacing w:before="0" w:line="264" w:lineRule="auto"/>
        <w:rPr>
          <w:color w:val="auto"/>
          <w:sz w:val="28"/>
          <w:szCs w:val="24"/>
        </w:rPr>
      </w:pPr>
      <w:r w:rsidRPr="003E098C">
        <w:rPr>
          <w:color w:val="auto"/>
          <w:sz w:val="28"/>
          <w:szCs w:val="24"/>
        </w:rPr>
        <w:lastRenderedPageBreak/>
        <w:t>I. Shrnutí a vyhodnocení</w:t>
      </w:r>
    </w:p>
    <w:p w14:paraId="4CA01EC3" w14:textId="77777777" w:rsidR="008B28D2" w:rsidRPr="00C50202" w:rsidRDefault="008B28D2" w:rsidP="002849FA">
      <w:pPr>
        <w:keepNext/>
        <w:spacing w:before="0" w:line="264" w:lineRule="auto"/>
        <w:rPr>
          <w:color w:val="auto"/>
        </w:rPr>
      </w:pPr>
    </w:p>
    <w:p w14:paraId="35C8F36F" w14:textId="77777777" w:rsidR="00F41012" w:rsidRPr="00C50202" w:rsidRDefault="008B0577" w:rsidP="002849FA">
      <w:pPr>
        <w:spacing w:before="0" w:line="264" w:lineRule="auto"/>
        <w:rPr>
          <w:rFonts w:asciiTheme="minorHAnsi" w:hAnsiTheme="minorHAnsi" w:cstheme="minorHAnsi"/>
          <w:color w:val="auto"/>
        </w:rPr>
      </w:pPr>
      <w:r w:rsidRPr="00C50202">
        <w:rPr>
          <w:color w:val="auto"/>
          <w:lang w:eastAsia="cs-CZ"/>
        </w:rPr>
        <w:t>Cílem kontroly bylo prověřit</w:t>
      </w:r>
      <w:r w:rsidR="00D36D03" w:rsidRPr="00C50202">
        <w:rPr>
          <w:color w:val="auto"/>
        </w:rPr>
        <w:t xml:space="preserve">, zda </w:t>
      </w:r>
      <w:r w:rsidR="00D36D03" w:rsidRPr="00C50202">
        <w:rPr>
          <w:rFonts w:cstheme="minorHAnsi"/>
          <w:color w:val="auto"/>
        </w:rPr>
        <w:t>ÚZSVM</w:t>
      </w:r>
      <w:r w:rsidR="005860B3" w:rsidRPr="00C50202">
        <w:rPr>
          <w:color w:val="auto"/>
        </w:rPr>
        <w:t xml:space="preserve"> </w:t>
      </w:r>
      <w:r w:rsidR="00D36D03" w:rsidRPr="00C50202">
        <w:rPr>
          <w:rFonts w:cstheme="minorHAnsi"/>
          <w:color w:val="auto"/>
        </w:rPr>
        <w:t>hospodařil s majetkem a peněžními prostředky státu hospodárně, efektivně a v souladu s právními předpisy</w:t>
      </w:r>
      <w:r w:rsidR="0079171D" w:rsidRPr="00C50202">
        <w:rPr>
          <w:rFonts w:cstheme="minorHAnsi"/>
          <w:color w:val="auto"/>
        </w:rPr>
        <w:t>.</w:t>
      </w:r>
      <w:r w:rsidRPr="00C50202">
        <w:rPr>
          <w:color w:val="auto"/>
        </w:rPr>
        <w:t xml:space="preserve"> </w:t>
      </w:r>
    </w:p>
    <w:p w14:paraId="792FC5EF" w14:textId="77777777" w:rsidR="00653ECE" w:rsidRPr="00C50202" w:rsidRDefault="00653ECE" w:rsidP="002849FA">
      <w:pPr>
        <w:spacing w:before="0" w:line="264" w:lineRule="auto"/>
        <w:rPr>
          <w:color w:val="auto"/>
        </w:rPr>
      </w:pPr>
    </w:p>
    <w:p w14:paraId="38C94F25" w14:textId="77777777" w:rsidR="00304F1E" w:rsidRPr="00C50202" w:rsidRDefault="00304F1E" w:rsidP="002849FA">
      <w:pPr>
        <w:autoSpaceDE w:val="0"/>
        <w:autoSpaceDN w:val="0"/>
        <w:adjustRightInd w:val="0"/>
        <w:spacing w:before="0" w:line="264" w:lineRule="auto"/>
        <w:rPr>
          <w:color w:val="auto"/>
          <w:lang w:eastAsia="cs-CZ"/>
        </w:rPr>
      </w:pPr>
      <w:r w:rsidRPr="00C50202">
        <w:rPr>
          <w:color w:val="auto"/>
        </w:rPr>
        <w:t>NKÚ kontroloval</w:t>
      </w:r>
      <w:r w:rsidRPr="00C50202">
        <w:rPr>
          <w:color w:val="auto"/>
          <w:lang w:eastAsia="cs-CZ"/>
        </w:rPr>
        <w:t xml:space="preserve"> prodeje, pronájmy a bezúplatné převody nemovitého majetku, postupy při správě pohledávek, včetně jejich vymáhání, prověřil výdaje související s nepotřebným majetkem.</w:t>
      </w:r>
    </w:p>
    <w:p w14:paraId="1DEE18E2" w14:textId="77777777" w:rsidR="00304F1E" w:rsidRPr="00C50202" w:rsidRDefault="00304F1E" w:rsidP="002849FA">
      <w:pPr>
        <w:spacing w:before="0" w:line="264" w:lineRule="auto"/>
        <w:rPr>
          <w:color w:val="auto"/>
        </w:rPr>
      </w:pPr>
    </w:p>
    <w:p w14:paraId="523D52CB" w14:textId="4A58EFCF" w:rsidR="00F638D5" w:rsidRPr="00C50202" w:rsidRDefault="008B0577" w:rsidP="002849FA">
      <w:pPr>
        <w:spacing w:before="0" w:line="264" w:lineRule="auto"/>
        <w:rPr>
          <w:rFonts w:asciiTheme="minorHAnsi" w:hAnsiTheme="minorHAnsi" w:cstheme="minorHAnsi"/>
          <w:b/>
          <w:color w:val="auto"/>
        </w:rPr>
      </w:pPr>
      <w:r w:rsidRPr="00C50202">
        <w:rPr>
          <w:b/>
          <w:color w:val="auto"/>
        </w:rPr>
        <w:t xml:space="preserve">NKÚ </w:t>
      </w:r>
      <w:r w:rsidR="00065C9A" w:rsidRPr="00C50202">
        <w:rPr>
          <w:b/>
          <w:color w:val="auto"/>
        </w:rPr>
        <w:t xml:space="preserve">na kontrolovaném vzorku </w:t>
      </w:r>
      <w:r w:rsidRPr="00C50202">
        <w:rPr>
          <w:b/>
          <w:color w:val="auto"/>
        </w:rPr>
        <w:t xml:space="preserve">zjistil, že ÚZSVM </w:t>
      </w:r>
      <w:r w:rsidR="004B53C3" w:rsidRPr="00C50202">
        <w:rPr>
          <w:b/>
          <w:color w:val="auto"/>
        </w:rPr>
        <w:t>v letech 2017</w:t>
      </w:r>
      <w:r w:rsidR="00BC0F38">
        <w:rPr>
          <w:b/>
          <w:color w:val="auto"/>
        </w:rPr>
        <w:t>–</w:t>
      </w:r>
      <w:r w:rsidR="004B53C3" w:rsidRPr="00C50202">
        <w:rPr>
          <w:b/>
          <w:color w:val="auto"/>
        </w:rPr>
        <w:t xml:space="preserve">2019 </w:t>
      </w:r>
      <w:r w:rsidRPr="00C50202">
        <w:rPr>
          <w:b/>
          <w:color w:val="auto"/>
        </w:rPr>
        <w:t>až na jednotlivé</w:t>
      </w:r>
      <w:r w:rsidR="00304F1E" w:rsidRPr="00C50202">
        <w:rPr>
          <w:b/>
          <w:color w:val="auto"/>
        </w:rPr>
        <w:t xml:space="preserve"> </w:t>
      </w:r>
      <w:r w:rsidRPr="00C50202">
        <w:rPr>
          <w:b/>
          <w:color w:val="auto"/>
        </w:rPr>
        <w:t>případy postupoval při prodeji a pronájmu nemovitého majetku</w:t>
      </w:r>
      <w:r w:rsidR="00185316" w:rsidRPr="00C50202">
        <w:rPr>
          <w:b/>
          <w:color w:val="auto"/>
        </w:rPr>
        <w:t xml:space="preserve"> </w:t>
      </w:r>
      <w:r w:rsidR="0021288F" w:rsidRPr="00C50202">
        <w:rPr>
          <w:rFonts w:asciiTheme="minorHAnsi" w:hAnsiTheme="minorHAnsi" w:cstheme="minorHAnsi"/>
          <w:b/>
          <w:bCs/>
          <w:color w:val="auto"/>
          <w:lang w:eastAsia="cs-CZ"/>
        </w:rPr>
        <w:t>v souladu s právními předpisy</w:t>
      </w:r>
      <w:r w:rsidR="008224FB" w:rsidRPr="00C50202">
        <w:rPr>
          <w:rFonts w:asciiTheme="minorHAnsi" w:hAnsiTheme="minorHAnsi" w:cstheme="minorHAnsi"/>
          <w:b/>
          <w:bCs/>
          <w:color w:val="auto"/>
          <w:lang w:eastAsia="cs-CZ"/>
        </w:rPr>
        <w:t>, p</w:t>
      </w:r>
      <w:r w:rsidR="0036496A" w:rsidRPr="00C50202">
        <w:rPr>
          <w:b/>
          <w:color w:val="auto"/>
        </w:rPr>
        <w:t>ři vyna</w:t>
      </w:r>
      <w:r w:rsidR="00304F1E" w:rsidRPr="00C50202">
        <w:rPr>
          <w:b/>
          <w:color w:val="auto"/>
        </w:rPr>
        <w:t>kládání</w:t>
      </w:r>
      <w:r w:rsidR="0036496A" w:rsidRPr="00C50202">
        <w:rPr>
          <w:b/>
          <w:color w:val="auto"/>
        </w:rPr>
        <w:t xml:space="preserve"> peněžních prostředků</w:t>
      </w:r>
      <w:r w:rsidR="004B53C3" w:rsidRPr="00C50202">
        <w:rPr>
          <w:b/>
          <w:color w:val="auto"/>
        </w:rPr>
        <w:t xml:space="preserve"> související</w:t>
      </w:r>
      <w:r w:rsidR="0021288F" w:rsidRPr="00C50202">
        <w:rPr>
          <w:b/>
          <w:color w:val="auto"/>
        </w:rPr>
        <w:t>ch</w:t>
      </w:r>
      <w:r w:rsidR="004B53C3" w:rsidRPr="00C50202">
        <w:rPr>
          <w:b/>
          <w:color w:val="auto"/>
        </w:rPr>
        <w:t xml:space="preserve"> s nepotřebným majetkem </w:t>
      </w:r>
      <w:r w:rsidR="008224FB" w:rsidRPr="00C50202">
        <w:rPr>
          <w:b/>
          <w:color w:val="auto"/>
        </w:rPr>
        <w:t xml:space="preserve">postupoval ÚZSVM </w:t>
      </w:r>
      <w:r w:rsidR="00155D00" w:rsidRPr="00C50202">
        <w:rPr>
          <w:b/>
          <w:color w:val="auto"/>
        </w:rPr>
        <w:t>hospodárně a v souladu s právními předpisy</w:t>
      </w:r>
      <w:r w:rsidR="008224FB" w:rsidRPr="00C50202">
        <w:rPr>
          <w:b/>
          <w:color w:val="auto"/>
        </w:rPr>
        <w:t>, p</w:t>
      </w:r>
      <w:r w:rsidR="00525112" w:rsidRPr="00C50202">
        <w:rPr>
          <w:rFonts w:asciiTheme="minorHAnsi" w:hAnsiTheme="minorHAnsi" w:cstheme="minorHAnsi"/>
          <w:b/>
          <w:color w:val="auto"/>
        </w:rPr>
        <w:t>ři bezúplatných</w:t>
      </w:r>
      <w:r w:rsidR="00662A2B" w:rsidRPr="00C50202">
        <w:rPr>
          <w:rFonts w:asciiTheme="minorHAnsi" w:hAnsiTheme="minorHAnsi" w:cstheme="minorHAnsi"/>
          <w:b/>
          <w:color w:val="auto"/>
        </w:rPr>
        <w:t xml:space="preserve"> pře</w:t>
      </w:r>
      <w:r w:rsidR="00525112" w:rsidRPr="00C50202">
        <w:rPr>
          <w:rFonts w:asciiTheme="minorHAnsi" w:hAnsiTheme="minorHAnsi" w:cstheme="minorHAnsi"/>
          <w:b/>
          <w:color w:val="auto"/>
        </w:rPr>
        <w:t>vodech</w:t>
      </w:r>
      <w:r w:rsidR="00662A2B" w:rsidRPr="00C50202">
        <w:rPr>
          <w:rFonts w:asciiTheme="minorHAnsi" w:hAnsiTheme="minorHAnsi" w:cstheme="minorHAnsi"/>
          <w:b/>
          <w:color w:val="auto"/>
        </w:rPr>
        <w:t xml:space="preserve"> majetku </w:t>
      </w:r>
      <w:r w:rsidR="00BC0F38">
        <w:rPr>
          <w:rFonts w:asciiTheme="minorHAnsi" w:hAnsiTheme="minorHAnsi" w:cstheme="minorHAnsi"/>
          <w:b/>
          <w:color w:val="auto"/>
        </w:rPr>
        <w:t xml:space="preserve">postupoval </w:t>
      </w:r>
      <w:r w:rsidR="00662A2B" w:rsidRPr="00C50202">
        <w:rPr>
          <w:rFonts w:asciiTheme="minorHAnsi" w:hAnsiTheme="minorHAnsi" w:cstheme="minorHAnsi"/>
          <w:b/>
          <w:color w:val="auto"/>
        </w:rPr>
        <w:t>v souladu s právn</w:t>
      </w:r>
      <w:r w:rsidR="0035099A" w:rsidRPr="00C50202">
        <w:rPr>
          <w:rFonts w:asciiTheme="minorHAnsi" w:hAnsiTheme="minorHAnsi" w:cstheme="minorHAnsi"/>
          <w:b/>
          <w:color w:val="auto"/>
        </w:rPr>
        <w:t>ími předpisy, nediskriminačně a </w:t>
      </w:r>
      <w:r w:rsidR="00662A2B" w:rsidRPr="00C50202">
        <w:rPr>
          <w:rFonts w:asciiTheme="minorHAnsi" w:hAnsiTheme="minorHAnsi" w:cstheme="minorHAnsi"/>
          <w:b/>
          <w:color w:val="auto"/>
        </w:rPr>
        <w:t>transparentně</w:t>
      </w:r>
      <w:r w:rsidRPr="00C50202">
        <w:rPr>
          <w:rFonts w:asciiTheme="minorHAnsi" w:hAnsiTheme="minorHAnsi" w:cstheme="minorHAnsi"/>
          <w:b/>
          <w:color w:val="auto"/>
        </w:rPr>
        <w:t>.</w:t>
      </w:r>
    </w:p>
    <w:p w14:paraId="159E1489" w14:textId="77777777" w:rsidR="00653ECE" w:rsidRPr="00C50202" w:rsidRDefault="00653ECE" w:rsidP="002849FA">
      <w:pPr>
        <w:autoSpaceDE w:val="0"/>
        <w:autoSpaceDN w:val="0"/>
        <w:adjustRightInd w:val="0"/>
        <w:spacing w:before="0" w:line="264" w:lineRule="auto"/>
        <w:rPr>
          <w:rFonts w:asciiTheme="minorHAnsi" w:hAnsiTheme="minorHAnsi" w:cstheme="minorHAnsi"/>
          <w:b/>
          <w:color w:val="auto"/>
        </w:rPr>
      </w:pPr>
    </w:p>
    <w:p w14:paraId="6C8676A0" w14:textId="6B3F5ABB" w:rsidR="00503930" w:rsidRPr="00C50202" w:rsidRDefault="008B0577" w:rsidP="002849FA">
      <w:pPr>
        <w:autoSpaceDE w:val="0"/>
        <w:autoSpaceDN w:val="0"/>
        <w:adjustRightInd w:val="0"/>
        <w:spacing w:before="0" w:line="264" w:lineRule="auto"/>
        <w:rPr>
          <w:rFonts w:asciiTheme="minorHAnsi" w:hAnsiTheme="minorHAnsi" w:cstheme="minorHAnsi"/>
          <w:color w:val="auto"/>
        </w:rPr>
      </w:pPr>
      <w:r w:rsidRPr="00C50202">
        <w:rPr>
          <w:rFonts w:asciiTheme="minorHAnsi" w:hAnsiTheme="minorHAnsi" w:cstheme="minorHAnsi"/>
          <w:color w:val="auto"/>
        </w:rPr>
        <w:t>NKÚ při kontrole zjistil</w:t>
      </w:r>
      <w:r w:rsidR="00120FE0" w:rsidRPr="00C50202">
        <w:rPr>
          <w:rFonts w:asciiTheme="minorHAnsi" w:hAnsiTheme="minorHAnsi" w:cstheme="minorHAnsi"/>
          <w:color w:val="auto"/>
        </w:rPr>
        <w:t xml:space="preserve"> nedostatky</w:t>
      </w:r>
      <w:r w:rsidRPr="00C50202">
        <w:rPr>
          <w:rFonts w:asciiTheme="minorHAnsi" w:hAnsiTheme="minorHAnsi" w:cstheme="minorHAnsi"/>
          <w:color w:val="auto"/>
        </w:rPr>
        <w:t xml:space="preserve"> v oblasti uveřejňování smluv, průkaznosti účetnictví, in</w:t>
      </w:r>
      <w:r w:rsidR="00653ECE" w:rsidRPr="00C50202">
        <w:rPr>
          <w:rFonts w:asciiTheme="minorHAnsi" w:hAnsiTheme="minorHAnsi" w:cstheme="minorHAnsi"/>
          <w:color w:val="auto"/>
        </w:rPr>
        <w:t>ventarizace</w:t>
      </w:r>
      <w:r w:rsidR="004B53C3" w:rsidRPr="00C50202">
        <w:rPr>
          <w:rFonts w:asciiTheme="minorHAnsi" w:hAnsiTheme="minorHAnsi" w:cstheme="minorHAnsi"/>
          <w:color w:val="auto"/>
        </w:rPr>
        <w:t>,</w:t>
      </w:r>
      <w:r w:rsidR="00653ECE" w:rsidRPr="00C50202">
        <w:rPr>
          <w:rFonts w:asciiTheme="minorHAnsi" w:hAnsiTheme="minorHAnsi" w:cstheme="minorHAnsi"/>
          <w:color w:val="auto"/>
        </w:rPr>
        <w:t xml:space="preserve"> oceňování majetku</w:t>
      </w:r>
      <w:r w:rsidR="004B53C3" w:rsidRPr="00C50202">
        <w:rPr>
          <w:rFonts w:asciiTheme="minorHAnsi" w:hAnsiTheme="minorHAnsi" w:cstheme="minorHAnsi"/>
          <w:color w:val="auto"/>
        </w:rPr>
        <w:t xml:space="preserve"> a říd</w:t>
      </w:r>
      <w:r w:rsidR="00A762FE">
        <w:rPr>
          <w:rFonts w:asciiTheme="minorHAnsi" w:hAnsiTheme="minorHAnsi" w:cstheme="minorHAnsi"/>
          <w:color w:val="auto"/>
        </w:rPr>
        <w:t>i</w:t>
      </w:r>
      <w:r w:rsidR="004B53C3" w:rsidRPr="00C50202">
        <w:rPr>
          <w:rFonts w:asciiTheme="minorHAnsi" w:hAnsiTheme="minorHAnsi" w:cstheme="minorHAnsi"/>
          <w:color w:val="auto"/>
        </w:rPr>
        <w:t>cí kontroly</w:t>
      </w:r>
      <w:r w:rsidRPr="00C50202">
        <w:rPr>
          <w:rFonts w:asciiTheme="minorHAnsi" w:hAnsiTheme="minorHAnsi" w:cstheme="minorHAnsi"/>
          <w:color w:val="auto"/>
        </w:rPr>
        <w:t>:</w:t>
      </w:r>
    </w:p>
    <w:p w14:paraId="7D81D46D" w14:textId="12865309" w:rsidR="005951C2" w:rsidRPr="00A762FE" w:rsidRDefault="008B0577" w:rsidP="00AD1C5B">
      <w:pPr>
        <w:pStyle w:val="Odstavecseseznamem"/>
        <w:numPr>
          <w:ilvl w:val="0"/>
          <w:numId w:val="20"/>
        </w:numPr>
        <w:spacing w:before="0" w:line="264" w:lineRule="auto"/>
        <w:ind w:left="284" w:hanging="284"/>
        <w:rPr>
          <w:color w:val="auto"/>
        </w:rPr>
      </w:pPr>
      <w:r w:rsidRPr="00A762FE">
        <w:rPr>
          <w:color w:val="auto"/>
        </w:rPr>
        <w:t xml:space="preserve">ÚZSVM </w:t>
      </w:r>
      <w:r w:rsidR="00F60C27" w:rsidRPr="00A762FE">
        <w:rPr>
          <w:color w:val="auto"/>
        </w:rPr>
        <w:t xml:space="preserve">nezaslal správci registru </w:t>
      </w:r>
      <w:r w:rsidRPr="00A762FE">
        <w:rPr>
          <w:color w:val="auto"/>
        </w:rPr>
        <w:t xml:space="preserve">smluv jednu smlouvu </w:t>
      </w:r>
      <w:r w:rsidR="006126EC" w:rsidRPr="00A762FE">
        <w:rPr>
          <w:color w:val="auto"/>
        </w:rPr>
        <w:t>ve výši 1 2</w:t>
      </w:r>
      <w:r w:rsidR="00BA3390" w:rsidRPr="00A762FE">
        <w:rPr>
          <w:color w:val="auto"/>
        </w:rPr>
        <w:t>1</w:t>
      </w:r>
      <w:r w:rsidR="006126EC" w:rsidRPr="00A762FE">
        <w:rPr>
          <w:color w:val="auto"/>
        </w:rPr>
        <w:t xml:space="preserve">0 000 Kč </w:t>
      </w:r>
      <w:r w:rsidRPr="00A762FE">
        <w:rPr>
          <w:color w:val="auto"/>
        </w:rPr>
        <w:t xml:space="preserve">ve strojově čitelném formátu, s </w:t>
      </w:r>
      <w:proofErr w:type="spellStart"/>
      <w:r w:rsidRPr="00A762FE">
        <w:rPr>
          <w:color w:val="auto"/>
        </w:rPr>
        <w:t>metadaty</w:t>
      </w:r>
      <w:proofErr w:type="spellEnd"/>
      <w:r w:rsidRPr="00A762FE">
        <w:rPr>
          <w:color w:val="auto"/>
        </w:rPr>
        <w:t xml:space="preserve"> obsahujícími identifikaci zhotovitele a </w:t>
      </w:r>
      <w:r w:rsidR="006126EC" w:rsidRPr="00A762FE">
        <w:rPr>
          <w:color w:val="auto"/>
        </w:rPr>
        <w:t>v termínu stanoveném zákonem č. </w:t>
      </w:r>
      <w:r w:rsidRPr="00A762FE">
        <w:rPr>
          <w:color w:val="auto"/>
        </w:rPr>
        <w:t>340/2015 Sb.</w:t>
      </w:r>
      <w:r w:rsidRPr="00C50202">
        <w:rPr>
          <w:rStyle w:val="Znakapoznpodarou"/>
          <w:color w:val="auto"/>
        </w:rPr>
        <w:footnoteReference w:id="1"/>
      </w:r>
      <w:r w:rsidRPr="00A762FE">
        <w:rPr>
          <w:color w:val="auto"/>
        </w:rPr>
        <w:t xml:space="preserve"> Neuveřejněním v zákon</w:t>
      </w:r>
      <w:r w:rsidR="00BC0F38">
        <w:rPr>
          <w:color w:val="auto"/>
        </w:rPr>
        <w:t>em</w:t>
      </w:r>
      <w:r w:rsidRPr="00A762FE">
        <w:rPr>
          <w:color w:val="auto"/>
        </w:rPr>
        <w:t xml:space="preserve"> stanovené době v registru smluv byla smlouva neúčinná a následně byla zrušena od počátku</w:t>
      </w:r>
      <w:r w:rsidR="00B412CC" w:rsidRPr="00A762FE">
        <w:rPr>
          <w:color w:val="auto"/>
        </w:rPr>
        <w:t>, do ukončení kontroly uzavřel ÚZSVM smlouvu o vypořádání závazků</w:t>
      </w:r>
      <w:r w:rsidRPr="00A762FE">
        <w:rPr>
          <w:color w:val="auto"/>
        </w:rPr>
        <w:t>.</w:t>
      </w:r>
      <w:r w:rsidR="005369DB" w:rsidRPr="00A762FE">
        <w:rPr>
          <w:color w:val="auto"/>
        </w:rPr>
        <w:t>(</w:t>
      </w:r>
      <w:r w:rsidR="005E2161">
        <w:rPr>
          <w:color w:val="auto"/>
        </w:rPr>
        <w:t xml:space="preserve">Viz </w:t>
      </w:r>
      <w:r w:rsidR="005369DB" w:rsidRPr="00A762FE">
        <w:rPr>
          <w:color w:val="auto"/>
        </w:rPr>
        <w:t>část IV.</w:t>
      </w:r>
      <w:r w:rsidR="005E2161">
        <w:rPr>
          <w:color w:val="auto"/>
        </w:rPr>
        <w:t xml:space="preserve"> tohoto kontrolního závěru.</w:t>
      </w:r>
      <w:r w:rsidR="005369DB" w:rsidRPr="00A762FE">
        <w:rPr>
          <w:color w:val="auto"/>
        </w:rPr>
        <w:t>)</w:t>
      </w:r>
    </w:p>
    <w:p w14:paraId="78BF66FC" w14:textId="273D49E8" w:rsidR="005951C2" w:rsidRPr="00A762FE" w:rsidRDefault="008B0577" w:rsidP="00AD1C5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0" w:line="264" w:lineRule="auto"/>
        <w:ind w:left="284" w:hanging="284"/>
        <w:rPr>
          <w:rFonts w:cstheme="minorHAnsi"/>
          <w:iCs/>
          <w:color w:val="auto"/>
        </w:rPr>
      </w:pPr>
      <w:r w:rsidRPr="00A762FE">
        <w:rPr>
          <w:rFonts w:cstheme="minorHAnsi"/>
          <w:iCs/>
          <w:color w:val="auto"/>
        </w:rPr>
        <w:t>ÚZSVM v účetním období 2017, 2018 a 2019 nevedl průkazné účetní</w:t>
      </w:r>
      <w:r w:rsidR="00FF0F31" w:rsidRPr="00A762FE">
        <w:rPr>
          <w:rFonts w:cstheme="minorHAnsi"/>
          <w:iCs/>
          <w:color w:val="auto"/>
        </w:rPr>
        <w:t xml:space="preserve"> záznamy</w:t>
      </w:r>
      <w:r w:rsidR="00FF0F31" w:rsidRPr="00C50202">
        <w:rPr>
          <w:rStyle w:val="Znakapoznpodarou"/>
          <w:rFonts w:cstheme="minorHAnsi"/>
          <w:iCs/>
          <w:color w:val="auto"/>
        </w:rPr>
        <w:footnoteReference w:id="2"/>
      </w:r>
      <w:r w:rsidRPr="00A762FE">
        <w:rPr>
          <w:rFonts w:cstheme="minorHAnsi"/>
          <w:iCs/>
          <w:color w:val="auto"/>
        </w:rPr>
        <w:t xml:space="preserve">, když obsah </w:t>
      </w:r>
      <w:r w:rsidR="00F60C27" w:rsidRPr="00A762FE">
        <w:rPr>
          <w:rFonts w:cstheme="minorHAnsi"/>
          <w:iCs/>
          <w:color w:val="auto"/>
        </w:rPr>
        <w:t xml:space="preserve">některých </w:t>
      </w:r>
      <w:r w:rsidRPr="00A762FE">
        <w:rPr>
          <w:rFonts w:cstheme="minorHAnsi"/>
          <w:iCs/>
          <w:color w:val="auto"/>
        </w:rPr>
        <w:t xml:space="preserve">účetních záznamů nebyl prokázán přímo porovnáním se skutečností. </w:t>
      </w:r>
      <w:r w:rsidR="00FF0F31" w:rsidRPr="00A762FE">
        <w:rPr>
          <w:color w:val="auto"/>
        </w:rPr>
        <w:t>(</w:t>
      </w:r>
      <w:r w:rsidR="005E2161">
        <w:rPr>
          <w:color w:val="auto"/>
        </w:rPr>
        <w:t xml:space="preserve">Viz </w:t>
      </w:r>
      <w:r w:rsidR="00FF0F31" w:rsidRPr="00A762FE">
        <w:rPr>
          <w:color w:val="auto"/>
        </w:rPr>
        <w:t>část IV.</w:t>
      </w:r>
      <w:r w:rsidR="005E2161">
        <w:rPr>
          <w:color w:val="auto"/>
        </w:rPr>
        <w:t xml:space="preserve"> </w:t>
      </w:r>
      <w:r w:rsidR="00BC0F38">
        <w:rPr>
          <w:color w:val="auto"/>
        </w:rPr>
        <w:t xml:space="preserve">tohoto kontrolního </w:t>
      </w:r>
      <w:r w:rsidR="005E2161">
        <w:rPr>
          <w:color w:val="auto"/>
        </w:rPr>
        <w:t>závěru.</w:t>
      </w:r>
      <w:r w:rsidR="005369DB" w:rsidRPr="00A762FE">
        <w:rPr>
          <w:color w:val="auto"/>
        </w:rPr>
        <w:t>)</w:t>
      </w:r>
    </w:p>
    <w:p w14:paraId="61DEC875" w14:textId="09C7845E" w:rsidR="00662A2B" w:rsidRPr="00A762FE" w:rsidRDefault="008B0577" w:rsidP="00AD1C5B">
      <w:pPr>
        <w:pStyle w:val="Odstavecseseznamem"/>
        <w:numPr>
          <w:ilvl w:val="0"/>
          <w:numId w:val="20"/>
        </w:numPr>
        <w:spacing w:before="0" w:line="264" w:lineRule="auto"/>
        <w:ind w:left="284" w:hanging="284"/>
        <w:rPr>
          <w:color w:val="auto"/>
        </w:rPr>
      </w:pPr>
      <w:r w:rsidRPr="00A762FE">
        <w:rPr>
          <w:color w:val="auto"/>
        </w:rPr>
        <w:t xml:space="preserve">ÚZSVM dokladovou inventurou nezjistil skutečný stav </w:t>
      </w:r>
      <w:r w:rsidR="00503930" w:rsidRPr="00A762FE">
        <w:rPr>
          <w:color w:val="auto"/>
        </w:rPr>
        <w:t xml:space="preserve">čtyř </w:t>
      </w:r>
      <w:r w:rsidRPr="00A762FE">
        <w:rPr>
          <w:color w:val="auto"/>
        </w:rPr>
        <w:t>poh</w:t>
      </w:r>
      <w:r w:rsidR="008336E4" w:rsidRPr="00A762FE">
        <w:rPr>
          <w:color w:val="auto"/>
        </w:rPr>
        <w:t>ledávek k 31. 12. 2017, 31. 12. </w:t>
      </w:r>
      <w:r w:rsidRPr="00A762FE">
        <w:rPr>
          <w:color w:val="auto"/>
        </w:rPr>
        <w:t>2018 a 31. 12. 2019. ÚZSVM nezjistil</w:t>
      </w:r>
      <w:r w:rsidR="00932625" w:rsidRPr="00A762FE">
        <w:rPr>
          <w:color w:val="auto"/>
        </w:rPr>
        <w:t xml:space="preserve"> v těchto případech </w:t>
      </w:r>
      <w:r w:rsidRPr="00A762FE">
        <w:rPr>
          <w:color w:val="auto"/>
        </w:rPr>
        <w:t>skutečný stav majetku, neprovedl inventarizaci</w:t>
      </w:r>
      <w:r w:rsidR="00503930" w:rsidRPr="00A762FE">
        <w:rPr>
          <w:color w:val="auto"/>
        </w:rPr>
        <w:t xml:space="preserve"> v souladu s</w:t>
      </w:r>
      <w:r w:rsidR="00932625" w:rsidRPr="00A762FE">
        <w:rPr>
          <w:color w:val="auto"/>
        </w:rPr>
        <w:t>e zákonem č.  563/1991 Sb.</w:t>
      </w:r>
      <w:r w:rsidRPr="00C50202">
        <w:rPr>
          <w:rStyle w:val="Znakapoznpodarou"/>
          <w:color w:val="auto"/>
        </w:rPr>
        <w:footnoteReference w:id="3"/>
      </w:r>
      <w:r w:rsidR="00932625" w:rsidRPr="00A762FE">
        <w:rPr>
          <w:color w:val="auto"/>
        </w:rPr>
        <w:t xml:space="preserve"> </w:t>
      </w:r>
      <w:r w:rsidRPr="00A762FE">
        <w:rPr>
          <w:color w:val="auto"/>
        </w:rPr>
        <w:t>a neověřil, zda zjištěný skutečný stav odpovídá stavu majetku v</w:t>
      </w:r>
      <w:r w:rsidR="00932625" w:rsidRPr="00A762FE">
        <w:rPr>
          <w:color w:val="auto"/>
        </w:rPr>
        <w:t> </w:t>
      </w:r>
      <w:r w:rsidRPr="00A762FE">
        <w:rPr>
          <w:color w:val="auto"/>
        </w:rPr>
        <w:t>účetnictví</w:t>
      </w:r>
      <w:r w:rsidR="00932625" w:rsidRPr="00A762FE">
        <w:rPr>
          <w:color w:val="auto"/>
        </w:rPr>
        <w:t>.</w:t>
      </w:r>
      <w:r w:rsidR="00DD5DAC" w:rsidRPr="00A762FE">
        <w:rPr>
          <w:color w:val="auto"/>
        </w:rPr>
        <w:t xml:space="preserve"> </w:t>
      </w:r>
      <w:r w:rsidR="008336E4" w:rsidRPr="00A762FE">
        <w:rPr>
          <w:color w:val="auto"/>
        </w:rPr>
        <w:t>ÚZSVM nepostupoval v souladu s </w:t>
      </w:r>
      <w:r w:rsidRPr="00A762FE">
        <w:rPr>
          <w:color w:val="auto"/>
        </w:rPr>
        <w:t>vyhláškou č. 410/2009 Sb.</w:t>
      </w:r>
      <w:r w:rsidRPr="00C50202">
        <w:rPr>
          <w:rStyle w:val="Znakapoznpodarou"/>
          <w:color w:val="auto"/>
        </w:rPr>
        <w:footnoteReference w:id="4"/>
      </w:r>
      <w:r w:rsidRPr="00A762FE">
        <w:rPr>
          <w:color w:val="auto"/>
        </w:rPr>
        <w:t>, když neprovedl ocenění dlouhodobé podmíněné pohledávky.</w:t>
      </w:r>
      <w:r w:rsidR="005369DB" w:rsidRPr="00A762FE">
        <w:rPr>
          <w:color w:val="auto"/>
        </w:rPr>
        <w:t xml:space="preserve"> (</w:t>
      </w:r>
      <w:r w:rsidR="00B70FE0" w:rsidRPr="00A762FE">
        <w:rPr>
          <w:color w:val="auto"/>
        </w:rPr>
        <w:t xml:space="preserve">Viz </w:t>
      </w:r>
      <w:r w:rsidR="005369DB" w:rsidRPr="00A762FE">
        <w:rPr>
          <w:color w:val="auto"/>
        </w:rPr>
        <w:t xml:space="preserve">část IV. </w:t>
      </w:r>
      <w:r w:rsidR="00B70FE0" w:rsidRPr="00A762FE">
        <w:rPr>
          <w:color w:val="auto"/>
        </w:rPr>
        <w:t>tohoto kontrolního závěru.</w:t>
      </w:r>
      <w:r w:rsidR="005369DB" w:rsidRPr="00A762FE">
        <w:rPr>
          <w:color w:val="auto"/>
        </w:rPr>
        <w:t>)</w:t>
      </w:r>
    </w:p>
    <w:p w14:paraId="3ABD1489" w14:textId="77777777" w:rsidR="00120FE0" w:rsidRPr="00C50202" w:rsidRDefault="00120FE0" w:rsidP="002849FA">
      <w:pPr>
        <w:spacing w:before="0" w:line="264" w:lineRule="auto"/>
        <w:rPr>
          <w:color w:val="auto"/>
        </w:rPr>
      </w:pPr>
    </w:p>
    <w:p w14:paraId="02C9920E" w14:textId="77777777" w:rsidR="00120FE0" w:rsidRPr="00C50202" w:rsidRDefault="00525112" w:rsidP="002849FA">
      <w:pPr>
        <w:spacing w:before="0" w:line="264" w:lineRule="auto"/>
        <w:rPr>
          <w:rFonts w:cstheme="minorHAnsi"/>
          <w:color w:val="auto"/>
        </w:rPr>
      </w:pPr>
      <w:r w:rsidRPr="00C50202">
        <w:rPr>
          <w:rFonts w:asciiTheme="minorHAnsi" w:hAnsiTheme="minorHAnsi"/>
          <w:color w:val="auto"/>
        </w:rPr>
        <w:t>ÚZSVM přijal taková opatření, která vedla k nápravě nedostatků zjištěných kontrolou, nedostatky byly v průběhu kontroly odstraněny</w:t>
      </w:r>
      <w:r w:rsidR="008B0577" w:rsidRPr="00C50202">
        <w:rPr>
          <w:rFonts w:cstheme="minorHAnsi"/>
          <w:color w:val="auto"/>
        </w:rPr>
        <w:t>.</w:t>
      </w:r>
    </w:p>
    <w:p w14:paraId="09F4E51A" w14:textId="77777777" w:rsidR="00065C9A" w:rsidRDefault="00065C9A" w:rsidP="00C50202">
      <w:pPr>
        <w:spacing w:before="0"/>
        <w:rPr>
          <w:color w:val="auto"/>
        </w:rPr>
      </w:pPr>
    </w:p>
    <w:p w14:paraId="1305CAE7" w14:textId="77777777" w:rsidR="00C50202" w:rsidRPr="00C50202" w:rsidRDefault="00C50202" w:rsidP="00C50202">
      <w:pPr>
        <w:spacing w:before="0"/>
        <w:rPr>
          <w:color w:val="auto"/>
        </w:rPr>
      </w:pPr>
    </w:p>
    <w:p w14:paraId="6045A9B8" w14:textId="77777777" w:rsidR="008B28D2" w:rsidRPr="00C50202" w:rsidRDefault="008B0577" w:rsidP="00C50202">
      <w:pPr>
        <w:pStyle w:val="Nadpis1"/>
        <w:spacing w:before="0"/>
        <w:rPr>
          <w:color w:val="auto"/>
          <w:sz w:val="28"/>
          <w:szCs w:val="24"/>
        </w:rPr>
      </w:pPr>
      <w:r w:rsidRPr="00C50202">
        <w:rPr>
          <w:color w:val="auto"/>
          <w:sz w:val="28"/>
          <w:szCs w:val="24"/>
        </w:rPr>
        <w:lastRenderedPageBreak/>
        <w:t>II. Informace o kontrolované oblasti</w:t>
      </w:r>
    </w:p>
    <w:p w14:paraId="6B8CD012" w14:textId="77777777" w:rsidR="00662A2B" w:rsidRPr="00C50202" w:rsidRDefault="00662A2B" w:rsidP="00C50202">
      <w:pPr>
        <w:keepNext/>
        <w:spacing w:before="0"/>
        <w:rPr>
          <w:rFonts w:cstheme="minorHAnsi"/>
          <w:color w:val="auto"/>
        </w:rPr>
      </w:pPr>
    </w:p>
    <w:p w14:paraId="14172AFE" w14:textId="77777777" w:rsidR="00525112" w:rsidRPr="00C50202" w:rsidRDefault="008B0577" w:rsidP="002849FA">
      <w:pPr>
        <w:spacing w:before="0" w:line="264" w:lineRule="auto"/>
        <w:rPr>
          <w:rFonts w:asciiTheme="minorHAnsi" w:hAnsiTheme="minorHAnsi" w:cstheme="minorHAnsi"/>
          <w:color w:val="auto"/>
        </w:rPr>
      </w:pPr>
      <w:r w:rsidRPr="00C50202">
        <w:rPr>
          <w:rFonts w:cstheme="minorHAnsi"/>
          <w:color w:val="auto"/>
        </w:rPr>
        <w:t xml:space="preserve">ÚZSVM </w:t>
      </w:r>
      <w:r w:rsidR="00525112" w:rsidRPr="00C50202">
        <w:rPr>
          <w:rFonts w:cstheme="minorHAnsi"/>
          <w:color w:val="auto"/>
        </w:rPr>
        <w:t>byl zřízen</w:t>
      </w:r>
      <w:r w:rsidRPr="00C50202">
        <w:rPr>
          <w:rFonts w:cstheme="minorHAnsi"/>
          <w:color w:val="auto"/>
        </w:rPr>
        <w:t xml:space="preserve"> zákon</w:t>
      </w:r>
      <w:r w:rsidR="00525112" w:rsidRPr="00C50202">
        <w:rPr>
          <w:rFonts w:cstheme="minorHAnsi"/>
          <w:color w:val="auto"/>
        </w:rPr>
        <w:t>em</w:t>
      </w:r>
      <w:r w:rsidRPr="00C50202">
        <w:rPr>
          <w:rFonts w:cstheme="minorHAnsi"/>
          <w:color w:val="auto"/>
        </w:rPr>
        <w:t xml:space="preserve"> č. 201/2002 Sb.</w:t>
      </w:r>
      <w:r w:rsidRPr="00C50202">
        <w:rPr>
          <w:rStyle w:val="Znakapoznpodarou"/>
          <w:rFonts w:cstheme="minorHAnsi"/>
          <w:color w:val="auto"/>
        </w:rPr>
        <w:footnoteReference w:id="5"/>
      </w:r>
      <w:r w:rsidR="00525112" w:rsidRPr="00C50202">
        <w:rPr>
          <w:rFonts w:cstheme="minorHAnsi"/>
          <w:color w:val="auto"/>
        </w:rPr>
        <w:t xml:space="preserve">, </w:t>
      </w:r>
      <w:r w:rsidR="00525112" w:rsidRPr="00C50202">
        <w:rPr>
          <w:rFonts w:asciiTheme="minorHAnsi" w:hAnsiTheme="minorHAnsi" w:cstheme="minorHAnsi"/>
          <w:color w:val="auto"/>
        </w:rPr>
        <w:t>je organizační složkou státu (dále také „OSS”) spadající do resortu Ministerstva financí (dále také „MF“) a účetní jednotkou. Organizační strukturu tvoří ústředí ÚZSVM a osm územních pracovišť (dále tak</w:t>
      </w:r>
      <w:r w:rsidR="00537DDF" w:rsidRPr="00C50202">
        <w:rPr>
          <w:rFonts w:asciiTheme="minorHAnsi" w:hAnsiTheme="minorHAnsi" w:cstheme="minorHAnsi"/>
          <w:color w:val="auto"/>
        </w:rPr>
        <w:t xml:space="preserve">é </w:t>
      </w:r>
      <w:r w:rsidR="005E2161">
        <w:rPr>
          <w:rFonts w:asciiTheme="minorHAnsi" w:hAnsiTheme="minorHAnsi" w:cstheme="minorHAnsi"/>
          <w:color w:val="auto"/>
        </w:rPr>
        <w:t>„ÚP“ nebo „</w:t>
      </w:r>
      <w:proofErr w:type="spellStart"/>
      <w:r w:rsidR="005E2161">
        <w:rPr>
          <w:rFonts w:asciiTheme="minorHAnsi" w:hAnsiTheme="minorHAnsi" w:cstheme="minorHAnsi"/>
          <w:color w:val="auto"/>
        </w:rPr>
        <w:t>ÚzP</w:t>
      </w:r>
      <w:proofErr w:type="spellEnd"/>
      <w:r w:rsidR="005E2161">
        <w:rPr>
          <w:rFonts w:asciiTheme="minorHAnsi" w:hAnsiTheme="minorHAnsi" w:cstheme="minorHAnsi"/>
          <w:color w:val="auto"/>
        </w:rPr>
        <w:t>“), k 31. </w:t>
      </w:r>
      <w:r w:rsidR="00537DDF" w:rsidRPr="00C50202">
        <w:rPr>
          <w:rFonts w:asciiTheme="minorHAnsi" w:hAnsiTheme="minorHAnsi" w:cstheme="minorHAnsi"/>
          <w:color w:val="auto"/>
        </w:rPr>
        <w:t>12.</w:t>
      </w:r>
      <w:r w:rsidR="005E2161">
        <w:rPr>
          <w:rFonts w:asciiTheme="minorHAnsi" w:hAnsiTheme="minorHAnsi" w:cstheme="minorHAnsi"/>
          <w:color w:val="auto"/>
        </w:rPr>
        <w:t> </w:t>
      </w:r>
      <w:r w:rsidR="00537DDF" w:rsidRPr="00C50202">
        <w:rPr>
          <w:rFonts w:asciiTheme="minorHAnsi" w:hAnsiTheme="minorHAnsi" w:cstheme="minorHAnsi"/>
          <w:color w:val="auto"/>
        </w:rPr>
        <w:t xml:space="preserve">2019 měl </w:t>
      </w:r>
      <w:r w:rsidR="00CA6F04" w:rsidRPr="00C50202">
        <w:rPr>
          <w:rFonts w:asciiTheme="minorHAnsi" w:hAnsiTheme="minorHAnsi" w:cstheme="minorHAnsi"/>
          <w:color w:val="auto"/>
        </w:rPr>
        <w:t>ÚZSVM</w:t>
      </w:r>
      <w:r w:rsidR="00537DDF" w:rsidRPr="00C50202">
        <w:rPr>
          <w:rFonts w:asciiTheme="minorHAnsi" w:hAnsiTheme="minorHAnsi" w:cstheme="minorHAnsi"/>
          <w:color w:val="auto"/>
        </w:rPr>
        <w:t xml:space="preserve"> </w:t>
      </w:r>
      <w:r w:rsidR="00BC0F38">
        <w:rPr>
          <w:rFonts w:asciiTheme="minorHAnsi" w:hAnsiTheme="minorHAnsi" w:cstheme="minorHAnsi"/>
          <w:color w:val="auto"/>
        </w:rPr>
        <w:t xml:space="preserve">celkem </w:t>
      </w:r>
      <w:r w:rsidR="00537DDF" w:rsidRPr="00C50202">
        <w:rPr>
          <w:rFonts w:asciiTheme="minorHAnsi" w:hAnsiTheme="minorHAnsi" w:cstheme="minorHAnsi"/>
          <w:color w:val="auto"/>
        </w:rPr>
        <w:t>1 779 systematizovaných pracovních míst.</w:t>
      </w:r>
    </w:p>
    <w:p w14:paraId="57D90DD7" w14:textId="77777777" w:rsidR="00662A2B" w:rsidRPr="00C50202" w:rsidRDefault="00662A2B" w:rsidP="00C50202">
      <w:pPr>
        <w:spacing w:before="0"/>
        <w:rPr>
          <w:rFonts w:cstheme="minorHAnsi"/>
          <w:color w:val="auto"/>
        </w:rPr>
      </w:pPr>
    </w:p>
    <w:p w14:paraId="3CF4DA75" w14:textId="77777777" w:rsidR="00662A2B" w:rsidRPr="002849FA" w:rsidRDefault="008B0577" w:rsidP="00662A2B">
      <w:pPr>
        <w:spacing w:before="0"/>
        <w:rPr>
          <w:rFonts w:cstheme="minorHAnsi"/>
          <w:b/>
          <w:color w:val="auto"/>
        </w:rPr>
      </w:pPr>
      <w:r w:rsidRPr="002849FA">
        <w:rPr>
          <w:rFonts w:cstheme="minorHAnsi"/>
          <w:b/>
          <w:color w:val="auto"/>
        </w:rPr>
        <w:t>Obrázek č. 1: Územní pracoviště ÚZSVM</w:t>
      </w:r>
    </w:p>
    <w:p w14:paraId="186D7CD1" w14:textId="77777777" w:rsidR="00662A2B" w:rsidRPr="003E098C" w:rsidRDefault="00525112" w:rsidP="00662A2B">
      <w:pPr>
        <w:spacing w:before="0"/>
        <w:rPr>
          <w:rFonts w:cstheme="minorHAnsi"/>
          <w:color w:val="auto"/>
        </w:rPr>
      </w:pPr>
      <w:r w:rsidRPr="003E098C">
        <w:rPr>
          <w:noProof/>
          <w:color w:val="auto"/>
          <w:lang w:eastAsia="cs-CZ"/>
        </w:rPr>
        <w:drawing>
          <wp:inline distT="0" distB="0" distL="0" distR="0" wp14:anchorId="71B36AAF" wp14:editId="0B10B7A9">
            <wp:extent cx="5759450" cy="33616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2E40" w14:textId="77777777" w:rsidR="00662A2B" w:rsidRPr="002849FA" w:rsidRDefault="008B0577" w:rsidP="00B9688E">
      <w:pPr>
        <w:spacing w:before="0"/>
        <w:rPr>
          <w:rFonts w:cstheme="minorHAnsi"/>
          <w:color w:val="auto"/>
        </w:rPr>
      </w:pPr>
      <w:r w:rsidRPr="002849FA">
        <w:rPr>
          <w:b/>
          <w:color w:val="auto"/>
          <w:sz w:val="20"/>
        </w:rPr>
        <w:t>Zdroj:</w:t>
      </w:r>
      <w:r w:rsidRPr="002849FA">
        <w:rPr>
          <w:color w:val="auto"/>
          <w:sz w:val="20"/>
        </w:rPr>
        <w:t xml:space="preserve"> převzato z </w:t>
      </w:r>
      <w:r w:rsidR="00525112" w:rsidRPr="002849FA">
        <w:rPr>
          <w:color w:val="auto"/>
          <w:sz w:val="20"/>
        </w:rPr>
        <w:t>výroční zprávy ÚZSVM za rok 2017</w:t>
      </w:r>
      <w:r w:rsidR="0095086D" w:rsidRPr="002849FA">
        <w:rPr>
          <w:color w:val="auto"/>
          <w:sz w:val="20"/>
        </w:rPr>
        <w:t>.</w:t>
      </w:r>
    </w:p>
    <w:p w14:paraId="0DAD1C4E" w14:textId="77777777" w:rsidR="00662A2B" w:rsidRPr="003E098C" w:rsidRDefault="00662A2B" w:rsidP="00B9688E">
      <w:pPr>
        <w:spacing w:before="0"/>
        <w:rPr>
          <w:rFonts w:cstheme="minorHAnsi"/>
          <w:color w:val="auto"/>
        </w:rPr>
      </w:pPr>
    </w:p>
    <w:p w14:paraId="452381A6" w14:textId="77777777" w:rsidR="00662A2B" w:rsidRPr="003E098C" w:rsidRDefault="008B0577" w:rsidP="002849FA">
      <w:pPr>
        <w:spacing w:before="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>ÚZSVM v případech a za podmínek stanovených zákonem č. 201/2002 Sb. vystupuje za stát v řízení před soudy, rozhodčími orgány, správními úřady a jinými orgány ve věcech týkajících se majetku státu namísto příslušných organizačních složek a hospodaří s vymezeným státním majetkem. ÚZSVM hospodaří s majetkem státu zejména podle zákona č. 219/2000 Sb.</w:t>
      </w:r>
      <w:r w:rsidRPr="003E098C">
        <w:rPr>
          <w:rStyle w:val="Znakapoznpodarou"/>
          <w:rFonts w:cstheme="minorHAnsi"/>
          <w:color w:val="auto"/>
        </w:rPr>
        <w:footnoteReference w:id="6"/>
      </w:r>
      <w:r w:rsidR="0095086D" w:rsidRPr="003E098C">
        <w:rPr>
          <w:rFonts w:cstheme="minorHAnsi"/>
          <w:color w:val="auto"/>
        </w:rPr>
        <w:t xml:space="preserve"> a </w:t>
      </w:r>
      <w:r w:rsidRPr="003E098C">
        <w:rPr>
          <w:rFonts w:cstheme="minorHAnsi"/>
          <w:color w:val="auto"/>
        </w:rPr>
        <w:t>vyhlášky č. 62/2001 Sb.</w:t>
      </w:r>
      <w:r w:rsidRPr="003E098C">
        <w:rPr>
          <w:rStyle w:val="Znakapoznpodarou"/>
          <w:rFonts w:cstheme="minorHAnsi"/>
          <w:color w:val="auto"/>
        </w:rPr>
        <w:footnoteReference w:id="7"/>
      </w:r>
      <w:r w:rsidRPr="003E098C">
        <w:rPr>
          <w:rFonts w:cstheme="minorHAnsi"/>
          <w:color w:val="auto"/>
        </w:rPr>
        <w:t xml:space="preserve"> a nakládá s ním ve prospěch jiných organizačních složek státu, státních organizací, fyzických a právnických osob. </w:t>
      </w:r>
    </w:p>
    <w:p w14:paraId="7E31A8AC" w14:textId="77777777" w:rsidR="002C7370" w:rsidRPr="003E098C" w:rsidRDefault="002C7370" w:rsidP="00B9688E">
      <w:pPr>
        <w:spacing w:before="0"/>
        <w:rPr>
          <w:rFonts w:cstheme="minorHAnsi"/>
          <w:color w:val="auto"/>
        </w:rPr>
      </w:pPr>
    </w:p>
    <w:p w14:paraId="5220D9DA" w14:textId="77777777" w:rsidR="00537DDF" w:rsidRPr="00B9688E" w:rsidRDefault="00537DDF" w:rsidP="00B9688E">
      <w:pPr>
        <w:tabs>
          <w:tab w:val="right" w:pos="9070"/>
        </w:tabs>
        <w:spacing w:before="0" w:after="40"/>
        <w:rPr>
          <w:rFonts w:cstheme="minorHAnsi"/>
          <w:b/>
          <w:color w:val="auto"/>
        </w:rPr>
      </w:pPr>
      <w:r w:rsidRPr="00B9688E">
        <w:rPr>
          <w:rFonts w:cstheme="minorHAnsi"/>
          <w:b/>
          <w:color w:val="auto"/>
        </w:rPr>
        <w:t>Tabulka</w:t>
      </w:r>
      <w:r w:rsidR="003E6B86" w:rsidRPr="00B9688E">
        <w:rPr>
          <w:rFonts w:cstheme="minorHAnsi"/>
          <w:b/>
          <w:color w:val="auto"/>
        </w:rPr>
        <w:t xml:space="preserve"> č.</w:t>
      </w:r>
      <w:r w:rsidRPr="00B9688E">
        <w:rPr>
          <w:rFonts w:cstheme="minorHAnsi"/>
          <w:b/>
          <w:color w:val="auto"/>
        </w:rPr>
        <w:t xml:space="preserve"> </w:t>
      </w:r>
      <w:r w:rsidR="0035099A" w:rsidRPr="00B9688E">
        <w:rPr>
          <w:rFonts w:cstheme="minorHAnsi"/>
          <w:b/>
          <w:color w:val="auto"/>
        </w:rPr>
        <w:t>1</w:t>
      </w:r>
      <w:r w:rsidRPr="00B9688E">
        <w:rPr>
          <w:rFonts w:cstheme="minorHAnsi"/>
          <w:b/>
          <w:color w:val="auto"/>
        </w:rPr>
        <w:t>: Základní ukazatele rozpočtu</w:t>
      </w:r>
      <w:r w:rsidR="004316F7" w:rsidRPr="00B9688E">
        <w:rPr>
          <w:rFonts w:cstheme="minorHAnsi"/>
          <w:b/>
          <w:color w:val="auto"/>
        </w:rPr>
        <w:t xml:space="preserve"> </w:t>
      </w:r>
      <w:r w:rsidR="00B9688E" w:rsidRPr="00B9688E">
        <w:rPr>
          <w:rFonts w:cstheme="minorHAnsi"/>
          <w:b/>
          <w:color w:val="auto"/>
        </w:rPr>
        <w:tab/>
      </w:r>
      <w:r w:rsidR="00D763FD" w:rsidRPr="00B9688E">
        <w:rPr>
          <w:rFonts w:cstheme="minorHAnsi"/>
          <w:b/>
          <w:color w:val="auto"/>
        </w:rPr>
        <w:t>(</w:t>
      </w:r>
      <w:r w:rsidR="004316F7" w:rsidRPr="00B9688E">
        <w:rPr>
          <w:rFonts w:cstheme="minorHAnsi"/>
          <w:b/>
          <w:color w:val="auto"/>
        </w:rPr>
        <w:t>v mil. Kč</w:t>
      </w:r>
      <w:r w:rsidR="00D763FD" w:rsidRPr="00B9688E">
        <w:rPr>
          <w:rFonts w:cstheme="minorHAnsi"/>
          <w:b/>
          <w:color w:val="auto"/>
        </w:rPr>
        <w:t>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B9688E" w:rsidRPr="00B9688E" w14:paraId="4CA97F00" w14:textId="77777777" w:rsidTr="00B9688E">
        <w:trPr>
          <w:jc w:val="center"/>
        </w:trPr>
        <w:tc>
          <w:tcPr>
            <w:tcW w:w="1294" w:type="dxa"/>
            <w:shd w:val="clear" w:color="auto" w:fill="C6D9F1" w:themeFill="text2" w:themeFillTint="33"/>
          </w:tcPr>
          <w:p w14:paraId="51525457" w14:textId="77777777" w:rsidR="004316F7" w:rsidRPr="00B9688E" w:rsidRDefault="004316F7" w:rsidP="00B9688E">
            <w:pPr>
              <w:spacing w:befor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shd w:val="clear" w:color="auto" w:fill="C6D9F1" w:themeFill="text2" w:themeFillTint="33"/>
          </w:tcPr>
          <w:p w14:paraId="5E7A66C5" w14:textId="77777777" w:rsidR="004316F7" w:rsidRPr="00B9688E" w:rsidRDefault="004316F7" w:rsidP="00B9688E">
            <w:pPr>
              <w:spacing w:befor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9688E">
              <w:rPr>
                <w:b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588" w:type="dxa"/>
            <w:gridSpan w:val="2"/>
            <w:shd w:val="clear" w:color="auto" w:fill="C6D9F1" w:themeFill="text2" w:themeFillTint="33"/>
          </w:tcPr>
          <w:p w14:paraId="18C57341" w14:textId="77777777" w:rsidR="004316F7" w:rsidRPr="00B9688E" w:rsidRDefault="004316F7" w:rsidP="00B9688E">
            <w:pPr>
              <w:spacing w:befor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9688E">
              <w:rPr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590" w:type="dxa"/>
            <w:gridSpan w:val="2"/>
            <w:shd w:val="clear" w:color="auto" w:fill="C6D9F1" w:themeFill="text2" w:themeFillTint="33"/>
          </w:tcPr>
          <w:p w14:paraId="69E3365D" w14:textId="77777777" w:rsidR="004316F7" w:rsidRPr="00B9688E" w:rsidRDefault="004316F7" w:rsidP="00B9688E">
            <w:pPr>
              <w:spacing w:befor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9688E">
              <w:rPr>
                <w:b/>
                <w:color w:val="000000" w:themeColor="text1"/>
                <w:sz w:val="20"/>
                <w:szCs w:val="20"/>
              </w:rPr>
              <w:t>2019</w:t>
            </w:r>
          </w:p>
        </w:tc>
      </w:tr>
      <w:tr w:rsidR="00B9688E" w:rsidRPr="00B9688E" w14:paraId="2BDC00F9" w14:textId="77777777" w:rsidTr="00B9688E">
        <w:trPr>
          <w:jc w:val="center"/>
        </w:trPr>
        <w:tc>
          <w:tcPr>
            <w:tcW w:w="1294" w:type="dxa"/>
            <w:vAlign w:val="center"/>
          </w:tcPr>
          <w:p w14:paraId="1D7A0E73" w14:textId="77777777" w:rsidR="00537DDF" w:rsidRPr="00B9688E" w:rsidRDefault="003E6B86" w:rsidP="00B9688E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Ukazatel</w:t>
            </w:r>
          </w:p>
        </w:tc>
        <w:tc>
          <w:tcPr>
            <w:tcW w:w="1294" w:type="dxa"/>
            <w:vAlign w:val="center"/>
          </w:tcPr>
          <w:p w14:paraId="6E891762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Schválený rozpočet</w:t>
            </w:r>
          </w:p>
        </w:tc>
        <w:tc>
          <w:tcPr>
            <w:tcW w:w="1294" w:type="dxa"/>
            <w:vAlign w:val="center"/>
          </w:tcPr>
          <w:p w14:paraId="1C5300FE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Skutečnost</w:t>
            </w:r>
          </w:p>
        </w:tc>
        <w:tc>
          <w:tcPr>
            <w:tcW w:w="1294" w:type="dxa"/>
            <w:vAlign w:val="center"/>
          </w:tcPr>
          <w:p w14:paraId="3759C373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Schválený rozpočet</w:t>
            </w:r>
          </w:p>
        </w:tc>
        <w:tc>
          <w:tcPr>
            <w:tcW w:w="1294" w:type="dxa"/>
            <w:vAlign w:val="center"/>
          </w:tcPr>
          <w:p w14:paraId="09ABEEF1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Skutečnost</w:t>
            </w:r>
          </w:p>
        </w:tc>
        <w:tc>
          <w:tcPr>
            <w:tcW w:w="1295" w:type="dxa"/>
            <w:vAlign w:val="center"/>
          </w:tcPr>
          <w:p w14:paraId="23FA5710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Schválený rozpočet</w:t>
            </w:r>
          </w:p>
        </w:tc>
        <w:tc>
          <w:tcPr>
            <w:tcW w:w="1295" w:type="dxa"/>
            <w:vAlign w:val="center"/>
          </w:tcPr>
          <w:p w14:paraId="55EACD8A" w14:textId="77777777" w:rsidR="00537DDF" w:rsidRPr="00B9688E" w:rsidRDefault="004316F7" w:rsidP="00B9688E">
            <w:pPr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Skutečnost</w:t>
            </w:r>
          </w:p>
        </w:tc>
      </w:tr>
      <w:tr w:rsidR="00B9688E" w:rsidRPr="00B9688E" w14:paraId="21CD58E5" w14:textId="77777777" w:rsidTr="00B9688E">
        <w:trPr>
          <w:jc w:val="center"/>
        </w:trPr>
        <w:tc>
          <w:tcPr>
            <w:tcW w:w="1294" w:type="dxa"/>
            <w:vAlign w:val="center"/>
          </w:tcPr>
          <w:p w14:paraId="321E2221" w14:textId="77777777" w:rsidR="00537DDF" w:rsidRPr="00B9688E" w:rsidRDefault="004316F7" w:rsidP="00B9688E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Příjmy</w:t>
            </w:r>
          </w:p>
        </w:tc>
        <w:tc>
          <w:tcPr>
            <w:tcW w:w="1294" w:type="dxa"/>
            <w:vAlign w:val="center"/>
          </w:tcPr>
          <w:p w14:paraId="49102561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860</w:t>
            </w:r>
          </w:p>
        </w:tc>
        <w:tc>
          <w:tcPr>
            <w:tcW w:w="1294" w:type="dxa"/>
            <w:vAlign w:val="center"/>
          </w:tcPr>
          <w:p w14:paraId="0B76C878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747</w:t>
            </w:r>
          </w:p>
        </w:tc>
        <w:tc>
          <w:tcPr>
            <w:tcW w:w="1294" w:type="dxa"/>
            <w:vAlign w:val="center"/>
          </w:tcPr>
          <w:p w14:paraId="66F548FB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294" w:type="dxa"/>
            <w:vAlign w:val="center"/>
          </w:tcPr>
          <w:p w14:paraId="6AFDB786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333</w:t>
            </w:r>
          </w:p>
        </w:tc>
        <w:tc>
          <w:tcPr>
            <w:tcW w:w="1295" w:type="dxa"/>
            <w:vAlign w:val="center"/>
          </w:tcPr>
          <w:p w14:paraId="22767090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910</w:t>
            </w:r>
          </w:p>
        </w:tc>
        <w:tc>
          <w:tcPr>
            <w:tcW w:w="1295" w:type="dxa"/>
            <w:vAlign w:val="center"/>
          </w:tcPr>
          <w:p w14:paraId="34C918E8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481</w:t>
            </w:r>
          </w:p>
        </w:tc>
      </w:tr>
      <w:tr w:rsidR="00B9688E" w:rsidRPr="00B9688E" w14:paraId="280C4C71" w14:textId="77777777" w:rsidTr="00B9688E">
        <w:trPr>
          <w:jc w:val="center"/>
        </w:trPr>
        <w:tc>
          <w:tcPr>
            <w:tcW w:w="1294" w:type="dxa"/>
            <w:vAlign w:val="center"/>
          </w:tcPr>
          <w:p w14:paraId="5DD81026" w14:textId="77777777" w:rsidR="00537DDF" w:rsidRPr="00B9688E" w:rsidRDefault="004316F7" w:rsidP="00B9688E">
            <w:pPr>
              <w:spacing w:before="0"/>
              <w:jc w:val="lef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Výdaje</w:t>
            </w:r>
          </w:p>
        </w:tc>
        <w:tc>
          <w:tcPr>
            <w:tcW w:w="1294" w:type="dxa"/>
            <w:vAlign w:val="center"/>
          </w:tcPr>
          <w:p w14:paraId="44F05C2B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647</w:t>
            </w:r>
          </w:p>
        </w:tc>
        <w:tc>
          <w:tcPr>
            <w:tcW w:w="1294" w:type="dxa"/>
            <w:vAlign w:val="center"/>
          </w:tcPr>
          <w:p w14:paraId="540CB9B5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294" w:type="dxa"/>
            <w:vAlign w:val="center"/>
          </w:tcPr>
          <w:p w14:paraId="073D37AA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1294" w:type="dxa"/>
            <w:vAlign w:val="center"/>
          </w:tcPr>
          <w:p w14:paraId="528D1F3E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95" w:type="dxa"/>
            <w:vAlign w:val="center"/>
          </w:tcPr>
          <w:p w14:paraId="0AF466FE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757</w:t>
            </w:r>
          </w:p>
        </w:tc>
        <w:tc>
          <w:tcPr>
            <w:tcW w:w="1295" w:type="dxa"/>
            <w:vAlign w:val="center"/>
          </w:tcPr>
          <w:p w14:paraId="5D1FCD1A" w14:textId="77777777" w:rsidR="00537DDF" w:rsidRPr="00B9688E" w:rsidRDefault="004316F7" w:rsidP="00B9688E">
            <w:pPr>
              <w:spacing w:before="0"/>
              <w:ind w:right="57"/>
              <w:jc w:val="right"/>
              <w:rPr>
                <w:color w:val="000000" w:themeColor="text1"/>
                <w:sz w:val="20"/>
                <w:szCs w:val="20"/>
              </w:rPr>
            </w:pPr>
            <w:r w:rsidRPr="00B9688E">
              <w:rPr>
                <w:color w:val="000000" w:themeColor="text1"/>
                <w:sz w:val="20"/>
                <w:szCs w:val="20"/>
              </w:rPr>
              <w:t>1</w:t>
            </w:r>
            <w:r w:rsidR="00513FF0" w:rsidRPr="00B9688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9688E">
              <w:rPr>
                <w:color w:val="000000" w:themeColor="text1"/>
                <w:sz w:val="20"/>
                <w:szCs w:val="20"/>
              </w:rPr>
              <w:t>688</w:t>
            </w:r>
          </w:p>
        </w:tc>
      </w:tr>
    </w:tbl>
    <w:p w14:paraId="7ADD5766" w14:textId="75293BE5" w:rsidR="00537DDF" w:rsidRPr="00B9688E" w:rsidRDefault="00537DDF" w:rsidP="00B9688E">
      <w:pPr>
        <w:spacing w:before="40"/>
        <w:rPr>
          <w:rFonts w:cstheme="minorHAnsi"/>
          <w:color w:val="auto"/>
          <w:sz w:val="20"/>
          <w:szCs w:val="20"/>
        </w:rPr>
      </w:pPr>
      <w:r w:rsidRPr="00B9688E">
        <w:rPr>
          <w:rFonts w:cstheme="minorHAnsi"/>
          <w:b/>
          <w:color w:val="auto"/>
          <w:sz w:val="20"/>
          <w:szCs w:val="20"/>
        </w:rPr>
        <w:t>Zdroj</w:t>
      </w:r>
      <w:r w:rsidRPr="00AD1C5B">
        <w:rPr>
          <w:rFonts w:cstheme="minorHAnsi"/>
          <w:b/>
          <w:color w:val="auto"/>
          <w:sz w:val="20"/>
          <w:szCs w:val="20"/>
        </w:rPr>
        <w:t>:</w:t>
      </w:r>
      <w:r w:rsidRPr="00B9688E">
        <w:rPr>
          <w:rFonts w:cstheme="minorHAnsi"/>
          <w:color w:val="auto"/>
          <w:sz w:val="20"/>
          <w:szCs w:val="20"/>
        </w:rPr>
        <w:t xml:space="preserve"> </w:t>
      </w:r>
      <w:r w:rsidR="006061DB">
        <w:rPr>
          <w:rFonts w:cstheme="minorHAnsi"/>
          <w:color w:val="auto"/>
          <w:sz w:val="20"/>
          <w:szCs w:val="20"/>
        </w:rPr>
        <w:t>informační portál</w:t>
      </w:r>
      <w:r w:rsidR="00BC0F38">
        <w:rPr>
          <w:rFonts w:cstheme="minorHAnsi"/>
          <w:color w:val="auto"/>
          <w:sz w:val="20"/>
          <w:szCs w:val="20"/>
        </w:rPr>
        <w:t xml:space="preserve"> </w:t>
      </w:r>
      <w:r w:rsidR="003A79AD" w:rsidRPr="00B9688E">
        <w:rPr>
          <w:rFonts w:cstheme="minorHAnsi"/>
          <w:color w:val="auto"/>
          <w:sz w:val="20"/>
          <w:szCs w:val="20"/>
        </w:rPr>
        <w:t>státní pokladny</w:t>
      </w:r>
      <w:r w:rsidR="003A79AD" w:rsidRPr="003A79AD">
        <w:rPr>
          <w:rFonts w:cstheme="minorHAnsi"/>
          <w:i/>
          <w:color w:val="auto"/>
          <w:sz w:val="20"/>
          <w:szCs w:val="20"/>
        </w:rPr>
        <w:t xml:space="preserve"> </w:t>
      </w:r>
      <w:r w:rsidR="00760E56" w:rsidRPr="00AD1C5B">
        <w:rPr>
          <w:rFonts w:cstheme="minorHAnsi"/>
          <w:i/>
          <w:color w:val="auto"/>
          <w:sz w:val="20"/>
          <w:szCs w:val="20"/>
        </w:rPr>
        <w:t>M</w:t>
      </w:r>
      <w:r w:rsidRPr="00AD1C5B">
        <w:rPr>
          <w:rFonts w:cstheme="minorHAnsi"/>
          <w:i/>
          <w:color w:val="auto"/>
          <w:sz w:val="20"/>
          <w:szCs w:val="20"/>
        </w:rPr>
        <w:t>onitor</w:t>
      </w:r>
      <w:r w:rsidR="00BC0F38">
        <w:rPr>
          <w:rFonts w:cstheme="minorHAnsi"/>
          <w:color w:val="auto"/>
          <w:sz w:val="20"/>
          <w:szCs w:val="20"/>
        </w:rPr>
        <w:t>.</w:t>
      </w:r>
    </w:p>
    <w:p w14:paraId="186EE7C8" w14:textId="77777777" w:rsidR="004316F7" w:rsidRPr="003E098C" w:rsidRDefault="004316F7" w:rsidP="00662A2B">
      <w:pPr>
        <w:spacing w:before="0"/>
        <w:rPr>
          <w:rFonts w:cstheme="minorHAnsi"/>
          <w:color w:val="auto"/>
        </w:rPr>
      </w:pPr>
    </w:p>
    <w:p w14:paraId="71BEA3B8" w14:textId="77777777" w:rsidR="00E87EFA" w:rsidRPr="00E73600" w:rsidRDefault="008B0577" w:rsidP="00E73600">
      <w:pPr>
        <w:tabs>
          <w:tab w:val="right" w:pos="9070"/>
        </w:tabs>
        <w:spacing w:before="0" w:after="40"/>
        <w:rPr>
          <w:b/>
          <w:color w:val="auto"/>
        </w:rPr>
      </w:pPr>
      <w:r w:rsidRPr="00E73600">
        <w:rPr>
          <w:b/>
          <w:color w:val="auto"/>
        </w:rPr>
        <w:lastRenderedPageBreak/>
        <w:t xml:space="preserve">Tabulka č. </w:t>
      </w:r>
      <w:r w:rsidR="0035099A" w:rsidRPr="00E73600">
        <w:rPr>
          <w:b/>
          <w:color w:val="auto"/>
        </w:rPr>
        <w:t>2</w:t>
      </w:r>
      <w:r w:rsidRPr="00E73600">
        <w:rPr>
          <w:b/>
          <w:color w:val="auto"/>
        </w:rPr>
        <w:t xml:space="preserve">: Přehled vybraného majetku dle rozvahy </w:t>
      </w:r>
      <w:r w:rsidRPr="00E73600">
        <w:rPr>
          <w:b/>
          <w:color w:val="auto"/>
        </w:rPr>
        <w:tab/>
        <w:t>(v Kč)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953"/>
        <w:gridCol w:w="1952"/>
        <w:gridCol w:w="1953"/>
      </w:tblGrid>
      <w:tr w:rsidR="003E098C" w:rsidRPr="00E73600" w14:paraId="069B602C" w14:textId="77777777" w:rsidTr="00E73600">
        <w:trPr>
          <w:trHeight w:val="283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99BAF4C" w14:textId="77777777" w:rsidR="00E87EFA" w:rsidRPr="00E73600" w:rsidRDefault="008B0577" w:rsidP="00E73600">
            <w:pPr>
              <w:spacing w:before="0"/>
              <w:jc w:val="left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Název rozvahové položky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0CE5A" w14:textId="77777777" w:rsidR="00E87EFA" w:rsidRPr="00E73600" w:rsidRDefault="008B0577" w:rsidP="00E73600">
            <w:pPr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Stav k 31. 12. 2017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192112" w14:textId="77777777" w:rsidR="00E87EFA" w:rsidRPr="00E73600" w:rsidRDefault="008B0577" w:rsidP="00E73600">
            <w:pPr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Stav k 31. 12. 2018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16893B" w14:textId="77777777" w:rsidR="00E87EFA" w:rsidRPr="00E73600" w:rsidRDefault="008B0577" w:rsidP="00E73600">
            <w:pPr>
              <w:spacing w:before="0"/>
              <w:jc w:val="center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Stav k 31. 12. 2019</w:t>
            </w:r>
          </w:p>
        </w:tc>
      </w:tr>
      <w:tr w:rsidR="003E098C" w:rsidRPr="00E73600" w14:paraId="61E0C268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3341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Software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217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212 101 598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F26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212 101 598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9FE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213 419 818</w:t>
            </w:r>
          </w:p>
        </w:tc>
      </w:tr>
      <w:tr w:rsidR="003E098C" w:rsidRPr="00E73600" w14:paraId="3B0FAEBC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0785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Drobný DNM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36D5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38 035 063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817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37 903 042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49C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37 882 027</w:t>
            </w:r>
          </w:p>
        </w:tc>
      </w:tr>
      <w:tr w:rsidR="003E098C" w:rsidRPr="00E73600" w14:paraId="48458100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8DF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Pozemky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8666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6 323 927 313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C4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6 136 386 458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2C2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6 094 908 569</w:t>
            </w:r>
          </w:p>
        </w:tc>
      </w:tr>
      <w:tr w:rsidR="003E098C" w:rsidRPr="00E73600" w14:paraId="311A4296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C381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Stavby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F1EC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3 211 624 135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BE35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3 415 584 807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811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4 004 414 465</w:t>
            </w:r>
          </w:p>
        </w:tc>
      </w:tr>
      <w:tr w:rsidR="003E098C" w:rsidRPr="00E73600" w14:paraId="03484001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493C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Samostatné hmotné movité věci a soubory hmotných movitých věcí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6D58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446 405 747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AE0C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438 585 439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DD78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446 306 314</w:t>
            </w:r>
          </w:p>
        </w:tc>
      </w:tr>
      <w:tr w:rsidR="003E098C" w:rsidRPr="00E73600" w14:paraId="2629D96F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2023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Drobný DHM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93EC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280 567 541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77E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289 918 134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225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278 751 599</w:t>
            </w:r>
          </w:p>
        </w:tc>
      </w:tr>
      <w:tr w:rsidR="003E098C" w:rsidRPr="00E73600" w14:paraId="58D42102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31B2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DHM určený k prodeji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040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1 749 518 523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8EC6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1 376 559 378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C42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1 286 332 163</w:t>
            </w:r>
          </w:p>
        </w:tc>
      </w:tr>
      <w:tr w:rsidR="003E098C" w:rsidRPr="00E73600" w14:paraId="20146E83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2C2E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Nedokončený DNM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479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1827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CC0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0</w:t>
            </w:r>
          </w:p>
        </w:tc>
      </w:tr>
      <w:tr w:rsidR="003E098C" w:rsidRPr="00E73600" w14:paraId="0E7CA527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6C7C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Nedokončený DHM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32C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2 469 790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575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4 774 571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55D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8 147 085</w:t>
            </w:r>
          </w:p>
        </w:tc>
      </w:tr>
      <w:tr w:rsidR="003E098C" w:rsidRPr="00E73600" w14:paraId="393F2761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017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Dlouhodobé pohledávky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1AA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298 652 541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266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296 695 964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C26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353 687 197</w:t>
            </w:r>
          </w:p>
        </w:tc>
      </w:tr>
      <w:tr w:rsidR="003E098C" w:rsidRPr="00E73600" w14:paraId="0D2AE71D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B74" w14:textId="77777777" w:rsidR="00E87EFA" w:rsidRPr="00E73600" w:rsidRDefault="008B0577" w:rsidP="00E73600">
            <w:pPr>
              <w:spacing w:before="0"/>
              <w:jc w:val="lef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Krátkodobé pohledávky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B77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991 005 825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6468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986 134 551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AAE4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color w:val="auto"/>
                <w:sz w:val="20"/>
                <w:szCs w:val="20"/>
              </w:rPr>
            </w:pPr>
            <w:r w:rsidRPr="00E73600">
              <w:rPr>
                <w:color w:val="auto"/>
                <w:sz w:val="20"/>
                <w:szCs w:val="20"/>
              </w:rPr>
              <w:t>960 179 392</w:t>
            </w:r>
          </w:p>
        </w:tc>
      </w:tr>
      <w:tr w:rsidR="003E098C" w:rsidRPr="00E73600" w14:paraId="600C9FCD" w14:textId="77777777" w:rsidTr="00E73600">
        <w:trPr>
          <w:trHeight w:val="28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7CC" w14:textId="77777777" w:rsidR="00E87EFA" w:rsidRPr="00E73600" w:rsidRDefault="008B0577" w:rsidP="00E73600">
            <w:pPr>
              <w:spacing w:before="0"/>
              <w:jc w:val="left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Vybraný majetek celkem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2CB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13 554 308 076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CBD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13 194 643 942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9413" w14:textId="77777777" w:rsidR="00E87EFA" w:rsidRPr="00E73600" w:rsidRDefault="008B0577" w:rsidP="00E73600">
            <w:pPr>
              <w:spacing w:before="0"/>
              <w:ind w:right="93"/>
              <w:jc w:val="right"/>
              <w:rPr>
                <w:b/>
                <w:color w:val="auto"/>
                <w:sz w:val="20"/>
                <w:szCs w:val="20"/>
              </w:rPr>
            </w:pPr>
            <w:r w:rsidRPr="00E73600">
              <w:rPr>
                <w:b/>
                <w:color w:val="auto"/>
                <w:sz w:val="20"/>
                <w:szCs w:val="20"/>
              </w:rPr>
              <w:t>13 684 028 629</w:t>
            </w:r>
          </w:p>
        </w:tc>
      </w:tr>
    </w:tbl>
    <w:p w14:paraId="5F5B61E6" w14:textId="77777777" w:rsidR="00E87EFA" w:rsidRPr="00E73600" w:rsidRDefault="008B0577" w:rsidP="00E73600">
      <w:pPr>
        <w:spacing w:before="40"/>
        <w:rPr>
          <w:rFonts w:cstheme="minorHAnsi"/>
          <w:color w:val="auto"/>
          <w:sz w:val="20"/>
        </w:rPr>
      </w:pPr>
      <w:r w:rsidRPr="00E73600">
        <w:rPr>
          <w:rFonts w:cstheme="minorHAnsi"/>
          <w:b/>
          <w:color w:val="auto"/>
          <w:sz w:val="20"/>
        </w:rPr>
        <w:t>Zdroj:</w:t>
      </w:r>
      <w:r w:rsidRPr="00E73600">
        <w:rPr>
          <w:rFonts w:cstheme="minorHAnsi"/>
          <w:color w:val="auto"/>
          <w:sz w:val="20"/>
        </w:rPr>
        <w:t xml:space="preserve"> rozvaha k 31. 12. 2017, rozvaha k 31. 12. 2018 a rozvaha k 31. 12. 2019.</w:t>
      </w:r>
    </w:p>
    <w:p w14:paraId="4FC79A02" w14:textId="77777777" w:rsidR="00E87EFA" w:rsidRPr="00E73600" w:rsidRDefault="008B0577" w:rsidP="00E87EFA">
      <w:pPr>
        <w:spacing w:before="0"/>
        <w:rPr>
          <w:rFonts w:cstheme="minorHAnsi"/>
          <w:color w:val="auto"/>
          <w:sz w:val="20"/>
        </w:rPr>
      </w:pPr>
      <w:r w:rsidRPr="00E73600">
        <w:rPr>
          <w:rFonts w:cstheme="minorHAnsi"/>
          <w:b/>
          <w:color w:val="auto"/>
          <w:sz w:val="20"/>
        </w:rPr>
        <w:t>Pozn.:</w:t>
      </w:r>
      <w:r w:rsidRPr="00E73600">
        <w:rPr>
          <w:rFonts w:cstheme="minorHAnsi"/>
          <w:color w:val="auto"/>
          <w:sz w:val="20"/>
        </w:rPr>
        <w:t xml:space="preserve"> DNM – dlouhodobý nehmotný majetek; DHM – dlouhodobý hmotný majetek.</w:t>
      </w:r>
    </w:p>
    <w:p w14:paraId="376C1652" w14:textId="77777777" w:rsidR="00E87EFA" w:rsidRPr="003E098C" w:rsidRDefault="00E87EFA" w:rsidP="00E73600">
      <w:pPr>
        <w:spacing w:before="0"/>
        <w:rPr>
          <w:rFonts w:cstheme="minorHAnsi"/>
          <w:color w:val="auto"/>
        </w:rPr>
      </w:pPr>
    </w:p>
    <w:p w14:paraId="48A1083A" w14:textId="28B28521" w:rsidR="00F50B96" w:rsidRPr="003E098C" w:rsidRDefault="008B0577" w:rsidP="00E73600">
      <w:pPr>
        <w:spacing w:before="0" w:line="264" w:lineRule="auto"/>
        <w:rPr>
          <w:color w:val="auto"/>
        </w:rPr>
      </w:pPr>
      <w:r w:rsidRPr="003E098C">
        <w:rPr>
          <w:rFonts w:cstheme="minorHAnsi"/>
          <w:color w:val="auto"/>
        </w:rPr>
        <w:t xml:space="preserve">Dne 1. 3. 2016 </w:t>
      </w:r>
      <w:r w:rsidR="0085667D" w:rsidRPr="003E098C">
        <w:rPr>
          <w:rFonts w:cstheme="minorHAnsi"/>
          <w:color w:val="auto"/>
        </w:rPr>
        <w:t>nabyla</w:t>
      </w:r>
      <w:r w:rsidR="00BC0F38">
        <w:rPr>
          <w:rFonts w:cstheme="minorHAnsi"/>
          <w:color w:val="auto"/>
        </w:rPr>
        <w:t xml:space="preserve"> </w:t>
      </w:r>
      <w:r w:rsidRPr="003E098C">
        <w:rPr>
          <w:rFonts w:cstheme="minorHAnsi"/>
          <w:color w:val="auto"/>
        </w:rPr>
        <w:t>účinnost</w:t>
      </w:r>
      <w:r w:rsidR="0085667D" w:rsidRPr="003E098C">
        <w:rPr>
          <w:rFonts w:cstheme="minorHAnsi"/>
          <w:color w:val="auto"/>
        </w:rPr>
        <w:t>i</w:t>
      </w:r>
      <w:r w:rsidRPr="003E098C">
        <w:rPr>
          <w:rFonts w:cstheme="minorHAnsi"/>
          <w:color w:val="auto"/>
        </w:rPr>
        <w:t xml:space="preserve"> novela zákona č. 219/2000 Sb., která zavedla povinnost</w:t>
      </w:r>
      <w:r w:rsidR="0085667D" w:rsidRPr="003E098C">
        <w:rPr>
          <w:rFonts w:cstheme="minorHAnsi"/>
          <w:color w:val="auto"/>
        </w:rPr>
        <w:t>,</w:t>
      </w:r>
      <w:r w:rsidRPr="003E098C">
        <w:rPr>
          <w:rFonts w:cstheme="minorHAnsi"/>
          <w:color w:val="auto"/>
        </w:rPr>
        <w:t xml:space="preserve"> </w:t>
      </w:r>
      <w:r w:rsidR="0085667D" w:rsidRPr="003E098C">
        <w:rPr>
          <w:rFonts w:asciiTheme="minorHAnsi" w:hAnsiTheme="minorHAnsi" w:cstheme="minorHAnsi"/>
          <w:color w:val="auto"/>
        </w:rPr>
        <w:t>aby ÚZSVM neprodleně převzal hmotnou nemovitou věc nebo právo stavby, u které OSS rozhodla o trvalé nepotřebnosti a nepodléhá výjimkám dle zákona.</w:t>
      </w:r>
      <w:r w:rsidRPr="003E098C">
        <w:rPr>
          <w:rFonts w:cstheme="minorHAnsi"/>
          <w:color w:val="auto"/>
        </w:rPr>
        <w:t xml:space="preserve"> Od tohoto data</w:t>
      </w:r>
      <w:r w:rsidR="008A1E4D" w:rsidRPr="003E098C">
        <w:rPr>
          <w:rFonts w:cstheme="minorHAnsi"/>
          <w:color w:val="auto"/>
        </w:rPr>
        <w:t xml:space="preserve"> do konce roku 2019</w:t>
      </w:r>
      <w:r w:rsidRPr="003E098C">
        <w:rPr>
          <w:rFonts w:cstheme="minorHAnsi"/>
          <w:color w:val="auto"/>
        </w:rPr>
        <w:t xml:space="preserve"> převzal ÚZSVM od organizačních složek státu a státních organizací celkem 7 688 </w:t>
      </w:r>
      <w:r w:rsidR="00C97CC0" w:rsidRPr="003E098C">
        <w:rPr>
          <w:rFonts w:cstheme="minorHAnsi"/>
          <w:color w:val="auto"/>
        </w:rPr>
        <w:t>nemovitostí v</w:t>
      </w:r>
      <w:r w:rsidR="00AC0965" w:rsidRPr="003E098C">
        <w:rPr>
          <w:rFonts w:cstheme="minorHAnsi"/>
          <w:color w:val="auto"/>
        </w:rPr>
        <w:t xml:space="preserve"> účetní </w:t>
      </w:r>
      <w:r w:rsidR="00C97CC0" w:rsidRPr="003E098C">
        <w:rPr>
          <w:rFonts w:cstheme="minorHAnsi"/>
          <w:color w:val="auto"/>
        </w:rPr>
        <w:t>hodnotě 2,27 mld. </w:t>
      </w:r>
      <w:r w:rsidRPr="003E098C">
        <w:rPr>
          <w:rFonts w:cstheme="minorHAnsi"/>
          <w:color w:val="auto"/>
        </w:rPr>
        <w:t>Kč.</w:t>
      </w:r>
      <w:r w:rsidRPr="003E098C">
        <w:rPr>
          <w:rStyle w:val="Znakapoznpodarou"/>
          <w:rFonts w:cstheme="minorHAnsi"/>
          <w:color w:val="auto"/>
        </w:rPr>
        <w:footnoteReference w:id="8"/>
      </w:r>
      <w:r w:rsidRPr="003E098C">
        <w:rPr>
          <w:rFonts w:cstheme="minorHAnsi"/>
          <w:color w:val="auto"/>
        </w:rPr>
        <w:t xml:space="preserve"> </w:t>
      </w:r>
      <w:r w:rsidR="0038466D" w:rsidRPr="003E098C">
        <w:rPr>
          <w:rFonts w:cstheme="minorHAnsi"/>
          <w:color w:val="auto"/>
        </w:rPr>
        <w:t>Jednalo se především o pozemky (6 755), dále např. o budovy (846) a bytové a nebytové prostory (</w:t>
      </w:r>
      <w:r w:rsidR="0004072C" w:rsidRPr="003E098C">
        <w:rPr>
          <w:rFonts w:cstheme="minorHAnsi"/>
          <w:color w:val="auto"/>
        </w:rPr>
        <w:t>65).</w:t>
      </w:r>
      <w:r w:rsidR="0085667D" w:rsidRPr="003E098C">
        <w:rPr>
          <w:rFonts w:cstheme="minorHAnsi"/>
          <w:color w:val="auto"/>
        </w:rPr>
        <w:t xml:space="preserve"> </w:t>
      </w:r>
      <w:r w:rsidR="0085667D" w:rsidRPr="003E098C">
        <w:rPr>
          <w:rFonts w:asciiTheme="minorHAnsi" w:hAnsiTheme="minorHAnsi"/>
          <w:color w:val="auto"/>
        </w:rPr>
        <w:t>ÚZSVM je příslušný hospodařit s majetkem státu, který nabyl jako odúmrť</w:t>
      </w:r>
      <w:r w:rsidRPr="003E098C">
        <w:rPr>
          <w:rStyle w:val="Znakapoznpodarou"/>
          <w:color w:val="auto"/>
        </w:rPr>
        <w:footnoteReference w:id="9"/>
      </w:r>
      <w:r w:rsidR="00964497">
        <w:rPr>
          <w:rFonts w:asciiTheme="minorHAnsi" w:hAnsiTheme="minorHAnsi"/>
          <w:color w:val="auto"/>
        </w:rPr>
        <w:t>,</w:t>
      </w:r>
      <w:r w:rsidRPr="003E098C">
        <w:rPr>
          <w:color w:val="auto"/>
        </w:rPr>
        <w:t xml:space="preserve"> </w:t>
      </w:r>
      <w:r w:rsidR="0085667D" w:rsidRPr="003E098C">
        <w:rPr>
          <w:rFonts w:asciiTheme="minorHAnsi" w:hAnsiTheme="minorHAnsi"/>
          <w:color w:val="auto"/>
        </w:rPr>
        <w:t>a s propadlým nebo zabraným majetkem v trestním řízení.</w:t>
      </w:r>
    </w:p>
    <w:p w14:paraId="64C57B00" w14:textId="77777777" w:rsidR="00AC046E" w:rsidRPr="003E098C" w:rsidRDefault="00AC046E" w:rsidP="00662A2B">
      <w:pPr>
        <w:spacing w:before="0"/>
        <w:rPr>
          <w:rFonts w:cstheme="minorHAnsi"/>
          <w:color w:val="auto"/>
        </w:rPr>
      </w:pPr>
    </w:p>
    <w:p w14:paraId="070C985A" w14:textId="77777777" w:rsidR="00C97CC0" w:rsidRPr="00D26731" w:rsidRDefault="008B0577" w:rsidP="00D26731">
      <w:pPr>
        <w:spacing w:before="0" w:after="40"/>
        <w:rPr>
          <w:b/>
          <w:color w:val="auto"/>
        </w:rPr>
      </w:pPr>
      <w:r w:rsidRPr="00D26731">
        <w:rPr>
          <w:b/>
          <w:color w:val="auto"/>
        </w:rPr>
        <w:t xml:space="preserve">Tabulka č. </w:t>
      </w:r>
      <w:r w:rsidR="0035099A" w:rsidRPr="00D26731">
        <w:rPr>
          <w:b/>
          <w:color w:val="auto"/>
        </w:rPr>
        <w:t>3</w:t>
      </w:r>
      <w:r w:rsidRPr="00D26731">
        <w:rPr>
          <w:b/>
          <w:color w:val="auto"/>
        </w:rPr>
        <w:t xml:space="preserve">: </w:t>
      </w:r>
      <w:r w:rsidR="008570DB" w:rsidRPr="00D26731">
        <w:rPr>
          <w:b/>
          <w:color w:val="auto"/>
        </w:rPr>
        <w:t>Nemovitý majetek dle způsobu nabytí</w:t>
      </w:r>
    </w:p>
    <w:tbl>
      <w:tblPr>
        <w:tblW w:w="9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76"/>
        <w:gridCol w:w="1276"/>
        <w:gridCol w:w="1410"/>
      </w:tblGrid>
      <w:tr w:rsidR="003E098C" w:rsidRPr="00D26731" w14:paraId="7CB57549" w14:textId="77777777" w:rsidTr="00D26731">
        <w:trPr>
          <w:trHeight w:val="2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3D7703" w14:textId="77777777" w:rsidR="00F50B96" w:rsidRPr="00D26731" w:rsidRDefault="008B0577" w:rsidP="00D26731">
            <w:pPr>
              <w:spacing w:before="0"/>
              <w:jc w:val="left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Nemovitý majetek – způsoby nabytí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60B580D" w14:textId="77777777" w:rsidR="00F50B96" w:rsidRPr="00D26731" w:rsidRDefault="008B0577" w:rsidP="00D26731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C3DB9C6" w14:textId="77777777" w:rsidR="00F50B96" w:rsidRPr="00D26731" w:rsidRDefault="008B0577" w:rsidP="00D26731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0CAC9B" w14:textId="77777777" w:rsidR="00F50B96" w:rsidRPr="00D26731" w:rsidRDefault="008B0577" w:rsidP="00D26731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C46A1AE" w14:textId="77777777" w:rsidR="00F50B96" w:rsidRPr="00D26731" w:rsidRDefault="008B0577" w:rsidP="00D26731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Celkem</w:t>
            </w:r>
          </w:p>
        </w:tc>
      </w:tr>
      <w:tr w:rsidR="003E098C" w:rsidRPr="00D26731" w14:paraId="15819FD5" w14:textId="77777777" w:rsidTr="00D26731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2FF" w14:textId="77777777" w:rsidR="00F50B96" w:rsidRPr="00D26731" w:rsidRDefault="008B057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Nemovitý majetek </w:t>
            </w:r>
            <w:r w:rsidR="008570DB" w:rsidRPr="00D26731">
              <w:rPr>
                <w:color w:val="auto"/>
                <w:sz w:val="20"/>
                <w:szCs w:val="20"/>
                <w:lang w:eastAsia="cs-CZ"/>
              </w:rPr>
              <w:t>převedený ze státních institucí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75AF" w14:textId="7142C6AE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H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odnota (Kč)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7444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822 184 933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4FA9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637 902 624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E314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505 218 544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6A8E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1 965 306 101</w:t>
            </w:r>
          </w:p>
        </w:tc>
      </w:tr>
      <w:tr w:rsidR="003E098C" w:rsidRPr="00D26731" w14:paraId="37968BC8" w14:textId="77777777" w:rsidTr="00D26731">
        <w:trPr>
          <w:trHeight w:val="28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647B" w14:textId="77777777" w:rsidR="00F50B96" w:rsidRPr="00D26731" w:rsidRDefault="00F50B96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BB4" w14:textId="29799904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P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očet položek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8AFF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2 118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33F9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C168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2 506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86A0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7 200</w:t>
            </w:r>
          </w:p>
        </w:tc>
      </w:tr>
      <w:tr w:rsidR="003E098C" w:rsidRPr="00D26731" w14:paraId="4EE98C98" w14:textId="77777777" w:rsidTr="00D26731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4176" w14:textId="41972CBE" w:rsidR="00F50B96" w:rsidRPr="00D26731" w:rsidRDefault="008B0577" w:rsidP="003A79AD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Nemovitý majetek </w:t>
            </w:r>
            <w:r w:rsidR="008570DB" w:rsidRPr="00D26731">
              <w:rPr>
                <w:color w:val="auto"/>
                <w:sz w:val="20"/>
                <w:szCs w:val="20"/>
                <w:lang w:eastAsia="cs-CZ"/>
              </w:rPr>
              <w:t>nabytý z</w:t>
            </w:r>
            <w:r w:rsidR="003A79AD">
              <w:rPr>
                <w:color w:val="auto"/>
                <w:sz w:val="20"/>
                <w:szCs w:val="20"/>
                <w:lang w:eastAsia="cs-CZ"/>
              </w:rPr>
              <w:t> </w:t>
            </w:r>
            <w:r w:rsidR="008570DB" w:rsidRPr="00D26731">
              <w:rPr>
                <w:color w:val="auto"/>
                <w:sz w:val="20"/>
                <w:szCs w:val="20"/>
                <w:lang w:eastAsia="cs-CZ"/>
              </w:rPr>
              <w:t>odúmrtí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227C" w14:textId="0E27C673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H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odnota (Kč)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C7FC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127 957 522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FB0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186 243 945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E76A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211 174 672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BD9A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525 376 139</w:t>
            </w:r>
          </w:p>
        </w:tc>
      </w:tr>
      <w:tr w:rsidR="003E098C" w:rsidRPr="00D26731" w14:paraId="246E8CDF" w14:textId="77777777" w:rsidTr="00D26731">
        <w:trPr>
          <w:trHeight w:val="28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8047" w14:textId="77777777" w:rsidR="00F50B96" w:rsidRPr="00D26731" w:rsidRDefault="00F50B96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490" w14:textId="4AE1F4A4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P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očet položek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9A06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3 947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BD7C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2 859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07B3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3 303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4D12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10 109</w:t>
            </w:r>
          </w:p>
        </w:tc>
      </w:tr>
      <w:tr w:rsidR="003E098C" w:rsidRPr="00D26731" w14:paraId="7DC999AB" w14:textId="77777777" w:rsidTr="00D26731">
        <w:trPr>
          <w:trHeight w:val="28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1EFA" w14:textId="77777777" w:rsidR="00F50B96" w:rsidRPr="00D26731" w:rsidRDefault="008B057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Nemovitý majetek </w:t>
            </w:r>
            <w:r w:rsidR="008570DB" w:rsidRPr="00D26731">
              <w:rPr>
                <w:color w:val="auto"/>
                <w:sz w:val="20"/>
                <w:szCs w:val="20"/>
                <w:lang w:eastAsia="cs-CZ"/>
              </w:rPr>
              <w:t>zabavený v trestním řízení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401B" w14:textId="496DFA7F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H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odnota (Kč)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2C6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79 326 186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5AC9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32 541 018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CE73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424 411 751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EE2A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536 278 955</w:t>
            </w:r>
          </w:p>
        </w:tc>
      </w:tr>
      <w:tr w:rsidR="003E098C" w:rsidRPr="00D26731" w14:paraId="2CABAB3B" w14:textId="77777777" w:rsidTr="00D26731">
        <w:trPr>
          <w:trHeight w:val="28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4236" w14:textId="77777777" w:rsidR="00F50B96" w:rsidRPr="00D26731" w:rsidRDefault="00F50B96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CA7" w14:textId="67B49DA5" w:rsidR="00F50B96" w:rsidRPr="00D26731" w:rsidRDefault="00964497" w:rsidP="00D26731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>
              <w:rPr>
                <w:color w:val="auto"/>
                <w:sz w:val="20"/>
                <w:szCs w:val="20"/>
                <w:lang w:eastAsia="cs-CZ"/>
              </w:rPr>
              <w:t>P</w:t>
            </w:r>
            <w:r w:rsidR="008B0577" w:rsidRPr="00D26731">
              <w:rPr>
                <w:color w:val="auto"/>
                <w:sz w:val="20"/>
                <w:szCs w:val="20"/>
                <w:lang w:eastAsia="cs-CZ"/>
              </w:rPr>
              <w:t>očet položek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71C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B24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FDF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E5E8" w14:textId="77777777" w:rsidR="00F50B96" w:rsidRPr="00D26731" w:rsidRDefault="008B0577" w:rsidP="00D26731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579</w:t>
            </w:r>
          </w:p>
        </w:tc>
      </w:tr>
    </w:tbl>
    <w:p w14:paraId="50D4C7E2" w14:textId="77777777" w:rsidR="00F50B96" w:rsidRPr="00D26731" w:rsidRDefault="008B0577" w:rsidP="00D26731">
      <w:pPr>
        <w:spacing w:before="40"/>
        <w:rPr>
          <w:color w:val="auto"/>
          <w:sz w:val="20"/>
          <w:szCs w:val="20"/>
        </w:rPr>
      </w:pPr>
      <w:r w:rsidRPr="00D26731">
        <w:rPr>
          <w:b/>
          <w:color w:val="auto"/>
          <w:sz w:val="20"/>
          <w:szCs w:val="20"/>
        </w:rPr>
        <w:t>Zdroj:</w:t>
      </w:r>
      <w:r w:rsidRPr="00D26731">
        <w:rPr>
          <w:color w:val="auto"/>
          <w:sz w:val="20"/>
          <w:szCs w:val="20"/>
        </w:rPr>
        <w:t xml:space="preserve"> výroční zpráv</w:t>
      </w:r>
      <w:r w:rsidR="003F35A7" w:rsidRPr="00D26731">
        <w:rPr>
          <w:color w:val="auto"/>
          <w:sz w:val="20"/>
          <w:szCs w:val="20"/>
        </w:rPr>
        <w:t>y ÚZSVM za rok 2016, 2017, 2018 a</w:t>
      </w:r>
      <w:r w:rsidRPr="00D26731">
        <w:rPr>
          <w:color w:val="auto"/>
          <w:sz w:val="20"/>
          <w:szCs w:val="20"/>
        </w:rPr>
        <w:t xml:space="preserve"> 2019</w:t>
      </w:r>
      <w:r w:rsidR="00111F28" w:rsidRPr="00D26731">
        <w:rPr>
          <w:color w:val="auto"/>
          <w:sz w:val="20"/>
          <w:szCs w:val="20"/>
        </w:rPr>
        <w:t>.</w:t>
      </w:r>
    </w:p>
    <w:p w14:paraId="0E050498" w14:textId="77777777" w:rsidR="00513FF0" w:rsidRDefault="00513FF0" w:rsidP="00D26731">
      <w:pPr>
        <w:spacing w:before="0"/>
        <w:rPr>
          <w:rFonts w:asciiTheme="minorHAnsi" w:hAnsiTheme="minorHAnsi" w:cstheme="minorHAnsi"/>
          <w:color w:val="auto"/>
        </w:rPr>
      </w:pPr>
    </w:p>
    <w:p w14:paraId="718DE660" w14:textId="77777777" w:rsidR="00C97CC0" w:rsidRPr="003E098C" w:rsidRDefault="008B0577" w:rsidP="00D26731">
      <w:pPr>
        <w:spacing w:before="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>V letech 2017</w:t>
      </w:r>
      <w:r w:rsidRPr="003E098C">
        <w:rPr>
          <w:color w:val="auto"/>
        </w:rPr>
        <w:t>–</w:t>
      </w:r>
      <w:r w:rsidRPr="003E098C">
        <w:rPr>
          <w:rFonts w:cstheme="minorHAnsi"/>
          <w:color w:val="auto"/>
        </w:rPr>
        <w:t>2019 vykázal ÚZSVM příjmy z prodeje pozemků a ostatních nemovitých věcí (nemovitostí) a jejich částí</w:t>
      </w:r>
      <w:r w:rsidR="004C07D4" w:rsidRPr="003E098C">
        <w:rPr>
          <w:rFonts w:cstheme="minorHAnsi"/>
          <w:color w:val="auto"/>
        </w:rPr>
        <w:t xml:space="preserve"> celkem ve výši 2 966 097 6</w:t>
      </w:r>
      <w:r w:rsidR="00F033E6" w:rsidRPr="003E098C">
        <w:rPr>
          <w:rFonts w:cstheme="minorHAnsi"/>
          <w:color w:val="auto"/>
        </w:rPr>
        <w:t>50</w:t>
      </w:r>
      <w:r w:rsidR="00827745" w:rsidRPr="003E098C">
        <w:rPr>
          <w:rFonts w:cstheme="minorHAnsi"/>
          <w:color w:val="auto"/>
        </w:rPr>
        <w:t xml:space="preserve"> Kč (viz tabulka č. </w:t>
      </w:r>
      <w:r w:rsidR="0035099A">
        <w:rPr>
          <w:rFonts w:cstheme="minorHAnsi"/>
          <w:color w:val="auto"/>
        </w:rPr>
        <w:t>4</w:t>
      </w:r>
      <w:r w:rsidRPr="003E098C">
        <w:rPr>
          <w:rFonts w:cstheme="minorHAnsi"/>
          <w:color w:val="auto"/>
        </w:rPr>
        <w:t>).</w:t>
      </w:r>
    </w:p>
    <w:p w14:paraId="6BCBE2B0" w14:textId="77777777" w:rsidR="00C97CC0" w:rsidRPr="003E098C" w:rsidRDefault="00C97CC0" w:rsidP="00C97CC0">
      <w:pPr>
        <w:spacing w:before="0"/>
        <w:rPr>
          <w:color w:val="auto"/>
        </w:rPr>
      </w:pPr>
    </w:p>
    <w:p w14:paraId="07C476D9" w14:textId="77777777" w:rsidR="00C97CC0" w:rsidRPr="00D26731" w:rsidRDefault="008B0577" w:rsidP="00452D1E">
      <w:pPr>
        <w:keepNext/>
        <w:tabs>
          <w:tab w:val="right" w:pos="9070"/>
        </w:tabs>
        <w:spacing w:before="0" w:after="40"/>
        <w:rPr>
          <w:b/>
          <w:color w:val="auto"/>
        </w:rPr>
      </w:pPr>
      <w:r w:rsidRPr="00D26731">
        <w:rPr>
          <w:b/>
          <w:color w:val="auto"/>
        </w:rPr>
        <w:lastRenderedPageBreak/>
        <w:t xml:space="preserve">Tabulka č. </w:t>
      </w:r>
      <w:r w:rsidR="0035099A" w:rsidRPr="00D26731">
        <w:rPr>
          <w:b/>
          <w:color w:val="auto"/>
        </w:rPr>
        <w:t>4</w:t>
      </w:r>
      <w:r w:rsidRPr="00D26731">
        <w:rPr>
          <w:b/>
          <w:color w:val="auto"/>
        </w:rPr>
        <w:t>: Příjmy z prodeje n</w:t>
      </w:r>
      <w:r w:rsidR="009F2DC7" w:rsidRPr="00D26731">
        <w:rPr>
          <w:b/>
          <w:color w:val="auto"/>
        </w:rPr>
        <w:t>emovitého majetku v letech 2017–</w:t>
      </w:r>
      <w:r w:rsidRPr="00D26731">
        <w:rPr>
          <w:b/>
          <w:color w:val="auto"/>
        </w:rPr>
        <w:t xml:space="preserve">2019 </w:t>
      </w:r>
      <w:r w:rsidRPr="00D26731">
        <w:rPr>
          <w:b/>
          <w:color w:val="auto"/>
        </w:rPr>
        <w:tab/>
        <w:t>(</w:t>
      </w:r>
      <w:r w:rsidR="00964497">
        <w:rPr>
          <w:b/>
          <w:color w:val="auto"/>
        </w:rPr>
        <w:t>v </w:t>
      </w:r>
      <w:r w:rsidRPr="00D26731">
        <w:rPr>
          <w:b/>
          <w:color w:val="auto"/>
        </w:rPr>
        <w:t>Kč)</w:t>
      </w:r>
    </w:p>
    <w:tbl>
      <w:tblPr>
        <w:tblW w:w="90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  <w:gridCol w:w="1332"/>
        <w:gridCol w:w="1332"/>
        <w:gridCol w:w="1332"/>
        <w:gridCol w:w="1332"/>
      </w:tblGrid>
      <w:tr w:rsidR="003E098C" w:rsidRPr="00D26731" w14:paraId="56C971DF" w14:textId="77777777" w:rsidTr="00964497">
        <w:trPr>
          <w:trHeight w:val="283"/>
        </w:trPr>
        <w:tc>
          <w:tcPr>
            <w:tcW w:w="3742" w:type="dxa"/>
            <w:shd w:val="clear" w:color="auto" w:fill="C6D9F1" w:themeFill="text2" w:themeFillTint="33"/>
            <w:noWrap/>
            <w:vAlign w:val="center"/>
            <w:hideMark/>
          </w:tcPr>
          <w:p w14:paraId="17100E85" w14:textId="77777777" w:rsidR="00F033E6" w:rsidRPr="00D26731" w:rsidRDefault="008B0577" w:rsidP="00D26731">
            <w:pPr>
              <w:keepNext/>
              <w:spacing w:before="0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Rozpočtová položka</w:t>
            </w:r>
          </w:p>
        </w:tc>
        <w:tc>
          <w:tcPr>
            <w:tcW w:w="1332" w:type="dxa"/>
            <w:shd w:val="clear" w:color="auto" w:fill="C6D9F1" w:themeFill="text2" w:themeFillTint="33"/>
            <w:noWrap/>
            <w:vAlign w:val="center"/>
            <w:hideMark/>
          </w:tcPr>
          <w:p w14:paraId="5E09B3D2" w14:textId="77777777" w:rsidR="00F033E6" w:rsidRPr="00D26731" w:rsidRDefault="008B0577" w:rsidP="00D26731">
            <w:pPr>
              <w:keepNext/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332" w:type="dxa"/>
            <w:shd w:val="clear" w:color="auto" w:fill="C6D9F1" w:themeFill="text2" w:themeFillTint="33"/>
            <w:noWrap/>
            <w:vAlign w:val="center"/>
            <w:hideMark/>
          </w:tcPr>
          <w:p w14:paraId="35445F46" w14:textId="77777777" w:rsidR="00F033E6" w:rsidRPr="00D26731" w:rsidRDefault="008B0577" w:rsidP="00D26731">
            <w:pPr>
              <w:keepNext/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332" w:type="dxa"/>
            <w:shd w:val="clear" w:color="auto" w:fill="C6D9F1" w:themeFill="text2" w:themeFillTint="33"/>
            <w:noWrap/>
            <w:vAlign w:val="center"/>
            <w:hideMark/>
          </w:tcPr>
          <w:p w14:paraId="1B07CE0F" w14:textId="77777777" w:rsidR="00F033E6" w:rsidRPr="00D26731" w:rsidRDefault="008B0577" w:rsidP="00D26731">
            <w:pPr>
              <w:keepNext/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332" w:type="dxa"/>
            <w:shd w:val="clear" w:color="auto" w:fill="C6D9F1" w:themeFill="text2" w:themeFillTint="33"/>
            <w:vAlign w:val="center"/>
          </w:tcPr>
          <w:p w14:paraId="1578CFD2" w14:textId="77777777" w:rsidR="00F033E6" w:rsidRPr="00D26731" w:rsidRDefault="008B0577" w:rsidP="00D26731">
            <w:pPr>
              <w:keepNext/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b/>
                <w:color w:val="auto"/>
                <w:sz w:val="20"/>
                <w:szCs w:val="20"/>
                <w:lang w:eastAsia="cs-CZ"/>
              </w:rPr>
              <w:t>Celkem</w:t>
            </w:r>
          </w:p>
        </w:tc>
      </w:tr>
      <w:tr w:rsidR="003E098C" w:rsidRPr="00D26731" w14:paraId="4801B084" w14:textId="77777777" w:rsidTr="00964497">
        <w:trPr>
          <w:trHeight w:val="283"/>
        </w:trPr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92255E7" w14:textId="4A1ADCB6" w:rsidR="00F033E6" w:rsidRPr="00D26731" w:rsidRDefault="008B0577" w:rsidP="00964497">
            <w:pPr>
              <w:keepNext/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3111 </w:t>
            </w:r>
            <w:r w:rsidR="00964497">
              <w:rPr>
                <w:color w:val="auto"/>
                <w:sz w:val="20"/>
                <w:szCs w:val="20"/>
                <w:lang w:eastAsia="cs-CZ"/>
              </w:rPr>
              <w:t>–</w:t>
            </w: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 příjmy z prodeje pozemků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054622E3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404 923 246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EB51922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569 452 310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4920FCF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556 125 880</w:t>
            </w:r>
          </w:p>
        </w:tc>
        <w:tc>
          <w:tcPr>
            <w:tcW w:w="1332" w:type="dxa"/>
            <w:vAlign w:val="center"/>
          </w:tcPr>
          <w:p w14:paraId="627545C0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1 530 501 436</w:t>
            </w:r>
          </w:p>
        </w:tc>
      </w:tr>
      <w:tr w:rsidR="003E098C" w:rsidRPr="00D26731" w14:paraId="2AD636D7" w14:textId="77777777" w:rsidTr="00964497">
        <w:trPr>
          <w:trHeight w:val="283"/>
        </w:trPr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03DD82A9" w14:textId="3479DC10" w:rsidR="00F033E6" w:rsidRPr="00D26731" w:rsidRDefault="008B0577" w:rsidP="00964497">
            <w:pPr>
              <w:keepNext/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3112 </w:t>
            </w:r>
            <w:r w:rsidR="00964497">
              <w:rPr>
                <w:color w:val="auto"/>
                <w:sz w:val="20"/>
                <w:szCs w:val="20"/>
                <w:lang w:eastAsia="cs-CZ"/>
              </w:rPr>
              <w:t>–</w:t>
            </w: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 příjmy z prodeje ostatních nemovitých věcí (nemovitostí) a jejich částí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63EA448A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810 905 552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D545659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300 158 431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1781639C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324 532 231</w:t>
            </w:r>
          </w:p>
        </w:tc>
        <w:tc>
          <w:tcPr>
            <w:tcW w:w="1332" w:type="dxa"/>
            <w:vAlign w:val="center"/>
          </w:tcPr>
          <w:p w14:paraId="59D711E4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1 435 596 214</w:t>
            </w:r>
          </w:p>
        </w:tc>
      </w:tr>
      <w:tr w:rsidR="003E098C" w:rsidRPr="00D26731" w14:paraId="28203D02" w14:textId="77777777" w:rsidTr="00964497">
        <w:trPr>
          <w:trHeight w:val="283"/>
        </w:trPr>
        <w:tc>
          <w:tcPr>
            <w:tcW w:w="3742" w:type="dxa"/>
            <w:shd w:val="clear" w:color="auto" w:fill="auto"/>
            <w:noWrap/>
            <w:vAlign w:val="center"/>
            <w:hideMark/>
          </w:tcPr>
          <w:p w14:paraId="770295DE" w14:textId="77777777" w:rsidR="00F033E6" w:rsidRPr="00D26731" w:rsidRDefault="008B0577" w:rsidP="00D26731">
            <w:pPr>
              <w:keepNext/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 xml:space="preserve">Příjmy z prodeje </w:t>
            </w:r>
            <w:proofErr w:type="spellStart"/>
            <w:r w:rsidRPr="00D26731">
              <w:rPr>
                <w:color w:val="auto"/>
                <w:sz w:val="20"/>
                <w:szCs w:val="20"/>
                <w:lang w:eastAsia="cs-CZ"/>
              </w:rPr>
              <w:t>nem</w:t>
            </w:r>
            <w:proofErr w:type="spellEnd"/>
            <w:r w:rsidR="00974317" w:rsidRPr="00D26731">
              <w:rPr>
                <w:color w:val="auto"/>
                <w:sz w:val="20"/>
                <w:szCs w:val="20"/>
                <w:lang w:eastAsia="cs-CZ"/>
              </w:rPr>
              <w:t xml:space="preserve">. </w:t>
            </w:r>
            <w:r w:rsidRPr="00D26731">
              <w:rPr>
                <w:color w:val="auto"/>
                <w:sz w:val="20"/>
                <w:szCs w:val="20"/>
                <w:lang w:eastAsia="cs-CZ"/>
              </w:rPr>
              <w:t>majetku</w:t>
            </w:r>
            <w:r w:rsidR="00974317" w:rsidRPr="00D26731">
              <w:rPr>
                <w:color w:val="auto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393C5598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1 215 828 798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5AAC6A14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869 610 741</w:t>
            </w:r>
          </w:p>
        </w:tc>
        <w:tc>
          <w:tcPr>
            <w:tcW w:w="1332" w:type="dxa"/>
            <w:shd w:val="clear" w:color="auto" w:fill="auto"/>
            <w:noWrap/>
            <w:vAlign w:val="center"/>
            <w:hideMark/>
          </w:tcPr>
          <w:p w14:paraId="236E7482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880 658 111</w:t>
            </w:r>
          </w:p>
        </w:tc>
        <w:tc>
          <w:tcPr>
            <w:tcW w:w="1332" w:type="dxa"/>
            <w:vAlign w:val="center"/>
          </w:tcPr>
          <w:p w14:paraId="5F7860A3" w14:textId="77777777" w:rsidR="00F033E6" w:rsidRPr="00D26731" w:rsidRDefault="008B0577" w:rsidP="00452D1E">
            <w:pPr>
              <w:keepNext/>
              <w:spacing w:before="0"/>
              <w:ind w:right="28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D26731">
              <w:rPr>
                <w:color w:val="auto"/>
                <w:sz w:val="20"/>
                <w:szCs w:val="20"/>
                <w:lang w:eastAsia="cs-CZ"/>
              </w:rPr>
              <w:t>2 966 097 650</w:t>
            </w:r>
          </w:p>
        </w:tc>
      </w:tr>
    </w:tbl>
    <w:p w14:paraId="77D14FDD" w14:textId="2C3D894B" w:rsidR="00C97CC0" w:rsidRPr="00D26731" w:rsidRDefault="008B0577" w:rsidP="00D26731">
      <w:pPr>
        <w:keepNext/>
        <w:spacing w:before="40"/>
        <w:rPr>
          <w:rFonts w:cstheme="minorHAnsi"/>
          <w:color w:val="auto"/>
          <w:sz w:val="20"/>
        </w:rPr>
      </w:pPr>
      <w:r w:rsidRPr="00D26731">
        <w:rPr>
          <w:rFonts w:cstheme="minorHAnsi"/>
          <w:b/>
          <w:color w:val="auto"/>
          <w:sz w:val="20"/>
        </w:rPr>
        <w:t>Zdroj:</w:t>
      </w:r>
      <w:r w:rsidRPr="00D26731">
        <w:rPr>
          <w:rFonts w:cstheme="minorHAnsi"/>
          <w:color w:val="auto"/>
          <w:sz w:val="20"/>
        </w:rPr>
        <w:t xml:space="preserve"> </w:t>
      </w:r>
      <w:r w:rsidR="006061DB">
        <w:rPr>
          <w:rFonts w:cstheme="minorHAnsi"/>
          <w:color w:val="auto"/>
          <w:sz w:val="20"/>
          <w:szCs w:val="20"/>
        </w:rPr>
        <w:t xml:space="preserve">informační portál </w:t>
      </w:r>
      <w:r w:rsidR="003A79AD" w:rsidRPr="00B9688E">
        <w:rPr>
          <w:rFonts w:cstheme="minorHAnsi"/>
          <w:color w:val="auto"/>
          <w:sz w:val="20"/>
          <w:szCs w:val="20"/>
        </w:rPr>
        <w:t>státní pokladny</w:t>
      </w:r>
      <w:r w:rsidR="003A79AD" w:rsidRPr="003A79AD">
        <w:rPr>
          <w:rFonts w:cstheme="minorHAnsi"/>
          <w:i/>
          <w:color w:val="auto"/>
          <w:sz w:val="20"/>
        </w:rPr>
        <w:t xml:space="preserve"> </w:t>
      </w:r>
      <w:r w:rsidRPr="00AD1C5B">
        <w:rPr>
          <w:rFonts w:cstheme="minorHAnsi"/>
          <w:i/>
          <w:color w:val="auto"/>
          <w:sz w:val="20"/>
        </w:rPr>
        <w:t>Monitor</w:t>
      </w:r>
      <w:r w:rsidRPr="00D26731">
        <w:rPr>
          <w:rFonts w:cstheme="minorHAnsi"/>
          <w:color w:val="auto"/>
          <w:sz w:val="20"/>
        </w:rPr>
        <w:t>, ÚZSVM</w:t>
      </w:r>
      <w:r w:rsidR="009F2DC7" w:rsidRPr="00D26731">
        <w:rPr>
          <w:rFonts w:cstheme="minorHAnsi"/>
          <w:color w:val="auto"/>
          <w:sz w:val="20"/>
        </w:rPr>
        <w:t>.</w:t>
      </w:r>
    </w:p>
    <w:p w14:paraId="33F1BED5" w14:textId="77777777" w:rsidR="00C97CC0" w:rsidRPr="003E098C" w:rsidRDefault="00C97CC0" w:rsidP="00C97CC0">
      <w:pPr>
        <w:spacing w:before="0"/>
        <w:rPr>
          <w:color w:val="auto"/>
        </w:rPr>
      </w:pPr>
    </w:p>
    <w:p w14:paraId="5C32BA6F" w14:textId="77777777" w:rsidR="00C97CC0" w:rsidRPr="003E098C" w:rsidRDefault="008B0577" w:rsidP="00452D1E">
      <w:pPr>
        <w:spacing w:before="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>V letech 2017</w:t>
      </w:r>
      <w:r w:rsidRPr="003E098C">
        <w:rPr>
          <w:color w:val="auto"/>
        </w:rPr>
        <w:t>–</w:t>
      </w:r>
      <w:r w:rsidRPr="003E098C">
        <w:rPr>
          <w:rFonts w:cstheme="minorHAnsi"/>
          <w:color w:val="auto"/>
        </w:rPr>
        <w:t>2019 vykázal ÚZSVM příjmy z pronájmu pozemků a ostatních nemovitých věcí (nemovitostí) a jejich částí celkem ve v</w:t>
      </w:r>
      <w:r w:rsidR="00234F08" w:rsidRPr="003E098C">
        <w:rPr>
          <w:rFonts w:cstheme="minorHAnsi"/>
          <w:color w:val="auto"/>
        </w:rPr>
        <w:t>ýši 681 830 169</w:t>
      </w:r>
      <w:r w:rsidR="0035099A">
        <w:rPr>
          <w:rFonts w:cstheme="minorHAnsi"/>
          <w:color w:val="auto"/>
        </w:rPr>
        <w:t xml:space="preserve"> Kč (viz tabulka č. 5</w:t>
      </w:r>
      <w:r w:rsidRPr="003E098C">
        <w:rPr>
          <w:rFonts w:cstheme="minorHAnsi"/>
          <w:color w:val="auto"/>
        </w:rPr>
        <w:t>)</w:t>
      </w:r>
      <w:r w:rsidR="008862C7" w:rsidRPr="003E098C">
        <w:rPr>
          <w:rFonts w:cstheme="minorHAnsi"/>
          <w:color w:val="auto"/>
        </w:rPr>
        <w:t>.</w:t>
      </w:r>
    </w:p>
    <w:p w14:paraId="212711FD" w14:textId="77777777" w:rsidR="00C97CC0" w:rsidRPr="003E098C" w:rsidRDefault="00C97CC0" w:rsidP="00C97CC0">
      <w:pPr>
        <w:spacing w:before="0"/>
        <w:rPr>
          <w:rFonts w:cstheme="minorHAnsi"/>
          <w:color w:val="auto"/>
        </w:rPr>
      </w:pPr>
    </w:p>
    <w:p w14:paraId="72E9CC55" w14:textId="77777777" w:rsidR="00C97CC0" w:rsidRPr="00452D1E" w:rsidRDefault="008B0577" w:rsidP="00452D1E">
      <w:pPr>
        <w:tabs>
          <w:tab w:val="right" w:pos="9070"/>
        </w:tabs>
        <w:spacing w:before="0" w:after="40"/>
        <w:rPr>
          <w:b/>
          <w:color w:val="auto"/>
        </w:rPr>
      </w:pPr>
      <w:r w:rsidRPr="00452D1E">
        <w:rPr>
          <w:b/>
          <w:color w:val="auto"/>
        </w:rPr>
        <w:t xml:space="preserve">Tabulka č. </w:t>
      </w:r>
      <w:r w:rsidR="0035099A" w:rsidRPr="00452D1E">
        <w:rPr>
          <w:b/>
          <w:color w:val="auto"/>
        </w:rPr>
        <w:t>5</w:t>
      </w:r>
      <w:r w:rsidRPr="00452D1E">
        <w:rPr>
          <w:b/>
          <w:color w:val="auto"/>
        </w:rPr>
        <w:t>: Příjmy z pronájmu n</w:t>
      </w:r>
      <w:r w:rsidR="008862C7" w:rsidRPr="00452D1E">
        <w:rPr>
          <w:b/>
          <w:color w:val="auto"/>
        </w:rPr>
        <w:t>emovitého majetku v letech 2017–</w:t>
      </w:r>
      <w:r w:rsidRPr="00452D1E">
        <w:rPr>
          <w:b/>
          <w:color w:val="auto"/>
        </w:rPr>
        <w:t xml:space="preserve">2019 </w:t>
      </w:r>
      <w:r w:rsidR="00234F08" w:rsidRPr="00452D1E">
        <w:rPr>
          <w:b/>
          <w:color w:val="auto"/>
        </w:rPr>
        <w:tab/>
      </w:r>
      <w:r w:rsidRPr="00452D1E">
        <w:rPr>
          <w:b/>
          <w:color w:val="auto"/>
        </w:rPr>
        <w:t>(</w:t>
      </w:r>
      <w:r w:rsidR="00964497">
        <w:rPr>
          <w:b/>
          <w:color w:val="auto"/>
        </w:rPr>
        <w:t>v </w:t>
      </w:r>
      <w:r w:rsidRPr="00452D1E">
        <w:rPr>
          <w:b/>
          <w:color w:val="auto"/>
        </w:rPr>
        <w:t>Kč)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304"/>
        <w:gridCol w:w="1304"/>
        <w:gridCol w:w="1304"/>
        <w:gridCol w:w="1304"/>
      </w:tblGrid>
      <w:tr w:rsidR="003E098C" w:rsidRPr="003E098C" w14:paraId="62A2BFED" w14:textId="77777777" w:rsidTr="00452D1E">
        <w:trPr>
          <w:trHeight w:val="283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E50C647" w14:textId="77777777" w:rsidR="00F033E6" w:rsidRPr="00D406E9" w:rsidRDefault="008B0577" w:rsidP="00234F08">
            <w:pPr>
              <w:spacing w:before="0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406E9">
              <w:rPr>
                <w:b/>
                <w:color w:val="auto"/>
                <w:sz w:val="20"/>
                <w:lang w:eastAsia="cs-CZ"/>
              </w:rPr>
              <w:t>Rozpočtová položka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D34CC3" w14:textId="77777777" w:rsidR="00F033E6" w:rsidRPr="00D406E9" w:rsidRDefault="008B0577" w:rsidP="00234F08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406E9">
              <w:rPr>
                <w:b/>
                <w:color w:val="auto"/>
                <w:sz w:val="20"/>
                <w:lang w:eastAsia="cs-CZ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434ACCF" w14:textId="77777777" w:rsidR="00F033E6" w:rsidRPr="00D406E9" w:rsidRDefault="008B0577" w:rsidP="00234F08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406E9">
              <w:rPr>
                <w:b/>
                <w:color w:val="auto"/>
                <w:sz w:val="20"/>
                <w:lang w:eastAsia="cs-CZ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D63E1D" w14:textId="77777777" w:rsidR="00F033E6" w:rsidRPr="00D406E9" w:rsidRDefault="008B0577" w:rsidP="00234F08">
            <w:pPr>
              <w:spacing w:before="0"/>
              <w:jc w:val="center"/>
              <w:rPr>
                <w:b/>
                <w:color w:val="auto"/>
                <w:sz w:val="20"/>
                <w:szCs w:val="20"/>
                <w:lang w:eastAsia="cs-CZ"/>
              </w:rPr>
            </w:pPr>
            <w:r w:rsidRPr="00D406E9">
              <w:rPr>
                <w:b/>
                <w:color w:val="auto"/>
                <w:sz w:val="20"/>
                <w:lang w:eastAsia="cs-CZ"/>
              </w:rPr>
              <w:t>2019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19D239" w14:textId="77777777" w:rsidR="00F033E6" w:rsidRPr="00D406E9" w:rsidRDefault="008B0577" w:rsidP="00234F08">
            <w:pPr>
              <w:spacing w:before="0"/>
              <w:jc w:val="center"/>
              <w:rPr>
                <w:b/>
                <w:color w:val="auto"/>
                <w:sz w:val="20"/>
                <w:lang w:eastAsia="cs-CZ"/>
              </w:rPr>
            </w:pPr>
            <w:r w:rsidRPr="00D406E9">
              <w:rPr>
                <w:b/>
                <w:color w:val="auto"/>
                <w:sz w:val="20"/>
                <w:lang w:eastAsia="cs-CZ"/>
              </w:rPr>
              <w:t>Celkem</w:t>
            </w:r>
          </w:p>
        </w:tc>
      </w:tr>
      <w:tr w:rsidR="003E098C" w:rsidRPr="003E098C" w14:paraId="0D783AA9" w14:textId="77777777" w:rsidTr="00452D1E">
        <w:trPr>
          <w:trHeight w:val="283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E49B" w14:textId="1AA81198" w:rsidR="00F033E6" w:rsidRPr="003E098C" w:rsidRDefault="008B0577" w:rsidP="00964497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 xml:space="preserve">2131 </w:t>
            </w:r>
            <w:r w:rsidR="00964497">
              <w:rPr>
                <w:color w:val="auto"/>
                <w:sz w:val="20"/>
                <w:szCs w:val="20"/>
                <w:lang w:eastAsia="cs-CZ"/>
              </w:rPr>
              <w:t>–</w:t>
            </w:r>
            <w:r w:rsidRPr="003E098C">
              <w:rPr>
                <w:color w:val="auto"/>
                <w:sz w:val="20"/>
                <w:lang w:eastAsia="cs-CZ"/>
              </w:rPr>
              <w:t xml:space="preserve"> příjmy z pronájmu pozemků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CB4D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127 575 121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1D45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148 708 160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A0CE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224 651 971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BD646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500 935 252</w:t>
            </w:r>
          </w:p>
        </w:tc>
      </w:tr>
      <w:tr w:rsidR="003E098C" w:rsidRPr="003E098C" w14:paraId="10ED3EE0" w14:textId="77777777" w:rsidTr="00452D1E">
        <w:trPr>
          <w:trHeight w:val="283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95A" w14:textId="23A0AA52" w:rsidR="00F033E6" w:rsidRPr="003E098C" w:rsidRDefault="008B0577" w:rsidP="00964497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2132 </w:t>
            </w:r>
            <w:r w:rsidR="00964497">
              <w:rPr>
                <w:color w:val="auto"/>
                <w:sz w:val="20"/>
                <w:szCs w:val="20"/>
                <w:lang w:eastAsia="cs-CZ"/>
              </w:rPr>
              <w:t>–</w:t>
            </w:r>
            <w:r w:rsidRPr="003E098C">
              <w:rPr>
                <w:color w:val="auto"/>
                <w:sz w:val="20"/>
                <w:lang w:eastAsia="cs-CZ"/>
              </w:rPr>
              <w:t xml:space="preserve"> příjmy z pronájmu ostatních nemovitých věcí (nemovitostí) a jejich částí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583C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59 965 272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B6E8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60 732 829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DC91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60 196 816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26AF0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lang w:eastAsia="cs-CZ"/>
              </w:rPr>
            </w:pPr>
            <w:r w:rsidRPr="003E098C">
              <w:rPr>
                <w:color w:val="auto"/>
                <w:sz w:val="20"/>
                <w:lang w:eastAsia="cs-CZ"/>
              </w:rPr>
              <w:t>180 894 917</w:t>
            </w:r>
          </w:p>
        </w:tc>
      </w:tr>
      <w:tr w:rsidR="003E098C" w:rsidRPr="003E098C" w14:paraId="084AEA62" w14:textId="77777777" w:rsidTr="00452D1E">
        <w:trPr>
          <w:trHeight w:val="283"/>
          <w:jc w:val="center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C800" w14:textId="77777777" w:rsidR="00F033E6" w:rsidRPr="003E098C" w:rsidRDefault="008B0577" w:rsidP="00974317">
            <w:pPr>
              <w:spacing w:before="0"/>
              <w:jc w:val="lef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szCs w:val="20"/>
                <w:lang w:eastAsia="cs-CZ"/>
              </w:rPr>
              <w:t xml:space="preserve">Příjmy z pronájmu </w:t>
            </w:r>
            <w:proofErr w:type="spellStart"/>
            <w:r w:rsidRPr="003E098C">
              <w:rPr>
                <w:color w:val="auto"/>
                <w:sz w:val="20"/>
                <w:szCs w:val="20"/>
                <w:lang w:eastAsia="cs-CZ"/>
              </w:rPr>
              <w:t>nem</w:t>
            </w:r>
            <w:proofErr w:type="spellEnd"/>
            <w:r w:rsidR="00974317" w:rsidRPr="003E098C">
              <w:rPr>
                <w:color w:val="auto"/>
                <w:sz w:val="20"/>
                <w:szCs w:val="20"/>
                <w:lang w:eastAsia="cs-CZ"/>
              </w:rPr>
              <w:t>. m</w:t>
            </w:r>
            <w:r w:rsidRPr="003E098C">
              <w:rPr>
                <w:color w:val="auto"/>
                <w:sz w:val="20"/>
                <w:szCs w:val="20"/>
                <w:lang w:eastAsia="cs-CZ"/>
              </w:rPr>
              <w:t>ajetku</w:t>
            </w:r>
            <w:r w:rsidR="00974317" w:rsidRPr="003E098C">
              <w:rPr>
                <w:color w:val="auto"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A3C9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szCs w:val="20"/>
                <w:lang w:eastAsia="cs-CZ"/>
              </w:rPr>
              <w:t>187 540 39</w:t>
            </w:r>
            <w:r w:rsidR="006126EC" w:rsidRPr="003E098C">
              <w:rPr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0C31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szCs w:val="20"/>
                <w:lang w:eastAsia="cs-CZ"/>
              </w:rPr>
              <w:t>209 440 989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9A28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szCs w:val="20"/>
                <w:lang w:eastAsia="cs-CZ"/>
              </w:rPr>
              <w:t>284 848 787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A8A6" w14:textId="77777777" w:rsidR="00F033E6" w:rsidRPr="003E098C" w:rsidRDefault="008B0577" w:rsidP="00452D1E">
            <w:pPr>
              <w:spacing w:before="0"/>
              <w:ind w:right="57"/>
              <w:jc w:val="right"/>
              <w:rPr>
                <w:color w:val="auto"/>
                <w:sz w:val="20"/>
                <w:szCs w:val="20"/>
                <w:lang w:eastAsia="cs-CZ"/>
              </w:rPr>
            </w:pPr>
            <w:r w:rsidRPr="003E098C">
              <w:rPr>
                <w:color w:val="auto"/>
                <w:sz w:val="20"/>
                <w:szCs w:val="20"/>
                <w:lang w:eastAsia="cs-CZ"/>
              </w:rPr>
              <w:t>681 830 16</w:t>
            </w:r>
            <w:r w:rsidR="006126EC" w:rsidRPr="003E098C">
              <w:rPr>
                <w:color w:val="auto"/>
                <w:sz w:val="20"/>
                <w:szCs w:val="20"/>
                <w:lang w:eastAsia="cs-CZ"/>
              </w:rPr>
              <w:t>9</w:t>
            </w:r>
          </w:p>
        </w:tc>
      </w:tr>
    </w:tbl>
    <w:p w14:paraId="3D0E71AA" w14:textId="697965B6" w:rsidR="00C97CC0" w:rsidRPr="00452D1E" w:rsidRDefault="008B0577" w:rsidP="00452D1E">
      <w:pPr>
        <w:spacing w:before="40"/>
        <w:rPr>
          <w:rFonts w:cstheme="minorHAnsi"/>
          <w:color w:val="auto"/>
          <w:sz w:val="20"/>
        </w:rPr>
      </w:pPr>
      <w:r w:rsidRPr="00452D1E">
        <w:rPr>
          <w:rFonts w:cstheme="minorHAnsi"/>
          <w:b/>
          <w:color w:val="auto"/>
          <w:sz w:val="20"/>
        </w:rPr>
        <w:t>Zdroj:</w:t>
      </w:r>
      <w:r w:rsidRPr="00452D1E">
        <w:rPr>
          <w:rFonts w:cstheme="minorHAnsi"/>
          <w:color w:val="auto"/>
          <w:sz w:val="20"/>
        </w:rPr>
        <w:t xml:space="preserve"> </w:t>
      </w:r>
      <w:r w:rsidR="006061DB">
        <w:rPr>
          <w:rFonts w:cstheme="minorHAnsi"/>
          <w:color w:val="auto"/>
          <w:sz w:val="20"/>
          <w:szCs w:val="20"/>
        </w:rPr>
        <w:t xml:space="preserve">informační portál </w:t>
      </w:r>
      <w:r w:rsidR="003A79AD" w:rsidRPr="00B9688E">
        <w:rPr>
          <w:rFonts w:cstheme="minorHAnsi"/>
          <w:color w:val="auto"/>
          <w:sz w:val="20"/>
          <w:szCs w:val="20"/>
        </w:rPr>
        <w:t>státní pokladny</w:t>
      </w:r>
      <w:r w:rsidR="003A79AD" w:rsidRPr="003A79AD">
        <w:rPr>
          <w:rFonts w:cstheme="minorHAnsi"/>
          <w:i/>
          <w:color w:val="auto"/>
          <w:sz w:val="20"/>
        </w:rPr>
        <w:t xml:space="preserve"> </w:t>
      </w:r>
      <w:r w:rsidRPr="00AD1C5B">
        <w:rPr>
          <w:rFonts w:cstheme="minorHAnsi"/>
          <w:i/>
          <w:color w:val="auto"/>
          <w:sz w:val="20"/>
        </w:rPr>
        <w:t>Monitor</w:t>
      </w:r>
      <w:r w:rsidRPr="00452D1E">
        <w:rPr>
          <w:rFonts w:cstheme="minorHAnsi"/>
          <w:color w:val="auto"/>
          <w:sz w:val="20"/>
        </w:rPr>
        <w:t>, ÚZSVM</w:t>
      </w:r>
      <w:r w:rsidR="00F83561" w:rsidRPr="00452D1E">
        <w:rPr>
          <w:rFonts w:cstheme="minorHAnsi"/>
          <w:color w:val="auto"/>
          <w:sz w:val="20"/>
        </w:rPr>
        <w:t>.</w:t>
      </w:r>
    </w:p>
    <w:p w14:paraId="6E2B6C35" w14:textId="77777777" w:rsidR="00C97CC0" w:rsidRPr="003E098C" w:rsidRDefault="00C97CC0" w:rsidP="00C97CC0">
      <w:pPr>
        <w:spacing w:before="0"/>
        <w:rPr>
          <w:rFonts w:cstheme="minorHAnsi"/>
          <w:color w:val="auto"/>
        </w:rPr>
      </w:pPr>
    </w:p>
    <w:p w14:paraId="12E32B36" w14:textId="6277EA20" w:rsidR="00C97CC0" w:rsidRPr="003E098C" w:rsidRDefault="008B0577" w:rsidP="00452D1E">
      <w:pPr>
        <w:spacing w:before="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 xml:space="preserve">V letech 2017–2019 ÚZSVM bezúplatně převedl nemovitý majetek v účetní hodnotě </w:t>
      </w:r>
      <w:r w:rsidR="00460706">
        <w:rPr>
          <w:rFonts w:cstheme="minorHAnsi"/>
          <w:color w:val="auto"/>
        </w:rPr>
        <w:t>2 497 865 752 </w:t>
      </w:r>
      <w:r w:rsidRPr="003E098C">
        <w:rPr>
          <w:rFonts w:cstheme="minorHAnsi"/>
          <w:color w:val="auto"/>
        </w:rPr>
        <w:t>Kč. Hodnota vybraných položek bezúplatně převedeného nemovitého m</w:t>
      </w:r>
      <w:r w:rsidR="00460706">
        <w:rPr>
          <w:rFonts w:cstheme="minorHAnsi"/>
          <w:color w:val="auto"/>
        </w:rPr>
        <w:t>ajetku je uvedena v tabulce č. </w:t>
      </w:r>
      <w:r w:rsidR="0035099A">
        <w:rPr>
          <w:rFonts w:cstheme="minorHAnsi"/>
          <w:color w:val="auto"/>
        </w:rPr>
        <w:t>6</w:t>
      </w:r>
      <w:r w:rsidRPr="003E098C">
        <w:rPr>
          <w:rFonts w:cstheme="minorHAnsi"/>
          <w:color w:val="auto"/>
        </w:rPr>
        <w:t>.</w:t>
      </w:r>
    </w:p>
    <w:p w14:paraId="2FFD7722" w14:textId="77777777" w:rsidR="00C97CC0" w:rsidRPr="003E098C" w:rsidRDefault="00C97CC0" w:rsidP="00C97CC0">
      <w:pPr>
        <w:spacing w:before="0"/>
        <w:rPr>
          <w:rFonts w:cstheme="minorHAnsi"/>
          <w:color w:val="auto"/>
        </w:rPr>
      </w:pPr>
    </w:p>
    <w:p w14:paraId="29D015E4" w14:textId="77777777" w:rsidR="00F638D5" w:rsidRPr="00287DDD" w:rsidRDefault="008B0577" w:rsidP="00287DDD">
      <w:pPr>
        <w:spacing w:before="0" w:after="40"/>
        <w:rPr>
          <w:rFonts w:cstheme="minorHAnsi"/>
          <w:b/>
          <w:color w:val="auto"/>
        </w:rPr>
      </w:pPr>
      <w:r w:rsidRPr="00287DDD">
        <w:rPr>
          <w:b/>
          <w:color w:val="auto"/>
        </w:rPr>
        <w:t xml:space="preserve">Tabulka č. </w:t>
      </w:r>
      <w:r w:rsidR="0035099A" w:rsidRPr="00287DDD">
        <w:rPr>
          <w:b/>
          <w:color w:val="auto"/>
        </w:rPr>
        <w:t>6</w:t>
      </w:r>
      <w:r w:rsidR="00C97CC0" w:rsidRPr="00287DDD">
        <w:rPr>
          <w:b/>
          <w:color w:val="auto"/>
        </w:rPr>
        <w:t xml:space="preserve">: </w:t>
      </w:r>
      <w:r w:rsidR="00C97CC0" w:rsidRPr="00287DDD">
        <w:rPr>
          <w:rFonts w:cstheme="minorHAnsi"/>
          <w:b/>
          <w:color w:val="auto"/>
        </w:rPr>
        <w:t>Bezúplatně převedený</w:t>
      </w:r>
      <w:r w:rsidR="00F83561" w:rsidRPr="00287DDD">
        <w:rPr>
          <w:rFonts w:cstheme="minorHAnsi"/>
          <w:b/>
          <w:color w:val="auto"/>
        </w:rPr>
        <w:t xml:space="preserve"> nemovitý majetek v letech 2017–</w:t>
      </w:r>
      <w:r w:rsidR="00C97CC0" w:rsidRPr="00287DDD">
        <w:rPr>
          <w:rFonts w:cstheme="minorHAnsi"/>
          <w:b/>
          <w:color w:val="auto"/>
        </w:rPr>
        <w:t>2019</w:t>
      </w:r>
      <w:r w:rsidRPr="00287DDD">
        <w:rPr>
          <w:rFonts w:cstheme="minorHAnsi"/>
          <w:b/>
          <w:color w:val="auto"/>
        </w:rPr>
        <w:t xml:space="preserve"> 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276"/>
        <w:gridCol w:w="1417"/>
      </w:tblGrid>
      <w:tr w:rsidR="003E098C" w:rsidRPr="003E098C" w14:paraId="661ED1FE" w14:textId="77777777" w:rsidTr="00287DDD">
        <w:trPr>
          <w:trHeight w:val="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EE48AB2" w14:textId="77777777" w:rsidR="00586695" w:rsidRPr="00D406E9" w:rsidRDefault="008B0577" w:rsidP="00287DDD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D406E9">
              <w:rPr>
                <w:b/>
                <w:color w:val="auto"/>
                <w:sz w:val="20"/>
                <w:szCs w:val="22"/>
                <w:lang w:eastAsia="cs-CZ"/>
              </w:rPr>
              <w:t>Bezúplatně převedený nemovitý majetek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A9915A" w14:textId="77777777" w:rsidR="00586695" w:rsidRPr="00D406E9" w:rsidRDefault="008B0577" w:rsidP="00287DDD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D406E9">
              <w:rPr>
                <w:b/>
                <w:color w:val="auto"/>
                <w:sz w:val="20"/>
                <w:szCs w:val="22"/>
                <w:lang w:eastAsia="cs-CZ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439F67F" w14:textId="77777777" w:rsidR="00586695" w:rsidRPr="00D406E9" w:rsidRDefault="008B0577" w:rsidP="00287DDD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D406E9">
              <w:rPr>
                <w:b/>
                <w:color w:val="auto"/>
                <w:sz w:val="20"/>
                <w:szCs w:val="22"/>
                <w:lang w:eastAsia="cs-C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EB246F2" w14:textId="77777777" w:rsidR="00586695" w:rsidRPr="00D406E9" w:rsidRDefault="008B0577" w:rsidP="00287DDD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D406E9">
              <w:rPr>
                <w:b/>
                <w:color w:val="auto"/>
                <w:sz w:val="20"/>
                <w:szCs w:val="22"/>
                <w:lang w:eastAsia="cs-CZ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587F77" w14:textId="77777777" w:rsidR="00586695" w:rsidRPr="00D406E9" w:rsidRDefault="008B0577" w:rsidP="00287DDD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D406E9">
              <w:rPr>
                <w:b/>
                <w:color w:val="auto"/>
                <w:sz w:val="20"/>
                <w:szCs w:val="22"/>
                <w:lang w:eastAsia="cs-CZ"/>
              </w:rPr>
              <w:t>Celkem</w:t>
            </w:r>
          </w:p>
        </w:tc>
      </w:tr>
      <w:tr w:rsidR="003E098C" w:rsidRPr="003E098C" w14:paraId="1E0FD5BE" w14:textId="77777777" w:rsidTr="00287DDD">
        <w:trPr>
          <w:trHeight w:val="283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E57" w14:textId="0F5E70E4" w:rsidR="00586695" w:rsidRPr="003E098C" w:rsidRDefault="00460706" w:rsidP="00287DDD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>
              <w:rPr>
                <w:color w:val="auto"/>
                <w:sz w:val="20"/>
                <w:szCs w:val="22"/>
                <w:lang w:eastAsia="cs-CZ"/>
              </w:rPr>
              <w:t>H</w:t>
            </w:r>
            <w:r w:rsidR="008B0577" w:rsidRPr="003E098C">
              <w:rPr>
                <w:color w:val="auto"/>
                <w:sz w:val="20"/>
                <w:szCs w:val="22"/>
                <w:lang w:eastAsia="cs-CZ"/>
              </w:rPr>
              <w:t>odnota (Kč)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5D1D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1 042 519 263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15BF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665 000 000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3619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790 346 489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44A3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2 497 865 752</w:t>
            </w:r>
          </w:p>
        </w:tc>
      </w:tr>
      <w:tr w:rsidR="003E098C" w:rsidRPr="003E098C" w14:paraId="3F461FB2" w14:textId="77777777" w:rsidTr="00287DDD">
        <w:trPr>
          <w:trHeight w:val="283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A29" w14:textId="614FB53A" w:rsidR="00586695" w:rsidRPr="003E098C" w:rsidRDefault="00460706" w:rsidP="00287DDD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>
              <w:rPr>
                <w:color w:val="auto"/>
                <w:sz w:val="20"/>
                <w:szCs w:val="22"/>
                <w:lang w:eastAsia="cs-CZ"/>
              </w:rPr>
              <w:t>P</w:t>
            </w:r>
            <w:r w:rsidR="008B0577" w:rsidRPr="003E098C">
              <w:rPr>
                <w:color w:val="auto"/>
                <w:sz w:val="20"/>
                <w:szCs w:val="22"/>
                <w:lang w:eastAsia="cs-CZ"/>
              </w:rPr>
              <w:t>očet položek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0351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18 005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0DE6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16 361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15D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19 106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818F" w14:textId="77777777" w:rsidR="00586695" w:rsidRPr="003E098C" w:rsidRDefault="008B0577" w:rsidP="00287DDD">
            <w:pPr>
              <w:spacing w:before="0"/>
              <w:ind w:right="57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53 472</w:t>
            </w:r>
          </w:p>
        </w:tc>
      </w:tr>
    </w:tbl>
    <w:p w14:paraId="003AB3DA" w14:textId="77777777" w:rsidR="00586695" w:rsidRPr="00287DDD" w:rsidRDefault="008B0577" w:rsidP="00287DDD">
      <w:pPr>
        <w:spacing w:before="40"/>
        <w:rPr>
          <w:rFonts w:cstheme="minorHAnsi"/>
          <w:color w:val="auto"/>
        </w:rPr>
      </w:pPr>
      <w:r w:rsidRPr="00287DDD">
        <w:rPr>
          <w:b/>
          <w:color w:val="auto"/>
          <w:sz w:val="20"/>
        </w:rPr>
        <w:t>Zdroj:</w:t>
      </w:r>
      <w:r w:rsidRPr="00287DDD">
        <w:rPr>
          <w:color w:val="auto"/>
          <w:sz w:val="20"/>
        </w:rPr>
        <w:t xml:space="preserve"> výroční zprávy ÚZSVM za rok 2017, 2018 a 2019</w:t>
      </w:r>
      <w:r w:rsidR="00F83561" w:rsidRPr="00287DDD">
        <w:rPr>
          <w:color w:val="auto"/>
          <w:sz w:val="20"/>
        </w:rPr>
        <w:t>.</w:t>
      </w:r>
    </w:p>
    <w:p w14:paraId="671270E9" w14:textId="77777777" w:rsidR="00586695" w:rsidRPr="003E098C" w:rsidRDefault="00586695" w:rsidP="00C97CC0">
      <w:pPr>
        <w:spacing w:before="0"/>
        <w:rPr>
          <w:rFonts w:cstheme="minorHAnsi"/>
          <w:color w:val="auto"/>
        </w:rPr>
      </w:pPr>
    </w:p>
    <w:p w14:paraId="498275C2" w14:textId="77777777" w:rsidR="00C97CC0" w:rsidRPr="003E098C" w:rsidRDefault="00C97CC0" w:rsidP="00C97CC0">
      <w:pPr>
        <w:spacing w:before="0"/>
        <w:rPr>
          <w:rFonts w:cstheme="minorHAnsi"/>
          <w:color w:val="auto"/>
        </w:rPr>
      </w:pPr>
    </w:p>
    <w:p w14:paraId="2CEC76E8" w14:textId="77777777" w:rsidR="008B28D2" w:rsidRPr="003E098C" w:rsidRDefault="008B0577">
      <w:pPr>
        <w:pStyle w:val="Nadpis1"/>
        <w:spacing w:before="0"/>
        <w:rPr>
          <w:color w:val="auto"/>
          <w:sz w:val="28"/>
          <w:szCs w:val="28"/>
        </w:rPr>
      </w:pPr>
      <w:r w:rsidRPr="003E098C">
        <w:rPr>
          <w:color w:val="auto"/>
          <w:sz w:val="28"/>
          <w:szCs w:val="28"/>
        </w:rPr>
        <w:t>III. Rozsah kontroly</w:t>
      </w:r>
    </w:p>
    <w:p w14:paraId="069A7D8C" w14:textId="77777777" w:rsidR="008B28D2" w:rsidRPr="003E098C" w:rsidRDefault="008B28D2">
      <w:pPr>
        <w:keepNext/>
        <w:spacing w:before="0"/>
        <w:rPr>
          <w:color w:val="auto"/>
        </w:rPr>
      </w:pPr>
    </w:p>
    <w:p w14:paraId="6FCF2079" w14:textId="77777777" w:rsidR="00C21100" w:rsidRPr="003E098C" w:rsidRDefault="008B0577" w:rsidP="00CF488D">
      <w:pPr>
        <w:spacing w:before="0" w:line="264" w:lineRule="auto"/>
        <w:rPr>
          <w:rFonts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 xml:space="preserve">Kontrolní akcí č. 20/02 bylo prověřeno, zda ÚZSVM hospodaří </w:t>
      </w:r>
      <w:r w:rsidRPr="003E098C">
        <w:rPr>
          <w:rFonts w:cstheme="minorHAnsi"/>
          <w:color w:val="auto"/>
        </w:rPr>
        <w:t>s majetkem a peněžními prostředky státu hospodárně, efektivně a v souladu s právními předpisy. Kontrolovaným obdobím byly roky 2017 až 2019, v případě věcných souvislostí i období předcháze</w:t>
      </w:r>
      <w:r w:rsidR="008A1E4D" w:rsidRPr="003E098C">
        <w:rPr>
          <w:rFonts w:cstheme="minorHAnsi"/>
          <w:color w:val="auto"/>
        </w:rPr>
        <w:t>jící a </w:t>
      </w:r>
      <w:r w:rsidR="006033EF" w:rsidRPr="003E098C">
        <w:rPr>
          <w:rFonts w:cstheme="minorHAnsi"/>
          <w:color w:val="auto"/>
        </w:rPr>
        <w:t xml:space="preserve">následující. </w:t>
      </w:r>
    </w:p>
    <w:p w14:paraId="781DC022" w14:textId="77777777" w:rsidR="0003391A" w:rsidRPr="003E098C" w:rsidRDefault="0003391A" w:rsidP="00662A2B">
      <w:pPr>
        <w:spacing w:before="0"/>
        <w:rPr>
          <w:rFonts w:cstheme="minorHAnsi"/>
          <w:color w:val="auto"/>
        </w:rPr>
      </w:pPr>
    </w:p>
    <w:p w14:paraId="2860D40F" w14:textId="77777777" w:rsidR="00EB3B01" w:rsidRPr="0022024F" w:rsidRDefault="008B0577" w:rsidP="0022024F">
      <w:pPr>
        <w:spacing w:before="0" w:line="264" w:lineRule="auto"/>
        <w:rPr>
          <w:i/>
          <w:color w:val="auto"/>
        </w:rPr>
      </w:pPr>
      <w:r w:rsidRPr="0022024F">
        <w:rPr>
          <w:color w:val="auto"/>
        </w:rPr>
        <w:t>Cílem kontroly bylo prověřit zejména:</w:t>
      </w:r>
    </w:p>
    <w:p w14:paraId="25B41918" w14:textId="77777777" w:rsidR="001253EF" w:rsidRPr="0022024F" w:rsidRDefault="008B0577" w:rsidP="0022024F">
      <w:pPr>
        <w:pStyle w:val="Odstavecseseznamem"/>
        <w:numPr>
          <w:ilvl w:val="0"/>
          <w:numId w:val="19"/>
        </w:numPr>
        <w:spacing w:before="0" w:line="264" w:lineRule="auto"/>
        <w:ind w:left="284" w:hanging="284"/>
        <w:contextualSpacing w:val="0"/>
        <w:rPr>
          <w:color w:val="auto"/>
        </w:rPr>
      </w:pPr>
      <w:r w:rsidRPr="0022024F">
        <w:rPr>
          <w:color w:val="auto"/>
        </w:rPr>
        <w:t>postup ÚZSVM při prodejích a pronájmech nemovitého majetku – zda ÚZSVM postupoval efektivně, tj. tak, aby bylo za daných podmínek dosaženo nejvyššího možného výnosu, a</w:t>
      </w:r>
      <w:r w:rsidR="00CF488D">
        <w:rPr>
          <w:color w:val="auto"/>
        </w:rPr>
        <w:t> </w:t>
      </w:r>
      <w:r w:rsidRPr="0022024F">
        <w:rPr>
          <w:color w:val="auto"/>
        </w:rPr>
        <w:t>v</w:t>
      </w:r>
      <w:r w:rsidR="00CF488D">
        <w:rPr>
          <w:color w:val="auto"/>
        </w:rPr>
        <w:t> </w:t>
      </w:r>
      <w:r w:rsidRPr="0022024F">
        <w:rPr>
          <w:color w:val="auto"/>
        </w:rPr>
        <w:t>souladu s právními předpis</w:t>
      </w:r>
      <w:r w:rsidR="00723CC8" w:rsidRPr="0022024F">
        <w:rPr>
          <w:color w:val="auto"/>
        </w:rPr>
        <w:t>y</w:t>
      </w:r>
      <w:r w:rsidRPr="0022024F">
        <w:rPr>
          <w:color w:val="auto"/>
        </w:rPr>
        <w:t xml:space="preserve">. </w:t>
      </w:r>
      <w:r w:rsidR="00B24C1B" w:rsidRPr="0022024F">
        <w:rPr>
          <w:color w:val="auto"/>
        </w:rPr>
        <w:t>NKÚ</w:t>
      </w:r>
      <w:r w:rsidRPr="0022024F">
        <w:rPr>
          <w:color w:val="auto"/>
        </w:rPr>
        <w:t xml:space="preserve"> na předložených dokladech ověřil zejmén</w:t>
      </w:r>
      <w:r w:rsidR="008A1E4D" w:rsidRPr="0022024F">
        <w:rPr>
          <w:color w:val="auto"/>
        </w:rPr>
        <w:t>a, zda ÚZSVM vydal rozhodnutí o </w:t>
      </w:r>
      <w:r w:rsidRPr="0022024F">
        <w:rPr>
          <w:color w:val="auto"/>
        </w:rPr>
        <w:t xml:space="preserve">nepotřebnosti majetku a nabídl majetek jiným </w:t>
      </w:r>
      <w:r w:rsidR="008707F2" w:rsidRPr="0022024F">
        <w:rPr>
          <w:color w:val="auto"/>
        </w:rPr>
        <w:t>OSS</w:t>
      </w:r>
      <w:r w:rsidRPr="0022024F">
        <w:rPr>
          <w:color w:val="auto"/>
        </w:rPr>
        <w:t>, výběr zájemce, stanovení ceny a výše nájemného, zda smlouva obsahovala zákonné náležitosti, dodržování podmínek stanovených smlouvou;</w:t>
      </w:r>
    </w:p>
    <w:p w14:paraId="093378CD" w14:textId="12A07994" w:rsidR="00662A2B" w:rsidRPr="0022024F" w:rsidRDefault="008B0577" w:rsidP="0022024F">
      <w:pPr>
        <w:pStyle w:val="Odstavecseseznamem"/>
        <w:numPr>
          <w:ilvl w:val="0"/>
          <w:numId w:val="19"/>
        </w:numPr>
        <w:spacing w:before="0" w:line="264" w:lineRule="auto"/>
        <w:ind w:left="284" w:hanging="284"/>
        <w:contextualSpacing w:val="0"/>
        <w:rPr>
          <w:color w:val="auto"/>
        </w:rPr>
      </w:pPr>
      <w:r w:rsidRPr="0022024F">
        <w:rPr>
          <w:color w:val="auto"/>
        </w:rPr>
        <w:t xml:space="preserve">postup ÚZSVM při bezúplatných převodech nemovitého majetku – zda ÚZSVM postupoval v souladu s právními předpisy, nediskriminačně a transparentně. </w:t>
      </w:r>
      <w:r w:rsidR="009E3CA3" w:rsidRPr="0022024F">
        <w:rPr>
          <w:color w:val="auto"/>
        </w:rPr>
        <w:t>NKÚ</w:t>
      </w:r>
      <w:r w:rsidRPr="0022024F">
        <w:rPr>
          <w:color w:val="auto"/>
        </w:rPr>
        <w:t xml:space="preserve"> na předložených </w:t>
      </w:r>
      <w:r w:rsidRPr="0022024F">
        <w:rPr>
          <w:color w:val="auto"/>
        </w:rPr>
        <w:lastRenderedPageBreak/>
        <w:t>dokladech ověřil zejména, zda ÚZSVM vydal rozhodnutí o nepotřebnosti majetku a nabídl majetek jiným OSS, zda ÚZSVM převedl hmotnou věc pouze z důvodu, který umožňuje právní předpis, zda byl celý proces bezúplatného převodu řádně zdokumentov</w:t>
      </w:r>
      <w:r w:rsidR="00AE0F1A">
        <w:rPr>
          <w:color w:val="auto"/>
        </w:rPr>
        <w:t>án</w:t>
      </w:r>
      <w:r w:rsidRPr="0022024F">
        <w:rPr>
          <w:color w:val="auto"/>
        </w:rPr>
        <w:t>, a to v</w:t>
      </w:r>
      <w:r w:rsidR="00D52EED" w:rsidRPr="0022024F">
        <w:rPr>
          <w:color w:val="auto"/>
        </w:rPr>
        <w:t>četně výběru nabyvatele majetku</w:t>
      </w:r>
      <w:r w:rsidR="001253EF" w:rsidRPr="0022024F">
        <w:rPr>
          <w:color w:val="auto"/>
        </w:rPr>
        <w:t>;</w:t>
      </w:r>
    </w:p>
    <w:p w14:paraId="16AE041A" w14:textId="77777777" w:rsidR="00004F60" w:rsidRPr="0022024F" w:rsidRDefault="008B0577" w:rsidP="0022024F">
      <w:pPr>
        <w:pStyle w:val="Odstavecseseznamem"/>
        <w:numPr>
          <w:ilvl w:val="0"/>
          <w:numId w:val="19"/>
        </w:numPr>
        <w:spacing w:before="0" w:line="264" w:lineRule="auto"/>
        <w:ind w:left="284" w:hanging="284"/>
        <w:contextualSpacing w:val="0"/>
        <w:rPr>
          <w:color w:val="auto"/>
        </w:rPr>
      </w:pPr>
      <w:r w:rsidRPr="0022024F">
        <w:rPr>
          <w:color w:val="auto"/>
        </w:rPr>
        <w:t xml:space="preserve">postup ÚZSVM při správě pohledávek – </w:t>
      </w:r>
      <w:r w:rsidR="009E3CA3" w:rsidRPr="0022024F">
        <w:rPr>
          <w:color w:val="auto"/>
        </w:rPr>
        <w:t>NKÚ</w:t>
      </w:r>
      <w:r w:rsidRPr="0022024F">
        <w:rPr>
          <w:color w:val="auto"/>
        </w:rPr>
        <w:t xml:space="preserve"> na předložených dokladech ověřil, zda ÚZSVM průběžně sledoval, zda dlužníci včas a řádně plnili své dluhy, v případě, že tak nekonali, zda ÚZSVM pohledávky vymáhal, aby nedošlo k jejich promlčení (příp. k prekluzi). </w:t>
      </w:r>
      <w:r w:rsidR="009E3CA3" w:rsidRPr="0022024F">
        <w:rPr>
          <w:color w:val="auto"/>
        </w:rPr>
        <w:t>NKÚ dále ověřil</w:t>
      </w:r>
      <w:r w:rsidRPr="0022024F">
        <w:rPr>
          <w:color w:val="auto"/>
        </w:rPr>
        <w:t>, zda bylo sjednáno plnění ve splátkách v souladu s právními předpisy;</w:t>
      </w:r>
    </w:p>
    <w:p w14:paraId="2CE012B1" w14:textId="3F2E987B" w:rsidR="00FA78F0" w:rsidRPr="0022024F" w:rsidRDefault="008B0577" w:rsidP="0022024F">
      <w:pPr>
        <w:pStyle w:val="Odstavecseseznamem"/>
        <w:numPr>
          <w:ilvl w:val="0"/>
          <w:numId w:val="19"/>
        </w:numPr>
        <w:spacing w:before="0" w:line="264" w:lineRule="auto"/>
        <w:ind w:left="284" w:hanging="284"/>
        <w:contextualSpacing w:val="0"/>
        <w:rPr>
          <w:color w:val="auto"/>
        </w:rPr>
      </w:pPr>
      <w:r w:rsidRPr="0022024F">
        <w:rPr>
          <w:color w:val="auto"/>
        </w:rPr>
        <w:t xml:space="preserve">zda byly výdaje související se správou a údržbou nepotřebného majetku a s nakládáním s nepotřebným majetkem vynaloženy hospodárně. </w:t>
      </w:r>
      <w:r w:rsidR="000F2CDD" w:rsidRPr="0022024F">
        <w:rPr>
          <w:color w:val="auto"/>
        </w:rPr>
        <w:t>NKÚ kontroloval</w:t>
      </w:r>
      <w:r w:rsidR="00AE0F1A">
        <w:rPr>
          <w:color w:val="auto"/>
        </w:rPr>
        <w:t>,</w:t>
      </w:r>
      <w:r w:rsidRPr="0022024F">
        <w:rPr>
          <w:color w:val="auto"/>
        </w:rPr>
        <w:t xml:space="preserve"> zda ÚZSVM </w:t>
      </w:r>
      <w:r w:rsidR="000F2CDD" w:rsidRPr="0022024F">
        <w:rPr>
          <w:color w:val="auto"/>
        </w:rPr>
        <w:t xml:space="preserve">při zadávání veřejných zakázek </w:t>
      </w:r>
      <w:r w:rsidRPr="0022024F">
        <w:rPr>
          <w:color w:val="auto"/>
        </w:rPr>
        <w:t>stanovil metodu hodnocení nabídek a hodnot</w:t>
      </w:r>
      <w:r w:rsidR="00AE0F1A">
        <w:rPr>
          <w:color w:val="auto"/>
        </w:rPr>
        <w:t>i</w:t>
      </w:r>
      <w:r w:rsidRPr="0022024F">
        <w:rPr>
          <w:color w:val="auto"/>
        </w:rPr>
        <w:t>cí kritéria a</w:t>
      </w:r>
      <w:r w:rsidR="006E172E" w:rsidRPr="0022024F">
        <w:rPr>
          <w:color w:val="auto"/>
        </w:rPr>
        <w:t> </w:t>
      </w:r>
      <w:r w:rsidRPr="0022024F">
        <w:rPr>
          <w:color w:val="auto"/>
        </w:rPr>
        <w:t xml:space="preserve">jejich váhy. </w:t>
      </w:r>
      <w:r w:rsidR="009E3CA3" w:rsidRPr="0022024F">
        <w:rPr>
          <w:color w:val="auto"/>
        </w:rPr>
        <w:t>NKÚ</w:t>
      </w:r>
      <w:r w:rsidRPr="0022024F">
        <w:rPr>
          <w:color w:val="auto"/>
        </w:rPr>
        <w:t xml:space="preserve"> na předložených dokladech ověřil postup ÚZSVM při zadávacím řízení</w:t>
      </w:r>
      <w:r w:rsidR="0022024F">
        <w:rPr>
          <w:color w:val="auto"/>
        </w:rPr>
        <w:t>, tj. </w:t>
      </w:r>
      <w:r w:rsidRPr="0022024F">
        <w:rPr>
          <w:color w:val="auto"/>
        </w:rPr>
        <w:t xml:space="preserve">zejména zda </w:t>
      </w:r>
      <w:r w:rsidR="00B467F5" w:rsidRPr="0022024F">
        <w:rPr>
          <w:color w:val="auto"/>
        </w:rPr>
        <w:t xml:space="preserve">ÚZSVM </w:t>
      </w:r>
      <w:r w:rsidRPr="0022024F">
        <w:rPr>
          <w:color w:val="auto"/>
        </w:rPr>
        <w:t>stanovil předmět veřejné zakázky a předpokládanou hodnotu veřejné zakázky, zda dodržel zásady transparentnosti, rovného zacházení a zákazu diskriminace, zda zpracoval zadávací dokumentaci, zda požadoval po uchazečích prokázání kvalifikace, zda stanovil hodnot</w:t>
      </w:r>
      <w:r w:rsidR="005A1503">
        <w:rPr>
          <w:color w:val="auto"/>
        </w:rPr>
        <w:t>i</w:t>
      </w:r>
      <w:r w:rsidRPr="0022024F">
        <w:rPr>
          <w:color w:val="auto"/>
        </w:rPr>
        <w:t xml:space="preserve">cí kritéria a zajistil vyhodnocení nabídek. </w:t>
      </w:r>
      <w:r w:rsidR="009E3CA3" w:rsidRPr="0022024F">
        <w:rPr>
          <w:color w:val="auto"/>
        </w:rPr>
        <w:t>NKÚ</w:t>
      </w:r>
      <w:r w:rsidRPr="0022024F">
        <w:rPr>
          <w:color w:val="auto"/>
        </w:rPr>
        <w:t xml:space="preserve"> dále prověřil, zda uzavřené smlouvy odpovídaly podmínkám stanoveným při zadávání veřejných zakázek, zda obsahovaly zákonné náležitosti a zda byly uveřejněny v registru smluv. </w:t>
      </w:r>
      <w:r w:rsidR="009E3CA3" w:rsidRPr="0022024F">
        <w:rPr>
          <w:color w:val="auto"/>
        </w:rPr>
        <w:t>NKÚ dále prověřil</w:t>
      </w:r>
      <w:r w:rsidRPr="0022024F">
        <w:rPr>
          <w:color w:val="auto"/>
        </w:rPr>
        <w:t xml:space="preserve">, zda byly služby/dodávky dodány v souladu s uzavřenou smlouvou a zda byly faktury vystaveny a zaplaceny </w:t>
      </w:r>
      <w:r w:rsidR="001253EF" w:rsidRPr="0022024F">
        <w:rPr>
          <w:color w:val="auto"/>
        </w:rPr>
        <w:t>v souladu s uzavřenou smlouvou</w:t>
      </w:r>
      <w:r w:rsidR="00FD4559">
        <w:rPr>
          <w:color w:val="auto"/>
        </w:rPr>
        <w:t>.</w:t>
      </w:r>
    </w:p>
    <w:p w14:paraId="2B39E173" w14:textId="77777777" w:rsidR="00662A2B" w:rsidRPr="003E098C" w:rsidRDefault="00662A2B" w:rsidP="00662A2B">
      <w:pPr>
        <w:spacing w:before="0"/>
        <w:rPr>
          <w:rFonts w:asciiTheme="minorHAnsi" w:hAnsiTheme="minorHAnsi" w:cstheme="minorHAnsi"/>
          <w:color w:val="auto"/>
        </w:rPr>
      </w:pPr>
    </w:p>
    <w:p w14:paraId="668AC7C0" w14:textId="77777777" w:rsidR="00662A2B" w:rsidRPr="003E098C" w:rsidRDefault="008B0577" w:rsidP="00CF488D">
      <w:pPr>
        <w:spacing w:before="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 xml:space="preserve">Kontrola byla provedena na pěti územních pracovištích ÚZSVM, a to </w:t>
      </w:r>
      <w:proofErr w:type="spellStart"/>
      <w:r w:rsidRPr="003E098C">
        <w:rPr>
          <w:rFonts w:asciiTheme="minorHAnsi" w:hAnsiTheme="minorHAnsi" w:cstheme="minorHAnsi"/>
          <w:color w:val="auto"/>
        </w:rPr>
        <w:t>Ú</w:t>
      </w:r>
      <w:r w:rsidR="008A1E4D" w:rsidRPr="003E098C">
        <w:rPr>
          <w:rFonts w:asciiTheme="minorHAnsi" w:hAnsiTheme="minorHAnsi" w:cstheme="minorHAnsi"/>
          <w:color w:val="auto"/>
        </w:rPr>
        <w:t>z</w:t>
      </w:r>
      <w:r w:rsidRPr="003E098C">
        <w:rPr>
          <w:rFonts w:asciiTheme="minorHAnsi" w:hAnsiTheme="minorHAnsi" w:cstheme="minorHAnsi"/>
          <w:color w:val="auto"/>
        </w:rPr>
        <w:t>P</w:t>
      </w:r>
      <w:proofErr w:type="spellEnd"/>
      <w:r w:rsidRPr="003E098C">
        <w:rPr>
          <w:rFonts w:asciiTheme="minorHAnsi" w:hAnsiTheme="minorHAnsi" w:cstheme="minorHAnsi"/>
          <w:color w:val="auto"/>
        </w:rPr>
        <w:t xml:space="preserve"> v hl. městě Praze, </w:t>
      </w:r>
      <w:proofErr w:type="spellStart"/>
      <w:r w:rsidRPr="003E098C">
        <w:rPr>
          <w:rFonts w:asciiTheme="minorHAnsi" w:hAnsiTheme="minorHAnsi" w:cstheme="minorHAnsi"/>
          <w:color w:val="auto"/>
        </w:rPr>
        <w:t>Ú</w:t>
      </w:r>
      <w:r w:rsidR="008A1E4D" w:rsidRPr="003E098C">
        <w:rPr>
          <w:rFonts w:asciiTheme="minorHAnsi" w:hAnsiTheme="minorHAnsi" w:cstheme="minorHAnsi"/>
          <w:color w:val="auto"/>
        </w:rPr>
        <w:t>z</w:t>
      </w:r>
      <w:r w:rsidRPr="003E098C">
        <w:rPr>
          <w:rFonts w:asciiTheme="minorHAnsi" w:hAnsiTheme="minorHAnsi" w:cstheme="minorHAnsi"/>
          <w:color w:val="auto"/>
        </w:rPr>
        <w:t>P</w:t>
      </w:r>
      <w:proofErr w:type="spellEnd"/>
      <w:r w:rsidRPr="003E098C">
        <w:rPr>
          <w:rFonts w:asciiTheme="minorHAnsi" w:hAnsiTheme="minorHAnsi" w:cstheme="minorHAnsi"/>
          <w:color w:val="auto"/>
        </w:rPr>
        <w:t xml:space="preserve"> Brno, </w:t>
      </w:r>
      <w:proofErr w:type="spellStart"/>
      <w:r w:rsidRPr="003E098C">
        <w:rPr>
          <w:rFonts w:asciiTheme="minorHAnsi" w:hAnsiTheme="minorHAnsi" w:cstheme="minorHAnsi"/>
          <w:color w:val="auto"/>
        </w:rPr>
        <w:t>Ú</w:t>
      </w:r>
      <w:r w:rsidR="008A1E4D" w:rsidRPr="003E098C">
        <w:rPr>
          <w:rFonts w:asciiTheme="minorHAnsi" w:hAnsiTheme="minorHAnsi" w:cstheme="minorHAnsi"/>
          <w:color w:val="auto"/>
        </w:rPr>
        <w:t>z</w:t>
      </w:r>
      <w:r w:rsidRPr="003E098C">
        <w:rPr>
          <w:rFonts w:asciiTheme="minorHAnsi" w:hAnsiTheme="minorHAnsi" w:cstheme="minorHAnsi"/>
          <w:color w:val="auto"/>
        </w:rPr>
        <w:t>P</w:t>
      </w:r>
      <w:proofErr w:type="spellEnd"/>
      <w:r w:rsidRPr="003E098C">
        <w:rPr>
          <w:rFonts w:asciiTheme="minorHAnsi" w:hAnsiTheme="minorHAnsi" w:cstheme="minorHAnsi"/>
          <w:color w:val="auto"/>
        </w:rPr>
        <w:t xml:space="preserve"> Hradec Králové, </w:t>
      </w:r>
      <w:proofErr w:type="spellStart"/>
      <w:r w:rsidRPr="003E098C">
        <w:rPr>
          <w:rFonts w:asciiTheme="minorHAnsi" w:hAnsiTheme="minorHAnsi" w:cstheme="minorHAnsi"/>
          <w:color w:val="auto"/>
        </w:rPr>
        <w:t>Ú</w:t>
      </w:r>
      <w:r w:rsidR="008A1E4D" w:rsidRPr="003E098C">
        <w:rPr>
          <w:rFonts w:asciiTheme="minorHAnsi" w:hAnsiTheme="minorHAnsi" w:cstheme="minorHAnsi"/>
          <w:color w:val="auto"/>
        </w:rPr>
        <w:t>z</w:t>
      </w:r>
      <w:r w:rsidRPr="003E098C">
        <w:rPr>
          <w:rFonts w:asciiTheme="minorHAnsi" w:hAnsiTheme="minorHAnsi" w:cstheme="minorHAnsi"/>
          <w:color w:val="auto"/>
        </w:rPr>
        <w:t>P</w:t>
      </w:r>
      <w:proofErr w:type="spellEnd"/>
      <w:r w:rsidRPr="003E098C">
        <w:rPr>
          <w:rFonts w:asciiTheme="minorHAnsi" w:hAnsiTheme="minorHAnsi" w:cstheme="minorHAnsi"/>
          <w:color w:val="auto"/>
        </w:rPr>
        <w:t xml:space="preserve"> Střední Čechy a </w:t>
      </w:r>
      <w:proofErr w:type="spellStart"/>
      <w:r w:rsidRPr="003E098C">
        <w:rPr>
          <w:rFonts w:asciiTheme="minorHAnsi" w:hAnsiTheme="minorHAnsi" w:cstheme="minorHAnsi"/>
          <w:color w:val="auto"/>
        </w:rPr>
        <w:t>Ú</w:t>
      </w:r>
      <w:r w:rsidR="008A1E4D" w:rsidRPr="003E098C">
        <w:rPr>
          <w:rFonts w:asciiTheme="minorHAnsi" w:hAnsiTheme="minorHAnsi" w:cstheme="minorHAnsi"/>
          <w:color w:val="auto"/>
        </w:rPr>
        <w:t>z</w:t>
      </w:r>
      <w:r w:rsidRPr="003E098C">
        <w:rPr>
          <w:rFonts w:asciiTheme="minorHAnsi" w:hAnsiTheme="minorHAnsi" w:cstheme="minorHAnsi"/>
          <w:color w:val="auto"/>
        </w:rPr>
        <w:t>P</w:t>
      </w:r>
      <w:proofErr w:type="spellEnd"/>
      <w:r w:rsidRPr="003E098C">
        <w:rPr>
          <w:rFonts w:asciiTheme="minorHAnsi" w:hAnsiTheme="minorHAnsi" w:cstheme="minorHAnsi"/>
          <w:color w:val="auto"/>
        </w:rPr>
        <w:t xml:space="preserve"> Ústí nad Labem.</w:t>
      </w:r>
    </w:p>
    <w:p w14:paraId="751DFBD2" w14:textId="77777777" w:rsidR="00662A2B" w:rsidRPr="003E098C" w:rsidRDefault="00662A2B" w:rsidP="00CF488D">
      <w:pPr>
        <w:spacing w:before="0" w:line="264" w:lineRule="auto"/>
        <w:rPr>
          <w:rFonts w:asciiTheme="minorHAnsi" w:hAnsiTheme="minorHAnsi" w:cstheme="minorHAnsi"/>
          <w:color w:val="auto"/>
        </w:rPr>
      </w:pPr>
    </w:p>
    <w:p w14:paraId="1A5296C9" w14:textId="3EC9FF19" w:rsidR="00662A2B" w:rsidRPr="003E098C" w:rsidRDefault="008B0577" w:rsidP="00CF488D">
      <w:pPr>
        <w:spacing w:before="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Kontrolovaný objem finančních prostředků činil 1 181 431</w:t>
      </w:r>
      <w:r w:rsidR="0022024F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92</w:t>
      </w:r>
      <w:r w:rsidR="00B54C92" w:rsidRPr="003E098C">
        <w:rPr>
          <w:rFonts w:asciiTheme="minorHAnsi" w:hAnsiTheme="minorHAnsi" w:cstheme="minorHAnsi"/>
          <w:color w:val="auto"/>
        </w:rPr>
        <w:t>9</w:t>
      </w:r>
      <w:r w:rsidR="0022024F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Kč</w:t>
      </w:r>
      <w:r w:rsidR="005A1503">
        <w:rPr>
          <w:rFonts w:asciiTheme="minorHAnsi" w:hAnsiTheme="minorHAnsi" w:cstheme="minorHAnsi"/>
          <w:color w:val="auto"/>
        </w:rPr>
        <w:t>;</w:t>
      </w:r>
      <w:r w:rsidRPr="003E098C">
        <w:rPr>
          <w:rFonts w:asciiTheme="minorHAnsi" w:hAnsiTheme="minorHAnsi" w:cstheme="minorHAnsi"/>
          <w:color w:val="auto"/>
        </w:rPr>
        <w:t xml:space="preserve"> </w:t>
      </w:r>
      <w:r w:rsidR="00AD6BEC" w:rsidRPr="003E098C">
        <w:rPr>
          <w:rFonts w:asciiTheme="minorHAnsi" w:hAnsiTheme="minorHAnsi" w:cstheme="minorHAnsi"/>
          <w:color w:val="auto"/>
        </w:rPr>
        <w:t>podrobnější</w:t>
      </w:r>
      <w:r w:rsidRPr="003E098C">
        <w:rPr>
          <w:rFonts w:asciiTheme="minorHAnsi" w:hAnsiTheme="minorHAnsi" w:cstheme="minorHAnsi"/>
          <w:color w:val="auto"/>
        </w:rPr>
        <w:t xml:space="preserve"> ú</w:t>
      </w:r>
      <w:r w:rsidR="00B54C92" w:rsidRPr="003E098C">
        <w:rPr>
          <w:rFonts w:asciiTheme="minorHAnsi" w:hAnsiTheme="minorHAnsi" w:cstheme="minorHAnsi"/>
          <w:color w:val="auto"/>
        </w:rPr>
        <w:t xml:space="preserve">daje jsou uvedeny v tabulce č. </w:t>
      </w:r>
      <w:r w:rsidR="0035099A">
        <w:rPr>
          <w:rFonts w:asciiTheme="minorHAnsi" w:hAnsiTheme="minorHAnsi" w:cstheme="minorHAnsi"/>
          <w:color w:val="auto"/>
        </w:rPr>
        <w:t>7</w:t>
      </w:r>
      <w:r w:rsidRPr="003E098C">
        <w:rPr>
          <w:rFonts w:asciiTheme="minorHAnsi" w:hAnsiTheme="minorHAnsi" w:cstheme="minorHAnsi"/>
          <w:color w:val="auto"/>
        </w:rPr>
        <w:t>.</w:t>
      </w:r>
    </w:p>
    <w:p w14:paraId="6D6F5B48" w14:textId="77777777" w:rsidR="00662A2B" w:rsidRDefault="00662A2B" w:rsidP="00662A2B">
      <w:pPr>
        <w:spacing w:before="0"/>
        <w:rPr>
          <w:rFonts w:asciiTheme="minorHAnsi" w:hAnsiTheme="minorHAnsi" w:cstheme="minorHAnsi"/>
          <w:color w:val="auto"/>
        </w:rPr>
      </w:pPr>
    </w:p>
    <w:p w14:paraId="640DD72F" w14:textId="77777777" w:rsidR="00662A2B" w:rsidRPr="0022024F" w:rsidRDefault="008B0577" w:rsidP="0022024F">
      <w:pPr>
        <w:tabs>
          <w:tab w:val="right" w:pos="9070"/>
        </w:tabs>
        <w:spacing w:before="0" w:after="40"/>
        <w:rPr>
          <w:rFonts w:asciiTheme="minorHAnsi" w:hAnsiTheme="minorHAnsi" w:cstheme="minorHAnsi"/>
          <w:b/>
          <w:color w:val="auto"/>
        </w:rPr>
      </w:pPr>
      <w:r w:rsidRPr="0022024F">
        <w:rPr>
          <w:rFonts w:asciiTheme="minorHAnsi" w:hAnsiTheme="minorHAnsi" w:cstheme="minorHAnsi"/>
          <w:b/>
          <w:color w:val="auto"/>
        </w:rPr>
        <w:t xml:space="preserve">Tabulka č. </w:t>
      </w:r>
      <w:r w:rsidR="0035099A" w:rsidRPr="0022024F">
        <w:rPr>
          <w:rFonts w:asciiTheme="minorHAnsi" w:hAnsiTheme="minorHAnsi" w:cstheme="minorHAnsi"/>
          <w:b/>
          <w:color w:val="auto"/>
        </w:rPr>
        <w:t>7</w:t>
      </w:r>
      <w:r w:rsidRPr="0022024F">
        <w:rPr>
          <w:rFonts w:asciiTheme="minorHAnsi" w:hAnsiTheme="minorHAnsi" w:cstheme="minorHAnsi"/>
          <w:b/>
          <w:color w:val="auto"/>
        </w:rPr>
        <w:t>: Kontrolovaný objem</w:t>
      </w:r>
      <w:r w:rsidRPr="0022024F">
        <w:rPr>
          <w:rFonts w:asciiTheme="minorHAnsi" w:hAnsiTheme="minorHAnsi" w:cstheme="minorHAnsi"/>
          <w:b/>
          <w:color w:val="auto"/>
        </w:rPr>
        <w:tab/>
        <w:t>(</w:t>
      </w:r>
      <w:r w:rsidR="00FD4559">
        <w:rPr>
          <w:rFonts w:asciiTheme="minorHAnsi" w:hAnsiTheme="minorHAnsi" w:cstheme="minorHAnsi"/>
          <w:b/>
          <w:color w:val="auto"/>
        </w:rPr>
        <w:t>v </w:t>
      </w:r>
      <w:r w:rsidRPr="0022024F">
        <w:rPr>
          <w:rFonts w:asciiTheme="minorHAnsi" w:hAnsiTheme="minorHAnsi" w:cstheme="minorHAnsi"/>
          <w:b/>
          <w:color w:val="auto"/>
        </w:rPr>
        <w:t>Kč)</w:t>
      </w:r>
    </w:p>
    <w:tbl>
      <w:tblPr>
        <w:tblW w:w="907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1985"/>
      </w:tblGrid>
      <w:tr w:rsidR="003E098C" w:rsidRPr="003E098C" w14:paraId="0FFE184E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C6D9F1" w:themeFill="text2" w:themeFillTint="33"/>
            <w:noWrap/>
            <w:vAlign w:val="center"/>
          </w:tcPr>
          <w:p w14:paraId="02051400" w14:textId="77777777" w:rsidR="00662A2B" w:rsidRPr="00513FF0" w:rsidRDefault="008B0577" w:rsidP="0022024F">
            <w:pPr>
              <w:spacing w:before="0"/>
              <w:jc w:val="left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513FF0">
              <w:rPr>
                <w:b/>
                <w:color w:val="auto"/>
                <w:sz w:val="20"/>
                <w:szCs w:val="22"/>
                <w:lang w:eastAsia="cs-CZ"/>
              </w:rPr>
              <w:t>Kontrolovaná část</w:t>
            </w:r>
          </w:p>
        </w:tc>
        <w:tc>
          <w:tcPr>
            <w:tcW w:w="1985" w:type="dxa"/>
            <w:shd w:val="clear" w:color="auto" w:fill="C6D9F1" w:themeFill="text2" w:themeFillTint="33"/>
            <w:noWrap/>
            <w:vAlign w:val="center"/>
          </w:tcPr>
          <w:p w14:paraId="17DCE306" w14:textId="77777777" w:rsidR="00662A2B" w:rsidRPr="00513FF0" w:rsidRDefault="008B0577" w:rsidP="0022024F">
            <w:pPr>
              <w:spacing w:before="0"/>
              <w:jc w:val="center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513FF0">
              <w:rPr>
                <w:b/>
                <w:color w:val="auto"/>
                <w:sz w:val="20"/>
                <w:szCs w:val="22"/>
                <w:lang w:eastAsia="cs-CZ"/>
              </w:rPr>
              <w:t>Kontrolovaný objem</w:t>
            </w:r>
          </w:p>
        </w:tc>
      </w:tr>
      <w:tr w:rsidR="003E098C" w:rsidRPr="003E098C" w14:paraId="4C77BFFF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</w:tcPr>
          <w:p w14:paraId="21F71884" w14:textId="77777777" w:rsidR="00B54C92" w:rsidRPr="003E098C" w:rsidRDefault="008B0577" w:rsidP="0022024F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Příjmy z</w:t>
            </w:r>
            <w:r w:rsidR="008A1E4D" w:rsidRPr="003E098C">
              <w:rPr>
                <w:color w:val="auto"/>
                <w:sz w:val="20"/>
                <w:szCs w:val="22"/>
                <w:lang w:eastAsia="cs-CZ"/>
              </w:rPr>
              <w:t> </w:t>
            </w:r>
            <w:r w:rsidRPr="003E098C">
              <w:rPr>
                <w:color w:val="auto"/>
                <w:sz w:val="20"/>
                <w:szCs w:val="22"/>
                <w:lang w:eastAsia="cs-CZ"/>
              </w:rPr>
              <w:t>prodeje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7451ED" w14:textId="77777777" w:rsidR="00B54C92" w:rsidRPr="003E098C" w:rsidRDefault="008B0577" w:rsidP="0022024F">
            <w:pPr>
              <w:spacing w:before="0"/>
              <w:ind w:right="93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537 202 559</w:t>
            </w:r>
          </w:p>
        </w:tc>
      </w:tr>
      <w:tr w:rsidR="003E098C" w:rsidRPr="003E098C" w14:paraId="0D59F4B0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290D7DBE" w14:textId="77777777" w:rsidR="00B54C92" w:rsidRPr="003E098C" w:rsidRDefault="008B0577" w:rsidP="0022024F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Příjmy z pronájmu, náhrada za bezesmluvní užívání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9DAF47" w14:textId="77777777" w:rsidR="00B54C92" w:rsidRPr="003E098C" w:rsidRDefault="008B0577" w:rsidP="0022024F">
            <w:pPr>
              <w:spacing w:before="0"/>
              <w:ind w:right="93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87 689 494</w:t>
            </w:r>
          </w:p>
        </w:tc>
      </w:tr>
      <w:tr w:rsidR="003E098C" w:rsidRPr="003E098C" w14:paraId="75434321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4F0CB8C3" w14:textId="77777777" w:rsidR="00B54C92" w:rsidRPr="003E098C" w:rsidRDefault="008B0577" w:rsidP="0022024F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Účetní hodnota bezúplatně převedeného majetku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18ECDA" w14:textId="77777777" w:rsidR="00B54C92" w:rsidRPr="003E098C" w:rsidRDefault="008B0577" w:rsidP="0022024F">
            <w:pPr>
              <w:spacing w:before="0"/>
              <w:ind w:right="93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295 477 384</w:t>
            </w:r>
          </w:p>
        </w:tc>
      </w:tr>
      <w:tr w:rsidR="003E098C" w:rsidRPr="003E098C" w14:paraId="0E160E33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30734452" w14:textId="77777777" w:rsidR="00B54C92" w:rsidRPr="003E098C" w:rsidRDefault="008B0577" w:rsidP="0022024F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Výše pohledávek k 31. 12. 2019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10D707" w14:textId="77777777" w:rsidR="00B54C92" w:rsidRPr="003E098C" w:rsidRDefault="008B0577" w:rsidP="0022024F">
            <w:pPr>
              <w:spacing w:before="0"/>
              <w:ind w:right="93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246 558 078</w:t>
            </w:r>
          </w:p>
        </w:tc>
      </w:tr>
      <w:tr w:rsidR="003E098C" w:rsidRPr="003E098C" w14:paraId="3D6F6530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  <w:hideMark/>
          </w:tcPr>
          <w:p w14:paraId="7F2B6828" w14:textId="77777777" w:rsidR="00B54C92" w:rsidRPr="003E098C" w:rsidRDefault="008B0577" w:rsidP="0022024F">
            <w:pPr>
              <w:spacing w:before="0"/>
              <w:jc w:val="lef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Výdaje související s nepotřebným majetkem, výdaje na správu a údržbu majetku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47B81F" w14:textId="77777777" w:rsidR="00B54C92" w:rsidRPr="003E098C" w:rsidRDefault="008B0577" w:rsidP="0022024F">
            <w:pPr>
              <w:spacing w:before="0"/>
              <w:ind w:right="93"/>
              <w:jc w:val="right"/>
              <w:rPr>
                <w:color w:val="auto"/>
                <w:sz w:val="20"/>
                <w:szCs w:val="22"/>
                <w:lang w:eastAsia="cs-CZ"/>
              </w:rPr>
            </w:pPr>
            <w:r w:rsidRPr="003E098C">
              <w:rPr>
                <w:color w:val="auto"/>
                <w:sz w:val="20"/>
                <w:szCs w:val="22"/>
                <w:lang w:eastAsia="cs-CZ"/>
              </w:rPr>
              <w:t>14 504 414</w:t>
            </w:r>
          </w:p>
        </w:tc>
      </w:tr>
      <w:tr w:rsidR="003E098C" w:rsidRPr="003E098C" w14:paraId="73DF254D" w14:textId="77777777" w:rsidTr="0022024F">
        <w:trPr>
          <w:trHeight w:val="283"/>
          <w:jc w:val="center"/>
        </w:trPr>
        <w:tc>
          <w:tcPr>
            <w:tcW w:w="7087" w:type="dxa"/>
            <w:shd w:val="clear" w:color="auto" w:fill="auto"/>
            <w:noWrap/>
            <w:vAlign w:val="center"/>
          </w:tcPr>
          <w:p w14:paraId="7589B9CD" w14:textId="77777777" w:rsidR="002B3DDE" w:rsidRPr="00513FF0" w:rsidRDefault="008B0577" w:rsidP="0022024F">
            <w:pPr>
              <w:spacing w:before="0"/>
              <w:jc w:val="left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513FF0">
              <w:rPr>
                <w:b/>
                <w:color w:val="auto"/>
                <w:sz w:val="20"/>
                <w:szCs w:val="22"/>
                <w:lang w:eastAsia="cs-CZ"/>
              </w:rPr>
              <w:t>Celkem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FA9E5BC" w14:textId="77777777" w:rsidR="002B3DDE" w:rsidRPr="00513FF0" w:rsidRDefault="008B0577" w:rsidP="0022024F">
            <w:pPr>
              <w:spacing w:before="0"/>
              <w:ind w:right="93"/>
              <w:jc w:val="right"/>
              <w:rPr>
                <w:b/>
                <w:color w:val="auto"/>
                <w:sz w:val="20"/>
                <w:szCs w:val="22"/>
                <w:lang w:eastAsia="cs-CZ"/>
              </w:rPr>
            </w:pPr>
            <w:r w:rsidRPr="00513FF0">
              <w:rPr>
                <w:b/>
                <w:color w:val="auto"/>
                <w:sz w:val="20"/>
                <w:szCs w:val="22"/>
                <w:lang w:eastAsia="cs-CZ"/>
              </w:rPr>
              <w:t>1 181 431 929</w:t>
            </w:r>
          </w:p>
        </w:tc>
      </w:tr>
    </w:tbl>
    <w:p w14:paraId="52A6EA2A" w14:textId="77777777" w:rsidR="00662A2B" w:rsidRPr="0022024F" w:rsidRDefault="008B0577" w:rsidP="0022024F">
      <w:pPr>
        <w:spacing w:before="40"/>
        <w:rPr>
          <w:rFonts w:cstheme="minorHAnsi"/>
          <w:color w:val="auto"/>
          <w:sz w:val="20"/>
        </w:rPr>
      </w:pPr>
      <w:r w:rsidRPr="0022024F">
        <w:rPr>
          <w:rFonts w:cstheme="minorHAnsi"/>
          <w:b/>
          <w:color w:val="auto"/>
          <w:sz w:val="20"/>
        </w:rPr>
        <w:t>Zdroj:</w:t>
      </w:r>
      <w:r w:rsidRPr="0022024F">
        <w:rPr>
          <w:rFonts w:cstheme="minorHAnsi"/>
          <w:color w:val="auto"/>
          <w:sz w:val="20"/>
        </w:rPr>
        <w:t xml:space="preserve"> </w:t>
      </w:r>
      <w:r w:rsidR="00FD4559">
        <w:rPr>
          <w:rFonts w:cstheme="minorHAnsi"/>
          <w:color w:val="auto"/>
          <w:sz w:val="20"/>
        </w:rPr>
        <w:t xml:space="preserve">vypracoval </w:t>
      </w:r>
      <w:r w:rsidRPr="0022024F">
        <w:rPr>
          <w:rFonts w:cstheme="minorHAnsi"/>
          <w:color w:val="auto"/>
          <w:sz w:val="20"/>
        </w:rPr>
        <w:t>NKÚ</w:t>
      </w:r>
      <w:r w:rsidR="00616953" w:rsidRPr="0022024F">
        <w:rPr>
          <w:rFonts w:cstheme="minorHAnsi"/>
          <w:color w:val="auto"/>
          <w:sz w:val="20"/>
        </w:rPr>
        <w:t>.</w:t>
      </w:r>
    </w:p>
    <w:p w14:paraId="68723C60" w14:textId="77777777" w:rsidR="007978CF" w:rsidRPr="003E098C" w:rsidRDefault="007978CF" w:rsidP="007978C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01831708" w14:textId="77777777" w:rsidR="009D16D0" w:rsidRPr="003E098C" w:rsidRDefault="009D16D0" w:rsidP="007978CF">
      <w:pPr>
        <w:spacing w:before="0"/>
        <w:rPr>
          <w:color w:val="auto"/>
        </w:rPr>
      </w:pPr>
    </w:p>
    <w:p w14:paraId="1D172D74" w14:textId="77777777" w:rsidR="009D16D0" w:rsidRPr="003E098C" w:rsidRDefault="008B0577" w:rsidP="007978CF">
      <w:pPr>
        <w:spacing w:before="0"/>
        <w:ind w:left="567" w:hanging="567"/>
        <w:rPr>
          <w:color w:val="auto"/>
          <w:sz w:val="20"/>
        </w:rPr>
      </w:pPr>
      <w:r w:rsidRPr="003E098C">
        <w:rPr>
          <w:b/>
          <w:color w:val="auto"/>
          <w:sz w:val="20"/>
        </w:rPr>
        <w:t>Pozn.:</w:t>
      </w:r>
      <w:r w:rsidRPr="003E098C">
        <w:rPr>
          <w:color w:val="auto"/>
          <w:sz w:val="20"/>
        </w:rPr>
        <w:t xml:space="preserve"> Právní předpisy uvedené v tomto kontrolním závěru jsou aplikovány ve znění účinném pro kontrolované období.</w:t>
      </w:r>
    </w:p>
    <w:p w14:paraId="1D3780AD" w14:textId="77777777" w:rsidR="0082382F" w:rsidRPr="003E098C" w:rsidRDefault="0082382F" w:rsidP="007978CF">
      <w:pPr>
        <w:spacing w:before="0"/>
        <w:jc w:val="left"/>
        <w:rPr>
          <w:color w:val="auto"/>
        </w:rPr>
      </w:pPr>
    </w:p>
    <w:p w14:paraId="75504167" w14:textId="77777777" w:rsidR="00A9768A" w:rsidRPr="003E098C" w:rsidRDefault="008B0577" w:rsidP="00FB3541">
      <w:pPr>
        <w:spacing w:before="0"/>
        <w:jc w:val="left"/>
        <w:rPr>
          <w:color w:val="auto"/>
        </w:rPr>
      </w:pPr>
      <w:r w:rsidRPr="003E098C">
        <w:rPr>
          <w:color w:val="auto"/>
        </w:rPr>
        <w:br w:type="page"/>
      </w:r>
    </w:p>
    <w:p w14:paraId="22E9F8BB" w14:textId="77777777" w:rsidR="00A9768A" w:rsidRPr="003E098C" w:rsidRDefault="008B0577" w:rsidP="00E43332">
      <w:pPr>
        <w:pStyle w:val="Nadpis1"/>
        <w:spacing w:before="0" w:after="120" w:line="264" w:lineRule="auto"/>
        <w:rPr>
          <w:color w:val="auto"/>
          <w:sz w:val="28"/>
          <w:szCs w:val="28"/>
        </w:rPr>
      </w:pPr>
      <w:r w:rsidRPr="003E098C">
        <w:rPr>
          <w:color w:val="auto"/>
          <w:sz w:val="28"/>
          <w:szCs w:val="28"/>
        </w:rPr>
        <w:lastRenderedPageBreak/>
        <w:t>IV. Podrobné skutečnosti zjištěné kontrolou</w:t>
      </w:r>
    </w:p>
    <w:p w14:paraId="04F7D3D0" w14:textId="77777777" w:rsidR="0068637E" w:rsidRPr="003E098C" w:rsidRDefault="008B0577" w:rsidP="00E43332">
      <w:pPr>
        <w:pStyle w:val="Odstavecseseznamem"/>
        <w:keepNext/>
        <w:spacing w:before="0" w:after="120" w:line="264" w:lineRule="auto"/>
        <w:ind w:left="0"/>
        <w:contextualSpacing w:val="0"/>
        <w:jc w:val="left"/>
        <w:rPr>
          <w:rFonts w:cstheme="minorHAnsi"/>
          <w:b/>
          <w:color w:val="auto"/>
        </w:rPr>
      </w:pPr>
      <w:r w:rsidRPr="003E098C">
        <w:rPr>
          <w:rFonts w:cstheme="minorHAnsi"/>
          <w:b/>
          <w:color w:val="auto"/>
        </w:rPr>
        <w:t>Prodej nemovitého majetku</w:t>
      </w:r>
    </w:p>
    <w:p w14:paraId="328576AE" w14:textId="77777777" w:rsidR="003E2130" w:rsidRDefault="008B0577" w:rsidP="00E43332">
      <w:pPr>
        <w:spacing w:before="0" w:after="12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 xml:space="preserve">NKÚ prověřil ve čtrnácti případech úplatné převody nemovitého majetku v hodnotě (realizační cena dle smluv) 537 202 559 Kč. </w:t>
      </w:r>
    </w:p>
    <w:p w14:paraId="4526B9D1" w14:textId="77777777" w:rsidR="008224FB" w:rsidRPr="00206C61" w:rsidRDefault="008224FB" w:rsidP="00E43332">
      <w:pPr>
        <w:spacing w:before="0" w:after="120" w:line="264" w:lineRule="auto"/>
        <w:rPr>
          <w:rFonts w:asciiTheme="minorHAnsi" w:hAnsiTheme="minorHAnsi" w:cstheme="minorHAnsi"/>
          <w:bCs/>
          <w:color w:val="auto"/>
          <w:szCs w:val="22"/>
          <w:lang w:eastAsia="cs-CZ"/>
        </w:rPr>
      </w:pPr>
      <w:r w:rsidRPr="00206C61">
        <w:rPr>
          <w:rFonts w:asciiTheme="minorHAnsi" w:hAnsiTheme="minorHAnsi" w:cstheme="minorHAnsi"/>
          <w:bCs/>
          <w:color w:val="auto"/>
          <w:szCs w:val="22"/>
          <w:lang w:eastAsia="cs-CZ"/>
        </w:rPr>
        <w:t>NKÚ na kontrolovaném vzorku ověř</w:t>
      </w:r>
      <w:r w:rsidR="00206C61">
        <w:rPr>
          <w:rFonts w:asciiTheme="minorHAnsi" w:hAnsiTheme="minorHAnsi" w:cstheme="minorHAnsi"/>
          <w:bCs/>
          <w:color w:val="auto"/>
          <w:szCs w:val="22"/>
          <w:lang w:eastAsia="cs-CZ"/>
        </w:rPr>
        <w:t xml:space="preserve">oval, zda </w:t>
      </w:r>
      <w:r w:rsidRPr="00206C61">
        <w:rPr>
          <w:rFonts w:asciiTheme="minorHAnsi" w:hAnsiTheme="minorHAnsi" w:cstheme="minorHAnsi"/>
          <w:bCs/>
          <w:color w:val="auto"/>
          <w:szCs w:val="22"/>
          <w:lang w:eastAsia="cs-CZ"/>
        </w:rPr>
        <w:t>ÚZSVM při prodeji majetku postupoval v souladu s právními předpisy a tak, aby bylo za daných podmínek dosaženo nejvyššího možného výnosu.</w:t>
      </w:r>
    </w:p>
    <w:p w14:paraId="79B36123" w14:textId="77777777" w:rsidR="001669DD" w:rsidRPr="003E098C" w:rsidRDefault="008B0577" w:rsidP="00184A11">
      <w:pPr>
        <w:tabs>
          <w:tab w:val="left" w:pos="3969"/>
        </w:tabs>
        <w:spacing w:before="0" w:after="12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 xml:space="preserve">Ve všech případech předcházelo </w:t>
      </w:r>
      <w:r w:rsidR="004B53C3">
        <w:rPr>
          <w:rFonts w:cstheme="minorHAnsi"/>
          <w:color w:val="auto"/>
        </w:rPr>
        <w:t>prodeji</w:t>
      </w:r>
      <w:r w:rsidRPr="003E098C">
        <w:rPr>
          <w:rFonts w:cstheme="minorHAnsi"/>
          <w:color w:val="auto"/>
        </w:rPr>
        <w:t xml:space="preserve"> majetku rozhodnutí o nepotřebnosti majetku a majetek byl nabídnut jiným organizačním složkám státu. </w:t>
      </w:r>
      <w:r w:rsidR="00616953" w:rsidRPr="003E098C">
        <w:rPr>
          <w:rFonts w:cstheme="minorHAnsi"/>
          <w:color w:val="auto"/>
        </w:rPr>
        <w:t>Postup prodeje byl v souladu s </w:t>
      </w:r>
      <w:r w:rsidRPr="003E098C">
        <w:rPr>
          <w:rFonts w:cstheme="minorHAnsi"/>
          <w:color w:val="auto"/>
        </w:rPr>
        <w:t>ustanovením § 21 až 24 zákona č. 219/2000 Sb. Bylo ověřeno, že uvedené převody majetku byly schváleny příslušným ministerstvem a opatřeny schvalovacími doložkami. Cenu předmětu prodeje stanovil ÚZSVM na základě znaleckých posudků, tuto cenu navýšil o úhradu za znalecké posudky. Informace o dražbách byly zveřejněny na webových stránkách ÚZSVM, v</w:t>
      </w:r>
      <w:r w:rsidR="006E172E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>informačním systému o dražbách (</w:t>
      </w:r>
      <w:r w:rsidRPr="00AD1C5B">
        <w:rPr>
          <w:rFonts w:cstheme="minorHAnsi"/>
          <w:i/>
          <w:color w:val="auto"/>
        </w:rPr>
        <w:t>Centrální adresa</w:t>
      </w:r>
      <w:r w:rsidRPr="003E098C">
        <w:rPr>
          <w:rFonts w:cstheme="minorHAnsi"/>
          <w:color w:val="auto"/>
        </w:rPr>
        <w:t>), úředních deskách ÚZSVM, úředních deskách měst</w:t>
      </w:r>
      <w:r w:rsidR="00616953" w:rsidRPr="003E098C">
        <w:rPr>
          <w:rFonts w:cstheme="minorHAnsi"/>
          <w:color w:val="auto"/>
        </w:rPr>
        <w:t xml:space="preserve"> a obcí a také formou inzerce v </w:t>
      </w:r>
      <w:r w:rsidRPr="003E098C">
        <w:rPr>
          <w:rFonts w:cstheme="minorHAnsi"/>
          <w:color w:val="auto"/>
        </w:rPr>
        <w:t>denním tisku. Informace o výběrových řízeních s</w:t>
      </w:r>
      <w:r w:rsidR="006E172E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>aukcí byly zveřejněny na webových stránkách ÚZSVM, formou inzerátů v denním</w:t>
      </w:r>
      <w:r w:rsidR="00E43332">
        <w:rPr>
          <w:rFonts w:cstheme="minorHAnsi"/>
          <w:color w:val="auto"/>
        </w:rPr>
        <w:t xml:space="preserve"> tisku, příp. </w:t>
      </w:r>
      <w:r w:rsidRPr="003E098C">
        <w:rPr>
          <w:rFonts w:cstheme="minorHAnsi"/>
          <w:color w:val="auto"/>
        </w:rPr>
        <w:t>na úředních deskách (ÚZSVM, měst, obcí), veřejnou vyhláškou v dotčených obcích, na mís</w:t>
      </w:r>
      <w:r w:rsidR="00C017BB" w:rsidRPr="003E098C">
        <w:rPr>
          <w:rFonts w:cstheme="minorHAnsi"/>
          <w:color w:val="auto"/>
        </w:rPr>
        <w:t xml:space="preserve">tě samém prodávaného majetku, </w:t>
      </w:r>
      <w:r w:rsidR="00C017BB" w:rsidRPr="003E098C">
        <w:rPr>
          <w:color w:val="auto"/>
        </w:rPr>
        <w:t>v </w:t>
      </w:r>
      <w:r w:rsidRPr="003E098C">
        <w:rPr>
          <w:color w:val="auto"/>
        </w:rPr>
        <w:t>některých</w:t>
      </w:r>
      <w:r w:rsidRPr="003E098C">
        <w:rPr>
          <w:rFonts w:cstheme="minorHAnsi"/>
          <w:color w:val="auto"/>
        </w:rPr>
        <w:t xml:space="preserve"> případech informoval vlastníky sousedních pozemků dopisem. Přímý prodej zvolil ÚZSVM v odůvodněných případech. ÚZSVM </w:t>
      </w:r>
      <w:r w:rsidR="00F60C27" w:rsidRPr="003E098C">
        <w:rPr>
          <w:rFonts w:cstheme="minorHAnsi"/>
          <w:color w:val="auto"/>
        </w:rPr>
        <w:t>zaslal</w:t>
      </w:r>
      <w:r w:rsidRPr="003E098C">
        <w:rPr>
          <w:rFonts w:cstheme="minorHAnsi"/>
          <w:color w:val="auto"/>
        </w:rPr>
        <w:t xml:space="preserve"> k</w:t>
      </w:r>
      <w:r w:rsidR="00C017BB" w:rsidRPr="003E098C">
        <w:rPr>
          <w:rFonts w:cstheme="minorHAnsi"/>
          <w:color w:val="auto"/>
        </w:rPr>
        <w:t xml:space="preserve">upní smlouvy </w:t>
      </w:r>
      <w:r w:rsidR="00F60C27" w:rsidRPr="003E098C">
        <w:rPr>
          <w:rFonts w:cstheme="minorHAnsi"/>
          <w:color w:val="auto"/>
        </w:rPr>
        <w:t>správci</w:t>
      </w:r>
      <w:r w:rsidR="00C017BB" w:rsidRPr="003E098C">
        <w:rPr>
          <w:rFonts w:cstheme="minorHAnsi"/>
          <w:color w:val="auto"/>
        </w:rPr>
        <w:t xml:space="preserve"> registru smluv v </w:t>
      </w:r>
      <w:r w:rsidRPr="003E098C">
        <w:rPr>
          <w:rFonts w:cstheme="minorHAnsi"/>
          <w:color w:val="auto"/>
        </w:rPr>
        <w:t xml:space="preserve">termínech dle zákona č. 340/2015 Sb. NKÚ ověřil, že ÚZSVM podal v souvislosti s úplatným převodem návrh na zápis vkladu vlastnického práva do katastru nemovitostí, v katastru nemovitostí </w:t>
      </w:r>
      <w:r w:rsidR="00394ABA">
        <w:rPr>
          <w:rFonts w:cstheme="minorHAnsi"/>
          <w:color w:val="auto"/>
        </w:rPr>
        <w:t>byl</w:t>
      </w:r>
      <w:r w:rsidR="00552055" w:rsidRPr="003E098C">
        <w:rPr>
          <w:rFonts w:cstheme="minorHAnsi"/>
          <w:color w:val="auto"/>
        </w:rPr>
        <w:t xml:space="preserve"> </w:t>
      </w:r>
      <w:r w:rsidRPr="003E098C">
        <w:rPr>
          <w:rFonts w:cstheme="minorHAnsi"/>
          <w:color w:val="auto"/>
        </w:rPr>
        <w:t xml:space="preserve">u těchto nemovitostí </w:t>
      </w:r>
      <w:r w:rsidR="00552055" w:rsidRPr="003E098C">
        <w:rPr>
          <w:rFonts w:cstheme="minorHAnsi"/>
          <w:color w:val="auto"/>
        </w:rPr>
        <w:t>u</w:t>
      </w:r>
      <w:r w:rsidRPr="003E098C">
        <w:rPr>
          <w:rFonts w:cstheme="minorHAnsi"/>
          <w:color w:val="auto"/>
        </w:rPr>
        <w:t xml:space="preserve">veden </w:t>
      </w:r>
      <w:r w:rsidR="00552055" w:rsidRPr="003E098C">
        <w:rPr>
          <w:rFonts w:cstheme="minorHAnsi"/>
          <w:color w:val="auto"/>
        </w:rPr>
        <w:t>nový</w:t>
      </w:r>
      <w:r w:rsidRPr="003E098C">
        <w:rPr>
          <w:rFonts w:cstheme="minorHAnsi"/>
          <w:color w:val="auto"/>
        </w:rPr>
        <w:t xml:space="preserve"> vlastník a majetek ÚZSVM vyřadil z majetkové evidence.</w:t>
      </w:r>
    </w:p>
    <w:p w14:paraId="71A2703A" w14:textId="77777777" w:rsidR="00462F60" w:rsidRPr="00E43332" w:rsidRDefault="008B0577" w:rsidP="00E43332">
      <w:pPr>
        <w:keepNext/>
        <w:rPr>
          <w:rFonts w:cstheme="minorHAnsi"/>
          <w:b/>
          <w:color w:val="auto"/>
        </w:rPr>
      </w:pPr>
      <w:r w:rsidRPr="00E43332">
        <w:rPr>
          <w:rFonts w:cstheme="minorHAnsi"/>
          <w:b/>
          <w:color w:val="auto"/>
        </w:rPr>
        <w:t xml:space="preserve">Graf č. 1: Příjmy z prodeje a pronájmu nemovitého majetku v letech 2017–2019 dle </w:t>
      </w:r>
      <w:proofErr w:type="spellStart"/>
      <w:r w:rsidRPr="00E43332">
        <w:rPr>
          <w:rFonts w:cstheme="minorHAnsi"/>
          <w:b/>
          <w:color w:val="auto"/>
        </w:rPr>
        <w:t>Ú</w:t>
      </w:r>
      <w:r w:rsidR="009E3CA3" w:rsidRPr="00E43332">
        <w:rPr>
          <w:rFonts w:cstheme="minorHAnsi"/>
          <w:b/>
          <w:color w:val="auto"/>
        </w:rPr>
        <w:t>z</w:t>
      </w:r>
      <w:r w:rsidRPr="00E43332">
        <w:rPr>
          <w:rFonts w:cstheme="minorHAnsi"/>
          <w:b/>
          <w:color w:val="auto"/>
        </w:rPr>
        <w:t>P</w:t>
      </w:r>
      <w:proofErr w:type="spellEnd"/>
    </w:p>
    <w:p w14:paraId="7FB84C4A" w14:textId="3FAD6B4B" w:rsidR="00462F60" w:rsidRPr="00E43332" w:rsidRDefault="00EF0079" w:rsidP="00E43332">
      <w:pPr>
        <w:keepNext/>
        <w:rPr>
          <w:rFonts w:cstheme="minorHAnsi"/>
          <w:color w:val="auto"/>
        </w:rPr>
      </w:pPr>
      <w:r>
        <w:rPr>
          <w:noProof/>
          <w:lang w:eastAsia="cs-CZ"/>
        </w:rPr>
        <w:drawing>
          <wp:inline distT="0" distB="0" distL="0" distR="0" wp14:anchorId="7AF9FBB4" wp14:editId="779FAF01">
            <wp:extent cx="5791200" cy="302895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C53B063" w14:textId="77777777" w:rsidR="004803F4" w:rsidRPr="00E43332" w:rsidRDefault="008B0577" w:rsidP="00E43332">
      <w:pPr>
        <w:spacing w:before="0" w:after="120" w:line="264" w:lineRule="auto"/>
        <w:rPr>
          <w:rFonts w:cstheme="minorHAnsi"/>
          <w:color w:val="auto"/>
        </w:rPr>
      </w:pPr>
      <w:r w:rsidRPr="00E43332">
        <w:rPr>
          <w:b/>
          <w:color w:val="auto"/>
          <w:sz w:val="20"/>
        </w:rPr>
        <w:t>Zdroj:</w:t>
      </w:r>
      <w:r w:rsidRPr="00E43332">
        <w:rPr>
          <w:color w:val="auto"/>
          <w:sz w:val="20"/>
        </w:rPr>
        <w:t xml:space="preserve"> ÚZSVM</w:t>
      </w:r>
      <w:r w:rsidR="00A75720" w:rsidRPr="00E43332">
        <w:rPr>
          <w:color w:val="auto"/>
          <w:sz w:val="20"/>
        </w:rPr>
        <w:t>.</w:t>
      </w:r>
    </w:p>
    <w:p w14:paraId="11A2A966" w14:textId="31B5FA24" w:rsidR="00A9768A" w:rsidRPr="003E098C" w:rsidRDefault="008B0577" w:rsidP="00E43332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cstheme="minorHAnsi"/>
          <w:color w:val="auto"/>
        </w:rPr>
        <w:lastRenderedPageBreak/>
        <w:t xml:space="preserve">Nejvyšší příjmy z prodeje v kontrolovaném období vykázalo </w:t>
      </w:r>
      <w:proofErr w:type="spellStart"/>
      <w:r w:rsidRPr="003E098C">
        <w:rPr>
          <w:rFonts w:cstheme="minorHAnsi"/>
          <w:color w:val="auto"/>
        </w:rPr>
        <w:t>Ú</w:t>
      </w:r>
      <w:r w:rsidR="0068637E" w:rsidRPr="003E098C">
        <w:rPr>
          <w:rFonts w:cstheme="minorHAnsi"/>
          <w:color w:val="auto"/>
        </w:rPr>
        <w:t>z</w:t>
      </w:r>
      <w:r w:rsidRPr="003E098C">
        <w:rPr>
          <w:rFonts w:cstheme="minorHAnsi"/>
          <w:color w:val="auto"/>
        </w:rPr>
        <w:t>P</w:t>
      </w:r>
      <w:proofErr w:type="spellEnd"/>
      <w:r w:rsidRPr="003E098C">
        <w:rPr>
          <w:rFonts w:cstheme="minorHAnsi"/>
          <w:color w:val="auto"/>
        </w:rPr>
        <w:t xml:space="preserve"> Střední Čechy (viz graf č. 1), z hlediska výše příjmu byl nejvýznamnější prodej areálu v ulici U Půjčovny v</w:t>
      </w:r>
      <w:r w:rsidR="006F5D08" w:rsidRPr="003E098C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>Praze, za který kupující uhradil 355 100 000 Kč.</w:t>
      </w:r>
      <w:r w:rsidR="00927284" w:rsidRPr="003E098C">
        <w:rPr>
          <w:rFonts w:cstheme="minorHAnsi"/>
          <w:color w:val="auto"/>
        </w:rPr>
        <w:t xml:space="preserve"> </w:t>
      </w:r>
      <w:r w:rsidRPr="003E098C">
        <w:rPr>
          <w:rFonts w:asciiTheme="minorHAnsi" w:hAnsiTheme="minorHAnsi" w:cstheme="minorHAnsi"/>
          <w:color w:val="auto"/>
          <w:lang w:eastAsia="cs-CZ"/>
        </w:rPr>
        <w:t>Vládní dislokační komise na svém zasedání schválila dne 1.</w:t>
      </w:r>
      <w:r w:rsidR="005E0AB7">
        <w:rPr>
          <w:rFonts w:asciiTheme="minorHAnsi" w:hAnsiTheme="minorHAnsi" w:cstheme="minorHAnsi"/>
          <w:color w:val="auto"/>
          <w:lang w:eastAsia="cs-CZ"/>
        </w:rPr>
        <w:t> </w:t>
      </w:r>
      <w:r w:rsidRPr="003E098C">
        <w:rPr>
          <w:rFonts w:asciiTheme="minorHAnsi" w:hAnsiTheme="minorHAnsi" w:cstheme="minorHAnsi"/>
          <w:color w:val="auto"/>
          <w:lang w:eastAsia="cs-CZ"/>
        </w:rPr>
        <w:t>6.</w:t>
      </w:r>
      <w:r w:rsidR="005E0AB7">
        <w:rPr>
          <w:rFonts w:asciiTheme="minorHAnsi" w:hAnsiTheme="minorHAnsi" w:cstheme="minorHAnsi"/>
          <w:color w:val="auto"/>
          <w:lang w:eastAsia="cs-CZ"/>
        </w:rPr>
        <w:t> </w:t>
      </w:r>
      <w:r w:rsidRPr="003E098C">
        <w:rPr>
          <w:rFonts w:asciiTheme="minorHAnsi" w:hAnsiTheme="minorHAnsi" w:cstheme="minorHAnsi"/>
          <w:color w:val="auto"/>
          <w:lang w:eastAsia="cs-CZ"/>
        </w:rPr>
        <w:t xml:space="preserve">2016 </w:t>
      </w:r>
      <w:r w:rsidR="00D1780F">
        <w:rPr>
          <w:rFonts w:asciiTheme="minorHAnsi" w:hAnsiTheme="minorHAnsi" w:cstheme="minorHAnsi"/>
          <w:color w:val="auto"/>
          <w:lang w:eastAsia="cs-CZ"/>
        </w:rPr>
        <w:t>r</w:t>
      </w:r>
      <w:r w:rsidRPr="003E098C">
        <w:rPr>
          <w:rFonts w:asciiTheme="minorHAnsi" w:hAnsiTheme="minorHAnsi" w:cstheme="minorHAnsi"/>
          <w:color w:val="auto"/>
          <w:lang w:eastAsia="cs-CZ"/>
        </w:rPr>
        <w:t>ozhodnutím č. 38/2016 změnu právních poměrů formou zcizení a rozhodla o</w:t>
      </w:r>
      <w:r w:rsidR="005E0AB7">
        <w:rPr>
          <w:rFonts w:asciiTheme="minorHAnsi" w:hAnsiTheme="minorHAnsi" w:cstheme="minorHAnsi"/>
          <w:color w:val="auto"/>
          <w:lang w:eastAsia="cs-CZ"/>
        </w:rPr>
        <w:t> </w:t>
      </w:r>
      <w:r w:rsidRPr="003E098C">
        <w:rPr>
          <w:rFonts w:asciiTheme="minorHAnsi" w:hAnsiTheme="minorHAnsi" w:cstheme="minorHAnsi"/>
          <w:color w:val="auto"/>
          <w:lang w:eastAsia="cs-CZ"/>
        </w:rPr>
        <w:t>prodeji majetku, se kterým byl příslušný hospodařit ÚZSVM. Dne 25. 8. 2016 vyhlásil ÚZSVM první kolo výběrového řízení s aukcí na prodej pozemku p. č. 109,</w:t>
      </w:r>
      <w:r w:rsidR="00E43332">
        <w:rPr>
          <w:rFonts w:asciiTheme="minorHAnsi" w:hAnsiTheme="minorHAnsi" w:cstheme="minorHAnsi"/>
          <w:color w:val="auto"/>
          <w:lang w:eastAsia="cs-CZ"/>
        </w:rPr>
        <w:t xml:space="preserve"> jehož součástí je stavba č. p. </w:t>
      </w:r>
      <w:r w:rsidRPr="003E098C">
        <w:rPr>
          <w:rFonts w:asciiTheme="minorHAnsi" w:hAnsiTheme="minorHAnsi" w:cstheme="minorHAnsi"/>
          <w:color w:val="auto"/>
          <w:lang w:eastAsia="cs-CZ"/>
        </w:rPr>
        <w:t>955, a pozemku p. č. 110, v k. </w:t>
      </w:r>
      <w:proofErr w:type="spellStart"/>
      <w:r w:rsidRPr="003E098C">
        <w:rPr>
          <w:rFonts w:asciiTheme="minorHAnsi" w:hAnsiTheme="minorHAnsi" w:cstheme="minorHAnsi"/>
          <w:color w:val="auto"/>
          <w:lang w:eastAsia="cs-CZ"/>
        </w:rPr>
        <w:t>ú.</w:t>
      </w:r>
      <w:proofErr w:type="spellEnd"/>
      <w:r w:rsidRPr="003E098C">
        <w:rPr>
          <w:rFonts w:asciiTheme="minorHAnsi" w:hAnsiTheme="minorHAnsi" w:cstheme="minorHAnsi"/>
          <w:color w:val="auto"/>
          <w:lang w:eastAsia="cs-CZ"/>
        </w:rPr>
        <w:t xml:space="preserve"> Nové Město. </w:t>
      </w:r>
      <w:r w:rsidRPr="003E098C">
        <w:rPr>
          <w:rFonts w:asciiTheme="minorHAnsi" w:hAnsiTheme="minorHAnsi" w:cstheme="minorHAnsi"/>
          <w:color w:val="auto"/>
        </w:rPr>
        <w:t>Minimální kupní cena byla stanovena na základě znaleckého posudku č. 368-50/2016 ze dne 19. 7. 2016</w:t>
      </w:r>
      <w:r w:rsidR="006F5D08" w:rsidRPr="003E098C">
        <w:rPr>
          <w:rFonts w:asciiTheme="minorHAnsi" w:hAnsiTheme="minorHAnsi" w:cstheme="minorHAnsi"/>
          <w:color w:val="auto"/>
        </w:rPr>
        <w:t xml:space="preserve"> na 390</w:t>
      </w:r>
      <w:r w:rsidR="00394ABA">
        <w:rPr>
          <w:rFonts w:asciiTheme="minorHAnsi" w:hAnsiTheme="minorHAnsi" w:cstheme="minorHAnsi"/>
          <w:color w:val="auto"/>
        </w:rPr>
        <w:t xml:space="preserve"> 000 </w:t>
      </w:r>
      <w:r w:rsidR="006F5D08" w:rsidRPr="003E098C">
        <w:rPr>
          <w:rFonts w:asciiTheme="minorHAnsi" w:hAnsiTheme="minorHAnsi" w:cstheme="minorHAnsi"/>
          <w:color w:val="auto"/>
        </w:rPr>
        <w:t>000 Kč. Do prvního kola se přihlásil pouze jeden zájemce, ale nabídka byla z výběrového řízení vyřazena, neboť neobsahovala výši stanovené kupní ceny ani povinný obsah dle oznámení o výběrovém řízení. Pro druhé kolo byla stanovena minimální kupní cena 351</w:t>
      </w:r>
      <w:r w:rsidR="00394ABA">
        <w:rPr>
          <w:rFonts w:asciiTheme="minorHAnsi" w:hAnsiTheme="minorHAnsi" w:cstheme="minorHAnsi"/>
          <w:color w:val="auto"/>
        </w:rPr>
        <w:t xml:space="preserve"> 000 </w:t>
      </w:r>
      <w:r w:rsidR="006F5D08" w:rsidRPr="003E098C">
        <w:rPr>
          <w:rFonts w:asciiTheme="minorHAnsi" w:hAnsiTheme="minorHAnsi" w:cstheme="minorHAnsi"/>
          <w:color w:val="auto"/>
        </w:rPr>
        <w:t xml:space="preserve">000 Kč, ale opět se přihlásil pouze jeden zájemce. </w:t>
      </w:r>
      <w:r w:rsidR="00394ABA">
        <w:rPr>
          <w:rFonts w:asciiTheme="minorHAnsi" w:hAnsiTheme="minorHAnsi" w:cstheme="minorHAnsi"/>
          <w:color w:val="auto"/>
        </w:rPr>
        <w:t>Pro</w:t>
      </w:r>
      <w:r w:rsidRPr="003E098C">
        <w:rPr>
          <w:rFonts w:asciiTheme="minorHAnsi" w:hAnsiTheme="minorHAnsi" w:cstheme="minorHAnsi"/>
          <w:color w:val="auto"/>
        </w:rPr>
        <w:t xml:space="preserve"> třetí kol</w:t>
      </w:r>
      <w:r w:rsidR="00D1780F">
        <w:rPr>
          <w:rFonts w:asciiTheme="minorHAnsi" w:hAnsiTheme="minorHAnsi" w:cstheme="minorHAnsi"/>
          <w:color w:val="auto"/>
        </w:rPr>
        <w:t>o</w:t>
      </w:r>
      <w:r w:rsidRPr="003E098C">
        <w:rPr>
          <w:rFonts w:asciiTheme="minorHAnsi" w:hAnsiTheme="minorHAnsi" w:cstheme="minorHAnsi"/>
          <w:color w:val="auto"/>
        </w:rPr>
        <w:t xml:space="preserve"> výběrového řízení </w:t>
      </w:r>
      <w:r w:rsidR="00394ABA">
        <w:rPr>
          <w:rFonts w:asciiTheme="minorHAnsi" w:hAnsiTheme="minorHAnsi" w:cstheme="minorHAnsi"/>
          <w:color w:val="auto"/>
        </w:rPr>
        <w:t xml:space="preserve">byla stanovena minimální kupní cena 299 000 000 Kč, </w:t>
      </w:r>
      <w:r w:rsidRPr="003E098C">
        <w:rPr>
          <w:rFonts w:asciiTheme="minorHAnsi" w:hAnsiTheme="minorHAnsi" w:cstheme="minorHAnsi"/>
          <w:color w:val="auto"/>
        </w:rPr>
        <w:t>byly doručeny tři nabídky</w:t>
      </w:r>
      <w:r w:rsidR="00394ABA">
        <w:rPr>
          <w:rFonts w:asciiTheme="minorHAnsi" w:hAnsiTheme="minorHAnsi" w:cstheme="minorHAnsi"/>
          <w:color w:val="auto"/>
        </w:rPr>
        <w:t xml:space="preserve"> a</w:t>
      </w:r>
      <w:r w:rsidRPr="003E098C">
        <w:rPr>
          <w:rFonts w:asciiTheme="minorHAnsi" w:hAnsiTheme="minorHAnsi" w:cstheme="minorHAnsi"/>
          <w:color w:val="auto"/>
        </w:rPr>
        <w:t xml:space="preserve"> v následné aukci dosáhla kupní cena výše 355 100 000 Kč. Kupní smlouva byla p</w:t>
      </w:r>
      <w:r w:rsidR="00D219C3" w:rsidRPr="003E098C">
        <w:rPr>
          <w:rFonts w:asciiTheme="minorHAnsi" w:hAnsiTheme="minorHAnsi" w:cstheme="minorHAnsi"/>
          <w:color w:val="auto"/>
        </w:rPr>
        <w:t>odepsána dne 17. 3. 2017,</w:t>
      </w:r>
      <w:r w:rsidRPr="003E098C">
        <w:rPr>
          <w:rFonts w:asciiTheme="minorHAnsi" w:hAnsiTheme="minorHAnsi" w:cstheme="minorHAnsi"/>
          <w:color w:val="auto"/>
        </w:rPr>
        <w:t xml:space="preserve"> kupující</w:t>
      </w:r>
      <w:r w:rsidR="00D219C3" w:rsidRPr="003E098C">
        <w:rPr>
          <w:rFonts w:asciiTheme="minorHAnsi" w:hAnsiTheme="minorHAnsi" w:cstheme="minorHAnsi"/>
          <w:color w:val="auto"/>
        </w:rPr>
        <w:t xml:space="preserve"> uhradil kupní cenu ve sjednaném termínu.</w:t>
      </w:r>
    </w:p>
    <w:p w14:paraId="284962F5" w14:textId="77777777" w:rsidR="002446AF" w:rsidRPr="003E098C" w:rsidRDefault="002446AF" w:rsidP="002446A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22660D9F" w14:textId="77777777" w:rsidR="00FF35AE" w:rsidRPr="003E098C" w:rsidRDefault="008B0577" w:rsidP="002446AF">
      <w:pPr>
        <w:pStyle w:val="Odstavecseseznamem"/>
        <w:keepNext/>
        <w:spacing w:before="0" w:after="120" w:line="264" w:lineRule="auto"/>
        <w:ind w:left="0"/>
        <w:contextualSpacing w:val="0"/>
        <w:rPr>
          <w:rFonts w:cstheme="minorHAnsi"/>
          <w:b/>
          <w:color w:val="auto"/>
        </w:rPr>
      </w:pPr>
      <w:r w:rsidRPr="003E098C">
        <w:rPr>
          <w:rFonts w:cstheme="minorHAnsi"/>
          <w:b/>
          <w:color w:val="auto"/>
        </w:rPr>
        <w:t>Pronájem nemovitého majetku</w:t>
      </w:r>
    </w:p>
    <w:p w14:paraId="40256494" w14:textId="77777777" w:rsidR="003E2130" w:rsidRPr="003E098C" w:rsidRDefault="008B0577" w:rsidP="002446AF">
      <w:pPr>
        <w:spacing w:before="0" w:after="120" w:line="264" w:lineRule="auto"/>
        <w:rPr>
          <w:rFonts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NKÚ prověřil v osmi případech pronájmy nemovitého majetku, kde hodnota plnění z</w:t>
      </w:r>
      <w:r w:rsidR="009E3CA3" w:rsidRPr="003E098C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kontrolovaných smluv z</w:t>
      </w:r>
      <w:r w:rsidRPr="003E098C">
        <w:rPr>
          <w:rFonts w:cstheme="minorHAnsi"/>
          <w:color w:val="auto"/>
        </w:rPr>
        <w:t>a kontrolované období byla 87 576 708 Kč, výše náhrady za bezesmluvní užívání za kontrolované období činila 112 786 Kč.</w:t>
      </w:r>
    </w:p>
    <w:p w14:paraId="7590571B" w14:textId="6FF4418F" w:rsidR="006126EC" w:rsidRPr="003E098C" w:rsidRDefault="008B0577" w:rsidP="002446AF">
      <w:pPr>
        <w:spacing w:before="0" w:after="120" w:line="264" w:lineRule="auto"/>
        <w:rPr>
          <w:rFonts w:cstheme="minorHAnsi"/>
          <w:color w:val="auto"/>
        </w:rPr>
      </w:pPr>
      <w:r w:rsidRPr="003E098C">
        <w:rPr>
          <w:rFonts w:cstheme="minorHAnsi"/>
          <w:color w:val="auto"/>
        </w:rPr>
        <w:t>Náhrada za bezesmluvní užívání souvisela s pozemkem p. č. 639/1 v k.</w:t>
      </w:r>
      <w:r w:rsidR="00D1780F">
        <w:rPr>
          <w:rFonts w:cstheme="minorHAnsi"/>
          <w:color w:val="auto"/>
        </w:rPr>
        <w:t> </w:t>
      </w:r>
      <w:proofErr w:type="spellStart"/>
      <w:r w:rsidRPr="003E098C">
        <w:rPr>
          <w:rFonts w:cstheme="minorHAnsi"/>
          <w:color w:val="auto"/>
        </w:rPr>
        <w:t>ú.</w:t>
      </w:r>
      <w:proofErr w:type="spellEnd"/>
      <w:r w:rsidRPr="003E098C">
        <w:rPr>
          <w:rFonts w:cstheme="minorHAnsi"/>
          <w:color w:val="auto"/>
        </w:rPr>
        <w:t xml:space="preserve"> Nový Hradec Králové, se kterým je ÚZSVM příslušný hospodařit. Na tomto pozemku bylo umístěno jednostranné reklamní zařízení (billboard) soukromé společnosti. ÚZSVM neměl v kontrolovaném období uzavřený nájemní vztah na pronájem tohoto majetku (poslední uzavřená nájemní smlouva skončila ke dni 31. 5. 2016) </w:t>
      </w:r>
      <w:r w:rsidR="00B70FE0">
        <w:rPr>
          <w:rFonts w:cstheme="minorHAnsi"/>
          <w:color w:val="auto"/>
        </w:rPr>
        <w:t>–</w:t>
      </w:r>
      <w:r w:rsidRPr="003E098C">
        <w:rPr>
          <w:rFonts w:cstheme="minorHAnsi"/>
          <w:color w:val="auto"/>
        </w:rPr>
        <w:t xml:space="preserve"> nový nájemní vztah nebylo do dne ukončení kontroly možné uzavřít s ohledem na</w:t>
      </w:r>
      <w:r w:rsidR="0009782A" w:rsidRPr="003E098C">
        <w:rPr>
          <w:rFonts w:cstheme="minorHAnsi"/>
          <w:color w:val="auto"/>
        </w:rPr>
        <w:t xml:space="preserve"> ustanovení</w:t>
      </w:r>
      <w:r w:rsidRPr="003E098C">
        <w:rPr>
          <w:rFonts w:cstheme="minorHAnsi"/>
          <w:color w:val="auto"/>
        </w:rPr>
        <w:t xml:space="preserve"> § 13 zákona č. 428/2012 Sb.</w:t>
      </w:r>
      <w:r w:rsidRPr="003E098C">
        <w:rPr>
          <w:rStyle w:val="Znakapoznpodarou"/>
          <w:rFonts w:cstheme="minorHAnsi"/>
          <w:color w:val="auto"/>
        </w:rPr>
        <w:footnoteReference w:id="10"/>
      </w:r>
      <w:r w:rsidR="005D6727" w:rsidRPr="003E098C">
        <w:rPr>
          <w:rFonts w:cstheme="minorHAnsi"/>
          <w:color w:val="auto"/>
        </w:rPr>
        <w:t>, neboť se o pozemek vede soudní spor.</w:t>
      </w:r>
      <w:r w:rsidRPr="003E098C">
        <w:rPr>
          <w:rFonts w:cstheme="minorHAnsi"/>
          <w:color w:val="auto"/>
        </w:rPr>
        <w:t xml:space="preserve"> Kontrolou předložených dokladů týkajících se pozemkové parcely č. 639/1 v</w:t>
      </w:r>
      <w:r w:rsidR="008D104F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>k.</w:t>
      </w:r>
      <w:r w:rsidR="00D1780F">
        <w:rPr>
          <w:rFonts w:cstheme="minorHAnsi"/>
          <w:color w:val="auto"/>
        </w:rPr>
        <w:t> </w:t>
      </w:r>
      <w:proofErr w:type="spellStart"/>
      <w:r w:rsidRPr="003E098C">
        <w:rPr>
          <w:rFonts w:cstheme="minorHAnsi"/>
          <w:color w:val="auto"/>
        </w:rPr>
        <w:t>ú.</w:t>
      </w:r>
      <w:proofErr w:type="spellEnd"/>
      <w:r w:rsidR="008D104F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 xml:space="preserve">Nový Hradec Králové nebylo zjištěno pochybení ze strany ÚZSVM při stanovení podmínek užívacího vztahu ke kontrolovanému nemovitému majetku, neboť v kontrolovaném období (kdy byl projednáván </w:t>
      </w:r>
      <w:r w:rsidR="00961E4C" w:rsidRPr="003E098C">
        <w:rPr>
          <w:rFonts w:cstheme="minorHAnsi"/>
          <w:color w:val="auto"/>
        </w:rPr>
        <w:t>spor</w:t>
      </w:r>
      <w:r w:rsidR="008D104F">
        <w:rPr>
          <w:rFonts w:cstheme="minorHAnsi"/>
          <w:color w:val="auto"/>
        </w:rPr>
        <w:t xml:space="preserve"> církve</w:t>
      </w:r>
      <w:r w:rsidR="00961E4C" w:rsidRPr="003E098C">
        <w:rPr>
          <w:rFonts w:cstheme="minorHAnsi"/>
          <w:color w:val="auto"/>
        </w:rPr>
        <w:t xml:space="preserve"> o </w:t>
      </w:r>
      <w:r w:rsidRPr="003E098C">
        <w:rPr>
          <w:rFonts w:cstheme="minorHAnsi"/>
          <w:color w:val="auto"/>
        </w:rPr>
        <w:t>uvedený pozemek) uplatňoval u vlastníka reklamního zařízení náhradu za bezesmluvní užívání majetku státu ve výši původně stanoveného nájmu, jehož výše byla každý rok navýšena o průměrnou roční míru inflace.</w:t>
      </w:r>
    </w:p>
    <w:p w14:paraId="3D6AA2BE" w14:textId="5C7C65D5" w:rsidR="00A9768A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bCs/>
          <w:color w:val="auto"/>
        </w:rPr>
      </w:pPr>
      <w:r w:rsidRPr="003E098C">
        <w:rPr>
          <w:rFonts w:cstheme="minorHAnsi"/>
          <w:color w:val="auto"/>
        </w:rPr>
        <w:t xml:space="preserve">V případě pronájmů nemovitostí vykázalo nejvyšší příjem za kontrolované období </w:t>
      </w:r>
      <w:proofErr w:type="spellStart"/>
      <w:r w:rsidRPr="003E098C">
        <w:rPr>
          <w:rFonts w:cstheme="minorHAnsi"/>
          <w:color w:val="auto"/>
        </w:rPr>
        <w:t>Ú</w:t>
      </w:r>
      <w:r w:rsidR="003E2130" w:rsidRPr="003E098C">
        <w:rPr>
          <w:rFonts w:cstheme="minorHAnsi"/>
          <w:color w:val="auto"/>
        </w:rPr>
        <w:t>z</w:t>
      </w:r>
      <w:r w:rsidRPr="003E098C">
        <w:rPr>
          <w:rFonts w:cstheme="minorHAnsi"/>
          <w:color w:val="auto"/>
        </w:rPr>
        <w:t>P</w:t>
      </w:r>
      <w:proofErr w:type="spellEnd"/>
      <w:r w:rsidRPr="003E098C">
        <w:rPr>
          <w:rFonts w:cstheme="minorHAnsi"/>
          <w:color w:val="auto"/>
        </w:rPr>
        <w:t xml:space="preserve"> v hl.</w:t>
      </w:r>
      <w:r w:rsidR="00D1780F">
        <w:rPr>
          <w:rFonts w:cstheme="minorHAnsi"/>
          <w:color w:val="auto"/>
        </w:rPr>
        <w:t> </w:t>
      </w:r>
      <w:r w:rsidRPr="003E098C">
        <w:rPr>
          <w:rFonts w:cstheme="minorHAnsi"/>
          <w:color w:val="auto"/>
        </w:rPr>
        <w:t>městě Praze, a to především pronájmem Paláce Sevastopol (dnes Palác Broadway),</w:t>
      </w:r>
      <w:r w:rsidR="00592B90" w:rsidRPr="003E098C">
        <w:rPr>
          <w:rFonts w:cstheme="minorHAnsi"/>
          <w:color w:val="auto"/>
        </w:rPr>
        <w:t xml:space="preserve"> za který nájemce v letech 2017–</w:t>
      </w:r>
      <w:r w:rsidRPr="003E098C">
        <w:rPr>
          <w:rFonts w:cstheme="minorHAnsi"/>
          <w:color w:val="auto"/>
        </w:rPr>
        <w:t xml:space="preserve">2019 zaplatil 84 299 523 Kč. </w:t>
      </w:r>
      <w:r w:rsidRPr="003E098C">
        <w:rPr>
          <w:rFonts w:asciiTheme="minorHAnsi" w:eastAsia="Calibri" w:hAnsiTheme="minorHAnsi" w:cstheme="minorHAnsi"/>
          <w:color w:val="auto"/>
        </w:rPr>
        <w:t xml:space="preserve">V roce 2016 tuto nemovitost převzal ÚZSVM do své správy na základě usnesení správní rady Správy železniční dopravní cesty, </w:t>
      </w:r>
      <w:proofErr w:type="spellStart"/>
      <w:proofErr w:type="gramStart"/>
      <w:r w:rsidRPr="003E098C">
        <w:rPr>
          <w:rFonts w:asciiTheme="minorHAnsi" w:eastAsia="Calibri" w:hAnsiTheme="minorHAnsi" w:cstheme="minorHAnsi"/>
          <w:color w:val="auto"/>
        </w:rPr>
        <w:t>s.o</w:t>
      </w:r>
      <w:proofErr w:type="spellEnd"/>
      <w:r w:rsidRPr="003E098C">
        <w:rPr>
          <w:rFonts w:asciiTheme="minorHAnsi" w:eastAsia="Calibri" w:hAnsiTheme="minorHAnsi" w:cstheme="minorHAnsi"/>
          <w:color w:val="auto"/>
        </w:rPr>
        <w:t>.</w:t>
      </w:r>
      <w:proofErr w:type="gramEnd"/>
      <w:r w:rsidRPr="003E098C">
        <w:rPr>
          <w:rFonts w:asciiTheme="minorHAnsi" w:eastAsia="Calibri" w:hAnsiTheme="minorHAnsi" w:cstheme="minorHAnsi"/>
          <w:color w:val="auto"/>
        </w:rPr>
        <w:t xml:space="preserve"> </w:t>
      </w:r>
      <w:r w:rsidR="00CA3BE3">
        <w:rPr>
          <w:rFonts w:asciiTheme="minorHAnsi" w:eastAsia="Calibri" w:hAnsiTheme="minorHAnsi" w:cstheme="minorHAnsi"/>
          <w:color w:val="auto"/>
        </w:rPr>
        <w:lastRenderedPageBreak/>
        <w:t>(</w:t>
      </w:r>
      <w:r w:rsidRPr="003E098C">
        <w:rPr>
          <w:rFonts w:asciiTheme="minorHAnsi" w:eastAsia="Calibri" w:hAnsiTheme="minorHAnsi" w:cstheme="minorHAnsi"/>
          <w:color w:val="auto"/>
        </w:rPr>
        <w:t>dále jen „SŽDC“)</w:t>
      </w:r>
      <w:r w:rsidR="00D1483A" w:rsidRPr="003E098C">
        <w:rPr>
          <w:rStyle w:val="Znakapoznpodarou"/>
          <w:rFonts w:asciiTheme="minorHAnsi" w:eastAsia="Calibri" w:hAnsiTheme="minorHAnsi" w:cstheme="minorHAnsi"/>
          <w:color w:val="auto"/>
        </w:rPr>
        <w:footnoteReference w:id="11"/>
      </w:r>
      <w:r w:rsidRPr="003E098C">
        <w:rPr>
          <w:rFonts w:asciiTheme="minorHAnsi" w:eastAsia="Calibri" w:hAnsiTheme="minorHAnsi" w:cstheme="minorHAnsi"/>
          <w:color w:val="auto"/>
        </w:rPr>
        <w:t>, která s tímto majetkem hospodařila podle</w:t>
      </w:r>
      <w:r w:rsidR="00592B90" w:rsidRPr="003E098C">
        <w:rPr>
          <w:rFonts w:asciiTheme="minorHAnsi" w:eastAsia="Calibri" w:hAnsiTheme="minorHAnsi" w:cstheme="minorHAnsi"/>
          <w:color w:val="auto"/>
        </w:rPr>
        <w:t xml:space="preserve"> ustanovení </w:t>
      </w:r>
      <w:r w:rsidRPr="003E098C">
        <w:rPr>
          <w:rFonts w:asciiTheme="minorHAnsi" w:eastAsia="Calibri" w:hAnsiTheme="minorHAnsi" w:cstheme="minorHAnsi"/>
          <w:color w:val="auto"/>
        </w:rPr>
        <w:t>§ 21 odst. 2 zákona č. 77/2002 Sb.</w:t>
      </w:r>
      <w:r w:rsidRPr="003E098C">
        <w:rPr>
          <w:rStyle w:val="Znakapoznpodarou"/>
          <w:rFonts w:asciiTheme="minorHAnsi" w:eastAsia="Calibri" w:hAnsiTheme="minorHAnsi" w:cstheme="minorHAnsi"/>
          <w:color w:val="auto"/>
        </w:rPr>
        <w:footnoteReference w:id="12"/>
      </w:r>
      <w:r w:rsidRPr="003E098C">
        <w:rPr>
          <w:rFonts w:asciiTheme="minorHAnsi" w:eastAsia="Calibri" w:hAnsiTheme="minorHAnsi" w:cstheme="minorHAnsi"/>
          <w:color w:val="auto"/>
        </w:rPr>
        <w:t xml:space="preserve"> </w:t>
      </w:r>
      <w:r w:rsidRPr="003E098C">
        <w:rPr>
          <w:rFonts w:asciiTheme="minorHAnsi" w:hAnsiTheme="minorHAnsi" w:cstheme="minorHAnsi"/>
          <w:bCs/>
          <w:color w:val="auto"/>
        </w:rPr>
        <w:t xml:space="preserve">Palác Sevastopol (Broadway) byl od roku 1993 pronajímán. </w:t>
      </w:r>
    </w:p>
    <w:p w14:paraId="3EF21749" w14:textId="0DDA534E" w:rsidR="00A9768A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bCs/>
          <w:color w:val="auto"/>
        </w:rPr>
      </w:pPr>
      <w:r w:rsidRPr="003E098C">
        <w:rPr>
          <w:rFonts w:asciiTheme="minorHAnsi" w:hAnsiTheme="minorHAnsi" w:cstheme="minorHAnsi"/>
          <w:bCs/>
          <w:color w:val="auto"/>
        </w:rPr>
        <w:t>Mezi SŽDC a nájemcem došlo dne 20. 12. 2005 k uzavření dodatku č. 8, který obsahoval nové (kompletní) znění nájemní smlouvy. Nájem byl sjednán na dobu určitou</w:t>
      </w:r>
      <w:r w:rsidR="00E9044B" w:rsidRPr="003E098C">
        <w:rPr>
          <w:rFonts w:asciiTheme="minorHAnsi" w:hAnsiTheme="minorHAnsi" w:cstheme="minorHAnsi"/>
          <w:bCs/>
          <w:color w:val="auto"/>
        </w:rPr>
        <w:t xml:space="preserve"> </w:t>
      </w:r>
      <w:r w:rsidRPr="003E098C">
        <w:rPr>
          <w:rFonts w:asciiTheme="minorHAnsi" w:hAnsiTheme="minorHAnsi" w:cstheme="minorHAnsi"/>
          <w:bCs/>
          <w:color w:val="auto"/>
        </w:rPr>
        <w:t>do 31. 3. 2048. Ve smlouvě bylo mj. sjednáno předkupní právo ve prospěch nájemce a ujednání, že při předčasném ukončení smlouvy z důvod</w:t>
      </w:r>
      <w:r w:rsidR="00D1780F">
        <w:rPr>
          <w:rFonts w:asciiTheme="minorHAnsi" w:hAnsiTheme="minorHAnsi" w:cstheme="minorHAnsi"/>
          <w:bCs/>
          <w:color w:val="auto"/>
        </w:rPr>
        <w:t>ů</w:t>
      </w:r>
      <w:r w:rsidRPr="003E098C">
        <w:rPr>
          <w:rFonts w:asciiTheme="minorHAnsi" w:hAnsiTheme="minorHAnsi" w:cstheme="minorHAnsi"/>
          <w:bCs/>
          <w:color w:val="auto"/>
        </w:rPr>
        <w:t>, které neleží na straně nájemce, má nájemce právo na úhradu poměrné části investic vložených do pronajatého objektu a právo na náhradu ušlého zisku za prvních deset let pronájmu, bez uvedení konkrétní částky, s odkazem na znalecké posudky.</w:t>
      </w:r>
    </w:p>
    <w:p w14:paraId="68741133" w14:textId="006337A8" w:rsidR="00A9768A" w:rsidRPr="003E098C" w:rsidRDefault="008B0577" w:rsidP="002446AF">
      <w:pPr>
        <w:spacing w:before="0" w:after="120" w:line="264" w:lineRule="auto"/>
        <w:rPr>
          <w:rFonts w:eastAsia="Calibri"/>
          <w:color w:val="auto"/>
        </w:rPr>
      </w:pPr>
      <w:r w:rsidRPr="003E098C">
        <w:rPr>
          <w:rFonts w:eastAsia="Calibri"/>
          <w:color w:val="auto"/>
        </w:rPr>
        <w:t>Po převzetí této nemovitosti podnikl ÚZSVM právní kroky, mezi nimiž bylo ověření platnosti nájemní smlouvy a zejména vyčíslení nároků vyplývajících z nájemní smlouvy</w:t>
      </w:r>
      <w:r w:rsidR="00065C9A" w:rsidRPr="003E098C">
        <w:rPr>
          <w:rFonts w:asciiTheme="minorHAnsi" w:hAnsiTheme="minorHAnsi" w:cstheme="minorHAnsi"/>
          <w:color w:val="auto"/>
        </w:rPr>
        <w:t xml:space="preserve"> pro případ předčasného ukončení nájmu ze strany ÚZSVM</w:t>
      </w:r>
      <w:r w:rsidRPr="003E098C">
        <w:rPr>
          <w:rFonts w:eastAsia="Calibri"/>
          <w:color w:val="auto"/>
        </w:rPr>
        <w:t>. Právní odbor ÚZSVM konstatoval, že existuje platný nájemní vztah, i když je nájemní smlouva jako taková pro stát nevýhodná. Celková výše nároků nájemce byla ke dni 31. 3. 2017 vyčíslena v hodnotě 354 537 37</w:t>
      </w:r>
      <w:r w:rsidR="003E6B86">
        <w:rPr>
          <w:rFonts w:eastAsia="Calibri"/>
          <w:color w:val="auto"/>
        </w:rPr>
        <w:t>8</w:t>
      </w:r>
      <w:r w:rsidRPr="003E098C">
        <w:rPr>
          <w:rFonts w:eastAsia="Calibri"/>
          <w:color w:val="auto"/>
        </w:rPr>
        <w:t xml:space="preserve"> Kč (v tom: ušlý zisk za prvních deset let pronájmu 231 273 000 Kč a vložené investice 123 264 37</w:t>
      </w:r>
      <w:r w:rsidR="003E6B86">
        <w:rPr>
          <w:rFonts w:eastAsia="Calibri"/>
          <w:color w:val="auto"/>
        </w:rPr>
        <w:t>8</w:t>
      </w:r>
      <w:r w:rsidRPr="003E098C">
        <w:rPr>
          <w:rFonts w:eastAsia="Calibri"/>
          <w:color w:val="auto"/>
        </w:rPr>
        <w:t xml:space="preserve"> Kč). ÚZSVM považuje za oprávněné nároky pouze vložené investice, jako sporné považuje ustanovení nájemní smlouvy týkající se ušlého zisku nájemce za prvních deset let pronájmu</w:t>
      </w:r>
      <w:r w:rsidR="00FC2181">
        <w:rPr>
          <w:rFonts w:eastAsia="Calibri"/>
          <w:color w:val="auto"/>
        </w:rPr>
        <w:t>,</w:t>
      </w:r>
      <w:r w:rsidR="00FC2181" w:rsidRPr="00AA6F4D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00FC2181" w:rsidRPr="00FC2181">
        <w:rPr>
          <w:rFonts w:asciiTheme="minorHAnsi" w:eastAsia="Calibri" w:hAnsiTheme="minorHAnsi" w:cstheme="minorHAnsi"/>
          <w:color w:val="auto"/>
        </w:rPr>
        <w:t>na kterém nájemce trvá a výklad ÚZSVM rozporuje</w:t>
      </w:r>
      <w:r w:rsidRPr="003E098C">
        <w:rPr>
          <w:rFonts w:eastAsia="Calibri"/>
          <w:color w:val="auto"/>
        </w:rPr>
        <w:t>. Pokud by ÚZSVM chtěl nájemní smlouvu vypovědět, musel by nájemci uhradit minimálně částku ve výši 123 264 37</w:t>
      </w:r>
      <w:r w:rsidR="003E6B86">
        <w:rPr>
          <w:rFonts w:eastAsia="Calibri"/>
          <w:color w:val="auto"/>
        </w:rPr>
        <w:t>8</w:t>
      </w:r>
      <w:r w:rsidRPr="003E098C">
        <w:rPr>
          <w:rFonts w:eastAsia="Calibri"/>
          <w:color w:val="auto"/>
        </w:rPr>
        <w:t xml:space="preserve"> Kč.</w:t>
      </w:r>
    </w:p>
    <w:p w14:paraId="47C4CEE2" w14:textId="77777777" w:rsidR="002D3BA0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Kontrolou bylo ověřeno, že nájemné za Palác Sevastopol (Broadway) bylo nájemcem hrazeno řádně dle nájemní smlouvy. Každoročně ÚZSVM také využíval možnosti ustanovení čl. 4.7 nájemní smlouvy, a to navyšovat nájemné o míru inflace za předchozí rok.</w:t>
      </w:r>
    </w:p>
    <w:p w14:paraId="64418985" w14:textId="77777777" w:rsidR="002446AF" w:rsidRPr="003E098C" w:rsidRDefault="002446AF" w:rsidP="002446A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41458FDA" w14:textId="77777777" w:rsidR="00FC4D09" w:rsidRPr="003E098C" w:rsidRDefault="008B0577" w:rsidP="002446AF">
      <w:pPr>
        <w:pStyle w:val="Odstavecseseznamem"/>
        <w:keepNext/>
        <w:spacing w:before="0" w:after="120" w:line="264" w:lineRule="auto"/>
        <w:ind w:left="0"/>
        <w:contextualSpacing w:val="0"/>
        <w:rPr>
          <w:rFonts w:cstheme="minorHAnsi"/>
          <w:b/>
          <w:color w:val="auto"/>
        </w:rPr>
      </w:pPr>
      <w:r w:rsidRPr="003E098C">
        <w:rPr>
          <w:rFonts w:cstheme="minorHAnsi"/>
          <w:b/>
          <w:color w:val="auto"/>
        </w:rPr>
        <w:t>Bezúplatný převod nemovitého majetku</w:t>
      </w:r>
    </w:p>
    <w:p w14:paraId="24AC848D" w14:textId="77777777" w:rsidR="002D3BA0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NKÚ prověřil bezúplatně převedený majetek v celkové hodnotě 295 477 384 Kč.</w:t>
      </w:r>
    </w:p>
    <w:p w14:paraId="0965CD59" w14:textId="60D4D667" w:rsidR="008224FB" w:rsidRPr="00206C61" w:rsidRDefault="008224FB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206C61">
        <w:rPr>
          <w:rFonts w:asciiTheme="minorHAnsi" w:hAnsiTheme="minorHAnsi" w:cstheme="minorHAnsi"/>
          <w:color w:val="auto"/>
        </w:rPr>
        <w:t>NKÚ na kontrolovaném vzorku ověř</w:t>
      </w:r>
      <w:r w:rsidR="00206C61">
        <w:rPr>
          <w:rFonts w:asciiTheme="minorHAnsi" w:hAnsiTheme="minorHAnsi" w:cstheme="minorHAnsi"/>
          <w:color w:val="auto"/>
        </w:rPr>
        <w:t xml:space="preserve">oval, zda </w:t>
      </w:r>
      <w:r w:rsidRPr="00206C61">
        <w:rPr>
          <w:rFonts w:asciiTheme="minorHAnsi" w:hAnsiTheme="minorHAnsi" w:cstheme="minorHAnsi"/>
          <w:color w:val="auto"/>
        </w:rPr>
        <w:t>ÚZSVM postupoval při bezúplatném převodu majetku v souladu s právními předpisy, nediskriminačně a transparentně.</w:t>
      </w:r>
    </w:p>
    <w:p w14:paraId="218384AF" w14:textId="041E63DD" w:rsidR="002D3BA0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  <w:u w:val="single"/>
        </w:rPr>
      </w:pPr>
      <w:r w:rsidRPr="003E098C">
        <w:rPr>
          <w:rFonts w:asciiTheme="minorHAnsi" w:hAnsiTheme="minorHAnsi" w:cstheme="minorHAnsi"/>
          <w:color w:val="auto"/>
        </w:rPr>
        <w:t xml:space="preserve">V kontrolovaných případech, kdy byl majetek veden v účetní evidenci, předcházelo realizaci </w:t>
      </w:r>
      <w:r w:rsidR="00607D17">
        <w:rPr>
          <w:rFonts w:asciiTheme="minorHAnsi" w:hAnsiTheme="minorHAnsi" w:cstheme="minorHAnsi"/>
          <w:color w:val="auto"/>
        </w:rPr>
        <w:t xml:space="preserve">převodu </w:t>
      </w:r>
      <w:r w:rsidRPr="003E098C">
        <w:rPr>
          <w:rFonts w:asciiTheme="minorHAnsi" w:hAnsiTheme="minorHAnsi" w:cstheme="minorHAnsi"/>
          <w:color w:val="auto"/>
        </w:rPr>
        <w:t>majetku rozhodnutí o nepotřebnosti majetku. V případě, kdy byl majetek veden v operativní evidenci, povinnost vydat rozhodnutí o nepotřebnosti majetku nenastala. ÚZSVM zajistil schválení bezúplatných převodů příslušným ministerstvem, pokud byl tímto převod podmíněn.</w:t>
      </w:r>
    </w:p>
    <w:p w14:paraId="4D85EDA3" w14:textId="77777777" w:rsidR="002D3BA0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 xml:space="preserve">NKÚ ověřil, že ÚZSVM řádně posoudil existenci veřejného zájmu a ve smlouvách stanovil závazky pro nabyvatele, které zohledňují účel a způsob využití převáděné nemovitosti, kterými bude veřejný zájem naplněn. </w:t>
      </w:r>
    </w:p>
    <w:p w14:paraId="25FA6BAB" w14:textId="10FF815C" w:rsidR="002D3BA0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lastRenderedPageBreak/>
        <w:t>ÚZSVM zveřejnil uzavřené smlouvy v </w:t>
      </w:r>
      <w:r w:rsidR="00AA6F4D">
        <w:rPr>
          <w:rFonts w:asciiTheme="minorHAnsi" w:hAnsiTheme="minorHAnsi" w:cstheme="minorHAnsi"/>
          <w:color w:val="auto"/>
        </w:rPr>
        <w:t>r</w:t>
      </w:r>
      <w:r w:rsidRPr="003E098C">
        <w:rPr>
          <w:rFonts w:asciiTheme="minorHAnsi" w:hAnsiTheme="minorHAnsi" w:cstheme="minorHAnsi"/>
          <w:color w:val="auto"/>
        </w:rPr>
        <w:t xml:space="preserve">egistru smluv v zákonných termínech. </w:t>
      </w:r>
    </w:p>
    <w:p w14:paraId="130156B7" w14:textId="696F864E" w:rsidR="002D3BA0" w:rsidRPr="003E098C" w:rsidRDefault="008B0577" w:rsidP="002446AF">
      <w:pPr>
        <w:autoSpaceDE w:val="0"/>
        <w:autoSpaceDN w:val="0"/>
        <w:adjustRightInd w:val="0"/>
        <w:spacing w:before="0" w:after="120" w:line="264" w:lineRule="auto"/>
        <w:rPr>
          <w:color w:val="auto"/>
          <w:lang w:eastAsia="cs-CZ"/>
        </w:rPr>
      </w:pPr>
      <w:r w:rsidRPr="003E098C">
        <w:rPr>
          <w:color w:val="auto"/>
          <w:lang w:eastAsia="cs-CZ"/>
        </w:rPr>
        <w:t xml:space="preserve">Kontrolou NKÚ bylo ověřeno, že ÚZSVM podal </w:t>
      </w:r>
      <w:r w:rsidRPr="003E098C">
        <w:rPr>
          <w:rFonts w:asciiTheme="minorHAnsi" w:hAnsiTheme="minorHAnsi" w:cstheme="minorHAnsi"/>
          <w:color w:val="auto"/>
        </w:rPr>
        <w:t xml:space="preserve">návrh na vklad práva do katastru nemovitostí podle </w:t>
      </w:r>
      <w:r w:rsidR="00D51607" w:rsidRPr="003E098C">
        <w:rPr>
          <w:rFonts w:asciiTheme="minorHAnsi" w:hAnsiTheme="minorHAnsi" w:cstheme="minorHAnsi"/>
          <w:color w:val="auto"/>
        </w:rPr>
        <w:t xml:space="preserve">ustanovení </w:t>
      </w:r>
      <w:r w:rsidRPr="003E098C">
        <w:rPr>
          <w:rFonts w:asciiTheme="minorHAnsi" w:hAnsiTheme="minorHAnsi" w:cstheme="minorHAnsi"/>
          <w:color w:val="auto"/>
        </w:rPr>
        <w:t>§ 14 zákona č. 256/2013 Sb.</w:t>
      </w:r>
      <w:r w:rsidRPr="003E098C">
        <w:rPr>
          <w:rStyle w:val="Znakapoznpodarou"/>
          <w:rFonts w:asciiTheme="minorHAnsi" w:hAnsiTheme="minorHAnsi" w:cstheme="minorHAnsi"/>
          <w:color w:val="auto"/>
        </w:rPr>
        <w:footnoteReference w:id="13"/>
      </w:r>
      <w:r w:rsidRPr="003E098C">
        <w:rPr>
          <w:rFonts w:asciiTheme="minorHAnsi" w:hAnsiTheme="minorHAnsi" w:cstheme="minorHAnsi"/>
          <w:color w:val="auto"/>
        </w:rPr>
        <w:t xml:space="preserve"> </w:t>
      </w:r>
      <w:r w:rsidRPr="003E098C">
        <w:rPr>
          <w:color w:val="auto"/>
          <w:lang w:eastAsia="cs-CZ"/>
        </w:rPr>
        <w:t>na všechny bezúplatně pře</w:t>
      </w:r>
      <w:r w:rsidR="00D1483A" w:rsidRPr="003E098C">
        <w:rPr>
          <w:color w:val="auto"/>
          <w:lang w:eastAsia="cs-CZ"/>
        </w:rPr>
        <w:t>vedené</w:t>
      </w:r>
      <w:r w:rsidRPr="003E098C">
        <w:rPr>
          <w:color w:val="auto"/>
          <w:lang w:eastAsia="cs-CZ"/>
        </w:rPr>
        <w:t xml:space="preserve"> </w:t>
      </w:r>
      <w:r w:rsidR="0035099A">
        <w:rPr>
          <w:color w:val="auto"/>
          <w:lang w:eastAsia="cs-CZ"/>
        </w:rPr>
        <w:t>stavební a </w:t>
      </w:r>
      <w:r w:rsidRPr="003E098C">
        <w:rPr>
          <w:color w:val="auto"/>
          <w:lang w:eastAsia="cs-CZ"/>
        </w:rPr>
        <w:t>pozemkové parcely.</w:t>
      </w:r>
    </w:p>
    <w:p w14:paraId="35686AEB" w14:textId="77777777" w:rsidR="002446AF" w:rsidRPr="003E098C" w:rsidRDefault="002446AF" w:rsidP="002446A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01DA9B4E" w14:textId="77777777" w:rsidR="00E45E43" w:rsidRPr="003E098C" w:rsidRDefault="008B0577" w:rsidP="002446AF">
      <w:pPr>
        <w:pStyle w:val="Odstavecseseznamem"/>
        <w:keepNext/>
        <w:spacing w:before="0" w:after="120" w:line="264" w:lineRule="auto"/>
        <w:ind w:left="0"/>
        <w:contextualSpacing w:val="0"/>
        <w:rPr>
          <w:rFonts w:cstheme="minorHAnsi"/>
          <w:b/>
          <w:color w:val="auto"/>
        </w:rPr>
      </w:pPr>
      <w:r w:rsidRPr="003E098C">
        <w:rPr>
          <w:rFonts w:cstheme="minorHAnsi"/>
          <w:b/>
          <w:color w:val="auto"/>
        </w:rPr>
        <w:t>Pohledávky</w:t>
      </w:r>
    </w:p>
    <w:p w14:paraId="3A84C253" w14:textId="61E94A51" w:rsidR="008D4AF1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NKÚ prověřil celkem 24 pohledávek v</w:t>
      </w:r>
      <w:r w:rsidR="00273385" w:rsidRPr="003E098C">
        <w:rPr>
          <w:rFonts w:asciiTheme="minorHAnsi" w:hAnsiTheme="minorHAnsi" w:cstheme="minorHAnsi"/>
          <w:color w:val="auto"/>
        </w:rPr>
        <w:t xml:space="preserve"> celkové výši 246 558 078</w:t>
      </w:r>
      <w:r w:rsidRPr="003E098C">
        <w:rPr>
          <w:rFonts w:asciiTheme="minorHAnsi" w:hAnsiTheme="minorHAnsi" w:cstheme="minorHAnsi"/>
          <w:color w:val="auto"/>
        </w:rPr>
        <w:t xml:space="preserve"> Kč, u </w:t>
      </w:r>
      <w:r w:rsidR="009E3CA3" w:rsidRPr="003E098C">
        <w:rPr>
          <w:rFonts w:asciiTheme="minorHAnsi" w:hAnsiTheme="minorHAnsi" w:cstheme="minorHAnsi"/>
          <w:color w:val="auto"/>
        </w:rPr>
        <w:t>kterých ověřoval</w:t>
      </w:r>
      <w:r w:rsidRPr="003E098C">
        <w:rPr>
          <w:rFonts w:asciiTheme="minorHAnsi" w:hAnsiTheme="minorHAnsi" w:cstheme="minorHAnsi"/>
          <w:color w:val="auto"/>
        </w:rPr>
        <w:t xml:space="preserve"> jejich stav, zda došlo k zaplacení, v případě nezaplacení, zda ÚZSVM uplatnil veškeré právní kroky, např. zda ÚZSVM zasílal upomínky k úhradě pohledávky, nebo zda podal žalobu k soudu na vymáhání příslušné pohledávky, včetně plnění příslušného rozsudku u vymáhaných pohledávek.</w:t>
      </w:r>
    </w:p>
    <w:p w14:paraId="121FAC78" w14:textId="2C7EF494" w:rsidR="008224FB" w:rsidRPr="00206C61" w:rsidRDefault="008224FB" w:rsidP="002446AF">
      <w:pPr>
        <w:spacing w:before="0" w:after="120" w:line="264" w:lineRule="auto"/>
        <w:rPr>
          <w:rFonts w:asciiTheme="minorHAnsi" w:hAnsiTheme="minorHAnsi" w:cstheme="minorHAnsi"/>
          <w:color w:val="auto"/>
          <w:lang w:eastAsia="cs-CZ"/>
        </w:rPr>
      </w:pPr>
      <w:r w:rsidRPr="00206C61">
        <w:rPr>
          <w:rFonts w:asciiTheme="minorHAnsi" w:hAnsiTheme="minorHAnsi" w:cstheme="minorHAnsi"/>
          <w:color w:val="auto"/>
          <w:lang w:eastAsia="cs-CZ"/>
        </w:rPr>
        <w:t>NKÚ na vybraném vzorku pohledávek ověř</w:t>
      </w:r>
      <w:r w:rsidR="00206C61">
        <w:rPr>
          <w:rFonts w:asciiTheme="minorHAnsi" w:hAnsiTheme="minorHAnsi" w:cstheme="minorHAnsi"/>
          <w:color w:val="auto"/>
          <w:lang w:eastAsia="cs-CZ"/>
        </w:rPr>
        <w:t>oval, zda</w:t>
      </w:r>
      <w:r w:rsidRPr="00206C61">
        <w:rPr>
          <w:rFonts w:asciiTheme="minorHAnsi" w:hAnsiTheme="minorHAnsi" w:cstheme="minorHAnsi"/>
          <w:color w:val="auto"/>
          <w:lang w:eastAsia="cs-CZ"/>
        </w:rPr>
        <w:t xml:space="preserve"> ÚZSVM postupoval v souladu s ustanovením § 14 odst. 5 zákona č. 219/2000 Sb., </w:t>
      </w:r>
      <w:r w:rsidR="00AA6F4D">
        <w:rPr>
          <w:rFonts w:asciiTheme="minorHAnsi" w:hAnsiTheme="minorHAnsi" w:cstheme="minorHAnsi"/>
          <w:color w:val="auto"/>
          <w:lang w:eastAsia="cs-CZ"/>
        </w:rPr>
        <w:t xml:space="preserve">zda </w:t>
      </w:r>
      <w:r w:rsidRPr="00206C61">
        <w:rPr>
          <w:rFonts w:asciiTheme="minorHAnsi" w:hAnsiTheme="minorHAnsi" w:cstheme="minorHAnsi"/>
          <w:color w:val="auto"/>
          <w:lang w:eastAsia="cs-CZ"/>
        </w:rPr>
        <w:t>průběžně sledoval, zda dlužníci včas a</w:t>
      </w:r>
      <w:r w:rsidR="005E0AB7">
        <w:rPr>
          <w:rFonts w:asciiTheme="minorHAnsi" w:hAnsiTheme="minorHAnsi" w:cstheme="minorHAnsi"/>
          <w:color w:val="auto"/>
          <w:lang w:eastAsia="cs-CZ"/>
        </w:rPr>
        <w:t> </w:t>
      </w:r>
      <w:r w:rsidRPr="00206C61">
        <w:rPr>
          <w:rFonts w:asciiTheme="minorHAnsi" w:hAnsiTheme="minorHAnsi" w:cstheme="minorHAnsi"/>
          <w:color w:val="auto"/>
          <w:lang w:eastAsia="cs-CZ"/>
        </w:rPr>
        <w:t>řádně plnili své dluhy</w:t>
      </w:r>
      <w:r w:rsidR="00AA6F4D">
        <w:rPr>
          <w:rFonts w:asciiTheme="minorHAnsi" w:hAnsiTheme="minorHAnsi" w:cstheme="minorHAnsi"/>
          <w:color w:val="auto"/>
          <w:lang w:eastAsia="cs-CZ"/>
        </w:rPr>
        <w:t>,</w:t>
      </w:r>
      <w:r w:rsidRPr="00206C61">
        <w:rPr>
          <w:rFonts w:asciiTheme="minorHAnsi" w:hAnsiTheme="minorHAnsi" w:cstheme="minorHAnsi"/>
          <w:color w:val="auto"/>
          <w:lang w:eastAsia="cs-CZ"/>
        </w:rPr>
        <w:t xml:space="preserve"> a včasným uplatněním a vymáháním práv činil takové úkony, aby nedošlo u vybraných pohledávek k promlčení nebo zániku práv. V případě sjednání plnění ve splátkách ÚZSVM postupoval v souladu s ustanovením § 31 zákona č. 219/2000 Sb.</w:t>
      </w:r>
    </w:p>
    <w:p w14:paraId="6428388E" w14:textId="77777777" w:rsidR="008D4AF1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Byly zjištěny pouze nedostatky v oblasti účetnictví, které jsou popsány níže.</w:t>
      </w:r>
    </w:p>
    <w:p w14:paraId="760E8BEE" w14:textId="39865087" w:rsidR="008D4AF1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ÚZSVM v jednom kontrolovaném případě nepostupoval v souladu s ustanovením § 30 odst. 1 písm. b) zákona č. 563/1991 Sb., když dokladovou inventurou nezjistil skutečný stav pohledávky k 31. 12. 2019 a vykazoval ji ve výši 18 416 756 Kč, přestože byla dlužníkem v daném roce zcela splacena. ÚZSVM nezjistil skutečný stav majetku, neprovedl inventarizaci v souladu s ustanovením § 29 odst. 1 zákona č. 563/1991 Sb. a neověřil, zda zjištěný skutečný stav odpovídá stavu majetku v účetnictví.</w:t>
      </w:r>
    </w:p>
    <w:p w14:paraId="271B1C54" w14:textId="755FA105" w:rsidR="008D4AF1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V dalším případě ÚZSVM nepostupoval v souladu s ustanovením § 7</w:t>
      </w:r>
      <w:r w:rsidR="00D51607" w:rsidRPr="003E098C">
        <w:rPr>
          <w:rFonts w:asciiTheme="minorHAnsi" w:hAnsiTheme="minorHAnsi" w:cstheme="minorHAnsi"/>
          <w:color w:val="auto"/>
        </w:rPr>
        <w:t>2 odst. 2 vyhlášky č. </w:t>
      </w:r>
      <w:r w:rsidRPr="003E098C">
        <w:rPr>
          <w:rFonts w:asciiTheme="minorHAnsi" w:hAnsiTheme="minorHAnsi" w:cstheme="minorHAnsi"/>
          <w:color w:val="auto"/>
        </w:rPr>
        <w:t>410/2009 Sb., když neprovedl ocenění dl</w:t>
      </w:r>
      <w:r w:rsidR="00D51607" w:rsidRPr="003E098C">
        <w:rPr>
          <w:rFonts w:asciiTheme="minorHAnsi" w:hAnsiTheme="minorHAnsi" w:cstheme="minorHAnsi"/>
          <w:color w:val="auto"/>
        </w:rPr>
        <w:t>ouhodobé podmíněné pohledávky v </w:t>
      </w:r>
      <w:r w:rsidRPr="003E098C">
        <w:rPr>
          <w:rFonts w:asciiTheme="minorHAnsi" w:hAnsiTheme="minorHAnsi" w:cstheme="minorHAnsi"/>
          <w:color w:val="auto"/>
        </w:rPr>
        <w:t>předpokládané výši plnění dle smlouvy o nájmu. Rozdíl mezi částkou zaznamenanou ÚZSVM v inventurním soupisu a částkou (oceněním) stanovenou podle ustanovení § 72 odst. 2 vyhlášky č. 410/2009 Sb. v roce 2018 činil 14 097 481 Kč a v roce 2019 činil 112</w:t>
      </w:r>
      <w:r w:rsidR="002446AF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118</w:t>
      </w:r>
      <w:r w:rsidR="002446AF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782</w:t>
      </w:r>
      <w:r w:rsidR="002446AF">
        <w:rPr>
          <w:rFonts w:asciiTheme="minorHAnsi" w:hAnsiTheme="minorHAnsi" w:cstheme="minorHAnsi"/>
          <w:color w:val="auto"/>
        </w:rPr>
        <w:t> </w:t>
      </w:r>
      <w:r w:rsidRPr="003E098C">
        <w:rPr>
          <w:rFonts w:asciiTheme="minorHAnsi" w:hAnsiTheme="minorHAnsi" w:cstheme="minorHAnsi"/>
          <w:color w:val="auto"/>
        </w:rPr>
        <w:t>Kč.</w:t>
      </w:r>
    </w:p>
    <w:p w14:paraId="561A8786" w14:textId="65E80A98" w:rsidR="008D4AF1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Dále bylo zjištěno, že ÚZSVM nepostupoval v souladu s us</w:t>
      </w:r>
      <w:r w:rsidR="00D51607" w:rsidRPr="003E098C">
        <w:rPr>
          <w:rFonts w:asciiTheme="minorHAnsi" w:hAnsiTheme="minorHAnsi" w:cstheme="minorHAnsi"/>
          <w:color w:val="auto"/>
        </w:rPr>
        <w:t>tanovením § 8 odst. 3 zákona č. </w:t>
      </w:r>
      <w:r w:rsidRPr="003E098C">
        <w:rPr>
          <w:rFonts w:asciiTheme="minorHAnsi" w:hAnsiTheme="minorHAnsi" w:cstheme="minorHAnsi"/>
          <w:color w:val="auto"/>
        </w:rPr>
        <w:t>563/1991 Sb. tím, že v účetních obdobích 2017 až 2019 nezaúčtoval pohledávku ve výši 2 001 703 Kč v knize podrozvahových účtů, ale zaúčtoval j</w:t>
      </w:r>
      <w:r w:rsidR="00AA6F4D">
        <w:rPr>
          <w:rFonts w:asciiTheme="minorHAnsi" w:hAnsiTheme="minorHAnsi" w:cstheme="minorHAnsi"/>
          <w:color w:val="auto"/>
        </w:rPr>
        <w:t>i</w:t>
      </w:r>
      <w:r w:rsidRPr="003E098C">
        <w:rPr>
          <w:rFonts w:asciiTheme="minorHAnsi" w:hAnsiTheme="minorHAnsi" w:cstheme="minorHAnsi"/>
          <w:color w:val="auto"/>
        </w:rPr>
        <w:t xml:space="preserve"> až v roce 2020.</w:t>
      </w:r>
    </w:p>
    <w:p w14:paraId="52CE04AF" w14:textId="77777777" w:rsidR="002446AF" w:rsidRPr="003E098C" w:rsidRDefault="002446AF" w:rsidP="002446A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449681B8" w14:textId="77777777" w:rsidR="00E45E43" w:rsidRPr="003E098C" w:rsidRDefault="008B0577" w:rsidP="002446AF">
      <w:pPr>
        <w:pStyle w:val="Odstavecseseznamem"/>
        <w:keepNext/>
        <w:spacing w:before="0" w:after="120" w:line="264" w:lineRule="auto"/>
        <w:ind w:left="0"/>
        <w:contextualSpacing w:val="0"/>
        <w:rPr>
          <w:rFonts w:cstheme="minorHAnsi"/>
          <w:b/>
          <w:color w:val="auto"/>
        </w:rPr>
      </w:pPr>
      <w:r w:rsidRPr="003E098C">
        <w:rPr>
          <w:rFonts w:cstheme="minorHAnsi"/>
          <w:b/>
          <w:color w:val="auto"/>
        </w:rPr>
        <w:t>Výdaje související s nepotřebným majetkem</w:t>
      </w:r>
    </w:p>
    <w:p w14:paraId="5CFB4902" w14:textId="77777777" w:rsidR="00230894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 xml:space="preserve">Dle ustanovení § 14 odst. 3 zákona č. 219/2000 Sb. pečuje organizační složka o zachování majetku a jeho údržbu, a pokud to připouští jeho povaha, i o </w:t>
      </w:r>
      <w:r w:rsidR="009D1777" w:rsidRPr="003E098C">
        <w:rPr>
          <w:rFonts w:asciiTheme="minorHAnsi" w:hAnsiTheme="minorHAnsi" w:cstheme="minorHAnsi"/>
          <w:color w:val="auto"/>
        </w:rPr>
        <w:t>jeho zlepšení nebo rozmnožení a </w:t>
      </w:r>
      <w:r w:rsidRPr="003E098C">
        <w:rPr>
          <w:rFonts w:asciiTheme="minorHAnsi" w:hAnsiTheme="minorHAnsi" w:cstheme="minorHAnsi"/>
          <w:color w:val="auto"/>
        </w:rPr>
        <w:t>chrání jej před poškozením, zničením, ztrátou, odcizením nebo zneužitím. ÚZSVM prováděl v kontrolovaném období údržbu a opravy majetku určené</w:t>
      </w:r>
      <w:r w:rsidR="00EC3463" w:rsidRPr="003E098C">
        <w:rPr>
          <w:rFonts w:asciiTheme="minorHAnsi" w:hAnsiTheme="minorHAnsi" w:cstheme="minorHAnsi"/>
          <w:color w:val="auto"/>
        </w:rPr>
        <w:t>ho</w:t>
      </w:r>
      <w:r w:rsidRPr="003E098C">
        <w:rPr>
          <w:rFonts w:asciiTheme="minorHAnsi" w:hAnsiTheme="minorHAnsi" w:cstheme="minorHAnsi"/>
          <w:color w:val="auto"/>
        </w:rPr>
        <w:t xml:space="preserve"> k prodeji, pronájmu nebo </w:t>
      </w:r>
      <w:r w:rsidRPr="003E098C">
        <w:rPr>
          <w:rFonts w:asciiTheme="minorHAnsi" w:hAnsiTheme="minorHAnsi" w:cstheme="minorHAnsi"/>
          <w:color w:val="auto"/>
        </w:rPr>
        <w:lastRenderedPageBreak/>
        <w:t>bezúplatnému převodu jak vlastními zaměstnanci, tak externími dodavateli. Úkony související s nakládáním s nepotřebným majetkem byly také prováděny jak vlastními zaměstnanci, tak externími dodavateli.</w:t>
      </w:r>
    </w:p>
    <w:p w14:paraId="2F2CB169" w14:textId="77777777" w:rsidR="002D3BA0" w:rsidRPr="007C4854" w:rsidRDefault="008B0577" w:rsidP="002446AF">
      <w:pPr>
        <w:spacing w:before="0" w:after="120" w:line="264" w:lineRule="auto"/>
        <w:rPr>
          <w:rFonts w:asciiTheme="minorHAnsi" w:hAnsiTheme="minorHAnsi" w:cstheme="minorHAnsi"/>
          <w:bCs/>
          <w:color w:val="auto"/>
        </w:rPr>
      </w:pPr>
      <w:r w:rsidRPr="003E098C">
        <w:rPr>
          <w:rFonts w:asciiTheme="minorHAnsi" w:hAnsiTheme="minorHAnsi" w:cstheme="minorHAnsi"/>
          <w:color w:val="auto"/>
        </w:rPr>
        <w:t>NKÚ prověřil výdaje související s nepotřebným majetkem a výdaje na správu a údržbu majetku ve výši 14 504 41</w:t>
      </w:r>
      <w:r w:rsidR="00FC4D09" w:rsidRPr="003E098C">
        <w:rPr>
          <w:rFonts w:asciiTheme="minorHAnsi" w:hAnsiTheme="minorHAnsi" w:cstheme="minorHAnsi"/>
          <w:color w:val="auto"/>
        </w:rPr>
        <w:t>4</w:t>
      </w:r>
      <w:r w:rsidRPr="003E098C">
        <w:rPr>
          <w:rFonts w:asciiTheme="minorHAnsi" w:hAnsiTheme="minorHAnsi" w:cstheme="minorHAnsi"/>
          <w:color w:val="auto"/>
        </w:rPr>
        <w:t xml:space="preserve"> Kč.</w:t>
      </w:r>
      <w:r w:rsidRPr="007C4854">
        <w:rPr>
          <w:rFonts w:asciiTheme="minorHAnsi" w:hAnsiTheme="minorHAnsi" w:cstheme="minorHAnsi"/>
          <w:bCs/>
          <w:color w:val="auto"/>
        </w:rPr>
        <w:t xml:space="preserve"> </w:t>
      </w:r>
    </w:p>
    <w:p w14:paraId="609EE142" w14:textId="219260DA" w:rsidR="002D3BA0" w:rsidRPr="00206C61" w:rsidRDefault="008B0577" w:rsidP="002446AF">
      <w:pPr>
        <w:spacing w:before="0" w:after="120" w:line="264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06C61">
        <w:rPr>
          <w:rFonts w:asciiTheme="minorHAnsi" w:hAnsiTheme="minorHAnsi" w:cstheme="minorHAnsi"/>
          <w:bCs/>
          <w:color w:val="auto"/>
        </w:rPr>
        <w:t xml:space="preserve">NKÚ </w:t>
      </w:r>
      <w:r w:rsidR="00E50AB0" w:rsidRPr="00206C61">
        <w:rPr>
          <w:rFonts w:asciiTheme="minorHAnsi" w:hAnsiTheme="minorHAnsi" w:cstheme="minorHAnsi"/>
          <w:bCs/>
          <w:color w:val="auto"/>
        </w:rPr>
        <w:t xml:space="preserve">na kontrolovaném vzorku </w:t>
      </w:r>
      <w:r w:rsidRPr="00206C61">
        <w:rPr>
          <w:rFonts w:asciiTheme="minorHAnsi" w:hAnsiTheme="minorHAnsi" w:cstheme="minorHAnsi"/>
          <w:bCs/>
          <w:color w:val="auto"/>
        </w:rPr>
        <w:t>ověř</w:t>
      </w:r>
      <w:r w:rsidR="00206C61">
        <w:rPr>
          <w:rFonts w:asciiTheme="minorHAnsi" w:hAnsiTheme="minorHAnsi" w:cstheme="minorHAnsi"/>
          <w:bCs/>
          <w:color w:val="auto"/>
        </w:rPr>
        <w:t xml:space="preserve">oval, zda </w:t>
      </w:r>
      <w:r w:rsidRPr="00206C61">
        <w:rPr>
          <w:rFonts w:asciiTheme="minorHAnsi" w:hAnsiTheme="minorHAnsi" w:cstheme="minorHAnsi"/>
          <w:bCs/>
          <w:color w:val="auto"/>
        </w:rPr>
        <w:t xml:space="preserve">ÚZSVM zadal veřejné zakázky malého rozsahu dle </w:t>
      </w:r>
      <w:r w:rsidR="007C4854">
        <w:rPr>
          <w:rFonts w:asciiTheme="minorHAnsi" w:hAnsiTheme="minorHAnsi" w:cstheme="minorHAnsi"/>
          <w:bCs/>
          <w:color w:val="auto"/>
        </w:rPr>
        <w:t>p</w:t>
      </w:r>
      <w:r w:rsidRPr="00206C61">
        <w:rPr>
          <w:rFonts w:asciiTheme="minorHAnsi" w:hAnsiTheme="minorHAnsi" w:cstheme="minorHAnsi"/>
          <w:bCs/>
          <w:color w:val="auto"/>
        </w:rPr>
        <w:t>říkaz</w:t>
      </w:r>
      <w:r w:rsidR="00607D17">
        <w:rPr>
          <w:rFonts w:asciiTheme="minorHAnsi" w:hAnsiTheme="minorHAnsi" w:cstheme="minorHAnsi"/>
          <w:bCs/>
          <w:color w:val="auto"/>
        </w:rPr>
        <w:t>ů</w:t>
      </w:r>
      <w:r w:rsidRPr="00206C61">
        <w:rPr>
          <w:rFonts w:asciiTheme="minorHAnsi" w:hAnsiTheme="minorHAnsi" w:cstheme="minorHAnsi"/>
          <w:bCs/>
          <w:color w:val="auto"/>
        </w:rPr>
        <w:t xml:space="preserve"> </w:t>
      </w:r>
      <w:r w:rsidR="0038503F">
        <w:rPr>
          <w:rFonts w:asciiTheme="minorHAnsi" w:hAnsiTheme="minorHAnsi" w:cstheme="minorHAnsi"/>
          <w:bCs/>
          <w:color w:val="auto"/>
        </w:rPr>
        <w:t xml:space="preserve">generálního ředitele </w:t>
      </w:r>
      <w:r w:rsidRPr="00206C61">
        <w:rPr>
          <w:rFonts w:asciiTheme="minorHAnsi" w:hAnsiTheme="minorHAnsi" w:cstheme="minorHAnsi"/>
          <w:bCs/>
          <w:color w:val="auto"/>
        </w:rPr>
        <w:t xml:space="preserve">č. 4/2016 a č. 1/2019, neporušil </w:t>
      </w:r>
      <w:r w:rsidRPr="00206C61">
        <w:rPr>
          <w:rFonts w:asciiTheme="minorHAnsi" w:hAnsiTheme="minorHAnsi" w:cstheme="minorHAnsi"/>
          <w:bCs/>
          <w:color w:val="auto"/>
          <w:lang w:eastAsia="cs-CZ"/>
        </w:rPr>
        <w:t>zásady transparentnosti, přiměřenosti, rovného zacházení a zákazu diskriminace. Nadlimitní veřejnou zakázku zadal ÚZSVM v souladu se zákonem č. 134/2016 Sb.</w:t>
      </w:r>
      <w:r w:rsidR="00273385" w:rsidRPr="00206C61">
        <w:rPr>
          <w:rStyle w:val="Znakapoznpodarou"/>
          <w:rFonts w:asciiTheme="minorHAnsi" w:hAnsiTheme="minorHAnsi" w:cstheme="minorHAnsi"/>
          <w:bCs/>
          <w:color w:val="auto"/>
          <w:lang w:eastAsia="cs-CZ"/>
        </w:rPr>
        <w:footnoteReference w:id="14"/>
      </w:r>
      <w:r w:rsidRPr="00206C61">
        <w:rPr>
          <w:rFonts w:asciiTheme="minorHAnsi" w:hAnsiTheme="minorHAnsi" w:cstheme="minorHAnsi"/>
          <w:bCs/>
          <w:color w:val="auto"/>
          <w:lang w:eastAsia="cs-CZ"/>
        </w:rPr>
        <w:t xml:space="preserve"> F</w:t>
      </w:r>
      <w:r w:rsidRPr="00206C61">
        <w:rPr>
          <w:rFonts w:asciiTheme="minorHAnsi" w:hAnsiTheme="minorHAnsi" w:cstheme="minorHAnsi"/>
          <w:bCs/>
          <w:color w:val="auto"/>
        </w:rPr>
        <w:t>akturace byla provedena v souladu s uzavřenými smlouvami. Výdaje vynaložené v souvislosti s nepotřebným majetkem byly s výjimkou vyklízení nemovitých věcí (viz níže) průkazné, hospodárné a řádně zdůvodněné.</w:t>
      </w:r>
    </w:p>
    <w:p w14:paraId="4A349231" w14:textId="77777777" w:rsidR="002D3BA0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color w:val="auto"/>
          <w:lang w:eastAsia="cs-CZ"/>
        </w:rPr>
      </w:pPr>
      <w:r w:rsidRPr="003E098C">
        <w:rPr>
          <w:rFonts w:asciiTheme="minorHAnsi" w:hAnsiTheme="minorHAnsi" w:cstheme="minorHAnsi"/>
          <w:color w:val="auto"/>
        </w:rPr>
        <w:t xml:space="preserve">V rámci kontrolovaného vzorku </w:t>
      </w:r>
      <w:r w:rsidR="009E3CA3" w:rsidRPr="003E098C">
        <w:rPr>
          <w:rFonts w:asciiTheme="minorHAnsi" w:hAnsiTheme="minorHAnsi" w:cstheme="minorHAnsi"/>
          <w:color w:val="auto"/>
        </w:rPr>
        <w:t>NKÚ</w:t>
      </w:r>
      <w:r w:rsidRPr="003E098C">
        <w:rPr>
          <w:rFonts w:asciiTheme="minorHAnsi" w:hAnsiTheme="minorHAnsi" w:cstheme="minorHAnsi"/>
          <w:color w:val="auto"/>
        </w:rPr>
        <w:t xml:space="preserve"> prověřil mj. rámcovou dohodu </w:t>
      </w:r>
      <w:r w:rsidR="00C7273C" w:rsidRPr="003E098C">
        <w:rPr>
          <w:rFonts w:asciiTheme="minorHAnsi" w:hAnsiTheme="minorHAnsi" w:cstheme="minorHAnsi"/>
          <w:color w:val="auto"/>
        </w:rPr>
        <w:t>č. </w:t>
      </w:r>
      <w:r w:rsidR="00C02316" w:rsidRPr="003E098C">
        <w:rPr>
          <w:rFonts w:asciiTheme="minorHAnsi" w:hAnsiTheme="minorHAnsi" w:cstheme="minorHAnsi"/>
          <w:color w:val="auto"/>
        </w:rPr>
        <w:t xml:space="preserve">190/2017 </w:t>
      </w:r>
      <w:r w:rsidRPr="003E098C">
        <w:rPr>
          <w:rFonts w:asciiTheme="minorHAnsi" w:hAnsiTheme="minorHAnsi" w:cstheme="minorHAnsi"/>
          <w:color w:val="auto"/>
        </w:rPr>
        <w:t>na likvidaci odpadu a s ní související plnění. Rámcovou dohodu uzavřel Ú</w:t>
      </w:r>
      <w:r w:rsidR="008C4CE5" w:rsidRPr="003E098C">
        <w:rPr>
          <w:rFonts w:asciiTheme="minorHAnsi" w:hAnsiTheme="minorHAnsi" w:cstheme="minorHAnsi"/>
          <w:color w:val="auto"/>
        </w:rPr>
        <w:t>ZSVM se zhotovitelem dne 21. 9. </w:t>
      </w:r>
      <w:r w:rsidRPr="003E098C">
        <w:rPr>
          <w:rFonts w:asciiTheme="minorHAnsi" w:hAnsiTheme="minorHAnsi" w:cstheme="minorHAnsi"/>
          <w:color w:val="auto"/>
        </w:rPr>
        <w:t xml:space="preserve">2017. </w:t>
      </w:r>
      <w:r w:rsidRPr="003E098C">
        <w:rPr>
          <w:rFonts w:asciiTheme="minorHAnsi" w:hAnsiTheme="minorHAnsi" w:cstheme="minorHAnsi"/>
          <w:color w:val="auto"/>
          <w:lang w:eastAsia="cs-CZ"/>
        </w:rPr>
        <w:t>Předmětem rámcové dohody bylo vyklízení b</w:t>
      </w:r>
      <w:r w:rsidR="008C4CE5" w:rsidRPr="003E098C">
        <w:rPr>
          <w:rFonts w:asciiTheme="minorHAnsi" w:hAnsiTheme="minorHAnsi" w:cstheme="minorHAnsi"/>
          <w:color w:val="auto"/>
          <w:lang w:eastAsia="cs-CZ"/>
        </w:rPr>
        <w:t>udov a pozemků, včetně odvozu a </w:t>
      </w:r>
      <w:r w:rsidRPr="003E098C">
        <w:rPr>
          <w:rFonts w:asciiTheme="minorHAnsi" w:hAnsiTheme="minorHAnsi" w:cstheme="minorHAnsi"/>
          <w:color w:val="auto"/>
          <w:lang w:eastAsia="cs-CZ"/>
        </w:rPr>
        <w:t xml:space="preserve">zajištění likvidace komunálního odpadu a odpadu obdobného komunálnímu, vč. odpadu nebezpečného. </w:t>
      </w:r>
    </w:p>
    <w:p w14:paraId="5DD94D3F" w14:textId="43097A12" w:rsidR="002D3BA0" w:rsidRPr="003E098C" w:rsidRDefault="008B0577" w:rsidP="002446AF">
      <w:pPr>
        <w:autoSpaceDE w:val="0"/>
        <w:autoSpaceDN w:val="0"/>
        <w:adjustRightInd w:val="0"/>
        <w:spacing w:before="0" w:after="120" w:line="264" w:lineRule="auto"/>
        <w:rPr>
          <w:rFonts w:asciiTheme="minorHAnsi" w:hAnsiTheme="minorHAnsi" w:cstheme="minorHAnsi"/>
          <w:bCs/>
          <w:color w:val="auto"/>
        </w:rPr>
      </w:pPr>
      <w:r w:rsidRPr="003E098C">
        <w:rPr>
          <w:rFonts w:asciiTheme="minorHAnsi" w:hAnsiTheme="minorHAnsi" w:cstheme="minorHAnsi"/>
          <w:bCs/>
          <w:color w:val="auto"/>
        </w:rPr>
        <w:t xml:space="preserve">ÚZSVM porušil ustanovení § 5 odst. 2 zákona č. 340/2015 Sb., když jako povinná osoba podle </w:t>
      </w:r>
      <w:r w:rsidR="008C4CE5" w:rsidRPr="003E098C">
        <w:rPr>
          <w:rFonts w:asciiTheme="minorHAnsi" w:hAnsiTheme="minorHAnsi" w:cstheme="minorHAnsi"/>
          <w:bCs/>
          <w:color w:val="auto"/>
        </w:rPr>
        <w:t xml:space="preserve">ustanovení </w:t>
      </w:r>
      <w:r w:rsidRPr="003E098C">
        <w:rPr>
          <w:rFonts w:asciiTheme="minorHAnsi" w:hAnsiTheme="minorHAnsi" w:cstheme="minorHAnsi"/>
          <w:bCs/>
          <w:color w:val="auto"/>
        </w:rPr>
        <w:t>§ 2 odst. 1 zákona č. 340/2015 Sb. nezaslal rámcovou dohodu č. 190/2017 správci registru smluv k uveřejnění prostřednictvím registru smluv ve strojově čitelném formátu a s </w:t>
      </w:r>
      <w:proofErr w:type="spellStart"/>
      <w:r w:rsidRPr="003E098C">
        <w:rPr>
          <w:rFonts w:asciiTheme="minorHAnsi" w:hAnsiTheme="minorHAnsi" w:cstheme="minorHAnsi"/>
          <w:bCs/>
          <w:color w:val="auto"/>
        </w:rPr>
        <w:t>metadaty</w:t>
      </w:r>
      <w:proofErr w:type="spellEnd"/>
      <w:r w:rsidRPr="003E098C">
        <w:rPr>
          <w:rFonts w:asciiTheme="minorHAnsi" w:hAnsiTheme="minorHAnsi" w:cstheme="minorHAnsi"/>
          <w:bCs/>
          <w:color w:val="auto"/>
        </w:rPr>
        <w:t xml:space="preserve"> obsahujícími identifikaci zhotovitele (</w:t>
      </w:r>
      <w:r w:rsidR="005C4809" w:rsidRPr="003E098C">
        <w:rPr>
          <w:rFonts w:asciiTheme="minorHAnsi" w:hAnsiTheme="minorHAnsi" w:cstheme="minorHAnsi"/>
          <w:bCs/>
          <w:color w:val="auto"/>
        </w:rPr>
        <w:t xml:space="preserve">ustanovení </w:t>
      </w:r>
      <w:r w:rsidRPr="003E098C">
        <w:rPr>
          <w:rFonts w:asciiTheme="minorHAnsi" w:hAnsiTheme="minorHAnsi" w:cstheme="minorHAnsi"/>
          <w:bCs/>
          <w:color w:val="auto"/>
        </w:rPr>
        <w:t>§ 5 odst. 1 zákona č.</w:t>
      </w:r>
      <w:r w:rsidR="005E0AB7">
        <w:rPr>
          <w:rFonts w:asciiTheme="minorHAnsi" w:hAnsiTheme="minorHAnsi" w:cstheme="minorHAnsi"/>
          <w:bCs/>
          <w:color w:val="auto"/>
        </w:rPr>
        <w:t> </w:t>
      </w:r>
      <w:r w:rsidRPr="003E098C">
        <w:rPr>
          <w:rFonts w:asciiTheme="minorHAnsi" w:hAnsiTheme="minorHAnsi" w:cstheme="minorHAnsi"/>
          <w:bCs/>
          <w:color w:val="auto"/>
        </w:rPr>
        <w:t>340/2015</w:t>
      </w:r>
      <w:r w:rsidR="005E0AB7">
        <w:rPr>
          <w:rFonts w:asciiTheme="minorHAnsi" w:hAnsiTheme="minorHAnsi" w:cstheme="minorHAnsi"/>
          <w:bCs/>
          <w:color w:val="auto"/>
        </w:rPr>
        <w:t> </w:t>
      </w:r>
      <w:r w:rsidRPr="003E098C">
        <w:rPr>
          <w:rFonts w:asciiTheme="minorHAnsi" w:hAnsiTheme="minorHAnsi" w:cstheme="minorHAnsi"/>
          <w:bCs/>
          <w:color w:val="auto"/>
        </w:rPr>
        <w:t>Sb.) bez zbytečného odkladu, nejpozději však do 30 dn</w:t>
      </w:r>
      <w:r w:rsidR="005C4809" w:rsidRPr="003E098C">
        <w:rPr>
          <w:rFonts w:asciiTheme="minorHAnsi" w:hAnsiTheme="minorHAnsi" w:cstheme="minorHAnsi"/>
          <w:bCs/>
          <w:color w:val="auto"/>
        </w:rPr>
        <w:t xml:space="preserve">ů od uzavření </w:t>
      </w:r>
      <w:r w:rsidR="0038503F">
        <w:rPr>
          <w:rFonts w:asciiTheme="minorHAnsi" w:hAnsiTheme="minorHAnsi" w:cstheme="minorHAnsi"/>
          <w:bCs/>
          <w:color w:val="auto"/>
        </w:rPr>
        <w:t xml:space="preserve">předmětné </w:t>
      </w:r>
      <w:r w:rsidR="005C4809" w:rsidRPr="003E098C">
        <w:rPr>
          <w:rFonts w:asciiTheme="minorHAnsi" w:hAnsiTheme="minorHAnsi" w:cstheme="minorHAnsi"/>
          <w:bCs/>
          <w:color w:val="auto"/>
        </w:rPr>
        <w:t>rámcové dohody č. </w:t>
      </w:r>
      <w:r w:rsidRPr="003E098C">
        <w:rPr>
          <w:rFonts w:asciiTheme="minorHAnsi" w:hAnsiTheme="minorHAnsi" w:cstheme="minorHAnsi"/>
          <w:bCs/>
          <w:color w:val="auto"/>
        </w:rPr>
        <w:t xml:space="preserve">190/2017. Neuveřejněním v zákonem stanovené době v registru smluv byla </w:t>
      </w:r>
      <w:r w:rsidR="0038503F">
        <w:rPr>
          <w:rFonts w:asciiTheme="minorHAnsi" w:hAnsiTheme="minorHAnsi" w:cstheme="minorHAnsi"/>
          <w:bCs/>
          <w:color w:val="auto"/>
        </w:rPr>
        <w:t xml:space="preserve">dohoda </w:t>
      </w:r>
      <w:r w:rsidRPr="003E098C">
        <w:rPr>
          <w:rFonts w:asciiTheme="minorHAnsi" w:hAnsiTheme="minorHAnsi" w:cstheme="minorHAnsi"/>
          <w:bCs/>
          <w:color w:val="auto"/>
        </w:rPr>
        <w:t>neúčinná (</w:t>
      </w:r>
      <w:r w:rsidR="005C4809" w:rsidRPr="003E098C">
        <w:rPr>
          <w:rFonts w:asciiTheme="minorHAnsi" w:hAnsiTheme="minorHAnsi" w:cstheme="minorHAnsi"/>
          <w:bCs/>
          <w:color w:val="auto"/>
        </w:rPr>
        <w:t xml:space="preserve">ustanovení </w:t>
      </w:r>
      <w:r w:rsidRPr="003E098C">
        <w:rPr>
          <w:rFonts w:asciiTheme="minorHAnsi" w:hAnsiTheme="minorHAnsi" w:cstheme="minorHAnsi"/>
          <w:bCs/>
          <w:color w:val="auto"/>
        </w:rPr>
        <w:t xml:space="preserve">§ 6 odst. 1 zákona č. 340/2015 Sb.), následně byla podle </w:t>
      </w:r>
      <w:r w:rsidR="005C4809" w:rsidRPr="003E098C">
        <w:rPr>
          <w:rFonts w:asciiTheme="minorHAnsi" w:hAnsiTheme="minorHAnsi" w:cstheme="minorHAnsi"/>
          <w:bCs/>
          <w:color w:val="auto"/>
        </w:rPr>
        <w:t xml:space="preserve">ustanovení </w:t>
      </w:r>
      <w:r w:rsidRPr="003E098C">
        <w:rPr>
          <w:rFonts w:asciiTheme="minorHAnsi" w:hAnsiTheme="minorHAnsi" w:cstheme="minorHAnsi"/>
          <w:bCs/>
          <w:color w:val="auto"/>
        </w:rPr>
        <w:t>§ 7 odst. 1 zákona č. 340/2015 Sb. zrušena od počátku.</w:t>
      </w:r>
    </w:p>
    <w:p w14:paraId="747555DB" w14:textId="77777777" w:rsidR="002D3BA0" w:rsidRPr="003E098C" w:rsidRDefault="008B0577" w:rsidP="002446AF">
      <w:pPr>
        <w:autoSpaceDE w:val="0"/>
        <w:autoSpaceDN w:val="0"/>
        <w:adjustRightInd w:val="0"/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3E098C">
        <w:rPr>
          <w:rFonts w:cstheme="minorHAnsi"/>
          <w:color w:val="auto"/>
        </w:rPr>
        <w:t xml:space="preserve">Do ukončení kontroly předložil ÚZSVM </w:t>
      </w:r>
      <w:r w:rsidRPr="003E098C">
        <w:rPr>
          <w:rFonts w:asciiTheme="minorHAnsi" w:hAnsiTheme="minorHAnsi" w:cstheme="minorHAnsi"/>
          <w:color w:val="auto"/>
        </w:rPr>
        <w:t>smlouvu o vypořádá</w:t>
      </w:r>
      <w:r w:rsidR="002446AF">
        <w:rPr>
          <w:rFonts w:asciiTheme="minorHAnsi" w:hAnsiTheme="minorHAnsi" w:cstheme="minorHAnsi"/>
          <w:color w:val="auto"/>
        </w:rPr>
        <w:t>ní závazků, kde v čl. II je mj. </w:t>
      </w:r>
      <w:r w:rsidRPr="003E098C">
        <w:rPr>
          <w:rFonts w:asciiTheme="minorHAnsi" w:hAnsiTheme="minorHAnsi" w:cstheme="minorHAnsi"/>
          <w:color w:val="auto"/>
        </w:rPr>
        <w:t>uvedeno, že smluvní strany prohlašují, že veškerá vzájemně poskytnutá plnění na základě sjednané rámcové dohody považují za plnění dle této smlouvy a že v souvislosti se vzájemně poskytnutým plněním nebudou vzájemně vznášet vůči druhé smluvní straně nároky z titulu bezdůvodného obohacení, ani žádné jiné nároky.</w:t>
      </w:r>
    </w:p>
    <w:p w14:paraId="546BA8F2" w14:textId="77777777" w:rsidR="009E2029" w:rsidRPr="003E098C" w:rsidRDefault="008B0577" w:rsidP="002446AF">
      <w:pPr>
        <w:spacing w:before="0" w:after="120" w:line="264" w:lineRule="auto"/>
        <w:rPr>
          <w:rFonts w:asciiTheme="minorHAnsi" w:hAnsiTheme="minorHAnsi" w:cstheme="minorHAnsi"/>
          <w:iCs/>
          <w:color w:val="auto"/>
        </w:rPr>
      </w:pPr>
      <w:r w:rsidRPr="003E098C">
        <w:rPr>
          <w:rFonts w:asciiTheme="minorHAnsi" w:hAnsiTheme="minorHAnsi" w:cstheme="minorHAnsi"/>
          <w:color w:val="auto"/>
        </w:rPr>
        <w:t xml:space="preserve">V souvislosti s rámcovou dohodou </w:t>
      </w:r>
      <w:r w:rsidR="00C02316" w:rsidRPr="003E098C">
        <w:rPr>
          <w:rFonts w:asciiTheme="minorHAnsi" w:hAnsiTheme="minorHAnsi" w:cstheme="minorHAnsi"/>
          <w:color w:val="auto"/>
        </w:rPr>
        <w:t>č. 190/2017</w:t>
      </w:r>
      <w:r w:rsidRPr="003E098C">
        <w:rPr>
          <w:rFonts w:asciiTheme="minorHAnsi" w:hAnsiTheme="minorHAnsi" w:cstheme="minorHAnsi"/>
          <w:color w:val="auto"/>
        </w:rPr>
        <w:t xml:space="preserve"> předložil </w:t>
      </w:r>
      <w:r w:rsidR="005C4809" w:rsidRPr="003E098C">
        <w:rPr>
          <w:rFonts w:asciiTheme="minorHAnsi" w:hAnsiTheme="minorHAnsi" w:cstheme="minorHAnsi"/>
          <w:color w:val="auto"/>
        </w:rPr>
        <w:t>ÚZSVM za kontrolované období 24 </w:t>
      </w:r>
      <w:r w:rsidRPr="003E098C">
        <w:rPr>
          <w:rFonts w:asciiTheme="minorHAnsi" w:hAnsiTheme="minorHAnsi" w:cstheme="minorHAnsi"/>
          <w:color w:val="auto"/>
        </w:rPr>
        <w:t>objednávek a faktur</w:t>
      </w:r>
      <w:r w:rsidR="00C01C46" w:rsidRPr="003E098C">
        <w:rPr>
          <w:rFonts w:asciiTheme="minorHAnsi" w:hAnsiTheme="minorHAnsi" w:cstheme="minorHAnsi"/>
          <w:color w:val="auto"/>
        </w:rPr>
        <w:t>, z toho u faktur, za které uhradil v celkové částce 345 6</w:t>
      </w:r>
      <w:r w:rsidR="00767D62">
        <w:rPr>
          <w:rFonts w:asciiTheme="minorHAnsi" w:hAnsiTheme="minorHAnsi" w:cstheme="minorHAnsi"/>
          <w:color w:val="auto"/>
        </w:rPr>
        <w:t>40</w:t>
      </w:r>
      <w:r w:rsidR="00C01C46" w:rsidRPr="003E098C">
        <w:rPr>
          <w:rFonts w:asciiTheme="minorHAnsi" w:hAnsiTheme="minorHAnsi" w:cstheme="minorHAnsi"/>
          <w:color w:val="auto"/>
        </w:rPr>
        <w:t xml:space="preserve"> Kč, neprokázal</w:t>
      </w:r>
      <w:r w:rsidR="00767D62">
        <w:rPr>
          <w:rFonts w:asciiTheme="minorHAnsi" w:hAnsiTheme="minorHAnsi" w:cstheme="minorHAnsi"/>
          <w:color w:val="auto"/>
        </w:rPr>
        <w:t xml:space="preserve"> dodavatel služeb </w:t>
      </w:r>
      <w:r w:rsidR="00C01C46" w:rsidRPr="003E098C">
        <w:rPr>
          <w:rFonts w:asciiTheme="minorHAnsi" w:hAnsiTheme="minorHAnsi" w:cstheme="minorHAnsi"/>
          <w:color w:val="auto"/>
        </w:rPr>
        <w:t xml:space="preserve">objem skutečně odvezeného a zlikvidovaného odpadu. ÚZSVM tak nepostupoval v souladu s </w:t>
      </w:r>
      <w:r w:rsidR="00C01C46" w:rsidRPr="003E098C">
        <w:rPr>
          <w:rFonts w:asciiTheme="minorHAnsi" w:hAnsiTheme="minorHAnsi" w:cstheme="minorHAnsi"/>
          <w:bCs/>
          <w:color w:val="auto"/>
        </w:rPr>
        <w:t xml:space="preserve">ustanovením § 33a odst. 1 zákona č. 563/1991 Sb. a </w:t>
      </w:r>
      <w:r w:rsidR="00C01C46" w:rsidRPr="003E098C">
        <w:rPr>
          <w:rFonts w:asciiTheme="minorHAnsi" w:hAnsiTheme="minorHAnsi" w:cstheme="minorHAnsi"/>
          <w:iCs/>
          <w:color w:val="auto"/>
        </w:rPr>
        <w:t>porušil ustanovení § 8 odst. 1 a odst. 4 zákona č. 563/1991 Sb</w:t>
      </w:r>
      <w:r w:rsidR="00230894" w:rsidRPr="003E098C">
        <w:rPr>
          <w:rFonts w:asciiTheme="minorHAnsi" w:hAnsiTheme="minorHAnsi" w:cstheme="minorHAnsi"/>
          <w:iCs/>
          <w:color w:val="auto"/>
        </w:rPr>
        <w:t>.</w:t>
      </w:r>
    </w:p>
    <w:p w14:paraId="413D2574" w14:textId="483AAC9C" w:rsidR="002D3BA0" w:rsidRPr="00633DAB" w:rsidRDefault="00633DAB" w:rsidP="002446AF">
      <w:pPr>
        <w:spacing w:before="0" w:after="120" w:line="264" w:lineRule="auto"/>
        <w:rPr>
          <w:rFonts w:asciiTheme="minorHAnsi" w:hAnsiTheme="minorHAnsi" w:cstheme="minorHAnsi"/>
          <w:color w:val="auto"/>
        </w:rPr>
      </w:pPr>
      <w:r w:rsidRPr="00633DAB">
        <w:rPr>
          <w:rFonts w:asciiTheme="minorHAnsi" w:hAnsiTheme="minorHAnsi" w:cstheme="minorHAnsi"/>
          <w:iCs/>
        </w:rPr>
        <w:t>ÚZSVM neprovedl řádně předběžnou říd</w:t>
      </w:r>
      <w:r w:rsidR="0038503F">
        <w:rPr>
          <w:rFonts w:asciiTheme="minorHAnsi" w:hAnsiTheme="minorHAnsi" w:cstheme="minorHAnsi"/>
          <w:iCs/>
        </w:rPr>
        <w:t>i</w:t>
      </w:r>
      <w:r w:rsidRPr="00633DAB">
        <w:rPr>
          <w:rFonts w:asciiTheme="minorHAnsi" w:hAnsiTheme="minorHAnsi" w:cstheme="minorHAnsi"/>
          <w:iCs/>
        </w:rPr>
        <w:t>cí kontrolu po vzniku závazku v souladu s ustanovením § 14 odst. 2 a 4 vyhlášky č. 416/2004 Sb., neboť z předložených dokladů ne</w:t>
      </w:r>
      <w:r w:rsidR="0035099A">
        <w:rPr>
          <w:rFonts w:asciiTheme="minorHAnsi" w:hAnsiTheme="minorHAnsi" w:cstheme="minorHAnsi"/>
          <w:iCs/>
        </w:rPr>
        <w:t>bylo</w:t>
      </w:r>
      <w:r w:rsidRPr="00633DAB">
        <w:rPr>
          <w:rFonts w:asciiTheme="minorHAnsi" w:hAnsiTheme="minorHAnsi" w:cstheme="minorHAnsi"/>
          <w:iCs/>
        </w:rPr>
        <w:t xml:space="preserve"> možné prověřit výši závazku.</w:t>
      </w:r>
    </w:p>
    <w:p w14:paraId="61D2AF4D" w14:textId="77777777" w:rsidR="00784C59" w:rsidRDefault="00784C59" w:rsidP="002446AF">
      <w:pPr>
        <w:spacing w:before="0"/>
        <w:rPr>
          <w:rFonts w:asciiTheme="minorHAnsi" w:hAnsiTheme="minorHAnsi" w:cstheme="minorHAnsi"/>
          <w:b/>
          <w:color w:val="auto"/>
        </w:rPr>
      </w:pPr>
    </w:p>
    <w:p w14:paraId="6A9C06D8" w14:textId="77777777" w:rsidR="007C14B0" w:rsidRPr="003E098C" w:rsidRDefault="007C14B0" w:rsidP="002446AF">
      <w:pPr>
        <w:pStyle w:val="Odstavecseseznamem"/>
        <w:autoSpaceDE w:val="0"/>
        <w:autoSpaceDN w:val="0"/>
        <w:adjustRightInd w:val="0"/>
        <w:spacing w:before="0"/>
        <w:ind w:left="0"/>
        <w:contextualSpacing w:val="0"/>
        <w:rPr>
          <w:b/>
          <w:color w:val="auto"/>
        </w:rPr>
      </w:pPr>
    </w:p>
    <w:p w14:paraId="7EBF7F8E" w14:textId="77777777" w:rsidR="002D3BA0" w:rsidRPr="003E098C" w:rsidRDefault="008B0577" w:rsidP="002446AF">
      <w:pPr>
        <w:pStyle w:val="Odstavecseseznamem"/>
        <w:keepNext/>
        <w:autoSpaceDE w:val="0"/>
        <w:autoSpaceDN w:val="0"/>
        <w:adjustRightInd w:val="0"/>
        <w:spacing w:before="0" w:after="60"/>
        <w:ind w:left="0"/>
        <w:contextualSpacing w:val="0"/>
        <w:rPr>
          <w:rFonts w:asciiTheme="minorHAnsi" w:hAnsiTheme="minorHAnsi" w:cstheme="minorHAnsi"/>
          <w:b/>
          <w:color w:val="auto"/>
        </w:rPr>
      </w:pPr>
      <w:r w:rsidRPr="003E098C">
        <w:rPr>
          <w:b/>
          <w:color w:val="auto"/>
        </w:rPr>
        <w:t>Seznam zkratek</w:t>
      </w:r>
    </w:p>
    <w:p w14:paraId="138D6ACB" w14:textId="77777777" w:rsidR="0003391A" w:rsidRPr="003E098C" w:rsidRDefault="0003391A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DHM</w:t>
      </w:r>
      <w:r w:rsidRPr="003E098C">
        <w:rPr>
          <w:rFonts w:asciiTheme="minorHAnsi" w:hAnsiTheme="minorHAnsi" w:cstheme="minorHAnsi"/>
          <w:color w:val="auto"/>
        </w:rPr>
        <w:tab/>
        <w:t>dlouhodobý hmotný majetek</w:t>
      </w:r>
    </w:p>
    <w:p w14:paraId="33469921" w14:textId="77777777" w:rsidR="0003391A" w:rsidRPr="003E098C" w:rsidRDefault="0003391A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DNM</w:t>
      </w:r>
      <w:r w:rsidRPr="003E098C">
        <w:rPr>
          <w:rFonts w:asciiTheme="minorHAnsi" w:hAnsiTheme="minorHAnsi" w:cstheme="minorHAnsi"/>
          <w:color w:val="auto"/>
        </w:rPr>
        <w:tab/>
        <w:t>dlouhodobý nehmotný majetek</w:t>
      </w:r>
    </w:p>
    <w:p w14:paraId="6FE1BBDE" w14:textId="180B3CA6" w:rsidR="00ED1270" w:rsidRDefault="00ED1270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k. </w:t>
      </w:r>
      <w:proofErr w:type="spellStart"/>
      <w:r>
        <w:rPr>
          <w:rFonts w:asciiTheme="minorHAnsi" w:hAnsiTheme="minorHAnsi" w:cstheme="minorHAnsi"/>
          <w:color w:val="auto"/>
        </w:rPr>
        <w:t>ú.</w:t>
      </w:r>
      <w:proofErr w:type="spellEnd"/>
      <w:r>
        <w:rPr>
          <w:rFonts w:asciiTheme="minorHAnsi" w:hAnsiTheme="minorHAnsi" w:cstheme="minorHAnsi"/>
          <w:color w:val="auto"/>
        </w:rPr>
        <w:tab/>
        <w:t>katastrální území</w:t>
      </w:r>
    </w:p>
    <w:p w14:paraId="366D6759" w14:textId="28701BA8" w:rsidR="002D3BA0" w:rsidRPr="003E098C" w:rsidRDefault="008B0577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MF</w:t>
      </w:r>
      <w:r w:rsidRPr="003E098C">
        <w:rPr>
          <w:rFonts w:asciiTheme="minorHAnsi" w:hAnsiTheme="minorHAnsi" w:cstheme="minorHAnsi"/>
          <w:color w:val="auto"/>
        </w:rPr>
        <w:tab/>
        <w:t>Ministerstvo financí</w:t>
      </w:r>
    </w:p>
    <w:p w14:paraId="1E228B70" w14:textId="77777777" w:rsidR="002D3BA0" w:rsidRPr="003E098C" w:rsidRDefault="008B0577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NKÚ</w:t>
      </w:r>
      <w:r w:rsidRPr="003E098C">
        <w:rPr>
          <w:rFonts w:asciiTheme="minorHAnsi" w:hAnsiTheme="minorHAnsi" w:cstheme="minorHAnsi"/>
          <w:color w:val="auto"/>
        </w:rPr>
        <w:tab/>
        <w:t>Nejvyšší kontrolní úřad</w:t>
      </w:r>
    </w:p>
    <w:p w14:paraId="2E4C13D1" w14:textId="77777777" w:rsidR="008707F2" w:rsidRPr="003E098C" w:rsidRDefault="008707F2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OSS</w:t>
      </w:r>
      <w:r w:rsidRPr="003E098C">
        <w:rPr>
          <w:rFonts w:asciiTheme="minorHAnsi" w:hAnsiTheme="minorHAnsi" w:cstheme="minorHAnsi"/>
          <w:color w:val="auto"/>
        </w:rPr>
        <w:tab/>
        <w:t>organizační složka státu</w:t>
      </w:r>
    </w:p>
    <w:p w14:paraId="78335D5A" w14:textId="5F2E9294" w:rsidR="00ED1270" w:rsidRDefault="00ED1270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p. č.</w:t>
      </w:r>
      <w:r>
        <w:rPr>
          <w:rFonts w:asciiTheme="minorHAnsi" w:hAnsiTheme="minorHAnsi" w:cstheme="minorHAnsi"/>
          <w:color w:val="auto"/>
        </w:rPr>
        <w:tab/>
        <w:t>parcelní číslo</w:t>
      </w:r>
    </w:p>
    <w:p w14:paraId="37A10162" w14:textId="602EA316" w:rsidR="002D3BA0" w:rsidRPr="003E098C" w:rsidRDefault="008B0577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 w:rsidRPr="003E098C">
        <w:rPr>
          <w:rFonts w:asciiTheme="minorHAnsi" w:hAnsiTheme="minorHAnsi" w:cstheme="minorHAnsi"/>
          <w:color w:val="auto"/>
        </w:rPr>
        <w:t>SŽDC</w:t>
      </w:r>
      <w:r w:rsidRPr="003E098C">
        <w:rPr>
          <w:rFonts w:asciiTheme="minorHAnsi" w:hAnsiTheme="minorHAnsi" w:cstheme="minorHAnsi"/>
          <w:color w:val="auto"/>
        </w:rPr>
        <w:tab/>
      </w:r>
      <w:r w:rsidRPr="003E098C">
        <w:rPr>
          <w:rFonts w:asciiTheme="minorHAnsi" w:eastAsia="Calibri" w:hAnsiTheme="minorHAnsi" w:cstheme="minorHAnsi"/>
          <w:color w:val="auto"/>
        </w:rPr>
        <w:t xml:space="preserve">Správa železniční dopravní cesty, </w:t>
      </w:r>
      <w:proofErr w:type="spellStart"/>
      <w:proofErr w:type="gramStart"/>
      <w:r w:rsidRPr="003E098C">
        <w:rPr>
          <w:rFonts w:asciiTheme="minorHAnsi" w:eastAsia="Calibri" w:hAnsiTheme="minorHAnsi" w:cstheme="minorHAnsi"/>
          <w:color w:val="auto"/>
        </w:rPr>
        <w:t>s.o</w:t>
      </w:r>
      <w:proofErr w:type="spellEnd"/>
      <w:r w:rsidRPr="003E098C">
        <w:rPr>
          <w:rFonts w:asciiTheme="minorHAnsi" w:eastAsia="Calibri" w:hAnsiTheme="minorHAnsi" w:cstheme="minorHAnsi"/>
          <w:color w:val="auto"/>
        </w:rPr>
        <w:t>.</w:t>
      </w:r>
      <w:proofErr w:type="gramEnd"/>
      <w:r w:rsidRPr="003E098C">
        <w:rPr>
          <w:rFonts w:asciiTheme="minorHAnsi" w:eastAsia="Calibri" w:hAnsiTheme="minorHAnsi" w:cstheme="minorHAnsi"/>
          <w:color w:val="auto"/>
        </w:rPr>
        <w:t xml:space="preserve"> </w:t>
      </w:r>
    </w:p>
    <w:p w14:paraId="36BED8E1" w14:textId="77777777" w:rsidR="002D3BA0" w:rsidRPr="003E098C" w:rsidRDefault="00CA3BE3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ÚP/</w:t>
      </w:r>
      <w:proofErr w:type="spellStart"/>
      <w:r w:rsidR="008B0577" w:rsidRPr="003E098C">
        <w:rPr>
          <w:rFonts w:asciiTheme="minorHAnsi" w:hAnsiTheme="minorHAnsi" w:cstheme="minorHAnsi"/>
          <w:color w:val="auto"/>
        </w:rPr>
        <w:t>Ú</w:t>
      </w:r>
      <w:r w:rsidR="0068637E" w:rsidRPr="003E098C">
        <w:rPr>
          <w:rFonts w:asciiTheme="minorHAnsi" w:hAnsiTheme="minorHAnsi" w:cstheme="minorHAnsi"/>
          <w:color w:val="auto"/>
        </w:rPr>
        <w:t>z</w:t>
      </w:r>
      <w:r w:rsidR="008B0577" w:rsidRPr="003E098C">
        <w:rPr>
          <w:rFonts w:asciiTheme="minorHAnsi" w:hAnsiTheme="minorHAnsi" w:cstheme="minorHAnsi"/>
          <w:color w:val="auto"/>
        </w:rPr>
        <w:t>P</w:t>
      </w:r>
      <w:proofErr w:type="spellEnd"/>
      <w:r w:rsidR="008B0577" w:rsidRPr="003E098C">
        <w:rPr>
          <w:rFonts w:asciiTheme="minorHAnsi" w:hAnsiTheme="minorHAnsi" w:cstheme="minorHAnsi"/>
          <w:color w:val="auto"/>
        </w:rPr>
        <w:tab/>
        <w:t>územní pracoviště</w:t>
      </w:r>
    </w:p>
    <w:p w14:paraId="52930621" w14:textId="77777777" w:rsidR="002D3BA0" w:rsidRPr="003E098C" w:rsidRDefault="008B0577" w:rsidP="002446AF">
      <w:pPr>
        <w:pStyle w:val="Odstavecseseznamem"/>
        <w:keepNext/>
        <w:tabs>
          <w:tab w:val="left" w:pos="2268"/>
        </w:tabs>
        <w:spacing w:before="0" w:after="60"/>
        <w:ind w:left="0"/>
        <w:contextualSpacing w:val="0"/>
        <w:rPr>
          <w:color w:val="auto"/>
        </w:rPr>
      </w:pPr>
      <w:r w:rsidRPr="003E098C">
        <w:rPr>
          <w:rFonts w:asciiTheme="minorHAnsi" w:hAnsiTheme="minorHAnsi" w:cstheme="minorHAnsi"/>
          <w:color w:val="auto"/>
        </w:rPr>
        <w:t>ÚZSVM</w:t>
      </w:r>
      <w:r w:rsidRPr="003E098C">
        <w:rPr>
          <w:rFonts w:asciiTheme="minorHAnsi" w:hAnsiTheme="minorHAnsi" w:cstheme="minorHAnsi"/>
          <w:color w:val="auto"/>
        </w:rPr>
        <w:tab/>
        <w:t>Úřad pro zastupování státu ve věcech majetkových</w:t>
      </w:r>
    </w:p>
    <w:p w14:paraId="6D5F0A62" w14:textId="77777777" w:rsidR="00A9768A" w:rsidRPr="003E098C" w:rsidRDefault="00A9768A" w:rsidP="00FB3541">
      <w:pPr>
        <w:spacing w:before="0"/>
        <w:jc w:val="left"/>
        <w:rPr>
          <w:color w:val="auto"/>
        </w:rPr>
      </w:pPr>
    </w:p>
    <w:sectPr w:rsidR="00A9768A" w:rsidRPr="003E09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B7EB" w14:textId="77777777" w:rsidR="00AE0F1A" w:rsidRDefault="00AE0F1A">
      <w:pPr>
        <w:spacing w:before="0"/>
      </w:pPr>
      <w:r>
        <w:separator/>
      </w:r>
    </w:p>
  </w:endnote>
  <w:endnote w:type="continuationSeparator" w:id="0">
    <w:p w14:paraId="627DFF57" w14:textId="77777777" w:rsidR="00AE0F1A" w:rsidRDefault="00AE0F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CC519" w14:textId="77777777" w:rsidR="000E6E21" w:rsidRDefault="000E6E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91FB" w14:textId="64E0E526" w:rsidR="00AE0F1A" w:rsidRPr="00C42E39" w:rsidRDefault="000E6E21">
    <w:pPr>
      <w:pStyle w:val="Zpat"/>
      <w:jc w:val="center"/>
    </w:pPr>
    <w:sdt>
      <w:sdtPr>
        <w:id w:val="810638407"/>
        <w:docPartObj>
          <w:docPartGallery w:val="Page Numbers (Bottom of Page)"/>
          <w:docPartUnique/>
        </w:docPartObj>
      </w:sdtPr>
      <w:sdtEndPr/>
      <w:sdtContent>
        <w:r w:rsidR="00AE0F1A" w:rsidRPr="00C42E39">
          <w:fldChar w:fldCharType="begin"/>
        </w:r>
        <w:r w:rsidR="00AE0F1A" w:rsidRPr="00C42E39">
          <w:instrText>PAGE</w:instrText>
        </w:r>
        <w:r w:rsidR="00AE0F1A" w:rsidRPr="00C42E39">
          <w:fldChar w:fldCharType="separate"/>
        </w:r>
        <w:r>
          <w:rPr>
            <w:noProof/>
          </w:rPr>
          <w:t>6</w:t>
        </w:r>
        <w:r w:rsidR="00AE0F1A" w:rsidRPr="00C42E39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CD15" w14:textId="77777777" w:rsidR="00AE0F1A" w:rsidRDefault="00AE0F1A">
    <w:pPr>
      <w:pStyle w:val="Zpat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DAD9" w14:textId="77777777" w:rsidR="00AE0F1A" w:rsidRDefault="00AE0F1A">
      <w:r>
        <w:separator/>
      </w:r>
    </w:p>
  </w:footnote>
  <w:footnote w:type="continuationSeparator" w:id="0">
    <w:p w14:paraId="25B48E09" w14:textId="77777777" w:rsidR="00AE0F1A" w:rsidRDefault="00AE0F1A">
      <w:r>
        <w:continuationSeparator/>
      </w:r>
    </w:p>
  </w:footnote>
  <w:footnote w:id="1">
    <w:p w14:paraId="4989D5D3" w14:textId="77777777" w:rsidR="00AE0F1A" w:rsidRPr="00402169" w:rsidRDefault="00AE0F1A" w:rsidP="00D763FD">
      <w:pPr>
        <w:pStyle w:val="Textpoznpodarou"/>
        <w:ind w:left="284" w:hanging="284"/>
      </w:pPr>
      <w:r w:rsidRPr="00402169">
        <w:rPr>
          <w:rStyle w:val="Znakapoznpodarou"/>
        </w:rPr>
        <w:footnoteRef/>
      </w:r>
      <w:r w:rsidRPr="00402169">
        <w:t xml:space="preserve"> </w:t>
      </w:r>
      <w:r>
        <w:tab/>
      </w:r>
      <w:r w:rsidRPr="00402169">
        <w:t>Zákon č. 340/2015 Sb., o zvláštních podmínkách účinnosti některých smluv</w:t>
      </w:r>
      <w:r>
        <w:t>, uveřejňování těchto smluv a o </w:t>
      </w:r>
      <w:r w:rsidRPr="00402169">
        <w:t>registru smluv (zákon o registru smluv)</w:t>
      </w:r>
      <w:r>
        <w:t>.</w:t>
      </w:r>
    </w:p>
  </w:footnote>
  <w:footnote w:id="2">
    <w:p w14:paraId="47DCDD9D" w14:textId="77777777" w:rsidR="00AE0F1A" w:rsidRDefault="00AE0F1A" w:rsidP="00D763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33a odst. 1 zákona č. 563/1991 Sb., o účetnictví.</w:t>
      </w:r>
    </w:p>
  </w:footnote>
  <w:footnote w:id="3">
    <w:p w14:paraId="7F2EA154" w14:textId="77777777" w:rsidR="00AE0F1A" w:rsidRPr="00402169" w:rsidRDefault="00AE0F1A" w:rsidP="00D763FD">
      <w:pPr>
        <w:pStyle w:val="Textpoznpodarou"/>
        <w:ind w:left="284" w:hanging="284"/>
      </w:pPr>
      <w:r w:rsidRPr="00402169">
        <w:rPr>
          <w:rStyle w:val="Znakapoznpodarou"/>
        </w:rPr>
        <w:footnoteRef/>
      </w:r>
      <w:r w:rsidRPr="00402169">
        <w:t xml:space="preserve"> </w:t>
      </w:r>
      <w:r>
        <w:tab/>
      </w:r>
      <w:r w:rsidRPr="00402169">
        <w:rPr>
          <w:rFonts w:cstheme="minorHAnsi"/>
        </w:rPr>
        <w:t>Zákon č. 563/1991 Sb., o účetnictví</w:t>
      </w:r>
      <w:r>
        <w:rPr>
          <w:rFonts w:cstheme="minorHAnsi"/>
        </w:rPr>
        <w:t>.</w:t>
      </w:r>
    </w:p>
  </w:footnote>
  <w:footnote w:id="4">
    <w:p w14:paraId="3AF016CA" w14:textId="77777777" w:rsidR="00AE0F1A" w:rsidRDefault="00AE0F1A" w:rsidP="00D763FD">
      <w:pPr>
        <w:pStyle w:val="Textpoznpodarou"/>
        <w:ind w:left="284" w:hanging="284"/>
      </w:pPr>
      <w:r w:rsidRPr="00402169">
        <w:rPr>
          <w:rStyle w:val="Znakapoznpodarou"/>
        </w:rPr>
        <w:footnoteRef/>
      </w:r>
      <w:r w:rsidRPr="00402169">
        <w:t xml:space="preserve"> </w:t>
      </w:r>
      <w:r>
        <w:tab/>
      </w:r>
      <w:r w:rsidRPr="00402169">
        <w:t>Vyhláška č. 410/2009 Sb., kterou se provádějí některá ustanovení zákona č. 563/1991 Sb., o účetnictví, ve znění pozdějších předpisů, pro některé vybrané účetní jednotky</w:t>
      </w:r>
      <w:r>
        <w:t>.</w:t>
      </w:r>
    </w:p>
  </w:footnote>
  <w:footnote w:id="5">
    <w:p w14:paraId="27A72637" w14:textId="77777777" w:rsidR="00AE0F1A" w:rsidRPr="00402169" w:rsidRDefault="00AE0F1A" w:rsidP="00D763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02169">
        <w:t>Zákon č. 201/2002 Sb., o Úřadu pro zastupování státu ve věcech majetkových</w:t>
      </w:r>
      <w:r>
        <w:t>.</w:t>
      </w:r>
      <w:r w:rsidRPr="00402169">
        <w:t xml:space="preserve"> </w:t>
      </w:r>
    </w:p>
  </w:footnote>
  <w:footnote w:id="6">
    <w:p w14:paraId="5271D5DC" w14:textId="77777777" w:rsidR="00AE0F1A" w:rsidRPr="00402169" w:rsidRDefault="00AE0F1A" w:rsidP="00D763FD">
      <w:pPr>
        <w:pStyle w:val="Textpoznpodarou"/>
        <w:ind w:left="284" w:hanging="284"/>
      </w:pPr>
      <w:r w:rsidRPr="00402169">
        <w:rPr>
          <w:rStyle w:val="Znakapoznpodarou"/>
        </w:rPr>
        <w:footnoteRef/>
      </w:r>
      <w:r w:rsidRPr="00402169">
        <w:t xml:space="preserve"> </w:t>
      </w:r>
      <w:r>
        <w:tab/>
      </w:r>
      <w:r w:rsidRPr="00402169">
        <w:t>Zákon č. 219/2000 Sb., o majetku České republiky a jejím vystupování v právních vztazích</w:t>
      </w:r>
      <w:r>
        <w:t>.</w:t>
      </w:r>
    </w:p>
  </w:footnote>
  <w:footnote w:id="7">
    <w:p w14:paraId="74263681" w14:textId="77777777" w:rsidR="00AE0F1A" w:rsidRPr="00402169" w:rsidRDefault="00AE0F1A" w:rsidP="00D763F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02169">
        <w:t>Vyhláška č. 62/2001 Sb., o hospodaření organizačních složek státu a státních organizací s majetkem státu</w:t>
      </w:r>
      <w:r>
        <w:t>.</w:t>
      </w:r>
    </w:p>
  </w:footnote>
  <w:footnote w:id="8">
    <w:p w14:paraId="7905EE0B" w14:textId="77777777" w:rsidR="00AE0F1A" w:rsidRDefault="00AE0F1A" w:rsidP="006E172E">
      <w:pPr>
        <w:pStyle w:val="Textpoznpodarou"/>
        <w:ind w:left="284" w:hanging="284"/>
      </w:pPr>
      <w:r w:rsidRPr="00402169">
        <w:rPr>
          <w:rStyle w:val="Znakapoznpodarou"/>
        </w:rPr>
        <w:footnoteRef/>
      </w:r>
      <w:r w:rsidRPr="00402169">
        <w:t xml:space="preserve"> </w:t>
      </w:r>
      <w:r>
        <w:tab/>
      </w:r>
      <w:r w:rsidRPr="00402169">
        <w:t>Údaje dle výroční zprávy ÚZSVM za rok 2019</w:t>
      </w:r>
      <w:r>
        <w:t>.</w:t>
      </w:r>
    </w:p>
  </w:footnote>
  <w:footnote w:id="9">
    <w:p w14:paraId="738A0D82" w14:textId="77777777" w:rsidR="00AE0F1A" w:rsidRDefault="00AE0F1A" w:rsidP="006E172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Jedná se o majetek osob, které zemřely bez zákonného či závětního dědice, příp. dědic své dědictví odmítl.</w:t>
      </w:r>
    </w:p>
  </w:footnote>
  <w:footnote w:id="10">
    <w:p w14:paraId="12353BA0" w14:textId="77777777" w:rsidR="00AE0F1A" w:rsidRDefault="00AE0F1A" w:rsidP="00424D0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428/2012 Sb., </w:t>
      </w:r>
      <w:r w:rsidRPr="00DF040D">
        <w:t>o majetkovém vyrovnání s církvemi a náboženskými společnostmi a o změně některých zákonů (zákon o majetkovém vyrovnání s církvemi a náboženskými společnostmi)</w:t>
      </w:r>
      <w:r>
        <w:t>.</w:t>
      </w:r>
    </w:p>
  </w:footnote>
  <w:footnote w:id="11">
    <w:p w14:paraId="1F3D254B" w14:textId="77777777" w:rsidR="00AE0F1A" w:rsidRDefault="00AE0F1A" w:rsidP="00424D04">
      <w:pPr>
        <w:spacing w:before="0"/>
        <w:ind w:left="284" w:hanging="284"/>
      </w:pPr>
      <w:r w:rsidRPr="00B10FFB">
        <w:rPr>
          <w:rStyle w:val="Znakapoznpodarou"/>
          <w:color w:val="auto"/>
          <w:sz w:val="20"/>
          <w:szCs w:val="20"/>
        </w:rPr>
        <w:footnoteRef/>
      </w:r>
      <w:r w:rsidRPr="00B10FF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B10FFB">
        <w:rPr>
          <w:rFonts w:asciiTheme="minorHAnsi" w:hAnsiTheme="minorHAnsi"/>
          <w:color w:val="auto"/>
          <w:sz w:val="20"/>
          <w:szCs w:val="20"/>
        </w:rPr>
        <w:t xml:space="preserve">Správa železniční dopravní cesty, </w:t>
      </w:r>
      <w:proofErr w:type="spellStart"/>
      <w:proofErr w:type="gramStart"/>
      <w:r w:rsidRPr="00B10FFB">
        <w:rPr>
          <w:rFonts w:asciiTheme="minorHAnsi" w:hAnsiTheme="minorHAnsi"/>
          <w:color w:val="auto"/>
          <w:sz w:val="20"/>
          <w:szCs w:val="20"/>
        </w:rPr>
        <w:t>s.o</w:t>
      </w:r>
      <w:proofErr w:type="spellEnd"/>
      <w:r w:rsidRPr="00B10FFB">
        <w:rPr>
          <w:rFonts w:asciiTheme="minorHAnsi" w:hAnsiTheme="minorHAnsi"/>
          <w:color w:val="auto"/>
          <w:sz w:val="20"/>
          <w:szCs w:val="20"/>
        </w:rPr>
        <w:t>.</w:t>
      </w:r>
      <w:proofErr w:type="gramEnd"/>
      <w:r>
        <w:rPr>
          <w:rFonts w:asciiTheme="minorHAnsi" w:hAnsiTheme="minorHAnsi"/>
          <w:color w:val="auto"/>
          <w:sz w:val="20"/>
          <w:szCs w:val="20"/>
        </w:rPr>
        <w:t>,</w:t>
      </w:r>
      <w:r w:rsidRPr="00B10FFB">
        <w:rPr>
          <w:rFonts w:asciiTheme="minorHAnsi" w:hAnsiTheme="minorHAnsi"/>
          <w:color w:val="auto"/>
          <w:sz w:val="20"/>
          <w:szCs w:val="20"/>
        </w:rPr>
        <w:t xml:space="preserve"> byla přejmenována k datu 14. ledna 2020 na Správu železnic, státní organizaci.</w:t>
      </w:r>
    </w:p>
  </w:footnote>
  <w:footnote w:id="12">
    <w:p w14:paraId="07CC829E" w14:textId="77777777" w:rsidR="00AE0F1A" w:rsidRDefault="00AE0F1A" w:rsidP="00424D0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C4C9E">
        <w:t xml:space="preserve">Zákon č. 77/2002 Sb., </w:t>
      </w:r>
      <w:r w:rsidRPr="00F73E1E">
        <w:rPr>
          <w:rFonts w:asciiTheme="minorHAnsi" w:eastAsia="Calibri" w:hAnsiTheme="minorHAnsi" w:cstheme="minorHAnsi"/>
        </w:rPr>
        <w:t xml:space="preserve">o </w:t>
      </w:r>
      <w:r w:rsidRPr="00F73E1E">
        <w:rPr>
          <w:rFonts w:asciiTheme="minorHAnsi" w:hAnsiTheme="minorHAnsi" w:cstheme="minorHAnsi"/>
          <w:bCs/>
        </w:rPr>
        <w:t>akciové společnosti České dráhy, státní organizaci Sprá</w:t>
      </w:r>
      <w:r>
        <w:rPr>
          <w:rFonts w:asciiTheme="minorHAnsi" w:hAnsiTheme="minorHAnsi" w:cstheme="minorHAnsi"/>
          <w:bCs/>
        </w:rPr>
        <w:t>va železnic a o změně zákona č. </w:t>
      </w:r>
      <w:r w:rsidRPr="004C4C9E">
        <w:rPr>
          <w:rFonts w:asciiTheme="minorHAnsi" w:hAnsiTheme="minorHAnsi" w:cstheme="minorHAnsi"/>
          <w:bCs/>
        </w:rPr>
        <w:t>266/1994 Sb.</w:t>
      </w:r>
      <w:r w:rsidRPr="00F73E1E">
        <w:rPr>
          <w:rFonts w:asciiTheme="minorHAnsi" w:hAnsiTheme="minorHAnsi" w:cstheme="minorHAnsi"/>
          <w:bCs/>
        </w:rPr>
        <w:t xml:space="preserve">, o dráhách, ve znění pozdějších předpisů, a zákona č. </w:t>
      </w:r>
      <w:r w:rsidRPr="004C4C9E">
        <w:rPr>
          <w:rFonts w:asciiTheme="minorHAnsi" w:hAnsiTheme="minorHAnsi" w:cstheme="minorHAnsi"/>
          <w:bCs/>
        </w:rPr>
        <w:t>77/1997 Sb.</w:t>
      </w:r>
      <w:r w:rsidRPr="00F73E1E">
        <w:rPr>
          <w:rFonts w:asciiTheme="minorHAnsi" w:hAnsiTheme="minorHAnsi" w:cstheme="minorHAnsi"/>
          <w:bCs/>
        </w:rPr>
        <w:t>, o státním podniku, ve znění pozdějších předpisů</w:t>
      </w:r>
      <w:r>
        <w:rPr>
          <w:rFonts w:asciiTheme="minorHAnsi" w:hAnsiTheme="minorHAnsi" w:cstheme="minorHAnsi"/>
          <w:bCs/>
        </w:rPr>
        <w:t>.</w:t>
      </w:r>
    </w:p>
  </w:footnote>
  <w:footnote w:id="13">
    <w:p w14:paraId="4BBBAF1B" w14:textId="77777777" w:rsidR="00AE0F1A" w:rsidRPr="00485CC4" w:rsidRDefault="00AE0F1A" w:rsidP="005E0AB7">
      <w:pPr>
        <w:pStyle w:val="Textpoznpodarou"/>
        <w:ind w:left="284" w:hanging="284"/>
        <w:rPr>
          <w:color w:val="auto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85CC4">
        <w:rPr>
          <w:color w:val="auto"/>
        </w:rPr>
        <w:t>Zákon č. 256/2013 Sb., o katastru nemovitostí (katastrální zákon)</w:t>
      </w:r>
      <w:r>
        <w:rPr>
          <w:color w:val="auto"/>
        </w:rPr>
        <w:t>.</w:t>
      </w:r>
    </w:p>
  </w:footnote>
  <w:footnote w:id="14">
    <w:p w14:paraId="7A397220" w14:textId="77777777" w:rsidR="00AE0F1A" w:rsidRPr="00682A2E" w:rsidRDefault="00AE0F1A" w:rsidP="005E0AB7">
      <w:pPr>
        <w:pStyle w:val="Textpoznpodarou"/>
        <w:ind w:left="284" w:hanging="284"/>
        <w:rPr>
          <w:color w:val="000000" w:themeColor="text1"/>
        </w:rPr>
      </w:pPr>
      <w:r w:rsidRPr="00682A2E">
        <w:rPr>
          <w:rStyle w:val="Znakapoznpodarou"/>
          <w:color w:val="000000" w:themeColor="text1"/>
        </w:rPr>
        <w:footnoteRef/>
      </w:r>
      <w:r w:rsidRPr="00682A2E">
        <w:rPr>
          <w:color w:val="000000" w:themeColor="text1"/>
        </w:rPr>
        <w:t xml:space="preserve"> </w:t>
      </w:r>
      <w:r w:rsidRPr="00682A2E">
        <w:rPr>
          <w:color w:val="000000" w:themeColor="text1"/>
        </w:rPr>
        <w:tab/>
        <w:t>Z</w:t>
      </w:r>
      <w:r>
        <w:rPr>
          <w:color w:val="000000" w:themeColor="text1"/>
        </w:rPr>
        <w:t>ákon</w:t>
      </w:r>
      <w:r w:rsidRPr="00682A2E">
        <w:rPr>
          <w:color w:val="000000" w:themeColor="text1"/>
        </w:rPr>
        <w:t xml:space="preserve"> č. 134/2006 Sb., o zadávání veřejných zakázek.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384" w14:textId="77777777" w:rsidR="000E6E21" w:rsidRDefault="000E6E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14E1" w14:textId="77777777" w:rsidR="000E6E21" w:rsidRDefault="000E6E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370B2" w14:textId="77777777" w:rsidR="00AE0F1A" w:rsidRPr="00C42E39" w:rsidRDefault="00AE0F1A" w:rsidP="004D1CCB">
    <w:pPr>
      <w:pStyle w:val="Zhlav"/>
      <w:jc w:val="right"/>
      <w:rPr>
        <w:color w:val="FFFFFF" w:themeColor="background1"/>
      </w:rPr>
    </w:pPr>
  </w:p>
  <w:p w14:paraId="293720A0" w14:textId="77777777" w:rsidR="00AE0F1A" w:rsidRPr="00C42E39" w:rsidRDefault="00AE0F1A" w:rsidP="004D1CCB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5"/>
    <w:multiLevelType w:val="hybridMultilevel"/>
    <w:tmpl w:val="AC967226"/>
    <w:lvl w:ilvl="0" w:tplc="3DF40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AC8D84" w:tentative="1">
      <w:start w:val="1"/>
      <w:numFmt w:val="lowerLetter"/>
      <w:lvlText w:val="%2."/>
      <w:lvlJc w:val="left"/>
      <w:pPr>
        <w:ind w:left="1440" w:hanging="360"/>
      </w:pPr>
    </w:lvl>
    <w:lvl w:ilvl="2" w:tplc="A47A6E5C" w:tentative="1">
      <w:start w:val="1"/>
      <w:numFmt w:val="lowerRoman"/>
      <w:lvlText w:val="%3."/>
      <w:lvlJc w:val="right"/>
      <w:pPr>
        <w:ind w:left="2160" w:hanging="180"/>
      </w:pPr>
    </w:lvl>
    <w:lvl w:ilvl="3" w:tplc="2F623F8A" w:tentative="1">
      <w:start w:val="1"/>
      <w:numFmt w:val="decimal"/>
      <w:lvlText w:val="%4."/>
      <w:lvlJc w:val="left"/>
      <w:pPr>
        <w:ind w:left="2880" w:hanging="360"/>
      </w:pPr>
    </w:lvl>
    <w:lvl w:ilvl="4" w:tplc="F14688D6" w:tentative="1">
      <w:start w:val="1"/>
      <w:numFmt w:val="lowerLetter"/>
      <w:lvlText w:val="%5."/>
      <w:lvlJc w:val="left"/>
      <w:pPr>
        <w:ind w:left="3600" w:hanging="360"/>
      </w:pPr>
    </w:lvl>
    <w:lvl w:ilvl="5" w:tplc="1BAAB692" w:tentative="1">
      <w:start w:val="1"/>
      <w:numFmt w:val="lowerRoman"/>
      <w:lvlText w:val="%6."/>
      <w:lvlJc w:val="right"/>
      <w:pPr>
        <w:ind w:left="4320" w:hanging="180"/>
      </w:pPr>
    </w:lvl>
    <w:lvl w:ilvl="6" w:tplc="A066FF3A" w:tentative="1">
      <w:start w:val="1"/>
      <w:numFmt w:val="decimal"/>
      <w:lvlText w:val="%7."/>
      <w:lvlJc w:val="left"/>
      <w:pPr>
        <w:ind w:left="5040" w:hanging="360"/>
      </w:pPr>
    </w:lvl>
    <w:lvl w:ilvl="7" w:tplc="FE28DF74" w:tentative="1">
      <w:start w:val="1"/>
      <w:numFmt w:val="lowerLetter"/>
      <w:lvlText w:val="%8."/>
      <w:lvlJc w:val="left"/>
      <w:pPr>
        <w:ind w:left="5760" w:hanging="360"/>
      </w:pPr>
    </w:lvl>
    <w:lvl w:ilvl="8" w:tplc="F8BA7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B82"/>
    <w:multiLevelType w:val="hybridMultilevel"/>
    <w:tmpl w:val="54DABD46"/>
    <w:lvl w:ilvl="0" w:tplc="1D5A5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2D0B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DAE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2D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4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A6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E0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8E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FC0"/>
    <w:multiLevelType w:val="hybridMultilevel"/>
    <w:tmpl w:val="AC967226"/>
    <w:lvl w:ilvl="0" w:tplc="08ECA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088E" w:tentative="1">
      <w:start w:val="1"/>
      <w:numFmt w:val="lowerLetter"/>
      <w:lvlText w:val="%2."/>
      <w:lvlJc w:val="left"/>
      <w:pPr>
        <w:ind w:left="1440" w:hanging="360"/>
      </w:pPr>
    </w:lvl>
    <w:lvl w:ilvl="2" w:tplc="A5AEAF94" w:tentative="1">
      <w:start w:val="1"/>
      <w:numFmt w:val="lowerRoman"/>
      <w:lvlText w:val="%3."/>
      <w:lvlJc w:val="right"/>
      <w:pPr>
        <w:ind w:left="2160" w:hanging="180"/>
      </w:pPr>
    </w:lvl>
    <w:lvl w:ilvl="3" w:tplc="54A01908" w:tentative="1">
      <w:start w:val="1"/>
      <w:numFmt w:val="decimal"/>
      <w:lvlText w:val="%4."/>
      <w:lvlJc w:val="left"/>
      <w:pPr>
        <w:ind w:left="2880" w:hanging="360"/>
      </w:pPr>
    </w:lvl>
    <w:lvl w:ilvl="4" w:tplc="950C8942" w:tentative="1">
      <w:start w:val="1"/>
      <w:numFmt w:val="lowerLetter"/>
      <w:lvlText w:val="%5."/>
      <w:lvlJc w:val="left"/>
      <w:pPr>
        <w:ind w:left="3600" w:hanging="360"/>
      </w:pPr>
    </w:lvl>
    <w:lvl w:ilvl="5" w:tplc="17AC60DA" w:tentative="1">
      <w:start w:val="1"/>
      <w:numFmt w:val="lowerRoman"/>
      <w:lvlText w:val="%6."/>
      <w:lvlJc w:val="right"/>
      <w:pPr>
        <w:ind w:left="4320" w:hanging="180"/>
      </w:pPr>
    </w:lvl>
    <w:lvl w:ilvl="6" w:tplc="E176F706" w:tentative="1">
      <w:start w:val="1"/>
      <w:numFmt w:val="decimal"/>
      <w:lvlText w:val="%7."/>
      <w:lvlJc w:val="left"/>
      <w:pPr>
        <w:ind w:left="5040" w:hanging="360"/>
      </w:pPr>
    </w:lvl>
    <w:lvl w:ilvl="7" w:tplc="55FE68B6" w:tentative="1">
      <w:start w:val="1"/>
      <w:numFmt w:val="lowerLetter"/>
      <w:lvlText w:val="%8."/>
      <w:lvlJc w:val="left"/>
      <w:pPr>
        <w:ind w:left="5760" w:hanging="360"/>
      </w:pPr>
    </w:lvl>
    <w:lvl w:ilvl="8" w:tplc="7BDC1F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182B"/>
    <w:multiLevelType w:val="hybridMultilevel"/>
    <w:tmpl w:val="D5665564"/>
    <w:lvl w:ilvl="0" w:tplc="E86E522A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AD3A3BDC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EC947F04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BB4AEA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A67A2092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AFA066C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A64EB2EE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DB2A5744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6576CE90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94B79A5"/>
    <w:multiLevelType w:val="hybridMultilevel"/>
    <w:tmpl w:val="FB28B4F8"/>
    <w:lvl w:ilvl="0" w:tplc="E3000D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80F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D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03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7C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27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E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C3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943"/>
    <w:multiLevelType w:val="multilevel"/>
    <w:tmpl w:val="23E09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E611F3"/>
    <w:multiLevelType w:val="hybridMultilevel"/>
    <w:tmpl w:val="8250B6AC"/>
    <w:lvl w:ilvl="0" w:tplc="7DAE0F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EE722B"/>
    <w:multiLevelType w:val="hybridMultilevel"/>
    <w:tmpl w:val="6F822D68"/>
    <w:lvl w:ilvl="0" w:tplc="7EF4BA2C">
      <w:start w:val="1"/>
      <w:numFmt w:val="lowerLetter"/>
      <w:lvlText w:val="%1)"/>
      <w:lvlJc w:val="left"/>
      <w:pPr>
        <w:ind w:left="420" w:hanging="360"/>
      </w:pPr>
    </w:lvl>
    <w:lvl w:ilvl="1" w:tplc="C5B65354">
      <w:start w:val="1"/>
      <w:numFmt w:val="lowerLetter"/>
      <w:lvlText w:val="%2."/>
      <w:lvlJc w:val="left"/>
      <w:pPr>
        <w:ind w:left="1140" w:hanging="360"/>
      </w:pPr>
    </w:lvl>
    <w:lvl w:ilvl="2" w:tplc="4CE2D84E">
      <w:start w:val="1"/>
      <w:numFmt w:val="lowerRoman"/>
      <w:lvlText w:val="%3."/>
      <w:lvlJc w:val="right"/>
      <w:pPr>
        <w:ind w:left="1860" w:hanging="180"/>
      </w:pPr>
    </w:lvl>
    <w:lvl w:ilvl="3" w:tplc="B3D6947A">
      <w:start w:val="1"/>
      <w:numFmt w:val="decimal"/>
      <w:lvlText w:val="%4."/>
      <w:lvlJc w:val="left"/>
      <w:pPr>
        <w:ind w:left="2580" w:hanging="360"/>
      </w:pPr>
    </w:lvl>
    <w:lvl w:ilvl="4" w:tplc="BA980B14">
      <w:start w:val="1"/>
      <w:numFmt w:val="lowerLetter"/>
      <w:lvlText w:val="%5."/>
      <w:lvlJc w:val="left"/>
      <w:pPr>
        <w:ind w:left="3300" w:hanging="360"/>
      </w:pPr>
    </w:lvl>
    <w:lvl w:ilvl="5" w:tplc="69987C5A">
      <w:start w:val="1"/>
      <w:numFmt w:val="lowerRoman"/>
      <w:lvlText w:val="%6."/>
      <w:lvlJc w:val="right"/>
      <w:pPr>
        <w:ind w:left="4020" w:hanging="180"/>
      </w:pPr>
    </w:lvl>
    <w:lvl w:ilvl="6" w:tplc="1F2EB040">
      <w:start w:val="1"/>
      <w:numFmt w:val="decimal"/>
      <w:lvlText w:val="%7."/>
      <w:lvlJc w:val="left"/>
      <w:pPr>
        <w:ind w:left="4740" w:hanging="360"/>
      </w:pPr>
    </w:lvl>
    <w:lvl w:ilvl="7" w:tplc="F91E8EF0">
      <w:start w:val="1"/>
      <w:numFmt w:val="lowerLetter"/>
      <w:lvlText w:val="%8."/>
      <w:lvlJc w:val="left"/>
      <w:pPr>
        <w:ind w:left="5460" w:hanging="360"/>
      </w:pPr>
    </w:lvl>
    <w:lvl w:ilvl="8" w:tplc="04BAC5A0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1A67C0B"/>
    <w:multiLevelType w:val="hybridMultilevel"/>
    <w:tmpl w:val="800E0D1E"/>
    <w:lvl w:ilvl="0" w:tplc="ACF6CB0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4A46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80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9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E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63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E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7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0C4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31E01"/>
    <w:multiLevelType w:val="hybridMultilevel"/>
    <w:tmpl w:val="9564930C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5FD9"/>
    <w:multiLevelType w:val="hybridMultilevel"/>
    <w:tmpl w:val="AC967226"/>
    <w:lvl w:ilvl="0" w:tplc="B8E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8E370" w:tentative="1">
      <w:start w:val="1"/>
      <w:numFmt w:val="lowerLetter"/>
      <w:lvlText w:val="%2."/>
      <w:lvlJc w:val="left"/>
      <w:pPr>
        <w:ind w:left="1440" w:hanging="360"/>
      </w:pPr>
    </w:lvl>
    <w:lvl w:ilvl="2" w:tplc="FFA051A6" w:tentative="1">
      <w:start w:val="1"/>
      <w:numFmt w:val="lowerRoman"/>
      <w:lvlText w:val="%3."/>
      <w:lvlJc w:val="right"/>
      <w:pPr>
        <w:ind w:left="2160" w:hanging="180"/>
      </w:pPr>
    </w:lvl>
    <w:lvl w:ilvl="3" w:tplc="B5F867BA" w:tentative="1">
      <w:start w:val="1"/>
      <w:numFmt w:val="decimal"/>
      <w:lvlText w:val="%4."/>
      <w:lvlJc w:val="left"/>
      <w:pPr>
        <w:ind w:left="2880" w:hanging="360"/>
      </w:pPr>
    </w:lvl>
    <w:lvl w:ilvl="4" w:tplc="EAE04162" w:tentative="1">
      <w:start w:val="1"/>
      <w:numFmt w:val="lowerLetter"/>
      <w:lvlText w:val="%5."/>
      <w:lvlJc w:val="left"/>
      <w:pPr>
        <w:ind w:left="3600" w:hanging="360"/>
      </w:pPr>
    </w:lvl>
    <w:lvl w:ilvl="5" w:tplc="A7EA6AE8" w:tentative="1">
      <w:start w:val="1"/>
      <w:numFmt w:val="lowerRoman"/>
      <w:lvlText w:val="%6."/>
      <w:lvlJc w:val="right"/>
      <w:pPr>
        <w:ind w:left="4320" w:hanging="180"/>
      </w:pPr>
    </w:lvl>
    <w:lvl w:ilvl="6" w:tplc="A12E104A" w:tentative="1">
      <w:start w:val="1"/>
      <w:numFmt w:val="decimal"/>
      <w:lvlText w:val="%7."/>
      <w:lvlJc w:val="left"/>
      <w:pPr>
        <w:ind w:left="5040" w:hanging="360"/>
      </w:pPr>
    </w:lvl>
    <w:lvl w:ilvl="7" w:tplc="53D0BCE0" w:tentative="1">
      <w:start w:val="1"/>
      <w:numFmt w:val="lowerLetter"/>
      <w:lvlText w:val="%8."/>
      <w:lvlJc w:val="left"/>
      <w:pPr>
        <w:ind w:left="5760" w:hanging="360"/>
      </w:pPr>
    </w:lvl>
    <w:lvl w:ilvl="8" w:tplc="7F1E2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0322"/>
    <w:multiLevelType w:val="hybridMultilevel"/>
    <w:tmpl w:val="2E840038"/>
    <w:lvl w:ilvl="0" w:tplc="DE5886F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634B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21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85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2C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60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C4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63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15EA2"/>
    <w:multiLevelType w:val="hybridMultilevel"/>
    <w:tmpl w:val="4A4E1AB8"/>
    <w:lvl w:ilvl="0" w:tplc="EF260CD8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26F036D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7DAEBE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EF2A5D4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E3CAA90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0E079F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9B0A50C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BC0626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0148C9A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F2445A"/>
    <w:multiLevelType w:val="hybridMultilevel"/>
    <w:tmpl w:val="DE0E5A20"/>
    <w:lvl w:ilvl="0" w:tplc="5566BFD6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0B8FC10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83C4949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3217CE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94BEE43E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A3940650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D9A1A3E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2DC2F6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96C0AB6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AB5734E"/>
    <w:multiLevelType w:val="hybridMultilevel"/>
    <w:tmpl w:val="44003404"/>
    <w:lvl w:ilvl="0" w:tplc="97C4B50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AA40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2B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7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68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E6B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8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4C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B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5146"/>
    <w:multiLevelType w:val="hybridMultilevel"/>
    <w:tmpl w:val="E11CA302"/>
    <w:lvl w:ilvl="0" w:tplc="2BA858EE">
      <w:start w:val="3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2EB08" w:tentative="1">
      <w:start w:val="1"/>
      <w:numFmt w:val="lowerLetter"/>
      <w:lvlText w:val="%2."/>
      <w:lvlJc w:val="left"/>
      <w:pPr>
        <w:ind w:left="1440" w:hanging="360"/>
      </w:pPr>
    </w:lvl>
    <w:lvl w:ilvl="2" w:tplc="205CEF5A" w:tentative="1">
      <w:start w:val="1"/>
      <w:numFmt w:val="lowerRoman"/>
      <w:lvlText w:val="%3."/>
      <w:lvlJc w:val="right"/>
      <w:pPr>
        <w:ind w:left="2160" w:hanging="180"/>
      </w:pPr>
    </w:lvl>
    <w:lvl w:ilvl="3" w:tplc="0ED66270" w:tentative="1">
      <w:start w:val="1"/>
      <w:numFmt w:val="decimal"/>
      <w:lvlText w:val="%4."/>
      <w:lvlJc w:val="left"/>
      <w:pPr>
        <w:ind w:left="2880" w:hanging="360"/>
      </w:pPr>
    </w:lvl>
    <w:lvl w:ilvl="4" w:tplc="F4E45D96" w:tentative="1">
      <w:start w:val="1"/>
      <w:numFmt w:val="lowerLetter"/>
      <w:lvlText w:val="%5."/>
      <w:lvlJc w:val="left"/>
      <w:pPr>
        <w:ind w:left="3600" w:hanging="360"/>
      </w:pPr>
    </w:lvl>
    <w:lvl w:ilvl="5" w:tplc="C5200B1A" w:tentative="1">
      <w:start w:val="1"/>
      <w:numFmt w:val="lowerRoman"/>
      <w:lvlText w:val="%6."/>
      <w:lvlJc w:val="right"/>
      <w:pPr>
        <w:ind w:left="4320" w:hanging="180"/>
      </w:pPr>
    </w:lvl>
    <w:lvl w:ilvl="6" w:tplc="52B8C014" w:tentative="1">
      <w:start w:val="1"/>
      <w:numFmt w:val="decimal"/>
      <w:lvlText w:val="%7."/>
      <w:lvlJc w:val="left"/>
      <w:pPr>
        <w:ind w:left="5040" w:hanging="360"/>
      </w:pPr>
    </w:lvl>
    <w:lvl w:ilvl="7" w:tplc="50C03A6E" w:tentative="1">
      <w:start w:val="1"/>
      <w:numFmt w:val="lowerLetter"/>
      <w:lvlText w:val="%8."/>
      <w:lvlJc w:val="left"/>
      <w:pPr>
        <w:ind w:left="5760" w:hanging="360"/>
      </w:pPr>
    </w:lvl>
    <w:lvl w:ilvl="8" w:tplc="051A1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76F6"/>
    <w:multiLevelType w:val="multilevel"/>
    <w:tmpl w:val="C9B0DC5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1B0834"/>
    <w:multiLevelType w:val="hybridMultilevel"/>
    <w:tmpl w:val="AC967226"/>
    <w:lvl w:ilvl="0" w:tplc="F21A4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14CD2E" w:tentative="1">
      <w:start w:val="1"/>
      <w:numFmt w:val="lowerLetter"/>
      <w:lvlText w:val="%2."/>
      <w:lvlJc w:val="left"/>
      <w:pPr>
        <w:ind w:left="1440" w:hanging="360"/>
      </w:pPr>
    </w:lvl>
    <w:lvl w:ilvl="2" w:tplc="0B565E22" w:tentative="1">
      <w:start w:val="1"/>
      <w:numFmt w:val="lowerRoman"/>
      <w:lvlText w:val="%3."/>
      <w:lvlJc w:val="right"/>
      <w:pPr>
        <w:ind w:left="2160" w:hanging="180"/>
      </w:pPr>
    </w:lvl>
    <w:lvl w:ilvl="3" w:tplc="B1188020" w:tentative="1">
      <w:start w:val="1"/>
      <w:numFmt w:val="decimal"/>
      <w:lvlText w:val="%4."/>
      <w:lvlJc w:val="left"/>
      <w:pPr>
        <w:ind w:left="2880" w:hanging="360"/>
      </w:pPr>
    </w:lvl>
    <w:lvl w:ilvl="4" w:tplc="B5F2AECC" w:tentative="1">
      <w:start w:val="1"/>
      <w:numFmt w:val="lowerLetter"/>
      <w:lvlText w:val="%5."/>
      <w:lvlJc w:val="left"/>
      <w:pPr>
        <w:ind w:left="3600" w:hanging="360"/>
      </w:pPr>
    </w:lvl>
    <w:lvl w:ilvl="5" w:tplc="34564B90" w:tentative="1">
      <w:start w:val="1"/>
      <w:numFmt w:val="lowerRoman"/>
      <w:lvlText w:val="%6."/>
      <w:lvlJc w:val="right"/>
      <w:pPr>
        <w:ind w:left="4320" w:hanging="180"/>
      </w:pPr>
    </w:lvl>
    <w:lvl w:ilvl="6" w:tplc="623AAD44" w:tentative="1">
      <w:start w:val="1"/>
      <w:numFmt w:val="decimal"/>
      <w:lvlText w:val="%7."/>
      <w:lvlJc w:val="left"/>
      <w:pPr>
        <w:ind w:left="5040" w:hanging="360"/>
      </w:pPr>
    </w:lvl>
    <w:lvl w:ilvl="7" w:tplc="A02A054A" w:tentative="1">
      <w:start w:val="1"/>
      <w:numFmt w:val="lowerLetter"/>
      <w:lvlText w:val="%8."/>
      <w:lvlJc w:val="left"/>
      <w:pPr>
        <w:ind w:left="5760" w:hanging="360"/>
      </w:pPr>
    </w:lvl>
    <w:lvl w:ilvl="8" w:tplc="3FA29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A7129"/>
    <w:multiLevelType w:val="hybridMultilevel"/>
    <w:tmpl w:val="7122A21A"/>
    <w:lvl w:ilvl="0" w:tplc="F732D0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224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055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CC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AB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06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47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A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EC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01B61"/>
    <w:multiLevelType w:val="multilevel"/>
    <w:tmpl w:val="F91AF12C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pStyle w:val="Nadpis3"/>
      <w:lvlText w:val="%1.%2"/>
      <w:lvlJc w:val="left"/>
      <w:pPr>
        <w:ind w:left="720" w:hanging="360"/>
      </w:pPr>
    </w:lvl>
    <w:lvl w:ilvl="2">
      <w:start w:val="1"/>
      <w:numFmt w:val="lowerRoman"/>
      <w:pStyle w:val="Nadpis4"/>
      <w:lvlText w:val="%1.%2.%3"/>
      <w:lvlJc w:val="left"/>
      <w:pPr>
        <w:ind w:left="1440" w:hanging="108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15"/>
  </w:num>
  <w:num w:numId="5">
    <w:abstractNumId w:val="18"/>
  </w:num>
  <w:num w:numId="6">
    <w:abstractNumId w:val="16"/>
  </w:num>
  <w:num w:numId="7">
    <w:abstractNumId w:val="3"/>
  </w:num>
  <w:num w:numId="8">
    <w:abstractNumId w:val="12"/>
  </w:num>
  <w:num w:numId="9">
    <w:abstractNumId w:val="7"/>
  </w:num>
  <w:num w:numId="10">
    <w:abstractNumId w:val="11"/>
  </w:num>
  <w:num w:numId="11">
    <w:abstractNumId w:val="17"/>
  </w:num>
  <w:num w:numId="12">
    <w:abstractNumId w:val="14"/>
  </w:num>
  <w:num w:numId="13">
    <w:abstractNumId w:val="13"/>
  </w:num>
  <w:num w:numId="14">
    <w:abstractNumId w:val="1"/>
  </w:num>
  <w:num w:numId="15">
    <w:abstractNumId w:val="8"/>
  </w:num>
  <w:num w:numId="16">
    <w:abstractNumId w:val="10"/>
  </w:num>
  <w:num w:numId="17">
    <w:abstractNumId w:val="0"/>
  </w:num>
  <w:num w:numId="18">
    <w:abstractNumId w:val="2"/>
  </w:num>
  <w:num w:numId="19">
    <w:abstractNumId w:val="6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2"/>
    <w:rsid w:val="0000073D"/>
    <w:rsid w:val="00001374"/>
    <w:rsid w:val="00004F60"/>
    <w:rsid w:val="000224CB"/>
    <w:rsid w:val="00023206"/>
    <w:rsid w:val="00025D09"/>
    <w:rsid w:val="0003391A"/>
    <w:rsid w:val="000344B6"/>
    <w:rsid w:val="0004072C"/>
    <w:rsid w:val="000443C5"/>
    <w:rsid w:val="00045FD4"/>
    <w:rsid w:val="00052D44"/>
    <w:rsid w:val="000546D7"/>
    <w:rsid w:val="00062017"/>
    <w:rsid w:val="00065C9A"/>
    <w:rsid w:val="000677CB"/>
    <w:rsid w:val="00070D87"/>
    <w:rsid w:val="00076069"/>
    <w:rsid w:val="00080BF2"/>
    <w:rsid w:val="0008410C"/>
    <w:rsid w:val="000868B4"/>
    <w:rsid w:val="00090A93"/>
    <w:rsid w:val="000928ED"/>
    <w:rsid w:val="00095A52"/>
    <w:rsid w:val="0009782A"/>
    <w:rsid w:val="000A12F2"/>
    <w:rsid w:val="000A269E"/>
    <w:rsid w:val="000B12A1"/>
    <w:rsid w:val="000B1548"/>
    <w:rsid w:val="000B4994"/>
    <w:rsid w:val="000B6BDE"/>
    <w:rsid w:val="000C3808"/>
    <w:rsid w:val="000C4558"/>
    <w:rsid w:val="000D267A"/>
    <w:rsid w:val="000D6C0A"/>
    <w:rsid w:val="000D7DDC"/>
    <w:rsid w:val="000E090D"/>
    <w:rsid w:val="000E2710"/>
    <w:rsid w:val="000E6E21"/>
    <w:rsid w:val="000F2CDD"/>
    <w:rsid w:val="001103EC"/>
    <w:rsid w:val="00111F28"/>
    <w:rsid w:val="00116737"/>
    <w:rsid w:val="001174D3"/>
    <w:rsid w:val="00120FE0"/>
    <w:rsid w:val="00124153"/>
    <w:rsid w:val="00124F6E"/>
    <w:rsid w:val="001253EF"/>
    <w:rsid w:val="00151F63"/>
    <w:rsid w:val="00154193"/>
    <w:rsid w:val="00155D00"/>
    <w:rsid w:val="001622C6"/>
    <w:rsid w:val="001649BB"/>
    <w:rsid w:val="001669DD"/>
    <w:rsid w:val="00170E42"/>
    <w:rsid w:val="001730E1"/>
    <w:rsid w:val="0017724A"/>
    <w:rsid w:val="00177385"/>
    <w:rsid w:val="00181157"/>
    <w:rsid w:val="00184A11"/>
    <w:rsid w:val="00184CBF"/>
    <w:rsid w:val="0018501E"/>
    <w:rsid w:val="00185316"/>
    <w:rsid w:val="00196FFF"/>
    <w:rsid w:val="001A6A96"/>
    <w:rsid w:val="001A7BFA"/>
    <w:rsid w:val="001C4173"/>
    <w:rsid w:val="001C5D93"/>
    <w:rsid w:val="001D0A88"/>
    <w:rsid w:val="001D479D"/>
    <w:rsid w:val="001D5604"/>
    <w:rsid w:val="001E0238"/>
    <w:rsid w:val="001E03B4"/>
    <w:rsid w:val="001E2101"/>
    <w:rsid w:val="001E29C0"/>
    <w:rsid w:val="001F19A4"/>
    <w:rsid w:val="00206C61"/>
    <w:rsid w:val="0021288F"/>
    <w:rsid w:val="0022024F"/>
    <w:rsid w:val="00221AC8"/>
    <w:rsid w:val="00230894"/>
    <w:rsid w:val="002345F2"/>
    <w:rsid w:val="00234F08"/>
    <w:rsid w:val="00237E41"/>
    <w:rsid w:val="00242C6E"/>
    <w:rsid w:val="00243089"/>
    <w:rsid w:val="00243417"/>
    <w:rsid w:val="002446AF"/>
    <w:rsid w:val="002466CE"/>
    <w:rsid w:val="002565A0"/>
    <w:rsid w:val="002617F4"/>
    <w:rsid w:val="002633E0"/>
    <w:rsid w:val="00272E6A"/>
    <w:rsid w:val="00273385"/>
    <w:rsid w:val="00274F78"/>
    <w:rsid w:val="00276F0D"/>
    <w:rsid w:val="002771BE"/>
    <w:rsid w:val="00277351"/>
    <w:rsid w:val="00277B3C"/>
    <w:rsid w:val="00281127"/>
    <w:rsid w:val="002849FA"/>
    <w:rsid w:val="00287DDD"/>
    <w:rsid w:val="00294A1B"/>
    <w:rsid w:val="0029754A"/>
    <w:rsid w:val="002A79C6"/>
    <w:rsid w:val="002B3DDE"/>
    <w:rsid w:val="002C01FE"/>
    <w:rsid w:val="002C070D"/>
    <w:rsid w:val="002C7370"/>
    <w:rsid w:val="002D0320"/>
    <w:rsid w:val="002D17F6"/>
    <w:rsid w:val="002D3BA0"/>
    <w:rsid w:val="002D53B5"/>
    <w:rsid w:val="002E2DAF"/>
    <w:rsid w:val="002F1D2A"/>
    <w:rsid w:val="002F32EB"/>
    <w:rsid w:val="002F6ACD"/>
    <w:rsid w:val="002F7402"/>
    <w:rsid w:val="0030254C"/>
    <w:rsid w:val="00304C5E"/>
    <w:rsid w:val="00304F1E"/>
    <w:rsid w:val="00310A6F"/>
    <w:rsid w:val="00312F55"/>
    <w:rsid w:val="0031487A"/>
    <w:rsid w:val="00331216"/>
    <w:rsid w:val="003333F0"/>
    <w:rsid w:val="003371E9"/>
    <w:rsid w:val="003460D2"/>
    <w:rsid w:val="00346CF7"/>
    <w:rsid w:val="0035099A"/>
    <w:rsid w:val="00350F6C"/>
    <w:rsid w:val="00361C5C"/>
    <w:rsid w:val="003624AB"/>
    <w:rsid w:val="0036496A"/>
    <w:rsid w:val="00370EF4"/>
    <w:rsid w:val="003740A8"/>
    <w:rsid w:val="00374624"/>
    <w:rsid w:val="00376D2C"/>
    <w:rsid w:val="0038466D"/>
    <w:rsid w:val="0038503F"/>
    <w:rsid w:val="00394ABA"/>
    <w:rsid w:val="003A0137"/>
    <w:rsid w:val="003A0666"/>
    <w:rsid w:val="003A1A9E"/>
    <w:rsid w:val="003A79AD"/>
    <w:rsid w:val="003B0049"/>
    <w:rsid w:val="003B3A63"/>
    <w:rsid w:val="003C7140"/>
    <w:rsid w:val="003C76CD"/>
    <w:rsid w:val="003C7FD6"/>
    <w:rsid w:val="003D39B7"/>
    <w:rsid w:val="003E098C"/>
    <w:rsid w:val="003E2130"/>
    <w:rsid w:val="003E6B86"/>
    <w:rsid w:val="003F35A7"/>
    <w:rsid w:val="003F395E"/>
    <w:rsid w:val="003F5AE2"/>
    <w:rsid w:val="00402169"/>
    <w:rsid w:val="0041160F"/>
    <w:rsid w:val="00414E0C"/>
    <w:rsid w:val="00417ECE"/>
    <w:rsid w:val="00420648"/>
    <w:rsid w:val="004214E7"/>
    <w:rsid w:val="004215A7"/>
    <w:rsid w:val="00424D04"/>
    <w:rsid w:val="004316F7"/>
    <w:rsid w:val="00434371"/>
    <w:rsid w:val="00436921"/>
    <w:rsid w:val="00440F73"/>
    <w:rsid w:val="0044612B"/>
    <w:rsid w:val="0045189F"/>
    <w:rsid w:val="00452D1E"/>
    <w:rsid w:val="0045521D"/>
    <w:rsid w:val="00460706"/>
    <w:rsid w:val="004627D6"/>
    <w:rsid w:val="00462F60"/>
    <w:rsid w:val="00463656"/>
    <w:rsid w:val="00471112"/>
    <w:rsid w:val="004728F7"/>
    <w:rsid w:val="004803F4"/>
    <w:rsid w:val="004826C4"/>
    <w:rsid w:val="00485CC4"/>
    <w:rsid w:val="004955B9"/>
    <w:rsid w:val="004A1457"/>
    <w:rsid w:val="004A2463"/>
    <w:rsid w:val="004A5941"/>
    <w:rsid w:val="004A5A3D"/>
    <w:rsid w:val="004A652F"/>
    <w:rsid w:val="004A7B3A"/>
    <w:rsid w:val="004B16E8"/>
    <w:rsid w:val="004B482F"/>
    <w:rsid w:val="004B49D4"/>
    <w:rsid w:val="004B53C3"/>
    <w:rsid w:val="004B61F5"/>
    <w:rsid w:val="004B6D4E"/>
    <w:rsid w:val="004C07D4"/>
    <w:rsid w:val="004C4C9E"/>
    <w:rsid w:val="004C4D20"/>
    <w:rsid w:val="004C705E"/>
    <w:rsid w:val="004C7F17"/>
    <w:rsid w:val="004D1CCB"/>
    <w:rsid w:val="004D653F"/>
    <w:rsid w:val="004D768C"/>
    <w:rsid w:val="004E1982"/>
    <w:rsid w:val="004F168B"/>
    <w:rsid w:val="004F2766"/>
    <w:rsid w:val="004F37FE"/>
    <w:rsid w:val="004F3D77"/>
    <w:rsid w:val="004F4DCB"/>
    <w:rsid w:val="00500AF4"/>
    <w:rsid w:val="00503004"/>
    <w:rsid w:val="00503930"/>
    <w:rsid w:val="00512E5E"/>
    <w:rsid w:val="00513FF0"/>
    <w:rsid w:val="005168AA"/>
    <w:rsid w:val="00520C8F"/>
    <w:rsid w:val="00525112"/>
    <w:rsid w:val="00527A24"/>
    <w:rsid w:val="00527AA8"/>
    <w:rsid w:val="005369DB"/>
    <w:rsid w:val="00537DDF"/>
    <w:rsid w:val="0054302C"/>
    <w:rsid w:val="00552055"/>
    <w:rsid w:val="00555CC5"/>
    <w:rsid w:val="00564B3E"/>
    <w:rsid w:val="00572E91"/>
    <w:rsid w:val="00575EA7"/>
    <w:rsid w:val="00576C2C"/>
    <w:rsid w:val="005842A3"/>
    <w:rsid w:val="005860B3"/>
    <w:rsid w:val="00586695"/>
    <w:rsid w:val="005922CF"/>
    <w:rsid w:val="00592B90"/>
    <w:rsid w:val="005951C2"/>
    <w:rsid w:val="00596284"/>
    <w:rsid w:val="00597738"/>
    <w:rsid w:val="005A1503"/>
    <w:rsid w:val="005B0BEE"/>
    <w:rsid w:val="005B3718"/>
    <w:rsid w:val="005B72CF"/>
    <w:rsid w:val="005C242E"/>
    <w:rsid w:val="005C25B0"/>
    <w:rsid w:val="005C4809"/>
    <w:rsid w:val="005D417D"/>
    <w:rsid w:val="005D6727"/>
    <w:rsid w:val="005D7ADE"/>
    <w:rsid w:val="005E0AB7"/>
    <w:rsid w:val="005E2161"/>
    <w:rsid w:val="005E2438"/>
    <w:rsid w:val="005E6EA0"/>
    <w:rsid w:val="005F28EF"/>
    <w:rsid w:val="005F3575"/>
    <w:rsid w:val="005F67EB"/>
    <w:rsid w:val="006033EF"/>
    <w:rsid w:val="0060421D"/>
    <w:rsid w:val="006061DB"/>
    <w:rsid w:val="00607D17"/>
    <w:rsid w:val="006126EC"/>
    <w:rsid w:val="0061598B"/>
    <w:rsid w:val="00616953"/>
    <w:rsid w:val="00617D0E"/>
    <w:rsid w:val="00630C65"/>
    <w:rsid w:val="00633378"/>
    <w:rsid w:val="00633DAB"/>
    <w:rsid w:val="006340F7"/>
    <w:rsid w:val="0063411D"/>
    <w:rsid w:val="006423DA"/>
    <w:rsid w:val="00642A1C"/>
    <w:rsid w:val="00653ECE"/>
    <w:rsid w:val="006614D0"/>
    <w:rsid w:val="00662A2B"/>
    <w:rsid w:val="00673FA3"/>
    <w:rsid w:val="00677C96"/>
    <w:rsid w:val="00682A2E"/>
    <w:rsid w:val="0068637E"/>
    <w:rsid w:val="006872C1"/>
    <w:rsid w:val="00695C6F"/>
    <w:rsid w:val="00696117"/>
    <w:rsid w:val="006A514D"/>
    <w:rsid w:val="006A655D"/>
    <w:rsid w:val="006B5507"/>
    <w:rsid w:val="006B753B"/>
    <w:rsid w:val="006C0424"/>
    <w:rsid w:val="006C14B6"/>
    <w:rsid w:val="006C30CF"/>
    <w:rsid w:val="006D068C"/>
    <w:rsid w:val="006E172E"/>
    <w:rsid w:val="006E5370"/>
    <w:rsid w:val="006E6877"/>
    <w:rsid w:val="006E7B16"/>
    <w:rsid w:val="006F13BE"/>
    <w:rsid w:val="006F5D08"/>
    <w:rsid w:val="007041E1"/>
    <w:rsid w:val="00711FB0"/>
    <w:rsid w:val="00712C4F"/>
    <w:rsid w:val="00717006"/>
    <w:rsid w:val="00722A96"/>
    <w:rsid w:val="00723CC8"/>
    <w:rsid w:val="007250BF"/>
    <w:rsid w:val="007307E4"/>
    <w:rsid w:val="00733191"/>
    <w:rsid w:val="00733F0D"/>
    <w:rsid w:val="0073742F"/>
    <w:rsid w:val="0074158A"/>
    <w:rsid w:val="00745E86"/>
    <w:rsid w:val="00760E56"/>
    <w:rsid w:val="00762064"/>
    <w:rsid w:val="007621A5"/>
    <w:rsid w:val="007665CC"/>
    <w:rsid w:val="00767D62"/>
    <w:rsid w:val="00771A76"/>
    <w:rsid w:val="00771C76"/>
    <w:rsid w:val="007729ED"/>
    <w:rsid w:val="0077751E"/>
    <w:rsid w:val="00777BC1"/>
    <w:rsid w:val="00780381"/>
    <w:rsid w:val="00784C59"/>
    <w:rsid w:val="00786C86"/>
    <w:rsid w:val="0079171D"/>
    <w:rsid w:val="007954B9"/>
    <w:rsid w:val="00795AB9"/>
    <w:rsid w:val="00796859"/>
    <w:rsid w:val="007978CF"/>
    <w:rsid w:val="007A22B1"/>
    <w:rsid w:val="007B0928"/>
    <w:rsid w:val="007B1143"/>
    <w:rsid w:val="007B1314"/>
    <w:rsid w:val="007C0DA7"/>
    <w:rsid w:val="007C14B0"/>
    <w:rsid w:val="007C4854"/>
    <w:rsid w:val="007C4BD6"/>
    <w:rsid w:val="007D3DDD"/>
    <w:rsid w:val="007D4C73"/>
    <w:rsid w:val="007D5141"/>
    <w:rsid w:val="007E1CDE"/>
    <w:rsid w:val="007E3A4D"/>
    <w:rsid w:val="007E659A"/>
    <w:rsid w:val="007F0DE0"/>
    <w:rsid w:val="00802DE3"/>
    <w:rsid w:val="008111DE"/>
    <w:rsid w:val="00811BC3"/>
    <w:rsid w:val="00814B16"/>
    <w:rsid w:val="00814F13"/>
    <w:rsid w:val="0082249E"/>
    <w:rsid w:val="008224FB"/>
    <w:rsid w:val="0082382F"/>
    <w:rsid w:val="00824985"/>
    <w:rsid w:val="00827745"/>
    <w:rsid w:val="008336E4"/>
    <w:rsid w:val="0083516E"/>
    <w:rsid w:val="008364FD"/>
    <w:rsid w:val="0084218E"/>
    <w:rsid w:val="008506A3"/>
    <w:rsid w:val="0085667D"/>
    <w:rsid w:val="008570DB"/>
    <w:rsid w:val="008707F2"/>
    <w:rsid w:val="00870EC6"/>
    <w:rsid w:val="00873A04"/>
    <w:rsid w:val="00875BF4"/>
    <w:rsid w:val="0087620C"/>
    <w:rsid w:val="00881585"/>
    <w:rsid w:val="00885C0B"/>
    <w:rsid w:val="008862C7"/>
    <w:rsid w:val="0088748A"/>
    <w:rsid w:val="008A0440"/>
    <w:rsid w:val="008A0B14"/>
    <w:rsid w:val="008A1E4D"/>
    <w:rsid w:val="008B0577"/>
    <w:rsid w:val="008B28D2"/>
    <w:rsid w:val="008B5AE1"/>
    <w:rsid w:val="008B5DD9"/>
    <w:rsid w:val="008C0002"/>
    <w:rsid w:val="008C4CE5"/>
    <w:rsid w:val="008C7BA5"/>
    <w:rsid w:val="008D104F"/>
    <w:rsid w:val="008D4A66"/>
    <w:rsid w:val="008D4AF1"/>
    <w:rsid w:val="008D5A42"/>
    <w:rsid w:val="008D5C30"/>
    <w:rsid w:val="008D6BC7"/>
    <w:rsid w:val="008E23EE"/>
    <w:rsid w:val="008E5B7A"/>
    <w:rsid w:val="008E5E16"/>
    <w:rsid w:val="008F47B2"/>
    <w:rsid w:val="008F503D"/>
    <w:rsid w:val="009028CD"/>
    <w:rsid w:val="00903DD7"/>
    <w:rsid w:val="009101EE"/>
    <w:rsid w:val="00912716"/>
    <w:rsid w:val="009207D4"/>
    <w:rsid w:val="009250B0"/>
    <w:rsid w:val="00925738"/>
    <w:rsid w:val="009261B9"/>
    <w:rsid w:val="00927284"/>
    <w:rsid w:val="00932625"/>
    <w:rsid w:val="0095086D"/>
    <w:rsid w:val="009529CE"/>
    <w:rsid w:val="0095310F"/>
    <w:rsid w:val="00960AFC"/>
    <w:rsid w:val="00961E4C"/>
    <w:rsid w:val="009625D8"/>
    <w:rsid w:val="00964497"/>
    <w:rsid w:val="00966A9C"/>
    <w:rsid w:val="00974317"/>
    <w:rsid w:val="00982279"/>
    <w:rsid w:val="00986A67"/>
    <w:rsid w:val="00996E32"/>
    <w:rsid w:val="009A6247"/>
    <w:rsid w:val="009C317E"/>
    <w:rsid w:val="009D16D0"/>
    <w:rsid w:val="009D1777"/>
    <w:rsid w:val="009D378C"/>
    <w:rsid w:val="009E0B55"/>
    <w:rsid w:val="009E13CC"/>
    <w:rsid w:val="009E1880"/>
    <w:rsid w:val="009E2029"/>
    <w:rsid w:val="009E3CA3"/>
    <w:rsid w:val="009E3DCE"/>
    <w:rsid w:val="009E5FF7"/>
    <w:rsid w:val="009F10C8"/>
    <w:rsid w:val="009F2DC7"/>
    <w:rsid w:val="009F4847"/>
    <w:rsid w:val="009F7C95"/>
    <w:rsid w:val="009F7E1A"/>
    <w:rsid w:val="00A03E39"/>
    <w:rsid w:val="00A03FB8"/>
    <w:rsid w:val="00A07E30"/>
    <w:rsid w:val="00A16921"/>
    <w:rsid w:val="00A22426"/>
    <w:rsid w:val="00A344C2"/>
    <w:rsid w:val="00A43647"/>
    <w:rsid w:val="00A53075"/>
    <w:rsid w:val="00A53176"/>
    <w:rsid w:val="00A56F37"/>
    <w:rsid w:val="00A60A0B"/>
    <w:rsid w:val="00A6117B"/>
    <w:rsid w:val="00A6688D"/>
    <w:rsid w:val="00A70684"/>
    <w:rsid w:val="00A72BFE"/>
    <w:rsid w:val="00A75720"/>
    <w:rsid w:val="00A762FE"/>
    <w:rsid w:val="00A82C5F"/>
    <w:rsid w:val="00A90998"/>
    <w:rsid w:val="00A9768A"/>
    <w:rsid w:val="00AA1D7F"/>
    <w:rsid w:val="00AA294C"/>
    <w:rsid w:val="00AA6F4D"/>
    <w:rsid w:val="00AC046E"/>
    <w:rsid w:val="00AC0965"/>
    <w:rsid w:val="00AC2146"/>
    <w:rsid w:val="00AC4755"/>
    <w:rsid w:val="00AC5182"/>
    <w:rsid w:val="00AC5510"/>
    <w:rsid w:val="00AC5EBC"/>
    <w:rsid w:val="00AD1C5B"/>
    <w:rsid w:val="00AD6BEC"/>
    <w:rsid w:val="00AE0F1A"/>
    <w:rsid w:val="00AE21BA"/>
    <w:rsid w:val="00AF7D10"/>
    <w:rsid w:val="00B00EA0"/>
    <w:rsid w:val="00B01F2C"/>
    <w:rsid w:val="00B05CC7"/>
    <w:rsid w:val="00B10FFB"/>
    <w:rsid w:val="00B127BE"/>
    <w:rsid w:val="00B135B8"/>
    <w:rsid w:val="00B20B14"/>
    <w:rsid w:val="00B20E09"/>
    <w:rsid w:val="00B24C1B"/>
    <w:rsid w:val="00B36506"/>
    <w:rsid w:val="00B412CC"/>
    <w:rsid w:val="00B428FF"/>
    <w:rsid w:val="00B45956"/>
    <w:rsid w:val="00B467F5"/>
    <w:rsid w:val="00B5282F"/>
    <w:rsid w:val="00B5422C"/>
    <w:rsid w:val="00B54C92"/>
    <w:rsid w:val="00B56C0B"/>
    <w:rsid w:val="00B6007D"/>
    <w:rsid w:val="00B62D76"/>
    <w:rsid w:val="00B663A5"/>
    <w:rsid w:val="00B70FE0"/>
    <w:rsid w:val="00B77739"/>
    <w:rsid w:val="00B84570"/>
    <w:rsid w:val="00B907A0"/>
    <w:rsid w:val="00B9688E"/>
    <w:rsid w:val="00BA3390"/>
    <w:rsid w:val="00BA7E5E"/>
    <w:rsid w:val="00BB0B1B"/>
    <w:rsid w:val="00BC0F38"/>
    <w:rsid w:val="00BC6078"/>
    <w:rsid w:val="00BE67EA"/>
    <w:rsid w:val="00BF27B3"/>
    <w:rsid w:val="00BF37CD"/>
    <w:rsid w:val="00BF637C"/>
    <w:rsid w:val="00C005B0"/>
    <w:rsid w:val="00C012A7"/>
    <w:rsid w:val="00C017BB"/>
    <w:rsid w:val="00C01C46"/>
    <w:rsid w:val="00C02316"/>
    <w:rsid w:val="00C05BC1"/>
    <w:rsid w:val="00C06AF7"/>
    <w:rsid w:val="00C07C84"/>
    <w:rsid w:val="00C16D14"/>
    <w:rsid w:val="00C2030E"/>
    <w:rsid w:val="00C21100"/>
    <w:rsid w:val="00C31581"/>
    <w:rsid w:val="00C347B9"/>
    <w:rsid w:val="00C40ACD"/>
    <w:rsid w:val="00C42E39"/>
    <w:rsid w:val="00C4439D"/>
    <w:rsid w:val="00C50154"/>
    <w:rsid w:val="00C50202"/>
    <w:rsid w:val="00C62D11"/>
    <w:rsid w:val="00C652C4"/>
    <w:rsid w:val="00C718B6"/>
    <w:rsid w:val="00C7273C"/>
    <w:rsid w:val="00C74B7A"/>
    <w:rsid w:val="00C7782E"/>
    <w:rsid w:val="00C866BD"/>
    <w:rsid w:val="00C97CC0"/>
    <w:rsid w:val="00CA3BE3"/>
    <w:rsid w:val="00CA5A67"/>
    <w:rsid w:val="00CA6F04"/>
    <w:rsid w:val="00CB0803"/>
    <w:rsid w:val="00CB1540"/>
    <w:rsid w:val="00CB32E6"/>
    <w:rsid w:val="00CB4F59"/>
    <w:rsid w:val="00CD1C5F"/>
    <w:rsid w:val="00CD21B6"/>
    <w:rsid w:val="00CE1845"/>
    <w:rsid w:val="00CE7007"/>
    <w:rsid w:val="00CF488D"/>
    <w:rsid w:val="00CF6AEC"/>
    <w:rsid w:val="00D02449"/>
    <w:rsid w:val="00D10B37"/>
    <w:rsid w:val="00D1483A"/>
    <w:rsid w:val="00D1780F"/>
    <w:rsid w:val="00D20E61"/>
    <w:rsid w:val="00D219C3"/>
    <w:rsid w:val="00D21F3F"/>
    <w:rsid w:val="00D238A9"/>
    <w:rsid w:val="00D26731"/>
    <w:rsid w:val="00D36D03"/>
    <w:rsid w:val="00D406E9"/>
    <w:rsid w:val="00D4683C"/>
    <w:rsid w:val="00D51607"/>
    <w:rsid w:val="00D52EED"/>
    <w:rsid w:val="00D572FD"/>
    <w:rsid w:val="00D75B60"/>
    <w:rsid w:val="00D763FD"/>
    <w:rsid w:val="00D84E99"/>
    <w:rsid w:val="00D934D8"/>
    <w:rsid w:val="00DA130B"/>
    <w:rsid w:val="00DA2948"/>
    <w:rsid w:val="00DA29A7"/>
    <w:rsid w:val="00DA4BAB"/>
    <w:rsid w:val="00DA782D"/>
    <w:rsid w:val="00DA7D59"/>
    <w:rsid w:val="00DB5B94"/>
    <w:rsid w:val="00DB6BA1"/>
    <w:rsid w:val="00DC059C"/>
    <w:rsid w:val="00DC3BD4"/>
    <w:rsid w:val="00DC5332"/>
    <w:rsid w:val="00DD0C10"/>
    <w:rsid w:val="00DD10A6"/>
    <w:rsid w:val="00DD5DAC"/>
    <w:rsid w:val="00DF040D"/>
    <w:rsid w:val="00E031A3"/>
    <w:rsid w:val="00E0485F"/>
    <w:rsid w:val="00E11425"/>
    <w:rsid w:val="00E130A6"/>
    <w:rsid w:val="00E2174B"/>
    <w:rsid w:val="00E21966"/>
    <w:rsid w:val="00E43332"/>
    <w:rsid w:val="00E45E43"/>
    <w:rsid w:val="00E47169"/>
    <w:rsid w:val="00E50AB0"/>
    <w:rsid w:val="00E7205E"/>
    <w:rsid w:val="00E73600"/>
    <w:rsid w:val="00E744BA"/>
    <w:rsid w:val="00E7534C"/>
    <w:rsid w:val="00E8192B"/>
    <w:rsid w:val="00E87EFA"/>
    <w:rsid w:val="00E9044B"/>
    <w:rsid w:val="00EB3B01"/>
    <w:rsid w:val="00EC3463"/>
    <w:rsid w:val="00ED01B6"/>
    <w:rsid w:val="00ED1270"/>
    <w:rsid w:val="00ED3D2B"/>
    <w:rsid w:val="00ED7EBA"/>
    <w:rsid w:val="00EE1B41"/>
    <w:rsid w:val="00EE1F57"/>
    <w:rsid w:val="00EE24C6"/>
    <w:rsid w:val="00EE6F55"/>
    <w:rsid w:val="00EE7087"/>
    <w:rsid w:val="00EF0079"/>
    <w:rsid w:val="00EF1CBD"/>
    <w:rsid w:val="00EF5BDA"/>
    <w:rsid w:val="00F0088D"/>
    <w:rsid w:val="00F0105F"/>
    <w:rsid w:val="00F033E6"/>
    <w:rsid w:val="00F1021A"/>
    <w:rsid w:val="00F11406"/>
    <w:rsid w:val="00F125E2"/>
    <w:rsid w:val="00F1432F"/>
    <w:rsid w:val="00F179F9"/>
    <w:rsid w:val="00F203C1"/>
    <w:rsid w:val="00F21D66"/>
    <w:rsid w:val="00F22C45"/>
    <w:rsid w:val="00F26C77"/>
    <w:rsid w:val="00F41012"/>
    <w:rsid w:val="00F50B96"/>
    <w:rsid w:val="00F57C21"/>
    <w:rsid w:val="00F60C27"/>
    <w:rsid w:val="00F638D5"/>
    <w:rsid w:val="00F64C93"/>
    <w:rsid w:val="00F67331"/>
    <w:rsid w:val="00F72789"/>
    <w:rsid w:val="00F73899"/>
    <w:rsid w:val="00F73E1E"/>
    <w:rsid w:val="00F83561"/>
    <w:rsid w:val="00F84F5D"/>
    <w:rsid w:val="00F91FC3"/>
    <w:rsid w:val="00F936C4"/>
    <w:rsid w:val="00FA6A68"/>
    <w:rsid w:val="00FA78F0"/>
    <w:rsid w:val="00FB3541"/>
    <w:rsid w:val="00FC152A"/>
    <w:rsid w:val="00FC1CCB"/>
    <w:rsid w:val="00FC2181"/>
    <w:rsid w:val="00FC246A"/>
    <w:rsid w:val="00FC3213"/>
    <w:rsid w:val="00FC3B38"/>
    <w:rsid w:val="00FC40A9"/>
    <w:rsid w:val="00FC4D09"/>
    <w:rsid w:val="00FC62E5"/>
    <w:rsid w:val="00FD023A"/>
    <w:rsid w:val="00FD4559"/>
    <w:rsid w:val="00FD479A"/>
    <w:rsid w:val="00FE1204"/>
    <w:rsid w:val="00FE3A38"/>
    <w:rsid w:val="00FF0F31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D0F2F"/>
  <w15:docId w15:val="{8245D6AC-8DF8-4A55-B25D-411D6BF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660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next w:val="Normln"/>
    <w:qFormat/>
    <w:rsid w:val="00EE20B8"/>
    <w:pPr>
      <w:numPr>
        <w:ilvl w:val="2"/>
        <w:numId w:val="1"/>
      </w:numPr>
      <w:spacing w:after="160"/>
      <w:ind w:left="1434" w:hanging="1434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FC2455"/>
  </w:style>
  <w:style w:type="character" w:styleId="Odkaznakoment">
    <w:name w:val="annotation reference"/>
    <w:uiPriority w:val="99"/>
    <w:semiHidden/>
    <w:qFormat/>
    <w:rsid w:val="00FC2455"/>
    <w:rPr>
      <w:sz w:val="16"/>
      <w:szCs w:val="16"/>
    </w:rPr>
  </w:style>
  <w:style w:type="character" w:customStyle="1" w:styleId="ZpatChar">
    <w:name w:val="Zápatí Char"/>
    <w:link w:val="Zpat"/>
    <w:uiPriority w:val="99"/>
    <w:qFormat/>
    <w:rsid w:val="005E3F4A"/>
    <w:rPr>
      <w:sz w:val="24"/>
      <w:szCs w:val="24"/>
      <w:lang w:val="en-US"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05D30"/>
    <w:rPr>
      <w:rFonts w:ascii="Tahoma" w:hAnsi="Tahoma" w:cs="Tahoma"/>
      <w:sz w:val="16"/>
      <w:szCs w:val="16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qFormat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8D73B7"/>
    <w:rPr>
      <w:b/>
      <w:bCs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qFormat/>
    <w:rsid w:val="00EA73F6"/>
    <w:rPr>
      <w:rFonts w:ascii="Calibri" w:hAnsi="Calibri" w:cs="Calibri"/>
      <w:color w:val="000000"/>
      <w:lang w:eastAsia="en-US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E73CB0"/>
    <w:rPr>
      <w:vertAlign w:val="superscript"/>
    </w:rPr>
  </w:style>
  <w:style w:type="character" w:styleId="Zdraznn">
    <w:name w:val="Emphasis"/>
    <w:uiPriority w:val="20"/>
    <w:qFormat/>
    <w:rsid w:val="003D6E7E"/>
    <w:rPr>
      <w:i/>
      <w:iCs/>
    </w:rPr>
  </w:style>
  <w:style w:type="character" w:customStyle="1" w:styleId="OdstavecseseznamemChar">
    <w:name w:val="Odstavec se seznamem Char"/>
    <w:aliases w:val="List Paragraph1 Char,List Paragraph2 Char,List Paragraph_0 Char,Nad Char,Nad1 Char,Nad2 Char,Nadpis pro KZ Char,Odrážky Char,Odstavec_muj Char,Odstavec_muj1 Char,Odstavec_muj10 Char,Odstavec_muj2 Char,Odstavec_muj3 Char"/>
    <w:link w:val="Odstavecseseznamem"/>
    <w:uiPriority w:val="34"/>
    <w:qFormat/>
    <w:rsid w:val="00B707FC"/>
    <w:rPr>
      <w:sz w:val="24"/>
      <w:szCs w:val="24"/>
      <w:lang w:eastAsia="en-US"/>
    </w:rPr>
  </w:style>
  <w:style w:type="character" w:customStyle="1" w:styleId="Nadpis2Char">
    <w:name w:val="Nadpis 2 Char"/>
    <w:link w:val="Nadpis2"/>
    <w:qFormat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qFormat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character" w:customStyle="1" w:styleId="KP-normlntextChar">
    <w:name w:val="KP-normální text Char"/>
    <w:qFormat/>
    <w:rsid w:val="00AA56EB"/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Internetovodkaz">
    <w:name w:val="Internetový odkaz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character" w:customStyle="1" w:styleId="A14">
    <w:name w:val="A14"/>
    <w:uiPriority w:val="99"/>
    <w:qFormat/>
    <w:rsid w:val="00653E37"/>
    <w:rPr>
      <w:b/>
      <w:color w:val="000000"/>
      <w:sz w:val="5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46EED"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Standardnpsmoodstavce"/>
    <w:qFormat/>
    <w:rsid w:val="00BD6545"/>
  </w:style>
  <w:style w:type="character" w:customStyle="1" w:styleId="textnormal">
    <w:name w:val="text_normal"/>
    <w:qFormat/>
    <w:rsid w:val="00882709"/>
    <w:rPr>
      <w:rFonts w:cs="Times New Roman"/>
    </w:rPr>
  </w:style>
  <w:style w:type="character" w:customStyle="1" w:styleId="A3">
    <w:name w:val="A3"/>
    <w:basedOn w:val="Standardnpsmoodstavce"/>
    <w:uiPriority w:val="99"/>
    <w:qFormat/>
    <w:rsid w:val="00882709"/>
    <w:rPr>
      <w:rFonts w:ascii="Work Sans" w:hAnsi="Work Sans"/>
      <w:color w:val="000000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b/>
      <w:sz w:val="24"/>
      <w:szCs w:val="24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sz w:val="24"/>
      <w:szCs w:val="24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b/>
      <w:sz w:val="24"/>
      <w:szCs w:val="24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Calibri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Theme="minorHAnsi" w:hAnsiTheme="minorHAnsi" w:cstheme="minorHAnsi"/>
      <w:lang w:eastAsia="cs-CZ"/>
    </w:rPr>
  </w:style>
  <w:style w:type="character" w:customStyle="1" w:styleId="ListLabel76">
    <w:name w:val="ListLabel 76"/>
    <w:qFormat/>
    <w:rPr>
      <w:rFonts w:asciiTheme="minorHAnsi" w:hAnsiTheme="minorHAnsi" w:cstheme="minorHAnsi"/>
    </w:rPr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  <w:rPr>
      <w:rFonts w:asciiTheme="minorHAnsi" w:hAnsiTheme="minorHAnsi" w:cstheme="minorHAnsi"/>
      <w:i/>
      <w:sz w:val="18"/>
      <w:szCs w:val="18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79">
    <w:name w:val="ListLabel 79"/>
    <w:qFormat/>
    <w:rPr>
      <w:b w:val="0"/>
      <w:sz w:val="24"/>
      <w:szCs w:val="24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rFonts w:cs="Symbol"/>
      <w:sz w:val="28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Calibri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b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sz w:val="24"/>
      <w:szCs w:val="24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sz w:val="24"/>
      <w:szCs w:val="24"/>
    </w:rPr>
  </w:style>
  <w:style w:type="character" w:customStyle="1" w:styleId="ListLabel176">
    <w:name w:val="ListLabel 176"/>
    <w:qFormat/>
    <w:rPr>
      <w:b w:val="0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ascii="Calibri" w:hAnsi="Calibri"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Calibri" w:hAnsi="Calibri"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theme="minorHAnsi"/>
      <w:lang w:eastAsia="cs-CZ"/>
    </w:rPr>
  </w:style>
  <w:style w:type="character" w:customStyle="1" w:styleId="ListLabel214">
    <w:name w:val="ListLabel 214"/>
    <w:qFormat/>
    <w:rPr>
      <w:rFonts w:cstheme="minorHAnsi"/>
      <w:lang w:eastAsia="cs-CZ"/>
    </w:rPr>
  </w:style>
  <w:style w:type="character" w:customStyle="1" w:styleId="ListLabel215">
    <w:name w:val="ListLabel 215"/>
    <w:qFormat/>
  </w:style>
  <w:style w:type="character" w:customStyle="1" w:styleId="ListLabel216">
    <w:name w:val="ListLabel 216"/>
    <w:qFormat/>
    <w:rPr>
      <w:rFonts w:eastAsiaTheme="minorHAnsi" w:cstheme="minorHAnsi"/>
      <w:color w:val="auto"/>
      <w:u w:val="none"/>
    </w:rPr>
  </w:style>
  <w:style w:type="character" w:customStyle="1" w:styleId="ListLabel217">
    <w:name w:val="ListLabel 217"/>
    <w:qFormat/>
    <w:rPr>
      <w:rFonts w:cstheme="minorHAnsi"/>
      <w:color w:val="auto"/>
      <w:u w:val="none"/>
    </w:rPr>
  </w:style>
  <w:style w:type="character" w:customStyle="1" w:styleId="ListLabel218">
    <w:name w:val="ListLabel 218"/>
    <w:qFormat/>
    <w:rPr>
      <w:rFonts w:eastAsiaTheme="majorEastAsia" w:cstheme="minorHAnsi"/>
      <w:color w:val="auto"/>
      <w:highlight w:val="white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next w:val="Normln"/>
    <w:uiPriority w:val="35"/>
    <w:qFormat/>
    <w:rsid w:val="00FC2455"/>
    <w:rPr>
      <w:rFonts w:ascii="Arial" w:hAnsi="Arial" w:cs="Arial"/>
      <w:i/>
      <w:iCs/>
      <w:sz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sloKZ">
    <w:name w:val="Číslo KZ"/>
    <w:basedOn w:val="Normln"/>
    <w:qFormat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qFormat/>
    <w:rsid w:val="00FC2455"/>
    <w:pPr>
      <w:ind w:firstLine="567"/>
    </w:pPr>
    <w:rPr>
      <w:iCs/>
      <w:lang w:eastAsia="cs-CZ"/>
    </w:rPr>
  </w:style>
  <w:style w:type="paragraph" w:styleId="Zkladntextodsazen2">
    <w:name w:val="Body Text Indent 2"/>
    <w:basedOn w:val="Normln"/>
    <w:semiHidden/>
    <w:qFormat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qFormat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qFormat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qFormat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qFormat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qFormat/>
    <w:rsid w:val="00FC2455"/>
    <w:pPr>
      <w:overflowPunct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FC2455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FC2455"/>
    <w:rPr>
      <w:sz w:val="20"/>
      <w:szCs w:val="20"/>
    </w:rPr>
  </w:style>
  <w:style w:type="paragraph" w:customStyle="1" w:styleId="Zkladntext21">
    <w:name w:val="Základní text 21"/>
    <w:basedOn w:val="Normln"/>
    <w:qFormat/>
    <w:rsid w:val="00FC2455"/>
    <w:pPr>
      <w:overflowPunct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Zkladntextodsazen3">
    <w:name w:val="Body Text Indent 3"/>
    <w:basedOn w:val="Normln"/>
    <w:semiHidden/>
    <w:qFormat/>
    <w:rsid w:val="00FC2455"/>
    <w:pPr>
      <w:spacing w:line="240" w:lineRule="atLeast"/>
      <w:ind w:left="360" w:hanging="36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05D30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ist Paragraph1,List Paragraph2,List Paragraph_0,Nad,Nad1,Nad2,Nadpis pro KZ,Odrážky,Odstavec_muj,Odstavec_muj1,Odstavec_muj10,Odstavec_muj2,Odstavec_muj3,Odstavec_muj4,Odstavec_muj5,Odstavec_muj6,Odstavec_muj7,Odstavec_muj8,odrážky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D73B7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paragraph" w:styleId="Normlnweb">
    <w:name w:val="Normal (Web)"/>
    <w:basedOn w:val="Normln"/>
    <w:qFormat/>
    <w:rsid w:val="003D6E7E"/>
  </w:style>
  <w:style w:type="paragraph" w:customStyle="1" w:styleId="NormlnKZ">
    <w:name w:val="Normální KZ"/>
    <w:basedOn w:val="Normln"/>
    <w:qFormat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paragraph" w:customStyle="1" w:styleId="Default">
    <w:name w:val="Default"/>
    <w:qFormat/>
    <w:rsid w:val="00CD752C"/>
    <w:rPr>
      <w:rFonts w:ascii="Arial" w:hAnsi="Arial" w:cs="Arial"/>
      <w:color w:val="000000"/>
      <w:sz w:val="24"/>
      <w:szCs w:val="24"/>
    </w:rPr>
  </w:style>
  <w:style w:type="paragraph" w:customStyle="1" w:styleId="KP-normlntext">
    <w:name w:val="KP-normální text"/>
    <w:basedOn w:val="Normln"/>
    <w:qFormat/>
    <w:rsid w:val="00AA56EB"/>
    <w:pPr>
      <w:spacing w:after="120"/>
      <w:ind w:firstLine="720"/>
    </w:pPr>
    <w:rPr>
      <w:rFonts w:ascii="Arial" w:hAnsi="Arial" w:cs="Arial"/>
      <w:sz w:val="22"/>
      <w:szCs w:val="22"/>
    </w:rPr>
  </w:style>
  <w:style w:type="paragraph" w:customStyle="1" w:styleId="Pa18">
    <w:name w:val="Pa18"/>
    <w:basedOn w:val="Normln"/>
    <w:next w:val="Normln"/>
    <w:uiPriority w:val="99"/>
    <w:qFormat/>
    <w:rsid w:val="00653E37"/>
    <w:pPr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Pa19">
    <w:name w:val="Pa19"/>
    <w:basedOn w:val="Normln"/>
    <w:next w:val="Normln"/>
    <w:uiPriority w:val="99"/>
    <w:qFormat/>
    <w:rsid w:val="00653E37"/>
    <w:pPr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styleId="Revize">
    <w:name w:val="Revision"/>
    <w:uiPriority w:val="99"/>
    <w:semiHidden/>
    <w:qFormat/>
    <w:rsid w:val="00740142"/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Obsahrmce">
    <w:name w:val="Obsah rámce"/>
    <w:basedOn w:val="Normln"/>
    <w:qFormat/>
  </w:style>
  <w:style w:type="paragraph" w:customStyle="1" w:styleId="Zkladntext1">
    <w:name w:val="Základní text1"/>
    <w:basedOn w:val="Normln"/>
    <w:link w:val="Zkladntext0"/>
    <w:qFormat/>
    <w:pPr>
      <w:widowControl w:val="0"/>
      <w:shd w:val="clear" w:color="auto" w:fill="FFFFFF"/>
      <w:spacing w:before="0" w:after="240" w:line="300" w:lineRule="auto"/>
    </w:pPr>
    <w:rPr>
      <w:sz w:val="18"/>
      <w:szCs w:val="18"/>
      <w:lang w:eastAsia="cs-CZ"/>
    </w:rPr>
  </w:style>
  <w:style w:type="paragraph" w:customStyle="1" w:styleId="Pa4">
    <w:name w:val="Pa4"/>
    <w:basedOn w:val="Normln"/>
    <w:next w:val="Normln"/>
    <w:uiPriority w:val="99"/>
    <w:qFormat/>
    <w:pPr>
      <w:spacing w:line="241" w:lineRule="atLeast"/>
    </w:pPr>
    <w:rPr>
      <w:rFonts w:ascii="DINPro-Regular" w:eastAsiaTheme="minorHAnsi" w:hAnsi="DINPro-Regular" w:cstheme="minorBidi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873A04"/>
    <w:rPr>
      <w:color w:val="0000FF" w:themeColor="hyperlink"/>
      <w:u w:val="single"/>
    </w:rPr>
  </w:style>
  <w:style w:type="character" w:styleId="Znakapoznpodarou">
    <w:name w:val="footnote reference"/>
    <w:aliases w:val="12 b.,PGI Fußnote Ziffer,PGI Fußnote Ziffer + Times New Roman,Zúžené o ..."/>
    <w:basedOn w:val="Standardnpsmoodstavce"/>
    <w:uiPriority w:val="99"/>
    <w:semiHidden/>
    <w:unhideWhenUsed/>
    <w:rsid w:val="00F26C77"/>
    <w:rPr>
      <w:vertAlign w:val="superscript"/>
    </w:rPr>
  </w:style>
  <w:style w:type="character" w:customStyle="1" w:styleId="Zkladntext0">
    <w:name w:val="Základní text_"/>
    <w:basedOn w:val="Standardnpsmoodstavce"/>
    <w:link w:val="Zkladntext1"/>
    <w:rsid w:val="00F26C77"/>
    <w:rPr>
      <w:rFonts w:ascii="Calibri" w:hAnsi="Calibri" w:cs="Calibri"/>
      <w:color w:val="000000"/>
      <w:sz w:val="18"/>
      <w:szCs w:val="18"/>
      <w:shd w:val="clear" w:color="auto" w:fill="FFFFFF"/>
    </w:rPr>
  </w:style>
  <w:style w:type="character" w:styleId="Sledovanodkaz">
    <w:name w:val="FollowedHyperlink"/>
    <w:basedOn w:val="Standardnpsmoodstavce"/>
    <w:uiPriority w:val="99"/>
    <w:semiHidden/>
    <w:rsid w:val="0082382F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rsid w:val="0082382F"/>
    <w:rPr>
      <w:rFonts w:ascii="Calibri" w:hAnsi="Calibri" w:cs="Calibri"/>
      <w:b/>
      <w:bCs/>
      <w:color w:val="000000"/>
      <w:sz w:val="36"/>
      <w:szCs w:val="36"/>
      <w:lang w:eastAsia="en-US"/>
    </w:rPr>
  </w:style>
  <w:style w:type="paragraph" w:customStyle="1" w:styleId="Zkladntextodsazen31">
    <w:name w:val="Základní text odsazený 31"/>
    <w:basedOn w:val="Normln"/>
    <w:rsid w:val="0082382F"/>
    <w:pPr>
      <w:overflowPunct w:val="0"/>
      <w:autoSpaceDE w:val="0"/>
      <w:autoSpaceDN w:val="0"/>
      <w:adjustRightInd w:val="0"/>
      <w:spacing w:before="0"/>
      <w:ind w:left="426" w:hanging="426"/>
      <w:jc w:val="left"/>
    </w:pPr>
    <w:rPr>
      <w:rFonts w:ascii="Times New Roman" w:hAnsi="Times New Roman" w:cs="Times New Roman"/>
      <w:color w:val="auto"/>
      <w:szCs w:val="20"/>
      <w:lang w:eastAsia="cs-CZ"/>
    </w:rPr>
  </w:style>
  <w:style w:type="character" w:customStyle="1" w:styleId="h1a">
    <w:name w:val="h1a"/>
    <w:basedOn w:val="Standardnpsmoodstavce"/>
    <w:rsid w:val="0082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e&#353;i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2\035\KOLEGIUM\&#268;LENOV&#201;\KON&#205;CEK\KZ\20-02\graf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Příjmy ÚZSVM z nemovitého majetku v letech 2017</a:t>
            </a:r>
            <a:r>
              <a:rPr lang="cs-CZ" sz="1400" b="1" i="0" u="none" strike="noStrike" baseline="0">
                <a:effectLst/>
              </a:rPr>
              <a:t>–</a:t>
            </a:r>
            <a:r>
              <a:rPr lang="cs-CZ" b="1"/>
              <a:t>2019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  <a:effectLst/>
        <a:sp3d/>
      </c:spPr>
    </c:floor>
    <c:sideWall>
      <c:thickness val="0"/>
      <c:spPr>
        <a:noFill/>
        <a:ln w="9525"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146481000790004"/>
          <c:y val="0.11475727957912289"/>
          <c:w val="0.80427940167897971"/>
          <c:h val="0.662980161932055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List1!$L$13</c:f>
              <c:strCache>
                <c:ptCount val="1"/>
                <c:pt idx="0">
                  <c:v>Rok 2017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  <a:sp3d>
              <a:contourClr>
                <a:srgbClr val="004595"/>
              </a:contourClr>
            </a:sp3d>
          </c:spPr>
          <c:invertIfNegative val="0"/>
          <c:cat>
            <c:strRef>
              <c:f>List1!$L$19:$L$20</c:f>
              <c:strCache>
                <c:ptCount val="2"/>
                <c:pt idx="0">
                  <c:v>Příjmy z prodeje nemovitostí</c:v>
                </c:pt>
                <c:pt idx="1">
                  <c:v>Příjmy z pronájmu nemovitostí</c:v>
                </c:pt>
              </c:strCache>
            </c:strRef>
          </c:cat>
          <c:val>
            <c:numRef>
              <c:f>(List1!$M$13,List1!$Q$13)</c:f>
              <c:numCache>
                <c:formatCode>#,##0</c:formatCode>
                <c:ptCount val="2"/>
                <c:pt idx="0">
                  <c:v>1215828798</c:v>
                </c:pt>
                <c:pt idx="1">
                  <c:v>187540393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4A-44C2-B7AE-BEE05E0AC4BF}"/>
            </c:ext>
          </c:extLst>
        </c:ser>
        <c:ser>
          <c:idx val="1"/>
          <c:order val="1"/>
          <c:tx>
            <c:strRef>
              <c:f>List1!$L$14</c:f>
              <c:strCache>
                <c:ptCount val="1"/>
                <c:pt idx="0">
                  <c:v>Rok 2018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  <a:sp3d/>
          </c:spPr>
          <c:invertIfNegative val="0"/>
          <c:cat>
            <c:strRef>
              <c:f>List1!$L$19:$L$20</c:f>
              <c:strCache>
                <c:ptCount val="2"/>
                <c:pt idx="0">
                  <c:v>Příjmy z prodeje nemovitostí</c:v>
                </c:pt>
                <c:pt idx="1">
                  <c:v>Příjmy z pronájmu nemovitostí</c:v>
                </c:pt>
              </c:strCache>
            </c:strRef>
          </c:cat>
          <c:val>
            <c:numRef>
              <c:f>(List1!$M$14,List1!$Q$14)</c:f>
              <c:numCache>
                <c:formatCode>#,##0</c:formatCode>
                <c:ptCount val="2"/>
                <c:pt idx="0">
                  <c:v>869610741</c:v>
                </c:pt>
                <c:pt idx="1">
                  <c:v>209440989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4A-44C2-B7AE-BEE05E0AC4BF}"/>
            </c:ext>
          </c:extLst>
        </c:ser>
        <c:ser>
          <c:idx val="2"/>
          <c:order val="2"/>
          <c:tx>
            <c:strRef>
              <c:f>List1!$L$15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C3C5C6"/>
            </a:solidFill>
            <a:ln>
              <a:noFill/>
            </a:ln>
            <a:effectLst/>
            <a:sp3d/>
          </c:spPr>
          <c:invertIfNegative val="0"/>
          <c:cat>
            <c:strRef>
              <c:f>List1!$L$19:$L$20</c:f>
              <c:strCache>
                <c:ptCount val="2"/>
                <c:pt idx="0">
                  <c:v>Příjmy z prodeje nemovitostí</c:v>
                </c:pt>
                <c:pt idx="1">
                  <c:v>Příjmy z pronájmu nemovitostí</c:v>
                </c:pt>
              </c:strCache>
            </c:strRef>
          </c:cat>
          <c:val>
            <c:numRef>
              <c:f>(List1!$M$15,List1!$Q$15)</c:f>
              <c:numCache>
                <c:formatCode>#,##0</c:formatCode>
                <c:ptCount val="2"/>
                <c:pt idx="0">
                  <c:v>880658111</c:v>
                </c:pt>
                <c:pt idx="1">
                  <c:v>284848787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4A-44C2-B7AE-BEE05E0AC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718224"/>
        <c:axId val="32723216"/>
        <c:axId val="0"/>
      </c:bar3DChart>
      <c:catAx>
        <c:axId val="3271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723216"/>
        <c:crosses val="autoZero"/>
        <c:auto val="1"/>
        <c:lblAlgn val="ctr"/>
        <c:lblOffset val="100"/>
        <c:noMultiLvlLbl val="0"/>
      </c:catAx>
      <c:valAx>
        <c:axId val="32723216"/>
        <c:scaling>
          <c:orientation val="minMax"/>
        </c:scaling>
        <c:delete val="0"/>
        <c:axPos val="l"/>
        <c:majorGridlines>
          <c:spPr>
            <a:ln w="9525">
              <a:noFill/>
              <a:round/>
            </a:ln>
            <a:effectLst/>
          </c:spPr>
        </c:majorGridlines>
        <c:title>
          <c:tx>
            <c:rich>
              <a:bodyPr rot="-5400000" spcFirstLastPara="1" vertOverflow="clip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clip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7182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List2!$A$48</c:f>
              <c:strCache>
                <c:ptCount val="1"/>
                <c:pt idx="0">
                  <c:v>Pronájem nemovitého majetku 2017–2019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List2!$B$47:$I$47</c:f>
              <c:strCache>
                <c:ptCount val="8"/>
                <c:pt idx="0">
                  <c:v>České Budějovice</c:v>
                </c:pt>
                <c:pt idx="1">
                  <c:v>Plzeň</c:v>
                </c:pt>
                <c:pt idx="2">
                  <c:v>Ostrava</c:v>
                </c:pt>
                <c:pt idx="3">
                  <c:v>Hradec Králové</c:v>
                </c:pt>
                <c:pt idx="4">
                  <c:v>Ústí nad Labem</c:v>
                </c:pt>
                <c:pt idx="5">
                  <c:v>Brno</c:v>
                </c:pt>
                <c:pt idx="6">
                  <c:v>Střední Čechy</c:v>
                </c:pt>
                <c:pt idx="7">
                  <c:v>Praha</c:v>
                </c:pt>
              </c:strCache>
            </c:strRef>
          </c:cat>
          <c:val>
            <c:numRef>
              <c:f>List2!$B$48:$I$48</c:f>
              <c:numCache>
                <c:formatCode>General</c:formatCode>
                <c:ptCount val="8"/>
                <c:pt idx="0">
                  <c:v>31791627.840000004</c:v>
                </c:pt>
                <c:pt idx="1">
                  <c:v>30499449.920000002</c:v>
                </c:pt>
                <c:pt idx="2">
                  <c:v>58699954.359999999</c:v>
                </c:pt>
                <c:pt idx="3">
                  <c:v>85457137.349999994</c:v>
                </c:pt>
                <c:pt idx="4">
                  <c:v>51721403.719999999</c:v>
                </c:pt>
                <c:pt idx="5">
                  <c:v>134944422.51999998</c:v>
                </c:pt>
                <c:pt idx="6">
                  <c:v>27429826.780000001</c:v>
                </c:pt>
                <c:pt idx="7">
                  <c:v>261286346.56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2-49C8-9261-E5094E034D9A}"/>
            </c:ext>
          </c:extLst>
        </c:ser>
        <c:ser>
          <c:idx val="1"/>
          <c:order val="1"/>
          <c:tx>
            <c:strRef>
              <c:f>List2!$A$49</c:f>
              <c:strCache>
                <c:ptCount val="1"/>
                <c:pt idx="0">
                  <c:v>Prodej nemovitého majetku 2017–2019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List2!$B$47:$I$47</c:f>
              <c:strCache>
                <c:ptCount val="8"/>
                <c:pt idx="0">
                  <c:v>České Budějovice</c:v>
                </c:pt>
                <c:pt idx="1">
                  <c:v>Plzeň</c:v>
                </c:pt>
                <c:pt idx="2">
                  <c:v>Ostrava</c:v>
                </c:pt>
                <c:pt idx="3">
                  <c:v>Hradec Králové</c:v>
                </c:pt>
                <c:pt idx="4">
                  <c:v>Ústí nad Labem</c:v>
                </c:pt>
                <c:pt idx="5">
                  <c:v>Brno</c:v>
                </c:pt>
                <c:pt idx="6">
                  <c:v>Střední Čechy</c:v>
                </c:pt>
                <c:pt idx="7">
                  <c:v>Praha</c:v>
                </c:pt>
              </c:strCache>
            </c:strRef>
          </c:cat>
          <c:val>
            <c:numRef>
              <c:f>List2!$B$49:$I$49</c:f>
              <c:numCache>
                <c:formatCode>General</c:formatCode>
                <c:ptCount val="8"/>
                <c:pt idx="0">
                  <c:v>179827864.19999999</c:v>
                </c:pt>
                <c:pt idx="1">
                  <c:v>234297734.88</c:v>
                </c:pt>
                <c:pt idx="2">
                  <c:v>253020109</c:v>
                </c:pt>
                <c:pt idx="3">
                  <c:v>252958878.21000001</c:v>
                </c:pt>
                <c:pt idx="4">
                  <c:v>287001987.77999997</c:v>
                </c:pt>
                <c:pt idx="5">
                  <c:v>437695102</c:v>
                </c:pt>
                <c:pt idx="6">
                  <c:v>779882676.39999998</c:v>
                </c:pt>
                <c:pt idx="7">
                  <c:v>541413296.75999999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92-49C8-9261-E5094E034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3429439"/>
        <c:axId val="1523430687"/>
      </c:barChart>
      <c:catAx>
        <c:axId val="15234294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3430687"/>
        <c:crosses val="autoZero"/>
        <c:auto val="1"/>
        <c:lblAlgn val="ctr"/>
        <c:lblOffset val="100"/>
        <c:noMultiLvlLbl val="0"/>
      </c:catAx>
      <c:valAx>
        <c:axId val="1523430687"/>
        <c:scaling>
          <c:orientation val="minMax"/>
          <c:max val="800000000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3429439"/>
        <c:crosses val="autoZero"/>
        <c:crossBetween val="between"/>
        <c:majorUnit val="200000000"/>
        <c:dispUnits>
          <c:builtInUnit val="millions"/>
          <c:dispUnitsLbl>
            <c:layout>
              <c:manualLayout>
                <c:xMode val="edge"/>
                <c:yMode val="edge"/>
                <c:x val="0.92059787061939358"/>
                <c:y val="0.8661183036330985"/>
              </c:manualLayout>
            </c:layout>
            <c:tx>
              <c:rich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mil. Kč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6FE85-42A8-4CC7-92BB-0B4EE8D8D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BEEBC8-6C84-4482-819F-9B61FE15D75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1BCD7C-C702-43BE-8288-A545F828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6DF38F34.dotm</Template>
  <TotalTime>3</TotalTime>
  <Pages>13</Pages>
  <Words>3681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20/02 - Majetek a peněžní prostředky státu, se kterými je příslušný hospodařit Úřad pro zastupování státu ve věcech majetkových</vt:lpstr>
    </vt:vector>
  </TitlesOfParts>
  <Company>NKU</Company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20/02 - Majetek a peněžní prostředky státu, se kterými je příslušný hospodařit Úřad pro zastupování státu ve věcech majetkových</dc:title>
  <dc:creator>Nejvyšší kontrolní úřad</dc:creator>
  <cp:keywords>kontrolní závěr; ÚZSVM</cp:keywords>
  <cp:lastModifiedBy>KOKRDA Daniel</cp:lastModifiedBy>
  <cp:revision>3</cp:revision>
  <cp:lastPrinted>2021-03-12T07:24:00Z</cp:lastPrinted>
  <dcterms:created xsi:type="dcterms:W3CDTF">2021-03-12T07:23:00Z</dcterms:created>
  <dcterms:modified xsi:type="dcterms:W3CDTF">2021-03-12T07:25:00Z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AppVersion">
    <vt:lpwstr>16.0000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20/02-NKU30/1020/20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510/135/19</vt:lpwstr>
  </property>
  <property fmtid="{D5CDD505-2E9C-101B-9397-08002B2CF9AE}" pid="8" name="Company">
    <vt:lpwstr>NKU</vt:lpwstr>
  </property>
  <property fmtid="{D5CDD505-2E9C-101B-9397-08002B2CF9AE}" pid="9" name="Contact_PostaOdes">
    <vt:lpwstr>{NameAddress_Contact_PostaOdes}
{FullAddress_Contact_PostaOdes}</vt:lpwstr>
  </property>
  <property fmtid="{D5CDD505-2E9C-101B-9397-08002B2CF9AE}" pid="10" name="Contact_PostaOdes_All">
    <vt:lpwstr>ROZDĚLOVNÍK...</vt:lpwstr>
  </property>
  <property fmtid="{D5CDD505-2E9C-101B-9397-08002B2CF9AE}" pid="11" name="ContentType">
    <vt:lpwstr>Dokument</vt:lpwstr>
  </property>
  <property fmtid="{D5CDD505-2E9C-101B-9397-08002B2CF9AE}" pid="12" name="ContentTypeId">
    <vt:lpwstr>0x0101002F7A625AE9F5AB4A939F92BCAA7FEC02</vt:lpwstr>
  </property>
  <property fmtid="{D5CDD505-2E9C-101B-9397-08002B2CF9AE}" pid="13" name="DatumNaroz">
    <vt:lpwstr/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DatumPoriz_Pisemnost">
    <vt:lpwstr>23.11.2020</vt:lpwstr>
  </property>
  <property fmtid="{D5CDD505-2E9C-101B-9397-08002B2CF9AE}" pid="16" name="DisplayName_CisloObalky_PostaOdes">
    <vt:lpwstr>ČÍSLO OBÁLKY</vt:lpwstr>
  </property>
  <property fmtid="{D5CDD505-2E9C-101B-9397-08002B2CF9AE}" pid="17" name="DisplayName_CJCol">
    <vt:lpwstr>&lt;TABLE&gt;&lt;TR&gt;&lt;TD&gt;Č.j.:&lt;/TD&gt;&lt;TD&gt;20/02-NKU30/1020/20&lt;/TD&gt;&lt;/TR&gt;&lt;TR&gt;&lt;TD&gt;&lt;/TD&gt;&lt;TD&gt;&lt;/TD&gt;&lt;/TR&gt;&lt;/TABLE&gt;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Členové Úřadu</vt:lpwstr>
  </property>
  <property fmtid="{D5CDD505-2E9C-101B-9397-08002B2CF9AE}" pid="20" name="DisplayName_UserPoriz_Pisemnost">
    <vt:lpwstr>Bc. Jana Pokorná</vt:lpwstr>
  </property>
  <property fmtid="{D5CDD505-2E9C-101B-9397-08002B2CF9AE}" pid="21" name="DocSecurity">
    <vt:i4>0</vt:i4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20-14636/NKU</vt:lpwstr>
  </property>
  <property fmtid="{D5CDD505-2E9C-101B-9397-08002B2CF9AE}" pid="24" name="HyperlinksChanged">
    <vt:bool>false</vt:bool>
  </property>
  <property fmtid="{D5CDD505-2E9C-101B-9397-08002B2CF9AE}" pid="25" name="Key_BarCode_Pisemnost">
    <vt:lpwstr>*B000374443*</vt:lpwstr>
  </property>
  <property fmtid="{D5CDD505-2E9C-101B-9397-08002B2CF9AE}" pid="26" name="Key_BarCode_PostaOdes">
    <vt:lpwstr>11101001011</vt:lpwstr>
  </property>
  <property fmtid="{D5CDD505-2E9C-101B-9397-08002B2CF9AE}" pid="27" name="KRukam">
    <vt:lpwstr>{KRukam}</vt:lpwstr>
  </property>
  <property fmtid="{D5CDD505-2E9C-101B-9397-08002B2CF9AE}" pid="28" name="LinksUpToDate">
    <vt:bool>false</vt:bool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20-14636/NKU</vt:lpwstr>
  </property>
  <property fmtid="{D5CDD505-2E9C-101B-9397-08002B2CF9AE}" pid="40" name="RC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20/02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Návrh kontrolního závěru 20/02 - do připomínek</vt:lpwstr>
  </property>
  <property fmtid="{D5CDD505-2E9C-101B-9397-08002B2CF9AE}" pid="50" name="Zkratka_SpisovyUzel_PoziceZodpo_Pisemnost">
    <vt:lpwstr>30</vt:lpwstr>
  </property>
</Properties>
</file>