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3773" w14:textId="77777777" w:rsidR="002E1E39" w:rsidRDefault="00EC3A0D" w:rsidP="00031FF6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2AA920" wp14:editId="70F3EFDF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65FF4F" w14:textId="77777777" w:rsidR="000D72DE" w:rsidRDefault="000D72DE" w:rsidP="00031FF6">
      <w:pPr>
        <w:spacing w:after="0"/>
        <w:jc w:val="center"/>
      </w:pPr>
    </w:p>
    <w:p w14:paraId="6F4C7E65" w14:textId="77777777" w:rsidR="00EC3A0D" w:rsidRDefault="00EC3A0D" w:rsidP="00031FF6">
      <w:pPr>
        <w:spacing w:after="0"/>
        <w:jc w:val="center"/>
      </w:pPr>
    </w:p>
    <w:p w14:paraId="6499E931" w14:textId="77777777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36F7F508" w14:textId="77777777" w:rsidR="00031FF6" w:rsidRDefault="00031FF6" w:rsidP="00031FF6">
      <w:pPr>
        <w:spacing w:after="0"/>
        <w:jc w:val="center"/>
      </w:pPr>
    </w:p>
    <w:p w14:paraId="7F93EA6B" w14:textId="26F85D5F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7C43B0">
        <w:rPr>
          <w:rFonts w:asciiTheme="minorHAnsi" w:eastAsiaTheme="minorHAnsi" w:hAnsiTheme="minorHAnsi" w:cstheme="minorHAnsi"/>
          <w:b/>
          <w:sz w:val="28"/>
          <w:szCs w:val="28"/>
        </w:rPr>
        <w:t>8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4E3929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7C43B0">
        <w:rPr>
          <w:rFonts w:asciiTheme="minorHAnsi" w:eastAsiaTheme="minorHAnsi" w:hAnsiTheme="minorHAnsi" w:cstheme="minorHAnsi"/>
          <w:b/>
          <w:sz w:val="28"/>
          <w:szCs w:val="28"/>
        </w:rPr>
        <w:t>3</w:t>
      </w:r>
    </w:p>
    <w:p w14:paraId="13519354" w14:textId="77777777" w:rsidR="00031FF6" w:rsidRDefault="00031FF6" w:rsidP="00031FF6">
      <w:pPr>
        <w:spacing w:after="0"/>
        <w:jc w:val="center"/>
      </w:pPr>
    </w:p>
    <w:p w14:paraId="6895011B" w14:textId="40496288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</w:t>
      </w:r>
      <w:r w:rsidRPr="007C43B0">
        <w:rPr>
          <w:rFonts w:asciiTheme="minorHAnsi" w:eastAsiaTheme="minorHAnsi" w:hAnsiTheme="minorHAnsi" w:cstheme="minorHAnsi"/>
          <w:b/>
          <w:sz w:val="28"/>
          <w:szCs w:val="28"/>
        </w:rPr>
        <w:t xml:space="preserve">rozpočtu </w:t>
      </w:r>
      <w:r w:rsidR="007C43B0" w:rsidRPr="00361E84">
        <w:rPr>
          <w:rFonts w:asciiTheme="minorHAnsi" w:eastAsiaTheme="minorHAnsi" w:hAnsiTheme="minorHAnsi" w:cstheme="minorHAnsi"/>
          <w:b/>
          <w:i/>
          <w:sz w:val="28"/>
          <w:szCs w:val="28"/>
        </w:rPr>
        <w:t>Ministerstvo zdravotnictví</w:t>
      </w:r>
      <w:r w:rsidRPr="007C43B0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031FF6" w:rsidRPr="007C43B0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Ministerstva </w:t>
      </w:r>
      <w:r w:rsidR="007C43B0">
        <w:rPr>
          <w:rFonts w:asciiTheme="minorHAnsi" w:eastAsiaTheme="minorHAnsi" w:hAnsiTheme="minorHAnsi" w:cstheme="minorHAnsi"/>
          <w:b/>
          <w:sz w:val="28"/>
          <w:szCs w:val="28"/>
        </w:rPr>
        <w:t>zdravotnictví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7 </w:t>
      </w:r>
      <w:r w:rsidR="00031FF6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a údaje předkládané M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inisterstvem </w:t>
      </w:r>
      <w:r w:rsidR="007C43B0">
        <w:rPr>
          <w:rFonts w:asciiTheme="minorHAnsi" w:eastAsiaTheme="minorHAnsi" w:hAnsiTheme="minorHAnsi" w:cstheme="minorHAnsi"/>
          <w:b/>
          <w:sz w:val="28"/>
          <w:szCs w:val="28"/>
        </w:rPr>
        <w:t>zdravotnictví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pro hodnocení plnění státního rozpočtu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14:paraId="57841B5D" w14:textId="77777777" w:rsidR="00031FF6" w:rsidRDefault="00031FF6" w:rsidP="00031FF6">
      <w:pPr>
        <w:spacing w:after="0"/>
        <w:jc w:val="both"/>
      </w:pPr>
    </w:p>
    <w:p w14:paraId="021AA01F" w14:textId="77777777" w:rsidR="00031FF6" w:rsidRDefault="00031FF6" w:rsidP="00031FF6">
      <w:pPr>
        <w:spacing w:after="0"/>
        <w:jc w:val="both"/>
      </w:pPr>
    </w:p>
    <w:p w14:paraId="53A50213" w14:textId="2D8C2211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 w:rsidR="00EA44A3">
        <w:rPr>
          <w:rFonts w:asciiTheme="minorHAnsi" w:eastAsiaTheme="minorHAnsi" w:hAnsiTheme="minorHAnsi" w:cstheme="minorHAnsi"/>
        </w:rPr>
        <w:t>také</w:t>
      </w:r>
      <w:r w:rsidRPr="00EC3A0D">
        <w:rPr>
          <w:rFonts w:asciiTheme="minorHAnsi" w:eastAsiaTheme="minorHAnsi" w:hAnsiTheme="minorHAnsi" w:cstheme="minorHAnsi"/>
        </w:rPr>
        <w:t xml:space="preserve"> „NKÚ“) na rok 201</w:t>
      </w:r>
      <w:r w:rsidR="007C43B0">
        <w:rPr>
          <w:rFonts w:asciiTheme="minorHAnsi" w:eastAsiaTheme="minorHAnsi" w:hAnsiTheme="minorHAnsi" w:cstheme="minorHAnsi"/>
        </w:rPr>
        <w:t>8</w:t>
      </w:r>
      <w:r w:rsidRPr="00EC3A0D">
        <w:rPr>
          <w:rFonts w:asciiTheme="minorHAnsi" w:eastAsiaTheme="minorHAnsi" w:hAnsiTheme="minorHAnsi" w:cstheme="minorHAnsi"/>
        </w:rPr>
        <w:t xml:space="preserve"> pod číslem </w:t>
      </w:r>
      <w:r w:rsidR="007C43B0">
        <w:rPr>
          <w:rFonts w:asciiTheme="minorHAnsi" w:eastAsiaTheme="minorHAnsi" w:hAnsiTheme="minorHAnsi" w:cstheme="minorHAnsi"/>
        </w:rPr>
        <w:t>18</w:t>
      </w:r>
      <w:r w:rsidRPr="00EC3A0D">
        <w:rPr>
          <w:rFonts w:asciiTheme="minorHAnsi" w:eastAsiaTheme="minorHAnsi" w:hAnsiTheme="minorHAnsi" w:cstheme="minorHAnsi"/>
        </w:rPr>
        <w:t>/</w:t>
      </w:r>
      <w:r w:rsidR="004E3929">
        <w:rPr>
          <w:rFonts w:asciiTheme="minorHAnsi" w:eastAsiaTheme="minorHAnsi" w:hAnsiTheme="minorHAnsi" w:cstheme="minorHAnsi"/>
        </w:rPr>
        <w:t>1</w:t>
      </w:r>
      <w:r w:rsidR="007C43B0">
        <w:rPr>
          <w:rFonts w:asciiTheme="minorHAnsi" w:eastAsiaTheme="minorHAnsi" w:hAnsiTheme="minorHAnsi" w:cstheme="minorHAnsi"/>
        </w:rPr>
        <w:t>3</w:t>
      </w:r>
      <w:r w:rsidRPr="00EC3A0D">
        <w:rPr>
          <w:rFonts w:asciiTheme="minorHAnsi" w:eastAsiaTheme="minorHAnsi" w:hAnsiTheme="minorHAnsi" w:cstheme="minorHAnsi"/>
        </w:rPr>
        <w:t xml:space="preserve">. </w:t>
      </w:r>
      <w:r w:rsidR="005F2754">
        <w:rPr>
          <w:rFonts w:asciiTheme="minorHAnsi" w:eastAsiaTheme="minorHAnsi" w:hAnsiTheme="minorHAnsi" w:cstheme="minorHAnsi"/>
        </w:rPr>
        <w:t>Kontrolní akci řídil</w:t>
      </w:r>
      <w:r w:rsidR="004E3929">
        <w:rPr>
          <w:rFonts w:asciiTheme="minorHAnsi" w:eastAsiaTheme="minorHAnsi" w:hAnsiTheme="minorHAnsi" w:cstheme="minorHAnsi"/>
        </w:rPr>
        <w:t>a</w:t>
      </w:r>
      <w:r w:rsidRPr="00EC3A0D">
        <w:rPr>
          <w:rFonts w:asciiTheme="minorHAnsi" w:eastAsiaTheme="minorHAnsi" w:hAnsiTheme="minorHAnsi" w:cstheme="minorHAnsi"/>
        </w:rPr>
        <w:t xml:space="preserve"> a kontrolní závěr vypracoval</w:t>
      </w:r>
      <w:r w:rsidR="004E3929">
        <w:rPr>
          <w:rFonts w:asciiTheme="minorHAnsi" w:eastAsiaTheme="minorHAnsi" w:hAnsiTheme="minorHAnsi" w:cstheme="minorHAnsi"/>
        </w:rPr>
        <w:t>a</w:t>
      </w:r>
      <w:r w:rsidRPr="00EC3A0D">
        <w:rPr>
          <w:rFonts w:asciiTheme="minorHAnsi" w:eastAsiaTheme="minorHAnsi" w:hAnsiTheme="minorHAnsi" w:cstheme="minorHAnsi"/>
        </w:rPr>
        <w:t xml:space="preserve"> člen</w:t>
      </w:r>
      <w:r w:rsidR="004E3929">
        <w:rPr>
          <w:rFonts w:asciiTheme="minorHAnsi" w:eastAsiaTheme="minorHAnsi" w:hAnsiTheme="minorHAnsi" w:cstheme="minorHAnsi"/>
        </w:rPr>
        <w:t>ka</w:t>
      </w:r>
      <w:r w:rsidR="005F2754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</w:rPr>
        <w:t>NKÚ Ing. Ja</w:t>
      </w:r>
      <w:r w:rsidR="004E3929">
        <w:rPr>
          <w:rFonts w:asciiTheme="minorHAnsi" w:eastAsiaTheme="minorHAnsi" w:hAnsiTheme="minorHAnsi" w:cstheme="minorHAnsi"/>
        </w:rPr>
        <w:t>romíra Steidlová</w:t>
      </w:r>
      <w:r w:rsidRPr="00EC3A0D">
        <w:rPr>
          <w:rFonts w:asciiTheme="minorHAnsi" w:eastAsiaTheme="minorHAnsi" w:hAnsiTheme="minorHAnsi" w:cstheme="minorHAnsi"/>
        </w:rPr>
        <w:t>.</w:t>
      </w:r>
    </w:p>
    <w:p w14:paraId="623093EA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C4D73C8" w14:textId="443FFDEE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EC3A0D">
        <w:rPr>
          <w:rFonts w:asciiTheme="minorHAnsi" w:eastAsiaTheme="minorHAnsi" w:hAnsiTheme="minorHAnsi" w:cstheme="minorHAnsi"/>
        </w:rPr>
        <w:t xml:space="preserve">Cílem kontroly bylo prověřit, </w:t>
      </w:r>
      <w:r w:rsidRPr="00EC3A0D">
        <w:rPr>
          <w:rFonts w:asciiTheme="minorHAnsi" w:eastAsiaTheme="minorHAnsi" w:hAnsiTheme="minorHAnsi" w:cstheme="minorHAnsi"/>
          <w:bCs/>
        </w:rPr>
        <w:t xml:space="preserve">zda Ministerstvo </w:t>
      </w:r>
      <w:r w:rsidR="007C43B0">
        <w:rPr>
          <w:rFonts w:asciiTheme="minorHAnsi" w:eastAsiaTheme="minorHAnsi" w:hAnsiTheme="minorHAnsi" w:cstheme="minorHAnsi"/>
          <w:bCs/>
        </w:rPr>
        <w:t>zdravotnictví</w:t>
      </w:r>
      <w:r w:rsidRPr="00EC3A0D">
        <w:rPr>
          <w:rFonts w:asciiTheme="minorHAnsi" w:eastAsiaTheme="minorHAnsi" w:hAnsiTheme="minorHAnsi" w:cstheme="minorHAnsi"/>
          <w:bCs/>
        </w:rPr>
        <w:t xml:space="preserve"> při sestavení závěrečného účtu </w:t>
      </w:r>
      <w:r w:rsidR="00C12C40">
        <w:rPr>
          <w:rFonts w:asciiTheme="minorHAnsi" w:eastAsiaTheme="minorHAnsi" w:hAnsiTheme="minorHAnsi" w:cstheme="minorHAnsi"/>
          <w:bCs/>
        </w:rPr>
        <w:t>a </w:t>
      </w:r>
      <w:r w:rsidRPr="00EC3A0D">
        <w:rPr>
          <w:rFonts w:asciiTheme="minorHAnsi" w:eastAsiaTheme="minorHAnsi" w:hAnsiTheme="minorHAnsi" w:cstheme="minorHAnsi"/>
          <w:bCs/>
        </w:rPr>
        <w:t>při vedení účetnictví</w:t>
      </w:r>
      <w:r w:rsidR="00C12C40">
        <w:rPr>
          <w:rFonts w:asciiTheme="minorHAnsi" w:eastAsiaTheme="minorHAnsi" w:hAnsiTheme="minorHAnsi" w:cstheme="minorHAnsi"/>
          <w:bCs/>
        </w:rPr>
        <w:t xml:space="preserve"> a </w:t>
      </w:r>
      <w:r w:rsidRPr="00EC3A0D">
        <w:rPr>
          <w:rFonts w:asciiTheme="minorHAnsi" w:eastAsiaTheme="minorHAnsi" w:hAnsiTheme="minorHAnsi" w:cstheme="minorHAnsi"/>
          <w:bCs/>
        </w:rPr>
        <w:t xml:space="preserve">sestavení účetní závěrky a předkládání údajů pro hodnocení </w:t>
      </w:r>
      <w:r w:rsidRPr="000D72DE">
        <w:rPr>
          <w:rFonts w:asciiTheme="minorHAnsi" w:eastAsiaTheme="minorHAnsi" w:hAnsiTheme="minorHAnsi" w:cstheme="minorHAnsi"/>
          <w:bCs/>
        </w:rPr>
        <w:t>plnění státního rozpočtu za rok 201</w:t>
      </w:r>
      <w:r w:rsidR="005F2754">
        <w:rPr>
          <w:rFonts w:asciiTheme="minorHAnsi" w:eastAsiaTheme="minorHAnsi" w:hAnsiTheme="minorHAnsi" w:cstheme="minorHAnsi"/>
          <w:bCs/>
        </w:rPr>
        <w:t>7</w:t>
      </w:r>
      <w:r w:rsidRPr="000D72DE">
        <w:rPr>
          <w:rFonts w:asciiTheme="minorHAnsi" w:eastAsiaTheme="minorHAnsi" w:hAnsiTheme="minorHAnsi" w:cstheme="minorHAnsi"/>
          <w:bCs/>
        </w:rPr>
        <w:t xml:space="preserve"> postupovalo v souladu s příslušnými právními předpisy.</w:t>
      </w:r>
    </w:p>
    <w:p w14:paraId="04069E82" w14:textId="77777777" w:rsidR="00031FF6" w:rsidRPr="000D72DE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</w:p>
    <w:p w14:paraId="425FBA8A" w14:textId="77777777" w:rsidR="00EC3A0D" w:rsidRP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</w:rPr>
        <w:t>Kontrolovaná osoba:</w:t>
      </w:r>
    </w:p>
    <w:p w14:paraId="6D8415C6" w14:textId="77D37E28" w:rsidR="00EC3A0D" w:rsidRP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Ministerstvo </w:t>
      </w:r>
      <w:r w:rsidR="007C43B0">
        <w:rPr>
          <w:rFonts w:asciiTheme="minorHAnsi" w:eastAsiaTheme="minorHAnsi" w:hAnsiTheme="minorHAnsi" w:cstheme="minorHAnsi"/>
        </w:rPr>
        <w:t>zdravotnictví</w:t>
      </w:r>
      <w:r w:rsidRPr="00EC3A0D">
        <w:rPr>
          <w:rFonts w:asciiTheme="minorHAnsi" w:eastAsiaTheme="minorHAnsi" w:hAnsiTheme="minorHAnsi" w:cstheme="minorHAnsi"/>
        </w:rPr>
        <w:t xml:space="preserve"> (dále také „M</w:t>
      </w:r>
      <w:r w:rsidR="007C43B0">
        <w:rPr>
          <w:rFonts w:asciiTheme="minorHAnsi" w:eastAsiaTheme="minorHAnsi" w:hAnsiTheme="minorHAnsi" w:cstheme="minorHAnsi"/>
        </w:rPr>
        <w:t>Z</w:t>
      </w:r>
      <w:r w:rsidR="00A31D77">
        <w:rPr>
          <w:rFonts w:asciiTheme="minorHAnsi" w:eastAsiaTheme="minorHAnsi" w:hAnsiTheme="minorHAnsi" w:cstheme="minorHAnsi"/>
        </w:rPr>
        <w:t>d</w:t>
      </w:r>
      <w:r w:rsidRPr="00EC3A0D">
        <w:rPr>
          <w:rFonts w:asciiTheme="minorHAnsi" w:eastAsiaTheme="minorHAnsi" w:hAnsiTheme="minorHAnsi" w:cstheme="minorHAnsi"/>
        </w:rPr>
        <w:t>“).</w:t>
      </w:r>
    </w:p>
    <w:p w14:paraId="5D069154" w14:textId="77777777" w:rsidR="00031FF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F443E5E" w14:textId="5432FB1E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>Kontrolováno bylo období roku 201</w:t>
      </w:r>
      <w:r w:rsidR="005F2754">
        <w:rPr>
          <w:rFonts w:asciiTheme="minorHAnsi" w:eastAsiaTheme="minorHAnsi" w:hAnsiTheme="minorHAnsi" w:cstheme="minorHAnsi"/>
        </w:rPr>
        <w:t>7</w:t>
      </w:r>
      <w:r w:rsidR="004E3929">
        <w:rPr>
          <w:rFonts w:asciiTheme="minorHAnsi" w:eastAsiaTheme="minorHAnsi" w:hAnsiTheme="minorHAnsi" w:cstheme="minorHAnsi"/>
        </w:rPr>
        <w:t xml:space="preserve"> včetně</w:t>
      </w:r>
      <w:r w:rsidRPr="00EC3A0D">
        <w:rPr>
          <w:rFonts w:asciiTheme="minorHAnsi" w:eastAsiaTheme="minorHAnsi" w:hAnsiTheme="minorHAnsi" w:cstheme="minorHAnsi"/>
        </w:rPr>
        <w:t xml:space="preserve"> související</w:t>
      </w:r>
      <w:r w:rsidR="004E3929">
        <w:rPr>
          <w:rFonts w:asciiTheme="minorHAnsi" w:eastAsiaTheme="minorHAnsi" w:hAnsiTheme="minorHAnsi" w:cstheme="minorHAnsi"/>
        </w:rPr>
        <w:t>ch</w:t>
      </w:r>
      <w:r w:rsidRPr="00EC3A0D">
        <w:rPr>
          <w:rFonts w:asciiTheme="minorHAnsi" w:eastAsiaTheme="minorHAnsi" w:hAnsiTheme="minorHAnsi" w:cstheme="minorHAnsi"/>
        </w:rPr>
        <w:t xml:space="preserve"> skutečnost</w:t>
      </w:r>
      <w:r w:rsidR="004E3929">
        <w:rPr>
          <w:rFonts w:asciiTheme="minorHAnsi" w:eastAsiaTheme="minorHAnsi" w:hAnsiTheme="minorHAnsi" w:cstheme="minorHAnsi"/>
        </w:rPr>
        <w:t>í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EC3A0D">
        <w:rPr>
          <w:rFonts w:asciiTheme="minorHAnsi" w:eastAsiaTheme="minorHAnsi" w:hAnsiTheme="minorHAnsi" w:cstheme="minorHAnsi"/>
        </w:rPr>
        <w:t>.</w:t>
      </w:r>
    </w:p>
    <w:p w14:paraId="42D88424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8199CA6" w14:textId="437F91A5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Kontrola byla prováděna u kontrolované osoby v době od </w:t>
      </w:r>
      <w:r w:rsidR="007C43B0">
        <w:rPr>
          <w:rFonts w:asciiTheme="minorHAnsi" w:eastAsiaTheme="minorHAnsi" w:hAnsiTheme="minorHAnsi" w:cstheme="minorHAnsi"/>
        </w:rPr>
        <w:t>května 2018</w:t>
      </w:r>
      <w:r w:rsidRPr="00EC3A0D">
        <w:rPr>
          <w:rFonts w:asciiTheme="minorHAnsi" w:eastAsiaTheme="minorHAnsi" w:hAnsiTheme="minorHAnsi" w:cstheme="minorHAnsi"/>
        </w:rPr>
        <w:t xml:space="preserve"> do </w:t>
      </w:r>
      <w:r w:rsidR="007C43B0">
        <w:rPr>
          <w:rFonts w:asciiTheme="minorHAnsi" w:eastAsiaTheme="minorHAnsi" w:hAnsiTheme="minorHAnsi" w:cstheme="minorHAnsi"/>
        </w:rPr>
        <w:t>listopadu</w:t>
      </w:r>
      <w:r w:rsidR="005F2754">
        <w:rPr>
          <w:rFonts w:asciiTheme="minorHAnsi" w:eastAsiaTheme="minorHAnsi" w:hAnsiTheme="minorHAnsi" w:cstheme="minorHAnsi"/>
        </w:rPr>
        <w:t xml:space="preserve"> 2018</w:t>
      </w:r>
      <w:r w:rsidRPr="00EC3A0D">
        <w:rPr>
          <w:rFonts w:asciiTheme="minorHAnsi" w:eastAsiaTheme="minorHAnsi" w:hAnsiTheme="minorHAnsi" w:cstheme="minorHAnsi"/>
        </w:rPr>
        <w:t>.</w:t>
      </w:r>
    </w:p>
    <w:p w14:paraId="2CA1490C" w14:textId="0D7090CD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A36080C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27C23EE" w14:textId="0A600D1B" w:rsidR="00EC3A0D" w:rsidRPr="00FF054A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EC3A0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EC3A0D">
        <w:rPr>
          <w:rFonts w:asciiTheme="minorHAnsi" w:eastAsiaTheme="minorHAnsi" w:hAnsiTheme="minorHAnsi" w:cstheme="minorHAnsi"/>
        </w:rPr>
        <w:t xml:space="preserve">   na </w:t>
      </w:r>
      <w:r w:rsidRPr="00FF054A">
        <w:rPr>
          <w:rFonts w:asciiTheme="minorHAnsi" w:eastAsiaTheme="minorHAnsi" w:hAnsiTheme="minorHAnsi" w:cstheme="minorHAnsi"/>
        </w:rPr>
        <w:t xml:space="preserve">svém </w:t>
      </w:r>
      <w:r w:rsidR="00A8458B">
        <w:rPr>
          <w:rFonts w:asciiTheme="minorHAnsi" w:eastAsiaTheme="minorHAnsi" w:hAnsiTheme="minorHAnsi" w:cstheme="minorHAnsi"/>
        </w:rPr>
        <w:t>II.</w:t>
      </w:r>
      <w:r w:rsidR="009E57D6">
        <w:rPr>
          <w:rFonts w:asciiTheme="minorHAnsi" w:eastAsiaTheme="minorHAnsi" w:hAnsiTheme="minorHAnsi" w:cstheme="minorHAnsi"/>
        </w:rPr>
        <w:t xml:space="preserve"> </w:t>
      </w:r>
      <w:r w:rsidRPr="00FF054A">
        <w:rPr>
          <w:rFonts w:asciiTheme="minorHAnsi" w:eastAsiaTheme="minorHAnsi" w:hAnsiTheme="minorHAnsi" w:cstheme="minorHAnsi"/>
        </w:rPr>
        <w:t>jednání, které se konalo dne</w:t>
      </w:r>
      <w:r w:rsidR="00A8458B">
        <w:rPr>
          <w:rFonts w:asciiTheme="minorHAnsi" w:eastAsiaTheme="minorHAnsi" w:hAnsiTheme="minorHAnsi" w:cstheme="minorHAnsi"/>
        </w:rPr>
        <w:t xml:space="preserve"> 4</w:t>
      </w:r>
      <w:r w:rsidR="003D167A" w:rsidRPr="00A7770B">
        <w:rPr>
          <w:rFonts w:asciiTheme="minorHAnsi" w:eastAsiaTheme="minorHAnsi" w:hAnsiTheme="minorHAnsi" w:cstheme="minorHAnsi"/>
        </w:rPr>
        <w:t xml:space="preserve">. </w:t>
      </w:r>
      <w:r w:rsidR="006D5FBB" w:rsidRPr="00A7770B">
        <w:rPr>
          <w:rFonts w:asciiTheme="minorHAnsi" w:eastAsiaTheme="minorHAnsi" w:hAnsiTheme="minorHAnsi" w:cstheme="minorHAnsi"/>
        </w:rPr>
        <w:t>února</w:t>
      </w:r>
      <w:r w:rsidR="009E57D6" w:rsidRPr="00A7770B">
        <w:rPr>
          <w:rFonts w:asciiTheme="minorHAnsi" w:eastAsiaTheme="minorHAnsi" w:hAnsiTheme="minorHAnsi" w:cstheme="minorHAnsi"/>
        </w:rPr>
        <w:t xml:space="preserve"> 2</w:t>
      </w:r>
      <w:r w:rsidRPr="00A7770B">
        <w:rPr>
          <w:rFonts w:asciiTheme="minorHAnsi" w:eastAsiaTheme="minorHAnsi" w:hAnsiTheme="minorHAnsi" w:cstheme="minorHAnsi"/>
        </w:rPr>
        <w:t>01</w:t>
      </w:r>
      <w:r w:rsidR="00987C68" w:rsidRPr="00A7770B">
        <w:rPr>
          <w:rFonts w:asciiTheme="minorHAnsi" w:eastAsiaTheme="minorHAnsi" w:hAnsiTheme="minorHAnsi" w:cstheme="minorHAnsi"/>
        </w:rPr>
        <w:t>9</w:t>
      </w:r>
      <w:r w:rsidRPr="00A7770B">
        <w:rPr>
          <w:rFonts w:asciiTheme="minorHAnsi" w:eastAsiaTheme="minorHAnsi" w:hAnsiTheme="minorHAnsi" w:cstheme="minorHAnsi"/>
        </w:rPr>
        <w:t>,</w:t>
      </w:r>
    </w:p>
    <w:p w14:paraId="2F7B41BF" w14:textId="16C3FD27" w:rsidR="00EC3A0D" w:rsidRPr="00FF054A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FF054A">
        <w:rPr>
          <w:rFonts w:asciiTheme="minorHAnsi" w:eastAsiaTheme="minorHAnsi" w:hAnsiTheme="minorHAnsi" w:cstheme="minorHAnsi"/>
        </w:rPr>
        <w:t xml:space="preserve">   usnesením č. </w:t>
      </w:r>
      <w:r w:rsidR="00A31D77">
        <w:rPr>
          <w:rFonts w:asciiTheme="minorHAnsi" w:eastAsiaTheme="minorHAnsi" w:hAnsiTheme="minorHAnsi" w:cstheme="minorHAnsi"/>
        </w:rPr>
        <w:t>8</w:t>
      </w:r>
      <w:r w:rsidR="00C81244" w:rsidRPr="00A7770B">
        <w:rPr>
          <w:rFonts w:asciiTheme="minorHAnsi" w:eastAsiaTheme="minorHAnsi" w:hAnsiTheme="minorHAnsi" w:cstheme="minorHAnsi"/>
        </w:rPr>
        <w:t>/</w:t>
      </w:r>
      <w:r w:rsidR="00A8458B">
        <w:rPr>
          <w:rFonts w:asciiTheme="minorHAnsi" w:eastAsiaTheme="minorHAnsi" w:hAnsiTheme="minorHAnsi" w:cstheme="minorHAnsi"/>
        </w:rPr>
        <w:t>II</w:t>
      </w:r>
      <w:r w:rsidRPr="00A7770B">
        <w:rPr>
          <w:rFonts w:asciiTheme="minorHAnsi" w:eastAsiaTheme="minorHAnsi" w:hAnsiTheme="minorHAnsi" w:cstheme="minorHAnsi"/>
        </w:rPr>
        <w:t>/201</w:t>
      </w:r>
      <w:r w:rsidR="00987C68" w:rsidRPr="00A7770B">
        <w:rPr>
          <w:rFonts w:asciiTheme="minorHAnsi" w:eastAsiaTheme="minorHAnsi" w:hAnsiTheme="minorHAnsi" w:cstheme="minorHAnsi"/>
        </w:rPr>
        <w:t>9</w:t>
      </w:r>
    </w:p>
    <w:p w14:paraId="2695FF86" w14:textId="77777777" w:rsidR="00EC3A0D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FF054A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FF054A">
        <w:rPr>
          <w:rFonts w:asciiTheme="minorHAnsi" w:eastAsiaTheme="minorHAnsi" w:hAnsiTheme="minorHAnsi" w:cstheme="minorHAnsi"/>
        </w:rPr>
        <w:t xml:space="preserve">   v tomto znění:</w:t>
      </w:r>
    </w:p>
    <w:p w14:paraId="22037D8B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70428693" w14:textId="77777777" w:rsidR="00031FF6" w:rsidRDefault="00031FF6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5A3DC5A8" w14:textId="7A328560" w:rsidR="00BA1A35" w:rsidRDefault="00BA1A35" w:rsidP="00750FBA">
      <w:pPr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Klí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č</w:t>
      </w: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t>ová fakta</w:t>
      </w:r>
    </w:p>
    <w:p w14:paraId="13D3919F" w14:textId="6A3BBD0B" w:rsidR="00585F30" w:rsidRPr="00750FBA" w:rsidRDefault="007C43B0" w:rsidP="00750FBA">
      <w:pPr>
        <w:spacing w:after="0"/>
        <w:rPr>
          <w:rFonts w:cs="Calibri"/>
          <w:iCs/>
          <w:szCs w:val="20"/>
        </w:rPr>
      </w:pPr>
      <w:r>
        <w:rPr>
          <w:b/>
        </w:rPr>
        <w:t xml:space="preserve">Účetní závěrka </w:t>
      </w:r>
      <w:r w:rsidR="0099009D">
        <w:rPr>
          <w:b/>
        </w:rPr>
        <w:t>MZd</w:t>
      </w:r>
      <w:r w:rsidR="00BA1A35" w:rsidRPr="00750FBA">
        <w:rPr>
          <w:b/>
        </w:rPr>
        <w:t xml:space="preserve"> k 31. prosinci 2017</w:t>
      </w:r>
    </w:p>
    <w:p w14:paraId="23019D93" w14:textId="3DE22AB5" w:rsidR="00BA1A35" w:rsidRPr="00B30899" w:rsidRDefault="00BA1A35" w:rsidP="00750FBA">
      <w:pPr>
        <w:spacing w:after="0"/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971"/>
        <w:gridCol w:w="6243"/>
      </w:tblGrid>
      <w:tr w:rsidR="00BA1A35" w14:paraId="73623B51" w14:textId="77777777" w:rsidTr="00A7770B">
        <w:trPr>
          <w:trHeight w:val="964"/>
        </w:trPr>
        <w:tc>
          <w:tcPr>
            <w:tcW w:w="2971" w:type="dxa"/>
          </w:tcPr>
          <w:p w14:paraId="1006CD9F" w14:textId="71369E3C" w:rsidR="00BA1A35" w:rsidRDefault="00BA1A35" w:rsidP="00750FBA">
            <w:pPr>
              <w:spacing w:after="0"/>
            </w:pPr>
            <w:r w:rsidRPr="00EF3204">
              <w:rPr>
                <w:b/>
              </w:rPr>
              <w:t>Spolehlivost údajů účetní závěrky sestavené k 31.</w:t>
            </w:r>
            <w:r w:rsidR="009E57D6">
              <w:rPr>
                <w:b/>
              </w:rPr>
              <w:t> </w:t>
            </w:r>
            <w:r w:rsidRPr="00EF3204">
              <w:rPr>
                <w:b/>
              </w:rPr>
              <w:t>prosinci 2017</w:t>
            </w:r>
          </w:p>
        </w:tc>
        <w:tc>
          <w:tcPr>
            <w:tcW w:w="6243" w:type="dxa"/>
          </w:tcPr>
          <w:p w14:paraId="700B0F98" w14:textId="2FC168A5" w:rsidR="00585F30" w:rsidRPr="00750FBA" w:rsidRDefault="00BA1A35" w:rsidP="00ED126C">
            <w:pPr>
              <w:spacing w:after="0"/>
              <w:jc w:val="both"/>
            </w:pPr>
            <w:r w:rsidRPr="00750FBA">
              <w:rPr>
                <w:rFonts w:cs="Arial"/>
              </w:rPr>
              <w:t>Pod</w:t>
            </w:r>
            <w:r w:rsidR="007C43B0">
              <w:rPr>
                <w:rFonts w:cs="Arial"/>
              </w:rPr>
              <w:t>le názoru NKÚ</w:t>
            </w:r>
            <w:r w:rsidR="00286992">
              <w:rPr>
                <w:rFonts w:cs="Arial"/>
              </w:rPr>
              <w:t>,</w:t>
            </w:r>
            <w:r w:rsidR="007C43B0">
              <w:rPr>
                <w:rFonts w:cs="Arial"/>
              </w:rPr>
              <w:t xml:space="preserve"> </w:t>
            </w:r>
            <w:r w:rsidR="00503EC8" w:rsidRPr="00A7770B">
              <w:rPr>
                <w:rFonts w:cs="Arial"/>
                <w:b/>
              </w:rPr>
              <w:t>s výhradou zůstatků podrozvahových účtů</w:t>
            </w:r>
            <w:r w:rsidR="00503EC8">
              <w:rPr>
                <w:rFonts w:cs="Arial"/>
              </w:rPr>
              <w:t xml:space="preserve"> </w:t>
            </w:r>
            <w:r w:rsidR="00503EC8" w:rsidRPr="00A7770B">
              <w:rPr>
                <w:rFonts w:cs="Arial"/>
                <w:b/>
              </w:rPr>
              <w:t>911</w:t>
            </w:r>
            <w:r w:rsidR="00503EC8">
              <w:rPr>
                <w:rFonts w:cs="Arial"/>
              </w:rPr>
              <w:t xml:space="preserve"> – </w:t>
            </w:r>
            <w:r w:rsidR="00503EC8" w:rsidRPr="00987C68">
              <w:rPr>
                <w:rFonts w:cs="Arial"/>
                <w:i/>
              </w:rPr>
              <w:t>Krátkodobé podmíněné pohledávky z předfinancování transferů</w:t>
            </w:r>
            <w:r w:rsidR="00503EC8">
              <w:rPr>
                <w:rFonts w:cs="Arial"/>
              </w:rPr>
              <w:t xml:space="preserve">, </w:t>
            </w:r>
            <w:r w:rsidR="00503EC8" w:rsidRPr="00A7770B">
              <w:rPr>
                <w:rFonts w:cs="Arial"/>
                <w:b/>
              </w:rPr>
              <w:t>951</w:t>
            </w:r>
            <w:r w:rsidR="00503EC8">
              <w:rPr>
                <w:rFonts w:cs="Arial"/>
              </w:rPr>
              <w:t xml:space="preserve"> – </w:t>
            </w:r>
            <w:r w:rsidR="00503EC8" w:rsidRPr="00987C68">
              <w:rPr>
                <w:rFonts w:cs="Arial"/>
                <w:i/>
              </w:rPr>
              <w:t>Dlouhodobé podmíněné pohledávky z předfinancování transferů</w:t>
            </w:r>
            <w:r w:rsidR="00503EC8">
              <w:rPr>
                <w:rFonts w:cs="Arial"/>
              </w:rPr>
              <w:t xml:space="preserve"> a </w:t>
            </w:r>
            <w:r w:rsidR="00503EC8" w:rsidRPr="00A7770B">
              <w:rPr>
                <w:rFonts w:cs="Arial"/>
                <w:b/>
              </w:rPr>
              <w:t>974</w:t>
            </w:r>
            <w:r w:rsidR="00503EC8">
              <w:rPr>
                <w:rFonts w:cs="Arial"/>
              </w:rPr>
              <w:t xml:space="preserve"> – </w:t>
            </w:r>
            <w:r w:rsidR="00503EC8" w:rsidRPr="00987C68">
              <w:rPr>
                <w:rFonts w:cs="Arial"/>
                <w:i/>
              </w:rPr>
              <w:t>Dlouhodobé podmíněné závazky z jiných smluv</w:t>
            </w:r>
            <w:r w:rsidR="00503EC8">
              <w:rPr>
                <w:rFonts w:cs="Arial"/>
              </w:rPr>
              <w:t xml:space="preserve"> </w:t>
            </w:r>
            <w:r w:rsidR="00503EC8" w:rsidRPr="00A7770B">
              <w:rPr>
                <w:rFonts w:cs="Arial"/>
                <w:b/>
              </w:rPr>
              <w:t xml:space="preserve">vykázaných ve výkazu </w:t>
            </w:r>
            <w:r w:rsidR="000549E4">
              <w:rPr>
                <w:rFonts w:cs="Arial"/>
                <w:b/>
              </w:rPr>
              <w:t>p</w:t>
            </w:r>
            <w:r w:rsidR="00503EC8" w:rsidRPr="00A7770B">
              <w:rPr>
                <w:rFonts w:cs="Arial"/>
                <w:b/>
              </w:rPr>
              <w:t>říloha</w:t>
            </w:r>
            <w:r w:rsidR="00503EC8">
              <w:rPr>
                <w:rFonts w:cs="Arial"/>
              </w:rPr>
              <w:t xml:space="preserve"> </w:t>
            </w:r>
            <w:r w:rsidR="00503EC8" w:rsidRPr="00A7770B">
              <w:rPr>
                <w:rFonts w:cs="Arial"/>
                <w:b/>
              </w:rPr>
              <w:t>a</w:t>
            </w:r>
            <w:r w:rsidR="00ED126C">
              <w:rPr>
                <w:rFonts w:cs="Arial"/>
                <w:b/>
              </w:rPr>
              <w:t> </w:t>
            </w:r>
            <w:r w:rsidR="00503EC8" w:rsidRPr="00A7770B">
              <w:rPr>
                <w:rFonts w:cs="Arial"/>
                <w:b/>
              </w:rPr>
              <w:t>s</w:t>
            </w:r>
            <w:r w:rsidR="00ED126C">
              <w:rPr>
                <w:rFonts w:cs="Arial"/>
                <w:b/>
              </w:rPr>
              <w:t> </w:t>
            </w:r>
            <w:r w:rsidR="00503EC8" w:rsidRPr="00A7770B">
              <w:rPr>
                <w:rFonts w:cs="Arial"/>
                <w:b/>
              </w:rPr>
              <w:t xml:space="preserve">výhradou výkazu </w:t>
            </w:r>
            <w:r w:rsidR="000549E4">
              <w:rPr>
                <w:rFonts w:cs="Arial"/>
                <w:b/>
              </w:rPr>
              <w:t>p</w:t>
            </w:r>
            <w:r w:rsidR="00503EC8" w:rsidRPr="00A7770B">
              <w:rPr>
                <w:rFonts w:cs="Arial"/>
                <w:b/>
              </w:rPr>
              <w:t xml:space="preserve">řehled o změnách vlastního kapitálu, </w:t>
            </w:r>
            <w:r w:rsidR="00286992" w:rsidRPr="00A7770B">
              <w:rPr>
                <w:rFonts w:cs="Arial"/>
                <w:b/>
              </w:rPr>
              <w:t xml:space="preserve">účetní závěrka </w:t>
            </w:r>
            <w:r w:rsidR="0099009D">
              <w:rPr>
                <w:rFonts w:cs="Arial"/>
                <w:b/>
              </w:rPr>
              <w:t>MZd</w:t>
            </w:r>
            <w:r w:rsidR="00286992" w:rsidRPr="008A3E76">
              <w:rPr>
                <w:rFonts w:cs="Arial"/>
              </w:rPr>
              <w:t xml:space="preserve"> </w:t>
            </w:r>
            <w:r w:rsidR="00286992" w:rsidRPr="00750FBA">
              <w:rPr>
                <w:rFonts w:cs="Arial"/>
              </w:rPr>
              <w:t>sestavená k 31. prosinci 2017</w:t>
            </w:r>
            <w:r w:rsidR="00286992">
              <w:rPr>
                <w:rFonts w:cs="Arial"/>
              </w:rPr>
              <w:t xml:space="preserve"> (dále také „ÚZ“) </w:t>
            </w:r>
            <w:r w:rsidR="00286992" w:rsidRPr="00A7770B">
              <w:rPr>
                <w:rFonts w:cs="Arial"/>
                <w:b/>
              </w:rPr>
              <w:t xml:space="preserve">podává </w:t>
            </w:r>
            <w:r w:rsidRPr="00A7770B">
              <w:rPr>
                <w:rFonts w:cs="Arial"/>
                <w:b/>
              </w:rPr>
              <w:t>věrný a poctivý obraz předmětu účetnictví</w:t>
            </w:r>
            <w:r w:rsidRPr="00750FBA">
              <w:rPr>
                <w:rFonts w:cs="Arial"/>
              </w:rPr>
              <w:t xml:space="preserve"> a</w:t>
            </w:r>
            <w:r w:rsidR="00DB7F29">
              <w:rPr>
                <w:rFonts w:cs="Arial"/>
              </w:rPr>
              <w:t> </w:t>
            </w:r>
            <w:r w:rsidRPr="00750FBA">
              <w:rPr>
                <w:rFonts w:cs="Arial"/>
              </w:rPr>
              <w:t xml:space="preserve">finanční situace účetní jednotky dle účetních předpisů pro </w:t>
            </w:r>
            <w:r w:rsidR="007C43B0">
              <w:rPr>
                <w:rFonts w:cs="Arial"/>
              </w:rPr>
              <w:t>některé vybrané účetní jednotky.</w:t>
            </w:r>
          </w:p>
        </w:tc>
      </w:tr>
    </w:tbl>
    <w:p w14:paraId="526DD8F8" w14:textId="4B71DCC2" w:rsidR="00585F30" w:rsidRDefault="00585F30" w:rsidP="00750FBA">
      <w:pPr>
        <w:tabs>
          <w:tab w:val="left" w:pos="3036"/>
        </w:tabs>
        <w:spacing w:after="0"/>
        <w:ind w:left="113"/>
        <w:rPr>
          <w:rFonts w:cs="Arial"/>
        </w:rPr>
      </w:pPr>
    </w:p>
    <w:tbl>
      <w:tblPr>
        <w:tblW w:w="9067" w:type="dxa"/>
        <w:tblInd w:w="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031"/>
        <w:gridCol w:w="2221"/>
      </w:tblGrid>
      <w:tr w:rsidR="00BD423E" w:rsidRPr="00716417" w14:paraId="1B31B807" w14:textId="77777777" w:rsidTr="00A7770B">
        <w:trPr>
          <w:trHeight w:val="133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8951DF6" w14:textId="49499E85" w:rsidR="00BD423E" w:rsidRPr="00C777AA" w:rsidRDefault="00BD423E" w:rsidP="007C43B0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3 203</w:t>
            </w:r>
            <w:r w:rsidRPr="00C777A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mil</w:t>
            </w:r>
            <w:r w:rsidRPr="00C777AA">
              <w:rPr>
                <w:b/>
                <w:szCs w:val="28"/>
              </w:rPr>
              <w:t>. Kč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F1FF"/>
            <w:vAlign w:val="center"/>
          </w:tcPr>
          <w:p w14:paraId="1A0E1D02" w14:textId="5F32AAA0" w:rsidR="00BD423E" w:rsidRPr="00C777AA" w:rsidRDefault="00BD423E" w:rsidP="00C777AA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3 173</w:t>
            </w:r>
            <w:r w:rsidRPr="00C777AA">
              <w:rPr>
                <w:b/>
                <w:szCs w:val="28"/>
              </w:rPr>
              <w:t xml:space="preserve"> m</w:t>
            </w:r>
            <w:r>
              <w:rPr>
                <w:b/>
                <w:szCs w:val="28"/>
              </w:rPr>
              <w:t>i</w:t>
            </w:r>
            <w:r w:rsidRPr="00C777AA">
              <w:rPr>
                <w:b/>
                <w:szCs w:val="28"/>
              </w:rPr>
              <w:t>l. Kč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F1FF"/>
            <w:vAlign w:val="center"/>
          </w:tcPr>
          <w:p w14:paraId="2A7B91AC" w14:textId="1E0FC3F4" w:rsidR="00BD423E" w:rsidRPr="00C777AA" w:rsidRDefault="00BD423E" w:rsidP="00C777AA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mil. Kč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F1FF"/>
            <w:vAlign w:val="center"/>
          </w:tcPr>
          <w:p w14:paraId="1BAB4D8C" w14:textId="0884C088" w:rsidR="00BD423E" w:rsidRPr="00C777AA" w:rsidRDefault="00BD423E" w:rsidP="00C777AA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 mil. Kč</w:t>
            </w:r>
          </w:p>
        </w:tc>
      </w:tr>
      <w:tr w:rsidR="00BD423E" w14:paraId="2FADF8EB" w14:textId="77777777" w:rsidTr="00A7770B">
        <w:trPr>
          <w:trHeight w:val="332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1FF"/>
            <w:vAlign w:val="center"/>
          </w:tcPr>
          <w:p w14:paraId="5D6DA8BA" w14:textId="35C8A3FA" w:rsidR="00BD423E" w:rsidRPr="00A7770B" w:rsidRDefault="00BD423E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A7770B">
              <w:rPr>
                <w:sz w:val="19"/>
                <w:szCs w:val="19"/>
              </w:rPr>
              <w:t>Celková částka</w:t>
            </w:r>
            <w:r>
              <w:rPr>
                <w:sz w:val="19"/>
                <w:szCs w:val="19"/>
              </w:rPr>
              <w:t xml:space="preserve"> </w:t>
            </w:r>
            <w:r w:rsidRPr="00A7770B">
              <w:rPr>
                <w:sz w:val="19"/>
                <w:szCs w:val="19"/>
              </w:rPr>
              <w:t>nesprávností ÚZ, které byly v průběhu kontroly zjištěny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F1FF"/>
            <w:vAlign w:val="center"/>
          </w:tcPr>
          <w:p w14:paraId="6E5B40F5" w14:textId="2557F593" w:rsidR="00BD423E" w:rsidRPr="003E66B0" w:rsidRDefault="00BD423E" w:rsidP="007B6713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A7770B">
              <w:rPr>
                <w:sz w:val="19"/>
                <w:szCs w:val="19"/>
              </w:rPr>
              <w:t xml:space="preserve">Částka nesprávností ÚZ, týkající se </w:t>
            </w:r>
            <w:r>
              <w:rPr>
                <w:sz w:val="19"/>
                <w:szCs w:val="19"/>
              </w:rPr>
              <w:t>tř</w:t>
            </w:r>
            <w:r w:rsidR="000549E4">
              <w:rPr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 podrozvahových účtů ve výkazu </w:t>
            </w:r>
            <w:r w:rsidR="000549E4" w:rsidRPr="00FF2B4A">
              <w:rPr>
                <w:i/>
                <w:sz w:val="19"/>
                <w:szCs w:val="19"/>
              </w:rPr>
              <w:t>p</w:t>
            </w:r>
            <w:r w:rsidRPr="00FF2B4A">
              <w:rPr>
                <w:i/>
                <w:sz w:val="19"/>
                <w:szCs w:val="19"/>
              </w:rPr>
              <w:t>říloha</w:t>
            </w:r>
            <w:r>
              <w:rPr>
                <w:sz w:val="19"/>
                <w:szCs w:val="19"/>
              </w:rPr>
              <w:t xml:space="preserve"> </w:t>
            </w:r>
            <w:r w:rsidRPr="00A7770B">
              <w:rPr>
                <w:sz w:val="19"/>
                <w:szCs w:val="19"/>
              </w:rPr>
              <w:t xml:space="preserve">a výkazu </w:t>
            </w:r>
            <w:r w:rsidR="000549E4" w:rsidRPr="00FF2B4A">
              <w:rPr>
                <w:i/>
                <w:sz w:val="19"/>
                <w:szCs w:val="19"/>
              </w:rPr>
              <w:t>p</w:t>
            </w:r>
            <w:r w:rsidRPr="00FF2B4A">
              <w:rPr>
                <w:i/>
                <w:sz w:val="19"/>
                <w:szCs w:val="19"/>
              </w:rPr>
              <w:t>řehled o</w:t>
            </w:r>
            <w:r w:rsidR="003C6DF6" w:rsidRPr="00FF2B4A">
              <w:rPr>
                <w:i/>
                <w:sz w:val="19"/>
                <w:szCs w:val="19"/>
              </w:rPr>
              <w:t> </w:t>
            </w:r>
            <w:r w:rsidRPr="00FF2B4A">
              <w:rPr>
                <w:i/>
                <w:sz w:val="19"/>
                <w:szCs w:val="19"/>
              </w:rPr>
              <w:t>změnách vlastního kapitálu</w:t>
            </w:r>
            <w:r w:rsidRPr="00A7770B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ke kterým byla vydána výhrada z důvodu jejich ne</w:t>
            </w:r>
            <w:r w:rsidRPr="00A7770B">
              <w:rPr>
                <w:sz w:val="19"/>
                <w:szCs w:val="19"/>
              </w:rPr>
              <w:t>spolehlivo</w:t>
            </w:r>
            <w:r w:rsidR="00E447AE">
              <w:rPr>
                <w:sz w:val="19"/>
                <w:szCs w:val="19"/>
              </w:rPr>
              <w:t>sti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F1FF"/>
            <w:vAlign w:val="center"/>
          </w:tcPr>
          <w:p w14:paraId="3DD7DA22" w14:textId="15F36A51" w:rsidR="00BD423E" w:rsidRPr="003E66B0" w:rsidRDefault="00BD423E" w:rsidP="003C4DA8">
            <w:pPr>
              <w:spacing w:before="40" w:after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Částka nesprávností ÚZ, zjištěných ve výkaz</w:t>
            </w:r>
            <w:r w:rsidR="000549E4">
              <w:rPr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 xml:space="preserve"> </w:t>
            </w:r>
            <w:r w:rsidR="000549E4" w:rsidRPr="00ED126C">
              <w:rPr>
                <w:i/>
                <w:sz w:val="19"/>
                <w:szCs w:val="19"/>
              </w:rPr>
              <w:t>r</w:t>
            </w:r>
            <w:r w:rsidRPr="00ED126C">
              <w:rPr>
                <w:i/>
                <w:sz w:val="19"/>
                <w:szCs w:val="19"/>
              </w:rPr>
              <w:t>ozvaha</w:t>
            </w:r>
            <w:r>
              <w:rPr>
                <w:sz w:val="19"/>
                <w:szCs w:val="19"/>
              </w:rPr>
              <w:t xml:space="preserve">, </w:t>
            </w:r>
            <w:r w:rsidR="000549E4" w:rsidRPr="00ED126C">
              <w:rPr>
                <w:i/>
                <w:sz w:val="19"/>
                <w:szCs w:val="19"/>
              </w:rPr>
              <w:t>v</w:t>
            </w:r>
            <w:r w:rsidRPr="00ED126C">
              <w:rPr>
                <w:i/>
                <w:sz w:val="19"/>
                <w:szCs w:val="19"/>
              </w:rPr>
              <w:t>ýkaz</w:t>
            </w:r>
            <w:r w:rsidR="000549E4" w:rsidRPr="00ED126C">
              <w:rPr>
                <w:i/>
                <w:sz w:val="19"/>
                <w:szCs w:val="19"/>
              </w:rPr>
              <w:t>u</w:t>
            </w:r>
            <w:r w:rsidRPr="00ED126C">
              <w:rPr>
                <w:i/>
                <w:sz w:val="19"/>
                <w:szCs w:val="19"/>
              </w:rPr>
              <w:t xml:space="preserve"> zisku a ztráty</w:t>
            </w:r>
            <w:r>
              <w:rPr>
                <w:sz w:val="19"/>
                <w:szCs w:val="19"/>
              </w:rPr>
              <w:t xml:space="preserve">, </w:t>
            </w:r>
            <w:r w:rsidR="000549E4" w:rsidRPr="00ED126C">
              <w:rPr>
                <w:i/>
                <w:sz w:val="19"/>
                <w:szCs w:val="19"/>
              </w:rPr>
              <w:t>p</w:t>
            </w:r>
            <w:r w:rsidRPr="00ED126C">
              <w:rPr>
                <w:i/>
                <w:sz w:val="19"/>
                <w:szCs w:val="19"/>
              </w:rPr>
              <w:t>řílo</w:t>
            </w:r>
            <w:r w:rsidR="000549E4" w:rsidRPr="00ED126C">
              <w:rPr>
                <w:i/>
                <w:sz w:val="19"/>
                <w:szCs w:val="19"/>
              </w:rPr>
              <w:t>ze</w:t>
            </w:r>
            <w:r>
              <w:rPr>
                <w:sz w:val="19"/>
                <w:szCs w:val="19"/>
              </w:rPr>
              <w:t xml:space="preserve"> a</w:t>
            </w:r>
            <w:r w:rsidR="003C4DA8">
              <w:rPr>
                <w:sz w:val="19"/>
                <w:szCs w:val="19"/>
              </w:rPr>
              <w:t> </w:t>
            </w:r>
            <w:r w:rsidR="000549E4" w:rsidRPr="003A04E3">
              <w:rPr>
                <w:i/>
                <w:sz w:val="19"/>
                <w:szCs w:val="19"/>
              </w:rPr>
              <w:t>p</w:t>
            </w:r>
            <w:r w:rsidRPr="003A04E3">
              <w:rPr>
                <w:i/>
                <w:sz w:val="19"/>
                <w:szCs w:val="19"/>
              </w:rPr>
              <w:t>řehled</w:t>
            </w:r>
            <w:r w:rsidR="000549E4" w:rsidRPr="003A04E3">
              <w:rPr>
                <w:i/>
                <w:sz w:val="19"/>
                <w:szCs w:val="19"/>
              </w:rPr>
              <w:t>u</w:t>
            </w:r>
            <w:r w:rsidRPr="003A04E3">
              <w:rPr>
                <w:i/>
                <w:sz w:val="19"/>
                <w:szCs w:val="19"/>
              </w:rPr>
              <w:t xml:space="preserve"> o peněžních tocích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F1FF"/>
            <w:vAlign w:val="center"/>
          </w:tcPr>
          <w:p w14:paraId="52EECCA6" w14:textId="46BFFE27" w:rsidR="00BD423E" w:rsidRPr="00A7770B" w:rsidRDefault="00BD423E">
            <w:pPr>
              <w:spacing w:before="40" w:after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Významnost (materialita), tj. hodnota nesprávností, která byla stanovena pro posouzení spolehlivosti </w:t>
            </w:r>
            <w:r w:rsidR="00B03813">
              <w:rPr>
                <w:sz w:val="19"/>
                <w:szCs w:val="19"/>
              </w:rPr>
              <w:t>ÚZ</w:t>
            </w:r>
            <w:r>
              <w:rPr>
                <w:rStyle w:val="Znakapoznpodarou"/>
                <w:sz w:val="19"/>
                <w:szCs w:val="19"/>
              </w:rPr>
              <w:footnoteReference w:id="2"/>
            </w:r>
          </w:p>
        </w:tc>
      </w:tr>
    </w:tbl>
    <w:p w14:paraId="07C50E32" w14:textId="108CA7B5" w:rsidR="009C4E1A" w:rsidRDefault="009C4E1A">
      <w:pPr>
        <w:spacing w:after="0"/>
        <w:rPr>
          <w:b/>
        </w:rPr>
      </w:pPr>
    </w:p>
    <w:p w14:paraId="510B7A66" w14:textId="4FC92CC5" w:rsidR="0089070C" w:rsidRDefault="0089070C" w:rsidP="0089070C">
      <w:pPr>
        <w:rPr>
          <w:b/>
          <w:noProof/>
          <w:lang w:eastAsia="cs-CZ"/>
        </w:rPr>
      </w:pPr>
      <w:r w:rsidRPr="00B66CD3">
        <w:rPr>
          <w:b/>
          <w:noProof/>
          <w:lang w:eastAsia="cs-CZ"/>
        </w:rPr>
        <w:t>Spolehlivost ÚZ ve struktuře dle jednotlivých výkazů</w:t>
      </w:r>
    </w:p>
    <w:p w14:paraId="73C75AF4" w14:textId="77777777" w:rsidR="0089070C" w:rsidRDefault="0089070C" w:rsidP="0089070C">
      <w:pPr>
        <w:rPr>
          <w:b/>
          <w:noProof/>
          <w:lang w:eastAsia="cs-CZ"/>
        </w:rPr>
      </w:pPr>
    </w:p>
    <w:p w14:paraId="7D346703" w14:textId="6DBF5A87" w:rsidR="0089070C" w:rsidRDefault="0089070C" w:rsidP="00750FBA">
      <w:pPr>
        <w:spacing w:after="0"/>
      </w:pPr>
      <w:r>
        <w:rPr>
          <w:b/>
          <w:noProof/>
          <w:lang w:eastAsia="cs-CZ"/>
        </w:rPr>
        <w:drawing>
          <wp:inline distT="0" distB="0" distL="0" distR="0" wp14:anchorId="26263D95" wp14:editId="407A8AC2">
            <wp:extent cx="5760720" cy="16878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 - spolehlivost úz ver1a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EC03" w14:textId="0326A644" w:rsidR="0089070C" w:rsidRDefault="0089070C" w:rsidP="00750FBA">
      <w:pPr>
        <w:spacing w:after="0"/>
        <w:rPr>
          <w:b/>
        </w:rPr>
      </w:pPr>
    </w:p>
    <w:p w14:paraId="35EA4BC3" w14:textId="1A48074A" w:rsidR="00585F30" w:rsidRPr="00750FBA" w:rsidRDefault="007C43B0" w:rsidP="00750FBA">
      <w:pPr>
        <w:spacing w:after="0"/>
        <w:rPr>
          <w:rFonts w:cs="Calibri"/>
          <w:iCs/>
          <w:szCs w:val="20"/>
        </w:rPr>
      </w:pPr>
      <w:r>
        <w:rPr>
          <w:b/>
        </w:rPr>
        <w:t>V</w:t>
      </w:r>
      <w:r w:rsidR="00BA1A35" w:rsidRPr="00750FBA">
        <w:rPr>
          <w:b/>
        </w:rPr>
        <w:t>ýkaz p</w:t>
      </w:r>
      <w:r>
        <w:rPr>
          <w:b/>
        </w:rPr>
        <w:t xml:space="preserve">ro hodnocení plnění rozpočtu </w:t>
      </w:r>
      <w:r w:rsidR="00A31D77">
        <w:rPr>
          <w:b/>
        </w:rPr>
        <w:t>MZd</w:t>
      </w:r>
      <w:r w:rsidR="00BA1A35" w:rsidRPr="00750FBA">
        <w:rPr>
          <w:b/>
        </w:rPr>
        <w:t xml:space="preserve"> za rok 2017</w:t>
      </w:r>
    </w:p>
    <w:p w14:paraId="36FAA7D9" w14:textId="77777777" w:rsidR="00BA1A35" w:rsidRPr="00585F30" w:rsidRDefault="00BA1A35" w:rsidP="00750FBA">
      <w:pPr>
        <w:spacing w:after="0"/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68"/>
        <w:gridCol w:w="6082"/>
      </w:tblGrid>
      <w:tr w:rsidR="00BA1A35" w:rsidRPr="00B30899" w14:paraId="00A5258E" w14:textId="77777777" w:rsidTr="00A7770B">
        <w:trPr>
          <w:trHeight w:val="907"/>
        </w:trPr>
        <w:tc>
          <w:tcPr>
            <w:tcW w:w="2968" w:type="dxa"/>
          </w:tcPr>
          <w:p w14:paraId="49061177" w14:textId="77777777" w:rsidR="00BA1A35" w:rsidRPr="00585F30" w:rsidRDefault="00BA1A35" w:rsidP="00750FBA">
            <w:pPr>
              <w:spacing w:after="0"/>
            </w:pPr>
            <w:r w:rsidRPr="00585F30">
              <w:rPr>
                <w:b/>
              </w:rPr>
              <w:t>Údaje předkládané pro hodnocení plnění státního rozpočtu za rok 2017</w:t>
            </w:r>
          </w:p>
        </w:tc>
        <w:tc>
          <w:tcPr>
            <w:tcW w:w="6082" w:type="dxa"/>
          </w:tcPr>
          <w:p w14:paraId="08D8CFB6" w14:textId="65611057" w:rsidR="00BA1A35" w:rsidRPr="00B30899" w:rsidRDefault="00BA1A35" w:rsidP="00750FBA">
            <w:pPr>
              <w:spacing w:after="0"/>
              <w:jc w:val="both"/>
            </w:pPr>
            <w:r w:rsidRPr="00B30899">
              <w:rPr>
                <w:rFonts w:cs="Arial"/>
              </w:rPr>
              <w:t>Nesprávnosti zji</w:t>
            </w:r>
            <w:r w:rsidR="007C43B0">
              <w:rPr>
                <w:rFonts w:cs="Arial"/>
              </w:rPr>
              <w:t xml:space="preserve">štěné v údajích předložených </w:t>
            </w:r>
            <w:r w:rsidR="00A31D77">
              <w:rPr>
                <w:rFonts w:cs="Arial"/>
              </w:rPr>
              <w:t>MZd</w:t>
            </w:r>
            <w:r w:rsidRPr="00B30899">
              <w:rPr>
                <w:rFonts w:cs="Arial"/>
              </w:rPr>
              <w:t xml:space="preserve"> pro hodnocení plnění státního rozpočtu za rok 2017 nebyly s ohledem na celkové vykázané výdaje a příjmy významné.</w:t>
            </w:r>
          </w:p>
        </w:tc>
      </w:tr>
    </w:tbl>
    <w:p w14:paraId="01C9E96A" w14:textId="5FDCB44D" w:rsidR="00585F30" w:rsidRDefault="00585F30" w:rsidP="00750FBA">
      <w:pPr>
        <w:tabs>
          <w:tab w:val="left" w:pos="3083"/>
        </w:tabs>
        <w:spacing w:after="0"/>
        <w:ind w:left="113"/>
        <w:rPr>
          <w:rFonts w:cs="Arial"/>
        </w:rPr>
      </w:pPr>
    </w:p>
    <w:tbl>
      <w:tblPr>
        <w:tblW w:w="0" w:type="auto"/>
        <w:tblInd w:w="5" w:type="dxa"/>
        <w:tblBorders>
          <w:insideH w:val="single" w:sz="4" w:space="0" w:color="auto"/>
          <w:insideV w:val="single" w:sz="4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4532"/>
        <w:gridCol w:w="4533"/>
      </w:tblGrid>
      <w:tr w:rsidR="00C777AA" w:rsidRPr="00C777AA" w14:paraId="7450FA81" w14:textId="77777777" w:rsidTr="00C777AA">
        <w:trPr>
          <w:trHeight w:val="283"/>
        </w:trPr>
        <w:tc>
          <w:tcPr>
            <w:tcW w:w="4532" w:type="dxa"/>
            <w:shd w:val="clear" w:color="auto" w:fill="E5F1FF"/>
            <w:vAlign w:val="center"/>
          </w:tcPr>
          <w:p w14:paraId="7CE3A3D9" w14:textId="5B6DE369" w:rsidR="00C777AA" w:rsidRPr="00C777AA" w:rsidRDefault="007C43B0" w:rsidP="00C777AA">
            <w:pPr>
              <w:spacing w:before="40" w:after="40"/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53</w:t>
            </w:r>
            <w:r w:rsidR="00C777AA" w:rsidRPr="00C777AA">
              <w:rPr>
                <w:b/>
                <w:szCs w:val="40"/>
              </w:rPr>
              <w:t xml:space="preserve"> mil. Kč</w:t>
            </w:r>
          </w:p>
        </w:tc>
        <w:tc>
          <w:tcPr>
            <w:tcW w:w="4533" w:type="dxa"/>
            <w:shd w:val="clear" w:color="auto" w:fill="E5F1FF"/>
            <w:vAlign w:val="center"/>
          </w:tcPr>
          <w:p w14:paraId="4411A76E" w14:textId="3269EF6E" w:rsidR="00C777AA" w:rsidRPr="00C777AA" w:rsidRDefault="007C43B0" w:rsidP="00C777AA">
            <w:pPr>
              <w:spacing w:before="40" w:after="40"/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5</w:t>
            </w:r>
            <w:r w:rsidR="00AD4A2A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7</w:t>
            </w:r>
            <w:r w:rsidR="00AD4A2A">
              <w:rPr>
                <w:b/>
                <w:szCs w:val="40"/>
              </w:rPr>
              <w:t>31</w:t>
            </w:r>
            <w:r>
              <w:rPr>
                <w:b/>
                <w:szCs w:val="40"/>
              </w:rPr>
              <w:t xml:space="preserve"> m</w:t>
            </w:r>
            <w:r w:rsidR="00AD4A2A">
              <w:rPr>
                <w:b/>
                <w:szCs w:val="40"/>
              </w:rPr>
              <w:t>i</w:t>
            </w:r>
            <w:r>
              <w:rPr>
                <w:b/>
                <w:szCs w:val="40"/>
              </w:rPr>
              <w:t>l. Kč</w:t>
            </w:r>
            <w:r w:rsidR="007B6713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/</w:t>
            </w:r>
            <w:r w:rsidR="007B6713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340 mil</w:t>
            </w:r>
            <w:r w:rsidR="00C777AA" w:rsidRPr="00C777AA">
              <w:rPr>
                <w:b/>
                <w:szCs w:val="40"/>
              </w:rPr>
              <w:t>. Kč</w:t>
            </w:r>
          </w:p>
        </w:tc>
      </w:tr>
      <w:tr w:rsidR="00C777AA" w14:paraId="1454D651" w14:textId="77777777" w:rsidTr="00C777AA">
        <w:trPr>
          <w:trHeight w:val="680"/>
        </w:trPr>
        <w:tc>
          <w:tcPr>
            <w:tcW w:w="4532" w:type="dxa"/>
            <w:shd w:val="clear" w:color="auto" w:fill="E5F1FF"/>
            <w:vAlign w:val="center"/>
          </w:tcPr>
          <w:p w14:paraId="61A71502" w14:textId="282D40B2" w:rsidR="00C777AA" w:rsidRPr="00750FBA" w:rsidRDefault="00C777AA" w:rsidP="00C777AA">
            <w:pPr>
              <w:spacing w:before="40" w:after="40"/>
              <w:jc w:val="center"/>
              <w:rPr>
                <w:sz w:val="20"/>
              </w:rPr>
            </w:pPr>
            <w:r w:rsidRPr="00750FBA">
              <w:rPr>
                <w:sz w:val="20"/>
              </w:rPr>
              <w:t>Nespráv</w:t>
            </w:r>
            <w:r w:rsidR="007C43B0">
              <w:rPr>
                <w:sz w:val="20"/>
              </w:rPr>
              <w:t xml:space="preserve">nost v údajích předkládaných </w:t>
            </w:r>
            <w:r w:rsidR="00A31D77">
              <w:rPr>
                <w:sz w:val="20"/>
              </w:rPr>
              <w:t>MZd</w:t>
            </w:r>
            <w:r w:rsidRPr="00750FBA">
              <w:rPr>
                <w:sz w:val="20"/>
              </w:rPr>
              <w:t xml:space="preserve"> pro hodnocení plnění státního rozpočtu za rok 2017</w:t>
            </w:r>
          </w:p>
        </w:tc>
        <w:tc>
          <w:tcPr>
            <w:tcW w:w="4533" w:type="dxa"/>
            <w:shd w:val="clear" w:color="auto" w:fill="E5F1FF"/>
            <w:vAlign w:val="center"/>
          </w:tcPr>
          <w:p w14:paraId="61DDC82A" w14:textId="508E714B" w:rsidR="00C777AA" w:rsidRPr="00750FBA" w:rsidRDefault="00C777AA" w:rsidP="007B6713">
            <w:pPr>
              <w:spacing w:before="40" w:after="40"/>
              <w:jc w:val="center"/>
              <w:rPr>
                <w:sz w:val="20"/>
              </w:rPr>
            </w:pPr>
            <w:r w:rsidRPr="00750FBA">
              <w:rPr>
                <w:sz w:val="20"/>
              </w:rPr>
              <w:t xml:space="preserve">Výdaje/příjmy </w:t>
            </w:r>
            <w:r>
              <w:rPr>
                <w:sz w:val="20"/>
              </w:rPr>
              <w:t>–</w:t>
            </w:r>
            <w:r w:rsidRPr="00750FBA">
              <w:rPr>
                <w:sz w:val="20"/>
              </w:rPr>
              <w:t xml:space="preserve"> skutečnost </w:t>
            </w:r>
            <w:r w:rsidR="007B6713" w:rsidRPr="003A04E3">
              <w:rPr>
                <w:i/>
                <w:sz w:val="20"/>
              </w:rPr>
              <w:t>dle</w:t>
            </w:r>
            <w:r w:rsidRPr="003A04E3">
              <w:rPr>
                <w:i/>
                <w:sz w:val="20"/>
              </w:rPr>
              <w:t xml:space="preserve"> výkazu </w:t>
            </w:r>
            <w:r w:rsidRPr="003A04E3">
              <w:rPr>
                <w:i/>
                <w:sz w:val="20"/>
              </w:rPr>
              <w:br/>
              <w:t>pro hodnocení plnění</w:t>
            </w:r>
            <w:r w:rsidR="007C43B0" w:rsidRPr="003A04E3">
              <w:rPr>
                <w:i/>
                <w:sz w:val="20"/>
              </w:rPr>
              <w:t xml:space="preserve"> rozpočtu</w:t>
            </w:r>
            <w:r w:rsidR="007C43B0">
              <w:rPr>
                <w:sz w:val="20"/>
              </w:rPr>
              <w:t xml:space="preserve"> MZ</w:t>
            </w:r>
            <w:r w:rsidR="00A31D77">
              <w:rPr>
                <w:sz w:val="20"/>
              </w:rPr>
              <w:t>d</w:t>
            </w:r>
            <w:r w:rsidRPr="00750FBA">
              <w:rPr>
                <w:sz w:val="20"/>
              </w:rPr>
              <w:t xml:space="preserve"> za rok 2017</w:t>
            </w:r>
          </w:p>
        </w:tc>
      </w:tr>
    </w:tbl>
    <w:p w14:paraId="30FDD47A" w14:textId="69B9484D" w:rsidR="00C777AA" w:rsidRDefault="00C777AA" w:rsidP="00750FBA">
      <w:pPr>
        <w:tabs>
          <w:tab w:val="left" w:pos="3083"/>
        </w:tabs>
        <w:spacing w:after="0"/>
        <w:ind w:left="113"/>
        <w:rPr>
          <w:rFonts w:cs="Arial"/>
        </w:rPr>
      </w:pP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2937"/>
        <w:gridCol w:w="6130"/>
      </w:tblGrid>
      <w:tr w:rsidR="00BA1A35" w14:paraId="066B9304" w14:textId="77777777" w:rsidTr="00A7770B">
        <w:trPr>
          <w:trHeight w:val="964"/>
        </w:trPr>
        <w:tc>
          <w:tcPr>
            <w:tcW w:w="2937" w:type="dxa"/>
          </w:tcPr>
          <w:p w14:paraId="06ED0023" w14:textId="6C4EF122" w:rsidR="00BA1A35" w:rsidRPr="00585F30" w:rsidRDefault="00BA1A35" w:rsidP="00750FBA">
            <w:pPr>
              <w:spacing w:after="0"/>
              <w:rPr>
                <w:b/>
              </w:rPr>
            </w:pPr>
            <w:r w:rsidRPr="00585F30">
              <w:rPr>
                <w:b/>
              </w:rPr>
              <w:lastRenderedPageBreak/>
              <w:t>Ná</w:t>
            </w:r>
            <w:r w:rsidR="00F80074">
              <w:rPr>
                <w:b/>
              </w:rPr>
              <w:t>pravná opatření z předchozí kontrolní akce</w:t>
            </w:r>
          </w:p>
        </w:tc>
        <w:tc>
          <w:tcPr>
            <w:tcW w:w="6130" w:type="dxa"/>
          </w:tcPr>
          <w:p w14:paraId="4D2B04FF" w14:textId="741F67A4" w:rsidR="00EA345A" w:rsidRPr="005D1545" w:rsidRDefault="007C43B0" w:rsidP="003C4DA8">
            <w:pPr>
              <w:spacing w:after="0"/>
              <w:ind w:left="74"/>
              <w:jc w:val="both"/>
            </w:pPr>
            <w:r>
              <w:rPr>
                <w:lang w:eastAsia="cs-CZ"/>
              </w:rPr>
              <w:t xml:space="preserve">Opatření </w:t>
            </w:r>
            <w:r w:rsidR="002C4512">
              <w:rPr>
                <w:lang w:eastAsia="cs-CZ"/>
              </w:rPr>
              <w:t>přijatá MZ</w:t>
            </w:r>
            <w:r w:rsidR="00A31D77">
              <w:rPr>
                <w:lang w:eastAsia="cs-CZ"/>
              </w:rPr>
              <w:t>d</w:t>
            </w:r>
            <w:r w:rsidR="002C4512">
              <w:rPr>
                <w:lang w:eastAsia="cs-CZ"/>
              </w:rPr>
              <w:t xml:space="preserve"> k </w:t>
            </w:r>
            <w:r>
              <w:rPr>
                <w:lang w:eastAsia="cs-CZ"/>
              </w:rPr>
              <w:t>nápravě</w:t>
            </w:r>
            <w:r w:rsidR="002C4512">
              <w:rPr>
                <w:lang w:eastAsia="cs-CZ"/>
              </w:rPr>
              <w:t xml:space="preserve"> nedostatků zjištěných předchozí </w:t>
            </w:r>
            <w:r w:rsidR="002C6A7C">
              <w:rPr>
                <w:lang w:eastAsia="cs-CZ"/>
              </w:rPr>
              <w:t>kontrolní akc</w:t>
            </w:r>
            <w:r w:rsidR="003C4DA8">
              <w:rPr>
                <w:lang w:eastAsia="cs-CZ"/>
              </w:rPr>
              <w:t>í</w:t>
            </w:r>
            <w:r w:rsidR="002C4512">
              <w:rPr>
                <w:lang w:eastAsia="cs-CZ"/>
              </w:rPr>
              <w:t xml:space="preserve"> hodnotí NKÚ jako</w:t>
            </w:r>
            <w:r w:rsidR="000F5927">
              <w:rPr>
                <w:lang w:eastAsia="cs-CZ"/>
              </w:rPr>
              <w:t xml:space="preserve"> </w:t>
            </w:r>
            <w:r w:rsidR="00CD2009">
              <w:rPr>
                <w:lang w:eastAsia="cs-CZ"/>
              </w:rPr>
              <w:t>dostatečn</w:t>
            </w:r>
            <w:r w:rsidR="002C4512">
              <w:rPr>
                <w:lang w:eastAsia="cs-CZ"/>
              </w:rPr>
              <w:t>á</w:t>
            </w:r>
            <w:r w:rsidR="00CD2009">
              <w:rPr>
                <w:lang w:eastAsia="cs-CZ"/>
              </w:rPr>
              <w:t>.</w:t>
            </w:r>
            <w:r w:rsidR="00EA345A">
              <w:rPr>
                <w:lang w:eastAsia="cs-CZ"/>
              </w:rPr>
              <w:t xml:space="preserve"> </w:t>
            </w:r>
          </w:p>
        </w:tc>
      </w:tr>
      <w:tr w:rsidR="00503EC8" w14:paraId="0B67FF66" w14:textId="77777777" w:rsidTr="00A7770B">
        <w:trPr>
          <w:trHeight w:val="964"/>
        </w:trPr>
        <w:tc>
          <w:tcPr>
            <w:tcW w:w="2937" w:type="dxa"/>
          </w:tcPr>
          <w:p w14:paraId="1190CE91" w14:textId="2C305274" w:rsidR="00EA345A" w:rsidRDefault="00EA345A" w:rsidP="00286992">
            <w:pPr>
              <w:spacing w:after="0"/>
              <w:rPr>
                <w:b/>
              </w:rPr>
            </w:pPr>
            <w:r>
              <w:rPr>
                <w:b/>
              </w:rPr>
              <w:t>Závěrečný účet kapitoly za rok 2017</w:t>
            </w:r>
          </w:p>
          <w:p w14:paraId="77CA7601" w14:textId="200E7894" w:rsidR="00EA345A" w:rsidRDefault="00EA345A" w:rsidP="00286992">
            <w:pPr>
              <w:spacing w:after="0"/>
              <w:rPr>
                <w:b/>
              </w:rPr>
            </w:pPr>
          </w:p>
          <w:p w14:paraId="53941738" w14:textId="77777777" w:rsidR="003C4DA8" w:rsidRDefault="003C4DA8" w:rsidP="00867996">
            <w:pPr>
              <w:spacing w:after="60"/>
              <w:rPr>
                <w:b/>
              </w:rPr>
            </w:pPr>
          </w:p>
          <w:p w14:paraId="4AA95EDB" w14:textId="3528C2EB" w:rsidR="00503EC8" w:rsidRPr="00585F30" w:rsidRDefault="00503EC8" w:rsidP="00286992">
            <w:pPr>
              <w:spacing w:after="0"/>
              <w:rPr>
                <w:b/>
              </w:rPr>
            </w:pPr>
            <w:r>
              <w:rPr>
                <w:b/>
              </w:rPr>
              <w:t>Vnitřní kontrolní systém</w:t>
            </w:r>
          </w:p>
        </w:tc>
        <w:tc>
          <w:tcPr>
            <w:tcW w:w="6130" w:type="dxa"/>
          </w:tcPr>
          <w:p w14:paraId="1BE61A3B" w14:textId="52126559" w:rsidR="00EA345A" w:rsidRDefault="00EA345A" w:rsidP="003C4DA8">
            <w:pPr>
              <w:spacing w:after="0"/>
              <w:ind w:left="74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Při kontrole závěrečného účtu kapitoly </w:t>
            </w:r>
            <w:r w:rsidR="003C4DA8">
              <w:rPr>
                <w:lang w:eastAsia="cs-CZ"/>
              </w:rPr>
              <w:t xml:space="preserve">státního rozpočtu </w:t>
            </w:r>
            <w:r>
              <w:rPr>
                <w:lang w:eastAsia="cs-CZ"/>
              </w:rPr>
              <w:t>335</w:t>
            </w:r>
            <w:r w:rsidR="003C4DA8">
              <w:rPr>
                <w:lang w:eastAsia="cs-CZ"/>
              </w:rPr>
              <w:t> </w:t>
            </w:r>
            <w:r>
              <w:rPr>
                <w:lang w:eastAsia="cs-CZ"/>
              </w:rPr>
              <w:t>–</w:t>
            </w:r>
            <w:r w:rsidR="003C4DA8">
              <w:rPr>
                <w:lang w:eastAsia="cs-CZ"/>
              </w:rPr>
              <w:t> </w:t>
            </w:r>
            <w:r w:rsidRPr="00A7770B">
              <w:rPr>
                <w:i/>
                <w:lang w:eastAsia="cs-CZ"/>
              </w:rPr>
              <w:t>Ministerstvo zdravotnictví</w:t>
            </w:r>
            <w:r>
              <w:rPr>
                <w:lang w:eastAsia="cs-CZ"/>
              </w:rPr>
              <w:t xml:space="preserve"> nebyly zjištěny významné nesprávnosti.</w:t>
            </w:r>
          </w:p>
          <w:p w14:paraId="59AA1EA7" w14:textId="77777777" w:rsidR="00EA345A" w:rsidRDefault="00EA345A" w:rsidP="00867996">
            <w:pPr>
              <w:spacing w:after="60"/>
              <w:jc w:val="both"/>
              <w:rPr>
                <w:lang w:eastAsia="cs-CZ"/>
              </w:rPr>
            </w:pPr>
          </w:p>
          <w:p w14:paraId="5EA8C3AF" w14:textId="66E3A9EA" w:rsidR="00503EC8" w:rsidRDefault="00503EC8" w:rsidP="003A04E3">
            <w:pPr>
              <w:spacing w:after="0"/>
              <w:ind w:left="74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V oblasti </w:t>
            </w:r>
            <w:r w:rsidR="002C4512">
              <w:rPr>
                <w:lang w:eastAsia="cs-CZ"/>
              </w:rPr>
              <w:t>vnitřního kontrolního systému byl</w:t>
            </w:r>
            <w:r w:rsidR="002C6A7C">
              <w:rPr>
                <w:lang w:eastAsia="cs-CZ"/>
              </w:rPr>
              <w:t>a</w:t>
            </w:r>
            <w:r w:rsidR="002C4512">
              <w:rPr>
                <w:lang w:eastAsia="cs-CZ"/>
              </w:rPr>
              <w:t xml:space="preserve"> identifikován</w:t>
            </w:r>
            <w:r w:rsidR="002C6A7C">
              <w:rPr>
                <w:lang w:eastAsia="cs-CZ"/>
              </w:rPr>
              <w:t>a</w:t>
            </w:r>
            <w:r>
              <w:rPr>
                <w:lang w:eastAsia="cs-CZ"/>
              </w:rPr>
              <w:t xml:space="preserve"> rizika</w:t>
            </w:r>
            <w:r w:rsidR="002E6156">
              <w:rPr>
                <w:lang w:eastAsia="cs-CZ"/>
              </w:rPr>
              <w:t xml:space="preserve"> v oblasti řídící kontroly. V jejich </w:t>
            </w:r>
            <w:r w:rsidR="002C4512">
              <w:rPr>
                <w:lang w:eastAsia="cs-CZ"/>
              </w:rPr>
              <w:t>důsledku</w:t>
            </w:r>
            <w:r w:rsidR="00437C41">
              <w:rPr>
                <w:lang w:eastAsia="cs-CZ"/>
              </w:rPr>
              <w:t xml:space="preserve"> </w:t>
            </w:r>
            <w:r w:rsidR="002E6156">
              <w:rPr>
                <w:lang w:eastAsia="cs-CZ"/>
              </w:rPr>
              <w:t xml:space="preserve">některé výdaje na právní služby byly realizovány bez existence smlouvy a u některých smluv o poskytování právních služeb z období před rokem 2017 došlo k jejich ztrátě. Dále bylo zjištěno, že některé kontrolní prvky v systému účetnictví nefungovaly dostatečně spolehlivě. V důsledku toho nebylo </w:t>
            </w:r>
            <w:r w:rsidR="00437C41">
              <w:rPr>
                <w:lang w:eastAsia="cs-CZ"/>
              </w:rPr>
              <w:t>v roce 2017</w:t>
            </w:r>
            <w:r w:rsidR="00E07C86">
              <w:rPr>
                <w:lang w:eastAsia="cs-CZ"/>
              </w:rPr>
              <w:t xml:space="preserve"> účetnictví MZ</w:t>
            </w:r>
            <w:r w:rsidR="00A31D77">
              <w:rPr>
                <w:lang w:eastAsia="cs-CZ"/>
              </w:rPr>
              <w:t>d</w:t>
            </w:r>
            <w:r w:rsidR="00E07C86">
              <w:rPr>
                <w:lang w:eastAsia="cs-CZ"/>
              </w:rPr>
              <w:t xml:space="preserve"> úplné, průkazné a správné</w:t>
            </w:r>
            <w:r w:rsidR="002E6156">
              <w:rPr>
                <w:lang w:eastAsia="cs-CZ"/>
              </w:rPr>
              <w:t xml:space="preserve"> a</w:t>
            </w:r>
            <w:r w:rsidR="00DB4CA1">
              <w:rPr>
                <w:lang w:eastAsia="cs-CZ"/>
              </w:rPr>
              <w:t> </w:t>
            </w:r>
            <w:r w:rsidR="00437C41">
              <w:rPr>
                <w:lang w:eastAsia="cs-CZ"/>
              </w:rPr>
              <w:t>některé informace</w:t>
            </w:r>
            <w:r w:rsidR="002C4512">
              <w:rPr>
                <w:lang w:eastAsia="cs-CZ"/>
              </w:rPr>
              <w:t xml:space="preserve"> v účetní závěrce</w:t>
            </w:r>
            <w:r w:rsidR="00437C41">
              <w:rPr>
                <w:lang w:eastAsia="cs-CZ"/>
              </w:rPr>
              <w:t xml:space="preserve"> </w:t>
            </w:r>
            <w:r w:rsidR="002C6A7C">
              <w:rPr>
                <w:lang w:eastAsia="cs-CZ"/>
              </w:rPr>
              <w:t>ne</w:t>
            </w:r>
            <w:r w:rsidR="00437C41">
              <w:rPr>
                <w:lang w:eastAsia="cs-CZ"/>
              </w:rPr>
              <w:t>byly spolehlivé</w:t>
            </w:r>
            <w:r w:rsidR="002E6156">
              <w:rPr>
                <w:lang w:eastAsia="cs-CZ"/>
              </w:rPr>
              <w:t>.</w:t>
            </w:r>
          </w:p>
        </w:tc>
      </w:tr>
    </w:tbl>
    <w:p w14:paraId="44326317" w14:textId="170160B7" w:rsidR="00585F30" w:rsidRDefault="00585F30" w:rsidP="00750FBA">
      <w:pPr>
        <w:tabs>
          <w:tab w:val="left" w:pos="3084"/>
        </w:tabs>
        <w:spacing w:after="0"/>
        <w:ind w:left="113"/>
        <w:rPr>
          <w:lang w:eastAsia="cs-CZ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71"/>
        <w:gridCol w:w="6086"/>
      </w:tblGrid>
      <w:tr w:rsidR="00BA1A35" w14:paraId="5E28E951" w14:textId="77777777" w:rsidTr="00A7770B">
        <w:trPr>
          <w:trHeight w:val="454"/>
        </w:trPr>
        <w:tc>
          <w:tcPr>
            <w:tcW w:w="2971" w:type="dxa"/>
          </w:tcPr>
          <w:p w14:paraId="67F3B4E7" w14:textId="77777777" w:rsidR="00BA1A35" w:rsidRPr="00585F30" w:rsidRDefault="00BA1A35" w:rsidP="00750FBA">
            <w:pPr>
              <w:spacing w:after="0"/>
              <w:rPr>
                <w:b/>
              </w:rPr>
            </w:pPr>
            <w:r w:rsidRPr="00585F30">
              <w:rPr>
                <w:b/>
              </w:rPr>
              <w:t>Porušení rozpočtové kázně</w:t>
            </w:r>
          </w:p>
        </w:tc>
        <w:tc>
          <w:tcPr>
            <w:tcW w:w="6086" w:type="dxa"/>
          </w:tcPr>
          <w:p w14:paraId="627EEDA0" w14:textId="3AB89355" w:rsidR="00EA345A" w:rsidRDefault="00CD2009" w:rsidP="00F05401">
            <w:pPr>
              <w:spacing w:after="0"/>
              <w:jc w:val="both"/>
            </w:pPr>
            <w:r>
              <w:t>Kontrolou byl</w:t>
            </w:r>
            <w:r w:rsidR="002C4512">
              <w:t>y</w:t>
            </w:r>
            <w:r>
              <w:t xml:space="preserve"> zjištěn</w:t>
            </w:r>
            <w:r w:rsidR="002C4512">
              <w:t>y</w:t>
            </w:r>
            <w:r>
              <w:t xml:space="preserve"> </w:t>
            </w:r>
            <w:r w:rsidR="002C4512">
              <w:t>skutečnosti</w:t>
            </w:r>
            <w:r w:rsidR="00BA1A35" w:rsidRPr="0098626D">
              <w:t xml:space="preserve"> </w:t>
            </w:r>
            <w:r w:rsidR="00BA1A35">
              <w:t>naplňující znaky</w:t>
            </w:r>
            <w:r w:rsidR="00BA1A35" w:rsidRPr="0098626D">
              <w:t xml:space="preserve"> porušení rozpočtové kázně </w:t>
            </w:r>
            <w:r w:rsidR="0035533B">
              <w:t>v</w:t>
            </w:r>
            <w:r w:rsidR="002C4512">
              <w:t xml:space="preserve"> částce </w:t>
            </w:r>
            <w:r w:rsidR="00270CEC">
              <w:t>přesahující</w:t>
            </w:r>
            <w:r w:rsidR="002C4512">
              <w:t xml:space="preserve"> 7</w:t>
            </w:r>
            <w:r w:rsidR="00BA1A35" w:rsidRPr="0098626D">
              <w:t xml:space="preserve"> </w:t>
            </w:r>
            <w:r w:rsidR="00BA1A35">
              <w:t xml:space="preserve">mil. </w:t>
            </w:r>
            <w:r w:rsidR="00BA1A35" w:rsidRPr="0098626D">
              <w:t>Kč.</w:t>
            </w:r>
          </w:p>
          <w:p w14:paraId="0B6FE174" w14:textId="41931BE2" w:rsidR="00270CEC" w:rsidRDefault="00270CEC" w:rsidP="00286BC3">
            <w:pPr>
              <w:spacing w:after="0"/>
              <w:jc w:val="both"/>
              <w:rPr>
                <w:lang w:eastAsia="cs-CZ"/>
              </w:rPr>
            </w:pPr>
          </w:p>
        </w:tc>
      </w:tr>
    </w:tbl>
    <w:p w14:paraId="0691AF0B" w14:textId="77777777" w:rsidR="00A51B9B" w:rsidRDefault="00A51B9B" w:rsidP="00CB541E">
      <w:pPr>
        <w:pStyle w:val="Nadpis1"/>
        <w:keepNext/>
        <w:spacing w:after="0" w:line="240" w:lineRule="auto"/>
      </w:pPr>
    </w:p>
    <w:p w14:paraId="557A4E26" w14:textId="77777777" w:rsidR="00A51B9B" w:rsidRDefault="00A51B9B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791CE52E" w14:textId="1DF4DACB" w:rsidR="0033466E" w:rsidRPr="00C854EE" w:rsidRDefault="0033466E" w:rsidP="00CB541E">
      <w:pPr>
        <w:pStyle w:val="Nadpis1"/>
        <w:keepNext/>
        <w:spacing w:after="0" w:line="240" w:lineRule="auto"/>
      </w:pPr>
      <w:r>
        <w:lastRenderedPageBreak/>
        <w:t>I</w:t>
      </w:r>
      <w:r w:rsidRPr="0033466E">
        <w:t>. Shrnutí a vyhodnocení</w:t>
      </w:r>
    </w:p>
    <w:p w14:paraId="7FBD8CE0" w14:textId="77777777" w:rsidR="00750FBA" w:rsidRPr="00B30899" w:rsidRDefault="00750FBA" w:rsidP="00CB541E">
      <w:pPr>
        <w:keepNext/>
        <w:spacing w:after="0"/>
        <w:jc w:val="both"/>
        <w:rPr>
          <w:rFonts w:eastAsiaTheme="minorHAnsi" w:cs="Calibri"/>
        </w:rPr>
      </w:pPr>
    </w:p>
    <w:p w14:paraId="11BAC976" w14:textId="5D70A921" w:rsidR="007A7522" w:rsidRDefault="00D31D2D" w:rsidP="007A7522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Cílem kontrolní akce č. 18/13 bylo prověřit, zda </w:t>
      </w:r>
      <w:r w:rsidR="00A31D77">
        <w:rPr>
          <w:rFonts w:eastAsiaTheme="minorHAnsi" w:cs="Calibri"/>
        </w:rPr>
        <w:t>MZd</w:t>
      </w:r>
      <w:r w:rsidR="0033466E" w:rsidRPr="00B30899">
        <w:rPr>
          <w:rFonts w:eastAsiaTheme="minorHAnsi" w:cs="Calibri"/>
        </w:rPr>
        <w:t xml:space="preserve"> při vedení účetnictví v roce 2017 a sestavení účetní závěrky k 31. prosinci 2017, při předkládání údajů pro hodnocení plnění rozpočtu</w:t>
      </w:r>
      <w:r w:rsidR="0033466E" w:rsidRPr="00B30899">
        <w:rPr>
          <w:rFonts w:eastAsiaTheme="minorHAnsi" w:cs="Calibri"/>
          <w:vertAlign w:val="superscript"/>
        </w:rPr>
        <w:footnoteReference w:id="3"/>
      </w:r>
      <w:r w:rsidR="0033466E" w:rsidRPr="00B30899">
        <w:rPr>
          <w:rFonts w:eastAsiaTheme="minorHAnsi" w:cs="Calibri"/>
        </w:rPr>
        <w:t xml:space="preserve"> a při sestavení závěrečného účtu za rok 2017 postupovalo v souladu s příslušnými právními předpisy</w:t>
      </w:r>
      <w:r w:rsidR="00342E78">
        <w:rPr>
          <w:rFonts w:eastAsiaTheme="minorHAnsi" w:cs="Calibri"/>
        </w:rPr>
        <w:t>. Účelem kontroly bylo též</w:t>
      </w:r>
      <w:r w:rsidR="007A7522">
        <w:rPr>
          <w:rFonts w:eastAsiaTheme="minorHAnsi" w:cs="Calibri"/>
        </w:rPr>
        <w:t xml:space="preserve"> přispět ke </w:t>
      </w:r>
      <w:r w:rsidR="00BA7F5E">
        <w:rPr>
          <w:rFonts w:eastAsiaTheme="minorHAnsi" w:cs="Calibri"/>
        </w:rPr>
        <w:t>zdokonalení finančního řízení u </w:t>
      </w:r>
      <w:r w:rsidR="007A7522">
        <w:rPr>
          <w:rFonts w:eastAsiaTheme="minorHAnsi" w:cs="Calibri"/>
        </w:rPr>
        <w:t>kontrolované osoby.</w:t>
      </w:r>
    </w:p>
    <w:p w14:paraId="61CF587D" w14:textId="77777777"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792B2B00" w14:textId="703E216F" w:rsidR="00B30899" w:rsidRDefault="00141E59" w:rsidP="00B30899">
      <w:pPr>
        <w:spacing w:after="0"/>
        <w:jc w:val="both"/>
        <w:rPr>
          <w:rFonts w:eastAsiaTheme="minorHAnsi" w:cs="Calibri"/>
          <w:b/>
        </w:rPr>
      </w:pPr>
      <w:r>
        <w:rPr>
          <w:rFonts w:eastAsiaTheme="minorHAnsi" w:cs="Calibri"/>
          <w:b/>
        </w:rPr>
        <w:t>NKÚ</w:t>
      </w:r>
      <w:r w:rsidRPr="00F74C0E">
        <w:rPr>
          <w:rFonts w:eastAsiaTheme="minorHAnsi" w:cs="Calibri"/>
          <w:b/>
        </w:rPr>
        <w:t xml:space="preserve"> </w:t>
      </w:r>
      <w:r w:rsidR="00270555" w:rsidRPr="00F74C0E">
        <w:rPr>
          <w:rFonts w:eastAsiaTheme="minorHAnsi" w:cs="Calibri"/>
          <w:b/>
        </w:rPr>
        <w:t>prověřil průkaznost účetního zpracování</w:t>
      </w:r>
      <w:r w:rsidR="004A482D">
        <w:rPr>
          <w:rFonts w:eastAsiaTheme="minorHAnsi" w:cs="Calibri"/>
          <w:b/>
        </w:rPr>
        <w:t>,</w:t>
      </w:r>
      <w:r w:rsidR="00270555" w:rsidRPr="00F74C0E">
        <w:rPr>
          <w:rFonts w:eastAsiaTheme="minorHAnsi" w:cs="Calibri"/>
          <w:b/>
        </w:rPr>
        <w:t xml:space="preserve"> spolehlivost finančních informací na výstupu z účetní jednotky</w:t>
      </w:r>
      <w:r w:rsidR="009A0566" w:rsidRPr="00F74C0E">
        <w:rPr>
          <w:rFonts w:eastAsiaTheme="minorHAnsi" w:cs="Calibri"/>
          <w:b/>
        </w:rPr>
        <w:t xml:space="preserve"> a dodržování vybraných požadavků právních předpisů při hospodaření s majetkem státu</w:t>
      </w:r>
      <w:r w:rsidR="00270555" w:rsidRPr="00F74C0E">
        <w:rPr>
          <w:rFonts w:eastAsiaTheme="minorHAnsi" w:cs="Calibri"/>
          <w:b/>
        </w:rPr>
        <w:t>. Řádnost těchto postupů je základem řádného finančního řízení v souladu se zákonem č. 320/2001 Sb., o finanční kontrole ve veřejné správě a o změně některých zákonů (zákon o finanční kontrole)</w:t>
      </w:r>
      <w:r w:rsidR="007C420B">
        <w:rPr>
          <w:rFonts w:eastAsiaTheme="minorHAnsi" w:cs="Calibri"/>
          <w:b/>
        </w:rPr>
        <w:t>.</w:t>
      </w:r>
      <w:r w:rsidR="009A0566" w:rsidRPr="00F74C0E">
        <w:rPr>
          <w:rFonts w:eastAsiaTheme="minorHAnsi" w:cs="Calibri"/>
          <w:b/>
        </w:rPr>
        <w:t xml:space="preserve"> </w:t>
      </w:r>
    </w:p>
    <w:p w14:paraId="265CB719" w14:textId="77777777" w:rsidR="008A53A8" w:rsidRDefault="008A53A8" w:rsidP="00B30899">
      <w:pPr>
        <w:spacing w:after="0"/>
        <w:jc w:val="both"/>
        <w:rPr>
          <w:rFonts w:eastAsiaTheme="minorHAnsi" w:cs="Calibri"/>
        </w:rPr>
      </w:pPr>
    </w:p>
    <w:p w14:paraId="2D0634EA" w14:textId="2B19B2CC" w:rsidR="0033466E" w:rsidRPr="00B30899" w:rsidRDefault="00656961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 xml:space="preserve">Při kontrole bylo provedeno i vyhodnocení opatření přijatých k nápravě nedostatků zjištěných </w:t>
      </w:r>
      <w:r w:rsidR="00D31D2D">
        <w:rPr>
          <w:rFonts w:eastAsiaTheme="minorHAnsi" w:cs="Calibri"/>
        </w:rPr>
        <w:t>kontrolní akcí č. 15/07</w:t>
      </w:r>
      <w:r w:rsidRPr="00B30899">
        <w:rPr>
          <w:rFonts w:eastAsiaTheme="minorHAnsi" w:cs="Calibri"/>
          <w:vertAlign w:val="superscript"/>
        </w:rPr>
        <w:footnoteReference w:id="4"/>
      </w:r>
      <w:r w:rsidRPr="00B30899">
        <w:rPr>
          <w:rFonts w:eastAsiaTheme="minorHAnsi" w:cs="Calibri"/>
        </w:rPr>
        <w:t>.</w:t>
      </w:r>
    </w:p>
    <w:p w14:paraId="535FDB81" w14:textId="77777777" w:rsid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4DD72314" w14:textId="75DC450A" w:rsidR="008B48D4" w:rsidRDefault="009A02B1" w:rsidP="00B30899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MZ</w:t>
      </w:r>
      <w:r w:rsidR="00A31D77">
        <w:rPr>
          <w:rFonts w:eastAsiaTheme="minorHAnsi" w:cs="Calibri"/>
        </w:rPr>
        <w:t>d</w:t>
      </w:r>
      <w:r w:rsidR="004D1174" w:rsidRPr="00B30899">
        <w:rPr>
          <w:rFonts w:eastAsiaTheme="minorHAnsi" w:cs="Calibri"/>
        </w:rPr>
        <w:t xml:space="preserve"> jako o</w:t>
      </w:r>
      <w:r w:rsidR="008B48D4" w:rsidRPr="00B30899">
        <w:rPr>
          <w:rFonts w:eastAsiaTheme="minorHAnsi" w:cs="Calibri"/>
        </w:rPr>
        <w:t>rganizační složk</w:t>
      </w:r>
      <w:r w:rsidR="004D1174" w:rsidRPr="00B30899">
        <w:rPr>
          <w:rFonts w:eastAsiaTheme="minorHAnsi" w:cs="Calibri"/>
        </w:rPr>
        <w:t>a</w:t>
      </w:r>
      <w:r w:rsidR="008B48D4" w:rsidRPr="00B30899">
        <w:rPr>
          <w:rFonts w:eastAsiaTheme="minorHAnsi" w:cs="Calibri"/>
        </w:rPr>
        <w:t xml:space="preserve"> státu</w:t>
      </w:r>
      <w:r w:rsidR="007F196A" w:rsidRPr="00B30899">
        <w:rPr>
          <w:rFonts w:eastAsiaTheme="minorHAnsi" w:cs="Calibri"/>
        </w:rPr>
        <w:t xml:space="preserve"> </w:t>
      </w:r>
      <w:r w:rsidR="007F196A" w:rsidRPr="00B30899">
        <w:rPr>
          <w:rFonts w:cs="Calibri"/>
        </w:rPr>
        <w:t>(dále také „OSS“)</w:t>
      </w:r>
      <w:r w:rsidR="008B48D4" w:rsidRPr="00B30899">
        <w:rPr>
          <w:rFonts w:eastAsiaTheme="minorHAnsi" w:cs="Calibri"/>
        </w:rPr>
        <w:t xml:space="preserve"> j</w:t>
      </w:r>
      <w:r w:rsidR="004D1174" w:rsidRPr="00B30899">
        <w:rPr>
          <w:rFonts w:eastAsiaTheme="minorHAnsi" w:cs="Calibri"/>
        </w:rPr>
        <w:t>e</w:t>
      </w:r>
      <w:r w:rsidR="008B48D4" w:rsidRPr="00B30899">
        <w:rPr>
          <w:rFonts w:eastAsiaTheme="minorHAnsi" w:cs="Calibri"/>
        </w:rPr>
        <w:t xml:space="preserve"> povinn</w:t>
      </w:r>
      <w:r w:rsidR="00953F8F" w:rsidRPr="00B30899">
        <w:rPr>
          <w:rFonts w:eastAsiaTheme="minorHAnsi" w:cs="Calibri"/>
        </w:rPr>
        <w:t>o</w:t>
      </w:r>
      <w:r w:rsidR="008B48D4" w:rsidRPr="00B30899">
        <w:rPr>
          <w:rFonts w:eastAsiaTheme="minorHAnsi" w:cs="Calibri"/>
        </w:rPr>
        <w:t xml:space="preserve"> v souladu se zákonem</w:t>
      </w:r>
      <w:r w:rsidR="00953F8F" w:rsidRPr="00B30899">
        <w:rPr>
          <w:rFonts w:eastAsiaTheme="minorHAnsi" w:cs="Calibri"/>
        </w:rPr>
        <w:t xml:space="preserve"> č.</w:t>
      </w:r>
      <w:r w:rsidR="009E57D6" w:rsidRPr="00B30899">
        <w:rPr>
          <w:rFonts w:eastAsiaTheme="minorHAnsi" w:cs="Calibri"/>
        </w:rPr>
        <w:t> </w:t>
      </w:r>
      <w:r w:rsidR="00953F8F" w:rsidRPr="00B30899">
        <w:rPr>
          <w:rFonts w:eastAsiaTheme="minorHAnsi" w:cs="Calibri"/>
        </w:rPr>
        <w:t>563/1991 Sb.,</w:t>
      </w:r>
      <w:r w:rsidR="008B48D4" w:rsidRPr="00B30899">
        <w:rPr>
          <w:rFonts w:eastAsiaTheme="minorHAnsi" w:cs="Calibri"/>
        </w:rPr>
        <w:t xml:space="preserve"> o účetnictví</w:t>
      </w:r>
      <w:r w:rsidR="009348E8">
        <w:rPr>
          <w:rFonts w:eastAsiaTheme="minorHAnsi" w:cs="Calibri"/>
        </w:rPr>
        <w:t xml:space="preserve"> (dále jen „zákon o účetnictví“)</w:t>
      </w:r>
      <w:r w:rsidR="0035533B">
        <w:rPr>
          <w:rFonts w:eastAsiaTheme="minorHAnsi" w:cs="Calibri"/>
        </w:rPr>
        <w:t>,</w:t>
      </w:r>
      <w:r w:rsidR="008B48D4" w:rsidRPr="00B30899">
        <w:rPr>
          <w:rFonts w:eastAsiaTheme="minorHAnsi" w:cs="Calibri"/>
        </w:rPr>
        <w:t xml:space="preserve"> účtovat o stavu a pohybu majetku a</w:t>
      </w:r>
      <w:r w:rsidR="009E57D6" w:rsidRPr="00B30899">
        <w:rPr>
          <w:rFonts w:eastAsiaTheme="minorHAnsi" w:cs="Calibri"/>
        </w:rPr>
        <w:t> </w:t>
      </w:r>
      <w:r w:rsidR="008B48D4" w:rsidRPr="00B30899">
        <w:rPr>
          <w:rFonts w:eastAsiaTheme="minorHAnsi" w:cs="Calibri"/>
        </w:rPr>
        <w:t>jiných aktiv, závazků a jiných pasiv, o nákladech a výnosech a o výsledku hospodaření. Informace, které předklád</w:t>
      </w:r>
      <w:r w:rsidR="004D1174" w:rsidRPr="00B30899">
        <w:rPr>
          <w:rFonts w:eastAsiaTheme="minorHAnsi" w:cs="Calibri"/>
        </w:rPr>
        <w:t>á</w:t>
      </w:r>
      <w:r w:rsidR="008B48D4" w:rsidRPr="00B30899">
        <w:rPr>
          <w:rFonts w:eastAsiaTheme="minorHAnsi" w:cs="Calibri"/>
        </w:rPr>
        <w:t xml:space="preserve"> v účetní závěrce</w:t>
      </w:r>
      <w:r w:rsidR="008B48D4" w:rsidRPr="00B30899">
        <w:rPr>
          <w:rStyle w:val="Znakapoznpodarou"/>
          <w:rFonts w:eastAsiaTheme="minorHAnsi" w:cs="Calibri"/>
        </w:rPr>
        <w:footnoteReference w:id="5"/>
      </w:r>
      <w:r w:rsidR="008B48D4" w:rsidRPr="00B30899">
        <w:rPr>
          <w:rFonts w:eastAsiaTheme="minorHAnsi" w:cs="Calibri"/>
        </w:rPr>
        <w:t>, musí být spolehlivé, srovnatelné, srozumitelné a posuzují se z hlediska významnosti.</w:t>
      </w:r>
    </w:p>
    <w:p w14:paraId="13F08F71" w14:textId="73B09216" w:rsidR="0064527C" w:rsidRPr="00B30899" w:rsidRDefault="0064527C" w:rsidP="00B30899">
      <w:pPr>
        <w:spacing w:after="0"/>
        <w:jc w:val="both"/>
        <w:rPr>
          <w:rFonts w:eastAsiaTheme="minorHAnsi" w:cs="Calibri"/>
        </w:rPr>
      </w:pPr>
    </w:p>
    <w:p w14:paraId="51699C64" w14:textId="0DEEDD12" w:rsidR="0033466E" w:rsidRPr="00B30899" w:rsidRDefault="006C650B" w:rsidP="00CB541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1. </w:t>
      </w:r>
      <w:r w:rsidR="0033466E" w:rsidRPr="00B30899">
        <w:rPr>
          <w:rFonts w:ascii="Calibri" w:hAnsi="Calibri" w:cs="Calibri"/>
        </w:rPr>
        <w:t>Vedení účetnictví</w:t>
      </w:r>
      <w:r w:rsidR="009A02B1">
        <w:rPr>
          <w:rFonts w:ascii="Calibri" w:hAnsi="Calibri" w:cs="Calibri"/>
        </w:rPr>
        <w:t xml:space="preserve"> </w:t>
      </w:r>
      <w:r w:rsidR="00A31D77">
        <w:rPr>
          <w:rFonts w:ascii="Calibri" w:hAnsi="Calibri" w:cs="Calibri"/>
        </w:rPr>
        <w:t>MZd</w:t>
      </w:r>
    </w:p>
    <w:p w14:paraId="0DF2FEB5" w14:textId="77777777" w:rsidR="00B30899" w:rsidRDefault="00B30899" w:rsidP="00CB541E">
      <w:pPr>
        <w:keepNext/>
        <w:spacing w:after="0"/>
        <w:jc w:val="both"/>
        <w:rPr>
          <w:rFonts w:cs="Calibri"/>
        </w:rPr>
      </w:pPr>
    </w:p>
    <w:p w14:paraId="5BA19845" w14:textId="1CF09C22" w:rsidR="0033466E" w:rsidRDefault="0033466E" w:rsidP="00B30899">
      <w:pPr>
        <w:spacing w:after="0"/>
        <w:jc w:val="both"/>
        <w:rPr>
          <w:rFonts w:cs="Calibri"/>
        </w:rPr>
      </w:pPr>
      <w:r w:rsidRPr="00714F53">
        <w:rPr>
          <w:rFonts w:cs="Calibri"/>
        </w:rPr>
        <w:t>V oblasti vedení účetnictví se kontrola zaměřila na jeho správnost, úplnost, průkaznost a srozumitelnost. Prověřila dodržování směrné účtové osnovy a správnost používání účetních metod. U vybraných účetních případů byla provedena kontrola s cílem ověřit systém účtování a vykazování informací o skutečnostech, které jsou předmětem účetnictví.</w:t>
      </w:r>
      <w:r w:rsidRPr="00B30899">
        <w:rPr>
          <w:rFonts w:cs="Calibri"/>
        </w:rPr>
        <w:t xml:space="preserve"> </w:t>
      </w:r>
    </w:p>
    <w:p w14:paraId="34CD9E10" w14:textId="77777777" w:rsidR="00B30899" w:rsidRPr="00714F53" w:rsidRDefault="00B30899" w:rsidP="00B30899">
      <w:pPr>
        <w:spacing w:after="0"/>
        <w:jc w:val="both"/>
        <w:rPr>
          <w:rFonts w:cs="Calibri"/>
        </w:rPr>
      </w:pPr>
    </w:p>
    <w:p w14:paraId="762FC903" w14:textId="78CE3B09" w:rsidR="009402CE" w:rsidRDefault="009402CE" w:rsidP="00B30899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MZ</w:t>
      </w:r>
      <w:r w:rsidR="00A31D77">
        <w:rPr>
          <w:rFonts w:cs="Calibri"/>
          <w:b/>
        </w:rPr>
        <w:t>d</w:t>
      </w:r>
      <w:r>
        <w:rPr>
          <w:rFonts w:cs="Calibri"/>
          <w:b/>
        </w:rPr>
        <w:t xml:space="preserve"> nevedlo v roce 2017 úplné, průkazné a správné účetnictví ve smyslu </w:t>
      </w:r>
      <w:r w:rsidR="00D85452">
        <w:rPr>
          <w:rFonts w:cs="Calibri"/>
          <w:b/>
        </w:rPr>
        <w:t xml:space="preserve">ustanovení </w:t>
      </w:r>
      <w:r>
        <w:rPr>
          <w:rFonts w:cs="Calibri"/>
          <w:b/>
        </w:rPr>
        <w:t>§</w:t>
      </w:r>
      <w:r w:rsidR="006E78DE">
        <w:rPr>
          <w:rFonts w:cs="Calibri"/>
          <w:b/>
        </w:rPr>
        <w:t> </w:t>
      </w:r>
      <w:r>
        <w:rPr>
          <w:rFonts w:cs="Calibri"/>
          <w:b/>
        </w:rPr>
        <w:t>8</w:t>
      </w:r>
      <w:r w:rsidR="006E78DE">
        <w:rPr>
          <w:rFonts w:cs="Calibri"/>
          <w:b/>
        </w:rPr>
        <w:t> </w:t>
      </w:r>
      <w:r w:rsidR="00171017">
        <w:rPr>
          <w:rFonts w:cs="Calibri"/>
          <w:b/>
        </w:rPr>
        <w:t>odst.</w:t>
      </w:r>
      <w:r w:rsidR="006E78DE">
        <w:rPr>
          <w:rFonts w:cs="Calibri"/>
          <w:b/>
        </w:rPr>
        <w:t> </w:t>
      </w:r>
      <w:r w:rsidR="00171017">
        <w:rPr>
          <w:rFonts w:cs="Calibri"/>
          <w:b/>
        </w:rPr>
        <w:t>1</w:t>
      </w:r>
      <w:r>
        <w:rPr>
          <w:rFonts w:cs="Calibri"/>
          <w:b/>
        </w:rPr>
        <w:t xml:space="preserve"> zákona o účetnictví.</w:t>
      </w:r>
    </w:p>
    <w:p w14:paraId="249ECDFB" w14:textId="77777777" w:rsidR="009402CE" w:rsidRDefault="009402CE" w:rsidP="00B30899">
      <w:pPr>
        <w:spacing w:after="0"/>
        <w:jc w:val="both"/>
        <w:rPr>
          <w:rFonts w:cs="Calibri"/>
          <w:b/>
        </w:rPr>
      </w:pPr>
    </w:p>
    <w:p w14:paraId="0CF68562" w14:textId="180393F8" w:rsidR="00163CD9" w:rsidRPr="00A7770B" w:rsidRDefault="001141E0" w:rsidP="00B30899">
      <w:pPr>
        <w:spacing w:after="0"/>
        <w:jc w:val="both"/>
        <w:rPr>
          <w:rFonts w:cs="Calibri"/>
        </w:rPr>
      </w:pPr>
      <w:r w:rsidRPr="00714F53">
        <w:rPr>
          <w:rFonts w:cs="Calibri"/>
          <w:b/>
        </w:rPr>
        <w:lastRenderedPageBreak/>
        <w:t xml:space="preserve">V průběhu kontroly </w:t>
      </w:r>
      <w:r w:rsidR="00DB5EA6" w:rsidRPr="00714F53">
        <w:rPr>
          <w:rFonts w:cs="Calibri"/>
          <w:b/>
        </w:rPr>
        <w:t xml:space="preserve">NKÚ zjistil </w:t>
      </w:r>
      <w:r w:rsidR="009A02B1" w:rsidRPr="00714F53">
        <w:rPr>
          <w:rFonts w:cs="Calibri"/>
          <w:b/>
        </w:rPr>
        <w:t>v účetnictví MZ</w:t>
      </w:r>
      <w:r w:rsidR="00A31D77">
        <w:rPr>
          <w:rFonts w:cs="Calibri"/>
          <w:b/>
        </w:rPr>
        <w:t>d</w:t>
      </w:r>
      <w:r w:rsidRPr="00714F53">
        <w:rPr>
          <w:rFonts w:cs="Calibri"/>
          <w:b/>
        </w:rPr>
        <w:t xml:space="preserve"> </w:t>
      </w:r>
      <w:r w:rsidR="0033466E" w:rsidRPr="00714F53">
        <w:rPr>
          <w:rFonts w:cs="Calibri"/>
          <w:b/>
        </w:rPr>
        <w:t>nesprávnosti</w:t>
      </w:r>
      <w:r w:rsidR="00557716">
        <w:rPr>
          <w:rFonts w:cs="Calibri"/>
          <w:b/>
        </w:rPr>
        <w:t xml:space="preserve"> s významným dopadem na </w:t>
      </w:r>
      <w:r w:rsidR="006E693A">
        <w:rPr>
          <w:rFonts w:cs="Calibri"/>
          <w:b/>
        </w:rPr>
        <w:t xml:space="preserve">účetní závěrku </w:t>
      </w:r>
      <w:r w:rsidR="00A31D77">
        <w:rPr>
          <w:rFonts w:cs="Calibri"/>
          <w:b/>
        </w:rPr>
        <w:t>MZd</w:t>
      </w:r>
      <w:r w:rsidR="008A53A8">
        <w:rPr>
          <w:rFonts w:cs="Calibri"/>
          <w:b/>
        </w:rPr>
        <w:t xml:space="preserve"> sestavenou</w:t>
      </w:r>
      <w:r w:rsidR="006E693A">
        <w:rPr>
          <w:rFonts w:cs="Calibri"/>
          <w:b/>
        </w:rPr>
        <w:t xml:space="preserve"> k 31. prosinci 2017</w:t>
      </w:r>
      <w:r w:rsidR="00557716">
        <w:rPr>
          <w:rFonts w:cs="Calibri"/>
          <w:b/>
        </w:rPr>
        <w:t xml:space="preserve"> (na výkazy</w:t>
      </w:r>
      <w:r w:rsidR="00772221">
        <w:rPr>
          <w:rFonts w:cs="Calibri"/>
          <w:b/>
        </w:rPr>
        <w:t xml:space="preserve"> </w:t>
      </w:r>
      <w:r w:rsidR="0067592A">
        <w:rPr>
          <w:rFonts w:cs="Calibri"/>
          <w:b/>
        </w:rPr>
        <w:t>p</w:t>
      </w:r>
      <w:r w:rsidR="0048142A">
        <w:rPr>
          <w:rFonts w:cs="Calibri"/>
          <w:b/>
        </w:rPr>
        <w:t>řílo</w:t>
      </w:r>
      <w:r w:rsidR="00557716">
        <w:rPr>
          <w:rFonts w:cs="Calibri"/>
          <w:b/>
        </w:rPr>
        <w:t>ha</w:t>
      </w:r>
      <w:r w:rsidR="00714F53" w:rsidRPr="00714F53">
        <w:rPr>
          <w:rFonts w:cs="Calibri"/>
          <w:b/>
        </w:rPr>
        <w:t xml:space="preserve"> a</w:t>
      </w:r>
      <w:r w:rsidR="0048142A">
        <w:rPr>
          <w:rFonts w:cs="Calibri"/>
          <w:b/>
        </w:rPr>
        <w:t xml:space="preserve"> </w:t>
      </w:r>
      <w:r w:rsidR="0067592A">
        <w:rPr>
          <w:rFonts w:cs="Calibri"/>
          <w:b/>
        </w:rPr>
        <w:t>p</w:t>
      </w:r>
      <w:r w:rsidR="00714F53" w:rsidRPr="00714F53">
        <w:rPr>
          <w:rFonts w:cs="Calibri"/>
          <w:b/>
        </w:rPr>
        <w:t>řehled o změnách vlastního kapitálu</w:t>
      </w:r>
      <w:r w:rsidR="00557716">
        <w:rPr>
          <w:rFonts w:cs="Calibri"/>
          <w:b/>
        </w:rPr>
        <w:t>)</w:t>
      </w:r>
      <w:r w:rsidR="00714F53" w:rsidRPr="00714F53">
        <w:rPr>
          <w:rFonts w:cs="Calibri"/>
          <w:b/>
        </w:rPr>
        <w:t>.</w:t>
      </w:r>
      <w:r w:rsidR="00DA5039">
        <w:rPr>
          <w:rFonts w:cs="Calibri"/>
          <w:b/>
        </w:rPr>
        <w:t xml:space="preserve"> </w:t>
      </w:r>
      <w:r w:rsidR="0067592A" w:rsidRPr="00A076E6">
        <w:rPr>
          <w:rFonts w:cs="Calibri"/>
        </w:rPr>
        <w:t>Blíže</w:t>
      </w:r>
      <w:r w:rsidR="00DA5039">
        <w:rPr>
          <w:rFonts w:cs="Calibri"/>
        </w:rPr>
        <w:t xml:space="preserve"> viz část IV.1.</w:t>
      </w:r>
      <w:r w:rsidR="00B45FE2">
        <w:rPr>
          <w:rFonts w:cs="Calibri"/>
        </w:rPr>
        <w:t xml:space="preserve"> a IV.2.</w:t>
      </w:r>
      <w:r w:rsidR="00DA5039">
        <w:rPr>
          <w:rFonts w:cs="Calibri"/>
        </w:rPr>
        <w:t xml:space="preserve"> tohoto kontrolního závěru.</w:t>
      </w:r>
    </w:p>
    <w:p w14:paraId="4AAFD37B" w14:textId="77777777" w:rsidR="00437C41" w:rsidRPr="00B30899" w:rsidRDefault="00437C41" w:rsidP="00B30899">
      <w:pPr>
        <w:spacing w:after="0"/>
        <w:jc w:val="both"/>
        <w:rPr>
          <w:rFonts w:cs="Calibri"/>
        </w:rPr>
      </w:pPr>
    </w:p>
    <w:p w14:paraId="6867CA41" w14:textId="3ADA91D9" w:rsidR="0033466E" w:rsidRPr="00B30899" w:rsidRDefault="006C650B" w:rsidP="00B30899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2. </w:t>
      </w:r>
      <w:r w:rsidR="0033466E" w:rsidRPr="00B30899">
        <w:rPr>
          <w:rFonts w:ascii="Calibri" w:hAnsi="Calibri" w:cs="Calibri"/>
        </w:rPr>
        <w:t>Spolehlivost údajů účetní závěrky</w:t>
      </w:r>
      <w:r w:rsidR="009A02B1">
        <w:rPr>
          <w:rFonts w:ascii="Calibri" w:hAnsi="Calibri" w:cs="Calibri"/>
        </w:rPr>
        <w:t xml:space="preserve"> MZ</w:t>
      </w:r>
      <w:r w:rsidR="00A31D77">
        <w:rPr>
          <w:rFonts w:ascii="Calibri" w:hAnsi="Calibri" w:cs="Calibri"/>
        </w:rPr>
        <w:t>d</w:t>
      </w:r>
      <w:r w:rsidR="0033466E" w:rsidRPr="00B30899">
        <w:rPr>
          <w:rFonts w:ascii="Calibri" w:hAnsi="Calibri" w:cs="Calibri"/>
        </w:rPr>
        <w:t xml:space="preserve"> sestavené k 31. prosinci 2017</w:t>
      </w:r>
      <w:r w:rsidR="0033466E" w:rsidRPr="00B30899">
        <w:rPr>
          <w:rFonts w:ascii="Calibri" w:hAnsi="Calibri" w:cs="Calibri"/>
          <w:vertAlign w:val="superscript"/>
        </w:rPr>
        <w:footnoteReference w:id="6"/>
      </w:r>
    </w:p>
    <w:p w14:paraId="1C1A1F47" w14:textId="77777777" w:rsidR="00B30899" w:rsidRDefault="00B30899" w:rsidP="00B30899">
      <w:pPr>
        <w:keepNext/>
        <w:spacing w:after="0"/>
        <w:jc w:val="both"/>
        <w:rPr>
          <w:rFonts w:eastAsiaTheme="minorHAnsi" w:cs="Calibri"/>
        </w:rPr>
      </w:pPr>
    </w:p>
    <w:p w14:paraId="70C70EA8" w14:textId="2F4278F0" w:rsidR="009E715B" w:rsidRDefault="0033466E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>Kontrolovány byly činnosti a skutečnosti, které byly předmětem účetnictví M</w:t>
      </w:r>
      <w:r w:rsidR="009A02B1">
        <w:rPr>
          <w:rFonts w:eastAsiaTheme="minorHAnsi" w:cs="Calibri"/>
        </w:rPr>
        <w:t>Z</w:t>
      </w:r>
      <w:r w:rsidR="00A31D77">
        <w:rPr>
          <w:rFonts w:eastAsiaTheme="minorHAnsi" w:cs="Calibri"/>
        </w:rPr>
        <w:t>d</w:t>
      </w:r>
      <w:r w:rsidRPr="00B30899">
        <w:rPr>
          <w:rFonts w:eastAsiaTheme="minorHAnsi" w:cs="Calibri"/>
        </w:rPr>
        <w:t xml:space="preserve"> a měly vliv na hodnoty kontrolovaných významných konečných zůstatků účtů v účetní závěrce </w:t>
      </w:r>
      <w:r w:rsidR="009A02B1">
        <w:rPr>
          <w:rFonts w:eastAsiaTheme="minorHAnsi" w:cs="Calibri"/>
        </w:rPr>
        <w:t>MZ</w:t>
      </w:r>
      <w:r w:rsidR="00A31D77">
        <w:rPr>
          <w:rFonts w:eastAsiaTheme="minorHAnsi" w:cs="Calibri"/>
        </w:rPr>
        <w:t>d</w:t>
      </w:r>
      <w:r w:rsidRPr="00B30899">
        <w:rPr>
          <w:rFonts w:eastAsiaTheme="minorHAnsi" w:cs="Calibri"/>
        </w:rPr>
        <w:t xml:space="preserve"> k 31. prosinci 2017.</w:t>
      </w:r>
    </w:p>
    <w:p w14:paraId="012339D6" w14:textId="77777777"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119C1C16" w14:textId="68156104" w:rsidR="009416E0" w:rsidRDefault="00317CD3" w:rsidP="00B30899">
      <w:pPr>
        <w:spacing w:after="0"/>
        <w:jc w:val="both"/>
        <w:rPr>
          <w:rFonts w:eastAsia="Calibri" w:cs="Calibri"/>
        </w:rPr>
      </w:pPr>
      <w:r w:rsidRPr="00B30899">
        <w:rPr>
          <w:rFonts w:eastAsia="Calibri" w:cs="Calibri"/>
        </w:rPr>
        <w:t>V ÚZ bylo k</w:t>
      </w:r>
      <w:r w:rsidR="0033466E" w:rsidRPr="00B30899">
        <w:rPr>
          <w:rFonts w:eastAsia="Calibri" w:cs="Calibri"/>
        </w:rPr>
        <w:t>ontrolou zjištěno, že některé informace M</w:t>
      </w:r>
      <w:r w:rsidR="009A02B1">
        <w:rPr>
          <w:rFonts w:eastAsia="Calibri" w:cs="Calibri"/>
        </w:rPr>
        <w:t>Z</w:t>
      </w:r>
      <w:r w:rsidR="00A31D77">
        <w:rPr>
          <w:rFonts w:eastAsia="Calibri" w:cs="Calibri"/>
        </w:rPr>
        <w:t>d</w:t>
      </w:r>
      <w:r w:rsidRPr="00B30899">
        <w:rPr>
          <w:rFonts w:eastAsia="Calibri" w:cs="Calibri"/>
        </w:rPr>
        <w:t xml:space="preserve"> nevykázalo</w:t>
      </w:r>
      <w:r w:rsidR="0033466E" w:rsidRPr="00B30899">
        <w:rPr>
          <w:rFonts w:eastAsia="Calibri" w:cs="Calibri"/>
        </w:rPr>
        <w:t xml:space="preserve"> v souladu s právními předpisy upravujícími vedení účetnictví</w:t>
      </w:r>
      <w:r w:rsidR="00C853FE" w:rsidRPr="00B30899">
        <w:rPr>
          <w:rFonts w:eastAsia="Calibri" w:cs="Calibri"/>
        </w:rPr>
        <w:t>,</w:t>
      </w:r>
      <w:r w:rsidRPr="00B30899">
        <w:rPr>
          <w:rFonts w:eastAsia="Calibri" w:cs="Calibri"/>
        </w:rPr>
        <w:t xml:space="preserve"> a to</w:t>
      </w:r>
      <w:r w:rsidR="00C853FE" w:rsidRPr="00B30899">
        <w:rPr>
          <w:rFonts w:eastAsia="Calibri" w:cs="Calibri"/>
        </w:rPr>
        <w:t xml:space="preserve"> </w:t>
      </w:r>
      <w:r w:rsidRPr="00B30899">
        <w:rPr>
          <w:rFonts w:eastAsia="Calibri" w:cs="Calibri"/>
        </w:rPr>
        <w:t>v</w:t>
      </w:r>
      <w:r w:rsidR="0033466E" w:rsidRPr="00B30899">
        <w:rPr>
          <w:rFonts w:eastAsia="Calibri" w:cs="Calibri"/>
        </w:rPr>
        <w:t xml:space="preserve"> údajích za běžné </w:t>
      </w:r>
      <w:r w:rsidR="006C0608" w:rsidRPr="00B30899">
        <w:rPr>
          <w:rFonts w:eastAsia="Calibri" w:cs="Calibri"/>
        </w:rPr>
        <w:t xml:space="preserve">účetní </w:t>
      </w:r>
      <w:r w:rsidR="0033466E" w:rsidRPr="00B30899">
        <w:rPr>
          <w:rFonts w:eastAsia="Calibri" w:cs="Calibri"/>
        </w:rPr>
        <w:t>období v</w:t>
      </w:r>
      <w:r w:rsidR="007F196A" w:rsidRPr="00B30899">
        <w:rPr>
          <w:rFonts w:eastAsia="Calibri" w:cs="Calibri"/>
        </w:rPr>
        <w:t xml:space="preserve"> celkové</w:t>
      </w:r>
      <w:r w:rsidR="0033466E" w:rsidRPr="00B30899">
        <w:rPr>
          <w:rFonts w:eastAsia="Calibri" w:cs="Calibri"/>
        </w:rPr>
        <w:t xml:space="preserve"> výši </w:t>
      </w:r>
      <w:r w:rsidR="00714F53" w:rsidRPr="00714F53">
        <w:rPr>
          <w:rFonts w:eastAsia="Calibri" w:cs="Calibri"/>
          <w:b/>
        </w:rPr>
        <w:t>3 203 mil</w:t>
      </w:r>
      <w:r w:rsidR="006C0608" w:rsidRPr="00714F53">
        <w:rPr>
          <w:rFonts w:eastAsia="Calibri" w:cs="Calibri"/>
          <w:b/>
        </w:rPr>
        <w:t>.</w:t>
      </w:r>
      <w:r w:rsidR="0033466E" w:rsidRPr="00714F53">
        <w:rPr>
          <w:rFonts w:eastAsia="Calibri" w:cs="Calibri"/>
          <w:b/>
        </w:rPr>
        <w:t xml:space="preserve"> </w:t>
      </w:r>
      <w:r w:rsidR="006C650B" w:rsidRPr="00714F53">
        <w:rPr>
          <w:rFonts w:eastAsia="Calibri" w:cs="Calibri"/>
          <w:b/>
        </w:rPr>
        <w:t>Kč</w:t>
      </w:r>
      <w:r w:rsidR="00DA5039">
        <w:rPr>
          <w:rFonts w:eastAsia="Calibri" w:cs="Calibri"/>
          <w:b/>
        </w:rPr>
        <w:t xml:space="preserve"> </w:t>
      </w:r>
      <w:r w:rsidR="00DA5039">
        <w:rPr>
          <w:rFonts w:eastAsia="Calibri" w:cs="Calibri"/>
        </w:rPr>
        <w:t>(</w:t>
      </w:r>
      <w:r w:rsidR="0067592A">
        <w:rPr>
          <w:rFonts w:eastAsia="Calibri" w:cs="Calibri"/>
        </w:rPr>
        <w:t>blíže</w:t>
      </w:r>
      <w:r w:rsidR="00DA5039">
        <w:rPr>
          <w:rFonts w:eastAsia="Calibri" w:cs="Calibri"/>
        </w:rPr>
        <w:t xml:space="preserve"> viz část</w:t>
      </w:r>
      <w:r w:rsidR="0067592A">
        <w:rPr>
          <w:rFonts w:eastAsia="Calibri" w:cs="Calibri"/>
        </w:rPr>
        <w:t>i</w:t>
      </w:r>
      <w:r w:rsidR="00DA5039">
        <w:rPr>
          <w:rFonts w:eastAsia="Calibri" w:cs="Calibri"/>
        </w:rPr>
        <w:t xml:space="preserve"> IV.1.</w:t>
      </w:r>
      <w:r w:rsidR="00B45FE2">
        <w:rPr>
          <w:rFonts w:eastAsia="Calibri" w:cs="Calibri"/>
        </w:rPr>
        <w:t xml:space="preserve"> a IV.2.</w:t>
      </w:r>
      <w:r w:rsidR="00DA5039">
        <w:rPr>
          <w:rFonts w:eastAsia="Calibri" w:cs="Calibri"/>
        </w:rPr>
        <w:t xml:space="preserve"> tohoto kontrolního závěru)</w:t>
      </w:r>
      <w:r w:rsidR="00DA5039" w:rsidRPr="00A076E6">
        <w:rPr>
          <w:rFonts w:eastAsia="Calibri" w:cs="Calibri"/>
        </w:rPr>
        <w:t>.</w:t>
      </w:r>
      <w:r w:rsidR="0033466E" w:rsidRPr="0067592A">
        <w:rPr>
          <w:rFonts w:eastAsia="Calibri" w:cs="Calibri"/>
        </w:rPr>
        <w:t xml:space="preserve"> </w:t>
      </w:r>
    </w:p>
    <w:p w14:paraId="2371D0A6" w14:textId="3D826E69" w:rsidR="00B30899" w:rsidRDefault="009733E8" w:rsidP="00B30899">
      <w:pPr>
        <w:spacing w:after="0"/>
        <w:jc w:val="both"/>
        <w:rPr>
          <w:rFonts w:eastAsia="Calibri" w:cs="Calibri"/>
        </w:rPr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80E2" wp14:editId="3E9F7A56">
                <wp:simplePos x="0" y="0"/>
                <wp:positionH relativeFrom="margin">
                  <wp:posOffset>7620</wp:posOffset>
                </wp:positionH>
                <wp:positionV relativeFrom="paragraph">
                  <wp:posOffset>243205</wp:posOffset>
                </wp:positionV>
                <wp:extent cx="5911850" cy="4810760"/>
                <wp:effectExtent l="0" t="0" r="0" b="889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481076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C8A0D" w14:textId="3322D429" w:rsidR="006C1B1F" w:rsidRPr="00A71B2A" w:rsidRDefault="006C1B1F" w:rsidP="001A20AD">
                            <w:pPr>
                              <w:rPr>
                                <w:rFonts w:cs="Calibri"/>
                                <w:highlight w:val="yellow"/>
                              </w:rPr>
                            </w:pPr>
                            <w:r w:rsidRPr="00FF094C">
                              <w:t>MZ</w:t>
                            </w:r>
                            <w:r>
                              <w:t>d</w:t>
                            </w:r>
                            <w:r w:rsidRPr="00A71B2A">
                              <w:t xml:space="preserve">: </w:t>
                            </w:r>
                          </w:p>
                          <w:p w14:paraId="64291453" w14:textId="02656080" w:rsidR="006C1B1F" w:rsidRPr="00FF094C" w:rsidRDefault="006C1B1F" w:rsidP="001824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/>
                              <w:jc w:val="both"/>
                              <w:rPr>
                                <w:rFonts w:cs="Arial"/>
                              </w:rPr>
                            </w:pPr>
                            <w:r w:rsidRPr="00A71B2A">
                              <w:rPr>
                                <w:rFonts w:cs="Arial"/>
                              </w:rPr>
                              <w:t>v</w:t>
                            </w:r>
                            <w:r w:rsidRPr="00FF094C">
                              <w:rPr>
                                <w:rFonts w:cs="Arial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</w:t>
                            </w:r>
                            <w:r w:rsidRPr="00A71B2A">
                              <w:rPr>
                                <w:rFonts w:cs="Arial"/>
                                <w:b/>
                                <w:bCs/>
                              </w:rPr>
                              <w:t>říloz</w:t>
                            </w:r>
                            <w:r w:rsidRPr="0048109C">
                              <w:rPr>
                                <w:rFonts w:cs="Arial"/>
                                <w:b/>
                                <w:bCs/>
                              </w:rPr>
                              <w:t>e</w:t>
                            </w:r>
                            <w:r w:rsidRPr="00FF094C">
                              <w:rPr>
                                <w:rFonts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6FD9ACF" w14:textId="3BA537AC" w:rsidR="006C1B1F" w:rsidRPr="0048109C" w:rsidRDefault="006C1B1F" w:rsidP="00182474">
                            <w:pPr>
                              <w:numPr>
                                <w:ilvl w:val="0"/>
                                <w:numId w:val="5"/>
                              </w:numPr>
                              <w:ind w:left="851" w:hanging="284"/>
                              <w:jc w:val="both"/>
                              <w:rPr>
                                <w:rFonts w:cs="Arial"/>
                              </w:rPr>
                            </w:pPr>
                            <w:r w:rsidRPr="00FF094C">
                              <w:rPr>
                                <w:rFonts w:cs="Arial"/>
                              </w:rPr>
                              <w:t xml:space="preserve">na účtech 911 – </w:t>
                            </w:r>
                            <w:r w:rsidRPr="00FF094C">
                              <w:rPr>
                                <w:rFonts w:cs="Arial"/>
                                <w:i/>
                              </w:rPr>
                              <w:t>Krátkodobé podmíněné pohledávky z předfinancování transferů</w:t>
                            </w:r>
                            <w:r>
                              <w:rPr>
                                <w:rFonts w:cs="Arial"/>
                              </w:rPr>
                              <w:t xml:space="preserve"> a </w:t>
                            </w:r>
                            <w:r w:rsidRPr="00FF094C">
                              <w:rPr>
                                <w:rFonts w:cs="Arial"/>
                              </w:rPr>
                              <w:t xml:space="preserve">951 – </w:t>
                            </w:r>
                            <w:r w:rsidRPr="00FF094C">
                              <w:rPr>
                                <w:rFonts w:cs="Arial"/>
                                <w:i/>
                              </w:rPr>
                              <w:t>Dlouhodobé podmíněné pohledávky z předfinancování transferů</w:t>
                            </w:r>
                            <w:r w:rsidRPr="00FF094C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 xml:space="preserve">nevykázalo podmíněné </w:t>
                            </w:r>
                            <w:r w:rsidRPr="0048109C">
                              <w:rPr>
                                <w:rFonts w:cs="Arial"/>
                                <w:b/>
                              </w:rPr>
                              <w:t xml:space="preserve">pohledávky 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z titulu předfinancování transferu poskytnutého ČR zejména z rozpočtu EU</w:t>
                            </w:r>
                            <w:r>
                              <w:rPr>
                                <w:rFonts w:cs="Arial"/>
                              </w:rPr>
                              <w:t>, v důsledku čehož byl zůstatek těchto účtů významně podhodnocen</w:t>
                            </w:r>
                            <w:r w:rsidRPr="00C05A8B"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1A28A4D5" w14:textId="5A31F7F1" w:rsidR="006C1B1F" w:rsidRPr="0048109C" w:rsidRDefault="006C1B1F" w:rsidP="00182474">
                            <w:pPr>
                              <w:numPr>
                                <w:ilvl w:val="0"/>
                                <w:numId w:val="5"/>
                              </w:numPr>
                              <w:ind w:left="851" w:hanging="284"/>
                              <w:jc w:val="both"/>
                              <w:rPr>
                                <w:rFonts w:cs="Arial"/>
                              </w:rPr>
                            </w:pPr>
                            <w:r w:rsidRPr="0048109C">
                              <w:rPr>
                                <w:rFonts w:cs="Arial"/>
                              </w:rPr>
                              <w:t xml:space="preserve">na účtu </w:t>
                            </w:r>
                            <w:r w:rsidRPr="00FF094C">
                              <w:rPr>
                                <w:rFonts w:cs="Arial"/>
                              </w:rPr>
                              <w:t>974</w:t>
                            </w:r>
                            <w:r w:rsidRPr="0048109C">
                              <w:rPr>
                                <w:rFonts w:cs="Arial"/>
                              </w:rPr>
                              <w:t xml:space="preserve"> – </w:t>
                            </w:r>
                            <w:r w:rsidRPr="0048109C">
                              <w:rPr>
                                <w:rFonts w:cs="Arial"/>
                                <w:i/>
                              </w:rPr>
                              <w:t>Dlouhodobé podmíněné závazky z jiných smluv</w:t>
                            </w:r>
                            <w:r w:rsidRPr="0048109C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F094C">
                              <w:rPr>
                                <w:rFonts w:cs="Arial"/>
                              </w:rPr>
                              <w:t xml:space="preserve">nesprávně </w:t>
                            </w:r>
                            <w:r w:rsidRPr="0048109C">
                              <w:rPr>
                                <w:rFonts w:cs="Arial"/>
                              </w:rPr>
                              <w:t xml:space="preserve">vykázalo podmíněný závazek vyplývající </w:t>
                            </w:r>
                            <w:r w:rsidRPr="00FF094C">
                              <w:rPr>
                                <w:rFonts w:cs="Arial"/>
                              </w:rPr>
                              <w:t>z titulu uzavřených smluv 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F094C">
                              <w:rPr>
                                <w:rFonts w:cs="Arial"/>
                              </w:rPr>
                              <w:t>poskytnutí účelové podpory na řešení pr</w:t>
                            </w:r>
                            <w:r w:rsidRPr="0048109C">
                              <w:rPr>
                                <w:rFonts w:cs="Arial"/>
                              </w:rPr>
                              <w:t>ojektů podle zákona č. 130/2002 </w:t>
                            </w:r>
                            <w:r w:rsidRPr="00FF094C">
                              <w:rPr>
                                <w:rFonts w:cs="Arial"/>
                              </w:rPr>
                              <w:t>Sb.</w:t>
                            </w:r>
                            <w:r w:rsidRPr="0048109C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820AA5">
                              <w:rPr>
                                <w:rFonts w:cs="Calibri"/>
                              </w:rPr>
                              <w:t>o podpoře výzkumu, experimentálního vývoje a inovací z veřejných prostředků a o změně některých</w:t>
                            </w:r>
                            <w:r w:rsidRPr="0007370C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820AA5">
                              <w:rPr>
                                <w:rFonts w:cs="Calibri"/>
                              </w:rPr>
                              <w:t>souvisejících zákonů</w:t>
                            </w:r>
                            <w:r>
                              <w:rPr>
                                <w:rFonts w:cs="Calibri"/>
                              </w:rPr>
                              <w:t>,</w:t>
                            </w:r>
                            <w:r w:rsidRPr="0048109C">
                              <w:rPr>
                                <w:rFonts w:cs="Arial"/>
                              </w:rPr>
                              <w:t xml:space="preserve"> v důsledku čehož byl </w:t>
                            </w:r>
                            <w:r w:rsidRPr="0048109C">
                              <w:rPr>
                                <w:rFonts w:cs="Arial"/>
                                <w:b/>
                              </w:rPr>
                              <w:t xml:space="preserve">zůstatek tohoto účtu 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nadhodnocen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o 1 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975</w:t>
                            </w:r>
                            <w:r w:rsidRPr="0048109C">
                              <w:rPr>
                                <w:rFonts w:cs="Arial"/>
                                <w:b/>
                              </w:rPr>
                              <w:t xml:space="preserve"> mil. Kč</w:t>
                            </w:r>
                            <w:r w:rsidRPr="0048109C"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24484A9C" w14:textId="3DEDB951" w:rsidR="006C1B1F" w:rsidRPr="00DC416F" w:rsidRDefault="006C1B1F" w:rsidP="00182474">
                            <w:pPr>
                              <w:numPr>
                                <w:ilvl w:val="0"/>
                                <w:numId w:val="4"/>
                              </w:numPr>
                              <w:ind w:left="567" w:hanging="357"/>
                              <w:jc w:val="both"/>
                              <w:rPr>
                                <w:rFonts w:cs="Arial"/>
                              </w:rPr>
                            </w:pPr>
                            <w:r w:rsidRPr="00F532EF">
                              <w:rPr>
                                <w:rFonts w:cs="Arial"/>
                              </w:rPr>
                              <w:t>v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p</w:t>
                            </w:r>
                            <w:r w:rsidRPr="00DC416F">
                              <w:rPr>
                                <w:rFonts w:cs="Arial"/>
                                <w:b/>
                              </w:rPr>
                              <w:t xml:space="preserve">řehledu o 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změnách vlastního kapitálu</w:t>
                            </w:r>
                            <w:r w:rsidRPr="00DC416F">
                              <w:rPr>
                                <w:rFonts w:cs="Arial"/>
                              </w:rPr>
                              <w:t xml:space="preserve"> nesprávně nastavilo algoritmus výpočtu některých položek. </w:t>
                            </w:r>
                            <w:r w:rsidRPr="00FF094C">
                              <w:t xml:space="preserve">Nesprávně nastavený algoritmus na </w:t>
                            </w:r>
                            <w:r>
                              <w:t>položkách</w:t>
                            </w:r>
                            <w:r w:rsidRPr="00FF094C">
                              <w:t xml:space="preserve"> </w:t>
                            </w:r>
                            <w:r w:rsidRPr="004B5BFA">
                              <w:rPr>
                                <w:i/>
                              </w:rPr>
                              <w:t>A.I.1. Bezúplatné převody</w:t>
                            </w:r>
                            <w:r w:rsidRPr="00FF094C">
                              <w:t xml:space="preserve"> a </w:t>
                            </w:r>
                            <w:r w:rsidRPr="004B5BFA">
                              <w:rPr>
                                <w:i/>
                              </w:rPr>
                              <w:t>A.I.4. Investiční transfery</w:t>
                            </w:r>
                            <w:r w:rsidRPr="00FF094C">
                              <w:t xml:space="preserve"> vedl k </w:t>
                            </w:r>
                            <w:r w:rsidRPr="00DC416F">
                              <w:rPr>
                                <w:b/>
                              </w:rPr>
                              <w:t>chybám</w:t>
                            </w:r>
                            <w:r w:rsidRPr="00285CCE">
                              <w:rPr>
                                <w:b/>
                              </w:rPr>
                              <w:t>, které byly vyčísleny v částce</w:t>
                            </w:r>
                            <w:r w:rsidRPr="00FF094C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1 198 </w:t>
                            </w:r>
                            <w:r w:rsidRPr="00FF094C">
                              <w:rPr>
                                <w:b/>
                              </w:rPr>
                              <w:t>mil. Kč</w:t>
                            </w:r>
                            <w:r w:rsidRPr="00FF094C">
                              <w:t xml:space="preserve"> a mají významný dopad na správnost informací uvedených v </w:t>
                            </w:r>
                            <w:r>
                              <w:t>p</w:t>
                            </w:r>
                            <w:r w:rsidRPr="00FF094C">
                              <w:t>řehle</w:t>
                            </w:r>
                            <w:r>
                              <w:t>du o změnách vlastního kapitálu</w:t>
                            </w:r>
                            <w:r w:rsidRPr="00DC416F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76823E79" w14:textId="48AF6583" w:rsidR="006C1B1F" w:rsidRDefault="006C1B1F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</w:pPr>
                            <w:r w:rsidRPr="00DC416F">
                              <w:rPr>
                                <w:rFonts w:cs="Arial"/>
                                <w:b/>
                              </w:rPr>
                              <w:t xml:space="preserve">Podle názoru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Nejvyššího kontrolního úřadu</w:t>
                            </w:r>
                            <w:r w:rsidRPr="00DC416F">
                              <w:rPr>
                                <w:rFonts w:cs="Arial"/>
                                <w:b/>
                              </w:rPr>
                              <w:t>, s výhradou vlivu skutečností po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>psaných výše, účetní závěrka MZ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 xml:space="preserve"> sestavená k 31.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prosinci</w:t>
                            </w:r>
                            <w:r w:rsidRPr="00FF094C">
                              <w:rPr>
                                <w:rFonts w:cs="Arial"/>
                                <w:b/>
                              </w:rPr>
                              <w:t xml:space="preserve"> 2017</w:t>
                            </w:r>
                            <w:r w:rsidRPr="00DC416F">
                              <w:rPr>
                                <w:rFonts w:cs="Arial"/>
                                <w:b/>
                              </w:rPr>
                              <w:t xml:space="preserve"> podává věrný a poctivý obraz předmětu účetnictví a finanční situace účetní jednotky dle účetních předpisů pro některé vybrané účetní jednotky.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80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pt;margin-top:19.15pt;width:465.5pt;height:37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" fillcolor="#e5f1ff" stroked="f" strokeweight=".5pt">
                <v:textbox>
                  <w:txbxContent>
                    <w:p w14:paraId="675C8A0D" w14:textId="3322D429" w:rsidR="006C1B1F" w:rsidRPr="00A71B2A" w:rsidRDefault="006C1B1F" w:rsidP="001A20AD">
                      <w:pPr>
                        <w:rPr>
                          <w:rFonts w:cs="Calibri"/>
                          <w:highlight w:val="yellow"/>
                        </w:rPr>
                      </w:pPr>
                      <w:r w:rsidRPr="00FF094C">
                        <w:t>MZ</w:t>
                      </w:r>
                      <w:r>
                        <w:t>d</w:t>
                      </w:r>
                      <w:r w:rsidRPr="00A71B2A">
                        <w:t xml:space="preserve">: </w:t>
                      </w:r>
                    </w:p>
                    <w:p w14:paraId="64291453" w14:textId="02656080" w:rsidR="006C1B1F" w:rsidRPr="00FF094C" w:rsidRDefault="006C1B1F" w:rsidP="00182474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567"/>
                        <w:jc w:val="both"/>
                        <w:rPr>
                          <w:rFonts w:cs="Arial"/>
                        </w:rPr>
                      </w:pPr>
                      <w:r w:rsidRPr="00A71B2A">
                        <w:rPr>
                          <w:rFonts w:cs="Arial"/>
                        </w:rPr>
                        <w:t>v</w:t>
                      </w:r>
                      <w:r w:rsidRPr="00FF094C">
                        <w:rPr>
                          <w:rFonts w:cs="Arial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</w:rPr>
                        <w:t>p</w:t>
                      </w:r>
                      <w:r w:rsidRPr="00A71B2A">
                        <w:rPr>
                          <w:rFonts w:cs="Arial"/>
                          <w:b/>
                          <w:bCs/>
                        </w:rPr>
                        <w:t>říloz</w:t>
                      </w:r>
                      <w:r w:rsidRPr="0048109C">
                        <w:rPr>
                          <w:rFonts w:cs="Arial"/>
                          <w:b/>
                          <w:bCs/>
                        </w:rPr>
                        <w:t>e</w:t>
                      </w:r>
                      <w:r w:rsidRPr="00FF094C">
                        <w:rPr>
                          <w:rFonts w:cs="Arial"/>
                          <w:b/>
                          <w:bCs/>
                        </w:rPr>
                        <w:t>:</w:t>
                      </w:r>
                    </w:p>
                    <w:p w14:paraId="16FD9ACF" w14:textId="3BA537AC" w:rsidR="006C1B1F" w:rsidRPr="0048109C" w:rsidRDefault="006C1B1F" w:rsidP="00182474">
                      <w:pPr>
                        <w:numPr>
                          <w:ilvl w:val="0"/>
                          <w:numId w:val="5"/>
                        </w:numPr>
                        <w:ind w:left="851" w:hanging="284"/>
                        <w:jc w:val="both"/>
                        <w:rPr>
                          <w:rFonts w:cs="Arial"/>
                        </w:rPr>
                      </w:pPr>
                      <w:r w:rsidRPr="00FF094C">
                        <w:rPr>
                          <w:rFonts w:cs="Arial"/>
                        </w:rPr>
                        <w:t xml:space="preserve">na účtech 911 – </w:t>
                      </w:r>
                      <w:r w:rsidRPr="00FF094C">
                        <w:rPr>
                          <w:rFonts w:cs="Arial"/>
                          <w:i/>
                        </w:rPr>
                        <w:t>Krátkodobé podmíněné pohledávky z předfinancování transferů</w:t>
                      </w:r>
                      <w:r>
                        <w:rPr>
                          <w:rFonts w:cs="Arial"/>
                        </w:rPr>
                        <w:t xml:space="preserve"> a </w:t>
                      </w:r>
                      <w:r w:rsidRPr="00FF094C">
                        <w:rPr>
                          <w:rFonts w:cs="Arial"/>
                        </w:rPr>
                        <w:t xml:space="preserve">951 – </w:t>
                      </w:r>
                      <w:r w:rsidRPr="00FF094C">
                        <w:rPr>
                          <w:rFonts w:cs="Arial"/>
                          <w:i/>
                        </w:rPr>
                        <w:t>Dlouhodobé podmíněné pohledávky z předfinancování transferů</w:t>
                      </w:r>
                      <w:r w:rsidRPr="00FF094C">
                        <w:rPr>
                          <w:rFonts w:cs="Arial"/>
                        </w:rPr>
                        <w:t xml:space="preserve"> </w:t>
                      </w:r>
                      <w:r w:rsidRPr="00FF094C">
                        <w:rPr>
                          <w:rFonts w:cs="Arial"/>
                          <w:b/>
                        </w:rPr>
                        <w:t xml:space="preserve">nevykázalo podmíněné </w:t>
                      </w:r>
                      <w:r w:rsidRPr="0048109C">
                        <w:rPr>
                          <w:rFonts w:cs="Arial"/>
                          <w:b/>
                        </w:rPr>
                        <w:t xml:space="preserve">pohledávky </w:t>
                      </w:r>
                      <w:r w:rsidRPr="00FF094C">
                        <w:rPr>
                          <w:rFonts w:cs="Arial"/>
                          <w:b/>
                        </w:rPr>
                        <w:t>z titulu předfinancování transferu poskytnutého ČR zejména z rozpočtu EU</w:t>
                      </w:r>
                      <w:r>
                        <w:rPr>
                          <w:rFonts w:cs="Arial"/>
                        </w:rPr>
                        <w:t>, v důsledku čehož byl zůstatek těchto účtů významně podhodnocen</w:t>
                      </w:r>
                      <w:r w:rsidRPr="00C05A8B">
                        <w:rPr>
                          <w:rFonts w:cs="Arial"/>
                        </w:rPr>
                        <w:t>;</w:t>
                      </w:r>
                    </w:p>
                    <w:p w14:paraId="1A28A4D5" w14:textId="5A31F7F1" w:rsidR="006C1B1F" w:rsidRPr="0048109C" w:rsidRDefault="006C1B1F" w:rsidP="00182474">
                      <w:pPr>
                        <w:numPr>
                          <w:ilvl w:val="0"/>
                          <w:numId w:val="5"/>
                        </w:numPr>
                        <w:ind w:left="851" w:hanging="284"/>
                        <w:jc w:val="both"/>
                        <w:rPr>
                          <w:rFonts w:cs="Arial"/>
                        </w:rPr>
                      </w:pPr>
                      <w:r w:rsidRPr="0048109C">
                        <w:rPr>
                          <w:rFonts w:cs="Arial"/>
                        </w:rPr>
                        <w:t xml:space="preserve">na účtu </w:t>
                      </w:r>
                      <w:r w:rsidRPr="00FF094C">
                        <w:rPr>
                          <w:rFonts w:cs="Arial"/>
                        </w:rPr>
                        <w:t>974</w:t>
                      </w:r>
                      <w:r w:rsidRPr="0048109C">
                        <w:rPr>
                          <w:rFonts w:cs="Arial"/>
                        </w:rPr>
                        <w:t xml:space="preserve"> – </w:t>
                      </w:r>
                      <w:r w:rsidRPr="0048109C">
                        <w:rPr>
                          <w:rFonts w:cs="Arial"/>
                          <w:i/>
                        </w:rPr>
                        <w:t>Dlouhodobé podmíněné závazky z jiných smluv</w:t>
                      </w:r>
                      <w:r w:rsidRPr="0048109C">
                        <w:rPr>
                          <w:rFonts w:cs="Arial"/>
                        </w:rPr>
                        <w:t xml:space="preserve"> </w:t>
                      </w:r>
                      <w:r w:rsidRPr="00FF094C">
                        <w:rPr>
                          <w:rFonts w:cs="Arial"/>
                        </w:rPr>
                        <w:t xml:space="preserve">nesprávně </w:t>
                      </w:r>
                      <w:r w:rsidRPr="0048109C">
                        <w:rPr>
                          <w:rFonts w:cs="Arial"/>
                        </w:rPr>
                        <w:t xml:space="preserve">vykázalo podmíněný závazek vyplývající </w:t>
                      </w:r>
                      <w:r w:rsidRPr="00FF094C">
                        <w:rPr>
                          <w:rFonts w:cs="Arial"/>
                        </w:rPr>
                        <w:t>z titulu uzavřených smluv 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FF094C">
                        <w:rPr>
                          <w:rFonts w:cs="Arial"/>
                        </w:rPr>
                        <w:t>poskytnutí účelové podpory na řešení pr</w:t>
                      </w:r>
                      <w:r w:rsidRPr="0048109C">
                        <w:rPr>
                          <w:rFonts w:cs="Arial"/>
                        </w:rPr>
                        <w:t>ojektů podle zákona č. 130/2002 </w:t>
                      </w:r>
                      <w:r w:rsidRPr="00FF094C">
                        <w:rPr>
                          <w:rFonts w:cs="Arial"/>
                        </w:rPr>
                        <w:t>Sb.</w:t>
                      </w:r>
                      <w:r w:rsidRPr="0048109C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820AA5">
                        <w:rPr>
                          <w:rFonts w:cs="Calibri"/>
                        </w:rPr>
                        <w:t>o podpoře výzkumu, experimentálního vývoje a inovací z veřejných prostředků a o změně některých</w:t>
                      </w:r>
                      <w:r w:rsidRPr="0007370C">
                        <w:rPr>
                          <w:rFonts w:cs="Calibri"/>
                        </w:rPr>
                        <w:t xml:space="preserve"> </w:t>
                      </w:r>
                      <w:r w:rsidRPr="00820AA5">
                        <w:rPr>
                          <w:rFonts w:cs="Calibri"/>
                        </w:rPr>
                        <w:t>souvisejících zákonů</w:t>
                      </w:r>
                      <w:r>
                        <w:rPr>
                          <w:rFonts w:cs="Calibri"/>
                        </w:rPr>
                        <w:t>,</w:t>
                      </w:r>
                      <w:r w:rsidRPr="0048109C">
                        <w:rPr>
                          <w:rFonts w:cs="Arial"/>
                        </w:rPr>
                        <w:t xml:space="preserve"> v důsledku čehož byl </w:t>
                      </w:r>
                      <w:r w:rsidRPr="0048109C">
                        <w:rPr>
                          <w:rFonts w:cs="Arial"/>
                          <w:b/>
                        </w:rPr>
                        <w:t xml:space="preserve">zůstatek tohoto účtu </w:t>
                      </w:r>
                      <w:r w:rsidRPr="00FF094C">
                        <w:rPr>
                          <w:rFonts w:cs="Arial"/>
                          <w:b/>
                        </w:rPr>
                        <w:t>nadhodnocen</w:t>
                      </w:r>
                      <w:r>
                        <w:rPr>
                          <w:rFonts w:cs="Arial"/>
                          <w:b/>
                        </w:rPr>
                        <w:t xml:space="preserve"> o 1 </w:t>
                      </w:r>
                      <w:r w:rsidRPr="00FF094C">
                        <w:rPr>
                          <w:rFonts w:cs="Arial"/>
                          <w:b/>
                        </w:rPr>
                        <w:t>975</w:t>
                      </w:r>
                      <w:r w:rsidRPr="0048109C">
                        <w:rPr>
                          <w:rFonts w:cs="Arial"/>
                          <w:b/>
                        </w:rPr>
                        <w:t xml:space="preserve"> mil. Kč</w:t>
                      </w:r>
                      <w:r w:rsidRPr="0048109C">
                        <w:rPr>
                          <w:rFonts w:cs="Arial"/>
                        </w:rPr>
                        <w:t>;</w:t>
                      </w:r>
                    </w:p>
                    <w:p w14:paraId="24484A9C" w14:textId="3DEDB951" w:rsidR="006C1B1F" w:rsidRPr="00DC416F" w:rsidRDefault="006C1B1F" w:rsidP="00182474">
                      <w:pPr>
                        <w:numPr>
                          <w:ilvl w:val="0"/>
                          <w:numId w:val="4"/>
                        </w:numPr>
                        <w:ind w:left="567" w:hanging="357"/>
                        <w:jc w:val="both"/>
                        <w:rPr>
                          <w:rFonts w:cs="Arial"/>
                        </w:rPr>
                      </w:pPr>
                      <w:r w:rsidRPr="00F532EF">
                        <w:rPr>
                          <w:rFonts w:cs="Arial"/>
                        </w:rPr>
                        <w:t>v</w:t>
                      </w:r>
                      <w:r w:rsidRPr="00FF094C">
                        <w:rPr>
                          <w:rFonts w:cs="Arial"/>
                          <w:b/>
                        </w:rPr>
                        <w:t> </w:t>
                      </w:r>
                      <w:r>
                        <w:rPr>
                          <w:rFonts w:cs="Arial"/>
                          <w:b/>
                        </w:rPr>
                        <w:t>p</w:t>
                      </w:r>
                      <w:r w:rsidRPr="00DC416F">
                        <w:rPr>
                          <w:rFonts w:cs="Arial"/>
                          <w:b/>
                        </w:rPr>
                        <w:t xml:space="preserve">řehledu o </w:t>
                      </w:r>
                      <w:r w:rsidRPr="00FF094C">
                        <w:rPr>
                          <w:rFonts w:cs="Arial"/>
                          <w:b/>
                        </w:rPr>
                        <w:t>změnách vlastního kapitálu</w:t>
                      </w:r>
                      <w:r w:rsidRPr="00DC416F">
                        <w:rPr>
                          <w:rFonts w:cs="Arial"/>
                        </w:rPr>
                        <w:t xml:space="preserve"> nesprávně nastavilo algoritmus výpočtu některých položek. </w:t>
                      </w:r>
                      <w:r w:rsidRPr="00FF094C">
                        <w:t xml:space="preserve">Nesprávně nastavený algoritmus na </w:t>
                      </w:r>
                      <w:r>
                        <w:t>položkách</w:t>
                      </w:r>
                      <w:r w:rsidRPr="00FF094C">
                        <w:t xml:space="preserve"> </w:t>
                      </w:r>
                      <w:r w:rsidRPr="004B5BFA">
                        <w:rPr>
                          <w:i/>
                        </w:rPr>
                        <w:t>A.I.1. Bezúplatné převody</w:t>
                      </w:r>
                      <w:r w:rsidRPr="00FF094C">
                        <w:t xml:space="preserve"> a </w:t>
                      </w:r>
                      <w:r w:rsidRPr="004B5BFA">
                        <w:rPr>
                          <w:i/>
                        </w:rPr>
                        <w:t>A.I.4. Investiční transfery</w:t>
                      </w:r>
                      <w:r w:rsidRPr="00FF094C">
                        <w:t xml:space="preserve"> vedl k </w:t>
                      </w:r>
                      <w:r w:rsidRPr="00DC416F">
                        <w:rPr>
                          <w:b/>
                        </w:rPr>
                        <w:t>chybám</w:t>
                      </w:r>
                      <w:r w:rsidRPr="00285CCE">
                        <w:rPr>
                          <w:b/>
                        </w:rPr>
                        <w:t>, které byly vyčísleny v částce</w:t>
                      </w:r>
                      <w:r w:rsidRPr="00FF094C">
                        <w:t xml:space="preserve"> </w:t>
                      </w:r>
                      <w:r>
                        <w:rPr>
                          <w:b/>
                        </w:rPr>
                        <w:t>1 198 </w:t>
                      </w:r>
                      <w:r w:rsidRPr="00FF094C">
                        <w:rPr>
                          <w:b/>
                        </w:rPr>
                        <w:t>mil. Kč</w:t>
                      </w:r>
                      <w:r w:rsidRPr="00FF094C">
                        <w:t xml:space="preserve"> a mají významný dopad na správnost informací uvedených v </w:t>
                      </w:r>
                      <w:r>
                        <w:t>p</w:t>
                      </w:r>
                      <w:r w:rsidRPr="00FF094C">
                        <w:t>řehle</w:t>
                      </w:r>
                      <w:r>
                        <w:t>du o změnách vlastního kapitálu</w:t>
                      </w:r>
                      <w:r w:rsidRPr="00DC416F">
                        <w:rPr>
                          <w:rFonts w:cs="Arial"/>
                        </w:rPr>
                        <w:t xml:space="preserve">. </w:t>
                      </w:r>
                    </w:p>
                    <w:p w14:paraId="76823E79" w14:textId="48AF6583" w:rsidR="006C1B1F" w:rsidRDefault="006C1B1F" w:rsidP="00C801D9">
                      <w:pPr>
                        <w:shd w:val="clear" w:color="auto" w:fill="E5F1FF"/>
                        <w:spacing w:before="40" w:after="40"/>
                        <w:jc w:val="both"/>
                      </w:pPr>
                      <w:r w:rsidRPr="00DC416F">
                        <w:rPr>
                          <w:rFonts w:cs="Arial"/>
                          <w:b/>
                        </w:rPr>
                        <w:t xml:space="preserve">Podle názoru </w:t>
                      </w:r>
                      <w:r>
                        <w:rPr>
                          <w:rFonts w:cs="Arial"/>
                          <w:b/>
                        </w:rPr>
                        <w:t>Nejvyššího kontrolního úřadu</w:t>
                      </w:r>
                      <w:r w:rsidRPr="00DC416F">
                        <w:rPr>
                          <w:rFonts w:cs="Arial"/>
                          <w:b/>
                        </w:rPr>
                        <w:t>, s výhradou vlivu skutečností po</w:t>
                      </w:r>
                      <w:r w:rsidRPr="00FF094C">
                        <w:rPr>
                          <w:rFonts w:cs="Arial"/>
                          <w:b/>
                        </w:rPr>
                        <w:t>psaných výše, účetní závěrka MZ</w:t>
                      </w:r>
                      <w:r>
                        <w:rPr>
                          <w:rFonts w:cs="Arial"/>
                          <w:b/>
                        </w:rPr>
                        <w:t>d</w:t>
                      </w:r>
                      <w:r w:rsidRPr="00FF094C">
                        <w:rPr>
                          <w:rFonts w:cs="Arial"/>
                          <w:b/>
                        </w:rPr>
                        <w:t xml:space="preserve"> sestavená k 31. </w:t>
                      </w:r>
                      <w:r>
                        <w:rPr>
                          <w:rFonts w:cs="Arial"/>
                          <w:b/>
                        </w:rPr>
                        <w:t>prosinci</w:t>
                      </w:r>
                      <w:r w:rsidRPr="00FF094C">
                        <w:rPr>
                          <w:rFonts w:cs="Arial"/>
                          <w:b/>
                        </w:rPr>
                        <w:t xml:space="preserve"> 2017</w:t>
                      </w:r>
                      <w:r w:rsidRPr="00DC416F">
                        <w:rPr>
                          <w:rFonts w:cs="Arial"/>
                          <w:b/>
                        </w:rPr>
                        <w:t xml:space="preserve"> podává věrný a poctivý obraz předmětu účetnictví a finanční situace účetní jednotky dle účetních předpisů pro některé vybrané účetní jednotky.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98E60B" w14:textId="32755A11" w:rsidR="00CC2256" w:rsidRDefault="00CC2256" w:rsidP="00B30899">
      <w:pPr>
        <w:spacing w:after="0"/>
        <w:jc w:val="both"/>
        <w:rPr>
          <w:rFonts w:eastAsia="Calibri" w:cs="Calibri"/>
        </w:rPr>
      </w:pPr>
    </w:p>
    <w:p w14:paraId="5B0D031C" w14:textId="3BED9E16" w:rsidR="00CC2256" w:rsidRDefault="00CC2256" w:rsidP="007C420B">
      <w:pPr>
        <w:tabs>
          <w:tab w:val="left" w:pos="6570"/>
        </w:tabs>
        <w:spacing w:after="0"/>
        <w:jc w:val="both"/>
        <w:rPr>
          <w:rFonts w:eastAsia="Calibri" w:cs="Calibri"/>
        </w:rPr>
      </w:pPr>
    </w:p>
    <w:p w14:paraId="18ACA50C" w14:textId="5D2BEF73" w:rsidR="00CC2256" w:rsidRDefault="00CC2256" w:rsidP="00B30899">
      <w:pPr>
        <w:spacing w:after="0"/>
        <w:jc w:val="both"/>
        <w:rPr>
          <w:rFonts w:eastAsia="Calibri" w:cs="Calibri"/>
        </w:rPr>
      </w:pPr>
    </w:p>
    <w:p w14:paraId="2F7A4697" w14:textId="5EFF4C21" w:rsidR="00CC2256" w:rsidRPr="00B30899" w:rsidRDefault="00CC2256" w:rsidP="00B30899">
      <w:pPr>
        <w:spacing w:after="0"/>
        <w:jc w:val="both"/>
        <w:rPr>
          <w:rFonts w:eastAsia="Calibri" w:cs="Calibri"/>
        </w:rPr>
      </w:pPr>
    </w:p>
    <w:p w14:paraId="2CEE441F" w14:textId="2B3618F7" w:rsidR="003319DD" w:rsidRPr="00B30899" w:rsidRDefault="003319DD" w:rsidP="00B30899">
      <w:pPr>
        <w:shd w:val="clear" w:color="auto" w:fill="FFFFFF" w:themeFill="background1"/>
        <w:tabs>
          <w:tab w:val="right" w:pos="9072"/>
        </w:tabs>
        <w:spacing w:after="4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lastRenderedPageBreak/>
        <w:t>Tabulka č. 1</w:t>
      </w:r>
      <w:r w:rsidR="00CB1690" w:rsidRPr="00B30899">
        <w:rPr>
          <w:rFonts w:eastAsiaTheme="minorHAnsi" w:cs="Calibri"/>
          <w:b/>
        </w:rPr>
        <w:t>:</w:t>
      </w:r>
      <w:r w:rsidRPr="00B30899">
        <w:rPr>
          <w:rFonts w:eastAsiaTheme="minorHAnsi" w:cs="Calibri"/>
          <w:b/>
        </w:rPr>
        <w:t xml:space="preserve"> Přehled vyčíslených nesprávností zjiště</w:t>
      </w:r>
      <w:r w:rsidR="00F13BB9">
        <w:rPr>
          <w:rFonts w:eastAsiaTheme="minorHAnsi" w:cs="Calibri"/>
          <w:b/>
        </w:rPr>
        <w:t xml:space="preserve">ných v jednotlivých částech ÚZ </w:t>
      </w:r>
      <w:r w:rsidRPr="00B30899">
        <w:rPr>
          <w:rFonts w:eastAsiaTheme="minorHAnsi" w:cs="Calibri"/>
          <w:b/>
        </w:rPr>
        <w:t>(v </w:t>
      </w:r>
      <w:r w:rsidR="00F13BB9">
        <w:rPr>
          <w:rFonts w:eastAsiaTheme="minorHAnsi" w:cs="Calibri"/>
          <w:b/>
        </w:rPr>
        <w:t>tis. </w:t>
      </w:r>
      <w:r w:rsidRPr="00B30899">
        <w:rPr>
          <w:rFonts w:eastAsiaTheme="minorHAnsi" w:cs="Calibri"/>
          <w:b/>
        </w:rPr>
        <w:t>Kč)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3912"/>
      </w:tblGrid>
      <w:tr w:rsidR="003319DD" w:rsidRPr="007A748F" w14:paraId="71F25C1E" w14:textId="77777777" w:rsidTr="00B30899">
        <w:trPr>
          <w:trHeight w:val="28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821B8" w14:textId="77777777" w:rsidR="003319DD" w:rsidRPr="007A748F" w:rsidRDefault="003319DD" w:rsidP="00B30899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Nesprávnost v účetní závěrce </w:t>
            </w:r>
          </w:p>
        </w:tc>
      </w:tr>
      <w:tr w:rsidR="003319DD" w:rsidRPr="007A748F" w14:paraId="6CC52F43" w14:textId="77777777" w:rsidTr="00B30899">
        <w:trPr>
          <w:trHeight w:val="28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79C4E7A7" w14:textId="77777777" w:rsidR="003319DD" w:rsidRPr="007A748F" w:rsidRDefault="003319DD" w:rsidP="00B30899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Výkaz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1F7DC25" w14:textId="2F91B164" w:rsidR="003319DD" w:rsidRPr="007A748F" w:rsidRDefault="003319DD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</w:t>
            </w:r>
            <w:r w:rsidR="00AB2845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 </w:t>
            </w: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nesprávnost</w:t>
            </w:r>
          </w:p>
        </w:tc>
      </w:tr>
      <w:tr w:rsidR="003319DD" w:rsidRPr="007A748F" w14:paraId="2289D5F4" w14:textId="77777777" w:rsidTr="00714F53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3038A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CELKOVÁ NESPRÁVNOST V ÚČETNÍ ZÁVĚRCE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BBC0B" w14:textId="777E44CB" w:rsidR="003319DD" w:rsidRPr="007A748F" w:rsidRDefault="00F13BB9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3 202 978</w:t>
            </w:r>
          </w:p>
        </w:tc>
      </w:tr>
      <w:tr w:rsidR="003319DD" w:rsidRPr="007A748F" w14:paraId="70BDB227" w14:textId="77777777" w:rsidTr="00714F53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1B0F5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Rozvaha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E6D24" w14:textId="18997D5E" w:rsidR="003319DD" w:rsidRPr="007A748F" w:rsidRDefault="000D1EC1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15</w:t>
            </w:r>
            <w:r w:rsidR="00F13BB9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 xml:space="preserve"> 258</w:t>
            </w:r>
          </w:p>
        </w:tc>
      </w:tr>
      <w:tr w:rsidR="003319DD" w:rsidRPr="007A748F" w14:paraId="570AE4BC" w14:textId="77777777" w:rsidTr="00714F53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86539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Výkaz zisku a ztráty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1AA5" w14:textId="48406A29" w:rsidR="003319DD" w:rsidRPr="007A748F" w:rsidRDefault="000D1EC1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8</w:t>
            </w:r>
            <w:r w:rsidR="00F13BB9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 xml:space="preserve"> 101</w:t>
            </w:r>
          </w:p>
        </w:tc>
      </w:tr>
      <w:tr w:rsidR="00D9059D" w:rsidRPr="007A748F" w14:paraId="1B4A6F17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F45C" w14:textId="77777777" w:rsidR="00D9059D" w:rsidRPr="007A748F" w:rsidRDefault="00D9059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peněžních tocích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C5520" w14:textId="7656F91B" w:rsidR="00D9059D" w:rsidRDefault="000D1EC1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</w:t>
            </w:r>
            <w:r w:rsidR="00F13BB9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 xml:space="preserve"> 694</w:t>
            </w:r>
          </w:p>
        </w:tc>
      </w:tr>
      <w:tr w:rsidR="003319DD" w:rsidRPr="007A748F" w14:paraId="7AC214A8" w14:textId="77777777" w:rsidTr="00714F53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47D41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změnách vlastního kapitálu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5ED6D" w14:textId="3483686C" w:rsidR="003319DD" w:rsidRPr="007A748F" w:rsidRDefault="00F13BB9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1 197 671</w:t>
            </w:r>
          </w:p>
        </w:tc>
      </w:tr>
      <w:tr w:rsidR="003319DD" w:rsidRPr="007A748F" w14:paraId="11E6898D" w14:textId="77777777" w:rsidTr="00714F53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F7BBA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Příloha účetní závěrky (podrozvahové účty)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4A70" w14:textId="408787C9" w:rsidR="003319DD" w:rsidRPr="007A748F" w:rsidRDefault="00F13BB9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</w:t>
            </w:r>
            <w:r w:rsidR="00EB3291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 </w:t>
            </w: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980</w:t>
            </w:r>
            <w:r w:rsidR="00EB3291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 xml:space="preserve"> 254</w:t>
            </w:r>
          </w:p>
        </w:tc>
      </w:tr>
    </w:tbl>
    <w:p w14:paraId="5437AF0D" w14:textId="78F779E5" w:rsidR="003319DD" w:rsidRPr="007A748F" w:rsidRDefault="003319DD" w:rsidP="00653B7A">
      <w:pPr>
        <w:spacing w:after="0"/>
        <w:rPr>
          <w:rFonts w:asciiTheme="minorHAnsi" w:eastAsiaTheme="minorHAnsi" w:hAnsiTheme="minorHAnsi" w:cs="Calibri"/>
          <w:sz w:val="20"/>
          <w:szCs w:val="20"/>
        </w:rPr>
      </w:pPr>
      <w:r w:rsidRPr="007A748F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7A748F">
        <w:rPr>
          <w:rFonts w:asciiTheme="minorHAnsi" w:eastAsiaTheme="minorHAnsi" w:hAnsiTheme="minorHAnsi" w:cs="Calibri"/>
          <w:sz w:val="20"/>
          <w:szCs w:val="20"/>
        </w:rPr>
        <w:t xml:space="preserve"> vlastní</w:t>
      </w:r>
      <w:r w:rsidR="002B5103">
        <w:rPr>
          <w:rFonts w:asciiTheme="minorHAnsi" w:eastAsiaTheme="minorHAnsi" w:hAnsiTheme="minorHAnsi" w:cs="Calibri"/>
          <w:sz w:val="20"/>
          <w:szCs w:val="20"/>
        </w:rPr>
        <w:t xml:space="preserve"> výpočet</w:t>
      </w:r>
      <w:r w:rsidRPr="007A748F">
        <w:rPr>
          <w:rFonts w:asciiTheme="minorHAnsi" w:eastAsiaTheme="minorHAnsi" w:hAnsiTheme="minorHAnsi" w:cs="Calibri"/>
          <w:sz w:val="20"/>
          <w:szCs w:val="20"/>
        </w:rPr>
        <w:t>.</w:t>
      </w:r>
    </w:p>
    <w:p w14:paraId="29D55E09" w14:textId="37B1E9E0" w:rsidR="003319DD" w:rsidRPr="00B30899" w:rsidRDefault="003319DD" w:rsidP="00B30899">
      <w:pPr>
        <w:spacing w:after="0"/>
        <w:jc w:val="both"/>
        <w:rPr>
          <w:rFonts w:eastAsia="Calibri" w:cs="Calibri"/>
        </w:rPr>
      </w:pPr>
    </w:p>
    <w:p w14:paraId="0B1A7132" w14:textId="3AF3F446" w:rsidR="00AC4259" w:rsidRDefault="009E715B" w:rsidP="00B30899">
      <w:pPr>
        <w:spacing w:after="0"/>
        <w:jc w:val="both"/>
        <w:rPr>
          <w:rFonts w:cs="Calibri"/>
          <w:b/>
        </w:rPr>
      </w:pPr>
      <w:r w:rsidRPr="00B30899">
        <w:rPr>
          <w:rFonts w:eastAsiaTheme="minorHAnsi" w:cs="Calibri"/>
        </w:rPr>
        <w:t xml:space="preserve">Pro posouzení spolehlivosti </w:t>
      </w:r>
      <w:r w:rsidR="00317CD3" w:rsidRPr="00B30899">
        <w:rPr>
          <w:rFonts w:eastAsiaTheme="minorHAnsi" w:cs="Calibri"/>
        </w:rPr>
        <w:t xml:space="preserve">informací v </w:t>
      </w:r>
      <w:r w:rsidRPr="00B30899">
        <w:rPr>
          <w:rFonts w:eastAsiaTheme="minorHAnsi" w:cs="Calibri"/>
        </w:rPr>
        <w:t>účetní závěr</w:t>
      </w:r>
      <w:r w:rsidR="00317CD3" w:rsidRPr="00B30899">
        <w:rPr>
          <w:rFonts w:eastAsiaTheme="minorHAnsi" w:cs="Calibri"/>
        </w:rPr>
        <w:t>ce</w:t>
      </w:r>
      <w:r w:rsidRPr="00B30899">
        <w:rPr>
          <w:rFonts w:eastAsiaTheme="minorHAnsi" w:cs="Calibri"/>
        </w:rPr>
        <w:t xml:space="preserve"> byla stanovena významnost neboli materialita</w:t>
      </w:r>
      <w:r w:rsidRPr="00B30899">
        <w:rPr>
          <w:rFonts w:eastAsiaTheme="minorHAnsi" w:cs="Calibri"/>
          <w:vertAlign w:val="superscript"/>
        </w:rPr>
        <w:footnoteReference w:id="7"/>
      </w:r>
      <w:r w:rsidR="000D1EC1">
        <w:rPr>
          <w:rFonts w:eastAsiaTheme="minorHAnsi" w:cs="Calibri"/>
        </w:rPr>
        <w:t xml:space="preserve"> ve výši 9</w:t>
      </w:r>
      <w:r w:rsidRPr="00B30899">
        <w:rPr>
          <w:rFonts w:eastAsiaTheme="minorHAnsi" w:cs="Calibri"/>
        </w:rPr>
        <w:t xml:space="preserve">1 mil. Kč. </w:t>
      </w:r>
      <w:r w:rsidR="00317CD3" w:rsidRPr="00B30899">
        <w:rPr>
          <w:rFonts w:eastAsiaTheme="minorHAnsi" w:cs="Calibri"/>
          <w:b/>
        </w:rPr>
        <w:t>Celková částka</w:t>
      </w:r>
      <w:r w:rsidRPr="00B30899">
        <w:rPr>
          <w:rFonts w:cs="Calibri"/>
          <w:b/>
        </w:rPr>
        <w:t xml:space="preserve"> </w:t>
      </w:r>
      <w:r w:rsidR="00AC4259" w:rsidRPr="00B30899">
        <w:rPr>
          <w:rFonts w:cs="Calibri"/>
          <w:b/>
        </w:rPr>
        <w:t>nesprávností</w:t>
      </w:r>
      <w:r w:rsidR="00AC4259" w:rsidRPr="00DA6A88">
        <w:rPr>
          <w:rFonts w:cs="Calibri"/>
          <w:b/>
        </w:rPr>
        <w:t>,</w:t>
      </w:r>
      <w:r w:rsidR="00AC4259" w:rsidRPr="00B30899">
        <w:rPr>
          <w:rFonts w:cs="Calibri"/>
        </w:rPr>
        <w:t xml:space="preserve"> které byly</w:t>
      </w:r>
      <w:r w:rsidR="007D39CE" w:rsidRPr="00B30899">
        <w:rPr>
          <w:rFonts w:cs="Calibri"/>
        </w:rPr>
        <w:t xml:space="preserve"> </w:t>
      </w:r>
      <w:r w:rsidR="00AC4259" w:rsidRPr="00B30899">
        <w:rPr>
          <w:rFonts w:cs="Calibri"/>
        </w:rPr>
        <w:t>v</w:t>
      </w:r>
      <w:r w:rsidR="00000266">
        <w:rPr>
          <w:rFonts w:cs="Calibri"/>
        </w:rPr>
        <w:t> </w:t>
      </w:r>
      <w:r w:rsidR="00D9059D" w:rsidRPr="00B30899">
        <w:rPr>
          <w:rFonts w:cs="Calibri"/>
        </w:rPr>
        <w:t>této</w:t>
      </w:r>
      <w:r w:rsidR="00000266">
        <w:rPr>
          <w:rFonts w:cs="Calibri"/>
        </w:rPr>
        <w:t xml:space="preserve"> </w:t>
      </w:r>
      <w:r w:rsidR="00AC4259" w:rsidRPr="00B30899">
        <w:rPr>
          <w:rFonts w:cs="Calibri"/>
        </w:rPr>
        <w:t>ÚZ</w:t>
      </w:r>
      <w:r w:rsidR="00FF054A" w:rsidRPr="00B30899">
        <w:rPr>
          <w:rFonts w:cs="Calibri"/>
        </w:rPr>
        <w:t xml:space="preserve"> </w:t>
      </w:r>
      <w:r w:rsidRPr="00B30899">
        <w:rPr>
          <w:rFonts w:cs="Calibri"/>
        </w:rPr>
        <w:t>zjištěny a</w:t>
      </w:r>
      <w:r w:rsidR="009E57D6" w:rsidRPr="00B30899">
        <w:rPr>
          <w:rFonts w:cs="Calibri"/>
        </w:rPr>
        <w:t> </w:t>
      </w:r>
      <w:r w:rsidRPr="00B30899">
        <w:rPr>
          <w:rFonts w:cs="Calibri"/>
        </w:rPr>
        <w:t>vyčísleny</w:t>
      </w:r>
      <w:r w:rsidR="007F196A" w:rsidRPr="00B30899">
        <w:rPr>
          <w:rFonts w:cs="Calibri"/>
        </w:rPr>
        <w:t>,</w:t>
      </w:r>
      <w:r w:rsidRPr="00B30899">
        <w:rPr>
          <w:rFonts w:cs="Calibri"/>
        </w:rPr>
        <w:t xml:space="preserve"> tak</w:t>
      </w:r>
      <w:r w:rsidR="00AC4259" w:rsidRPr="00B30899">
        <w:rPr>
          <w:rFonts w:cs="Calibri"/>
        </w:rPr>
        <w:t xml:space="preserve"> </w:t>
      </w:r>
      <w:r w:rsidR="000D1EC1">
        <w:rPr>
          <w:rFonts w:cs="Calibri"/>
          <w:b/>
        </w:rPr>
        <w:t xml:space="preserve">měla </w:t>
      </w:r>
      <w:r w:rsidR="00EB3291">
        <w:rPr>
          <w:rFonts w:cs="Calibri"/>
          <w:b/>
        </w:rPr>
        <w:t xml:space="preserve">významný dopad na výkazy </w:t>
      </w:r>
      <w:r w:rsidR="006312AF">
        <w:rPr>
          <w:rFonts w:cs="Calibri"/>
          <w:b/>
        </w:rPr>
        <w:t>p</w:t>
      </w:r>
      <w:r w:rsidR="00EB3291">
        <w:rPr>
          <w:rFonts w:cs="Calibri"/>
          <w:b/>
        </w:rPr>
        <w:t>říloha</w:t>
      </w:r>
      <w:r w:rsidR="000D1EC1">
        <w:rPr>
          <w:rFonts w:cs="Calibri"/>
          <w:b/>
        </w:rPr>
        <w:t xml:space="preserve"> a </w:t>
      </w:r>
      <w:r w:rsidR="006312AF">
        <w:rPr>
          <w:rFonts w:cs="Calibri"/>
          <w:b/>
        </w:rPr>
        <w:t>p</w:t>
      </w:r>
      <w:r w:rsidR="000D1EC1">
        <w:rPr>
          <w:rFonts w:cs="Calibri"/>
          <w:b/>
        </w:rPr>
        <w:t>řehled o změnách vlastního kapitálu</w:t>
      </w:r>
      <w:r w:rsidR="00C159BE" w:rsidRPr="00DA6A88">
        <w:rPr>
          <w:rFonts w:cs="Calibri"/>
          <w:b/>
        </w:rPr>
        <w:t>.</w:t>
      </w:r>
    </w:p>
    <w:p w14:paraId="4BE65F9F" w14:textId="77777777" w:rsidR="00286992" w:rsidRDefault="00286992" w:rsidP="00A7770B"/>
    <w:p w14:paraId="6857B955" w14:textId="62827156" w:rsidR="0033466E" w:rsidRPr="00B30899" w:rsidRDefault="006C650B" w:rsidP="00C159B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3. </w:t>
      </w:r>
      <w:r w:rsidR="0033466E" w:rsidRPr="00B30899">
        <w:rPr>
          <w:rFonts w:ascii="Calibri" w:hAnsi="Calibri" w:cs="Calibri"/>
        </w:rPr>
        <w:t>Údaje předkládané</w:t>
      </w:r>
      <w:r w:rsidR="000D1EC1">
        <w:rPr>
          <w:rFonts w:ascii="Calibri" w:hAnsi="Calibri" w:cs="Calibri"/>
        </w:rPr>
        <w:t xml:space="preserve"> </w:t>
      </w:r>
      <w:r w:rsidR="006312AF">
        <w:rPr>
          <w:rFonts w:ascii="Calibri" w:hAnsi="Calibri" w:cs="Calibri"/>
        </w:rPr>
        <w:t>Ministerstvem zdravotnictví</w:t>
      </w:r>
      <w:r w:rsidR="0033466E" w:rsidRPr="00B30899">
        <w:rPr>
          <w:rFonts w:ascii="Calibri" w:hAnsi="Calibri" w:cs="Calibri"/>
        </w:rPr>
        <w:t xml:space="preserve"> pro hodnocení plnění státního rozpočtu</w:t>
      </w:r>
      <w:r w:rsidR="00747FFC" w:rsidRPr="00B30899">
        <w:rPr>
          <w:rFonts w:ascii="Calibri" w:hAnsi="Calibri" w:cs="Calibri"/>
        </w:rPr>
        <w:t xml:space="preserve"> za rok 2017</w:t>
      </w:r>
      <w:r w:rsidR="0033466E" w:rsidRPr="00B30899">
        <w:rPr>
          <w:rFonts w:ascii="Calibri" w:hAnsi="Calibri" w:cs="Calibri"/>
          <w:vertAlign w:val="superscript"/>
        </w:rPr>
        <w:footnoteReference w:id="8"/>
      </w:r>
    </w:p>
    <w:p w14:paraId="3FE31609" w14:textId="77777777" w:rsidR="00C801D9" w:rsidRDefault="00C801D9" w:rsidP="00C159BE">
      <w:pPr>
        <w:pStyle w:val="Textpoznpodarou"/>
        <w:keepNext/>
        <w:jc w:val="both"/>
        <w:rPr>
          <w:rFonts w:ascii="Calibri" w:eastAsiaTheme="minorHAnsi" w:hAnsi="Calibri" w:cs="Calibri"/>
          <w:sz w:val="24"/>
          <w:szCs w:val="24"/>
        </w:rPr>
      </w:pPr>
    </w:p>
    <w:p w14:paraId="086DE246" w14:textId="4DFAE5E0" w:rsidR="007A1349" w:rsidRDefault="001D57E4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eastAsiaTheme="minorHAnsi" w:hAnsi="Calibri" w:cs="Calibri"/>
          <w:sz w:val="24"/>
          <w:szCs w:val="24"/>
        </w:rPr>
        <w:t>Údaje pro hodnocení plnění státního rozpočtu zpracováv</w:t>
      </w:r>
      <w:r w:rsidR="006312AF">
        <w:rPr>
          <w:rFonts w:ascii="Calibri" w:eastAsiaTheme="minorHAnsi" w:hAnsi="Calibri" w:cs="Calibri"/>
          <w:sz w:val="24"/>
          <w:szCs w:val="24"/>
        </w:rPr>
        <w:t>ají</w:t>
      </w:r>
      <w:r w:rsidRPr="00B30899">
        <w:rPr>
          <w:rFonts w:ascii="Calibri" w:eastAsiaTheme="minorHAnsi" w:hAnsi="Calibri" w:cs="Calibri"/>
          <w:sz w:val="24"/>
          <w:szCs w:val="24"/>
        </w:rPr>
        <w:t xml:space="preserve"> správci kapitol státního rozpočtu</w:t>
      </w:r>
      <w:r w:rsidR="000D1EC1">
        <w:rPr>
          <w:rFonts w:ascii="Calibri" w:eastAsiaTheme="minorHAnsi" w:hAnsi="Calibri" w:cs="Calibri"/>
          <w:sz w:val="24"/>
          <w:szCs w:val="24"/>
        </w:rPr>
        <w:t xml:space="preserve"> </w:t>
      </w:r>
      <w:r w:rsidR="006312AF">
        <w:rPr>
          <w:rFonts w:ascii="Calibri" w:eastAsiaTheme="minorHAnsi" w:hAnsi="Calibri" w:cs="Calibri"/>
          <w:sz w:val="24"/>
          <w:szCs w:val="24"/>
        </w:rPr>
        <w:t>(</w:t>
      </w:r>
      <w:r w:rsidR="000D1EC1">
        <w:rPr>
          <w:rFonts w:ascii="Calibri" w:eastAsiaTheme="minorHAnsi" w:hAnsi="Calibri" w:cs="Calibri"/>
          <w:sz w:val="24"/>
          <w:szCs w:val="24"/>
        </w:rPr>
        <w:t>a tedy i MZ</w:t>
      </w:r>
      <w:r w:rsidR="00A31D77">
        <w:rPr>
          <w:rFonts w:ascii="Calibri" w:eastAsiaTheme="minorHAnsi" w:hAnsi="Calibri" w:cs="Calibri"/>
          <w:sz w:val="24"/>
          <w:szCs w:val="24"/>
        </w:rPr>
        <w:t>d</w:t>
      </w:r>
      <w:r w:rsidR="006312AF">
        <w:rPr>
          <w:rFonts w:ascii="Calibri" w:eastAsiaTheme="minorHAnsi" w:hAnsi="Calibri" w:cs="Calibri"/>
          <w:sz w:val="24"/>
          <w:szCs w:val="24"/>
        </w:rPr>
        <w:t>)</w:t>
      </w:r>
      <w:r w:rsidRPr="00B30899">
        <w:rPr>
          <w:rFonts w:ascii="Calibri" w:eastAsiaTheme="minorHAnsi" w:hAnsi="Calibri" w:cs="Calibri"/>
          <w:sz w:val="24"/>
          <w:szCs w:val="24"/>
        </w:rPr>
        <w:t xml:space="preserve"> v rozpočtovém systému. </w:t>
      </w:r>
      <w:r w:rsidRPr="00B30899">
        <w:rPr>
          <w:rFonts w:ascii="Calibri" w:eastAsiaTheme="minorHAnsi" w:hAnsi="Calibri" w:cs="Calibri"/>
          <w:b/>
          <w:sz w:val="24"/>
          <w:szCs w:val="24"/>
        </w:rPr>
        <w:t>Údaje z rozpočtového systému a z nich sestavené finanční výkazy pro hodnocení plnění rozpočtu podávají detailní informace především o</w:t>
      </w:r>
      <w:r w:rsidR="006312AF">
        <w:rPr>
          <w:rFonts w:ascii="Calibri" w:eastAsiaTheme="minorHAnsi" w:hAnsi="Calibri" w:cs="Calibri"/>
          <w:b/>
          <w:sz w:val="24"/>
          <w:szCs w:val="24"/>
        </w:rPr>
        <w:t> </w:t>
      </w:r>
      <w:r w:rsidRPr="00B30899">
        <w:rPr>
          <w:rFonts w:ascii="Calibri" w:eastAsiaTheme="minorHAnsi" w:hAnsi="Calibri" w:cs="Calibri"/>
          <w:b/>
          <w:sz w:val="24"/>
          <w:szCs w:val="24"/>
        </w:rPr>
        <w:t>pohybech peněžních prostředků státního rozpočtu (rozpočtové údaje), tj.</w:t>
      </w:r>
      <w:r w:rsidR="006312AF">
        <w:rPr>
          <w:rFonts w:ascii="Calibri" w:eastAsiaTheme="minorHAnsi" w:hAnsi="Calibri" w:cs="Calibri"/>
          <w:b/>
          <w:sz w:val="24"/>
          <w:szCs w:val="24"/>
        </w:rPr>
        <w:t xml:space="preserve"> </w:t>
      </w:r>
      <w:r w:rsidRPr="00B30899">
        <w:rPr>
          <w:rFonts w:ascii="Calibri" w:eastAsiaTheme="minorHAnsi" w:hAnsi="Calibri" w:cs="Calibri"/>
          <w:b/>
          <w:sz w:val="24"/>
          <w:szCs w:val="24"/>
        </w:rPr>
        <w:t>o</w:t>
      </w:r>
      <w:r w:rsidR="006312AF">
        <w:rPr>
          <w:rFonts w:ascii="Calibri" w:eastAsiaTheme="minorHAnsi" w:hAnsi="Calibri" w:cs="Calibri"/>
          <w:b/>
          <w:sz w:val="24"/>
          <w:szCs w:val="24"/>
        </w:rPr>
        <w:t xml:space="preserve"> </w:t>
      </w:r>
      <w:r w:rsidRPr="00B30899">
        <w:rPr>
          <w:rFonts w:ascii="Calibri" w:eastAsiaTheme="minorHAnsi" w:hAnsi="Calibri" w:cs="Calibri"/>
          <w:b/>
          <w:sz w:val="24"/>
          <w:szCs w:val="24"/>
        </w:rPr>
        <w:t>inkasech (příjmech) a výdajích realizovaných na bankovních</w:t>
      </w:r>
      <w:r w:rsidR="007A1349" w:rsidRPr="00B30899">
        <w:rPr>
          <w:rFonts w:ascii="Calibri" w:eastAsiaTheme="minorHAnsi" w:hAnsi="Calibri" w:cs="Calibri"/>
          <w:b/>
          <w:sz w:val="24"/>
          <w:szCs w:val="24"/>
        </w:rPr>
        <w:t xml:space="preserve"> účtech státního rozpočtu</w:t>
      </w:r>
      <w:r w:rsidR="006312AF">
        <w:rPr>
          <w:rFonts w:ascii="Calibri" w:eastAsiaTheme="minorHAnsi" w:hAnsi="Calibri" w:cs="Calibri"/>
          <w:b/>
          <w:sz w:val="24"/>
          <w:szCs w:val="24"/>
        </w:rPr>
        <w:t>.</w:t>
      </w:r>
      <w:r w:rsidR="007A1349" w:rsidRPr="00B30899">
        <w:rPr>
          <w:rFonts w:ascii="Calibri" w:hAnsi="Calibri" w:cs="Calibri"/>
          <w:b/>
          <w:sz w:val="24"/>
          <w:szCs w:val="24"/>
          <w:vertAlign w:val="superscript"/>
        </w:rPr>
        <w:footnoteReference w:id="9"/>
      </w:r>
      <w:r w:rsidR="007A1349" w:rsidRPr="00B30899">
        <w:rPr>
          <w:rFonts w:ascii="Calibri" w:eastAsiaTheme="minorHAnsi" w:hAnsi="Calibri" w:cs="Calibri"/>
          <w:sz w:val="24"/>
          <w:szCs w:val="24"/>
        </w:rPr>
        <w:t xml:space="preserve"> Základním přínosem těchto údajů je, že umožňují sledovat plán neboli rozpočet očekávaných příjmů a</w:t>
      </w:r>
      <w:r w:rsidR="006312AF">
        <w:rPr>
          <w:rFonts w:ascii="Calibri" w:eastAsiaTheme="minorHAnsi" w:hAnsi="Calibri" w:cs="Calibri"/>
          <w:sz w:val="24"/>
          <w:szCs w:val="24"/>
        </w:rPr>
        <w:t> </w:t>
      </w:r>
      <w:r w:rsidR="007A1349" w:rsidRPr="00B30899">
        <w:rPr>
          <w:rFonts w:ascii="Calibri" w:eastAsiaTheme="minorHAnsi" w:hAnsi="Calibri" w:cs="Calibri"/>
          <w:sz w:val="24"/>
          <w:szCs w:val="24"/>
        </w:rPr>
        <w:t>odhadovaných výdajů i jeho skutečné plnění, tj. skutečná inkasa a výdaje prostředků.</w:t>
      </w:r>
    </w:p>
    <w:p w14:paraId="421E64E2" w14:textId="77777777" w:rsidR="00C801D9" w:rsidRPr="00B30899" w:rsidRDefault="00C801D9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</w:p>
    <w:p w14:paraId="7A8E5C96" w14:textId="074ABB65" w:rsidR="007A1349" w:rsidRPr="00B30899" w:rsidRDefault="00C801D9" w:rsidP="00A7770B">
      <w:pPr>
        <w:pStyle w:val="Textpoznpodarou"/>
        <w:spacing w:after="120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EB7F" wp14:editId="5FEC2FDB">
                <wp:simplePos x="0" y="0"/>
                <wp:positionH relativeFrom="margin">
                  <wp:align>left</wp:align>
                </wp:positionH>
                <wp:positionV relativeFrom="paragraph">
                  <wp:posOffset>526415</wp:posOffset>
                </wp:positionV>
                <wp:extent cx="5873750" cy="723900"/>
                <wp:effectExtent l="0" t="0" r="0" b="0"/>
                <wp:wrapTopAndBottom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72390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5199B" w14:textId="0CC9BFB3" w:rsidR="006C1B1F" w:rsidRPr="003E177A" w:rsidRDefault="006C1B1F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Nesprávnosti zjištěné kontrolou v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 xml:space="preserve"> údajích předložených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Ministerstvem zdravotnictví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 xml:space="preserve"> pro hodnocení plnění státního rozpočtu za rok 2017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nebyly s ohledem na celkové vykázané výdaje a příjmy významné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EB7F" id="Textové pole 5" o:spid="_x0000_s1027" type="#_x0000_t202" style="position:absolute;left:0;text-align:left;margin-left:0;margin-top:41.45pt;width:462.5pt;height:5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" fillcolor="#e5f1ff" stroked="f" strokeweight=".5pt">
                <v:textbox>
                  <w:txbxContent>
                    <w:p w14:paraId="2755199B" w14:textId="0CC9BFB3" w:rsidR="006C1B1F" w:rsidRPr="003E177A" w:rsidRDefault="006C1B1F" w:rsidP="00C801D9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Nesprávnosti zjištěné kontrolou v</w:t>
                      </w:r>
                      <w:r w:rsidRPr="003E177A">
                        <w:rPr>
                          <w:rFonts w:cs="Arial"/>
                          <w:b/>
                        </w:rPr>
                        <w:t xml:space="preserve"> údajích předložených </w:t>
                      </w:r>
                      <w:r>
                        <w:rPr>
                          <w:rFonts w:cs="Arial"/>
                          <w:b/>
                        </w:rPr>
                        <w:t>Ministerstvem zdravotnictví</w:t>
                      </w:r>
                      <w:r w:rsidRPr="003E177A">
                        <w:rPr>
                          <w:rFonts w:cs="Arial"/>
                          <w:b/>
                        </w:rPr>
                        <w:t xml:space="preserve"> pro hodnocení plnění státního rozpočtu za rok 2017</w:t>
                      </w:r>
                      <w:r>
                        <w:rPr>
                          <w:rFonts w:cs="Arial"/>
                          <w:b/>
                        </w:rPr>
                        <w:t xml:space="preserve"> nebyly s ohledem na celkové vykázané výdaje a příjmy významné</w:t>
                      </w:r>
                      <w:r w:rsidRPr="003E177A"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1EC1">
        <w:rPr>
          <w:rFonts w:ascii="Calibri" w:eastAsiaTheme="minorHAnsi" w:hAnsi="Calibri" w:cs="Calibri"/>
          <w:sz w:val="24"/>
          <w:szCs w:val="24"/>
        </w:rPr>
        <w:t>MZ</w:t>
      </w:r>
      <w:r w:rsidR="00A31D77">
        <w:rPr>
          <w:rFonts w:ascii="Calibri" w:eastAsiaTheme="minorHAnsi" w:hAnsi="Calibri" w:cs="Calibri"/>
          <w:sz w:val="24"/>
          <w:szCs w:val="24"/>
        </w:rPr>
        <w:t>d</w:t>
      </w:r>
      <w:r w:rsidR="004D1174" w:rsidRPr="00B30899">
        <w:rPr>
          <w:rFonts w:ascii="Calibri" w:eastAsiaTheme="minorHAnsi" w:hAnsi="Calibri" w:cs="Calibri"/>
          <w:sz w:val="24"/>
          <w:szCs w:val="24"/>
        </w:rPr>
        <w:t xml:space="preserve"> jako s</w:t>
      </w:r>
      <w:r w:rsidR="007A1349" w:rsidRPr="00B30899">
        <w:rPr>
          <w:rFonts w:ascii="Calibri" w:eastAsiaTheme="minorHAnsi" w:hAnsi="Calibri" w:cs="Calibri"/>
          <w:sz w:val="24"/>
          <w:szCs w:val="24"/>
        </w:rPr>
        <w:t xml:space="preserve">právce </w:t>
      </w:r>
      <w:r w:rsidR="004D1174" w:rsidRPr="00B30899">
        <w:rPr>
          <w:rFonts w:ascii="Calibri" w:eastAsiaTheme="minorHAnsi" w:hAnsi="Calibri" w:cs="Calibri"/>
          <w:sz w:val="24"/>
          <w:szCs w:val="24"/>
        </w:rPr>
        <w:t xml:space="preserve">své </w:t>
      </w:r>
      <w:r w:rsidR="007A1349" w:rsidRPr="00B30899">
        <w:rPr>
          <w:rFonts w:ascii="Calibri" w:eastAsiaTheme="minorHAnsi" w:hAnsi="Calibri" w:cs="Calibri"/>
          <w:sz w:val="24"/>
          <w:szCs w:val="24"/>
        </w:rPr>
        <w:t>kapitoly státního rozpočtu zodpovídá za to, že údaje za kapitolu jsou v tomto systému správné</w:t>
      </w:r>
      <w:r w:rsidR="007A1349" w:rsidRPr="00B30899">
        <w:rPr>
          <w:rFonts w:ascii="Calibri" w:hAnsi="Calibri" w:cs="Calibri"/>
          <w:sz w:val="24"/>
          <w:szCs w:val="24"/>
          <w:vertAlign w:val="superscript"/>
        </w:rPr>
        <w:footnoteReference w:id="10"/>
      </w:r>
      <w:r w:rsidR="007A1349" w:rsidRPr="00B30899">
        <w:rPr>
          <w:rFonts w:ascii="Calibri" w:eastAsiaTheme="minorHAnsi" w:hAnsi="Calibri" w:cs="Calibri"/>
          <w:sz w:val="24"/>
          <w:szCs w:val="24"/>
        </w:rPr>
        <w:t>.</w:t>
      </w:r>
    </w:p>
    <w:p w14:paraId="5E425C34" w14:textId="77777777" w:rsidR="00C159BE" w:rsidRDefault="00C159BE" w:rsidP="00C159BE">
      <w:pPr>
        <w:spacing w:after="0"/>
        <w:jc w:val="both"/>
        <w:rPr>
          <w:rFonts w:cs="Calibri"/>
        </w:rPr>
      </w:pPr>
    </w:p>
    <w:p w14:paraId="0D11A1BB" w14:textId="4FE5FC06" w:rsidR="003E177A" w:rsidRPr="00B30899" w:rsidRDefault="00D9059D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eastAsiaTheme="minorHAnsi" w:hAnsi="Calibri" w:cs="Calibri"/>
          <w:b/>
          <w:sz w:val="24"/>
          <w:szCs w:val="24"/>
        </w:rPr>
        <w:t>V</w:t>
      </w:r>
      <w:r w:rsidR="000D1EC1">
        <w:rPr>
          <w:rFonts w:ascii="Calibri" w:eastAsiaTheme="minorHAnsi" w:hAnsi="Calibri" w:cs="Calibri"/>
          <w:b/>
          <w:sz w:val="24"/>
          <w:szCs w:val="24"/>
        </w:rPr>
        <w:t xml:space="preserve"> případě údajů </w:t>
      </w:r>
      <w:r w:rsidR="006312AF">
        <w:rPr>
          <w:rFonts w:ascii="Calibri" w:eastAsiaTheme="minorHAnsi" w:hAnsi="Calibri" w:cs="Calibri"/>
          <w:b/>
          <w:sz w:val="24"/>
          <w:szCs w:val="24"/>
        </w:rPr>
        <w:t>v</w:t>
      </w:r>
      <w:r w:rsidR="000D1EC1">
        <w:rPr>
          <w:rFonts w:ascii="Calibri" w:eastAsiaTheme="minorHAnsi" w:hAnsi="Calibri" w:cs="Calibri"/>
          <w:b/>
          <w:sz w:val="24"/>
          <w:szCs w:val="24"/>
        </w:rPr>
        <w:t xml:space="preserve">ložených </w:t>
      </w:r>
      <w:r w:rsidR="006312AF">
        <w:rPr>
          <w:rFonts w:ascii="Calibri" w:eastAsiaTheme="minorHAnsi" w:hAnsi="Calibri" w:cs="Calibri"/>
          <w:b/>
          <w:sz w:val="24"/>
          <w:szCs w:val="24"/>
        </w:rPr>
        <w:t>Ministerstvem zdravotnictví</w:t>
      </w:r>
      <w:r w:rsidR="00646D22" w:rsidRPr="00B30899">
        <w:rPr>
          <w:rFonts w:ascii="Calibri" w:eastAsiaTheme="minorHAnsi" w:hAnsi="Calibri" w:cs="Calibri"/>
          <w:b/>
          <w:sz w:val="24"/>
          <w:szCs w:val="24"/>
        </w:rPr>
        <w:t xml:space="preserve"> do rozpočtového systému byly zjištěny nesprávnosti </w:t>
      </w:r>
      <w:r w:rsidR="000D1EC1">
        <w:rPr>
          <w:rFonts w:ascii="Calibri" w:eastAsiaTheme="minorHAnsi" w:hAnsi="Calibri" w:cs="Calibri"/>
          <w:b/>
          <w:sz w:val="24"/>
          <w:szCs w:val="24"/>
        </w:rPr>
        <w:t>v celkové výši 53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 mil. Kč</w:t>
      </w:r>
      <w:r w:rsidR="00C84949" w:rsidRPr="00B30899">
        <w:rPr>
          <w:rFonts w:ascii="Calibri" w:eastAsiaTheme="minorHAnsi" w:hAnsi="Calibri" w:cs="Calibri"/>
          <w:sz w:val="24"/>
          <w:szCs w:val="24"/>
        </w:rPr>
        <w:t xml:space="preserve"> </w:t>
      </w:r>
      <w:r w:rsidR="00747FFC" w:rsidRPr="00B30899">
        <w:rPr>
          <w:rFonts w:ascii="Calibri" w:eastAsiaTheme="minorHAnsi" w:hAnsi="Calibri" w:cs="Calibri"/>
          <w:sz w:val="24"/>
          <w:szCs w:val="24"/>
        </w:rPr>
        <w:t>(</w:t>
      </w:r>
      <w:r w:rsidR="00747FFC" w:rsidRPr="009348E8">
        <w:rPr>
          <w:rFonts w:ascii="Calibri" w:eastAsiaTheme="minorHAnsi" w:hAnsi="Calibri" w:cs="Calibri"/>
          <w:sz w:val="24"/>
          <w:szCs w:val="24"/>
        </w:rPr>
        <w:t>viz část IV</w:t>
      </w:r>
      <w:r w:rsidR="0033466E" w:rsidRPr="009348E8">
        <w:rPr>
          <w:rFonts w:ascii="Calibri" w:eastAsiaTheme="minorHAnsi" w:hAnsi="Calibri" w:cs="Calibri"/>
          <w:sz w:val="24"/>
          <w:szCs w:val="24"/>
        </w:rPr>
        <w:t>.</w:t>
      </w:r>
      <w:r w:rsidR="00B45FE2">
        <w:rPr>
          <w:rFonts w:ascii="Calibri" w:eastAsiaTheme="minorHAnsi" w:hAnsi="Calibri" w:cs="Calibri"/>
          <w:sz w:val="24"/>
          <w:szCs w:val="24"/>
        </w:rPr>
        <w:t>3</w:t>
      </w:r>
      <w:r w:rsidR="00747FFC" w:rsidRPr="009348E8">
        <w:rPr>
          <w:rFonts w:ascii="Calibri" w:eastAsiaTheme="minorHAnsi" w:hAnsi="Calibri" w:cs="Calibri"/>
          <w:sz w:val="24"/>
          <w:szCs w:val="24"/>
        </w:rPr>
        <w:t>.</w:t>
      </w:r>
      <w:r w:rsidR="0033466E" w:rsidRPr="00B30899">
        <w:rPr>
          <w:rFonts w:ascii="Calibri" w:eastAsiaTheme="minorHAnsi" w:hAnsi="Calibri" w:cs="Calibri"/>
          <w:sz w:val="24"/>
          <w:szCs w:val="24"/>
        </w:rPr>
        <w:t xml:space="preserve"> tohoto kontrolního závěru).</w:t>
      </w:r>
    </w:p>
    <w:p w14:paraId="78762CF7" w14:textId="77777777" w:rsidR="003E177A" w:rsidRPr="00B30899" w:rsidRDefault="003E177A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</w:p>
    <w:p w14:paraId="4A35EEB5" w14:textId="501320D2" w:rsidR="00A50B68" w:rsidRPr="00B30899" w:rsidRDefault="006C650B" w:rsidP="00C159B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lastRenderedPageBreak/>
        <w:t xml:space="preserve">4. </w:t>
      </w:r>
      <w:r w:rsidR="00A50B68" w:rsidRPr="00B30899">
        <w:rPr>
          <w:rFonts w:ascii="Calibri" w:hAnsi="Calibri" w:cs="Calibri"/>
        </w:rPr>
        <w:t xml:space="preserve">Vyhodnocení opatření </w:t>
      </w:r>
      <w:r w:rsidR="00261A10" w:rsidRPr="00B30899">
        <w:rPr>
          <w:rFonts w:ascii="Calibri" w:hAnsi="Calibri" w:cs="Calibri"/>
        </w:rPr>
        <w:t xml:space="preserve">přijatých </w:t>
      </w:r>
      <w:r w:rsidR="00A50B68" w:rsidRPr="00B30899">
        <w:rPr>
          <w:rFonts w:ascii="Calibri" w:hAnsi="Calibri" w:cs="Calibri"/>
        </w:rPr>
        <w:t>k odstranění nedostatků z kontrolní akc</w:t>
      </w:r>
      <w:r w:rsidR="00261A10" w:rsidRPr="00B30899">
        <w:rPr>
          <w:rFonts w:ascii="Calibri" w:hAnsi="Calibri" w:cs="Calibri"/>
        </w:rPr>
        <w:t>e</w:t>
      </w:r>
      <w:r w:rsidR="00A50B68" w:rsidRPr="00B30899">
        <w:rPr>
          <w:rFonts w:ascii="Calibri" w:hAnsi="Calibri" w:cs="Calibri"/>
        </w:rPr>
        <w:t xml:space="preserve"> č. </w:t>
      </w:r>
      <w:r w:rsidR="000D1EC1">
        <w:rPr>
          <w:rFonts w:ascii="Calibri" w:hAnsi="Calibri" w:cs="Calibri"/>
        </w:rPr>
        <w:t>15/07</w:t>
      </w:r>
    </w:p>
    <w:p w14:paraId="248E792B" w14:textId="77777777" w:rsidR="00C801D9" w:rsidRDefault="00C801D9" w:rsidP="00C159BE">
      <w:pPr>
        <w:keepNext/>
        <w:spacing w:after="0"/>
        <w:jc w:val="both"/>
        <w:rPr>
          <w:rFonts w:cs="Calibri"/>
        </w:rPr>
      </w:pPr>
    </w:p>
    <w:p w14:paraId="63E47BB7" w14:textId="11E31897" w:rsidR="000D1EC1" w:rsidRDefault="00C801D9" w:rsidP="003F4E76">
      <w:pPr>
        <w:spacing w:after="0"/>
        <w:jc w:val="both"/>
        <w:rPr>
          <w:rFonts w:cs="Calibri"/>
        </w:rPr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39CF" wp14:editId="720ED6B3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5873750" cy="933450"/>
                <wp:effectExtent l="0" t="0" r="0" b="0"/>
                <wp:wrapTopAndBottom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9334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FCE0A" w14:textId="2282AF05" w:rsidR="006C1B1F" w:rsidRPr="00D92085" w:rsidRDefault="006C1B1F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F74C0E">
                              <w:rPr>
                                <w:b/>
                                <w:lang w:eastAsia="cs-CZ"/>
                              </w:rPr>
                              <w:t>Opatření přijatá MZ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d</w:t>
                            </w:r>
                            <w:r w:rsidRPr="00F74C0E">
                              <w:rPr>
                                <w:b/>
                                <w:lang w:eastAsia="cs-CZ"/>
                              </w:rPr>
                              <w:t xml:space="preserve"> k nápravě nedostatků zjištěných předchozí 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kontrolní akcí</w:t>
                            </w:r>
                            <w:r w:rsidRPr="00F74C0E">
                              <w:rPr>
                                <w:b/>
                                <w:lang w:eastAsia="cs-CZ"/>
                              </w:rPr>
                              <w:t xml:space="preserve"> hodnotí NKÚ jako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Pr="00F74C0E">
                              <w:rPr>
                                <w:b/>
                                <w:lang w:eastAsia="cs-CZ"/>
                              </w:rPr>
                              <w:t>dostatečná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, neboť p</w:t>
                            </w:r>
                            <w:r w:rsidRPr="00510195">
                              <w:rPr>
                                <w:b/>
                                <w:lang w:eastAsia="cs-CZ"/>
                              </w:rPr>
                              <w:t xml:space="preserve">řetrvávaly pouze nedostatky 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v závěrečném účtu, kdy ani za rok </w:t>
                            </w:r>
                            <w:r w:rsidRPr="00510195">
                              <w:rPr>
                                <w:b/>
                                <w:lang w:eastAsia="cs-CZ"/>
                              </w:rPr>
                              <w:t>2017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Pr="00510195">
                              <w:rPr>
                                <w:b/>
                                <w:lang w:eastAsia="cs-CZ"/>
                              </w:rPr>
                              <w:t>nebyly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uvedeny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vešker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é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kontrol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y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proveden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é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u MZd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v hodnoceném roce a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nebyly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uveden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y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informace o plnění opatření přijatých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k odstranění</w:t>
                            </w:r>
                            <w:r w:rsidRPr="00D92085">
                              <w:rPr>
                                <w:b/>
                                <w:lang w:eastAsia="cs-CZ"/>
                              </w:rPr>
                              <w:t xml:space="preserve"> zjištěných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 xml:space="preserve"> závad.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39CF" id="Textové pole 6" o:spid="_x0000_s1028" type="#_x0000_t202" style="position:absolute;left:0;text-align:left;margin-left:0;margin-top:68.6pt;width:462.5pt;height:73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" fillcolor="#e5f1ff" stroked="f" strokeweight=".5pt">
                <v:textbox>
                  <w:txbxContent>
                    <w:p w14:paraId="2DEFCE0A" w14:textId="2282AF05" w:rsidR="006C1B1F" w:rsidRPr="00D92085" w:rsidRDefault="006C1B1F" w:rsidP="00C801D9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 w:rsidRPr="00F74C0E">
                        <w:rPr>
                          <w:b/>
                          <w:lang w:eastAsia="cs-CZ"/>
                        </w:rPr>
                        <w:t>Opatření přijatá MZ</w:t>
                      </w:r>
                      <w:r>
                        <w:rPr>
                          <w:b/>
                          <w:lang w:eastAsia="cs-CZ"/>
                        </w:rPr>
                        <w:t>d</w:t>
                      </w:r>
                      <w:r w:rsidRPr="00F74C0E">
                        <w:rPr>
                          <w:b/>
                          <w:lang w:eastAsia="cs-CZ"/>
                        </w:rPr>
                        <w:t xml:space="preserve"> k nápravě nedostatků zjištěných předchozí </w:t>
                      </w:r>
                      <w:r>
                        <w:rPr>
                          <w:b/>
                          <w:lang w:eastAsia="cs-CZ"/>
                        </w:rPr>
                        <w:t>kontrolní akcí</w:t>
                      </w:r>
                      <w:r w:rsidRPr="00F74C0E">
                        <w:rPr>
                          <w:b/>
                          <w:lang w:eastAsia="cs-CZ"/>
                        </w:rPr>
                        <w:t xml:space="preserve"> hodnotí NKÚ jako</w:t>
                      </w:r>
                      <w:r>
                        <w:rPr>
                          <w:b/>
                          <w:lang w:eastAsia="cs-CZ"/>
                        </w:rPr>
                        <w:t xml:space="preserve"> </w:t>
                      </w:r>
                      <w:r w:rsidRPr="00F74C0E">
                        <w:rPr>
                          <w:b/>
                          <w:lang w:eastAsia="cs-CZ"/>
                        </w:rPr>
                        <w:t>dostatečná</w:t>
                      </w:r>
                      <w:r>
                        <w:rPr>
                          <w:b/>
                          <w:lang w:eastAsia="cs-CZ"/>
                        </w:rPr>
                        <w:t>, neboť p</w:t>
                      </w:r>
                      <w:r w:rsidRPr="00510195">
                        <w:rPr>
                          <w:b/>
                          <w:lang w:eastAsia="cs-CZ"/>
                        </w:rPr>
                        <w:t xml:space="preserve">řetrvávaly pouze nedostatky </w:t>
                      </w:r>
                      <w:r>
                        <w:rPr>
                          <w:b/>
                          <w:lang w:eastAsia="cs-CZ"/>
                        </w:rPr>
                        <w:t xml:space="preserve">v závěrečném účtu, kdy ani za rok </w:t>
                      </w:r>
                      <w:r w:rsidRPr="00510195">
                        <w:rPr>
                          <w:b/>
                          <w:lang w:eastAsia="cs-CZ"/>
                        </w:rPr>
                        <w:t>2017</w:t>
                      </w:r>
                      <w:r>
                        <w:rPr>
                          <w:b/>
                          <w:lang w:eastAsia="cs-CZ"/>
                        </w:rPr>
                        <w:t xml:space="preserve"> </w:t>
                      </w:r>
                      <w:r w:rsidRPr="00510195">
                        <w:rPr>
                          <w:b/>
                          <w:lang w:eastAsia="cs-CZ"/>
                        </w:rPr>
                        <w:t>nebyly</w:t>
                      </w:r>
                      <w:r>
                        <w:rPr>
                          <w:b/>
                          <w:lang w:eastAsia="cs-CZ"/>
                        </w:rPr>
                        <w:t xml:space="preserve"> uvedeny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vešker</w:t>
                      </w:r>
                      <w:r>
                        <w:rPr>
                          <w:b/>
                          <w:lang w:eastAsia="cs-CZ"/>
                        </w:rPr>
                        <w:t>é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kontrol</w:t>
                      </w:r>
                      <w:r>
                        <w:rPr>
                          <w:b/>
                          <w:lang w:eastAsia="cs-CZ"/>
                        </w:rPr>
                        <w:t>y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proveden</w:t>
                      </w:r>
                      <w:r>
                        <w:rPr>
                          <w:b/>
                          <w:lang w:eastAsia="cs-CZ"/>
                        </w:rPr>
                        <w:t>é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lang w:eastAsia="cs-CZ"/>
                        </w:rPr>
                        <w:t>u MZd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v hodnoceném roce a</w:t>
                      </w:r>
                      <w:r>
                        <w:rPr>
                          <w:b/>
                          <w:lang w:eastAsia="cs-CZ"/>
                        </w:rPr>
                        <w:t xml:space="preserve"> nebyly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uveden</w:t>
                      </w:r>
                      <w:r>
                        <w:rPr>
                          <w:b/>
                          <w:lang w:eastAsia="cs-CZ"/>
                        </w:rPr>
                        <w:t>y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informace o plnění opatření přijatých</w:t>
                      </w:r>
                      <w:r>
                        <w:rPr>
                          <w:b/>
                          <w:lang w:eastAsia="cs-CZ"/>
                        </w:rPr>
                        <w:t xml:space="preserve"> k odstranění</w:t>
                      </w:r>
                      <w:r w:rsidRPr="00D92085">
                        <w:rPr>
                          <w:b/>
                          <w:lang w:eastAsia="cs-CZ"/>
                        </w:rPr>
                        <w:t xml:space="preserve"> zjištěných</w:t>
                      </w:r>
                      <w:r>
                        <w:rPr>
                          <w:b/>
                          <w:lang w:eastAsia="cs-CZ"/>
                        </w:rPr>
                        <w:t xml:space="preserve"> závad.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0B68" w:rsidRPr="00B30899">
        <w:rPr>
          <w:rFonts w:cs="Calibri"/>
        </w:rPr>
        <w:t>V</w:t>
      </w:r>
      <w:r w:rsidR="009A785F">
        <w:rPr>
          <w:rFonts w:cs="Calibri"/>
        </w:rPr>
        <w:t> </w:t>
      </w:r>
      <w:r w:rsidR="00261A10" w:rsidRPr="00B30899">
        <w:rPr>
          <w:rFonts w:cs="Calibri"/>
        </w:rPr>
        <w:t>případě</w:t>
      </w:r>
      <w:r w:rsidR="009A785F">
        <w:rPr>
          <w:rFonts w:cs="Calibri"/>
        </w:rPr>
        <w:t xml:space="preserve"> zjištění z</w:t>
      </w:r>
      <w:r w:rsidR="00261A10" w:rsidRPr="00B30899">
        <w:rPr>
          <w:rFonts w:cs="Calibri"/>
        </w:rPr>
        <w:t xml:space="preserve"> kontrolní akce č. </w:t>
      </w:r>
      <w:r w:rsidR="000D1EC1">
        <w:rPr>
          <w:rFonts w:cs="Calibri"/>
        </w:rPr>
        <w:t>15/07 MZ</w:t>
      </w:r>
      <w:r w:rsidR="00A31D77">
        <w:rPr>
          <w:rFonts w:cs="Calibri"/>
        </w:rPr>
        <w:t>d</w:t>
      </w:r>
      <w:r w:rsidR="00261A10" w:rsidRPr="00B30899">
        <w:rPr>
          <w:rFonts w:cs="Calibri"/>
        </w:rPr>
        <w:t xml:space="preserve"> z celkového počtu </w:t>
      </w:r>
      <w:r w:rsidR="000D1EC1">
        <w:rPr>
          <w:rFonts w:cs="Calibri"/>
        </w:rPr>
        <w:t>15</w:t>
      </w:r>
      <w:r w:rsidR="00510195">
        <w:rPr>
          <w:rFonts w:cs="Calibri"/>
        </w:rPr>
        <w:t xml:space="preserve"> </w:t>
      </w:r>
      <w:r w:rsidR="00261A10" w:rsidRPr="00B30899">
        <w:rPr>
          <w:rFonts w:cs="Calibri"/>
        </w:rPr>
        <w:t>opatření</w:t>
      </w:r>
      <w:r w:rsidR="009A785F">
        <w:rPr>
          <w:rFonts w:cs="Calibri"/>
        </w:rPr>
        <w:t xml:space="preserve"> </w:t>
      </w:r>
      <w:r w:rsidR="00510195">
        <w:rPr>
          <w:rFonts w:cs="Calibri"/>
        </w:rPr>
        <w:t>stanovených</w:t>
      </w:r>
      <w:r w:rsidR="009A785F">
        <w:rPr>
          <w:rFonts w:cs="Calibri"/>
        </w:rPr>
        <w:t xml:space="preserve"> </w:t>
      </w:r>
      <w:r w:rsidR="00510195" w:rsidRPr="00902397">
        <w:rPr>
          <w:rFonts w:cs="Calibri"/>
        </w:rPr>
        <w:t>usnesením vlády ze dne 7. dubna 2016 č. 298</w:t>
      </w:r>
      <w:r w:rsidR="00510195" w:rsidRPr="00902397">
        <w:rPr>
          <w:rStyle w:val="Znakapoznpodarou"/>
          <w:rFonts w:cs="Calibri"/>
        </w:rPr>
        <w:footnoteReference w:id="11"/>
      </w:r>
      <w:r w:rsidR="00510195" w:rsidRPr="00902397">
        <w:rPr>
          <w:rFonts w:cs="Calibri"/>
        </w:rPr>
        <w:t xml:space="preserve"> </w:t>
      </w:r>
      <w:r w:rsidR="009A785F">
        <w:rPr>
          <w:rFonts w:cs="Calibri"/>
        </w:rPr>
        <w:t>k odstranění nedostatků</w:t>
      </w:r>
      <w:r w:rsidR="00261A10" w:rsidRPr="00B30899">
        <w:rPr>
          <w:rFonts w:cs="Calibri"/>
        </w:rPr>
        <w:t xml:space="preserve"> </w:t>
      </w:r>
      <w:r w:rsidR="00286992">
        <w:rPr>
          <w:rFonts w:cs="Calibri"/>
        </w:rPr>
        <w:t>přijalo</w:t>
      </w:r>
      <w:r w:rsidR="00902397">
        <w:rPr>
          <w:rFonts w:cs="Calibri"/>
        </w:rPr>
        <w:t xml:space="preserve"> </w:t>
      </w:r>
      <w:r w:rsidR="000D1EC1">
        <w:rPr>
          <w:rFonts w:cs="Calibri"/>
        </w:rPr>
        <w:t>14</w:t>
      </w:r>
      <w:r w:rsidR="00261A10" w:rsidRPr="00B30899">
        <w:rPr>
          <w:rFonts w:cs="Calibri"/>
        </w:rPr>
        <w:t xml:space="preserve"> opatření</w:t>
      </w:r>
      <w:r w:rsidR="000B0EB8">
        <w:rPr>
          <w:rFonts w:cs="Calibri"/>
        </w:rPr>
        <w:t>,</w:t>
      </w:r>
      <w:r w:rsidR="002C6A7C">
        <w:rPr>
          <w:rFonts w:cs="Calibri"/>
        </w:rPr>
        <w:t xml:space="preserve"> </w:t>
      </w:r>
      <w:r w:rsidR="00437C41">
        <w:rPr>
          <w:rFonts w:cs="Calibri"/>
        </w:rPr>
        <w:t>jedno opatření nemohlo být přijato z důvodu změny právních předpisů</w:t>
      </w:r>
      <w:r w:rsidR="00437C41">
        <w:rPr>
          <w:rStyle w:val="Znakapoznpodarou"/>
          <w:rFonts w:cs="Calibri"/>
        </w:rPr>
        <w:footnoteReference w:id="12"/>
      </w:r>
      <w:r w:rsidR="009A785F">
        <w:rPr>
          <w:rFonts w:cs="Calibri"/>
        </w:rPr>
        <w:t xml:space="preserve"> (</w:t>
      </w:r>
      <w:r w:rsidR="006312AF">
        <w:rPr>
          <w:rFonts w:cs="Calibri"/>
        </w:rPr>
        <w:t>blíže</w:t>
      </w:r>
      <w:r w:rsidR="009A785F">
        <w:rPr>
          <w:rFonts w:cs="Calibri"/>
        </w:rPr>
        <w:t xml:space="preserve"> viz část IV.</w:t>
      </w:r>
      <w:r w:rsidR="00B45FE2">
        <w:rPr>
          <w:rFonts w:cs="Calibri"/>
        </w:rPr>
        <w:t>4</w:t>
      </w:r>
      <w:r w:rsidR="00904F96">
        <w:rPr>
          <w:rFonts w:cs="Calibri"/>
        </w:rPr>
        <w:t>.</w:t>
      </w:r>
      <w:r w:rsidR="006312AF">
        <w:rPr>
          <w:rFonts w:cs="Calibri"/>
        </w:rPr>
        <w:t> </w:t>
      </w:r>
      <w:r w:rsidR="009A785F">
        <w:rPr>
          <w:rFonts w:cs="Calibri"/>
        </w:rPr>
        <w:t>tohoto kontrolního závěru).</w:t>
      </w:r>
      <w:r w:rsidR="00437C41">
        <w:rPr>
          <w:rFonts w:cs="Calibri"/>
        </w:rPr>
        <w:t xml:space="preserve"> </w:t>
      </w:r>
    </w:p>
    <w:p w14:paraId="0908A904" w14:textId="77777777" w:rsidR="002406D5" w:rsidRDefault="002406D5" w:rsidP="00E23786"/>
    <w:p w14:paraId="2D8C0368" w14:textId="0A474ABC" w:rsidR="0033466E" w:rsidRPr="00B30899" w:rsidRDefault="006C650B" w:rsidP="00B61CE4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5. </w:t>
      </w:r>
      <w:r w:rsidR="0033466E" w:rsidRPr="00B30899">
        <w:rPr>
          <w:rFonts w:ascii="Calibri" w:hAnsi="Calibri" w:cs="Calibri"/>
        </w:rPr>
        <w:t xml:space="preserve">Závěrečný účet kapitoly </w:t>
      </w:r>
      <w:r w:rsidR="000D1EC1">
        <w:rPr>
          <w:rFonts w:ascii="Calibri" w:hAnsi="Calibri" w:cs="Calibri"/>
        </w:rPr>
        <w:t>335</w:t>
      </w:r>
      <w:r w:rsidR="0033466E" w:rsidRPr="00B30899">
        <w:rPr>
          <w:rFonts w:ascii="Calibri" w:hAnsi="Calibri" w:cs="Calibri"/>
        </w:rPr>
        <w:t xml:space="preserve"> M</w:t>
      </w:r>
      <w:r w:rsidR="000D1EC1">
        <w:rPr>
          <w:rFonts w:ascii="Calibri" w:hAnsi="Calibri" w:cs="Calibri"/>
        </w:rPr>
        <w:t>Z</w:t>
      </w:r>
      <w:r w:rsidR="000721C1">
        <w:rPr>
          <w:rFonts w:ascii="Calibri" w:hAnsi="Calibri" w:cs="Calibri"/>
        </w:rPr>
        <w:t>d</w:t>
      </w:r>
      <w:r w:rsidR="0033466E" w:rsidRPr="00B30899">
        <w:rPr>
          <w:rFonts w:ascii="Calibri" w:hAnsi="Calibri" w:cs="Calibri"/>
        </w:rPr>
        <w:t xml:space="preserve"> za rok 2017</w:t>
      </w:r>
    </w:p>
    <w:p w14:paraId="5BC7154D" w14:textId="77777777" w:rsidR="00C801D9" w:rsidRDefault="00C801D9" w:rsidP="00C159BE">
      <w:pPr>
        <w:keepNext/>
        <w:spacing w:after="0"/>
        <w:jc w:val="both"/>
        <w:rPr>
          <w:rFonts w:cs="Calibri"/>
        </w:rPr>
      </w:pPr>
    </w:p>
    <w:p w14:paraId="6F6B7443" w14:textId="242A3E1B" w:rsidR="00B7018D" w:rsidRPr="008D07FF" w:rsidRDefault="00E93E4A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 xml:space="preserve">Povinnost sestavit </w:t>
      </w:r>
      <w:r w:rsidR="009E1123" w:rsidRPr="00B30899">
        <w:rPr>
          <w:rFonts w:cs="Calibri"/>
        </w:rPr>
        <w:t>návrh závěrečného účtu</w:t>
      </w:r>
      <w:r w:rsidR="00884993">
        <w:rPr>
          <w:rFonts w:cs="Calibri"/>
        </w:rPr>
        <w:t xml:space="preserve"> kapitoly </w:t>
      </w:r>
      <w:r w:rsidR="006312AF">
        <w:rPr>
          <w:rFonts w:cs="Calibri"/>
        </w:rPr>
        <w:t xml:space="preserve">SR </w:t>
      </w:r>
      <w:r w:rsidR="00884993">
        <w:rPr>
          <w:rFonts w:cs="Calibri"/>
        </w:rPr>
        <w:t xml:space="preserve">vyplývá z ustanovení § 30 odst. </w:t>
      </w:r>
      <w:r w:rsidR="00371D92">
        <w:rPr>
          <w:rFonts w:cs="Calibri"/>
        </w:rPr>
        <w:t xml:space="preserve">4 </w:t>
      </w:r>
      <w:r w:rsidR="00B61CE4">
        <w:rPr>
          <w:rFonts w:cs="Calibri"/>
        </w:rPr>
        <w:t>rozpočtových pravid</w:t>
      </w:r>
      <w:r w:rsidR="00371D92">
        <w:rPr>
          <w:rFonts w:cs="Calibri"/>
        </w:rPr>
        <w:t>el</w:t>
      </w:r>
      <w:r w:rsidR="00884993">
        <w:rPr>
          <w:rFonts w:cs="Calibri"/>
        </w:rPr>
        <w:t xml:space="preserve"> a podrobnosti stanoví</w:t>
      </w:r>
      <w:r w:rsidR="009E1123" w:rsidRPr="00B30899">
        <w:rPr>
          <w:rFonts w:cs="Calibri"/>
        </w:rPr>
        <w:t xml:space="preserve"> vyhlášk</w:t>
      </w:r>
      <w:r w:rsidR="00884993">
        <w:rPr>
          <w:rFonts w:cs="Calibri"/>
        </w:rPr>
        <w:t>a</w:t>
      </w:r>
      <w:r w:rsidR="009E1123" w:rsidRPr="00B30899">
        <w:rPr>
          <w:rFonts w:cs="Calibri"/>
        </w:rPr>
        <w:t xml:space="preserve"> č. 419/2001 Sb</w:t>
      </w:r>
      <w:r w:rsidR="009E1123" w:rsidRPr="00884993">
        <w:rPr>
          <w:rFonts w:cs="Calibri"/>
        </w:rPr>
        <w:t xml:space="preserve">., </w:t>
      </w:r>
      <w:r w:rsidR="009E1123" w:rsidRPr="00A7770B">
        <w:rPr>
          <w:rFonts w:cs="Calibri"/>
        </w:rPr>
        <w:t>o rozsahu, struktuře a</w:t>
      </w:r>
      <w:r w:rsidR="0023212A">
        <w:rPr>
          <w:rFonts w:cs="Calibri"/>
        </w:rPr>
        <w:t> </w:t>
      </w:r>
      <w:r w:rsidR="009E1123" w:rsidRPr="00A7770B">
        <w:rPr>
          <w:rFonts w:cs="Calibri"/>
        </w:rPr>
        <w:t>termínech údajů předkládaných pro vypracování návrhu státního závěrečného účtu a o rozsahu a termínech sestavení návrhů závěrečných účtů kapitol státního rozpočtu</w:t>
      </w:r>
      <w:r w:rsidR="009E1123" w:rsidRPr="00F74C0E">
        <w:rPr>
          <w:rFonts w:cs="Calibri"/>
          <w:i/>
        </w:rPr>
        <w:t>.</w:t>
      </w:r>
    </w:p>
    <w:p w14:paraId="58DD3508" w14:textId="77777777" w:rsidR="00C159BE" w:rsidRPr="008D07FF" w:rsidRDefault="00C159BE" w:rsidP="00B30899">
      <w:pPr>
        <w:spacing w:after="0"/>
        <w:jc w:val="both"/>
        <w:rPr>
          <w:rFonts w:cs="Calibri"/>
        </w:rPr>
      </w:pPr>
    </w:p>
    <w:p w14:paraId="0858131F" w14:textId="5C727B04" w:rsidR="00337885" w:rsidRPr="00B30899" w:rsidRDefault="009E1123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 xml:space="preserve">Za rok 2017 byly v souladu </w:t>
      </w:r>
      <w:r w:rsidR="00BC426A">
        <w:rPr>
          <w:rFonts w:cs="Calibri"/>
        </w:rPr>
        <w:t xml:space="preserve">s </w:t>
      </w:r>
      <w:r w:rsidRPr="00B30899">
        <w:rPr>
          <w:rFonts w:cs="Calibri"/>
        </w:rPr>
        <w:t xml:space="preserve">vyhláškou </w:t>
      </w:r>
      <w:r w:rsidR="00156475">
        <w:rPr>
          <w:rFonts w:cs="Calibri"/>
        </w:rPr>
        <w:t xml:space="preserve">č. 419/2001 Sb. </w:t>
      </w:r>
      <w:r w:rsidRPr="00B30899">
        <w:rPr>
          <w:rFonts w:cs="Calibri"/>
        </w:rPr>
        <w:t>podkladem pro sestavení návrhu závěrečného účtu vstupní údaje v rozpočtovém systému, finanční výkazy</w:t>
      </w:r>
      <w:r w:rsidRPr="00B30899">
        <w:rPr>
          <w:rStyle w:val="Znakapoznpodarou"/>
          <w:rFonts w:cs="Calibri"/>
        </w:rPr>
        <w:footnoteReference w:id="13"/>
      </w:r>
      <w:r w:rsidRPr="00B30899">
        <w:rPr>
          <w:rFonts w:cs="Calibri"/>
        </w:rPr>
        <w:t xml:space="preserve"> a údaje analytických evidencí. Pro rok</w:t>
      </w:r>
      <w:r w:rsidR="0023212A">
        <w:rPr>
          <w:rFonts w:cs="Calibri"/>
        </w:rPr>
        <w:t xml:space="preserve"> </w:t>
      </w:r>
      <w:r w:rsidRPr="00B30899">
        <w:rPr>
          <w:rFonts w:cs="Calibri"/>
        </w:rPr>
        <w:t xml:space="preserve">2017 tedy již nebylo stanoveno, že podkladem pro sestavení </w:t>
      </w:r>
      <w:r w:rsidR="003D3350" w:rsidRPr="00B30899">
        <w:rPr>
          <w:rFonts w:cs="Calibri"/>
        </w:rPr>
        <w:t xml:space="preserve">návrhu </w:t>
      </w:r>
      <w:r w:rsidRPr="00B30899">
        <w:rPr>
          <w:rFonts w:cs="Calibri"/>
        </w:rPr>
        <w:t xml:space="preserve">závěrečného účtu jsou i údaje z účetních závěrek </w:t>
      </w:r>
      <w:r w:rsidR="007F196A" w:rsidRPr="00B30899">
        <w:rPr>
          <w:rFonts w:cs="Calibri"/>
        </w:rPr>
        <w:t>OSS</w:t>
      </w:r>
      <w:r w:rsidR="00D9059D" w:rsidRPr="00B30899">
        <w:rPr>
          <w:rFonts w:cs="Calibri"/>
        </w:rPr>
        <w:t xml:space="preserve"> </w:t>
      </w:r>
      <w:r w:rsidRPr="00B30899">
        <w:rPr>
          <w:rFonts w:cs="Calibri"/>
        </w:rPr>
        <w:t xml:space="preserve">a </w:t>
      </w:r>
      <w:r w:rsidR="00D9059D" w:rsidRPr="00B30899">
        <w:rPr>
          <w:rFonts w:cs="Calibri"/>
        </w:rPr>
        <w:t>příspěvkových org</w:t>
      </w:r>
      <w:r w:rsidR="00163CD9" w:rsidRPr="00B30899">
        <w:rPr>
          <w:rFonts w:cs="Calibri"/>
        </w:rPr>
        <w:t>a</w:t>
      </w:r>
      <w:r w:rsidR="00D9059D" w:rsidRPr="00B30899">
        <w:rPr>
          <w:rFonts w:cs="Calibri"/>
        </w:rPr>
        <w:t>nizací (dále také „</w:t>
      </w:r>
      <w:r w:rsidRPr="00B30899">
        <w:rPr>
          <w:rFonts w:cs="Calibri"/>
        </w:rPr>
        <w:t>PO</w:t>
      </w:r>
      <w:r w:rsidR="00D9059D" w:rsidRPr="00B30899">
        <w:rPr>
          <w:rFonts w:cs="Calibri"/>
        </w:rPr>
        <w:t>“)</w:t>
      </w:r>
      <w:r w:rsidRPr="00B30899">
        <w:rPr>
          <w:rFonts w:cs="Calibri"/>
        </w:rPr>
        <w:t xml:space="preserve"> sestavených k 31. prosinci hodnoceného roku, jako tomu bylo </w:t>
      </w:r>
      <w:r w:rsidR="00884993">
        <w:rPr>
          <w:rFonts w:cs="Calibri"/>
        </w:rPr>
        <w:t>ve znění</w:t>
      </w:r>
      <w:r w:rsidRPr="00B30899">
        <w:rPr>
          <w:rFonts w:cs="Calibri"/>
        </w:rPr>
        <w:t xml:space="preserve"> vyhlášky č. 419/2001 Sb.</w:t>
      </w:r>
      <w:r w:rsidR="00156475">
        <w:rPr>
          <w:rFonts w:cs="Calibri"/>
        </w:rPr>
        <w:t xml:space="preserve"> </w:t>
      </w:r>
      <w:r w:rsidR="00884993">
        <w:rPr>
          <w:rFonts w:cs="Calibri"/>
        </w:rPr>
        <w:t>účinném</w:t>
      </w:r>
      <w:r w:rsidRPr="00B30899">
        <w:rPr>
          <w:rFonts w:cs="Calibri"/>
        </w:rPr>
        <w:t xml:space="preserve"> do 31. prosince 2015. </w:t>
      </w:r>
      <w:r w:rsidR="0008172A" w:rsidRPr="00B30899">
        <w:rPr>
          <w:rFonts w:cs="Calibri"/>
        </w:rPr>
        <w:t>Přitom</w:t>
      </w:r>
      <w:r w:rsidR="00E232F0" w:rsidRPr="00B30899">
        <w:rPr>
          <w:rFonts w:cs="Calibri"/>
        </w:rPr>
        <w:t xml:space="preserve"> právě </w:t>
      </w:r>
      <w:r w:rsidR="0008172A" w:rsidRPr="00B30899">
        <w:rPr>
          <w:rFonts w:cs="Calibri"/>
        </w:rPr>
        <w:t>účetnictví</w:t>
      </w:r>
      <w:r w:rsidR="00E232F0" w:rsidRPr="00B30899">
        <w:rPr>
          <w:rFonts w:cs="Calibri"/>
        </w:rPr>
        <w:t xml:space="preserve"> by podle názoru NKÚ mělo být hlavním zdrojem úplných, průkazných a správných údajů nutných pro naplnění některých informačních požadavků vyhlášky č. 419/2001 Sb. </w:t>
      </w:r>
      <w:r w:rsidRPr="00B30899">
        <w:rPr>
          <w:rFonts w:cs="Calibri"/>
        </w:rPr>
        <w:t>Jedná se např. o bezúplatné převody majetku, předpisy, přeplatky a</w:t>
      </w:r>
      <w:r w:rsidR="0023212A">
        <w:rPr>
          <w:rFonts w:cs="Calibri"/>
        </w:rPr>
        <w:t xml:space="preserve"> </w:t>
      </w:r>
      <w:r w:rsidRPr="00B30899">
        <w:rPr>
          <w:rFonts w:cs="Calibri"/>
        </w:rPr>
        <w:t>nedoplatky v případě příjmů z titulu správních poplatků</w:t>
      </w:r>
      <w:r w:rsidR="00B931B2">
        <w:rPr>
          <w:rFonts w:cs="Calibri"/>
        </w:rPr>
        <w:t>, poskytnuté zálohy na dodávky</w:t>
      </w:r>
      <w:r w:rsidRPr="00B30899">
        <w:rPr>
          <w:rFonts w:cs="Calibri"/>
        </w:rPr>
        <w:t xml:space="preserve"> nebo stav poskytnutých nesplacených návratných finančních výpomocí. Tyto údaje nelze z rozpočtového systému zjistit.</w:t>
      </w:r>
    </w:p>
    <w:p w14:paraId="1F7AAAE2" w14:textId="77777777" w:rsidR="00C801D9" w:rsidRDefault="00C801D9" w:rsidP="00B30899">
      <w:pPr>
        <w:spacing w:after="0"/>
        <w:jc w:val="both"/>
        <w:rPr>
          <w:rFonts w:cs="Calibri"/>
        </w:rPr>
      </w:pPr>
    </w:p>
    <w:p w14:paraId="35E24B94" w14:textId="0E4B51F4" w:rsidR="00752A7B" w:rsidRDefault="00333380" w:rsidP="00B30899">
      <w:pPr>
        <w:spacing w:after="0"/>
        <w:jc w:val="both"/>
        <w:rPr>
          <w:rFonts w:cs="Calibri"/>
        </w:rPr>
      </w:pPr>
      <w:r w:rsidRPr="00B30899">
        <w:rPr>
          <w:rFonts w:cs="Calibri"/>
          <w:noProof/>
          <w:highlight w:val="yellow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CE9AF" wp14:editId="37943050">
                <wp:simplePos x="0" y="0"/>
                <wp:positionH relativeFrom="margin">
                  <wp:align>right</wp:align>
                </wp:positionH>
                <wp:positionV relativeFrom="paragraph">
                  <wp:posOffset>1237615</wp:posOffset>
                </wp:positionV>
                <wp:extent cx="5762625" cy="901700"/>
                <wp:effectExtent l="0" t="0" r="9525" b="0"/>
                <wp:wrapTopAndBottom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0170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40C0F" w14:textId="071A27E2" w:rsidR="006C1B1F" w:rsidRDefault="006C1B1F" w:rsidP="00C159BE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Kontrolou bylo zjištěno, že MZd v závěrečném účtu kapitoly 335 MZd za rok 2017 neuvedlo některé informace </w:t>
                            </w:r>
                            <w:r w:rsidRPr="00911643">
                              <w:rPr>
                                <w:rFonts w:cs="Arial"/>
                              </w:rPr>
                              <w:t>(viz část IV.</w:t>
                            </w:r>
                            <w:r>
                              <w:rPr>
                                <w:rFonts w:cs="Arial"/>
                              </w:rPr>
                              <w:t>5</w:t>
                            </w:r>
                            <w:r w:rsidRPr="00911643">
                              <w:rPr>
                                <w:rFonts w:cs="Arial"/>
                              </w:rPr>
                              <w:t>. tohoto kontrolního závěru).</w:t>
                            </w:r>
                          </w:p>
                          <w:p w14:paraId="5CA8409F" w14:textId="0131E968" w:rsidR="006C1B1F" w:rsidRPr="003E177A" w:rsidRDefault="006C1B1F" w:rsidP="00C159BE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Samotné informace uvedené v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 závěrečné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 účtu kapitoly 335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 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Zd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 za rok 2017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ne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>byl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y zatíženy významnými nesprávnostmi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E9AF" id="Textové pole 7" o:spid="_x0000_s1029" type="#_x0000_t202" style="position:absolute;left:0;text-align:left;margin-left:402.55pt;margin-top:97.45pt;width:453.75pt;height: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" fillcolor="#e5f1ff" stroked="f" strokeweight=".5pt">
                <v:textbox>
                  <w:txbxContent>
                    <w:p w14:paraId="63040C0F" w14:textId="071A27E2" w:rsidR="006C1B1F" w:rsidRDefault="006C1B1F" w:rsidP="00C159BE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Kontrolou bylo zjištěno, že MZd v závěrečném účtu kapitoly 335 MZd za rok 2017 neuvedlo některé informace </w:t>
                      </w:r>
                      <w:r w:rsidRPr="00911643">
                        <w:rPr>
                          <w:rFonts w:cs="Arial"/>
                        </w:rPr>
                        <w:t>(viz část IV.</w:t>
                      </w:r>
                      <w:r>
                        <w:rPr>
                          <w:rFonts w:cs="Arial"/>
                        </w:rPr>
                        <w:t>5</w:t>
                      </w:r>
                      <w:r w:rsidRPr="00911643">
                        <w:rPr>
                          <w:rFonts w:cs="Arial"/>
                        </w:rPr>
                        <w:t>. tohoto kontrolního závěru).</w:t>
                      </w:r>
                    </w:p>
                    <w:p w14:paraId="5CA8409F" w14:textId="0131E968" w:rsidR="006C1B1F" w:rsidRPr="003E177A" w:rsidRDefault="006C1B1F" w:rsidP="00C159BE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Samotné informace uvedené v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 závěrečné</w:t>
                      </w:r>
                      <w:r>
                        <w:rPr>
                          <w:rFonts w:cs="Arial"/>
                          <w:b/>
                        </w:rPr>
                        <w:t>m účtu kapitoly 335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 M</w:t>
                      </w:r>
                      <w:r>
                        <w:rPr>
                          <w:rFonts w:cs="Arial"/>
                          <w:b/>
                        </w:rPr>
                        <w:t>Zd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 za rok 2017 </w:t>
                      </w:r>
                      <w:r>
                        <w:rPr>
                          <w:rFonts w:cs="Arial"/>
                          <w:b/>
                        </w:rPr>
                        <w:t>ne</w:t>
                      </w:r>
                      <w:r w:rsidRPr="00752A7B">
                        <w:rPr>
                          <w:rFonts w:cs="Arial"/>
                          <w:b/>
                        </w:rPr>
                        <w:t>byl</w:t>
                      </w:r>
                      <w:r>
                        <w:rPr>
                          <w:rFonts w:cs="Arial"/>
                          <w:b/>
                        </w:rPr>
                        <w:t>y zatíženy významnými nesprávnostmi</w:t>
                      </w:r>
                      <w:r w:rsidRPr="00752A7B"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A50E5" w:rsidRPr="00B30899">
        <w:rPr>
          <w:rFonts w:cs="Calibri"/>
        </w:rPr>
        <w:t xml:space="preserve">Návrh závěrečného účtu státního rozpočtu České republiky za rok 2017 za kapitolu </w:t>
      </w:r>
      <w:r w:rsidR="00382976">
        <w:rPr>
          <w:rFonts w:cs="Calibri"/>
        </w:rPr>
        <w:br/>
      </w:r>
      <w:r w:rsidR="00B931B2">
        <w:rPr>
          <w:rFonts w:cs="Calibri"/>
        </w:rPr>
        <w:t>335</w:t>
      </w:r>
      <w:r w:rsidR="005B6599">
        <w:rPr>
          <w:rFonts w:cs="Calibri"/>
        </w:rPr>
        <w:t xml:space="preserve"> </w:t>
      </w:r>
      <w:r w:rsidR="000E082C">
        <w:rPr>
          <w:rFonts w:cs="Calibri"/>
        </w:rPr>
        <w:t>–</w:t>
      </w:r>
      <w:r w:rsidR="009A50E5" w:rsidRPr="00B30899">
        <w:rPr>
          <w:rFonts w:cs="Calibri"/>
        </w:rPr>
        <w:t xml:space="preserve"> </w:t>
      </w:r>
      <w:r w:rsidR="009A50E5" w:rsidRPr="00A24C8F">
        <w:rPr>
          <w:rFonts w:cs="Calibri"/>
          <w:i/>
        </w:rPr>
        <w:t xml:space="preserve">Ministerstvo </w:t>
      </w:r>
      <w:r w:rsidR="00B931B2" w:rsidRPr="0064527C">
        <w:rPr>
          <w:rFonts w:cs="Calibri"/>
          <w:i/>
        </w:rPr>
        <w:t>zdravotnictví</w:t>
      </w:r>
      <w:r w:rsidR="009A50E5" w:rsidRPr="0064527C">
        <w:rPr>
          <w:rFonts w:cs="Calibri"/>
        </w:rPr>
        <w:t xml:space="preserve"> </w:t>
      </w:r>
      <w:r w:rsidR="009A50E5" w:rsidRPr="00B30899">
        <w:rPr>
          <w:rFonts w:cs="Calibri"/>
        </w:rPr>
        <w:t>byl prověřen na soulad s vyhláškou č.</w:t>
      </w:r>
      <w:r w:rsidR="005B6599">
        <w:rPr>
          <w:rFonts w:cs="Calibri"/>
        </w:rPr>
        <w:t xml:space="preserve"> </w:t>
      </w:r>
      <w:r w:rsidR="009A50E5" w:rsidRPr="00B30899">
        <w:rPr>
          <w:rFonts w:cs="Calibri"/>
        </w:rPr>
        <w:t>419/2001 Sb.</w:t>
      </w:r>
      <w:r w:rsidR="00FF054A" w:rsidRPr="00B30899">
        <w:rPr>
          <w:rFonts w:cs="Calibri"/>
        </w:rPr>
        <w:t>, na</w:t>
      </w:r>
      <w:r w:rsidR="009A50E5" w:rsidRPr="00B30899">
        <w:rPr>
          <w:rFonts w:cs="Calibri"/>
        </w:rPr>
        <w:t xml:space="preserve"> správnost a</w:t>
      </w:r>
      <w:r w:rsidR="005B6599">
        <w:rPr>
          <w:rFonts w:cs="Calibri"/>
        </w:rPr>
        <w:t xml:space="preserve"> </w:t>
      </w:r>
      <w:r w:rsidR="009A50E5" w:rsidRPr="00B30899">
        <w:rPr>
          <w:rFonts w:cs="Calibri"/>
        </w:rPr>
        <w:t>úplnost údajů a číselných hodnot uvedených v průvodní zprávě, v číselných sestavách a</w:t>
      </w:r>
      <w:r w:rsidR="005B6599">
        <w:rPr>
          <w:rFonts w:cs="Calibri"/>
        </w:rPr>
        <w:t xml:space="preserve"> </w:t>
      </w:r>
      <w:r w:rsidR="009A50E5" w:rsidRPr="00B30899">
        <w:rPr>
          <w:rFonts w:cs="Calibri"/>
        </w:rPr>
        <w:t>tabulkových přílohách</w:t>
      </w:r>
      <w:r w:rsidR="00FF054A" w:rsidRPr="00B30899">
        <w:rPr>
          <w:rFonts w:cs="Calibri"/>
        </w:rPr>
        <w:t xml:space="preserve"> a jejich soulad s</w:t>
      </w:r>
      <w:r w:rsidR="00D9059D" w:rsidRPr="00B30899">
        <w:rPr>
          <w:rFonts w:cs="Calibri"/>
        </w:rPr>
        <w:t xml:space="preserve"> finanční</w:t>
      </w:r>
      <w:r w:rsidR="00FF054A" w:rsidRPr="00B30899">
        <w:rPr>
          <w:rFonts w:cs="Calibri"/>
        </w:rPr>
        <w:t>mi</w:t>
      </w:r>
      <w:r w:rsidR="00D9059D" w:rsidRPr="00B30899">
        <w:rPr>
          <w:rFonts w:cs="Calibri"/>
        </w:rPr>
        <w:t xml:space="preserve"> výkazy, </w:t>
      </w:r>
      <w:r w:rsidR="00FF054A" w:rsidRPr="00B30899">
        <w:rPr>
          <w:rFonts w:cs="Calibri"/>
        </w:rPr>
        <w:t>údaji v účetnictví</w:t>
      </w:r>
      <w:r w:rsidR="00463FDF">
        <w:rPr>
          <w:rFonts w:cs="Calibri"/>
        </w:rPr>
        <w:t xml:space="preserve"> a </w:t>
      </w:r>
      <w:r w:rsidR="000E082C">
        <w:rPr>
          <w:rFonts w:cs="Calibri"/>
        </w:rPr>
        <w:t>s </w:t>
      </w:r>
      <w:r w:rsidR="00D9059D" w:rsidRPr="00B30899">
        <w:rPr>
          <w:rFonts w:cs="Calibri"/>
        </w:rPr>
        <w:t>podklady jednotlivých věcně příslušných odborů</w:t>
      </w:r>
      <w:r w:rsidR="00E758F8">
        <w:rPr>
          <w:rFonts w:cs="Calibri"/>
        </w:rPr>
        <w:t xml:space="preserve"> MZ</w:t>
      </w:r>
      <w:r w:rsidR="000721C1">
        <w:rPr>
          <w:rFonts w:cs="Calibri"/>
        </w:rPr>
        <w:t>d</w:t>
      </w:r>
      <w:r w:rsidR="0008172A" w:rsidRPr="00B30899">
        <w:rPr>
          <w:rFonts w:cs="Calibri"/>
        </w:rPr>
        <w:t xml:space="preserve"> a podřízených organizací</w:t>
      </w:r>
      <w:r w:rsidR="009A50E5" w:rsidRPr="00B30899">
        <w:rPr>
          <w:rFonts w:cs="Calibri"/>
        </w:rPr>
        <w:t>.</w:t>
      </w:r>
    </w:p>
    <w:p w14:paraId="2C4E376D" w14:textId="0149F371" w:rsidR="00C159BE" w:rsidRDefault="00C159BE" w:rsidP="00B30899">
      <w:pPr>
        <w:spacing w:after="0"/>
        <w:jc w:val="both"/>
        <w:rPr>
          <w:rFonts w:cs="Calibri"/>
        </w:rPr>
      </w:pPr>
    </w:p>
    <w:p w14:paraId="7C04FA34" w14:textId="77777777" w:rsidR="003652A5" w:rsidRDefault="003652A5" w:rsidP="00B30899">
      <w:pPr>
        <w:spacing w:after="0"/>
        <w:jc w:val="both"/>
        <w:rPr>
          <w:rFonts w:cs="Calibri"/>
          <w:b/>
        </w:rPr>
      </w:pPr>
    </w:p>
    <w:p w14:paraId="6538CDEF" w14:textId="493C2EA4" w:rsidR="009675BF" w:rsidRPr="00B30899" w:rsidRDefault="00A97466" w:rsidP="00B30899">
      <w:pPr>
        <w:spacing w:after="0"/>
        <w:jc w:val="both"/>
        <w:rPr>
          <w:rFonts w:cs="Calibri"/>
        </w:rPr>
      </w:pPr>
      <w:r w:rsidRPr="00B30899">
        <w:rPr>
          <w:rFonts w:cs="Calibri"/>
          <w:b/>
        </w:rPr>
        <w:t xml:space="preserve">Současně je nezbytné zdůraznit, že </w:t>
      </w:r>
      <w:r w:rsidR="00010948" w:rsidRPr="00B30899">
        <w:rPr>
          <w:rFonts w:cs="Calibri"/>
          <w:b/>
        </w:rPr>
        <w:t>NKÚ dlouhodobě</w:t>
      </w:r>
      <w:r w:rsidR="00C84584" w:rsidRPr="00B30899">
        <w:rPr>
          <w:rStyle w:val="Znakapoznpodarou"/>
          <w:rFonts w:cs="Calibri"/>
        </w:rPr>
        <w:footnoteReference w:id="14"/>
      </w:r>
      <w:r w:rsidR="00010948" w:rsidRPr="00B30899">
        <w:rPr>
          <w:rFonts w:cs="Calibri"/>
          <w:b/>
        </w:rPr>
        <w:t xml:space="preserve"> upozorňuje,</w:t>
      </w:r>
      <w:r w:rsidR="00010948" w:rsidRPr="00B30899">
        <w:rPr>
          <w:rFonts w:cs="Calibri"/>
        </w:rPr>
        <w:t xml:space="preserve"> </w:t>
      </w:r>
      <w:r w:rsidR="00010948" w:rsidRPr="00B30899">
        <w:rPr>
          <w:rFonts w:cs="Calibri"/>
          <w:b/>
        </w:rPr>
        <w:t>že r</w:t>
      </w:r>
      <w:r w:rsidR="009675BF" w:rsidRPr="00B30899">
        <w:rPr>
          <w:rFonts w:cs="Calibri"/>
          <w:b/>
        </w:rPr>
        <w:t>ozsah informací</w:t>
      </w:r>
      <w:r w:rsidR="009675BF" w:rsidRPr="00FC33CB">
        <w:rPr>
          <w:rFonts w:cs="Calibri"/>
          <w:b/>
        </w:rPr>
        <w:t>,</w:t>
      </w:r>
      <w:r w:rsidR="009675BF" w:rsidRPr="00B30899">
        <w:rPr>
          <w:rFonts w:cs="Calibri"/>
        </w:rPr>
        <w:t xml:space="preserve"> které jsou stanoveny vyhláškou č. 419/2001 Sb. jako povinně zveřejňované v závěrečném účtu, </w:t>
      </w:r>
      <w:r w:rsidR="009675BF" w:rsidRPr="00B30899">
        <w:rPr>
          <w:rFonts w:cs="Calibri"/>
          <w:b/>
        </w:rPr>
        <w:t>nebyl po roce 2010 doplněn o další údaje, jejichž vykazování bylo účetní reformou v oblasti veřejných financí stanoveno a které o hospodaření s rozpočtovými prostředky v příslušném rozpočtovém roce vypovídají lépe než jen peněžní toky.</w:t>
      </w:r>
      <w:r w:rsidR="009675BF" w:rsidRPr="00B30899">
        <w:rPr>
          <w:rFonts w:cs="Calibri"/>
        </w:rPr>
        <w:t xml:space="preserve"> Ukazují totiž nejen </w:t>
      </w:r>
      <w:r w:rsidR="00077ACA">
        <w:rPr>
          <w:rFonts w:cs="Calibri"/>
        </w:rPr>
        <w:t xml:space="preserve">peněžní toky, ale i </w:t>
      </w:r>
      <w:r w:rsidR="009675BF" w:rsidRPr="00B30899">
        <w:rPr>
          <w:rFonts w:cs="Calibri"/>
        </w:rPr>
        <w:t>náklady a výnosy za příslušné rozpočtové období</w:t>
      </w:r>
      <w:r w:rsidR="005B6599">
        <w:rPr>
          <w:rFonts w:cs="Calibri"/>
        </w:rPr>
        <w:t>,</w:t>
      </w:r>
      <w:r w:rsidR="009675BF" w:rsidRPr="00B30899">
        <w:rPr>
          <w:rFonts w:cs="Calibri"/>
        </w:rPr>
        <w:t xml:space="preserve"> nároky (pohledávky)</w:t>
      </w:r>
      <w:r w:rsidR="009675BF" w:rsidRPr="00B30899">
        <w:rPr>
          <w:rStyle w:val="Znakapoznpodarou"/>
          <w:rFonts w:cs="Calibri"/>
        </w:rPr>
        <w:footnoteReference w:id="15"/>
      </w:r>
      <w:r w:rsidR="00227273">
        <w:rPr>
          <w:rFonts w:cs="Calibri"/>
        </w:rPr>
        <w:t xml:space="preserve"> a </w:t>
      </w:r>
      <w:r w:rsidR="009675BF" w:rsidRPr="00B30899">
        <w:rPr>
          <w:rFonts w:cs="Calibri"/>
        </w:rPr>
        <w:t>závazky existující ke konci rozpočtového roku a</w:t>
      </w:r>
      <w:r w:rsidR="00077ACA">
        <w:rPr>
          <w:rFonts w:cs="Calibri"/>
        </w:rPr>
        <w:t xml:space="preserve"> dále</w:t>
      </w:r>
      <w:r w:rsidR="009675BF" w:rsidRPr="00B30899">
        <w:rPr>
          <w:rFonts w:cs="Calibri"/>
        </w:rPr>
        <w:t xml:space="preserve"> i potenciální nároky (podmíněné pohledávky) a potenciální závazky (podmíněné závazky).</w:t>
      </w:r>
    </w:p>
    <w:p w14:paraId="584824A3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4F413DE3" w14:textId="3FFBF29C" w:rsidR="009675BF" w:rsidRDefault="009675BF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>Všechny tyto informace umožňují podat celkový obraz o výsledku hospodaření v daném roce nezkreslený o ekonomické dopady a zátěže působící na jiná období. Zatímco např. odložení úhrady závazků vede u peněžně založeného systému, tedy i v případě finančních výkazů, k dosažení rozpočtově lepšího výsledku hospodaření, v akruálně</w:t>
      </w:r>
      <w:r w:rsidR="006C5D57" w:rsidRPr="00B30899">
        <w:rPr>
          <w:rStyle w:val="Znakapoznpodarou"/>
          <w:rFonts w:cs="Calibri"/>
        </w:rPr>
        <w:footnoteReference w:id="16"/>
      </w:r>
      <w:r w:rsidRPr="00B30899">
        <w:rPr>
          <w:rFonts w:cs="Calibri"/>
        </w:rPr>
        <w:t xml:space="preserve"> </w:t>
      </w:r>
      <w:r w:rsidR="006C5D57" w:rsidRPr="00B30899">
        <w:rPr>
          <w:rFonts w:cs="Calibri"/>
        </w:rPr>
        <w:t>založeném účetnictví takový postup k dosažení lepšího výsledku hospodaření nevede</w:t>
      </w:r>
      <w:r w:rsidR="00147308" w:rsidRPr="00B30899">
        <w:rPr>
          <w:rStyle w:val="Znakapoznpodarou"/>
          <w:rFonts w:cs="Calibri"/>
        </w:rPr>
        <w:footnoteReference w:id="17"/>
      </w:r>
      <w:r w:rsidR="006C5D57" w:rsidRPr="00B30899">
        <w:rPr>
          <w:rFonts w:cs="Calibri"/>
        </w:rPr>
        <w:t>. Náklady zatíží výsledek hospodaření již při vzniku závazku, ne až v okamžiku jeho úhrady.</w:t>
      </w:r>
    </w:p>
    <w:p w14:paraId="370E3CE6" w14:textId="77777777" w:rsidR="00C801D9" w:rsidRPr="00B30899" w:rsidRDefault="00C801D9" w:rsidP="00B30899">
      <w:pPr>
        <w:spacing w:after="0"/>
        <w:jc w:val="both"/>
        <w:rPr>
          <w:rFonts w:cs="Calibri"/>
        </w:rPr>
      </w:pPr>
    </w:p>
    <w:p w14:paraId="14F0152B" w14:textId="36EE99C6" w:rsidR="00010948" w:rsidRPr="00B30899" w:rsidRDefault="00B77ECB" w:rsidP="00B30899">
      <w:pPr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 xml:space="preserve">V případě, že by výsledky rozpočtového hospodaření byly správcem kapitoly státního rozpočtu povinně hodnoceny na bázi peněžních toků </w:t>
      </w:r>
      <w:r w:rsidR="00B931B2">
        <w:rPr>
          <w:rFonts w:cs="Calibri"/>
          <w:b/>
        </w:rPr>
        <w:t>i na akruální bázi, pak by u MZ</w:t>
      </w:r>
      <w:r w:rsidR="000721C1">
        <w:rPr>
          <w:rFonts w:cs="Calibri"/>
          <w:b/>
        </w:rPr>
        <w:t>d</w:t>
      </w:r>
      <w:r w:rsidRPr="00B30899">
        <w:rPr>
          <w:rFonts w:cs="Calibri"/>
          <w:b/>
        </w:rPr>
        <w:t xml:space="preserve"> bylo </w:t>
      </w:r>
      <w:r w:rsidRPr="00B30899">
        <w:rPr>
          <w:rFonts w:cs="Calibri"/>
          <w:b/>
        </w:rPr>
        <w:lastRenderedPageBreak/>
        <w:t xml:space="preserve">za rok 2017 uvedeno, že výsledné saldo peněžních toků dle finančních výkazů </w:t>
      </w:r>
      <w:r w:rsidRPr="00114660">
        <w:rPr>
          <w:rFonts w:cs="Calibri"/>
          <w:b/>
        </w:rPr>
        <w:t xml:space="preserve">byl </w:t>
      </w:r>
      <w:r w:rsidR="00A22952" w:rsidRPr="00C02436">
        <w:rPr>
          <w:rFonts w:cs="Calibri"/>
          <w:b/>
        </w:rPr>
        <w:t>schodek</w:t>
      </w:r>
      <w:r w:rsidRPr="00C02436">
        <w:rPr>
          <w:rFonts w:cs="Calibri"/>
          <w:b/>
        </w:rPr>
        <w:t xml:space="preserve"> ve výši </w:t>
      </w:r>
      <w:r w:rsidR="00F04529" w:rsidRPr="00F2171A">
        <w:rPr>
          <w:rFonts w:cs="Calibri"/>
          <w:b/>
        </w:rPr>
        <w:t>−</w:t>
      </w:r>
      <w:r w:rsidR="00F4342A" w:rsidRPr="00C02436">
        <w:rPr>
          <w:rFonts w:cs="Calibri"/>
          <w:b/>
        </w:rPr>
        <w:t>5 390 855 832,34</w:t>
      </w:r>
      <w:r w:rsidRPr="00C02436">
        <w:rPr>
          <w:rFonts w:cs="Calibri"/>
          <w:b/>
        </w:rPr>
        <w:t xml:space="preserve"> Kč</w:t>
      </w:r>
      <w:r w:rsidRPr="00114660">
        <w:rPr>
          <w:rFonts w:cs="Calibri"/>
          <w:b/>
        </w:rPr>
        <w:t xml:space="preserve"> a hospodářský výsledek běžného účetního období dle účetního výkazu zisku a ztráty </w:t>
      </w:r>
      <w:r w:rsidRPr="00C02436">
        <w:rPr>
          <w:rFonts w:cs="Calibri"/>
          <w:b/>
        </w:rPr>
        <w:t xml:space="preserve">byla ztráta ve výši </w:t>
      </w:r>
      <w:r w:rsidR="00F04529" w:rsidRPr="00F2171A">
        <w:rPr>
          <w:rFonts w:cs="Calibri"/>
          <w:b/>
        </w:rPr>
        <w:t>−</w:t>
      </w:r>
      <w:r w:rsidR="00F4342A" w:rsidRPr="00C02436">
        <w:rPr>
          <w:rFonts w:cs="Calibri"/>
          <w:b/>
        </w:rPr>
        <w:t xml:space="preserve">4 204 975 090,65 </w:t>
      </w:r>
      <w:r w:rsidR="00A22952" w:rsidRPr="00C02436">
        <w:rPr>
          <w:rFonts w:cs="Calibri"/>
          <w:b/>
        </w:rPr>
        <w:t>Kč</w:t>
      </w:r>
      <w:r w:rsidRPr="00114660">
        <w:rPr>
          <w:rFonts w:cs="Calibri"/>
          <w:b/>
        </w:rPr>
        <w:t xml:space="preserve"> (podrobnosti ob</w:t>
      </w:r>
      <w:r w:rsidRPr="00B30899">
        <w:rPr>
          <w:rFonts w:cs="Calibri"/>
          <w:b/>
        </w:rPr>
        <w:t xml:space="preserve">sahuje příloha </w:t>
      </w:r>
      <w:r w:rsidR="00E960EE">
        <w:rPr>
          <w:rFonts w:cs="Calibri"/>
          <w:b/>
        </w:rPr>
        <w:t>tohoto kontrolního závěru</w:t>
      </w:r>
      <w:r w:rsidRPr="00B30899">
        <w:rPr>
          <w:rFonts w:cs="Calibri"/>
          <w:b/>
        </w:rPr>
        <w:t>).</w:t>
      </w:r>
      <w:r w:rsidR="00A22952" w:rsidRPr="00B30899">
        <w:rPr>
          <w:rFonts w:cs="Calibri"/>
          <w:b/>
        </w:rPr>
        <w:t xml:space="preserve"> </w:t>
      </w:r>
    </w:p>
    <w:p w14:paraId="0B2679C9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5968D515" w14:textId="6520D5CB" w:rsidR="00010948" w:rsidRPr="003C01A5" w:rsidRDefault="00A22952" w:rsidP="003C01A5">
      <w:pPr>
        <w:widowControl w:val="0"/>
        <w:spacing w:after="0"/>
        <w:jc w:val="both"/>
        <w:rPr>
          <w:rFonts w:eastAsiaTheme="minorHAnsi" w:cs="Calibri"/>
          <w:b/>
        </w:rPr>
      </w:pPr>
      <w:r w:rsidRPr="00B30899">
        <w:rPr>
          <w:rFonts w:cs="Calibri"/>
          <w:b/>
        </w:rPr>
        <w:t xml:space="preserve">Současně by byly uvedeny </w:t>
      </w:r>
      <w:r w:rsidR="00476545" w:rsidRPr="00B30899">
        <w:rPr>
          <w:rFonts w:cs="Calibri"/>
          <w:b/>
        </w:rPr>
        <w:t xml:space="preserve">i </w:t>
      </w:r>
      <w:r w:rsidRPr="00B30899">
        <w:rPr>
          <w:rFonts w:cs="Calibri"/>
          <w:b/>
        </w:rPr>
        <w:t>další skutečn</w:t>
      </w:r>
      <w:r w:rsidR="00B931B2">
        <w:rPr>
          <w:rFonts w:cs="Calibri"/>
          <w:b/>
        </w:rPr>
        <w:t>osti, např. to, že dle ÚZ m</w:t>
      </w:r>
      <w:r w:rsidR="00F04529">
        <w:rPr>
          <w:rFonts w:cs="Calibri"/>
          <w:b/>
        </w:rPr>
        <w:t>ělo</w:t>
      </w:r>
      <w:r w:rsidR="00B931B2">
        <w:rPr>
          <w:rFonts w:cs="Calibri"/>
          <w:b/>
        </w:rPr>
        <w:t xml:space="preserve"> MZ</w:t>
      </w:r>
      <w:r w:rsidR="000721C1">
        <w:rPr>
          <w:rFonts w:cs="Calibri"/>
          <w:b/>
        </w:rPr>
        <w:t>d</w:t>
      </w:r>
      <w:r w:rsidRPr="00B30899">
        <w:rPr>
          <w:rFonts w:cs="Calibri"/>
          <w:b/>
        </w:rPr>
        <w:t xml:space="preserve"> k rozvahovému dni podmíněné závazky v</w:t>
      </w:r>
      <w:r w:rsidR="003C01A5">
        <w:rPr>
          <w:rFonts w:cs="Calibri"/>
          <w:b/>
        </w:rPr>
        <w:t xml:space="preserve"> celkové</w:t>
      </w:r>
      <w:r w:rsidRPr="00B30899">
        <w:rPr>
          <w:rFonts w:cs="Calibri"/>
          <w:b/>
        </w:rPr>
        <w:t xml:space="preserve"> </w:t>
      </w:r>
      <w:r w:rsidRPr="008046B3">
        <w:rPr>
          <w:rFonts w:cs="Calibri"/>
          <w:b/>
        </w:rPr>
        <w:t xml:space="preserve">výši </w:t>
      </w:r>
      <w:r w:rsidR="008046B3" w:rsidRPr="008046B3">
        <w:rPr>
          <w:rFonts w:cs="Calibri"/>
          <w:b/>
        </w:rPr>
        <w:t>21,7</w:t>
      </w:r>
      <w:r w:rsidRPr="008046B3">
        <w:rPr>
          <w:rFonts w:cs="Calibri"/>
          <w:b/>
        </w:rPr>
        <w:t xml:space="preserve"> mld. Kč</w:t>
      </w:r>
      <w:r w:rsidRPr="00B30899">
        <w:rPr>
          <w:rFonts w:cs="Calibri"/>
          <w:b/>
        </w:rPr>
        <w:t xml:space="preserve">, </w:t>
      </w:r>
      <w:r w:rsidR="00287651" w:rsidRPr="00B30899">
        <w:rPr>
          <w:rFonts w:eastAsiaTheme="minorHAnsi" w:cs="Calibri"/>
          <w:b/>
        </w:rPr>
        <w:t>existující na základě již vydaných rozhodnutí o</w:t>
      </w:r>
      <w:r w:rsidR="00000266">
        <w:rPr>
          <w:rFonts w:eastAsiaTheme="minorHAnsi" w:cs="Calibri"/>
          <w:b/>
        </w:rPr>
        <w:t xml:space="preserve"> </w:t>
      </w:r>
      <w:r w:rsidR="00287651" w:rsidRPr="00B30899">
        <w:rPr>
          <w:rFonts w:eastAsiaTheme="minorHAnsi" w:cs="Calibri"/>
          <w:b/>
        </w:rPr>
        <w:t>poskytnutí dotací</w:t>
      </w:r>
      <w:r w:rsidR="002073BC" w:rsidRPr="00B30899">
        <w:rPr>
          <w:rFonts w:eastAsiaTheme="minorHAnsi" w:cs="Calibri"/>
          <w:b/>
        </w:rPr>
        <w:t xml:space="preserve"> (které nebyly v daném rozpočtovém roce realizovány), uzavřených smluv a probíhajících soudních sporů.</w:t>
      </w:r>
      <w:r w:rsidR="003C01A5">
        <w:rPr>
          <w:rFonts w:eastAsiaTheme="minorHAnsi" w:cs="Calibri"/>
          <w:b/>
        </w:rPr>
        <w:t xml:space="preserve"> Z toho d</w:t>
      </w:r>
      <w:r w:rsidR="003C01A5" w:rsidRPr="00113B06">
        <w:rPr>
          <w:rFonts w:eastAsiaTheme="minorHAnsi" w:cs="Calibri"/>
          <w:b/>
        </w:rPr>
        <w:t xml:space="preserve">louhodobé podmíněné závazky ze soudních sporů, správních řízení a jiných </w:t>
      </w:r>
      <w:r w:rsidR="003C01A5">
        <w:rPr>
          <w:rFonts w:eastAsiaTheme="minorHAnsi" w:cs="Calibri"/>
          <w:b/>
        </w:rPr>
        <w:t>řízení byly k datu účetní závěrky u MZ</w:t>
      </w:r>
      <w:r w:rsidR="000721C1">
        <w:rPr>
          <w:rFonts w:eastAsiaTheme="minorHAnsi" w:cs="Calibri"/>
          <w:b/>
        </w:rPr>
        <w:t>d</w:t>
      </w:r>
      <w:r w:rsidR="003C01A5">
        <w:rPr>
          <w:rFonts w:eastAsiaTheme="minorHAnsi" w:cs="Calibri"/>
          <w:b/>
        </w:rPr>
        <w:t xml:space="preserve"> vykázány</w:t>
      </w:r>
      <w:r w:rsidR="003C01A5" w:rsidRPr="00B30899">
        <w:rPr>
          <w:rFonts w:eastAsiaTheme="minorHAnsi" w:cs="Calibri"/>
          <w:b/>
        </w:rPr>
        <w:t xml:space="preserve"> ve výši </w:t>
      </w:r>
      <w:r w:rsidR="00893753">
        <w:rPr>
          <w:rFonts w:eastAsiaTheme="minorHAnsi" w:cs="Calibri"/>
          <w:b/>
        </w:rPr>
        <w:t>12 </w:t>
      </w:r>
      <w:r w:rsidR="003C01A5">
        <w:rPr>
          <w:rFonts w:eastAsiaTheme="minorHAnsi" w:cs="Calibri"/>
          <w:b/>
        </w:rPr>
        <w:t>mld</w:t>
      </w:r>
      <w:r w:rsidR="003C01A5" w:rsidRPr="00B30899">
        <w:rPr>
          <w:rFonts w:eastAsiaTheme="minorHAnsi" w:cs="Calibri"/>
          <w:b/>
        </w:rPr>
        <w:t xml:space="preserve">. Kč. </w:t>
      </w:r>
      <w:r w:rsidR="002073BC" w:rsidRPr="00B30899">
        <w:rPr>
          <w:rFonts w:eastAsiaTheme="minorHAnsi" w:cs="Calibri"/>
          <w:b/>
        </w:rPr>
        <w:t>Všechny tyto podmíněné závazky</w:t>
      </w:r>
      <w:r w:rsidR="00287651" w:rsidRPr="00B30899">
        <w:rPr>
          <w:rFonts w:eastAsiaTheme="minorHAnsi" w:cs="Calibri"/>
          <w:b/>
        </w:rPr>
        <w:t xml:space="preserve"> představují </w:t>
      </w:r>
      <w:r w:rsidR="002073BC" w:rsidRPr="00B30899">
        <w:rPr>
          <w:rFonts w:eastAsiaTheme="minorHAnsi" w:cs="Calibri"/>
          <w:b/>
        </w:rPr>
        <w:t>potenciální</w:t>
      </w:r>
      <w:r w:rsidR="00287651" w:rsidRPr="00B30899">
        <w:rPr>
          <w:rFonts w:eastAsiaTheme="minorHAnsi" w:cs="Calibri"/>
          <w:b/>
        </w:rPr>
        <w:t xml:space="preserve"> nároky na rozpočty dalších období</w:t>
      </w:r>
      <w:r w:rsidR="00287651" w:rsidRPr="00B30899">
        <w:rPr>
          <w:rStyle w:val="Znakapoznpodarou"/>
          <w:rFonts w:eastAsiaTheme="minorHAnsi" w:cs="Calibri"/>
          <w:b/>
        </w:rPr>
        <w:footnoteReference w:id="18"/>
      </w:r>
      <w:r w:rsidR="00287651" w:rsidRPr="00B30899">
        <w:rPr>
          <w:rFonts w:eastAsiaTheme="minorHAnsi" w:cs="Calibri"/>
          <w:b/>
        </w:rPr>
        <w:t xml:space="preserve">. </w:t>
      </w:r>
    </w:p>
    <w:p w14:paraId="0DB7D8FB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09678867" w14:textId="1C6EEF49" w:rsidR="00BA1A35" w:rsidRPr="00B30899" w:rsidRDefault="007D39CE" w:rsidP="00B30899">
      <w:pPr>
        <w:widowControl w:val="0"/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I</w:t>
      </w:r>
      <w:r w:rsidR="00E43F6E" w:rsidRPr="00B30899">
        <w:rPr>
          <w:rFonts w:eastAsiaTheme="minorHAnsi" w:cs="Calibri"/>
          <w:b/>
        </w:rPr>
        <w:t>nformací</w:t>
      </w:r>
      <w:r w:rsidR="00A5665E" w:rsidRPr="00B30899">
        <w:rPr>
          <w:rFonts w:eastAsiaTheme="minorHAnsi" w:cs="Calibri"/>
          <w:b/>
        </w:rPr>
        <w:t xml:space="preserve"> bez peněžního toku v roce 2017 je</w:t>
      </w:r>
      <w:r w:rsidRPr="00B30899">
        <w:rPr>
          <w:rFonts w:eastAsiaTheme="minorHAnsi" w:cs="Calibri"/>
          <w:b/>
        </w:rPr>
        <w:t xml:space="preserve"> také</w:t>
      </w:r>
      <w:r w:rsidR="00A5665E" w:rsidRPr="00B30899">
        <w:rPr>
          <w:rFonts w:eastAsiaTheme="minorHAnsi" w:cs="Calibri"/>
          <w:b/>
        </w:rPr>
        <w:t xml:space="preserve"> t</w:t>
      </w:r>
      <w:r w:rsidR="00287651" w:rsidRPr="00B30899">
        <w:rPr>
          <w:rFonts w:eastAsiaTheme="minorHAnsi" w:cs="Calibri"/>
          <w:b/>
        </w:rPr>
        <w:t>vorba rezer</w:t>
      </w:r>
      <w:r w:rsidR="00A5665E" w:rsidRPr="00B30899">
        <w:rPr>
          <w:rFonts w:eastAsiaTheme="minorHAnsi" w:cs="Calibri"/>
          <w:b/>
        </w:rPr>
        <w:t xml:space="preserve">v </w:t>
      </w:r>
      <w:r w:rsidR="00287651" w:rsidRPr="00B30899">
        <w:rPr>
          <w:rFonts w:eastAsiaTheme="minorHAnsi" w:cs="Calibri"/>
          <w:b/>
        </w:rPr>
        <w:t>v</w:t>
      </w:r>
      <w:r w:rsidR="00A5665E" w:rsidRPr="00B30899">
        <w:rPr>
          <w:rFonts w:eastAsiaTheme="minorHAnsi" w:cs="Calibri"/>
          <w:b/>
        </w:rPr>
        <w:t> </w:t>
      </w:r>
      <w:r w:rsidR="00287651" w:rsidRPr="00B30899">
        <w:rPr>
          <w:rFonts w:eastAsiaTheme="minorHAnsi" w:cs="Calibri"/>
          <w:b/>
        </w:rPr>
        <w:t>důsledku</w:t>
      </w:r>
      <w:r w:rsidR="00A5665E" w:rsidRPr="00B30899">
        <w:rPr>
          <w:rFonts w:eastAsiaTheme="minorHAnsi" w:cs="Calibri"/>
          <w:b/>
        </w:rPr>
        <w:t xml:space="preserve"> rizik </w:t>
      </w:r>
      <w:r w:rsidR="00287651" w:rsidRPr="00B30899">
        <w:rPr>
          <w:rFonts w:eastAsiaTheme="minorHAnsi" w:cs="Calibri"/>
          <w:b/>
        </w:rPr>
        <w:t>identifikovaných v průběhu roku</w:t>
      </w:r>
      <w:r w:rsidR="00A5665E" w:rsidRPr="00B30899">
        <w:rPr>
          <w:rFonts w:eastAsiaTheme="minorHAnsi" w:cs="Calibri"/>
          <w:b/>
        </w:rPr>
        <w:t>, u kterých je zřejmé,</w:t>
      </w:r>
      <w:r w:rsidR="00287651" w:rsidRPr="00B30899">
        <w:rPr>
          <w:rFonts w:eastAsiaTheme="minorHAnsi" w:cs="Calibri"/>
          <w:b/>
        </w:rPr>
        <w:t xml:space="preserve"> že</w:t>
      </w:r>
      <w:r w:rsidR="00A5665E" w:rsidRPr="00B30899">
        <w:rPr>
          <w:rFonts w:eastAsiaTheme="minorHAnsi" w:cs="Calibri"/>
          <w:b/>
        </w:rPr>
        <w:t xml:space="preserve"> </w:t>
      </w:r>
      <w:r w:rsidR="00287651" w:rsidRPr="00B30899">
        <w:rPr>
          <w:rFonts w:eastAsiaTheme="minorHAnsi" w:cs="Calibri"/>
          <w:b/>
        </w:rPr>
        <w:t>si vyžádají výdaje v dalších obdobích.</w:t>
      </w:r>
      <w:r w:rsidR="00A5665E" w:rsidRPr="00B30899">
        <w:rPr>
          <w:rFonts w:eastAsiaTheme="minorHAnsi" w:cs="Calibri"/>
          <w:b/>
        </w:rPr>
        <w:t xml:space="preserve"> K datu účetní závěrky jsou </w:t>
      </w:r>
      <w:r w:rsidR="00E43F6E" w:rsidRPr="00B30899">
        <w:rPr>
          <w:rFonts w:eastAsiaTheme="minorHAnsi" w:cs="Calibri"/>
          <w:b/>
        </w:rPr>
        <w:t xml:space="preserve">u </w:t>
      </w:r>
      <w:r w:rsidR="00B931B2">
        <w:rPr>
          <w:rFonts w:eastAsiaTheme="minorHAnsi" w:cs="Calibri"/>
          <w:b/>
        </w:rPr>
        <w:t>MZ</w:t>
      </w:r>
      <w:r w:rsidR="000721C1">
        <w:rPr>
          <w:rFonts w:eastAsiaTheme="minorHAnsi" w:cs="Calibri"/>
          <w:b/>
        </w:rPr>
        <w:t>d</w:t>
      </w:r>
      <w:r w:rsidR="00E43F6E" w:rsidRPr="00B30899">
        <w:rPr>
          <w:rFonts w:eastAsiaTheme="minorHAnsi" w:cs="Calibri"/>
          <w:b/>
        </w:rPr>
        <w:t xml:space="preserve"> </w:t>
      </w:r>
      <w:r w:rsidR="00A5665E" w:rsidRPr="00B30899">
        <w:rPr>
          <w:rFonts w:eastAsiaTheme="minorHAnsi" w:cs="Calibri"/>
          <w:b/>
        </w:rPr>
        <w:t>vykázány rezervy</w:t>
      </w:r>
      <w:r w:rsidR="00B931B2">
        <w:rPr>
          <w:rFonts w:eastAsiaTheme="minorHAnsi" w:cs="Calibri"/>
          <w:b/>
        </w:rPr>
        <w:t xml:space="preserve"> v nulové výši</w:t>
      </w:r>
      <w:r w:rsidR="00A7490F">
        <w:rPr>
          <w:rFonts w:eastAsiaTheme="minorHAnsi" w:cs="Calibri"/>
          <w:b/>
        </w:rPr>
        <w:t>,</w:t>
      </w:r>
      <w:r w:rsidR="00A7490F" w:rsidRPr="00A7490F">
        <w:rPr>
          <w:rFonts w:asciiTheme="minorHAnsi" w:hAnsiTheme="minorHAnsi" w:cstheme="minorHAnsi"/>
        </w:rPr>
        <w:t xml:space="preserve"> </w:t>
      </w:r>
      <w:r w:rsidR="00A7490F" w:rsidRPr="00113B06">
        <w:rPr>
          <w:rFonts w:asciiTheme="minorHAnsi" w:hAnsiTheme="minorHAnsi" w:cstheme="minorHAnsi"/>
          <w:b/>
        </w:rPr>
        <w:t>rezervy za kapitolu 335 MZ</w:t>
      </w:r>
      <w:r w:rsidR="000721C1">
        <w:rPr>
          <w:rFonts w:asciiTheme="minorHAnsi" w:hAnsiTheme="minorHAnsi" w:cstheme="minorHAnsi"/>
          <w:b/>
        </w:rPr>
        <w:t>d</w:t>
      </w:r>
      <w:r w:rsidR="00A7490F" w:rsidRPr="00113B06">
        <w:rPr>
          <w:rFonts w:asciiTheme="minorHAnsi" w:hAnsiTheme="minorHAnsi" w:cstheme="minorHAnsi"/>
          <w:b/>
        </w:rPr>
        <w:t xml:space="preserve"> (tzn.</w:t>
      </w:r>
      <w:r w:rsidR="00510195" w:rsidRPr="00113B06">
        <w:rPr>
          <w:rFonts w:asciiTheme="minorHAnsi" w:hAnsiTheme="minorHAnsi" w:cstheme="minorHAnsi"/>
          <w:b/>
        </w:rPr>
        <w:t xml:space="preserve"> </w:t>
      </w:r>
      <w:r w:rsidR="00A7490F" w:rsidRPr="00113B06">
        <w:rPr>
          <w:rFonts w:asciiTheme="minorHAnsi" w:hAnsiTheme="minorHAnsi" w:cstheme="minorHAnsi"/>
          <w:b/>
        </w:rPr>
        <w:t>za</w:t>
      </w:r>
      <w:r w:rsidR="007A0E0E" w:rsidRPr="00113B06">
        <w:rPr>
          <w:rFonts w:asciiTheme="minorHAnsi" w:hAnsiTheme="minorHAnsi" w:cstheme="minorHAnsi"/>
          <w:b/>
        </w:rPr>
        <w:t xml:space="preserve"> všechny</w:t>
      </w:r>
      <w:r w:rsidR="00A7490F" w:rsidRPr="00113B06">
        <w:rPr>
          <w:rFonts w:asciiTheme="minorHAnsi" w:hAnsiTheme="minorHAnsi" w:cstheme="minorHAnsi"/>
          <w:b/>
        </w:rPr>
        <w:t xml:space="preserve"> OSS a PO) byly k datu účetní závěrky vykázány v souhrnné výši 243 mil. Kč.</w:t>
      </w:r>
      <w:r w:rsidR="00B931B2" w:rsidRPr="00113B06">
        <w:rPr>
          <w:rFonts w:eastAsiaTheme="minorHAnsi" w:cs="Calibri"/>
          <w:b/>
        </w:rPr>
        <w:t xml:space="preserve"> </w:t>
      </w:r>
    </w:p>
    <w:p w14:paraId="4AA46C4A" w14:textId="11E2EEA1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1BDA59E9" w14:textId="3CDCAA33" w:rsidR="00203788" w:rsidRPr="00B30899" w:rsidRDefault="00547D0C" w:rsidP="00B30899">
      <w:pPr>
        <w:widowControl w:val="0"/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Stejně tak informace z výkazu zisku a ztráty o výši nákladů z</w:t>
      </w:r>
      <w:r w:rsidR="008B5D16" w:rsidRPr="00B30899">
        <w:rPr>
          <w:rFonts w:eastAsiaTheme="minorHAnsi" w:cs="Calibri"/>
          <w:b/>
        </w:rPr>
        <w:t> </w:t>
      </w:r>
      <w:r w:rsidRPr="00B30899">
        <w:rPr>
          <w:rFonts w:eastAsiaTheme="minorHAnsi" w:cs="Calibri"/>
          <w:b/>
        </w:rPr>
        <w:t>činnosti</w:t>
      </w:r>
      <w:r w:rsidR="008B5D16" w:rsidRPr="00B30899">
        <w:rPr>
          <w:rFonts w:eastAsiaTheme="minorHAnsi" w:cs="Calibri"/>
          <w:b/>
        </w:rPr>
        <w:t xml:space="preserve"> </w:t>
      </w:r>
      <w:r w:rsidR="008B5D16" w:rsidRPr="002053F1">
        <w:rPr>
          <w:rFonts w:eastAsiaTheme="minorHAnsi" w:cs="Calibri"/>
          <w:b/>
        </w:rPr>
        <w:t>(</w:t>
      </w:r>
      <w:r w:rsidR="002053F1" w:rsidRPr="002053F1">
        <w:rPr>
          <w:rFonts w:eastAsiaTheme="minorHAnsi" w:cs="Calibri"/>
          <w:b/>
        </w:rPr>
        <w:t>770</w:t>
      </w:r>
      <w:r w:rsidR="008B5D16" w:rsidRPr="00B30899">
        <w:rPr>
          <w:rFonts w:eastAsiaTheme="minorHAnsi" w:cs="Calibri"/>
          <w:b/>
        </w:rPr>
        <w:t xml:space="preserve"> m</w:t>
      </w:r>
      <w:r w:rsidR="002053F1">
        <w:rPr>
          <w:rFonts w:eastAsiaTheme="minorHAnsi" w:cs="Calibri"/>
          <w:b/>
        </w:rPr>
        <w:t>il</w:t>
      </w:r>
      <w:r w:rsidR="008B5D16" w:rsidRPr="00B30899">
        <w:rPr>
          <w:rFonts w:eastAsiaTheme="minorHAnsi" w:cs="Calibri"/>
          <w:b/>
        </w:rPr>
        <w:t>. Kč)</w:t>
      </w:r>
      <w:r w:rsidRPr="00B30899">
        <w:rPr>
          <w:rFonts w:eastAsiaTheme="minorHAnsi" w:cs="Calibri"/>
          <w:b/>
        </w:rPr>
        <w:t xml:space="preserve"> M</w:t>
      </w:r>
      <w:r w:rsidR="00C853FE" w:rsidRPr="00B30899">
        <w:rPr>
          <w:rFonts w:eastAsiaTheme="minorHAnsi" w:cs="Calibri"/>
          <w:b/>
        </w:rPr>
        <w:t>Z</w:t>
      </w:r>
      <w:r w:rsidR="00BA3F1F">
        <w:rPr>
          <w:rFonts w:eastAsiaTheme="minorHAnsi" w:cs="Calibri"/>
          <w:b/>
        </w:rPr>
        <w:t>d</w:t>
      </w:r>
      <w:r w:rsidR="00C40742" w:rsidRPr="00B30899">
        <w:rPr>
          <w:rFonts w:eastAsiaTheme="minorHAnsi" w:cs="Calibri"/>
          <w:b/>
        </w:rPr>
        <w:t xml:space="preserve"> </w:t>
      </w:r>
      <w:r w:rsidR="0071755D" w:rsidRPr="00B30899">
        <w:rPr>
          <w:rFonts w:eastAsiaTheme="minorHAnsi" w:cs="Calibri"/>
          <w:b/>
        </w:rPr>
        <w:t>nev</w:t>
      </w:r>
      <w:r w:rsidRPr="00B30899">
        <w:rPr>
          <w:rFonts w:eastAsiaTheme="minorHAnsi" w:cs="Calibri"/>
          <w:b/>
        </w:rPr>
        <w:t xml:space="preserve">ypovídá o </w:t>
      </w:r>
      <w:r w:rsidR="0071755D" w:rsidRPr="00B30899">
        <w:rPr>
          <w:rFonts w:eastAsiaTheme="minorHAnsi" w:cs="Calibri"/>
          <w:b/>
        </w:rPr>
        <w:t>realizovaných výdajích na činnost</w:t>
      </w:r>
      <w:r w:rsidR="009C1214">
        <w:rPr>
          <w:rFonts w:eastAsiaTheme="minorHAnsi" w:cs="Calibri"/>
          <w:b/>
        </w:rPr>
        <w:t xml:space="preserve"> (463 mil. Kč)</w:t>
      </w:r>
      <w:r w:rsidR="0071755D" w:rsidRPr="00B30899">
        <w:rPr>
          <w:rFonts w:eastAsiaTheme="minorHAnsi" w:cs="Calibri"/>
          <w:b/>
        </w:rPr>
        <w:t xml:space="preserve">, ale o </w:t>
      </w:r>
      <w:r w:rsidRPr="00B30899">
        <w:rPr>
          <w:rFonts w:eastAsiaTheme="minorHAnsi" w:cs="Calibri"/>
          <w:b/>
        </w:rPr>
        <w:t>celkové spotřebě zdrojů na činno</w:t>
      </w:r>
      <w:r w:rsidR="00113F2D">
        <w:rPr>
          <w:rFonts w:eastAsiaTheme="minorHAnsi" w:cs="Calibri"/>
          <w:b/>
        </w:rPr>
        <w:t>st MZ</w:t>
      </w:r>
      <w:r w:rsidR="000721C1">
        <w:rPr>
          <w:rFonts w:eastAsiaTheme="minorHAnsi" w:cs="Calibri"/>
          <w:b/>
        </w:rPr>
        <w:t>d</w:t>
      </w:r>
      <w:r w:rsidRPr="00B30899">
        <w:rPr>
          <w:rFonts w:eastAsiaTheme="minorHAnsi" w:cs="Calibri"/>
          <w:b/>
        </w:rPr>
        <w:t xml:space="preserve"> v roce 2017. Ve struktuře těchto nákladů jsou kvantitativně významné </w:t>
      </w:r>
      <w:r w:rsidRPr="002053F1">
        <w:rPr>
          <w:rFonts w:eastAsiaTheme="minorHAnsi" w:cs="Calibri"/>
          <w:b/>
        </w:rPr>
        <w:t>náklady na služby</w:t>
      </w:r>
      <w:r w:rsidR="008B5D16" w:rsidRPr="002053F1">
        <w:rPr>
          <w:rFonts w:eastAsiaTheme="minorHAnsi" w:cs="Calibri"/>
          <w:b/>
        </w:rPr>
        <w:t xml:space="preserve"> </w:t>
      </w:r>
      <w:r w:rsidR="002053F1" w:rsidRPr="002053F1">
        <w:rPr>
          <w:rFonts w:eastAsiaTheme="minorHAnsi" w:cs="Calibri"/>
          <w:b/>
        </w:rPr>
        <w:t>(47,72</w:t>
      </w:r>
      <w:r w:rsidR="008B5D16" w:rsidRPr="002053F1">
        <w:rPr>
          <w:rFonts w:eastAsiaTheme="minorHAnsi" w:cs="Calibri"/>
          <w:b/>
        </w:rPr>
        <w:t xml:space="preserve"> % z celkových nákladů z činnosti)</w:t>
      </w:r>
      <w:r w:rsidR="00681C83" w:rsidRPr="002053F1">
        <w:rPr>
          <w:rFonts w:eastAsiaTheme="minorHAnsi" w:cs="Calibri"/>
          <w:b/>
        </w:rPr>
        <w:t>, které</w:t>
      </w:r>
      <w:r w:rsidR="008B5D16" w:rsidRPr="002053F1">
        <w:rPr>
          <w:rFonts w:eastAsiaTheme="minorHAnsi" w:cs="Calibri"/>
          <w:b/>
        </w:rPr>
        <w:t xml:space="preserve"> </w:t>
      </w:r>
      <w:r w:rsidR="00681C83" w:rsidRPr="002053F1">
        <w:rPr>
          <w:rFonts w:eastAsiaTheme="minorHAnsi" w:cs="Calibri"/>
          <w:b/>
        </w:rPr>
        <w:t xml:space="preserve">byly </w:t>
      </w:r>
      <w:r w:rsidR="008B5D16" w:rsidRPr="002053F1">
        <w:rPr>
          <w:rFonts w:eastAsiaTheme="minorHAnsi" w:cs="Calibri"/>
          <w:b/>
        </w:rPr>
        <w:t>za rok 2017 vy</w:t>
      </w:r>
      <w:r w:rsidRPr="002053F1">
        <w:rPr>
          <w:rFonts w:eastAsiaTheme="minorHAnsi" w:cs="Calibri"/>
          <w:b/>
        </w:rPr>
        <w:t>šší než mzdové náklady</w:t>
      </w:r>
      <w:r w:rsidR="002053F1" w:rsidRPr="002053F1">
        <w:rPr>
          <w:rFonts w:eastAsiaTheme="minorHAnsi" w:cs="Calibri"/>
          <w:b/>
        </w:rPr>
        <w:t xml:space="preserve"> MZ</w:t>
      </w:r>
      <w:r w:rsidR="000721C1">
        <w:rPr>
          <w:rFonts w:eastAsiaTheme="minorHAnsi" w:cs="Calibri"/>
          <w:b/>
        </w:rPr>
        <w:t>d</w:t>
      </w:r>
      <w:r w:rsidR="004566B8" w:rsidRPr="002053F1">
        <w:rPr>
          <w:rFonts w:eastAsiaTheme="minorHAnsi" w:cs="Calibri"/>
          <w:b/>
        </w:rPr>
        <w:t xml:space="preserve"> </w:t>
      </w:r>
      <w:r w:rsidRPr="002053F1">
        <w:rPr>
          <w:rFonts w:eastAsiaTheme="minorHAnsi" w:cs="Calibri"/>
          <w:b/>
        </w:rPr>
        <w:t>včetně souvisejících odvodů.</w:t>
      </w:r>
      <w:r w:rsidRPr="00B30899">
        <w:rPr>
          <w:rFonts w:eastAsiaTheme="minorHAnsi" w:cs="Calibri"/>
          <w:b/>
        </w:rPr>
        <w:t xml:space="preserve"> </w:t>
      </w:r>
    </w:p>
    <w:p w14:paraId="4C9C8D37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22B7FB84" w14:textId="382A2ECD" w:rsidR="00941E2F" w:rsidRPr="00B30899" w:rsidRDefault="004A017B" w:rsidP="00B30899">
      <w:pPr>
        <w:widowControl w:val="0"/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 xml:space="preserve">Dle názoru NKÚ by povinné uvádění těchto </w:t>
      </w:r>
      <w:r w:rsidR="00010948" w:rsidRPr="00B30899">
        <w:rPr>
          <w:rFonts w:cs="Calibri"/>
          <w:b/>
        </w:rPr>
        <w:t xml:space="preserve">a případně i dalších informací, </w:t>
      </w:r>
      <w:r w:rsidR="00F04529">
        <w:rPr>
          <w:rFonts w:cs="Calibri"/>
          <w:b/>
        </w:rPr>
        <w:t>které vy</w:t>
      </w:r>
      <w:r w:rsidR="00010948" w:rsidRPr="00B30899">
        <w:rPr>
          <w:rFonts w:cs="Calibri"/>
          <w:b/>
        </w:rPr>
        <w:t>pl</w:t>
      </w:r>
      <w:r w:rsidR="00F04529">
        <w:rPr>
          <w:rFonts w:cs="Calibri"/>
          <w:b/>
        </w:rPr>
        <w:t>ývají</w:t>
      </w:r>
      <w:r w:rsidR="00010948" w:rsidRPr="00B30899">
        <w:rPr>
          <w:rFonts w:cs="Calibri"/>
          <w:b/>
        </w:rPr>
        <w:t xml:space="preserve"> </w:t>
      </w:r>
      <w:r w:rsidR="00547D0C" w:rsidRPr="00B30899">
        <w:rPr>
          <w:rFonts w:cs="Calibri"/>
          <w:b/>
        </w:rPr>
        <w:t xml:space="preserve">zejména </w:t>
      </w:r>
      <w:r w:rsidR="00010948" w:rsidRPr="00B30899">
        <w:rPr>
          <w:rFonts w:cs="Calibri"/>
          <w:b/>
        </w:rPr>
        <w:t>z rozdílů mezi</w:t>
      </w:r>
      <w:r w:rsidRPr="00B30899">
        <w:rPr>
          <w:rFonts w:cs="Calibri"/>
          <w:b/>
        </w:rPr>
        <w:t xml:space="preserve"> </w:t>
      </w:r>
      <w:r w:rsidR="00010948" w:rsidRPr="00B30899">
        <w:rPr>
          <w:rFonts w:cs="Calibri"/>
          <w:b/>
        </w:rPr>
        <w:t>výsledky hospodaření vykazovanými na pen</w:t>
      </w:r>
      <w:r w:rsidRPr="00B30899">
        <w:rPr>
          <w:rFonts w:cs="Calibri"/>
          <w:b/>
        </w:rPr>
        <w:t>ěžní a</w:t>
      </w:r>
      <w:r w:rsidR="00010948" w:rsidRPr="00B30899">
        <w:rPr>
          <w:rFonts w:cs="Calibri"/>
          <w:b/>
        </w:rPr>
        <w:t xml:space="preserve"> na</w:t>
      </w:r>
      <w:r w:rsidRPr="00B30899">
        <w:rPr>
          <w:rFonts w:cs="Calibri"/>
          <w:b/>
        </w:rPr>
        <w:t xml:space="preserve"> akruální bázi</w:t>
      </w:r>
      <w:r w:rsidR="00010948" w:rsidRPr="00B30899">
        <w:rPr>
          <w:rFonts w:cs="Calibri"/>
          <w:b/>
        </w:rPr>
        <w:t>, vedlo ke zlepšení vypovídací schopnosti informací uváděných v závěrečném účtu kapitoly státního rozpočtu o výsledcích jejího hospodaření.</w:t>
      </w:r>
      <w:r w:rsidR="00F06F8E" w:rsidRPr="00B30899">
        <w:rPr>
          <w:rFonts w:cs="Calibri"/>
          <w:b/>
        </w:rPr>
        <w:t xml:space="preserve"> </w:t>
      </w:r>
      <w:r w:rsidR="00E16149" w:rsidRPr="00B30899">
        <w:rPr>
          <w:rFonts w:cs="Calibri"/>
          <w:b/>
        </w:rPr>
        <w:t xml:space="preserve">Podle názoru NKÚ se jedná </w:t>
      </w:r>
      <w:r w:rsidR="00F06F8E" w:rsidRPr="00B30899">
        <w:rPr>
          <w:rFonts w:cs="Calibri"/>
          <w:b/>
        </w:rPr>
        <w:t xml:space="preserve">o systémový nedostatek vyhlášky č. 419/2001 </w:t>
      </w:r>
      <w:r w:rsidR="00113F2D">
        <w:rPr>
          <w:rFonts w:cs="Calibri"/>
          <w:b/>
        </w:rPr>
        <w:t>Sb., který není dáván k tíži MZ</w:t>
      </w:r>
      <w:r w:rsidR="000721C1">
        <w:rPr>
          <w:rFonts w:cs="Calibri"/>
          <w:b/>
        </w:rPr>
        <w:t>d</w:t>
      </w:r>
      <w:r w:rsidR="00F06F8E" w:rsidRPr="00B30899">
        <w:rPr>
          <w:rFonts w:cs="Calibri"/>
          <w:b/>
        </w:rPr>
        <w:t>.</w:t>
      </w:r>
    </w:p>
    <w:p w14:paraId="0738AF74" w14:textId="17A94061" w:rsidR="00941E2F" w:rsidRPr="00B30899" w:rsidRDefault="00941E2F" w:rsidP="00E23786">
      <w:pPr>
        <w:jc w:val="both"/>
        <w:rPr>
          <w:rFonts w:cs="Calibri"/>
          <w:b/>
        </w:rPr>
      </w:pPr>
    </w:p>
    <w:p w14:paraId="0F6EECD5" w14:textId="64686C48" w:rsidR="0038058B" w:rsidRPr="004E0283" w:rsidRDefault="00A7490F" w:rsidP="0038058B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8058B" w:rsidRPr="004E0283">
        <w:rPr>
          <w:rFonts w:ascii="Calibri" w:hAnsi="Calibri" w:cs="Calibri"/>
        </w:rPr>
        <w:t>. Vnitřní kontrolní systém</w:t>
      </w:r>
    </w:p>
    <w:p w14:paraId="668A9F23" w14:textId="313888AB" w:rsidR="00CF2F57" w:rsidRPr="00942BF3" w:rsidRDefault="00CF2F57" w:rsidP="00B30899">
      <w:pPr>
        <w:spacing w:after="0"/>
        <w:jc w:val="both"/>
        <w:rPr>
          <w:rFonts w:cs="Calibri"/>
        </w:rPr>
      </w:pPr>
    </w:p>
    <w:p w14:paraId="3842A887" w14:textId="3B2180D4" w:rsidR="002E6156" w:rsidRPr="003B4841" w:rsidRDefault="004D5986" w:rsidP="002E6156">
      <w:pPr>
        <w:spacing w:after="0"/>
        <w:jc w:val="both"/>
        <w:rPr>
          <w:rFonts w:cs="Calibri"/>
        </w:rPr>
      </w:pPr>
      <w:r w:rsidRPr="00F74C0E">
        <w:rPr>
          <w:rFonts w:cs="Calibri"/>
          <w:b/>
        </w:rPr>
        <w:t>Při kontrole byla identifikována r</w:t>
      </w:r>
      <w:r w:rsidR="006366D4" w:rsidRPr="00F74C0E">
        <w:rPr>
          <w:rFonts w:cs="Calibri"/>
          <w:b/>
        </w:rPr>
        <w:t>izika ve vnitřním kontrolním systému</w:t>
      </w:r>
      <w:r w:rsidR="004E0283">
        <w:rPr>
          <w:rFonts w:cs="Calibri"/>
        </w:rPr>
        <w:t xml:space="preserve"> (dále také „VKS</w:t>
      </w:r>
      <w:r w:rsidR="004E0283" w:rsidRPr="004A0ADF">
        <w:rPr>
          <w:rFonts w:cs="Calibri"/>
        </w:rPr>
        <w:t>“)</w:t>
      </w:r>
      <w:r w:rsidR="006366D4" w:rsidRPr="00F74C0E">
        <w:rPr>
          <w:rFonts w:cs="Calibri"/>
          <w:b/>
        </w:rPr>
        <w:t xml:space="preserve"> </w:t>
      </w:r>
      <w:r w:rsidRPr="00F74C0E">
        <w:rPr>
          <w:rFonts w:cs="Calibri"/>
          <w:b/>
        </w:rPr>
        <w:t>MZ</w:t>
      </w:r>
      <w:r w:rsidR="000721C1">
        <w:rPr>
          <w:rFonts w:cs="Calibri"/>
          <w:b/>
        </w:rPr>
        <w:t>d</w:t>
      </w:r>
      <w:r w:rsidR="00F04529">
        <w:rPr>
          <w:rFonts w:cs="Calibri"/>
          <w:b/>
        </w:rPr>
        <w:t>,</w:t>
      </w:r>
      <w:r w:rsidR="004E0283" w:rsidRPr="00F74C0E">
        <w:rPr>
          <w:rFonts w:cs="Calibri"/>
          <w:b/>
        </w:rPr>
        <w:t xml:space="preserve"> </w:t>
      </w:r>
      <w:r w:rsidR="00F04529">
        <w:rPr>
          <w:rFonts w:cs="Calibri"/>
          <w:b/>
        </w:rPr>
        <w:t xml:space="preserve">a to </w:t>
      </w:r>
      <w:r w:rsidR="004E0283" w:rsidRPr="00F74C0E">
        <w:rPr>
          <w:rFonts w:cs="Calibri"/>
          <w:b/>
        </w:rPr>
        <w:t xml:space="preserve">jak na úrovni nastavení VKS </w:t>
      </w:r>
      <w:r w:rsidR="004E0283">
        <w:rPr>
          <w:rFonts w:cs="Calibri"/>
        </w:rPr>
        <w:t>(</w:t>
      </w:r>
      <w:r w:rsidR="00F04529">
        <w:rPr>
          <w:rFonts w:cs="Calibri"/>
        </w:rPr>
        <w:t>vnitřní předpisy u</w:t>
      </w:r>
      <w:r w:rsidR="004E0283">
        <w:rPr>
          <w:rFonts w:cs="Calibri"/>
        </w:rPr>
        <w:t>mož</w:t>
      </w:r>
      <w:r w:rsidR="00F04529">
        <w:rPr>
          <w:rFonts w:cs="Calibri"/>
        </w:rPr>
        <w:t>ňují</w:t>
      </w:r>
      <w:r w:rsidR="004E0283">
        <w:rPr>
          <w:rFonts w:cs="Calibri"/>
        </w:rPr>
        <w:t xml:space="preserve"> sloučení funkce příkazce operace a </w:t>
      </w:r>
      <w:r w:rsidR="00F04529">
        <w:rPr>
          <w:rFonts w:cs="Calibri"/>
        </w:rPr>
        <w:t xml:space="preserve">funkce </w:t>
      </w:r>
      <w:r w:rsidR="004E0283">
        <w:rPr>
          <w:rFonts w:cs="Calibri"/>
        </w:rPr>
        <w:t>správce rozpočtu</w:t>
      </w:r>
      <w:r w:rsidR="004E0283" w:rsidRPr="004A0ADF">
        <w:rPr>
          <w:rFonts w:cs="Calibri"/>
        </w:rPr>
        <w:t>),</w:t>
      </w:r>
      <w:r w:rsidR="004E0283" w:rsidRPr="00F74C0E">
        <w:rPr>
          <w:rFonts w:cs="Calibri"/>
          <w:b/>
        </w:rPr>
        <w:t xml:space="preserve"> tak v</w:t>
      </w:r>
      <w:r w:rsidR="003065EB">
        <w:rPr>
          <w:rFonts w:cs="Calibri"/>
          <w:b/>
        </w:rPr>
        <w:t> </w:t>
      </w:r>
      <w:r w:rsidR="004E0283" w:rsidRPr="00F74C0E">
        <w:rPr>
          <w:rFonts w:cs="Calibri"/>
          <w:b/>
        </w:rPr>
        <w:t>oblasti</w:t>
      </w:r>
      <w:r w:rsidR="003065EB">
        <w:rPr>
          <w:rFonts w:cs="Calibri"/>
          <w:b/>
        </w:rPr>
        <w:t xml:space="preserve"> </w:t>
      </w:r>
      <w:r w:rsidR="004E0283" w:rsidRPr="00F74C0E">
        <w:rPr>
          <w:rFonts w:cs="Calibri"/>
          <w:b/>
        </w:rPr>
        <w:t xml:space="preserve">řídící kontroly </w:t>
      </w:r>
      <w:r w:rsidR="003065EB" w:rsidRPr="00F74C0E">
        <w:rPr>
          <w:rFonts w:cs="Calibri"/>
          <w:b/>
        </w:rPr>
        <w:t xml:space="preserve">při </w:t>
      </w:r>
      <w:r w:rsidR="003065EB">
        <w:rPr>
          <w:rFonts w:cs="Calibri"/>
          <w:b/>
        </w:rPr>
        <w:t xml:space="preserve">a po </w:t>
      </w:r>
      <w:r w:rsidR="003065EB" w:rsidRPr="00F74C0E">
        <w:rPr>
          <w:rFonts w:cs="Calibri"/>
          <w:b/>
        </w:rPr>
        <w:t>realizaci některých operací</w:t>
      </w:r>
      <w:r w:rsidR="003065EB">
        <w:rPr>
          <w:rFonts w:cs="Calibri"/>
        </w:rPr>
        <w:t xml:space="preserve"> </w:t>
      </w:r>
      <w:r w:rsidR="004E0283">
        <w:rPr>
          <w:rFonts w:cs="Calibri"/>
        </w:rPr>
        <w:t xml:space="preserve">(realizace výdajů bez existence účinné smlouvy na poskytování právních služeb, neexistence možnosti jednoznačně přiřadit došlé faktury za poskytování právních služeb </w:t>
      </w:r>
      <w:r w:rsidR="00F04529">
        <w:rPr>
          <w:rFonts w:cs="Calibri"/>
        </w:rPr>
        <w:t>k</w:t>
      </w:r>
      <w:r w:rsidR="00343BD2">
        <w:rPr>
          <w:rFonts w:cs="Calibri"/>
        </w:rPr>
        <w:t> </w:t>
      </w:r>
      <w:r w:rsidR="004E0283">
        <w:rPr>
          <w:rFonts w:cs="Calibri"/>
        </w:rPr>
        <w:t>účinné smlouv</w:t>
      </w:r>
      <w:r w:rsidR="00F04529">
        <w:rPr>
          <w:rFonts w:cs="Calibri"/>
        </w:rPr>
        <w:t>ě</w:t>
      </w:r>
      <w:r w:rsidR="004E0283">
        <w:rPr>
          <w:rFonts w:cs="Calibri"/>
        </w:rPr>
        <w:t xml:space="preserve"> o</w:t>
      </w:r>
      <w:r w:rsidR="003065EB">
        <w:rPr>
          <w:rFonts w:cs="Calibri"/>
        </w:rPr>
        <w:t xml:space="preserve"> poskytování právních služeb</w:t>
      </w:r>
      <w:r w:rsidR="004E0283">
        <w:rPr>
          <w:rFonts w:cs="Calibri"/>
        </w:rPr>
        <w:t>, ztráta některých smluv o poskytování právních služeb z období před rokem 2017).</w:t>
      </w:r>
      <w:r w:rsidR="002E6156">
        <w:rPr>
          <w:rFonts w:cs="Calibri"/>
        </w:rPr>
        <w:t xml:space="preserve"> </w:t>
      </w:r>
      <w:r w:rsidR="002E6156" w:rsidRPr="00F74C0E">
        <w:rPr>
          <w:rFonts w:cs="Calibri"/>
          <w:b/>
        </w:rPr>
        <w:t>Interní audit MZ</w:t>
      </w:r>
      <w:r w:rsidR="000721C1">
        <w:rPr>
          <w:rFonts w:cs="Calibri"/>
          <w:b/>
        </w:rPr>
        <w:t>d</w:t>
      </w:r>
      <w:r w:rsidR="002E6156" w:rsidRPr="00F74C0E">
        <w:rPr>
          <w:rFonts w:cs="Calibri"/>
          <w:b/>
        </w:rPr>
        <w:t xml:space="preserve"> v rámci hodnocení obecné kvality VKS </w:t>
      </w:r>
      <w:r w:rsidR="00F9202F">
        <w:rPr>
          <w:rFonts w:cs="Calibri"/>
          <w:b/>
        </w:rPr>
        <w:t xml:space="preserve">přitom </w:t>
      </w:r>
      <w:r w:rsidR="002E6156">
        <w:rPr>
          <w:rFonts w:cs="Calibri"/>
          <w:b/>
        </w:rPr>
        <w:t xml:space="preserve">v </w:t>
      </w:r>
      <w:r w:rsidR="002E6156" w:rsidRPr="00F2171A">
        <w:rPr>
          <w:rFonts w:cs="Calibri"/>
          <w:b/>
          <w:i/>
        </w:rPr>
        <w:t>Roční zprávě</w:t>
      </w:r>
      <w:r w:rsidR="00893753" w:rsidRPr="00F2171A">
        <w:rPr>
          <w:rFonts w:cs="Calibri"/>
          <w:b/>
          <w:i/>
        </w:rPr>
        <w:t xml:space="preserve"> o </w:t>
      </w:r>
      <w:r w:rsidR="002E6156" w:rsidRPr="00F2171A">
        <w:rPr>
          <w:rFonts w:cs="Calibri"/>
          <w:b/>
          <w:i/>
        </w:rPr>
        <w:t>činnosti za rok 2017</w:t>
      </w:r>
      <w:r w:rsidR="002E6156">
        <w:rPr>
          <w:rFonts w:cs="Calibri"/>
          <w:b/>
        </w:rPr>
        <w:t xml:space="preserve"> </w:t>
      </w:r>
      <w:r w:rsidR="002E6156" w:rsidRPr="00F74C0E">
        <w:rPr>
          <w:rFonts w:cs="Calibri"/>
          <w:b/>
        </w:rPr>
        <w:t>uv</w:t>
      </w:r>
      <w:r w:rsidR="00F9202F">
        <w:rPr>
          <w:rFonts w:cs="Calibri"/>
          <w:b/>
        </w:rPr>
        <w:t>edl</w:t>
      </w:r>
      <w:r w:rsidR="002E6156" w:rsidRPr="00F74C0E">
        <w:rPr>
          <w:rFonts w:cs="Calibri"/>
          <w:b/>
        </w:rPr>
        <w:t xml:space="preserve">, že nedostatky zjištěné </w:t>
      </w:r>
      <w:r w:rsidR="002E6156" w:rsidRPr="00F74C0E">
        <w:rPr>
          <w:rFonts w:cs="Calibri"/>
          <w:b/>
        </w:rPr>
        <w:lastRenderedPageBreak/>
        <w:t>interními audity nebyly takového charakteru, aby zásadním způsobem ovlivnily výkon finančního řízení a činnost MZ</w:t>
      </w:r>
      <w:r w:rsidR="000721C1">
        <w:rPr>
          <w:rFonts w:cs="Calibri"/>
          <w:b/>
        </w:rPr>
        <w:t>d</w:t>
      </w:r>
      <w:r w:rsidR="002E6156" w:rsidRPr="00F74C0E">
        <w:rPr>
          <w:rFonts w:cs="Calibri"/>
          <w:b/>
        </w:rPr>
        <w:t>.</w:t>
      </w:r>
    </w:p>
    <w:p w14:paraId="4C0A5E53" w14:textId="70FBBCB8" w:rsidR="003065EB" w:rsidRPr="004E0283" w:rsidRDefault="003065EB" w:rsidP="00B30899">
      <w:pPr>
        <w:spacing w:after="0"/>
        <w:jc w:val="both"/>
        <w:rPr>
          <w:rFonts w:cs="Calibri"/>
        </w:rPr>
      </w:pPr>
    </w:p>
    <w:p w14:paraId="44497D60" w14:textId="7D89DDFC" w:rsidR="002E6156" w:rsidRDefault="007814C9" w:rsidP="004E0283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Také </w:t>
      </w:r>
      <w:r w:rsidR="003065EB" w:rsidRPr="00F74C0E">
        <w:rPr>
          <w:rFonts w:cs="Calibri"/>
          <w:b/>
        </w:rPr>
        <w:t xml:space="preserve">některé </w:t>
      </w:r>
      <w:r w:rsidR="004E0283" w:rsidRPr="00F74C0E">
        <w:rPr>
          <w:rFonts w:cs="Calibri"/>
          <w:b/>
        </w:rPr>
        <w:t>kontrolní prvky v systému</w:t>
      </w:r>
      <w:r w:rsidR="002E6156">
        <w:rPr>
          <w:rFonts w:cs="Calibri"/>
          <w:b/>
        </w:rPr>
        <w:t xml:space="preserve"> účetnictví</w:t>
      </w:r>
      <w:r w:rsidR="004E0283" w:rsidRPr="00F74C0E">
        <w:rPr>
          <w:rFonts w:cs="Calibri"/>
          <w:b/>
        </w:rPr>
        <w:t xml:space="preserve"> nefungovaly dostatečně</w:t>
      </w:r>
      <w:r w:rsidR="003065EB">
        <w:rPr>
          <w:rFonts w:cs="Calibri"/>
          <w:b/>
        </w:rPr>
        <w:t xml:space="preserve"> spolehlivě</w:t>
      </w:r>
      <w:r w:rsidR="002E6156">
        <w:rPr>
          <w:rFonts w:cs="Calibri"/>
          <w:b/>
        </w:rPr>
        <w:t>:</w:t>
      </w:r>
    </w:p>
    <w:p w14:paraId="3AE8D1A2" w14:textId="77777777" w:rsidR="003B4841" w:rsidRDefault="003B4841" w:rsidP="004E0283">
      <w:pPr>
        <w:spacing w:after="0"/>
        <w:jc w:val="both"/>
        <w:rPr>
          <w:rFonts w:cs="Calibri"/>
          <w:b/>
        </w:rPr>
      </w:pPr>
    </w:p>
    <w:p w14:paraId="03C2EF4B" w14:textId="3B957872" w:rsidR="004E0283" w:rsidRDefault="002E6156" w:rsidP="002B40DE">
      <w:pPr>
        <w:spacing w:after="0"/>
        <w:ind w:left="284" w:hanging="284"/>
        <w:jc w:val="both"/>
        <w:rPr>
          <w:rFonts w:cs="Calibri"/>
        </w:rPr>
      </w:pPr>
      <w:r w:rsidRPr="00F2171A">
        <w:rPr>
          <w:rFonts w:cs="Calibri"/>
        </w:rPr>
        <w:t xml:space="preserve">- </w:t>
      </w:r>
      <w:r w:rsidR="002B40DE" w:rsidRPr="00F2171A">
        <w:rPr>
          <w:rFonts w:cs="Calibri"/>
        </w:rPr>
        <w:tab/>
      </w:r>
      <w:r w:rsidRPr="002E6156">
        <w:rPr>
          <w:rFonts w:cs="Calibri"/>
          <w:b/>
        </w:rPr>
        <w:t>inventarizace</w:t>
      </w:r>
      <w:r w:rsidRPr="003B4841">
        <w:rPr>
          <w:rFonts w:cs="Calibri"/>
        </w:rPr>
        <w:t xml:space="preserve"> nebyla provedena v souladu se zákonem o účetnictví</w:t>
      </w:r>
      <w:r w:rsidRPr="002E6156">
        <w:rPr>
          <w:rFonts w:cs="Calibri"/>
        </w:rPr>
        <w:t xml:space="preserve"> a ani </w:t>
      </w:r>
      <w:r>
        <w:rPr>
          <w:rFonts w:cs="Calibri"/>
        </w:rPr>
        <w:t xml:space="preserve">žádná zpráva </w:t>
      </w:r>
      <w:r w:rsidRPr="003B4841">
        <w:rPr>
          <w:rFonts w:cs="Calibri"/>
          <w:b/>
        </w:rPr>
        <w:t>interního auditu</w:t>
      </w:r>
      <w:r>
        <w:rPr>
          <w:rFonts w:cs="Calibri"/>
        </w:rPr>
        <w:t xml:space="preserve"> neuvádí zjištění o skutečnostech, které by mohly způsobit neúplnost nebo neprůkaznost účetnictví</w:t>
      </w:r>
      <w:r w:rsidR="00F9202F">
        <w:rPr>
          <w:rFonts w:cs="Calibri"/>
        </w:rPr>
        <w:t>;</w:t>
      </w:r>
    </w:p>
    <w:p w14:paraId="0D587F02" w14:textId="18E65312" w:rsidR="003065EB" w:rsidRDefault="002E6156" w:rsidP="002B40DE">
      <w:pPr>
        <w:spacing w:after="0"/>
        <w:ind w:left="284" w:hanging="284"/>
        <w:jc w:val="both"/>
        <w:rPr>
          <w:rFonts w:cs="Calibri"/>
          <w:b/>
        </w:rPr>
      </w:pPr>
      <w:r w:rsidRPr="002E6156">
        <w:rPr>
          <w:rFonts w:cs="Calibri"/>
        </w:rPr>
        <w:t xml:space="preserve">- </w:t>
      </w:r>
      <w:r w:rsidR="002B40DE">
        <w:rPr>
          <w:rFonts w:cs="Calibri"/>
        </w:rPr>
        <w:tab/>
      </w:r>
      <w:r w:rsidRPr="002E6156">
        <w:rPr>
          <w:rFonts w:cs="Calibri"/>
        </w:rPr>
        <w:t xml:space="preserve">žádný </w:t>
      </w:r>
      <w:r w:rsidRPr="003B4841">
        <w:rPr>
          <w:rFonts w:cs="Calibri"/>
          <w:b/>
        </w:rPr>
        <w:t>interní audit</w:t>
      </w:r>
      <w:r w:rsidRPr="002E6156">
        <w:rPr>
          <w:rFonts w:cs="Calibri"/>
        </w:rPr>
        <w:t xml:space="preserve"> provedený v roce 2017 se nezaměřil na</w:t>
      </w:r>
      <w:r w:rsidR="00193D5F">
        <w:rPr>
          <w:rFonts w:cs="Calibri"/>
        </w:rPr>
        <w:t xml:space="preserve"> to, zda údaje vykázané v celém rozsahu účetních výkazů věrně zobrazují majetek, zdroje jeho financování a hospodaření s</w:t>
      </w:r>
      <w:r w:rsidR="00F9202F">
        <w:rPr>
          <w:rFonts w:cs="Calibri"/>
        </w:rPr>
        <w:t> </w:t>
      </w:r>
      <w:r w:rsidR="00193D5F">
        <w:rPr>
          <w:rFonts w:cs="Calibri"/>
        </w:rPr>
        <w:t>ním</w:t>
      </w:r>
      <w:r w:rsidR="008732C6">
        <w:rPr>
          <w:rFonts w:cs="Calibri"/>
        </w:rPr>
        <w:t>;</w:t>
      </w:r>
      <w:r>
        <w:rPr>
          <w:rFonts w:cs="Calibri"/>
        </w:rPr>
        <w:t xml:space="preserve"> </w:t>
      </w:r>
      <w:r w:rsidRPr="003B4841">
        <w:rPr>
          <w:rFonts w:cs="Calibri"/>
          <w:b/>
        </w:rPr>
        <w:t>ÚZ MZ</w:t>
      </w:r>
      <w:r w:rsidR="000721C1">
        <w:rPr>
          <w:rFonts w:cs="Calibri"/>
          <w:b/>
        </w:rPr>
        <w:t>d</w:t>
      </w:r>
      <w:r w:rsidRPr="003B4841">
        <w:rPr>
          <w:rFonts w:cs="Calibri"/>
          <w:b/>
        </w:rPr>
        <w:t xml:space="preserve"> za rok 2017 byla MZ</w:t>
      </w:r>
      <w:r w:rsidR="000721C1">
        <w:rPr>
          <w:rFonts w:cs="Calibri"/>
          <w:b/>
        </w:rPr>
        <w:t>d</w:t>
      </w:r>
      <w:r w:rsidRPr="003B4841">
        <w:rPr>
          <w:rFonts w:cs="Calibri"/>
          <w:b/>
        </w:rPr>
        <w:t xml:space="preserve"> schválena.</w:t>
      </w:r>
    </w:p>
    <w:p w14:paraId="2A9332C0" w14:textId="77777777" w:rsidR="003B4841" w:rsidRPr="003B4841" w:rsidRDefault="003B4841" w:rsidP="004E0283">
      <w:pPr>
        <w:spacing w:after="0"/>
        <w:jc w:val="both"/>
        <w:rPr>
          <w:rFonts w:cs="Calibri"/>
          <w:b/>
        </w:rPr>
      </w:pPr>
    </w:p>
    <w:p w14:paraId="6E5D9A90" w14:textId="68C3CDF7" w:rsidR="003065EB" w:rsidRPr="004E0283" w:rsidRDefault="00F9202F" w:rsidP="004E0283">
      <w:pPr>
        <w:spacing w:after="0"/>
        <w:jc w:val="both"/>
        <w:rPr>
          <w:rFonts w:cs="Calibri"/>
          <w:highlight w:val="yellow"/>
        </w:rPr>
      </w:pPr>
      <w:r>
        <w:rPr>
          <w:rFonts w:cs="Calibri"/>
        </w:rPr>
        <w:t>P</w:t>
      </w:r>
      <w:r w:rsidR="003065EB">
        <w:rPr>
          <w:rFonts w:cs="Calibri"/>
        </w:rPr>
        <w:t>odrobnost</w:t>
      </w:r>
      <w:r>
        <w:rPr>
          <w:rFonts w:cs="Calibri"/>
        </w:rPr>
        <w:t>i</w:t>
      </w:r>
      <w:r w:rsidR="003065EB">
        <w:rPr>
          <w:rFonts w:cs="Calibri"/>
        </w:rPr>
        <w:t xml:space="preserve"> </w:t>
      </w:r>
      <w:r>
        <w:rPr>
          <w:rFonts w:cs="Calibri"/>
        </w:rPr>
        <w:t>jsou</w:t>
      </w:r>
      <w:r w:rsidR="003065EB">
        <w:rPr>
          <w:rFonts w:cs="Calibri"/>
        </w:rPr>
        <w:t xml:space="preserve"> </w:t>
      </w:r>
      <w:r>
        <w:rPr>
          <w:rFonts w:cs="Calibri"/>
        </w:rPr>
        <w:t xml:space="preserve">uvedeny v </w:t>
      </w:r>
      <w:r w:rsidR="003065EB">
        <w:rPr>
          <w:rFonts w:cs="Calibri"/>
        </w:rPr>
        <w:t>část</w:t>
      </w:r>
      <w:r>
        <w:rPr>
          <w:rFonts w:cs="Calibri"/>
        </w:rPr>
        <w:t>i</w:t>
      </w:r>
      <w:r w:rsidR="003065EB">
        <w:rPr>
          <w:rFonts w:cs="Calibri"/>
        </w:rPr>
        <w:t xml:space="preserve"> IV.</w:t>
      </w:r>
      <w:r w:rsidR="00C05C5D">
        <w:rPr>
          <w:rFonts w:cs="Calibri"/>
        </w:rPr>
        <w:t>6</w:t>
      </w:r>
      <w:r w:rsidR="00904F96">
        <w:rPr>
          <w:rFonts w:cs="Calibri"/>
        </w:rPr>
        <w:t>.</w:t>
      </w:r>
      <w:r w:rsidR="003065EB">
        <w:rPr>
          <w:rFonts w:cs="Calibri"/>
        </w:rPr>
        <w:t xml:space="preserve"> tohoto kontrolního závěru.</w:t>
      </w:r>
    </w:p>
    <w:p w14:paraId="183A91A0" w14:textId="5EC21253" w:rsidR="003065EB" w:rsidRDefault="003065EB" w:rsidP="00A7770B"/>
    <w:p w14:paraId="308EBCC7" w14:textId="511B1D29" w:rsidR="00A7490F" w:rsidRPr="00B30899" w:rsidRDefault="00A7490F" w:rsidP="00A7490F">
      <w:pPr>
        <w:pStyle w:val="Nadpis2"/>
        <w:keepNext/>
        <w:numPr>
          <w:ilvl w:val="0"/>
          <w:numId w:val="0"/>
        </w:numPr>
        <w:tabs>
          <w:tab w:val="left" w:pos="7838"/>
        </w:tabs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B30899">
        <w:rPr>
          <w:rFonts w:ascii="Calibri" w:hAnsi="Calibri" w:cs="Calibri"/>
        </w:rPr>
        <w:t>. Porušení rozpočtové kázně</w:t>
      </w:r>
    </w:p>
    <w:p w14:paraId="6EECF73B" w14:textId="77777777" w:rsidR="00A7490F" w:rsidRDefault="00A7490F" w:rsidP="00A7490F">
      <w:pPr>
        <w:keepNext/>
        <w:spacing w:after="0"/>
        <w:rPr>
          <w:rFonts w:cs="Calibri"/>
        </w:rPr>
      </w:pPr>
    </w:p>
    <w:p w14:paraId="01258309" w14:textId="6AFAA92F" w:rsidR="00A7490F" w:rsidRPr="00F74C0E" w:rsidRDefault="00A7490F" w:rsidP="00F74C0E">
      <w:pPr>
        <w:spacing w:after="0"/>
        <w:jc w:val="both"/>
        <w:rPr>
          <w:rFonts w:cs="Calibri"/>
          <w:b/>
        </w:rPr>
      </w:pPr>
      <w:r w:rsidRPr="00B30899">
        <w:rPr>
          <w:rFonts w:cs="Calibri"/>
        </w:rPr>
        <w:t xml:space="preserve">V průběhu kontroly bylo zjištěno, že </w:t>
      </w:r>
      <w:r>
        <w:rPr>
          <w:rFonts w:cs="Calibri"/>
          <w:b/>
        </w:rPr>
        <w:t>MZ</w:t>
      </w:r>
      <w:r w:rsidR="000721C1">
        <w:rPr>
          <w:rFonts w:cs="Calibri"/>
          <w:b/>
        </w:rPr>
        <w:t>d</w:t>
      </w:r>
      <w:r w:rsidR="009C1214">
        <w:rPr>
          <w:rFonts w:cs="Calibri"/>
          <w:b/>
        </w:rPr>
        <w:t xml:space="preserve"> </w:t>
      </w:r>
      <w:r w:rsidRPr="009C1214">
        <w:rPr>
          <w:rFonts w:cs="Calibri"/>
          <w:b/>
        </w:rPr>
        <w:t>neoprávněně použilo peněžní prostředky státního rozpočtu ve výši 7 782 307,73 Kč,</w:t>
      </w:r>
      <w:r w:rsidRPr="009C1214">
        <w:rPr>
          <w:rFonts w:cs="Calibri"/>
        </w:rPr>
        <w:t xml:space="preserve"> když jako povinná osoba dle </w:t>
      </w:r>
      <w:r w:rsidR="00C014E4">
        <w:rPr>
          <w:rFonts w:cs="Calibri"/>
        </w:rPr>
        <w:t xml:space="preserve">ustanovení </w:t>
      </w:r>
      <w:r w:rsidRPr="009C1214">
        <w:rPr>
          <w:rFonts w:cs="Calibri"/>
        </w:rPr>
        <w:t>§ 2 odst. 1 zákona č. 340/2015</w:t>
      </w:r>
      <w:r w:rsidR="00904F96">
        <w:rPr>
          <w:rFonts w:cs="Calibri"/>
        </w:rPr>
        <w:t> </w:t>
      </w:r>
      <w:r w:rsidRPr="009C1214">
        <w:rPr>
          <w:rFonts w:cs="Calibri"/>
        </w:rPr>
        <w:t>Sb</w:t>
      </w:r>
      <w:r w:rsidRPr="00A7770B">
        <w:rPr>
          <w:rFonts w:cs="Calibri"/>
        </w:rPr>
        <w:t>., o zvláštních podmínkách účinnosti některých smluv, uveřejňování těchto smluv a o registru smluv (zákon o registru smluv)</w:t>
      </w:r>
      <w:r w:rsidR="003652A5">
        <w:rPr>
          <w:rFonts w:cs="Calibri"/>
        </w:rPr>
        <w:t xml:space="preserve">, </w:t>
      </w:r>
      <w:r w:rsidR="009C1214">
        <w:rPr>
          <w:rFonts w:cs="Calibri"/>
        </w:rPr>
        <w:t>smlouvu o poskytování právních služeb, na níž se vztahovala povinnost uveřejnění prostřednictvím registru smluv, neuzavřelo písemně, nezveřejnilo ji v registru smluv a přitom přijalo a uhradilo plnění z této neúčinné smlouvy. T</w:t>
      </w:r>
      <w:r w:rsidRPr="009C1214">
        <w:rPr>
          <w:rFonts w:cs="Calibri"/>
        </w:rPr>
        <w:t xml:space="preserve">ímto výdajem </w:t>
      </w:r>
      <w:r w:rsidR="009C1214">
        <w:rPr>
          <w:rFonts w:cs="Calibri"/>
        </w:rPr>
        <w:t>MZ</w:t>
      </w:r>
      <w:r w:rsidR="000721C1">
        <w:rPr>
          <w:rFonts w:cs="Calibri"/>
        </w:rPr>
        <w:t>d</w:t>
      </w:r>
      <w:r w:rsidR="009C1214">
        <w:rPr>
          <w:rFonts w:cs="Calibri"/>
        </w:rPr>
        <w:t xml:space="preserve"> </w:t>
      </w:r>
      <w:r w:rsidRPr="009C1214">
        <w:rPr>
          <w:rFonts w:cs="Calibri"/>
        </w:rPr>
        <w:t>porušilo povinnost stanovenou právním předpisem (viz část IV.</w:t>
      </w:r>
      <w:r w:rsidR="00C05C5D">
        <w:rPr>
          <w:rFonts w:cs="Calibri"/>
        </w:rPr>
        <w:t>7</w:t>
      </w:r>
      <w:r w:rsidR="00904F96">
        <w:rPr>
          <w:rFonts w:cs="Calibri"/>
        </w:rPr>
        <w:t>.</w:t>
      </w:r>
      <w:r w:rsidRPr="009C1214">
        <w:rPr>
          <w:rFonts w:cs="Calibri"/>
        </w:rPr>
        <w:t xml:space="preserve"> tohoto kontrolního závěru).</w:t>
      </w:r>
    </w:p>
    <w:p w14:paraId="1720A193" w14:textId="77777777" w:rsidR="00A7490F" w:rsidRPr="00113F2D" w:rsidRDefault="00A7490F" w:rsidP="009C1214">
      <w:pPr>
        <w:pStyle w:val="Odstavecseseznamem"/>
        <w:spacing w:after="0"/>
        <w:ind w:left="284"/>
        <w:contextualSpacing w:val="0"/>
        <w:jc w:val="both"/>
        <w:rPr>
          <w:rFonts w:cs="Calibri"/>
        </w:rPr>
      </w:pPr>
    </w:p>
    <w:p w14:paraId="7FE02D82" w14:textId="5EA81BE6" w:rsidR="00A7490F" w:rsidRPr="00B30899" w:rsidRDefault="00A7490F" w:rsidP="00A7490F">
      <w:pPr>
        <w:spacing w:after="0"/>
        <w:jc w:val="both"/>
        <w:rPr>
          <w:rFonts w:cs="Calibri"/>
        </w:rPr>
      </w:pPr>
      <w:r w:rsidRPr="00B30899">
        <w:rPr>
          <w:rFonts w:cs="Calibri"/>
          <w:b/>
        </w:rPr>
        <w:t>Dle ustanovení § 44</w:t>
      </w:r>
      <w:r>
        <w:rPr>
          <w:rFonts w:cs="Calibri"/>
          <w:b/>
        </w:rPr>
        <w:t xml:space="preserve"> </w:t>
      </w:r>
      <w:r w:rsidRPr="00A7770B">
        <w:rPr>
          <w:rFonts w:cs="Calibri"/>
          <w:b/>
        </w:rPr>
        <w:t>rozpočtových pravid</w:t>
      </w:r>
      <w:r w:rsidR="00371D92">
        <w:rPr>
          <w:rFonts w:cs="Calibri"/>
          <w:b/>
        </w:rPr>
        <w:t>e</w:t>
      </w:r>
      <w:r w:rsidRPr="00A7770B">
        <w:rPr>
          <w:rFonts w:cs="Calibri"/>
          <w:b/>
        </w:rPr>
        <w:t xml:space="preserve">l </w:t>
      </w:r>
      <w:r w:rsidRPr="00286BC3">
        <w:rPr>
          <w:rFonts w:cs="Calibri"/>
          <w:b/>
        </w:rPr>
        <w:t>jsou</w:t>
      </w:r>
      <w:r w:rsidRPr="00B30899">
        <w:rPr>
          <w:rFonts w:cs="Calibri"/>
          <w:b/>
        </w:rPr>
        <w:t xml:space="preserve"> tyto skutečnosti porušením rozpočtové kázně.</w:t>
      </w:r>
    </w:p>
    <w:p w14:paraId="52EFC7D8" w14:textId="77777777" w:rsidR="00CA1396" w:rsidRPr="00C159BE" w:rsidRDefault="00CA1396" w:rsidP="00B30899">
      <w:pPr>
        <w:spacing w:after="0"/>
        <w:rPr>
          <w:rFonts w:eastAsiaTheme="minorHAnsi" w:cs="Calibri"/>
        </w:rPr>
      </w:pPr>
    </w:p>
    <w:p w14:paraId="11CAB279" w14:textId="753E03B0" w:rsidR="00A51B9B" w:rsidRDefault="00A51B9B" w:rsidP="005B2FAE">
      <w:pPr>
        <w:spacing w:line="259" w:lineRule="auto"/>
        <w:rPr>
          <w:rFonts w:eastAsiaTheme="minorHAnsi" w:cs="Calibri"/>
          <w:b/>
          <w:sz w:val="28"/>
        </w:rPr>
      </w:pPr>
    </w:p>
    <w:p w14:paraId="6F07E870" w14:textId="07E25B06" w:rsidR="00E91FF5" w:rsidRPr="00C159BE" w:rsidRDefault="00E91FF5" w:rsidP="00C159BE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C159BE">
        <w:rPr>
          <w:rFonts w:ascii="Calibri" w:hAnsi="Calibri" w:cs="Calibri"/>
          <w:szCs w:val="24"/>
        </w:rPr>
        <w:t>II. Informace o kontrolované oblasti</w:t>
      </w:r>
    </w:p>
    <w:p w14:paraId="64D49F5D" w14:textId="77777777" w:rsidR="00C159BE" w:rsidRDefault="00C159BE" w:rsidP="00C159BE">
      <w:pPr>
        <w:keepNext/>
        <w:spacing w:after="0"/>
        <w:jc w:val="both"/>
        <w:rPr>
          <w:rFonts w:cs="Calibri"/>
        </w:rPr>
      </w:pPr>
    </w:p>
    <w:p w14:paraId="3ED549CB" w14:textId="3A7A187E" w:rsidR="00D31D2D" w:rsidRDefault="00D31D2D" w:rsidP="00D31D2D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MZ</w:t>
      </w:r>
      <w:r w:rsidR="000721C1">
        <w:rPr>
          <w:rFonts w:cstheme="minorHAnsi"/>
        </w:rPr>
        <w:t>d</w:t>
      </w:r>
      <w:r>
        <w:rPr>
          <w:rFonts w:cstheme="minorHAnsi"/>
        </w:rPr>
        <w:t xml:space="preserve"> bylo zřízeno zákonem č. 2/1969 Sb., o zřízení ministerstev a jiných ústředních orgánů státní správy České republiky. Podle tohoto zákona je MZ</w:t>
      </w:r>
      <w:r w:rsidR="000721C1">
        <w:rPr>
          <w:rFonts w:cstheme="minorHAnsi"/>
        </w:rPr>
        <w:t>d</w:t>
      </w:r>
      <w:r>
        <w:rPr>
          <w:rFonts w:cstheme="minorHAnsi"/>
        </w:rPr>
        <w:t xml:space="preserve"> ústředním orgánem státní správy pro zdravotní služby, ochranu veřejného zdraví, zdravotnickou vědeckovýzkumnou činnost, poskytovatele zdravotních služeb v přímé řídící působnosti, zacházení s návykovými látkami, přípravky, prekursory a pomocnými látkami, vyhledávání, ochranu a využívání přírodních léčivých zdrojů, přírodních léčebných lázní a zdrojů přírodních minerálních vod, léčiva a prostředky zdravotnické techniky pro prevenci, diagnostiku a léčení lidí, zdravotní pojištění a zdravotnický informační systém, pro používání biocidních přípravků a uvádění biocidních přípravků a účinných látek na trh. Součástí MZ</w:t>
      </w:r>
      <w:r w:rsidR="000721C1">
        <w:rPr>
          <w:rFonts w:cstheme="minorHAnsi"/>
        </w:rPr>
        <w:t>d</w:t>
      </w:r>
      <w:r>
        <w:rPr>
          <w:rFonts w:cstheme="minorHAnsi"/>
        </w:rPr>
        <w:t xml:space="preserve"> je Český inspektorát lázní a zřídel a Inspektorát omamných a psychotropních látek. </w:t>
      </w:r>
    </w:p>
    <w:p w14:paraId="16E2DE72" w14:textId="4997DB17" w:rsidR="00D31D2D" w:rsidRPr="00D31D2D" w:rsidRDefault="00D31D2D" w:rsidP="00D31D2D">
      <w:pPr>
        <w:jc w:val="both"/>
        <w:rPr>
          <w:rFonts w:eastAsiaTheme="minorHAnsi" w:cs="Calibri"/>
        </w:rPr>
      </w:pPr>
      <w:r w:rsidRPr="00D31D2D">
        <w:rPr>
          <w:rFonts w:eastAsiaTheme="minorHAnsi" w:cs="Calibri"/>
        </w:rPr>
        <w:t xml:space="preserve">Dle zákona </w:t>
      </w:r>
      <w:r w:rsidR="003E02DD">
        <w:rPr>
          <w:rFonts w:eastAsiaTheme="minorHAnsi" w:cs="Calibri"/>
        </w:rPr>
        <w:t xml:space="preserve">č. 219/2000 Sb., </w:t>
      </w:r>
      <w:r w:rsidRPr="00D31D2D">
        <w:rPr>
          <w:rFonts w:eastAsiaTheme="minorHAnsi" w:cs="Calibri"/>
        </w:rPr>
        <w:t xml:space="preserve">o majetku </w:t>
      </w:r>
      <w:r w:rsidR="003E02DD" w:rsidRPr="003E02DD">
        <w:rPr>
          <w:rFonts w:eastAsiaTheme="minorHAnsi" w:cs="Calibri"/>
        </w:rPr>
        <w:t>České republiky a jejím vystupování v právních vztazích</w:t>
      </w:r>
      <w:r w:rsidR="002B290A">
        <w:rPr>
          <w:rFonts w:eastAsiaTheme="minorHAnsi" w:cs="Calibri"/>
        </w:rPr>
        <w:t xml:space="preserve"> (dále jen „zákon o majetku“)</w:t>
      </w:r>
      <w:r w:rsidR="00150F3C">
        <w:rPr>
          <w:rFonts w:eastAsiaTheme="minorHAnsi" w:cs="Calibri"/>
        </w:rPr>
        <w:t>,</w:t>
      </w:r>
      <w:r w:rsidR="003E02DD">
        <w:rPr>
          <w:rFonts w:eastAsiaTheme="minorHAnsi" w:cs="Calibri"/>
        </w:rPr>
        <w:t xml:space="preserve"> </w:t>
      </w:r>
      <w:r w:rsidRPr="00D31D2D">
        <w:rPr>
          <w:rFonts w:eastAsiaTheme="minorHAnsi" w:cs="Calibri"/>
        </w:rPr>
        <w:t>je MZ</w:t>
      </w:r>
      <w:r w:rsidR="000721C1">
        <w:rPr>
          <w:rFonts w:eastAsiaTheme="minorHAnsi" w:cs="Calibri"/>
        </w:rPr>
        <w:t>d</w:t>
      </w:r>
      <w:r w:rsidRPr="00D31D2D">
        <w:rPr>
          <w:rFonts w:eastAsiaTheme="minorHAnsi" w:cs="Calibri"/>
        </w:rPr>
        <w:t xml:space="preserve"> organizační složkou státu a dle zákona o účetnictví </w:t>
      </w:r>
      <w:r w:rsidRPr="00D31D2D">
        <w:rPr>
          <w:rFonts w:eastAsiaTheme="minorHAnsi" w:cs="Calibri"/>
        </w:rPr>
        <w:lastRenderedPageBreak/>
        <w:t>vybranou účetní jednotkou</w:t>
      </w:r>
      <w:r w:rsidRPr="00D31D2D">
        <w:rPr>
          <w:rStyle w:val="Znakapoznpodarou"/>
          <w:rFonts w:eastAsiaTheme="minorHAnsi" w:cs="Calibri"/>
        </w:rPr>
        <w:footnoteReference w:id="19"/>
      </w:r>
      <w:r w:rsidRPr="00D31D2D">
        <w:rPr>
          <w:rFonts w:eastAsiaTheme="minorHAnsi" w:cs="Calibri"/>
        </w:rPr>
        <w:t xml:space="preserve">. Dle ustanovení § 10 odst. 1 rozpočtových pravidel je správcem rozpočtové kapitoly 335 – </w:t>
      </w:r>
      <w:r w:rsidRPr="00D31D2D">
        <w:rPr>
          <w:rFonts w:eastAsiaTheme="minorHAnsi" w:cs="Calibri"/>
          <w:i/>
        </w:rPr>
        <w:t>Ministerstvo zdravotnictví</w:t>
      </w:r>
      <w:r w:rsidRPr="00D31D2D">
        <w:rPr>
          <w:rFonts w:eastAsiaTheme="minorHAnsi" w:cs="Calibri"/>
        </w:rPr>
        <w:t>.</w:t>
      </w:r>
    </w:p>
    <w:p w14:paraId="51BCFF9D" w14:textId="3D55E232" w:rsidR="00C159BE" w:rsidRDefault="00D31D2D" w:rsidP="00D31D2D">
      <w:pPr>
        <w:jc w:val="both"/>
        <w:rPr>
          <w:rFonts w:cstheme="minorHAnsi"/>
        </w:rPr>
      </w:pPr>
      <w:r>
        <w:rPr>
          <w:rFonts w:cstheme="minorHAnsi"/>
        </w:rPr>
        <w:t>V roce 2017 bylo MZ</w:t>
      </w:r>
      <w:r w:rsidR="000721C1">
        <w:rPr>
          <w:rFonts w:cstheme="minorHAnsi"/>
        </w:rPr>
        <w:t>d</w:t>
      </w:r>
      <w:r>
        <w:rPr>
          <w:rFonts w:cstheme="minorHAnsi"/>
        </w:rPr>
        <w:t xml:space="preserve"> zřizovatelem 20 organizačních složek státu a 46 příspěvkových organizací.</w:t>
      </w:r>
    </w:p>
    <w:p w14:paraId="48723707" w14:textId="1856A8BE" w:rsidR="00E91FF5" w:rsidRPr="00D31D2D" w:rsidRDefault="001866A7" w:rsidP="00B2490A">
      <w:pPr>
        <w:spacing w:after="0"/>
        <w:jc w:val="both"/>
        <w:rPr>
          <w:rFonts w:cs="Calibri"/>
        </w:rPr>
      </w:pPr>
      <w:r w:rsidRPr="00D31D2D">
        <w:rPr>
          <w:rFonts w:cs="Calibri"/>
        </w:rPr>
        <w:t>Přehled základních údajů z</w:t>
      </w:r>
      <w:r w:rsidR="007363A7">
        <w:rPr>
          <w:rFonts w:cs="Calibri"/>
        </w:rPr>
        <w:t xml:space="preserve"> </w:t>
      </w:r>
      <w:r w:rsidRPr="00D31D2D">
        <w:rPr>
          <w:rFonts w:cs="Calibri"/>
        </w:rPr>
        <w:t>ÚZ a z</w:t>
      </w:r>
      <w:r w:rsidR="007363A7">
        <w:rPr>
          <w:rFonts w:cs="Calibri"/>
        </w:rPr>
        <w:t xml:space="preserve"> </w:t>
      </w:r>
      <w:r w:rsidRPr="00D31D2D">
        <w:rPr>
          <w:rFonts w:cs="Calibri"/>
        </w:rPr>
        <w:t>výkazu pro hodnocení plnění rozpočtu správců kapitol a</w:t>
      </w:r>
      <w:r w:rsidR="009E57D6" w:rsidRPr="00D31D2D">
        <w:rPr>
          <w:rFonts w:cs="Calibri"/>
        </w:rPr>
        <w:t> </w:t>
      </w:r>
      <w:r w:rsidRPr="00D31D2D">
        <w:rPr>
          <w:rFonts w:cs="Calibri"/>
        </w:rPr>
        <w:t>organizačních složek státu (dále také „výkaz FIN 1-12 OSS“) vygenerovaného z rozpočtového systému</w:t>
      </w:r>
      <w:r w:rsidRPr="00D31D2D">
        <w:rPr>
          <w:rStyle w:val="Znakapoznpodarou"/>
          <w:rFonts w:eastAsiaTheme="minorHAnsi" w:cs="Calibri"/>
        </w:rPr>
        <w:footnoteReference w:id="20"/>
      </w:r>
      <w:r w:rsidRPr="00D31D2D">
        <w:rPr>
          <w:rFonts w:cs="Calibri"/>
        </w:rPr>
        <w:t xml:space="preserve"> je uveden v následujících tabulkách.</w:t>
      </w:r>
    </w:p>
    <w:p w14:paraId="29A2CE0E" w14:textId="0695F2B7" w:rsidR="00B4161E" w:rsidRPr="00C922C3" w:rsidRDefault="00B4161E" w:rsidP="00C159BE">
      <w:pPr>
        <w:spacing w:after="0"/>
        <w:rPr>
          <w:rFonts w:cs="Calibri"/>
        </w:rPr>
      </w:pPr>
    </w:p>
    <w:p w14:paraId="60B5D398" w14:textId="2081ABA6" w:rsidR="00494B0F" w:rsidRPr="000E0B18" w:rsidRDefault="00494B0F" w:rsidP="00C159BE">
      <w:pPr>
        <w:keepNext/>
        <w:spacing w:after="40"/>
        <w:ind w:left="1304" w:hanging="1304"/>
        <w:jc w:val="both"/>
        <w:rPr>
          <w:rFonts w:cs="Calibri"/>
        </w:rPr>
      </w:pPr>
      <w:r w:rsidRPr="000E0B18">
        <w:rPr>
          <w:rFonts w:cs="Calibri"/>
          <w:b/>
        </w:rPr>
        <w:t xml:space="preserve">Tabulka č. </w:t>
      </w:r>
      <w:r w:rsidR="003319DD" w:rsidRPr="000E0B18">
        <w:rPr>
          <w:rFonts w:cs="Calibri"/>
          <w:b/>
        </w:rPr>
        <w:t>2</w:t>
      </w:r>
      <w:r w:rsidRPr="000E0B18">
        <w:rPr>
          <w:rFonts w:cs="Calibri"/>
          <w:b/>
        </w:rPr>
        <w:t xml:space="preserve">: </w:t>
      </w:r>
      <w:r w:rsidRPr="000E0B18">
        <w:rPr>
          <w:rFonts w:cs="Calibri"/>
          <w:b/>
        </w:rPr>
        <w:tab/>
        <w:t xml:space="preserve">Údaje </w:t>
      </w:r>
      <w:r w:rsidR="000B3825" w:rsidRPr="000E0B18">
        <w:rPr>
          <w:rFonts w:cs="Calibri"/>
          <w:b/>
        </w:rPr>
        <w:t>ÚZ</w:t>
      </w:r>
      <w:r w:rsidRPr="000E0B18">
        <w:rPr>
          <w:rFonts w:cs="Calibri"/>
          <w:b/>
        </w:rPr>
        <w:t xml:space="preserve"> – rozvaha a výkaz zisku a ztráty, údaje za běžné účetní období</w:t>
      </w:r>
    </w:p>
    <w:tbl>
      <w:tblPr>
        <w:tblW w:w="90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92"/>
      </w:tblGrid>
      <w:tr w:rsidR="00494B0F" w:rsidRPr="00D31D2D" w14:paraId="4EBB8D34" w14:textId="77777777" w:rsidTr="00665605">
        <w:trPr>
          <w:trHeight w:val="283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835612" w14:textId="77777777" w:rsidR="00494B0F" w:rsidRPr="000E0B18" w:rsidRDefault="00494B0F" w:rsidP="00C159BE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E0B18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89C0F0" w14:textId="77777777" w:rsidR="00494B0F" w:rsidRPr="000E0B18" w:rsidRDefault="00494B0F" w:rsidP="00C159BE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E0B18">
              <w:rPr>
                <w:rFonts w:cs="Arial"/>
                <w:b/>
                <w:bCs/>
                <w:sz w:val="20"/>
                <w:szCs w:val="20"/>
              </w:rPr>
              <w:t>Částka v Kč</w:t>
            </w:r>
          </w:p>
        </w:tc>
      </w:tr>
      <w:tr w:rsidR="00494B0F" w:rsidRPr="00D31D2D" w14:paraId="1DB58E66" w14:textId="77777777" w:rsidTr="00665605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1D0" w14:textId="77777777" w:rsidR="00494B0F" w:rsidRPr="000E0B18" w:rsidRDefault="00494B0F" w:rsidP="00C159BE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0E0B18">
              <w:rPr>
                <w:rFonts w:cs="Arial"/>
                <w:sz w:val="20"/>
                <w:szCs w:val="20"/>
              </w:rPr>
              <w:t>Aktiva netto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7DF3" w14:textId="0F269FC7" w:rsidR="00494B0F" w:rsidRPr="000E0B18" w:rsidRDefault="000E0B18" w:rsidP="00DB4E20">
            <w:pPr>
              <w:keepNext/>
              <w:spacing w:after="0"/>
              <w:ind w:right="242"/>
              <w:jc w:val="right"/>
              <w:rPr>
                <w:rFonts w:cs="Arial"/>
                <w:sz w:val="20"/>
                <w:szCs w:val="20"/>
              </w:rPr>
            </w:pPr>
            <w:r w:rsidRPr="000E0B18">
              <w:rPr>
                <w:rFonts w:cs="Arial"/>
                <w:sz w:val="20"/>
                <w:szCs w:val="20"/>
              </w:rPr>
              <w:t>3 072 879 759,79</w:t>
            </w:r>
          </w:p>
        </w:tc>
      </w:tr>
      <w:tr w:rsidR="005D01D1" w:rsidRPr="005D01D1" w14:paraId="2BA28139" w14:textId="77777777" w:rsidTr="00665605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E98" w14:textId="77777777" w:rsidR="00494B0F" w:rsidRPr="005D01D1" w:rsidRDefault="00494B0F" w:rsidP="00C159BE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Pasiva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16A4" w14:textId="60A86B63" w:rsidR="00494B0F" w:rsidRPr="005D01D1" w:rsidRDefault="000E0B18" w:rsidP="00DB4E20">
            <w:pPr>
              <w:keepNext/>
              <w:spacing w:after="0"/>
              <w:ind w:right="242"/>
              <w:jc w:val="right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3 072 879 759,79</w:t>
            </w:r>
          </w:p>
        </w:tc>
      </w:tr>
      <w:tr w:rsidR="005D01D1" w:rsidRPr="005D01D1" w14:paraId="3DC1EB7A" w14:textId="77777777" w:rsidTr="00665605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3410" w14:textId="77777777" w:rsidR="00494B0F" w:rsidRPr="005D01D1" w:rsidRDefault="00494B0F" w:rsidP="00C159BE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00D0" w14:textId="2F8D115B" w:rsidR="00494B0F" w:rsidRPr="005D01D1" w:rsidRDefault="000E0B18" w:rsidP="00DB4E20">
            <w:pPr>
              <w:keepNext/>
              <w:spacing w:after="0"/>
              <w:ind w:right="242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5D01D1">
              <w:rPr>
                <w:rFonts w:cs="Arial"/>
                <w:sz w:val="20"/>
                <w:szCs w:val="20"/>
              </w:rPr>
              <w:t>4 545 251 475,34</w:t>
            </w:r>
          </w:p>
        </w:tc>
      </w:tr>
      <w:tr w:rsidR="005D01D1" w:rsidRPr="005D01D1" w14:paraId="71F06874" w14:textId="77777777" w:rsidTr="00665605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ED6" w14:textId="77777777" w:rsidR="00494B0F" w:rsidRPr="005D01D1" w:rsidRDefault="00494B0F" w:rsidP="00C159BE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B794" w14:textId="0C732C65" w:rsidR="00494B0F" w:rsidRPr="005D01D1" w:rsidRDefault="000E0B18" w:rsidP="00DB4E20">
            <w:pPr>
              <w:keepNext/>
              <w:spacing w:after="0"/>
              <w:ind w:right="242"/>
              <w:jc w:val="right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340 276 384,69</w:t>
            </w:r>
          </w:p>
        </w:tc>
      </w:tr>
      <w:tr w:rsidR="005D01D1" w:rsidRPr="005D01D1" w14:paraId="60A369BB" w14:textId="77777777" w:rsidTr="00665605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31E" w14:textId="77777777" w:rsidR="00494B0F" w:rsidRPr="005D01D1" w:rsidRDefault="00494B0F" w:rsidP="00C159BE">
            <w:pPr>
              <w:keepNext/>
              <w:spacing w:after="0"/>
              <w:rPr>
                <w:rFonts w:cs="Arial"/>
                <w:b/>
                <w:sz w:val="20"/>
                <w:szCs w:val="20"/>
              </w:rPr>
            </w:pPr>
            <w:r w:rsidRPr="005D01D1">
              <w:rPr>
                <w:rFonts w:cs="Arial"/>
                <w:b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2BCE" w14:textId="061FC8D2" w:rsidR="00494B0F" w:rsidRPr="00AE7284" w:rsidRDefault="00AE7284" w:rsidP="00DB4E20">
            <w:pPr>
              <w:keepNext/>
              <w:spacing w:after="0"/>
              <w:ind w:right="242"/>
              <w:jc w:val="right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65605">
              <w:rPr>
                <w:rFonts w:cs="Calibri"/>
                <w:b/>
                <w:sz w:val="20"/>
                <w:szCs w:val="20"/>
              </w:rPr>
              <w:t>−</w:t>
            </w:r>
            <w:r w:rsidR="000E0B18" w:rsidRPr="00AE7284">
              <w:rPr>
                <w:rFonts w:cs="Arial"/>
                <w:b/>
                <w:sz w:val="20"/>
                <w:szCs w:val="20"/>
              </w:rPr>
              <w:t>4 204 975 090,65</w:t>
            </w:r>
          </w:p>
        </w:tc>
      </w:tr>
    </w:tbl>
    <w:p w14:paraId="781C1A59" w14:textId="77777777" w:rsidR="00494B0F" w:rsidRPr="000E0B18" w:rsidRDefault="00494B0F" w:rsidP="00C159BE">
      <w:pPr>
        <w:keepNext/>
        <w:spacing w:after="0"/>
        <w:rPr>
          <w:rFonts w:cs="Arial"/>
          <w:sz w:val="20"/>
          <w:szCs w:val="20"/>
        </w:rPr>
      </w:pPr>
      <w:r w:rsidRPr="005D01D1">
        <w:rPr>
          <w:rFonts w:cs="Arial"/>
          <w:b/>
          <w:sz w:val="20"/>
          <w:szCs w:val="20"/>
        </w:rPr>
        <w:t>Zdroj:</w:t>
      </w:r>
      <w:r w:rsidRPr="000E0B18">
        <w:rPr>
          <w:rFonts w:cs="Arial"/>
          <w:sz w:val="20"/>
          <w:szCs w:val="20"/>
        </w:rPr>
        <w:t xml:space="preserve"> </w:t>
      </w:r>
      <w:r w:rsidR="000B3825" w:rsidRPr="000E0B18">
        <w:rPr>
          <w:rFonts w:cs="Arial"/>
          <w:sz w:val="20"/>
          <w:szCs w:val="20"/>
        </w:rPr>
        <w:t>ÚZ</w:t>
      </w:r>
      <w:r w:rsidRPr="000E0B18">
        <w:rPr>
          <w:rFonts w:cs="Arial"/>
          <w:sz w:val="20"/>
          <w:szCs w:val="20"/>
        </w:rPr>
        <w:t>.</w:t>
      </w:r>
    </w:p>
    <w:p w14:paraId="692BCC5A" w14:textId="2E0E236D" w:rsidR="00494B0F" w:rsidRPr="00C922C3" w:rsidRDefault="00494B0F" w:rsidP="007012B8">
      <w:pPr>
        <w:spacing w:after="0"/>
        <w:ind w:left="567" w:hanging="567"/>
        <w:jc w:val="both"/>
        <w:rPr>
          <w:rFonts w:cs="Arial"/>
          <w:sz w:val="20"/>
          <w:szCs w:val="20"/>
          <w:highlight w:val="yellow"/>
        </w:rPr>
      </w:pPr>
      <w:r w:rsidRPr="000E0B18">
        <w:rPr>
          <w:rFonts w:cs="Arial"/>
          <w:b/>
          <w:sz w:val="20"/>
          <w:szCs w:val="20"/>
        </w:rPr>
        <w:t>Pozn.:</w:t>
      </w:r>
      <w:r w:rsidR="000E0B18" w:rsidRPr="000E0B18">
        <w:rPr>
          <w:rFonts w:cs="Arial"/>
          <w:sz w:val="20"/>
          <w:szCs w:val="20"/>
        </w:rPr>
        <w:t xml:space="preserve"> </w:t>
      </w:r>
      <w:r w:rsidR="000E0B18" w:rsidRPr="000E0B18">
        <w:rPr>
          <w:rFonts w:cs="Arial"/>
          <w:sz w:val="20"/>
          <w:szCs w:val="20"/>
        </w:rPr>
        <w:tab/>
        <w:t>MZ</w:t>
      </w:r>
      <w:r w:rsidR="000721C1">
        <w:rPr>
          <w:rFonts w:cs="Arial"/>
          <w:sz w:val="20"/>
          <w:szCs w:val="20"/>
        </w:rPr>
        <w:t>d</w:t>
      </w:r>
      <w:r w:rsidRPr="000E0B18">
        <w:rPr>
          <w:rFonts w:cs="Arial"/>
          <w:sz w:val="20"/>
          <w:szCs w:val="20"/>
        </w:rPr>
        <w:t xml:space="preserve"> v ÚZ vykázalo aktiva v hodnotě brutto ve výši</w:t>
      </w:r>
      <w:r w:rsidR="00B92BDD" w:rsidRPr="000E0B18">
        <w:rPr>
          <w:rFonts w:cs="Arial"/>
          <w:sz w:val="20"/>
          <w:szCs w:val="20"/>
        </w:rPr>
        <w:t xml:space="preserve"> </w:t>
      </w:r>
      <w:r w:rsidR="000E0B18" w:rsidRPr="000E0B18">
        <w:rPr>
          <w:rFonts w:cs="Arial"/>
          <w:sz w:val="20"/>
          <w:szCs w:val="20"/>
        </w:rPr>
        <w:t>3 858 702 249,84</w:t>
      </w:r>
      <w:r w:rsidRPr="000E0B18">
        <w:rPr>
          <w:rFonts w:cs="Arial"/>
          <w:sz w:val="20"/>
          <w:szCs w:val="20"/>
        </w:rPr>
        <w:t xml:space="preserve"> Kč upravené o korekce ve výši</w:t>
      </w:r>
      <w:r w:rsidR="00B92BDD" w:rsidRPr="000E0B18">
        <w:rPr>
          <w:rFonts w:cs="Arial"/>
          <w:sz w:val="20"/>
          <w:szCs w:val="20"/>
        </w:rPr>
        <w:t xml:space="preserve"> </w:t>
      </w:r>
      <w:r w:rsidR="000E0B18" w:rsidRPr="000E0B18">
        <w:rPr>
          <w:rFonts w:cs="Arial"/>
          <w:sz w:val="20"/>
          <w:szCs w:val="20"/>
        </w:rPr>
        <w:t>785 822 490,05</w:t>
      </w:r>
      <w:r w:rsidRPr="000E0B18">
        <w:rPr>
          <w:rFonts w:cs="Arial"/>
          <w:sz w:val="20"/>
          <w:szCs w:val="20"/>
        </w:rPr>
        <w:t xml:space="preserve"> Kč.</w:t>
      </w:r>
    </w:p>
    <w:p w14:paraId="7F85FD9A" w14:textId="77777777" w:rsidR="00CF2F57" w:rsidRPr="00C922C3" w:rsidRDefault="00CF2F57">
      <w:pPr>
        <w:spacing w:after="0"/>
        <w:rPr>
          <w:rFonts w:cs="Arial"/>
          <w:highlight w:val="yellow"/>
        </w:rPr>
      </w:pPr>
    </w:p>
    <w:p w14:paraId="525EFC66" w14:textId="39040EEA" w:rsidR="00494B0F" w:rsidRDefault="00494B0F" w:rsidP="00CB541E">
      <w:pPr>
        <w:keepNext/>
        <w:spacing w:after="40"/>
        <w:ind w:left="1304" w:hanging="1304"/>
        <w:jc w:val="both"/>
        <w:rPr>
          <w:rFonts w:cs="Arial"/>
          <w:b/>
          <w:spacing w:val="-4"/>
        </w:rPr>
      </w:pPr>
      <w:r w:rsidRPr="00FE62B5">
        <w:rPr>
          <w:rFonts w:cs="Arial"/>
          <w:b/>
          <w:spacing w:val="-4"/>
        </w:rPr>
        <w:t xml:space="preserve">Tabulka č. </w:t>
      </w:r>
      <w:r w:rsidR="003319DD" w:rsidRPr="00FE62B5">
        <w:rPr>
          <w:rFonts w:cs="Arial"/>
          <w:b/>
          <w:spacing w:val="-4"/>
        </w:rPr>
        <w:t>3</w:t>
      </w:r>
      <w:r w:rsidRPr="00FE62B5">
        <w:rPr>
          <w:rFonts w:cs="Arial"/>
          <w:b/>
          <w:spacing w:val="-4"/>
        </w:rPr>
        <w:t xml:space="preserve">: </w:t>
      </w:r>
      <w:r w:rsidRPr="00FE62B5">
        <w:rPr>
          <w:rFonts w:cs="Arial"/>
          <w:b/>
          <w:spacing w:val="-4"/>
        </w:rPr>
        <w:tab/>
        <w:t xml:space="preserve">Údaje </w:t>
      </w:r>
      <w:r w:rsidR="000B3825" w:rsidRPr="00FE62B5">
        <w:rPr>
          <w:rFonts w:cs="Arial"/>
          <w:b/>
          <w:spacing w:val="-4"/>
        </w:rPr>
        <w:t>ÚZ</w:t>
      </w:r>
      <w:r w:rsidRPr="00FE62B5">
        <w:rPr>
          <w:rFonts w:cs="Arial"/>
          <w:b/>
          <w:spacing w:val="-4"/>
        </w:rPr>
        <w:t xml:space="preserve"> – informace o stavu účtů v knize podrozvahových účtů, údaje za běžné účetní období</w:t>
      </w:r>
    </w:p>
    <w:tbl>
      <w:tblPr>
        <w:tblW w:w="9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613"/>
        <w:gridCol w:w="2262"/>
      </w:tblGrid>
      <w:tr w:rsidR="00085D01" w:rsidRPr="001D2F47" w14:paraId="54491ACB" w14:textId="77777777" w:rsidTr="00665605">
        <w:trPr>
          <w:trHeight w:val="290"/>
          <w:tblHeader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93B4B7B" w14:textId="68F70F0D" w:rsidR="00085D01" w:rsidRPr="001D2F47" w:rsidRDefault="00085D01" w:rsidP="00085D0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CB820F" w14:textId="56C02103" w:rsidR="00085D01" w:rsidRPr="001D2F47" w:rsidRDefault="00085D01" w:rsidP="00085D0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D2F4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Částka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v Kč</w:t>
            </w:r>
          </w:p>
        </w:tc>
      </w:tr>
      <w:tr w:rsidR="00085D01" w:rsidRPr="001D2F47" w14:paraId="27AABC66" w14:textId="77777777" w:rsidTr="00665605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B112" w14:textId="3EDA157D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P.I.1.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C96A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Jiný drobný dlouhodobý nehmotný majetek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B75" w14:textId="77777777" w:rsidR="00085D01" w:rsidRPr="00665605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5D01D1">
              <w:rPr>
                <w:rFonts w:cs="Arial"/>
                <w:sz w:val="20"/>
                <w:szCs w:val="20"/>
              </w:rPr>
              <w:t>225 428,99</w:t>
            </w:r>
          </w:p>
        </w:tc>
      </w:tr>
      <w:tr w:rsidR="00085D01" w:rsidRPr="001D2F47" w14:paraId="180F0931" w14:textId="77777777" w:rsidTr="00665605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672D" w14:textId="4F7740F7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P.I.2.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0630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Jiný drobný dlouhodobý hmotný majetek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14F0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8 853 347,89</w:t>
            </w:r>
          </w:p>
        </w:tc>
      </w:tr>
      <w:tr w:rsidR="00085D01" w:rsidRPr="001D2F47" w14:paraId="0B355E1D" w14:textId="77777777" w:rsidTr="00665605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3A7" w14:textId="2D04146E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P.I.3.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DFA6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Vyřazené pohledávky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9CB3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377 583,00</w:t>
            </w:r>
          </w:p>
        </w:tc>
      </w:tr>
      <w:tr w:rsidR="00085D01" w:rsidRPr="001D2F47" w14:paraId="685E11C4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4545" w14:textId="10908B7E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P.II.6.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D86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Ostatní krátkodobé podmíněné závazky z transferů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5621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2 167 455 709,73</w:t>
            </w:r>
          </w:p>
        </w:tc>
      </w:tr>
      <w:tr w:rsidR="00085D01" w:rsidRPr="001D2F47" w14:paraId="6E2AADC2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8DFA" w14:textId="144417D9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P.IV.4.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A0BC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Dlouhodobé podmíněné pohledávky z jiných smluv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424F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1 145 680,00</w:t>
            </w:r>
          </w:p>
        </w:tc>
      </w:tr>
      <w:tr w:rsidR="00085D01" w:rsidRPr="001D2F47" w14:paraId="4D5485FD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DC3E" w14:textId="1353A6B8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P.V.6.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1E99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Ostatní dlouhodobé podmíněné závazky z transferů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B8F5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4 209 233 637,30</w:t>
            </w:r>
          </w:p>
        </w:tc>
      </w:tr>
      <w:tr w:rsidR="00085D01" w:rsidRPr="001D2F47" w14:paraId="11D41196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25D5" w14:textId="0B2F8DE1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P.VII.3.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3DEF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Krátkodobé podmíněné závazky z jiných smluv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6B2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1 139 239,30</w:t>
            </w:r>
          </w:p>
        </w:tc>
      </w:tr>
      <w:tr w:rsidR="00085D01" w:rsidRPr="001D2F47" w14:paraId="68D823B2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4F95" w14:textId="3A62AA95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P.VII.4.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C16C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Dlouhodobé podmíněné závazky z jiných smluv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236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3 194 058 636,25</w:t>
            </w:r>
          </w:p>
        </w:tc>
      </w:tr>
      <w:tr w:rsidR="00085D01" w:rsidRPr="001D2F47" w14:paraId="260B56CF" w14:textId="77777777" w:rsidTr="00665605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AF3" w14:textId="7636F8A8" w:rsidR="00085D01" w:rsidRPr="001D2F47" w:rsidRDefault="004B022C" w:rsidP="00665605">
            <w:pPr>
              <w:autoSpaceDE w:val="0"/>
              <w:autoSpaceDN w:val="0"/>
              <w:adjustRightInd w:val="0"/>
              <w:spacing w:after="0"/>
              <w:ind w:left="149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P.VII.14.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FCB5" w14:textId="77777777" w:rsidR="00085D01" w:rsidRPr="00085D01" w:rsidRDefault="00085D01" w:rsidP="00085D01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85D01">
              <w:rPr>
                <w:rFonts w:eastAsiaTheme="minorHAnsi" w:cstheme="minorHAnsi"/>
                <w:sz w:val="20"/>
                <w:szCs w:val="20"/>
              </w:rPr>
              <w:t>Dlouhodobé podmíněné závazky ze soudních sporů, správních řízení a jiných řízení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A331" w14:textId="77777777" w:rsidR="00085D01" w:rsidRPr="00085D01" w:rsidRDefault="00085D01" w:rsidP="00085D01">
            <w:pPr>
              <w:spacing w:after="0"/>
              <w:ind w:right="218"/>
              <w:jc w:val="right"/>
              <w:rPr>
                <w:rFonts w:cs="Arial"/>
                <w:sz w:val="20"/>
                <w:szCs w:val="20"/>
              </w:rPr>
            </w:pPr>
            <w:r w:rsidRPr="00085D01">
              <w:rPr>
                <w:rFonts w:cs="Arial"/>
                <w:sz w:val="20"/>
                <w:szCs w:val="20"/>
              </w:rPr>
              <w:t>12 081 276 429,00</w:t>
            </w:r>
          </w:p>
        </w:tc>
      </w:tr>
    </w:tbl>
    <w:p w14:paraId="73CA42FB" w14:textId="0BB1ED06" w:rsidR="00494B0F" w:rsidRPr="00FE62B5" w:rsidRDefault="00494B0F" w:rsidP="00665605">
      <w:pPr>
        <w:spacing w:after="0"/>
        <w:rPr>
          <w:sz w:val="20"/>
        </w:rPr>
      </w:pPr>
      <w:r w:rsidRPr="00FE62B5">
        <w:rPr>
          <w:b/>
          <w:sz w:val="20"/>
        </w:rPr>
        <w:t>Zdroj:</w:t>
      </w:r>
      <w:r w:rsidRPr="00FE62B5">
        <w:rPr>
          <w:sz w:val="20"/>
        </w:rPr>
        <w:t xml:space="preserve"> </w:t>
      </w:r>
      <w:r w:rsidR="000B3825" w:rsidRPr="00FE62B5">
        <w:rPr>
          <w:sz w:val="20"/>
        </w:rPr>
        <w:t>ÚZ</w:t>
      </w:r>
      <w:r w:rsidRPr="00FE62B5">
        <w:rPr>
          <w:sz w:val="20"/>
        </w:rPr>
        <w:t>.</w:t>
      </w:r>
    </w:p>
    <w:p w14:paraId="31788900" w14:textId="77777777" w:rsidR="00494B0F" w:rsidRPr="00C922C3" w:rsidRDefault="00494B0F" w:rsidP="007C7C81">
      <w:pPr>
        <w:spacing w:after="0"/>
        <w:rPr>
          <w:highlight w:val="yellow"/>
        </w:rPr>
      </w:pPr>
    </w:p>
    <w:p w14:paraId="782C9B8A" w14:textId="691F64CA" w:rsidR="00494B0F" w:rsidRPr="00FE62B5" w:rsidRDefault="00494B0F" w:rsidP="00665605">
      <w:pPr>
        <w:keepNext/>
        <w:spacing w:after="40"/>
        <w:ind w:left="1304" w:hanging="1304"/>
        <w:rPr>
          <w:rFonts w:cs="Arial"/>
          <w:b/>
        </w:rPr>
      </w:pPr>
      <w:r w:rsidRPr="00FE62B5">
        <w:rPr>
          <w:rFonts w:cs="Arial"/>
          <w:b/>
        </w:rPr>
        <w:t xml:space="preserve">Tabulka č. </w:t>
      </w:r>
      <w:r w:rsidR="003319DD" w:rsidRPr="00FE62B5">
        <w:rPr>
          <w:rFonts w:cs="Arial"/>
          <w:b/>
        </w:rPr>
        <w:t>4</w:t>
      </w:r>
      <w:r w:rsidRPr="00FE62B5">
        <w:rPr>
          <w:rFonts w:cs="Arial"/>
          <w:b/>
        </w:rPr>
        <w:t>:</w:t>
      </w:r>
      <w:r w:rsidRPr="00FE62B5">
        <w:rPr>
          <w:rFonts w:cs="Arial"/>
        </w:rPr>
        <w:t xml:space="preserve"> </w:t>
      </w:r>
      <w:r w:rsidR="003A6CBB">
        <w:rPr>
          <w:rFonts w:cs="Arial"/>
        </w:rPr>
        <w:tab/>
      </w:r>
      <w:r w:rsidRPr="00FE62B5">
        <w:rPr>
          <w:rFonts w:cs="Arial"/>
          <w:b/>
        </w:rPr>
        <w:t>Údaje z výkazu p</w:t>
      </w:r>
      <w:r w:rsidR="00FE62B5" w:rsidRPr="00FE62B5">
        <w:rPr>
          <w:rFonts w:cs="Arial"/>
          <w:b/>
        </w:rPr>
        <w:t>ro hodnocení plnění rozpočtu MZ</w:t>
      </w:r>
      <w:r w:rsidR="008F68B4">
        <w:rPr>
          <w:rFonts w:cs="Arial"/>
          <w:b/>
        </w:rPr>
        <w:t>d</w:t>
      </w:r>
      <w:r w:rsidRPr="00FE62B5">
        <w:rPr>
          <w:rFonts w:cs="Arial"/>
          <w:b/>
        </w:rPr>
        <w:t xml:space="preserve"> za rok 2017</w:t>
      </w:r>
    </w:p>
    <w:tbl>
      <w:tblPr>
        <w:tblW w:w="90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92"/>
      </w:tblGrid>
      <w:tr w:rsidR="00494B0F" w:rsidRPr="00673AEF" w14:paraId="7941449E" w14:textId="77777777" w:rsidTr="00147C26">
        <w:trPr>
          <w:trHeight w:val="283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57F577" w14:textId="77777777" w:rsidR="00494B0F" w:rsidRPr="00673AEF" w:rsidRDefault="00494B0F" w:rsidP="00B92BDD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70CBA4" w14:textId="77777777" w:rsidR="00494B0F" w:rsidRPr="00673AEF" w:rsidRDefault="00494B0F" w:rsidP="00B92BDD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Částka v Kč</w:t>
            </w:r>
          </w:p>
        </w:tc>
      </w:tr>
      <w:tr w:rsidR="00494B0F" w:rsidRPr="00FE62B5" w14:paraId="68A3C30D" w14:textId="77777777" w:rsidTr="00147C26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4CC5" w14:textId="77777777" w:rsidR="00494B0F" w:rsidRPr="00FE62B5" w:rsidRDefault="00494B0F" w:rsidP="00B92BDD">
            <w:pPr>
              <w:spacing w:after="0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6A6" w14:textId="488AE829" w:rsidR="00494B0F" w:rsidRPr="00FE62B5" w:rsidRDefault="00FE62B5" w:rsidP="00DB4E20">
            <w:pPr>
              <w:spacing w:after="0"/>
              <w:ind w:right="242"/>
              <w:jc w:val="right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339 723 483,98</w:t>
            </w:r>
          </w:p>
        </w:tc>
      </w:tr>
      <w:tr w:rsidR="00494B0F" w:rsidRPr="00FE62B5" w14:paraId="20AD981B" w14:textId="77777777" w:rsidTr="00147C26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521" w14:textId="77777777" w:rsidR="00494B0F" w:rsidRPr="00FE62B5" w:rsidRDefault="00494B0F" w:rsidP="00B92BDD">
            <w:pPr>
              <w:spacing w:after="0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630C" w14:textId="1F0E81A7" w:rsidR="00494B0F" w:rsidRPr="00FE62B5" w:rsidRDefault="00FE62B5" w:rsidP="00DB4E20">
            <w:pPr>
              <w:spacing w:after="0"/>
              <w:ind w:right="242"/>
              <w:jc w:val="right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5 730 579 316,32</w:t>
            </w:r>
          </w:p>
        </w:tc>
      </w:tr>
    </w:tbl>
    <w:p w14:paraId="3D5DB82A" w14:textId="35EE3FC4" w:rsidR="00077ACA" w:rsidRPr="00673AEF" w:rsidRDefault="00494B0F" w:rsidP="00147C26">
      <w:pPr>
        <w:spacing w:after="0"/>
        <w:rPr>
          <w:sz w:val="20"/>
        </w:rPr>
      </w:pPr>
      <w:r w:rsidRPr="00673AEF">
        <w:rPr>
          <w:b/>
          <w:sz w:val="20"/>
        </w:rPr>
        <w:t>Zdroj:</w:t>
      </w:r>
      <w:r w:rsidRPr="00673AEF">
        <w:rPr>
          <w:sz w:val="20"/>
        </w:rPr>
        <w:t xml:space="preserve"> výkaz FIN 1-12 OSS za rok 201</w:t>
      </w:r>
      <w:r w:rsidR="000B3825" w:rsidRPr="00673AEF">
        <w:rPr>
          <w:sz w:val="20"/>
        </w:rPr>
        <w:t>7</w:t>
      </w:r>
      <w:r w:rsidRPr="00673AEF">
        <w:rPr>
          <w:sz w:val="20"/>
        </w:rPr>
        <w:t>.</w:t>
      </w:r>
    </w:p>
    <w:p w14:paraId="4CA5D12C" w14:textId="16B924D1" w:rsidR="00B922BC" w:rsidRPr="00673AEF" w:rsidRDefault="00B922BC" w:rsidP="00911643">
      <w:pPr>
        <w:spacing w:before="40" w:after="0"/>
        <w:rPr>
          <w:rFonts w:asciiTheme="minorHAnsi" w:hAnsiTheme="minorHAnsi" w:cs="Calibri"/>
          <w:highlight w:val="yellow"/>
        </w:rPr>
      </w:pPr>
    </w:p>
    <w:p w14:paraId="3124D7CF" w14:textId="4DD7AC93" w:rsidR="008F4798" w:rsidRPr="00673AEF" w:rsidRDefault="008F4798" w:rsidP="008D6D79">
      <w:pPr>
        <w:spacing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673AEF">
        <w:rPr>
          <w:rFonts w:asciiTheme="minorHAnsi" w:hAnsiTheme="minorHAnsi" w:cs="Calibri"/>
          <w:b/>
          <w:sz w:val="20"/>
          <w:szCs w:val="20"/>
        </w:rPr>
        <w:t>Pozn.:</w:t>
      </w:r>
      <w:r w:rsidRPr="00673AEF">
        <w:rPr>
          <w:rFonts w:asciiTheme="minorHAnsi" w:hAnsiTheme="minorHAnsi" w:cs="Calibri"/>
          <w:sz w:val="20"/>
          <w:szCs w:val="20"/>
        </w:rPr>
        <w:t xml:space="preserve"> </w:t>
      </w:r>
      <w:r w:rsidR="008D6D79" w:rsidRPr="00673AEF">
        <w:rPr>
          <w:rFonts w:asciiTheme="minorHAnsi" w:hAnsiTheme="minorHAnsi" w:cs="Calibri"/>
          <w:sz w:val="20"/>
          <w:szCs w:val="20"/>
        </w:rPr>
        <w:tab/>
      </w:r>
      <w:r w:rsidRPr="00673AEF">
        <w:rPr>
          <w:rFonts w:asciiTheme="minorHAnsi" w:hAnsiTheme="minorHAnsi" w:cs="Calibri"/>
          <w:sz w:val="20"/>
          <w:szCs w:val="20"/>
        </w:rPr>
        <w:t>Všechny právní předpisy uvedené v tomto kontrolním závěru jsou aplikovány ve znění účinném pro kontrolované období.</w:t>
      </w:r>
    </w:p>
    <w:p w14:paraId="559FB0D7" w14:textId="1B3D96CD" w:rsidR="00A51B9B" w:rsidRDefault="00A51B9B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</w:p>
    <w:p w14:paraId="2E082B95" w14:textId="74575689" w:rsidR="0033466E" w:rsidRPr="00673AEF" w:rsidRDefault="0033466E" w:rsidP="00CB541E">
      <w:pPr>
        <w:pStyle w:val="Nadpis1"/>
        <w:keepNext/>
        <w:spacing w:after="0" w:line="240" w:lineRule="auto"/>
      </w:pPr>
      <w:r w:rsidRPr="00673AEF">
        <w:lastRenderedPageBreak/>
        <w:t>I</w:t>
      </w:r>
      <w:r w:rsidR="00E91FF5" w:rsidRPr="00673AEF">
        <w:t>I</w:t>
      </w:r>
      <w:r w:rsidRPr="00673AEF">
        <w:t>I. Rozsah kontroly</w:t>
      </w:r>
    </w:p>
    <w:p w14:paraId="61F132FF" w14:textId="77777777" w:rsidR="00F05073" w:rsidRPr="00673AEF" w:rsidRDefault="00F05073" w:rsidP="00CB541E">
      <w:pPr>
        <w:keepNext/>
        <w:spacing w:after="0"/>
        <w:jc w:val="both"/>
        <w:rPr>
          <w:rFonts w:cs="Calibri"/>
        </w:rPr>
      </w:pPr>
    </w:p>
    <w:p w14:paraId="0A7CC7E0" w14:textId="2B851A1C" w:rsidR="0029287A" w:rsidRDefault="0029287A" w:rsidP="00F05073">
      <w:pPr>
        <w:spacing w:after="0"/>
        <w:jc w:val="both"/>
        <w:rPr>
          <w:rFonts w:cs="Calibri"/>
        </w:rPr>
      </w:pPr>
      <w:r w:rsidRPr="00673AEF">
        <w:rPr>
          <w:rFonts w:cs="Calibri"/>
        </w:rPr>
        <w:t>Kontrolní akce byla kontrolou typu finanční audit a jejím cílem bylo zjistit, zda kontrolovaná osoba při sestavení souhrnných finančních informací, které o svém hospodaření zveřejňuje, a</w:t>
      </w:r>
      <w:r w:rsidR="009E57D6" w:rsidRPr="00673AEF">
        <w:rPr>
          <w:rFonts w:cs="Calibri"/>
        </w:rPr>
        <w:t> </w:t>
      </w:r>
      <w:r w:rsidRPr="00673AEF">
        <w:rPr>
          <w:rFonts w:cs="Calibri"/>
        </w:rPr>
        <w:t>při provádění jednotlivých transakcí postupovala v souladu s příslušnými právními předpisy.</w:t>
      </w:r>
    </w:p>
    <w:p w14:paraId="2C4770E6" w14:textId="044DEF44" w:rsidR="00720C07" w:rsidRDefault="00720C07" w:rsidP="00F05073">
      <w:pPr>
        <w:spacing w:after="0"/>
        <w:jc w:val="both"/>
        <w:rPr>
          <w:rFonts w:cs="Calibri"/>
        </w:rPr>
      </w:pPr>
    </w:p>
    <w:p w14:paraId="3CE0B4A2" w14:textId="48338FED" w:rsidR="00720C07" w:rsidRPr="00673AEF" w:rsidRDefault="00720C07" w:rsidP="00F05073">
      <w:pPr>
        <w:spacing w:after="0"/>
        <w:jc w:val="both"/>
        <w:rPr>
          <w:rFonts w:cs="Calibri"/>
        </w:rPr>
      </w:pPr>
      <w:r w:rsidRPr="00B922BC">
        <w:rPr>
          <w:rFonts w:cs="Calibri"/>
        </w:rPr>
        <w:t>Kontrolovaný objem finančních prostředků a majetku představuje hodnotu aktiv, pasiv, nákladů, výnosů a podrozvahových účtů vykázaných v ÚZ a vyčíslených v tabulkách č. 2 a 3.</w:t>
      </w:r>
      <w:r w:rsidRPr="00503EC8">
        <w:rPr>
          <w:rFonts w:cs="Calibri"/>
        </w:rPr>
        <w:t xml:space="preserve"> </w:t>
      </w:r>
    </w:p>
    <w:p w14:paraId="5F415212" w14:textId="77777777" w:rsidR="00F05073" w:rsidRPr="00C922C3" w:rsidRDefault="00F05073" w:rsidP="00F05073">
      <w:pPr>
        <w:spacing w:after="0"/>
        <w:jc w:val="both"/>
        <w:rPr>
          <w:rFonts w:cs="Calibri"/>
        </w:rPr>
      </w:pPr>
    </w:p>
    <w:p w14:paraId="700CA08F" w14:textId="1C0208BC" w:rsidR="0033466E" w:rsidRPr="00673AEF" w:rsidRDefault="005A689C" w:rsidP="00F05073">
      <w:pPr>
        <w:spacing w:after="0"/>
        <w:jc w:val="both"/>
        <w:rPr>
          <w:rFonts w:cs="Calibri"/>
          <w:bCs/>
        </w:rPr>
      </w:pPr>
      <w:r w:rsidRPr="00673AEF">
        <w:rPr>
          <w:rFonts w:cs="Calibri"/>
        </w:rPr>
        <w:t>Kontrola se zaměřila na č</w:t>
      </w:r>
      <w:r w:rsidR="0033466E" w:rsidRPr="00673AEF">
        <w:rPr>
          <w:rFonts w:cs="Calibri"/>
        </w:rPr>
        <w:t>innosti a skutečnosti, které byly předmětem účetnictví a měly vliv na hodnotu kontrolovaných významných konečných zůstatků účtů v </w:t>
      </w:r>
      <w:r w:rsidR="000B3825" w:rsidRPr="00673AEF">
        <w:rPr>
          <w:rFonts w:cs="Calibri"/>
        </w:rPr>
        <w:t>ÚZ</w:t>
      </w:r>
      <w:r w:rsidR="0033466E" w:rsidRPr="00673AEF">
        <w:rPr>
          <w:rFonts w:cs="Calibri"/>
        </w:rPr>
        <w:t xml:space="preserve">, které měly vliv na hodnotu významných údajů předkládaných pro hodnocení </w:t>
      </w:r>
      <w:r w:rsidR="00893753">
        <w:rPr>
          <w:rFonts w:cs="Calibri"/>
        </w:rPr>
        <w:t>plnění státního rozpočtu za rok</w:t>
      </w:r>
      <w:r w:rsidR="00EA61D4">
        <w:rPr>
          <w:rFonts w:cs="Calibri"/>
        </w:rPr>
        <w:t xml:space="preserve"> </w:t>
      </w:r>
      <w:r w:rsidR="0033466E" w:rsidRPr="00673AEF">
        <w:rPr>
          <w:rFonts w:cs="Calibri"/>
        </w:rPr>
        <w:t>2017 a na závěrečný účet kapitoly 3</w:t>
      </w:r>
      <w:r w:rsidR="00673AEF" w:rsidRPr="00673AEF">
        <w:rPr>
          <w:rFonts w:cs="Calibri"/>
        </w:rPr>
        <w:t>35 MZ</w:t>
      </w:r>
      <w:r w:rsidR="004665B2">
        <w:rPr>
          <w:rFonts w:cs="Calibri"/>
        </w:rPr>
        <w:t>d</w:t>
      </w:r>
      <w:r w:rsidR="0033466E" w:rsidRPr="00673AEF">
        <w:rPr>
          <w:rFonts w:cs="Calibri"/>
        </w:rPr>
        <w:t xml:space="preserve"> za</w:t>
      </w:r>
      <w:r w:rsidR="002F6A95">
        <w:rPr>
          <w:rFonts w:cs="Calibri"/>
        </w:rPr>
        <w:t xml:space="preserve"> </w:t>
      </w:r>
      <w:r w:rsidR="0033466E" w:rsidRPr="00673AEF">
        <w:rPr>
          <w:rFonts w:cs="Calibri"/>
        </w:rPr>
        <w:t>rok 2017</w:t>
      </w:r>
      <w:r w:rsidR="0033466E" w:rsidRPr="00673AEF">
        <w:rPr>
          <w:rFonts w:cs="Calibri"/>
          <w:bCs/>
        </w:rPr>
        <w:t>.</w:t>
      </w:r>
    </w:p>
    <w:p w14:paraId="7304CDFF" w14:textId="77777777" w:rsidR="00F05073" w:rsidRPr="00C922C3" w:rsidRDefault="00F05073" w:rsidP="00F05073">
      <w:pPr>
        <w:spacing w:after="0"/>
        <w:jc w:val="both"/>
        <w:rPr>
          <w:rFonts w:cs="Calibri"/>
          <w:bCs/>
        </w:rPr>
      </w:pPr>
    </w:p>
    <w:p w14:paraId="2F787307" w14:textId="22E899D8" w:rsidR="00D223F2" w:rsidRPr="00673AEF" w:rsidRDefault="00D223F2" w:rsidP="00F05073">
      <w:pPr>
        <w:spacing w:after="0"/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 xml:space="preserve">Kontrolována byla také správnost používaných účetních metod a ostatních podmínek vedení účetnictví stanovených </w:t>
      </w:r>
      <w:r w:rsidR="00884993">
        <w:rPr>
          <w:rFonts w:eastAsiaTheme="minorHAnsi" w:cs="Calibri"/>
        </w:rPr>
        <w:t>právními</w:t>
      </w:r>
      <w:r w:rsidR="00884993" w:rsidRPr="00673AEF">
        <w:rPr>
          <w:rFonts w:eastAsiaTheme="minorHAnsi" w:cs="Calibri"/>
        </w:rPr>
        <w:t xml:space="preserve"> </w:t>
      </w:r>
      <w:r w:rsidRPr="00673AEF">
        <w:rPr>
          <w:rFonts w:eastAsiaTheme="minorHAnsi" w:cs="Calibri"/>
        </w:rPr>
        <w:t>předpisy</w:t>
      </w:r>
      <w:r w:rsidR="00456405">
        <w:rPr>
          <w:rFonts w:eastAsiaTheme="minorHAnsi" w:cs="Calibri"/>
        </w:rPr>
        <w:t xml:space="preserve"> a Č</w:t>
      </w:r>
      <w:r w:rsidR="00E447AE">
        <w:rPr>
          <w:rFonts w:eastAsiaTheme="minorHAnsi" w:cs="Calibri"/>
        </w:rPr>
        <w:t>eskými účetními standardy pro některé vybrané účetní jednotky</w:t>
      </w:r>
      <w:r w:rsidR="00E447AE">
        <w:rPr>
          <w:rStyle w:val="Znakapoznpodarou"/>
          <w:rFonts w:eastAsiaTheme="minorHAnsi" w:cs="Calibri"/>
        </w:rPr>
        <w:footnoteReference w:id="21"/>
      </w:r>
      <w:r w:rsidRPr="00673AEF">
        <w:rPr>
          <w:rFonts w:eastAsiaTheme="minorHAnsi" w:cs="Calibri"/>
        </w:rPr>
        <w:t>.</w:t>
      </w:r>
    </w:p>
    <w:p w14:paraId="0B1F5975" w14:textId="77777777" w:rsidR="00F05073" w:rsidRPr="00C922C3" w:rsidRDefault="00F05073" w:rsidP="00F05073">
      <w:pPr>
        <w:spacing w:after="0"/>
        <w:jc w:val="both"/>
        <w:rPr>
          <w:rFonts w:eastAsiaTheme="minorHAnsi" w:cs="Calibri"/>
        </w:rPr>
      </w:pPr>
    </w:p>
    <w:p w14:paraId="3AE1AEBB" w14:textId="5339F839" w:rsidR="008D562A" w:rsidRPr="00673AEF" w:rsidRDefault="008D562A" w:rsidP="00F05073">
      <w:pPr>
        <w:spacing w:after="0"/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>V případě údajů předkládaných pro hodnocení plnění státního rozpočtu bylo prověřováno, zda byla dodržena správnost třídění příjmů a výdajů rozpočtovou skladbou v oblasti druhového a</w:t>
      </w:r>
      <w:r w:rsidR="009E57D6" w:rsidRPr="00673AEF">
        <w:rPr>
          <w:rFonts w:eastAsiaTheme="minorHAnsi" w:cs="Calibri"/>
        </w:rPr>
        <w:t> </w:t>
      </w:r>
      <w:r w:rsidRPr="00673AEF">
        <w:rPr>
          <w:rFonts w:eastAsiaTheme="minorHAnsi" w:cs="Calibri"/>
        </w:rPr>
        <w:t>odvětvového třídění dle vyhlášky č. 323/2002 Sb., o rozpočtové skladbě</w:t>
      </w:r>
      <w:r w:rsidR="004C1B38">
        <w:rPr>
          <w:rFonts w:eastAsiaTheme="minorHAnsi" w:cs="Calibri"/>
        </w:rPr>
        <w:t xml:space="preserve"> (dále jen „vyhláška o rozpočtové skladbě“)</w:t>
      </w:r>
      <w:r w:rsidRPr="00673AEF">
        <w:rPr>
          <w:rFonts w:eastAsiaTheme="minorHAnsi" w:cs="Calibri"/>
        </w:rPr>
        <w:t>.</w:t>
      </w:r>
    </w:p>
    <w:p w14:paraId="2B619B7F" w14:textId="77777777" w:rsidR="00F05073" w:rsidRPr="00673AEF" w:rsidRDefault="00F05073" w:rsidP="00F05073">
      <w:pPr>
        <w:spacing w:after="0"/>
        <w:jc w:val="both"/>
        <w:rPr>
          <w:rFonts w:eastAsiaTheme="minorHAnsi" w:cs="Calibri"/>
        </w:rPr>
      </w:pPr>
    </w:p>
    <w:p w14:paraId="7EF917F1" w14:textId="7C8A8B1B" w:rsidR="008465AF" w:rsidRPr="00673AEF" w:rsidRDefault="008465AF" w:rsidP="00F05073">
      <w:pPr>
        <w:spacing w:after="0"/>
        <w:jc w:val="both"/>
        <w:rPr>
          <w:rFonts w:cs="Calibri"/>
        </w:rPr>
      </w:pPr>
      <w:r w:rsidRPr="00673AEF">
        <w:rPr>
          <w:rFonts w:cs="Calibri"/>
        </w:rPr>
        <w:t xml:space="preserve">Výběr položek účetní závěrky a údajů předkládaných </w:t>
      </w:r>
      <w:r w:rsidR="00673AEF" w:rsidRPr="00673AEF">
        <w:rPr>
          <w:rFonts w:cs="Calibri"/>
        </w:rPr>
        <w:t>MZ</w:t>
      </w:r>
      <w:r w:rsidR="004665B2">
        <w:rPr>
          <w:rFonts w:cs="Calibri"/>
        </w:rPr>
        <w:t>d</w:t>
      </w:r>
      <w:r w:rsidRPr="00673AEF">
        <w:rPr>
          <w:rFonts w:cs="Calibri"/>
        </w:rPr>
        <w:t xml:space="preserve"> pro hodnocení plnění státního rozpočtu proved</w:t>
      </w:r>
      <w:r w:rsidR="00FB15C1" w:rsidRPr="00673AEF">
        <w:rPr>
          <w:rFonts w:cs="Calibri"/>
        </w:rPr>
        <w:t>l NKÚ</w:t>
      </w:r>
      <w:r w:rsidRPr="00673AEF">
        <w:rPr>
          <w:rFonts w:cs="Calibri"/>
        </w:rPr>
        <w:t xml:space="preserve"> se zaměřením na vyhodnocená rizika nesprávnosti vykázaných údajů.</w:t>
      </w:r>
    </w:p>
    <w:p w14:paraId="1536CECA" w14:textId="77777777" w:rsidR="00F05073" w:rsidRPr="00C922C3" w:rsidRDefault="00F05073" w:rsidP="00F05073">
      <w:pPr>
        <w:spacing w:after="0"/>
        <w:jc w:val="both"/>
        <w:rPr>
          <w:rFonts w:eastAsiaTheme="minorHAnsi" w:cs="Calibri"/>
        </w:rPr>
      </w:pPr>
    </w:p>
    <w:p w14:paraId="35187ADA" w14:textId="2F647DD6" w:rsidR="001C649A" w:rsidRPr="00A7770B" w:rsidRDefault="008465AF" w:rsidP="00F05073">
      <w:pPr>
        <w:spacing w:after="0"/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 xml:space="preserve">U </w:t>
      </w:r>
      <w:r w:rsidR="007D0244">
        <w:rPr>
          <w:rFonts w:eastAsiaTheme="minorHAnsi" w:cs="Calibri"/>
        </w:rPr>
        <w:t>relevantních</w:t>
      </w:r>
      <w:r w:rsidR="007D0244" w:rsidRPr="00673AEF">
        <w:rPr>
          <w:rFonts w:eastAsiaTheme="minorHAnsi" w:cs="Calibri"/>
        </w:rPr>
        <w:t xml:space="preserve"> </w:t>
      </w:r>
      <w:r w:rsidRPr="00673AEF">
        <w:rPr>
          <w:rFonts w:eastAsiaTheme="minorHAnsi" w:cs="Calibri"/>
        </w:rPr>
        <w:t xml:space="preserve">transakcí byl prověřován soulad </w:t>
      </w:r>
      <w:r w:rsidR="00243906" w:rsidRPr="00673AEF">
        <w:rPr>
          <w:rFonts w:eastAsiaTheme="minorHAnsi" w:cs="Calibri"/>
        </w:rPr>
        <w:t>s</w:t>
      </w:r>
      <w:r w:rsidR="007D0244">
        <w:rPr>
          <w:rFonts w:eastAsiaTheme="minorHAnsi" w:cs="Calibri"/>
        </w:rPr>
        <w:t> vybranými ustanoveními</w:t>
      </w:r>
      <w:r w:rsidRPr="00673AEF">
        <w:rPr>
          <w:rFonts w:eastAsiaTheme="minorHAnsi" w:cs="Calibri"/>
        </w:rPr>
        <w:t xml:space="preserve"> další</w:t>
      </w:r>
      <w:r w:rsidR="007D0244">
        <w:rPr>
          <w:rFonts w:eastAsiaTheme="minorHAnsi" w:cs="Calibri"/>
        </w:rPr>
        <w:t>ch</w:t>
      </w:r>
      <w:r w:rsidRPr="00673AEF">
        <w:rPr>
          <w:rFonts w:eastAsiaTheme="minorHAnsi" w:cs="Calibri"/>
        </w:rPr>
        <w:t xml:space="preserve"> </w:t>
      </w:r>
      <w:r w:rsidR="001C649A" w:rsidRPr="00673AEF">
        <w:rPr>
          <w:rFonts w:eastAsiaTheme="minorHAnsi" w:cs="Calibri"/>
        </w:rPr>
        <w:t>právní</w:t>
      </w:r>
      <w:r w:rsidR="007D0244">
        <w:rPr>
          <w:rFonts w:eastAsiaTheme="minorHAnsi" w:cs="Calibri"/>
        </w:rPr>
        <w:t>ch</w:t>
      </w:r>
      <w:r w:rsidR="001C649A" w:rsidRPr="00673AEF">
        <w:rPr>
          <w:rFonts w:eastAsiaTheme="minorHAnsi" w:cs="Calibri"/>
        </w:rPr>
        <w:t xml:space="preserve"> předpis</w:t>
      </w:r>
      <w:r w:rsidR="007D0244">
        <w:rPr>
          <w:rFonts w:eastAsiaTheme="minorHAnsi" w:cs="Calibri"/>
        </w:rPr>
        <w:t>ů</w:t>
      </w:r>
      <w:r w:rsidR="001F1F57" w:rsidRPr="00673AEF">
        <w:rPr>
          <w:rFonts w:eastAsiaTheme="minorHAnsi" w:cs="Calibri"/>
        </w:rPr>
        <w:t>,</w:t>
      </w:r>
      <w:r w:rsidR="001C649A" w:rsidRPr="00673AEF">
        <w:rPr>
          <w:rFonts w:eastAsiaTheme="minorHAnsi" w:cs="Calibri"/>
        </w:rPr>
        <w:t xml:space="preserve"> a to zejména </w:t>
      </w:r>
      <w:r w:rsidR="00243906" w:rsidRPr="00673AEF">
        <w:rPr>
          <w:rFonts w:eastAsiaTheme="minorHAnsi" w:cs="Calibri"/>
        </w:rPr>
        <w:t>s</w:t>
      </w:r>
      <w:r w:rsidR="002F6A95">
        <w:rPr>
          <w:rFonts w:eastAsiaTheme="minorHAnsi" w:cs="Calibri"/>
        </w:rPr>
        <w:t xml:space="preserve"> ustanoveními </w:t>
      </w:r>
      <w:r w:rsidR="00CD2142" w:rsidRPr="00673AEF">
        <w:rPr>
          <w:rFonts w:eastAsiaTheme="minorHAnsi" w:cs="Calibri"/>
        </w:rPr>
        <w:t>rozpočtov</w:t>
      </w:r>
      <w:r w:rsidR="00243906" w:rsidRPr="00673AEF">
        <w:rPr>
          <w:rFonts w:eastAsiaTheme="minorHAnsi" w:cs="Calibri"/>
        </w:rPr>
        <w:t>ý</w:t>
      </w:r>
      <w:r w:rsidR="002F6A95">
        <w:rPr>
          <w:rFonts w:eastAsiaTheme="minorHAnsi" w:cs="Calibri"/>
        </w:rPr>
        <w:t>ch</w:t>
      </w:r>
      <w:r w:rsidR="00CD2142" w:rsidRPr="00673AEF">
        <w:rPr>
          <w:rFonts w:eastAsiaTheme="minorHAnsi" w:cs="Calibri"/>
        </w:rPr>
        <w:t xml:space="preserve"> pravid</w:t>
      </w:r>
      <w:r w:rsidR="002F6A95">
        <w:rPr>
          <w:rFonts w:eastAsiaTheme="minorHAnsi" w:cs="Calibri"/>
        </w:rPr>
        <w:t>e</w:t>
      </w:r>
      <w:r w:rsidR="00CD2142" w:rsidRPr="00673AEF">
        <w:rPr>
          <w:rFonts w:eastAsiaTheme="minorHAnsi" w:cs="Calibri"/>
        </w:rPr>
        <w:t>l</w:t>
      </w:r>
      <w:r w:rsidR="004C33C8" w:rsidRPr="00673AEF">
        <w:rPr>
          <w:rFonts w:eastAsiaTheme="minorHAnsi" w:cs="Calibri"/>
        </w:rPr>
        <w:t>,</w:t>
      </w:r>
      <w:r w:rsidR="001C649A" w:rsidRPr="00673AEF">
        <w:rPr>
          <w:rFonts w:eastAsiaTheme="minorHAnsi" w:cs="Calibri"/>
        </w:rPr>
        <w:t xml:space="preserve"> zákon</w:t>
      </w:r>
      <w:r w:rsidR="002F6A95">
        <w:rPr>
          <w:rFonts w:eastAsiaTheme="minorHAnsi" w:cs="Calibri"/>
        </w:rPr>
        <w:t>a</w:t>
      </w:r>
      <w:r w:rsidR="001C649A" w:rsidRPr="00673AEF">
        <w:rPr>
          <w:rFonts w:eastAsiaTheme="minorHAnsi" w:cs="Calibri"/>
        </w:rPr>
        <w:t xml:space="preserve"> </w:t>
      </w:r>
      <w:r w:rsidR="009E1D5E" w:rsidRPr="00673AEF">
        <w:rPr>
          <w:rFonts w:eastAsiaTheme="minorHAnsi" w:cs="Calibri"/>
        </w:rPr>
        <w:t>o majetku</w:t>
      </w:r>
      <w:r w:rsidR="001F5A2A" w:rsidRPr="00673AEF">
        <w:rPr>
          <w:rFonts w:eastAsiaTheme="minorHAnsi" w:cs="Calibri"/>
        </w:rPr>
        <w:t xml:space="preserve"> a</w:t>
      </w:r>
      <w:r w:rsidR="008F46EE" w:rsidRPr="00673AEF">
        <w:rPr>
          <w:rFonts w:eastAsiaTheme="minorHAnsi" w:cs="Calibri"/>
        </w:rPr>
        <w:t xml:space="preserve"> </w:t>
      </w:r>
      <w:r w:rsidR="001C649A" w:rsidRPr="00673AEF">
        <w:rPr>
          <w:rFonts w:eastAsiaTheme="minorHAnsi" w:cs="Calibri"/>
        </w:rPr>
        <w:t>prováděcí vyhlášk</w:t>
      </w:r>
      <w:r w:rsidR="002F6A95">
        <w:rPr>
          <w:rFonts w:eastAsiaTheme="minorHAnsi" w:cs="Calibri"/>
        </w:rPr>
        <w:t>y</w:t>
      </w:r>
      <w:r w:rsidR="00A2472A" w:rsidRPr="00673AEF">
        <w:rPr>
          <w:rFonts w:eastAsiaTheme="minorHAnsi" w:cs="Calibri"/>
        </w:rPr>
        <w:t xml:space="preserve"> k tomuto zákonu č.</w:t>
      </w:r>
      <w:r w:rsidR="00EA61D4">
        <w:rPr>
          <w:rFonts w:eastAsiaTheme="minorHAnsi" w:cs="Calibri"/>
        </w:rPr>
        <w:t xml:space="preserve"> </w:t>
      </w:r>
      <w:r w:rsidR="00A2472A" w:rsidRPr="00673AEF">
        <w:rPr>
          <w:rFonts w:eastAsiaTheme="minorHAnsi" w:cs="Calibri"/>
        </w:rPr>
        <w:t>62/2001 Sb</w:t>
      </w:r>
      <w:r w:rsidR="00A2472A" w:rsidRPr="0007370C">
        <w:rPr>
          <w:rFonts w:eastAsiaTheme="minorHAnsi" w:cs="Calibri"/>
        </w:rPr>
        <w:t xml:space="preserve">., </w:t>
      </w:r>
      <w:r w:rsidR="00A2472A" w:rsidRPr="00A7770B">
        <w:rPr>
          <w:rFonts w:eastAsiaTheme="minorHAnsi" w:cs="Calibri"/>
        </w:rPr>
        <w:t>o</w:t>
      </w:r>
      <w:r w:rsidR="00EA61D4">
        <w:rPr>
          <w:rFonts w:eastAsiaTheme="minorHAnsi" w:cs="Calibri"/>
        </w:rPr>
        <w:t xml:space="preserve"> </w:t>
      </w:r>
      <w:r w:rsidR="00A2472A" w:rsidRPr="00A7770B">
        <w:rPr>
          <w:rFonts w:eastAsiaTheme="minorHAnsi" w:cs="Calibri"/>
        </w:rPr>
        <w:t>hospodaření organizačních složek státu a státních organizací s majetkem státu</w:t>
      </w:r>
      <w:r w:rsidR="001C649A" w:rsidRPr="00A7770B">
        <w:rPr>
          <w:rFonts w:eastAsiaTheme="minorHAnsi" w:cs="Calibri"/>
        </w:rPr>
        <w:t>.</w:t>
      </w:r>
    </w:p>
    <w:p w14:paraId="6B592FDA" w14:textId="77777777" w:rsidR="00F05073" w:rsidRPr="00D6174B" w:rsidRDefault="00F05073" w:rsidP="00F05073">
      <w:pPr>
        <w:spacing w:after="0"/>
        <w:jc w:val="both"/>
        <w:rPr>
          <w:rFonts w:eastAsiaTheme="minorHAnsi" w:cs="Calibri"/>
        </w:rPr>
      </w:pPr>
    </w:p>
    <w:p w14:paraId="072DD23E" w14:textId="3DF73C87" w:rsidR="008F46EE" w:rsidRPr="00673AEF" w:rsidRDefault="008F46EE" w:rsidP="00F05073">
      <w:pPr>
        <w:spacing w:after="0"/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>V</w:t>
      </w:r>
      <w:r w:rsidR="00E91FF5" w:rsidRPr="00673AEF">
        <w:rPr>
          <w:rFonts w:eastAsiaTheme="minorHAnsi" w:cs="Calibri"/>
        </w:rPr>
        <w:t> </w:t>
      </w:r>
      <w:r w:rsidRPr="00673AEF">
        <w:rPr>
          <w:rFonts w:eastAsiaTheme="minorHAnsi" w:cs="Calibri"/>
        </w:rPr>
        <w:t>případě</w:t>
      </w:r>
      <w:r w:rsidR="00E91FF5" w:rsidRPr="00673AEF">
        <w:rPr>
          <w:rFonts w:eastAsiaTheme="minorHAnsi" w:cs="Calibri"/>
        </w:rPr>
        <w:t xml:space="preserve"> nově</w:t>
      </w:r>
      <w:r w:rsidRPr="00673AEF">
        <w:rPr>
          <w:rFonts w:eastAsiaTheme="minorHAnsi" w:cs="Calibri"/>
        </w:rPr>
        <w:t xml:space="preserve"> uzavřených smluv bylo ověřováno </w:t>
      </w:r>
      <w:r w:rsidR="00E91FF5" w:rsidRPr="00673AEF">
        <w:rPr>
          <w:rFonts w:eastAsiaTheme="minorHAnsi" w:cs="Calibri"/>
        </w:rPr>
        <w:t>jejich uveřejn</w:t>
      </w:r>
      <w:r w:rsidR="00CD2142" w:rsidRPr="00673AEF">
        <w:rPr>
          <w:rFonts w:eastAsiaTheme="minorHAnsi" w:cs="Calibri"/>
        </w:rPr>
        <w:t xml:space="preserve">ění v registru smluv dle zákona </w:t>
      </w:r>
      <w:r w:rsidR="00E91FF5" w:rsidRPr="00673AEF">
        <w:rPr>
          <w:rFonts w:eastAsiaTheme="minorHAnsi" w:cs="Calibri"/>
        </w:rPr>
        <w:t>o registru smluv.</w:t>
      </w:r>
    </w:p>
    <w:p w14:paraId="50D9E920" w14:textId="40BC21BE" w:rsidR="00F802FB" w:rsidRPr="00C922C3" w:rsidRDefault="00F802FB" w:rsidP="00F05073">
      <w:pPr>
        <w:spacing w:after="0"/>
        <w:jc w:val="both"/>
        <w:rPr>
          <w:rFonts w:eastAsiaTheme="minorHAnsi" w:cs="Calibri"/>
        </w:rPr>
      </w:pPr>
    </w:p>
    <w:p w14:paraId="03E74E39" w14:textId="14B8DD3E" w:rsidR="008465AF" w:rsidRPr="00673AEF" w:rsidRDefault="001C649A" w:rsidP="00F05073">
      <w:pPr>
        <w:spacing w:after="0"/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>Prověřován byl i soulad nastavení v</w:t>
      </w:r>
      <w:r w:rsidR="00673AEF" w:rsidRPr="00673AEF">
        <w:rPr>
          <w:rFonts w:eastAsiaTheme="minorHAnsi" w:cs="Calibri"/>
        </w:rPr>
        <w:t>nitřního kontrolního systému MZ</w:t>
      </w:r>
      <w:r w:rsidR="004665B2">
        <w:rPr>
          <w:rFonts w:eastAsiaTheme="minorHAnsi" w:cs="Calibri"/>
        </w:rPr>
        <w:t>d</w:t>
      </w:r>
      <w:r w:rsidRPr="00673AEF">
        <w:rPr>
          <w:rFonts w:eastAsiaTheme="minorHAnsi" w:cs="Calibri"/>
        </w:rPr>
        <w:t xml:space="preserve"> s</w:t>
      </w:r>
      <w:r w:rsidR="008F46EE" w:rsidRPr="00673AEF">
        <w:rPr>
          <w:rFonts w:eastAsiaTheme="minorHAnsi" w:cs="Calibri"/>
        </w:rPr>
        <w:t xml:space="preserve">e zákonem o finanční kontrole a </w:t>
      </w:r>
      <w:r w:rsidR="008E3339">
        <w:rPr>
          <w:rFonts w:eastAsiaTheme="minorHAnsi" w:cs="Calibri"/>
        </w:rPr>
        <w:t xml:space="preserve">jeho </w:t>
      </w:r>
      <w:r w:rsidR="008F46EE" w:rsidRPr="00673AEF">
        <w:rPr>
          <w:rFonts w:eastAsiaTheme="minorHAnsi" w:cs="Calibri"/>
        </w:rPr>
        <w:t>prováděcí vyhláškou</w:t>
      </w:r>
      <w:r w:rsidR="00A2472A" w:rsidRPr="00673AEF">
        <w:rPr>
          <w:rFonts w:eastAsiaTheme="minorHAnsi" w:cs="Calibri"/>
        </w:rPr>
        <w:t xml:space="preserve"> č. 416/2004 Sb</w:t>
      </w:r>
      <w:r w:rsidR="00A2472A" w:rsidRPr="00A7770B">
        <w:rPr>
          <w:rFonts w:eastAsiaTheme="minorHAnsi" w:cs="Calibri"/>
        </w:rPr>
        <w:t xml:space="preserve">., </w:t>
      </w:r>
      <w:r w:rsidR="00942B30" w:rsidRPr="00A7770B">
        <w:rPr>
          <w:rFonts w:eastAsiaTheme="minorHAnsi" w:cs="Calibri"/>
        </w:rPr>
        <w:t>kterou se provádí zákon č.</w:t>
      </w:r>
      <w:r w:rsidR="009E57D6" w:rsidRPr="00A7770B">
        <w:rPr>
          <w:rFonts w:eastAsiaTheme="minorHAnsi" w:cs="Calibri"/>
        </w:rPr>
        <w:t> </w:t>
      </w:r>
      <w:r w:rsidR="00942B30" w:rsidRPr="00A7770B">
        <w:rPr>
          <w:rFonts w:eastAsiaTheme="minorHAnsi" w:cs="Calibri"/>
        </w:rPr>
        <w:t>320/2001 Sb., o finanční kontrole ve veřejné správě a o změně některých zákonů (zákon</w:t>
      </w:r>
      <w:r w:rsidR="00942B30" w:rsidRPr="0007370C">
        <w:rPr>
          <w:rFonts w:eastAsiaTheme="minorHAnsi" w:cs="Calibri"/>
        </w:rPr>
        <w:t xml:space="preserve"> </w:t>
      </w:r>
      <w:r w:rsidR="00942B30" w:rsidRPr="00A7770B">
        <w:rPr>
          <w:rFonts w:eastAsiaTheme="minorHAnsi" w:cs="Calibri"/>
        </w:rPr>
        <w:t>o</w:t>
      </w:r>
      <w:r w:rsidR="009E57D6" w:rsidRPr="00A7770B">
        <w:rPr>
          <w:rFonts w:eastAsiaTheme="minorHAnsi" w:cs="Calibri"/>
        </w:rPr>
        <w:t> </w:t>
      </w:r>
      <w:r w:rsidR="00942B30" w:rsidRPr="00A7770B">
        <w:rPr>
          <w:rFonts w:eastAsiaTheme="minorHAnsi" w:cs="Calibri"/>
        </w:rPr>
        <w:t>finanční kontrole), ve znění zákona č. 309/2002 Sb., zákona č. 320/2002 Sb. a zákona č.</w:t>
      </w:r>
      <w:r w:rsidR="009E57D6" w:rsidRPr="00A7770B">
        <w:rPr>
          <w:rFonts w:eastAsiaTheme="minorHAnsi" w:cs="Calibri"/>
        </w:rPr>
        <w:t> </w:t>
      </w:r>
      <w:r w:rsidR="00942B30" w:rsidRPr="00A7770B">
        <w:rPr>
          <w:rFonts w:eastAsiaTheme="minorHAnsi" w:cs="Calibri"/>
        </w:rPr>
        <w:t>123/2003</w:t>
      </w:r>
      <w:r w:rsidR="00942B30" w:rsidRPr="0007370C">
        <w:rPr>
          <w:rFonts w:eastAsiaTheme="minorHAnsi" w:cs="Calibri"/>
        </w:rPr>
        <w:t xml:space="preserve"> </w:t>
      </w:r>
      <w:r w:rsidR="00942B30" w:rsidRPr="00A7770B">
        <w:rPr>
          <w:rFonts w:eastAsiaTheme="minorHAnsi" w:cs="Calibri"/>
        </w:rPr>
        <w:t>Sb</w:t>
      </w:r>
      <w:r w:rsidR="00942B30" w:rsidRPr="0007370C">
        <w:rPr>
          <w:rFonts w:eastAsiaTheme="minorHAnsi" w:cs="Calibri"/>
        </w:rPr>
        <w:t>.,</w:t>
      </w:r>
      <w:r w:rsidR="005C411C" w:rsidRPr="0007370C">
        <w:rPr>
          <w:rFonts w:eastAsiaTheme="minorHAnsi" w:cs="Calibri"/>
        </w:rPr>
        <w:t xml:space="preserve"> a</w:t>
      </w:r>
      <w:r w:rsidR="005C411C" w:rsidRPr="00673AEF">
        <w:rPr>
          <w:rFonts w:eastAsiaTheme="minorHAnsi" w:cs="Calibri"/>
        </w:rPr>
        <w:t xml:space="preserve"> </w:t>
      </w:r>
      <w:r w:rsidR="00F17530" w:rsidRPr="00673AEF">
        <w:rPr>
          <w:rFonts w:eastAsiaTheme="minorHAnsi" w:cs="Calibri"/>
        </w:rPr>
        <w:t>t</w:t>
      </w:r>
      <w:r w:rsidR="005C411C" w:rsidRPr="00673AEF">
        <w:rPr>
          <w:rFonts w:eastAsiaTheme="minorHAnsi" w:cs="Calibri"/>
        </w:rPr>
        <w:t xml:space="preserve">o </w:t>
      </w:r>
      <w:r w:rsidR="005C411C" w:rsidRPr="00673AEF">
        <w:rPr>
          <w:rFonts w:eastAsiaTheme="minorHAnsi" w:cs="Calibri"/>
        </w:rPr>
        <w:lastRenderedPageBreak/>
        <w:t>v rozsahu stanoveného předmětu a cíle kontrolní akce</w:t>
      </w:r>
      <w:r w:rsidR="008F46EE" w:rsidRPr="00673AEF">
        <w:rPr>
          <w:rFonts w:eastAsiaTheme="minorHAnsi" w:cs="Calibri"/>
        </w:rPr>
        <w:t>.</w:t>
      </w:r>
      <w:r w:rsidR="00BD55A4" w:rsidRPr="00673AEF">
        <w:rPr>
          <w:rFonts w:eastAsiaTheme="minorHAnsi" w:cs="Calibri"/>
        </w:rPr>
        <w:t xml:space="preserve"> U vybraných transakcí byla prověřována i funkčnost vnitřního kontrolního systému.</w:t>
      </w:r>
    </w:p>
    <w:p w14:paraId="235BFBA3" w14:textId="77777777" w:rsidR="00F05073" w:rsidRPr="00C922C3" w:rsidRDefault="00F05073" w:rsidP="00F05073">
      <w:pPr>
        <w:spacing w:after="0"/>
        <w:jc w:val="both"/>
        <w:rPr>
          <w:rFonts w:eastAsiaTheme="minorHAnsi" w:cs="Calibri"/>
        </w:rPr>
      </w:pPr>
    </w:p>
    <w:p w14:paraId="5BB08EF0" w14:textId="0F9A6E6F" w:rsidR="00D223F2" w:rsidRPr="00DE6626" w:rsidRDefault="002F6A95" w:rsidP="00F05073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V rámci </w:t>
      </w:r>
      <w:r w:rsidR="00FD7DA7" w:rsidRPr="00DE6626">
        <w:rPr>
          <w:rFonts w:eastAsiaTheme="minorHAnsi" w:cs="Calibri"/>
        </w:rPr>
        <w:t>kontrol</w:t>
      </w:r>
      <w:r>
        <w:rPr>
          <w:rFonts w:eastAsiaTheme="minorHAnsi" w:cs="Calibri"/>
        </w:rPr>
        <w:t>y</w:t>
      </w:r>
      <w:r w:rsidR="00FD7DA7" w:rsidRPr="00DE6626">
        <w:rPr>
          <w:rFonts w:eastAsiaTheme="minorHAnsi" w:cs="Calibri"/>
        </w:rPr>
        <w:t xml:space="preserve"> byl</w:t>
      </w:r>
      <w:r>
        <w:rPr>
          <w:rFonts w:eastAsiaTheme="minorHAnsi" w:cs="Calibri"/>
        </w:rPr>
        <w:t>a</w:t>
      </w:r>
      <w:r w:rsidR="00FD7DA7" w:rsidRPr="00DE6626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také vyhodnocena</w:t>
      </w:r>
      <w:r w:rsidR="00FD7DA7" w:rsidRPr="00DE6626">
        <w:rPr>
          <w:rFonts w:eastAsiaTheme="minorHAnsi" w:cs="Calibri"/>
        </w:rPr>
        <w:t xml:space="preserve"> opatření p</w:t>
      </w:r>
      <w:r w:rsidR="00673AEF" w:rsidRPr="00DE6626">
        <w:rPr>
          <w:rFonts w:eastAsiaTheme="minorHAnsi" w:cs="Calibri"/>
        </w:rPr>
        <w:t>řijat</w:t>
      </w:r>
      <w:r>
        <w:rPr>
          <w:rFonts w:eastAsiaTheme="minorHAnsi" w:cs="Calibri"/>
        </w:rPr>
        <w:t>á</w:t>
      </w:r>
      <w:r w:rsidR="00673AEF" w:rsidRPr="00DE6626">
        <w:rPr>
          <w:rFonts w:eastAsiaTheme="minorHAnsi" w:cs="Calibri"/>
        </w:rPr>
        <w:t xml:space="preserve"> k nápravě </w:t>
      </w:r>
      <w:r>
        <w:rPr>
          <w:rFonts w:eastAsiaTheme="minorHAnsi" w:cs="Calibri"/>
        </w:rPr>
        <w:t xml:space="preserve">nedostatků zjištěných </w:t>
      </w:r>
      <w:r w:rsidR="00673AEF" w:rsidRPr="00DE6626">
        <w:rPr>
          <w:rFonts w:eastAsiaTheme="minorHAnsi" w:cs="Calibri"/>
        </w:rPr>
        <w:t>kontrolní akc</w:t>
      </w:r>
      <w:r>
        <w:rPr>
          <w:rFonts w:eastAsiaTheme="minorHAnsi" w:cs="Calibri"/>
        </w:rPr>
        <w:t>í</w:t>
      </w:r>
      <w:r w:rsidR="00673AEF" w:rsidRPr="00DE6626">
        <w:rPr>
          <w:rFonts w:eastAsiaTheme="minorHAnsi" w:cs="Calibri"/>
        </w:rPr>
        <w:t xml:space="preserve"> č. 15/07</w:t>
      </w:r>
      <w:r w:rsidR="00FD7DA7" w:rsidRPr="00DE6626">
        <w:rPr>
          <w:rFonts w:eastAsiaTheme="minorHAnsi" w:cs="Calibri"/>
        </w:rPr>
        <w:t xml:space="preserve"> </w:t>
      </w:r>
      <w:r w:rsidR="00FD7DA7" w:rsidRPr="00DE6626">
        <w:rPr>
          <w:rFonts w:cs="Calibri"/>
        </w:rPr>
        <w:t xml:space="preserve">– </w:t>
      </w:r>
      <w:r w:rsidR="00FD7DA7" w:rsidRPr="00DE6626">
        <w:rPr>
          <w:rFonts w:eastAsiaTheme="minorHAnsi" w:cs="Calibri"/>
          <w:i/>
        </w:rPr>
        <w:t xml:space="preserve">Závěrečný účet kapitoly státního rozpočtu Ministerstvo </w:t>
      </w:r>
      <w:r w:rsidR="00DE6626" w:rsidRPr="00DE6626">
        <w:rPr>
          <w:rFonts w:eastAsiaTheme="minorHAnsi" w:cs="Calibri"/>
          <w:i/>
        </w:rPr>
        <w:t>zdravotnictví za rok 2014</w:t>
      </w:r>
      <w:r w:rsidR="00FD7DA7" w:rsidRPr="00DE6626">
        <w:rPr>
          <w:rFonts w:eastAsiaTheme="minorHAnsi" w:cs="Calibri"/>
          <w:i/>
        </w:rPr>
        <w:t>, účetní závěrka</w:t>
      </w:r>
      <w:r w:rsidR="00DE6626" w:rsidRPr="00DE6626">
        <w:rPr>
          <w:rFonts w:eastAsiaTheme="minorHAnsi" w:cs="Calibri"/>
          <w:i/>
        </w:rPr>
        <w:t xml:space="preserve"> Ministerstva zdravotnictví za rok 2014</w:t>
      </w:r>
      <w:r w:rsidR="00FD7DA7" w:rsidRPr="00DE6626">
        <w:rPr>
          <w:rFonts w:eastAsiaTheme="minorHAnsi" w:cs="Calibri"/>
          <w:i/>
        </w:rPr>
        <w:t xml:space="preserve"> a </w:t>
      </w:r>
      <w:r w:rsidR="00DE6626" w:rsidRPr="00DE6626">
        <w:rPr>
          <w:rFonts w:eastAsiaTheme="minorHAnsi" w:cs="Calibri"/>
          <w:i/>
        </w:rPr>
        <w:t>údaje předkládané Ministerstvem</w:t>
      </w:r>
      <w:r w:rsidR="00FD7DA7" w:rsidRPr="00DE6626">
        <w:rPr>
          <w:rFonts w:eastAsiaTheme="minorHAnsi" w:cs="Calibri"/>
          <w:i/>
        </w:rPr>
        <w:t xml:space="preserve"> </w:t>
      </w:r>
      <w:r w:rsidR="00DE6626" w:rsidRPr="00DE6626">
        <w:rPr>
          <w:rFonts w:eastAsiaTheme="minorHAnsi" w:cs="Calibri"/>
          <w:i/>
        </w:rPr>
        <w:t>zdravotnictví pro hodnocení plnění státního rozpočtu za rok 2014</w:t>
      </w:r>
      <w:r w:rsidR="00DE6626" w:rsidRPr="00DE6626">
        <w:rPr>
          <w:rFonts w:eastAsiaTheme="minorHAnsi" w:cs="Calibri"/>
        </w:rPr>
        <w:t>.</w:t>
      </w:r>
    </w:p>
    <w:p w14:paraId="7AAC5C8D" w14:textId="77777777" w:rsidR="00F05073" w:rsidRPr="00C922C3" w:rsidRDefault="00F05073" w:rsidP="00F05073">
      <w:pPr>
        <w:spacing w:after="0"/>
        <w:jc w:val="both"/>
        <w:rPr>
          <w:rFonts w:cs="Calibri"/>
          <w:lang w:eastAsia="cs-CZ"/>
        </w:rPr>
      </w:pPr>
    </w:p>
    <w:p w14:paraId="50CECA44" w14:textId="245369D7" w:rsidR="00720C07" w:rsidRPr="00503EC8" w:rsidRDefault="0033466E" w:rsidP="00720C07">
      <w:pPr>
        <w:spacing w:after="0"/>
        <w:jc w:val="both"/>
        <w:rPr>
          <w:rFonts w:cs="Calibri"/>
        </w:rPr>
      </w:pPr>
      <w:r w:rsidRPr="00DE6626">
        <w:rPr>
          <w:rFonts w:cs="Calibri"/>
          <w:lang w:eastAsia="cs-CZ"/>
        </w:rPr>
        <w:t xml:space="preserve">Při kontrole závěrečného účtu kapitoly </w:t>
      </w:r>
      <w:r w:rsidR="00DE6626" w:rsidRPr="00DE6626">
        <w:rPr>
          <w:rFonts w:cs="Calibri"/>
          <w:lang w:eastAsia="cs-CZ"/>
        </w:rPr>
        <w:t>335 MZ</w:t>
      </w:r>
      <w:r w:rsidR="0006188A">
        <w:rPr>
          <w:rFonts w:cs="Calibri"/>
          <w:lang w:eastAsia="cs-CZ"/>
        </w:rPr>
        <w:t>d</w:t>
      </w:r>
      <w:r w:rsidRPr="00DE6626">
        <w:rPr>
          <w:rFonts w:cs="Calibri"/>
          <w:lang w:eastAsia="cs-CZ"/>
        </w:rPr>
        <w:t xml:space="preserve"> za rok 2017 </w:t>
      </w:r>
      <w:r w:rsidR="00CB6633" w:rsidRPr="00DE6626">
        <w:rPr>
          <w:rFonts w:cs="Calibri"/>
          <w:lang w:eastAsia="cs-CZ"/>
        </w:rPr>
        <w:t>byl</w:t>
      </w:r>
      <w:r w:rsidR="00FF0CD0">
        <w:rPr>
          <w:rFonts w:cs="Calibri"/>
          <w:lang w:eastAsia="cs-CZ"/>
        </w:rPr>
        <w:t>o prověřováno, zda je</w:t>
      </w:r>
      <w:r w:rsidR="00163CD9" w:rsidRPr="00DE6626">
        <w:rPr>
          <w:rFonts w:cs="Calibri"/>
          <w:lang w:eastAsia="cs-CZ"/>
        </w:rPr>
        <w:t xml:space="preserve"> závěrečný účet</w:t>
      </w:r>
      <w:r w:rsidR="00CB6633" w:rsidRPr="00DE6626">
        <w:rPr>
          <w:rFonts w:cs="Calibri"/>
          <w:lang w:eastAsia="cs-CZ"/>
        </w:rPr>
        <w:t xml:space="preserve"> </w:t>
      </w:r>
      <w:r w:rsidR="00FF0CD0">
        <w:rPr>
          <w:rFonts w:cs="Calibri"/>
          <w:lang w:eastAsia="cs-CZ"/>
        </w:rPr>
        <w:t xml:space="preserve">v souladu s požadavky </w:t>
      </w:r>
      <w:r w:rsidR="00CD2142" w:rsidRPr="00DE6626">
        <w:rPr>
          <w:rFonts w:cs="Calibri"/>
          <w:lang w:eastAsia="cs-CZ"/>
        </w:rPr>
        <w:t>vyhlášk</w:t>
      </w:r>
      <w:r w:rsidR="00FF0CD0">
        <w:rPr>
          <w:rFonts w:cs="Calibri"/>
          <w:lang w:eastAsia="cs-CZ"/>
        </w:rPr>
        <w:t>y</w:t>
      </w:r>
      <w:r w:rsidR="00CD2142" w:rsidRPr="00DE6626">
        <w:rPr>
          <w:rFonts w:cs="Calibri"/>
          <w:lang w:eastAsia="cs-CZ"/>
        </w:rPr>
        <w:t xml:space="preserve"> č. 419/2001 Sb.</w:t>
      </w:r>
      <w:r w:rsidR="00163CD9" w:rsidRPr="00DE6626">
        <w:rPr>
          <w:rFonts w:cs="Calibri"/>
          <w:lang w:eastAsia="cs-CZ"/>
        </w:rPr>
        <w:t xml:space="preserve"> </w:t>
      </w:r>
      <w:r w:rsidR="002F6A95">
        <w:rPr>
          <w:rFonts w:cs="Calibri"/>
          <w:lang w:eastAsia="cs-CZ"/>
        </w:rPr>
        <w:t xml:space="preserve">i </w:t>
      </w:r>
      <w:r w:rsidR="00FF0CD0">
        <w:rPr>
          <w:rFonts w:cs="Calibri"/>
          <w:lang w:eastAsia="cs-CZ"/>
        </w:rPr>
        <w:t>v souladu</w:t>
      </w:r>
      <w:r w:rsidR="002F6A95">
        <w:rPr>
          <w:rFonts w:cs="Calibri"/>
          <w:lang w:eastAsia="cs-CZ"/>
        </w:rPr>
        <w:t xml:space="preserve"> </w:t>
      </w:r>
      <w:r w:rsidR="00FF0CD0">
        <w:rPr>
          <w:rFonts w:cs="Calibri"/>
          <w:lang w:eastAsia="cs-CZ"/>
        </w:rPr>
        <w:t>s</w:t>
      </w:r>
      <w:r w:rsidR="002F6A95">
        <w:rPr>
          <w:rFonts w:cs="Calibri"/>
          <w:lang w:eastAsia="cs-CZ"/>
        </w:rPr>
        <w:t>e</w:t>
      </w:r>
      <w:r w:rsidR="00163CD9" w:rsidRPr="00DE6626">
        <w:rPr>
          <w:rFonts w:cs="Calibri"/>
          <w:lang w:eastAsia="cs-CZ"/>
        </w:rPr>
        <w:t xml:space="preserve"> skutečnost</w:t>
      </w:r>
      <w:r w:rsidR="00FF0CD0">
        <w:rPr>
          <w:rFonts w:cs="Calibri"/>
          <w:lang w:eastAsia="cs-CZ"/>
        </w:rPr>
        <w:t>í</w:t>
      </w:r>
      <w:r w:rsidR="002F6A95">
        <w:rPr>
          <w:rFonts w:cs="Calibri"/>
          <w:lang w:eastAsia="cs-CZ"/>
        </w:rPr>
        <w:t>, to znamená</w:t>
      </w:r>
      <w:r w:rsidR="001E6D9E">
        <w:rPr>
          <w:rFonts w:cs="Calibri"/>
          <w:lang w:eastAsia="cs-CZ"/>
        </w:rPr>
        <w:t>,</w:t>
      </w:r>
      <w:r w:rsidR="00CA1396">
        <w:rPr>
          <w:rFonts w:cs="Calibri"/>
          <w:lang w:eastAsia="cs-CZ"/>
        </w:rPr>
        <w:t xml:space="preserve"> </w:t>
      </w:r>
      <w:r w:rsidR="008D562A" w:rsidRPr="00DE6626">
        <w:rPr>
          <w:rFonts w:cs="Calibri"/>
          <w:lang w:eastAsia="cs-CZ"/>
        </w:rPr>
        <w:t xml:space="preserve">zda údaje </w:t>
      </w:r>
      <w:r w:rsidR="00163CD9" w:rsidRPr="00DE6626">
        <w:rPr>
          <w:rFonts w:cs="Calibri"/>
          <w:lang w:eastAsia="cs-CZ"/>
        </w:rPr>
        <w:t>uváděné</w:t>
      </w:r>
      <w:r w:rsidR="008D562A" w:rsidRPr="00DE6626">
        <w:rPr>
          <w:rFonts w:cs="Calibri"/>
          <w:lang w:eastAsia="cs-CZ"/>
        </w:rPr>
        <w:t xml:space="preserve"> v závěrečném účtu</w:t>
      </w:r>
      <w:r w:rsidR="00163CD9" w:rsidRPr="00DE6626">
        <w:rPr>
          <w:rFonts w:cs="Calibri"/>
          <w:lang w:eastAsia="cs-CZ"/>
        </w:rPr>
        <w:t xml:space="preserve"> </w:t>
      </w:r>
      <w:r w:rsidR="008D562A" w:rsidRPr="00DE6626">
        <w:rPr>
          <w:rFonts w:cs="Calibri"/>
          <w:lang w:eastAsia="cs-CZ"/>
        </w:rPr>
        <w:t>jsou správné a úplné</w:t>
      </w:r>
      <w:r w:rsidR="00E55D04" w:rsidRPr="00DE6626">
        <w:rPr>
          <w:rFonts w:cs="Calibri"/>
          <w:lang w:eastAsia="cs-CZ"/>
        </w:rPr>
        <w:t xml:space="preserve"> ve srovnání s finančním</w:t>
      </w:r>
      <w:r w:rsidR="00E758F8">
        <w:rPr>
          <w:rFonts w:cs="Calibri"/>
          <w:lang w:eastAsia="cs-CZ"/>
        </w:rPr>
        <w:t>i</w:t>
      </w:r>
      <w:r w:rsidR="00E55D04" w:rsidRPr="00DE6626">
        <w:rPr>
          <w:rFonts w:cs="Calibri"/>
          <w:lang w:eastAsia="cs-CZ"/>
        </w:rPr>
        <w:t xml:space="preserve"> výkaz</w:t>
      </w:r>
      <w:r w:rsidR="00E758F8">
        <w:rPr>
          <w:rFonts w:cs="Calibri"/>
          <w:lang w:eastAsia="cs-CZ"/>
        </w:rPr>
        <w:t>y</w:t>
      </w:r>
      <w:r w:rsidR="00E55D04" w:rsidRPr="00DE6626">
        <w:rPr>
          <w:rFonts w:cs="Calibri"/>
          <w:lang w:eastAsia="cs-CZ"/>
        </w:rPr>
        <w:t xml:space="preserve">, </w:t>
      </w:r>
      <w:r w:rsidR="00E758F8">
        <w:rPr>
          <w:rFonts w:cs="Calibri"/>
          <w:lang w:eastAsia="cs-CZ"/>
        </w:rPr>
        <w:t>údaji v</w:t>
      </w:r>
      <w:r w:rsidR="00FF0CD0">
        <w:rPr>
          <w:rFonts w:cs="Calibri"/>
          <w:lang w:eastAsia="cs-CZ"/>
        </w:rPr>
        <w:t> </w:t>
      </w:r>
      <w:r w:rsidR="00E55D04" w:rsidRPr="00DE6626">
        <w:rPr>
          <w:rFonts w:cs="Calibri"/>
          <w:lang w:eastAsia="cs-CZ"/>
        </w:rPr>
        <w:t xml:space="preserve">účetnictví a </w:t>
      </w:r>
      <w:r w:rsidR="00163CD9" w:rsidRPr="00DE6626">
        <w:rPr>
          <w:rFonts w:cs="Calibri"/>
          <w:lang w:eastAsia="cs-CZ"/>
        </w:rPr>
        <w:t xml:space="preserve">s </w:t>
      </w:r>
      <w:r w:rsidR="00E55D04" w:rsidRPr="00DE6626">
        <w:rPr>
          <w:rFonts w:cs="Calibri"/>
          <w:lang w:eastAsia="cs-CZ"/>
        </w:rPr>
        <w:t>podklady jednotlivých věcně příslušných odborů M</w:t>
      </w:r>
      <w:r w:rsidR="00C853FE" w:rsidRPr="00DE6626">
        <w:rPr>
          <w:rFonts w:cs="Calibri"/>
          <w:lang w:eastAsia="cs-CZ"/>
        </w:rPr>
        <w:t>Z</w:t>
      </w:r>
      <w:r w:rsidR="0006188A">
        <w:rPr>
          <w:rFonts w:cs="Calibri"/>
          <w:lang w:eastAsia="cs-CZ"/>
        </w:rPr>
        <w:t>d</w:t>
      </w:r>
      <w:r w:rsidR="00E758F8">
        <w:rPr>
          <w:rFonts w:cs="Calibri"/>
          <w:lang w:eastAsia="cs-CZ"/>
        </w:rPr>
        <w:t xml:space="preserve"> a</w:t>
      </w:r>
      <w:r w:rsidR="00FF0CD0">
        <w:rPr>
          <w:rFonts w:cs="Calibri"/>
          <w:lang w:eastAsia="cs-CZ"/>
        </w:rPr>
        <w:t> </w:t>
      </w:r>
      <w:r w:rsidR="00E758F8">
        <w:rPr>
          <w:rFonts w:cs="Calibri"/>
          <w:lang w:eastAsia="cs-CZ"/>
        </w:rPr>
        <w:t>podřízených organizací</w:t>
      </w:r>
      <w:r w:rsidR="008D562A" w:rsidRPr="00DE6626">
        <w:rPr>
          <w:rFonts w:cs="Calibri"/>
          <w:lang w:eastAsia="cs-CZ"/>
        </w:rPr>
        <w:t>.</w:t>
      </w:r>
      <w:r w:rsidR="00943CBE" w:rsidRPr="00DE6626">
        <w:rPr>
          <w:rFonts w:cs="Calibri"/>
          <w:lang w:eastAsia="cs-CZ"/>
        </w:rPr>
        <w:t xml:space="preserve"> </w:t>
      </w:r>
    </w:p>
    <w:p w14:paraId="7250C2C8" w14:textId="04D669C9" w:rsidR="00720C07" w:rsidRPr="00C922C3" w:rsidRDefault="00720C07" w:rsidP="00F05073">
      <w:pPr>
        <w:spacing w:after="0"/>
        <w:jc w:val="both"/>
        <w:rPr>
          <w:rFonts w:cs="Calibri"/>
          <w:highlight w:val="yellow"/>
        </w:rPr>
      </w:pPr>
    </w:p>
    <w:p w14:paraId="30A50908" w14:textId="77777777" w:rsidR="00097990" w:rsidRPr="00C922C3" w:rsidRDefault="00097990" w:rsidP="00097990">
      <w:pPr>
        <w:jc w:val="both"/>
        <w:rPr>
          <w:rFonts w:cs="Calibri"/>
          <w:highlight w:val="yellow"/>
        </w:rPr>
      </w:pPr>
    </w:p>
    <w:p w14:paraId="0443EA54" w14:textId="77777777" w:rsidR="0033466E" w:rsidRPr="00DE6626" w:rsidRDefault="008F4798" w:rsidP="00CB541E">
      <w:pPr>
        <w:pStyle w:val="Nadpis1"/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DE6626">
        <w:rPr>
          <w:rFonts w:ascii="Calibri" w:hAnsi="Calibri" w:cs="Calibri"/>
          <w:szCs w:val="24"/>
        </w:rPr>
        <w:t>IV</w:t>
      </w:r>
      <w:r w:rsidR="0033466E" w:rsidRPr="00DE6626">
        <w:rPr>
          <w:rFonts w:ascii="Calibri" w:hAnsi="Calibri" w:cs="Calibri"/>
          <w:szCs w:val="24"/>
        </w:rPr>
        <w:t xml:space="preserve">. Podrobné </w:t>
      </w:r>
      <w:r w:rsidRPr="00DE6626">
        <w:rPr>
          <w:rFonts w:ascii="Calibri" w:hAnsi="Calibri" w:cs="Calibri"/>
          <w:szCs w:val="24"/>
        </w:rPr>
        <w:t>skutečnosti</w:t>
      </w:r>
      <w:r w:rsidR="0033466E" w:rsidRPr="00DE6626">
        <w:rPr>
          <w:rFonts w:ascii="Calibri" w:hAnsi="Calibri" w:cs="Calibri"/>
          <w:szCs w:val="24"/>
        </w:rPr>
        <w:t xml:space="preserve"> </w:t>
      </w:r>
      <w:r w:rsidRPr="00DE6626">
        <w:rPr>
          <w:rFonts w:ascii="Calibri" w:hAnsi="Calibri" w:cs="Calibri"/>
          <w:szCs w:val="24"/>
        </w:rPr>
        <w:t>z</w:t>
      </w:r>
      <w:r w:rsidR="0033466E" w:rsidRPr="00DE6626">
        <w:rPr>
          <w:rFonts w:ascii="Calibri" w:hAnsi="Calibri" w:cs="Calibri"/>
          <w:szCs w:val="24"/>
        </w:rPr>
        <w:t>jištěn</w:t>
      </w:r>
      <w:r w:rsidRPr="00DE6626">
        <w:rPr>
          <w:rFonts w:ascii="Calibri" w:hAnsi="Calibri" w:cs="Calibri"/>
          <w:szCs w:val="24"/>
        </w:rPr>
        <w:t>é</w:t>
      </w:r>
      <w:r w:rsidR="0033466E" w:rsidRPr="00DE6626">
        <w:rPr>
          <w:rFonts w:ascii="Calibri" w:hAnsi="Calibri" w:cs="Calibri"/>
          <w:szCs w:val="24"/>
        </w:rPr>
        <w:t xml:space="preserve"> </w:t>
      </w:r>
      <w:r w:rsidRPr="00DE6626">
        <w:rPr>
          <w:rFonts w:ascii="Calibri" w:hAnsi="Calibri" w:cs="Calibri"/>
          <w:szCs w:val="24"/>
        </w:rPr>
        <w:t>kontrolou</w:t>
      </w:r>
    </w:p>
    <w:p w14:paraId="758AE479" w14:textId="77777777" w:rsidR="00E93037" w:rsidRPr="00C922C3" w:rsidRDefault="00E93037" w:rsidP="00CB541E">
      <w:pPr>
        <w:keepNext/>
        <w:spacing w:after="0"/>
        <w:jc w:val="both"/>
        <w:rPr>
          <w:rFonts w:cs="Calibri"/>
        </w:rPr>
      </w:pPr>
    </w:p>
    <w:p w14:paraId="3BE2DB6B" w14:textId="516DBFCF" w:rsidR="00A7490F" w:rsidRDefault="0033466E" w:rsidP="00000266">
      <w:pPr>
        <w:pStyle w:val="Nadpis2"/>
        <w:keepNext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Calibri" w:hAnsi="Calibri" w:cs="Calibri"/>
          <w:lang w:eastAsia="cs-CZ"/>
        </w:rPr>
      </w:pPr>
      <w:r w:rsidRPr="00DE6626">
        <w:rPr>
          <w:rFonts w:ascii="Calibri" w:hAnsi="Calibri" w:cs="Calibri"/>
          <w:lang w:eastAsia="cs-CZ"/>
        </w:rPr>
        <w:t>Nesprávnosti</w:t>
      </w:r>
      <w:r w:rsidR="005377D4">
        <w:rPr>
          <w:rFonts w:ascii="Calibri" w:hAnsi="Calibri" w:cs="Calibri"/>
          <w:lang w:eastAsia="cs-CZ"/>
        </w:rPr>
        <w:t xml:space="preserve"> </w:t>
      </w:r>
      <w:r w:rsidR="008A3E76">
        <w:rPr>
          <w:rFonts w:ascii="Calibri" w:hAnsi="Calibri" w:cs="Calibri"/>
          <w:lang w:eastAsia="cs-CZ"/>
        </w:rPr>
        <w:t xml:space="preserve">v účtování </w:t>
      </w:r>
      <w:r w:rsidR="005377D4">
        <w:rPr>
          <w:rFonts w:ascii="Calibri" w:hAnsi="Calibri" w:cs="Calibri"/>
          <w:lang w:eastAsia="cs-CZ"/>
        </w:rPr>
        <w:t>a neúplnost</w:t>
      </w:r>
      <w:r w:rsidRPr="00DE6626">
        <w:rPr>
          <w:rFonts w:ascii="Calibri" w:hAnsi="Calibri" w:cs="Calibri"/>
          <w:lang w:eastAsia="cs-CZ"/>
        </w:rPr>
        <w:t xml:space="preserve"> </w:t>
      </w:r>
      <w:r w:rsidR="008A3E76">
        <w:rPr>
          <w:rFonts w:ascii="Calibri" w:hAnsi="Calibri" w:cs="Calibri"/>
          <w:lang w:eastAsia="cs-CZ"/>
        </w:rPr>
        <w:t>inventarizace</w:t>
      </w:r>
      <w:r w:rsidRPr="00DE6626">
        <w:rPr>
          <w:rFonts w:ascii="Calibri" w:hAnsi="Calibri" w:cs="Calibri"/>
          <w:lang w:eastAsia="cs-CZ"/>
        </w:rPr>
        <w:t xml:space="preserve"> </w:t>
      </w:r>
    </w:p>
    <w:p w14:paraId="52D947E7" w14:textId="77777777" w:rsidR="008C6B5E" w:rsidRPr="008C6B5E" w:rsidRDefault="008C6B5E" w:rsidP="008C6B5E">
      <w:pPr>
        <w:rPr>
          <w:lang w:eastAsia="cs-CZ"/>
        </w:rPr>
      </w:pPr>
    </w:p>
    <w:p w14:paraId="47AF7C7A" w14:textId="7A645BBC" w:rsidR="000F5927" w:rsidRDefault="008A3E76" w:rsidP="00182474">
      <w:pPr>
        <w:pStyle w:val="Odstavecseseznamem"/>
        <w:keepNext/>
        <w:numPr>
          <w:ilvl w:val="1"/>
          <w:numId w:val="3"/>
        </w:numPr>
        <w:spacing w:after="0"/>
        <w:jc w:val="both"/>
        <w:rPr>
          <w:rFonts w:cs="Calibri"/>
          <w:b/>
        </w:rPr>
      </w:pPr>
      <w:r w:rsidRPr="000F5927">
        <w:rPr>
          <w:rFonts w:cs="Calibri"/>
          <w:b/>
        </w:rPr>
        <w:t>Nesprávn</w:t>
      </w:r>
      <w:r>
        <w:rPr>
          <w:rFonts w:cs="Calibri"/>
          <w:b/>
        </w:rPr>
        <w:t>osti v</w:t>
      </w:r>
      <w:r w:rsidRPr="000F5927">
        <w:rPr>
          <w:rFonts w:cs="Calibri"/>
          <w:b/>
        </w:rPr>
        <w:t xml:space="preserve"> </w:t>
      </w:r>
      <w:r w:rsidR="00A7490F" w:rsidRPr="000F5927">
        <w:rPr>
          <w:rFonts w:cs="Calibri"/>
          <w:b/>
        </w:rPr>
        <w:t>účtování</w:t>
      </w:r>
    </w:p>
    <w:p w14:paraId="0BEAE928" w14:textId="77777777" w:rsidR="008C6B5E" w:rsidRPr="000F5927" w:rsidRDefault="008C6B5E" w:rsidP="008C6B5E">
      <w:pPr>
        <w:pStyle w:val="Odstavecseseznamem"/>
        <w:keepNext/>
        <w:spacing w:after="0"/>
        <w:ind w:left="360"/>
        <w:jc w:val="both"/>
        <w:rPr>
          <w:rFonts w:cs="Calibri"/>
          <w:b/>
        </w:rPr>
      </w:pPr>
    </w:p>
    <w:p w14:paraId="69EFBF3F" w14:textId="5E117932" w:rsidR="0013580F" w:rsidRPr="006B25A0" w:rsidRDefault="006B25A0" w:rsidP="006B25A0">
      <w:pPr>
        <w:spacing w:after="0"/>
        <w:jc w:val="both"/>
        <w:rPr>
          <w:rFonts w:cs="Calibri"/>
          <w:b/>
          <w:lang w:eastAsia="cs-CZ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</w:t>
      </w:r>
      <w:r w:rsidRPr="007C5D7D">
        <w:rPr>
          <w:rFonts w:cs="Calibri"/>
          <w:b/>
        </w:rPr>
        <w:t>účtovalo o existenci podmíněných závazků z titulu uzavřených smluv o</w:t>
      </w:r>
      <w:r w:rsidR="00FF0CD0">
        <w:rPr>
          <w:rFonts w:cs="Calibri"/>
          <w:b/>
        </w:rPr>
        <w:t xml:space="preserve"> </w:t>
      </w:r>
      <w:r w:rsidRPr="007C5D7D">
        <w:rPr>
          <w:rFonts w:cs="Calibri"/>
          <w:b/>
        </w:rPr>
        <w:t xml:space="preserve">poskytnutí účelové podpory </w:t>
      </w:r>
      <w:r w:rsidRPr="007C5D7D">
        <w:rPr>
          <w:rFonts w:cs="Calibri"/>
        </w:rPr>
        <w:t>na řešení projektů podle zákona č. 130/2002 Sb</w:t>
      </w:r>
      <w:r w:rsidR="0013580F">
        <w:rPr>
          <w:rFonts w:cs="Calibri"/>
        </w:rPr>
        <w:t>.</w:t>
      </w:r>
      <w:r w:rsidRPr="0007370C">
        <w:rPr>
          <w:rFonts w:cs="Calibri"/>
        </w:rPr>
        <w:t xml:space="preserve"> </w:t>
      </w:r>
      <w:r w:rsidRPr="00665B1D">
        <w:rPr>
          <w:rFonts w:cs="Calibri"/>
          <w:b/>
        </w:rPr>
        <w:t>na nesprávný podrozvahový účet</w:t>
      </w:r>
      <w:r w:rsidRPr="007C5D7D">
        <w:rPr>
          <w:rFonts w:cs="Calibri"/>
        </w:rPr>
        <w:t xml:space="preserve"> 974 – </w:t>
      </w:r>
      <w:r w:rsidRPr="007C5D7D">
        <w:rPr>
          <w:rFonts w:cs="Calibri"/>
          <w:i/>
        </w:rPr>
        <w:t>Dlouhodobé podmíněné závazky z jiných smluv</w:t>
      </w:r>
      <w:r w:rsidRPr="007C5D7D">
        <w:rPr>
          <w:rFonts w:cs="Calibri"/>
        </w:rPr>
        <w:t>. 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nereflektovalo změny v </w:t>
      </w:r>
      <w:r w:rsidR="00011D21">
        <w:rPr>
          <w:rFonts w:cs="Calibri"/>
        </w:rPr>
        <w:t>právních</w:t>
      </w:r>
      <w:r w:rsidR="00011D21" w:rsidRPr="007C5D7D">
        <w:rPr>
          <w:rFonts w:cs="Calibri"/>
        </w:rPr>
        <w:t xml:space="preserve"> </w:t>
      </w:r>
      <w:r w:rsidRPr="007C5D7D">
        <w:rPr>
          <w:rFonts w:cs="Calibri"/>
        </w:rPr>
        <w:t>předpisec</w:t>
      </w:r>
      <w:r w:rsidR="004C2048">
        <w:rPr>
          <w:rFonts w:cs="Calibri"/>
        </w:rPr>
        <w:t>h</w:t>
      </w:r>
      <w:r w:rsidR="00456405">
        <w:rPr>
          <w:rFonts w:cs="Calibri"/>
        </w:rPr>
        <w:t xml:space="preserve"> a Českých účetních standardech pro některé vybrané účetní jednotky</w:t>
      </w:r>
      <w:r w:rsidR="004C2048">
        <w:rPr>
          <w:rFonts w:cs="Calibri"/>
        </w:rPr>
        <w:t>, které nastaly po roce 2014 a</w:t>
      </w:r>
      <w:r w:rsidR="00822DB1">
        <w:rPr>
          <w:rFonts w:cs="Calibri"/>
        </w:rPr>
        <w:t xml:space="preserve"> </w:t>
      </w:r>
      <w:r w:rsidRPr="007C5D7D">
        <w:rPr>
          <w:rFonts w:cs="Calibri"/>
        </w:rPr>
        <w:t>dle kterých se podmíněné závazky vyplývající ze skutečnosti, která zakládá možnost poskytnutí transferu, mají vykazovat v účtových skupinách 91 či 95</w:t>
      </w:r>
      <w:r w:rsidRPr="006B25A0">
        <w:rPr>
          <w:rFonts w:cs="Calibri"/>
        </w:rPr>
        <w:t>. V důsledku této skutečnosti</w:t>
      </w:r>
      <w:r w:rsidRPr="006B25A0">
        <w:rPr>
          <w:rFonts w:cs="Calibri"/>
          <w:b/>
        </w:rPr>
        <w:t xml:space="preserve"> </w:t>
      </w:r>
      <w:r w:rsidR="00FF0CD0">
        <w:rPr>
          <w:rFonts w:cs="Calibri"/>
          <w:b/>
        </w:rPr>
        <w:t xml:space="preserve">MZd </w:t>
      </w:r>
      <w:r w:rsidRPr="006B25A0">
        <w:rPr>
          <w:rFonts w:cs="Calibri"/>
          <w:b/>
        </w:rPr>
        <w:t xml:space="preserve">v </w:t>
      </w:r>
      <w:r w:rsidR="00FF0CD0">
        <w:rPr>
          <w:rFonts w:cs="Calibri"/>
          <w:b/>
        </w:rPr>
        <w:t>p</w:t>
      </w:r>
      <w:r w:rsidRPr="006B25A0">
        <w:rPr>
          <w:rFonts w:cs="Calibri"/>
          <w:b/>
        </w:rPr>
        <w:t xml:space="preserve">říloze </w:t>
      </w:r>
      <w:r w:rsidR="00FF0CD0">
        <w:rPr>
          <w:rFonts w:cs="Calibri"/>
          <w:b/>
        </w:rPr>
        <w:t xml:space="preserve">účetní závěrky </w:t>
      </w:r>
      <w:r w:rsidRPr="006B25A0">
        <w:rPr>
          <w:rFonts w:cs="Calibri"/>
          <w:b/>
        </w:rPr>
        <w:t>v údajích za běžné účetní období nadhodnotilo</w:t>
      </w:r>
      <w:r w:rsidRPr="006B25A0">
        <w:rPr>
          <w:rFonts w:cs="Calibri"/>
          <w:b/>
          <w:lang w:eastAsia="cs-CZ"/>
        </w:rPr>
        <w:t xml:space="preserve"> zůstatek účtu</w:t>
      </w:r>
      <w:r w:rsidR="0013580F">
        <w:rPr>
          <w:rFonts w:cs="Calibri"/>
          <w:b/>
          <w:lang w:eastAsia="cs-CZ"/>
        </w:rPr>
        <w:t xml:space="preserve"> </w:t>
      </w:r>
      <w:r w:rsidRPr="006B25A0">
        <w:rPr>
          <w:rFonts w:cs="Calibri"/>
          <w:b/>
          <w:lang w:eastAsia="cs-CZ"/>
        </w:rPr>
        <w:t xml:space="preserve">974 – </w:t>
      </w:r>
      <w:r w:rsidRPr="006B25A0">
        <w:rPr>
          <w:rFonts w:cs="Calibri"/>
          <w:b/>
          <w:i/>
        </w:rPr>
        <w:t>Dlouhodobé podmíněné závazky z jiných smluv</w:t>
      </w:r>
      <w:r w:rsidRPr="006B25A0">
        <w:rPr>
          <w:rFonts w:cs="Calibri"/>
          <w:b/>
          <w:lang w:eastAsia="cs-CZ"/>
        </w:rPr>
        <w:t xml:space="preserve"> o</w:t>
      </w:r>
      <w:r w:rsidR="00AF309B">
        <w:rPr>
          <w:rFonts w:cs="Calibri"/>
          <w:b/>
          <w:lang w:eastAsia="cs-CZ"/>
        </w:rPr>
        <w:t> </w:t>
      </w:r>
      <w:r w:rsidRPr="006B25A0">
        <w:rPr>
          <w:rFonts w:cs="Calibri"/>
          <w:b/>
          <w:lang w:eastAsia="cs-CZ"/>
        </w:rPr>
        <w:t>1,97</w:t>
      </w:r>
      <w:r w:rsidR="00AF309B">
        <w:rPr>
          <w:rFonts w:cs="Calibri"/>
          <w:b/>
          <w:lang w:eastAsia="cs-CZ"/>
        </w:rPr>
        <w:t> </w:t>
      </w:r>
      <w:r w:rsidRPr="006B25A0">
        <w:rPr>
          <w:rFonts w:cs="Calibri"/>
          <w:b/>
          <w:lang w:eastAsia="cs-CZ"/>
        </w:rPr>
        <w:t>mld.</w:t>
      </w:r>
      <w:r w:rsidR="00AF309B">
        <w:rPr>
          <w:rFonts w:cs="Calibri"/>
          <w:b/>
          <w:lang w:eastAsia="cs-CZ"/>
        </w:rPr>
        <w:t> </w:t>
      </w:r>
      <w:r w:rsidRPr="006B25A0">
        <w:rPr>
          <w:rFonts w:cs="Calibri"/>
          <w:b/>
          <w:lang w:eastAsia="cs-CZ"/>
        </w:rPr>
        <w:t>Kč.</w:t>
      </w:r>
    </w:p>
    <w:p w14:paraId="057D5D19" w14:textId="3864BE0B" w:rsidR="0013580F" w:rsidRPr="007C5D7D" w:rsidRDefault="0013580F" w:rsidP="006B25A0">
      <w:pPr>
        <w:spacing w:after="0"/>
        <w:jc w:val="both"/>
        <w:rPr>
          <w:rFonts w:cs="Calibri"/>
        </w:rPr>
      </w:pPr>
    </w:p>
    <w:p w14:paraId="5FFFE3EC" w14:textId="712834CA" w:rsidR="006B25A0" w:rsidRDefault="006B25A0" w:rsidP="006B25A0">
      <w:pPr>
        <w:spacing w:after="0"/>
        <w:jc w:val="both"/>
        <w:rPr>
          <w:rFonts w:cs="Calibri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</w:t>
      </w:r>
      <w:r w:rsidR="00FF0CD0">
        <w:rPr>
          <w:rFonts w:cs="Calibri"/>
        </w:rPr>
        <w:t>rovněž</w:t>
      </w:r>
      <w:r w:rsidR="00FE68FB">
        <w:rPr>
          <w:rFonts w:cs="Calibri"/>
        </w:rPr>
        <w:t xml:space="preserve"> </w:t>
      </w:r>
      <w:r w:rsidRPr="007C5D7D">
        <w:rPr>
          <w:rFonts w:cs="Calibri"/>
        </w:rPr>
        <w:t>na</w:t>
      </w:r>
      <w:r w:rsidR="00FE68FB">
        <w:rPr>
          <w:rFonts w:cs="Calibri"/>
        </w:rPr>
        <w:t xml:space="preserve"> </w:t>
      </w:r>
      <w:r w:rsidRPr="007C5D7D">
        <w:rPr>
          <w:rFonts w:cs="Calibri"/>
        </w:rPr>
        <w:t xml:space="preserve">podrozvahovém účtu 974 – </w:t>
      </w:r>
      <w:r w:rsidRPr="007C5D7D">
        <w:rPr>
          <w:rFonts w:cs="Calibri"/>
          <w:i/>
        </w:rPr>
        <w:t>Dlouhodobé podmíněné závazky z jiných smluv</w:t>
      </w:r>
      <w:r w:rsidRPr="007C5D7D">
        <w:rPr>
          <w:rFonts w:cs="Calibri"/>
        </w:rPr>
        <w:t xml:space="preserve"> </w:t>
      </w:r>
      <w:r w:rsidRPr="007C5D7D">
        <w:rPr>
          <w:rFonts w:cs="Calibri"/>
          <w:b/>
        </w:rPr>
        <w:t>účtovalo o</w:t>
      </w:r>
      <w:r w:rsidR="00FF0CD0">
        <w:rPr>
          <w:rFonts w:cs="Calibri"/>
          <w:b/>
        </w:rPr>
        <w:t xml:space="preserve"> </w:t>
      </w:r>
      <w:r w:rsidRPr="007C5D7D">
        <w:rPr>
          <w:rFonts w:cs="Calibri"/>
          <w:b/>
        </w:rPr>
        <w:t xml:space="preserve">podmíněných závazcích vyplývajících z uzavřených smluv </w:t>
      </w:r>
      <w:r w:rsidR="00FE68FB">
        <w:rPr>
          <w:rFonts w:cs="Calibri"/>
          <w:b/>
        </w:rPr>
        <w:t xml:space="preserve">v některých případech i </w:t>
      </w:r>
      <w:r w:rsidRPr="007C5D7D">
        <w:rPr>
          <w:rFonts w:cs="Calibri"/>
          <w:b/>
        </w:rPr>
        <w:t>v nesprávné výši</w:t>
      </w:r>
      <w:r w:rsidRPr="00665B1D">
        <w:rPr>
          <w:rFonts w:cs="Calibri"/>
          <w:b/>
        </w:rPr>
        <w:t>.</w:t>
      </w:r>
      <w:r w:rsidRPr="007C5D7D">
        <w:rPr>
          <w:rFonts w:cs="Calibri"/>
        </w:rPr>
        <w:t xml:space="preserve"> </w:t>
      </w:r>
    </w:p>
    <w:p w14:paraId="0DF8474F" w14:textId="118380BB" w:rsidR="006B25A0" w:rsidRDefault="006B25A0" w:rsidP="006B25A0">
      <w:pPr>
        <w:spacing w:after="0"/>
        <w:jc w:val="both"/>
        <w:rPr>
          <w:rFonts w:cs="Calibri"/>
        </w:rPr>
      </w:pPr>
    </w:p>
    <w:p w14:paraId="3BBC1E52" w14:textId="533B839A" w:rsidR="00A36905" w:rsidRPr="000F5927" w:rsidRDefault="006B25A0" w:rsidP="0085093F">
      <w:pPr>
        <w:spacing w:after="0"/>
        <w:jc w:val="both"/>
        <w:rPr>
          <w:rFonts w:cs="Calibri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v roce 2017 </w:t>
      </w:r>
      <w:r w:rsidRPr="007C5D7D">
        <w:rPr>
          <w:rFonts w:cs="Calibri"/>
          <w:b/>
        </w:rPr>
        <w:t>neúčtovalo o podmíněných pohledávkách z titulu předfinancování transferu poskytnutého ČR zejména z rozpočtu EU</w:t>
      </w:r>
      <w:r w:rsidRPr="006B25A0">
        <w:rPr>
          <w:rFonts w:cs="Calibri"/>
          <w:b/>
        </w:rPr>
        <w:t xml:space="preserve">, </w:t>
      </w:r>
      <w:r w:rsidRPr="006B25A0">
        <w:rPr>
          <w:rFonts w:cs="Calibri"/>
        </w:rPr>
        <w:t>čímž</w:t>
      </w:r>
      <w:r w:rsidRPr="006B25A0">
        <w:rPr>
          <w:rFonts w:cs="Calibri"/>
          <w:b/>
        </w:rPr>
        <w:t xml:space="preserve"> podhodnotilo zůstatky účtů </w:t>
      </w:r>
      <w:r w:rsidR="00C90252">
        <w:rPr>
          <w:rFonts w:cs="Calibri"/>
          <w:b/>
        </w:rPr>
        <w:br/>
      </w:r>
      <w:r w:rsidRPr="006B25A0">
        <w:rPr>
          <w:rFonts w:cs="Calibri"/>
          <w:b/>
        </w:rPr>
        <w:t xml:space="preserve">911 – </w:t>
      </w:r>
      <w:r w:rsidRPr="006B25A0">
        <w:rPr>
          <w:rFonts w:cs="Calibri"/>
          <w:b/>
          <w:i/>
        </w:rPr>
        <w:t>Krátkodobé podmíněné pohledávky z předfinancování transferů</w:t>
      </w:r>
      <w:r w:rsidR="00F254E7">
        <w:rPr>
          <w:rFonts w:cs="Calibri"/>
          <w:b/>
        </w:rPr>
        <w:t xml:space="preserve"> a 951 – </w:t>
      </w:r>
      <w:r w:rsidRPr="006B25A0">
        <w:rPr>
          <w:rFonts w:cs="Calibri"/>
          <w:b/>
          <w:i/>
        </w:rPr>
        <w:t>Dlouhodobé podmíněné pohledávky z předfinancování transferů</w:t>
      </w:r>
      <w:r w:rsidRPr="006B25A0">
        <w:rPr>
          <w:rFonts w:cs="Calibri"/>
          <w:b/>
        </w:rPr>
        <w:t xml:space="preserve"> minimálně o 117 mil. Kč.</w:t>
      </w:r>
      <w:r w:rsidR="0006188A">
        <w:rPr>
          <w:rFonts w:cs="Calibri"/>
        </w:rPr>
        <w:t xml:space="preserve"> Jedná se o </w:t>
      </w:r>
      <w:r w:rsidRPr="007C5D7D">
        <w:rPr>
          <w:rFonts w:cs="Calibri"/>
        </w:rPr>
        <w:t>systémový nedostate</w:t>
      </w:r>
      <w:r w:rsidR="000F5927">
        <w:rPr>
          <w:rFonts w:cs="Calibri"/>
        </w:rPr>
        <w:t>k.</w:t>
      </w:r>
    </w:p>
    <w:p w14:paraId="21C81CB6" w14:textId="64DF504B" w:rsidR="00A36905" w:rsidRPr="00C922C3" w:rsidRDefault="00A36905" w:rsidP="00A36905">
      <w:pPr>
        <w:spacing w:after="0"/>
        <w:jc w:val="both"/>
        <w:rPr>
          <w:rFonts w:cs="Calibri"/>
        </w:rPr>
      </w:pPr>
    </w:p>
    <w:p w14:paraId="79756F15" w14:textId="33F7F6DF" w:rsidR="006B25A0" w:rsidRPr="00A7770B" w:rsidRDefault="006B25A0" w:rsidP="006B25A0">
      <w:pPr>
        <w:spacing w:after="0"/>
        <w:jc w:val="both"/>
        <w:rPr>
          <w:rFonts w:cs="Calibri"/>
          <w:lang w:eastAsia="cs-CZ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v roce 2017 </w:t>
      </w:r>
      <w:r w:rsidRPr="007C5D7D">
        <w:rPr>
          <w:rFonts w:cs="Calibri"/>
          <w:b/>
        </w:rPr>
        <w:t>neúčtovalo o vzniku závazku vůči místně příslušnému finančnímu úřadu z titulu penále za porušení rozpočtové kázně</w:t>
      </w:r>
      <w:r w:rsidRPr="007C5D7D">
        <w:rPr>
          <w:rFonts w:cs="Calibri"/>
        </w:rPr>
        <w:t xml:space="preserve"> na účtu 347 – </w:t>
      </w:r>
      <w:r w:rsidRPr="007C5D7D">
        <w:rPr>
          <w:rFonts w:cs="Calibri"/>
          <w:i/>
        </w:rPr>
        <w:t>Závazky k vybraným ústředním vládním institucím</w:t>
      </w:r>
      <w:r w:rsidRPr="007C5D7D">
        <w:rPr>
          <w:rFonts w:cs="Calibri"/>
        </w:rPr>
        <w:t>. V důsledku této skutečnosti</w:t>
      </w:r>
      <w:r w:rsidR="008648CB">
        <w:rPr>
          <w:rFonts w:cs="Calibri"/>
        </w:rPr>
        <w:t xml:space="preserve"> </w:t>
      </w:r>
      <w:r w:rsidR="008648CB" w:rsidRPr="00A7770B">
        <w:rPr>
          <w:rFonts w:cs="Calibri"/>
          <w:b/>
        </w:rPr>
        <w:t>MZ</w:t>
      </w:r>
      <w:r w:rsidR="0006188A">
        <w:rPr>
          <w:rFonts w:cs="Calibri"/>
          <w:b/>
        </w:rPr>
        <w:t>d</w:t>
      </w:r>
      <w:r w:rsidR="008648CB" w:rsidRPr="00A7770B">
        <w:rPr>
          <w:rFonts w:cs="Calibri"/>
          <w:b/>
        </w:rPr>
        <w:t xml:space="preserve"> podhodnotilo</w:t>
      </w:r>
      <w:r w:rsidRPr="00A7770B">
        <w:rPr>
          <w:rFonts w:cs="Calibri"/>
          <w:b/>
        </w:rPr>
        <w:t xml:space="preserve"> </w:t>
      </w:r>
      <w:r w:rsidRPr="00011D21">
        <w:rPr>
          <w:rFonts w:cs="Calibri"/>
          <w:b/>
        </w:rPr>
        <w:t>v</w:t>
      </w:r>
      <w:r w:rsidR="008648CB" w:rsidRPr="006E6C89">
        <w:rPr>
          <w:rFonts w:cs="Calibri"/>
          <w:b/>
        </w:rPr>
        <w:t> </w:t>
      </w:r>
      <w:r w:rsidR="00FF0CD0">
        <w:rPr>
          <w:rFonts w:cs="Calibri"/>
          <w:b/>
        </w:rPr>
        <w:t>r</w:t>
      </w:r>
      <w:r w:rsidRPr="006E6C89">
        <w:rPr>
          <w:rFonts w:cs="Calibri"/>
          <w:b/>
        </w:rPr>
        <w:t>ozvaze</w:t>
      </w:r>
      <w:r w:rsidR="008648CB" w:rsidRPr="00BD423E">
        <w:rPr>
          <w:rFonts w:cs="Calibri"/>
          <w:b/>
        </w:rPr>
        <w:t xml:space="preserve"> </w:t>
      </w:r>
      <w:r w:rsidR="008648CB" w:rsidRPr="00011D21">
        <w:rPr>
          <w:rFonts w:cs="Calibri"/>
          <w:b/>
          <w:lang w:eastAsia="cs-CZ"/>
        </w:rPr>
        <w:t xml:space="preserve">zůstatek účtu 347 – </w:t>
      </w:r>
      <w:r w:rsidR="008648CB" w:rsidRPr="00011D21">
        <w:rPr>
          <w:rFonts w:cs="Calibri"/>
          <w:b/>
          <w:i/>
        </w:rPr>
        <w:t>Závazky k vybraným ústředním vládním institucím</w:t>
      </w:r>
      <w:r w:rsidR="008648CB" w:rsidRPr="00011D21">
        <w:rPr>
          <w:rFonts w:cs="Calibri"/>
          <w:b/>
          <w:lang w:eastAsia="cs-CZ"/>
        </w:rPr>
        <w:t xml:space="preserve"> o 9 mil. Kč</w:t>
      </w:r>
      <w:r w:rsidR="004F51BC" w:rsidRPr="00A7770B">
        <w:rPr>
          <w:rFonts w:cs="Calibri"/>
          <w:b/>
          <w:lang w:eastAsia="cs-CZ"/>
        </w:rPr>
        <w:t xml:space="preserve"> a zároveň podhodnotilo</w:t>
      </w:r>
      <w:r w:rsidR="008648CB" w:rsidRPr="00011D21">
        <w:rPr>
          <w:rFonts w:cs="Calibri"/>
          <w:b/>
        </w:rPr>
        <w:t xml:space="preserve"> </w:t>
      </w:r>
      <w:r w:rsidRPr="006E6C89">
        <w:rPr>
          <w:rFonts w:cs="Calibri"/>
          <w:b/>
        </w:rPr>
        <w:t xml:space="preserve">ve </w:t>
      </w:r>
      <w:r w:rsidR="00FF0CD0">
        <w:rPr>
          <w:rFonts w:cs="Calibri"/>
          <w:b/>
        </w:rPr>
        <w:t>v</w:t>
      </w:r>
      <w:r w:rsidRPr="006E6C89">
        <w:rPr>
          <w:rFonts w:cs="Calibri"/>
          <w:b/>
        </w:rPr>
        <w:t>ýkazu zisku a ztrát</w:t>
      </w:r>
      <w:r w:rsidR="002D512A" w:rsidRPr="006E6C89">
        <w:rPr>
          <w:rFonts w:cs="Calibri"/>
          <w:b/>
        </w:rPr>
        <w:t>y</w:t>
      </w:r>
      <w:r w:rsidRPr="00BD423E">
        <w:rPr>
          <w:rFonts w:cs="Calibri"/>
          <w:b/>
        </w:rPr>
        <w:t xml:space="preserve"> </w:t>
      </w:r>
      <w:r w:rsidRPr="00011D21">
        <w:rPr>
          <w:rFonts w:cs="Calibri"/>
          <w:b/>
          <w:lang w:eastAsia="cs-CZ"/>
        </w:rPr>
        <w:t xml:space="preserve">zůstatek účtu 542 – </w:t>
      </w:r>
      <w:r w:rsidRPr="00011D21">
        <w:rPr>
          <w:rFonts w:cs="Calibri"/>
          <w:b/>
          <w:i/>
        </w:rPr>
        <w:t>Jiné pokuty a penále</w:t>
      </w:r>
      <w:r w:rsidRPr="00011D21">
        <w:rPr>
          <w:rFonts w:cs="Calibri"/>
          <w:b/>
          <w:lang w:eastAsia="cs-CZ"/>
        </w:rPr>
        <w:t xml:space="preserve"> o stejnou částku.</w:t>
      </w:r>
    </w:p>
    <w:p w14:paraId="3FF4E351" w14:textId="0BFCAFD7" w:rsidR="006B25A0" w:rsidRPr="006B25A0" w:rsidRDefault="006B25A0" w:rsidP="006B25A0">
      <w:pPr>
        <w:spacing w:after="0"/>
        <w:jc w:val="both"/>
        <w:rPr>
          <w:rFonts w:cs="Calibri"/>
          <w:b/>
          <w:lang w:eastAsia="cs-CZ"/>
        </w:rPr>
      </w:pPr>
      <w:r w:rsidRPr="007C5D7D">
        <w:rPr>
          <w:rFonts w:cs="Calibri"/>
        </w:rPr>
        <w:lastRenderedPageBreak/>
        <w:t>MZ</w:t>
      </w:r>
      <w:r w:rsidR="0006188A">
        <w:rPr>
          <w:rFonts w:cs="Calibri"/>
        </w:rPr>
        <w:t>d</w:t>
      </w:r>
      <w:r w:rsidR="006B05F9">
        <w:rPr>
          <w:rFonts w:cs="Calibri"/>
        </w:rPr>
        <w:t xml:space="preserve"> v roce 2017</w:t>
      </w:r>
      <w:r w:rsidRPr="007C5D7D">
        <w:rPr>
          <w:rFonts w:cs="Calibri"/>
        </w:rPr>
        <w:t xml:space="preserve"> </w:t>
      </w:r>
      <w:r w:rsidRPr="007C5D7D">
        <w:rPr>
          <w:rFonts w:cs="Calibri"/>
          <w:b/>
        </w:rPr>
        <w:t>nesprávně účtovalo o výnosu z titulu vrácení účelové podpory</w:t>
      </w:r>
      <w:r w:rsidRPr="007C5D7D">
        <w:rPr>
          <w:rFonts w:cs="Calibri"/>
        </w:rPr>
        <w:t xml:space="preserve">, ačkoli tato skutečnost věcně a časově souvisela s účetním obdobím roku 2016. V důsledku této skutečnosti </w:t>
      </w:r>
      <w:r w:rsidRPr="006B25A0">
        <w:rPr>
          <w:rFonts w:cs="Calibri"/>
          <w:b/>
        </w:rPr>
        <w:t>v </w:t>
      </w:r>
      <w:r w:rsidR="00FF0CD0">
        <w:rPr>
          <w:rFonts w:cs="Calibri"/>
          <w:b/>
        </w:rPr>
        <w:t>r</w:t>
      </w:r>
      <w:r w:rsidRPr="006B25A0">
        <w:rPr>
          <w:rFonts w:cs="Calibri"/>
          <w:b/>
        </w:rPr>
        <w:t xml:space="preserve">ozvaze a ve </w:t>
      </w:r>
      <w:r w:rsidR="00FF0CD0">
        <w:rPr>
          <w:rFonts w:cs="Calibri"/>
          <w:b/>
        </w:rPr>
        <w:t>v</w:t>
      </w:r>
      <w:r w:rsidRPr="006B25A0">
        <w:rPr>
          <w:rFonts w:cs="Calibri"/>
          <w:b/>
        </w:rPr>
        <w:t>ýkazu zisku a ztrát</w:t>
      </w:r>
      <w:r w:rsidR="006B05F9">
        <w:rPr>
          <w:rFonts w:cs="Calibri"/>
          <w:b/>
        </w:rPr>
        <w:t>y</w:t>
      </w:r>
      <w:r w:rsidRPr="006B25A0">
        <w:rPr>
          <w:rFonts w:cs="Calibri"/>
          <w:b/>
        </w:rPr>
        <w:t xml:space="preserve"> v údajích za běžné účetní období MZ</w:t>
      </w:r>
      <w:r w:rsidR="0006188A">
        <w:rPr>
          <w:rFonts w:cs="Calibri"/>
          <w:b/>
        </w:rPr>
        <w:t>d</w:t>
      </w:r>
      <w:r w:rsidRPr="006B25A0">
        <w:rPr>
          <w:rFonts w:cs="Calibri"/>
          <w:b/>
        </w:rPr>
        <w:t xml:space="preserve"> podhodnotilo</w:t>
      </w:r>
      <w:r w:rsidRPr="006B25A0">
        <w:rPr>
          <w:rFonts w:cs="Calibri"/>
          <w:b/>
          <w:lang w:eastAsia="cs-CZ"/>
        </w:rPr>
        <w:t xml:space="preserve"> zůstatek účtu 432 – </w:t>
      </w:r>
      <w:r w:rsidRPr="006B25A0">
        <w:rPr>
          <w:rFonts w:cs="Calibri"/>
          <w:b/>
          <w:i/>
        </w:rPr>
        <w:t>Výsledek hospodaření předcházejících účetních období</w:t>
      </w:r>
      <w:r w:rsidRPr="006B25A0">
        <w:rPr>
          <w:rFonts w:cs="Calibri"/>
          <w:b/>
          <w:lang w:eastAsia="cs-CZ"/>
        </w:rPr>
        <w:t xml:space="preserve"> o 4,9 mil. Kč a nadhodnotilo zůstatek účtu 671 – </w:t>
      </w:r>
      <w:r w:rsidRPr="006B25A0">
        <w:rPr>
          <w:rFonts w:cs="Calibri"/>
          <w:b/>
          <w:i/>
        </w:rPr>
        <w:t>Výnosy vybraných ústředních vládních institucí z transferů</w:t>
      </w:r>
      <w:r w:rsidRPr="006B25A0">
        <w:rPr>
          <w:rFonts w:cs="Calibri"/>
          <w:b/>
          <w:lang w:eastAsia="cs-CZ"/>
        </w:rPr>
        <w:t xml:space="preserve"> o stejnou částku.</w:t>
      </w:r>
    </w:p>
    <w:p w14:paraId="409C347C" w14:textId="77777777" w:rsidR="006B25A0" w:rsidRPr="007C5D7D" w:rsidRDefault="006B25A0" w:rsidP="006B25A0">
      <w:pPr>
        <w:spacing w:after="0"/>
        <w:jc w:val="both"/>
        <w:rPr>
          <w:rFonts w:cs="Calibri"/>
        </w:rPr>
      </w:pPr>
    </w:p>
    <w:p w14:paraId="156EDF07" w14:textId="5CF01C93" w:rsidR="00F91286" w:rsidRPr="006B25A0" w:rsidRDefault="003F6D54" w:rsidP="00F91286">
      <w:pPr>
        <w:spacing w:after="0"/>
        <w:jc w:val="both"/>
        <w:rPr>
          <w:rFonts w:cs="Calibri"/>
          <w:b/>
          <w:lang w:eastAsia="cs-CZ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</w:t>
      </w:r>
      <w:r w:rsidRPr="007C5D7D">
        <w:rPr>
          <w:rFonts w:cs="Calibri"/>
          <w:b/>
        </w:rPr>
        <w:t>v případě ošetření českých pojištěnců v zahraničí účtovalo na nesprávný závazkový účet</w:t>
      </w:r>
      <w:r w:rsidRPr="007C5D7D">
        <w:rPr>
          <w:rFonts w:cs="Calibri"/>
        </w:rPr>
        <w:t xml:space="preserve"> 321 – </w:t>
      </w:r>
      <w:r w:rsidRPr="007C5D7D">
        <w:rPr>
          <w:rFonts w:cs="Calibri"/>
          <w:i/>
        </w:rPr>
        <w:t>Dodavatelé</w:t>
      </w:r>
      <w:r w:rsidRPr="007C5D7D">
        <w:rPr>
          <w:rFonts w:cs="Calibri"/>
        </w:rPr>
        <w:t xml:space="preserve">, </w:t>
      </w:r>
      <w:r w:rsidR="00F91286" w:rsidRPr="007C5D7D">
        <w:rPr>
          <w:rFonts w:cs="Calibri"/>
        </w:rPr>
        <w:t>neboť</w:t>
      </w:r>
      <w:r w:rsidRPr="007C5D7D">
        <w:rPr>
          <w:rFonts w:cs="Calibri"/>
        </w:rPr>
        <w:t xml:space="preserve"> se jednalo o závazky, u</w:t>
      </w:r>
      <w:r w:rsidR="00F3201F">
        <w:rPr>
          <w:rFonts w:cs="Calibri"/>
        </w:rPr>
        <w:t xml:space="preserve"> </w:t>
      </w:r>
      <w:r w:rsidRPr="007C5D7D">
        <w:rPr>
          <w:rFonts w:cs="Calibri"/>
        </w:rPr>
        <w:t>kterých není známa jejich skutečná výše k datu účetní závěrky.</w:t>
      </w:r>
      <w:r w:rsidR="00F91286" w:rsidRPr="007C5D7D">
        <w:rPr>
          <w:rFonts w:cs="Calibri"/>
        </w:rPr>
        <w:t xml:space="preserve"> V důsledku této skutečnosti </w:t>
      </w:r>
      <w:r w:rsidR="00F91286" w:rsidRPr="006B25A0">
        <w:rPr>
          <w:rFonts w:cs="Calibri"/>
          <w:b/>
        </w:rPr>
        <w:t>v</w:t>
      </w:r>
      <w:r w:rsidR="008F7D80" w:rsidRPr="006B25A0">
        <w:rPr>
          <w:rFonts w:cs="Calibri"/>
          <w:b/>
        </w:rPr>
        <w:t> </w:t>
      </w:r>
      <w:r w:rsidR="00FF0CD0">
        <w:rPr>
          <w:rFonts w:cs="Calibri"/>
          <w:b/>
        </w:rPr>
        <w:t>r</w:t>
      </w:r>
      <w:r w:rsidR="008F7D80" w:rsidRPr="006B25A0">
        <w:rPr>
          <w:rFonts w:cs="Calibri"/>
          <w:b/>
        </w:rPr>
        <w:t xml:space="preserve">ozvaze v </w:t>
      </w:r>
      <w:r w:rsidR="00F91286" w:rsidRPr="006B25A0">
        <w:rPr>
          <w:rFonts w:cs="Calibri"/>
          <w:b/>
        </w:rPr>
        <w:t xml:space="preserve">údajích za </w:t>
      </w:r>
      <w:r w:rsidR="008F7D80" w:rsidRPr="006B25A0">
        <w:rPr>
          <w:rFonts w:cs="Calibri"/>
          <w:b/>
        </w:rPr>
        <w:t>běžné účetní období MZ</w:t>
      </w:r>
      <w:r w:rsidR="0006188A">
        <w:rPr>
          <w:rFonts w:cs="Calibri"/>
          <w:b/>
        </w:rPr>
        <w:t>d</w:t>
      </w:r>
      <w:r w:rsidR="00F91286" w:rsidRPr="006B25A0">
        <w:rPr>
          <w:rFonts w:cs="Calibri"/>
          <w:b/>
        </w:rPr>
        <w:t xml:space="preserve"> nadhodnotilo</w:t>
      </w:r>
      <w:r w:rsidR="00F91286" w:rsidRPr="006B25A0">
        <w:rPr>
          <w:rFonts w:cs="Calibri"/>
          <w:b/>
          <w:lang w:eastAsia="cs-CZ"/>
        </w:rPr>
        <w:t xml:space="preserve"> </w:t>
      </w:r>
      <w:r w:rsidR="008F7D80" w:rsidRPr="006B25A0">
        <w:rPr>
          <w:rFonts w:cs="Calibri"/>
          <w:b/>
          <w:lang w:eastAsia="cs-CZ"/>
        </w:rPr>
        <w:t>zůstatek účtu 321</w:t>
      </w:r>
      <w:r w:rsidR="00F91286" w:rsidRPr="006B25A0">
        <w:rPr>
          <w:rFonts w:cs="Calibri"/>
          <w:b/>
          <w:lang w:eastAsia="cs-CZ"/>
        </w:rPr>
        <w:t xml:space="preserve"> – </w:t>
      </w:r>
      <w:r w:rsidR="008F7D80" w:rsidRPr="006B25A0">
        <w:rPr>
          <w:rFonts w:cs="Calibri"/>
          <w:b/>
          <w:i/>
          <w:lang w:eastAsia="cs-CZ"/>
        </w:rPr>
        <w:t>Dodavatelé</w:t>
      </w:r>
      <w:r w:rsidR="008F7D80" w:rsidRPr="006B25A0">
        <w:rPr>
          <w:rFonts w:cs="Calibri"/>
          <w:b/>
          <w:lang w:eastAsia="cs-CZ"/>
        </w:rPr>
        <w:t xml:space="preserve"> o 4,5</w:t>
      </w:r>
      <w:r w:rsidR="00F91286" w:rsidRPr="006B25A0">
        <w:rPr>
          <w:rFonts w:cs="Calibri"/>
          <w:b/>
          <w:lang w:eastAsia="cs-CZ"/>
        </w:rPr>
        <w:t xml:space="preserve"> mil. Kč a podhodnotilo </w:t>
      </w:r>
      <w:r w:rsidR="008F7D80" w:rsidRPr="006B25A0">
        <w:rPr>
          <w:rFonts w:cs="Calibri"/>
          <w:b/>
          <w:lang w:eastAsia="cs-CZ"/>
        </w:rPr>
        <w:t>zůstatek účtu 389</w:t>
      </w:r>
      <w:r w:rsidR="00F91286" w:rsidRPr="006B25A0">
        <w:rPr>
          <w:rFonts w:cs="Calibri"/>
          <w:b/>
          <w:lang w:eastAsia="cs-CZ"/>
        </w:rPr>
        <w:t xml:space="preserve"> – </w:t>
      </w:r>
      <w:r w:rsidR="008F7D80" w:rsidRPr="006B25A0">
        <w:rPr>
          <w:rFonts w:cs="Calibri"/>
          <w:b/>
          <w:i/>
          <w:lang w:eastAsia="cs-CZ"/>
        </w:rPr>
        <w:t>Dohadné účty pasivní</w:t>
      </w:r>
      <w:r w:rsidR="00F91286" w:rsidRPr="006B25A0">
        <w:rPr>
          <w:rFonts w:cs="Calibri"/>
          <w:b/>
          <w:lang w:eastAsia="cs-CZ"/>
        </w:rPr>
        <w:t xml:space="preserve"> o stejnou částku. </w:t>
      </w:r>
    </w:p>
    <w:p w14:paraId="150C9A85" w14:textId="0490A409" w:rsidR="003F6D54" w:rsidRPr="007C5D7D" w:rsidRDefault="003F6D54" w:rsidP="008149BA">
      <w:pPr>
        <w:spacing w:after="0"/>
        <w:jc w:val="both"/>
        <w:rPr>
          <w:rFonts w:cs="Calibri"/>
        </w:rPr>
      </w:pPr>
    </w:p>
    <w:p w14:paraId="763C565E" w14:textId="4115335A" w:rsidR="003F6D54" w:rsidRDefault="003F6D54" w:rsidP="008F7D80">
      <w:pPr>
        <w:spacing w:after="0"/>
        <w:jc w:val="both"/>
        <w:rPr>
          <w:rFonts w:cs="Calibri"/>
          <w:b/>
          <w:lang w:eastAsia="cs-CZ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Pr="007C5D7D">
        <w:rPr>
          <w:rFonts w:cs="Calibri"/>
        </w:rPr>
        <w:t xml:space="preserve"> </w:t>
      </w:r>
      <w:r w:rsidRPr="007C5D7D">
        <w:rPr>
          <w:rFonts w:cs="Calibri"/>
          <w:b/>
        </w:rPr>
        <w:t>nesprávně účtovalo o výnosech z projektů, u nichž bylo konečným příjemcem transferu</w:t>
      </w:r>
      <w:r w:rsidRPr="00256020">
        <w:rPr>
          <w:rFonts w:cs="Calibri"/>
          <w:b/>
        </w:rPr>
        <w:t>,</w:t>
      </w:r>
      <w:r w:rsidRPr="004C17E2">
        <w:rPr>
          <w:rFonts w:cs="Calibri"/>
        </w:rPr>
        <w:t xml:space="preserve"> </w:t>
      </w:r>
      <w:r w:rsidRPr="007C5D7D">
        <w:rPr>
          <w:rFonts w:cs="Calibri"/>
        </w:rPr>
        <w:t>jako o výnosech z předfinancování transferů</w:t>
      </w:r>
      <w:r w:rsidR="008F7D80" w:rsidRPr="007C5D7D">
        <w:rPr>
          <w:rFonts w:cs="Calibri"/>
        </w:rPr>
        <w:t xml:space="preserve"> na účtu 675 – </w:t>
      </w:r>
      <w:r w:rsidR="008F7D80" w:rsidRPr="007C5D7D">
        <w:rPr>
          <w:rFonts w:cs="Calibri"/>
          <w:i/>
        </w:rPr>
        <w:t>Výnosy vybraných ústředních vládních institucí z</w:t>
      </w:r>
      <w:r w:rsidR="0017668D">
        <w:rPr>
          <w:rFonts w:cs="Calibri"/>
          <w:i/>
        </w:rPr>
        <w:t xml:space="preserve"> </w:t>
      </w:r>
      <w:r w:rsidR="008F7D80" w:rsidRPr="007C5D7D">
        <w:rPr>
          <w:rFonts w:cs="Calibri"/>
          <w:i/>
        </w:rPr>
        <w:t>předfinancování transferů</w:t>
      </w:r>
      <w:r w:rsidRPr="007C5D7D">
        <w:rPr>
          <w:rFonts w:cs="Calibri"/>
        </w:rPr>
        <w:t xml:space="preserve">, přestože se jednalo o výnos </w:t>
      </w:r>
      <w:r w:rsidR="0017668D">
        <w:rPr>
          <w:rFonts w:cs="Calibri"/>
        </w:rPr>
        <w:br/>
      </w:r>
      <w:r w:rsidRPr="007C5D7D">
        <w:rPr>
          <w:rFonts w:cs="Calibri"/>
        </w:rPr>
        <w:t>z titulu dotace za vynaložené netransferové (mzdové) výdaje.</w:t>
      </w:r>
      <w:r w:rsidR="008F7D80" w:rsidRPr="007C5D7D">
        <w:rPr>
          <w:rFonts w:cs="Calibri"/>
        </w:rPr>
        <w:t xml:space="preserve"> V</w:t>
      </w:r>
      <w:r w:rsidR="00411172">
        <w:rPr>
          <w:rFonts w:cs="Calibri"/>
        </w:rPr>
        <w:t xml:space="preserve"> </w:t>
      </w:r>
      <w:r w:rsidR="008F7D80" w:rsidRPr="007C5D7D">
        <w:rPr>
          <w:rFonts w:cs="Calibri"/>
        </w:rPr>
        <w:t xml:space="preserve">důsledku této skutečnosti </w:t>
      </w:r>
      <w:r w:rsidR="0017668D">
        <w:rPr>
          <w:rFonts w:cs="Calibri"/>
        </w:rPr>
        <w:br/>
      </w:r>
      <w:r w:rsidR="00F254E7">
        <w:rPr>
          <w:rFonts w:cs="Calibri"/>
          <w:b/>
        </w:rPr>
        <w:t>ve Výkazu zisku a</w:t>
      </w:r>
      <w:r w:rsidR="00411172">
        <w:rPr>
          <w:rFonts w:cs="Calibri"/>
          <w:b/>
        </w:rPr>
        <w:t xml:space="preserve"> </w:t>
      </w:r>
      <w:r w:rsidR="008F7D80" w:rsidRPr="006B25A0">
        <w:rPr>
          <w:rFonts w:cs="Calibri"/>
          <w:b/>
        </w:rPr>
        <w:t>ztráty v údajích za běžné účetní období MZ</w:t>
      </w:r>
      <w:r w:rsidR="0006188A">
        <w:rPr>
          <w:rFonts w:cs="Calibri"/>
          <w:b/>
        </w:rPr>
        <w:t>d</w:t>
      </w:r>
      <w:r w:rsidR="008F7D80" w:rsidRPr="006B25A0">
        <w:rPr>
          <w:rFonts w:cs="Calibri"/>
          <w:b/>
        </w:rPr>
        <w:t xml:space="preserve"> nadhodnotilo</w:t>
      </w:r>
      <w:r w:rsidR="008F7D80" w:rsidRPr="006B25A0">
        <w:rPr>
          <w:rFonts w:cs="Calibri"/>
          <w:b/>
          <w:lang w:eastAsia="cs-CZ"/>
        </w:rPr>
        <w:t xml:space="preserve"> zůstatek </w:t>
      </w:r>
      <w:r w:rsidR="0017668D">
        <w:rPr>
          <w:rFonts w:cs="Calibri"/>
          <w:b/>
          <w:lang w:eastAsia="cs-CZ"/>
        </w:rPr>
        <w:br/>
      </w:r>
      <w:r w:rsidR="008F7D80" w:rsidRPr="006B25A0">
        <w:rPr>
          <w:rFonts w:cs="Calibri"/>
          <w:b/>
          <w:lang w:eastAsia="cs-CZ"/>
        </w:rPr>
        <w:t xml:space="preserve">účtu 675 – </w:t>
      </w:r>
      <w:r w:rsidR="008F7D80" w:rsidRPr="006B25A0">
        <w:rPr>
          <w:rFonts w:cs="Calibri"/>
          <w:b/>
          <w:i/>
        </w:rPr>
        <w:t>Výnosy vybraných ústředních vládních institucí z</w:t>
      </w:r>
      <w:r w:rsidR="00411172">
        <w:rPr>
          <w:rFonts w:cs="Calibri"/>
          <w:b/>
          <w:i/>
        </w:rPr>
        <w:t xml:space="preserve"> </w:t>
      </w:r>
      <w:r w:rsidR="008F7D80" w:rsidRPr="006B25A0">
        <w:rPr>
          <w:rFonts w:cs="Calibri"/>
          <w:b/>
          <w:i/>
        </w:rPr>
        <w:t>předfinancování transferů</w:t>
      </w:r>
      <w:r w:rsidR="00F254E7">
        <w:rPr>
          <w:rFonts w:cs="Calibri"/>
          <w:b/>
          <w:lang w:eastAsia="cs-CZ"/>
        </w:rPr>
        <w:t xml:space="preserve"> </w:t>
      </w:r>
      <w:r w:rsidR="0017668D">
        <w:rPr>
          <w:rFonts w:cs="Calibri"/>
          <w:b/>
          <w:lang w:eastAsia="cs-CZ"/>
        </w:rPr>
        <w:br/>
      </w:r>
      <w:r w:rsidR="00F254E7">
        <w:rPr>
          <w:rFonts w:cs="Calibri"/>
          <w:b/>
          <w:lang w:eastAsia="cs-CZ"/>
        </w:rPr>
        <w:t>o 3,6 mil. Kč a</w:t>
      </w:r>
      <w:r w:rsidR="00411172">
        <w:rPr>
          <w:rFonts w:cs="Calibri"/>
          <w:b/>
          <w:lang w:eastAsia="cs-CZ"/>
        </w:rPr>
        <w:t xml:space="preserve"> </w:t>
      </w:r>
      <w:r w:rsidR="008F7D80" w:rsidRPr="006B25A0">
        <w:rPr>
          <w:rFonts w:cs="Calibri"/>
          <w:b/>
          <w:lang w:eastAsia="cs-CZ"/>
        </w:rPr>
        <w:t xml:space="preserve">podhodnotilo zůstatek účtu 671 – </w:t>
      </w:r>
      <w:r w:rsidR="008F7D80" w:rsidRPr="006B25A0">
        <w:rPr>
          <w:rFonts w:cs="Calibri"/>
          <w:b/>
          <w:i/>
        </w:rPr>
        <w:t xml:space="preserve">Výnosy vybraných </w:t>
      </w:r>
      <w:r w:rsidR="00F254E7">
        <w:rPr>
          <w:rFonts w:cs="Calibri"/>
          <w:b/>
          <w:i/>
        </w:rPr>
        <w:t>ústředních vládních institucí z </w:t>
      </w:r>
      <w:r w:rsidR="008F7D80" w:rsidRPr="006B25A0">
        <w:rPr>
          <w:rFonts w:cs="Calibri"/>
          <w:b/>
          <w:i/>
        </w:rPr>
        <w:t>transferů</w:t>
      </w:r>
      <w:r w:rsidR="008F7D80" w:rsidRPr="006B25A0">
        <w:rPr>
          <w:rFonts w:cs="Calibri"/>
          <w:b/>
          <w:lang w:eastAsia="cs-CZ"/>
        </w:rPr>
        <w:t xml:space="preserve"> o stejnou částku.</w:t>
      </w:r>
    </w:p>
    <w:p w14:paraId="6BBC3B9C" w14:textId="77777777" w:rsidR="00FB4F9E" w:rsidRPr="006B25A0" w:rsidRDefault="00FB4F9E" w:rsidP="008F7D80">
      <w:pPr>
        <w:spacing w:after="0"/>
        <w:jc w:val="both"/>
        <w:rPr>
          <w:rFonts w:cs="Calibri"/>
          <w:b/>
        </w:rPr>
      </w:pPr>
    </w:p>
    <w:p w14:paraId="5B911A28" w14:textId="52782182" w:rsidR="00E93037" w:rsidRPr="000F5927" w:rsidRDefault="00A7490F" w:rsidP="008149BA">
      <w:pPr>
        <w:spacing w:after="0"/>
        <w:jc w:val="both"/>
        <w:rPr>
          <w:rFonts w:cs="Calibri"/>
          <w:b/>
        </w:rPr>
      </w:pPr>
      <w:r w:rsidRPr="000F5927">
        <w:rPr>
          <w:rFonts w:cs="Calibri"/>
          <w:b/>
        </w:rPr>
        <w:t>1.2</w:t>
      </w:r>
      <w:r w:rsidR="00FB4F9E" w:rsidRPr="000F5927">
        <w:rPr>
          <w:rFonts w:cs="Calibri"/>
          <w:b/>
        </w:rPr>
        <w:t xml:space="preserve"> Neúplnost inventarizace</w:t>
      </w:r>
    </w:p>
    <w:p w14:paraId="1C1EAEDE" w14:textId="77777777" w:rsidR="00FB4F9E" w:rsidRPr="00C922C3" w:rsidRDefault="00FB4F9E" w:rsidP="008149BA">
      <w:pPr>
        <w:spacing w:after="0"/>
        <w:jc w:val="both"/>
        <w:rPr>
          <w:rFonts w:cs="Calibri"/>
          <w:b/>
        </w:rPr>
      </w:pPr>
    </w:p>
    <w:p w14:paraId="499F7E33" w14:textId="41BE8C2B" w:rsidR="00220FB8" w:rsidRDefault="00BB7137" w:rsidP="008149BA">
      <w:pPr>
        <w:spacing w:after="0"/>
        <w:jc w:val="both"/>
        <w:rPr>
          <w:rFonts w:cs="Calibri"/>
        </w:rPr>
      </w:pPr>
      <w:r w:rsidRPr="007C5D7D">
        <w:rPr>
          <w:rFonts w:cs="Calibri"/>
        </w:rPr>
        <w:t>MZ</w:t>
      </w:r>
      <w:r w:rsidR="0006188A">
        <w:rPr>
          <w:rFonts w:cs="Calibri"/>
        </w:rPr>
        <w:t>d</w:t>
      </w:r>
      <w:r w:rsidR="00220FB8" w:rsidRPr="007C5D7D">
        <w:rPr>
          <w:rFonts w:cs="Calibri"/>
        </w:rPr>
        <w:t xml:space="preserve"> </w:t>
      </w:r>
      <w:r w:rsidRPr="006B25A0">
        <w:rPr>
          <w:rFonts w:cs="Calibri"/>
          <w:b/>
        </w:rPr>
        <w:t>nepo</w:t>
      </w:r>
      <w:r w:rsidRPr="007C5D7D">
        <w:rPr>
          <w:rFonts w:cs="Calibri"/>
          <w:b/>
        </w:rPr>
        <w:t>stupovalo při inventarizaci v souladu se zákonem o účetnictví</w:t>
      </w:r>
      <w:r w:rsidR="00220FB8" w:rsidRPr="00256020">
        <w:rPr>
          <w:rFonts w:cs="Calibri"/>
          <w:b/>
        </w:rPr>
        <w:t>,</w:t>
      </w:r>
      <w:r w:rsidR="00220FB8" w:rsidRPr="007C5D7D">
        <w:rPr>
          <w:rFonts w:cs="Calibri"/>
        </w:rPr>
        <w:t xml:space="preserve"> </w:t>
      </w:r>
      <w:r w:rsidRPr="007C5D7D">
        <w:rPr>
          <w:rFonts w:cs="Calibri"/>
        </w:rPr>
        <w:t>neboť v </w:t>
      </w:r>
      <w:r w:rsidR="00005413">
        <w:rPr>
          <w:rFonts w:cs="Calibri"/>
        </w:rPr>
        <w:t>některých</w:t>
      </w:r>
      <w:r w:rsidRPr="007C5D7D">
        <w:rPr>
          <w:rFonts w:cs="Calibri"/>
        </w:rPr>
        <w:t xml:space="preserve"> případech nezjistilo skutečný stav majetku a závazků</w:t>
      </w:r>
      <w:r w:rsidR="00BC3486">
        <w:rPr>
          <w:rFonts w:cs="Calibri"/>
        </w:rPr>
        <w:t>.</w:t>
      </w:r>
    </w:p>
    <w:p w14:paraId="7774F0DC" w14:textId="77777777" w:rsidR="00113B06" w:rsidRPr="007C5D7D" w:rsidRDefault="00113B06" w:rsidP="008149BA">
      <w:pPr>
        <w:spacing w:after="0"/>
        <w:jc w:val="both"/>
        <w:rPr>
          <w:rFonts w:cs="Calibri"/>
        </w:rPr>
      </w:pPr>
    </w:p>
    <w:p w14:paraId="06B93503" w14:textId="377CC2DF" w:rsidR="0069760A" w:rsidRPr="00113B06" w:rsidRDefault="00223C06" w:rsidP="00F74C0E">
      <w:pPr>
        <w:spacing w:after="0"/>
        <w:jc w:val="both"/>
        <w:rPr>
          <w:rFonts w:cs="Calibri"/>
        </w:rPr>
      </w:pPr>
      <w:r w:rsidRPr="007C5D7D">
        <w:rPr>
          <w:rFonts w:cs="Calibri"/>
        </w:rPr>
        <w:t>U</w:t>
      </w:r>
      <w:r w:rsidR="007F2B6B" w:rsidRPr="007C5D7D">
        <w:rPr>
          <w:rFonts w:cs="Calibri"/>
        </w:rPr>
        <w:t xml:space="preserve"> </w:t>
      </w:r>
      <w:r w:rsidR="00BB7137" w:rsidRPr="007C5D7D">
        <w:rPr>
          <w:rFonts w:cs="Calibri"/>
        </w:rPr>
        <w:t xml:space="preserve">pozemků a </w:t>
      </w:r>
      <w:r w:rsidR="007F2B6B" w:rsidRPr="007C5D7D">
        <w:rPr>
          <w:rFonts w:cs="Calibri"/>
        </w:rPr>
        <w:t>staveb existoval k datu inventarizace roz</w:t>
      </w:r>
      <w:r w:rsidR="001433FE" w:rsidRPr="007C5D7D">
        <w:rPr>
          <w:rFonts w:cs="Calibri"/>
        </w:rPr>
        <w:t>díl mezi stavem v účetnictví MZ</w:t>
      </w:r>
      <w:r w:rsidR="0006188A">
        <w:rPr>
          <w:rFonts w:cs="Calibri"/>
        </w:rPr>
        <w:t>d</w:t>
      </w:r>
      <w:r w:rsidR="000819E2">
        <w:rPr>
          <w:rFonts w:cs="Calibri"/>
        </w:rPr>
        <w:t xml:space="preserve"> a </w:t>
      </w:r>
      <w:r w:rsidR="007F2B6B" w:rsidRPr="007C5D7D">
        <w:rPr>
          <w:rFonts w:cs="Calibri"/>
        </w:rPr>
        <w:t>evidencí vedenou v katastru nemovitostí Č</w:t>
      </w:r>
      <w:r w:rsidR="00CF2F57" w:rsidRPr="007C5D7D">
        <w:rPr>
          <w:rFonts w:cs="Calibri"/>
        </w:rPr>
        <w:t>eské republiky</w:t>
      </w:r>
      <w:r w:rsidR="007F2B6B" w:rsidRPr="007C5D7D">
        <w:rPr>
          <w:rFonts w:cs="Calibri"/>
        </w:rPr>
        <w:t xml:space="preserve">. </w:t>
      </w:r>
      <w:r w:rsidR="001433FE" w:rsidRPr="007C5D7D">
        <w:rPr>
          <w:rFonts w:cs="Calibri"/>
        </w:rPr>
        <w:t>MZ</w:t>
      </w:r>
      <w:r w:rsidR="0006188A">
        <w:rPr>
          <w:rFonts w:cs="Calibri"/>
        </w:rPr>
        <w:t xml:space="preserve">d </w:t>
      </w:r>
      <w:r w:rsidR="00E11F05" w:rsidRPr="007C5D7D">
        <w:rPr>
          <w:rFonts w:cs="Calibri"/>
        </w:rPr>
        <w:t>v rozporu se zákonem o</w:t>
      </w:r>
      <w:r w:rsidR="009E57D6" w:rsidRPr="007C5D7D">
        <w:rPr>
          <w:rFonts w:cs="Calibri"/>
        </w:rPr>
        <w:t> </w:t>
      </w:r>
      <w:r w:rsidR="00E11F05" w:rsidRPr="007C5D7D">
        <w:rPr>
          <w:rFonts w:cs="Calibri"/>
        </w:rPr>
        <w:t xml:space="preserve">účetnictví </w:t>
      </w:r>
      <w:r w:rsidR="001433FE" w:rsidRPr="007C5D7D">
        <w:rPr>
          <w:rFonts w:cs="Calibri"/>
        </w:rPr>
        <w:t>a zákonem o majetku nevedlo ve svém účetnictví</w:t>
      </w:r>
      <w:r w:rsidR="007F2B6B" w:rsidRPr="007C5D7D">
        <w:rPr>
          <w:rFonts w:cs="Calibri"/>
        </w:rPr>
        <w:t xml:space="preserve"> veškeré</w:t>
      </w:r>
      <w:r w:rsidR="001433FE" w:rsidRPr="007C5D7D">
        <w:rPr>
          <w:rFonts w:cs="Calibri"/>
        </w:rPr>
        <w:t xml:space="preserve"> pozemky a</w:t>
      </w:r>
      <w:r w:rsidR="007F2B6B" w:rsidRPr="007C5D7D">
        <w:rPr>
          <w:rFonts w:cs="Calibri"/>
        </w:rPr>
        <w:t xml:space="preserve"> stavby, se kterými bylo příslušné hospodařit</w:t>
      </w:r>
      <w:r w:rsidR="00FF0CD0">
        <w:rPr>
          <w:rFonts w:cs="Calibri"/>
        </w:rPr>
        <w:t>,</w:t>
      </w:r>
      <w:r w:rsidR="001433FE" w:rsidRPr="007C5D7D">
        <w:rPr>
          <w:rFonts w:cs="Calibri"/>
        </w:rPr>
        <w:t xml:space="preserve"> a neprovedlo jejich inventarizaci</w:t>
      </w:r>
      <w:r w:rsidR="007F2B6B" w:rsidRPr="007C5D7D">
        <w:rPr>
          <w:rFonts w:cs="Calibri"/>
        </w:rPr>
        <w:t>.</w:t>
      </w:r>
      <w:r w:rsidR="0069760A" w:rsidRPr="007C5D7D">
        <w:rPr>
          <w:rFonts w:cs="Calibri"/>
        </w:rPr>
        <w:t xml:space="preserve"> Jednalo se </w:t>
      </w:r>
      <w:r w:rsidR="000819E2">
        <w:rPr>
          <w:rFonts w:cs="Calibri"/>
        </w:rPr>
        <w:t>o</w:t>
      </w:r>
      <w:r w:rsidR="002F6099">
        <w:rPr>
          <w:rFonts w:cs="Calibri"/>
        </w:rPr>
        <w:t xml:space="preserve"> </w:t>
      </w:r>
      <w:r w:rsidR="000819E2">
        <w:rPr>
          <w:rFonts w:cs="Calibri"/>
        </w:rPr>
        <w:t>14</w:t>
      </w:r>
      <w:r w:rsidR="002F6099">
        <w:rPr>
          <w:rFonts w:cs="Calibri"/>
        </w:rPr>
        <w:t xml:space="preserve"> </w:t>
      </w:r>
      <w:r w:rsidR="001433FE" w:rsidRPr="007C5D7D">
        <w:rPr>
          <w:rFonts w:cs="Calibri"/>
        </w:rPr>
        <w:t>pozemků (zastavěn</w:t>
      </w:r>
      <w:r w:rsidR="00114660">
        <w:rPr>
          <w:rFonts w:cs="Calibri"/>
        </w:rPr>
        <w:t>á</w:t>
      </w:r>
      <w:r w:rsidR="001433FE" w:rsidRPr="007C5D7D">
        <w:rPr>
          <w:rFonts w:cs="Calibri"/>
        </w:rPr>
        <w:t xml:space="preserve"> ploch</w:t>
      </w:r>
      <w:r w:rsidR="00114660">
        <w:rPr>
          <w:rFonts w:cs="Calibri"/>
        </w:rPr>
        <w:t>a</w:t>
      </w:r>
      <w:r w:rsidR="001433FE" w:rsidRPr="007C5D7D">
        <w:rPr>
          <w:rFonts w:cs="Calibri"/>
        </w:rPr>
        <w:t xml:space="preserve"> a nádvoří, trvalý travní porost, zahrada a ostatní plocha o</w:t>
      </w:r>
      <w:r w:rsidR="002F6099">
        <w:rPr>
          <w:rFonts w:cs="Calibri"/>
        </w:rPr>
        <w:t xml:space="preserve"> </w:t>
      </w:r>
      <w:r w:rsidR="001433FE" w:rsidRPr="007C5D7D">
        <w:rPr>
          <w:rFonts w:cs="Calibri"/>
        </w:rPr>
        <w:t>celkové výměře 19 144 m</w:t>
      </w:r>
      <w:r w:rsidR="001433FE" w:rsidRPr="007C5D7D">
        <w:rPr>
          <w:rFonts w:cs="Calibri"/>
          <w:vertAlign w:val="superscript"/>
        </w:rPr>
        <w:t>2</w:t>
      </w:r>
      <w:r w:rsidR="001433FE" w:rsidRPr="007C5D7D">
        <w:rPr>
          <w:rFonts w:cs="Calibri"/>
        </w:rPr>
        <w:t xml:space="preserve">) a 5 staveb (4 stavby určené k bydlení a 1 stavba bez čísla popisného) </w:t>
      </w:r>
      <w:r w:rsidR="0069760A" w:rsidRPr="007C5D7D">
        <w:rPr>
          <w:rFonts w:cs="Calibri"/>
        </w:rPr>
        <w:t xml:space="preserve">v katastrálním území </w:t>
      </w:r>
      <w:r w:rsidR="001433FE" w:rsidRPr="007C5D7D">
        <w:rPr>
          <w:rFonts w:cs="Calibri"/>
        </w:rPr>
        <w:t>Verneřice</w:t>
      </w:r>
      <w:r w:rsidR="0069760A" w:rsidRPr="007C5D7D">
        <w:rPr>
          <w:rFonts w:cs="Calibri"/>
        </w:rPr>
        <w:t>.</w:t>
      </w:r>
      <w:r w:rsidR="00171017">
        <w:rPr>
          <w:rFonts w:cs="Calibri"/>
        </w:rPr>
        <w:t xml:space="preserve"> </w:t>
      </w:r>
      <w:r w:rsidR="00FB4F9E" w:rsidRPr="00113B06">
        <w:rPr>
          <w:rFonts w:cs="Calibri"/>
        </w:rPr>
        <w:t>Tyto nemovitosti MZ</w:t>
      </w:r>
      <w:r w:rsidR="0006188A">
        <w:rPr>
          <w:rFonts w:cs="Calibri"/>
        </w:rPr>
        <w:t>d</w:t>
      </w:r>
      <w:r w:rsidR="00FB4F9E" w:rsidRPr="00113B06">
        <w:rPr>
          <w:rFonts w:cs="Calibri"/>
        </w:rPr>
        <w:t xml:space="preserve"> nabylo v roce 2017 na základě rozhodnutí soudu. </w:t>
      </w:r>
    </w:p>
    <w:p w14:paraId="2A195454" w14:textId="77777777" w:rsidR="000F5927" w:rsidRPr="00FB4F9E" w:rsidRDefault="000F5927" w:rsidP="00F74C0E">
      <w:pPr>
        <w:spacing w:after="0"/>
        <w:jc w:val="both"/>
        <w:rPr>
          <w:rFonts w:cs="Calibri"/>
        </w:rPr>
      </w:pPr>
    </w:p>
    <w:p w14:paraId="2822E414" w14:textId="5F2BA875" w:rsidR="00A7490F" w:rsidRPr="000F5927" w:rsidRDefault="00FB4F9E" w:rsidP="000F5927">
      <w:pPr>
        <w:spacing w:after="0"/>
        <w:jc w:val="both"/>
        <w:rPr>
          <w:rFonts w:cs="Calibri"/>
        </w:rPr>
      </w:pPr>
      <w:r w:rsidRPr="000F5927">
        <w:rPr>
          <w:rFonts w:cs="Calibri"/>
        </w:rPr>
        <w:t>V</w:t>
      </w:r>
      <w:r w:rsidR="00C53B82" w:rsidRPr="000F5927">
        <w:rPr>
          <w:rFonts w:cs="Calibri"/>
        </w:rPr>
        <w:t> roce 2017</w:t>
      </w:r>
      <w:r w:rsidRPr="000F5927">
        <w:rPr>
          <w:rFonts w:cs="Calibri"/>
        </w:rPr>
        <w:t xml:space="preserve"> MZ</w:t>
      </w:r>
      <w:r w:rsidR="0006188A">
        <w:rPr>
          <w:rFonts w:cs="Calibri"/>
        </w:rPr>
        <w:t>d</w:t>
      </w:r>
      <w:r w:rsidR="00A03D68" w:rsidRPr="000F5927">
        <w:rPr>
          <w:rFonts w:cs="Calibri"/>
        </w:rPr>
        <w:t xml:space="preserve"> bezúplatně </w:t>
      </w:r>
      <w:r w:rsidR="00C53B82" w:rsidRPr="000F5927">
        <w:rPr>
          <w:rFonts w:cs="Calibri"/>
        </w:rPr>
        <w:t>nabylo</w:t>
      </w:r>
      <w:r w:rsidR="00A03D68" w:rsidRPr="000F5927">
        <w:rPr>
          <w:rFonts w:cs="Calibri"/>
        </w:rPr>
        <w:t xml:space="preserve"> na základě zápisů o změně příslušnosti hospodařit s majetkem státu od</w:t>
      </w:r>
      <w:r w:rsidRPr="000F5927">
        <w:rPr>
          <w:rFonts w:cs="Calibri"/>
        </w:rPr>
        <w:t xml:space="preserve"> sv</w:t>
      </w:r>
      <w:r w:rsidR="00FF0CD0">
        <w:rPr>
          <w:rFonts w:cs="Calibri"/>
        </w:rPr>
        <w:t>é</w:t>
      </w:r>
      <w:r w:rsidRPr="000F5927">
        <w:rPr>
          <w:rFonts w:cs="Calibri"/>
        </w:rPr>
        <w:t xml:space="preserve"> podřízené organizace </w:t>
      </w:r>
      <w:r w:rsidR="00C53B82" w:rsidRPr="000F5927">
        <w:rPr>
          <w:rFonts w:cs="Calibri"/>
        </w:rPr>
        <w:t xml:space="preserve">dlouhodobý nehmotný majetek (software), ke kterému </w:t>
      </w:r>
      <w:r w:rsidRPr="000F5927">
        <w:rPr>
          <w:rFonts w:cs="Calibri"/>
        </w:rPr>
        <w:t xml:space="preserve">nabylo </w:t>
      </w:r>
      <w:r w:rsidR="00C53B82" w:rsidRPr="000F5927">
        <w:rPr>
          <w:rFonts w:cs="Calibri"/>
        </w:rPr>
        <w:t>příslušnost hospodařit.</w:t>
      </w:r>
      <w:r w:rsidR="00A03D68" w:rsidRPr="000F5927">
        <w:rPr>
          <w:rFonts w:cs="Calibri"/>
        </w:rPr>
        <w:t xml:space="preserve"> </w:t>
      </w:r>
      <w:r w:rsidR="00C53B82" w:rsidRPr="000F5927">
        <w:rPr>
          <w:rFonts w:cs="Calibri"/>
        </w:rPr>
        <w:t>O tomto majetku MZ</w:t>
      </w:r>
      <w:r w:rsidR="0006188A">
        <w:rPr>
          <w:rFonts w:cs="Calibri"/>
        </w:rPr>
        <w:t>d</w:t>
      </w:r>
      <w:r w:rsidR="00C53B82" w:rsidRPr="000F5927">
        <w:rPr>
          <w:rFonts w:cs="Calibri"/>
        </w:rPr>
        <w:t xml:space="preserve"> neúčtovalo a </w:t>
      </w:r>
      <w:r w:rsidR="00A03D68" w:rsidRPr="000F5927">
        <w:rPr>
          <w:rFonts w:cs="Calibri"/>
        </w:rPr>
        <w:t xml:space="preserve">inventarizací </w:t>
      </w:r>
      <w:r w:rsidR="00C53B82" w:rsidRPr="000F5927">
        <w:rPr>
          <w:rFonts w:cs="Calibri"/>
        </w:rPr>
        <w:t>neověřilo</w:t>
      </w:r>
      <w:r w:rsidR="00A03D68" w:rsidRPr="000F5927">
        <w:rPr>
          <w:rFonts w:cs="Calibri"/>
        </w:rPr>
        <w:t xml:space="preserve">, zda zjištěný skutečný stav odpovídá stavu majetku </w:t>
      </w:r>
      <w:r w:rsidR="00C53B82" w:rsidRPr="000F5927">
        <w:rPr>
          <w:rFonts w:cs="Calibri"/>
        </w:rPr>
        <w:t>na účtu</w:t>
      </w:r>
      <w:r w:rsidR="00A03D68" w:rsidRPr="000F5927">
        <w:rPr>
          <w:rFonts w:cs="Calibri"/>
        </w:rPr>
        <w:t xml:space="preserve"> 013 – </w:t>
      </w:r>
      <w:r w:rsidR="00A03D68" w:rsidRPr="000F5927">
        <w:rPr>
          <w:rFonts w:cs="Calibri"/>
          <w:i/>
        </w:rPr>
        <w:t>Software</w:t>
      </w:r>
      <w:r w:rsidR="00A03D68" w:rsidRPr="000F5927">
        <w:rPr>
          <w:rFonts w:cs="Calibri"/>
        </w:rPr>
        <w:t xml:space="preserve"> </w:t>
      </w:r>
      <w:r w:rsidR="00C53B82" w:rsidRPr="000F5927">
        <w:rPr>
          <w:rFonts w:cs="Calibri"/>
        </w:rPr>
        <w:t>v účetnictví.</w:t>
      </w:r>
    </w:p>
    <w:p w14:paraId="5E9EA7E7" w14:textId="77777777" w:rsidR="00FB4F9E" w:rsidRDefault="00FB4F9E" w:rsidP="00D6323B">
      <w:pPr>
        <w:pStyle w:val="Odstavecseseznamem"/>
        <w:spacing w:after="0"/>
        <w:ind w:left="0"/>
        <w:contextualSpacing w:val="0"/>
        <w:jc w:val="both"/>
        <w:rPr>
          <w:rFonts w:cs="Calibri"/>
        </w:rPr>
      </w:pPr>
    </w:p>
    <w:p w14:paraId="660175C5" w14:textId="4759A8B7" w:rsidR="00FB4F9E" w:rsidRDefault="00FB4F9E" w:rsidP="00F74C0E">
      <w:pPr>
        <w:spacing w:after="0"/>
        <w:jc w:val="both"/>
        <w:rPr>
          <w:rFonts w:cs="Calibri"/>
          <w:b/>
        </w:rPr>
      </w:pPr>
      <w:r w:rsidRPr="00F74C0E">
        <w:rPr>
          <w:rFonts w:cs="Calibri"/>
          <w:b/>
        </w:rPr>
        <w:t xml:space="preserve">Tím, že </w:t>
      </w:r>
      <w:r>
        <w:rPr>
          <w:rFonts w:cs="Calibri"/>
          <w:b/>
        </w:rPr>
        <w:t>MZ</w:t>
      </w:r>
      <w:r w:rsidR="0006188A">
        <w:rPr>
          <w:rFonts w:cs="Calibri"/>
          <w:b/>
        </w:rPr>
        <w:t>d</w:t>
      </w:r>
      <w:r w:rsidRPr="00F74C0E">
        <w:rPr>
          <w:rFonts w:cs="Calibri"/>
          <w:b/>
        </w:rPr>
        <w:t xml:space="preserve"> ve svém účetnictví</w:t>
      </w:r>
      <w:r>
        <w:rPr>
          <w:rFonts w:cs="Calibri"/>
          <w:b/>
        </w:rPr>
        <w:t xml:space="preserve"> výše uvedený majetek</w:t>
      </w:r>
      <w:r w:rsidRPr="00F74C0E">
        <w:rPr>
          <w:rFonts w:cs="Calibri"/>
          <w:b/>
        </w:rPr>
        <w:t xml:space="preserve"> nevedlo a v</w:t>
      </w:r>
      <w:r>
        <w:rPr>
          <w:rFonts w:cs="Calibri"/>
          <w:b/>
        </w:rPr>
        <w:t> </w:t>
      </w:r>
      <w:r w:rsidRPr="00F74C0E">
        <w:rPr>
          <w:rFonts w:cs="Calibri"/>
          <w:b/>
        </w:rPr>
        <w:t>ÚZ</w:t>
      </w:r>
      <w:r>
        <w:rPr>
          <w:rFonts w:cs="Calibri"/>
          <w:b/>
        </w:rPr>
        <w:t xml:space="preserve"> ho</w:t>
      </w:r>
      <w:r w:rsidRPr="00F74C0E">
        <w:rPr>
          <w:rFonts w:cs="Calibri"/>
          <w:b/>
        </w:rPr>
        <w:t xml:space="preserve"> nevykázalo</w:t>
      </w:r>
      <w:r>
        <w:rPr>
          <w:rFonts w:cs="Calibri"/>
          <w:b/>
        </w:rPr>
        <w:t xml:space="preserve">, </w:t>
      </w:r>
      <w:r w:rsidR="00EA4722">
        <w:rPr>
          <w:rFonts w:cs="Calibri"/>
          <w:b/>
        </w:rPr>
        <w:t xml:space="preserve">v rozporu se zákonem o účetnictví </w:t>
      </w:r>
      <w:r w:rsidR="008A3E76">
        <w:rPr>
          <w:rFonts w:cs="Calibri"/>
          <w:b/>
        </w:rPr>
        <w:t xml:space="preserve">nevedlo úplné účetnictví a současně tím </w:t>
      </w:r>
      <w:r w:rsidRPr="00F74C0E">
        <w:rPr>
          <w:rFonts w:cs="Calibri"/>
          <w:b/>
        </w:rPr>
        <w:t>porušilo</w:t>
      </w:r>
      <w:r w:rsidR="008A3E76">
        <w:rPr>
          <w:rFonts w:cs="Calibri"/>
          <w:b/>
        </w:rPr>
        <w:t xml:space="preserve"> </w:t>
      </w:r>
      <w:r>
        <w:rPr>
          <w:rFonts w:cs="Calibri"/>
          <w:b/>
        </w:rPr>
        <w:t>obecně stanovené základní povinnosti při hospodaření s</w:t>
      </w:r>
      <w:r w:rsidR="005377D4">
        <w:rPr>
          <w:rFonts w:cs="Calibri"/>
          <w:b/>
        </w:rPr>
        <w:t> </w:t>
      </w:r>
      <w:r>
        <w:rPr>
          <w:rFonts w:cs="Calibri"/>
          <w:b/>
        </w:rPr>
        <w:t>majetkem</w:t>
      </w:r>
      <w:r w:rsidR="005377D4">
        <w:rPr>
          <w:rFonts w:cs="Calibri"/>
          <w:b/>
        </w:rPr>
        <w:t xml:space="preserve"> státu</w:t>
      </w:r>
      <w:r>
        <w:rPr>
          <w:rFonts w:cs="Calibri"/>
          <w:b/>
        </w:rPr>
        <w:t xml:space="preserve"> dle </w:t>
      </w:r>
      <w:r w:rsidRPr="00F74C0E">
        <w:rPr>
          <w:rFonts w:cs="Calibri"/>
          <w:b/>
        </w:rPr>
        <w:t>ustanovení §</w:t>
      </w:r>
      <w:r w:rsidR="004C17E2">
        <w:rPr>
          <w:rFonts w:cs="Calibri"/>
          <w:b/>
        </w:rPr>
        <w:t xml:space="preserve"> </w:t>
      </w:r>
      <w:r w:rsidRPr="00F74C0E">
        <w:rPr>
          <w:rFonts w:cs="Calibri"/>
          <w:b/>
        </w:rPr>
        <w:t>14</w:t>
      </w:r>
      <w:r w:rsidR="004C17E2">
        <w:rPr>
          <w:rFonts w:cs="Calibri"/>
          <w:b/>
        </w:rPr>
        <w:t xml:space="preserve"> </w:t>
      </w:r>
      <w:r w:rsidRPr="00F74C0E">
        <w:rPr>
          <w:rFonts w:cs="Calibri"/>
          <w:b/>
        </w:rPr>
        <w:t>odst.</w:t>
      </w:r>
      <w:r w:rsidR="004C17E2">
        <w:rPr>
          <w:rFonts w:cs="Calibri"/>
          <w:b/>
        </w:rPr>
        <w:t> </w:t>
      </w:r>
      <w:r w:rsidRPr="00F74C0E">
        <w:rPr>
          <w:rFonts w:cs="Calibri"/>
          <w:b/>
        </w:rPr>
        <w:t>2 zákona o majetku</w:t>
      </w:r>
      <w:r w:rsidR="00A332F4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</w:p>
    <w:p w14:paraId="36430513" w14:textId="32909826" w:rsidR="00171017" w:rsidRDefault="00171017" w:rsidP="00F74C0E">
      <w:pPr>
        <w:spacing w:after="0"/>
        <w:jc w:val="both"/>
        <w:rPr>
          <w:rFonts w:cs="Calibri"/>
          <w:b/>
        </w:rPr>
      </w:pPr>
    </w:p>
    <w:p w14:paraId="72A8B572" w14:textId="5B6B0BB7" w:rsidR="00FB4F9E" w:rsidRPr="000F5927" w:rsidRDefault="00171017" w:rsidP="000F5927">
      <w:pPr>
        <w:spacing w:after="0"/>
        <w:jc w:val="both"/>
        <w:rPr>
          <w:rFonts w:cs="Calibri"/>
          <w:b/>
        </w:rPr>
      </w:pPr>
      <w:r w:rsidRPr="000F5927">
        <w:rPr>
          <w:rFonts w:cs="Calibri"/>
          <w:b/>
        </w:rPr>
        <w:lastRenderedPageBreak/>
        <w:t>U materiálu na skladě MZ</w:t>
      </w:r>
      <w:r w:rsidR="009A63F2">
        <w:rPr>
          <w:rFonts w:cs="Calibri"/>
          <w:b/>
        </w:rPr>
        <w:t>d</w:t>
      </w:r>
      <w:r w:rsidRPr="000F5927">
        <w:rPr>
          <w:rFonts w:cs="Calibri"/>
          <w:b/>
        </w:rPr>
        <w:t xml:space="preserve"> nevyhotovilo inventurní soupis v celém rozsahu zůstatku účtu vykázaného v ÚZ. Část tohoto zůstatku účtu v ÚZ ve výši 327 tis. Kč je proto neprůkazná.</w:t>
      </w:r>
    </w:p>
    <w:p w14:paraId="2DB5730F" w14:textId="77777777" w:rsidR="00D3347A" w:rsidRPr="00F74C0E" w:rsidRDefault="00D3347A" w:rsidP="00F74C0E">
      <w:pPr>
        <w:spacing w:after="0"/>
        <w:ind w:left="360"/>
        <w:jc w:val="both"/>
        <w:rPr>
          <w:rFonts w:cs="Calibri"/>
          <w:b/>
        </w:rPr>
      </w:pPr>
    </w:p>
    <w:p w14:paraId="5D3D0FB2" w14:textId="793A4A93" w:rsidR="00FB4F9E" w:rsidRPr="00F74C0E" w:rsidRDefault="005377D4" w:rsidP="005377D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2. </w:t>
      </w:r>
      <w:r w:rsidR="008A3E76">
        <w:rPr>
          <w:rFonts w:cs="Calibri"/>
          <w:b/>
        </w:rPr>
        <w:t>Nesprávnosti v </w:t>
      </w:r>
      <w:r w:rsidR="004C17E2">
        <w:rPr>
          <w:rFonts w:cs="Calibri"/>
          <w:b/>
        </w:rPr>
        <w:t>p</w:t>
      </w:r>
      <w:r w:rsidR="008A3E76">
        <w:rPr>
          <w:rFonts w:cs="Calibri"/>
          <w:b/>
        </w:rPr>
        <w:t xml:space="preserve">řehledu o změnách vlastního kapitálu a </w:t>
      </w:r>
      <w:r w:rsidR="004C17E2">
        <w:rPr>
          <w:rFonts w:cs="Calibri"/>
          <w:b/>
        </w:rPr>
        <w:t>p</w:t>
      </w:r>
      <w:r w:rsidR="008A3E76">
        <w:rPr>
          <w:rFonts w:cs="Calibri"/>
          <w:b/>
        </w:rPr>
        <w:t>řehledu o peněžních tocích</w:t>
      </w:r>
    </w:p>
    <w:p w14:paraId="5D948763" w14:textId="77777777" w:rsidR="00FB4F9E" w:rsidRPr="00F74C0E" w:rsidRDefault="00FB4F9E" w:rsidP="00F74C0E">
      <w:pPr>
        <w:pStyle w:val="Odstavecseseznamem"/>
        <w:spacing w:after="0"/>
        <w:jc w:val="both"/>
        <w:rPr>
          <w:rFonts w:cs="Calibri"/>
          <w:b/>
        </w:rPr>
      </w:pPr>
    </w:p>
    <w:p w14:paraId="2013F0CB" w14:textId="4C4BE39C" w:rsidR="005377D4" w:rsidRDefault="005377D4" w:rsidP="00A7490F">
      <w:pPr>
        <w:spacing w:after="0"/>
        <w:jc w:val="both"/>
        <w:rPr>
          <w:rFonts w:cs="Calibri"/>
          <w:b/>
        </w:rPr>
      </w:pPr>
      <w:r w:rsidRPr="005377D4">
        <w:rPr>
          <w:rFonts w:cs="Calibri"/>
          <w:b/>
        </w:rPr>
        <w:t>2.1</w:t>
      </w:r>
      <w:r>
        <w:rPr>
          <w:rFonts w:cs="Calibri"/>
          <w:b/>
        </w:rPr>
        <w:t xml:space="preserve"> </w:t>
      </w:r>
      <w:r w:rsidR="00A51B9B">
        <w:rPr>
          <w:rFonts w:cs="Calibri"/>
          <w:b/>
        </w:rPr>
        <w:t xml:space="preserve">Nesprávnosti </w:t>
      </w:r>
      <w:r>
        <w:rPr>
          <w:rFonts w:cs="Calibri"/>
          <w:b/>
        </w:rPr>
        <w:t>v</w:t>
      </w:r>
      <w:r w:rsidR="00FB4F9E">
        <w:rPr>
          <w:rFonts w:cs="Calibri"/>
        </w:rPr>
        <w:t xml:space="preserve"> </w:t>
      </w:r>
      <w:r w:rsidR="004C17E2">
        <w:rPr>
          <w:rFonts w:cs="Calibri"/>
          <w:b/>
        </w:rPr>
        <w:t>p</w:t>
      </w:r>
      <w:r w:rsidR="00A7490F" w:rsidRPr="00E1340F">
        <w:rPr>
          <w:rFonts w:cs="Calibri"/>
          <w:b/>
        </w:rPr>
        <w:t xml:space="preserve">řehledu o změnách vlastního kapitálu </w:t>
      </w:r>
    </w:p>
    <w:p w14:paraId="3A1B37FB" w14:textId="77777777" w:rsidR="005377D4" w:rsidRDefault="005377D4" w:rsidP="00A7490F">
      <w:pPr>
        <w:spacing w:after="0"/>
        <w:jc w:val="both"/>
        <w:rPr>
          <w:rFonts w:cs="Calibri"/>
          <w:b/>
        </w:rPr>
      </w:pPr>
    </w:p>
    <w:p w14:paraId="14A10582" w14:textId="0689133F" w:rsidR="00A7490F" w:rsidRDefault="005377D4" w:rsidP="00A7490F">
      <w:pPr>
        <w:spacing w:after="0"/>
        <w:jc w:val="both"/>
        <w:rPr>
          <w:rFonts w:cs="Calibri"/>
        </w:rPr>
      </w:pPr>
      <w:r>
        <w:rPr>
          <w:rFonts w:cs="Calibri"/>
          <w:b/>
        </w:rPr>
        <w:t>MZ</w:t>
      </w:r>
      <w:r w:rsidR="009A63F2">
        <w:rPr>
          <w:rFonts w:cs="Calibri"/>
          <w:b/>
        </w:rPr>
        <w:t>d</w:t>
      </w:r>
      <w:r>
        <w:rPr>
          <w:rFonts w:cs="Calibri"/>
          <w:b/>
        </w:rPr>
        <w:t xml:space="preserve"> v tomto výkazu </w:t>
      </w:r>
      <w:r w:rsidR="00A7490F" w:rsidRPr="00E1340F">
        <w:rPr>
          <w:rFonts w:cs="Calibri"/>
          <w:b/>
        </w:rPr>
        <w:t>nesprávně nastavilo algoritmus výpočtu některých položek</w:t>
      </w:r>
      <w:r>
        <w:rPr>
          <w:rFonts w:cs="Calibri"/>
          <w:b/>
        </w:rPr>
        <w:t>:</w:t>
      </w:r>
      <w:r w:rsidR="00A7490F">
        <w:rPr>
          <w:rFonts w:cs="Calibri"/>
        </w:rPr>
        <w:t xml:space="preserve"> </w:t>
      </w:r>
    </w:p>
    <w:p w14:paraId="2D99E21F" w14:textId="77777777" w:rsidR="005377D4" w:rsidRDefault="005377D4" w:rsidP="00A7490F">
      <w:pPr>
        <w:spacing w:after="0"/>
        <w:jc w:val="both"/>
        <w:rPr>
          <w:rFonts w:cs="Calibri"/>
        </w:rPr>
      </w:pPr>
    </w:p>
    <w:p w14:paraId="005D131D" w14:textId="49EF0894" w:rsidR="00A7490F" w:rsidRDefault="00A7490F" w:rsidP="00D51443">
      <w:pPr>
        <w:spacing w:after="0"/>
        <w:ind w:left="284" w:hanging="284"/>
        <w:jc w:val="both"/>
        <w:rPr>
          <w:rFonts w:cs="Calibri"/>
          <w:b/>
        </w:rPr>
      </w:pPr>
      <w:r>
        <w:rPr>
          <w:rFonts w:cs="Calibri"/>
        </w:rPr>
        <w:t xml:space="preserve">• </w:t>
      </w:r>
      <w:r w:rsidR="00D51443">
        <w:rPr>
          <w:rFonts w:cs="Calibri"/>
        </w:rPr>
        <w:tab/>
      </w:r>
      <w:r>
        <w:rPr>
          <w:rFonts w:cs="Calibri"/>
        </w:rPr>
        <w:t xml:space="preserve">Na položce </w:t>
      </w:r>
      <w:r w:rsidRPr="00F94683">
        <w:rPr>
          <w:rFonts w:cs="Calibri"/>
          <w:i/>
        </w:rPr>
        <w:t xml:space="preserve">A.I.4. Investiční transfery </w:t>
      </w:r>
      <w:r w:rsidRPr="00152AD3">
        <w:rPr>
          <w:rFonts w:cs="Calibri"/>
        </w:rPr>
        <w:t>ve sloupci „snížení stavu“</w:t>
      </w:r>
      <w:r>
        <w:rPr>
          <w:rFonts w:cs="Calibri"/>
        </w:rPr>
        <w:t xml:space="preserve"> nesprávně vykázalo účetní případy, které představují poskytnutí peněžních prostředků určených na pořízení dlouhodobého majetku zřízeným příspěvkovým organizacím a odvod prostředků v rámci finančního vypořádání se státním rozpočtem za rok 2016</w:t>
      </w:r>
      <w:r w:rsidR="004C17E2">
        <w:rPr>
          <w:rFonts w:cs="Calibri"/>
        </w:rPr>
        <w:t>;</w:t>
      </w:r>
      <w:r>
        <w:rPr>
          <w:rFonts w:cs="Calibri"/>
        </w:rPr>
        <w:t xml:space="preserve"> </w:t>
      </w:r>
      <w:r w:rsidR="004C17E2">
        <w:rPr>
          <w:rFonts w:cs="Calibri"/>
        </w:rPr>
        <w:t>tyto účetní případy</w:t>
      </w:r>
      <w:r>
        <w:rPr>
          <w:rFonts w:cs="Calibri"/>
        </w:rPr>
        <w:t xml:space="preserve"> náleží na položku </w:t>
      </w:r>
      <w:r w:rsidRPr="00F94683">
        <w:rPr>
          <w:rFonts w:cs="Calibri"/>
          <w:i/>
        </w:rPr>
        <w:t xml:space="preserve">A.I.6. Ostatní </w:t>
      </w:r>
      <w:r w:rsidR="004C17E2">
        <w:rPr>
          <w:rFonts w:cs="Calibri"/>
        </w:rPr>
        <w:t>do</w:t>
      </w:r>
      <w:r w:rsidRPr="00152AD3">
        <w:rPr>
          <w:rFonts w:cs="Calibri"/>
        </w:rPr>
        <w:t xml:space="preserve"> sloupc</w:t>
      </w:r>
      <w:r w:rsidR="004C17E2">
        <w:rPr>
          <w:rFonts w:cs="Calibri"/>
        </w:rPr>
        <w:t>e</w:t>
      </w:r>
      <w:r w:rsidRPr="00152AD3">
        <w:rPr>
          <w:rFonts w:cs="Calibri"/>
        </w:rPr>
        <w:t xml:space="preserve"> „snížení stavu“.</w:t>
      </w:r>
      <w:r>
        <w:rPr>
          <w:rFonts w:cs="Calibri"/>
        </w:rPr>
        <w:t xml:space="preserve"> V důsledku této skutečnosti </w:t>
      </w:r>
      <w:r w:rsidRPr="00E1340F">
        <w:rPr>
          <w:rFonts w:cs="Calibri"/>
          <w:b/>
        </w:rPr>
        <w:t>v </w:t>
      </w:r>
      <w:r w:rsidR="004C17E2">
        <w:rPr>
          <w:rFonts w:cs="Calibri"/>
          <w:b/>
        </w:rPr>
        <w:t>p</w:t>
      </w:r>
      <w:r w:rsidRPr="00E1340F">
        <w:rPr>
          <w:rFonts w:cs="Calibri"/>
          <w:b/>
        </w:rPr>
        <w:t>řehledu o</w:t>
      </w:r>
      <w:r w:rsidR="00D51443">
        <w:rPr>
          <w:rFonts w:cs="Calibri"/>
          <w:b/>
        </w:rPr>
        <w:t> </w:t>
      </w:r>
      <w:r w:rsidRPr="00E1340F">
        <w:rPr>
          <w:rFonts w:cs="Calibri"/>
          <w:b/>
        </w:rPr>
        <w:t>změnách vlastního kapitálu ve sloupci „snížení stavu“ MZ</w:t>
      </w:r>
      <w:r w:rsidR="009A63F2">
        <w:rPr>
          <w:rFonts w:cs="Calibri"/>
          <w:b/>
        </w:rPr>
        <w:t>d</w:t>
      </w:r>
      <w:r w:rsidRPr="00E1340F">
        <w:rPr>
          <w:rFonts w:cs="Calibri"/>
          <w:b/>
        </w:rPr>
        <w:t xml:space="preserve"> nadhodnotilo položku </w:t>
      </w:r>
      <w:r w:rsidRPr="00E1340F">
        <w:rPr>
          <w:rFonts w:cs="Calibri"/>
          <w:b/>
          <w:i/>
        </w:rPr>
        <w:t>A.I.4.</w:t>
      </w:r>
      <w:r w:rsidR="00D51443">
        <w:rPr>
          <w:rFonts w:cs="Calibri"/>
          <w:b/>
          <w:i/>
        </w:rPr>
        <w:t> </w:t>
      </w:r>
      <w:r w:rsidRPr="00E1340F">
        <w:rPr>
          <w:rFonts w:cs="Calibri"/>
          <w:b/>
          <w:i/>
        </w:rPr>
        <w:t>Investiční transfery</w:t>
      </w:r>
      <w:r>
        <w:rPr>
          <w:rFonts w:cs="Calibri"/>
          <w:b/>
        </w:rPr>
        <w:t xml:space="preserve"> o</w:t>
      </w:r>
      <w:r w:rsidR="004C17E2">
        <w:rPr>
          <w:rFonts w:cs="Calibri"/>
          <w:b/>
        </w:rPr>
        <w:t xml:space="preserve"> </w:t>
      </w:r>
      <w:r>
        <w:rPr>
          <w:rFonts w:cs="Calibri"/>
          <w:b/>
        </w:rPr>
        <w:t>1,2 </w:t>
      </w:r>
      <w:r w:rsidRPr="00E1340F">
        <w:rPr>
          <w:rFonts w:cs="Calibri"/>
          <w:b/>
        </w:rPr>
        <w:t xml:space="preserve">mld. Kč a podhodnotilo položku </w:t>
      </w:r>
      <w:r w:rsidRPr="00E1340F">
        <w:rPr>
          <w:rFonts w:cs="Calibri"/>
          <w:b/>
          <w:i/>
        </w:rPr>
        <w:t>A.I.6. Ostatní</w:t>
      </w:r>
      <w:r w:rsidRPr="00E1340F">
        <w:rPr>
          <w:rFonts w:cs="Calibri"/>
          <w:b/>
        </w:rPr>
        <w:t xml:space="preserve"> o stejnou částku.</w:t>
      </w:r>
    </w:p>
    <w:p w14:paraId="1B440584" w14:textId="77777777" w:rsidR="005377D4" w:rsidRPr="00E1340F" w:rsidRDefault="005377D4" w:rsidP="00A7490F">
      <w:pPr>
        <w:spacing w:after="0"/>
        <w:jc w:val="both"/>
        <w:rPr>
          <w:rFonts w:cs="Calibri"/>
          <w:b/>
        </w:rPr>
      </w:pPr>
    </w:p>
    <w:p w14:paraId="0DB2EC92" w14:textId="684F287A" w:rsidR="00A7490F" w:rsidRDefault="00A7490F" w:rsidP="00D51443">
      <w:pPr>
        <w:spacing w:after="0"/>
        <w:ind w:left="284" w:hanging="284"/>
        <w:jc w:val="both"/>
        <w:rPr>
          <w:rFonts w:cs="Calibri"/>
          <w:b/>
        </w:rPr>
      </w:pPr>
      <w:r>
        <w:rPr>
          <w:rFonts w:cs="Calibri"/>
        </w:rPr>
        <w:t xml:space="preserve">• </w:t>
      </w:r>
      <w:r w:rsidR="00D51443">
        <w:rPr>
          <w:rFonts w:cs="Calibri"/>
        </w:rPr>
        <w:tab/>
      </w:r>
      <w:r>
        <w:rPr>
          <w:rFonts w:cs="Calibri"/>
        </w:rPr>
        <w:t xml:space="preserve">Na položce </w:t>
      </w:r>
      <w:r w:rsidRPr="00F94683">
        <w:rPr>
          <w:rFonts w:cs="Calibri"/>
          <w:i/>
        </w:rPr>
        <w:t xml:space="preserve">A.I.4. Investiční transfery </w:t>
      </w:r>
      <w:r w:rsidRPr="00152AD3">
        <w:rPr>
          <w:rFonts w:cs="Calibri"/>
        </w:rPr>
        <w:t>ve sloupci „zvýšení stavu“</w:t>
      </w:r>
      <w:r>
        <w:rPr>
          <w:rFonts w:cs="Calibri"/>
        </w:rPr>
        <w:t xml:space="preserve"> </w:t>
      </w:r>
      <w:r w:rsidR="004C17E2">
        <w:rPr>
          <w:rFonts w:cs="Calibri"/>
        </w:rPr>
        <w:t xml:space="preserve">MZd </w:t>
      </w:r>
      <w:r>
        <w:rPr>
          <w:rFonts w:cs="Calibri"/>
        </w:rPr>
        <w:t>nesprávně vykázalo účetní případy, které představují zaúčtování vratek dotací a vrácen</w:t>
      </w:r>
      <w:r w:rsidR="000819E2">
        <w:rPr>
          <w:rFonts w:cs="Calibri"/>
        </w:rPr>
        <w:t>ých plateb od příjemců dotací a</w:t>
      </w:r>
      <w:r w:rsidR="004C17E2">
        <w:rPr>
          <w:rFonts w:cs="Calibri"/>
        </w:rPr>
        <w:t xml:space="preserve"> </w:t>
      </w:r>
      <w:r>
        <w:rPr>
          <w:rFonts w:cs="Calibri"/>
        </w:rPr>
        <w:t>opravné účetní zápisy v souvislosti s nesprávným účtováním investičních dotací poskytovaných zřízeným příspěvkovým organizacím</w:t>
      </w:r>
      <w:r w:rsidR="004C17E2">
        <w:rPr>
          <w:rFonts w:cs="Calibri"/>
        </w:rPr>
        <w:t>;</w:t>
      </w:r>
      <w:r>
        <w:rPr>
          <w:rFonts w:cs="Calibri"/>
        </w:rPr>
        <w:t xml:space="preserve"> </w:t>
      </w:r>
      <w:r w:rsidR="004C17E2">
        <w:rPr>
          <w:rFonts w:cs="Calibri"/>
        </w:rPr>
        <w:t>tyto účetní případy</w:t>
      </w:r>
      <w:r>
        <w:rPr>
          <w:rFonts w:cs="Calibri"/>
        </w:rPr>
        <w:t xml:space="preserve"> náleží na položku </w:t>
      </w:r>
      <w:r w:rsidRPr="00F94683">
        <w:rPr>
          <w:rFonts w:cs="Calibri"/>
          <w:i/>
        </w:rPr>
        <w:t xml:space="preserve">A.I.6. Ostatní </w:t>
      </w:r>
      <w:r w:rsidR="004C17E2" w:rsidRPr="00256020">
        <w:rPr>
          <w:rFonts w:cs="Calibri"/>
        </w:rPr>
        <w:t>do</w:t>
      </w:r>
      <w:r w:rsidRPr="00C02436">
        <w:rPr>
          <w:rFonts w:cs="Calibri"/>
        </w:rPr>
        <w:t xml:space="preserve"> sloupc</w:t>
      </w:r>
      <w:r w:rsidR="004C17E2">
        <w:rPr>
          <w:rFonts w:cs="Calibri"/>
        </w:rPr>
        <w:t>e</w:t>
      </w:r>
      <w:r w:rsidRPr="00C02436">
        <w:rPr>
          <w:rFonts w:cs="Calibri"/>
        </w:rPr>
        <w:t xml:space="preserve"> „zvýšení stavu“.</w:t>
      </w:r>
      <w:r>
        <w:rPr>
          <w:rFonts w:cs="Calibri"/>
        </w:rPr>
        <w:t xml:space="preserve"> V důsledku této skutečnosti </w:t>
      </w:r>
      <w:r w:rsidRPr="00E1340F">
        <w:rPr>
          <w:rFonts w:cs="Calibri"/>
          <w:b/>
        </w:rPr>
        <w:t>v </w:t>
      </w:r>
      <w:r w:rsidR="004C17E2">
        <w:rPr>
          <w:rFonts w:cs="Calibri"/>
          <w:b/>
        </w:rPr>
        <w:t>p</w:t>
      </w:r>
      <w:r w:rsidRPr="00E1340F">
        <w:rPr>
          <w:rFonts w:cs="Calibri"/>
          <w:b/>
        </w:rPr>
        <w:t>řehledu o</w:t>
      </w:r>
      <w:r w:rsidR="00D51443">
        <w:rPr>
          <w:rFonts w:cs="Calibri"/>
          <w:b/>
        </w:rPr>
        <w:t> </w:t>
      </w:r>
      <w:r w:rsidRPr="00E1340F">
        <w:rPr>
          <w:rFonts w:cs="Calibri"/>
          <w:b/>
        </w:rPr>
        <w:t>změnách vlastního kapitálu ve sloupci „zvýšení stavu“ MZ</w:t>
      </w:r>
      <w:r w:rsidR="009A63F2">
        <w:rPr>
          <w:rFonts w:cs="Calibri"/>
          <w:b/>
        </w:rPr>
        <w:t>d</w:t>
      </w:r>
      <w:r w:rsidRPr="00E1340F">
        <w:rPr>
          <w:rFonts w:cs="Calibri"/>
          <w:b/>
        </w:rPr>
        <w:t xml:space="preserve"> nadhodnotilo položku </w:t>
      </w:r>
      <w:r w:rsidRPr="00E1340F">
        <w:rPr>
          <w:rFonts w:cs="Calibri"/>
          <w:b/>
          <w:i/>
        </w:rPr>
        <w:t>A.I.4.</w:t>
      </w:r>
      <w:r w:rsidR="00D51443">
        <w:rPr>
          <w:rFonts w:cs="Calibri"/>
          <w:b/>
          <w:i/>
        </w:rPr>
        <w:t> </w:t>
      </w:r>
      <w:r w:rsidRPr="00E1340F">
        <w:rPr>
          <w:rFonts w:cs="Calibri"/>
          <w:b/>
          <w:i/>
        </w:rPr>
        <w:t>Investiční transfery</w:t>
      </w:r>
      <w:r w:rsidR="000819E2">
        <w:rPr>
          <w:rFonts w:cs="Calibri"/>
          <w:b/>
        </w:rPr>
        <w:t xml:space="preserve"> o 16 mil. Kč a </w:t>
      </w:r>
      <w:r w:rsidRPr="00E1340F">
        <w:rPr>
          <w:rFonts w:cs="Calibri"/>
          <w:b/>
        </w:rPr>
        <w:t xml:space="preserve">podhodnotilo položku </w:t>
      </w:r>
      <w:r w:rsidRPr="00E1340F">
        <w:rPr>
          <w:rFonts w:cs="Calibri"/>
          <w:b/>
          <w:i/>
        </w:rPr>
        <w:t>A.I.6. Ostatní</w:t>
      </w:r>
      <w:r w:rsidRPr="00E1340F">
        <w:rPr>
          <w:rFonts w:cs="Calibri"/>
          <w:b/>
        </w:rPr>
        <w:t xml:space="preserve"> o stejnou částku.</w:t>
      </w:r>
    </w:p>
    <w:p w14:paraId="242A56E3" w14:textId="77777777" w:rsidR="00A7490F" w:rsidRPr="00152AD3" w:rsidRDefault="00A7490F" w:rsidP="00A7490F">
      <w:pPr>
        <w:spacing w:after="0"/>
        <w:jc w:val="both"/>
        <w:rPr>
          <w:rFonts w:cs="Calibri"/>
          <w:b/>
        </w:rPr>
      </w:pPr>
    </w:p>
    <w:p w14:paraId="563A03D4" w14:textId="3FD0B792" w:rsidR="005377D4" w:rsidRDefault="005377D4" w:rsidP="00A7490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2.2 </w:t>
      </w:r>
      <w:r w:rsidR="00EB374D">
        <w:rPr>
          <w:rFonts w:cs="Calibri"/>
          <w:b/>
        </w:rPr>
        <w:t xml:space="preserve">Nesprávnosti </w:t>
      </w:r>
      <w:r w:rsidR="00FB4F9E">
        <w:rPr>
          <w:rFonts w:cs="Calibri"/>
          <w:b/>
        </w:rPr>
        <w:t>v</w:t>
      </w:r>
      <w:r w:rsidR="00A7490F" w:rsidRPr="00A36905">
        <w:rPr>
          <w:rFonts w:cs="Calibri"/>
          <w:b/>
        </w:rPr>
        <w:t> </w:t>
      </w:r>
      <w:r w:rsidR="004C17E2">
        <w:rPr>
          <w:rFonts w:cs="Calibri"/>
          <w:b/>
        </w:rPr>
        <w:t>p</w:t>
      </w:r>
      <w:r w:rsidR="00A7490F" w:rsidRPr="00A36905">
        <w:rPr>
          <w:rFonts w:cs="Calibri"/>
          <w:b/>
        </w:rPr>
        <w:t xml:space="preserve">řehledu o </w:t>
      </w:r>
      <w:r w:rsidR="00A7490F">
        <w:rPr>
          <w:rFonts w:cs="Calibri"/>
          <w:b/>
        </w:rPr>
        <w:t>peněžních tocích</w:t>
      </w:r>
    </w:p>
    <w:p w14:paraId="4030D398" w14:textId="77777777" w:rsidR="005377D4" w:rsidRDefault="005377D4" w:rsidP="00A7490F">
      <w:pPr>
        <w:spacing w:after="0"/>
        <w:jc w:val="both"/>
        <w:rPr>
          <w:rFonts w:cs="Calibri"/>
          <w:b/>
        </w:rPr>
      </w:pPr>
    </w:p>
    <w:p w14:paraId="1C062A9B" w14:textId="078F943B" w:rsidR="005377D4" w:rsidRDefault="005377D4" w:rsidP="005377D4">
      <w:pPr>
        <w:spacing w:after="0"/>
        <w:jc w:val="both"/>
        <w:rPr>
          <w:rFonts w:cs="Calibri"/>
        </w:rPr>
      </w:pPr>
      <w:r>
        <w:rPr>
          <w:rFonts w:cs="Calibri"/>
          <w:b/>
        </w:rPr>
        <w:t>MZ</w:t>
      </w:r>
      <w:r w:rsidR="0087682F">
        <w:rPr>
          <w:rFonts w:cs="Calibri"/>
          <w:b/>
        </w:rPr>
        <w:t>d</w:t>
      </w:r>
      <w:r>
        <w:rPr>
          <w:rFonts w:cs="Calibri"/>
          <w:b/>
        </w:rPr>
        <w:t xml:space="preserve"> v tomto výkazu </w:t>
      </w:r>
      <w:r w:rsidRPr="00E1340F">
        <w:rPr>
          <w:rFonts w:cs="Calibri"/>
          <w:b/>
        </w:rPr>
        <w:t>nesprávně nastavilo algoritmus výpočtu některých položek</w:t>
      </w:r>
      <w:r>
        <w:rPr>
          <w:rFonts w:cs="Calibri"/>
          <w:b/>
        </w:rPr>
        <w:t>:</w:t>
      </w:r>
      <w:r>
        <w:rPr>
          <w:rFonts w:cs="Calibri"/>
        </w:rPr>
        <w:t xml:space="preserve"> </w:t>
      </w:r>
    </w:p>
    <w:p w14:paraId="478DC572" w14:textId="3BF5928B" w:rsidR="005377D4" w:rsidRDefault="005377D4" w:rsidP="00A7490F">
      <w:pPr>
        <w:spacing w:after="0"/>
        <w:jc w:val="both"/>
        <w:rPr>
          <w:rFonts w:cs="Calibri"/>
          <w:b/>
        </w:rPr>
      </w:pPr>
    </w:p>
    <w:p w14:paraId="3E839071" w14:textId="34C54711" w:rsidR="00A7490F" w:rsidRDefault="00A7490F" w:rsidP="00D51443">
      <w:pPr>
        <w:spacing w:after="0"/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>•</w:t>
      </w:r>
      <w:r w:rsidRPr="00A36905">
        <w:rPr>
          <w:rFonts w:cs="Calibri"/>
          <w:b/>
        </w:rPr>
        <w:t xml:space="preserve"> </w:t>
      </w:r>
      <w:r w:rsidR="00D51443">
        <w:rPr>
          <w:rFonts w:cs="Calibri"/>
          <w:b/>
        </w:rPr>
        <w:tab/>
      </w:r>
      <w:r w:rsidR="005377D4" w:rsidRPr="00F74C0E">
        <w:rPr>
          <w:rFonts w:cs="Calibri"/>
        </w:rPr>
        <w:t>N</w:t>
      </w:r>
      <w:r w:rsidRPr="00A36905">
        <w:rPr>
          <w:rFonts w:cs="Calibri"/>
        </w:rPr>
        <w:t xml:space="preserve">a položce </w:t>
      </w:r>
      <w:r w:rsidRPr="00A36905">
        <w:rPr>
          <w:rFonts w:cs="Calibri"/>
          <w:i/>
        </w:rPr>
        <w:t>A.I.6. Ostatní úpravy o nepeněžní operace</w:t>
      </w:r>
      <w:r w:rsidRPr="00A36905">
        <w:rPr>
          <w:rFonts w:cs="Calibri"/>
        </w:rPr>
        <w:t xml:space="preserve"> </w:t>
      </w:r>
      <w:r w:rsidR="004C17E2">
        <w:rPr>
          <w:rFonts w:cs="Calibri"/>
        </w:rPr>
        <w:t xml:space="preserve">MZd </w:t>
      </w:r>
      <w:r w:rsidRPr="00A36905">
        <w:rPr>
          <w:rFonts w:cs="Calibri"/>
        </w:rPr>
        <w:t>nesprávně vykázalo</w:t>
      </w:r>
      <w:r>
        <w:rPr>
          <w:rFonts w:cs="Calibri"/>
        </w:rPr>
        <w:t xml:space="preserve"> nepeněžní</w:t>
      </w:r>
      <w:r w:rsidRPr="00A36905">
        <w:rPr>
          <w:rFonts w:cs="Calibri"/>
        </w:rPr>
        <w:t xml:space="preserve"> operace, které neovli</w:t>
      </w:r>
      <w:r>
        <w:rPr>
          <w:rFonts w:cs="Calibri"/>
        </w:rPr>
        <w:t xml:space="preserve">vnily výši výsledku hospodaření </w:t>
      </w:r>
      <w:r w:rsidRPr="00A36905">
        <w:rPr>
          <w:rFonts w:cs="Calibri"/>
        </w:rPr>
        <w:t>nebo se vykazují na samostatných položkách výkazu</w:t>
      </w:r>
      <w:r w:rsidR="004C17E2">
        <w:rPr>
          <w:rFonts w:cs="Calibri"/>
        </w:rPr>
        <w:t>,</w:t>
      </w:r>
      <w:r w:rsidRPr="00A36905">
        <w:rPr>
          <w:rFonts w:cs="Calibri"/>
        </w:rPr>
        <w:t xml:space="preserve"> a zároveň nevykázalo některé nepeněžní operace, které naopak vliv na výsledek hospodaření měly. V důsledku této skutečnosti </w:t>
      </w:r>
      <w:r w:rsidRPr="00A36905">
        <w:rPr>
          <w:rFonts w:cs="Calibri"/>
          <w:b/>
        </w:rPr>
        <w:t>v </w:t>
      </w:r>
      <w:r w:rsidR="004C17E2">
        <w:rPr>
          <w:rFonts w:cs="Calibri"/>
          <w:b/>
        </w:rPr>
        <w:t>p</w:t>
      </w:r>
      <w:r w:rsidRPr="00A36905">
        <w:rPr>
          <w:rFonts w:cs="Calibri"/>
          <w:b/>
        </w:rPr>
        <w:t>řehledu o</w:t>
      </w:r>
      <w:r w:rsidR="000B0EB8">
        <w:rPr>
          <w:rFonts w:cs="Calibri"/>
          <w:b/>
        </w:rPr>
        <w:t xml:space="preserve"> </w:t>
      </w:r>
      <w:r w:rsidRPr="00A36905">
        <w:rPr>
          <w:rFonts w:cs="Calibri"/>
          <w:b/>
        </w:rPr>
        <w:t>peněžních tocích MZ</w:t>
      </w:r>
      <w:r w:rsidR="009A63F2">
        <w:rPr>
          <w:rFonts w:cs="Calibri"/>
          <w:b/>
        </w:rPr>
        <w:t>d</w:t>
      </w:r>
      <w:r w:rsidRPr="00A36905">
        <w:rPr>
          <w:rFonts w:cs="Calibri"/>
          <w:b/>
        </w:rPr>
        <w:t xml:space="preserve"> nadhodnotilo položku </w:t>
      </w:r>
      <w:r w:rsidRPr="00A36905">
        <w:rPr>
          <w:rFonts w:cs="Calibri"/>
          <w:b/>
          <w:i/>
        </w:rPr>
        <w:t>A.I.6. Ostatní úpravy o nepeněžní operace</w:t>
      </w:r>
      <w:r w:rsidRPr="00A36905">
        <w:rPr>
          <w:rFonts w:cs="Calibri"/>
          <w:b/>
        </w:rPr>
        <w:t xml:space="preserve"> o</w:t>
      </w:r>
      <w:r w:rsidR="000B0EB8">
        <w:rPr>
          <w:rFonts w:cs="Calibri"/>
          <w:b/>
        </w:rPr>
        <w:t xml:space="preserve"> </w:t>
      </w:r>
      <w:r w:rsidRPr="00A36905">
        <w:rPr>
          <w:rFonts w:cs="Calibri"/>
          <w:b/>
        </w:rPr>
        <w:t>1</w:t>
      </w:r>
      <w:r w:rsidR="000B0EB8">
        <w:rPr>
          <w:rFonts w:cs="Calibri"/>
          <w:b/>
        </w:rPr>
        <w:t xml:space="preserve"> </w:t>
      </w:r>
      <w:r w:rsidRPr="00A36905">
        <w:rPr>
          <w:rFonts w:cs="Calibri"/>
          <w:b/>
        </w:rPr>
        <w:t>mil. Kč.</w:t>
      </w:r>
    </w:p>
    <w:p w14:paraId="532D4889" w14:textId="77777777" w:rsidR="005377D4" w:rsidRDefault="005377D4" w:rsidP="00A7490F">
      <w:pPr>
        <w:spacing w:after="0"/>
        <w:jc w:val="both"/>
        <w:rPr>
          <w:rFonts w:cs="Calibri"/>
          <w:b/>
        </w:rPr>
      </w:pPr>
    </w:p>
    <w:p w14:paraId="584917EA" w14:textId="4A265303" w:rsidR="00A7490F" w:rsidRDefault="00A7490F" w:rsidP="00D51443">
      <w:pPr>
        <w:spacing w:after="0"/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 xml:space="preserve">• </w:t>
      </w:r>
      <w:r w:rsidR="00D51443">
        <w:rPr>
          <w:rFonts w:cs="Calibri"/>
          <w:b/>
        </w:rPr>
        <w:tab/>
      </w:r>
      <w:r w:rsidR="005377D4" w:rsidRPr="00F74C0E">
        <w:rPr>
          <w:rFonts w:cs="Calibri"/>
        </w:rPr>
        <w:t>N</w:t>
      </w:r>
      <w:r w:rsidRPr="00A36905">
        <w:rPr>
          <w:rFonts w:cs="Calibri"/>
        </w:rPr>
        <w:t xml:space="preserve">a položce </w:t>
      </w:r>
      <w:r>
        <w:rPr>
          <w:rFonts w:cs="Calibri"/>
          <w:i/>
        </w:rPr>
        <w:t>C.I.</w:t>
      </w:r>
      <w:r w:rsidRPr="00A36905">
        <w:rPr>
          <w:rFonts w:cs="Calibri"/>
          <w:i/>
        </w:rPr>
        <w:t xml:space="preserve"> </w:t>
      </w:r>
      <w:r>
        <w:rPr>
          <w:rFonts w:cs="Calibri"/>
          <w:i/>
        </w:rPr>
        <w:t>Peněžní toky vyplývající ze změny vlastního kapitálu</w:t>
      </w:r>
      <w:r w:rsidRPr="00A36905">
        <w:rPr>
          <w:rFonts w:cs="Calibri"/>
        </w:rPr>
        <w:t xml:space="preserve"> </w:t>
      </w:r>
      <w:r w:rsidR="004C17E2">
        <w:rPr>
          <w:rFonts w:cs="Calibri"/>
        </w:rPr>
        <w:t xml:space="preserve">MZd </w:t>
      </w:r>
      <w:r w:rsidRPr="00A36905">
        <w:rPr>
          <w:rFonts w:cs="Calibri"/>
        </w:rPr>
        <w:t xml:space="preserve">nesprávně vykázalo </w:t>
      </w:r>
      <w:r>
        <w:rPr>
          <w:rFonts w:cs="Calibri"/>
        </w:rPr>
        <w:t xml:space="preserve">operace, které </w:t>
      </w:r>
      <w:r w:rsidRPr="00A36905">
        <w:rPr>
          <w:rFonts w:cs="Calibri"/>
        </w:rPr>
        <w:t>ovli</w:t>
      </w:r>
      <w:r>
        <w:rPr>
          <w:rFonts w:cs="Calibri"/>
        </w:rPr>
        <w:t>vnily změnu vlastního kapitálu, ale nesouvisely se snížením stavu peněžních prostředků</w:t>
      </w:r>
      <w:r w:rsidRPr="00A36905">
        <w:rPr>
          <w:rFonts w:cs="Calibri"/>
        </w:rPr>
        <w:t xml:space="preserve">. V důsledku této skutečnosti </w:t>
      </w:r>
      <w:r w:rsidRPr="00A36905">
        <w:rPr>
          <w:rFonts w:cs="Calibri"/>
          <w:b/>
        </w:rPr>
        <w:t>v </w:t>
      </w:r>
      <w:r w:rsidR="004C17E2">
        <w:rPr>
          <w:rFonts w:cs="Calibri"/>
          <w:b/>
        </w:rPr>
        <w:t>p</w:t>
      </w:r>
      <w:r w:rsidRPr="00A36905">
        <w:rPr>
          <w:rFonts w:cs="Calibri"/>
          <w:b/>
        </w:rPr>
        <w:t>řehledu o</w:t>
      </w:r>
      <w:r w:rsidR="00822DB1">
        <w:rPr>
          <w:rFonts w:cs="Calibri"/>
          <w:b/>
        </w:rPr>
        <w:t xml:space="preserve"> </w:t>
      </w:r>
      <w:r w:rsidRPr="00A36905">
        <w:rPr>
          <w:rFonts w:cs="Calibri"/>
          <w:b/>
        </w:rPr>
        <w:t>peněžních tocích MZ</w:t>
      </w:r>
      <w:r w:rsidR="009A63F2">
        <w:rPr>
          <w:rFonts w:cs="Calibri"/>
          <w:b/>
        </w:rPr>
        <w:t>d</w:t>
      </w:r>
      <w:r w:rsidRPr="00A36905">
        <w:rPr>
          <w:rFonts w:cs="Calibri"/>
          <w:b/>
        </w:rPr>
        <w:t xml:space="preserve"> </w:t>
      </w:r>
      <w:r>
        <w:rPr>
          <w:rFonts w:cs="Calibri"/>
          <w:b/>
        </w:rPr>
        <w:t>po</w:t>
      </w:r>
      <w:r w:rsidRPr="00A36905">
        <w:rPr>
          <w:rFonts w:cs="Calibri"/>
          <w:b/>
        </w:rPr>
        <w:t xml:space="preserve">dhodnotilo položku </w:t>
      </w:r>
      <w:r>
        <w:rPr>
          <w:rFonts w:cs="Calibri"/>
          <w:b/>
          <w:i/>
        </w:rPr>
        <w:t>C.I.</w:t>
      </w:r>
      <w:r w:rsidRPr="00A36905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>Peněžní toky vyplývající ze změny vlastního kapitálu</w:t>
      </w:r>
      <w:r w:rsidRPr="00A36905">
        <w:rPr>
          <w:rFonts w:cs="Calibri"/>
          <w:b/>
        </w:rPr>
        <w:t xml:space="preserve"> o 1 mil. Kč.</w:t>
      </w:r>
    </w:p>
    <w:p w14:paraId="13977E83" w14:textId="2917D876" w:rsidR="00F15777" w:rsidRDefault="00F15777" w:rsidP="00F74C0E">
      <w:pPr>
        <w:spacing w:after="0"/>
        <w:jc w:val="both"/>
        <w:rPr>
          <w:rFonts w:cs="Calibri"/>
        </w:rPr>
      </w:pPr>
    </w:p>
    <w:p w14:paraId="12D7E25D" w14:textId="77777777" w:rsidR="003860A2" w:rsidRPr="00A7490F" w:rsidRDefault="003860A2" w:rsidP="00F74C0E">
      <w:pPr>
        <w:spacing w:after="0"/>
        <w:jc w:val="both"/>
        <w:rPr>
          <w:rFonts w:cs="Calibri"/>
        </w:rPr>
      </w:pPr>
    </w:p>
    <w:p w14:paraId="26F59FA7" w14:textId="7E39BE66" w:rsidR="00F2233D" w:rsidRPr="00DE6626" w:rsidRDefault="005377D4" w:rsidP="006C1B1F">
      <w:pPr>
        <w:pStyle w:val="Nadpis2"/>
        <w:keepNext/>
        <w:numPr>
          <w:ilvl w:val="0"/>
          <w:numId w:val="0"/>
        </w:numPr>
        <w:spacing w:after="0" w:line="240" w:lineRule="auto"/>
        <w:ind w:left="255" w:hanging="255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lastRenderedPageBreak/>
        <w:t>3</w:t>
      </w:r>
      <w:r w:rsidR="00E93037" w:rsidRPr="00DE6626">
        <w:rPr>
          <w:rFonts w:ascii="Calibri" w:hAnsi="Calibri" w:cs="Calibri"/>
          <w:lang w:eastAsia="cs-CZ"/>
        </w:rPr>
        <w:t xml:space="preserve">. </w:t>
      </w:r>
      <w:r w:rsidR="00AC7B31">
        <w:rPr>
          <w:rFonts w:ascii="Calibri" w:hAnsi="Calibri" w:cs="Calibri"/>
          <w:lang w:eastAsia="cs-CZ"/>
        </w:rPr>
        <w:tab/>
      </w:r>
      <w:r w:rsidR="00F2233D" w:rsidRPr="00DE6626">
        <w:rPr>
          <w:rFonts w:ascii="Calibri" w:hAnsi="Calibri" w:cs="Calibri"/>
          <w:lang w:eastAsia="cs-CZ"/>
        </w:rPr>
        <w:t xml:space="preserve">Nesprávnosti zjištěné v údajích </w:t>
      </w:r>
      <w:r w:rsidR="00DE6626" w:rsidRPr="00DE6626">
        <w:rPr>
          <w:rFonts w:ascii="Calibri" w:hAnsi="Calibri" w:cs="Calibri"/>
          <w:lang w:eastAsia="cs-CZ"/>
        </w:rPr>
        <w:t xml:space="preserve">předkládaných </w:t>
      </w:r>
      <w:r w:rsidR="004C17E2">
        <w:rPr>
          <w:rFonts w:ascii="Calibri" w:hAnsi="Calibri" w:cs="Calibri"/>
          <w:lang w:eastAsia="cs-CZ"/>
        </w:rPr>
        <w:t>Ministerstvem zdravotnictví</w:t>
      </w:r>
      <w:r w:rsidR="00CF48DC" w:rsidRPr="00DE6626">
        <w:rPr>
          <w:rFonts w:ascii="Calibri" w:hAnsi="Calibri" w:cs="Calibri"/>
          <w:lang w:eastAsia="cs-CZ"/>
        </w:rPr>
        <w:t xml:space="preserve"> </w:t>
      </w:r>
      <w:r w:rsidR="00F2233D" w:rsidRPr="00DE6626">
        <w:rPr>
          <w:rFonts w:ascii="Calibri" w:hAnsi="Calibri" w:cs="Calibri"/>
          <w:lang w:eastAsia="cs-CZ"/>
        </w:rPr>
        <w:t xml:space="preserve">pro hodnocení plnění státního rozpočtu </w:t>
      </w:r>
    </w:p>
    <w:p w14:paraId="70DF92F8" w14:textId="099C76C7" w:rsidR="00E93037" w:rsidRPr="00C922C3" w:rsidRDefault="00E93037" w:rsidP="00CB541E">
      <w:pPr>
        <w:keepNext/>
        <w:spacing w:after="0"/>
        <w:jc w:val="both"/>
        <w:rPr>
          <w:rFonts w:cs="Calibri"/>
        </w:rPr>
      </w:pPr>
    </w:p>
    <w:p w14:paraId="528558E7" w14:textId="2B93B973" w:rsidR="00742E28" w:rsidRPr="00911643" w:rsidRDefault="00742E28" w:rsidP="00CB541E">
      <w:pPr>
        <w:keepNext/>
        <w:spacing w:after="0"/>
        <w:jc w:val="both"/>
        <w:rPr>
          <w:rFonts w:cs="Calibri"/>
        </w:rPr>
      </w:pPr>
      <w:r>
        <w:rPr>
          <w:rFonts w:cs="Calibri"/>
        </w:rPr>
        <w:t>MZ</w:t>
      </w:r>
      <w:r w:rsidR="0087682F">
        <w:rPr>
          <w:rFonts w:cs="Calibri"/>
        </w:rPr>
        <w:t>d</w:t>
      </w:r>
      <w:r>
        <w:rPr>
          <w:rFonts w:cs="Calibri"/>
        </w:rPr>
        <w:t xml:space="preserve"> pro průběžné hodnocení plnění státního rozpočtu nepředložilo do rozpočtového systému některé údaje o svých příjmech a výdajích správně, jak dokumentují zjištění uvedená v následujících částech </w:t>
      </w:r>
      <w:r w:rsidR="00510195">
        <w:rPr>
          <w:rFonts w:cs="Calibri"/>
        </w:rPr>
        <w:t>3</w:t>
      </w:r>
      <w:r>
        <w:rPr>
          <w:rFonts w:cs="Calibri"/>
        </w:rPr>
        <w:t xml:space="preserve">.1 a </w:t>
      </w:r>
      <w:r w:rsidR="00510195">
        <w:rPr>
          <w:rFonts w:cs="Calibri"/>
        </w:rPr>
        <w:t>3</w:t>
      </w:r>
      <w:r>
        <w:rPr>
          <w:rFonts w:cs="Calibri"/>
        </w:rPr>
        <w:t xml:space="preserve">.2. </w:t>
      </w:r>
    </w:p>
    <w:p w14:paraId="435EE599" w14:textId="6C17C048" w:rsidR="00333380" w:rsidRDefault="00333380" w:rsidP="008149BA">
      <w:pPr>
        <w:spacing w:after="0"/>
        <w:jc w:val="both"/>
        <w:rPr>
          <w:rFonts w:cs="Calibri"/>
          <w:b/>
        </w:rPr>
      </w:pPr>
    </w:p>
    <w:p w14:paraId="1315F364" w14:textId="0A10D8EE" w:rsidR="00991BFC" w:rsidRDefault="005377D4" w:rsidP="008149B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3</w:t>
      </w:r>
      <w:r w:rsidR="00991BFC" w:rsidRPr="00991BFC">
        <w:rPr>
          <w:rFonts w:cs="Calibri"/>
          <w:b/>
        </w:rPr>
        <w:t>.1 Příjmy</w:t>
      </w:r>
    </w:p>
    <w:p w14:paraId="31FA9219" w14:textId="77777777" w:rsidR="00CA1396" w:rsidRPr="00991BFC" w:rsidRDefault="00CA1396" w:rsidP="008149BA">
      <w:pPr>
        <w:spacing w:after="0"/>
        <w:jc w:val="both"/>
        <w:rPr>
          <w:rFonts w:cs="Calibri"/>
          <w:b/>
        </w:rPr>
      </w:pPr>
    </w:p>
    <w:p w14:paraId="5CAE54A3" w14:textId="4C6DFF70" w:rsidR="003F6D54" w:rsidRDefault="005874C0" w:rsidP="008149BA">
      <w:pPr>
        <w:spacing w:after="0"/>
        <w:jc w:val="both"/>
        <w:rPr>
          <w:rFonts w:cs="Calibri"/>
        </w:rPr>
      </w:pPr>
      <w:r>
        <w:rPr>
          <w:rFonts w:cs="Calibri"/>
        </w:rPr>
        <w:t>MZ</w:t>
      </w:r>
      <w:r w:rsidR="0087682F">
        <w:rPr>
          <w:rFonts w:cs="Calibri"/>
        </w:rPr>
        <w:t>d</w:t>
      </w:r>
      <w:r>
        <w:rPr>
          <w:rFonts w:cs="Calibri"/>
        </w:rPr>
        <w:t xml:space="preserve"> p</w:t>
      </w:r>
      <w:r w:rsidR="003F6D54">
        <w:rPr>
          <w:rFonts w:cs="Calibri"/>
        </w:rPr>
        <w:t>říjmy z Národního fondu</w:t>
      </w:r>
      <w:r w:rsidR="00742E28">
        <w:rPr>
          <w:rFonts w:cs="Calibri"/>
        </w:rPr>
        <w:t xml:space="preserve"> ve výši 34 mil. Kč</w:t>
      </w:r>
      <w:r w:rsidR="003F6D54">
        <w:rPr>
          <w:rFonts w:cs="Calibri"/>
        </w:rPr>
        <w:t xml:space="preserve"> představující refundace investičních prostředků v rámci projektů Norských fondů zatřídilo z hlediska druhového členění dle rozpočtové skladby </w:t>
      </w:r>
      <w:r>
        <w:rPr>
          <w:rFonts w:cs="Calibri"/>
        </w:rPr>
        <w:t xml:space="preserve">nesprávně </w:t>
      </w:r>
      <w:r w:rsidR="003F6D54">
        <w:rPr>
          <w:rFonts w:cs="Calibri"/>
        </w:rPr>
        <w:t xml:space="preserve">na položku 4118 – </w:t>
      </w:r>
      <w:r w:rsidR="003F6D54" w:rsidRPr="00991BFC">
        <w:rPr>
          <w:rFonts w:cs="Calibri"/>
          <w:i/>
        </w:rPr>
        <w:t xml:space="preserve">Neinvestiční převody z Národního </w:t>
      </w:r>
      <w:r w:rsidR="001519E4" w:rsidRPr="00991BFC">
        <w:rPr>
          <w:rFonts w:cs="Calibri"/>
          <w:i/>
        </w:rPr>
        <w:t>fondu</w:t>
      </w:r>
      <w:r w:rsidR="001519E4">
        <w:rPr>
          <w:rFonts w:cs="Calibri"/>
        </w:rPr>
        <w:t xml:space="preserve">, přestože tyto příjmy dle vyhlášky o rozpočtové skladbě náleží na položku 4218 – </w:t>
      </w:r>
      <w:r w:rsidR="001519E4" w:rsidRPr="00991BFC">
        <w:rPr>
          <w:rFonts w:cs="Calibri"/>
          <w:i/>
        </w:rPr>
        <w:t>Investiční převody z Národního fondu</w:t>
      </w:r>
      <w:r w:rsidR="001519E4">
        <w:rPr>
          <w:rFonts w:cs="Calibri"/>
        </w:rPr>
        <w:t>.</w:t>
      </w:r>
    </w:p>
    <w:p w14:paraId="4DED459E" w14:textId="77777777" w:rsidR="008C6B5E" w:rsidRDefault="008C6B5E" w:rsidP="008149BA">
      <w:pPr>
        <w:spacing w:after="0"/>
        <w:jc w:val="both"/>
        <w:rPr>
          <w:rFonts w:cs="Calibri"/>
        </w:rPr>
      </w:pPr>
    </w:p>
    <w:p w14:paraId="4E7413E0" w14:textId="06F7DC71" w:rsidR="00991BFC" w:rsidRPr="00991BFC" w:rsidRDefault="005377D4" w:rsidP="00991BF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3</w:t>
      </w:r>
      <w:r w:rsidR="00991BFC">
        <w:rPr>
          <w:rFonts w:cs="Calibri"/>
          <w:b/>
        </w:rPr>
        <w:t>.2</w:t>
      </w:r>
      <w:r w:rsidR="00991BFC" w:rsidRPr="00991BFC">
        <w:rPr>
          <w:rFonts w:cs="Calibri"/>
          <w:b/>
        </w:rPr>
        <w:t xml:space="preserve"> </w:t>
      </w:r>
      <w:r w:rsidR="00991BFC">
        <w:rPr>
          <w:rFonts w:cs="Calibri"/>
          <w:b/>
        </w:rPr>
        <w:t>Výdaje</w:t>
      </w:r>
    </w:p>
    <w:p w14:paraId="4CA5C3DF" w14:textId="77777777" w:rsidR="00991BFC" w:rsidRDefault="00991BFC" w:rsidP="008149BA">
      <w:pPr>
        <w:spacing w:after="0"/>
        <w:jc w:val="both"/>
        <w:rPr>
          <w:rFonts w:cs="Calibri"/>
        </w:rPr>
      </w:pPr>
    </w:p>
    <w:p w14:paraId="3023F048" w14:textId="08DFD930" w:rsidR="001519E4" w:rsidRPr="001519E4" w:rsidRDefault="001519E4" w:rsidP="008149BA">
      <w:pPr>
        <w:spacing w:after="0"/>
        <w:jc w:val="both"/>
        <w:rPr>
          <w:rFonts w:cs="Calibri"/>
        </w:rPr>
      </w:pPr>
      <w:r>
        <w:rPr>
          <w:rFonts w:cs="Calibri"/>
        </w:rPr>
        <w:t>MZ</w:t>
      </w:r>
      <w:r w:rsidR="0087682F">
        <w:rPr>
          <w:rFonts w:cs="Calibri"/>
        </w:rPr>
        <w:t>d</w:t>
      </w:r>
      <w:r>
        <w:rPr>
          <w:rFonts w:cs="Calibri"/>
        </w:rPr>
        <w:t xml:space="preserve"> výdaje </w:t>
      </w:r>
      <w:r w:rsidR="002F660E">
        <w:rPr>
          <w:rFonts w:cs="Calibri"/>
        </w:rPr>
        <w:t>n</w:t>
      </w:r>
      <w:r>
        <w:rPr>
          <w:rFonts w:cs="Calibri"/>
        </w:rPr>
        <w:t xml:space="preserve">a příspěvky </w:t>
      </w:r>
      <w:r w:rsidR="002F660E">
        <w:rPr>
          <w:rFonts w:cs="Calibri"/>
        </w:rPr>
        <w:t xml:space="preserve">mezinárodní instituci </w:t>
      </w:r>
      <w:r w:rsidR="005874C0">
        <w:rPr>
          <w:rFonts w:cs="Calibri"/>
        </w:rPr>
        <w:t>ve výši 17,5 mil. Kč</w:t>
      </w:r>
      <w:r w:rsidR="00991BFC">
        <w:rPr>
          <w:rFonts w:cs="Calibri"/>
        </w:rPr>
        <w:t xml:space="preserve"> </w:t>
      </w:r>
      <w:r>
        <w:rPr>
          <w:rFonts w:cs="Calibri"/>
        </w:rPr>
        <w:t xml:space="preserve">zatřídilo z hlediska odvětvového členění dle rozpočtové skladby </w:t>
      </w:r>
      <w:r w:rsidR="005874C0">
        <w:rPr>
          <w:rFonts w:cs="Calibri"/>
        </w:rPr>
        <w:t xml:space="preserve">nesprávně </w:t>
      </w:r>
      <w:r>
        <w:rPr>
          <w:rFonts w:cs="Calibri"/>
        </w:rPr>
        <w:t xml:space="preserve">na paragraf 3561 – </w:t>
      </w:r>
      <w:r w:rsidRPr="001519E4">
        <w:rPr>
          <w:rFonts w:cs="Calibri"/>
          <w:i/>
        </w:rPr>
        <w:t>Činnost ústředního orgánu státní správy ve zdravotnictví</w:t>
      </w:r>
      <w:r>
        <w:rPr>
          <w:rFonts w:cs="Calibri"/>
        </w:rPr>
        <w:t>, přestože pro tento druh výdaje je vyhláškou o</w:t>
      </w:r>
      <w:r w:rsidR="000E7D3E">
        <w:rPr>
          <w:rFonts w:cs="Calibri"/>
        </w:rPr>
        <w:t> </w:t>
      </w:r>
      <w:r>
        <w:rPr>
          <w:rFonts w:cs="Calibri"/>
        </w:rPr>
        <w:t xml:space="preserve">rozpočtové skladbě určen paragraf 3591 – </w:t>
      </w:r>
      <w:r w:rsidRPr="001519E4">
        <w:rPr>
          <w:rFonts w:cs="Calibri"/>
          <w:i/>
        </w:rPr>
        <w:t>Mezinárodní spolupráce ve zdravotnictví</w:t>
      </w:r>
      <w:r>
        <w:rPr>
          <w:rFonts w:cs="Calibri"/>
        </w:rPr>
        <w:t>.</w:t>
      </w:r>
    </w:p>
    <w:p w14:paraId="081C803A" w14:textId="14317CDC" w:rsidR="009F38B1" w:rsidRDefault="009F38B1" w:rsidP="008149BA">
      <w:pPr>
        <w:spacing w:after="0"/>
        <w:jc w:val="both"/>
        <w:rPr>
          <w:rFonts w:cs="Calibri"/>
          <w:b/>
          <w:lang w:eastAsia="cs-CZ"/>
        </w:rPr>
      </w:pPr>
    </w:p>
    <w:p w14:paraId="5458BC83" w14:textId="3B144801" w:rsidR="009F38B1" w:rsidRPr="001519E4" w:rsidRDefault="009F38B1" w:rsidP="009F38B1">
      <w:pPr>
        <w:spacing w:after="0"/>
        <w:jc w:val="both"/>
        <w:rPr>
          <w:rFonts w:cs="Calibri"/>
        </w:rPr>
      </w:pPr>
      <w:r>
        <w:rPr>
          <w:rFonts w:cs="Calibri"/>
        </w:rPr>
        <w:t>MZ</w:t>
      </w:r>
      <w:r w:rsidR="0087682F">
        <w:rPr>
          <w:rFonts w:cs="Calibri"/>
        </w:rPr>
        <w:t>d</w:t>
      </w:r>
      <w:r>
        <w:rPr>
          <w:rFonts w:cs="Calibri"/>
        </w:rPr>
        <w:t xml:space="preserve"> výdaj z titulu porušení rozpočtové kázně na základě výsledku daňové kontroly a výdaj z titulu penále za prodlení s odvodem za porušení rozpočtové kázně</w:t>
      </w:r>
      <w:r w:rsidR="005874C0">
        <w:rPr>
          <w:rFonts w:cs="Calibri"/>
        </w:rPr>
        <w:t xml:space="preserve"> ve výši 6,7 mil. Kč</w:t>
      </w:r>
      <w:r>
        <w:rPr>
          <w:rFonts w:cs="Calibri"/>
        </w:rPr>
        <w:t xml:space="preserve"> zatřídilo z hlediska odvětvového členění dle rozpočtové skladby na paragraf 3533 – </w:t>
      </w:r>
      <w:r>
        <w:rPr>
          <w:rFonts w:cs="Calibri"/>
          <w:i/>
        </w:rPr>
        <w:t>Zdravotnická záchranná služba</w:t>
      </w:r>
      <w:r>
        <w:rPr>
          <w:rFonts w:cs="Calibri"/>
        </w:rPr>
        <w:t xml:space="preserve">, přestože pro tento druh výdaje je vyhláškou o rozpočtové skladbě určen paragraf 3561 – </w:t>
      </w:r>
      <w:r>
        <w:rPr>
          <w:rFonts w:cs="Calibri"/>
          <w:i/>
        </w:rPr>
        <w:t>Činnost ústředního orgánu státní správy ve zdravotnictví</w:t>
      </w:r>
      <w:r>
        <w:rPr>
          <w:rFonts w:cs="Calibri"/>
        </w:rPr>
        <w:t>.</w:t>
      </w:r>
    </w:p>
    <w:p w14:paraId="498FCCAD" w14:textId="3A3387CA" w:rsidR="009F38B1" w:rsidRDefault="009F38B1" w:rsidP="008149BA">
      <w:pPr>
        <w:spacing w:after="0"/>
        <w:jc w:val="both"/>
        <w:rPr>
          <w:rFonts w:cs="Calibri"/>
          <w:b/>
          <w:lang w:eastAsia="cs-CZ"/>
        </w:rPr>
      </w:pPr>
    </w:p>
    <w:p w14:paraId="12D5D54C" w14:textId="365B9FE9" w:rsidR="007D0987" w:rsidRPr="001519E4" w:rsidRDefault="007D0987" w:rsidP="007D0987">
      <w:pPr>
        <w:spacing w:after="0"/>
        <w:jc w:val="both"/>
        <w:rPr>
          <w:rFonts w:cs="Calibri"/>
        </w:rPr>
      </w:pPr>
      <w:r>
        <w:rPr>
          <w:rFonts w:cs="Calibri"/>
        </w:rPr>
        <w:t>MZ</w:t>
      </w:r>
      <w:r w:rsidR="0087682F">
        <w:rPr>
          <w:rFonts w:cs="Calibri"/>
        </w:rPr>
        <w:t>d</w:t>
      </w:r>
      <w:r>
        <w:rPr>
          <w:rFonts w:cs="Calibri"/>
        </w:rPr>
        <w:t xml:space="preserve"> výdaj za smluvní odměnu dohodce</w:t>
      </w:r>
      <w:r w:rsidR="00A83AB5">
        <w:rPr>
          <w:rFonts w:cs="Calibri"/>
        </w:rPr>
        <w:t>, který zastupoval MZ</w:t>
      </w:r>
      <w:r w:rsidR="0087682F">
        <w:rPr>
          <w:rFonts w:cs="Calibri"/>
        </w:rPr>
        <w:t>d</w:t>
      </w:r>
      <w:r w:rsidR="00A83AB5">
        <w:rPr>
          <w:rFonts w:cs="Calibri"/>
        </w:rPr>
        <w:t xml:space="preserve"> jako centrálního zadavatele </w:t>
      </w:r>
      <w:r w:rsidR="009402CE">
        <w:rPr>
          <w:rFonts w:cs="Calibri"/>
        </w:rPr>
        <w:t xml:space="preserve">při centralizovaném </w:t>
      </w:r>
      <w:r w:rsidR="00A83AB5">
        <w:rPr>
          <w:rFonts w:cs="Calibri"/>
        </w:rPr>
        <w:t>nákupu elektrické energie a plynu</w:t>
      </w:r>
      <w:r w:rsidR="009402CE">
        <w:rPr>
          <w:rFonts w:cs="Calibri"/>
        </w:rPr>
        <w:t>,</w:t>
      </w:r>
      <w:r>
        <w:rPr>
          <w:rFonts w:cs="Calibri"/>
        </w:rPr>
        <w:t xml:space="preserve"> a za burzovní poplatky za obchody na komoditní burze</w:t>
      </w:r>
      <w:r w:rsidR="00A83AB5">
        <w:rPr>
          <w:rFonts w:cs="Calibri"/>
        </w:rPr>
        <w:t xml:space="preserve"> </w:t>
      </w:r>
      <w:r w:rsidR="005874C0">
        <w:rPr>
          <w:rFonts w:cs="Calibri"/>
        </w:rPr>
        <w:t>ve výši 1 mil. Kč</w:t>
      </w:r>
      <w:r>
        <w:rPr>
          <w:rFonts w:cs="Calibri"/>
        </w:rPr>
        <w:t xml:space="preserve"> zatřídilo z hlediska druhového členění dle rozpočtové skladby na položku 5169 – </w:t>
      </w:r>
      <w:r>
        <w:rPr>
          <w:rFonts w:cs="Calibri"/>
          <w:i/>
        </w:rPr>
        <w:t>Nákup ostatních služeb</w:t>
      </w:r>
      <w:r>
        <w:rPr>
          <w:rFonts w:cs="Calibri"/>
        </w:rPr>
        <w:t xml:space="preserve">, přestože pro tento druh výdaje je vyhláškou o rozpočtové skladbě určena položka 5179 – </w:t>
      </w:r>
      <w:r>
        <w:rPr>
          <w:rFonts w:cs="Calibri"/>
          <w:i/>
        </w:rPr>
        <w:t>Ostatní nákupy jinde nezařazené</w:t>
      </w:r>
      <w:r>
        <w:rPr>
          <w:rFonts w:cs="Calibri"/>
        </w:rPr>
        <w:t>.</w:t>
      </w:r>
    </w:p>
    <w:p w14:paraId="7A85F76F" w14:textId="1FABEF81" w:rsidR="00C853A1" w:rsidRPr="00D31D2D" w:rsidRDefault="00C853A1" w:rsidP="00911643">
      <w:pPr>
        <w:spacing w:after="0"/>
        <w:jc w:val="both"/>
        <w:rPr>
          <w:highlight w:val="yellow"/>
        </w:rPr>
      </w:pPr>
    </w:p>
    <w:p w14:paraId="007269E5" w14:textId="18AEEF20" w:rsidR="002B4FE0" w:rsidRPr="00C922C3" w:rsidRDefault="00FB4F9E" w:rsidP="006C1B1F">
      <w:pPr>
        <w:pStyle w:val="Nadpis2"/>
        <w:keepNext/>
        <w:numPr>
          <w:ilvl w:val="0"/>
          <w:numId w:val="0"/>
        </w:numPr>
        <w:spacing w:after="0" w:line="240" w:lineRule="auto"/>
        <w:ind w:left="244" w:hanging="255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4</w:t>
      </w:r>
      <w:r w:rsidR="00E93037" w:rsidRPr="00DE6626">
        <w:rPr>
          <w:rFonts w:ascii="Calibri" w:hAnsi="Calibri" w:cs="Calibri"/>
          <w:lang w:eastAsia="cs-CZ"/>
        </w:rPr>
        <w:t xml:space="preserve">. </w:t>
      </w:r>
      <w:r w:rsidR="00DE4C55">
        <w:rPr>
          <w:rFonts w:ascii="Calibri" w:hAnsi="Calibri" w:cs="Calibri"/>
          <w:lang w:eastAsia="cs-CZ"/>
        </w:rPr>
        <w:tab/>
      </w:r>
      <w:r w:rsidR="002B4FE0" w:rsidRPr="00DE6626">
        <w:rPr>
          <w:rFonts w:ascii="Calibri" w:hAnsi="Calibri" w:cs="Calibri"/>
          <w:lang w:eastAsia="cs-CZ"/>
        </w:rPr>
        <w:t>Vyhodnocení opatření přijatých k odstranění n</w:t>
      </w:r>
      <w:r w:rsidR="00DE6626" w:rsidRPr="00DE6626">
        <w:rPr>
          <w:rFonts w:ascii="Calibri" w:hAnsi="Calibri" w:cs="Calibri"/>
          <w:lang w:eastAsia="cs-CZ"/>
        </w:rPr>
        <w:t>edostatků z</w:t>
      </w:r>
      <w:r w:rsidR="004C17E2">
        <w:rPr>
          <w:rFonts w:ascii="Calibri" w:hAnsi="Calibri" w:cs="Calibri"/>
          <w:lang w:eastAsia="cs-CZ"/>
        </w:rPr>
        <w:t xml:space="preserve">jištěných </w:t>
      </w:r>
      <w:r w:rsidR="00DE6626" w:rsidRPr="00DE6626">
        <w:rPr>
          <w:rFonts w:ascii="Calibri" w:hAnsi="Calibri" w:cs="Calibri"/>
          <w:lang w:eastAsia="cs-CZ"/>
        </w:rPr>
        <w:t>kontrolní akc</w:t>
      </w:r>
      <w:r w:rsidR="004C17E2">
        <w:rPr>
          <w:rFonts w:ascii="Calibri" w:hAnsi="Calibri" w:cs="Calibri"/>
          <w:lang w:eastAsia="cs-CZ"/>
        </w:rPr>
        <w:t>í</w:t>
      </w:r>
      <w:r w:rsidR="00DE6626" w:rsidRPr="00DE6626">
        <w:rPr>
          <w:rFonts w:ascii="Calibri" w:hAnsi="Calibri" w:cs="Calibri"/>
          <w:lang w:eastAsia="cs-CZ"/>
        </w:rPr>
        <w:t xml:space="preserve"> </w:t>
      </w:r>
      <w:r w:rsidR="004C17E2">
        <w:rPr>
          <w:rFonts w:ascii="Calibri" w:hAnsi="Calibri" w:cs="Calibri"/>
          <w:lang w:eastAsia="cs-CZ"/>
        </w:rPr>
        <w:t xml:space="preserve">NKÚ </w:t>
      </w:r>
      <w:r w:rsidR="00DE6626" w:rsidRPr="00DE6626">
        <w:rPr>
          <w:rFonts w:ascii="Calibri" w:hAnsi="Calibri" w:cs="Calibri"/>
          <w:lang w:eastAsia="cs-CZ"/>
        </w:rPr>
        <w:t>č.</w:t>
      </w:r>
      <w:r w:rsidR="004C17E2">
        <w:rPr>
          <w:rFonts w:ascii="Calibri" w:hAnsi="Calibri" w:cs="Calibri"/>
          <w:lang w:eastAsia="cs-CZ"/>
        </w:rPr>
        <w:t> </w:t>
      </w:r>
      <w:r w:rsidR="00DE6626" w:rsidRPr="00DE6626">
        <w:rPr>
          <w:rFonts w:ascii="Calibri" w:hAnsi="Calibri" w:cs="Calibri"/>
          <w:lang w:eastAsia="cs-CZ"/>
        </w:rPr>
        <w:t>15/07</w:t>
      </w:r>
      <w:r w:rsidR="002B4FE0" w:rsidRPr="00DE6626">
        <w:rPr>
          <w:rFonts w:ascii="Calibri" w:hAnsi="Calibri" w:cs="Calibri"/>
          <w:lang w:eastAsia="cs-CZ"/>
        </w:rPr>
        <w:t xml:space="preserve"> </w:t>
      </w:r>
    </w:p>
    <w:p w14:paraId="3CB14654" w14:textId="77777777" w:rsidR="00E93037" w:rsidRPr="00C922C3" w:rsidRDefault="00E93037" w:rsidP="00CB541E">
      <w:pPr>
        <w:keepNext/>
        <w:spacing w:after="0"/>
        <w:jc w:val="both"/>
        <w:rPr>
          <w:rFonts w:cs="Calibri"/>
          <w:lang w:eastAsia="cs-CZ"/>
        </w:rPr>
      </w:pPr>
    </w:p>
    <w:p w14:paraId="0E0F5E05" w14:textId="4627AB0C" w:rsidR="005377D4" w:rsidRDefault="00851238" w:rsidP="00206F66">
      <w:pPr>
        <w:spacing w:after="0"/>
        <w:jc w:val="both"/>
        <w:rPr>
          <w:rFonts w:cs="Calibri"/>
        </w:rPr>
      </w:pPr>
      <w:r w:rsidRPr="00902397">
        <w:rPr>
          <w:rFonts w:cs="Calibri"/>
          <w:lang w:eastAsia="cs-CZ"/>
        </w:rPr>
        <w:t>V</w:t>
      </w:r>
      <w:r w:rsidR="00510195">
        <w:rPr>
          <w:rFonts w:cs="Calibri"/>
          <w:lang w:eastAsia="cs-CZ"/>
        </w:rPr>
        <w:t> </w:t>
      </w:r>
      <w:r w:rsidRPr="00902397">
        <w:rPr>
          <w:rFonts w:cs="Calibri"/>
          <w:lang w:eastAsia="cs-CZ"/>
        </w:rPr>
        <w:t>případě</w:t>
      </w:r>
      <w:r w:rsidR="00510195">
        <w:rPr>
          <w:rFonts w:cs="Calibri"/>
          <w:lang w:eastAsia="cs-CZ"/>
        </w:rPr>
        <w:t xml:space="preserve"> zjištění z</w:t>
      </w:r>
      <w:r w:rsidRPr="00902397">
        <w:rPr>
          <w:rFonts w:cs="Calibri"/>
          <w:lang w:eastAsia="cs-CZ"/>
        </w:rPr>
        <w:t xml:space="preserve"> kontrolní akce</w:t>
      </w:r>
      <w:r w:rsidR="00C67C92" w:rsidRPr="00902397">
        <w:rPr>
          <w:rFonts w:cs="Calibri"/>
          <w:lang w:eastAsia="cs-CZ"/>
        </w:rPr>
        <w:t xml:space="preserve"> </w:t>
      </w:r>
      <w:r w:rsidR="004C17E2">
        <w:rPr>
          <w:rFonts w:cs="Calibri"/>
          <w:lang w:eastAsia="cs-CZ"/>
        </w:rPr>
        <w:t xml:space="preserve">NKÚ </w:t>
      </w:r>
      <w:r w:rsidR="00C67C92" w:rsidRPr="00902397">
        <w:rPr>
          <w:rFonts w:cs="Calibri"/>
          <w:lang w:eastAsia="cs-CZ"/>
        </w:rPr>
        <w:t>č.</w:t>
      </w:r>
      <w:r w:rsidR="00902397" w:rsidRPr="00902397">
        <w:rPr>
          <w:rFonts w:cs="Calibri"/>
          <w:lang w:eastAsia="cs-CZ"/>
        </w:rPr>
        <w:t xml:space="preserve"> 15/07</w:t>
      </w:r>
      <w:r w:rsidRPr="00902397">
        <w:rPr>
          <w:rFonts w:cs="Calibri"/>
          <w:lang w:eastAsia="cs-CZ"/>
        </w:rPr>
        <w:t xml:space="preserve"> </w:t>
      </w:r>
      <w:r w:rsidR="00902397" w:rsidRPr="00902397">
        <w:rPr>
          <w:rFonts w:cs="Calibri"/>
        </w:rPr>
        <w:t>z celkového počtu 15</w:t>
      </w:r>
      <w:r w:rsidRPr="00902397">
        <w:rPr>
          <w:rFonts w:cs="Calibri"/>
        </w:rPr>
        <w:t xml:space="preserve"> opatření stanovených usnesením vlády </w:t>
      </w:r>
      <w:r w:rsidR="00902397" w:rsidRPr="00902397">
        <w:rPr>
          <w:rFonts w:cs="Calibri"/>
        </w:rPr>
        <w:t>ze dne 7</w:t>
      </w:r>
      <w:r w:rsidR="0060687A" w:rsidRPr="00902397">
        <w:rPr>
          <w:rFonts w:cs="Calibri"/>
        </w:rPr>
        <w:t xml:space="preserve">. </w:t>
      </w:r>
      <w:r w:rsidR="00902397" w:rsidRPr="00902397">
        <w:rPr>
          <w:rFonts w:cs="Calibri"/>
        </w:rPr>
        <w:t>dubna 2016</w:t>
      </w:r>
      <w:r w:rsidR="0060687A" w:rsidRPr="00902397">
        <w:rPr>
          <w:rFonts w:cs="Calibri"/>
        </w:rPr>
        <w:t xml:space="preserve"> </w:t>
      </w:r>
      <w:r w:rsidR="00902397" w:rsidRPr="00902397">
        <w:rPr>
          <w:rFonts w:cs="Calibri"/>
        </w:rPr>
        <w:t>č. 298</w:t>
      </w:r>
      <w:r w:rsidR="007A7591">
        <w:rPr>
          <w:rFonts w:cs="Calibri"/>
        </w:rPr>
        <w:t xml:space="preserve"> </w:t>
      </w:r>
      <w:r w:rsidR="00236288">
        <w:rPr>
          <w:rFonts w:cs="Calibri"/>
        </w:rPr>
        <w:t>přijalo</w:t>
      </w:r>
      <w:r w:rsidR="00902397" w:rsidRPr="00902397">
        <w:rPr>
          <w:rFonts w:cs="Calibri"/>
        </w:rPr>
        <w:t xml:space="preserve"> </w:t>
      </w:r>
      <w:r w:rsidR="004C17E2">
        <w:rPr>
          <w:rFonts w:cs="Calibri"/>
        </w:rPr>
        <w:t>MZd</w:t>
      </w:r>
      <w:r w:rsidR="004C17E2" w:rsidRPr="00902397">
        <w:rPr>
          <w:rFonts w:cs="Calibri"/>
        </w:rPr>
        <w:t xml:space="preserve"> </w:t>
      </w:r>
      <w:r w:rsidR="00902397" w:rsidRPr="00902397">
        <w:rPr>
          <w:rFonts w:cs="Calibri"/>
        </w:rPr>
        <w:t>14</w:t>
      </w:r>
      <w:r w:rsidRPr="00902397">
        <w:rPr>
          <w:rFonts w:cs="Calibri"/>
        </w:rPr>
        <w:t xml:space="preserve"> opatření</w:t>
      </w:r>
      <w:r w:rsidR="002F660E">
        <w:rPr>
          <w:rFonts w:cs="Calibri"/>
        </w:rPr>
        <w:t>, j</w:t>
      </w:r>
      <w:r w:rsidR="005377D4">
        <w:rPr>
          <w:rFonts w:cs="Calibri"/>
        </w:rPr>
        <w:t>edno ze stanovených opatření nemohlo být přijato z důvodu změny právních předpisů</w:t>
      </w:r>
      <w:r w:rsidR="007A7591">
        <w:rPr>
          <w:rFonts w:cs="Calibri"/>
        </w:rPr>
        <w:t>.</w:t>
      </w:r>
      <w:r w:rsidR="00206F66">
        <w:rPr>
          <w:rFonts w:cs="Calibri"/>
        </w:rPr>
        <w:t xml:space="preserve"> </w:t>
      </w:r>
    </w:p>
    <w:p w14:paraId="6E520547" w14:textId="77777777" w:rsidR="005377D4" w:rsidRDefault="005377D4" w:rsidP="00206F66">
      <w:pPr>
        <w:spacing w:after="0"/>
        <w:jc w:val="both"/>
        <w:rPr>
          <w:rFonts w:cs="Calibri"/>
        </w:rPr>
      </w:pPr>
    </w:p>
    <w:p w14:paraId="6145FBBD" w14:textId="7F887B7F" w:rsidR="003860A2" w:rsidRDefault="002F660E" w:rsidP="00A7770B">
      <w:pPr>
        <w:spacing w:after="0"/>
        <w:jc w:val="both"/>
      </w:pPr>
      <w:r w:rsidRPr="00F74C0E">
        <w:t>U čtyř z provedených</w:t>
      </w:r>
      <w:r w:rsidR="00206F66" w:rsidRPr="00F74C0E">
        <w:t xml:space="preserve"> opatření </w:t>
      </w:r>
      <w:r w:rsidR="0038395C" w:rsidRPr="00F74C0E">
        <w:t xml:space="preserve">byly za rok 2017 kontrolou </w:t>
      </w:r>
      <w:r w:rsidR="00206F66" w:rsidRPr="00F74C0E">
        <w:t>zjištěny další nové nesprávnosti</w:t>
      </w:r>
      <w:r w:rsidR="0038395C" w:rsidRPr="00F74C0E">
        <w:t xml:space="preserve"> (</w:t>
      </w:r>
      <w:r w:rsidR="00DD5C1A" w:rsidRPr="00F74C0E">
        <w:t>v</w:t>
      </w:r>
      <w:r w:rsidR="00D47029">
        <w:t>e</w:t>
      </w:r>
      <w:r w:rsidR="00DD5C1A" w:rsidRPr="00F74C0E">
        <w:t xml:space="preserve"> vykazování některých </w:t>
      </w:r>
      <w:r w:rsidR="0012623F" w:rsidRPr="00F74C0E">
        <w:t xml:space="preserve">druhů </w:t>
      </w:r>
      <w:r w:rsidR="00DD5C1A" w:rsidRPr="00F74C0E">
        <w:t>podmíněných závazků, v </w:t>
      </w:r>
      <w:r w:rsidR="00D47029">
        <w:t>p</w:t>
      </w:r>
      <w:r w:rsidR="00DD5C1A" w:rsidRPr="00F74C0E">
        <w:t xml:space="preserve">řehledu o peněžních tocích, ve výkazu pro hodnocení plnění rozpočtu, </w:t>
      </w:r>
      <w:r w:rsidR="0038395C" w:rsidRPr="00F74C0E">
        <w:t>v odpisování), které ale (s výjimkou účtů podmíněných závazků) nebyly vyhodnoceny jako nesprávnosti s významným dopadem na ÚZ.</w:t>
      </w:r>
    </w:p>
    <w:p w14:paraId="5E963E93" w14:textId="4FEAF6E8" w:rsidR="00F063BC" w:rsidRPr="00F063BC" w:rsidRDefault="00F063BC" w:rsidP="00A7770B">
      <w:pPr>
        <w:spacing w:after="0"/>
        <w:jc w:val="both"/>
      </w:pPr>
    </w:p>
    <w:p w14:paraId="778CA701" w14:textId="2BF8FD92" w:rsidR="00E93037" w:rsidRPr="00C922C3" w:rsidRDefault="00510195" w:rsidP="008149BA">
      <w:pPr>
        <w:spacing w:after="0"/>
        <w:jc w:val="both"/>
        <w:rPr>
          <w:rFonts w:cs="Calibri"/>
        </w:rPr>
      </w:pPr>
      <w:r w:rsidRPr="00F74C0E">
        <w:rPr>
          <w:rFonts w:cs="Calibri"/>
          <w:b/>
        </w:rPr>
        <w:lastRenderedPageBreak/>
        <w:t>J</w:t>
      </w:r>
      <w:r w:rsidR="00206F66" w:rsidRPr="00F74C0E">
        <w:rPr>
          <w:rFonts w:cs="Calibri"/>
          <w:b/>
        </w:rPr>
        <w:t>edno</w:t>
      </w:r>
      <w:r w:rsidRPr="00F74C0E">
        <w:rPr>
          <w:rFonts w:cs="Calibri"/>
          <w:b/>
        </w:rPr>
        <w:t xml:space="preserve"> z </w:t>
      </w:r>
      <w:r w:rsidR="008C6B5E">
        <w:rPr>
          <w:rFonts w:cs="Calibri"/>
          <w:b/>
        </w:rPr>
        <w:t>realizovaných</w:t>
      </w:r>
      <w:r w:rsidR="00206F66" w:rsidRPr="00F74C0E">
        <w:rPr>
          <w:rFonts w:cs="Calibri"/>
          <w:b/>
        </w:rPr>
        <w:t xml:space="preserve"> opatření bylo </w:t>
      </w:r>
      <w:r w:rsidR="008C6B5E">
        <w:rPr>
          <w:rFonts w:cs="Calibri"/>
          <w:b/>
        </w:rPr>
        <w:t>provedeno</w:t>
      </w:r>
      <w:r w:rsidRPr="00F74C0E">
        <w:rPr>
          <w:rFonts w:cs="Calibri"/>
          <w:b/>
        </w:rPr>
        <w:t xml:space="preserve"> jen</w:t>
      </w:r>
      <w:r w:rsidR="00206F66" w:rsidRPr="00F74C0E">
        <w:rPr>
          <w:rFonts w:cs="Calibri"/>
          <w:b/>
        </w:rPr>
        <w:t xml:space="preserve"> z</w:t>
      </w:r>
      <w:r w:rsidR="002D454E">
        <w:rPr>
          <w:rFonts w:cs="Calibri"/>
          <w:b/>
        </w:rPr>
        <w:t xml:space="preserve"> </w:t>
      </w:r>
      <w:r w:rsidR="00206F66" w:rsidRPr="00F74C0E">
        <w:rPr>
          <w:rFonts w:cs="Calibri"/>
          <w:b/>
        </w:rPr>
        <w:t>části.</w:t>
      </w:r>
      <w:r w:rsidR="002F660E" w:rsidRPr="00F74C0E">
        <w:rPr>
          <w:rFonts w:cs="Calibri"/>
          <w:b/>
        </w:rPr>
        <w:t xml:space="preserve"> Jde o opatření související s nedostatky v závěrečném účtu</w:t>
      </w:r>
      <w:r w:rsidR="002F660E" w:rsidRPr="00F74C0E">
        <w:rPr>
          <w:b/>
          <w:lang w:eastAsia="cs-CZ"/>
        </w:rPr>
        <w:t xml:space="preserve"> </w:t>
      </w:r>
      <w:r w:rsidR="00D47029">
        <w:rPr>
          <w:b/>
          <w:lang w:eastAsia="cs-CZ"/>
        </w:rPr>
        <w:t>a týká</w:t>
      </w:r>
      <w:r w:rsidR="002F660E" w:rsidRPr="00F74C0E">
        <w:rPr>
          <w:b/>
          <w:lang w:eastAsia="cs-CZ"/>
        </w:rPr>
        <w:t xml:space="preserve"> se neuvedení veškerých kontrol provedených </w:t>
      </w:r>
      <w:r w:rsidR="00F063BC" w:rsidRPr="00F74C0E">
        <w:rPr>
          <w:b/>
          <w:lang w:eastAsia="cs-CZ"/>
        </w:rPr>
        <w:t>na MZ</w:t>
      </w:r>
      <w:r w:rsidR="0087682F">
        <w:rPr>
          <w:b/>
          <w:lang w:eastAsia="cs-CZ"/>
        </w:rPr>
        <w:t>d</w:t>
      </w:r>
      <w:r w:rsidR="002F660E" w:rsidRPr="00F74C0E">
        <w:rPr>
          <w:b/>
          <w:lang w:eastAsia="cs-CZ"/>
        </w:rPr>
        <w:t xml:space="preserve"> v hodnoceném roce</w:t>
      </w:r>
      <w:r w:rsidR="0012623F">
        <w:rPr>
          <w:b/>
          <w:lang w:eastAsia="cs-CZ"/>
        </w:rPr>
        <w:t xml:space="preserve"> </w:t>
      </w:r>
      <w:r w:rsidR="00D47029">
        <w:rPr>
          <w:b/>
          <w:lang w:eastAsia="cs-CZ"/>
        </w:rPr>
        <w:t xml:space="preserve">a neuvedení </w:t>
      </w:r>
      <w:r w:rsidR="002F660E" w:rsidRPr="00F74C0E">
        <w:rPr>
          <w:b/>
          <w:lang w:eastAsia="cs-CZ"/>
        </w:rPr>
        <w:t>informac</w:t>
      </w:r>
      <w:r w:rsidR="0012623F" w:rsidRPr="00F74C0E">
        <w:rPr>
          <w:b/>
          <w:lang w:eastAsia="cs-CZ"/>
        </w:rPr>
        <w:t>í</w:t>
      </w:r>
      <w:r w:rsidR="002F660E" w:rsidRPr="00F74C0E">
        <w:rPr>
          <w:b/>
          <w:lang w:eastAsia="cs-CZ"/>
        </w:rPr>
        <w:t xml:space="preserve"> o</w:t>
      </w:r>
      <w:r w:rsidR="00D47029">
        <w:rPr>
          <w:b/>
          <w:lang w:eastAsia="cs-CZ"/>
        </w:rPr>
        <w:t xml:space="preserve"> </w:t>
      </w:r>
      <w:r w:rsidR="002F660E" w:rsidRPr="00F74C0E">
        <w:rPr>
          <w:b/>
          <w:lang w:eastAsia="cs-CZ"/>
        </w:rPr>
        <w:t>plnění opatření přijatých k odstranění zjištěných závad</w:t>
      </w:r>
      <w:r w:rsidR="00F063BC" w:rsidRPr="00FB7F56">
        <w:rPr>
          <w:b/>
          <w:lang w:eastAsia="cs-CZ"/>
        </w:rPr>
        <w:t>.</w:t>
      </w:r>
    </w:p>
    <w:p w14:paraId="1F62BC19" w14:textId="48457C81" w:rsidR="003860A2" w:rsidRPr="00902397" w:rsidRDefault="003860A2" w:rsidP="00CA1396">
      <w:pPr>
        <w:spacing w:after="0"/>
        <w:jc w:val="both"/>
        <w:rPr>
          <w:lang w:eastAsia="cs-CZ"/>
        </w:rPr>
      </w:pPr>
    </w:p>
    <w:p w14:paraId="1B1AA2F1" w14:textId="057BD8F8" w:rsidR="00851238" w:rsidRPr="00DE6626" w:rsidRDefault="00FB4F9E" w:rsidP="006C1B1F">
      <w:pPr>
        <w:pStyle w:val="Nadpis2"/>
        <w:numPr>
          <w:ilvl w:val="0"/>
          <w:numId w:val="0"/>
        </w:numPr>
        <w:spacing w:after="0" w:line="240" w:lineRule="auto"/>
        <w:ind w:left="255" w:hanging="255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5</w:t>
      </w:r>
      <w:r w:rsidR="009273FF" w:rsidRPr="00DE6626">
        <w:rPr>
          <w:rFonts w:ascii="Calibri" w:hAnsi="Calibri" w:cs="Calibri"/>
          <w:lang w:eastAsia="cs-CZ"/>
        </w:rPr>
        <w:t xml:space="preserve">. </w:t>
      </w:r>
      <w:r w:rsidR="00DE4C55">
        <w:rPr>
          <w:rFonts w:ascii="Calibri" w:hAnsi="Calibri" w:cs="Calibri"/>
          <w:lang w:eastAsia="cs-CZ"/>
        </w:rPr>
        <w:tab/>
      </w:r>
      <w:r w:rsidR="00330263" w:rsidRPr="00DE6626">
        <w:rPr>
          <w:rFonts w:ascii="Calibri" w:hAnsi="Calibri" w:cs="Calibri"/>
          <w:lang w:eastAsia="cs-CZ"/>
        </w:rPr>
        <w:t>Z</w:t>
      </w:r>
      <w:r w:rsidR="001344EE" w:rsidRPr="00DE6626">
        <w:rPr>
          <w:rFonts w:ascii="Calibri" w:hAnsi="Calibri" w:cs="Calibri"/>
          <w:lang w:eastAsia="cs-CZ"/>
        </w:rPr>
        <w:t>ávěrečn</w:t>
      </w:r>
      <w:r w:rsidR="00330263" w:rsidRPr="00DE6626">
        <w:rPr>
          <w:rFonts w:ascii="Calibri" w:hAnsi="Calibri" w:cs="Calibri"/>
          <w:lang w:eastAsia="cs-CZ"/>
        </w:rPr>
        <w:t>ý</w:t>
      </w:r>
      <w:r w:rsidR="001344EE" w:rsidRPr="00DE6626">
        <w:rPr>
          <w:rFonts w:ascii="Calibri" w:hAnsi="Calibri" w:cs="Calibri"/>
          <w:lang w:eastAsia="cs-CZ"/>
        </w:rPr>
        <w:t xml:space="preserve"> úč</w:t>
      </w:r>
      <w:r w:rsidR="00330263" w:rsidRPr="00DE6626">
        <w:rPr>
          <w:rFonts w:ascii="Calibri" w:hAnsi="Calibri" w:cs="Calibri"/>
          <w:lang w:eastAsia="cs-CZ"/>
        </w:rPr>
        <w:t>e</w:t>
      </w:r>
      <w:r w:rsidR="001344EE" w:rsidRPr="00DE6626">
        <w:rPr>
          <w:rFonts w:ascii="Calibri" w:hAnsi="Calibri" w:cs="Calibri"/>
          <w:lang w:eastAsia="cs-CZ"/>
        </w:rPr>
        <w:t xml:space="preserve">t kapitoly </w:t>
      </w:r>
      <w:r w:rsidR="00DE6626" w:rsidRPr="00DE6626">
        <w:rPr>
          <w:rFonts w:ascii="Calibri" w:hAnsi="Calibri" w:cs="Calibri"/>
          <w:lang w:eastAsia="cs-CZ"/>
        </w:rPr>
        <w:t>335 MZ</w:t>
      </w:r>
      <w:r w:rsidR="0087682F">
        <w:rPr>
          <w:rFonts w:ascii="Calibri" w:hAnsi="Calibri" w:cs="Calibri"/>
          <w:lang w:eastAsia="cs-CZ"/>
        </w:rPr>
        <w:t>d</w:t>
      </w:r>
      <w:r w:rsidR="00851238" w:rsidRPr="00DE6626">
        <w:rPr>
          <w:rFonts w:ascii="Calibri" w:hAnsi="Calibri" w:cs="Calibri"/>
          <w:lang w:eastAsia="cs-CZ"/>
        </w:rPr>
        <w:t xml:space="preserve"> </w:t>
      </w:r>
      <w:r w:rsidR="009416E0" w:rsidRPr="00DE6626">
        <w:rPr>
          <w:rFonts w:ascii="Calibri" w:hAnsi="Calibri" w:cs="Calibri"/>
          <w:lang w:eastAsia="cs-CZ"/>
        </w:rPr>
        <w:t xml:space="preserve">a </w:t>
      </w:r>
      <w:r w:rsidR="00330263" w:rsidRPr="00DE6626">
        <w:rPr>
          <w:rFonts w:ascii="Calibri" w:hAnsi="Calibri" w:cs="Calibri"/>
          <w:lang w:eastAsia="cs-CZ"/>
        </w:rPr>
        <w:t>kontrola</w:t>
      </w:r>
      <w:r w:rsidR="0057256E" w:rsidRPr="00DE6626">
        <w:rPr>
          <w:rFonts w:ascii="Calibri" w:hAnsi="Calibri" w:cs="Calibri"/>
          <w:lang w:eastAsia="cs-CZ"/>
        </w:rPr>
        <w:t xml:space="preserve"> soulad</w:t>
      </w:r>
      <w:r w:rsidR="00330263" w:rsidRPr="00DE6626">
        <w:rPr>
          <w:rFonts w:ascii="Calibri" w:hAnsi="Calibri" w:cs="Calibri"/>
          <w:lang w:eastAsia="cs-CZ"/>
        </w:rPr>
        <w:t>u</w:t>
      </w:r>
      <w:r w:rsidR="0057256E" w:rsidRPr="00DE6626">
        <w:rPr>
          <w:rFonts w:ascii="Calibri" w:hAnsi="Calibri" w:cs="Calibri"/>
          <w:lang w:eastAsia="cs-CZ"/>
        </w:rPr>
        <w:t xml:space="preserve"> </w:t>
      </w:r>
      <w:r w:rsidR="00373721" w:rsidRPr="00DE6626">
        <w:rPr>
          <w:rFonts w:ascii="Calibri" w:hAnsi="Calibri" w:cs="Calibri"/>
          <w:lang w:eastAsia="cs-CZ"/>
        </w:rPr>
        <w:t>s </w:t>
      </w:r>
      <w:r w:rsidR="0057256E" w:rsidRPr="00DE6626">
        <w:rPr>
          <w:rFonts w:ascii="Calibri" w:hAnsi="Calibri" w:cs="Calibri"/>
          <w:lang w:eastAsia="cs-CZ"/>
        </w:rPr>
        <w:t>vyhlášk</w:t>
      </w:r>
      <w:r w:rsidR="00373721" w:rsidRPr="00DE6626">
        <w:rPr>
          <w:rFonts w:ascii="Calibri" w:hAnsi="Calibri" w:cs="Calibri"/>
          <w:lang w:eastAsia="cs-CZ"/>
        </w:rPr>
        <w:t>o</w:t>
      </w:r>
      <w:r w:rsidR="0057256E" w:rsidRPr="00DE6626">
        <w:rPr>
          <w:rFonts w:ascii="Calibri" w:hAnsi="Calibri" w:cs="Calibri"/>
          <w:lang w:eastAsia="cs-CZ"/>
        </w:rPr>
        <w:t>u č. 419/2001 Sb.</w:t>
      </w:r>
      <w:r w:rsidR="00330263" w:rsidRPr="00DE6626">
        <w:rPr>
          <w:rFonts w:ascii="Calibri" w:hAnsi="Calibri" w:cs="Calibri"/>
          <w:lang w:eastAsia="cs-CZ"/>
        </w:rPr>
        <w:t>, finanční</w:t>
      </w:r>
      <w:r w:rsidR="00373721" w:rsidRPr="00DE6626">
        <w:rPr>
          <w:rFonts w:ascii="Calibri" w:hAnsi="Calibri" w:cs="Calibri"/>
          <w:lang w:eastAsia="cs-CZ"/>
        </w:rPr>
        <w:t>m</w:t>
      </w:r>
      <w:r w:rsidR="00330263" w:rsidRPr="00DE6626">
        <w:rPr>
          <w:rFonts w:ascii="Calibri" w:hAnsi="Calibri" w:cs="Calibri"/>
          <w:lang w:eastAsia="cs-CZ"/>
        </w:rPr>
        <w:t xml:space="preserve"> výkaz</w:t>
      </w:r>
      <w:r w:rsidR="00373721" w:rsidRPr="00DE6626">
        <w:rPr>
          <w:rFonts w:ascii="Calibri" w:hAnsi="Calibri" w:cs="Calibri"/>
          <w:lang w:eastAsia="cs-CZ"/>
        </w:rPr>
        <w:t>em</w:t>
      </w:r>
      <w:r w:rsidR="00330263" w:rsidRPr="00DE6626">
        <w:rPr>
          <w:rFonts w:ascii="Calibri" w:hAnsi="Calibri" w:cs="Calibri"/>
          <w:lang w:eastAsia="cs-CZ"/>
        </w:rPr>
        <w:t>, účetnictví</w:t>
      </w:r>
      <w:r w:rsidR="00373721" w:rsidRPr="00DE6626">
        <w:rPr>
          <w:rFonts w:ascii="Calibri" w:hAnsi="Calibri" w:cs="Calibri"/>
          <w:lang w:eastAsia="cs-CZ"/>
        </w:rPr>
        <w:t>m</w:t>
      </w:r>
      <w:r w:rsidR="00330263" w:rsidRPr="00DE6626">
        <w:rPr>
          <w:rFonts w:ascii="Calibri" w:hAnsi="Calibri" w:cs="Calibri"/>
          <w:lang w:eastAsia="cs-CZ"/>
        </w:rPr>
        <w:t xml:space="preserve"> a další</w:t>
      </w:r>
      <w:r w:rsidR="00373721" w:rsidRPr="00DE6626">
        <w:rPr>
          <w:rFonts w:ascii="Calibri" w:hAnsi="Calibri" w:cs="Calibri"/>
          <w:lang w:eastAsia="cs-CZ"/>
        </w:rPr>
        <w:t>mi</w:t>
      </w:r>
      <w:r w:rsidR="00330263" w:rsidRPr="00DE6626">
        <w:rPr>
          <w:rFonts w:ascii="Calibri" w:hAnsi="Calibri" w:cs="Calibri"/>
          <w:lang w:eastAsia="cs-CZ"/>
        </w:rPr>
        <w:t xml:space="preserve"> podklady</w:t>
      </w:r>
    </w:p>
    <w:p w14:paraId="454AF52E" w14:textId="77777777" w:rsidR="009273FF" w:rsidRPr="00C922C3" w:rsidRDefault="009273FF" w:rsidP="008149BA">
      <w:pPr>
        <w:spacing w:after="0"/>
        <w:jc w:val="both"/>
        <w:rPr>
          <w:rFonts w:cs="Calibri"/>
        </w:rPr>
      </w:pPr>
    </w:p>
    <w:p w14:paraId="4044BF37" w14:textId="56BE6595" w:rsidR="00744F09" w:rsidRPr="00744F09" w:rsidRDefault="005529DF" w:rsidP="008149BA">
      <w:pPr>
        <w:spacing w:after="0"/>
        <w:jc w:val="both"/>
        <w:rPr>
          <w:rFonts w:cs="Calibri"/>
        </w:rPr>
      </w:pPr>
      <w:r w:rsidRPr="007C5D7D">
        <w:rPr>
          <w:rFonts w:cs="Calibri"/>
          <w:b/>
        </w:rPr>
        <w:t xml:space="preserve">Závěrečný účet kapitoly </w:t>
      </w:r>
      <w:r w:rsidR="00902397" w:rsidRPr="007C5D7D">
        <w:rPr>
          <w:rFonts w:cs="Calibri"/>
          <w:b/>
        </w:rPr>
        <w:t>335 MZ</w:t>
      </w:r>
      <w:r w:rsidR="0087682F">
        <w:rPr>
          <w:rFonts w:cs="Calibri"/>
          <w:b/>
        </w:rPr>
        <w:t>d</w:t>
      </w:r>
      <w:r w:rsidRPr="007C5D7D">
        <w:rPr>
          <w:rFonts w:cs="Calibri"/>
          <w:b/>
        </w:rPr>
        <w:t xml:space="preserve"> za rok 2017</w:t>
      </w:r>
      <w:r w:rsidR="007C5D7D">
        <w:rPr>
          <w:rFonts w:cs="Calibri"/>
          <w:b/>
        </w:rPr>
        <w:t xml:space="preserve"> v rozporu s vyhláškou č. 419/2001 Sb.</w:t>
      </w:r>
      <w:r w:rsidRPr="007C5D7D">
        <w:rPr>
          <w:rFonts w:cs="Calibri"/>
          <w:b/>
        </w:rPr>
        <w:t xml:space="preserve"> </w:t>
      </w:r>
      <w:r w:rsidR="00744F09" w:rsidRPr="007C5D7D">
        <w:rPr>
          <w:rFonts w:cs="Calibri"/>
          <w:b/>
        </w:rPr>
        <w:t>neobsahoval</w:t>
      </w:r>
      <w:r w:rsidR="00744F09" w:rsidRPr="00FB7F56">
        <w:rPr>
          <w:rFonts w:cs="Calibri"/>
          <w:b/>
        </w:rPr>
        <w:t>:</w:t>
      </w:r>
    </w:p>
    <w:p w14:paraId="2B0E1AB9" w14:textId="7E94B577" w:rsidR="00744F09" w:rsidRPr="00744F09" w:rsidRDefault="00744F09" w:rsidP="003C6DF6">
      <w:pPr>
        <w:spacing w:after="0"/>
        <w:ind w:left="284" w:hanging="284"/>
        <w:jc w:val="both"/>
        <w:rPr>
          <w:rFonts w:cs="Calibri"/>
        </w:rPr>
      </w:pPr>
      <w:r w:rsidRPr="00744F09">
        <w:rPr>
          <w:rFonts w:cs="Calibri"/>
        </w:rPr>
        <w:t xml:space="preserve">• </w:t>
      </w:r>
      <w:r w:rsidR="003C6DF6">
        <w:rPr>
          <w:rFonts w:cs="Calibri"/>
        </w:rPr>
        <w:tab/>
      </w:r>
      <w:r w:rsidRPr="00744F09">
        <w:rPr>
          <w:rFonts w:cs="Calibri"/>
        </w:rPr>
        <w:t>informaci o výsled</w:t>
      </w:r>
      <w:r w:rsidR="00DE4C55">
        <w:rPr>
          <w:rFonts w:cs="Calibri"/>
        </w:rPr>
        <w:t>cích</w:t>
      </w:r>
      <w:r w:rsidRPr="00744F09">
        <w:rPr>
          <w:rFonts w:cs="Calibri"/>
        </w:rPr>
        <w:t xml:space="preserve"> některých vnějších kontrol provedených na MZ</w:t>
      </w:r>
      <w:r w:rsidR="0087682F">
        <w:rPr>
          <w:rFonts w:cs="Calibri"/>
        </w:rPr>
        <w:t>d</w:t>
      </w:r>
      <w:r w:rsidR="0012623F">
        <w:rPr>
          <w:rFonts w:cs="Calibri"/>
        </w:rPr>
        <w:t xml:space="preserve"> (v roce 2017 </w:t>
      </w:r>
      <w:r w:rsidR="00DE4C55">
        <w:rPr>
          <w:rFonts w:cs="Calibri"/>
        </w:rPr>
        <w:t>šlo</w:t>
      </w:r>
      <w:r w:rsidR="00D56081">
        <w:rPr>
          <w:rFonts w:cs="Calibri"/>
        </w:rPr>
        <w:t xml:space="preserve"> </w:t>
      </w:r>
      <w:r w:rsidR="00E3419E">
        <w:rPr>
          <w:rFonts w:cs="Calibri"/>
        </w:rPr>
        <w:t>o</w:t>
      </w:r>
      <w:r w:rsidR="0087682F">
        <w:rPr>
          <w:rFonts w:cs="Calibri"/>
        </w:rPr>
        <w:t> </w:t>
      </w:r>
      <w:r w:rsidR="00A75D02">
        <w:rPr>
          <w:rFonts w:cs="Calibri"/>
        </w:rPr>
        <w:t>čtyři</w:t>
      </w:r>
      <w:r w:rsidR="004A0ADF">
        <w:rPr>
          <w:rFonts w:cs="Calibri"/>
        </w:rPr>
        <w:t xml:space="preserve"> </w:t>
      </w:r>
      <w:r w:rsidR="0012623F">
        <w:rPr>
          <w:rFonts w:cs="Calibri"/>
        </w:rPr>
        <w:t>externí kontroly</w:t>
      </w:r>
      <w:r w:rsidR="00A75D02">
        <w:rPr>
          <w:rFonts w:cs="Calibri"/>
        </w:rPr>
        <w:t>),</w:t>
      </w:r>
    </w:p>
    <w:p w14:paraId="009FF996" w14:textId="17192F10" w:rsidR="00744F09" w:rsidRPr="00744F09" w:rsidRDefault="00A449CE" w:rsidP="003C6DF6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•</w:t>
      </w:r>
      <w:r w:rsidR="00DE4C55">
        <w:rPr>
          <w:rFonts w:cs="Calibri"/>
        </w:rPr>
        <w:t xml:space="preserve"> </w:t>
      </w:r>
      <w:r w:rsidR="003C6DF6">
        <w:rPr>
          <w:rFonts w:cs="Calibri"/>
        </w:rPr>
        <w:tab/>
      </w:r>
      <w:r w:rsidR="00744F09" w:rsidRPr="00744F09">
        <w:rPr>
          <w:rFonts w:cs="Calibri"/>
        </w:rPr>
        <w:t xml:space="preserve">u některých kontrol informaci o přijatých opatřeních </w:t>
      </w:r>
      <w:r>
        <w:rPr>
          <w:rFonts w:cs="Calibri"/>
        </w:rPr>
        <w:t>k odstranění zjištěných závad a </w:t>
      </w:r>
      <w:r w:rsidR="00744F09" w:rsidRPr="00744F09">
        <w:rPr>
          <w:rFonts w:cs="Calibri"/>
        </w:rPr>
        <w:t xml:space="preserve">zhodnocení jejich </w:t>
      </w:r>
      <w:r w:rsidR="00744F09" w:rsidRPr="0012623F">
        <w:rPr>
          <w:rFonts w:cs="Calibri"/>
        </w:rPr>
        <w:t>plnění</w:t>
      </w:r>
      <w:r w:rsidR="0012623F" w:rsidRPr="004A0ADF">
        <w:rPr>
          <w:rFonts w:cs="Calibri"/>
        </w:rPr>
        <w:t xml:space="preserve"> (</w:t>
      </w:r>
      <w:r w:rsidR="00F71FC9">
        <w:rPr>
          <w:rFonts w:cs="Calibri"/>
        </w:rPr>
        <w:t xml:space="preserve">dle </w:t>
      </w:r>
      <w:r w:rsidR="00DE4C55">
        <w:rPr>
          <w:rFonts w:cs="Calibri"/>
        </w:rPr>
        <w:t>z</w:t>
      </w:r>
      <w:r w:rsidR="00A51B9B">
        <w:rPr>
          <w:rFonts w:cs="Calibri"/>
        </w:rPr>
        <w:t>ávěrečného účtu kapitoly 335 MZ</w:t>
      </w:r>
      <w:r w:rsidR="0087682F">
        <w:rPr>
          <w:rFonts w:cs="Calibri"/>
        </w:rPr>
        <w:t>d</w:t>
      </w:r>
      <w:r w:rsidR="00F71FC9">
        <w:rPr>
          <w:rFonts w:cs="Calibri"/>
        </w:rPr>
        <w:t xml:space="preserve"> </w:t>
      </w:r>
      <w:r w:rsidR="00DE4C55">
        <w:rPr>
          <w:rFonts w:cs="Calibri"/>
        </w:rPr>
        <w:t>šlo</w:t>
      </w:r>
      <w:r w:rsidR="00F71FC9">
        <w:rPr>
          <w:rFonts w:cs="Calibri"/>
        </w:rPr>
        <w:t xml:space="preserve"> v roce 2017 o</w:t>
      </w:r>
      <w:r w:rsidR="0087682F">
        <w:rPr>
          <w:rFonts w:cs="Calibri"/>
        </w:rPr>
        <w:t> </w:t>
      </w:r>
      <w:r w:rsidR="00D56081" w:rsidRPr="00655F71">
        <w:rPr>
          <w:rFonts w:cstheme="minorHAnsi"/>
        </w:rPr>
        <w:t>kontrol</w:t>
      </w:r>
      <w:r w:rsidR="00F71FC9">
        <w:rPr>
          <w:rFonts w:cstheme="minorHAnsi"/>
        </w:rPr>
        <w:t>u</w:t>
      </w:r>
      <w:r w:rsidR="00D56081" w:rsidRPr="00655F71">
        <w:rPr>
          <w:rFonts w:cstheme="minorHAnsi"/>
        </w:rPr>
        <w:t xml:space="preserve"> hospodaření Thomayerovy nemocni</w:t>
      </w:r>
      <w:r w:rsidR="00D56081">
        <w:rPr>
          <w:rFonts w:cstheme="minorHAnsi"/>
        </w:rPr>
        <w:t>ce</w:t>
      </w:r>
      <w:r w:rsidR="004D1C8E">
        <w:rPr>
          <w:rFonts w:cstheme="minorHAnsi"/>
        </w:rPr>
        <w:t>,</w:t>
      </w:r>
      <w:r w:rsidR="00D56081">
        <w:rPr>
          <w:rFonts w:cstheme="minorHAnsi"/>
        </w:rPr>
        <w:t xml:space="preserve"> kontrol</w:t>
      </w:r>
      <w:r w:rsidR="00F71FC9">
        <w:rPr>
          <w:rFonts w:cstheme="minorHAnsi"/>
        </w:rPr>
        <w:t>u</w:t>
      </w:r>
      <w:r w:rsidR="00D56081">
        <w:rPr>
          <w:rFonts w:cstheme="minorHAnsi"/>
        </w:rPr>
        <w:t xml:space="preserve"> hospodaření</w:t>
      </w:r>
      <w:r w:rsidR="00D56081" w:rsidRPr="00655F71">
        <w:rPr>
          <w:rFonts w:cstheme="minorHAnsi"/>
        </w:rPr>
        <w:t xml:space="preserve"> Psychiatrické nemocnice Havlíčkův Brod</w:t>
      </w:r>
      <w:r w:rsidR="00F71FC9">
        <w:rPr>
          <w:rFonts w:cstheme="minorHAnsi"/>
        </w:rPr>
        <w:t xml:space="preserve"> a</w:t>
      </w:r>
      <w:r w:rsidR="00D56081" w:rsidRPr="00655F71">
        <w:rPr>
          <w:rFonts w:cstheme="minorHAnsi"/>
        </w:rPr>
        <w:t xml:space="preserve"> kontrol</w:t>
      </w:r>
      <w:r w:rsidR="00F71FC9">
        <w:rPr>
          <w:rFonts w:cstheme="minorHAnsi"/>
        </w:rPr>
        <w:t>u</w:t>
      </w:r>
      <w:r w:rsidR="00D56081" w:rsidRPr="00655F71">
        <w:rPr>
          <w:rFonts w:cstheme="minorHAnsi"/>
        </w:rPr>
        <w:t xml:space="preserve"> hospodaření Státních léčebných lázní J</w:t>
      </w:r>
      <w:r w:rsidR="00F71FC9">
        <w:rPr>
          <w:rFonts w:cstheme="minorHAnsi"/>
        </w:rPr>
        <w:t>a</w:t>
      </w:r>
      <w:r w:rsidR="00D56081" w:rsidRPr="00655F71">
        <w:rPr>
          <w:rFonts w:cstheme="minorHAnsi"/>
        </w:rPr>
        <w:t>nské Láz</w:t>
      </w:r>
      <w:r w:rsidR="00D56081">
        <w:rPr>
          <w:rFonts w:cstheme="minorHAnsi"/>
        </w:rPr>
        <w:t>ně</w:t>
      </w:r>
      <w:r w:rsidR="004D1C8E">
        <w:rPr>
          <w:rFonts w:cstheme="minorHAnsi"/>
        </w:rPr>
        <w:t>,</w:t>
      </w:r>
      <w:r w:rsidR="00DE4C55">
        <w:rPr>
          <w:rFonts w:cstheme="minorHAnsi"/>
        </w:rPr>
        <w:t> </w:t>
      </w:r>
      <w:r w:rsidR="004D1C8E">
        <w:rPr>
          <w:rFonts w:cstheme="minorHAnsi"/>
        </w:rPr>
        <w:t>s.</w:t>
      </w:r>
      <w:r w:rsidR="00DE4C55">
        <w:rPr>
          <w:rFonts w:cstheme="minorHAnsi"/>
        </w:rPr>
        <w:t> </w:t>
      </w:r>
      <w:r w:rsidR="004D1C8E">
        <w:rPr>
          <w:rFonts w:cstheme="minorHAnsi"/>
        </w:rPr>
        <w:t>p.</w:t>
      </w:r>
      <w:r w:rsidR="00F71FC9">
        <w:rPr>
          <w:rFonts w:cstheme="minorHAnsi"/>
        </w:rPr>
        <w:t>)</w:t>
      </w:r>
      <w:r w:rsidR="00744F09" w:rsidRPr="004A0ADF">
        <w:rPr>
          <w:rFonts w:cs="Calibri"/>
        </w:rPr>
        <w:t>,</w:t>
      </w:r>
    </w:p>
    <w:p w14:paraId="7B9B3C1E" w14:textId="4D91A129" w:rsidR="00744F09" w:rsidRDefault="00744F09" w:rsidP="003C6DF6">
      <w:pPr>
        <w:spacing w:after="0"/>
        <w:ind w:left="284" w:hanging="284"/>
        <w:jc w:val="both"/>
        <w:rPr>
          <w:rFonts w:cs="Calibri"/>
        </w:rPr>
      </w:pPr>
      <w:r w:rsidRPr="00744F09">
        <w:rPr>
          <w:rFonts w:cs="Calibri"/>
        </w:rPr>
        <w:t>•</w:t>
      </w:r>
      <w:r w:rsidR="005F4CAF">
        <w:rPr>
          <w:rFonts w:cs="Calibri"/>
        </w:rPr>
        <w:t xml:space="preserve"> </w:t>
      </w:r>
      <w:r w:rsidR="003C6DF6">
        <w:rPr>
          <w:rFonts w:cs="Calibri"/>
        </w:rPr>
        <w:tab/>
      </w:r>
      <w:r w:rsidR="005F4CAF">
        <w:rPr>
          <w:rFonts w:cs="Calibri"/>
        </w:rPr>
        <w:t xml:space="preserve">u vnitřních kontrol </w:t>
      </w:r>
      <w:r w:rsidR="00FA2922">
        <w:rPr>
          <w:rFonts w:cs="Calibri"/>
        </w:rPr>
        <w:t>z</w:t>
      </w:r>
      <w:r w:rsidRPr="00744F09">
        <w:rPr>
          <w:rFonts w:cs="Calibri"/>
        </w:rPr>
        <w:t>hodnocení pl</w:t>
      </w:r>
      <w:r w:rsidRPr="00402F5B">
        <w:rPr>
          <w:rFonts w:cs="Calibri"/>
        </w:rPr>
        <w:t>nění</w:t>
      </w:r>
      <w:r w:rsidR="00FA2922">
        <w:rPr>
          <w:rFonts w:cs="Calibri"/>
        </w:rPr>
        <w:t xml:space="preserve"> opatření přijatých k odstranění zjištěných závad</w:t>
      </w:r>
      <w:r w:rsidR="0012623F" w:rsidRPr="00402F5B">
        <w:rPr>
          <w:rFonts w:cs="Calibri"/>
        </w:rPr>
        <w:t xml:space="preserve"> </w:t>
      </w:r>
      <w:r w:rsidR="0012623F" w:rsidRPr="004A0ADF">
        <w:rPr>
          <w:rFonts w:cs="Calibri"/>
        </w:rPr>
        <w:t>(</w:t>
      </w:r>
      <w:r w:rsidR="00F71FC9">
        <w:rPr>
          <w:rFonts w:cs="Calibri"/>
        </w:rPr>
        <w:t xml:space="preserve">dle </w:t>
      </w:r>
      <w:r w:rsidR="00DE4C55">
        <w:rPr>
          <w:rFonts w:cs="Calibri"/>
        </w:rPr>
        <w:t>z</w:t>
      </w:r>
      <w:r w:rsidR="00A51B9B">
        <w:rPr>
          <w:rFonts w:cs="Calibri"/>
        </w:rPr>
        <w:t>ávěrečného účtu kapitoly 335 MZ</w:t>
      </w:r>
      <w:r w:rsidR="0087682F">
        <w:rPr>
          <w:rFonts w:cs="Calibri"/>
        </w:rPr>
        <w:t>d</w:t>
      </w:r>
      <w:r w:rsidR="00F71FC9">
        <w:rPr>
          <w:rFonts w:cs="Calibri"/>
        </w:rPr>
        <w:t xml:space="preserve"> </w:t>
      </w:r>
      <w:r w:rsidR="00DE4C55">
        <w:rPr>
          <w:rFonts w:cs="Calibri"/>
        </w:rPr>
        <w:t>šlo</w:t>
      </w:r>
      <w:r w:rsidR="00F71FC9">
        <w:rPr>
          <w:rFonts w:cs="Calibri"/>
        </w:rPr>
        <w:t xml:space="preserve"> </w:t>
      </w:r>
      <w:r w:rsidR="00402F5B" w:rsidRPr="004A0ADF">
        <w:rPr>
          <w:rFonts w:cs="Calibri"/>
        </w:rPr>
        <w:t>v roce 2017 o audit nakládání s finančními prostředky přidělenými odboru</w:t>
      </w:r>
      <w:r w:rsidR="00F71FC9">
        <w:rPr>
          <w:rFonts w:cs="Calibri"/>
        </w:rPr>
        <w:t xml:space="preserve"> </w:t>
      </w:r>
      <w:r w:rsidR="00D47ACB">
        <w:rPr>
          <w:rFonts w:cs="Calibri"/>
        </w:rPr>
        <w:t>komunikace s veřejností</w:t>
      </w:r>
      <w:r w:rsidR="00D47ACB">
        <w:rPr>
          <w:rStyle w:val="Znakapoznpodarou"/>
          <w:rFonts w:cs="Calibri"/>
        </w:rPr>
        <w:footnoteReference w:id="22"/>
      </w:r>
      <w:r w:rsidR="00402F5B" w:rsidRPr="004A0ADF">
        <w:rPr>
          <w:rFonts w:cs="Calibri"/>
        </w:rPr>
        <w:t>, audit zahraničních služebních cest a audit čerpání dotací ze Švýcarských fondů</w:t>
      </w:r>
      <w:r w:rsidR="0012623F" w:rsidRPr="004A0ADF">
        <w:rPr>
          <w:rFonts w:cs="Calibri"/>
        </w:rPr>
        <w:t>)</w:t>
      </w:r>
      <w:r w:rsidRPr="004A0ADF">
        <w:rPr>
          <w:rFonts w:cs="Calibri"/>
        </w:rPr>
        <w:t>,</w:t>
      </w:r>
    </w:p>
    <w:p w14:paraId="5D5FFF0A" w14:textId="7B7D3EE5" w:rsidR="00744F09" w:rsidRDefault="00744F09" w:rsidP="003C6DF6">
      <w:pPr>
        <w:spacing w:after="0"/>
        <w:ind w:left="284" w:hanging="284"/>
        <w:jc w:val="both"/>
        <w:rPr>
          <w:rFonts w:cs="Arial"/>
        </w:rPr>
      </w:pPr>
      <w:r w:rsidRPr="00744F09">
        <w:rPr>
          <w:rFonts w:cs="Calibri"/>
        </w:rPr>
        <w:t xml:space="preserve">• </w:t>
      </w:r>
      <w:r w:rsidR="003C6DF6">
        <w:rPr>
          <w:rFonts w:cs="Calibri"/>
        </w:rPr>
        <w:tab/>
      </w:r>
      <w:r w:rsidRPr="00744F09">
        <w:rPr>
          <w:rFonts w:cs="Arial"/>
        </w:rPr>
        <w:t>srovnání výdajů hodnoceného roku s čerpáním v minulém roce</w:t>
      </w:r>
      <w:r w:rsidR="00DE4C55">
        <w:rPr>
          <w:rFonts w:cs="Arial"/>
        </w:rPr>
        <w:t>,</w:t>
      </w:r>
    </w:p>
    <w:p w14:paraId="65DA3B9B" w14:textId="1BADEE25" w:rsidR="00744F09" w:rsidRPr="00744F09" w:rsidRDefault="00744F09" w:rsidP="003C6DF6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•</w:t>
      </w:r>
      <w:r w:rsidRPr="00744F09">
        <w:rPr>
          <w:rFonts w:cs="Arial"/>
        </w:rPr>
        <w:t xml:space="preserve"> </w:t>
      </w:r>
      <w:r w:rsidR="003C6DF6">
        <w:rPr>
          <w:rFonts w:cs="Arial"/>
        </w:rPr>
        <w:tab/>
      </w:r>
      <w:r w:rsidRPr="00744F09">
        <w:rPr>
          <w:rFonts w:cs="Arial"/>
        </w:rPr>
        <w:t>komentář výdajů na platy a ostatní platby za provedenou práci/</w:t>
      </w:r>
      <w:r w:rsidR="001426DD">
        <w:rPr>
          <w:rFonts w:cs="Arial"/>
        </w:rPr>
        <w:t>o</w:t>
      </w:r>
      <w:r w:rsidRPr="00744F09">
        <w:rPr>
          <w:rFonts w:cs="Arial"/>
        </w:rPr>
        <w:t>statní osobní náklady v rámci společných programů ČR a EU</w:t>
      </w:r>
      <w:r w:rsidR="00DD5C1A">
        <w:rPr>
          <w:rFonts w:cs="Arial"/>
        </w:rPr>
        <w:t>.</w:t>
      </w:r>
      <w:r w:rsidRPr="00744F09">
        <w:rPr>
          <w:rFonts w:cs="Arial"/>
        </w:rPr>
        <w:t xml:space="preserve"> </w:t>
      </w:r>
    </w:p>
    <w:p w14:paraId="23B7D1E6" w14:textId="77777777" w:rsidR="00744F09" w:rsidRPr="00C922C3" w:rsidRDefault="00744F09" w:rsidP="008149BA">
      <w:pPr>
        <w:spacing w:after="0"/>
        <w:jc w:val="both"/>
        <w:rPr>
          <w:rFonts w:cs="Calibri"/>
        </w:rPr>
      </w:pPr>
    </w:p>
    <w:p w14:paraId="2B94BB0A" w14:textId="7D099857" w:rsidR="00F64160" w:rsidRPr="00B1171E" w:rsidRDefault="00E55D04" w:rsidP="008149BA">
      <w:pPr>
        <w:spacing w:after="0"/>
        <w:jc w:val="both"/>
        <w:rPr>
          <w:rFonts w:cs="Calibri"/>
          <w:b/>
        </w:rPr>
      </w:pPr>
      <w:r w:rsidRPr="00B1171E">
        <w:rPr>
          <w:rFonts w:cs="Calibri"/>
          <w:b/>
        </w:rPr>
        <w:t>Při kontrole správnosti a úplnosti údajů a informací v průvodní zprávě</w:t>
      </w:r>
      <w:r w:rsidR="00606AFB" w:rsidRPr="00B1171E">
        <w:rPr>
          <w:rFonts w:cs="Calibri"/>
          <w:b/>
        </w:rPr>
        <w:t xml:space="preserve"> </w:t>
      </w:r>
      <w:r w:rsidRPr="00B1171E">
        <w:rPr>
          <w:rFonts w:cs="Calibri"/>
          <w:b/>
        </w:rPr>
        <w:t>závěrečného účt</w:t>
      </w:r>
      <w:r w:rsidR="00744F09" w:rsidRPr="00B1171E">
        <w:rPr>
          <w:rFonts w:cs="Calibri"/>
          <w:b/>
        </w:rPr>
        <w:t xml:space="preserve">u, v číselných sestavách a v tabulkových přílohách závěrečného účtu </w:t>
      </w:r>
      <w:r w:rsidR="00330263" w:rsidRPr="00B1171E">
        <w:rPr>
          <w:rFonts w:cs="Calibri"/>
          <w:b/>
        </w:rPr>
        <w:t>srovnáním</w:t>
      </w:r>
      <w:r w:rsidRPr="00B1171E">
        <w:rPr>
          <w:rFonts w:cs="Calibri"/>
          <w:b/>
        </w:rPr>
        <w:t xml:space="preserve"> </w:t>
      </w:r>
      <w:r w:rsidR="00DE4C55">
        <w:rPr>
          <w:rFonts w:cs="Calibri"/>
          <w:b/>
        </w:rPr>
        <w:t>se</w:t>
      </w:r>
      <w:r w:rsidRPr="00B1171E">
        <w:rPr>
          <w:rFonts w:cs="Calibri"/>
          <w:b/>
        </w:rPr>
        <w:t xml:space="preserve"> skutečnost</w:t>
      </w:r>
      <w:r w:rsidR="00DE4C55">
        <w:rPr>
          <w:rFonts w:cs="Calibri"/>
          <w:b/>
        </w:rPr>
        <w:t>í</w:t>
      </w:r>
      <w:r w:rsidRPr="00B1171E">
        <w:rPr>
          <w:rFonts w:cs="Calibri"/>
          <w:b/>
        </w:rPr>
        <w:t xml:space="preserve"> byl</w:t>
      </w:r>
      <w:r w:rsidR="00744F09" w:rsidRPr="00B1171E">
        <w:rPr>
          <w:rFonts w:cs="Calibri"/>
          <w:b/>
        </w:rPr>
        <w:t>o</w:t>
      </w:r>
      <w:r w:rsidRPr="00B1171E">
        <w:rPr>
          <w:rFonts w:cs="Calibri"/>
          <w:b/>
        </w:rPr>
        <w:t xml:space="preserve"> zjištěn</w:t>
      </w:r>
      <w:r w:rsidR="00744F09" w:rsidRPr="00B1171E">
        <w:rPr>
          <w:rFonts w:cs="Calibri"/>
          <w:b/>
        </w:rPr>
        <w:t>o</w:t>
      </w:r>
      <w:r w:rsidR="00F53CB6" w:rsidRPr="00B1171E">
        <w:rPr>
          <w:rFonts w:cs="Calibri"/>
          <w:b/>
        </w:rPr>
        <w:t xml:space="preserve"> </w:t>
      </w:r>
      <w:r w:rsidR="00744F09" w:rsidRPr="00B1171E">
        <w:rPr>
          <w:rFonts w:cs="Calibri"/>
          <w:b/>
        </w:rPr>
        <w:t>množství nevýznamných chyb</w:t>
      </w:r>
      <w:r w:rsidR="00E3419E">
        <w:rPr>
          <w:rFonts w:cs="Calibri"/>
          <w:b/>
        </w:rPr>
        <w:t xml:space="preserve">, </w:t>
      </w:r>
      <w:r w:rsidR="00744F09" w:rsidRPr="00B1171E">
        <w:rPr>
          <w:rFonts w:cs="Calibri"/>
          <w:b/>
        </w:rPr>
        <w:t xml:space="preserve">které </w:t>
      </w:r>
      <w:r w:rsidR="005377D4">
        <w:rPr>
          <w:rFonts w:cs="Calibri"/>
          <w:b/>
        </w:rPr>
        <w:t xml:space="preserve">jednotlivě </w:t>
      </w:r>
      <w:r w:rsidR="00744F09" w:rsidRPr="00B1171E">
        <w:rPr>
          <w:rFonts w:cs="Calibri"/>
          <w:b/>
        </w:rPr>
        <w:t>ani v souhrnu neměly</w:t>
      </w:r>
      <w:r w:rsidR="005377D4">
        <w:rPr>
          <w:rFonts w:cs="Calibri"/>
          <w:b/>
        </w:rPr>
        <w:t xml:space="preserve"> podle názoru NKÚ</w:t>
      </w:r>
      <w:r w:rsidR="00744F09" w:rsidRPr="00B1171E">
        <w:rPr>
          <w:rFonts w:cs="Calibri"/>
          <w:b/>
        </w:rPr>
        <w:t xml:space="preserve"> významný vliv na vypovídací schopnost závěrečného účtu</w:t>
      </w:r>
      <w:r w:rsidR="00330263" w:rsidRPr="00B1171E">
        <w:rPr>
          <w:rFonts w:cs="Calibri"/>
          <w:b/>
        </w:rPr>
        <w:t>.</w:t>
      </w:r>
      <w:r w:rsidRPr="00B1171E">
        <w:rPr>
          <w:rFonts w:cs="Calibri"/>
          <w:b/>
        </w:rPr>
        <w:t xml:space="preserve"> </w:t>
      </w:r>
    </w:p>
    <w:p w14:paraId="3D1F7400" w14:textId="5AD65A40" w:rsidR="00236288" w:rsidRPr="00A7770B" w:rsidRDefault="00236288" w:rsidP="00663657">
      <w:pPr>
        <w:spacing w:after="0"/>
        <w:jc w:val="both"/>
        <w:rPr>
          <w:lang w:eastAsia="cs-CZ"/>
        </w:rPr>
      </w:pPr>
    </w:p>
    <w:p w14:paraId="1ACE20A5" w14:textId="7E722EB7" w:rsidR="00D207EA" w:rsidRPr="00A7770B" w:rsidRDefault="005377D4" w:rsidP="00A7770B">
      <w:pPr>
        <w:pStyle w:val="Nadpis2"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cs="Calibri"/>
          <w:b w:val="0"/>
          <w:lang w:eastAsia="cs-CZ"/>
        </w:rPr>
      </w:pPr>
      <w:r w:rsidRPr="00A7770B">
        <w:rPr>
          <w:rFonts w:ascii="Calibri" w:hAnsi="Calibri" w:cs="Calibri"/>
          <w:lang w:eastAsia="cs-CZ"/>
        </w:rPr>
        <w:t>6</w:t>
      </w:r>
      <w:r w:rsidR="00D207EA" w:rsidRPr="00A7770B">
        <w:rPr>
          <w:rFonts w:ascii="Calibri" w:hAnsi="Calibri" w:cs="Calibri"/>
          <w:lang w:eastAsia="cs-CZ"/>
        </w:rPr>
        <w:t>. Vnitřní kontrolní systém</w:t>
      </w:r>
    </w:p>
    <w:p w14:paraId="11ECFD27" w14:textId="0571A36B" w:rsidR="00054DA8" w:rsidRPr="00F74C0E" w:rsidRDefault="00054DA8" w:rsidP="00663657">
      <w:pPr>
        <w:spacing w:after="0"/>
        <w:jc w:val="both"/>
        <w:rPr>
          <w:rFonts w:cs="Calibri"/>
          <w:b/>
        </w:rPr>
      </w:pPr>
    </w:p>
    <w:p w14:paraId="7396E82E" w14:textId="6ED86100" w:rsidR="00054DA8" w:rsidRDefault="009F018F" w:rsidP="00663657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6.1 Rizika na úrovni nastavení VKS</w:t>
      </w:r>
    </w:p>
    <w:p w14:paraId="32E55DED" w14:textId="77777777" w:rsidR="009F018F" w:rsidRDefault="009F018F" w:rsidP="009F018F">
      <w:pPr>
        <w:spacing w:after="0"/>
        <w:jc w:val="both"/>
        <w:rPr>
          <w:rFonts w:cs="Calibri"/>
          <w:highlight w:val="yellow"/>
        </w:rPr>
      </w:pPr>
    </w:p>
    <w:p w14:paraId="36F37003" w14:textId="0F3BD3A7" w:rsidR="009F018F" w:rsidRPr="00F74C0E" w:rsidRDefault="009F018F" w:rsidP="009F018F">
      <w:pPr>
        <w:spacing w:after="0"/>
        <w:jc w:val="both"/>
        <w:rPr>
          <w:rFonts w:cs="Calibri"/>
        </w:rPr>
      </w:pPr>
      <w:r w:rsidRPr="00F74C0E">
        <w:rPr>
          <w:rFonts w:cs="Calibri"/>
        </w:rPr>
        <w:t>Ve vnitřních předpisech</w:t>
      </w:r>
      <w:r w:rsidR="00D124AD">
        <w:rPr>
          <w:rFonts w:cs="Calibri"/>
        </w:rPr>
        <w:t xml:space="preserve"> MZ</w:t>
      </w:r>
      <w:r w:rsidR="0087682F">
        <w:rPr>
          <w:rFonts w:cs="Calibri"/>
        </w:rPr>
        <w:t>d</w:t>
      </w:r>
      <w:r w:rsidR="00DE4C55" w:rsidRPr="00DE4C55">
        <w:rPr>
          <w:rFonts w:cs="Calibri"/>
        </w:rPr>
        <w:t xml:space="preserve"> </w:t>
      </w:r>
      <w:r w:rsidR="00DE4C55" w:rsidRPr="00F74C0E">
        <w:rPr>
          <w:rFonts w:cs="Calibri"/>
        </w:rPr>
        <w:t>bylo identifikováno</w:t>
      </w:r>
      <w:r w:rsidR="00FA2922">
        <w:rPr>
          <w:rFonts w:cs="Calibri"/>
        </w:rPr>
        <w:t xml:space="preserve"> </w:t>
      </w:r>
      <w:r w:rsidR="00DE4C55">
        <w:rPr>
          <w:rFonts w:cs="Calibri"/>
        </w:rPr>
        <w:t>(</w:t>
      </w:r>
      <w:r w:rsidR="007E58C7">
        <w:rPr>
          <w:rFonts w:cs="Calibri"/>
        </w:rPr>
        <w:t>na základě předložených podpisových oprávnění</w:t>
      </w:r>
      <w:r w:rsidR="00F371B6">
        <w:rPr>
          <w:rFonts w:cs="Calibri"/>
        </w:rPr>
        <w:t xml:space="preserve"> pro příkazce operace a zástupce správce rozpočtu</w:t>
      </w:r>
      <w:r w:rsidR="00DE4C55">
        <w:rPr>
          <w:rFonts w:cs="Calibri"/>
        </w:rPr>
        <w:t>)</w:t>
      </w:r>
      <w:r w:rsidRPr="00F74C0E">
        <w:rPr>
          <w:rFonts w:cs="Calibri"/>
        </w:rPr>
        <w:t xml:space="preserve"> </w:t>
      </w:r>
      <w:r w:rsidRPr="00F74C0E">
        <w:rPr>
          <w:rFonts w:cs="Calibri"/>
          <w:b/>
        </w:rPr>
        <w:t xml:space="preserve">riziko možného sloučení funkce </w:t>
      </w:r>
      <w:r w:rsidR="00FA2922">
        <w:rPr>
          <w:rFonts w:cs="Calibri"/>
          <w:b/>
        </w:rPr>
        <w:t xml:space="preserve">příkazce operace a </w:t>
      </w:r>
      <w:r w:rsidR="00DE4C55">
        <w:rPr>
          <w:rFonts w:cs="Calibri"/>
          <w:b/>
        </w:rPr>
        <w:t xml:space="preserve">funkce </w:t>
      </w:r>
      <w:r w:rsidRPr="00F74C0E">
        <w:rPr>
          <w:rFonts w:cs="Calibri"/>
          <w:b/>
        </w:rPr>
        <w:t>správce rozpočtu</w:t>
      </w:r>
      <w:r w:rsidRPr="00FB7F56">
        <w:rPr>
          <w:rFonts w:cs="Calibri"/>
          <w:b/>
        </w:rPr>
        <w:t>,</w:t>
      </w:r>
      <w:r w:rsidRPr="00F74C0E">
        <w:rPr>
          <w:rFonts w:cs="Calibri"/>
        </w:rPr>
        <w:t xml:space="preserve"> což je v rozporu s</w:t>
      </w:r>
      <w:r w:rsidR="00B64CF6">
        <w:rPr>
          <w:rFonts w:cs="Calibri"/>
        </w:rPr>
        <w:t xml:space="preserve"> ustanovením </w:t>
      </w:r>
      <w:r w:rsidRPr="00F74C0E">
        <w:rPr>
          <w:rFonts w:cs="Calibri"/>
        </w:rPr>
        <w:t>§</w:t>
      </w:r>
      <w:r w:rsidR="006143B2">
        <w:rPr>
          <w:rFonts w:cs="Calibri"/>
        </w:rPr>
        <w:t xml:space="preserve"> 3 odst. 4 a </w:t>
      </w:r>
      <w:r w:rsidR="0038445D">
        <w:rPr>
          <w:rFonts w:cs="Calibri"/>
        </w:rPr>
        <w:t xml:space="preserve">ustanovením </w:t>
      </w:r>
      <w:r w:rsidR="002D454E">
        <w:rPr>
          <w:rFonts w:cs="Calibri"/>
        </w:rPr>
        <w:t>§ 2</w:t>
      </w:r>
      <w:r w:rsidR="004C49C5">
        <w:rPr>
          <w:rFonts w:cs="Calibri"/>
        </w:rPr>
        <w:t>6</w:t>
      </w:r>
      <w:r w:rsidR="00B64CF6">
        <w:rPr>
          <w:rFonts w:cs="Calibri"/>
        </w:rPr>
        <w:t xml:space="preserve"> zákona </w:t>
      </w:r>
      <w:r w:rsidR="006B2001">
        <w:rPr>
          <w:rFonts w:cs="Calibri"/>
        </w:rPr>
        <w:t>o finanční kontrole.</w:t>
      </w:r>
      <w:r w:rsidRPr="00F74C0E">
        <w:rPr>
          <w:rFonts w:cs="Calibri"/>
        </w:rPr>
        <w:t xml:space="preserve"> V rámci kontroly nebylo zjištěno, že by při realizaci řídící kontroly</w:t>
      </w:r>
      <w:r>
        <w:rPr>
          <w:rFonts w:cs="Calibri"/>
        </w:rPr>
        <w:t xml:space="preserve"> MZ</w:t>
      </w:r>
      <w:r w:rsidR="0087682F">
        <w:rPr>
          <w:rFonts w:cs="Calibri"/>
        </w:rPr>
        <w:t>d</w:t>
      </w:r>
      <w:r>
        <w:rPr>
          <w:rFonts w:cs="Calibri"/>
        </w:rPr>
        <w:t xml:space="preserve"> </w:t>
      </w:r>
      <w:r w:rsidRPr="00F74C0E">
        <w:rPr>
          <w:rFonts w:cs="Calibri"/>
        </w:rPr>
        <w:t>k tomuto sloučení skutečně došlo.</w:t>
      </w:r>
    </w:p>
    <w:p w14:paraId="38BED44D" w14:textId="77777777" w:rsidR="009F018F" w:rsidRPr="009F018F" w:rsidRDefault="009F018F" w:rsidP="00663657">
      <w:pPr>
        <w:spacing w:after="0"/>
        <w:jc w:val="both"/>
        <w:rPr>
          <w:rFonts w:cs="Calibri"/>
          <w:b/>
        </w:rPr>
      </w:pPr>
    </w:p>
    <w:p w14:paraId="443E1CD7" w14:textId="7FED5F5D" w:rsidR="009F018F" w:rsidRDefault="009F018F" w:rsidP="00663657">
      <w:pPr>
        <w:spacing w:after="0"/>
        <w:jc w:val="both"/>
        <w:rPr>
          <w:rFonts w:cs="Calibri"/>
          <w:b/>
        </w:rPr>
      </w:pPr>
      <w:r w:rsidRPr="009F018F">
        <w:rPr>
          <w:rFonts w:cs="Calibri"/>
          <w:b/>
        </w:rPr>
        <w:t>6.2 Rizika v oblasti řídící kontroly</w:t>
      </w:r>
    </w:p>
    <w:p w14:paraId="3DE16300" w14:textId="77777777" w:rsidR="009F018F" w:rsidRDefault="009F018F" w:rsidP="00663657">
      <w:pPr>
        <w:spacing w:after="0"/>
        <w:jc w:val="both"/>
        <w:rPr>
          <w:rFonts w:cs="Calibri"/>
          <w:b/>
        </w:rPr>
      </w:pPr>
    </w:p>
    <w:p w14:paraId="5991CD92" w14:textId="3A560E1C" w:rsidR="009F018F" w:rsidRPr="00F74C0E" w:rsidRDefault="009F018F" w:rsidP="009F018F">
      <w:pPr>
        <w:spacing w:after="0"/>
        <w:jc w:val="both"/>
        <w:rPr>
          <w:rFonts w:cs="Calibri"/>
        </w:rPr>
      </w:pPr>
      <w:r w:rsidRPr="00F74C0E">
        <w:rPr>
          <w:rFonts w:cs="Calibri"/>
          <w:b/>
        </w:rPr>
        <w:t>Při kontrole bylo zjištěno neprovedení řádné předběžné</w:t>
      </w:r>
      <w:r w:rsidR="00005413">
        <w:rPr>
          <w:rFonts w:cs="Calibri"/>
          <w:b/>
        </w:rPr>
        <w:t xml:space="preserve"> řídící</w:t>
      </w:r>
      <w:r w:rsidRPr="00F74C0E">
        <w:rPr>
          <w:rFonts w:cs="Calibri"/>
          <w:b/>
        </w:rPr>
        <w:t xml:space="preserve"> kontroly při řízení veřejných výdajů po vzniku závazku</w:t>
      </w:r>
      <w:r w:rsidR="00E817E2">
        <w:rPr>
          <w:rFonts w:cs="Calibri"/>
          <w:b/>
        </w:rPr>
        <w:t>,</w:t>
      </w:r>
      <w:r w:rsidRPr="00F74C0E">
        <w:rPr>
          <w:rFonts w:cs="Calibri"/>
          <w:b/>
        </w:rPr>
        <w:t xml:space="preserve"> </w:t>
      </w:r>
      <w:r w:rsidR="00005413">
        <w:rPr>
          <w:rFonts w:cs="Calibri"/>
          <w:b/>
        </w:rPr>
        <w:t>a to u přijatých</w:t>
      </w:r>
      <w:r w:rsidRPr="00F74C0E">
        <w:rPr>
          <w:rFonts w:cs="Calibri"/>
          <w:b/>
        </w:rPr>
        <w:t xml:space="preserve"> právních služeb</w:t>
      </w:r>
      <w:r w:rsidRPr="00C4583A">
        <w:rPr>
          <w:rFonts w:cs="Calibri"/>
          <w:b/>
        </w:rPr>
        <w:t>,</w:t>
      </w:r>
      <w:r w:rsidRPr="00F74C0E">
        <w:rPr>
          <w:rFonts w:cs="Calibri"/>
        </w:rPr>
        <w:t xml:space="preserve"> neboť příkazce operace v rozporu s ustanovením § 14 odst. 2 vyhlášky č. 416/2004 Sb. v rámci schvalovacího postupu neprověřil </w:t>
      </w:r>
      <w:r w:rsidRPr="00F74C0E">
        <w:rPr>
          <w:rFonts w:cs="Calibri"/>
        </w:rPr>
        <w:lastRenderedPageBreak/>
        <w:t xml:space="preserve">výši a splatnost vzniklého závazku a odsouhlasil provedení výdaje za </w:t>
      </w:r>
      <w:r w:rsidR="00136F23">
        <w:rPr>
          <w:rFonts w:cs="Calibri"/>
        </w:rPr>
        <w:t>přijaté</w:t>
      </w:r>
      <w:r w:rsidRPr="00F74C0E">
        <w:rPr>
          <w:rFonts w:cs="Calibri"/>
        </w:rPr>
        <w:t xml:space="preserve"> právní služby, ke kterým </w:t>
      </w:r>
      <w:r w:rsidRPr="00136F23">
        <w:rPr>
          <w:rFonts w:cs="Calibri"/>
          <w:b/>
        </w:rPr>
        <w:t>neexistovala účinná smlouva</w:t>
      </w:r>
      <w:r w:rsidR="005F7AE1">
        <w:rPr>
          <w:rFonts w:cs="Calibri"/>
        </w:rPr>
        <w:t>,</w:t>
      </w:r>
      <w:r w:rsidR="00005413">
        <w:rPr>
          <w:rFonts w:cs="Calibri"/>
        </w:rPr>
        <w:t xml:space="preserve"> tzn. </w:t>
      </w:r>
      <w:r w:rsidRPr="00F74C0E">
        <w:rPr>
          <w:rFonts w:cs="Calibri"/>
        </w:rPr>
        <w:t>zveřejněná v registru smluv.</w:t>
      </w:r>
    </w:p>
    <w:p w14:paraId="75A9EF09" w14:textId="77777777" w:rsidR="009F018F" w:rsidRDefault="009F018F" w:rsidP="009F018F">
      <w:pPr>
        <w:spacing w:after="0"/>
        <w:jc w:val="both"/>
        <w:rPr>
          <w:rFonts w:cs="Calibri"/>
          <w:b/>
        </w:rPr>
      </w:pPr>
    </w:p>
    <w:p w14:paraId="704ABD27" w14:textId="2498EC35" w:rsidR="009F018F" w:rsidRDefault="009F018F" w:rsidP="009F018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Faktury za</w:t>
      </w:r>
      <w:r w:rsidR="00136F23">
        <w:rPr>
          <w:rFonts w:cs="Calibri"/>
          <w:b/>
        </w:rPr>
        <w:t xml:space="preserve"> přijaté</w:t>
      </w:r>
      <w:r>
        <w:rPr>
          <w:rFonts w:cs="Calibri"/>
          <w:b/>
        </w:rPr>
        <w:t xml:space="preserve"> právní služby, které byly </w:t>
      </w:r>
      <w:r w:rsidR="00005413">
        <w:rPr>
          <w:rFonts w:cs="Calibri"/>
          <w:b/>
        </w:rPr>
        <w:t xml:space="preserve">propláceny </w:t>
      </w:r>
      <w:r>
        <w:rPr>
          <w:rFonts w:cs="Calibri"/>
          <w:b/>
        </w:rPr>
        <w:t>na</w:t>
      </w:r>
      <w:r w:rsidR="00136F23">
        <w:rPr>
          <w:rFonts w:cs="Calibri"/>
          <w:b/>
        </w:rPr>
        <w:t xml:space="preserve"> základě</w:t>
      </w:r>
      <w:r>
        <w:rPr>
          <w:rFonts w:cs="Calibri"/>
          <w:b/>
        </w:rPr>
        <w:t xml:space="preserve"> účinn</w:t>
      </w:r>
      <w:r w:rsidR="00136F23">
        <w:rPr>
          <w:rFonts w:cs="Calibri"/>
          <w:b/>
        </w:rPr>
        <w:t>ých</w:t>
      </w:r>
      <w:r>
        <w:rPr>
          <w:rFonts w:cs="Calibri"/>
          <w:b/>
        </w:rPr>
        <w:t xml:space="preserve"> sml</w:t>
      </w:r>
      <w:r w:rsidR="00005413">
        <w:rPr>
          <w:rFonts w:cs="Calibri"/>
          <w:b/>
        </w:rPr>
        <w:t>u</w:t>
      </w:r>
      <w:r>
        <w:rPr>
          <w:rFonts w:cs="Calibri"/>
          <w:b/>
        </w:rPr>
        <w:t>v</w:t>
      </w:r>
      <w:r w:rsidR="00AB7EA8">
        <w:rPr>
          <w:rFonts w:cs="Calibri"/>
          <w:b/>
        </w:rPr>
        <w:t>,</w:t>
      </w:r>
      <w:r>
        <w:rPr>
          <w:rFonts w:cs="Calibri"/>
          <w:b/>
        </w:rPr>
        <w:t xml:space="preserve"> neobsahovaly vždy jednoznačný identifikátor, na jehož základě by </w:t>
      </w:r>
      <w:r w:rsidR="000F425C">
        <w:rPr>
          <w:rFonts w:cs="Calibri"/>
          <w:b/>
        </w:rPr>
        <w:t xml:space="preserve">je </w:t>
      </w:r>
      <w:r>
        <w:rPr>
          <w:rFonts w:cs="Calibri"/>
          <w:b/>
        </w:rPr>
        <w:t>bylo možné přiřadit</w:t>
      </w:r>
      <w:r w:rsidR="000F425C">
        <w:rPr>
          <w:rFonts w:cs="Calibri"/>
          <w:b/>
        </w:rPr>
        <w:t xml:space="preserve"> </w:t>
      </w:r>
      <w:r>
        <w:rPr>
          <w:rFonts w:cs="Calibri"/>
          <w:b/>
        </w:rPr>
        <w:t>k jednotlivým uzavřeným smlouvám.</w:t>
      </w:r>
    </w:p>
    <w:p w14:paraId="49D0FE1D" w14:textId="77777777" w:rsidR="009F018F" w:rsidRDefault="009F018F" w:rsidP="009F018F">
      <w:pPr>
        <w:spacing w:after="0"/>
        <w:jc w:val="both"/>
        <w:rPr>
          <w:rFonts w:cs="Calibri"/>
          <w:b/>
        </w:rPr>
      </w:pPr>
    </w:p>
    <w:p w14:paraId="0BEA4598" w14:textId="279137C8" w:rsidR="009F018F" w:rsidRDefault="00D91C15" w:rsidP="009F018F">
      <w:pPr>
        <w:spacing w:after="0"/>
        <w:jc w:val="both"/>
        <w:rPr>
          <w:rFonts w:cs="Calibri"/>
          <w:lang w:eastAsia="cs-CZ"/>
        </w:rPr>
      </w:pPr>
      <w:r>
        <w:rPr>
          <w:rFonts w:cs="Calibri"/>
          <w:b/>
        </w:rPr>
        <w:t>Některé smlouvy</w:t>
      </w:r>
      <w:r w:rsidR="00136F23">
        <w:rPr>
          <w:rFonts w:cs="Calibri"/>
          <w:b/>
        </w:rPr>
        <w:t xml:space="preserve">, </w:t>
      </w:r>
      <w:r>
        <w:rPr>
          <w:rFonts w:cs="Calibri"/>
          <w:b/>
        </w:rPr>
        <w:t>týkající se</w:t>
      </w:r>
      <w:r w:rsidR="00136F23">
        <w:rPr>
          <w:rFonts w:cs="Calibri"/>
          <w:b/>
        </w:rPr>
        <w:t xml:space="preserve"> poskytování právních služeb právní kancelář</w:t>
      </w:r>
      <w:r w:rsidR="00ED0DF2">
        <w:rPr>
          <w:rFonts w:cs="Calibri"/>
          <w:b/>
        </w:rPr>
        <w:t>í</w:t>
      </w:r>
      <w:r w:rsidR="00136F23">
        <w:rPr>
          <w:rFonts w:cs="Calibri"/>
          <w:b/>
        </w:rPr>
        <w:t xml:space="preserve"> pro MZ</w:t>
      </w:r>
      <w:r w:rsidR="0087682F">
        <w:rPr>
          <w:rFonts w:cs="Calibri"/>
          <w:b/>
        </w:rPr>
        <w:t>d</w:t>
      </w:r>
      <w:r w:rsidR="00136F23">
        <w:rPr>
          <w:rFonts w:cs="Calibri"/>
          <w:b/>
        </w:rPr>
        <w:t>, ministerstvo</w:t>
      </w:r>
      <w:r>
        <w:rPr>
          <w:rFonts w:cs="Calibri"/>
          <w:b/>
        </w:rPr>
        <w:t xml:space="preserve"> </w:t>
      </w:r>
      <w:r w:rsidR="009F018F" w:rsidRPr="00F74C0E">
        <w:rPr>
          <w:rFonts w:cs="Calibri"/>
          <w:b/>
        </w:rPr>
        <w:t xml:space="preserve">nepředložilo, neboť je nedohledalo. </w:t>
      </w:r>
      <w:r w:rsidR="009F018F" w:rsidRPr="00F74C0E">
        <w:rPr>
          <w:rFonts w:cs="Calibri"/>
        </w:rPr>
        <w:t xml:space="preserve">Tím </w:t>
      </w:r>
      <w:r w:rsidR="009F018F" w:rsidRPr="00F74C0E">
        <w:rPr>
          <w:rFonts w:cs="Calibri"/>
          <w:lang w:eastAsia="cs-CZ"/>
        </w:rPr>
        <w:t>MZ</w:t>
      </w:r>
      <w:r w:rsidR="0087682F">
        <w:rPr>
          <w:rFonts w:cs="Calibri"/>
          <w:lang w:eastAsia="cs-CZ"/>
        </w:rPr>
        <w:t>d</w:t>
      </w:r>
      <w:r w:rsidR="009F018F" w:rsidRPr="00F74C0E">
        <w:rPr>
          <w:rFonts w:cs="Calibri"/>
          <w:lang w:eastAsia="cs-CZ"/>
        </w:rPr>
        <w:t xml:space="preserve"> porušilo ustanovení § 68 odst. 1 zákona č. 499/2004 Sb., o archivnictví a spisové službě a o změně některých zákonů, </w:t>
      </w:r>
      <w:r>
        <w:rPr>
          <w:rFonts w:cs="Calibri"/>
          <w:lang w:eastAsia="cs-CZ"/>
        </w:rPr>
        <w:t xml:space="preserve">neboť </w:t>
      </w:r>
      <w:r w:rsidR="009F018F" w:rsidRPr="00F74C0E">
        <w:rPr>
          <w:rFonts w:cs="Calibri"/>
          <w:lang w:eastAsia="cs-CZ"/>
        </w:rPr>
        <w:t>v době trvání skartační lhůty</w:t>
      </w:r>
      <w:r>
        <w:rPr>
          <w:rFonts w:cs="Calibri"/>
          <w:lang w:eastAsia="cs-CZ"/>
        </w:rPr>
        <w:t xml:space="preserve"> (10 let)</w:t>
      </w:r>
      <w:r w:rsidR="00DE4C55">
        <w:rPr>
          <w:rFonts w:cs="Calibri"/>
          <w:lang w:eastAsia="cs-CZ"/>
        </w:rPr>
        <w:t>,</w:t>
      </w:r>
      <w:r w:rsidR="009F018F" w:rsidRPr="00F74C0E">
        <w:rPr>
          <w:rFonts w:cs="Calibri"/>
          <w:lang w:eastAsia="cs-CZ"/>
        </w:rPr>
        <w:t xml:space="preserve"> uvedené ve </w:t>
      </w:r>
      <w:r w:rsidR="00DE4C55">
        <w:rPr>
          <w:rFonts w:cs="Calibri"/>
          <w:lang w:eastAsia="cs-CZ"/>
        </w:rPr>
        <w:t>s</w:t>
      </w:r>
      <w:r w:rsidR="009F018F" w:rsidRPr="00F74C0E">
        <w:rPr>
          <w:rFonts w:cs="Calibri"/>
          <w:lang w:eastAsia="cs-CZ"/>
        </w:rPr>
        <w:t>pisovém a skartačním řádu</w:t>
      </w:r>
      <w:r>
        <w:rPr>
          <w:rFonts w:cs="Calibri"/>
          <w:lang w:eastAsia="cs-CZ"/>
        </w:rPr>
        <w:t>,</w:t>
      </w:r>
      <w:r w:rsidR="009F018F" w:rsidRPr="00F74C0E">
        <w:rPr>
          <w:rFonts w:cs="Calibri"/>
          <w:lang w:eastAsia="cs-CZ"/>
        </w:rPr>
        <w:t xml:space="preserve"> nebyly uloženy ve spisovně</w:t>
      </w:r>
      <w:r w:rsidR="00DE4C55">
        <w:rPr>
          <w:rFonts w:cs="Calibri"/>
          <w:lang w:eastAsia="cs-CZ"/>
        </w:rPr>
        <w:t>,</w:t>
      </w:r>
      <w:r w:rsidR="009F018F" w:rsidRPr="00F74C0E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 xml:space="preserve">přitom </w:t>
      </w:r>
      <w:r w:rsidR="00DE4C55" w:rsidRPr="00F74C0E">
        <w:rPr>
          <w:rFonts w:cs="Calibri"/>
          <w:lang w:eastAsia="cs-CZ"/>
        </w:rPr>
        <w:t>MZ</w:t>
      </w:r>
      <w:r w:rsidR="00DE4C55">
        <w:rPr>
          <w:rFonts w:cs="Calibri"/>
          <w:lang w:eastAsia="cs-CZ"/>
        </w:rPr>
        <w:t>d</w:t>
      </w:r>
      <w:r w:rsidR="00DE4C55" w:rsidRPr="00F74C0E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na jejich</w:t>
      </w:r>
      <w:r w:rsidR="009F018F" w:rsidRPr="00F74C0E">
        <w:rPr>
          <w:rFonts w:cs="Calibri"/>
          <w:lang w:eastAsia="cs-CZ"/>
        </w:rPr>
        <w:t xml:space="preserve"> základě hradilo </w:t>
      </w:r>
      <w:r w:rsidR="00136F23">
        <w:rPr>
          <w:rFonts w:cs="Calibri"/>
          <w:lang w:eastAsia="cs-CZ"/>
        </w:rPr>
        <w:t xml:space="preserve">fakturované </w:t>
      </w:r>
      <w:r w:rsidR="009F018F" w:rsidRPr="00F74C0E">
        <w:rPr>
          <w:rFonts w:cs="Calibri"/>
          <w:lang w:eastAsia="cs-CZ"/>
        </w:rPr>
        <w:t>částky</w:t>
      </w:r>
      <w:r>
        <w:rPr>
          <w:rFonts w:cs="Calibri"/>
          <w:lang w:eastAsia="cs-CZ"/>
        </w:rPr>
        <w:t xml:space="preserve"> </w:t>
      </w:r>
      <w:r w:rsidR="009F018F" w:rsidRPr="00F74C0E">
        <w:rPr>
          <w:rFonts w:cs="Calibri"/>
          <w:lang w:eastAsia="cs-CZ"/>
        </w:rPr>
        <w:t>v období před rokem 2017.</w:t>
      </w:r>
    </w:p>
    <w:p w14:paraId="566936E6" w14:textId="77777777" w:rsidR="00307589" w:rsidRDefault="00307589" w:rsidP="009F018F">
      <w:pPr>
        <w:spacing w:after="0"/>
        <w:jc w:val="both"/>
        <w:rPr>
          <w:rFonts w:cs="Calibri"/>
          <w:lang w:eastAsia="cs-CZ"/>
        </w:rPr>
      </w:pPr>
    </w:p>
    <w:p w14:paraId="2F6E3E5C" w14:textId="1F9CD568" w:rsidR="00307589" w:rsidRPr="00D20F31" w:rsidRDefault="00307589" w:rsidP="00307589">
      <w:pPr>
        <w:spacing w:after="0"/>
        <w:jc w:val="both"/>
        <w:rPr>
          <w:rFonts w:cs="Calibri"/>
        </w:rPr>
      </w:pPr>
      <w:r w:rsidRPr="00F74C0E">
        <w:rPr>
          <w:rFonts w:cs="Calibri"/>
          <w:b/>
        </w:rPr>
        <w:t>Interní audit MZ</w:t>
      </w:r>
      <w:r w:rsidR="0087682F">
        <w:rPr>
          <w:rFonts w:cs="Calibri"/>
          <w:b/>
        </w:rPr>
        <w:t>d</w:t>
      </w:r>
      <w:r w:rsidRPr="00F74C0E">
        <w:rPr>
          <w:rFonts w:cs="Calibri"/>
          <w:b/>
        </w:rPr>
        <w:t xml:space="preserve"> v rámci hodnocení obecné kvality VKS </w:t>
      </w:r>
      <w:r w:rsidR="00DE4C55">
        <w:rPr>
          <w:rFonts w:cs="Calibri"/>
          <w:b/>
        </w:rPr>
        <w:t>přitom</w:t>
      </w:r>
      <w:r w:rsidR="00DE4C55" w:rsidRPr="00F74C0E">
        <w:rPr>
          <w:rFonts w:cs="Calibri"/>
          <w:b/>
        </w:rPr>
        <w:t xml:space="preserve"> </w:t>
      </w:r>
      <w:r>
        <w:rPr>
          <w:rFonts w:cs="Calibri"/>
          <w:b/>
        </w:rPr>
        <w:t xml:space="preserve">v </w:t>
      </w:r>
      <w:r w:rsidRPr="00C756A6">
        <w:rPr>
          <w:rFonts w:cs="Calibri"/>
          <w:b/>
          <w:i/>
        </w:rPr>
        <w:t>Roční zprávě</w:t>
      </w:r>
      <w:r w:rsidR="0087682F" w:rsidRPr="00C756A6">
        <w:rPr>
          <w:rFonts w:cs="Calibri"/>
          <w:b/>
          <w:i/>
        </w:rPr>
        <w:t xml:space="preserve"> o činnosti za rok</w:t>
      </w:r>
      <w:r w:rsidR="00235D0E">
        <w:rPr>
          <w:rFonts w:cs="Calibri"/>
          <w:b/>
          <w:i/>
        </w:rPr>
        <w:t xml:space="preserve"> </w:t>
      </w:r>
      <w:r w:rsidRPr="00C756A6">
        <w:rPr>
          <w:rFonts w:cs="Calibri"/>
          <w:b/>
          <w:i/>
        </w:rPr>
        <w:t>2017</w:t>
      </w:r>
      <w:r>
        <w:rPr>
          <w:rFonts w:cs="Calibri"/>
          <w:b/>
        </w:rPr>
        <w:t xml:space="preserve"> </w:t>
      </w:r>
      <w:r w:rsidR="00DE4C55">
        <w:rPr>
          <w:rFonts w:cs="Calibri"/>
          <w:b/>
        </w:rPr>
        <w:t>uvedl</w:t>
      </w:r>
      <w:r w:rsidRPr="00F74C0E">
        <w:rPr>
          <w:rFonts w:cs="Calibri"/>
          <w:b/>
        </w:rPr>
        <w:t>, že nedostatky zjištěné interními audity nebyly takového charakteru, aby zásadním způsobem ovlivnily výkon finančního řízení a činnost MZ</w:t>
      </w:r>
      <w:r w:rsidR="0087682F">
        <w:rPr>
          <w:rFonts w:cs="Calibri"/>
          <w:b/>
        </w:rPr>
        <w:t>d</w:t>
      </w:r>
      <w:r w:rsidRPr="00F74C0E">
        <w:rPr>
          <w:rFonts w:cs="Calibri"/>
          <w:b/>
        </w:rPr>
        <w:t>.</w:t>
      </w:r>
    </w:p>
    <w:p w14:paraId="0E7BA351" w14:textId="1CDF8FEC" w:rsidR="009F018F" w:rsidRPr="00C922C3" w:rsidRDefault="009F018F" w:rsidP="009F018F">
      <w:pPr>
        <w:spacing w:after="0"/>
        <w:jc w:val="both"/>
      </w:pPr>
    </w:p>
    <w:p w14:paraId="1C41197B" w14:textId="5EB3C441" w:rsidR="009F018F" w:rsidRDefault="009F018F" w:rsidP="00663657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6.3 Rizika nedostatečné spolehlivosti některých kontrolních prvků v účetnictví</w:t>
      </w:r>
    </w:p>
    <w:p w14:paraId="797B3CB4" w14:textId="77777777" w:rsidR="009F018F" w:rsidRDefault="009F018F" w:rsidP="00663657">
      <w:pPr>
        <w:spacing w:after="0"/>
        <w:jc w:val="both"/>
        <w:rPr>
          <w:rFonts w:cs="Calibri"/>
          <w:b/>
        </w:rPr>
      </w:pPr>
    </w:p>
    <w:p w14:paraId="306F21D1" w14:textId="7343454B" w:rsidR="009F018F" w:rsidRDefault="009F018F" w:rsidP="009F018F">
      <w:pPr>
        <w:spacing w:after="0"/>
        <w:jc w:val="both"/>
        <w:rPr>
          <w:rFonts w:cs="Calibri"/>
        </w:rPr>
      </w:pPr>
      <w:r w:rsidRPr="004602B2">
        <w:rPr>
          <w:rFonts w:cs="Calibri"/>
          <w:b/>
        </w:rPr>
        <w:t>V důsledku neprovedení</w:t>
      </w:r>
      <w:r w:rsidRPr="00F74C0E">
        <w:rPr>
          <w:rFonts w:cs="Calibri"/>
        </w:rPr>
        <w:t xml:space="preserve"> </w:t>
      </w:r>
      <w:r w:rsidRPr="00F74C0E">
        <w:rPr>
          <w:rFonts w:cs="Calibri"/>
          <w:b/>
        </w:rPr>
        <w:t xml:space="preserve">inventury </w:t>
      </w:r>
      <w:r w:rsidRPr="00F74C0E">
        <w:rPr>
          <w:rFonts w:cs="Calibri"/>
        </w:rPr>
        <w:t xml:space="preserve">nemovitostí </w:t>
      </w:r>
      <w:r w:rsidR="00235D0E" w:rsidRPr="004602B2">
        <w:rPr>
          <w:rFonts w:cs="Calibri"/>
          <w:b/>
        </w:rPr>
        <w:t>v celém rozsahu</w:t>
      </w:r>
      <w:r w:rsidR="00235D0E">
        <w:rPr>
          <w:rFonts w:cs="Calibri"/>
        </w:rPr>
        <w:t xml:space="preserve"> (nebyl plně ověřen </w:t>
      </w:r>
      <w:r w:rsidR="004602B2">
        <w:rPr>
          <w:rFonts w:cs="Calibri"/>
        </w:rPr>
        <w:t>soulad</w:t>
      </w:r>
      <w:r w:rsidR="00235D0E">
        <w:rPr>
          <w:rFonts w:cs="Calibri"/>
        </w:rPr>
        <w:t xml:space="preserve"> údajů v účetnictví</w:t>
      </w:r>
      <w:r w:rsidR="004602B2">
        <w:rPr>
          <w:rFonts w:cs="Calibri"/>
        </w:rPr>
        <w:t xml:space="preserve"> se zápisy </w:t>
      </w:r>
      <w:r w:rsidRPr="00F74C0E">
        <w:rPr>
          <w:rFonts w:cs="Calibri"/>
        </w:rPr>
        <w:t>v katastru nemovitostí</w:t>
      </w:r>
      <w:r w:rsidR="00235D0E">
        <w:rPr>
          <w:rFonts w:cs="Calibri"/>
        </w:rPr>
        <w:t>)</w:t>
      </w:r>
      <w:r w:rsidRPr="00F74C0E">
        <w:rPr>
          <w:rFonts w:cs="Calibri"/>
        </w:rPr>
        <w:t xml:space="preserve"> </w:t>
      </w:r>
      <w:r w:rsidR="00B05F4F">
        <w:rPr>
          <w:rFonts w:cs="Calibri"/>
        </w:rPr>
        <w:t>n</w:t>
      </w:r>
      <w:r w:rsidRPr="00F74C0E">
        <w:rPr>
          <w:rFonts w:cs="Calibri"/>
        </w:rPr>
        <w:t>evykázalo</w:t>
      </w:r>
      <w:r w:rsidR="00B05F4F">
        <w:rPr>
          <w:rFonts w:cs="Calibri"/>
        </w:rPr>
        <w:t xml:space="preserve"> </w:t>
      </w:r>
      <w:r w:rsidR="00235D0E" w:rsidRPr="00F74C0E">
        <w:rPr>
          <w:rFonts w:cs="Calibri"/>
        </w:rPr>
        <w:t>MZ</w:t>
      </w:r>
      <w:r w:rsidR="00235D0E">
        <w:rPr>
          <w:rFonts w:cs="Calibri"/>
        </w:rPr>
        <w:t>d</w:t>
      </w:r>
      <w:r w:rsidR="00235D0E" w:rsidRPr="00F74C0E">
        <w:rPr>
          <w:rFonts w:cs="Calibri"/>
        </w:rPr>
        <w:t xml:space="preserve"> </w:t>
      </w:r>
      <w:r w:rsidR="00B05F4F">
        <w:rPr>
          <w:rFonts w:cs="Calibri"/>
        </w:rPr>
        <w:t>v ÚZ</w:t>
      </w:r>
      <w:r w:rsidR="007814C9" w:rsidRPr="00F74C0E">
        <w:rPr>
          <w:rFonts w:cs="Calibri"/>
        </w:rPr>
        <w:t xml:space="preserve"> veškerý</w:t>
      </w:r>
      <w:r w:rsidRPr="00F74C0E">
        <w:rPr>
          <w:rFonts w:cs="Calibri"/>
        </w:rPr>
        <w:t xml:space="preserve"> nemovitý</w:t>
      </w:r>
      <w:r w:rsidR="007814C9">
        <w:rPr>
          <w:rFonts w:cs="Calibri"/>
        </w:rPr>
        <w:t xml:space="preserve"> majetek</w:t>
      </w:r>
      <w:r w:rsidR="004602B2">
        <w:rPr>
          <w:rFonts w:cs="Calibri"/>
        </w:rPr>
        <w:t>, se kterým mělo příslušnost hospodařit</w:t>
      </w:r>
      <w:r w:rsidR="007814C9">
        <w:rPr>
          <w:rFonts w:cs="Calibri"/>
        </w:rPr>
        <w:t>. MZ</w:t>
      </w:r>
      <w:r w:rsidR="0087682F">
        <w:rPr>
          <w:rFonts w:cs="Calibri"/>
        </w:rPr>
        <w:t>d</w:t>
      </w:r>
      <w:r w:rsidR="007814C9">
        <w:rPr>
          <w:rFonts w:cs="Calibri"/>
        </w:rPr>
        <w:t xml:space="preserve"> </w:t>
      </w:r>
      <w:r w:rsidR="00B05F4F">
        <w:rPr>
          <w:rFonts w:cs="Calibri"/>
        </w:rPr>
        <w:t xml:space="preserve">v ÚZ </w:t>
      </w:r>
      <w:r w:rsidR="007814C9">
        <w:rPr>
          <w:rFonts w:cs="Calibri"/>
        </w:rPr>
        <w:t>nevykázalo</w:t>
      </w:r>
      <w:r w:rsidR="007814C9" w:rsidRPr="00F74C0E">
        <w:rPr>
          <w:rFonts w:cs="Calibri"/>
        </w:rPr>
        <w:t xml:space="preserve"> ani veškerý nehmotný majetek</w:t>
      </w:r>
      <w:r w:rsidR="007814C9">
        <w:rPr>
          <w:rFonts w:cs="Calibri"/>
        </w:rPr>
        <w:t>,</w:t>
      </w:r>
      <w:r w:rsidR="004602B2">
        <w:rPr>
          <w:rFonts w:cs="Calibri"/>
        </w:rPr>
        <w:t xml:space="preserve"> </w:t>
      </w:r>
      <w:r w:rsidR="00ED0DF2">
        <w:rPr>
          <w:rFonts w:cs="Calibri"/>
        </w:rPr>
        <w:t>se kterým mělo k datu ÚZ příslušnost hospodařit</w:t>
      </w:r>
      <w:r w:rsidR="007814C9">
        <w:rPr>
          <w:rFonts w:cs="Calibri"/>
        </w:rPr>
        <w:t xml:space="preserve">. </w:t>
      </w:r>
      <w:r w:rsidR="007814C9" w:rsidRPr="00F74C0E">
        <w:rPr>
          <w:rFonts w:cs="Calibri"/>
        </w:rPr>
        <w:t xml:space="preserve">V důsledku této skutečnosti </w:t>
      </w:r>
      <w:r w:rsidR="007814C9" w:rsidRPr="00F74C0E">
        <w:rPr>
          <w:rFonts w:cs="Calibri"/>
          <w:b/>
        </w:rPr>
        <w:t>MZ</w:t>
      </w:r>
      <w:r w:rsidR="0087682F">
        <w:rPr>
          <w:rFonts w:cs="Calibri"/>
          <w:b/>
        </w:rPr>
        <w:t>d</w:t>
      </w:r>
      <w:r w:rsidRPr="00F74C0E">
        <w:rPr>
          <w:rFonts w:cs="Calibri"/>
          <w:b/>
        </w:rPr>
        <w:t xml:space="preserve"> </w:t>
      </w:r>
      <w:r w:rsidR="00B05F4F" w:rsidRPr="00F74C0E">
        <w:rPr>
          <w:rFonts w:cs="Calibri"/>
          <w:b/>
        </w:rPr>
        <w:t>v roce 2017</w:t>
      </w:r>
      <w:r w:rsidR="00B05F4F">
        <w:rPr>
          <w:rFonts w:cs="Calibri"/>
        </w:rPr>
        <w:t xml:space="preserve"> </w:t>
      </w:r>
      <w:r w:rsidRPr="00F74C0E">
        <w:rPr>
          <w:rFonts w:cs="Calibri"/>
          <w:b/>
        </w:rPr>
        <w:t>nevedlo úplné účetnictví</w:t>
      </w:r>
      <w:r w:rsidRPr="00F74C0E">
        <w:rPr>
          <w:rFonts w:cs="Calibri"/>
        </w:rPr>
        <w:t xml:space="preserve"> ve smyslu </w:t>
      </w:r>
      <w:r w:rsidR="005F7AE1">
        <w:rPr>
          <w:rFonts w:cs="Calibri"/>
        </w:rPr>
        <w:t xml:space="preserve">ustanovení </w:t>
      </w:r>
      <w:r w:rsidRPr="00F74C0E">
        <w:rPr>
          <w:rFonts w:cs="Calibri"/>
        </w:rPr>
        <w:t>§ 8 odst. 3 zákona o účetnictví</w:t>
      </w:r>
      <w:r w:rsidR="007814C9" w:rsidRPr="00F74C0E">
        <w:rPr>
          <w:rFonts w:cs="Calibri"/>
        </w:rPr>
        <w:t xml:space="preserve"> (viz</w:t>
      </w:r>
      <w:r w:rsidR="003F26A8">
        <w:rPr>
          <w:rFonts w:cs="Calibri"/>
        </w:rPr>
        <w:t> </w:t>
      </w:r>
      <w:r w:rsidR="007814C9" w:rsidRPr="00F74C0E">
        <w:rPr>
          <w:rFonts w:cs="Calibri"/>
        </w:rPr>
        <w:t xml:space="preserve">bod </w:t>
      </w:r>
      <w:r w:rsidR="00F27594">
        <w:rPr>
          <w:rFonts w:cs="Calibri"/>
        </w:rPr>
        <w:t>IV.1</w:t>
      </w:r>
      <w:r w:rsidR="005453FA">
        <w:rPr>
          <w:rFonts w:cs="Calibri"/>
        </w:rPr>
        <w:t>.</w:t>
      </w:r>
      <w:r w:rsidR="00C05C5D">
        <w:rPr>
          <w:rFonts w:cs="Calibri"/>
        </w:rPr>
        <w:t>2</w:t>
      </w:r>
      <w:r w:rsidR="00F27594">
        <w:rPr>
          <w:rFonts w:cs="Calibri"/>
        </w:rPr>
        <w:t xml:space="preserve"> </w:t>
      </w:r>
      <w:r w:rsidR="007814C9" w:rsidRPr="00F74C0E">
        <w:rPr>
          <w:rFonts w:cs="Calibri"/>
        </w:rPr>
        <w:t>tohoto kontrolního závěru).</w:t>
      </w:r>
    </w:p>
    <w:p w14:paraId="4288D49A" w14:textId="77777777" w:rsidR="00C46423" w:rsidRDefault="00C46423" w:rsidP="009F018F">
      <w:pPr>
        <w:spacing w:after="0"/>
        <w:jc w:val="both"/>
        <w:rPr>
          <w:rFonts w:cs="Calibri"/>
        </w:rPr>
      </w:pPr>
    </w:p>
    <w:p w14:paraId="3301D88E" w14:textId="5DEFC1C5" w:rsidR="00C46423" w:rsidRDefault="00C46423" w:rsidP="009F018F">
      <w:pPr>
        <w:spacing w:after="0"/>
        <w:jc w:val="both"/>
        <w:rPr>
          <w:rFonts w:cs="Calibri"/>
        </w:rPr>
      </w:pPr>
      <w:r w:rsidRPr="00F74C0E">
        <w:rPr>
          <w:rFonts w:cs="Calibri"/>
          <w:b/>
        </w:rPr>
        <w:t xml:space="preserve">V důsledku </w:t>
      </w:r>
      <w:r w:rsidR="00B05F4F" w:rsidRPr="00F74C0E">
        <w:rPr>
          <w:rFonts w:cs="Calibri"/>
          <w:b/>
        </w:rPr>
        <w:t xml:space="preserve">neprokázání části zůstatku účtu </w:t>
      </w:r>
      <w:r w:rsidR="00B05F4F" w:rsidRPr="006F699D">
        <w:rPr>
          <w:rFonts w:cs="Calibri"/>
          <w:b/>
          <w:i/>
        </w:rPr>
        <w:t>materiál na skladě</w:t>
      </w:r>
      <w:r w:rsidR="00B05F4F" w:rsidRPr="00F74C0E">
        <w:rPr>
          <w:rFonts w:cs="Calibri"/>
          <w:b/>
        </w:rPr>
        <w:t xml:space="preserve"> a celkového neprovedení inventarizace v souladu se zákonem o účetnictví</w:t>
      </w:r>
      <w:r w:rsidR="00B05F4F">
        <w:rPr>
          <w:rFonts w:cs="Calibri"/>
        </w:rPr>
        <w:t xml:space="preserve"> </w:t>
      </w:r>
      <w:r w:rsidR="00B05F4F" w:rsidRPr="00F74C0E">
        <w:rPr>
          <w:rFonts w:cs="Calibri"/>
          <w:b/>
        </w:rPr>
        <w:t>nebylo účetnictví MZ</w:t>
      </w:r>
      <w:r w:rsidR="0087682F">
        <w:rPr>
          <w:rFonts w:cs="Calibri"/>
          <w:b/>
        </w:rPr>
        <w:t>d</w:t>
      </w:r>
      <w:r w:rsidR="00B05F4F" w:rsidRPr="00F74C0E">
        <w:rPr>
          <w:rFonts w:cs="Calibri"/>
          <w:b/>
        </w:rPr>
        <w:t xml:space="preserve"> v roce 2017 průkazné</w:t>
      </w:r>
      <w:r w:rsidR="00B05F4F">
        <w:rPr>
          <w:rFonts w:cs="Calibri"/>
        </w:rPr>
        <w:t xml:space="preserve"> ve smyslu </w:t>
      </w:r>
      <w:r w:rsidR="005F7AE1">
        <w:rPr>
          <w:rFonts w:cs="Calibri"/>
        </w:rPr>
        <w:t xml:space="preserve">ustanovení </w:t>
      </w:r>
      <w:r w:rsidR="00B05F4F">
        <w:rPr>
          <w:rFonts w:cs="Calibri"/>
        </w:rPr>
        <w:t>§ 8 odst. 4 zákona o účetnictví (viz bod</w:t>
      </w:r>
      <w:r w:rsidR="00F27594">
        <w:rPr>
          <w:rFonts w:cs="Calibri"/>
        </w:rPr>
        <w:t xml:space="preserve"> IV.1</w:t>
      </w:r>
      <w:r w:rsidR="005453FA">
        <w:rPr>
          <w:rFonts w:cs="Calibri"/>
        </w:rPr>
        <w:t>.</w:t>
      </w:r>
      <w:r w:rsidR="00C05C5D">
        <w:rPr>
          <w:rFonts w:cs="Calibri"/>
        </w:rPr>
        <w:t>2</w:t>
      </w:r>
      <w:r w:rsidR="00B05F4F">
        <w:rPr>
          <w:rFonts w:cs="Calibri"/>
        </w:rPr>
        <w:t xml:space="preserve"> tohoto kontrolního závěru).</w:t>
      </w:r>
    </w:p>
    <w:p w14:paraId="67132442" w14:textId="77777777" w:rsidR="0099070E" w:rsidRPr="00F74C0E" w:rsidRDefault="0099070E" w:rsidP="009F018F">
      <w:pPr>
        <w:spacing w:after="0"/>
        <w:jc w:val="both"/>
        <w:rPr>
          <w:rFonts w:cs="Calibri"/>
        </w:rPr>
      </w:pPr>
    </w:p>
    <w:p w14:paraId="2CC0EA7F" w14:textId="53B93BA9" w:rsidR="00054DA8" w:rsidRDefault="0099070E" w:rsidP="0099070E">
      <w:pPr>
        <w:spacing w:after="0"/>
        <w:jc w:val="both"/>
        <w:rPr>
          <w:rFonts w:cs="Calibri"/>
          <w:b/>
        </w:rPr>
      </w:pPr>
      <w:r w:rsidRPr="003B4841">
        <w:rPr>
          <w:rFonts w:cs="Calibri"/>
          <w:b/>
        </w:rPr>
        <w:t>Žádná zpráva interního auditu za rok 2017 neuvádí zjištění o skutečnostech, které by mohly způsobit neúplnost nebo neprůkaznost účetnictví</w:t>
      </w:r>
      <w:r>
        <w:rPr>
          <w:rFonts w:cs="Calibri"/>
          <w:b/>
        </w:rPr>
        <w:t>.</w:t>
      </w:r>
    </w:p>
    <w:p w14:paraId="496F0738" w14:textId="77777777" w:rsidR="0099070E" w:rsidRPr="0099070E" w:rsidRDefault="0099070E" w:rsidP="0099070E">
      <w:pPr>
        <w:spacing w:after="0"/>
        <w:jc w:val="both"/>
        <w:rPr>
          <w:rFonts w:cs="Calibri"/>
          <w:b/>
          <w:highlight w:val="yellow"/>
        </w:rPr>
      </w:pPr>
    </w:p>
    <w:p w14:paraId="5AAC685A" w14:textId="4DD8D401" w:rsidR="007814C9" w:rsidRDefault="007814C9" w:rsidP="007814C9">
      <w:pPr>
        <w:spacing w:after="0"/>
        <w:jc w:val="both"/>
        <w:rPr>
          <w:rFonts w:cs="Calibri"/>
        </w:rPr>
      </w:pPr>
      <w:r w:rsidRPr="008C6B5E">
        <w:rPr>
          <w:b/>
        </w:rPr>
        <w:t>Některé informace v</w:t>
      </w:r>
      <w:r w:rsidR="00B05F4F" w:rsidRPr="008C6B5E">
        <w:rPr>
          <w:b/>
        </w:rPr>
        <w:t> účetní závěrce MZ</w:t>
      </w:r>
      <w:r w:rsidR="0087682F">
        <w:rPr>
          <w:b/>
        </w:rPr>
        <w:t>d</w:t>
      </w:r>
      <w:r w:rsidR="00B05F4F" w:rsidRPr="008C6B5E">
        <w:rPr>
          <w:b/>
        </w:rPr>
        <w:t xml:space="preserve"> k 31. prosinci 2017</w:t>
      </w:r>
      <w:r w:rsidRPr="008C6B5E">
        <w:rPr>
          <w:b/>
        </w:rPr>
        <w:t xml:space="preserve"> nejsou</w:t>
      </w:r>
      <w:r w:rsidR="00AB7EA8" w:rsidRPr="008C6B5E">
        <w:rPr>
          <w:b/>
        </w:rPr>
        <w:t xml:space="preserve"> dle názoru NKÚ</w:t>
      </w:r>
      <w:r w:rsidRPr="008C6B5E">
        <w:rPr>
          <w:b/>
        </w:rPr>
        <w:t xml:space="preserve"> spolehlivé</w:t>
      </w:r>
      <w:r w:rsidRPr="00A7770B">
        <w:rPr>
          <w:b/>
        </w:rPr>
        <w:t>.</w:t>
      </w:r>
      <w:r w:rsidRPr="00F74C0E">
        <w:rPr>
          <w:rFonts w:cs="Calibri"/>
        </w:rPr>
        <w:t xml:space="preserve"> Kontrolou byly zjištěny nesprávnosti v ÚZ v celkové výši 3 203 mil. Kč, v některých případech s významným dopadem na ÚZ (na</w:t>
      </w:r>
      <w:r w:rsidR="009D68E4">
        <w:rPr>
          <w:rFonts w:cs="Calibri"/>
        </w:rPr>
        <w:t xml:space="preserve"> zůstatky účtů 911, 951 a 974 vykázané ve</w:t>
      </w:r>
      <w:r w:rsidRPr="00F74C0E">
        <w:rPr>
          <w:rFonts w:cs="Calibri"/>
        </w:rPr>
        <w:t xml:space="preserve"> výkaz</w:t>
      </w:r>
      <w:r w:rsidR="009D68E4">
        <w:rPr>
          <w:rFonts w:cs="Calibri"/>
        </w:rPr>
        <w:t>u</w:t>
      </w:r>
      <w:r w:rsidRPr="00F74C0E">
        <w:rPr>
          <w:rFonts w:cs="Calibri"/>
        </w:rPr>
        <w:t xml:space="preserve"> </w:t>
      </w:r>
      <w:r w:rsidR="00235D0E">
        <w:rPr>
          <w:rFonts w:cs="Calibri"/>
        </w:rPr>
        <w:t>p</w:t>
      </w:r>
      <w:r w:rsidRPr="00F74C0E">
        <w:rPr>
          <w:rFonts w:cs="Calibri"/>
        </w:rPr>
        <w:t>říloha a</w:t>
      </w:r>
      <w:r w:rsidR="009D68E4">
        <w:rPr>
          <w:rFonts w:cs="Calibri"/>
        </w:rPr>
        <w:t xml:space="preserve"> na výkaz</w:t>
      </w:r>
      <w:r w:rsidRPr="00F74C0E">
        <w:rPr>
          <w:rFonts w:cs="Calibri"/>
        </w:rPr>
        <w:t xml:space="preserve"> </w:t>
      </w:r>
      <w:r w:rsidR="00235D0E">
        <w:rPr>
          <w:rFonts w:cs="Calibri"/>
        </w:rPr>
        <w:t>p</w:t>
      </w:r>
      <w:r w:rsidRPr="00F74C0E">
        <w:rPr>
          <w:rFonts w:cs="Calibri"/>
        </w:rPr>
        <w:t xml:space="preserve">řehled o změnách vlastního kapitálu). Na základě těchto skutečností NKÚ </w:t>
      </w:r>
      <w:r w:rsidR="004602B2">
        <w:rPr>
          <w:rFonts w:cs="Calibri"/>
        </w:rPr>
        <w:t>vyhodnotil spolehlivost údajů v ÚZ</w:t>
      </w:r>
      <w:r w:rsidRPr="00F74C0E">
        <w:rPr>
          <w:rFonts w:cs="Calibri"/>
        </w:rPr>
        <w:t xml:space="preserve"> s</w:t>
      </w:r>
      <w:r w:rsidR="004602B2">
        <w:rPr>
          <w:rFonts w:cs="Calibri"/>
        </w:rPr>
        <w:t> </w:t>
      </w:r>
      <w:r w:rsidRPr="00F74C0E">
        <w:rPr>
          <w:rFonts w:cs="Calibri"/>
        </w:rPr>
        <w:t>výhradou</w:t>
      </w:r>
      <w:r w:rsidR="004602B2">
        <w:rPr>
          <w:rFonts w:cs="Calibri"/>
        </w:rPr>
        <w:t xml:space="preserve">. </w:t>
      </w:r>
      <w:r w:rsidR="00B05F4F">
        <w:rPr>
          <w:rFonts w:cs="Calibri"/>
        </w:rPr>
        <w:t xml:space="preserve">V důsledku této skutečnosti </w:t>
      </w:r>
      <w:r w:rsidR="00B05F4F" w:rsidRPr="00F74C0E">
        <w:rPr>
          <w:rFonts w:cs="Calibri"/>
          <w:b/>
        </w:rPr>
        <w:t>MZ</w:t>
      </w:r>
      <w:r w:rsidR="0087682F">
        <w:rPr>
          <w:rFonts w:cs="Calibri"/>
          <w:b/>
        </w:rPr>
        <w:t>d</w:t>
      </w:r>
      <w:r w:rsidR="00B05F4F" w:rsidRPr="00F74C0E">
        <w:rPr>
          <w:rFonts w:cs="Calibri"/>
          <w:b/>
        </w:rPr>
        <w:t xml:space="preserve"> nevedlo v roce 2017 správné účetnictví ve smyslu </w:t>
      </w:r>
      <w:r w:rsidR="008862B9">
        <w:rPr>
          <w:rFonts w:cs="Calibri"/>
          <w:b/>
        </w:rPr>
        <w:t xml:space="preserve">ustanovení </w:t>
      </w:r>
      <w:r w:rsidR="00B05F4F" w:rsidRPr="00F74C0E">
        <w:rPr>
          <w:rFonts w:cs="Calibri"/>
          <w:b/>
        </w:rPr>
        <w:t>§ 8 odst.</w:t>
      </w:r>
      <w:r w:rsidR="005453FA">
        <w:rPr>
          <w:rFonts w:cs="Calibri"/>
          <w:b/>
        </w:rPr>
        <w:t xml:space="preserve"> </w:t>
      </w:r>
      <w:r w:rsidR="00B05F4F" w:rsidRPr="00F74C0E">
        <w:rPr>
          <w:rFonts w:cs="Calibri"/>
          <w:b/>
        </w:rPr>
        <w:t>2 zákona o</w:t>
      </w:r>
      <w:r w:rsidR="005453FA">
        <w:rPr>
          <w:rFonts w:cs="Calibri"/>
          <w:b/>
        </w:rPr>
        <w:t> </w:t>
      </w:r>
      <w:r w:rsidR="00B05F4F" w:rsidRPr="00F74C0E">
        <w:rPr>
          <w:rFonts w:cs="Calibri"/>
          <w:b/>
        </w:rPr>
        <w:t xml:space="preserve">účetnictví </w:t>
      </w:r>
      <w:r w:rsidR="00B05F4F" w:rsidRPr="00F74C0E">
        <w:rPr>
          <w:rFonts w:cs="Calibri"/>
        </w:rPr>
        <w:t>(</w:t>
      </w:r>
      <w:r w:rsidR="00B05F4F">
        <w:rPr>
          <w:rFonts w:cs="Calibri"/>
        </w:rPr>
        <w:t>viz bod</w:t>
      </w:r>
      <w:r w:rsidR="00235D0E">
        <w:rPr>
          <w:rFonts w:cs="Calibri"/>
        </w:rPr>
        <w:t>y</w:t>
      </w:r>
      <w:r w:rsidR="00B05F4F">
        <w:rPr>
          <w:rFonts w:cs="Calibri"/>
        </w:rPr>
        <w:t xml:space="preserve"> </w:t>
      </w:r>
      <w:r w:rsidR="00F27594">
        <w:rPr>
          <w:rFonts w:cs="Calibri"/>
        </w:rPr>
        <w:t>IV.1</w:t>
      </w:r>
      <w:r w:rsidR="005453FA">
        <w:rPr>
          <w:rFonts w:cs="Calibri"/>
        </w:rPr>
        <w:t>.</w:t>
      </w:r>
      <w:r w:rsidR="006143B2">
        <w:rPr>
          <w:rFonts w:cs="Calibri"/>
        </w:rPr>
        <w:t xml:space="preserve"> a </w:t>
      </w:r>
      <w:r w:rsidR="00C05C5D">
        <w:rPr>
          <w:rFonts w:cs="Calibri"/>
        </w:rPr>
        <w:t>IV.2</w:t>
      </w:r>
      <w:r w:rsidR="000B0EB8">
        <w:rPr>
          <w:rFonts w:cs="Calibri"/>
        </w:rPr>
        <w:t>.</w:t>
      </w:r>
      <w:r w:rsidR="00F27594">
        <w:rPr>
          <w:rFonts w:cs="Calibri"/>
        </w:rPr>
        <w:t xml:space="preserve"> </w:t>
      </w:r>
      <w:r w:rsidR="00B05F4F">
        <w:rPr>
          <w:rFonts w:cs="Calibri"/>
        </w:rPr>
        <w:t>tohoto kontrolního závěru).</w:t>
      </w:r>
    </w:p>
    <w:p w14:paraId="0B3CBD7C" w14:textId="77777777" w:rsidR="00193D5F" w:rsidRDefault="00193D5F" w:rsidP="007814C9">
      <w:pPr>
        <w:spacing w:after="0"/>
        <w:jc w:val="both"/>
        <w:rPr>
          <w:rFonts w:cs="Calibri"/>
        </w:rPr>
      </w:pPr>
    </w:p>
    <w:p w14:paraId="5E5151BE" w14:textId="698862F8" w:rsidR="00193D5F" w:rsidRPr="0099070E" w:rsidRDefault="0099070E" w:rsidP="00193D5F">
      <w:pPr>
        <w:spacing w:after="0"/>
        <w:jc w:val="both"/>
        <w:rPr>
          <w:rFonts w:cs="Calibri"/>
          <w:b/>
        </w:rPr>
      </w:pPr>
      <w:r w:rsidRPr="003B4841">
        <w:rPr>
          <w:rFonts w:cs="Calibri"/>
          <w:b/>
        </w:rPr>
        <w:t>Ž</w:t>
      </w:r>
      <w:r w:rsidR="00193D5F" w:rsidRPr="003B4841">
        <w:rPr>
          <w:rFonts w:cs="Calibri"/>
          <w:b/>
        </w:rPr>
        <w:t xml:space="preserve">ádný </w:t>
      </w:r>
      <w:r w:rsidR="00193D5F" w:rsidRPr="0099070E">
        <w:rPr>
          <w:rFonts w:cs="Calibri"/>
          <w:b/>
        </w:rPr>
        <w:t>interní audit</w:t>
      </w:r>
      <w:r w:rsidR="00193D5F" w:rsidRPr="003B4841">
        <w:rPr>
          <w:rFonts w:cs="Calibri"/>
          <w:b/>
        </w:rPr>
        <w:t xml:space="preserve"> provedený v roce 2017 se nezaměřil na to, zda údaje vykázané v celém rozsahu účetních výkazů věrně zobrazují majetek, zdroje jeho financování a hospodaření s ním.</w:t>
      </w:r>
      <w:r w:rsidRPr="003B4841">
        <w:rPr>
          <w:rFonts w:cs="Calibri"/>
          <w:b/>
        </w:rPr>
        <w:t xml:space="preserve"> </w:t>
      </w:r>
      <w:r w:rsidR="00193D5F" w:rsidRPr="0099070E">
        <w:rPr>
          <w:rFonts w:cs="Calibri"/>
          <w:b/>
        </w:rPr>
        <w:t>ÚZ MZ</w:t>
      </w:r>
      <w:r w:rsidR="0087682F">
        <w:rPr>
          <w:rFonts w:cs="Calibri"/>
          <w:b/>
        </w:rPr>
        <w:t>d</w:t>
      </w:r>
      <w:r w:rsidR="00193D5F" w:rsidRPr="0099070E">
        <w:rPr>
          <w:rFonts w:cs="Calibri"/>
          <w:b/>
        </w:rPr>
        <w:t xml:space="preserve"> za rok 2017 byla </w:t>
      </w:r>
      <w:r w:rsidR="00235D0E">
        <w:rPr>
          <w:rFonts w:cs="Calibri"/>
          <w:b/>
        </w:rPr>
        <w:t>M</w:t>
      </w:r>
      <w:r w:rsidR="004602B2">
        <w:rPr>
          <w:rFonts w:cs="Calibri"/>
          <w:b/>
        </w:rPr>
        <w:t>inisterstvem</w:t>
      </w:r>
      <w:r w:rsidR="00235D0E">
        <w:rPr>
          <w:rFonts w:cs="Calibri"/>
          <w:b/>
        </w:rPr>
        <w:t xml:space="preserve"> zdravotnictví</w:t>
      </w:r>
      <w:r w:rsidR="004602B2">
        <w:rPr>
          <w:rFonts w:cs="Calibri"/>
          <w:b/>
        </w:rPr>
        <w:t xml:space="preserve"> </w:t>
      </w:r>
      <w:r w:rsidR="00193D5F" w:rsidRPr="0099070E">
        <w:rPr>
          <w:rFonts w:cs="Calibri"/>
          <w:b/>
        </w:rPr>
        <w:t>schválena.</w:t>
      </w:r>
    </w:p>
    <w:p w14:paraId="45DDC6CF" w14:textId="77777777" w:rsidR="00193D5F" w:rsidRPr="003B4841" w:rsidRDefault="00193D5F" w:rsidP="007814C9">
      <w:pPr>
        <w:spacing w:after="0"/>
        <w:jc w:val="both"/>
        <w:rPr>
          <w:rFonts w:cs="Calibri"/>
          <w:b/>
        </w:rPr>
      </w:pPr>
    </w:p>
    <w:p w14:paraId="100C769C" w14:textId="47CC0E44" w:rsidR="005377D4" w:rsidRPr="009C1955" w:rsidRDefault="005377D4" w:rsidP="005377D4">
      <w:pPr>
        <w:pStyle w:val="Nadpis2"/>
        <w:keepNext/>
        <w:numPr>
          <w:ilvl w:val="0"/>
          <w:numId w:val="0"/>
        </w:numPr>
        <w:spacing w:after="0" w:line="240" w:lineRule="auto"/>
        <w:ind w:left="-11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lastRenderedPageBreak/>
        <w:t>7.</w:t>
      </w:r>
      <w:r w:rsidRPr="00902397">
        <w:rPr>
          <w:rFonts w:ascii="Calibri" w:hAnsi="Calibri" w:cs="Calibri"/>
          <w:lang w:eastAsia="cs-CZ"/>
        </w:rPr>
        <w:t xml:space="preserve"> Porušení rozpočtové kázně</w:t>
      </w:r>
      <w:r>
        <w:rPr>
          <w:rFonts w:ascii="Calibri" w:hAnsi="Calibri" w:cs="Calibri"/>
          <w:lang w:eastAsia="cs-CZ"/>
        </w:rPr>
        <w:t xml:space="preserve"> </w:t>
      </w:r>
      <w:r w:rsidR="006143B2">
        <w:rPr>
          <w:rFonts w:ascii="Calibri" w:hAnsi="Calibri" w:cs="Calibri"/>
          <w:lang w:eastAsia="cs-CZ"/>
        </w:rPr>
        <w:t>–</w:t>
      </w:r>
      <w:r>
        <w:rPr>
          <w:rFonts w:ascii="Calibri" w:hAnsi="Calibri" w:cs="Calibri"/>
          <w:lang w:eastAsia="cs-CZ"/>
        </w:rPr>
        <w:t xml:space="preserve"> </w:t>
      </w:r>
      <w:r w:rsidR="002F660E">
        <w:rPr>
          <w:rFonts w:ascii="Calibri" w:hAnsi="Calibri" w:cs="Calibri"/>
          <w:lang w:eastAsia="cs-CZ"/>
        </w:rPr>
        <w:t>ú</w:t>
      </w:r>
      <w:r w:rsidRPr="009C1955">
        <w:rPr>
          <w:rFonts w:ascii="Calibri" w:hAnsi="Calibri" w:cs="Calibri"/>
          <w:lang w:eastAsia="cs-CZ"/>
        </w:rPr>
        <w:t>hrada za právní služby bez existence účinné smlouvy</w:t>
      </w:r>
    </w:p>
    <w:p w14:paraId="492EFA3D" w14:textId="77777777" w:rsidR="005377D4" w:rsidRPr="00C922C3" w:rsidRDefault="005377D4" w:rsidP="005377D4">
      <w:pPr>
        <w:keepNext/>
        <w:spacing w:after="0"/>
        <w:jc w:val="both"/>
        <w:rPr>
          <w:rFonts w:cs="Calibri"/>
          <w:lang w:eastAsia="cs-CZ"/>
        </w:rPr>
      </w:pPr>
    </w:p>
    <w:p w14:paraId="2A42DF83" w14:textId="00AD83F7" w:rsidR="005377D4" w:rsidRDefault="005377D4" w:rsidP="005377D4">
      <w:pPr>
        <w:spacing w:after="0"/>
        <w:jc w:val="both"/>
        <w:rPr>
          <w:rFonts w:cs="Calibri"/>
          <w:lang w:eastAsia="cs-CZ"/>
        </w:rPr>
      </w:pPr>
      <w:r>
        <w:rPr>
          <w:rFonts w:cs="Calibri"/>
          <w:lang w:eastAsia="cs-CZ"/>
        </w:rPr>
        <w:t>MZ</w:t>
      </w:r>
      <w:r w:rsidR="00A86820">
        <w:rPr>
          <w:rFonts w:cs="Calibri"/>
          <w:lang w:eastAsia="cs-CZ"/>
        </w:rPr>
        <w:t>d</w:t>
      </w:r>
      <w:r>
        <w:rPr>
          <w:rFonts w:cs="Calibri"/>
          <w:lang w:eastAsia="cs-CZ"/>
        </w:rPr>
        <w:t xml:space="preserve"> uzavřelo v únoru 2017 smlouvu o poskytování právních služeb, jejímž předmětem bylo zajištění právního zastoupení ve věci návrhu na prohlášení vykonatelnosti a nařízení výkonu rozhodčího nálezu z roku 2008. Smlouva byla uzavřena na dobu určitou, a to do vyčerpání finančního limitu 10 mil. Kč bez DPH (12,1 mil. Kč včetně DPH). V registru smluv byla zveřejněna v červnu 2017.</w:t>
      </w:r>
    </w:p>
    <w:p w14:paraId="628566E6" w14:textId="77777777" w:rsidR="005377D4" w:rsidRDefault="005377D4" w:rsidP="005377D4">
      <w:pPr>
        <w:spacing w:after="0"/>
        <w:jc w:val="both"/>
        <w:rPr>
          <w:rFonts w:cs="Calibri"/>
          <w:lang w:eastAsia="cs-CZ"/>
        </w:rPr>
      </w:pPr>
    </w:p>
    <w:p w14:paraId="32C97C3E" w14:textId="7EF77FC1" w:rsidR="005377D4" w:rsidRDefault="005377D4" w:rsidP="005377D4">
      <w:pPr>
        <w:spacing w:after="0"/>
        <w:jc w:val="both"/>
        <w:rPr>
          <w:rFonts w:cs="Calibri"/>
          <w:lang w:eastAsia="cs-CZ"/>
        </w:rPr>
      </w:pPr>
      <w:r>
        <w:rPr>
          <w:rFonts w:cs="Calibri"/>
          <w:lang w:eastAsia="cs-CZ"/>
        </w:rPr>
        <w:t>MZ</w:t>
      </w:r>
      <w:r w:rsidR="00A86820">
        <w:rPr>
          <w:rFonts w:cs="Calibri"/>
          <w:lang w:eastAsia="cs-CZ"/>
        </w:rPr>
        <w:t>d</w:t>
      </w:r>
      <w:r>
        <w:rPr>
          <w:rFonts w:cs="Calibri"/>
          <w:lang w:eastAsia="cs-CZ"/>
        </w:rPr>
        <w:t xml:space="preserve"> dne 23. </w:t>
      </w:r>
      <w:r w:rsidR="00622DEC">
        <w:rPr>
          <w:rFonts w:cs="Calibri"/>
          <w:lang w:eastAsia="cs-CZ"/>
        </w:rPr>
        <w:t>října</w:t>
      </w:r>
      <w:r>
        <w:rPr>
          <w:rFonts w:cs="Calibri"/>
          <w:lang w:eastAsia="cs-CZ"/>
        </w:rPr>
        <w:t xml:space="preserve"> 2017 vyčerpalo finanční limit stanovený smlouvou úhradou části faktury obdržené v roce 2017. Ve stejném dni MZ</w:t>
      </w:r>
      <w:r w:rsidR="00A86820">
        <w:rPr>
          <w:rFonts w:cs="Calibri"/>
          <w:lang w:eastAsia="cs-CZ"/>
        </w:rPr>
        <w:t>d</w:t>
      </w:r>
      <w:r>
        <w:rPr>
          <w:rFonts w:cs="Calibri"/>
          <w:lang w:eastAsia="cs-CZ"/>
        </w:rPr>
        <w:t xml:space="preserve"> uhradilo i další faktury v celkové výši 7 782 307,73 Kč, na jejichž likvidačních listech uvedlo, že platby jsou hrazeny na základě výše uvedené smlouvy, přestože tato smlouva byla uzavřena do vyčerpání stanoveného finančního limitu. Úhrada faktur, kterou M</w:t>
      </w:r>
      <w:r w:rsidR="00A86820">
        <w:rPr>
          <w:rFonts w:cs="Calibri"/>
          <w:lang w:eastAsia="cs-CZ"/>
        </w:rPr>
        <w:t>Zd</w:t>
      </w:r>
      <w:r>
        <w:rPr>
          <w:rFonts w:cs="Calibri"/>
          <w:lang w:eastAsia="cs-CZ"/>
        </w:rPr>
        <w:t xml:space="preserve"> provedlo, již nemohla </w:t>
      </w:r>
      <w:r w:rsidR="0085093F">
        <w:rPr>
          <w:rFonts w:cs="Calibri"/>
          <w:lang w:eastAsia="cs-CZ"/>
        </w:rPr>
        <w:t>být realizována</w:t>
      </w:r>
      <w:r>
        <w:rPr>
          <w:rFonts w:cs="Calibri"/>
          <w:lang w:eastAsia="cs-CZ"/>
        </w:rPr>
        <w:t xml:space="preserve"> na základě uvedené smlouvy, ale měla proběhnout až po uzavření další smlouvy a jejím zveřejnění v registru smluv. Tím, že MZ</w:t>
      </w:r>
      <w:r w:rsidR="00A86820">
        <w:rPr>
          <w:rFonts w:cs="Calibri"/>
          <w:lang w:eastAsia="cs-CZ"/>
        </w:rPr>
        <w:t>d</w:t>
      </w:r>
      <w:r>
        <w:rPr>
          <w:rFonts w:cs="Calibri"/>
          <w:lang w:eastAsia="cs-CZ"/>
        </w:rPr>
        <w:t xml:space="preserve"> přijalo plnění (právní služb</w:t>
      </w:r>
      <w:r w:rsidR="00805C59">
        <w:rPr>
          <w:rFonts w:cs="Calibri"/>
          <w:lang w:eastAsia="cs-CZ"/>
        </w:rPr>
        <w:t>y</w:t>
      </w:r>
      <w:r>
        <w:rPr>
          <w:rFonts w:cs="Calibri"/>
          <w:lang w:eastAsia="cs-CZ"/>
        </w:rPr>
        <w:t xml:space="preserve">), toto plnění akceptovalo a uhradilo, uzavřelo soukromoprávní smlouvu. </w:t>
      </w:r>
      <w:r w:rsidR="0007370C">
        <w:rPr>
          <w:rFonts w:cs="Calibri"/>
          <w:lang w:eastAsia="cs-CZ"/>
        </w:rPr>
        <w:t>Tuto smlouvu však MZ</w:t>
      </w:r>
      <w:r w:rsidR="00A86820">
        <w:rPr>
          <w:rFonts w:cs="Calibri"/>
          <w:lang w:eastAsia="cs-CZ"/>
        </w:rPr>
        <w:t>d</w:t>
      </w:r>
      <w:r w:rsidR="0007370C">
        <w:rPr>
          <w:rFonts w:cs="Calibri"/>
          <w:lang w:eastAsia="cs-CZ"/>
        </w:rPr>
        <w:t xml:space="preserve"> neuzavřelo písemně nebo jiným způsobem umožňujícím uveřejnění v r</w:t>
      </w:r>
      <w:r w:rsidR="00502493">
        <w:rPr>
          <w:rFonts w:cs="Calibri"/>
          <w:lang w:eastAsia="cs-CZ"/>
        </w:rPr>
        <w:t>egistru smluv, jak ukládá zákon o registru smluv</w:t>
      </w:r>
      <w:r w:rsidR="0007370C">
        <w:rPr>
          <w:rFonts w:cs="Calibri"/>
          <w:lang w:eastAsia="cs-CZ"/>
        </w:rPr>
        <w:t>. Vzhledem k tomu, že MZ</w:t>
      </w:r>
      <w:r w:rsidR="00A86820">
        <w:rPr>
          <w:rFonts w:cs="Calibri"/>
          <w:lang w:eastAsia="cs-CZ"/>
        </w:rPr>
        <w:t>d</w:t>
      </w:r>
      <w:r w:rsidR="0007370C">
        <w:rPr>
          <w:rFonts w:cs="Calibri"/>
          <w:lang w:eastAsia="cs-CZ"/>
        </w:rPr>
        <w:t xml:space="preserve"> nezveřejnilo smlouvu v registru smluv, nebylo oprávněno za právní služby zaplatit</w:t>
      </w:r>
      <w:r>
        <w:rPr>
          <w:rFonts w:cs="Calibri"/>
          <w:lang w:eastAsia="cs-CZ"/>
        </w:rPr>
        <w:t>.</w:t>
      </w:r>
    </w:p>
    <w:p w14:paraId="76B02592" w14:textId="77777777" w:rsidR="005377D4" w:rsidRDefault="005377D4" w:rsidP="005377D4">
      <w:pPr>
        <w:spacing w:after="0"/>
        <w:jc w:val="both"/>
        <w:rPr>
          <w:rFonts w:cs="Calibri"/>
          <w:lang w:eastAsia="cs-CZ"/>
        </w:rPr>
      </w:pPr>
    </w:p>
    <w:p w14:paraId="5E9E4414" w14:textId="77777777" w:rsidR="005377D4" w:rsidRPr="00663657" w:rsidRDefault="005377D4" w:rsidP="005377D4">
      <w:pPr>
        <w:spacing w:after="0"/>
        <w:jc w:val="both"/>
        <w:rPr>
          <w:rFonts w:cs="Calibri"/>
          <w:lang w:eastAsia="cs-CZ"/>
        </w:rPr>
      </w:pPr>
      <w:r>
        <w:rPr>
          <w:rFonts w:cs="Calibri"/>
          <w:lang w:eastAsia="cs-CZ"/>
        </w:rPr>
        <w:t>Další smlouva o poskytování právních služeb byla uzavřena a zveřejněna v registru smluv až v listopadu 2017.</w:t>
      </w:r>
    </w:p>
    <w:p w14:paraId="78A69EC9" w14:textId="77777777" w:rsidR="005377D4" w:rsidRPr="00C922C3" w:rsidRDefault="005377D4" w:rsidP="005377D4">
      <w:pPr>
        <w:spacing w:after="0"/>
        <w:jc w:val="both"/>
        <w:rPr>
          <w:rFonts w:cs="Calibri"/>
          <w:lang w:eastAsia="cs-CZ"/>
        </w:rPr>
      </w:pPr>
    </w:p>
    <w:p w14:paraId="2B2677F6" w14:textId="32C301CA" w:rsidR="005377D4" w:rsidRDefault="005377D4" w:rsidP="005377D4">
      <w:pPr>
        <w:spacing w:after="0"/>
        <w:jc w:val="both"/>
        <w:rPr>
          <w:rFonts w:cs="Calibri"/>
          <w:b/>
          <w:lang w:eastAsia="cs-CZ"/>
        </w:rPr>
      </w:pPr>
      <w:r>
        <w:rPr>
          <w:rFonts w:cs="Calibri"/>
          <w:b/>
        </w:rPr>
        <w:t>MZ</w:t>
      </w:r>
      <w:r w:rsidR="00A86820">
        <w:rPr>
          <w:rFonts w:cs="Calibri"/>
          <w:b/>
        </w:rPr>
        <w:t>d</w:t>
      </w:r>
      <w:r>
        <w:rPr>
          <w:rFonts w:cs="Calibri"/>
          <w:b/>
        </w:rPr>
        <w:t xml:space="preserve"> porušilo ustanovení § 5 odst. 2 (větu první) zákona </w:t>
      </w:r>
      <w:r w:rsidR="00037BD3">
        <w:rPr>
          <w:rFonts w:cs="Calibri"/>
          <w:b/>
        </w:rPr>
        <w:t xml:space="preserve">o registru smluv, </w:t>
      </w:r>
      <w:r>
        <w:rPr>
          <w:rFonts w:cs="Calibri"/>
          <w:b/>
        </w:rPr>
        <w:t xml:space="preserve">když jako </w:t>
      </w:r>
      <w:r w:rsidRPr="00EA3FD4">
        <w:rPr>
          <w:rFonts w:cs="Calibri"/>
          <w:b/>
        </w:rPr>
        <w:t xml:space="preserve">povinná osoba dle </w:t>
      </w:r>
      <w:r w:rsidR="00B671A7">
        <w:rPr>
          <w:rFonts w:cs="Calibri"/>
          <w:b/>
        </w:rPr>
        <w:t xml:space="preserve">ustanovení </w:t>
      </w:r>
      <w:r w:rsidRPr="00EA3FD4">
        <w:rPr>
          <w:rFonts w:cs="Calibri"/>
          <w:b/>
        </w:rPr>
        <w:t xml:space="preserve">§ 2 odst. 1 </w:t>
      </w:r>
      <w:r w:rsidR="00872725">
        <w:rPr>
          <w:rFonts w:cs="Calibri"/>
          <w:b/>
        </w:rPr>
        <w:t xml:space="preserve">tohoto </w:t>
      </w:r>
      <w:r w:rsidRPr="00EA3FD4">
        <w:rPr>
          <w:rFonts w:cs="Calibri"/>
          <w:b/>
        </w:rPr>
        <w:t>zákona nezaslalo smlouvu správci registru smluv k</w:t>
      </w:r>
      <w:r>
        <w:rPr>
          <w:rFonts w:cs="Calibri"/>
          <w:b/>
        </w:rPr>
        <w:t> </w:t>
      </w:r>
      <w:r w:rsidRPr="00EA3FD4">
        <w:rPr>
          <w:rFonts w:cs="Calibri"/>
          <w:b/>
        </w:rPr>
        <w:t>uveřejnění</w:t>
      </w:r>
      <w:r>
        <w:rPr>
          <w:rFonts w:cs="Calibri"/>
          <w:b/>
        </w:rPr>
        <w:t>. MZ</w:t>
      </w:r>
      <w:r w:rsidR="00A86820">
        <w:rPr>
          <w:rFonts w:cs="Calibri"/>
          <w:b/>
        </w:rPr>
        <w:t>d</w:t>
      </w:r>
      <w:r>
        <w:rPr>
          <w:rFonts w:cs="Calibri"/>
          <w:b/>
        </w:rPr>
        <w:t xml:space="preserve"> </w:t>
      </w:r>
      <w:r w:rsidR="00235D0E">
        <w:rPr>
          <w:rFonts w:cs="Calibri"/>
          <w:b/>
        </w:rPr>
        <w:t xml:space="preserve">zároveň </w:t>
      </w:r>
      <w:r>
        <w:rPr>
          <w:rFonts w:cs="Calibri"/>
          <w:b/>
        </w:rPr>
        <w:t xml:space="preserve">porušilo ustanovení § 8 odst. 2 zákona </w:t>
      </w:r>
      <w:r w:rsidR="00872725">
        <w:rPr>
          <w:rFonts w:cs="Calibri"/>
          <w:b/>
        </w:rPr>
        <w:t xml:space="preserve">o registru smluv, </w:t>
      </w:r>
      <w:r>
        <w:rPr>
          <w:rFonts w:cs="Calibri"/>
          <w:b/>
        </w:rPr>
        <w:t xml:space="preserve">když smlouvu, na niž se vztahovala povinnost uveřejnění </w:t>
      </w:r>
      <w:r w:rsidR="00235D0E">
        <w:rPr>
          <w:rFonts w:cs="Calibri"/>
          <w:b/>
        </w:rPr>
        <w:t>v</w:t>
      </w:r>
      <w:r>
        <w:rPr>
          <w:rFonts w:cs="Calibri"/>
          <w:b/>
        </w:rPr>
        <w:t xml:space="preserve"> registru smluv, neuzavřelo písemně nebo jiným způsobem umožňujícím uveřejnění smlouvy prostřednictvím registru smluv. Vzhledem k tomu, že smlouva nebyla před provedením platby za služby zveřejněna v registru smluv, nenabyla dle </w:t>
      </w:r>
      <w:r w:rsidR="00B671A7">
        <w:rPr>
          <w:rFonts w:cs="Calibri"/>
          <w:b/>
        </w:rPr>
        <w:t xml:space="preserve">ustanovení § 6 odst. 1 </w:t>
      </w:r>
      <w:r w:rsidR="00614A79">
        <w:rPr>
          <w:rFonts w:cs="Calibri"/>
          <w:b/>
        </w:rPr>
        <w:t>toh</w:t>
      </w:r>
      <w:r w:rsidR="00CC2256">
        <w:rPr>
          <w:rFonts w:cs="Calibri"/>
          <w:b/>
        </w:rPr>
        <w:t>o</w:t>
      </w:r>
      <w:r w:rsidR="00614A79">
        <w:rPr>
          <w:rFonts w:cs="Calibri"/>
          <w:b/>
        </w:rPr>
        <w:t xml:space="preserve">to zákona </w:t>
      </w:r>
      <w:r>
        <w:rPr>
          <w:rFonts w:cs="Calibri"/>
          <w:b/>
        </w:rPr>
        <w:t>účinnosti. MZ</w:t>
      </w:r>
      <w:r w:rsidR="00A86820">
        <w:rPr>
          <w:rFonts w:cs="Calibri"/>
          <w:b/>
        </w:rPr>
        <w:t>d</w:t>
      </w:r>
      <w:r>
        <w:rPr>
          <w:rFonts w:cs="Calibri"/>
          <w:b/>
        </w:rPr>
        <w:t xml:space="preserve"> tak jako povinný subjekt dle zákona </w:t>
      </w:r>
      <w:r w:rsidR="00614A79">
        <w:rPr>
          <w:rFonts w:cs="Calibri"/>
          <w:b/>
        </w:rPr>
        <w:t xml:space="preserve">o registru smluv </w:t>
      </w:r>
      <w:r w:rsidR="00B671A7">
        <w:rPr>
          <w:rFonts w:cs="Calibri"/>
          <w:b/>
        </w:rPr>
        <w:t>přijalo a </w:t>
      </w:r>
      <w:r w:rsidRPr="00EA3FD4">
        <w:rPr>
          <w:rFonts w:cs="Calibri"/>
          <w:b/>
        </w:rPr>
        <w:t>uhrad</w:t>
      </w:r>
      <w:r w:rsidR="006143B2">
        <w:rPr>
          <w:rFonts w:cs="Calibri"/>
          <w:b/>
        </w:rPr>
        <w:t>ilo plnění z neúčinné smlouvy a </w:t>
      </w:r>
      <w:r w:rsidRPr="00EA3FD4">
        <w:rPr>
          <w:rFonts w:cs="Calibri"/>
          <w:b/>
        </w:rPr>
        <w:t>tímto výdajem porušilo povinnost stanovenou právním předpisem.</w:t>
      </w:r>
    </w:p>
    <w:p w14:paraId="7DD4E46A" w14:textId="77777777" w:rsidR="005377D4" w:rsidRDefault="005377D4" w:rsidP="005377D4">
      <w:pPr>
        <w:spacing w:after="0"/>
        <w:jc w:val="both"/>
        <w:rPr>
          <w:rFonts w:cs="Calibri"/>
          <w:b/>
          <w:lang w:eastAsia="cs-CZ"/>
        </w:rPr>
      </w:pPr>
    </w:p>
    <w:p w14:paraId="0040FBFF" w14:textId="70E7FFDE" w:rsidR="003B4841" w:rsidRPr="00EF5AAF" w:rsidRDefault="005377D4" w:rsidP="00DE3790">
      <w:pPr>
        <w:spacing w:after="0"/>
        <w:jc w:val="both"/>
        <w:rPr>
          <w:rFonts w:cs="Calibri"/>
          <w:b/>
        </w:rPr>
      </w:pPr>
      <w:r w:rsidRPr="00EA3FD4">
        <w:rPr>
          <w:rFonts w:cs="Calibri"/>
          <w:b/>
          <w:lang w:eastAsia="cs-CZ"/>
        </w:rPr>
        <w:t>MZ</w:t>
      </w:r>
      <w:r w:rsidR="00A86820">
        <w:rPr>
          <w:rFonts w:cs="Calibri"/>
          <w:b/>
          <w:lang w:eastAsia="cs-CZ"/>
        </w:rPr>
        <w:t>d</w:t>
      </w:r>
      <w:r w:rsidRPr="00EA3FD4">
        <w:rPr>
          <w:rFonts w:cs="Calibri"/>
          <w:b/>
          <w:lang w:eastAsia="cs-CZ"/>
        </w:rPr>
        <w:t xml:space="preserve"> tak </w:t>
      </w:r>
      <w:r w:rsidR="00614A79" w:rsidRPr="00EA3FD4">
        <w:rPr>
          <w:rFonts w:cs="Calibri"/>
          <w:b/>
          <w:lang w:eastAsia="cs-CZ"/>
        </w:rPr>
        <w:t xml:space="preserve">ve smyslu </w:t>
      </w:r>
      <w:r w:rsidR="00614A79">
        <w:rPr>
          <w:rFonts w:cs="Calibri"/>
          <w:b/>
          <w:lang w:eastAsia="cs-CZ"/>
        </w:rPr>
        <w:t xml:space="preserve">ustanovení </w:t>
      </w:r>
      <w:r w:rsidR="00614A79" w:rsidRPr="00EA3FD4">
        <w:rPr>
          <w:rFonts w:cs="Calibri"/>
          <w:b/>
          <w:lang w:eastAsia="cs-CZ"/>
        </w:rPr>
        <w:t xml:space="preserve">§ 3 písm. e) rozpočtových pravidel </w:t>
      </w:r>
      <w:r w:rsidRPr="00EA3FD4">
        <w:rPr>
          <w:rFonts w:cs="Calibri"/>
          <w:b/>
          <w:lang w:eastAsia="cs-CZ"/>
        </w:rPr>
        <w:t>neoprávněně použilo peněžní prostředky státního rozpočtu</w:t>
      </w:r>
      <w:r>
        <w:rPr>
          <w:rFonts w:cs="Calibri"/>
          <w:b/>
          <w:lang w:eastAsia="cs-CZ"/>
        </w:rPr>
        <w:t xml:space="preserve"> v celkové výši 7 782 307,73 Kč</w:t>
      </w:r>
      <w:r w:rsidR="00614A79">
        <w:rPr>
          <w:rFonts w:cs="Calibri"/>
          <w:b/>
          <w:lang w:eastAsia="cs-CZ"/>
        </w:rPr>
        <w:t xml:space="preserve">. </w:t>
      </w:r>
      <w:r w:rsidRPr="00EA3FD4">
        <w:rPr>
          <w:rFonts w:cs="Calibri"/>
          <w:b/>
          <w:lang w:eastAsia="cs-CZ"/>
        </w:rPr>
        <w:t xml:space="preserve">Dle ustanovení </w:t>
      </w:r>
      <w:r w:rsidR="007622B1">
        <w:rPr>
          <w:rFonts w:cs="Calibri"/>
          <w:b/>
          <w:lang w:eastAsia="cs-CZ"/>
        </w:rPr>
        <w:t xml:space="preserve">§ </w:t>
      </w:r>
      <w:r>
        <w:rPr>
          <w:rFonts w:cs="Calibri"/>
          <w:b/>
          <w:lang w:eastAsia="cs-CZ"/>
        </w:rPr>
        <w:t>44 odst. 1</w:t>
      </w:r>
      <w:r w:rsidR="00671D92">
        <w:rPr>
          <w:rFonts w:cs="Calibri"/>
          <w:b/>
          <w:lang w:eastAsia="cs-CZ"/>
        </w:rPr>
        <w:t xml:space="preserve"> </w:t>
      </w:r>
      <w:r w:rsidRPr="00EA3FD4">
        <w:rPr>
          <w:rFonts w:cs="Calibri"/>
          <w:b/>
          <w:lang w:eastAsia="cs-CZ"/>
        </w:rPr>
        <w:t xml:space="preserve">písm. a) rozpočtových pravidel je neoprávněné použití peněžních prostředků státního rozpočtu porušením rozpočtové kázně. </w:t>
      </w:r>
    </w:p>
    <w:p w14:paraId="43CA7874" w14:textId="77777777" w:rsidR="004B67B6" w:rsidRDefault="004B67B6">
      <w:pPr>
        <w:spacing w:after="160" w:line="259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14:paraId="2DC557BA" w14:textId="0ADC62E4" w:rsidR="00112642" w:rsidRPr="00DE6626" w:rsidRDefault="008630B0" w:rsidP="00E93037">
      <w:pPr>
        <w:keepNext/>
        <w:spacing w:after="0"/>
        <w:rPr>
          <w:rFonts w:asciiTheme="minorHAnsi" w:eastAsiaTheme="minorHAnsi" w:hAnsiTheme="minorHAnsi" w:cstheme="minorHAnsi"/>
          <w:b/>
        </w:rPr>
      </w:pPr>
      <w:r w:rsidRPr="00DE6626">
        <w:rPr>
          <w:rFonts w:asciiTheme="minorHAnsi" w:eastAsiaTheme="minorHAnsi" w:hAnsiTheme="minorHAnsi" w:cstheme="minorHAnsi"/>
          <w:b/>
        </w:rPr>
        <w:lastRenderedPageBreak/>
        <w:t>Seznam</w:t>
      </w:r>
      <w:r w:rsidR="00112642" w:rsidRPr="00DE6626">
        <w:rPr>
          <w:rFonts w:asciiTheme="minorHAnsi" w:eastAsiaTheme="minorHAnsi" w:hAnsiTheme="minorHAnsi" w:cstheme="minorHAnsi"/>
          <w:b/>
        </w:rPr>
        <w:t xml:space="preserve"> zkrat</w:t>
      </w:r>
      <w:r w:rsidRPr="00DE6626">
        <w:rPr>
          <w:rFonts w:asciiTheme="minorHAnsi" w:eastAsiaTheme="minorHAnsi" w:hAnsiTheme="minorHAnsi" w:cstheme="minorHAnsi"/>
          <w:b/>
        </w:rPr>
        <w:t>e</w:t>
      </w:r>
      <w:r w:rsidR="00112642" w:rsidRPr="00DE6626">
        <w:rPr>
          <w:rFonts w:asciiTheme="minorHAnsi" w:eastAsiaTheme="minorHAnsi" w:hAnsiTheme="minorHAnsi" w:cstheme="minorHAnsi"/>
          <w:b/>
        </w:rPr>
        <w:t>k</w:t>
      </w:r>
    </w:p>
    <w:p w14:paraId="06673208" w14:textId="77777777" w:rsidR="00E93037" w:rsidRPr="00C922C3" w:rsidRDefault="00E93037" w:rsidP="00E93037">
      <w:pPr>
        <w:keepNext/>
        <w:tabs>
          <w:tab w:val="left" w:pos="2552"/>
        </w:tabs>
        <w:spacing w:after="0"/>
        <w:ind w:left="2552" w:hanging="2552"/>
        <w:rPr>
          <w:rFonts w:asciiTheme="minorHAnsi" w:eastAsiaTheme="minorHAnsi" w:hAnsiTheme="minorHAnsi" w:cstheme="minorHAnsi"/>
        </w:rPr>
      </w:pPr>
    </w:p>
    <w:p w14:paraId="727A1B31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335 MZd</w:t>
      </w:r>
      <w:r w:rsidRPr="006A3434">
        <w:rPr>
          <w:rFonts w:asciiTheme="minorHAnsi" w:eastAsiaTheme="minorHAnsi" w:hAnsiTheme="minorHAnsi" w:cstheme="minorHAnsi"/>
        </w:rPr>
        <w:tab/>
        <w:t xml:space="preserve">kapitola státního rozpočtu 335 – </w:t>
      </w:r>
      <w:r w:rsidRPr="00164460">
        <w:rPr>
          <w:rFonts w:asciiTheme="minorHAnsi" w:eastAsiaTheme="minorHAnsi" w:hAnsiTheme="minorHAnsi" w:cstheme="minorHAnsi"/>
          <w:i/>
        </w:rPr>
        <w:t>Ministerstvo zdravotnictví</w:t>
      </w:r>
    </w:p>
    <w:p w14:paraId="51721BEA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CSÚIS</w:t>
      </w:r>
      <w:r w:rsidRPr="006A3434">
        <w:rPr>
          <w:rFonts w:asciiTheme="minorHAnsi" w:eastAsiaTheme="minorHAnsi" w:hAnsiTheme="minorHAnsi" w:cstheme="minorHAnsi"/>
        </w:rPr>
        <w:tab/>
      </w:r>
      <w:r w:rsidRPr="00164460">
        <w:rPr>
          <w:i/>
        </w:rPr>
        <w:t>Centrální systém účetních informací státu</w:t>
      </w:r>
    </w:p>
    <w:p w14:paraId="21A5B641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ČR</w:t>
      </w:r>
      <w:r w:rsidRPr="006A3434">
        <w:rPr>
          <w:rFonts w:asciiTheme="minorHAnsi" w:eastAsiaTheme="minorHAnsi" w:hAnsiTheme="minorHAnsi" w:cstheme="minorHAnsi"/>
        </w:rPr>
        <w:tab/>
        <w:t>Česká republika</w:t>
      </w:r>
    </w:p>
    <w:p w14:paraId="6D4D91B6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DPH</w:t>
      </w:r>
      <w:r w:rsidRPr="006A3434">
        <w:rPr>
          <w:rFonts w:asciiTheme="minorHAnsi" w:eastAsiaTheme="minorHAnsi" w:hAnsiTheme="minorHAnsi" w:cstheme="minorHAnsi"/>
        </w:rPr>
        <w:tab/>
        <w:t>daň z přidané hodnoty</w:t>
      </w:r>
    </w:p>
    <w:p w14:paraId="53DBD280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EU</w:t>
      </w:r>
      <w:r w:rsidRPr="006A3434">
        <w:rPr>
          <w:rFonts w:asciiTheme="minorHAnsi" w:eastAsiaTheme="minorHAnsi" w:hAnsiTheme="minorHAnsi" w:cstheme="minorHAnsi"/>
        </w:rPr>
        <w:tab/>
        <w:t>Evropská unie</w:t>
      </w:r>
    </w:p>
    <w:p w14:paraId="33275B2F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IČO</w:t>
      </w:r>
      <w:r w:rsidRPr="006A3434">
        <w:rPr>
          <w:rFonts w:asciiTheme="minorHAnsi" w:eastAsiaTheme="minorHAnsi" w:hAnsiTheme="minorHAnsi" w:cstheme="minorHAnsi"/>
        </w:rPr>
        <w:tab/>
        <w:t>identifikační číslo osoby</w:t>
      </w:r>
    </w:p>
    <w:p w14:paraId="07E1D605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IISSP</w:t>
      </w:r>
      <w:r w:rsidRPr="006A3434">
        <w:rPr>
          <w:rFonts w:asciiTheme="minorHAnsi" w:eastAsiaTheme="minorHAnsi" w:hAnsiTheme="minorHAnsi" w:cstheme="minorHAnsi"/>
        </w:rPr>
        <w:tab/>
      </w:r>
      <w:r w:rsidRPr="00164460">
        <w:rPr>
          <w:rStyle w:val="Zdraznn"/>
          <w:rFonts w:asciiTheme="minorHAnsi" w:hAnsiTheme="minorHAnsi" w:cstheme="minorHAnsi"/>
          <w:bCs/>
          <w:iCs w:val="0"/>
          <w:shd w:val="clear" w:color="auto" w:fill="FFFFFF"/>
        </w:rPr>
        <w:t>Integrovaný informační systém Státní pokladny</w:t>
      </w:r>
    </w:p>
    <w:p w14:paraId="7DDC3D47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IOP</w:t>
      </w:r>
      <w:r w:rsidRPr="006A3434">
        <w:rPr>
          <w:rFonts w:asciiTheme="minorHAnsi" w:eastAsiaTheme="minorHAnsi" w:hAnsiTheme="minorHAnsi" w:cstheme="minorHAnsi"/>
        </w:rPr>
        <w:tab/>
      </w:r>
      <w:r w:rsidRPr="00164460">
        <w:rPr>
          <w:rFonts w:asciiTheme="minorHAnsi" w:eastAsiaTheme="minorHAnsi" w:hAnsiTheme="minorHAnsi" w:cstheme="minorHAnsi"/>
          <w:i/>
        </w:rPr>
        <w:t>Integrovaný operační program</w:t>
      </w:r>
    </w:p>
    <w:p w14:paraId="0527C73B" w14:textId="7873FA8D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KZ</w:t>
      </w:r>
      <w:r w:rsidRPr="006A3434">
        <w:rPr>
          <w:rFonts w:asciiTheme="minorHAnsi" w:eastAsiaTheme="minorHAnsi" w:hAnsiTheme="minorHAnsi" w:cstheme="minorHAnsi"/>
        </w:rPr>
        <w:tab/>
        <w:t xml:space="preserve">kontrolní závěr </w:t>
      </w:r>
      <w:r w:rsidR="007622B1">
        <w:rPr>
          <w:rFonts w:asciiTheme="minorHAnsi" w:eastAsiaTheme="minorHAnsi" w:hAnsiTheme="minorHAnsi" w:cstheme="minorHAnsi"/>
        </w:rPr>
        <w:t xml:space="preserve">z kontrolní akce </w:t>
      </w:r>
      <w:r w:rsidRPr="006A3434">
        <w:rPr>
          <w:rFonts w:asciiTheme="minorHAnsi" w:eastAsiaTheme="minorHAnsi" w:hAnsiTheme="minorHAnsi" w:cstheme="minorHAnsi"/>
        </w:rPr>
        <w:t>Nejvyššího kontrolního úřadu</w:t>
      </w:r>
    </w:p>
    <w:p w14:paraId="6212CE6A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MZd</w:t>
      </w:r>
      <w:r w:rsidRPr="006A3434">
        <w:rPr>
          <w:rFonts w:asciiTheme="minorHAnsi" w:eastAsiaTheme="minorHAnsi" w:hAnsiTheme="minorHAnsi" w:cstheme="minorHAnsi"/>
        </w:rPr>
        <w:tab/>
        <w:t>Ministerstvo zdravotnictví</w:t>
      </w:r>
    </w:p>
    <w:p w14:paraId="0685AA41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NKÚ</w:t>
      </w:r>
      <w:r w:rsidRPr="006A3434">
        <w:rPr>
          <w:rFonts w:asciiTheme="minorHAnsi" w:eastAsiaTheme="minorHAnsi" w:hAnsiTheme="minorHAnsi" w:cstheme="minorHAnsi"/>
        </w:rPr>
        <w:tab/>
        <w:t>Nejvyšší kontrolní úřad</w:t>
      </w:r>
    </w:p>
    <w:p w14:paraId="50E128C0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OSS</w:t>
      </w:r>
      <w:r w:rsidRPr="006A3434">
        <w:rPr>
          <w:rFonts w:asciiTheme="minorHAnsi" w:eastAsiaTheme="minorHAnsi" w:hAnsiTheme="minorHAnsi" w:cstheme="minorHAnsi"/>
        </w:rPr>
        <w:tab/>
        <w:t>organizační složka/složky státu</w:t>
      </w:r>
    </w:p>
    <w:p w14:paraId="68E51CDF" w14:textId="547F5613" w:rsidR="001A7621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PO</w:t>
      </w:r>
      <w:r w:rsidRPr="006A3434">
        <w:rPr>
          <w:rFonts w:asciiTheme="minorHAnsi" w:eastAsiaTheme="minorHAnsi" w:hAnsiTheme="minorHAnsi" w:cstheme="minorHAnsi"/>
        </w:rPr>
        <w:tab/>
        <w:t>příspěvková/příspěvkové organizace</w:t>
      </w:r>
    </w:p>
    <w:p w14:paraId="3415F6F6" w14:textId="050CAB56" w:rsidR="00E3548A" w:rsidRPr="00E3548A" w:rsidRDefault="00E3548A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rozpočtová pravidla</w:t>
      </w:r>
      <w:r>
        <w:rPr>
          <w:rFonts w:asciiTheme="minorHAnsi" w:eastAsiaTheme="minorHAnsi" w:hAnsiTheme="minorHAnsi" w:cstheme="minorHAnsi"/>
        </w:rPr>
        <w:tab/>
      </w:r>
      <w:r w:rsidRPr="00E3548A">
        <w:rPr>
          <w:rFonts w:cs="Calibri"/>
        </w:rPr>
        <w:t>zákon č. 218/2000 Sb., o rozpočtových pravidlech a o změně některých souvisejících zákonů (rozpočtová pravidla)</w:t>
      </w:r>
    </w:p>
    <w:p w14:paraId="38919006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SPO</w:t>
      </w:r>
      <w:r w:rsidRPr="006A3434">
        <w:rPr>
          <w:rFonts w:asciiTheme="minorHAnsi" w:eastAsiaTheme="minorHAnsi" w:hAnsiTheme="minorHAnsi" w:cstheme="minorHAnsi"/>
        </w:rPr>
        <w:tab/>
        <w:t>státní příspěvková organizace</w:t>
      </w:r>
    </w:p>
    <w:p w14:paraId="434EF711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SR</w:t>
      </w:r>
      <w:r w:rsidRPr="006A3434">
        <w:rPr>
          <w:rFonts w:asciiTheme="minorHAnsi" w:eastAsiaTheme="minorHAnsi" w:hAnsiTheme="minorHAnsi" w:cstheme="minorHAnsi"/>
        </w:rPr>
        <w:tab/>
        <w:t>státní rozpočet</w:t>
      </w:r>
    </w:p>
    <w:p w14:paraId="47692C8E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SÚ</w:t>
      </w:r>
      <w:r w:rsidRPr="006A3434">
        <w:rPr>
          <w:rFonts w:asciiTheme="minorHAnsi" w:eastAsiaTheme="minorHAnsi" w:hAnsiTheme="minorHAnsi" w:cstheme="minorHAnsi"/>
        </w:rPr>
        <w:tab/>
        <w:t>syntetický účet</w:t>
      </w:r>
    </w:p>
    <w:p w14:paraId="28DF1436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SÚKL</w:t>
      </w:r>
      <w:r w:rsidRPr="006A3434">
        <w:rPr>
          <w:rFonts w:asciiTheme="minorHAnsi" w:eastAsiaTheme="minorHAnsi" w:hAnsiTheme="minorHAnsi" w:cstheme="minorHAnsi"/>
        </w:rPr>
        <w:tab/>
        <w:t>Státní ústav pro kontrolu léčiv</w:t>
      </w:r>
    </w:p>
    <w:p w14:paraId="1117202E" w14:textId="77777777" w:rsidR="001A7621" w:rsidRPr="006A3434" w:rsidRDefault="001A7621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ÚZ</w:t>
      </w:r>
      <w:r w:rsidRPr="006A3434">
        <w:rPr>
          <w:rFonts w:asciiTheme="minorHAnsi" w:eastAsiaTheme="minorHAnsi" w:hAnsiTheme="minorHAnsi" w:cstheme="minorHAnsi"/>
        </w:rPr>
        <w:tab/>
        <w:t>účetní závěrka MZd sestavená k 31. prosinci 2017</w:t>
      </w:r>
    </w:p>
    <w:p w14:paraId="3F3A3FE8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VH</w:t>
      </w:r>
      <w:r w:rsidRPr="006A3434">
        <w:rPr>
          <w:rFonts w:asciiTheme="minorHAnsi" w:eastAsiaTheme="minorHAnsi" w:hAnsiTheme="minorHAnsi" w:cstheme="minorHAnsi"/>
        </w:rPr>
        <w:tab/>
        <w:t>výsledek hospodaření</w:t>
      </w:r>
    </w:p>
    <w:p w14:paraId="38B26DCA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VKS</w:t>
      </w:r>
      <w:r w:rsidRPr="006A3434">
        <w:rPr>
          <w:rFonts w:asciiTheme="minorHAnsi" w:eastAsiaTheme="minorHAnsi" w:hAnsiTheme="minorHAnsi" w:cstheme="minorHAnsi"/>
        </w:rPr>
        <w:tab/>
        <w:t>vnitřní kontrolní systém</w:t>
      </w:r>
    </w:p>
    <w:p w14:paraId="302AB54D" w14:textId="77777777" w:rsidR="001A7621" w:rsidRPr="006A3434" w:rsidRDefault="001A7621" w:rsidP="0016446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výkaz FIN 1-12 OSS</w:t>
      </w:r>
      <w:r w:rsidRPr="006A3434">
        <w:rPr>
          <w:rFonts w:asciiTheme="minorHAnsi" w:eastAsiaTheme="minorHAnsi" w:hAnsiTheme="minorHAnsi" w:cstheme="minorHAnsi"/>
        </w:rPr>
        <w:tab/>
        <w:t>výkaz pro hodnocení plnění rozpočtu správců kapitol a organizačních složek státu</w:t>
      </w:r>
    </w:p>
    <w:p w14:paraId="717A196B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VZP</w:t>
      </w:r>
      <w:r w:rsidRPr="006A3434">
        <w:rPr>
          <w:rFonts w:asciiTheme="minorHAnsi" w:eastAsiaTheme="minorHAnsi" w:hAnsiTheme="minorHAnsi" w:cstheme="minorHAnsi"/>
        </w:rPr>
        <w:tab/>
        <w:t>Všeobecná zdravotní pojišťovna České republiky</w:t>
      </w:r>
    </w:p>
    <w:p w14:paraId="742E24E4" w14:textId="77777777" w:rsidR="001A7621" w:rsidRPr="006A3434" w:rsidRDefault="001A7621" w:rsidP="004A0ADF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6A3434">
        <w:rPr>
          <w:rFonts w:asciiTheme="minorHAnsi" w:eastAsiaTheme="minorHAnsi" w:hAnsiTheme="minorHAnsi" w:cstheme="minorHAnsi"/>
        </w:rPr>
        <w:t>VZZ</w:t>
      </w:r>
      <w:r w:rsidRPr="006A3434">
        <w:rPr>
          <w:rFonts w:asciiTheme="minorHAnsi" w:eastAsiaTheme="minorHAnsi" w:hAnsiTheme="minorHAnsi" w:cstheme="minorHAnsi"/>
        </w:rPr>
        <w:tab/>
        <w:t>výkaz zisku a ztráty</w:t>
      </w:r>
    </w:p>
    <w:p w14:paraId="7B7B0777" w14:textId="579154D7" w:rsidR="00DA059D" w:rsidRDefault="00DA059D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br w:type="page"/>
      </w:r>
    </w:p>
    <w:p w14:paraId="2AA065C3" w14:textId="77777777" w:rsidR="00DA059D" w:rsidRPr="00DA059D" w:rsidRDefault="00DA059D" w:rsidP="00DA059D">
      <w:pPr>
        <w:spacing w:after="0"/>
        <w:jc w:val="right"/>
        <w:rPr>
          <w:rFonts w:eastAsia="Calibri" w:cs="Calibri"/>
          <w:b/>
        </w:rPr>
      </w:pPr>
      <w:r w:rsidRPr="00DA059D">
        <w:rPr>
          <w:rFonts w:eastAsia="Calibri" w:cs="Calibri"/>
          <w:b/>
        </w:rPr>
        <w:lastRenderedPageBreak/>
        <w:t>Příloha ke kontrolnímu závěru z KA č. 18/13</w:t>
      </w:r>
    </w:p>
    <w:p w14:paraId="666CC361" w14:textId="77777777" w:rsidR="00DA059D" w:rsidRPr="00DA059D" w:rsidRDefault="00DA059D" w:rsidP="00DA059D">
      <w:pPr>
        <w:spacing w:after="0"/>
        <w:jc w:val="both"/>
        <w:rPr>
          <w:rFonts w:eastAsia="Calibri" w:cs="Calibri"/>
        </w:rPr>
      </w:pPr>
    </w:p>
    <w:p w14:paraId="75903C66" w14:textId="77777777" w:rsidR="00DA059D" w:rsidRPr="00DA059D" w:rsidRDefault="00DA059D" w:rsidP="00DA059D">
      <w:pPr>
        <w:spacing w:after="0"/>
        <w:jc w:val="both"/>
        <w:rPr>
          <w:rFonts w:cs="Calibri"/>
        </w:rPr>
      </w:pPr>
      <w:r w:rsidRPr="00DA059D">
        <w:rPr>
          <w:rFonts w:cs="Calibri"/>
        </w:rPr>
        <w:t>Příloha obsahuje výsledky rozpočtového hospodaření za rok 2017 vykázané v rámci kapitoly 335 MZd na peněžní a akruální bázi, porovnání s výsledky za rok předcházející a pro prohloubení vypovídací schopnosti i s výsledky v delší časové řadě od roku 2013.</w:t>
      </w:r>
    </w:p>
    <w:p w14:paraId="3969FEEE" w14:textId="77777777" w:rsidR="00DA059D" w:rsidRPr="00DA059D" w:rsidRDefault="00DA059D" w:rsidP="00DA059D">
      <w:pPr>
        <w:spacing w:after="0"/>
        <w:jc w:val="both"/>
        <w:rPr>
          <w:rFonts w:cs="Calibri"/>
        </w:rPr>
      </w:pPr>
    </w:p>
    <w:p w14:paraId="3265BD43" w14:textId="77777777" w:rsidR="00DA059D" w:rsidRPr="00DA059D" w:rsidRDefault="00DA059D" w:rsidP="00DA059D">
      <w:pPr>
        <w:spacing w:after="0"/>
        <w:jc w:val="both"/>
        <w:outlineLvl w:val="0"/>
        <w:rPr>
          <w:rFonts w:eastAsia="Calibri" w:cs="Calibri"/>
          <w:b/>
        </w:rPr>
      </w:pPr>
      <w:r w:rsidRPr="00DA059D">
        <w:rPr>
          <w:rFonts w:eastAsia="Calibri" w:cs="Calibri"/>
          <w:b/>
        </w:rPr>
        <w:t>A. OSS v rámci rozpočtové kapitoly 335 MZd</w:t>
      </w:r>
    </w:p>
    <w:p w14:paraId="041A9427" w14:textId="77777777" w:rsidR="00DA059D" w:rsidRPr="00DA059D" w:rsidRDefault="00DA059D" w:rsidP="00DA059D">
      <w:pPr>
        <w:spacing w:after="0"/>
        <w:jc w:val="both"/>
      </w:pPr>
    </w:p>
    <w:p w14:paraId="0AB2435C" w14:textId="71126AE4" w:rsidR="00DA059D" w:rsidRPr="00DA059D" w:rsidRDefault="00DA059D" w:rsidP="00DA059D">
      <w:pPr>
        <w:keepNext/>
        <w:spacing w:after="40"/>
        <w:rPr>
          <w:rFonts w:cs="Calibri"/>
          <w:b/>
          <w:bCs/>
        </w:rPr>
      </w:pPr>
      <w:bookmarkStart w:id="0" w:name="_Toc524590432"/>
      <w:bookmarkStart w:id="1" w:name="_Toc531766421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OSS v rámci kapitoly 335 MZd</w:t>
      </w:r>
      <w:r w:rsidRPr="00DA059D">
        <w:rPr>
          <w:rFonts w:cs="Calibri"/>
          <w:b/>
          <w:bCs/>
          <w:vertAlign w:val="superscript"/>
        </w:rPr>
        <w:footnoteReference w:id="23"/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7188"/>
      </w:tblGrid>
      <w:tr w:rsidR="00DA059D" w:rsidRPr="00DA059D" w14:paraId="1DFD50A5" w14:textId="77777777" w:rsidTr="00DA059D">
        <w:trPr>
          <w:trHeight w:val="283"/>
          <w:tblHeader/>
        </w:trPr>
        <w:tc>
          <w:tcPr>
            <w:tcW w:w="1034" w:type="pct"/>
            <w:shd w:val="clear" w:color="auto" w:fill="E5F1FF"/>
            <w:noWrap/>
            <w:vAlign w:val="center"/>
            <w:hideMark/>
          </w:tcPr>
          <w:p w14:paraId="73CED3D2" w14:textId="77777777" w:rsidR="00DA059D" w:rsidRPr="00DA059D" w:rsidRDefault="00DA059D" w:rsidP="00DA059D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A059D">
              <w:rPr>
                <w:rFonts w:eastAsia="Calibri" w:cs="Calibri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3966" w:type="pct"/>
            <w:shd w:val="clear" w:color="auto" w:fill="E5F1FF"/>
            <w:noWrap/>
            <w:vAlign w:val="center"/>
            <w:hideMark/>
          </w:tcPr>
          <w:p w14:paraId="60A1105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Název účetní jednotky</w:t>
            </w:r>
          </w:p>
        </w:tc>
      </w:tr>
      <w:tr w:rsidR="00DA059D" w:rsidRPr="00DA059D" w14:paraId="1EAD163C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A0B9EC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03009491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4AD669F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Agentura pro zdravotnický výzkum České republiky</w:t>
            </w:r>
          </w:p>
        </w:tc>
      </w:tr>
      <w:tr w:rsidR="00DA059D" w:rsidRPr="00DA059D" w14:paraId="2D95F26E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713AB0E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71009256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73A21F4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Hygienická stanice hlavního města Prahy se sídlem v Praze</w:t>
            </w:r>
          </w:p>
        </w:tc>
      </w:tr>
      <w:tr w:rsidR="00DA059D" w:rsidRPr="00DA059D" w14:paraId="580BCACA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6C823C8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71376500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5B57F2D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Koordinační středisko pro resortní zdravotnické informační systémy</w:t>
            </w:r>
          </w:p>
        </w:tc>
      </w:tr>
      <w:tr w:rsidR="00DA059D" w:rsidRPr="00DA059D" w14:paraId="7826B24F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576F996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71180397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6F5DAF9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Koordinační středisko transplantací</w:t>
            </w:r>
          </w:p>
        </w:tc>
      </w:tr>
      <w:tr w:rsidR="00DA059D" w:rsidRPr="00DA059D" w14:paraId="5943BD80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7F937B3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71009345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57EA797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Jihočeského kraje se sídlem v Českých Budějovicích</w:t>
            </w:r>
          </w:p>
        </w:tc>
      </w:tr>
      <w:tr w:rsidR="00DA059D" w:rsidRPr="00DA059D" w14:paraId="1B27398C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6C9B27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71009191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52D0465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Jihomoravského kraje se sídlem v Brně</w:t>
            </w:r>
          </w:p>
        </w:tc>
      </w:tr>
      <w:tr w:rsidR="00DA059D" w:rsidRPr="00DA059D" w14:paraId="7270F224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4AD75D5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71009281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4324B64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Karlovarského kraje se sídlem v Karlových Varech</w:t>
            </w:r>
          </w:p>
        </w:tc>
      </w:tr>
      <w:tr w:rsidR="00DA059D" w:rsidRPr="00DA059D" w14:paraId="0E352B2F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72064C0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71009311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76A0B46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kraje Vysočina se sídlem v Jihlavě</w:t>
            </w:r>
          </w:p>
        </w:tc>
      </w:tr>
      <w:tr w:rsidR="00DA059D" w:rsidRPr="00DA059D" w14:paraId="02C1B7C8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28C66F3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71009213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5FA61D5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Královéhradeckého kraje se sídlem v Hradci Králové</w:t>
            </w:r>
          </w:p>
        </w:tc>
      </w:tr>
      <w:tr w:rsidR="00DA059D" w:rsidRPr="00DA059D" w14:paraId="6ACFE176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5CB4273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71009302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0650F4E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Libereckého kraje se sídlem v Liberci</w:t>
            </w:r>
          </w:p>
        </w:tc>
      </w:tr>
      <w:tr w:rsidR="00DA059D" w:rsidRPr="00DA059D" w14:paraId="74E798A2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440957C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71009167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3578C34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Moravskoslezského kraje se sídlem v Ostravě</w:t>
            </w:r>
          </w:p>
        </w:tc>
      </w:tr>
      <w:tr w:rsidR="00DA059D" w:rsidRPr="00DA059D" w14:paraId="277045F8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73D7810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71009248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2D7CCA7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Olomouckého kraje se sídlem v Olomouci</w:t>
            </w:r>
          </w:p>
        </w:tc>
      </w:tr>
      <w:tr w:rsidR="00DA059D" w:rsidRPr="00DA059D" w14:paraId="2AFED01B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93915E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71009264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3E0A44D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Pardubického kraje se sídlem v Pardubicích</w:t>
            </w:r>
          </w:p>
        </w:tc>
      </w:tr>
      <w:tr w:rsidR="00DA059D" w:rsidRPr="00DA059D" w14:paraId="3937400D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0C826EE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71009299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02E57E9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Plzeňského kraje se sídlem v Plzni</w:t>
            </w:r>
          </w:p>
        </w:tc>
      </w:tr>
      <w:tr w:rsidR="00DA059D" w:rsidRPr="00DA059D" w14:paraId="6CDBBA66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7A1059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71009159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1760850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Středočeského kraje se sídlem v Praze</w:t>
            </w:r>
          </w:p>
        </w:tc>
      </w:tr>
      <w:tr w:rsidR="00DA059D" w:rsidRPr="00DA059D" w14:paraId="42500E0B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448AD3F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71009183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1CF3715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Ústeckého kraje se sídlem v Ústí nad Labem</w:t>
            </w:r>
          </w:p>
        </w:tc>
      </w:tr>
      <w:tr w:rsidR="00DA059D" w:rsidRPr="00DA059D" w14:paraId="324BBDEC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437840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71009221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30CFE33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Krajská hygienická stanice Zlínského kraje se sídlem ve Zlíně</w:t>
            </w:r>
          </w:p>
        </w:tc>
      </w:tr>
      <w:tr w:rsidR="00DA059D" w:rsidRPr="00DA059D" w14:paraId="453CA064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1EC1C8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00024341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0B36829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Ministerstvo zdravotnictví</w:t>
            </w:r>
          </w:p>
        </w:tc>
      </w:tr>
      <w:tr w:rsidR="00DA059D" w:rsidRPr="00DA059D" w14:paraId="6674EC20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41E1E56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00023825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1229BE4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Národní lékařská knihovna</w:t>
            </w:r>
          </w:p>
        </w:tc>
      </w:tr>
      <w:tr w:rsidR="00DA059D" w:rsidRPr="00DA059D" w14:paraId="2F13E3C6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2E93750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00023817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69FD222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Státní ústav pro kontrolu léčiv</w:t>
            </w:r>
          </w:p>
        </w:tc>
      </w:tr>
      <w:tr w:rsidR="00DA059D" w:rsidRPr="00DA059D" w14:paraId="7D84CAC0" w14:textId="77777777" w:rsidTr="00DA059D">
        <w:trPr>
          <w:trHeight w:val="283"/>
        </w:trPr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2915DFD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00023833</w:t>
            </w:r>
          </w:p>
        </w:tc>
        <w:tc>
          <w:tcPr>
            <w:tcW w:w="3966" w:type="pct"/>
            <w:shd w:val="clear" w:color="auto" w:fill="auto"/>
            <w:noWrap/>
            <w:vAlign w:val="center"/>
            <w:hideMark/>
          </w:tcPr>
          <w:p w14:paraId="4739552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Ústav zdravotnických informací a statistiky ČR</w:t>
            </w:r>
          </w:p>
        </w:tc>
      </w:tr>
    </w:tbl>
    <w:p w14:paraId="6A63252D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7896323F" w14:textId="77777777" w:rsidR="00DA059D" w:rsidRPr="00DA059D" w:rsidRDefault="00DA059D" w:rsidP="00DA059D">
      <w:pPr>
        <w:spacing w:after="0"/>
        <w:jc w:val="both"/>
      </w:pPr>
    </w:p>
    <w:p w14:paraId="3512813D" w14:textId="77777777" w:rsidR="00DA059D" w:rsidRPr="00DA059D" w:rsidRDefault="00DA059D" w:rsidP="00DA059D">
      <w:pPr>
        <w:spacing w:after="0"/>
        <w:jc w:val="both"/>
      </w:pPr>
    </w:p>
    <w:p w14:paraId="21F4DFCC" w14:textId="77777777" w:rsidR="00DA059D" w:rsidRPr="00DA059D" w:rsidRDefault="00DA059D" w:rsidP="00DA059D">
      <w:pPr>
        <w:spacing w:after="0"/>
        <w:jc w:val="center"/>
        <w:outlineLvl w:val="1"/>
        <w:rPr>
          <w:rFonts w:eastAsia="Calibri" w:cs="Calibri"/>
          <w:b/>
        </w:rPr>
      </w:pPr>
      <w:r w:rsidRPr="00DA059D">
        <w:rPr>
          <w:rFonts w:eastAsia="Calibri" w:cs="Calibri"/>
          <w:b/>
        </w:rPr>
        <w:t>Oddíl I. Příjmy v rozpočtové kapitole 335 MZd v letech 2013–2017</w:t>
      </w:r>
    </w:p>
    <w:p w14:paraId="4A3A5865" w14:textId="77777777" w:rsidR="00DA059D" w:rsidRPr="00DA059D" w:rsidRDefault="00DA059D" w:rsidP="00DA059D">
      <w:pPr>
        <w:spacing w:after="0"/>
        <w:jc w:val="both"/>
      </w:pPr>
    </w:p>
    <w:p w14:paraId="3B5DF8E0" w14:textId="029768FE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2" w:name="_Toc520714579"/>
      <w:bookmarkStart w:id="3" w:name="_Toc524590433"/>
      <w:bookmarkStart w:id="4" w:name="_Toc531766422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Příjmy rozpočtové kapitoly 335 MZd </w:t>
      </w:r>
      <w:r w:rsidRPr="00DA059D">
        <w:rPr>
          <w:rFonts w:cs="Calibri"/>
          <w:b/>
          <w:bCs/>
        </w:rPr>
        <w:tab/>
        <w:t>(v Kč</w:t>
      </w:r>
      <w:bookmarkEnd w:id="2"/>
      <w:bookmarkEnd w:id="3"/>
      <w:r w:rsidRPr="00DA059D">
        <w:rPr>
          <w:rFonts w:cs="Calibri"/>
          <w:b/>
          <w:bCs/>
        </w:rPr>
        <w:t>)</w:t>
      </w:r>
      <w:bookmarkEnd w:id="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DA059D" w:rsidRPr="00DA059D" w14:paraId="44A8622D" w14:textId="77777777" w:rsidTr="00DA059D">
        <w:trPr>
          <w:trHeight w:val="283"/>
          <w:tblHeader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F218F9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58DF15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16F6E0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ADC75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6865F7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C09F27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174B073C" w14:textId="77777777" w:rsidTr="00DA059D">
        <w:trPr>
          <w:trHeight w:val="28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3E1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8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533 057 000,00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9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1 569 958 768,00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86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2 562 011 572,00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5B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1 540 361 700,00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39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1 092 520 000,00</w:t>
            </w:r>
          </w:p>
        </w:tc>
      </w:tr>
      <w:tr w:rsidR="00DA059D" w:rsidRPr="00DA059D" w14:paraId="50617FE8" w14:textId="77777777" w:rsidTr="00DA059D">
        <w:trPr>
          <w:trHeight w:val="28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55E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2E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534 502 000,00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4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2 416 174 467,00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3E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4 706 810 846,00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66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1 540 361 700,00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8BD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1 923 047 508,00</w:t>
            </w:r>
          </w:p>
        </w:tc>
      </w:tr>
      <w:tr w:rsidR="00DA059D" w:rsidRPr="00DA059D" w14:paraId="249F4B79" w14:textId="77777777" w:rsidTr="00DA059D">
        <w:trPr>
          <w:trHeight w:val="28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BCD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B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822 081 866,32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7D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2 183 352 638,31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5D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4 614 426 437,00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7D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3 716 662 002,42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9D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901 079 831,41</w:t>
            </w:r>
          </w:p>
        </w:tc>
      </w:tr>
    </w:tbl>
    <w:p w14:paraId="0E1F1556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5" w:name="_Toc520714580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59823671" w14:textId="77777777" w:rsidR="00DA059D" w:rsidRPr="00DA059D" w:rsidRDefault="00DA059D" w:rsidP="00DA059D">
      <w:pPr>
        <w:spacing w:after="0"/>
        <w:jc w:val="both"/>
      </w:pPr>
    </w:p>
    <w:p w14:paraId="736F81B6" w14:textId="77777777" w:rsidR="00DA059D" w:rsidRPr="00DA059D" w:rsidRDefault="00DA059D" w:rsidP="00DA059D">
      <w:pPr>
        <w:spacing w:after="0"/>
        <w:jc w:val="both"/>
      </w:pPr>
    </w:p>
    <w:p w14:paraId="17D01C34" w14:textId="1D9CADAA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6" w:name="_Toc524590434"/>
      <w:bookmarkStart w:id="7" w:name="_Toc531766423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Příjmy MZd </w:t>
      </w:r>
      <w:r w:rsidRPr="00DA059D">
        <w:rPr>
          <w:rFonts w:cs="Calibri"/>
          <w:b/>
          <w:bCs/>
        </w:rPr>
        <w:tab/>
        <w:t>(v Kč</w:t>
      </w:r>
      <w:bookmarkEnd w:id="5"/>
      <w:bookmarkEnd w:id="6"/>
      <w:r w:rsidRPr="00DA059D">
        <w:rPr>
          <w:rFonts w:cs="Calibri"/>
          <w:b/>
          <w:bCs/>
        </w:rPr>
        <w:t>)</w:t>
      </w:r>
      <w:bookmarkEnd w:id="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DA059D" w:rsidRPr="00DA059D" w14:paraId="7918356F" w14:textId="77777777" w:rsidTr="00DA059D">
        <w:trPr>
          <w:trHeight w:val="283"/>
          <w:tblHeader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5D6BEC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6086A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1A38F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07369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C60BC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BFCC9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4FAB1D2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43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2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501 470 000,00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5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1 553 558 768,00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7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2 534 811 572,00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3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1 513 161 700,00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7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991 273 277,00</w:t>
            </w:r>
          </w:p>
        </w:tc>
      </w:tr>
      <w:tr w:rsidR="00DA059D" w:rsidRPr="00DA059D" w14:paraId="5906CD27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4C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8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502 915 000,00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5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2 399 774 467,00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E3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4 563 052 105,00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6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1 482 270 527,00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1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1 815 425 697,00</w:t>
            </w:r>
          </w:p>
        </w:tc>
      </w:tr>
      <w:tr w:rsidR="00DA059D" w:rsidRPr="00DA059D" w14:paraId="08D39A3F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2C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F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512 518 292,32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0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1 613 461 746,07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7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3 955 885 901,66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B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3 151 318 450,27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339 723 483,98</w:t>
            </w:r>
          </w:p>
        </w:tc>
      </w:tr>
    </w:tbl>
    <w:p w14:paraId="38D11863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8" w:name="_Toc520714581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48A15BF7" w14:textId="77777777" w:rsidR="00DA059D" w:rsidRPr="00DA059D" w:rsidRDefault="00DA059D" w:rsidP="00DA059D">
      <w:pPr>
        <w:spacing w:after="0"/>
        <w:jc w:val="both"/>
      </w:pPr>
    </w:p>
    <w:p w14:paraId="7151EFF0" w14:textId="46457898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9" w:name="_Toc524590435"/>
      <w:bookmarkStart w:id="10" w:name="_Toc53176642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Příjmy ostatních OSS rozpočtové kapitoly 335 MZd (bez MZd) </w:t>
      </w:r>
      <w:r w:rsidRPr="00DA059D">
        <w:rPr>
          <w:rFonts w:cs="Calibri"/>
          <w:b/>
          <w:bCs/>
        </w:rPr>
        <w:tab/>
        <w:t>(v Kč</w:t>
      </w:r>
      <w:bookmarkEnd w:id="8"/>
      <w:bookmarkEnd w:id="9"/>
      <w:r w:rsidRPr="00DA059D">
        <w:rPr>
          <w:rFonts w:cs="Calibri"/>
          <w:b/>
          <w:bCs/>
        </w:rPr>
        <w:t>)</w:t>
      </w:r>
      <w:bookmarkEnd w:id="1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DA059D" w:rsidRPr="00DA059D" w14:paraId="75FEF720" w14:textId="77777777" w:rsidTr="00DA059D">
        <w:trPr>
          <w:trHeight w:val="283"/>
          <w:tblHeader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6EC8E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1DB2A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5BE38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34554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B7AD3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7C70C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A9333AB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45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91B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31 587 000,00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06AD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16 400 000,00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AD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27 200 000,00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B02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27 200 000,00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861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101 246 723,00</w:t>
            </w:r>
          </w:p>
        </w:tc>
      </w:tr>
      <w:tr w:rsidR="00DA059D" w:rsidRPr="00DA059D" w14:paraId="0EBAED2F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DEA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2A45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31 587 000,00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A1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16 400 000,00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38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143 758 741,00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2AF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58 091 173,00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D6A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107 621 811,00</w:t>
            </w:r>
          </w:p>
        </w:tc>
      </w:tr>
      <w:tr w:rsidR="00DA059D" w:rsidRPr="00DA059D" w14:paraId="38D02417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D71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CEAC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309 563 574,00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683D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569 890 892,24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B823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658 540 535,34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F79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565 343 552,15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7D1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561 356 347,43</w:t>
            </w:r>
          </w:p>
        </w:tc>
      </w:tr>
    </w:tbl>
    <w:p w14:paraId="24055183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7B14C92E" w14:textId="77777777" w:rsidR="00DA059D" w:rsidRPr="00DA059D" w:rsidRDefault="00DA059D" w:rsidP="00DA059D">
      <w:pPr>
        <w:spacing w:after="0"/>
        <w:jc w:val="both"/>
      </w:pPr>
    </w:p>
    <w:p w14:paraId="6776EB8F" w14:textId="546C667E" w:rsidR="00DA059D" w:rsidRPr="00DA059D" w:rsidRDefault="00DA059D" w:rsidP="00DA059D">
      <w:pPr>
        <w:jc w:val="both"/>
      </w:pPr>
      <w:r w:rsidRPr="00DA059D">
        <w:t>V roce 2017 tvořily příjmy MZd (</w:t>
      </w:r>
      <w:r w:rsidRPr="002915A8">
        <w:t xml:space="preserve">skutečnost) </w:t>
      </w:r>
      <w:r w:rsidRPr="006C1B1F">
        <w:rPr>
          <w:b/>
        </w:rPr>
        <w:t>37,7 %</w:t>
      </w:r>
      <w:r w:rsidRPr="002915A8">
        <w:t xml:space="preserve"> příjmů všech OSS rozpočtové kapitoly 335</w:t>
      </w:r>
      <w:r w:rsidR="002915A8">
        <w:t> </w:t>
      </w:r>
      <w:r w:rsidRPr="002915A8">
        <w:t xml:space="preserve">MZd (skutečnost). V roce 2016 to bylo </w:t>
      </w:r>
      <w:r w:rsidRPr="006C1B1F">
        <w:rPr>
          <w:b/>
        </w:rPr>
        <w:t>84,79 %.</w:t>
      </w:r>
      <w:r w:rsidRPr="002915A8">
        <w:t xml:space="preserve"> Skutečné</w:t>
      </w:r>
      <w:r w:rsidRPr="00DA059D">
        <w:t xml:space="preserve"> příjmy MZd byly v letech 2013 a</w:t>
      </w:r>
      <w:r w:rsidR="002915A8">
        <w:t> </w:t>
      </w:r>
      <w:r w:rsidRPr="00DA059D">
        <w:t>2016 vyšší než rozpočet po změnách. Do roku 2015 skutečné příjmy rostly, ale od tohoto roku mají klesající tendenci. Vývoj příjmů MZd v období 2013–2017 má obdobné tendence jako příjmy rozpočtové kapitoly 335 MZd.</w:t>
      </w:r>
    </w:p>
    <w:p w14:paraId="5837C4E9" w14:textId="183276BC" w:rsidR="00DA059D" w:rsidRPr="00DA059D" w:rsidRDefault="00DA059D" w:rsidP="00DA059D">
      <w:pPr>
        <w:jc w:val="both"/>
      </w:pPr>
      <w:r w:rsidRPr="00DA059D">
        <w:t xml:space="preserve">Nenaplněné příjmy (skutečnost) v roce 2017 se týkají převážně příjmů, které byly rozpočtovány jako příjem z rozpočtu EU a z finančních mechanismů a v rozpočtovém roce 2017 nebyly připsány na příjmový účet státního rozpočtu. Dle ustanovení § 25 rozpočtových pravidel nebylo MZd povinno vázat prostředky státního rozpočtu. Růst skutečných příjmů byl v roce 2014 způsoben růstem položek 2434 – </w:t>
      </w:r>
      <w:r w:rsidRPr="00DA059D">
        <w:rPr>
          <w:i/>
        </w:rPr>
        <w:t xml:space="preserve">Splátky půjčených prostředků od fondů sociálního a zdravotního pojištění </w:t>
      </w:r>
      <w:r w:rsidRPr="00DA059D">
        <w:t xml:space="preserve">(navýšení o 700 mil. Kč z titulu splátky půjčených prostředků od VZP) a 4118 – </w:t>
      </w:r>
      <w:r w:rsidRPr="00DA059D">
        <w:rPr>
          <w:i/>
        </w:rPr>
        <w:t xml:space="preserve">Neinvestiční převody z Národního fondu </w:t>
      </w:r>
      <w:r w:rsidRPr="00DA059D">
        <w:t xml:space="preserve">(o 352 mil. Kč) a v roce 2015 růstem položky 2129 – </w:t>
      </w:r>
      <w:r w:rsidRPr="00DA059D">
        <w:rPr>
          <w:i/>
        </w:rPr>
        <w:t>Ostatní odvody přebytků organizací s přímým vztahem</w:t>
      </w:r>
      <w:r w:rsidRPr="00DA059D">
        <w:t xml:space="preserve"> (o</w:t>
      </w:r>
      <w:r w:rsidR="006C1B1F">
        <w:t xml:space="preserve"> </w:t>
      </w:r>
      <w:r w:rsidRPr="00DA059D">
        <w:t>1,7</w:t>
      </w:r>
      <w:r w:rsidR="006C1B1F">
        <w:t xml:space="preserve"> </w:t>
      </w:r>
      <w:r w:rsidRPr="00DA059D">
        <w:t xml:space="preserve">mld. Kč) </w:t>
      </w:r>
      <w:r w:rsidR="002915A8">
        <w:br/>
      </w:r>
      <w:r w:rsidRPr="00DA059D">
        <w:t xml:space="preserve">a 4218 – </w:t>
      </w:r>
      <w:r w:rsidRPr="00DA059D">
        <w:rPr>
          <w:i/>
        </w:rPr>
        <w:t>Investiční převody z Národního fondu</w:t>
      </w:r>
      <w:r w:rsidRPr="00DA059D">
        <w:t xml:space="preserve"> (o 1,69 mld. Kč). </w:t>
      </w:r>
    </w:p>
    <w:p w14:paraId="6E89F110" w14:textId="7A14988C" w:rsidR="00DA059D" w:rsidRPr="00DA059D" w:rsidRDefault="00DA059D" w:rsidP="00DA059D">
      <w:pPr>
        <w:jc w:val="both"/>
      </w:pPr>
      <w:r w:rsidRPr="00DA059D">
        <w:t xml:space="preserve">Pokles skutečných příjmů v roce 2016 byl zapříčiněn především poklesem položky </w:t>
      </w:r>
      <w:r w:rsidRPr="00DA059D">
        <w:br/>
        <w:t xml:space="preserve">2129 – </w:t>
      </w:r>
      <w:r w:rsidRPr="00DA059D">
        <w:rPr>
          <w:i/>
        </w:rPr>
        <w:t>Ostatní odvody přebytků organizací s přímým vztahem</w:t>
      </w:r>
      <w:r w:rsidRPr="00DA059D">
        <w:t xml:space="preserve">, na kterou byly v roce 2015 odvedeny </w:t>
      </w:r>
      <w:r w:rsidRPr="00DA059D">
        <w:rPr>
          <w:rFonts w:cs="Arial"/>
          <w:szCs w:val="22"/>
        </w:rPr>
        <w:t xml:space="preserve">prostředky SÚKL dle ustanovení § 112 odst. 5 zákona č. 378/2007 Sb., </w:t>
      </w:r>
      <w:r w:rsidRPr="00DA059D">
        <w:t>o léčivech a o</w:t>
      </w:r>
      <w:r w:rsidR="002915A8">
        <w:t> </w:t>
      </w:r>
      <w:r w:rsidRPr="00DA059D">
        <w:t xml:space="preserve">změnách některých souvisejících zákonů (zákon o léčivech), </w:t>
      </w:r>
      <w:r w:rsidRPr="00DA059D">
        <w:rPr>
          <w:rFonts w:cs="Arial"/>
          <w:szCs w:val="22"/>
        </w:rPr>
        <w:t>ve výši 1</w:t>
      </w:r>
      <w:r w:rsidR="006C1B1F">
        <w:rPr>
          <w:rFonts w:cs="Arial"/>
          <w:szCs w:val="22"/>
        </w:rPr>
        <w:t xml:space="preserve"> </w:t>
      </w:r>
      <w:r w:rsidRPr="00DA059D">
        <w:rPr>
          <w:rFonts w:cs="Arial"/>
          <w:szCs w:val="22"/>
        </w:rPr>
        <w:t>700</w:t>
      </w:r>
      <w:r w:rsidR="006C1B1F">
        <w:rPr>
          <w:rFonts w:cs="Arial"/>
          <w:szCs w:val="22"/>
        </w:rPr>
        <w:t xml:space="preserve"> 000 000 </w:t>
      </w:r>
      <w:r w:rsidRPr="00DA059D">
        <w:rPr>
          <w:rFonts w:cs="Arial"/>
          <w:szCs w:val="22"/>
        </w:rPr>
        <w:t xml:space="preserve">Kč. </w:t>
      </w:r>
      <w:r w:rsidRPr="00DA059D">
        <w:t xml:space="preserve">Kdyby nedošlo k tomuto jednorázovému výkyvu, trend vývoje příjmů by byl rostoucí od roku 2013 do roku 2016. Největší nárůst byl v roce 2016 způsoben růstem položky 4218 – </w:t>
      </w:r>
      <w:r w:rsidRPr="00DA059D">
        <w:rPr>
          <w:i/>
        </w:rPr>
        <w:t>Investiční převody z Národního fondu</w:t>
      </w:r>
      <w:r w:rsidRPr="00DA059D">
        <w:t xml:space="preserve"> (o 764 mil. Kč). Pokles v roce 2017 byl ovlivněn především poklesem položky 4218 – </w:t>
      </w:r>
      <w:r w:rsidRPr="00DA059D">
        <w:rPr>
          <w:i/>
        </w:rPr>
        <w:t>Investiční převody z Národního fondu</w:t>
      </w:r>
      <w:r w:rsidRPr="00DA059D">
        <w:t xml:space="preserve"> (o 2,26 mld. Kč) a poklesem položky 2434 – </w:t>
      </w:r>
      <w:r w:rsidRPr="00DA059D">
        <w:rPr>
          <w:i/>
        </w:rPr>
        <w:t>Splátky půjčených prostředků od fondů sociálního a zdravotního pojištění</w:t>
      </w:r>
      <w:r w:rsidRPr="00DA059D">
        <w:t xml:space="preserve"> (o 500 mil. Kč).</w:t>
      </w:r>
    </w:p>
    <w:p w14:paraId="3CF1EB86" w14:textId="77777777" w:rsidR="00DA059D" w:rsidRPr="00DA059D" w:rsidRDefault="00DA059D" w:rsidP="00DA059D">
      <w:pPr>
        <w:jc w:val="both"/>
      </w:pPr>
      <w:r w:rsidRPr="00DA059D">
        <w:t xml:space="preserve">V roce 2017 měly u MZd největší podíl na celkových příjmech položky 4118 – </w:t>
      </w:r>
      <w:r w:rsidRPr="00DA059D">
        <w:rPr>
          <w:i/>
        </w:rPr>
        <w:t>Neinvestiční převody z Národního fondu</w:t>
      </w:r>
      <w:r w:rsidRPr="00DA059D">
        <w:t xml:space="preserve"> (65,21 %) a 4218 – </w:t>
      </w:r>
      <w:r w:rsidRPr="00DA059D">
        <w:rPr>
          <w:i/>
        </w:rPr>
        <w:t>Investiční převody z Národního fondu</w:t>
      </w:r>
      <w:r w:rsidRPr="00DA059D">
        <w:t xml:space="preserve"> (25,86 %). V roce 2017 byly skutečné příjmy MZd o 1,48 mld. Kč nižší než rozpočet po změnách.</w:t>
      </w:r>
    </w:p>
    <w:p w14:paraId="27E53F22" w14:textId="77777777" w:rsidR="00DA059D" w:rsidRPr="00DA059D" w:rsidRDefault="00DA059D" w:rsidP="00DA059D">
      <w:pPr>
        <w:spacing w:after="0"/>
      </w:pPr>
      <w:r w:rsidRPr="00DA059D">
        <w:br w:type="page"/>
      </w:r>
    </w:p>
    <w:p w14:paraId="20B3D1D2" w14:textId="77777777" w:rsidR="00DA059D" w:rsidRPr="00DA059D" w:rsidRDefault="00DA059D" w:rsidP="00DA059D">
      <w:pPr>
        <w:spacing w:after="0"/>
        <w:jc w:val="center"/>
        <w:outlineLvl w:val="1"/>
        <w:rPr>
          <w:rFonts w:eastAsia="Calibri" w:cs="Calibri"/>
          <w:b/>
          <w:szCs w:val="20"/>
        </w:rPr>
      </w:pPr>
      <w:r w:rsidRPr="00DA059D">
        <w:rPr>
          <w:rFonts w:eastAsia="Calibri" w:cs="Calibri"/>
          <w:b/>
          <w:szCs w:val="20"/>
        </w:rPr>
        <w:lastRenderedPageBreak/>
        <w:t>Oddíl II. Výdaje v rozpočtové kapitole 335 MZd v letech 2013–2017</w:t>
      </w:r>
    </w:p>
    <w:p w14:paraId="2D85304B" w14:textId="77777777" w:rsidR="00DA059D" w:rsidRPr="00DA059D" w:rsidRDefault="00DA059D" w:rsidP="00DA059D">
      <w:pPr>
        <w:spacing w:after="0"/>
        <w:jc w:val="both"/>
      </w:pPr>
    </w:p>
    <w:p w14:paraId="699A8044" w14:textId="56219CE9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11" w:name="_Toc520714582"/>
      <w:bookmarkStart w:id="12" w:name="_Toc524590439"/>
      <w:bookmarkStart w:id="13" w:name="_Toc531766425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5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Výdaje rozpočtové kapitoly 335 MZd </w:t>
      </w:r>
      <w:r w:rsidRPr="00DA059D">
        <w:rPr>
          <w:rFonts w:cs="Calibri"/>
          <w:b/>
          <w:bCs/>
          <w:szCs w:val="20"/>
        </w:rPr>
        <w:tab/>
        <w:t>(v Kč</w:t>
      </w:r>
      <w:bookmarkEnd w:id="11"/>
      <w:bookmarkEnd w:id="12"/>
      <w:r w:rsidRPr="00DA059D">
        <w:rPr>
          <w:rFonts w:cs="Calibri"/>
          <w:b/>
          <w:bCs/>
          <w:szCs w:val="20"/>
        </w:rPr>
        <w:t>)</w:t>
      </w:r>
      <w:bookmarkEnd w:id="13"/>
    </w:p>
    <w:tbl>
      <w:tblPr>
        <w:tblW w:w="5032" w:type="pct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1438"/>
        <w:gridCol w:w="1438"/>
        <w:gridCol w:w="1438"/>
        <w:gridCol w:w="1438"/>
        <w:gridCol w:w="1439"/>
      </w:tblGrid>
      <w:tr w:rsidR="00DA059D" w:rsidRPr="00DA059D" w14:paraId="15BA9436" w14:textId="77777777" w:rsidTr="00C56880">
        <w:trPr>
          <w:trHeight w:val="283"/>
          <w:tblHeader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37946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46371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BC8C9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69E31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3963E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FB9CB5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7AD31785" w14:textId="77777777" w:rsidTr="00C56880">
        <w:trPr>
          <w:trHeight w:val="283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9B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8B07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6 455 837 000,00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5B31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6 810 656 472,00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43DD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6 801 226 486,00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3FB1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7 143 365 442,00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2AF1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7 286 341 404,00</w:t>
            </w:r>
          </w:p>
        </w:tc>
      </w:tr>
      <w:tr w:rsidR="00DA059D" w:rsidRPr="00DA059D" w14:paraId="495F5D12" w14:textId="77777777" w:rsidTr="00C56880">
        <w:trPr>
          <w:trHeight w:val="283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3D7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79F6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8 170 234 143,00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9EA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8 334 318 841,00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F655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9 041 615 398,00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055A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7 795 741 087,00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2BCF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8 652 801 768,00</w:t>
            </w:r>
          </w:p>
        </w:tc>
      </w:tr>
      <w:tr w:rsidR="00DA059D" w:rsidRPr="00DA059D" w14:paraId="72B9640F" w14:textId="77777777" w:rsidTr="00C56880">
        <w:trPr>
          <w:trHeight w:val="283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503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E4D6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10 476 106 669,76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A895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12 641 162 862,51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1081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15 140 769 456,16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FD6E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14 574 567 135,31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3343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14 767 932 111,56</w:t>
            </w:r>
          </w:p>
        </w:tc>
      </w:tr>
      <w:tr w:rsidR="00DA059D" w:rsidRPr="00DA059D" w14:paraId="5DCE4164" w14:textId="77777777" w:rsidTr="00C56880">
        <w:trPr>
          <w:trHeight w:val="283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1A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5E7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7 368 732 590,95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601C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7 185 329 248,01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CF17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8 528 918 468,38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72AE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8 162 261 357,64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86F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7 980 709 618,35</w:t>
            </w:r>
          </w:p>
        </w:tc>
      </w:tr>
    </w:tbl>
    <w:p w14:paraId="4CAF75B7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4" w:name="_Toc520714583"/>
      <w:r w:rsidRPr="00DA059D">
        <w:rPr>
          <w:rFonts w:cs="Calibri"/>
          <w:b/>
          <w:sz w:val="20"/>
          <w:szCs w:val="20"/>
        </w:rPr>
        <w:t>Zdroj: i</w:t>
      </w:r>
      <w:r w:rsidRPr="00DA059D">
        <w:rPr>
          <w:rFonts w:cs="Calibri"/>
          <w:sz w:val="20"/>
          <w:szCs w:val="20"/>
        </w:rPr>
        <w:t>nformační portál MONITOR.</w:t>
      </w:r>
    </w:p>
    <w:p w14:paraId="0243C5E6" w14:textId="77777777" w:rsidR="00DA059D" w:rsidRPr="00DA059D" w:rsidRDefault="00DA059D" w:rsidP="00DA059D">
      <w:pPr>
        <w:spacing w:after="0"/>
        <w:jc w:val="both"/>
      </w:pPr>
    </w:p>
    <w:p w14:paraId="7D0BC8EA" w14:textId="493B83B3" w:rsidR="00DA059D" w:rsidRPr="00DA059D" w:rsidRDefault="00DA059D" w:rsidP="00C56880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15" w:name="_Toc524590440"/>
      <w:bookmarkStart w:id="16" w:name="_Toc531766426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6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Výdaje MZd </w:t>
      </w:r>
      <w:r w:rsidRPr="00DA059D">
        <w:rPr>
          <w:rFonts w:cs="Calibri"/>
          <w:b/>
          <w:bCs/>
          <w:szCs w:val="20"/>
        </w:rPr>
        <w:tab/>
        <w:t>(v Kč</w:t>
      </w:r>
      <w:bookmarkEnd w:id="14"/>
      <w:bookmarkEnd w:id="15"/>
      <w:r w:rsidRPr="00DA059D">
        <w:rPr>
          <w:rFonts w:cs="Calibri"/>
          <w:b/>
          <w:bCs/>
          <w:szCs w:val="20"/>
        </w:rPr>
        <w:t>)</w:t>
      </w:r>
      <w:bookmarkEnd w:id="16"/>
    </w:p>
    <w:tbl>
      <w:tblPr>
        <w:tblW w:w="91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1390"/>
        <w:gridCol w:w="1467"/>
        <w:gridCol w:w="1467"/>
        <w:gridCol w:w="1467"/>
        <w:gridCol w:w="1467"/>
      </w:tblGrid>
      <w:tr w:rsidR="00C56880" w:rsidRPr="00DA059D" w14:paraId="107DC006" w14:textId="77777777" w:rsidTr="00C56880">
        <w:trPr>
          <w:trHeight w:val="283"/>
          <w:tblHeader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27BA5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24536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A162C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58230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445AC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5B1D3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C56880" w:rsidRPr="00DA059D" w14:paraId="15CA9B18" w14:textId="77777777" w:rsidTr="00C56880">
        <w:trPr>
          <w:trHeight w:val="283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A4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52AA" w14:textId="77777777" w:rsidR="00DA059D" w:rsidRPr="00DA059D" w:rsidRDefault="00DA059D" w:rsidP="00C56880">
            <w:pPr>
              <w:spacing w:after="0"/>
              <w:ind w:left="-91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5 058 706 000,00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48E8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5 393 784 189,00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BD9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5 276 750 600,00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B3AD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5 561 000 616,00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D6AE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5 470 139 986,00</w:t>
            </w:r>
          </w:p>
        </w:tc>
      </w:tr>
      <w:tr w:rsidR="00C56880" w:rsidRPr="00DA059D" w14:paraId="325B2BA2" w14:textId="77777777" w:rsidTr="00C56880">
        <w:trPr>
          <w:trHeight w:val="283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EF2" w14:textId="77777777" w:rsidR="00DA059D" w:rsidRPr="00DA059D" w:rsidRDefault="00DA059D" w:rsidP="00C56880">
            <w:pPr>
              <w:spacing w:after="0"/>
              <w:ind w:right="-8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585F" w14:textId="77777777" w:rsidR="00DA059D" w:rsidRPr="00DA059D" w:rsidRDefault="00DA059D" w:rsidP="00C56880">
            <w:pPr>
              <w:spacing w:after="0"/>
              <w:ind w:left="-91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6 713 286 194,00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FFA9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6 825 756 780,00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FDB8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7 280 339 902,00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311E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6 020 042 263,78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2B5B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6 665 634 795,00</w:t>
            </w:r>
          </w:p>
        </w:tc>
      </w:tr>
      <w:tr w:rsidR="00C56880" w:rsidRPr="00DA059D" w14:paraId="580EF646" w14:textId="77777777" w:rsidTr="00C56880">
        <w:trPr>
          <w:trHeight w:val="283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BD1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1F7F" w14:textId="77777777" w:rsidR="00DA059D" w:rsidRPr="00DA059D" w:rsidRDefault="00DA059D" w:rsidP="00C56880">
            <w:pPr>
              <w:spacing w:after="0"/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8 372 205 147,53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41BF" w14:textId="77777777" w:rsidR="00DA059D" w:rsidRPr="00DA059D" w:rsidRDefault="00DA059D" w:rsidP="00DA059D">
            <w:pPr>
              <w:spacing w:after="0"/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10 534 806 858,35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2AD5" w14:textId="77777777" w:rsidR="00DA059D" w:rsidRPr="00DA059D" w:rsidRDefault="00DA059D" w:rsidP="00DA059D">
            <w:pPr>
              <w:spacing w:after="0"/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12 854 731 349,83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D55" w14:textId="77777777" w:rsidR="00DA059D" w:rsidRPr="00DA059D" w:rsidRDefault="00DA059D" w:rsidP="00DA059D">
            <w:pPr>
              <w:spacing w:after="0"/>
              <w:ind w:left="-128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12 307 086 152,11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5216" w14:textId="77777777" w:rsidR="00DA059D" w:rsidRPr="00DA059D" w:rsidRDefault="00DA059D" w:rsidP="00DA059D">
            <w:pPr>
              <w:spacing w:after="0"/>
              <w:ind w:left="-151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12 197 694 842,44</w:t>
            </w:r>
          </w:p>
        </w:tc>
      </w:tr>
      <w:tr w:rsidR="00C56880" w:rsidRPr="00DA059D" w14:paraId="5C371628" w14:textId="77777777" w:rsidTr="00C56880">
        <w:trPr>
          <w:trHeight w:val="283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4E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AEB6" w14:textId="77777777" w:rsidR="00DA059D" w:rsidRPr="00DA059D" w:rsidRDefault="00DA059D" w:rsidP="00C56880">
            <w:pPr>
              <w:spacing w:after="0"/>
              <w:ind w:left="-91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5 471 486 852,67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4432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5 158 582 362,94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285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6 421 604 033,09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E33A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5 996 827 371,65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F134" w14:textId="77777777" w:rsidR="00DA059D" w:rsidRPr="00DA059D" w:rsidRDefault="00DA059D" w:rsidP="00DA059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A059D">
              <w:rPr>
                <w:color w:val="000000"/>
                <w:sz w:val="18"/>
                <w:szCs w:val="18"/>
              </w:rPr>
              <w:t>5 730 579 316,32</w:t>
            </w:r>
          </w:p>
        </w:tc>
      </w:tr>
    </w:tbl>
    <w:p w14:paraId="4859D432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7" w:name="_Toc520714584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92E6FEF" w14:textId="77777777" w:rsidR="00DA059D" w:rsidRPr="00DA059D" w:rsidRDefault="00DA059D" w:rsidP="00DA059D">
      <w:pPr>
        <w:spacing w:after="0"/>
        <w:jc w:val="both"/>
      </w:pPr>
    </w:p>
    <w:p w14:paraId="458901A2" w14:textId="2A573215" w:rsidR="00DA059D" w:rsidRPr="00DA059D" w:rsidRDefault="00DA059D" w:rsidP="00C56880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18" w:name="_Toc524590441"/>
      <w:bookmarkStart w:id="19" w:name="_Toc531766427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7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Výdaje ostatních OSS rozpočtové kapitoly 335 MZd (bez MZd) </w:t>
      </w:r>
      <w:r w:rsidRPr="00DA059D">
        <w:rPr>
          <w:rFonts w:cs="Calibri"/>
          <w:b/>
          <w:bCs/>
          <w:szCs w:val="20"/>
        </w:rPr>
        <w:tab/>
        <w:t>(v Kč</w:t>
      </w:r>
      <w:bookmarkEnd w:id="17"/>
      <w:bookmarkEnd w:id="18"/>
      <w:r w:rsidRPr="00DA059D">
        <w:rPr>
          <w:rFonts w:cs="Calibri"/>
          <w:b/>
          <w:bCs/>
          <w:szCs w:val="20"/>
        </w:rPr>
        <w:t>)</w:t>
      </w:r>
      <w:bookmarkEnd w:id="19"/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47"/>
        <w:gridCol w:w="1447"/>
        <w:gridCol w:w="1447"/>
        <w:gridCol w:w="1447"/>
        <w:gridCol w:w="1443"/>
      </w:tblGrid>
      <w:tr w:rsidR="00DA059D" w:rsidRPr="00DA059D" w14:paraId="5F45F95E" w14:textId="77777777" w:rsidTr="00C56880">
        <w:trPr>
          <w:trHeight w:val="283"/>
          <w:tblHeader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108D9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14258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F19AA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C7631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325D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34FFC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373E9ACA" w14:textId="77777777" w:rsidTr="00C56880">
        <w:trPr>
          <w:trHeight w:val="283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74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70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1 397 131 000,00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8D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1 416 872 283,00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4E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1 524 475 886,00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D2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1 582 364 826,00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04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1 816 201 418,00</w:t>
            </w:r>
          </w:p>
        </w:tc>
      </w:tr>
      <w:tr w:rsidR="00DA059D" w:rsidRPr="00DA059D" w14:paraId="17F33090" w14:textId="77777777" w:rsidTr="00C56880">
        <w:trPr>
          <w:trHeight w:val="283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1A2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99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1 456 947 949,00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60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1 508 562 061,00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41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1 761 275 496,00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D4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1 775 698 823,22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2C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1 987 166 973,00</w:t>
            </w:r>
          </w:p>
        </w:tc>
      </w:tr>
      <w:tr w:rsidR="00DA059D" w:rsidRPr="00DA059D" w14:paraId="71BE7C9E" w14:textId="77777777" w:rsidTr="00C56880">
        <w:trPr>
          <w:trHeight w:val="283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D2D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43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2 103 901 522,23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4F0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2 106 356 004,16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BB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2 286 038 106,33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54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2 267 480 983,20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AC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2 570 237 269,12</w:t>
            </w:r>
          </w:p>
        </w:tc>
      </w:tr>
      <w:tr w:rsidR="00DA059D" w:rsidRPr="00DA059D" w14:paraId="76881C26" w14:textId="77777777" w:rsidTr="00C56880">
        <w:trPr>
          <w:trHeight w:val="283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06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AE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1 897 245 738,28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5C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2 026 746 885,07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81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2 107 314 435,29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FA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2 165 433 985,99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57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2 250 130 302,03</w:t>
            </w:r>
          </w:p>
        </w:tc>
      </w:tr>
    </w:tbl>
    <w:p w14:paraId="5EACE559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29E777CD" w14:textId="77777777" w:rsidR="00DA059D" w:rsidRPr="00DA059D" w:rsidRDefault="00DA059D" w:rsidP="00DA059D">
      <w:pPr>
        <w:spacing w:after="0"/>
        <w:jc w:val="both"/>
      </w:pPr>
    </w:p>
    <w:p w14:paraId="2FEBBF9A" w14:textId="77777777" w:rsidR="00DA059D" w:rsidRPr="002915A8" w:rsidRDefault="00DA059D" w:rsidP="00DA059D">
      <w:pPr>
        <w:jc w:val="both"/>
      </w:pPr>
      <w:r w:rsidRPr="00DA059D">
        <w:t>V roce 2017 tvořily výdaje MZd (</w:t>
      </w:r>
      <w:r w:rsidRPr="002915A8">
        <w:t xml:space="preserve">skutečnost) </w:t>
      </w:r>
      <w:r w:rsidRPr="00C56880">
        <w:rPr>
          <w:b/>
        </w:rPr>
        <w:t>71,81 %</w:t>
      </w:r>
      <w:r w:rsidRPr="002915A8">
        <w:t xml:space="preserve"> výdajů všech OSS rozpočtové kapitoly 335 MZd (skutečnost). V roce 2016 to bylo </w:t>
      </w:r>
      <w:r w:rsidRPr="00C56880">
        <w:rPr>
          <w:b/>
        </w:rPr>
        <w:t>73,47 %.</w:t>
      </w:r>
    </w:p>
    <w:p w14:paraId="02223F68" w14:textId="77777777" w:rsidR="00DA059D" w:rsidRPr="00DA059D" w:rsidRDefault="00DA059D" w:rsidP="00DA059D">
      <w:pPr>
        <w:jc w:val="both"/>
      </w:pPr>
      <w:r w:rsidRPr="00DA059D">
        <w:t>Konečný rozpočet výdajů MZd byl v období let 2013–2017 vyšší než schválený rozpočet. Skutečné čerpání výdajů bylo po celé sledované období nižší než konečný rozpočet. Vývoj výdajů MZd v období 2013–2017 má obdobné tendence jako vývoj výdajů rozpočtové kapitoly 335 MZd.</w:t>
      </w:r>
    </w:p>
    <w:p w14:paraId="76E71EB1" w14:textId="77777777" w:rsidR="00DA059D" w:rsidRPr="00DA059D" w:rsidRDefault="00DA059D" w:rsidP="00DA059D">
      <w:pPr>
        <w:jc w:val="both"/>
      </w:pPr>
      <w:r w:rsidRPr="00DA059D">
        <w:t xml:space="preserve">V období 2013–2017 nedocházelo ve vývoji výdajů k výrazným skokům, k růstu výdajů došlo jen mezi lety 2014 a 2015, ve zbývajících letech je trend klesající. Růst ve zmiňovaném období byl zapříčiněn především rozpočtovým paragrafem 3549 – </w:t>
      </w:r>
      <w:r w:rsidRPr="00DA059D">
        <w:rPr>
          <w:i/>
        </w:rPr>
        <w:t>Ostatní speciální zdravotnická péče</w:t>
      </w:r>
      <w:r w:rsidRPr="00DA059D">
        <w:t>, kde došlo k růstu o 1,22 mld. Kč. V roce 2016 bylo naopak především tímto paragrafem způsobeno snížení výdajů, když na paragrafu 3549 došlo k poklesu o 1,4 mld. Kč.</w:t>
      </w:r>
    </w:p>
    <w:p w14:paraId="1B916910" w14:textId="77777777" w:rsidR="00DA059D" w:rsidRPr="00DA059D" w:rsidRDefault="00DA059D" w:rsidP="00DA059D">
      <w:pPr>
        <w:jc w:val="both"/>
      </w:pPr>
      <w:r w:rsidRPr="00DA059D">
        <w:t xml:space="preserve">V roce 2017 měly u MZd největší podíl na celkových výdajích paragrafy rozpočtové skladby </w:t>
      </w:r>
      <w:r w:rsidRPr="00DA059D">
        <w:br/>
        <w:t xml:space="preserve">3589 – </w:t>
      </w:r>
      <w:r w:rsidRPr="00DA059D">
        <w:rPr>
          <w:i/>
        </w:rPr>
        <w:t>Ostatní výzkum a vývoj ve zdravotnictví</w:t>
      </w:r>
      <w:r w:rsidRPr="00DA059D">
        <w:t xml:space="preserve"> (27,5 %) a 3521 – </w:t>
      </w:r>
      <w:r w:rsidRPr="00DA059D">
        <w:rPr>
          <w:i/>
        </w:rPr>
        <w:t>Fakultní nemocnice</w:t>
      </w:r>
      <w:r w:rsidRPr="00DA059D">
        <w:t xml:space="preserve"> (14,87 %). V roce 2017 byly skutečné výdaje MZd o 6,47 mld. Kč nižší než konečný rozpočet.</w:t>
      </w:r>
    </w:p>
    <w:p w14:paraId="34783F7D" w14:textId="77777777" w:rsidR="00DA059D" w:rsidRPr="00DA059D" w:rsidRDefault="00DA059D" w:rsidP="00DA059D">
      <w:pPr>
        <w:jc w:val="both"/>
      </w:pPr>
      <w:r w:rsidRPr="00DA059D">
        <w:br w:type="page"/>
      </w:r>
    </w:p>
    <w:p w14:paraId="04286C7D" w14:textId="77777777" w:rsidR="00DA059D" w:rsidRPr="00DA059D" w:rsidRDefault="00DA059D" w:rsidP="00DA059D">
      <w:pPr>
        <w:keepNext/>
        <w:spacing w:after="0"/>
        <w:jc w:val="center"/>
        <w:outlineLvl w:val="1"/>
        <w:rPr>
          <w:rFonts w:eastAsia="Calibri" w:cs="Calibri"/>
          <w:b/>
          <w:szCs w:val="20"/>
        </w:rPr>
      </w:pPr>
      <w:bookmarkStart w:id="20" w:name="_Toc520714585"/>
      <w:bookmarkStart w:id="21" w:name="_Toc524590436"/>
      <w:r w:rsidRPr="00DA059D">
        <w:rPr>
          <w:rFonts w:eastAsia="Calibri" w:cs="Calibri"/>
          <w:b/>
          <w:szCs w:val="20"/>
        </w:rPr>
        <w:lastRenderedPageBreak/>
        <w:t>Oddíl III. Porovnání příjmů a výnosů v rozpočtové kapitole 335 MZd v letech 2013–2017</w:t>
      </w:r>
    </w:p>
    <w:p w14:paraId="1DD6B53A" w14:textId="77777777" w:rsidR="00DA059D" w:rsidRPr="00DA059D" w:rsidRDefault="00DA059D" w:rsidP="00DA059D">
      <w:pPr>
        <w:spacing w:after="0"/>
        <w:jc w:val="both"/>
      </w:pPr>
    </w:p>
    <w:p w14:paraId="50F3464A" w14:textId="060B5522" w:rsidR="00DA059D" w:rsidRPr="00DA059D" w:rsidRDefault="00DA059D" w:rsidP="00C56880">
      <w:pPr>
        <w:keepNext/>
        <w:tabs>
          <w:tab w:val="right" w:pos="9072"/>
        </w:tabs>
        <w:spacing w:after="40"/>
        <w:ind w:left="1304" w:hanging="1304"/>
        <w:rPr>
          <w:rFonts w:cs="Calibri"/>
          <w:b/>
          <w:bCs/>
          <w:szCs w:val="20"/>
        </w:rPr>
      </w:pPr>
      <w:bookmarkStart w:id="22" w:name="_Toc531766428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8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</w:t>
      </w:r>
      <w:r w:rsidRPr="00DA059D">
        <w:rPr>
          <w:rFonts w:cs="Calibri"/>
          <w:b/>
          <w:bCs/>
          <w:szCs w:val="20"/>
        </w:rPr>
        <w:tab/>
        <w:t xml:space="preserve">Porovnání příjmů a výnosů za všechny OSS v rozpočtové kapitole 335 MZd (včetně MZd) </w:t>
      </w:r>
      <w:r w:rsidRPr="00DA059D">
        <w:rPr>
          <w:rFonts w:cs="Calibri"/>
          <w:b/>
          <w:bCs/>
          <w:szCs w:val="20"/>
        </w:rPr>
        <w:tab/>
        <w:t>(v Kč</w:t>
      </w:r>
      <w:bookmarkEnd w:id="20"/>
      <w:bookmarkEnd w:id="21"/>
      <w:r w:rsidRPr="00DA059D">
        <w:rPr>
          <w:rFonts w:cs="Calibri"/>
          <w:b/>
          <w:bCs/>
          <w:szCs w:val="20"/>
        </w:rPr>
        <w:t>)</w:t>
      </w:r>
      <w:bookmarkEnd w:id="2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439"/>
        <w:gridCol w:w="1441"/>
        <w:gridCol w:w="1439"/>
        <w:gridCol w:w="1441"/>
        <w:gridCol w:w="1439"/>
      </w:tblGrid>
      <w:tr w:rsidR="00DA059D" w:rsidRPr="00DA059D" w14:paraId="5A3D8528" w14:textId="77777777" w:rsidTr="00C56880">
        <w:trPr>
          <w:trHeight w:val="283"/>
          <w:tblHeader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DC6505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1C2603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EB3FF3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00EE3E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C0BDBC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3B767D" w14:textId="77777777" w:rsidR="00DA059D" w:rsidRPr="00DA059D" w:rsidRDefault="00DA059D" w:rsidP="00DA059D">
            <w:pPr>
              <w:spacing w:after="0"/>
              <w:ind w:right="1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B2DD247" w14:textId="77777777" w:rsidTr="00C56880">
        <w:trPr>
          <w:trHeight w:val="283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3104" w14:textId="77777777" w:rsidR="00DA059D" w:rsidRPr="00DA059D" w:rsidRDefault="00DA059D" w:rsidP="00DA059D">
            <w:pPr>
              <w:spacing w:after="0"/>
              <w:ind w:right="1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25FE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822 081 866,32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C50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2 183 352 638,31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3723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4 614 426 437,00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1DE5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3 716 662 002,42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AE69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901 079 831,41</w:t>
            </w:r>
          </w:p>
        </w:tc>
      </w:tr>
      <w:tr w:rsidR="00DA059D" w:rsidRPr="00DA059D" w14:paraId="700FD482" w14:textId="77777777" w:rsidTr="00C56880">
        <w:trPr>
          <w:trHeight w:val="283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C95C" w14:textId="77777777" w:rsidR="00DA059D" w:rsidRPr="00DA059D" w:rsidRDefault="00DA059D" w:rsidP="00DA059D">
            <w:pPr>
              <w:spacing w:after="0"/>
              <w:ind w:right="1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808C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826 895 706,05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88D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1 401 821 763,64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E66E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3 971 379 804,88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D184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3 174 216 901,95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A0B3" w14:textId="77777777" w:rsidR="00DA059D" w:rsidRPr="00DA059D" w:rsidRDefault="00DA059D" w:rsidP="00DA059D">
            <w:pPr>
              <w:spacing w:after="0"/>
              <w:ind w:right="1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905 221 282,45</w:t>
            </w:r>
          </w:p>
        </w:tc>
      </w:tr>
    </w:tbl>
    <w:p w14:paraId="2A586521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23" w:name="_Toc520714586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1C2C7E07" w14:textId="77777777" w:rsidR="00DA059D" w:rsidRPr="00DA059D" w:rsidRDefault="00DA059D" w:rsidP="00DA059D">
      <w:pPr>
        <w:spacing w:after="0"/>
        <w:jc w:val="both"/>
      </w:pPr>
    </w:p>
    <w:p w14:paraId="71EBA09E" w14:textId="1069F5F8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24" w:name="_Toc524590437"/>
      <w:bookmarkStart w:id="25" w:name="_Toc531766429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9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Porovnání příjmů a výnosů za MZd </w:t>
      </w:r>
      <w:r w:rsidRPr="00DA059D">
        <w:rPr>
          <w:rFonts w:cs="Calibri"/>
          <w:b/>
          <w:bCs/>
          <w:szCs w:val="20"/>
        </w:rPr>
        <w:tab/>
        <w:t>(v Kč</w:t>
      </w:r>
      <w:bookmarkEnd w:id="23"/>
      <w:bookmarkEnd w:id="24"/>
      <w:r w:rsidRPr="00DA059D">
        <w:rPr>
          <w:rFonts w:cs="Calibri"/>
          <w:b/>
          <w:bCs/>
          <w:szCs w:val="20"/>
        </w:rPr>
        <w:t>)</w:t>
      </w:r>
      <w:bookmarkEnd w:id="2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439"/>
        <w:gridCol w:w="1441"/>
        <w:gridCol w:w="1439"/>
        <w:gridCol w:w="1441"/>
        <w:gridCol w:w="1439"/>
      </w:tblGrid>
      <w:tr w:rsidR="00DA059D" w:rsidRPr="00DA059D" w14:paraId="15E19CF2" w14:textId="77777777" w:rsidTr="00C56880">
        <w:trPr>
          <w:trHeight w:val="283"/>
          <w:tblHeader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7DB193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124F10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6FD9A0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FCAD89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E9A3583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03CD22" w14:textId="77777777" w:rsidR="00DA059D" w:rsidRPr="00DA059D" w:rsidRDefault="00DA059D" w:rsidP="00DA059D">
            <w:pPr>
              <w:spacing w:after="0"/>
              <w:ind w:left="-13" w:firstLine="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547CE879" w14:textId="77777777" w:rsidTr="00C56880">
        <w:trPr>
          <w:trHeight w:val="283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B2AE" w14:textId="77777777" w:rsidR="00DA059D" w:rsidRPr="00DA059D" w:rsidRDefault="00DA059D" w:rsidP="00DA059D">
            <w:pPr>
              <w:spacing w:after="0"/>
              <w:ind w:left="-13" w:firstLine="13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6A9E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512 518 292,32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C17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1 613 461 746,07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75EA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3 955 885 901,66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8E9D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3 151 318 450,27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051D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339 723 483,98</w:t>
            </w:r>
          </w:p>
        </w:tc>
      </w:tr>
      <w:tr w:rsidR="00DA059D" w:rsidRPr="00DA059D" w14:paraId="294094E3" w14:textId="77777777" w:rsidTr="00C56880">
        <w:trPr>
          <w:trHeight w:val="283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59F9" w14:textId="77777777" w:rsidR="00DA059D" w:rsidRPr="00DA059D" w:rsidRDefault="00DA059D" w:rsidP="00DA059D">
            <w:pPr>
              <w:spacing w:after="0"/>
              <w:ind w:left="-13" w:firstLine="13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9480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512 317 048,56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D3AE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913 430 627,32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A9B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3 456 705 504,59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C179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2 652 496 858,41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E52C" w14:textId="77777777" w:rsidR="00DA059D" w:rsidRPr="00DA059D" w:rsidRDefault="00DA059D" w:rsidP="00DA059D">
            <w:pPr>
              <w:spacing w:after="0"/>
              <w:ind w:left="-13" w:firstLine="1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340 276 384,69</w:t>
            </w:r>
          </w:p>
        </w:tc>
      </w:tr>
    </w:tbl>
    <w:p w14:paraId="2D9CA261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26" w:name="_Toc520714587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6D0E3BE0" w14:textId="77777777" w:rsidR="00DA059D" w:rsidRPr="00DA059D" w:rsidRDefault="00DA059D" w:rsidP="00DA059D">
      <w:pPr>
        <w:spacing w:after="0"/>
        <w:jc w:val="both"/>
      </w:pPr>
    </w:p>
    <w:p w14:paraId="561BFC01" w14:textId="657BF150" w:rsidR="00DA059D" w:rsidRPr="00DA059D" w:rsidRDefault="00DA059D" w:rsidP="00C56880">
      <w:pPr>
        <w:keepNext/>
        <w:tabs>
          <w:tab w:val="right" w:pos="9072"/>
        </w:tabs>
        <w:spacing w:after="40"/>
        <w:ind w:left="1429" w:hanging="1429"/>
        <w:rPr>
          <w:rFonts w:cs="Calibri"/>
          <w:b/>
          <w:bCs/>
          <w:szCs w:val="20"/>
        </w:rPr>
      </w:pPr>
      <w:bookmarkStart w:id="27" w:name="_Toc531766430"/>
      <w:bookmarkStart w:id="28" w:name="_Toc524590438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10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</w:t>
      </w:r>
      <w:r w:rsidRPr="00DA059D">
        <w:rPr>
          <w:rFonts w:cs="Calibri"/>
          <w:b/>
          <w:bCs/>
          <w:szCs w:val="20"/>
        </w:rPr>
        <w:tab/>
        <w:t>Porovnání příjmů a výnosů ostatních OSS v rozpočtové kapitole 335 MZ</w:t>
      </w:r>
      <w:bookmarkEnd w:id="27"/>
      <w:r w:rsidRPr="00DA059D">
        <w:rPr>
          <w:rFonts w:cs="Calibri"/>
          <w:b/>
          <w:bCs/>
          <w:szCs w:val="20"/>
        </w:rPr>
        <w:t xml:space="preserve">d </w:t>
      </w:r>
    </w:p>
    <w:p w14:paraId="0A9FA77B" w14:textId="77777777" w:rsidR="00DA059D" w:rsidRPr="00DA059D" w:rsidRDefault="00DA059D" w:rsidP="00DA059D">
      <w:pPr>
        <w:keepNext/>
        <w:tabs>
          <w:tab w:val="right" w:pos="9072"/>
        </w:tabs>
        <w:spacing w:after="40"/>
        <w:ind w:left="1134" w:firstLine="295"/>
        <w:rPr>
          <w:rFonts w:cs="Calibri"/>
          <w:b/>
          <w:bCs/>
          <w:szCs w:val="20"/>
        </w:rPr>
      </w:pPr>
      <w:r w:rsidRPr="00DA059D">
        <w:rPr>
          <w:rFonts w:cs="Calibri"/>
          <w:b/>
          <w:bCs/>
          <w:szCs w:val="20"/>
        </w:rPr>
        <w:t xml:space="preserve">(bez MZd) </w:t>
      </w:r>
      <w:r w:rsidRPr="00DA059D">
        <w:rPr>
          <w:rFonts w:cs="Calibri"/>
          <w:b/>
          <w:bCs/>
          <w:szCs w:val="20"/>
        </w:rPr>
        <w:tab/>
        <w:t>(v Kč</w:t>
      </w:r>
      <w:bookmarkEnd w:id="26"/>
      <w:bookmarkEnd w:id="28"/>
      <w:r w:rsidRPr="00DA059D">
        <w:rPr>
          <w:rFonts w:cs="Calibri"/>
          <w:b/>
          <w:bCs/>
          <w:szCs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442"/>
        <w:gridCol w:w="1439"/>
        <w:gridCol w:w="1439"/>
        <w:gridCol w:w="1439"/>
        <w:gridCol w:w="1437"/>
      </w:tblGrid>
      <w:tr w:rsidR="00C56880" w:rsidRPr="00DA059D" w14:paraId="1D9A596D" w14:textId="77777777" w:rsidTr="00C56880">
        <w:trPr>
          <w:trHeight w:val="283"/>
          <w:tblHeader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E8C97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8695E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31A26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30EB7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C6131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D731B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C56880" w:rsidRPr="00DA059D" w14:paraId="7AB432E9" w14:textId="77777777" w:rsidTr="00C56880">
        <w:trPr>
          <w:trHeight w:val="283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635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07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309 563 574,00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65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569 890 892,24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D8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658 540 535,34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A5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565 343 552,15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4C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561 356 347,43</w:t>
            </w:r>
          </w:p>
        </w:tc>
      </w:tr>
      <w:tr w:rsidR="00C56880" w:rsidRPr="00DA059D" w14:paraId="1696E976" w14:textId="77777777" w:rsidTr="00C56880">
        <w:trPr>
          <w:trHeight w:val="283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0A9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CC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314 578 657,49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35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488 391 136,32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F3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514 674 300,29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6B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521 720 043,54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CE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564 944 897,76</w:t>
            </w:r>
          </w:p>
        </w:tc>
      </w:tr>
    </w:tbl>
    <w:p w14:paraId="368712F5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76EF1898" w14:textId="77777777" w:rsidR="00DA059D" w:rsidRPr="00DA059D" w:rsidRDefault="00DA059D" w:rsidP="00DA059D">
      <w:pPr>
        <w:spacing w:after="0"/>
        <w:jc w:val="both"/>
      </w:pPr>
    </w:p>
    <w:p w14:paraId="4D8F6605" w14:textId="5E2096D3" w:rsidR="00DA059D" w:rsidRPr="00DA059D" w:rsidRDefault="00DA059D" w:rsidP="00DA059D">
      <w:pPr>
        <w:jc w:val="both"/>
      </w:pPr>
      <w:r w:rsidRPr="00DA059D">
        <w:t>Dle průměrů za roky 2013–2017 měly největší podíl na celkových příjmech (skutečnost) MZd investiční převody z </w:t>
      </w:r>
      <w:r w:rsidRPr="00DA059D">
        <w:rPr>
          <w:i/>
        </w:rPr>
        <w:t>Národního fondu</w:t>
      </w:r>
      <w:r w:rsidRPr="00DA059D">
        <w:t xml:space="preserve"> (položka rozpočtové skladby 4218), a to v</w:t>
      </w:r>
      <w:r w:rsidR="00C56880">
        <w:t xml:space="preserve"> </w:t>
      </w:r>
      <w:r w:rsidRPr="00DA059D">
        <w:t xml:space="preserve">průměru </w:t>
      </w:r>
      <w:r w:rsidR="00C56880">
        <w:br/>
      </w:r>
      <w:r w:rsidRPr="00DA059D">
        <w:t xml:space="preserve">48,29 %. Druhou největší položkou příjmů byla ve sledovaném období položka </w:t>
      </w:r>
      <w:r w:rsidRPr="00DA059D">
        <w:br/>
        <w:t xml:space="preserve">4118 – </w:t>
      </w:r>
      <w:r w:rsidRPr="00DA059D">
        <w:rPr>
          <w:i/>
        </w:rPr>
        <w:t>Neinvestiční převody z Národního fondu</w:t>
      </w:r>
      <w:r w:rsidRPr="00DA059D">
        <w:t xml:space="preserve"> (v průměru tvořila 21,17 % všech příjmů).</w:t>
      </w:r>
    </w:p>
    <w:p w14:paraId="1149AFC0" w14:textId="77777777" w:rsidR="00DA059D" w:rsidRPr="00DA059D" w:rsidRDefault="00DA059D" w:rsidP="00DA059D">
      <w:pPr>
        <w:jc w:val="both"/>
      </w:pPr>
      <w:r w:rsidRPr="00DA059D">
        <w:t xml:space="preserve">V letech 2013–2014 měl největší podíl na celkových výnosech MZd syntetický účet </w:t>
      </w:r>
      <w:r w:rsidRPr="00DA059D">
        <w:br/>
        <w:t>669 – </w:t>
      </w:r>
      <w:r w:rsidRPr="00DA059D">
        <w:rPr>
          <w:i/>
        </w:rPr>
        <w:t>Ostatní finanční výnosy</w:t>
      </w:r>
      <w:r w:rsidRPr="00DA059D">
        <w:t xml:space="preserve">, a to v průměru ve výši 64,37 %. Tento účet byl používán chybně pro vykazování výnosů z titulu přijetí transferů nárokovaných od </w:t>
      </w:r>
      <w:r w:rsidRPr="00DA059D">
        <w:rPr>
          <w:i/>
        </w:rPr>
        <w:t>Národního fondu</w:t>
      </w:r>
      <w:r w:rsidRPr="00DA059D">
        <w:t xml:space="preserve"> v rámci předfinancování projektů spolufinancovaných z rozpočtu EU v rámci IOP. Od roku 2015 vykazuje tento účet nulový zůstatek a uvedené případy byly vykazovány na účtech </w:t>
      </w:r>
      <w:r w:rsidRPr="00DA059D">
        <w:br/>
        <w:t xml:space="preserve">671 – </w:t>
      </w:r>
      <w:r w:rsidRPr="00DA059D">
        <w:rPr>
          <w:i/>
        </w:rPr>
        <w:t>Výnosy vybraných ústředních vládních institucí z transferů</w:t>
      </w:r>
      <w:r w:rsidRPr="00DA059D">
        <w:t xml:space="preserve"> a 675 – </w:t>
      </w:r>
      <w:r w:rsidRPr="00DA059D">
        <w:rPr>
          <w:i/>
        </w:rPr>
        <w:t>Výnosy vybraných ústředních vládních institucí z předfinancování transferů</w:t>
      </w:r>
      <w:r w:rsidRPr="00DA059D">
        <w:t xml:space="preserve">. V roce 2015 představoval největší podíl na celkových výnosech (49,91 %) syntetický účet 649 – </w:t>
      </w:r>
      <w:r w:rsidRPr="00DA059D">
        <w:rPr>
          <w:i/>
        </w:rPr>
        <w:t>Ostatní výnosy z činnosti</w:t>
      </w:r>
      <w:r w:rsidRPr="00DA059D">
        <w:t xml:space="preserve">. V letech 2016–2017 měl největší podíl na celkových výnosech MZd syntetický účet </w:t>
      </w:r>
      <w:r w:rsidRPr="00DA059D">
        <w:br/>
        <w:t xml:space="preserve">675 – </w:t>
      </w:r>
      <w:r w:rsidRPr="00DA059D">
        <w:rPr>
          <w:i/>
        </w:rPr>
        <w:t>Výnosy vybraných ústředních vládních institucí z předfinancování transferů</w:t>
      </w:r>
      <w:r w:rsidRPr="00DA059D">
        <w:t xml:space="preserve">, a to v průměru ve výši 94,81 %. Celkově dle průměrů za celé období 2013–2017 představuje největší podíl na celkových výnosech MZd (47,88 %) syntetický účet 675 – </w:t>
      </w:r>
      <w:r w:rsidRPr="00DA059D">
        <w:rPr>
          <w:i/>
        </w:rPr>
        <w:t>Výnosy vybraných ústředních vládních institucí z předfinancování transferů</w:t>
      </w:r>
      <w:r w:rsidRPr="00DA059D">
        <w:t>.</w:t>
      </w:r>
    </w:p>
    <w:p w14:paraId="52E81BBC" w14:textId="0AB0B2D0" w:rsidR="00DA059D" w:rsidRPr="00DA059D" w:rsidRDefault="00DA059D" w:rsidP="00DA059D">
      <w:pPr>
        <w:jc w:val="both"/>
      </w:pPr>
      <w:r w:rsidRPr="00DA059D">
        <w:t xml:space="preserve">Na růstu výnosů MZd v roce 2014 se nejvýznamněji podílel syntetický účet 671 – </w:t>
      </w:r>
      <w:r w:rsidRPr="00DA059D">
        <w:rPr>
          <w:i/>
        </w:rPr>
        <w:t>Výnosy vybraných ústředních vládních institucí z transferů</w:t>
      </w:r>
      <w:r w:rsidRPr="00DA059D">
        <w:t xml:space="preserve"> (nárůst o 337 mil. Kč) a v roce 2015 účet 675 – </w:t>
      </w:r>
      <w:r w:rsidRPr="00DA059D">
        <w:rPr>
          <w:i/>
        </w:rPr>
        <w:t>Výnosy vybraných ústředních vládních institucí z předfinancování transferů</w:t>
      </w:r>
      <w:r w:rsidRPr="00DA059D">
        <w:t xml:space="preserve"> (nárůst o 1,72 mld. Kč) a účet 649 – </w:t>
      </w:r>
      <w:r w:rsidRPr="00DA059D">
        <w:rPr>
          <w:i/>
        </w:rPr>
        <w:t>Ostatní výnosy z činnosti</w:t>
      </w:r>
      <w:r w:rsidRPr="00DA059D">
        <w:t xml:space="preserve"> (nárůst o 1,71 mld. Kč z důvodu odvodu prostředků SÚKL dle ustanovení § 112 odst. 5 zákona o léčivech). Syntetický účet </w:t>
      </w:r>
      <w:r w:rsidRPr="00DA059D">
        <w:br/>
        <w:t xml:space="preserve">649 – </w:t>
      </w:r>
      <w:r w:rsidRPr="00DA059D">
        <w:rPr>
          <w:i/>
        </w:rPr>
        <w:t>Ostatní výnosy z činnosti</w:t>
      </w:r>
      <w:r w:rsidRPr="00DA059D">
        <w:t xml:space="preserve"> svým poklesem o 1,7 mld. Kč v roce 2016 nejvíce ovlivnil snížení výnosů v tomto roce. Na snížení výnosů v roce 2017 se nejvíce podílelo snížení výnosů </w:t>
      </w:r>
      <w:r w:rsidRPr="00DA059D">
        <w:lastRenderedPageBreak/>
        <w:t>vybraných ústředních vládních institucí z předfinancování transferů (SÚ 675), a to poklesem o</w:t>
      </w:r>
      <w:r w:rsidR="00331123">
        <w:t> </w:t>
      </w:r>
      <w:r w:rsidRPr="00DA059D">
        <w:t>2,31 mld. Kč.</w:t>
      </w:r>
    </w:p>
    <w:p w14:paraId="2D7CE3F9" w14:textId="77777777" w:rsidR="00DA059D" w:rsidRPr="00DA059D" w:rsidRDefault="00DA059D" w:rsidP="00DA059D">
      <w:pPr>
        <w:jc w:val="both"/>
      </w:pPr>
      <w:r w:rsidRPr="00DA059D">
        <w:t>Příjmy a výnosy MZd vykazují ve sledovaném období obdobný vývoj. Do roku 2015 mají rostoucí tendenci a od tohoto roku naopak klesají. Na začátku a na konci sledovaného období, tj. roky 2013 a 2017, byly příjmy a výnosy v obdobné výši; v ostatních letech byly výnosy nižší než příjmy.</w:t>
      </w:r>
    </w:p>
    <w:p w14:paraId="2B4297C8" w14:textId="77777777" w:rsidR="00DA059D" w:rsidRPr="00DA059D" w:rsidRDefault="00DA059D" w:rsidP="00DA059D">
      <w:pPr>
        <w:spacing w:after="0"/>
        <w:jc w:val="both"/>
        <w:rPr>
          <w:b/>
        </w:rPr>
      </w:pPr>
      <w:r w:rsidRPr="00DA059D">
        <w:rPr>
          <w:b/>
        </w:rPr>
        <w:t xml:space="preserve">Na položkách rozpočtové skladby 4118 – </w:t>
      </w:r>
      <w:r w:rsidRPr="00DA059D">
        <w:rPr>
          <w:b/>
          <w:i/>
        </w:rPr>
        <w:t xml:space="preserve">Neinvestiční převody z Národního fondu </w:t>
      </w:r>
      <w:r w:rsidRPr="00DA059D">
        <w:rPr>
          <w:b/>
          <w:i/>
        </w:rPr>
        <w:br/>
      </w:r>
      <w:r w:rsidRPr="00DA059D">
        <w:rPr>
          <w:b/>
        </w:rPr>
        <w:t xml:space="preserve">a 4218 – </w:t>
      </w:r>
      <w:r w:rsidRPr="00DA059D">
        <w:rPr>
          <w:b/>
          <w:i/>
        </w:rPr>
        <w:t xml:space="preserve">Investiční převody z Národního fondu </w:t>
      </w:r>
      <w:r w:rsidRPr="00DA059D">
        <w:rPr>
          <w:b/>
        </w:rPr>
        <w:t xml:space="preserve">byly identifikovány nesprávnosti ve výši </w:t>
      </w:r>
      <w:r w:rsidRPr="00DA059D">
        <w:rPr>
          <w:b/>
        </w:rPr>
        <w:br/>
        <w:t xml:space="preserve">34 258 665 Kč. Na účtu 675 – </w:t>
      </w:r>
      <w:r w:rsidRPr="00DA059D">
        <w:rPr>
          <w:b/>
          <w:i/>
        </w:rPr>
        <w:t>Výnosy vybraných ústředních vládních institucí z předfinancování transferů</w:t>
      </w:r>
      <w:r w:rsidRPr="00DA059D">
        <w:rPr>
          <w:b/>
        </w:rPr>
        <w:t xml:space="preserve"> byly identifikovány nesprávnosti ve výši 3 598 360,86 Kč.</w:t>
      </w:r>
    </w:p>
    <w:p w14:paraId="34C5A2B5" w14:textId="77777777" w:rsidR="00DA059D" w:rsidRPr="00DA059D" w:rsidRDefault="00DA059D" w:rsidP="00DA059D">
      <w:pPr>
        <w:spacing w:after="0"/>
        <w:jc w:val="both"/>
      </w:pPr>
    </w:p>
    <w:p w14:paraId="1CFFC56F" w14:textId="77777777" w:rsidR="00DA059D" w:rsidRPr="00DA059D" w:rsidRDefault="00DA059D" w:rsidP="00DA059D">
      <w:pPr>
        <w:spacing w:after="0"/>
        <w:jc w:val="both"/>
      </w:pPr>
    </w:p>
    <w:p w14:paraId="1B45F856" w14:textId="77777777" w:rsidR="00DA059D" w:rsidRPr="00DA059D" w:rsidRDefault="00DA059D" w:rsidP="00331123">
      <w:pPr>
        <w:keepNext/>
        <w:spacing w:after="0"/>
        <w:jc w:val="center"/>
        <w:outlineLvl w:val="1"/>
        <w:rPr>
          <w:rFonts w:eastAsia="Calibri" w:cs="Calibri"/>
          <w:b/>
        </w:rPr>
      </w:pPr>
      <w:r w:rsidRPr="00DA059D">
        <w:rPr>
          <w:rFonts w:eastAsia="Calibri" w:cs="Calibri"/>
          <w:b/>
        </w:rPr>
        <w:t xml:space="preserve">Oddíl IV. Porovnání výdajů a nákladů v rozpočtové kapitole 335 MZd </w:t>
      </w:r>
      <w:r w:rsidRPr="00DA059D">
        <w:rPr>
          <w:rFonts w:eastAsia="Calibri" w:cs="Calibri"/>
          <w:b/>
          <w:szCs w:val="20"/>
        </w:rPr>
        <w:t>v letech 2013–2017</w:t>
      </w:r>
    </w:p>
    <w:p w14:paraId="6654B9E1" w14:textId="77777777" w:rsidR="00DA059D" w:rsidRPr="00DA059D" w:rsidRDefault="00DA059D" w:rsidP="00DA059D">
      <w:pPr>
        <w:spacing w:after="0"/>
        <w:jc w:val="both"/>
      </w:pPr>
    </w:p>
    <w:p w14:paraId="5B6BE73F" w14:textId="1AE93487" w:rsidR="00DA059D" w:rsidRPr="00DA059D" w:rsidRDefault="00DA059D" w:rsidP="00C56880">
      <w:pPr>
        <w:keepNext/>
        <w:tabs>
          <w:tab w:val="right" w:pos="9072"/>
        </w:tabs>
        <w:spacing w:after="40"/>
        <w:ind w:left="1429" w:hanging="1429"/>
        <w:rPr>
          <w:rFonts w:cs="Calibri"/>
          <w:b/>
          <w:bCs/>
          <w:szCs w:val="20"/>
        </w:rPr>
      </w:pPr>
      <w:bookmarkStart w:id="29" w:name="_Toc520714588"/>
      <w:bookmarkStart w:id="30" w:name="_Toc524590442"/>
      <w:bookmarkStart w:id="31" w:name="_Toc531766431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11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</w:t>
      </w:r>
      <w:r w:rsidRPr="00DA059D">
        <w:rPr>
          <w:rFonts w:cs="Calibri"/>
          <w:b/>
          <w:bCs/>
          <w:szCs w:val="20"/>
        </w:rPr>
        <w:tab/>
        <w:t xml:space="preserve">Porovnání výdajů a nákladů za všechny OSS v rozpočtové kapitole 335 MZd (včetně MZd) </w:t>
      </w:r>
      <w:r w:rsidRPr="00DA059D">
        <w:rPr>
          <w:rFonts w:cs="Calibri"/>
          <w:b/>
          <w:bCs/>
          <w:szCs w:val="20"/>
        </w:rPr>
        <w:tab/>
        <w:t>(v Kč</w:t>
      </w:r>
      <w:bookmarkEnd w:id="29"/>
      <w:bookmarkEnd w:id="30"/>
      <w:r w:rsidRPr="00DA059D">
        <w:rPr>
          <w:rFonts w:cs="Calibri"/>
          <w:b/>
          <w:bCs/>
          <w:szCs w:val="20"/>
        </w:rPr>
        <w:t>)</w:t>
      </w:r>
      <w:bookmarkEnd w:id="31"/>
    </w:p>
    <w:tbl>
      <w:tblPr>
        <w:tblW w:w="49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454"/>
        <w:gridCol w:w="1458"/>
        <w:gridCol w:w="1454"/>
        <w:gridCol w:w="1458"/>
        <w:gridCol w:w="1456"/>
      </w:tblGrid>
      <w:tr w:rsidR="00DA059D" w:rsidRPr="00DA059D" w14:paraId="70C1A605" w14:textId="77777777" w:rsidTr="00C56880">
        <w:trPr>
          <w:trHeight w:val="283"/>
          <w:tblHeader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93350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67136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6054E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A5C66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0B96F3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ECF00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3677FEAB" w14:textId="77777777" w:rsidTr="00C56880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F2D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36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7 368 732 590,95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19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7 185 329 248,01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B0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8 528 918 468,38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60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8 162 261 357,64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BC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7 980 709 618,35</w:t>
            </w:r>
          </w:p>
        </w:tc>
      </w:tr>
      <w:tr w:rsidR="00DA059D" w:rsidRPr="00DA059D" w14:paraId="29D4DD70" w14:textId="77777777" w:rsidTr="00C56880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ABB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F4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5 660 908 872,39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4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7 191 214 992,04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94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6 591 493 853,83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DA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7 120 017 876,82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C3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6 842 826 151,59</w:t>
            </w:r>
          </w:p>
        </w:tc>
      </w:tr>
    </w:tbl>
    <w:p w14:paraId="663FDF3C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32" w:name="_Toc520714589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B6400ED" w14:textId="77777777" w:rsidR="00DA059D" w:rsidRPr="00DA059D" w:rsidRDefault="00DA059D" w:rsidP="00DA059D">
      <w:pPr>
        <w:spacing w:after="0"/>
        <w:jc w:val="both"/>
      </w:pPr>
    </w:p>
    <w:p w14:paraId="06844ECE" w14:textId="1BC4F4EC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33" w:name="_Toc524590443"/>
      <w:bookmarkStart w:id="34" w:name="_Toc531766432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12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Porovnání výdajů a nákladů za MZd </w:t>
      </w:r>
      <w:r w:rsidRPr="00DA059D">
        <w:rPr>
          <w:rFonts w:cs="Calibri"/>
          <w:b/>
          <w:bCs/>
          <w:szCs w:val="20"/>
        </w:rPr>
        <w:tab/>
        <w:t>(v Kč</w:t>
      </w:r>
      <w:bookmarkEnd w:id="32"/>
      <w:bookmarkEnd w:id="33"/>
      <w:r w:rsidRPr="00DA059D">
        <w:rPr>
          <w:rFonts w:cs="Calibri"/>
          <w:b/>
          <w:bCs/>
          <w:szCs w:val="20"/>
        </w:rPr>
        <w:t>)</w:t>
      </w:r>
      <w:bookmarkEnd w:id="3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457"/>
        <w:gridCol w:w="1457"/>
        <w:gridCol w:w="1457"/>
        <w:gridCol w:w="1457"/>
        <w:gridCol w:w="1457"/>
      </w:tblGrid>
      <w:tr w:rsidR="00DA059D" w:rsidRPr="00DA059D" w14:paraId="5E4989EC" w14:textId="77777777" w:rsidTr="00DA059D">
        <w:trPr>
          <w:trHeight w:val="283"/>
          <w:tblHeader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CFEBF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9CF06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BF485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469F4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5820E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F3492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008DF235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042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B8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5 471 486 852,67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A3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5 158 582 362,94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A6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6 421 604 033,09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9F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5 996 827 371,65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22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5 730 579 316,32</w:t>
            </w:r>
          </w:p>
        </w:tc>
      </w:tr>
      <w:tr w:rsidR="00DA059D" w:rsidRPr="00DA059D" w14:paraId="60B2F8BB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7BB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4E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3 828 941 933,18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A7E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5 174 171 346,61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55F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4 441 948 707,85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AB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4 899 686 780,66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F8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4 545 251 475,34</w:t>
            </w:r>
          </w:p>
        </w:tc>
      </w:tr>
    </w:tbl>
    <w:p w14:paraId="4CFD01F6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35" w:name="_Toc520714590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21412704" w14:textId="77777777" w:rsidR="00DA059D" w:rsidRPr="00DA059D" w:rsidRDefault="00DA059D" w:rsidP="00DA059D">
      <w:pPr>
        <w:spacing w:after="0"/>
        <w:jc w:val="both"/>
      </w:pPr>
    </w:p>
    <w:p w14:paraId="5B828677" w14:textId="52389846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bookmarkStart w:id="36" w:name="_Toc524590444"/>
      <w:bookmarkStart w:id="37" w:name="_Toc531766433"/>
      <w:r w:rsidRPr="00DA059D">
        <w:rPr>
          <w:rFonts w:cs="Calibri"/>
          <w:b/>
          <w:bCs/>
          <w:szCs w:val="20"/>
        </w:rPr>
        <w:t>Tabulka</w:t>
      </w:r>
      <w:r w:rsidRPr="00DA059D">
        <w:rPr>
          <w:rFonts w:cs="Calibri"/>
          <w:b/>
          <w:bCs/>
        </w:rPr>
        <w:t xml:space="preserve"> č.</w:t>
      </w:r>
      <w:r w:rsidRPr="00DA059D">
        <w:rPr>
          <w:rFonts w:cs="Calibri"/>
          <w:b/>
          <w:bCs/>
          <w:szCs w:val="20"/>
        </w:rPr>
        <w:t xml:space="preserve"> </w:t>
      </w:r>
      <w:r w:rsidRPr="00DA059D">
        <w:rPr>
          <w:rFonts w:cs="Calibri"/>
          <w:b/>
          <w:bCs/>
          <w:szCs w:val="20"/>
        </w:rPr>
        <w:fldChar w:fldCharType="begin"/>
      </w:r>
      <w:r w:rsidRPr="00DA059D">
        <w:rPr>
          <w:rFonts w:cs="Calibri"/>
          <w:b/>
          <w:bCs/>
          <w:szCs w:val="20"/>
        </w:rPr>
        <w:instrText xml:space="preserve"> SEQ Tabulka \* ARABIC </w:instrText>
      </w:r>
      <w:r w:rsidRPr="00DA059D">
        <w:rPr>
          <w:rFonts w:cs="Calibri"/>
          <w:b/>
          <w:bCs/>
          <w:szCs w:val="20"/>
        </w:rPr>
        <w:fldChar w:fldCharType="separate"/>
      </w:r>
      <w:r w:rsidR="006A3DF4">
        <w:rPr>
          <w:rFonts w:cs="Calibri"/>
          <w:b/>
          <w:bCs/>
          <w:noProof/>
          <w:szCs w:val="20"/>
        </w:rPr>
        <w:t>13</w:t>
      </w:r>
      <w:r w:rsidRPr="00DA059D">
        <w:rPr>
          <w:rFonts w:cs="Calibri"/>
          <w:b/>
          <w:bCs/>
          <w:szCs w:val="20"/>
        </w:rPr>
        <w:fldChar w:fldCharType="end"/>
      </w:r>
      <w:r w:rsidRPr="00DA059D">
        <w:rPr>
          <w:rFonts w:cs="Calibri"/>
          <w:b/>
          <w:bCs/>
          <w:szCs w:val="20"/>
        </w:rPr>
        <w:t xml:space="preserve">: Porovnání výdajů a nákladů OSS v rozpočtové kapitole 335 MZd (bez MZd) </w:t>
      </w:r>
      <w:r w:rsidRPr="00DA059D">
        <w:rPr>
          <w:rFonts w:cs="Calibri"/>
          <w:b/>
          <w:bCs/>
          <w:szCs w:val="20"/>
        </w:rPr>
        <w:tab/>
      </w:r>
    </w:p>
    <w:p w14:paraId="396D5E0B" w14:textId="77777777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  <w:szCs w:val="20"/>
        </w:rPr>
      </w:pPr>
      <w:r w:rsidRPr="00DA059D">
        <w:rPr>
          <w:rFonts w:cs="Calibri"/>
          <w:b/>
          <w:bCs/>
          <w:szCs w:val="20"/>
        </w:rPr>
        <w:tab/>
        <w:t>(v Kč</w:t>
      </w:r>
      <w:bookmarkEnd w:id="35"/>
      <w:bookmarkEnd w:id="36"/>
      <w:r w:rsidRPr="00DA059D">
        <w:rPr>
          <w:rFonts w:cs="Calibri"/>
          <w:b/>
          <w:bCs/>
          <w:szCs w:val="20"/>
        </w:rPr>
        <w:t>)</w:t>
      </w:r>
      <w:bookmarkEnd w:id="3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457"/>
        <w:gridCol w:w="1457"/>
        <w:gridCol w:w="1457"/>
        <w:gridCol w:w="1457"/>
        <w:gridCol w:w="1457"/>
      </w:tblGrid>
      <w:tr w:rsidR="00DA059D" w:rsidRPr="00DA059D" w14:paraId="0A6D25E3" w14:textId="77777777" w:rsidTr="00DA059D">
        <w:trPr>
          <w:trHeight w:val="283"/>
          <w:tblHeader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BDAB8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6A4A9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BC2F9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7A783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61BC7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87810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4869615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281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D8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1 897 245 738,28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12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2 026 746 885,07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DE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2 107 314 435,29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71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2 165 433 985,99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F8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2 250 130 302,03</w:t>
            </w:r>
          </w:p>
        </w:tc>
      </w:tr>
      <w:tr w:rsidR="00DA059D" w:rsidRPr="00DA059D" w14:paraId="12E641DD" w14:textId="77777777" w:rsidTr="00DA059D">
        <w:trPr>
          <w:trHeight w:val="283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A0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FC3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1 831 966 939,21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A1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2 017 043 645,43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059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2 149 545 145,98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52B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2 220 331 096,16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37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2 297 574 676,25</w:t>
            </w:r>
          </w:p>
        </w:tc>
      </w:tr>
    </w:tbl>
    <w:p w14:paraId="26796DCA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1B75A232" w14:textId="77777777" w:rsidR="00DA059D" w:rsidRPr="00DA059D" w:rsidRDefault="00DA059D" w:rsidP="00DA059D">
      <w:pPr>
        <w:spacing w:after="0"/>
        <w:jc w:val="both"/>
      </w:pPr>
    </w:p>
    <w:p w14:paraId="0ADC1A67" w14:textId="77777777" w:rsidR="00DA059D" w:rsidRPr="00DA059D" w:rsidRDefault="00DA059D" w:rsidP="00DA059D">
      <w:pPr>
        <w:jc w:val="both"/>
      </w:pPr>
      <w:r w:rsidRPr="00DA059D">
        <w:t xml:space="preserve">Dle průměrů za roky 2013–2017 mají největší podíl na celkových výdajích (skutečnost) MZd výdaje na ostatní výzkum a vývoj ve zdravotnictví (paragraf rozpočtové skladby 3589), </w:t>
      </w:r>
      <w:r w:rsidRPr="00DA059D">
        <w:br/>
        <w:t>a to v průměru 22,76 % všech výdajů, a na ostatní speciální zdravotnickou péči (paragraf rozpočtové skladby 3549), a to v průměru 21,20 % všech výdajů.</w:t>
      </w:r>
    </w:p>
    <w:p w14:paraId="38EDAAC6" w14:textId="082B0016" w:rsidR="00DA059D" w:rsidRPr="00DA059D" w:rsidRDefault="00DA059D" w:rsidP="00DA059D">
      <w:pPr>
        <w:jc w:val="both"/>
      </w:pPr>
      <w:r w:rsidRPr="00DA059D">
        <w:t xml:space="preserve">Ve sledovaném období měl největší podíl na celkových nákladech MZd syntetický účet </w:t>
      </w:r>
      <w:r w:rsidRPr="00DA059D">
        <w:br/>
        <w:t xml:space="preserve">571 – </w:t>
      </w:r>
      <w:r w:rsidRPr="00DA059D">
        <w:rPr>
          <w:i/>
        </w:rPr>
        <w:t>Náklady vybraných ústředních vládních institucí na transfery</w:t>
      </w:r>
      <w:r w:rsidRPr="00DA059D">
        <w:t>, a to v</w:t>
      </w:r>
      <w:r w:rsidR="00C56880">
        <w:t xml:space="preserve"> </w:t>
      </w:r>
      <w:r w:rsidRPr="00DA059D">
        <w:t xml:space="preserve">průměru ve výši </w:t>
      </w:r>
      <w:r w:rsidRPr="00C56880">
        <w:rPr>
          <w:b/>
        </w:rPr>
        <w:t>75,99 %.</w:t>
      </w:r>
      <w:r w:rsidRPr="00DA059D">
        <w:rPr>
          <w:b/>
        </w:rPr>
        <w:t xml:space="preserve"> </w:t>
      </w:r>
      <w:r w:rsidRPr="00DA059D">
        <w:t xml:space="preserve">V letech 2013–2016 měl druhý největší podíl na celkových nákladech MZd syntetický účet 518 – </w:t>
      </w:r>
      <w:r w:rsidRPr="00DA059D">
        <w:rPr>
          <w:i/>
        </w:rPr>
        <w:t>Ostatní služby</w:t>
      </w:r>
      <w:r w:rsidRPr="00DA059D">
        <w:t xml:space="preserve">, a to v průměru ve výši 12,84 %. V roce 2017 byl s druhým největším podílem na celkových nákladech (9,08 %) za účtem 571 syntetický účet 575 – </w:t>
      </w:r>
      <w:r w:rsidRPr="00DA059D">
        <w:rPr>
          <w:i/>
        </w:rPr>
        <w:t>Náklady vybraných ústředních vládních institucí na předfinancování transferů</w:t>
      </w:r>
      <w:r w:rsidRPr="00DA059D">
        <w:t>.</w:t>
      </w:r>
    </w:p>
    <w:p w14:paraId="10BD411A" w14:textId="77777777" w:rsidR="00DA059D" w:rsidRPr="00DA059D" w:rsidRDefault="00DA059D" w:rsidP="00DA059D">
      <w:pPr>
        <w:jc w:val="both"/>
      </w:pPr>
      <w:r w:rsidRPr="00DA059D">
        <w:lastRenderedPageBreak/>
        <w:t xml:space="preserve">Náklady měly v období let 2013–2017 kolísavou tendenci. Vývoj v jednotlivých letech byl ovlivněn především změnami na syntetickém účtu 571 – </w:t>
      </w:r>
      <w:r w:rsidRPr="00DA059D">
        <w:rPr>
          <w:i/>
        </w:rPr>
        <w:t>Náklady vybraných ústředních vládních institucí na transfery</w:t>
      </w:r>
      <w:r w:rsidRPr="00DA059D">
        <w:t>, který v roce 2014 vzrostl o 1,4 mld. Kč, v roce 2015 klesl o 1,15 mld. Kč, v roce 2016 vzrostl o 686 mil. Kč a v roce 2017 klesl o 448 mil. Kč.</w:t>
      </w:r>
    </w:p>
    <w:p w14:paraId="47774DC0" w14:textId="77777777" w:rsidR="00DA059D" w:rsidRPr="00DA059D" w:rsidRDefault="00DA059D" w:rsidP="00DA059D">
      <w:pPr>
        <w:spacing w:after="0"/>
        <w:jc w:val="both"/>
      </w:pPr>
      <w:r w:rsidRPr="00DA059D">
        <w:t>Ve vývoji nákladů a výdajů MZd lze sledovat protichůdné tendence, pouze v roce 2017 obě sledované veličiny klesly. V roce 2014 si byly náklady a výdaje téměř rovny, jedná se o jediný rok, ve kterém náklady převýšily výdaje. Náklady a výdaje MZd vykazují obdobný vývoj jako náklady a výdaje rozpočtové kapitoly 335 MZd.</w:t>
      </w:r>
    </w:p>
    <w:p w14:paraId="46EE8748" w14:textId="77777777" w:rsidR="00DA059D" w:rsidRPr="00DA059D" w:rsidRDefault="00DA059D" w:rsidP="00DA059D">
      <w:pPr>
        <w:spacing w:after="0"/>
        <w:jc w:val="both"/>
      </w:pPr>
    </w:p>
    <w:p w14:paraId="47C8A867" w14:textId="77777777" w:rsidR="00DA059D" w:rsidRPr="00DA059D" w:rsidRDefault="00DA059D" w:rsidP="00DA059D">
      <w:pPr>
        <w:spacing w:after="0"/>
        <w:jc w:val="both"/>
      </w:pPr>
    </w:p>
    <w:p w14:paraId="77F149B0" w14:textId="77777777" w:rsidR="00DA059D" w:rsidRPr="00DA059D" w:rsidRDefault="00DA059D" w:rsidP="00331123">
      <w:pPr>
        <w:spacing w:after="0"/>
        <w:jc w:val="center"/>
        <w:outlineLvl w:val="1"/>
        <w:rPr>
          <w:rFonts w:eastAsia="Calibri" w:cs="Calibri"/>
          <w:b/>
        </w:rPr>
      </w:pPr>
      <w:r w:rsidRPr="00DA059D">
        <w:rPr>
          <w:rFonts w:eastAsia="Calibri" w:cs="Calibri"/>
          <w:b/>
        </w:rPr>
        <w:t>Oddíl V. Tempa růstu příjmů a výnosů / výdajů a nákladů v rozpočtové kapitole 335 MZd</w:t>
      </w:r>
    </w:p>
    <w:p w14:paraId="7EA4CFB5" w14:textId="77777777" w:rsidR="00DA059D" w:rsidRPr="00DA059D" w:rsidRDefault="00DA059D" w:rsidP="00DA059D">
      <w:pPr>
        <w:spacing w:after="0"/>
        <w:jc w:val="both"/>
      </w:pPr>
    </w:p>
    <w:p w14:paraId="13C14CD1" w14:textId="29CE6A0C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38" w:name="_Toc520714591"/>
      <w:bookmarkStart w:id="39" w:name="_Toc524590450"/>
      <w:bookmarkStart w:id="40" w:name="_Toc53176643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Příjmy a výdaje v rozpočtové kapitole 335 MZd (OSS včetně MZd) </w:t>
      </w:r>
      <w:r w:rsidRPr="00DA059D">
        <w:rPr>
          <w:rFonts w:cs="Calibri"/>
          <w:b/>
          <w:bCs/>
        </w:rPr>
        <w:tab/>
        <w:t>(v Kč</w:t>
      </w:r>
      <w:bookmarkEnd w:id="38"/>
      <w:bookmarkEnd w:id="39"/>
      <w:r w:rsidRPr="00DA059D">
        <w:rPr>
          <w:rFonts w:cs="Calibri"/>
          <w:b/>
          <w:bCs/>
        </w:rPr>
        <w:t>)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29"/>
        <w:gridCol w:w="1530"/>
        <w:gridCol w:w="1530"/>
        <w:gridCol w:w="1530"/>
        <w:gridCol w:w="1530"/>
      </w:tblGrid>
      <w:tr w:rsidR="00DA059D" w:rsidRPr="00DA059D" w14:paraId="3A87AD0F" w14:textId="77777777" w:rsidTr="00DA059D">
        <w:trPr>
          <w:trHeight w:val="28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AC9D5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1D851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86FBA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70EFB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A9F6D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6E322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193F9D48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E19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CF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822 081 866,32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2D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2 183 352 638,31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00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4 614 426 437,00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C0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3 716 662 002,42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4F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901 079 831,41</w:t>
            </w:r>
          </w:p>
        </w:tc>
      </w:tr>
      <w:tr w:rsidR="00DA059D" w:rsidRPr="00DA059D" w14:paraId="1F7F30B8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87F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84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7 368 732 590,95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4E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7 185 329 248,01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10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8 528 918 468,38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B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8 162 261 357,64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456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7 980 709 618,35</w:t>
            </w:r>
          </w:p>
        </w:tc>
      </w:tr>
    </w:tbl>
    <w:p w14:paraId="6D7CC933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41" w:name="_Toc520714592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673F98DE" w14:textId="77777777" w:rsidR="00DA059D" w:rsidRPr="00DA059D" w:rsidRDefault="00DA059D" w:rsidP="00DA059D">
      <w:pPr>
        <w:spacing w:after="0"/>
        <w:jc w:val="both"/>
      </w:pPr>
    </w:p>
    <w:p w14:paraId="0DD879DB" w14:textId="558472F2" w:rsidR="00DA059D" w:rsidRPr="00DA059D" w:rsidRDefault="00DA059D" w:rsidP="00DA059D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</w:rPr>
      </w:pPr>
      <w:bookmarkStart w:id="42" w:name="_Toc524590451"/>
      <w:bookmarkStart w:id="43" w:name="_Toc531766435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sz w:val="22"/>
          <w:szCs w:val="18"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sz w:val="22"/>
          <w:szCs w:val="18"/>
        </w:rPr>
        <w:fldChar w:fldCharType="separate"/>
      </w:r>
      <w:r w:rsidR="006A3DF4">
        <w:rPr>
          <w:rFonts w:cs="Calibri"/>
          <w:b/>
          <w:bCs/>
          <w:noProof/>
        </w:rPr>
        <w:t>15</w:t>
      </w:r>
      <w:r w:rsidRPr="00DA059D">
        <w:rPr>
          <w:rFonts w:cs="Calibri"/>
          <w:sz w:val="22"/>
          <w:szCs w:val="18"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 xml:space="preserve">Tempo růstu příjmů a výdajů v rozpočtové kapitole 335 MZd </w:t>
      </w:r>
      <w:r w:rsidRPr="00DA059D">
        <w:rPr>
          <w:rFonts w:cs="Calibri"/>
          <w:b/>
          <w:bCs/>
        </w:rPr>
        <w:br/>
        <w:t>(OSS včetně MZ</w:t>
      </w:r>
      <w:bookmarkEnd w:id="41"/>
      <w:bookmarkEnd w:id="42"/>
      <w:r w:rsidRPr="00DA059D">
        <w:rPr>
          <w:rFonts w:cs="Calibri"/>
          <w:b/>
          <w:bCs/>
        </w:rPr>
        <w:t>d)</w:t>
      </w:r>
      <w:bookmarkEnd w:id="43"/>
      <w:r w:rsidRPr="00DA059D">
        <w:rPr>
          <w:rFonts w:cs="Calibri"/>
          <w:b/>
          <w:bCs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1506"/>
        <w:gridCol w:w="1507"/>
        <w:gridCol w:w="1507"/>
        <w:gridCol w:w="1505"/>
      </w:tblGrid>
      <w:tr w:rsidR="00DA059D" w:rsidRPr="00DA059D" w14:paraId="67CC6C1B" w14:textId="77777777" w:rsidTr="00DA059D">
        <w:trPr>
          <w:trHeight w:val="283"/>
          <w:tblHeader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C78E0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36A0FA6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B373B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6C4BE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A92E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6C538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7A735EC4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2565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(v 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68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1 361 270 771,99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34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2 431 073 798,69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3E0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897 764 434,58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1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2 815 582 171,01</w:t>
            </w:r>
          </w:p>
        </w:tc>
      </w:tr>
      <w:tr w:rsidR="00DA059D" w:rsidRPr="00DA059D" w14:paraId="7FF06E71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7346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(v 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17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183 403 342,94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D9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1 343 589 220,37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AF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366 657 110,74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C9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181 551 739,29</w:t>
            </w:r>
          </w:p>
        </w:tc>
      </w:tr>
      <w:tr w:rsidR="00DA059D" w:rsidRPr="00DA059D" w14:paraId="50AE2E5A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5C9ECB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</w:t>
            </w:r>
          </w:p>
          <w:p w14:paraId="6E8C336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16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39DC6D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6E23C3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02BD09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BEEBBF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4FA42C12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05F1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C0D3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165,59 %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230F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111,35 %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F06F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19,46 %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A113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75,76 %</w:t>
            </w:r>
          </w:p>
        </w:tc>
      </w:tr>
      <w:tr w:rsidR="00DA059D" w:rsidRPr="00DA059D" w14:paraId="00634A3C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8408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0A69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2,49 %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4060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18,70 %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81BD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4,30 %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17E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2,22 %</w:t>
            </w:r>
          </w:p>
        </w:tc>
      </w:tr>
    </w:tbl>
    <w:p w14:paraId="7C23A0C2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7DDB2A52" w14:textId="77777777" w:rsidR="00DA059D" w:rsidRPr="00DA059D" w:rsidRDefault="00DA059D" w:rsidP="00DA059D">
      <w:pPr>
        <w:spacing w:after="0"/>
        <w:jc w:val="both"/>
      </w:pPr>
    </w:p>
    <w:p w14:paraId="5BF37942" w14:textId="67F8DF8C" w:rsidR="00DA059D" w:rsidRPr="00DA059D" w:rsidRDefault="00DA059D" w:rsidP="00DA059D">
      <w:pPr>
        <w:keepNext/>
        <w:tabs>
          <w:tab w:val="right" w:pos="9072"/>
        </w:tabs>
        <w:spacing w:after="40"/>
        <w:ind w:left="964" w:hanging="964"/>
        <w:rPr>
          <w:rFonts w:cs="Calibri"/>
          <w:b/>
          <w:bCs/>
        </w:rPr>
      </w:pPr>
      <w:bookmarkStart w:id="44" w:name="_Toc520715136"/>
      <w:bookmarkStart w:id="45" w:name="_Toc531766468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Porovnání meziročního tempa růstu příjmů a výdajů v rozpočtové kapitole 335 (OSS včetně MZd) v období 2014–2017</w:t>
      </w:r>
      <w:bookmarkEnd w:id="44"/>
      <w:bookmarkEnd w:id="45"/>
    </w:p>
    <w:p w14:paraId="267FC15B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4E07EACB" wp14:editId="20C74351">
            <wp:extent cx="5760720" cy="2875915"/>
            <wp:effectExtent l="0" t="0" r="0" b="635"/>
            <wp:docPr id="192" name="Graf 1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297483" w14:textId="3424290B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r w:rsidRPr="00DA059D">
        <w:rPr>
          <w:b/>
          <w:bCs/>
          <w:sz w:val="22"/>
          <w:szCs w:val="18"/>
        </w:rPr>
        <w:br w:type="page"/>
      </w:r>
      <w:bookmarkStart w:id="46" w:name="_Toc520714593"/>
      <w:bookmarkStart w:id="47" w:name="_Toc524590452"/>
      <w:bookmarkStart w:id="48" w:name="_Toc531766436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16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Příjmy a výdaje MZd </w:t>
      </w:r>
      <w:r w:rsidRPr="00DA059D">
        <w:rPr>
          <w:rFonts w:cs="Calibri"/>
          <w:b/>
          <w:bCs/>
        </w:rPr>
        <w:tab/>
        <w:t>(v Kč</w:t>
      </w:r>
      <w:bookmarkEnd w:id="46"/>
      <w:bookmarkEnd w:id="47"/>
      <w:r w:rsidRPr="00DA059D">
        <w:rPr>
          <w:rFonts w:cs="Calibri"/>
          <w:b/>
          <w:bCs/>
        </w:rPr>
        <w:t>)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29"/>
        <w:gridCol w:w="1530"/>
        <w:gridCol w:w="1530"/>
        <w:gridCol w:w="1530"/>
        <w:gridCol w:w="1530"/>
      </w:tblGrid>
      <w:tr w:rsidR="00DA059D" w:rsidRPr="00DA059D" w14:paraId="5349B6A5" w14:textId="77777777" w:rsidTr="00DA059D">
        <w:trPr>
          <w:trHeight w:val="28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677EC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76C90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00A97E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72B05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E3EC9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F962A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BCAA314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B0F5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Příjmy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78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512 518 292,32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3E1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1 613 461 746,07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82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3 955 885 901,66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A9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3 151 318 450,27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8B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339 723 483,98</w:t>
            </w:r>
          </w:p>
        </w:tc>
      </w:tr>
      <w:tr w:rsidR="00DA059D" w:rsidRPr="00DA059D" w14:paraId="606F0036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0CA9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Výdaje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3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5 471 486 852,67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1A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5 158 582 362,94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3A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6 421 604 033,09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B5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5 996 827 371,65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24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5 730 579 316,32</w:t>
            </w:r>
          </w:p>
        </w:tc>
      </w:tr>
    </w:tbl>
    <w:p w14:paraId="1D67F069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49" w:name="_Toc520714594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77EA8FD" w14:textId="77777777" w:rsidR="00DA059D" w:rsidRPr="00DA059D" w:rsidRDefault="00DA059D" w:rsidP="00DA059D">
      <w:pPr>
        <w:spacing w:after="0"/>
        <w:jc w:val="both"/>
      </w:pPr>
    </w:p>
    <w:p w14:paraId="1125B845" w14:textId="7E3479DF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50" w:name="_Toc524590453"/>
      <w:bookmarkStart w:id="51" w:name="_Toc531766437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17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Tempo růstu příjmů a výdajů MZ</w:t>
      </w:r>
      <w:bookmarkEnd w:id="49"/>
      <w:bookmarkEnd w:id="50"/>
      <w:bookmarkEnd w:id="51"/>
      <w:r w:rsidRPr="00DA059D">
        <w:rPr>
          <w:rFonts w:cs="Calibri"/>
          <w:b/>
          <w:bCs/>
        </w:rPr>
        <w:t>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0"/>
        <w:gridCol w:w="1520"/>
      </w:tblGrid>
      <w:tr w:rsidR="00DA059D" w:rsidRPr="00DA059D" w14:paraId="59EBABB8" w14:textId="77777777" w:rsidTr="00DA059D">
        <w:trPr>
          <w:trHeight w:val="283"/>
          <w:tblHeader/>
        </w:trPr>
        <w:tc>
          <w:tcPr>
            <w:tcW w:w="1639" w:type="pct"/>
            <w:shd w:val="clear" w:color="auto" w:fill="E5F1FF"/>
            <w:noWrap/>
            <w:vAlign w:val="center"/>
            <w:hideMark/>
          </w:tcPr>
          <w:p w14:paraId="6F1AF80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78AABB0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40" w:type="pct"/>
            <w:shd w:val="clear" w:color="auto" w:fill="E5F1FF"/>
            <w:noWrap/>
            <w:vAlign w:val="center"/>
            <w:hideMark/>
          </w:tcPr>
          <w:p w14:paraId="48D6C1B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0" w:type="pct"/>
            <w:shd w:val="clear" w:color="auto" w:fill="E5F1FF"/>
            <w:noWrap/>
            <w:vAlign w:val="center"/>
            <w:hideMark/>
          </w:tcPr>
          <w:p w14:paraId="71D20A7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0" w:type="pct"/>
            <w:shd w:val="clear" w:color="auto" w:fill="E5F1FF"/>
            <w:noWrap/>
            <w:vAlign w:val="center"/>
            <w:hideMark/>
          </w:tcPr>
          <w:p w14:paraId="21E7EBD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0" w:type="pct"/>
            <w:shd w:val="clear" w:color="auto" w:fill="E5F1FF"/>
            <w:noWrap/>
            <w:vAlign w:val="center"/>
            <w:hideMark/>
          </w:tcPr>
          <w:p w14:paraId="594F7FE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1093F79F" w14:textId="77777777" w:rsidTr="00DA059D">
        <w:trPr>
          <w:trHeight w:val="283"/>
        </w:trPr>
        <w:tc>
          <w:tcPr>
            <w:tcW w:w="1639" w:type="pct"/>
            <w:shd w:val="clear" w:color="auto" w:fill="auto"/>
            <w:noWrap/>
            <w:vAlign w:val="center"/>
          </w:tcPr>
          <w:p w14:paraId="41279F04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(v Kč)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280C28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1 100 943 453,75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758924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2 342 424 155,59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293982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804 567 451,39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1E49CE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2 811 594 966,29</w:t>
            </w:r>
          </w:p>
        </w:tc>
      </w:tr>
      <w:tr w:rsidR="00DA059D" w:rsidRPr="00DA059D" w14:paraId="5635483C" w14:textId="77777777" w:rsidTr="00DA059D">
        <w:trPr>
          <w:trHeight w:val="283"/>
        </w:trPr>
        <w:tc>
          <w:tcPr>
            <w:tcW w:w="1639" w:type="pct"/>
            <w:shd w:val="clear" w:color="auto" w:fill="auto"/>
            <w:noWrap/>
            <w:vAlign w:val="center"/>
          </w:tcPr>
          <w:p w14:paraId="178F57F8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(v Kč)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712E8A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312 904 489,73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217D8C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1 263 021 670,15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687309A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424 776 661,44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2046C6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266 248 055,33</w:t>
            </w:r>
          </w:p>
        </w:tc>
      </w:tr>
      <w:tr w:rsidR="00DA059D" w:rsidRPr="00DA059D" w14:paraId="79FD3549" w14:textId="77777777" w:rsidTr="00DA059D">
        <w:trPr>
          <w:trHeight w:val="283"/>
        </w:trPr>
        <w:tc>
          <w:tcPr>
            <w:tcW w:w="1639" w:type="pct"/>
            <w:shd w:val="clear" w:color="auto" w:fill="E5F1FF"/>
            <w:noWrap/>
            <w:vAlign w:val="center"/>
          </w:tcPr>
          <w:p w14:paraId="55210D3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70042A7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16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40" w:type="pct"/>
            <w:shd w:val="clear" w:color="auto" w:fill="E5F1FF"/>
            <w:noWrap/>
            <w:vAlign w:val="center"/>
          </w:tcPr>
          <w:p w14:paraId="6ADE791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40" w:type="pct"/>
            <w:shd w:val="clear" w:color="auto" w:fill="E5F1FF"/>
            <w:noWrap/>
            <w:vAlign w:val="center"/>
          </w:tcPr>
          <w:p w14:paraId="73D746A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40" w:type="pct"/>
            <w:shd w:val="clear" w:color="auto" w:fill="E5F1FF"/>
            <w:noWrap/>
            <w:vAlign w:val="center"/>
          </w:tcPr>
          <w:p w14:paraId="24BD9D6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40" w:type="pct"/>
            <w:shd w:val="clear" w:color="auto" w:fill="E5F1FF"/>
            <w:noWrap/>
            <w:vAlign w:val="center"/>
          </w:tcPr>
          <w:p w14:paraId="194B54B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3B770A95" w14:textId="77777777" w:rsidTr="00DA059D">
        <w:trPr>
          <w:trHeight w:val="283"/>
        </w:trPr>
        <w:tc>
          <w:tcPr>
            <w:tcW w:w="1639" w:type="pct"/>
            <w:shd w:val="clear" w:color="auto" w:fill="auto"/>
            <w:noWrap/>
            <w:vAlign w:val="center"/>
          </w:tcPr>
          <w:p w14:paraId="01F21EB2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409038CE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214,81 %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77DFFBC5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145,18 %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66CAA99A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20,34 %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07D96EA9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89,22 %</w:t>
            </w:r>
          </w:p>
        </w:tc>
      </w:tr>
      <w:tr w:rsidR="00DA059D" w:rsidRPr="00DA059D" w14:paraId="3797464A" w14:textId="77777777" w:rsidTr="00DA059D">
        <w:trPr>
          <w:trHeight w:val="283"/>
        </w:trPr>
        <w:tc>
          <w:tcPr>
            <w:tcW w:w="1639" w:type="pct"/>
            <w:shd w:val="clear" w:color="auto" w:fill="auto"/>
            <w:noWrap/>
            <w:vAlign w:val="center"/>
          </w:tcPr>
          <w:p w14:paraId="60DDD104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38A86CF5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5,72 %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3068B910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24,48 %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3C906E48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6,61 %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0BE3A756" w14:textId="77777777" w:rsidR="00DA059D" w:rsidRPr="00DA059D" w:rsidRDefault="00DA059D" w:rsidP="00C56880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4,44 %</w:t>
            </w:r>
          </w:p>
        </w:tc>
      </w:tr>
    </w:tbl>
    <w:p w14:paraId="417059A0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52" w:name="_Toc520715137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0E2B39AD" w14:textId="77777777" w:rsidR="00DA059D" w:rsidRPr="00DA059D" w:rsidRDefault="00DA059D" w:rsidP="00DA059D">
      <w:pPr>
        <w:spacing w:after="0"/>
        <w:jc w:val="both"/>
      </w:pPr>
    </w:p>
    <w:p w14:paraId="2B506090" w14:textId="30650553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53" w:name="_Toc531766469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Porovnání meziročního tempa růstu příjmů a výdajů MZd v období 2014–2017</w:t>
      </w:r>
      <w:bookmarkEnd w:id="52"/>
      <w:bookmarkEnd w:id="53"/>
    </w:p>
    <w:p w14:paraId="45954F6D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176E3E8A" wp14:editId="7B61EBE0">
            <wp:extent cx="5760720" cy="2875915"/>
            <wp:effectExtent l="0" t="0" r="0" b="635"/>
            <wp:docPr id="204" name="Graf 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14DDA5" w14:textId="77777777" w:rsidR="00DA059D" w:rsidRPr="00DA059D" w:rsidRDefault="00DA059D" w:rsidP="00DA059D">
      <w:pPr>
        <w:spacing w:after="0"/>
        <w:jc w:val="both"/>
      </w:pPr>
    </w:p>
    <w:p w14:paraId="1787BCA4" w14:textId="7DAA1E50" w:rsidR="00DA059D" w:rsidRPr="00DA059D" w:rsidRDefault="00DA059D" w:rsidP="00DA059D">
      <w:pPr>
        <w:jc w:val="both"/>
      </w:pPr>
      <w:r w:rsidRPr="00DA059D">
        <w:t xml:space="preserve">Příjmy měly do roku 2015 rostoucí tendenci a od tohoto roku naopak klesaly. Růst příjmů byl v roce 2014 způsoben růstem položek 2434 – </w:t>
      </w:r>
      <w:r w:rsidRPr="00DA059D">
        <w:rPr>
          <w:i/>
        </w:rPr>
        <w:t xml:space="preserve">Splátky půjčených prostředků od fondů sociálního a zdravotního pojištění </w:t>
      </w:r>
      <w:r w:rsidRPr="00DA059D">
        <w:t xml:space="preserve">(navýšení o 700 mil. Kč z titulu splátky půjčených prostředků od VZP) a 4118 – </w:t>
      </w:r>
      <w:r w:rsidRPr="00DA059D">
        <w:rPr>
          <w:i/>
        </w:rPr>
        <w:t xml:space="preserve">Neinvestiční převody z Národního fondu </w:t>
      </w:r>
      <w:r w:rsidRPr="00DA059D">
        <w:t xml:space="preserve">(o 352 mil. Kč). V roce 2015 byl vývoj příjmů ovlivněn růstem položky 2129 – </w:t>
      </w:r>
      <w:r w:rsidRPr="00DA059D">
        <w:rPr>
          <w:i/>
        </w:rPr>
        <w:t>Ostatní odvody přebytků organizací s přímým vztahem</w:t>
      </w:r>
      <w:r w:rsidRPr="00DA059D">
        <w:t>, na kterou byly odvedeny prostředky SÚKL dle ustanovení § 112 odst. 5 záko</w:t>
      </w:r>
      <w:r w:rsidR="002C652B">
        <w:t xml:space="preserve">na o léčivech ve výši 1 700 000 </w:t>
      </w:r>
      <w:r w:rsidRPr="00DA059D">
        <w:t xml:space="preserve">000 Kč, a růstem položky 4218 – </w:t>
      </w:r>
      <w:r w:rsidRPr="00DA059D">
        <w:rPr>
          <w:i/>
        </w:rPr>
        <w:t>Investiční převody z Národního fondu</w:t>
      </w:r>
      <w:r w:rsidRPr="00DA059D">
        <w:t xml:space="preserve">, která se oproti předchozímu roku zvýšila o 1,69 mld. Kč. </w:t>
      </w:r>
    </w:p>
    <w:p w14:paraId="4D5C8DCF" w14:textId="77777777" w:rsidR="00DA059D" w:rsidRPr="00DA059D" w:rsidRDefault="00DA059D" w:rsidP="00DA059D">
      <w:pPr>
        <w:jc w:val="both"/>
        <w:rPr>
          <w:highlight w:val="yellow"/>
        </w:rPr>
      </w:pPr>
      <w:r w:rsidRPr="00DA059D">
        <w:t xml:space="preserve">Pokles příjmů v roce 2016 byl zapříčiněn především poklesem položky 2129 – </w:t>
      </w:r>
      <w:r w:rsidRPr="00DA059D">
        <w:rPr>
          <w:i/>
        </w:rPr>
        <w:t>Ostatní odvody přebytků organizací s přímým vztahem</w:t>
      </w:r>
      <w:r w:rsidRPr="00DA059D">
        <w:t xml:space="preserve">. Na poklesu v roce 2017 se podílel především pokles položky 4218 – </w:t>
      </w:r>
      <w:r w:rsidRPr="00DA059D">
        <w:rPr>
          <w:i/>
        </w:rPr>
        <w:t>Investiční převody z Národního fondu</w:t>
      </w:r>
      <w:r w:rsidRPr="00DA059D">
        <w:t xml:space="preserve"> (o 2,26 mld. Kč) a pokles položky </w:t>
      </w:r>
      <w:r w:rsidRPr="00DA059D">
        <w:br/>
        <w:t xml:space="preserve">2434 – </w:t>
      </w:r>
      <w:r w:rsidRPr="00DA059D">
        <w:rPr>
          <w:i/>
        </w:rPr>
        <w:t>Splátky půjčených prostředků od fondů sociálního a zdravotního pojištění</w:t>
      </w:r>
      <w:r w:rsidRPr="00DA059D">
        <w:t xml:space="preserve"> (o 500 mil. Kč).</w:t>
      </w:r>
    </w:p>
    <w:p w14:paraId="72B91ACF" w14:textId="02FC2AB4" w:rsidR="00DA059D" w:rsidRPr="00DA059D" w:rsidRDefault="00DA059D" w:rsidP="00DA059D">
      <w:pPr>
        <w:jc w:val="both"/>
      </w:pPr>
      <w:r w:rsidRPr="00DA059D">
        <w:lastRenderedPageBreak/>
        <w:t>Ve vývoji výdajů nedošlo v období 2013–2017 k výrazným výkyvům; k růstu výdajů došlo jen mezi lety 2014 a 2015, ve zbývajících letech byl trend klesající. Pokles výdajů na začátku sledovaného období byl způsoben poklesem rozpočtového paragrafu 3561</w:t>
      </w:r>
      <w:r w:rsidR="002C652B">
        <w:t xml:space="preserve"> </w:t>
      </w:r>
      <w:r w:rsidRPr="00DA059D">
        <w:t>–</w:t>
      </w:r>
      <w:r w:rsidR="002C652B">
        <w:t xml:space="preserve"> </w:t>
      </w:r>
      <w:r w:rsidRPr="00DA059D">
        <w:rPr>
          <w:i/>
        </w:rPr>
        <w:t>Činnost ústředního orgánu státní správy ve zdravotnictví</w:t>
      </w:r>
      <w:r w:rsidRPr="00DA059D">
        <w:t xml:space="preserve"> o 1,68 mld. Kč. Růst v roce 2015 byl zapříčiněn především rozpočtovým paragrafem 3549 – </w:t>
      </w:r>
      <w:r w:rsidRPr="00DA059D">
        <w:rPr>
          <w:i/>
        </w:rPr>
        <w:t>Ostatní speciální zdravotnická péče</w:t>
      </w:r>
      <w:r w:rsidRPr="00DA059D">
        <w:t>, kde došlo k růstu o 1,22 mld. Kč. V roce 2016 bylo především tímto paragrafem způsobeno naopak snížení výdajů, když na paragrafu 3549 došlo k poklesu o 1,4 mld. Kč. Pokles v roce 2017 byl rovněž nejvíce ovlivněn poklesem paragrafu 3549, který se snížil o 531 mil. Kč.</w:t>
      </w:r>
    </w:p>
    <w:p w14:paraId="42466485" w14:textId="1D80C07E" w:rsidR="00DA059D" w:rsidRPr="00DA059D" w:rsidRDefault="00DA059D" w:rsidP="00DA059D">
      <w:pPr>
        <w:keepNext/>
        <w:tabs>
          <w:tab w:val="right" w:pos="9072"/>
        </w:tabs>
        <w:spacing w:after="40"/>
        <w:ind w:left="1474" w:hanging="1474"/>
        <w:rPr>
          <w:rFonts w:cs="Calibri"/>
          <w:b/>
          <w:bCs/>
        </w:rPr>
      </w:pPr>
      <w:bookmarkStart w:id="54" w:name="_Toc520714595"/>
      <w:bookmarkStart w:id="55" w:name="_Toc524590454"/>
      <w:bookmarkStart w:id="56" w:name="_Toc531766438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18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Příjmy a výdaje ostatních OSS v rozpočtové kapitole 335 MZd (bez MZd)</w:t>
      </w:r>
    </w:p>
    <w:p w14:paraId="218B1CC2" w14:textId="77777777" w:rsidR="00DA059D" w:rsidRPr="00DA059D" w:rsidRDefault="00DA059D" w:rsidP="00DA059D">
      <w:pPr>
        <w:keepNext/>
        <w:tabs>
          <w:tab w:val="right" w:pos="9072"/>
        </w:tabs>
        <w:spacing w:after="40"/>
        <w:ind w:left="1474" w:hanging="1474"/>
        <w:rPr>
          <w:rFonts w:cs="Calibri"/>
          <w:b/>
          <w:bCs/>
        </w:rPr>
      </w:pPr>
      <w:r w:rsidRPr="00DA059D">
        <w:rPr>
          <w:rFonts w:cs="Calibri"/>
          <w:b/>
          <w:bCs/>
        </w:rPr>
        <w:tab/>
      </w:r>
      <w:r w:rsidRPr="00DA059D">
        <w:rPr>
          <w:rFonts w:cs="Calibri"/>
          <w:b/>
          <w:bCs/>
        </w:rPr>
        <w:tab/>
        <w:t>(v Kč</w:t>
      </w:r>
      <w:bookmarkEnd w:id="54"/>
      <w:bookmarkEnd w:id="55"/>
      <w:r w:rsidRPr="00DA059D">
        <w:rPr>
          <w:rFonts w:cs="Calibri"/>
          <w:b/>
          <w:bCs/>
        </w:rPr>
        <w:t>)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29"/>
        <w:gridCol w:w="1530"/>
        <w:gridCol w:w="1530"/>
        <w:gridCol w:w="1530"/>
        <w:gridCol w:w="1530"/>
      </w:tblGrid>
      <w:tr w:rsidR="00DA059D" w:rsidRPr="00DA059D" w14:paraId="63281370" w14:textId="77777777" w:rsidTr="00DA059D">
        <w:trPr>
          <w:trHeight w:val="28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DAFB2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E27F6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3E8A1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43FE2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7AE72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03999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52031554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AADF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Příjmy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F8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309 563 574,00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44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569 890 892,24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CD9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658 540 535,34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05E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565 343 552,15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6C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561 356 347,43</w:t>
            </w:r>
          </w:p>
        </w:tc>
      </w:tr>
      <w:tr w:rsidR="00DA059D" w:rsidRPr="00DA059D" w14:paraId="49634464" w14:textId="77777777" w:rsidTr="00DA059D">
        <w:trPr>
          <w:trHeight w:val="283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1E17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Výdaje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4B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1 897 245 738,28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D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2 026 746 885,07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EC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2 107 314 435,29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1B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2 165 433 985,99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48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2 250 130 302,03</w:t>
            </w:r>
          </w:p>
        </w:tc>
      </w:tr>
    </w:tbl>
    <w:p w14:paraId="004383CD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57" w:name="_Toc520714596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9241049" w14:textId="77777777" w:rsidR="00DA059D" w:rsidRPr="00DA059D" w:rsidRDefault="00DA059D" w:rsidP="00DA059D">
      <w:pPr>
        <w:spacing w:after="0"/>
        <w:jc w:val="both"/>
      </w:pPr>
    </w:p>
    <w:p w14:paraId="37919EEE" w14:textId="506376CE" w:rsidR="00DA059D" w:rsidRPr="00DA059D" w:rsidRDefault="00DA059D" w:rsidP="00DA059D">
      <w:pPr>
        <w:keepNext/>
        <w:tabs>
          <w:tab w:val="right" w:pos="9072"/>
        </w:tabs>
        <w:spacing w:after="0"/>
        <w:ind w:left="1474" w:hanging="1474"/>
        <w:rPr>
          <w:rFonts w:cs="Calibri"/>
          <w:b/>
          <w:bCs/>
        </w:rPr>
      </w:pPr>
      <w:bookmarkStart w:id="58" w:name="_Toc531766439"/>
      <w:bookmarkStart w:id="59" w:name="_Toc524590455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19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Tempo růstu příjmů a výdajů ostatních OSS v rozpočtové kapitole 335 MZ</w:t>
      </w:r>
      <w:bookmarkEnd w:id="58"/>
      <w:r w:rsidRPr="00DA059D">
        <w:rPr>
          <w:rFonts w:cs="Calibri"/>
          <w:b/>
          <w:bCs/>
        </w:rPr>
        <w:t xml:space="preserve">d </w:t>
      </w:r>
    </w:p>
    <w:p w14:paraId="688AF397" w14:textId="77777777" w:rsidR="00DA059D" w:rsidRPr="00DA059D" w:rsidRDefault="00DA059D" w:rsidP="00DA059D">
      <w:pPr>
        <w:keepNext/>
        <w:tabs>
          <w:tab w:val="right" w:pos="9072"/>
        </w:tabs>
        <w:spacing w:after="40"/>
        <w:ind w:left="1474"/>
        <w:rPr>
          <w:rFonts w:cs="Calibri"/>
          <w:b/>
          <w:bCs/>
        </w:rPr>
      </w:pPr>
      <w:r w:rsidRPr="00DA059D">
        <w:rPr>
          <w:rFonts w:cs="Calibri"/>
          <w:b/>
          <w:bCs/>
        </w:rPr>
        <w:t>(bez MZd)</w:t>
      </w:r>
      <w:bookmarkEnd w:id="57"/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0"/>
        <w:gridCol w:w="1520"/>
      </w:tblGrid>
      <w:tr w:rsidR="00DA059D" w:rsidRPr="00DA059D" w14:paraId="73D08CEA" w14:textId="77777777" w:rsidTr="00DA059D">
        <w:trPr>
          <w:trHeight w:val="283"/>
          <w:tblHeader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AFCD9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(absolutní změna)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6FA6C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5DD03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0AE45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E5D2B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7514FD4D" w14:textId="77777777" w:rsidTr="00DA059D">
        <w:trPr>
          <w:trHeight w:val="28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EB3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 (v Kč)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65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260 327 318,24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F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88 649 643,10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98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93 196 983,19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BA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3 987 204,72</w:t>
            </w:r>
          </w:p>
        </w:tc>
      </w:tr>
      <w:tr w:rsidR="00DA059D" w:rsidRPr="00DA059D" w14:paraId="0E311622" w14:textId="77777777" w:rsidTr="00DA059D">
        <w:trPr>
          <w:trHeight w:val="28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6EC1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 (v Kč)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BE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129 501 146,79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CC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80 567 550,22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27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58 119 550,70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CE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84 696 316,04</w:t>
            </w:r>
          </w:p>
        </w:tc>
      </w:tr>
      <w:tr w:rsidR="00DA059D" w:rsidRPr="00DA059D" w14:paraId="30DA9BEA" w14:textId="77777777" w:rsidTr="00DA059D">
        <w:trPr>
          <w:trHeight w:val="28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C2AD85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62BB429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20"/>
                <w:szCs w:val="20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4F6C71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A41941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0DA965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CC7321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457D3D66" w14:textId="77777777" w:rsidTr="00DA059D">
        <w:trPr>
          <w:trHeight w:val="28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32F4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9766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84,09 %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1F4F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15,56 %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1243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14,15 %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51C7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0,71 %</w:t>
            </w:r>
          </w:p>
        </w:tc>
      </w:tr>
      <w:tr w:rsidR="00DA059D" w:rsidRPr="00DA059D" w14:paraId="425A4AA3" w14:textId="77777777" w:rsidTr="00DA059D">
        <w:trPr>
          <w:trHeight w:val="283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4081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7586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6,83 %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5571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3,98 %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BFFF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2,76 %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5B5A" w14:textId="77777777" w:rsidR="00DA059D" w:rsidRPr="00DA059D" w:rsidRDefault="00DA059D" w:rsidP="00DA059D">
            <w:pPr>
              <w:spacing w:after="0"/>
              <w:ind w:right="314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3,91 %</w:t>
            </w:r>
          </w:p>
        </w:tc>
      </w:tr>
    </w:tbl>
    <w:p w14:paraId="1CEE18DF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60" w:name="_Toc520715138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753CEBB0" w14:textId="77777777" w:rsidR="00DA059D" w:rsidRPr="00DA059D" w:rsidRDefault="00DA059D" w:rsidP="00DA059D">
      <w:pPr>
        <w:spacing w:after="0"/>
        <w:jc w:val="both"/>
      </w:pPr>
    </w:p>
    <w:p w14:paraId="3D2AC67C" w14:textId="3808FBC2" w:rsidR="00DA059D" w:rsidRPr="00DA059D" w:rsidRDefault="00DA059D" w:rsidP="00DA059D">
      <w:pPr>
        <w:keepNext/>
        <w:tabs>
          <w:tab w:val="right" w:pos="9072"/>
        </w:tabs>
        <w:spacing w:after="40"/>
        <w:ind w:left="964" w:hanging="964"/>
        <w:rPr>
          <w:rFonts w:cs="Calibri"/>
          <w:b/>
          <w:bCs/>
        </w:rPr>
      </w:pPr>
      <w:bookmarkStart w:id="61" w:name="_Toc531766470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Porovnání meziročního tempa růstu příjmů a výdajů ostatních OSS v rozpočtové kapitole 335 MZd (bez MZd) v období 2014–2017</w:t>
      </w:r>
      <w:bookmarkEnd w:id="60"/>
      <w:bookmarkEnd w:id="61"/>
    </w:p>
    <w:p w14:paraId="2D0D4D27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76A2F5F8" wp14:editId="64C32633">
            <wp:extent cx="5760720" cy="2875915"/>
            <wp:effectExtent l="0" t="0" r="0" b="635"/>
            <wp:docPr id="218" name="Graf 2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559D4B" w14:textId="77777777" w:rsidR="00DA059D" w:rsidRPr="00DA059D" w:rsidRDefault="00DA059D" w:rsidP="00DA059D">
      <w:pPr>
        <w:spacing w:after="0"/>
      </w:pPr>
    </w:p>
    <w:p w14:paraId="59803510" w14:textId="77777777" w:rsidR="00DA059D" w:rsidRPr="00DA059D" w:rsidRDefault="00DA059D" w:rsidP="00DA059D">
      <w:pPr>
        <w:spacing w:after="0"/>
      </w:pPr>
    </w:p>
    <w:p w14:paraId="26809988" w14:textId="6BCAE4D9" w:rsidR="00DA059D" w:rsidRPr="00DA059D" w:rsidRDefault="00DA059D" w:rsidP="002C652B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62" w:name="_Toc520714597"/>
      <w:bookmarkStart w:id="63" w:name="_Toc524590456"/>
      <w:bookmarkStart w:id="64" w:name="_Toc531766440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20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Výnosy a náklady v rozpočtové kapitole 335 MZd (OSS včetně MZd)</w:t>
      </w:r>
      <w:r w:rsidRPr="00DA059D">
        <w:rPr>
          <w:rFonts w:cs="Calibri"/>
          <w:b/>
          <w:bCs/>
        </w:rPr>
        <w:tab/>
        <w:t>(v Kč</w:t>
      </w:r>
      <w:bookmarkEnd w:id="62"/>
      <w:bookmarkEnd w:id="63"/>
      <w:r w:rsidRPr="00DA059D">
        <w:rPr>
          <w:rFonts w:cs="Calibri"/>
          <w:b/>
          <w:bCs/>
        </w:rPr>
        <w:t>)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554"/>
        <w:gridCol w:w="1554"/>
        <w:gridCol w:w="1554"/>
        <w:gridCol w:w="1554"/>
        <w:gridCol w:w="1553"/>
      </w:tblGrid>
      <w:tr w:rsidR="00DA059D" w:rsidRPr="00DA059D" w14:paraId="15084652" w14:textId="77777777" w:rsidTr="002C652B">
        <w:trPr>
          <w:trHeight w:val="283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8EAD6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9F2EB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CF3A2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F7D68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EE788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937BF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E2C4431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6E1C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1C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826 895 706,05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B1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1 401 821 763,64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5B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3 971 379 804,88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4C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3 174 216 901,95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99B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905 221 282,45</w:t>
            </w:r>
          </w:p>
        </w:tc>
      </w:tr>
      <w:tr w:rsidR="00DA059D" w:rsidRPr="00DA059D" w14:paraId="5FCB073B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CF4F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FC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5 660 908 872,39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AB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7 191 214 992,04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7B6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6 591 493 853,83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11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7 120 017 876,82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1B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6 842 826 151,59</w:t>
            </w:r>
          </w:p>
        </w:tc>
      </w:tr>
    </w:tbl>
    <w:p w14:paraId="0AE154C7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65" w:name="_Toc520714598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017E10D1" w14:textId="77777777" w:rsidR="00DA059D" w:rsidRPr="00DA059D" w:rsidRDefault="00DA059D" w:rsidP="00DA059D">
      <w:pPr>
        <w:spacing w:after="0"/>
        <w:jc w:val="both"/>
      </w:pPr>
    </w:p>
    <w:p w14:paraId="5C57D015" w14:textId="04C44E63" w:rsidR="00DA059D" w:rsidRPr="00DA059D" w:rsidRDefault="00DA059D" w:rsidP="00DA059D">
      <w:pPr>
        <w:keepNext/>
        <w:tabs>
          <w:tab w:val="right" w:pos="9072"/>
        </w:tabs>
        <w:spacing w:after="40"/>
        <w:ind w:left="1474" w:hanging="1474"/>
        <w:rPr>
          <w:rFonts w:cs="Calibri"/>
          <w:b/>
          <w:bCs/>
        </w:rPr>
      </w:pPr>
      <w:bookmarkStart w:id="66" w:name="_Toc524590457"/>
      <w:bookmarkStart w:id="67" w:name="_Toc531766441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21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Tempo růstu výnosů a nákladů v rozpočtové kapitole 335 MZd (OSS včetně MZ</w:t>
      </w:r>
      <w:bookmarkEnd w:id="65"/>
      <w:bookmarkEnd w:id="66"/>
      <w:r w:rsidRPr="00DA059D">
        <w:rPr>
          <w:rFonts w:cs="Calibri"/>
          <w:b/>
          <w:bCs/>
        </w:rPr>
        <w:t>d)</w:t>
      </w:r>
      <w:bookmarkEnd w:id="67"/>
      <w:r w:rsidRPr="00DA059D">
        <w:rPr>
          <w:rFonts w:cs="Calibri"/>
          <w:b/>
          <w:b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1"/>
        <w:gridCol w:w="1519"/>
      </w:tblGrid>
      <w:tr w:rsidR="00DA059D" w:rsidRPr="00DA059D" w14:paraId="2E447F14" w14:textId="77777777" w:rsidTr="00DA059D">
        <w:trPr>
          <w:trHeight w:val="283"/>
          <w:tblHeader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D68B4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54A9D2F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0F6C6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BF86D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A58A0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ACFBC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388360AB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DE1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(v 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BD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574 926 057,59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8E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2 569 558 041,24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9E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797 162 902,93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A2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2 268 995 619,50</w:t>
            </w:r>
          </w:p>
        </w:tc>
      </w:tr>
      <w:tr w:rsidR="00DA059D" w:rsidRPr="00DA059D" w14:paraId="70C97456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58B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26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1 530 306 119,65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C4E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599 721 138,21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D9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528 524 022,99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6D4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277 191 725,23</w:t>
            </w:r>
          </w:p>
        </w:tc>
      </w:tr>
      <w:tr w:rsidR="00DA059D" w:rsidRPr="00DA059D" w14:paraId="2A7FC6A0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B80EEA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1C4FFCE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([{x+1}-x]/x)×100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3A5A5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4D09D9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23A33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DD75FB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05004821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51F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4431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69,53 %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F2E7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183,30 %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65D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20,07 %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9D96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71,48 %</w:t>
            </w:r>
          </w:p>
        </w:tc>
      </w:tr>
      <w:tr w:rsidR="00DA059D" w:rsidRPr="00DA059D" w14:paraId="12CBB401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DC26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868D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27,03 %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CD06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8,34 %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E7B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8,02 %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85E7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3,89 %</w:t>
            </w:r>
          </w:p>
        </w:tc>
      </w:tr>
    </w:tbl>
    <w:p w14:paraId="2BC54FF9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68" w:name="_Toc520715139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4B99D37B" w14:textId="77777777" w:rsidR="00DA059D" w:rsidRPr="00DA059D" w:rsidRDefault="00DA059D" w:rsidP="00DA059D">
      <w:pPr>
        <w:spacing w:after="0"/>
        <w:jc w:val="both"/>
      </w:pPr>
    </w:p>
    <w:p w14:paraId="6752EF39" w14:textId="56193844" w:rsidR="00DA059D" w:rsidRPr="00DA059D" w:rsidRDefault="00DA059D" w:rsidP="00DA059D">
      <w:pPr>
        <w:keepNext/>
        <w:tabs>
          <w:tab w:val="right" w:pos="9072"/>
        </w:tabs>
        <w:spacing w:after="40"/>
        <w:ind w:left="964" w:hanging="964"/>
        <w:rPr>
          <w:rFonts w:cs="Calibri"/>
          <w:b/>
          <w:bCs/>
        </w:rPr>
      </w:pPr>
      <w:bookmarkStart w:id="69" w:name="_Toc531766471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Porovnání meziročního tempa růstu výnosů a nákladů v rozpočtové kapitole 335 MZd (OSS včetně MZd) v období 2014–2017</w:t>
      </w:r>
      <w:bookmarkEnd w:id="68"/>
      <w:bookmarkEnd w:id="69"/>
    </w:p>
    <w:p w14:paraId="73B039DE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2D9D5D27" wp14:editId="090B66DB">
            <wp:extent cx="5760720" cy="2875915"/>
            <wp:effectExtent l="0" t="0" r="0" b="635"/>
            <wp:docPr id="235" name="Graf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AA8E386" w14:textId="77777777" w:rsidR="00DA059D" w:rsidRPr="00DA059D" w:rsidRDefault="00DA059D" w:rsidP="00DA059D">
      <w:pPr>
        <w:spacing w:after="0"/>
        <w:jc w:val="both"/>
      </w:pPr>
    </w:p>
    <w:p w14:paraId="4C2D587B" w14:textId="220E42C1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70" w:name="_Toc520714599"/>
      <w:bookmarkStart w:id="71" w:name="_Toc524590458"/>
      <w:bookmarkStart w:id="72" w:name="_Toc531766442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22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Výnosy a náklady MZd </w:t>
      </w:r>
      <w:r w:rsidRPr="00DA059D">
        <w:rPr>
          <w:rFonts w:cs="Calibri"/>
          <w:b/>
          <w:bCs/>
        </w:rPr>
        <w:tab/>
        <w:t>(v Kč</w:t>
      </w:r>
      <w:bookmarkEnd w:id="70"/>
      <w:bookmarkEnd w:id="71"/>
      <w:r w:rsidRPr="00DA059D">
        <w:rPr>
          <w:rFonts w:cs="Calibri"/>
          <w:b/>
          <w:bCs/>
        </w:rPr>
        <w:t>)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554"/>
        <w:gridCol w:w="1554"/>
        <w:gridCol w:w="1554"/>
        <w:gridCol w:w="1554"/>
        <w:gridCol w:w="1553"/>
      </w:tblGrid>
      <w:tr w:rsidR="00DA059D" w:rsidRPr="00DA059D" w14:paraId="7E25F3DC" w14:textId="77777777" w:rsidTr="002C652B">
        <w:trPr>
          <w:trHeight w:val="283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A8477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CB7A5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209BE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F0A681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473FD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69426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5796E7B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3BD5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06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512 317 048,56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69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913 430 627,32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18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3 456 705 504,59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03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2 652 496 858,41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3D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340 276 384,69</w:t>
            </w:r>
          </w:p>
        </w:tc>
      </w:tr>
      <w:tr w:rsidR="00DA059D" w:rsidRPr="00DA059D" w14:paraId="54B48BAC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4291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A5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3 828 941 933,18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E8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5 174 171 346,61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0F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4 441 948 707,85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B20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4 899 686 780,66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5C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4 545 251 475,34</w:t>
            </w:r>
          </w:p>
        </w:tc>
      </w:tr>
    </w:tbl>
    <w:p w14:paraId="2D5F223F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73" w:name="_Toc520714600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5B19FC8" w14:textId="77777777" w:rsidR="00DA059D" w:rsidRPr="00DA059D" w:rsidRDefault="00DA059D" w:rsidP="00DA059D">
      <w:pPr>
        <w:spacing w:after="0"/>
        <w:jc w:val="both"/>
      </w:pPr>
    </w:p>
    <w:p w14:paraId="7A4B8DC6" w14:textId="77777777" w:rsidR="00DA059D" w:rsidRPr="00DA059D" w:rsidRDefault="00DA059D" w:rsidP="00DA059D">
      <w:pPr>
        <w:spacing w:after="0"/>
        <w:rPr>
          <w:rFonts w:cs="Calibri"/>
          <w:b/>
          <w:bCs/>
        </w:rPr>
      </w:pPr>
      <w:bookmarkStart w:id="74" w:name="_Toc524590459"/>
      <w:bookmarkStart w:id="75" w:name="_Toc531766443"/>
      <w:r w:rsidRPr="00DA059D">
        <w:rPr>
          <w:rFonts w:cs="Calibri"/>
        </w:rPr>
        <w:br w:type="page"/>
      </w:r>
    </w:p>
    <w:p w14:paraId="3F8AE821" w14:textId="75600458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23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Tempo růstu výnosů a nákladů MZ</w:t>
      </w:r>
      <w:bookmarkEnd w:id="73"/>
      <w:bookmarkEnd w:id="74"/>
      <w:bookmarkEnd w:id="75"/>
      <w:r w:rsidRPr="00DA059D">
        <w:rPr>
          <w:rFonts w:cs="Calibri"/>
          <w:b/>
          <w:bCs/>
        </w:rPr>
        <w:t>d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1"/>
        <w:gridCol w:w="1519"/>
      </w:tblGrid>
      <w:tr w:rsidR="00DA059D" w:rsidRPr="00DA059D" w14:paraId="25923C47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F815E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1E6DFA1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1F374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98046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EE591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DD51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0147E69F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23A4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(v 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3F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401 113 578,76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40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2 543 274 877,27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4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804 208 646,18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7BC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2 312 220 473,72</w:t>
            </w:r>
          </w:p>
        </w:tc>
      </w:tr>
      <w:tr w:rsidR="00DA059D" w:rsidRPr="00DA059D" w14:paraId="602A4D68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222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009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1 345 229 413,43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73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732 222 638,76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FC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457 738 072,81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D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354 435 305,32</w:t>
            </w:r>
          </w:p>
        </w:tc>
      </w:tr>
      <w:tr w:rsidR="00DA059D" w:rsidRPr="00DA059D" w14:paraId="466BDA53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1E87D3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5F18E9D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16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9D0D4A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B7AA67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B510BF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F45737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560E7EAA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752D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FCB7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78,29 %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C942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278,43 %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951B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23,27 %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2C7D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87,17 %</w:t>
            </w:r>
          </w:p>
        </w:tc>
      </w:tr>
      <w:tr w:rsidR="00DA059D" w:rsidRPr="00DA059D" w14:paraId="236BF110" w14:textId="77777777" w:rsidTr="00DA059D">
        <w:trPr>
          <w:trHeight w:val="28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360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433D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35,13 %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5F90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14,15 %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071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10,30 %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9C89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7,23 %</w:t>
            </w:r>
          </w:p>
        </w:tc>
      </w:tr>
    </w:tbl>
    <w:p w14:paraId="7F0BBC9D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76" w:name="_Toc520715140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004FD005" w14:textId="77777777" w:rsidR="00DA059D" w:rsidRPr="00DA059D" w:rsidRDefault="00DA059D" w:rsidP="00DA059D">
      <w:pPr>
        <w:spacing w:after="0"/>
        <w:jc w:val="both"/>
      </w:pPr>
    </w:p>
    <w:p w14:paraId="10EC0265" w14:textId="4529F4F6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77" w:name="_Toc531766472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5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Porovnání meziročního tempa růstu výnosů a nákladů MZd v období 2014–2017</w:t>
      </w:r>
      <w:bookmarkEnd w:id="76"/>
      <w:bookmarkEnd w:id="77"/>
    </w:p>
    <w:p w14:paraId="4924A779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15759031" wp14:editId="5A2956DB">
            <wp:extent cx="5760720" cy="2875915"/>
            <wp:effectExtent l="0" t="0" r="0" b="635"/>
            <wp:docPr id="248" name="Graf 2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399971" w14:textId="77777777" w:rsidR="00DA059D" w:rsidRPr="00DA059D" w:rsidRDefault="00DA059D" w:rsidP="00DA059D">
      <w:pPr>
        <w:spacing w:after="0"/>
        <w:jc w:val="both"/>
      </w:pPr>
    </w:p>
    <w:p w14:paraId="22C050DB" w14:textId="5B331A84" w:rsidR="00DA059D" w:rsidRPr="00DA059D" w:rsidRDefault="00DA059D" w:rsidP="00DA059D">
      <w:pPr>
        <w:jc w:val="both"/>
      </w:pPr>
      <w:r w:rsidRPr="00DA059D">
        <w:t xml:space="preserve">Výnosy měly do roku 2015 rostoucí tendenci a od tohoto roku naopak klesaly. Na růstu výnosů MZd v roce 2014 se nejvýznamněji podílel syntetický účet 671 – </w:t>
      </w:r>
      <w:r w:rsidRPr="00DA059D">
        <w:rPr>
          <w:i/>
        </w:rPr>
        <w:t xml:space="preserve">Výnosy vybraných ústředních vládních institucí z transferů </w:t>
      </w:r>
      <w:r w:rsidRPr="00DA059D">
        <w:t xml:space="preserve">(nárůst o 337 mil. Kč) a v roce 2015 účet 675 – </w:t>
      </w:r>
      <w:r w:rsidRPr="00DA059D">
        <w:rPr>
          <w:i/>
        </w:rPr>
        <w:t xml:space="preserve">Výnosy vybraných ústředních vládních institucí z předfinancování transferů </w:t>
      </w:r>
      <w:r w:rsidRPr="00DA059D">
        <w:t>(nárůst o</w:t>
      </w:r>
      <w:r w:rsidR="002C652B">
        <w:t xml:space="preserve"> </w:t>
      </w:r>
      <w:r w:rsidRPr="00DA059D">
        <w:t xml:space="preserve">1,72 mld. Kč) a účet </w:t>
      </w:r>
      <w:r w:rsidR="00331123">
        <w:br/>
      </w:r>
      <w:r w:rsidRPr="00DA059D">
        <w:t xml:space="preserve">649 – </w:t>
      </w:r>
      <w:r w:rsidRPr="00DA059D">
        <w:rPr>
          <w:i/>
        </w:rPr>
        <w:t xml:space="preserve">Ostatní výnosy z činnosti </w:t>
      </w:r>
      <w:r w:rsidRPr="00DA059D">
        <w:t>(nárůst o 1,71 mld. Kč z důvodu odvodu prostředků SÚKL dle</w:t>
      </w:r>
      <w:r w:rsidR="002C652B">
        <w:t xml:space="preserve"> </w:t>
      </w:r>
      <w:r w:rsidRPr="00DA059D">
        <w:t>ustanovení § 112 odst. 5 zákona o léčivech).</w:t>
      </w:r>
    </w:p>
    <w:p w14:paraId="46EA9C01" w14:textId="77777777" w:rsidR="00DA059D" w:rsidRPr="00DA059D" w:rsidRDefault="00DA059D" w:rsidP="00DA059D">
      <w:pPr>
        <w:jc w:val="both"/>
      </w:pPr>
      <w:r w:rsidRPr="00DA059D">
        <w:t xml:space="preserve">Pokles v roce 2016 byl nejvíce ovlivněn snížením o 1,7 mld. Kč na účtu 649 – </w:t>
      </w:r>
      <w:r w:rsidRPr="00DA059D">
        <w:rPr>
          <w:i/>
        </w:rPr>
        <w:t>Ostatní výnosy z činnosti</w:t>
      </w:r>
      <w:r w:rsidRPr="00DA059D">
        <w:t>. Na snížení výnosů v roce 2017 se nejvíce podílelo snížení výnosů vybraných ústředních vládních institucí z předfinancování transferů (SÚ 675), a to poklesem o 2,31 mld. Kč.</w:t>
      </w:r>
    </w:p>
    <w:p w14:paraId="316F9FEA" w14:textId="58D6304D" w:rsidR="00DA059D" w:rsidRPr="00DA059D" w:rsidRDefault="00DA059D" w:rsidP="00DA059D">
      <w:pPr>
        <w:jc w:val="both"/>
      </w:pPr>
      <w:r w:rsidRPr="00DA059D">
        <w:t xml:space="preserve">Náklady měly ve sledovaném období kolísavou tendenci, ale v jejich vývoji nedocházelo k výrazným výkyvům. Vývoj v jednotlivých letech byl ovlivněn především změnami na syntetickém účtu 571 – </w:t>
      </w:r>
      <w:r w:rsidRPr="00DA059D">
        <w:rPr>
          <w:i/>
        </w:rPr>
        <w:t>Náklady vybraných ústředních vládních institucí na transfery</w:t>
      </w:r>
      <w:r w:rsidRPr="00DA059D">
        <w:t>, který v roce 2014 vzrostl o 1,4 mld. Kč, v roce 2015 klesl o 1,15 mld. Kč, v roce 2016 vzrostl o 686 mil.</w:t>
      </w:r>
      <w:r w:rsidR="00331123">
        <w:t> </w:t>
      </w:r>
      <w:r w:rsidRPr="00DA059D">
        <w:t>Kč a v roce 2017 klesl o 448 mil. Kč.</w:t>
      </w:r>
    </w:p>
    <w:p w14:paraId="2256ADC6" w14:textId="77777777" w:rsidR="00DA059D" w:rsidRPr="00DA059D" w:rsidRDefault="00DA059D" w:rsidP="00DA059D">
      <w:pPr>
        <w:spacing w:after="0"/>
        <w:jc w:val="both"/>
      </w:pPr>
    </w:p>
    <w:p w14:paraId="72554FA1" w14:textId="77777777" w:rsidR="00DA059D" w:rsidRPr="00DA059D" w:rsidRDefault="00DA059D" w:rsidP="00DA059D">
      <w:pPr>
        <w:spacing w:after="0"/>
        <w:rPr>
          <w:rFonts w:cs="Calibri"/>
          <w:b/>
          <w:bCs/>
        </w:rPr>
      </w:pPr>
      <w:bookmarkStart w:id="78" w:name="_Toc520714601"/>
      <w:bookmarkStart w:id="79" w:name="_Toc524590460"/>
      <w:bookmarkStart w:id="80" w:name="_Toc531766444"/>
      <w:r w:rsidRPr="00DA059D">
        <w:rPr>
          <w:rFonts w:cs="Calibri"/>
        </w:rPr>
        <w:br w:type="page"/>
      </w:r>
    </w:p>
    <w:p w14:paraId="4DDCD75D" w14:textId="460FFFAD" w:rsidR="00DA059D" w:rsidRPr="00DA059D" w:rsidRDefault="00DA059D" w:rsidP="00DA059D">
      <w:pPr>
        <w:keepNext/>
        <w:tabs>
          <w:tab w:val="right" w:pos="9072"/>
        </w:tabs>
        <w:spacing w:after="0"/>
        <w:rPr>
          <w:rFonts w:cs="Calibri"/>
          <w:b/>
          <w:bCs/>
        </w:rPr>
      </w:pPr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Výnosy a náklady ostatních OSS v rozpočtové kapitole 335 MZd (bez MZd) </w:t>
      </w:r>
    </w:p>
    <w:p w14:paraId="2C3ED8A3" w14:textId="77777777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r w:rsidRPr="00DA059D">
        <w:rPr>
          <w:rFonts w:cs="Calibri"/>
          <w:b/>
          <w:bCs/>
        </w:rPr>
        <w:tab/>
        <w:t>(v Kč</w:t>
      </w:r>
      <w:bookmarkEnd w:id="78"/>
      <w:bookmarkEnd w:id="79"/>
      <w:r w:rsidRPr="00DA059D">
        <w:rPr>
          <w:rFonts w:cs="Calibri"/>
          <w:b/>
          <w:bCs/>
        </w:rPr>
        <w:t>)</w:t>
      </w:r>
      <w:bookmarkEnd w:id="8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554"/>
        <w:gridCol w:w="1554"/>
        <w:gridCol w:w="1554"/>
        <w:gridCol w:w="1554"/>
        <w:gridCol w:w="1553"/>
      </w:tblGrid>
      <w:tr w:rsidR="00DA059D" w:rsidRPr="00DA059D" w14:paraId="5E5E6915" w14:textId="77777777" w:rsidTr="002C652B">
        <w:trPr>
          <w:trHeight w:val="283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09B47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5DFFF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32924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22D14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C3C46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523F9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112CE137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33AD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67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314 578 657,49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BE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488 391 136,32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4B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514 674 300,29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24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521 720 043,54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C5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564 944 897,76</w:t>
            </w:r>
          </w:p>
        </w:tc>
      </w:tr>
      <w:tr w:rsidR="00DA059D" w:rsidRPr="00DA059D" w14:paraId="7148AB20" w14:textId="77777777" w:rsidTr="002C652B">
        <w:trPr>
          <w:trHeight w:val="28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A2D9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04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1 831 966 939,21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CA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2 017 043 645,43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93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2 149 545 145,98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85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2 220 331 096,16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6C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2 297 574 676,25</w:t>
            </w:r>
          </w:p>
        </w:tc>
      </w:tr>
    </w:tbl>
    <w:p w14:paraId="0BD9CF42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81" w:name="_Toc520714602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DF0C85B" w14:textId="77777777" w:rsidR="00DA059D" w:rsidRPr="00DA059D" w:rsidRDefault="00DA059D" w:rsidP="00DA059D">
      <w:pPr>
        <w:spacing w:after="0"/>
        <w:jc w:val="both"/>
      </w:pPr>
    </w:p>
    <w:p w14:paraId="5943196F" w14:textId="0CBA4346" w:rsidR="00DA059D" w:rsidRPr="00DA059D" w:rsidRDefault="00DA059D" w:rsidP="00DA059D">
      <w:pPr>
        <w:keepNext/>
        <w:tabs>
          <w:tab w:val="right" w:pos="9072"/>
        </w:tabs>
        <w:spacing w:after="0"/>
        <w:ind w:left="1446" w:hanging="1446"/>
        <w:rPr>
          <w:rFonts w:cs="Calibri"/>
          <w:b/>
          <w:bCs/>
        </w:rPr>
      </w:pPr>
      <w:bookmarkStart w:id="82" w:name="_Toc531766445"/>
      <w:bookmarkStart w:id="83" w:name="_Toc524590461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25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Tempo růstu výnosů a nákladů ostatních OSS v rozpočtové kapitole 335 MZ</w:t>
      </w:r>
      <w:bookmarkEnd w:id="82"/>
      <w:r w:rsidRPr="00DA059D">
        <w:rPr>
          <w:rFonts w:cs="Calibri"/>
          <w:b/>
          <w:bCs/>
        </w:rPr>
        <w:t>d</w:t>
      </w:r>
    </w:p>
    <w:p w14:paraId="7E339103" w14:textId="77777777" w:rsidR="00DA059D" w:rsidRPr="00DA059D" w:rsidRDefault="00DA059D" w:rsidP="00DA059D">
      <w:pPr>
        <w:keepNext/>
        <w:tabs>
          <w:tab w:val="right" w:pos="9072"/>
        </w:tabs>
        <w:spacing w:after="40"/>
        <w:ind w:left="1446"/>
        <w:rPr>
          <w:rFonts w:cs="Calibri"/>
          <w:b/>
          <w:bCs/>
        </w:rPr>
      </w:pPr>
      <w:r w:rsidRPr="00DA059D">
        <w:rPr>
          <w:rFonts w:cs="Calibri"/>
          <w:b/>
          <w:bCs/>
        </w:rPr>
        <w:t>(bez MZd)</w:t>
      </w:r>
      <w:bookmarkEnd w:id="81"/>
      <w:bookmarkEnd w:id="8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1"/>
        <w:gridCol w:w="1519"/>
      </w:tblGrid>
      <w:tr w:rsidR="00DA059D" w:rsidRPr="00DA059D" w14:paraId="56D7B201" w14:textId="77777777" w:rsidTr="00DA059D">
        <w:trPr>
          <w:trHeight w:val="283"/>
        </w:trPr>
        <w:tc>
          <w:tcPr>
            <w:tcW w:w="1561" w:type="pct"/>
            <w:shd w:val="clear" w:color="auto" w:fill="E5F1FF"/>
            <w:noWrap/>
            <w:vAlign w:val="center"/>
            <w:hideMark/>
          </w:tcPr>
          <w:p w14:paraId="1B4F0A3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4246B51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60" w:type="pct"/>
            <w:shd w:val="clear" w:color="auto" w:fill="E5F1FF"/>
            <w:noWrap/>
            <w:vAlign w:val="center"/>
            <w:hideMark/>
          </w:tcPr>
          <w:p w14:paraId="2D9D410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0" w:type="pct"/>
            <w:shd w:val="clear" w:color="auto" w:fill="E5F1FF"/>
            <w:noWrap/>
            <w:vAlign w:val="center"/>
            <w:hideMark/>
          </w:tcPr>
          <w:p w14:paraId="04D4094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0" w:type="pct"/>
            <w:shd w:val="clear" w:color="auto" w:fill="E5F1FF"/>
            <w:noWrap/>
            <w:vAlign w:val="center"/>
            <w:hideMark/>
          </w:tcPr>
          <w:p w14:paraId="5573AB1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0" w:type="pct"/>
            <w:shd w:val="clear" w:color="auto" w:fill="E5F1FF"/>
            <w:noWrap/>
            <w:vAlign w:val="center"/>
            <w:hideMark/>
          </w:tcPr>
          <w:p w14:paraId="5176D50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67207C59" w14:textId="77777777" w:rsidTr="00DA059D">
        <w:trPr>
          <w:trHeight w:val="283"/>
        </w:trPr>
        <w:tc>
          <w:tcPr>
            <w:tcW w:w="1561" w:type="pct"/>
            <w:shd w:val="clear" w:color="auto" w:fill="auto"/>
            <w:noWrap/>
            <w:vAlign w:val="center"/>
          </w:tcPr>
          <w:p w14:paraId="2BD4B43F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(v Kč)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1A138D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173 812 478,83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7B1E01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26 283 163,97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91B29C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7 045 743,25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321EEA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43 224 854,22</w:t>
            </w:r>
          </w:p>
        </w:tc>
      </w:tr>
      <w:tr w:rsidR="00DA059D" w:rsidRPr="00DA059D" w14:paraId="1577733B" w14:textId="77777777" w:rsidTr="00DA059D">
        <w:trPr>
          <w:trHeight w:val="283"/>
        </w:trPr>
        <w:tc>
          <w:tcPr>
            <w:tcW w:w="1561" w:type="pct"/>
            <w:shd w:val="clear" w:color="auto" w:fill="auto"/>
            <w:noWrap/>
            <w:vAlign w:val="center"/>
          </w:tcPr>
          <w:p w14:paraId="644F4FCD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1B553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185 076 706,22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345BA6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132 501 500,55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3B19DD9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70 785 950,18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6A568D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77 243 580,09</w:t>
            </w:r>
          </w:p>
        </w:tc>
      </w:tr>
      <w:tr w:rsidR="00DA059D" w:rsidRPr="00DA059D" w14:paraId="0674A65A" w14:textId="77777777" w:rsidTr="00DA059D">
        <w:trPr>
          <w:trHeight w:val="283"/>
        </w:trPr>
        <w:tc>
          <w:tcPr>
            <w:tcW w:w="1561" w:type="pct"/>
            <w:shd w:val="clear" w:color="auto" w:fill="E5F1FF"/>
            <w:noWrap/>
            <w:vAlign w:val="center"/>
          </w:tcPr>
          <w:p w14:paraId="228C510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7C0CAAD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20"/>
                <w:szCs w:val="20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60" w:type="pct"/>
            <w:shd w:val="clear" w:color="auto" w:fill="E5F1FF"/>
            <w:noWrap/>
            <w:vAlign w:val="center"/>
          </w:tcPr>
          <w:p w14:paraId="0D03EB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60" w:type="pct"/>
            <w:shd w:val="clear" w:color="auto" w:fill="E5F1FF"/>
            <w:noWrap/>
            <w:vAlign w:val="center"/>
          </w:tcPr>
          <w:p w14:paraId="6A601AC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60" w:type="pct"/>
            <w:shd w:val="clear" w:color="auto" w:fill="E5F1FF"/>
            <w:noWrap/>
            <w:vAlign w:val="center"/>
          </w:tcPr>
          <w:p w14:paraId="03F0B45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60" w:type="pct"/>
            <w:shd w:val="clear" w:color="auto" w:fill="E5F1FF"/>
            <w:noWrap/>
            <w:vAlign w:val="center"/>
          </w:tcPr>
          <w:p w14:paraId="44442CB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68E5F031" w14:textId="77777777" w:rsidTr="00DA059D">
        <w:trPr>
          <w:trHeight w:val="283"/>
        </w:trPr>
        <w:tc>
          <w:tcPr>
            <w:tcW w:w="1561" w:type="pct"/>
            <w:shd w:val="clear" w:color="auto" w:fill="auto"/>
            <w:noWrap/>
            <w:vAlign w:val="center"/>
          </w:tcPr>
          <w:p w14:paraId="441E88D0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62735D4A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55,25 %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7ECED5E4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5,38 %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FF08F40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1,37 %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2AB47B2B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8,29 %</w:t>
            </w:r>
          </w:p>
        </w:tc>
      </w:tr>
      <w:tr w:rsidR="00DA059D" w:rsidRPr="00DA059D" w14:paraId="0EFB889D" w14:textId="77777777" w:rsidTr="00DA059D">
        <w:trPr>
          <w:trHeight w:val="283"/>
        </w:trPr>
        <w:tc>
          <w:tcPr>
            <w:tcW w:w="1561" w:type="pct"/>
            <w:shd w:val="clear" w:color="auto" w:fill="auto"/>
            <w:noWrap/>
            <w:vAlign w:val="center"/>
          </w:tcPr>
          <w:p w14:paraId="583C8441" w14:textId="77777777" w:rsidR="00DA059D" w:rsidRPr="00DA059D" w:rsidRDefault="00DA059D" w:rsidP="00DA059D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24AAA681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10,10 %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1C26420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6,57 %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988017B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3,29 %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1ADAE10" w14:textId="77777777" w:rsidR="00DA059D" w:rsidRPr="00DA059D" w:rsidRDefault="00DA059D" w:rsidP="002C652B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3,48 %</w:t>
            </w:r>
          </w:p>
        </w:tc>
      </w:tr>
    </w:tbl>
    <w:p w14:paraId="62B4989E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84" w:name="_Toc520715141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454FDE55" w14:textId="77777777" w:rsidR="00DA059D" w:rsidRPr="00DA059D" w:rsidRDefault="00DA059D" w:rsidP="00DA059D">
      <w:pPr>
        <w:spacing w:after="0"/>
        <w:jc w:val="both"/>
      </w:pPr>
    </w:p>
    <w:p w14:paraId="2411432A" w14:textId="088C7388" w:rsidR="00DA059D" w:rsidRPr="00DA059D" w:rsidRDefault="00DA059D" w:rsidP="00DA059D">
      <w:pPr>
        <w:keepNext/>
        <w:tabs>
          <w:tab w:val="right" w:pos="9072"/>
        </w:tabs>
        <w:spacing w:after="40"/>
        <w:ind w:left="964" w:hanging="964"/>
        <w:rPr>
          <w:rFonts w:cs="Calibri"/>
          <w:b/>
          <w:bCs/>
        </w:rPr>
      </w:pPr>
      <w:bookmarkStart w:id="85" w:name="_Toc531766473"/>
      <w:r w:rsidRPr="00DA059D">
        <w:rPr>
          <w:rFonts w:cs="Calibri"/>
          <w:b/>
          <w:bCs/>
        </w:rPr>
        <w:t xml:space="preserve">Graf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Graf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6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Porovnání meziročního tempa růstu výnosů a nákladů ostatních OSS v rozpočtové kapitole 335 MZd (bez MZd) v období 2014–2017</w:t>
      </w:r>
      <w:bookmarkEnd w:id="84"/>
      <w:bookmarkEnd w:id="85"/>
    </w:p>
    <w:p w14:paraId="454A6565" w14:textId="77777777" w:rsidR="00DA059D" w:rsidRPr="00DA059D" w:rsidRDefault="00DA059D" w:rsidP="00DA059D">
      <w:pPr>
        <w:spacing w:after="0"/>
        <w:jc w:val="both"/>
      </w:pPr>
      <w:r w:rsidRPr="00DA059D">
        <w:rPr>
          <w:noProof/>
          <w:lang w:eastAsia="cs-CZ"/>
        </w:rPr>
        <w:drawing>
          <wp:inline distT="0" distB="0" distL="0" distR="0" wp14:anchorId="7EF5EC17" wp14:editId="3B6F3B12">
            <wp:extent cx="5760720" cy="2875915"/>
            <wp:effectExtent l="0" t="0" r="0" b="635"/>
            <wp:docPr id="262" name="Graf 2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20A3F0" w14:textId="77777777" w:rsidR="00DA059D" w:rsidRPr="00DA059D" w:rsidRDefault="00DA059D" w:rsidP="00DA059D">
      <w:pPr>
        <w:spacing w:after="0"/>
        <w:jc w:val="both"/>
      </w:pPr>
    </w:p>
    <w:p w14:paraId="493E1CA2" w14:textId="77777777" w:rsidR="00DA059D" w:rsidRPr="00DA059D" w:rsidRDefault="00DA059D" w:rsidP="00DA059D">
      <w:pPr>
        <w:spacing w:after="0"/>
        <w:jc w:val="both"/>
      </w:pPr>
    </w:p>
    <w:p w14:paraId="6EDD42A6" w14:textId="77777777" w:rsidR="00DA059D" w:rsidRPr="00DA059D" w:rsidRDefault="00DA059D" w:rsidP="00DA059D">
      <w:pPr>
        <w:spacing w:after="0"/>
        <w:rPr>
          <w:rFonts w:eastAsia="Calibri" w:cs="Calibri"/>
          <w:b/>
        </w:rPr>
      </w:pPr>
      <w:r w:rsidRPr="00DA059D">
        <w:rPr>
          <w:rFonts w:eastAsia="Calibri" w:cs="Calibri"/>
          <w:bCs/>
        </w:rPr>
        <w:br w:type="page"/>
      </w:r>
    </w:p>
    <w:p w14:paraId="3952C54E" w14:textId="77777777" w:rsidR="00DA059D" w:rsidRPr="00DA059D" w:rsidRDefault="00DA059D" w:rsidP="00331123">
      <w:pPr>
        <w:spacing w:after="0"/>
        <w:jc w:val="center"/>
        <w:outlineLvl w:val="1"/>
        <w:rPr>
          <w:rFonts w:eastAsia="Calibri" w:cs="Calibri"/>
          <w:b/>
        </w:rPr>
      </w:pPr>
      <w:r w:rsidRPr="00DA059D">
        <w:rPr>
          <w:rFonts w:eastAsia="Calibri" w:cs="Calibri"/>
          <w:b/>
        </w:rPr>
        <w:lastRenderedPageBreak/>
        <w:t>Oddíl VI. Náklady z činnosti, náklady na transfery a výnosy z transferů vykázané MZd a ostatními OSS v rozpočtové kapitole 335 MZd</w:t>
      </w:r>
    </w:p>
    <w:p w14:paraId="37680380" w14:textId="77777777" w:rsidR="00DA059D" w:rsidRPr="00DA059D" w:rsidRDefault="00DA059D" w:rsidP="00DA059D">
      <w:pPr>
        <w:spacing w:after="0"/>
        <w:jc w:val="both"/>
        <w:rPr>
          <w:rFonts w:eastAsia="Calibri"/>
        </w:rPr>
      </w:pPr>
    </w:p>
    <w:p w14:paraId="2C5B07E3" w14:textId="24825CE9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86" w:name="_Toc520714603"/>
      <w:bookmarkStart w:id="87" w:name="_Toc524590445"/>
      <w:bookmarkStart w:id="88" w:name="_Toc531766446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26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Průměrný přepočtený počet zaměstnanců</w:t>
      </w:r>
      <w:bookmarkEnd w:id="86"/>
      <w:bookmarkEnd w:id="87"/>
      <w:bookmarkEnd w:id="8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246"/>
        <w:gridCol w:w="1245"/>
        <w:gridCol w:w="1245"/>
        <w:gridCol w:w="1245"/>
        <w:gridCol w:w="1247"/>
      </w:tblGrid>
      <w:tr w:rsidR="00DA059D" w:rsidRPr="00DA059D" w14:paraId="706B2B9C" w14:textId="77777777" w:rsidTr="002C652B">
        <w:trPr>
          <w:trHeight w:val="283"/>
          <w:tblHeader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4A66C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54EB68" w14:textId="77777777" w:rsidR="00DA059D" w:rsidRPr="00DA059D" w:rsidRDefault="00DA059D" w:rsidP="002C652B">
            <w:pPr>
              <w:spacing w:after="0"/>
              <w:ind w:right="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D7C0D5" w14:textId="77777777" w:rsidR="00DA059D" w:rsidRPr="00DA059D" w:rsidRDefault="00DA059D" w:rsidP="002C652B">
            <w:pPr>
              <w:spacing w:after="0"/>
              <w:ind w:right="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0D933B" w14:textId="77777777" w:rsidR="00DA059D" w:rsidRPr="00DA059D" w:rsidRDefault="00DA059D" w:rsidP="002C652B">
            <w:pPr>
              <w:spacing w:after="0"/>
              <w:ind w:right="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D60ED5" w14:textId="77777777" w:rsidR="00DA059D" w:rsidRPr="00DA059D" w:rsidRDefault="00DA059D" w:rsidP="002C652B">
            <w:pPr>
              <w:spacing w:after="0"/>
              <w:ind w:right="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03D766" w14:textId="77777777" w:rsidR="00DA059D" w:rsidRPr="00DA059D" w:rsidRDefault="00DA059D" w:rsidP="002C652B">
            <w:pPr>
              <w:spacing w:after="0"/>
              <w:ind w:right="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3E780AA8" w14:textId="77777777" w:rsidTr="002C652B">
        <w:trPr>
          <w:trHeight w:val="283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EB6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4980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A756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8767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4951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8C88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385</w:t>
            </w:r>
          </w:p>
        </w:tc>
      </w:tr>
      <w:tr w:rsidR="00DA059D" w:rsidRPr="00DA059D" w14:paraId="7D2D0B7D" w14:textId="77777777" w:rsidTr="002C652B">
        <w:trPr>
          <w:trHeight w:val="283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B34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vč. MZd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D2B5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2 956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45C4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3 051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4C25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3 112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D60C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3 086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373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3 130</w:t>
            </w:r>
          </w:p>
        </w:tc>
      </w:tr>
      <w:tr w:rsidR="00DA059D" w:rsidRPr="00DA059D" w14:paraId="0502196E" w14:textId="77777777" w:rsidTr="002C652B">
        <w:trPr>
          <w:trHeight w:val="283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D0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6A4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2 591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1785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2 684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F90C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2 721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0FE2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2 708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38BA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2 745</w:t>
            </w:r>
          </w:p>
        </w:tc>
      </w:tr>
      <w:tr w:rsidR="00DA059D" w:rsidRPr="00DA059D" w14:paraId="4ED498FE" w14:textId="77777777" w:rsidTr="002C652B">
        <w:trPr>
          <w:trHeight w:val="283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4CF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FF9D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2059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C8FB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0612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C5EA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451</w:t>
            </w:r>
          </w:p>
        </w:tc>
      </w:tr>
      <w:tr w:rsidR="00DA059D" w:rsidRPr="00DA059D" w14:paraId="1FE8104C" w14:textId="77777777" w:rsidTr="002C652B">
        <w:trPr>
          <w:trHeight w:val="283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CFE333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Celkem za kapitolu 335 MZd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EFEE6B8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3 407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3E60DB7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BA8FC66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3 569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CE7A382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3 530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D786C85" w14:textId="77777777" w:rsidR="00DA059D" w:rsidRPr="00DA059D" w:rsidRDefault="00DA059D" w:rsidP="002C652B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</w:rPr>
              <w:t>3 581</w:t>
            </w:r>
          </w:p>
        </w:tc>
      </w:tr>
    </w:tbl>
    <w:p w14:paraId="24C5EF41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89" w:name="_Toc520715142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IISSP – finanční výkaz ZAM 1-04 U – výkaz o zaměstnanosti regulované vládou.</w:t>
      </w:r>
    </w:p>
    <w:p w14:paraId="58785A91" w14:textId="77777777" w:rsidR="00DA059D" w:rsidRPr="00DA059D" w:rsidRDefault="00DA059D" w:rsidP="00DA059D">
      <w:pPr>
        <w:ind w:left="567" w:hanging="567"/>
        <w:jc w:val="both"/>
        <w:rPr>
          <w:sz w:val="20"/>
          <w:szCs w:val="20"/>
        </w:rPr>
      </w:pPr>
      <w:r w:rsidRPr="00DA059D">
        <w:rPr>
          <w:b/>
          <w:sz w:val="20"/>
          <w:szCs w:val="20"/>
        </w:rPr>
        <w:t>Pozn.:</w:t>
      </w:r>
      <w:r w:rsidRPr="00DA059D">
        <w:rPr>
          <w:sz w:val="20"/>
          <w:szCs w:val="20"/>
        </w:rPr>
        <w:t xml:space="preserve"> </w:t>
      </w:r>
      <w:r w:rsidRPr="00DA059D">
        <w:rPr>
          <w:sz w:val="20"/>
          <w:szCs w:val="20"/>
        </w:rPr>
        <w:tab/>
        <w:t>Většina příspěvkových organizací rozpočtové kapitoly 335 MZd neukládá data o zaměstnanosti do CSÚIS. V počtu zaměstnanců PO a v celkovém počtu zaměstnanců za kapitolu 335 MZd jsou zahrnuty pouze počty zaměstnanců Státního zdravotního ústavu (za celé sledované období) a počty zaměstnanců Zdravotnického zabezpečení krizových stavů (za období 2013–2015, jelikož ke dni 30. 6. 2015 tato PO zanikla).</w:t>
      </w:r>
    </w:p>
    <w:bookmarkEnd w:id="89"/>
    <w:p w14:paraId="1C37513B" w14:textId="77777777" w:rsidR="00DA059D" w:rsidRPr="00DA059D" w:rsidRDefault="00DA059D" w:rsidP="00DA059D">
      <w:pPr>
        <w:spacing w:after="0"/>
        <w:jc w:val="both"/>
      </w:pPr>
    </w:p>
    <w:p w14:paraId="11341522" w14:textId="6A2881A8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90" w:name="_Toc520714604"/>
      <w:bookmarkStart w:id="91" w:name="_Toc524590446"/>
      <w:bookmarkStart w:id="92" w:name="_Toc531766447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27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Náklady na 1 zaměstnance v rozpočtové kapitole 335</w:t>
      </w:r>
      <w:bookmarkEnd w:id="90"/>
      <w:bookmarkEnd w:id="91"/>
      <w:r w:rsidRPr="00DA059D">
        <w:rPr>
          <w:rFonts w:cs="Calibri"/>
          <w:b/>
          <w:bCs/>
        </w:rPr>
        <w:t xml:space="preserve"> MZ</w:t>
      </w:r>
      <w:bookmarkEnd w:id="92"/>
      <w:r w:rsidRPr="00DA059D">
        <w:rPr>
          <w:rFonts w:cs="Calibri"/>
          <w:b/>
          <w:bCs/>
        </w:rPr>
        <w:t>d</w:t>
      </w:r>
    </w:p>
    <w:tbl>
      <w:tblPr>
        <w:tblW w:w="506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1700"/>
        <w:gridCol w:w="1398"/>
        <w:gridCol w:w="1398"/>
        <w:gridCol w:w="1396"/>
        <w:gridCol w:w="1396"/>
        <w:gridCol w:w="1396"/>
      </w:tblGrid>
      <w:tr w:rsidR="00DA059D" w:rsidRPr="00DA059D" w14:paraId="1D6D5B1D" w14:textId="77777777" w:rsidTr="00B25CE2">
        <w:trPr>
          <w:trHeight w:val="34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61B84E2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C5892D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2C4A3C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288CD3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AF8139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FD4A3E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15DA87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32F12E5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4D3AEF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OSS vč. 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9CAB" w14:textId="0CBD29BE" w:rsidR="00DA059D" w:rsidRPr="00DA059D" w:rsidRDefault="00DA059D" w:rsidP="002C652B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celkem v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2E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5 660 908 872,39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91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7 191 214 992,04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F4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6 591 493 853,83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80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7 120 017 876,82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DD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6 842 826 151,59</w:t>
            </w:r>
          </w:p>
        </w:tc>
      </w:tr>
      <w:tr w:rsidR="00DA059D" w:rsidRPr="00DA059D" w14:paraId="1EF8D982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AF2F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8FAA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54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2 956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4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3 051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B3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CA8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3 086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5D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3 130</w:t>
            </w:r>
          </w:p>
        </w:tc>
      </w:tr>
      <w:tr w:rsidR="00DA059D" w:rsidRPr="00DA059D" w14:paraId="0F50016B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18E8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0715D77" w14:textId="4FAF1C0C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na 1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 xml:space="preserve">zaměstnance </w:t>
            </w:r>
          </w:p>
          <w:p w14:paraId="081B6843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E7B978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1 915 057,13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66FD6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2 357 002,62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B7489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2 118 089,28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0BF10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2 307 199,57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CEA306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2 186 206,44</w:t>
            </w:r>
          </w:p>
        </w:tc>
      </w:tr>
      <w:tr w:rsidR="00DA059D" w:rsidRPr="00DA059D" w14:paraId="5EE4663D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530E1C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1068" w14:textId="6ED901DB" w:rsidR="00DA059D" w:rsidRPr="00DA059D" w:rsidRDefault="00DA059D" w:rsidP="002C652B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celkem v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1D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3 828 941 933,18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43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5 174 171 346,61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E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4 441 948 707,85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94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4 899 686 780,66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3A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4 545 251 475,34</w:t>
            </w:r>
          </w:p>
        </w:tc>
      </w:tr>
      <w:tr w:rsidR="00DA059D" w:rsidRPr="00DA059D" w14:paraId="391CEE53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27B8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BDD2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04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62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41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2E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3D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385</w:t>
            </w:r>
          </w:p>
        </w:tc>
      </w:tr>
      <w:tr w:rsidR="00DA059D" w:rsidRPr="00DA059D" w14:paraId="0C3A5379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487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7ED78BB" w14:textId="76A88CC6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na 1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 xml:space="preserve">zaměstnance </w:t>
            </w:r>
          </w:p>
          <w:p w14:paraId="6C3D8808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F987C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10 490 251,87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7EE87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14 098 559,53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4D81E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11 360 482,63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210BA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12 962 134,34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6C846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11 805 847,99</w:t>
            </w:r>
          </w:p>
        </w:tc>
      </w:tr>
      <w:tr w:rsidR="00DA059D" w:rsidRPr="00DA059D" w14:paraId="7FE8E55A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0F1DE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B23C" w14:textId="7852B343" w:rsidR="00DA059D" w:rsidRPr="00DA059D" w:rsidRDefault="00DA059D" w:rsidP="002C652B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celkem v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0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1 831 966 939,21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B5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2 017 043 645,43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6F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2 149 545 145,98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51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2 220 331 096,16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09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2 297 574 676,25</w:t>
            </w:r>
          </w:p>
        </w:tc>
      </w:tr>
      <w:tr w:rsidR="00DA059D" w:rsidRPr="00DA059D" w14:paraId="3976291C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9CD1" w14:textId="77777777" w:rsidR="00DA059D" w:rsidRPr="00DA059D" w:rsidRDefault="00DA059D" w:rsidP="00DA059D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BFCA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754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4C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2 684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51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1B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03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2 745</w:t>
            </w:r>
          </w:p>
        </w:tc>
      </w:tr>
      <w:tr w:rsidR="00DA059D" w:rsidRPr="00DA059D" w14:paraId="7B15477A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4D6" w14:textId="77777777" w:rsidR="00DA059D" w:rsidRPr="00DA059D" w:rsidRDefault="00DA059D" w:rsidP="00DA059D">
            <w:pPr>
              <w:spacing w:after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9A46B2A" w14:textId="16D55A28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Náklady na 1</w:t>
            </w:r>
            <w:r w:rsidR="002C652B">
              <w:rPr>
                <w:color w:val="000000"/>
                <w:sz w:val="20"/>
                <w:szCs w:val="20"/>
              </w:rPr>
              <w:t> </w:t>
            </w:r>
            <w:r w:rsidRPr="00DA059D">
              <w:rPr>
                <w:color w:val="000000"/>
                <w:sz w:val="20"/>
                <w:szCs w:val="20"/>
              </w:rPr>
              <w:t xml:space="preserve">zaměstnance </w:t>
            </w:r>
          </w:p>
          <w:p w14:paraId="63B017A7" w14:textId="77777777" w:rsidR="00DA059D" w:rsidRPr="00DA059D" w:rsidRDefault="00DA059D" w:rsidP="00DA059D">
            <w:pPr>
              <w:spacing w:after="0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58842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707 050,15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77F2E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751 506,57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5399D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789 983,52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E4F09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819 915,47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91F26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837 003,53</w:t>
            </w:r>
          </w:p>
        </w:tc>
      </w:tr>
    </w:tbl>
    <w:p w14:paraId="7A6415FE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93" w:name="_Toc520715143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MONITOR, IISSP – finanční výkaz ZAM 1-04 U; vlastní výpočet NKÚ.</w:t>
      </w:r>
    </w:p>
    <w:p w14:paraId="6CACA915" w14:textId="77777777" w:rsidR="00DA059D" w:rsidRPr="00DA059D" w:rsidRDefault="00DA059D" w:rsidP="00DA059D">
      <w:pPr>
        <w:spacing w:after="0"/>
        <w:jc w:val="both"/>
      </w:pPr>
    </w:p>
    <w:p w14:paraId="36DF758D" w14:textId="77777777" w:rsidR="00DA059D" w:rsidRPr="00DA059D" w:rsidRDefault="00DA059D" w:rsidP="00DA059D">
      <w:pPr>
        <w:spacing w:after="0"/>
        <w:rPr>
          <w:rFonts w:cs="Calibri"/>
          <w:b/>
          <w:bCs/>
        </w:rPr>
      </w:pPr>
      <w:bookmarkStart w:id="94" w:name="_Toc520714605"/>
      <w:bookmarkStart w:id="95" w:name="_Toc524590447"/>
      <w:bookmarkStart w:id="96" w:name="_Toc531766448"/>
      <w:bookmarkEnd w:id="93"/>
      <w:r w:rsidRPr="00DA059D">
        <w:rPr>
          <w:rFonts w:cs="Calibri"/>
        </w:rPr>
        <w:br w:type="page"/>
      </w:r>
    </w:p>
    <w:p w14:paraId="35AD83DB" w14:textId="042158B9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28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Výdaje na 1 zaměstnance v rozpočtové kapitole 335</w:t>
      </w:r>
      <w:bookmarkEnd w:id="94"/>
      <w:bookmarkEnd w:id="95"/>
      <w:r w:rsidRPr="00DA059D">
        <w:rPr>
          <w:rFonts w:cs="Calibri"/>
          <w:b/>
          <w:bCs/>
        </w:rPr>
        <w:t xml:space="preserve"> MZ</w:t>
      </w:r>
      <w:bookmarkEnd w:id="96"/>
      <w:r w:rsidRPr="00DA059D">
        <w:rPr>
          <w:rFonts w:cs="Calibri"/>
          <w:b/>
          <w:bCs/>
        </w:rPr>
        <w:t>d</w:t>
      </w:r>
    </w:p>
    <w:tbl>
      <w:tblPr>
        <w:tblW w:w="506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701"/>
        <w:gridCol w:w="1396"/>
        <w:gridCol w:w="1399"/>
        <w:gridCol w:w="1399"/>
        <w:gridCol w:w="1399"/>
        <w:gridCol w:w="1388"/>
      </w:tblGrid>
      <w:tr w:rsidR="00B25CE2" w:rsidRPr="00DA059D" w14:paraId="64AD793E" w14:textId="77777777" w:rsidTr="00B25CE2">
        <w:trPr>
          <w:trHeight w:val="34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5CA83608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2DCA11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ADBD00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388622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7EBE16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4F3606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D84A76" w14:textId="77777777" w:rsidR="00DA059D" w:rsidRPr="00DA059D" w:rsidRDefault="00DA059D" w:rsidP="00DA059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B25CE2" w:rsidRPr="00DA059D" w14:paraId="53DCFFF1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11A56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OSS vč. 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34C7" w14:textId="357962A6" w:rsidR="00DA059D" w:rsidRPr="00DA059D" w:rsidRDefault="00DA059D" w:rsidP="00B25CE2">
            <w:pPr>
              <w:spacing w:after="0"/>
              <w:ind w:right="16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celkem v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80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7 368 732 590,95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54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7 185 329 248,01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C8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8 528 918 468,38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2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8 162 261 357,64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ABB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7 980 709 618,35</w:t>
            </w:r>
          </w:p>
        </w:tc>
      </w:tr>
      <w:tr w:rsidR="00B25CE2" w:rsidRPr="00DA059D" w14:paraId="52D056C8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9B70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FE3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63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2 956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2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3 051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74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74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3 086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DA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3 130</w:t>
            </w:r>
          </w:p>
        </w:tc>
      </w:tr>
      <w:tr w:rsidR="00B25CE2" w:rsidRPr="00DA059D" w14:paraId="763A3683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14C5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48F8270" w14:textId="754F6A40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na 1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zaměstnance</w:t>
            </w:r>
          </w:p>
          <w:p w14:paraId="208BD75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FD1A1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2 492 805,34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832D36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2 355 073,50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0E564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2 740 655,03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B439D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2 644 932,39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BFC399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2 549 747,48</w:t>
            </w:r>
          </w:p>
        </w:tc>
      </w:tr>
      <w:tr w:rsidR="00B25CE2" w:rsidRPr="00DA059D" w14:paraId="2B29B355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4A2592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DC1" w14:textId="259C965F" w:rsidR="00DA059D" w:rsidRPr="00DA059D" w:rsidRDefault="00DA059D" w:rsidP="00B25CE2">
            <w:pPr>
              <w:spacing w:after="0"/>
              <w:ind w:right="16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celkem v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9C6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5 471 486 852,67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D5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5 158 582 362,94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D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6 421 604 033,09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55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5 996 827 371,65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29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5 730 579 316,32</w:t>
            </w:r>
          </w:p>
        </w:tc>
      </w:tr>
      <w:tr w:rsidR="00B25CE2" w:rsidRPr="00DA059D" w14:paraId="0FFEFF2F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8224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9D1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02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85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5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D4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1F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385</w:t>
            </w:r>
          </w:p>
        </w:tc>
      </w:tr>
      <w:tr w:rsidR="00B25CE2" w:rsidRPr="00DA059D" w14:paraId="1D978397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A21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5AA1C7A" w14:textId="180BD399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na 1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zaměstnance</w:t>
            </w:r>
          </w:p>
          <w:p w14:paraId="1A13620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4A40A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14 990 374,94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42BCD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14 056 082,73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F67D04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16 423 539,73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CAE4D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15 864 622,68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5E782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14 884 621,60</w:t>
            </w:r>
          </w:p>
        </w:tc>
      </w:tr>
      <w:tr w:rsidR="00B25CE2" w:rsidRPr="00DA059D" w14:paraId="49ABAC46" w14:textId="77777777" w:rsidTr="00B25CE2">
        <w:trPr>
          <w:trHeight w:val="34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FED21" w14:textId="77777777" w:rsidR="00DA059D" w:rsidRPr="00DA059D" w:rsidRDefault="00DA059D" w:rsidP="00DA059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059D">
              <w:rPr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EA73" w14:textId="35E6809A" w:rsidR="00DA059D" w:rsidRPr="00DA059D" w:rsidRDefault="00DA059D" w:rsidP="00B25CE2">
            <w:pPr>
              <w:spacing w:after="0"/>
              <w:ind w:right="16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celkem v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0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1 897 245 738,28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C1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2 026 746 885,07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D2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2 107 314 435,29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4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2 165 433 985,99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17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2 250 130 302,03</w:t>
            </w:r>
          </w:p>
        </w:tc>
      </w:tr>
      <w:tr w:rsidR="00B25CE2" w:rsidRPr="00DA059D" w14:paraId="4BA13831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DBCF" w14:textId="77777777" w:rsidR="00DA059D" w:rsidRPr="00DA059D" w:rsidRDefault="00DA059D" w:rsidP="00DA059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80F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869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2 591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FB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2 684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75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2 721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03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2B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2 745</w:t>
            </w:r>
          </w:p>
        </w:tc>
      </w:tr>
      <w:tr w:rsidR="00B25CE2" w:rsidRPr="00DA059D" w14:paraId="3F12749C" w14:textId="77777777" w:rsidTr="00B25CE2">
        <w:trPr>
          <w:trHeight w:val="34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800E" w14:textId="77777777" w:rsidR="00DA059D" w:rsidRPr="00DA059D" w:rsidRDefault="00DA059D" w:rsidP="00DA059D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F3E3ACE" w14:textId="38361283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Výdaje na 1</w:t>
            </w:r>
            <w:r w:rsidR="00B25CE2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DA059D">
              <w:rPr>
                <w:rFonts w:cs="Calibri"/>
                <w:color w:val="000000"/>
                <w:sz w:val="20"/>
                <w:szCs w:val="20"/>
              </w:rPr>
              <w:t>zaměstnance</w:t>
            </w:r>
          </w:p>
          <w:p w14:paraId="3162C0A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48508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732 244,59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EB172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755 121,79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8885A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774 463,23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1FAD3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799 643,27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E9CC3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819 719,60</w:t>
            </w:r>
          </w:p>
        </w:tc>
      </w:tr>
    </w:tbl>
    <w:p w14:paraId="42106C86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97" w:name="_Toc520715144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MONITOR, IISSP – finanční výkaz ZAM 1-04 U; vlastní výpočet NKÚ.</w:t>
      </w:r>
    </w:p>
    <w:bookmarkEnd w:id="97"/>
    <w:p w14:paraId="0B202115" w14:textId="77777777" w:rsidR="00DA059D" w:rsidRPr="00DA059D" w:rsidRDefault="00DA059D" w:rsidP="00DA059D">
      <w:pPr>
        <w:spacing w:after="0"/>
        <w:jc w:val="both"/>
      </w:pPr>
    </w:p>
    <w:p w14:paraId="6AA1D248" w14:textId="1C745ED4" w:rsidR="00DA059D" w:rsidRPr="00DA059D" w:rsidRDefault="00DA059D" w:rsidP="00DA059D">
      <w:pPr>
        <w:tabs>
          <w:tab w:val="right" w:pos="9072"/>
        </w:tabs>
        <w:spacing w:after="0"/>
        <w:ind w:left="1446" w:hanging="1446"/>
        <w:rPr>
          <w:rFonts w:cs="Calibri"/>
          <w:b/>
          <w:bCs/>
        </w:rPr>
      </w:pPr>
      <w:bookmarkStart w:id="98" w:name="_Toc520714606"/>
      <w:bookmarkStart w:id="99" w:name="_Toc524590463"/>
      <w:bookmarkStart w:id="100" w:name="_Toc531766449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29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Náklady z činnosti (položka A.I. výkazu zisku a ztráty) vykázané MZd a ostatními OSS v rozpočtové kapitole 335 MZd</w:t>
      </w:r>
      <w:r w:rsidRPr="00DA059D">
        <w:rPr>
          <w:rFonts w:cs="Calibri"/>
          <w:b/>
          <w:bCs/>
        </w:rPr>
        <w:tab/>
        <w:t>(v Kč</w:t>
      </w:r>
      <w:bookmarkEnd w:id="98"/>
      <w:bookmarkEnd w:id="99"/>
      <w:r w:rsidRPr="00DA059D">
        <w:rPr>
          <w:rFonts w:cs="Calibri"/>
          <w:b/>
          <w:bCs/>
        </w:rPr>
        <w:t>)</w:t>
      </w:r>
      <w:bookmarkEnd w:id="10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90"/>
        <w:gridCol w:w="1490"/>
        <w:gridCol w:w="1490"/>
        <w:gridCol w:w="1490"/>
        <w:gridCol w:w="1490"/>
      </w:tblGrid>
      <w:tr w:rsidR="00DA059D" w:rsidRPr="00DA059D" w14:paraId="76A99F8A" w14:textId="77777777" w:rsidTr="00DA059D">
        <w:trPr>
          <w:trHeight w:val="283"/>
          <w:tblHeader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0D021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157E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A887C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6E0FE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65ABC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7B990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55F60E35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6BB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2B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950 736 011,04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01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896 826 478,26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23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1 316 765 454,45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16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1 087 574 773,42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43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770 109 506,89</w:t>
            </w:r>
          </w:p>
        </w:tc>
      </w:tr>
      <w:tr w:rsidR="00DA059D" w:rsidRPr="00DA059D" w14:paraId="7223FAA1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DCB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6E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1 831 264 331,39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03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2 014 950 620,48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35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2 148 579 841,04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EF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2 219 636 658,56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CF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2 294 018 174,92</w:t>
            </w:r>
          </w:p>
        </w:tc>
      </w:tr>
    </w:tbl>
    <w:p w14:paraId="6952DED5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101" w:name="_Toc520715145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bookmarkEnd w:id="101"/>
    <w:p w14:paraId="2B3B8465" w14:textId="77777777" w:rsidR="00DA059D" w:rsidRPr="00DA059D" w:rsidRDefault="00DA059D" w:rsidP="00DA059D">
      <w:pPr>
        <w:spacing w:after="0"/>
        <w:jc w:val="both"/>
      </w:pPr>
    </w:p>
    <w:p w14:paraId="2552E990" w14:textId="7AAC7C21" w:rsidR="00DA059D" w:rsidRPr="00DA059D" w:rsidRDefault="00DA059D" w:rsidP="00DA059D">
      <w:pPr>
        <w:jc w:val="both"/>
        <w:rPr>
          <w:rFonts w:cs="Calibri"/>
          <w:bCs/>
          <w:iCs/>
        </w:rPr>
      </w:pPr>
      <w:r w:rsidRPr="00DA059D">
        <w:t xml:space="preserve">Náklady z činnosti OSS bez MZd vykazovaly po celé sledované období let 2013–2017 rostoucí tendenci. Náklady z činnosti MZd měly spíše klesající tendenci, pouze v období 2014–2015 rostly. Tento růst byl způsoben především růstem účtu 556 – </w:t>
      </w:r>
      <w:r w:rsidRPr="00DA059D">
        <w:rPr>
          <w:i/>
        </w:rPr>
        <w:t>Tvorba a zúčtování opravných položek</w:t>
      </w:r>
      <w:r w:rsidRPr="00DA059D">
        <w:t xml:space="preserve"> o 430 mil. Kč (položka A.I.33. výkazu zisku a ztráty). Pokles v následujícím roce byl způsoben poklesem na tomtéž účtu o 245 mil. Kč. V roce 2017 došlo k poklesu opět na účtu 556 – </w:t>
      </w:r>
      <w:r w:rsidRPr="00DA059D">
        <w:rPr>
          <w:i/>
        </w:rPr>
        <w:t>Tvorba a zúčtování opravných položek</w:t>
      </w:r>
      <w:r w:rsidRPr="00DA059D">
        <w:t xml:space="preserve"> (o 185 mil. Kč). </w:t>
      </w:r>
      <w:r w:rsidRPr="00DA059D">
        <w:rPr>
          <w:rFonts w:cs="Calibri"/>
          <w:bCs/>
          <w:iCs/>
        </w:rPr>
        <w:t>Důvodem poklesu bylo, že MZd tvoří opravné položky k zásobám antivirotik v případě uplynutí doby jejich použitelnosti (exspirace léčivého přípravku). V roce 2017 nedošlo k exspiraci zásob antivirotik, nedošlo tedy k významnému navýšení opravných položek</w:t>
      </w:r>
      <w:r w:rsidRPr="00DA059D">
        <w:rPr>
          <w:rFonts w:cs="Calibri"/>
          <w:bCs/>
          <w:i/>
          <w:iCs/>
        </w:rPr>
        <w:t xml:space="preserve">. </w:t>
      </w:r>
      <w:r w:rsidRPr="00DA059D">
        <w:t>A zároveň došlo k poklesu o 198 mil. Kč i</w:t>
      </w:r>
      <w:r w:rsidR="00331123">
        <w:t xml:space="preserve"> </w:t>
      </w:r>
      <w:r w:rsidRPr="00DA059D">
        <w:t xml:space="preserve">na účtu 518 – </w:t>
      </w:r>
      <w:r w:rsidRPr="00DA059D">
        <w:rPr>
          <w:i/>
        </w:rPr>
        <w:t>Ostatní služby</w:t>
      </w:r>
      <w:r w:rsidRPr="00DA059D">
        <w:t xml:space="preserve"> (položka A.I.12. výkazu zisku a ztráty). </w:t>
      </w:r>
    </w:p>
    <w:p w14:paraId="78D70F1A" w14:textId="521EE5AC" w:rsidR="00DA059D" w:rsidRPr="00DA059D" w:rsidRDefault="00DA059D" w:rsidP="00DA059D">
      <w:pPr>
        <w:jc w:val="both"/>
      </w:pPr>
      <w:r w:rsidRPr="00DA059D">
        <w:t xml:space="preserve">Největší podíl na nákladech z činnosti MZd měly po celé sledované období ostatní služby </w:t>
      </w:r>
      <w:r w:rsidR="00B25CE2">
        <w:br/>
      </w:r>
      <w:r w:rsidRPr="00DA059D">
        <w:t xml:space="preserve">(účet 518), a to v průměru 54,34 %. MZd na účtu 518 – </w:t>
      </w:r>
      <w:r w:rsidRPr="00DA059D">
        <w:rPr>
          <w:i/>
        </w:rPr>
        <w:t xml:space="preserve">Ostatní služby </w:t>
      </w:r>
      <w:r w:rsidRPr="00DA059D">
        <w:t>vykazuje mj. náklady týkající se:</w:t>
      </w:r>
    </w:p>
    <w:p w14:paraId="6D6B57D2" w14:textId="77777777" w:rsidR="00DA059D" w:rsidRPr="00DA059D" w:rsidRDefault="00DA059D" w:rsidP="00DA059D">
      <w:pPr>
        <w:numPr>
          <w:ilvl w:val="0"/>
          <w:numId w:val="7"/>
        </w:numPr>
        <w:spacing w:after="0"/>
        <w:contextualSpacing/>
        <w:jc w:val="both"/>
      </w:pPr>
      <w:r w:rsidRPr="00DA059D">
        <w:t xml:space="preserve">letecké záchranné služby včetně držení pohotovostí. V účetním období 2017 činily tyto náklady 300 mil. Kč a představovaly 81,8 % z celkového zůstatku účtu 518 – </w:t>
      </w:r>
      <w:r w:rsidRPr="00DA059D">
        <w:rPr>
          <w:i/>
        </w:rPr>
        <w:t>Ostatní služby</w:t>
      </w:r>
      <w:r w:rsidRPr="00DA059D">
        <w:t>;</w:t>
      </w:r>
    </w:p>
    <w:p w14:paraId="4A150B66" w14:textId="77777777" w:rsidR="00DA059D" w:rsidRPr="00DA059D" w:rsidRDefault="00DA059D" w:rsidP="00DA059D">
      <w:pPr>
        <w:numPr>
          <w:ilvl w:val="0"/>
          <w:numId w:val="7"/>
        </w:numPr>
        <w:spacing w:after="0"/>
        <w:contextualSpacing/>
        <w:jc w:val="both"/>
      </w:pPr>
      <w:r w:rsidRPr="00DA059D">
        <w:t xml:space="preserve">právních služeb. V účetním období 2017 činily tyto náklady 25,3 mil. Kč a představovaly 6,9 % z celkového zůstatku účtu 518 – </w:t>
      </w:r>
      <w:r w:rsidRPr="00DA059D">
        <w:rPr>
          <w:i/>
        </w:rPr>
        <w:t>Ostatní služby</w:t>
      </w:r>
      <w:r w:rsidRPr="00DA059D">
        <w:t>;</w:t>
      </w:r>
    </w:p>
    <w:p w14:paraId="2463287D" w14:textId="77777777" w:rsidR="00DA059D" w:rsidRPr="00DA059D" w:rsidRDefault="00DA059D" w:rsidP="00DA059D">
      <w:pPr>
        <w:numPr>
          <w:ilvl w:val="0"/>
          <w:numId w:val="7"/>
        </w:numPr>
        <w:spacing w:after="0"/>
        <w:contextualSpacing/>
        <w:jc w:val="both"/>
      </w:pPr>
      <w:r w:rsidRPr="00DA059D">
        <w:t xml:space="preserve">ošetření pacientů v zahraničí. V účetním období 2017 činily tyto náklady 7,5 mil. Kč a představovaly 2 % z celkového zůstatku účtu 518 – </w:t>
      </w:r>
      <w:r w:rsidRPr="00DA059D">
        <w:rPr>
          <w:i/>
        </w:rPr>
        <w:t>Ostatní služby</w:t>
      </w:r>
      <w:r w:rsidRPr="00DA059D">
        <w:t>.</w:t>
      </w:r>
    </w:p>
    <w:p w14:paraId="42BFA10E" w14:textId="4ADA83F3" w:rsidR="00DA059D" w:rsidRPr="00DA059D" w:rsidRDefault="00DA059D" w:rsidP="00B25CE2">
      <w:pPr>
        <w:keepNext/>
        <w:tabs>
          <w:tab w:val="right" w:pos="9072"/>
        </w:tabs>
        <w:spacing w:before="200" w:after="40"/>
        <w:ind w:left="1446" w:hanging="1446"/>
        <w:rPr>
          <w:rFonts w:cs="Calibri"/>
          <w:b/>
          <w:bCs/>
          <w:szCs w:val="20"/>
        </w:rPr>
      </w:pPr>
      <w:bookmarkStart w:id="102" w:name="_Toc520714607"/>
      <w:bookmarkStart w:id="103" w:name="_Toc524590464"/>
      <w:bookmarkStart w:id="104" w:name="_Toc531766450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30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Náklady z činnosti přepočtené na 1 zaměstnance a vykázané MZd a ostatními OSS</w:t>
      </w:r>
      <w:r w:rsidRPr="00DA059D">
        <w:rPr>
          <w:rFonts w:cs="Calibri"/>
          <w:b/>
          <w:bCs/>
          <w:szCs w:val="20"/>
        </w:rPr>
        <w:t xml:space="preserve"> v rozpočtové kapitole 335 MZd </w:t>
      </w:r>
      <w:r w:rsidRPr="00DA059D">
        <w:rPr>
          <w:rFonts w:cs="Calibri"/>
          <w:b/>
          <w:bCs/>
          <w:szCs w:val="20"/>
        </w:rPr>
        <w:tab/>
        <w:t>(v Kč</w:t>
      </w:r>
      <w:bookmarkEnd w:id="102"/>
      <w:bookmarkEnd w:id="103"/>
      <w:r w:rsidRPr="00DA059D">
        <w:rPr>
          <w:rFonts w:cs="Calibri"/>
          <w:b/>
          <w:bCs/>
          <w:szCs w:val="20"/>
        </w:rPr>
        <w:t>)</w:t>
      </w:r>
      <w:bookmarkEnd w:id="10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90"/>
        <w:gridCol w:w="1490"/>
        <w:gridCol w:w="1490"/>
        <w:gridCol w:w="1490"/>
        <w:gridCol w:w="1490"/>
      </w:tblGrid>
      <w:tr w:rsidR="00DA059D" w:rsidRPr="00DA059D" w14:paraId="6E118D37" w14:textId="77777777" w:rsidTr="00DA059D">
        <w:trPr>
          <w:trHeight w:val="283"/>
          <w:tblHeader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925EE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5026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D381C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26753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6B117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8B2B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01AA670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798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33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2 604 756,19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66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2 443 668,88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D19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3 367 686,58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39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2 877 181,94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98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2 000 284,43</w:t>
            </w:r>
          </w:p>
        </w:tc>
      </w:tr>
      <w:tr w:rsidR="00DA059D" w:rsidRPr="00DA059D" w14:paraId="26050F89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FD3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06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706 778,98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F9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750 726,76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588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789 628,75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2B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819 659,03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F1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835 707,90</w:t>
            </w:r>
          </w:p>
        </w:tc>
      </w:tr>
    </w:tbl>
    <w:p w14:paraId="2B31B9A3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105" w:name="_Toc520715146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bookmarkEnd w:id="105"/>
    <w:p w14:paraId="2DAB64E7" w14:textId="77777777" w:rsidR="00DA059D" w:rsidRPr="00DA059D" w:rsidRDefault="00DA059D" w:rsidP="00DA059D">
      <w:pPr>
        <w:spacing w:after="0"/>
        <w:jc w:val="both"/>
      </w:pPr>
    </w:p>
    <w:p w14:paraId="234ABEB9" w14:textId="63FE1EC9" w:rsidR="00DA059D" w:rsidRPr="00DA059D" w:rsidRDefault="00DA059D" w:rsidP="00DA059D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  <w:szCs w:val="20"/>
        </w:rPr>
      </w:pPr>
      <w:bookmarkStart w:id="106" w:name="_Toc531766451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31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Náklady na transfery (položka A.III. výkazu zisku a ztráty) a jejich porovnání</w:t>
      </w:r>
      <w:r w:rsidRPr="00DA059D">
        <w:rPr>
          <w:rFonts w:cs="Calibri"/>
          <w:b/>
          <w:bCs/>
          <w:szCs w:val="20"/>
        </w:rPr>
        <w:t xml:space="preserve"> s celkovými náklady, které vykázalo MZd a ostatní OSS v rozpočtové kapitole 335 MZ</w:t>
      </w:r>
      <w:bookmarkEnd w:id="106"/>
      <w:r w:rsidRPr="00DA059D">
        <w:rPr>
          <w:rFonts w:cs="Calibri"/>
          <w:b/>
          <w:bCs/>
          <w:szCs w:val="20"/>
        </w:rPr>
        <w:t>d</w:t>
      </w:r>
    </w:p>
    <w:tbl>
      <w:tblPr>
        <w:tblW w:w="91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402"/>
        <w:gridCol w:w="1402"/>
        <w:gridCol w:w="1402"/>
        <w:gridCol w:w="1402"/>
        <w:gridCol w:w="1402"/>
      </w:tblGrid>
      <w:tr w:rsidR="00DA059D" w:rsidRPr="00DA059D" w14:paraId="014E741E" w14:textId="77777777" w:rsidTr="00B25CE2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058379A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DEC939" w14:textId="77777777" w:rsidR="00DA059D" w:rsidRPr="00DA059D" w:rsidRDefault="00DA059D" w:rsidP="00DA059D">
            <w:pPr>
              <w:spacing w:after="0"/>
              <w:ind w:right="4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DA431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4D53E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19795E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5DF35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4C39B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416795A" w14:textId="77777777" w:rsidTr="00B25CE2">
        <w:trPr>
          <w:trHeight w:val="283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C943D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727D" w14:textId="77777777" w:rsidR="00DA059D" w:rsidRPr="00DA059D" w:rsidRDefault="00DA059D" w:rsidP="00B25CE2">
            <w:pPr>
              <w:spacing w:after="0"/>
              <w:ind w:left="-17" w:right="-57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Náklady na transfery</w:t>
            </w:r>
          </w:p>
          <w:p w14:paraId="455E1EB8" w14:textId="77777777" w:rsidR="00DA059D" w:rsidRPr="00DA059D" w:rsidRDefault="00DA059D" w:rsidP="00B25CE2">
            <w:pPr>
              <w:spacing w:after="0"/>
              <w:ind w:left="-17" w:right="162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v Kč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55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2 878 138 641,27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D0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4 277 259 356,80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36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3 125 094 240,21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19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3 811 119 080,25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DF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3 775 007 421,83</w:t>
            </w:r>
          </w:p>
        </w:tc>
      </w:tr>
      <w:tr w:rsidR="00DA059D" w:rsidRPr="00DA059D" w14:paraId="517538AF" w14:textId="77777777" w:rsidTr="00B25CE2">
        <w:trPr>
          <w:trHeight w:val="2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316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6594" w14:textId="77777777" w:rsidR="00DA059D" w:rsidRPr="00DA059D" w:rsidRDefault="00DA059D" w:rsidP="00B25CE2">
            <w:pPr>
              <w:spacing w:after="0"/>
              <w:ind w:left="-17" w:right="-57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Náklady celkem v Kč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A4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3 828 941 933,18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66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5 174 171 346,61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7C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4 441 948 707,85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28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4 899 686 780,66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C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4 545 251 475,34</w:t>
            </w:r>
          </w:p>
        </w:tc>
      </w:tr>
      <w:tr w:rsidR="00DA059D" w:rsidRPr="00DA059D" w14:paraId="21D19CF3" w14:textId="77777777" w:rsidTr="00B25CE2">
        <w:trPr>
          <w:trHeight w:val="2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6D8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0F90" w14:textId="77777777" w:rsidR="00DA059D" w:rsidRPr="00DA059D" w:rsidRDefault="00DA059D" w:rsidP="00B25CE2">
            <w:pPr>
              <w:spacing w:after="0"/>
              <w:ind w:left="-17" w:right="-198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Podíl transferových nákladů na celkových nákladech v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BA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75,17 %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EA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82,67 %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34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70,35 %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8F8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77,78 %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A9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83,05 %</w:t>
            </w:r>
          </w:p>
        </w:tc>
      </w:tr>
      <w:tr w:rsidR="00DA059D" w:rsidRPr="00DA059D" w14:paraId="13359155" w14:textId="77777777" w:rsidTr="00B25CE2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EE46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14BE" w14:textId="77777777" w:rsidR="00DA059D" w:rsidRPr="00DA059D" w:rsidRDefault="00DA059D" w:rsidP="00B25CE2">
            <w:pPr>
              <w:spacing w:after="0"/>
              <w:ind w:left="-17" w:right="162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Náklady na transfery</w:t>
            </w:r>
          </w:p>
          <w:p w14:paraId="433EB37D" w14:textId="77777777" w:rsidR="00DA059D" w:rsidRPr="00DA059D" w:rsidRDefault="00DA059D" w:rsidP="00B25CE2">
            <w:pPr>
              <w:spacing w:after="0"/>
              <w:ind w:left="-17" w:right="162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v Kč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882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B7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A0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52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28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</w:tr>
      <w:tr w:rsidR="00DA059D" w:rsidRPr="00DA059D" w14:paraId="064A711B" w14:textId="77777777" w:rsidTr="00B25CE2">
        <w:trPr>
          <w:trHeight w:val="2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211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B745" w14:textId="77777777" w:rsidR="00DA059D" w:rsidRPr="00DA059D" w:rsidRDefault="00DA059D" w:rsidP="00B25CE2">
            <w:pPr>
              <w:spacing w:after="0"/>
              <w:ind w:left="-17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Náklady celkem v Kč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76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1 831 966 939,21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90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2 017 043 645,43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F3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2 149 545 145,98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07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2 220 331 096,16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5D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2 297 574 676,25</w:t>
            </w:r>
          </w:p>
        </w:tc>
      </w:tr>
      <w:tr w:rsidR="00DA059D" w:rsidRPr="00DA059D" w14:paraId="1EF8CC61" w14:textId="77777777" w:rsidTr="00B25CE2">
        <w:trPr>
          <w:trHeight w:val="2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46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0BC6" w14:textId="77777777" w:rsidR="00DA059D" w:rsidRPr="00DA059D" w:rsidRDefault="00DA059D" w:rsidP="00B25CE2">
            <w:pPr>
              <w:spacing w:after="0"/>
              <w:ind w:left="-17" w:right="-57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Podíl transferových nákladů na celkových nákladech v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68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3B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89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F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2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0,00 %</w:t>
            </w:r>
          </w:p>
        </w:tc>
      </w:tr>
    </w:tbl>
    <w:p w14:paraId="49C555B8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27646D4" w14:textId="77777777" w:rsidR="00DA059D" w:rsidRPr="00DA059D" w:rsidRDefault="00DA059D" w:rsidP="00DA059D">
      <w:pPr>
        <w:spacing w:after="0"/>
        <w:jc w:val="both"/>
      </w:pPr>
    </w:p>
    <w:p w14:paraId="7E88000A" w14:textId="5C4B0EE8" w:rsidR="00DA059D" w:rsidRPr="00DA059D" w:rsidRDefault="00DA059D" w:rsidP="00DA059D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  <w:szCs w:val="20"/>
        </w:rPr>
      </w:pPr>
      <w:bookmarkStart w:id="107" w:name="_Toc531766452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32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Náklady na transfery přepočtené na 1 zaměstnance, které vykázalo MZd a</w:t>
      </w:r>
      <w:r w:rsidRPr="00DA059D">
        <w:rPr>
          <w:rFonts w:cs="Calibri"/>
          <w:b/>
          <w:bCs/>
          <w:szCs w:val="20"/>
        </w:rPr>
        <w:t> ostatní OSS v rozpočtové kapitole 335 MZd</w:t>
      </w:r>
      <w:r w:rsidRPr="00DA059D">
        <w:rPr>
          <w:rFonts w:cs="Calibri"/>
          <w:b/>
          <w:bCs/>
          <w:szCs w:val="20"/>
        </w:rPr>
        <w:tab/>
        <w:t>(v Kč)</w:t>
      </w:r>
      <w:bookmarkEnd w:id="10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90"/>
        <w:gridCol w:w="1490"/>
        <w:gridCol w:w="1490"/>
        <w:gridCol w:w="1490"/>
        <w:gridCol w:w="1490"/>
      </w:tblGrid>
      <w:tr w:rsidR="00DA059D" w:rsidRPr="00DA059D" w14:paraId="5C7E916D" w14:textId="77777777" w:rsidTr="00DA059D">
        <w:trPr>
          <w:trHeight w:val="283"/>
          <w:tblHeader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76755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80989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6AE11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49784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984EF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19B69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80DF040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E2E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BB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7 885 311,35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3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11 654 657,65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FB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7 992 568,39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B0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10 082 325,61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2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9 805 214,08</w:t>
            </w:r>
          </w:p>
        </w:tc>
      </w:tr>
      <w:tr w:rsidR="00DA059D" w:rsidRPr="00DA059D" w14:paraId="4461741C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A16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40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AA7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9D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70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06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</w:tr>
    </w:tbl>
    <w:p w14:paraId="69B030FC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27541315" w14:textId="77777777" w:rsidR="00DA059D" w:rsidRPr="00DA059D" w:rsidRDefault="00DA059D" w:rsidP="00DA059D">
      <w:pPr>
        <w:spacing w:after="0"/>
        <w:jc w:val="both"/>
      </w:pPr>
    </w:p>
    <w:p w14:paraId="5F6CD6CE" w14:textId="56DA6DC7" w:rsidR="00DA059D" w:rsidRPr="00DA059D" w:rsidRDefault="00DA059D" w:rsidP="00DA059D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  <w:szCs w:val="20"/>
        </w:rPr>
      </w:pPr>
      <w:bookmarkStart w:id="108" w:name="_Toc531766453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33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Výnosy z transferů (položka B.IV. výkazu zisku a ztráty) u MZd a u ostatních OSS</w:t>
      </w:r>
      <w:r w:rsidRPr="00DA059D">
        <w:rPr>
          <w:rFonts w:cs="Calibri"/>
          <w:b/>
          <w:bCs/>
          <w:szCs w:val="20"/>
        </w:rPr>
        <w:t xml:space="preserve"> v rozpočtové kapitole 335 MZd</w:t>
      </w:r>
      <w:r w:rsidRPr="00DA059D">
        <w:rPr>
          <w:rFonts w:cs="Calibri"/>
          <w:b/>
          <w:bCs/>
          <w:szCs w:val="20"/>
        </w:rPr>
        <w:tab/>
        <w:t>(v Kč)</w:t>
      </w:r>
      <w:bookmarkEnd w:id="10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90"/>
        <w:gridCol w:w="1490"/>
        <w:gridCol w:w="1490"/>
        <w:gridCol w:w="1490"/>
        <w:gridCol w:w="1490"/>
      </w:tblGrid>
      <w:tr w:rsidR="00DA059D" w:rsidRPr="00DA059D" w14:paraId="787E4085" w14:textId="77777777" w:rsidTr="00DA059D">
        <w:trPr>
          <w:trHeight w:val="283"/>
          <w:tblHeader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7996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87A5F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F6019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A6EA9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83B2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64939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4F55636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318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70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22 938 550,07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AF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360 128 319,55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FE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1 725 342 073,78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C3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2 618 240 356,40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DD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314 299 879,62</w:t>
            </w:r>
          </w:p>
        </w:tc>
      </w:tr>
      <w:tr w:rsidR="00DA059D" w:rsidRPr="00DA059D" w14:paraId="31A4E847" w14:textId="77777777" w:rsidTr="00DA059D">
        <w:trPr>
          <w:trHeight w:val="28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1EA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8A2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3 437 804,81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89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10 639 898,20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3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2 007 761,89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8D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161 998,10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AF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</w:tr>
    </w:tbl>
    <w:p w14:paraId="1E6FB5C0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3E9C44F1" w14:textId="77777777" w:rsidR="00DA059D" w:rsidRPr="00DA059D" w:rsidRDefault="00DA059D" w:rsidP="00DA059D">
      <w:pPr>
        <w:spacing w:after="0"/>
        <w:jc w:val="both"/>
      </w:pPr>
    </w:p>
    <w:p w14:paraId="0C0DA241" w14:textId="77777777" w:rsidR="00DA059D" w:rsidRPr="00DA059D" w:rsidRDefault="00DA059D" w:rsidP="00DA059D">
      <w:pPr>
        <w:spacing w:after="0"/>
        <w:jc w:val="both"/>
      </w:pPr>
    </w:p>
    <w:p w14:paraId="02163CC8" w14:textId="77777777" w:rsidR="00DA059D" w:rsidRPr="00DA059D" w:rsidRDefault="00DA059D" w:rsidP="00DA059D">
      <w:pPr>
        <w:spacing w:after="0"/>
        <w:rPr>
          <w:rFonts w:eastAsia="Calibri" w:cs="Calibri"/>
          <w:b/>
          <w:szCs w:val="20"/>
        </w:rPr>
      </w:pPr>
      <w:r w:rsidRPr="00DA059D">
        <w:rPr>
          <w:rFonts w:eastAsia="Calibri" w:cs="Calibri"/>
          <w:bCs/>
          <w:szCs w:val="20"/>
        </w:rPr>
        <w:br w:type="page"/>
      </w:r>
    </w:p>
    <w:p w14:paraId="2A267BBB" w14:textId="77777777" w:rsidR="00DA059D" w:rsidRPr="00DA059D" w:rsidRDefault="00DA059D" w:rsidP="00331123">
      <w:pPr>
        <w:spacing w:after="0"/>
        <w:jc w:val="center"/>
        <w:outlineLvl w:val="1"/>
        <w:rPr>
          <w:rFonts w:eastAsia="Calibri" w:cs="Calibri"/>
          <w:b/>
          <w:szCs w:val="20"/>
        </w:rPr>
      </w:pPr>
      <w:r w:rsidRPr="00DA059D">
        <w:rPr>
          <w:rFonts w:eastAsia="Calibri" w:cs="Calibri"/>
          <w:b/>
          <w:szCs w:val="20"/>
        </w:rPr>
        <w:lastRenderedPageBreak/>
        <w:t>Oddíl VII. Struktura nákladů u MZd v roce 2016 a 2017</w:t>
      </w:r>
    </w:p>
    <w:p w14:paraId="21657BD2" w14:textId="77777777" w:rsidR="00DA059D" w:rsidRPr="00DA059D" w:rsidRDefault="00DA059D" w:rsidP="00DA059D">
      <w:pPr>
        <w:jc w:val="both"/>
      </w:pPr>
    </w:p>
    <w:p w14:paraId="4D4BEB53" w14:textId="2A38BD7E" w:rsidR="00DA059D" w:rsidRPr="00DA059D" w:rsidRDefault="00DA059D" w:rsidP="00331123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09" w:name="_Toc520714611"/>
      <w:bookmarkStart w:id="110" w:name="_Toc524590462"/>
      <w:bookmarkStart w:id="111" w:name="_Toc53176645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Struktura nákladů MZd v roce 2016 a 2017</w:t>
      </w:r>
      <w:bookmarkEnd w:id="109"/>
      <w:bookmarkEnd w:id="110"/>
      <w:bookmarkEnd w:id="111"/>
    </w:p>
    <w:tbl>
      <w:tblPr>
        <w:tblW w:w="502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3516"/>
        <w:gridCol w:w="561"/>
        <w:gridCol w:w="1401"/>
        <w:gridCol w:w="1401"/>
        <w:gridCol w:w="701"/>
        <w:gridCol w:w="726"/>
      </w:tblGrid>
      <w:tr w:rsidR="00DA059D" w:rsidRPr="00DA059D" w14:paraId="6832EE24" w14:textId="77777777" w:rsidTr="00331123">
        <w:trPr>
          <w:trHeight w:val="283"/>
          <w:tblHeader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48FA6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Položka VZZ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5EB6E9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Název položky VZZ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3FEDE6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SÚ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3A6710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Částka v roce 2016 (v Kč)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34A02B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Částka v roce 2017 (v Kč)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56E7A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v roce</w:t>
            </w:r>
          </w:p>
          <w:p w14:paraId="1602662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516010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v roce 2017</w:t>
            </w:r>
          </w:p>
        </w:tc>
      </w:tr>
      <w:tr w:rsidR="00DA059D" w:rsidRPr="00DA059D" w14:paraId="22BAABE6" w14:textId="77777777" w:rsidTr="00331123">
        <w:trPr>
          <w:trHeight w:val="283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D1B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3B6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EE66" w14:textId="2830BCFC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AA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4 899 686 780,66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9D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4 545 251 475,34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62A4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100 %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DEA7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100 %</w:t>
            </w:r>
          </w:p>
        </w:tc>
      </w:tr>
      <w:tr w:rsidR="00DA059D" w:rsidRPr="00DA059D" w14:paraId="52A7391B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5A8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4A2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z činnosti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953F" w14:textId="0ACE2073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A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1 087 574 773,42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E0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770 109 506,89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3DFA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22 %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67AE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17 %</w:t>
            </w:r>
          </w:p>
        </w:tc>
      </w:tr>
      <w:tr w:rsidR="00DA059D" w:rsidRPr="00DA059D" w14:paraId="6B80CBFC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91C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A.II.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733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B81D" w14:textId="3FFC5BD9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F8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992 926,99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14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134 546,62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1CD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501A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</w:tr>
      <w:tr w:rsidR="00DA059D" w:rsidRPr="00DA059D" w14:paraId="73CA4938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7AE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A.III.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FF2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46D8" w14:textId="4418EF31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B7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3 811 119 080,25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57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3 775 007 421,83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1218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2311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83 %</w:t>
            </w:r>
          </w:p>
        </w:tc>
      </w:tr>
      <w:tr w:rsidR="00DA059D" w:rsidRPr="00DA059D" w14:paraId="2732B2D8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E7E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A.III.1.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347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vybraných ústředních vládních</w:t>
            </w:r>
          </w:p>
          <w:p w14:paraId="22410E1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institucí na transfery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B0C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1C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3 811 119 080,25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13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3 362 157 121,15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566E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46DBC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74 %</w:t>
            </w:r>
          </w:p>
        </w:tc>
      </w:tr>
      <w:tr w:rsidR="00DA059D" w:rsidRPr="00DA059D" w14:paraId="62C17643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1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A.III.3.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1F9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vybraných ústředních vládních institucí na předfinancování transferů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149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91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B8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412 850 300,68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6B4A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AF0D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9 %</w:t>
            </w:r>
          </w:p>
        </w:tc>
      </w:tr>
      <w:tr w:rsidR="00DA059D" w:rsidRPr="00DA059D" w14:paraId="476CB493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E1F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A.IV.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F98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Náklady ze sdílených daní a poplatků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5AA2" w14:textId="61B144FE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CC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0CB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51ED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A03A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</w:tr>
      <w:tr w:rsidR="00DA059D" w:rsidRPr="00DA059D" w14:paraId="7267A4F4" w14:textId="77777777" w:rsidTr="00331123">
        <w:trPr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DA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A.V.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1EB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Daň z příjmů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0450" w14:textId="2E02C4A0" w:rsidR="00DA059D" w:rsidRPr="00DA059D" w:rsidRDefault="00B25CE2" w:rsidP="00DA059D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1C8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01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DCEC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3C99" w14:textId="77777777" w:rsidR="00DA059D" w:rsidRPr="00DA059D" w:rsidRDefault="00DA059D" w:rsidP="00DA059D">
            <w:pPr>
              <w:spacing w:after="0"/>
              <w:ind w:left="-227"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0 %</w:t>
            </w:r>
          </w:p>
        </w:tc>
      </w:tr>
    </w:tbl>
    <w:p w14:paraId="0D3009A6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06EED317" w14:textId="77777777" w:rsidR="00DA059D" w:rsidRPr="00DA059D" w:rsidRDefault="00DA059D" w:rsidP="00DA059D">
      <w:pPr>
        <w:jc w:val="both"/>
      </w:pPr>
    </w:p>
    <w:p w14:paraId="1324CC29" w14:textId="46C8694B" w:rsidR="00DA059D" w:rsidRPr="00DA059D" w:rsidRDefault="00DA059D" w:rsidP="00DA059D">
      <w:pPr>
        <w:spacing w:after="0"/>
        <w:ind w:right="-57"/>
        <w:jc w:val="both"/>
        <w:rPr>
          <w:b/>
        </w:rPr>
      </w:pPr>
      <w:r w:rsidRPr="00DA059D">
        <w:rPr>
          <w:b/>
        </w:rPr>
        <w:t xml:space="preserve">Na účtu 558 – </w:t>
      </w:r>
      <w:r w:rsidRPr="00DA059D">
        <w:rPr>
          <w:b/>
          <w:i/>
        </w:rPr>
        <w:t>Náklady z drobného dlouhodobého majetku</w:t>
      </w:r>
      <w:r w:rsidRPr="00DA059D">
        <w:rPr>
          <w:b/>
        </w:rPr>
        <w:t xml:space="preserve"> byly identifikovány nesprávnosti ve výši 123</w:t>
      </w:r>
      <w:r w:rsidR="00B25CE2">
        <w:rPr>
          <w:b/>
        </w:rPr>
        <w:t xml:space="preserve"> </w:t>
      </w:r>
      <w:r w:rsidRPr="00DA059D">
        <w:rPr>
          <w:b/>
        </w:rPr>
        <w:t xml:space="preserve">420 Kč. Na účtu 501 – </w:t>
      </w:r>
      <w:r w:rsidRPr="00DA059D">
        <w:rPr>
          <w:b/>
          <w:i/>
        </w:rPr>
        <w:t>Spotřeba materiálu</w:t>
      </w:r>
      <w:r w:rsidRPr="00DA059D">
        <w:rPr>
          <w:b/>
        </w:rPr>
        <w:t xml:space="preserve"> byly identifikovány nesprávnosti ve výši 123</w:t>
      </w:r>
      <w:r w:rsidR="00B25CE2">
        <w:rPr>
          <w:b/>
        </w:rPr>
        <w:t xml:space="preserve"> </w:t>
      </w:r>
      <w:r w:rsidRPr="00DA059D">
        <w:rPr>
          <w:b/>
        </w:rPr>
        <w:t xml:space="preserve">420. Na účtu 571 – </w:t>
      </w:r>
      <w:r w:rsidRPr="00DA059D">
        <w:rPr>
          <w:b/>
          <w:i/>
        </w:rPr>
        <w:t>Náklady vybraných ústředních vládních institucí na transfery</w:t>
      </w:r>
      <w:r w:rsidRPr="00DA059D">
        <w:rPr>
          <w:b/>
        </w:rPr>
        <w:t xml:space="preserve"> byly identifiko</w:t>
      </w:r>
      <w:r w:rsidR="00B25CE2">
        <w:rPr>
          <w:b/>
        </w:rPr>
        <w:t xml:space="preserve">vány nesprávnosti ve výši 1 215 </w:t>
      </w:r>
      <w:r w:rsidRPr="00DA059D">
        <w:rPr>
          <w:b/>
        </w:rPr>
        <w:t>053,97 Kč (podho</w:t>
      </w:r>
      <w:r w:rsidR="00B25CE2">
        <w:rPr>
          <w:b/>
        </w:rPr>
        <w:t xml:space="preserve">dnocení účtu 571) a ve výši </w:t>
      </w:r>
      <w:r w:rsidR="00B25CE2">
        <w:rPr>
          <w:b/>
        </w:rPr>
        <w:br/>
        <w:t xml:space="preserve">849 </w:t>
      </w:r>
      <w:r w:rsidRPr="00DA059D">
        <w:rPr>
          <w:b/>
        </w:rPr>
        <w:t xml:space="preserve">745,10 Kč (nadhodnocení účtu 571). Na účtu 563 – </w:t>
      </w:r>
      <w:r w:rsidRPr="00DA059D">
        <w:rPr>
          <w:b/>
          <w:i/>
        </w:rPr>
        <w:t>Kurzové ztráty</w:t>
      </w:r>
      <w:r w:rsidRPr="00DA059D">
        <w:rPr>
          <w:b/>
        </w:rPr>
        <w:t xml:space="preserve"> byly identifikovány nesprávnosti ve výši 16</w:t>
      </w:r>
      <w:r w:rsidR="00B25CE2">
        <w:rPr>
          <w:b/>
        </w:rPr>
        <w:t xml:space="preserve"> </w:t>
      </w:r>
      <w:r w:rsidRPr="00DA059D">
        <w:rPr>
          <w:b/>
        </w:rPr>
        <w:t xml:space="preserve">813,38 Kč. Na účtu 518 – </w:t>
      </w:r>
      <w:r w:rsidRPr="00DA059D">
        <w:rPr>
          <w:b/>
          <w:i/>
        </w:rPr>
        <w:t>Ostatní služby</w:t>
      </w:r>
      <w:r w:rsidRPr="00DA059D">
        <w:rPr>
          <w:b/>
        </w:rPr>
        <w:t xml:space="preserve"> byly identifikovány nesprávnosti ve výši 200</w:t>
      </w:r>
      <w:r w:rsidR="00B25CE2">
        <w:rPr>
          <w:b/>
        </w:rPr>
        <w:t xml:space="preserve"> </w:t>
      </w:r>
      <w:r w:rsidRPr="00DA059D">
        <w:rPr>
          <w:b/>
        </w:rPr>
        <w:t xml:space="preserve">860 Kč. Na účtu 542 – </w:t>
      </w:r>
      <w:r w:rsidRPr="00DA059D">
        <w:rPr>
          <w:b/>
          <w:i/>
        </w:rPr>
        <w:t>Jiné pokuty a penále</w:t>
      </w:r>
      <w:r w:rsidRPr="00DA059D">
        <w:rPr>
          <w:b/>
        </w:rPr>
        <w:t xml:space="preserve"> byly identifikovány nesprávnosti ve výši 8</w:t>
      </w:r>
      <w:r w:rsidR="00B25CE2">
        <w:rPr>
          <w:b/>
        </w:rPr>
        <w:t xml:space="preserve"> </w:t>
      </w:r>
      <w:r w:rsidRPr="00DA059D">
        <w:rPr>
          <w:b/>
        </w:rPr>
        <w:t>956 216 Kč.</w:t>
      </w:r>
    </w:p>
    <w:p w14:paraId="05B8FA38" w14:textId="77777777" w:rsidR="00DA059D" w:rsidRPr="00DA059D" w:rsidRDefault="00DA059D" w:rsidP="00DA059D">
      <w:pPr>
        <w:spacing w:after="0"/>
      </w:pPr>
      <w:r w:rsidRPr="00DA059D">
        <w:br w:type="page"/>
      </w:r>
    </w:p>
    <w:p w14:paraId="2463E819" w14:textId="77777777" w:rsidR="00DA059D" w:rsidRPr="00DA059D" w:rsidRDefault="00DA059D" w:rsidP="00331123">
      <w:pPr>
        <w:spacing w:after="0"/>
        <w:jc w:val="center"/>
        <w:outlineLvl w:val="1"/>
        <w:rPr>
          <w:rFonts w:eastAsia="Calibri" w:cs="Calibri"/>
          <w:b/>
          <w:szCs w:val="20"/>
        </w:rPr>
      </w:pPr>
      <w:r w:rsidRPr="00DA059D">
        <w:rPr>
          <w:rFonts w:eastAsia="Calibri" w:cs="Calibri"/>
          <w:b/>
          <w:szCs w:val="20"/>
        </w:rPr>
        <w:lastRenderedPageBreak/>
        <w:t xml:space="preserve">Oddíl VIII. Struktura výdajů z hlediska odvětvového u MZd a OSS </w:t>
      </w:r>
      <w:r w:rsidRPr="00DA059D">
        <w:rPr>
          <w:rFonts w:eastAsia="Calibri" w:cs="Calibri"/>
          <w:b/>
          <w:szCs w:val="20"/>
        </w:rPr>
        <w:br/>
        <w:t>v rozpočtové kapitole 335 MZd v roce 2017</w:t>
      </w:r>
    </w:p>
    <w:p w14:paraId="27CBD1F0" w14:textId="77777777" w:rsidR="00DA059D" w:rsidRPr="00DA059D" w:rsidRDefault="00DA059D" w:rsidP="00DA059D">
      <w:pPr>
        <w:spacing w:after="0"/>
        <w:jc w:val="both"/>
      </w:pPr>
    </w:p>
    <w:p w14:paraId="5141A945" w14:textId="2DD4AD2A" w:rsidR="00DA059D" w:rsidRPr="00DA059D" w:rsidRDefault="00DA059D" w:rsidP="00B25CE2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12" w:name="_Toc520714612"/>
      <w:bookmarkStart w:id="113" w:name="_Toc524590448"/>
      <w:bookmarkStart w:id="114" w:name="_Toc531766455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35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Struktura výdajů MZd v roce 2017 z hlediska odvětvového třídění</w:t>
      </w:r>
      <w:bookmarkEnd w:id="112"/>
      <w:bookmarkEnd w:id="113"/>
      <w:bookmarkEnd w:id="11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743"/>
        <w:gridCol w:w="1467"/>
        <w:gridCol w:w="2328"/>
        <w:gridCol w:w="2387"/>
      </w:tblGrid>
      <w:tr w:rsidR="00DA059D" w:rsidRPr="00DA059D" w14:paraId="471894AA" w14:textId="77777777" w:rsidTr="00DA059D">
        <w:trPr>
          <w:trHeight w:val="255"/>
          <w:tblHeader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F07A80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Rozpočtový paragraf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C657A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  <w:p w14:paraId="2B1DA1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CC3A3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  <w:p w14:paraId="77E1A06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5D35C2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rozpočtového paragrafu</w:t>
            </w:r>
          </w:p>
          <w:p w14:paraId="3882D14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na celkových výdajích – </w:t>
            </w:r>
          </w:p>
          <w:p w14:paraId="0DA388D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5C5066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rozpočtového paragrafu</w:t>
            </w:r>
          </w:p>
          <w:p w14:paraId="0293920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na celkových výdajích – </w:t>
            </w:r>
          </w:p>
          <w:p w14:paraId="7255227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</w:tr>
      <w:tr w:rsidR="00DA059D" w:rsidRPr="00DA059D" w14:paraId="01F529B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F5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E8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1 528 058 627,00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9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1 575 653 210,98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348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27,93 %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72A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27,50 %</w:t>
            </w:r>
          </w:p>
        </w:tc>
      </w:tr>
      <w:tr w:rsidR="00DA059D" w:rsidRPr="00DA059D" w14:paraId="411EA479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9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6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200 843 460,00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F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851 913 270,19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49B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3,67 %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065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14,87 %</w:t>
            </w:r>
          </w:p>
        </w:tc>
      </w:tr>
      <w:tr w:rsidR="00DA059D" w:rsidRPr="00DA059D" w14:paraId="103E61E7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15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4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196 242 711,00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F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650 895 757,43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ED7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3,59 %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2FF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11,36 %</w:t>
            </w:r>
          </w:p>
        </w:tc>
      </w:tr>
      <w:tr w:rsidR="00DA059D" w:rsidRPr="00DA059D" w14:paraId="2C3BEB8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966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C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1 510 389 879,00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2D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564 901 908,06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14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27,61 %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6A3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9,86 %</w:t>
            </w:r>
          </w:p>
        </w:tc>
      </w:tr>
      <w:tr w:rsidR="00DA059D" w:rsidRPr="00DA059D" w14:paraId="2B123454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0A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D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393 513 000,00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6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484 018 655,00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4ADE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7,19 %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293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8,45 %</w:t>
            </w:r>
          </w:p>
        </w:tc>
      </w:tr>
      <w:tr w:rsidR="00DA059D" w:rsidRPr="00DA059D" w14:paraId="7FB8638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437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5D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540 983 765,00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5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449 812 446,60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BA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9,89 %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9DB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7,85 %</w:t>
            </w:r>
          </w:p>
        </w:tc>
      </w:tr>
      <w:tr w:rsidR="00DA059D" w:rsidRPr="00DA059D" w14:paraId="27AEA323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9E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4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348 890 000,00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4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380 521 216,57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D5C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6,38 %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0683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6,64 %</w:t>
            </w:r>
          </w:p>
        </w:tc>
      </w:tr>
      <w:tr w:rsidR="00DA059D" w:rsidRPr="00DA059D" w14:paraId="442E3737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D7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0B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360 786 462,00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9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349 825 390,00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186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6,60 %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D98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6,10 %</w:t>
            </w:r>
          </w:p>
        </w:tc>
      </w:tr>
      <w:tr w:rsidR="00DA059D" w:rsidRPr="00DA059D" w14:paraId="2A9FFBE4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F4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145 834 280,00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7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147 050 864,68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B5D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2,67 %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16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2,57 %</w:t>
            </w:r>
          </w:p>
        </w:tc>
      </w:tr>
      <w:tr w:rsidR="00DA059D" w:rsidRPr="00DA059D" w14:paraId="41B33C5E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86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A7D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108 447 802,00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C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80 862 876,34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C22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1,98 %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FFD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1,41 %</w:t>
            </w:r>
          </w:p>
        </w:tc>
      </w:tr>
      <w:tr w:rsidR="00DA059D" w:rsidRPr="00DA059D" w14:paraId="33A3AC95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BB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6221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F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C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48 404 438,21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5A2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EBC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0,84 %</w:t>
            </w:r>
          </w:p>
        </w:tc>
      </w:tr>
      <w:tr w:rsidR="00DA059D" w:rsidRPr="00DA059D" w14:paraId="78F02A8A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46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86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40 000 000,00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8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35 103 278,05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30C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0,73 %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FE5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0,61 %</w:t>
            </w:r>
          </w:p>
        </w:tc>
      </w:tr>
      <w:tr w:rsidR="00DA059D" w:rsidRPr="00DA059D" w14:paraId="5EFEA83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4F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1C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3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19 402 979,40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3BE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7FD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0,34 %</w:t>
            </w:r>
          </w:p>
        </w:tc>
      </w:tr>
      <w:tr w:rsidR="00DA059D" w:rsidRPr="00DA059D" w14:paraId="61A31C75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D2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F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E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15 409 979,63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9F2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AF8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0,27 %</w:t>
            </w:r>
          </w:p>
        </w:tc>
      </w:tr>
      <w:tr w:rsidR="00DA059D" w:rsidRPr="00DA059D" w14:paraId="52314812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F7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5212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B5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9 750 000,00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C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15 212 179,44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65C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0,18 %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B13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0,27 %</w:t>
            </w:r>
          </w:p>
        </w:tc>
      </w:tr>
      <w:tr w:rsidR="00DA059D" w:rsidRPr="00DA059D" w14:paraId="30E8F1D4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12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4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00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12 916 664,96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0C7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0,18 %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C05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0,23 %</w:t>
            </w:r>
          </w:p>
        </w:tc>
      </w:tr>
      <w:tr w:rsidR="00DA059D" w:rsidRPr="00DA059D" w14:paraId="4A3706EF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F1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DCA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25 000 000,00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4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11 536 566,40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778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0,46 %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D04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0,20 %</w:t>
            </w:r>
          </w:p>
        </w:tc>
      </w:tr>
      <w:tr w:rsidR="00DA059D" w:rsidRPr="00DA059D" w14:paraId="015A5F8B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6F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A6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12 000 000,00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A8D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10 698 875,00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1242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0,22 %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E01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0,19 %</w:t>
            </w:r>
          </w:p>
        </w:tc>
      </w:tr>
      <w:tr w:rsidR="00DA059D" w:rsidRPr="00DA059D" w14:paraId="69B79E3F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0D4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0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D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10 417 500,00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D5E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0,18 %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D61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0,18 %</w:t>
            </w:r>
          </w:p>
        </w:tc>
      </w:tr>
      <w:tr w:rsidR="00DA059D" w:rsidRPr="00DA059D" w14:paraId="254F4AC1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93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DB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FD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9 000 000,00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2CB9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B7CE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0,16 %</w:t>
            </w:r>
          </w:p>
        </w:tc>
      </w:tr>
      <w:tr w:rsidR="00DA059D" w:rsidRPr="00DA059D" w14:paraId="4362B71A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DC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E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10 500 000,00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E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2 619 389,12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787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028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0,05 %</w:t>
            </w:r>
          </w:p>
        </w:tc>
      </w:tr>
      <w:tr w:rsidR="00DA059D" w:rsidRPr="00DA059D" w14:paraId="2B691B93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28A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2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0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2 570 924,00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761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F9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0,04 %</w:t>
            </w:r>
          </w:p>
        </w:tc>
      </w:tr>
      <w:tr w:rsidR="00DA059D" w:rsidRPr="00DA059D" w14:paraId="68756F6F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A51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6222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F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1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1 425 676,26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E8B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0,05 %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319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0,02 %</w:t>
            </w:r>
          </w:p>
        </w:tc>
      </w:tr>
      <w:tr w:rsidR="00DA059D" w:rsidRPr="00DA059D" w14:paraId="1A4F7484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ED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9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10 650 000,00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2EA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300 000,00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D11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0,19 %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CF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0,01 %</w:t>
            </w:r>
          </w:p>
        </w:tc>
      </w:tr>
      <w:tr w:rsidR="00DA059D" w:rsidRPr="00DA059D" w14:paraId="2BDC121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C3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5271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E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250 000,00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6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105 270,00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65B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B21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</w:tr>
      <w:tr w:rsidR="00DA059D" w:rsidRPr="00DA059D" w14:paraId="69C614E0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D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C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5 000 000,00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A0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39B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0,09 %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E738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</w:tr>
      <w:tr w:rsidR="00DA059D" w:rsidRPr="00DA059D" w14:paraId="16AF7463" w14:textId="77777777" w:rsidTr="00DA059D">
        <w:trPr>
          <w:trHeight w:val="25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F1BC4C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7597D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5 470 139 986,00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F2CDA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5 730 579 316,32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6CF99D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100,00 %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54C99A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100,00 %</w:t>
            </w:r>
          </w:p>
        </w:tc>
      </w:tr>
    </w:tbl>
    <w:p w14:paraId="6410AFD6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bookmarkStart w:id="115" w:name="_Toc520714613"/>
      <w:r w:rsidRPr="00DA059D">
        <w:rPr>
          <w:rFonts w:cs="Calibri"/>
          <w:b/>
          <w:sz w:val="20"/>
          <w:szCs w:val="20"/>
        </w:rPr>
        <w:t>Zdroj:</w:t>
      </w:r>
      <w:r w:rsidRPr="00DA059D">
        <w:rPr>
          <w:rFonts w:cs="Calibri"/>
          <w:sz w:val="20"/>
          <w:szCs w:val="20"/>
        </w:rPr>
        <w:t xml:space="preserve"> informační portál MONITOR.</w:t>
      </w:r>
    </w:p>
    <w:p w14:paraId="6F369595" w14:textId="77777777" w:rsidR="00DA059D" w:rsidRPr="00DA059D" w:rsidRDefault="00DA059D" w:rsidP="00DA059D">
      <w:pPr>
        <w:spacing w:after="0"/>
        <w:jc w:val="both"/>
      </w:pPr>
    </w:p>
    <w:p w14:paraId="1C15641A" w14:textId="201949F8" w:rsidR="00DA059D" w:rsidRPr="00DA059D" w:rsidRDefault="00DA059D" w:rsidP="00DA059D">
      <w:pPr>
        <w:keepNext/>
        <w:spacing w:after="40"/>
        <w:ind w:left="1446" w:hanging="1446"/>
        <w:rPr>
          <w:rFonts w:cs="Calibri"/>
          <w:b/>
          <w:bCs/>
          <w:szCs w:val="20"/>
        </w:rPr>
      </w:pPr>
      <w:bookmarkStart w:id="116" w:name="_Toc524590449"/>
      <w:bookmarkStart w:id="117" w:name="_Toc531766456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36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Struktura výdajů ostatních OSS v rozpočtové kapitole 335 MZd (bez MZd) v roce 2017</w:t>
      </w:r>
      <w:r w:rsidRPr="00DA059D">
        <w:rPr>
          <w:rFonts w:cs="Calibri"/>
          <w:b/>
          <w:bCs/>
          <w:szCs w:val="20"/>
        </w:rPr>
        <w:t xml:space="preserve"> z hlediska odvětvového třídění</w:t>
      </w:r>
      <w:bookmarkEnd w:id="115"/>
      <w:bookmarkEnd w:id="116"/>
      <w:bookmarkEnd w:id="11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743"/>
        <w:gridCol w:w="1480"/>
        <w:gridCol w:w="2320"/>
        <w:gridCol w:w="2387"/>
      </w:tblGrid>
      <w:tr w:rsidR="00DA059D" w:rsidRPr="00DA059D" w14:paraId="5AAE3D5D" w14:textId="77777777" w:rsidTr="00DA059D">
        <w:trPr>
          <w:trHeight w:val="283"/>
          <w:tblHeader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BADED5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Rozpočtový paragraf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782AA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  <w:p w14:paraId="4F08498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F91D6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  <w:p w14:paraId="6EEABB9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E2B2CE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rozpočtového paragrafu</w:t>
            </w:r>
          </w:p>
          <w:p w14:paraId="19676C3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na celkových výdajích –</w:t>
            </w:r>
          </w:p>
          <w:p w14:paraId="2FAF7E4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8D47A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rozpočtového paragrafu</w:t>
            </w:r>
          </w:p>
          <w:p w14:paraId="1901EEC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na celkových výdajích –</w:t>
            </w:r>
          </w:p>
          <w:p w14:paraId="7A3191A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</w:tr>
      <w:tr w:rsidR="00DA059D" w:rsidRPr="00DA059D" w14:paraId="1E53AA44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68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2F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1 481 173 183,00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E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1 929 707 381,99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344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81,55 %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283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85,76 %</w:t>
            </w:r>
          </w:p>
        </w:tc>
      </w:tr>
      <w:tr w:rsidR="00DA059D" w:rsidRPr="00DA059D" w14:paraId="6C7B48F9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C1E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94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216 724 889,00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8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254 523 801,89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585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11,93 %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2C9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11,31 %</w:t>
            </w:r>
          </w:p>
        </w:tc>
      </w:tr>
      <w:tr w:rsidR="00DA059D" w:rsidRPr="00DA059D" w14:paraId="51D140C2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BE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EE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99 013 461,00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8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53 094 128,30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AEE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5,45 %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22E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2,36 %</w:t>
            </w:r>
          </w:p>
        </w:tc>
      </w:tr>
      <w:tr w:rsidR="00DA059D" w:rsidRPr="00DA059D" w14:paraId="4108A97E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85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7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19 289 885,00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39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12 752 689,85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66F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1,06 %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D4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0,57 %</w:t>
            </w:r>
          </w:p>
        </w:tc>
      </w:tr>
      <w:tr w:rsidR="00DA059D" w:rsidRPr="00DA059D" w14:paraId="4F3B677C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00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  <w:lang w:eastAsia="cs-CZ"/>
              </w:rPr>
              <w:t>3592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0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3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52 300,00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320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C5A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0,00 %</w:t>
            </w:r>
          </w:p>
        </w:tc>
      </w:tr>
      <w:tr w:rsidR="00DA059D" w:rsidRPr="00DA059D" w14:paraId="2F9C1FDE" w14:textId="77777777" w:rsidTr="00DA059D">
        <w:trPr>
          <w:trHeight w:val="283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4FDE2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AD8DC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1 816 201 418,00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C9FB7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2 250 130 302,03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63F4B56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100,00 %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53A109C" w14:textId="77777777" w:rsidR="00DA059D" w:rsidRPr="00DA059D" w:rsidRDefault="00DA059D" w:rsidP="00DA059D">
            <w:pPr>
              <w:spacing w:after="0"/>
              <w:ind w:right="57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100,00 %</w:t>
            </w:r>
          </w:p>
        </w:tc>
      </w:tr>
    </w:tbl>
    <w:p w14:paraId="137F5068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>Zdroj:</w:t>
      </w:r>
      <w:r w:rsidRPr="00DA059D">
        <w:rPr>
          <w:rFonts w:cs="Calibri"/>
          <w:sz w:val="20"/>
          <w:szCs w:val="20"/>
        </w:rPr>
        <w:t xml:space="preserve"> informační portál MONITOR.</w:t>
      </w:r>
    </w:p>
    <w:p w14:paraId="163C6792" w14:textId="77777777" w:rsidR="00DA059D" w:rsidRPr="00DA059D" w:rsidRDefault="00DA059D" w:rsidP="00DA059D">
      <w:pPr>
        <w:spacing w:after="0"/>
        <w:jc w:val="both"/>
      </w:pPr>
    </w:p>
    <w:p w14:paraId="265E11F3" w14:textId="37408AAB" w:rsidR="00DA059D" w:rsidRPr="00DA059D" w:rsidRDefault="00DA059D" w:rsidP="00DA059D">
      <w:pPr>
        <w:spacing w:after="0"/>
        <w:jc w:val="both"/>
        <w:rPr>
          <w:b/>
        </w:rPr>
      </w:pPr>
      <w:r w:rsidRPr="00DA059D">
        <w:rPr>
          <w:b/>
        </w:rPr>
        <w:lastRenderedPageBreak/>
        <w:t xml:space="preserve">Na paragrafu rozpočtové skladby 3561 – </w:t>
      </w:r>
      <w:r w:rsidRPr="00DA059D">
        <w:rPr>
          <w:b/>
          <w:i/>
        </w:rPr>
        <w:t>Činnost ústředního orgánu státní správy</w:t>
      </w:r>
      <w:r w:rsidRPr="00DA059D">
        <w:rPr>
          <w:b/>
        </w:rPr>
        <w:t xml:space="preserve"> byly identifikovány nesprávnosti ve výši 17 495 292,35 Kč (nadhodnocení paragrafu 3561) a ve výši 6 655 912 Kč (podhodnocení paragrafu 3561). Na paragrafu rozpočtové skladby </w:t>
      </w:r>
      <w:r w:rsidRPr="00DA059D">
        <w:rPr>
          <w:b/>
        </w:rPr>
        <w:br/>
        <w:t xml:space="preserve">3591 – </w:t>
      </w:r>
      <w:r w:rsidRPr="00DA059D">
        <w:rPr>
          <w:b/>
          <w:i/>
        </w:rPr>
        <w:t>Mezinárodní spolupráce ve zdravotnictví</w:t>
      </w:r>
      <w:r w:rsidRPr="00DA059D">
        <w:rPr>
          <w:b/>
        </w:rPr>
        <w:t xml:space="preserve"> byly identifikovány nesprávnosti ve výši</w:t>
      </w:r>
      <w:r w:rsidR="00A01FA4">
        <w:rPr>
          <w:b/>
        </w:rPr>
        <w:t xml:space="preserve"> </w:t>
      </w:r>
      <w:r w:rsidR="00A01FA4">
        <w:rPr>
          <w:b/>
        </w:rPr>
        <w:br/>
        <w:t xml:space="preserve">17 495 </w:t>
      </w:r>
      <w:r w:rsidRPr="00DA059D">
        <w:rPr>
          <w:b/>
        </w:rPr>
        <w:t xml:space="preserve">292,35 Kč. Na paragrafu rozpočtové skladby 3533 – </w:t>
      </w:r>
      <w:r w:rsidRPr="00DA059D">
        <w:rPr>
          <w:b/>
          <w:i/>
        </w:rPr>
        <w:t>Zdravotnická záchranná služba</w:t>
      </w:r>
      <w:r w:rsidRPr="00DA059D">
        <w:rPr>
          <w:b/>
        </w:rPr>
        <w:t xml:space="preserve"> byly identifikovány nesprávnosti ve výši 6 655 912 Kč.</w:t>
      </w:r>
    </w:p>
    <w:p w14:paraId="01E35CD1" w14:textId="77777777" w:rsidR="00DA059D" w:rsidRPr="00DA059D" w:rsidRDefault="00DA059D" w:rsidP="00DA059D">
      <w:pPr>
        <w:spacing w:after="0"/>
        <w:jc w:val="both"/>
      </w:pPr>
      <w:r w:rsidRPr="00DA059D">
        <w:br w:type="page"/>
      </w:r>
    </w:p>
    <w:p w14:paraId="0A6C609F" w14:textId="77777777" w:rsidR="00DA059D" w:rsidRPr="00DA059D" w:rsidRDefault="00DA059D" w:rsidP="00DA059D">
      <w:pPr>
        <w:spacing w:after="0"/>
        <w:ind w:right="1"/>
        <w:jc w:val="both"/>
        <w:outlineLvl w:val="0"/>
        <w:rPr>
          <w:rFonts w:eastAsia="Calibri" w:cs="Calibri"/>
          <w:b/>
          <w:szCs w:val="20"/>
        </w:rPr>
      </w:pPr>
      <w:r w:rsidRPr="00DA059D">
        <w:rPr>
          <w:rFonts w:eastAsia="Calibri" w:cs="Calibri"/>
          <w:b/>
          <w:szCs w:val="20"/>
        </w:rPr>
        <w:lastRenderedPageBreak/>
        <w:t>B. Příspěvkové organizace v rozpočtové kapitole 335 MZd</w:t>
      </w:r>
    </w:p>
    <w:p w14:paraId="7AC36B0F" w14:textId="77777777" w:rsidR="00DA059D" w:rsidRPr="00DA059D" w:rsidRDefault="00DA059D" w:rsidP="00DA059D">
      <w:pPr>
        <w:spacing w:after="0"/>
        <w:jc w:val="both"/>
      </w:pPr>
    </w:p>
    <w:p w14:paraId="35EF113B" w14:textId="29F6EA8E" w:rsidR="00DA059D" w:rsidRPr="00DA059D" w:rsidRDefault="00DA059D" w:rsidP="00331123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18" w:name="_Toc524590470"/>
      <w:bookmarkStart w:id="119" w:name="_Toc531766457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37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PO v rámci kapitoly 335 MZd</w:t>
      </w:r>
      <w:r w:rsidRPr="00DA059D">
        <w:rPr>
          <w:rFonts w:cs="Calibri"/>
          <w:b/>
          <w:bCs/>
          <w:vertAlign w:val="superscript"/>
        </w:rPr>
        <w:footnoteReference w:id="24"/>
      </w:r>
      <w:bookmarkEnd w:id="118"/>
      <w:bookmarkEnd w:id="119"/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539"/>
      </w:tblGrid>
      <w:tr w:rsidR="00DA059D" w:rsidRPr="00DA059D" w14:paraId="5FDD1A9D" w14:textId="77777777" w:rsidTr="00331123">
        <w:trPr>
          <w:trHeight w:val="283"/>
          <w:tblHeader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74D9A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CDBD1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</w:tr>
      <w:tr w:rsidR="00DA059D" w:rsidRPr="00DA059D" w14:paraId="7098EF9B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D66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00209775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C6F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Centrum kardiovaskulární a transplantační chirurgie Brno</w:t>
            </w:r>
          </w:p>
        </w:tc>
      </w:tr>
      <w:tr w:rsidR="00DA059D" w:rsidRPr="00DA059D" w14:paraId="3BEED6DB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138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00842052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21F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Dětská psychiatrická nemocnice</w:t>
            </w:r>
          </w:p>
        </w:tc>
      </w:tr>
      <w:tr w:rsidR="00DA059D" w:rsidRPr="00DA059D" w14:paraId="102A3EF3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16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00831034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691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Dětská psychiatrická nemocnice Louny</w:t>
            </w:r>
          </w:p>
        </w:tc>
      </w:tr>
      <w:tr w:rsidR="00DA059D" w:rsidRPr="00DA059D" w14:paraId="0C35CE60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B9B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00667421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2EE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Dětská psychiatrická nemocnice Opařany</w:t>
            </w:r>
          </w:p>
        </w:tc>
      </w:tr>
      <w:tr w:rsidR="00DA059D" w:rsidRPr="00DA059D" w14:paraId="2BF3B20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01E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00023761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E51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Endokrinologický ústav</w:t>
            </w:r>
          </w:p>
        </w:tc>
      </w:tr>
      <w:tr w:rsidR="00DA059D" w:rsidRPr="00DA059D" w14:paraId="34F88B46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63D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65269705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A45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Brno</w:t>
            </w:r>
          </w:p>
        </w:tc>
      </w:tr>
      <w:tr w:rsidR="00DA059D" w:rsidRPr="00DA059D" w14:paraId="73B821B4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B9B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00179906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B80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Hradec Králové</w:t>
            </w:r>
          </w:p>
        </w:tc>
      </w:tr>
      <w:tr w:rsidR="00DA059D" w:rsidRPr="00DA059D" w14:paraId="7FFB4B79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F5B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00064173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788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Královské Vinohrady</w:t>
            </w:r>
          </w:p>
        </w:tc>
      </w:tr>
      <w:tr w:rsidR="00DA059D" w:rsidRPr="00DA059D" w14:paraId="4BECA429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3E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00098892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6A9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Olomouc</w:t>
            </w:r>
          </w:p>
        </w:tc>
      </w:tr>
      <w:tr w:rsidR="00DA059D" w:rsidRPr="00DA059D" w14:paraId="192A7043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89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00843989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D84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Ostrava</w:t>
            </w:r>
          </w:p>
        </w:tc>
      </w:tr>
      <w:tr w:rsidR="00DA059D" w:rsidRPr="00DA059D" w14:paraId="701958BA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7FC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00669806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9D8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Plzeň</w:t>
            </w:r>
          </w:p>
        </w:tc>
      </w:tr>
      <w:tr w:rsidR="00DA059D" w:rsidRPr="00DA059D" w14:paraId="282A1EC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D96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00159816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D5D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u sv. Anny v Brně</w:t>
            </w:r>
          </w:p>
        </w:tc>
      </w:tr>
      <w:tr w:rsidR="00DA059D" w:rsidRPr="00DA059D" w14:paraId="6680B6C5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0D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00064203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F3A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Fakultní nemocnice v Motole</w:t>
            </w:r>
          </w:p>
        </w:tc>
      </w:tr>
      <w:tr w:rsidR="00DA059D" w:rsidRPr="00DA059D" w14:paraId="2DEEFEDF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80B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00183024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4AC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Hamzova odborná léčebna pro děti a dospělé</w:t>
            </w:r>
          </w:p>
        </w:tc>
      </w:tr>
      <w:tr w:rsidR="00DA059D" w:rsidRPr="00DA059D" w14:paraId="7EF48E92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77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00023001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609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Institut klinické a experimentální medicíny</w:t>
            </w:r>
          </w:p>
        </w:tc>
      </w:tr>
      <w:tr w:rsidR="00DA059D" w:rsidRPr="00DA059D" w14:paraId="7865421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CF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00023841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D7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Institut postgraduálního vzdělávání ve zdravotnictví</w:t>
            </w:r>
          </w:p>
        </w:tc>
      </w:tr>
      <w:tr w:rsidR="00DA059D" w:rsidRPr="00DA059D" w14:paraId="54757588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391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00669784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DAA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Léčebna tuberkulózy a respiračních nemocí Janov</w:t>
            </w:r>
          </w:p>
        </w:tc>
      </w:tr>
      <w:tr w:rsidR="00DA059D" w:rsidRPr="00DA059D" w14:paraId="1692CF59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C5D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00883573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7E0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Léčebné lázně Lázně Kynžvart</w:t>
            </w:r>
          </w:p>
        </w:tc>
      </w:tr>
      <w:tr w:rsidR="00DA059D" w:rsidRPr="00DA059D" w14:paraId="511DF35A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3AC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00209805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065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Masarykův onkologický ústav</w:t>
            </w:r>
          </w:p>
        </w:tc>
      </w:tr>
      <w:tr w:rsidR="00DA059D" w:rsidRPr="00DA059D" w14:paraId="321A362B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AE2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00023850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85B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Národní centrum ošetřovatelství a nelékařských zdravotnických oborů</w:t>
            </w:r>
          </w:p>
        </w:tc>
      </w:tr>
      <w:tr w:rsidR="00DA059D" w:rsidRPr="00DA059D" w14:paraId="1DB9D7F6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E45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00023752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AE5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Národní ústav duševního zdraví</w:t>
            </w:r>
          </w:p>
        </w:tc>
      </w:tr>
      <w:tr w:rsidR="00DA059D" w:rsidRPr="00DA059D" w14:paraId="5D1CF9AF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AD1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00064211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2CF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Nemocnice Na Bulovce</w:t>
            </w:r>
          </w:p>
        </w:tc>
      </w:tr>
      <w:tr w:rsidR="00DA059D" w:rsidRPr="00DA059D" w14:paraId="265A6D96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8A2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00023884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393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Nemocnice Na Homolce</w:t>
            </w:r>
          </w:p>
        </w:tc>
      </w:tr>
      <w:tr w:rsidR="00DA059D" w:rsidRPr="00DA059D" w14:paraId="4F2B1A23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EA5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00583600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ACB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léčebna Červený Dvůr</w:t>
            </w:r>
          </w:p>
        </w:tc>
      </w:tr>
      <w:tr w:rsidR="00DA059D" w:rsidRPr="00DA059D" w14:paraId="64C844D8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7DE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00843954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711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léčebna Šternberk</w:t>
            </w:r>
          </w:p>
        </w:tc>
      </w:tr>
      <w:tr w:rsidR="00DA059D" w:rsidRPr="00DA059D" w14:paraId="6C7C576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EE1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00064220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614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Bohnice</w:t>
            </w:r>
          </w:p>
        </w:tc>
      </w:tr>
      <w:tr w:rsidR="00DA059D" w:rsidRPr="00DA059D" w14:paraId="4348641E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D5B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00160105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08F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Brno</w:t>
            </w:r>
          </w:p>
        </w:tc>
      </w:tr>
      <w:tr w:rsidR="00DA059D" w:rsidRPr="00DA059D" w14:paraId="2B0B1482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B20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00179230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B72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Havlíčkův Brod</w:t>
            </w:r>
          </w:p>
        </w:tc>
      </w:tr>
      <w:tr w:rsidR="00DA059D" w:rsidRPr="00DA059D" w14:paraId="62BA3A55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81B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00673552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1B3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Horní Beřkovice</w:t>
            </w:r>
          </w:p>
        </w:tc>
      </w:tr>
      <w:tr w:rsidR="00DA059D" w:rsidRPr="00DA059D" w14:paraId="37049AEF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C1A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00600601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A17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Jihlava</w:t>
            </w:r>
          </w:p>
        </w:tc>
      </w:tr>
      <w:tr w:rsidR="00DA059D" w:rsidRPr="00DA059D" w14:paraId="2A204F32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9AB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00068691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3AC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Kosmonosy</w:t>
            </w:r>
          </w:p>
        </w:tc>
      </w:tr>
      <w:tr w:rsidR="00DA059D" w:rsidRPr="00DA059D" w14:paraId="347B0AD2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F5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00851388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BE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Marianny Oranžské</w:t>
            </w:r>
          </w:p>
        </w:tc>
      </w:tr>
      <w:tr w:rsidR="00DA059D" w:rsidRPr="00DA059D" w14:paraId="3FFF64BF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F0D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00669792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ED5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v Dobřanech</w:t>
            </w:r>
          </w:p>
        </w:tc>
      </w:tr>
      <w:tr w:rsidR="00DA059D" w:rsidRPr="00DA059D" w14:paraId="244B5414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BF1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00567914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43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v Kroměříži</w:t>
            </w:r>
          </w:p>
        </w:tc>
      </w:tr>
      <w:tr w:rsidR="00DA059D" w:rsidRPr="00DA059D" w14:paraId="58E52688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576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00844004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305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v Opavě</w:t>
            </w:r>
          </w:p>
        </w:tc>
      </w:tr>
      <w:tr w:rsidR="00DA059D" w:rsidRPr="00DA059D" w14:paraId="65A9BE84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157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00883581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127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Referenční laboratoře přírodních léčivých zdrojů</w:t>
            </w:r>
          </w:p>
        </w:tc>
      </w:tr>
      <w:tr w:rsidR="00DA059D" w:rsidRPr="00DA059D" w14:paraId="5AD16214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B2E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00601233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554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Rehabilitační ústav Hrabyně</w:t>
            </w:r>
          </w:p>
        </w:tc>
      </w:tr>
      <w:tr w:rsidR="00DA059D" w:rsidRPr="00DA059D" w14:paraId="5D6F0E17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789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00068705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7B0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Rehabilitační ústav Kladruby</w:t>
            </w:r>
          </w:p>
        </w:tc>
      </w:tr>
      <w:tr w:rsidR="00DA059D" w:rsidRPr="00DA059D" w14:paraId="070D6D2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71E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00023728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8EA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Revmatologický ústav</w:t>
            </w:r>
          </w:p>
        </w:tc>
      </w:tr>
      <w:tr w:rsidR="00DA059D" w:rsidRPr="00DA059D" w14:paraId="647E77A5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012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75010330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430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Státní zdravotní ústav</w:t>
            </w:r>
          </w:p>
        </w:tc>
      </w:tr>
      <w:tr w:rsidR="00DA059D" w:rsidRPr="00DA059D" w14:paraId="64B53769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DF9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00064190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835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Thomayerova nemocnice</w:t>
            </w:r>
          </w:p>
        </w:tc>
      </w:tr>
      <w:tr w:rsidR="00DA059D" w:rsidRPr="00DA059D" w14:paraId="0F20CF35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B2E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lastRenderedPageBreak/>
              <w:t>00023736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AA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Ústav hematologie a krevní transfuze</w:t>
            </w:r>
          </w:p>
        </w:tc>
      </w:tr>
      <w:tr w:rsidR="00DA059D" w:rsidRPr="00DA059D" w14:paraId="2496A2EC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DC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00023698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2A9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Ústav pro péči o matku a dítě</w:t>
            </w:r>
          </w:p>
        </w:tc>
      </w:tr>
      <w:tr w:rsidR="00DA059D" w:rsidRPr="00DA059D" w14:paraId="40B43553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F6D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00064165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D43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Všeobecná fakultní nemocnice v Praze</w:t>
            </w:r>
          </w:p>
        </w:tc>
      </w:tr>
      <w:tr w:rsidR="00DA059D" w:rsidRPr="00DA059D" w14:paraId="3473E07F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931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71009396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75F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Zdravotní ústav se sídlem v Ostravě</w:t>
            </w:r>
          </w:p>
        </w:tc>
      </w:tr>
      <w:tr w:rsidR="00DA059D" w:rsidRPr="00DA059D" w14:paraId="1F8D640D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387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71009361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D5E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Zdravotní ústav se sídlem v Ústí nad Labem</w:t>
            </w:r>
          </w:p>
        </w:tc>
      </w:tr>
      <w:tr w:rsidR="00DA059D" w:rsidRPr="00DA059D" w14:paraId="30557055" w14:textId="77777777" w:rsidTr="00331123">
        <w:trPr>
          <w:trHeight w:val="28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0BB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00875422</w:t>
            </w:r>
          </w:p>
        </w:tc>
        <w:tc>
          <w:tcPr>
            <w:tcW w:w="4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E9E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Zdravotnické zabezpečení krizových stavů</w:t>
            </w:r>
          </w:p>
        </w:tc>
      </w:tr>
    </w:tbl>
    <w:p w14:paraId="58C3460B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5662F3AE" w14:textId="77777777" w:rsidR="00DA059D" w:rsidRPr="00DA059D" w:rsidRDefault="00DA059D" w:rsidP="00DA059D">
      <w:pPr>
        <w:spacing w:after="0"/>
        <w:jc w:val="both"/>
      </w:pPr>
    </w:p>
    <w:p w14:paraId="2D2B3254" w14:textId="77777777" w:rsidR="00DA059D" w:rsidRPr="00DA059D" w:rsidRDefault="00DA059D" w:rsidP="00DA059D">
      <w:pPr>
        <w:spacing w:after="0"/>
        <w:jc w:val="both"/>
      </w:pPr>
      <w:r w:rsidRPr="00DA059D">
        <w:t>V průběhu sledovaného období (2013–2017) došlo k přejmenování následujících účetních jednotek, aniž by došlo ke změně jejich identifikačního čísla:</w:t>
      </w:r>
    </w:p>
    <w:p w14:paraId="6D368B5E" w14:textId="77777777" w:rsidR="00DA059D" w:rsidRPr="00DA059D" w:rsidRDefault="00DA059D" w:rsidP="00DA059D">
      <w:pPr>
        <w:spacing w:after="0"/>
        <w:jc w:val="both"/>
      </w:pPr>
    </w:p>
    <w:p w14:paraId="608D8098" w14:textId="3A805DBC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20" w:name="_Toc520714615"/>
      <w:bookmarkStart w:id="121" w:name="_Toc524590471"/>
      <w:bookmarkStart w:id="122" w:name="_Toc531766458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38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Přejmenované účetní jednotky</w:t>
      </w:r>
      <w:bookmarkEnd w:id="120"/>
      <w:bookmarkEnd w:id="121"/>
      <w:bookmarkEnd w:id="122"/>
    </w:p>
    <w:tbl>
      <w:tblPr>
        <w:tblW w:w="503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170"/>
        <w:gridCol w:w="3833"/>
        <w:gridCol w:w="3061"/>
      </w:tblGrid>
      <w:tr w:rsidR="00DA059D" w:rsidRPr="00DA059D" w14:paraId="4DE49AFA" w14:textId="77777777" w:rsidTr="00331123">
        <w:trPr>
          <w:trHeight w:val="283"/>
          <w:tblHeader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8B335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A3D6E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Rok změny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C781F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Název účetní jednotky k 31. 12. 2017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DD20A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Původní název účetní jednotky</w:t>
            </w:r>
          </w:p>
        </w:tc>
      </w:tr>
      <w:tr w:rsidR="00DA059D" w:rsidRPr="00DA059D" w14:paraId="3C124500" w14:textId="77777777" w:rsidTr="00331123">
        <w:trPr>
          <w:trHeight w:val="28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91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00023752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986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55E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Národní ústav duševního zdraví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3D8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Psychiatrické centrum Praha</w:t>
            </w:r>
          </w:p>
        </w:tc>
      </w:tr>
      <w:tr w:rsidR="00DA059D" w:rsidRPr="00DA059D" w14:paraId="2F42EB37" w14:textId="77777777" w:rsidTr="00331123">
        <w:trPr>
          <w:trHeight w:val="28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EC7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00673552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48E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C44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 Horní Beřkovice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AE5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Psychiatrická nemocnice</w:t>
            </w:r>
          </w:p>
        </w:tc>
      </w:tr>
    </w:tbl>
    <w:p w14:paraId="69A57AD7" w14:textId="77777777" w:rsidR="00DA059D" w:rsidRPr="00DA059D" w:rsidRDefault="00DA059D" w:rsidP="00DA059D">
      <w:pPr>
        <w:spacing w:after="0"/>
        <w:jc w:val="both"/>
      </w:pPr>
    </w:p>
    <w:p w14:paraId="0C667DB9" w14:textId="79CC47AD" w:rsidR="00DA059D" w:rsidRPr="00DA059D" w:rsidRDefault="00DA059D" w:rsidP="00331123">
      <w:pPr>
        <w:keepNext/>
        <w:tabs>
          <w:tab w:val="right" w:pos="9072"/>
        </w:tabs>
        <w:spacing w:after="0"/>
        <w:ind w:left="1446" w:hanging="1446"/>
        <w:rPr>
          <w:rFonts w:cs="Calibri"/>
          <w:b/>
          <w:bCs/>
        </w:rPr>
      </w:pPr>
      <w:bookmarkStart w:id="123" w:name="_Toc520714616"/>
      <w:bookmarkStart w:id="124" w:name="_Toc524590473"/>
      <w:bookmarkStart w:id="125" w:name="_Toc531766459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  <w:sz w:val="22"/>
          <w:szCs w:val="18"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  <w:sz w:val="22"/>
          <w:szCs w:val="18"/>
        </w:rPr>
        <w:fldChar w:fldCharType="separate"/>
      </w:r>
      <w:r w:rsidR="006A3DF4">
        <w:rPr>
          <w:rFonts w:cs="Calibri"/>
          <w:b/>
          <w:bCs/>
          <w:noProof/>
        </w:rPr>
        <w:t>39</w:t>
      </w:r>
      <w:r w:rsidRPr="00DA059D">
        <w:rPr>
          <w:rFonts w:cs="Calibri"/>
          <w:b/>
          <w:bCs/>
          <w:sz w:val="22"/>
          <w:szCs w:val="18"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 xml:space="preserve">Celkové výnosy OSS a PO v rozpočtové kapitole 335 MZd za období </w:t>
      </w:r>
      <w:r w:rsidRPr="00DA059D">
        <w:rPr>
          <w:rFonts w:cs="Calibri"/>
          <w:b/>
          <w:bCs/>
        </w:rPr>
        <w:br/>
        <w:t xml:space="preserve">2013–2017 </w:t>
      </w:r>
      <w:r w:rsidRPr="00DA059D">
        <w:rPr>
          <w:rFonts w:cs="Calibri"/>
          <w:b/>
          <w:bCs/>
        </w:rPr>
        <w:tab/>
        <w:t>(v Kč</w:t>
      </w:r>
      <w:bookmarkEnd w:id="123"/>
      <w:bookmarkEnd w:id="124"/>
      <w:bookmarkEnd w:id="125"/>
      <w:r w:rsidRPr="00DA059D">
        <w:rPr>
          <w:rFonts w:cs="Calibri"/>
          <w:b/>
          <w:bCs/>
        </w:rPr>
        <w:t>)</w:t>
      </w:r>
    </w:p>
    <w:tbl>
      <w:tblPr>
        <w:tblW w:w="504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529"/>
        <w:gridCol w:w="1532"/>
        <w:gridCol w:w="1530"/>
        <w:gridCol w:w="1532"/>
        <w:gridCol w:w="1530"/>
      </w:tblGrid>
      <w:tr w:rsidR="00DA059D" w:rsidRPr="00DA059D" w14:paraId="0F3E774F" w14:textId="77777777" w:rsidTr="00A01FA4">
        <w:trPr>
          <w:trHeight w:val="283"/>
          <w:tblHeader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F1E01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2EFA4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44051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183AC3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721BD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A3A00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111D3CC8" w14:textId="77777777" w:rsidTr="00A01FA4">
        <w:trPr>
          <w:trHeight w:val="283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D62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OSS bez MZd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A3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314 578 657,49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B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488 391 136,32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5B8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514 674 300,29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5C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521 720 043,54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DF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564 944 897,76</w:t>
            </w:r>
          </w:p>
        </w:tc>
      </w:tr>
      <w:tr w:rsidR="00DA059D" w:rsidRPr="00DA059D" w14:paraId="625917FB" w14:textId="77777777" w:rsidTr="00A01FA4">
        <w:trPr>
          <w:trHeight w:val="2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728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MZd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EB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512 317 048,56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F3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913 430 627,32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A50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3 456 705 504,59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F7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2 652 496 858,41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8A7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340 276 384,69</w:t>
            </w:r>
          </w:p>
        </w:tc>
      </w:tr>
      <w:tr w:rsidR="00DA059D" w:rsidRPr="00DA059D" w14:paraId="33D10162" w14:textId="77777777" w:rsidTr="00A01FA4">
        <w:trPr>
          <w:trHeight w:val="2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DCF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AE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67 580 386 252,76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45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72 022 004 201,18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C3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75 442 666 816,03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03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78 910 081 160,73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F4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83 702 685 015,68</w:t>
            </w:r>
          </w:p>
        </w:tc>
      </w:tr>
    </w:tbl>
    <w:p w14:paraId="742EE0AB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26" w:name="_Toc520715151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456DF8AE" w14:textId="77777777" w:rsidR="00DA059D" w:rsidRPr="00DA059D" w:rsidRDefault="00DA059D" w:rsidP="00DA059D">
      <w:pPr>
        <w:spacing w:after="0"/>
        <w:jc w:val="both"/>
      </w:pPr>
    </w:p>
    <w:p w14:paraId="26EA0F18" w14:textId="0F527A88" w:rsidR="00DA059D" w:rsidRPr="00DA059D" w:rsidRDefault="00DA059D" w:rsidP="00DA059D">
      <w:pPr>
        <w:keepNext/>
        <w:tabs>
          <w:tab w:val="right" w:pos="9639"/>
        </w:tabs>
        <w:spacing w:after="40"/>
        <w:ind w:right="-566"/>
        <w:rPr>
          <w:rFonts w:cs="Calibri"/>
          <w:b/>
          <w:bCs/>
        </w:rPr>
      </w:pPr>
      <w:bookmarkStart w:id="127" w:name="_Toc520714617"/>
      <w:bookmarkStart w:id="128" w:name="_Toc524590474"/>
      <w:bookmarkStart w:id="129" w:name="_Toc531766460"/>
      <w:bookmarkEnd w:id="126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40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Celkové výnosy PO v rozpočtové kapitole 335 MZd</w:t>
      </w:r>
      <w:r w:rsidRPr="00DA059D">
        <w:rPr>
          <w:rFonts w:cs="Calibri"/>
          <w:b/>
          <w:bCs/>
        </w:rPr>
        <w:tab/>
        <w:t>(v Kč</w:t>
      </w:r>
      <w:bookmarkEnd w:id="127"/>
      <w:bookmarkEnd w:id="128"/>
      <w:bookmarkEnd w:id="129"/>
      <w:r w:rsidRPr="00DA059D">
        <w:rPr>
          <w:rFonts w:cs="Calibri"/>
          <w:b/>
          <w:bCs/>
        </w:rPr>
        <w:t>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103"/>
        <w:gridCol w:w="1366"/>
        <w:gridCol w:w="1367"/>
        <w:gridCol w:w="1366"/>
        <w:gridCol w:w="1367"/>
        <w:gridCol w:w="1367"/>
      </w:tblGrid>
      <w:tr w:rsidR="00DA059D" w:rsidRPr="00DA059D" w14:paraId="3F9F15D2" w14:textId="77777777" w:rsidTr="00DA059D">
        <w:trPr>
          <w:trHeight w:val="255"/>
          <w:tblHeader/>
        </w:trPr>
        <w:tc>
          <w:tcPr>
            <w:tcW w:w="846" w:type="dxa"/>
            <w:shd w:val="clear" w:color="auto" w:fill="E5F1FF"/>
            <w:vAlign w:val="center"/>
          </w:tcPr>
          <w:p w14:paraId="7C51C41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03" w:type="dxa"/>
            <w:shd w:val="clear" w:color="auto" w:fill="E5F1FF"/>
            <w:noWrap/>
            <w:vAlign w:val="center"/>
            <w:hideMark/>
          </w:tcPr>
          <w:p w14:paraId="67DB8A6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1366" w:type="dxa"/>
            <w:shd w:val="clear" w:color="auto" w:fill="E5F1FF"/>
            <w:noWrap/>
            <w:vAlign w:val="center"/>
            <w:hideMark/>
          </w:tcPr>
          <w:p w14:paraId="6C5A781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367" w:type="dxa"/>
            <w:shd w:val="clear" w:color="auto" w:fill="E5F1FF"/>
            <w:noWrap/>
            <w:vAlign w:val="center"/>
            <w:hideMark/>
          </w:tcPr>
          <w:p w14:paraId="65BE44A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366" w:type="dxa"/>
            <w:shd w:val="clear" w:color="auto" w:fill="E5F1FF"/>
            <w:noWrap/>
            <w:vAlign w:val="center"/>
            <w:hideMark/>
          </w:tcPr>
          <w:p w14:paraId="4F5B9D8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367" w:type="dxa"/>
            <w:shd w:val="clear" w:color="auto" w:fill="E5F1FF"/>
            <w:noWrap/>
            <w:vAlign w:val="center"/>
            <w:hideMark/>
          </w:tcPr>
          <w:p w14:paraId="08B7BB2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367" w:type="dxa"/>
            <w:shd w:val="clear" w:color="auto" w:fill="E5F1FF"/>
            <w:noWrap/>
            <w:vAlign w:val="center"/>
            <w:hideMark/>
          </w:tcPr>
          <w:p w14:paraId="0B93C95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774EDA7F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514FA9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0DF7DBB" w14:textId="77777777" w:rsidR="00DA059D" w:rsidRPr="00DA059D" w:rsidRDefault="00DA059D" w:rsidP="00DA059D">
            <w:pPr>
              <w:spacing w:after="0"/>
              <w:ind w:right="-142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 transplantační chirurgie Brno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8E72B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530 452 135,85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78A178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664 171 554,17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7B534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720 055 296,26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DAD69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787 171 214,11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0A9A5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852 348 233,31</w:t>
            </w:r>
          </w:p>
        </w:tc>
      </w:tr>
      <w:tr w:rsidR="00DA059D" w:rsidRPr="00DA059D" w14:paraId="025747B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72127D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E01ED3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AF66B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25 251 540,61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A7AF5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33 283 285,44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A1E24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37 257 301,69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1712D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37 464 806,52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DEC6E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40 102 173,15</w:t>
            </w:r>
          </w:p>
        </w:tc>
      </w:tr>
      <w:tr w:rsidR="00DA059D" w:rsidRPr="00DA059D" w14:paraId="73178633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967FC7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54C72A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0D6C4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20 027 719,24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A3036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23 700 554,48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6B261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25 482 003,39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44264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28 611 473,75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2174DF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31 189 388,01</w:t>
            </w:r>
          </w:p>
        </w:tc>
      </w:tr>
      <w:tr w:rsidR="00DA059D" w:rsidRPr="00DA059D" w14:paraId="63F67CA9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88441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4D45F5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25B97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69 056 584,67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ECF06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89 641 229,81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73D0F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94 753 071,81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C7FB5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84 157 901,77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A5AAE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76 616 971,48</w:t>
            </w:r>
          </w:p>
        </w:tc>
      </w:tr>
      <w:tr w:rsidR="00DA059D" w:rsidRPr="00DA059D" w14:paraId="77041696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02195E2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23EA4B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841B5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112 878 645,45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BCCC4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116 096 193,02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9A465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117 942 927,93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2E5D6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117 086 142,54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67379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126 708 293,98</w:t>
            </w:r>
          </w:p>
        </w:tc>
      </w:tr>
      <w:tr w:rsidR="00DA059D" w:rsidRPr="00DA059D" w14:paraId="1848C09C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72E379F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BCAF42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404C2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6 139 322 511,62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5B3DA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6 588 113 882,80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FCE2D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6 881 839 090,68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3A82B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7 659 339 529,24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5960B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8 147 911 044,82</w:t>
            </w:r>
          </w:p>
        </w:tc>
      </w:tr>
      <w:tr w:rsidR="00DA059D" w:rsidRPr="00DA059D" w14:paraId="1A34B109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3A11DF3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AADF45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E8364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5 193 540 012,49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1B46E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5 382 567 060,81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1FA4E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5 598 055 030,47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A9BF2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5 892 904 005,73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BAF96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6 281 605 332,82</w:t>
            </w:r>
          </w:p>
        </w:tc>
      </w:tr>
      <w:tr w:rsidR="00DA059D" w:rsidRPr="00DA059D" w14:paraId="0A1E8D97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72786AA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0A168D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B3F82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3 524 266 348,95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E7002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3 675 860 783,51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A0F8E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3 747 374 417,21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1C85F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4 052 716 445,36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F0E7E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4 351 903 266,83</w:t>
            </w:r>
          </w:p>
        </w:tc>
      </w:tr>
      <w:tr w:rsidR="00DA059D" w:rsidRPr="00DA059D" w14:paraId="4C0D5877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12A8C0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00098892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84BE9B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3533D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4 504 122 662,55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B6A12D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5 010 351 380,06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F6096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5 390 478 541,05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786C7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5 559 211 262,19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89DE2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5 951 594 634,22</w:t>
            </w:r>
          </w:p>
        </w:tc>
      </w:tr>
      <w:tr w:rsidR="00DA059D" w:rsidRPr="00DA059D" w14:paraId="61D1A6A8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3707BCB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EDFE9D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F1A8E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4 127 705 063,69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8D619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4 286 230 261,12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89F14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4 492 984 954,74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9D060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4 672 842 365,83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A17E5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5 074 442 551,00</w:t>
            </w:r>
          </w:p>
        </w:tc>
      </w:tr>
      <w:tr w:rsidR="00DA059D" w:rsidRPr="00DA059D" w14:paraId="50A76BA1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2F3725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00669806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0756DD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404620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5 330 840 462,32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7303B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5 471 988 611,59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06CF1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5 752 256 413,79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E8401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5 948 729 727,29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9417E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6 377 482 263,81</w:t>
            </w:r>
          </w:p>
        </w:tc>
      </w:tr>
      <w:tr w:rsidR="00DA059D" w:rsidRPr="00DA059D" w14:paraId="5F4FBEFB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1D8D2F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621E82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 Brně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DD50B1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2 888 516 842,97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11879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3 465 204 746,02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2E705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3 739 682 983,56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3DAA0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3 669 492 015,86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554BFD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3 823 972 194,13</w:t>
            </w:r>
          </w:p>
        </w:tc>
      </w:tr>
      <w:tr w:rsidR="00DA059D" w:rsidRPr="00DA059D" w14:paraId="7F8CCFE2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115E83B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00064203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1EEF55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746F4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7 152 775 457,71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82C3E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7 488 001 535,50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4766A4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7 778 152 718,42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DD711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8 138 421 139,01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ED8D5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8 507 754 251,35</w:t>
            </w:r>
          </w:p>
        </w:tc>
      </w:tr>
      <w:tr w:rsidR="00DA059D" w:rsidRPr="00DA059D" w14:paraId="4D18C18A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810069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9D9A18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D1592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275 825 060,49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FABB5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322 856 909,68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95643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345 398 979,58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D62B6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369 268 087,38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EFB63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389 531 861,48</w:t>
            </w:r>
          </w:p>
        </w:tc>
      </w:tr>
      <w:tr w:rsidR="00DA059D" w:rsidRPr="00DA059D" w14:paraId="3224D9F5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9C59F3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D79601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 experimentální medicíny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4680F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3 105 503 512,47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732DC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3 433 150 391,75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54F65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3 650 436 970,57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1FB4B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3 746 444 727,40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09012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3 959 778 829,93</w:t>
            </w:r>
          </w:p>
        </w:tc>
      </w:tr>
      <w:tr w:rsidR="00DA059D" w:rsidRPr="00DA059D" w14:paraId="75BB12A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ACA55F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F50880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F8086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208 507 238,89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0BE9C1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146 921 878,24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B77E3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191 294 125,82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17270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173 910 820,18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E600C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182 708 342,47</w:t>
            </w:r>
          </w:p>
        </w:tc>
      </w:tr>
      <w:tr w:rsidR="00DA059D" w:rsidRPr="00DA059D" w14:paraId="6937173F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4C893D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DDBCDC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 respiračních nemocí Janov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47354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67 354 392,04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78F6E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74 619 359,45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493193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73 030 241,76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A3AEB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71 605 553,76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168B6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76 348 087,78</w:t>
            </w:r>
          </w:p>
        </w:tc>
      </w:tr>
      <w:tr w:rsidR="00DA059D" w:rsidRPr="00DA059D" w14:paraId="051758AB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0183BAA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00883573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59B9E2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E0F65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56 233 090,41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FB23C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72 459 863,81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3BEF5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86 831 977,45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FE52E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88 046 926,01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630B1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89 875 711,80</w:t>
            </w:r>
          </w:p>
        </w:tc>
      </w:tr>
      <w:tr w:rsidR="00DA059D" w:rsidRPr="00DA059D" w14:paraId="1E12203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BB15CA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E3D60C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3B62C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1 524 498 273,91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ECB6B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1 623 713 691,15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CEA39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1 665 246 677,36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0AD84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1 710 516 076,52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BC98C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1 701 529 702,79</w:t>
            </w:r>
          </w:p>
        </w:tc>
      </w:tr>
      <w:tr w:rsidR="00DA059D" w:rsidRPr="00DA059D" w14:paraId="4E4DC41B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386B9D5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380C8C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EA316C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75 806 476,87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1AD37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73 200 271,54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D47F1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104 097 702,43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BF9DA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69 977 794,36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B34A9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72 584 195,04</w:t>
            </w:r>
          </w:p>
        </w:tc>
      </w:tr>
      <w:tr w:rsidR="00DA059D" w:rsidRPr="00DA059D" w14:paraId="398C4148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1869211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4265A2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E5E31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90 304 043,90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E996F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95 494 151,33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F6752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224 385 679,50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9DE7B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222 652 873,08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731B8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245 018 824,77</w:t>
            </w:r>
          </w:p>
        </w:tc>
      </w:tr>
      <w:tr w:rsidR="00DA059D" w:rsidRPr="00DA059D" w14:paraId="5DA0C48B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4B13DB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E98CE0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723A4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2 292 039 410,89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D79EF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2 723 375 661,16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9EBF3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2 645 377 974,54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BEEE5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2 845 165 213,11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6DE6A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3 092 301 159,66</w:t>
            </w:r>
          </w:p>
        </w:tc>
      </w:tr>
      <w:tr w:rsidR="00DA059D" w:rsidRPr="00DA059D" w14:paraId="1D00EACD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7BA0E7A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6E3E5B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FF11EB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3 089 178 872,98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033F5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3 088 819 446,66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45FD60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3 121 580 123,73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BA1854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3 169 938 449,71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E8204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3 337 397 649,40</w:t>
            </w:r>
          </w:p>
        </w:tc>
      </w:tr>
      <w:tr w:rsidR="00DA059D" w:rsidRPr="00DA059D" w14:paraId="21371C3D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73C788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00583600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5E822B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5889A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50 427 223,31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49266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58 935 804,78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F6335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59 293 687,04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C15E0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63 081 307,09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E54AB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68 264 562,68</w:t>
            </w:r>
          </w:p>
        </w:tc>
      </w:tr>
      <w:tr w:rsidR="00DA059D" w:rsidRPr="00DA059D" w14:paraId="05E523B5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A43098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8D26BA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B796C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248 836 926,37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C3965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279 371 342,60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10351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300 199 938,37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76AAC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309 423 263,27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2691F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322 299 646,48</w:t>
            </w:r>
          </w:p>
        </w:tc>
      </w:tr>
      <w:tr w:rsidR="00DA059D" w:rsidRPr="00DA059D" w14:paraId="55B002B6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2977FF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914FCD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533F9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781 834 645,80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5EB1A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857 604 475,49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776A4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896 658 170,86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D8A739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931 334 274,74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381629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1 005 458 089,66</w:t>
            </w:r>
          </w:p>
        </w:tc>
      </w:tr>
      <w:tr w:rsidR="00DA059D" w:rsidRPr="00DA059D" w14:paraId="4C0888E4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C64E1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526F0E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1F382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424 175 973,22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5DEE9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424 325 302,67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3AF1C3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452 989 562,62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FDB88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468 651 807,29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412B0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497 040 667,89</w:t>
            </w:r>
          </w:p>
        </w:tc>
      </w:tr>
      <w:tr w:rsidR="00DA059D" w:rsidRPr="00DA059D" w14:paraId="249044BC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7E786D7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D0D4C5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237AB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363 940 866,29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CA845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411 325 223,39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E705E1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417 840 742,99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7D7BD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429 423 255,33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A88FE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464 905 160,73</w:t>
            </w:r>
          </w:p>
        </w:tc>
      </w:tr>
      <w:tr w:rsidR="00DA059D" w:rsidRPr="00DA059D" w14:paraId="489A5137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DA9B0B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1EC72B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6F86B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267 818 145,23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332BC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282 828 286,28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C7F70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287 357 982,74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01685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297 103 497,78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B0C0E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321 935 187,59</w:t>
            </w:r>
          </w:p>
        </w:tc>
      </w:tr>
      <w:tr w:rsidR="00DA059D" w:rsidRPr="00DA059D" w14:paraId="29DBCA77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32A884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1BA780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99AE6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280 007 076,81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6924D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311 221 661,28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5A4CE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314 679 705,96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EA593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318 699 033,11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10578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342 225 386,63</w:t>
            </w:r>
          </w:p>
        </w:tc>
      </w:tr>
      <w:tr w:rsidR="00DA059D" w:rsidRPr="00DA059D" w14:paraId="79D992F0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FF30A1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9D75D3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620C6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281 401 747,20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2625D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305 539 504,45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2BBA8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329 125 905,59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44DFC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334 302 334,57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EDF5C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348 129 650,91</w:t>
            </w:r>
          </w:p>
        </w:tc>
      </w:tr>
      <w:tr w:rsidR="00DA059D" w:rsidRPr="00DA059D" w14:paraId="291A3580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AE6F5B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96CBF3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BF1D1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71 723 688,85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6F7EC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80 378 848,46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04A7F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87 252 006,61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512945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87 846 556,20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4D136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90 387 865,04</w:t>
            </w:r>
          </w:p>
        </w:tc>
      </w:tr>
      <w:tr w:rsidR="00DA059D" w:rsidRPr="00DA059D" w14:paraId="7DA791CA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6D832E9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C9F2E7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Dobřanech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1C5B2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630 079 939,09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855A9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721 947 260,76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95F42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732 367 839,33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695C1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759 222 280,20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A22A1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817 552 989,95</w:t>
            </w:r>
          </w:p>
        </w:tc>
      </w:tr>
      <w:tr w:rsidR="00DA059D" w:rsidRPr="00DA059D" w14:paraId="0035A5A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090E6A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1EE2AB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Kroměříži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8E9FE0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451 231 109,82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3C358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508 606 178,72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824B1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519 725 853,12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2AFF7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529 562 971,56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3B7E0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549 920 665,91</w:t>
            </w:r>
          </w:p>
        </w:tc>
      </w:tr>
      <w:tr w:rsidR="00DA059D" w:rsidRPr="00DA059D" w14:paraId="5D63EB08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521B0B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88558A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Opavě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EA64C9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409 656 402,17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CD616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476 843 856,24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C2443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491 269 895,62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62E1B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513 853 449,86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1E4B0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538 841 658,51</w:t>
            </w:r>
          </w:p>
        </w:tc>
      </w:tr>
      <w:tr w:rsidR="00DA059D" w:rsidRPr="00DA059D" w14:paraId="3D66AC80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D3C6C9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00883581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21DEEA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158B5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2 693 470,38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33D00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7 432 217,35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64B5F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2 168 386,98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4A2E44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2 543 161,68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81BCB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2 165 210,46</w:t>
            </w:r>
          </w:p>
        </w:tc>
      </w:tr>
      <w:tr w:rsidR="00DA059D" w:rsidRPr="00DA059D" w14:paraId="266FD7B2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6F47E5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C9FD9A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B6C98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201 247 345,62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033B9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223 263 204,36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B500D3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224 571 083,90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917750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255 707 295,29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3F198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278 820 563,53</w:t>
            </w:r>
          </w:p>
        </w:tc>
      </w:tr>
      <w:tr w:rsidR="00DA059D" w:rsidRPr="00DA059D" w14:paraId="22878618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BB2975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D63B51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52857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204 449 458,08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79F8F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215 749 085,61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F5585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222 940 315,69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EF9F3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247 287 010,22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60F42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274 290 264,15</w:t>
            </w:r>
          </w:p>
        </w:tc>
      </w:tr>
      <w:tr w:rsidR="00DA059D" w:rsidRPr="00DA059D" w14:paraId="195485D4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4430143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38394F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9F670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513 908 115,21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E3AE4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542 624 457,21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46D9C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583 042 111,81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C1BFD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643 790 555,03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8E58C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677 459 883,03</w:t>
            </w:r>
          </w:p>
        </w:tc>
      </w:tr>
      <w:tr w:rsidR="00DA059D" w:rsidRPr="00DA059D" w14:paraId="62634A82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5A9EC9C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8B037E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B5E6E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325 768 868,92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0BCDB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348 081 884,60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84BDE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364 758 231,62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19212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374 955 163,00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BD416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379 269 588,39</w:t>
            </w:r>
          </w:p>
        </w:tc>
      </w:tr>
      <w:tr w:rsidR="00DA059D" w:rsidRPr="00DA059D" w14:paraId="3D9218C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162E43B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7E922F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5F03D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2 089 374 200,18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C7D89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2 276 836 244,51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70547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2 384 538 947,96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0A596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2 498 634 896,75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B9C13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2 739 696 178,92</w:t>
            </w:r>
          </w:p>
        </w:tc>
      </w:tr>
      <w:tr w:rsidR="00DA059D" w:rsidRPr="00DA059D" w14:paraId="6F2F4A4A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8CE71F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2F64C5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DDAC5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1 082 611 921,69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CE4EA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1 111 697 467,97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50234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1 277 678 966,08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099C2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1 369 142 847,67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5CA5B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1 407 087 376,92</w:t>
            </w:r>
          </w:p>
        </w:tc>
      </w:tr>
      <w:tr w:rsidR="00DA059D" w:rsidRPr="00DA059D" w14:paraId="416AB65B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0441DBD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D9C852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8ADEB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531 970 641,20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33683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523 667 494,41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D6CB9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534 538 635,29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F26A0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564 380 450,09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7DDC2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596 304 754,51</w:t>
            </w:r>
          </w:p>
        </w:tc>
      </w:tr>
      <w:tr w:rsidR="00DA059D" w:rsidRPr="00DA059D" w14:paraId="32E8CF38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35E2930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02F68C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 Praze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5D48A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6 996 304 912,61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5E30C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7 229 687 623,46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26EF8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7 591 584 863,16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648D2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7 909 865 354,24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2CA38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8 309 205 594,05</w:t>
            </w:r>
          </w:p>
        </w:tc>
      </w:tr>
      <w:tr w:rsidR="00DA059D" w:rsidRPr="00DA059D" w14:paraId="685E5287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2862683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243F94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Ostravě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4BE7A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493 888 131,11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A7D91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445 473 112,28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E37AA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465 395 628,63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89FE4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451 639 206,10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91A13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446 938 287,33</w:t>
            </w:r>
          </w:p>
        </w:tc>
      </w:tr>
      <w:tr w:rsidR="00DA059D" w:rsidRPr="00DA059D" w14:paraId="1C35220E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0590F33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4CE52B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Ústí nad Labem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A487E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462 814 966,67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A310C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420 479 777,84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6CB30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418 693 150,32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C0517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433 956 638,95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A71D6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433 780 818,38</w:t>
            </w:r>
          </w:p>
        </w:tc>
      </w:tr>
      <w:tr w:rsidR="00DA059D" w:rsidRPr="00DA059D" w14:paraId="24139912" w14:textId="77777777" w:rsidTr="00DA059D">
        <w:trPr>
          <w:trHeight w:val="255"/>
        </w:trPr>
        <w:tc>
          <w:tcPr>
            <w:tcW w:w="846" w:type="dxa"/>
            <w:vAlign w:val="center"/>
          </w:tcPr>
          <w:p w14:paraId="3D682D8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0A787F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6179B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10 214 115,96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2BF9F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8 261 183,36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C4DF79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61FB69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9AD9AA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A059D" w:rsidRPr="00DA059D" w14:paraId="1FFC0030" w14:textId="77777777" w:rsidTr="00DA059D">
        <w:trPr>
          <w:trHeight w:val="255"/>
        </w:trPr>
        <w:tc>
          <w:tcPr>
            <w:tcW w:w="2948" w:type="dxa"/>
            <w:gridSpan w:val="2"/>
            <w:shd w:val="clear" w:color="auto" w:fill="F2C6C9"/>
            <w:vAlign w:val="center"/>
          </w:tcPr>
          <w:p w14:paraId="1EE40030" w14:textId="77777777" w:rsidR="00DA059D" w:rsidRPr="00DA059D" w:rsidRDefault="00DA059D" w:rsidP="00DA059D">
            <w:pPr>
              <w:spacing w:after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66" w:type="dxa"/>
            <w:shd w:val="clear" w:color="auto" w:fill="F2C6C9"/>
            <w:noWrap/>
            <w:vAlign w:val="center"/>
          </w:tcPr>
          <w:p w14:paraId="2BE7F1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67 580 386 252,76</w:t>
            </w:r>
          </w:p>
        </w:tc>
        <w:tc>
          <w:tcPr>
            <w:tcW w:w="1367" w:type="dxa"/>
            <w:shd w:val="clear" w:color="auto" w:fill="F2C6C9"/>
            <w:noWrap/>
            <w:vAlign w:val="center"/>
          </w:tcPr>
          <w:p w14:paraId="7C1D21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72 022 004 201,18</w:t>
            </w:r>
          </w:p>
        </w:tc>
        <w:tc>
          <w:tcPr>
            <w:tcW w:w="1366" w:type="dxa"/>
            <w:shd w:val="clear" w:color="auto" w:fill="F2C6C9"/>
            <w:noWrap/>
            <w:vAlign w:val="center"/>
          </w:tcPr>
          <w:p w14:paraId="0499E0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75 442 666 816,03</w:t>
            </w:r>
          </w:p>
        </w:tc>
        <w:tc>
          <w:tcPr>
            <w:tcW w:w="1367" w:type="dxa"/>
            <w:shd w:val="clear" w:color="auto" w:fill="F2C6C9"/>
            <w:noWrap/>
            <w:vAlign w:val="center"/>
          </w:tcPr>
          <w:p w14:paraId="1E4CE58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78 910 081 160,73</w:t>
            </w:r>
          </w:p>
        </w:tc>
        <w:tc>
          <w:tcPr>
            <w:tcW w:w="1367" w:type="dxa"/>
            <w:shd w:val="clear" w:color="auto" w:fill="F2C6C9"/>
            <w:noWrap/>
            <w:vAlign w:val="center"/>
          </w:tcPr>
          <w:p w14:paraId="070D30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83 702 685 015,68</w:t>
            </w:r>
          </w:p>
        </w:tc>
      </w:tr>
    </w:tbl>
    <w:p w14:paraId="219FECA2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30" w:name="_Toc520715152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0F45C95D" w14:textId="77777777" w:rsidR="00DA059D" w:rsidRPr="00DA059D" w:rsidRDefault="00DA059D" w:rsidP="00DA059D">
      <w:pPr>
        <w:spacing w:after="0"/>
        <w:jc w:val="both"/>
      </w:pPr>
    </w:p>
    <w:p w14:paraId="034AA558" w14:textId="77777777" w:rsidR="00DA059D" w:rsidRPr="00DA059D" w:rsidRDefault="00DA059D" w:rsidP="00DA059D">
      <w:pPr>
        <w:spacing w:after="0"/>
        <w:rPr>
          <w:rFonts w:cs="Calibri"/>
          <w:b/>
          <w:bCs/>
        </w:rPr>
      </w:pPr>
      <w:bookmarkStart w:id="131" w:name="_Toc520714618"/>
      <w:bookmarkStart w:id="132" w:name="_Toc524590475"/>
      <w:bookmarkStart w:id="133" w:name="_Toc531766461"/>
      <w:bookmarkEnd w:id="130"/>
      <w:r w:rsidRPr="00DA059D">
        <w:rPr>
          <w:rFonts w:cs="Calibri"/>
        </w:rPr>
        <w:br w:type="page"/>
      </w:r>
    </w:p>
    <w:p w14:paraId="421C4293" w14:textId="09C7CBC7" w:rsidR="00331123" w:rsidRDefault="00DA059D" w:rsidP="00331123">
      <w:pPr>
        <w:keepNext/>
        <w:tabs>
          <w:tab w:val="right" w:pos="8789"/>
        </w:tabs>
        <w:spacing w:after="40"/>
        <w:ind w:left="1446" w:hanging="1446"/>
        <w:rPr>
          <w:rFonts w:cs="Calibri"/>
          <w:b/>
          <w:bCs/>
        </w:rPr>
      </w:pPr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41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 xml:space="preserve">Výnosy PO v rozpočtové kapitole 335 MZd – výkaz zisku a ztráty, položka </w:t>
      </w:r>
      <w:r w:rsidRPr="00DA059D">
        <w:rPr>
          <w:rFonts w:cs="Calibri"/>
          <w:b/>
          <w:bCs/>
          <w:i/>
        </w:rPr>
        <w:t>B.IV.1. Výnosy vybraných ústředních vládních institucí z transferů</w:t>
      </w:r>
      <w:r w:rsidRPr="00DA059D">
        <w:rPr>
          <w:rFonts w:cs="Calibri"/>
          <w:b/>
          <w:bCs/>
        </w:rPr>
        <w:t xml:space="preserve"> (SÚ 671) </w:t>
      </w:r>
    </w:p>
    <w:p w14:paraId="61B5C90E" w14:textId="6E515AFB" w:rsidR="00DA059D" w:rsidRPr="00DA059D" w:rsidRDefault="00DA059D" w:rsidP="00331123">
      <w:pPr>
        <w:keepNext/>
        <w:tabs>
          <w:tab w:val="right" w:pos="9498"/>
        </w:tabs>
        <w:spacing w:after="40"/>
        <w:ind w:right="-426"/>
        <w:rPr>
          <w:rFonts w:cs="Calibri"/>
          <w:b/>
          <w:bCs/>
        </w:rPr>
      </w:pPr>
      <w:r w:rsidRPr="00DA059D">
        <w:rPr>
          <w:rFonts w:cs="Calibri"/>
          <w:b/>
          <w:bCs/>
        </w:rPr>
        <w:tab/>
        <w:t>(v Kč</w:t>
      </w:r>
      <w:bookmarkEnd w:id="131"/>
      <w:bookmarkEnd w:id="132"/>
      <w:bookmarkEnd w:id="133"/>
      <w:r w:rsidRPr="00DA059D">
        <w:rPr>
          <w:rFonts w:cs="Calibri"/>
          <w:b/>
          <w:bCs/>
        </w:rPr>
        <w:t>)</w:t>
      </w:r>
    </w:p>
    <w:tbl>
      <w:tblPr>
        <w:tblW w:w="94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2098"/>
        <w:gridCol w:w="1301"/>
        <w:gridCol w:w="1301"/>
        <w:gridCol w:w="1302"/>
        <w:gridCol w:w="1304"/>
        <w:gridCol w:w="1304"/>
      </w:tblGrid>
      <w:tr w:rsidR="00DA059D" w:rsidRPr="00DA059D" w14:paraId="19018E45" w14:textId="77777777" w:rsidTr="00A01FA4">
        <w:trPr>
          <w:trHeight w:val="255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5EEFEC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AFBC0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CC4B4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71BA1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FDCF0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FB963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BD58B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581BF047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77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E99" w14:textId="77777777" w:rsidR="00DA059D" w:rsidRPr="00DA059D" w:rsidRDefault="00DA059D" w:rsidP="00DA059D">
            <w:pPr>
              <w:spacing w:after="0"/>
              <w:ind w:right="-142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 transplantační chirurgie Brno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CB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6 161 163,00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4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6 564 476,65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BC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6 099 383,20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A3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9 107 183,20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5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8 084 612,00</w:t>
            </w:r>
          </w:p>
        </w:tc>
      </w:tr>
      <w:tr w:rsidR="00DA059D" w:rsidRPr="00DA059D" w14:paraId="1960F115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2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69C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C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FB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B8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5A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A65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238 728,00</w:t>
            </w:r>
          </w:p>
        </w:tc>
      </w:tr>
      <w:tr w:rsidR="00DA059D" w:rsidRPr="00DA059D" w14:paraId="24CDF8C9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832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394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24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E0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F2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7B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2C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256 144,00</w:t>
            </w:r>
          </w:p>
        </w:tc>
      </w:tr>
      <w:tr w:rsidR="00DA059D" w:rsidRPr="00DA059D" w14:paraId="68DC5373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CF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205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B3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6 466 408,00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25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66 408,00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D7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1 099 048,22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89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287 412,78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65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383 057,00</w:t>
            </w:r>
          </w:p>
        </w:tc>
      </w:tr>
      <w:tr w:rsidR="00DA059D" w:rsidRPr="00DA059D" w14:paraId="19925725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1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A76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F4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31 386 023,00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52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32 583 121,00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8F8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33 228 498,00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3D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21 653 365,28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7E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33 033 926,00</w:t>
            </w:r>
          </w:p>
        </w:tc>
      </w:tr>
      <w:tr w:rsidR="00DA059D" w:rsidRPr="00DA059D" w14:paraId="2319A3ED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F3F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310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17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90 579 151,92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1B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97 677 414,97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88F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118 958 183,29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3B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130 836 036,17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75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167 122 174,81</w:t>
            </w:r>
          </w:p>
        </w:tc>
      </w:tr>
      <w:tr w:rsidR="00DA059D" w:rsidRPr="00DA059D" w14:paraId="403D63DB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AD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39D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BB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77 833 826,62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D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82 581 781,87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B2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90 236 266,60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23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78 729 431,06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5DE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129 686 330,18</w:t>
            </w:r>
          </w:p>
        </w:tc>
      </w:tr>
      <w:tr w:rsidR="00DA059D" w:rsidRPr="00DA059D" w14:paraId="65D08B12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DB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986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33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25 124 918,63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9F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28 782 782,63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BC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36 776 630,09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134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39 893 775,28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99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55 432 928,13</w:t>
            </w:r>
          </w:p>
        </w:tc>
      </w:tr>
      <w:tr w:rsidR="00DA059D" w:rsidRPr="00DA059D" w14:paraId="6C5BDD28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63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00098892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272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13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41 777 925,83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9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38 166 467,77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9C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35 251 286,34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9F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30 249 434,18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CB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56 838 944,92</w:t>
            </w:r>
          </w:p>
        </w:tc>
      </w:tr>
      <w:tr w:rsidR="00DA059D" w:rsidRPr="00DA059D" w14:paraId="554E5288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36E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063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59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31 269 783,93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D8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31 970 516,12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D9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46 688 764,01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EC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38 183 779,41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B6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59 577 967,57</w:t>
            </w:r>
          </w:p>
        </w:tc>
      </w:tr>
      <w:tr w:rsidR="00DA059D" w:rsidRPr="00DA059D" w14:paraId="539318ED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AA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00669806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0A3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F6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31 509 470,18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1C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30 274 743,84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82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35 795 576,31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E5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36 171 226,53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A6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61 437 733,71</w:t>
            </w:r>
          </w:p>
        </w:tc>
      </w:tr>
      <w:tr w:rsidR="00DA059D" w:rsidRPr="00DA059D" w14:paraId="259D25CB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AB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A60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 Brně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8A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258 640 203,60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F1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573 254 228,98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D0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689 487 375,46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E9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469 162 170,41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17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502 170 876,20</w:t>
            </w:r>
          </w:p>
        </w:tc>
      </w:tr>
      <w:tr w:rsidR="00DA059D" w:rsidRPr="00DA059D" w14:paraId="7AD36AF0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65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00064203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CA8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8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134 243 558,81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0B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134 109 771,93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330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147 481 138,51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5D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161 198 287,57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7C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200 124 643,55</w:t>
            </w:r>
          </w:p>
        </w:tc>
      </w:tr>
      <w:tr w:rsidR="00DA059D" w:rsidRPr="00DA059D" w14:paraId="770AC1AF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7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267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85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232 813,61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45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13 964,00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EE6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430 689,80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B8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29 948,00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DE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1 405 122,00</w:t>
            </w:r>
          </w:p>
        </w:tc>
      </w:tr>
      <w:tr w:rsidR="00DA059D" w:rsidRPr="00DA059D" w14:paraId="3FB19852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FC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69A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 experimentální medicíny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9D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200 664 188,22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17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201 205 214,51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5B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189 234 535,55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83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211 327 673,34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99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226 783 304,62</w:t>
            </w:r>
          </w:p>
        </w:tc>
      </w:tr>
      <w:tr w:rsidR="00DA059D" w:rsidRPr="00DA059D" w14:paraId="39647FFE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BA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BCB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40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190 807 983,00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12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41 770 089,98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B2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92 817 516,62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59F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54 463 000,00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EA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54 347 000,00</w:t>
            </w:r>
          </w:p>
        </w:tc>
      </w:tr>
      <w:tr w:rsidR="00DA059D" w:rsidRPr="00DA059D" w14:paraId="5AC8DE43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9B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890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 respiračních nemocí Janov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A4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3 960 000,00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0C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2 208 012,00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D2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2 697 682,00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81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1 192 980,00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83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1 974 016,00</w:t>
            </w:r>
          </w:p>
        </w:tc>
      </w:tr>
      <w:tr w:rsidR="00DA059D" w:rsidRPr="00DA059D" w14:paraId="01383FE3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D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00883573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2F8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B6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211 100,00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DE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287 538,00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78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328 387,00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40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434 639,00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17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1 238 184,00</w:t>
            </w:r>
          </w:p>
        </w:tc>
      </w:tr>
      <w:tr w:rsidR="00DA059D" w:rsidRPr="00DA059D" w14:paraId="7B6A5A16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BD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5FA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23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69 525 232,43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18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93 051 234,63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26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104 819 792,45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74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89 429 976,18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B3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90 109 424,34</w:t>
            </w:r>
          </w:p>
        </w:tc>
      </w:tr>
      <w:tr w:rsidR="00DA059D" w:rsidRPr="00DA059D" w14:paraId="740C3C86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AF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73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7D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24 821 661,52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92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27 588 161,80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E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61 188 232,93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85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25 826 000,00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19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33 836 801,89</w:t>
            </w:r>
          </w:p>
        </w:tc>
      </w:tr>
      <w:tr w:rsidR="00DA059D" w:rsidRPr="00DA059D" w14:paraId="24CAA486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38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428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B3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58 521 256,04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CA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64 369 554,84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5C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198 408 797,02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62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171 091 036,09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0E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191 525 310,96</w:t>
            </w:r>
          </w:p>
        </w:tc>
      </w:tr>
      <w:tr w:rsidR="00DA059D" w:rsidRPr="00DA059D" w14:paraId="383B919D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65F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CB4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9F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12 860 900,06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52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207 850 528,00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D8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14 871 351,28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E2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40 688 108,30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C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77 595 320,52</w:t>
            </w:r>
          </w:p>
        </w:tc>
      </w:tr>
      <w:tr w:rsidR="00DA059D" w:rsidRPr="00DA059D" w14:paraId="42445C58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11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B67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9B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4 241 312,00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F9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12 763 467,53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EF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16 648 594,96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8A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21 622 301,12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A9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26 581 055,24</w:t>
            </w:r>
          </w:p>
        </w:tc>
      </w:tr>
      <w:tr w:rsidR="00DA059D" w:rsidRPr="00DA059D" w14:paraId="48B23FF6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817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00583600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C3B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66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556 100,48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20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1 161 100,48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E3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668 082,88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18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1 793 302,48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8B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1 037 063,88</w:t>
            </w:r>
          </w:p>
        </w:tc>
      </w:tr>
      <w:tr w:rsidR="00DA059D" w:rsidRPr="00DA059D" w14:paraId="5838BAA7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A65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6D9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C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31 020,00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6F5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133 980,00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A9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9 848 611,26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CF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8 646 819,78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8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3 774 874,87</w:t>
            </w:r>
          </w:p>
        </w:tc>
      </w:tr>
      <w:tr w:rsidR="00DA059D" w:rsidRPr="00DA059D" w14:paraId="4942557C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7CE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92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12 755 477,63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00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8 928 224,49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31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13 735 329,80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F7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15 938 577,32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B6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17 335 969,11</w:t>
            </w:r>
          </w:p>
        </w:tc>
      </w:tr>
      <w:tr w:rsidR="00DA059D" w:rsidRPr="00DA059D" w14:paraId="6A06F6A2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4F7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49E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61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1 858 838,00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41D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2 026 676,00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CF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2 119 976,00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0C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1 824 455,00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CFF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4 205 881,00</w:t>
            </w:r>
          </w:p>
        </w:tc>
      </w:tr>
      <w:tr w:rsidR="00DA059D" w:rsidRPr="00DA059D" w14:paraId="4CFB484F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5A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DAB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C9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303 054,00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E6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4B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8C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D8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2 615 680,00</w:t>
            </w:r>
          </w:p>
        </w:tc>
      </w:tr>
      <w:tr w:rsidR="00DA059D" w:rsidRPr="00DA059D" w14:paraId="622224BF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38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607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BC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3 120 566,19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8B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479 000,00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3F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420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03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3 420 598,63</w:t>
            </w:r>
          </w:p>
        </w:tc>
      </w:tr>
      <w:tr w:rsidR="00DA059D" w:rsidRPr="00DA059D" w14:paraId="10484CEA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8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C6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A5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855 813,15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F7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546 764,71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DA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766 464,97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F38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780 996,05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8B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3 202 239,69</w:t>
            </w:r>
          </w:p>
        </w:tc>
      </w:tr>
      <w:tr w:rsidR="00DA059D" w:rsidRPr="00DA059D" w14:paraId="1EC6FAF7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1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E75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C8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6D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C3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4 097 403,25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09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481 053,00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73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3 233 374,00</w:t>
            </w:r>
          </w:p>
        </w:tc>
      </w:tr>
      <w:tr w:rsidR="00DA059D" w:rsidRPr="00DA059D" w14:paraId="7A68346B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56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12D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D4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2B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7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4 643 977,81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60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3 108 394,01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417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525 306,00</w:t>
            </w:r>
          </w:p>
        </w:tc>
      </w:tr>
      <w:tr w:rsidR="00DA059D" w:rsidRPr="00DA059D" w14:paraId="4D1F772B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F2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00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Dobřanech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2C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17 339,00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E4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5E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844 718,93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C3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836 164,09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50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4 121 620,00</w:t>
            </w:r>
          </w:p>
        </w:tc>
      </w:tr>
      <w:tr w:rsidR="00DA059D" w:rsidRPr="00DA059D" w14:paraId="4D213BCD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C0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E4F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Kroměříži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D9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69 866,00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3A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D0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2F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68F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3 057 473,00</w:t>
            </w:r>
          </w:p>
        </w:tc>
      </w:tr>
      <w:tr w:rsidR="00DA059D" w:rsidRPr="00DA059D" w14:paraId="089BDDE5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006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AD4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Opavě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AD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FF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2 613 218,80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78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2 886 402,90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C9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10 031 608,43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27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6 426 329,34</w:t>
            </w:r>
          </w:p>
        </w:tc>
      </w:tr>
      <w:tr w:rsidR="00DA059D" w:rsidRPr="00DA059D" w14:paraId="28E6D8D2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22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00883581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E30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98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24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E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168 382,00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E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299 990,00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7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300 000,00</w:t>
            </w:r>
          </w:p>
        </w:tc>
      </w:tr>
      <w:tr w:rsidR="00DA059D" w:rsidRPr="00DA059D" w14:paraId="57412EB9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0D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B5B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3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50 962,60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1D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4 208 759,97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48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2 068 868,55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E9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569 222,31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82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2 140 635,24</w:t>
            </w:r>
          </w:p>
        </w:tc>
      </w:tr>
      <w:tr w:rsidR="00DA059D" w:rsidRPr="00DA059D" w14:paraId="3CFCAB83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C1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FDB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B8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5 790 450,96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C1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6 189 699,81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8D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5 238 854,88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D6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4 890 012,28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D8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5 312 478,83</w:t>
            </w:r>
          </w:p>
        </w:tc>
      </w:tr>
      <w:tr w:rsidR="00DA059D" w:rsidRPr="00DA059D" w14:paraId="3671D9D6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5B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4C1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78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27 043 000,00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7E5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24 850 000,00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AD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23 681 000,00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0B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19 518 000,00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E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27 848 811,30</w:t>
            </w:r>
          </w:p>
        </w:tc>
      </w:tr>
      <w:tr w:rsidR="00DA059D" w:rsidRPr="00DA059D" w14:paraId="1CCB6739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A2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D53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B4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227 578 614,70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80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264 136 640,12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A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260 698 534,92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5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274 475 324,62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72D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277 754 496,84</w:t>
            </w:r>
          </w:p>
        </w:tc>
      </w:tr>
      <w:tr w:rsidR="00DA059D" w:rsidRPr="00DA059D" w14:paraId="1A8E64AD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E8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589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74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136 687 000,56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7F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127 675 019,59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12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135 626 833,72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A7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129 465 918,10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08E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172 868 564,79</w:t>
            </w:r>
          </w:p>
        </w:tc>
      </w:tr>
      <w:tr w:rsidR="00DA059D" w:rsidRPr="00DA059D" w14:paraId="7B6FA8FB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88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DE9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D2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71 690 029,82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64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60 606 789,09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481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48 839 432,81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C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47 488 046,28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5D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67 661 488,10</w:t>
            </w:r>
          </w:p>
        </w:tc>
      </w:tr>
      <w:tr w:rsidR="00DA059D" w:rsidRPr="00DA059D" w14:paraId="34263110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992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0DB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12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3 881 141,95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BD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5 544 360,04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08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6 133 931,14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2B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8 933 062,85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45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15 725 204,16</w:t>
            </w:r>
          </w:p>
        </w:tc>
      </w:tr>
      <w:tr w:rsidR="00DA059D" w:rsidRPr="00DA059D" w14:paraId="133E6FA3" w14:textId="77777777" w:rsidTr="00A01FA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EA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C8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 Praze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6D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174 533 628,19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5C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217 831 184,10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82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192 628 069,01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70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233 474 207,82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7A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253 191 926,13</w:t>
            </w:r>
          </w:p>
        </w:tc>
      </w:tr>
      <w:tr w:rsidR="00DA059D" w:rsidRPr="00DA059D" w14:paraId="6309F0FA" w14:textId="77777777" w:rsidTr="00A01FA4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00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381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Ostravě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14E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31 445 285,23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21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29 341 673,22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94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62 118 626,48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29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68 972 323,95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C0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76 691 191,29</w:t>
            </w:r>
          </w:p>
        </w:tc>
      </w:tr>
      <w:tr w:rsidR="00DA059D" w:rsidRPr="00DA059D" w14:paraId="6A6F2E96" w14:textId="77777777" w:rsidTr="00A01FA4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9F8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EFC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Ústí nad Labem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C1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9 858 863,22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DA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10 227 700,98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F3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18 837 829,59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DA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61 539 038,03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28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65 983 744,87</w:t>
            </w:r>
          </w:p>
        </w:tc>
      </w:tr>
      <w:tr w:rsidR="00DA059D" w:rsidRPr="00DA059D" w14:paraId="590E43EB" w14:textId="77777777" w:rsidTr="00A01FA4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B6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931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B9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9 178 110,00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45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6 015 115,26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C13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885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3DC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A059D" w:rsidRPr="00DA059D" w14:paraId="70887C1C" w14:textId="77777777" w:rsidTr="00A01FA4">
        <w:trPr>
          <w:trHeight w:val="25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135085A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3245E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2 018 844 042,08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548CC4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2 480 270 385,71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4D294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2 718 915 060,54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D91BC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2 524 911 280,30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B07AD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2 998 218 556,71</w:t>
            </w:r>
          </w:p>
        </w:tc>
      </w:tr>
    </w:tbl>
    <w:p w14:paraId="3F0E2AE5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34" w:name="_Toc520715153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1D905C40" w14:textId="77777777" w:rsidR="00DA059D" w:rsidRPr="00DA059D" w:rsidRDefault="00DA059D" w:rsidP="00DA059D">
      <w:pPr>
        <w:spacing w:after="0"/>
        <w:jc w:val="both"/>
      </w:pPr>
    </w:p>
    <w:p w14:paraId="462FBA8C" w14:textId="42E352D8" w:rsidR="00DA059D" w:rsidRPr="00DA059D" w:rsidRDefault="00DA059D" w:rsidP="00A01FA4">
      <w:pPr>
        <w:keepNext/>
        <w:tabs>
          <w:tab w:val="right" w:pos="9498"/>
        </w:tabs>
        <w:spacing w:after="40"/>
        <w:ind w:right="-566"/>
        <w:rPr>
          <w:rFonts w:cs="Calibri"/>
          <w:b/>
          <w:bCs/>
        </w:rPr>
      </w:pPr>
      <w:bookmarkStart w:id="135" w:name="_Toc520714619"/>
      <w:bookmarkStart w:id="136" w:name="_Toc524590476"/>
      <w:bookmarkStart w:id="137" w:name="_Toc531766462"/>
      <w:bookmarkEnd w:id="13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42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Výše příspěvku na provoz PO dle zákona č. 218/2000 Sb. </w:t>
      </w:r>
      <w:r w:rsidRPr="00DA059D">
        <w:rPr>
          <w:rFonts w:cs="Calibri"/>
          <w:b/>
          <w:bCs/>
        </w:rPr>
        <w:tab/>
        <w:t>(v Kč</w:t>
      </w:r>
      <w:bookmarkEnd w:id="135"/>
      <w:bookmarkEnd w:id="136"/>
      <w:bookmarkEnd w:id="137"/>
      <w:r w:rsidRPr="00DA059D">
        <w:rPr>
          <w:rFonts w:cs="Calibri"/>
          <w:b/>
          <w:bCs/>
        </w:rPr>
        <w:t>)</w:t>
      </w:r>
    </w:p>
    <w:tbl>
      <w:tblPr>
        <w:tblW w:w="94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100"/>
        <w:gridCol w:w="1303"/>
        <w:gridCol w:w="1307"/>
        <w:gridCol w:w="1303"/>
        <w:gridCol w:w="1303"/>
        <w:gridCol w:w="1303"/>
      </w:tblGrid>
      <w:tr w:rsidR="00DA059D" w:rsidRPr="00DA059D" w14:paraId="41FE0792" w14:textId="77777777" w:rsidTr="00A01FA4">
        <w:trPr>
          <w:trHeight w:val="2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01468A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FF6F5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5F179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183A5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840B9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BD080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E9D7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37A4A27A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485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7625" w14:textId="77777777" w:rsidR="00DA059D" w:rsidRPr="00DA059D" w:rsidRDefault="00DA059D" w:rsidP="00DA059D">
            <w:pPr>
              <w:spacing w:after="0"/>
              <w:ind w:right="-142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 transplantační chirurgie Brno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2D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B7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A5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823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70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232FD94E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EE0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3B0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A0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FA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AA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1D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1B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238 728,00</w:t>
            </w:r>
          </w:p>
        </w:tc>
      </w:tr>
      <w:tr w:rsidR="00DA059D" w:rsidRPr="00DA059D" w14:paraId="7957DDD2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A6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D6D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EC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574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5D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72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20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5AD80935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48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86F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AF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6 400 000,00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13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0E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22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D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334 889,00</w:t>
            </w:r>
          </w:p>
        </w:tc>
      </w:tr>
      <w:tr w:rsidR="00DA059D" w:rsidRPr="00DA059D" w14:paraId="7B73D3B0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34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194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B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7FF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78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6 127 920,00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63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9 012 497,00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42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9 000 000,00</w:t>
            </w:r>
          </w:p>
        </w:tc>
      </w:tr>
      <w:tr w:rsidR="00DA059D" w:rsidRPr="00DA059D" w14:paraId="49AFDFA8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EFC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EA2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8E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29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74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4DE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0D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4D010FBA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DC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B68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57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1 020 331,24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14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732 784,30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E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2 234 638,02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18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6 351 808,68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D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22 542 213,45</w:t>
            </w:r>
          </w:p>
        </w:tc>
      </w:tr>
      <w:tr w:rsidR="00DA059D" w:rsidRPr="00DA059D" w14:paraId="7A213063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304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031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72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6C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6E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2F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6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5BF3146A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AD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00098892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A4D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EE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E3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DC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07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7B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6718B1DD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BE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D41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3A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26 608 519,69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4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27 120 470,02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F5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E2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23 074 787,67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F8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11 688 899,00</w:t>
            </w:r>
          </w:p>
        </w:tc>
      </w:tr>
      <w:tr w:rsidR="00DA059D" w:rsidRPr="00DA059D" w14:paraId="291226A6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14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00669806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595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754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56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E7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CA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61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14 980 621,00</w:t>
            </w:r>
          </w:p>
        </w:tc>
      </w:tr>
      <w:tr w:rsidR="00DA059D" w:rsidRPr="00DA059D" w14:paraId="232DCE1C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88A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E43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 Brně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A8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D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650 000 000,00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3B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DF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ED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15CFCC07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BA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00064203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0F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03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4 900 000,00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95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4B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4 149 882,22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95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3B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19 509 542,00</w:t>
            </w:r>
          </w:p>
        </w:tc>
      </w:tr>
      <w:tr w:rsidR="00DA059D" w:rsidRPr="00DA059D" w14:paraId="2C33F120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7D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84B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D3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232 814,00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E4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5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AE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8C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1 202 117,00</w:t>
            </w:r>
          </w:p>
        </w:tc>
      </w:tr>
      <w:tr w:rsidR="00DA059D" w:rsidRPr="00DA059D" w14:paraId="3FB2E05B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6E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07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 experimentální medicíny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CF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E5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CB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E3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4C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29D81846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3D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893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43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5E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6D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61 175 000,00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AC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54 463 000,00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49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54 347 000,00</w:t>
            </w:r>
          </w:p>
        </w:tc>
      </w:tr>
      <w:tr w:rsidR="00DA059D" w:rsidRPr="00DA059D" w14:paraId="18B31FD5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C0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DCF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 respiračních nemocí Janov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2D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EB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53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8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AE4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3B50A15F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4C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00883573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7B2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B2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F4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9E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12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4C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483 304,00</w:t>
            </w:r>
          </w:p>
        </w:tc>
      </w:tr>
      <w:tr w:rsidR="00DA059D" w:rsidRPr="00DA059D" w14:paraId="01BEB6EC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94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CB2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5D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C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47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FC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42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1 438 241,00</w:t>
            </w:r>
          </w:p>
        </w:tc>
      </w:tr>
      <w:tr w:rsidR="00DA059D" w:rsidRPr="00DA059D" w14:paraId="4930D3B8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216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141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77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CEA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22 229 077,00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530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22 990 338,00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3C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E8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25 890 500,00</w:t>
            </w:r>
          </w:p>
        </w:tc>
      </w:tr>
      <w:tr w:rsidR="00DA059D" w:rsidRPr="00DA059D" w14:paraId="2453CCD3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EA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5AE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7D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57 714 786,04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38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64 369 554,84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D5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7F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B1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396 241,00</w:t>
            </w:r>
          </w:p>
        </w:tc>
      </w:tr>
      <w:tr w:rsidR="00DA059D" w:rsidRPr="00DA059D" w14:paraId="05F5816E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79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E95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80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1 874 900,06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A3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202 332 528,00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7F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13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31 007 908,30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2C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49 806 698,00</w:t>
            </w:r>
          </w:p>
        </w:tc>
      </w:tr>
      <w:tr w:rsidR="00DA059D" w:rsidRPr="00DA059D" w14:paraId="3388BB30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9B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56B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98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A7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13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B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E8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5A407461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F06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00583600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D88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E0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3C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6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4D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14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655 605,00</w:t>
            </w:r>
          </w:p>
        </w:tc>
      </w:tr>
      <w:tr w:rsidR="00DA059D" w:rsidRPr="00DA059D" w14:paraId="48203FF5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5C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429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2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A6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133 980,00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5A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8C9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54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3 774 874,87</w:t>
            </w:r>
          </w:p>
        </w:tc>
      </w:tr>
      <w:tr w:rsidR="00DA059D" w:rsidRPr="00DA059D" w14:paraId="4703FC47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3B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376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25B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9E6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1B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4E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58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5 421 040,00</w:t>
            </w:r>
          </w:p>
        </w:tc>
      </w:tr>
      <w:tr w:rsidR="00DA059D" w:rsidRPr="00DA059D" w14:paraId="01F87965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3A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8C3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246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F6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156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DD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2D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2 789 205,00</w:t>
            </w:r>
          </w:p>
        </w:tc>
      </w:tr>
      <w:tr w:rsidR="00DA059D" w:rsidRPr="00DA059D" w14:paraId="04ACAE02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C3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07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B2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A6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3D6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76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97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2 615 680,00</w:t>
            </w:r>
          </w:p>
        </w:tc>
      </w:tr>
      <w:tr w:rsidR="00DA059D" w:rsidRPr="00DA059D" w14:paraId="2EE9567C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D1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AEA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D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7D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4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FE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0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1 212 500,34</w:t>
            </w:r>
          </w:p>
        </w:tc>
      </w:tr>
      <w:tr w:rsidR="00DA059D" w:rsidRPr="00DA059D" w14:paraId="4EAADC1B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0B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EB8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FA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E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B0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0B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A2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78047BBC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CEE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43C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684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C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20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48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471 053,00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BD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5261C537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13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056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B3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BE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42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DE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C6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525 306,00</w:t>
            </w:r>
          </w:p>
        </w:tc>
      </w:tr>
      <w:tr w:rsidR="00DA059D" w:rsidRPr="00DA059D" w14:paraId="49C380EE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59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FBF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Dobřanech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75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DA3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84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4F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0F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4 121 620,00</w:t>
            </w:r>
          </w:p>
        </w:tc>
      </w:tr>
      <w:tr w:rsidR="00DA059D" w:rsidRPr="00DA059D" w14:paraId="3F48DF75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D0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C3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Kroměříži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A7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69 866,00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F5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7B8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C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5C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3 057 473,00</w:t>
            </w:r>
          </w:p>
        </w:tc>
      </w:tr>
      <w:tr w:rsidR="00DA059D" w:rsidRPr="00DA059D" w14:paraId="13A4328D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18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193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 Opavě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FE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B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8B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133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25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2 577 088,00</w:t>
            </w:r>
          </w:p>
        </w:tc>
      </w:tr>
      <w:tr w:rsidR="00DA059D" w:rsidRPr="00DA059D" w14:paraId="5EF75498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91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00883581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46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A89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8E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A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6E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299 990,00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AC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300 000,00</w:t>
            </w:r>
          </w:p>
        </w:tc>
      </w:tr>
      <w:tr w:rsidR="00DA059D" w:rsidRPr="00DA059D" w14:paraId="05118AC4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2DF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92B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F1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F5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B5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41A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92F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1 214 088,24</w:t>
            </w:r>
          </w:p>
        </w:tc>
      </w:tr>
      <w:tr w:rsidR="00DA059D" w:rsidRPr="00DA059D" w14:paraId="572CAAEA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440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0E6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2B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6C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9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15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C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637 253,00</w:t>
            </w:r>
          </w:p>
        </w:tc>
      </w:tr>
      <w:tr w:rsidR="00DA059D" w:rsidRPr="00DA059D" w14:paraId="3A767529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BA6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1B1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56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D8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00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A3F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15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279C71E2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743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74E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F0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175 000 000,00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5B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180 294 252,00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AC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194 251 992,00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06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188 885 763,00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B54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221 280 121,00</w:t>
            </w:r>
          </w:p>
        </w:tc>
      </w:tr>
      <w:tr w:rsidR="00DA059D" w:rsidRPr="00DA059D" w14:paraId="28B1B5F8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61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414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4F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45 050 000,00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F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45 470 000,00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ACF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58 473 360,00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2FB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55 963 000,00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56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88 724 132,00</w:t>
            </w:r>
          </w:p>
        </w:tc>
      </w:tr>
      <w:tr w:rsidR="00DA059D" w:rsidRPr="00DA059D" w14:paraId="6D40FBB1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8B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4B9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33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56 752 000,00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BB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46 368 000,00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1D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30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1A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</w:tr>
      <w:tr w:rsidR="00DA059D" w:rsidRPr="00DA059D" w14:paraId="7055F647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56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7D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A2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127 196,00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F2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96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1 643 520,00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75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969 826,00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2E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5 440 503,00</w:t>
            </w:r>
          </w:p>
        </w:tc>
      </w:tr>
      <w:tr w:rsidR="00DA059D" w:rsidRPr="00DA059D" w14:paraId="6A3AB21F" w14:textId="77777777" w:rsidTr="00A01FA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6C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8C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 Praze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35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174 501 958,49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E9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193 947 209,85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A7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179 420 239,55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B5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53 212 803,00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21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37 496 276,44</w:t>
            </w:r>
          </w:p>
        </w:tc>
      </w:tr>
      <w:tr w:rsidR="00DA059D" w:rsidRPr="00DA059D" w14:paraId="0620FDA1" w14:textId="77777777" w:rsidTr="00A01FA4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35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AED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Ostravě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A0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12 750 000,00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00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15 419 920,22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C6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21 123 660,00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935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53 011 656,00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E1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59 081 966,51</w:t>
            </w:r>
          </w:p>
        </w:tc>
      </w:tr>
      <w:tr w:rsidR="00DA059D" w:rsidRPr="00DA059D" w14:paraId="6FC7A06D" w14:textId="77777777" w:rsidTr="00A01FA4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B0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4C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 Ústí nad Labem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4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F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5 242 984,00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15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17 824 435,59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7E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61 539 038,03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88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56 950 000,00</w:t>
            </w:r>
          </w:p>
        </w:tc>
      </w:tr>
      <w:tr w:rsidR="00DA059D" w:rsidRPr="00DA059D" w14:paraId="3AF27573" w14:textId="77777777" w:rsidTr="00A01FA4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71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49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31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7 904 210,00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2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6 015 115,26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1F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2D7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3DE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A059D" w:rsidRPr="00DA059D" w14:paraId="00DF4C39" w14:textId="77777777" w:rsidTr="00A01FA4">
        <w:trPr>
          <w:trHeight w:val="25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02908EE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EC6EA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600 437 581,52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01ADA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1 461 703 675,49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1316E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569 414 985,44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07788D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538 713 130,68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4C9E8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709 733 725,85</w:t>
            </w:r>
          </w:p>
        </w:tc>
      </w:tr>
    </w:tbl>
    <w:p w14:paraId="117BD517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38" w:name="_Toc520714620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 xml:space="preserve">ISSP-CSÚIS – výkaz přehled o rozpočtu SPO – část II (údaje ze sloupce </w:t>
      </w:r>
      <w:r w:rsidRPr="00DA059D">
        <w:rPr>
          <w:rFonts w:cs="Calibri"/>
          <w:i/>
          <w:sz w:val="20"/>
          <w:szCs w:val="20"/>
        </w:rPr>
        <w:t>Skutečnost minulého roku v Kč</w:t>
      </w:r>
      <w:r w:rsidRPr="00DA059D">
        <w:rPr>
          <w:rFonts w:cs="Calibri"/>
          <w:sz w:val="20"/>
          <w:szCs w:val="20"/>
        </w:rPr>
        <w:t>).</w:t>
      </w:r>
    </w:p>
    <w:p w14:paraId="56AA978A" w14:textId="77777777" w:rsidR="00DA059D" w:rsidRPr="00DA059D" w:rsidRDefault="00DA059D" w:rsidP="00DA059D">
      <w:pPr>
        <w:spacing w:after="0"/>
        <w:jc w:val="both"/>
      </w:pPr>
    </w:p>
    <w:p w14:paraId="698479B6" w14:textId="768A7F4D" w:rsidR="00DA059D" w:rsidRPr="00DA059D" w:rsidRDefault="00DA059D" w:rsidP="00A87950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</w:rPr>
      </w:pPr>
      <w:bookmarkStart w:id="139" w:name="_Toc524590477"/>
      <w:bookmarkStart w:id="140" w:name="_Toc531766463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43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Podíl výnosů z transferů PO v rozpočtové kapitole 335 MZd na celkových výnosech PO</w:t>
      </w:r>
      <w:bookmarkEnd w:id="138"/>
      <w:bookmarkEnd w:id="139"/>
      <w:bookmarkEnd w:id="1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4662"/>
        <w:gridCol w:w="726"/>
        <w:gridCol w:w="726"/>
        <w:gridCol w:w="729"/>
        <w:gridCol w:w="727"/>
        <w:gridCol w:w="729"/>
      </w:tblGrid>
      <w:tr w:rsidR="00DA059D" w:rsidRPr="00DA059D" w14:paraId="5856B167" w14:textId="77777777" w:rsidTr="00DA059D">
        <w:trPr>
          <w:trHeight w:val="255"/>
          <w:tblHeader/>
        </w:trPr>
        <w:tc>
          <w:tcPr>
            <w:tcW w:w="415" w:type="pct"/>
            <w:shd w:val="clear" w:color="auto" w:fill="E5F1FF"/>
            <w:vAlign w:val="center"/>
          </w:tcPr>
          <w:p w14:paraId="1A3E24E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537" w:type="pct"/>
            <w:shd w:val="clear" w:color="auto" w:fill="E5F1FF"/>
            <w:noWrap/>
            <w:vAlign w:val="center"/>
            <w:hideMark/>
          </w:tcPr>
          <w:p w14:paraId="5D1B1121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409" w:type="pct"/>
            <w:shd w:val="clear" w:color="auto" w:fill="E5F1FF"/>
            <w:noWrap/>
            <w:vAlign w:val="center"/>
            <w:hideMark/>
          </w:tcPr>
          <w:p w14:paraId="726CFCF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09" w:type="pct"/>
            <w:shd w:val="clear" w:color="auto" w:fill="E5F1FF"/>
            <w:noWrap/>
            <w:vAlign w:val="center"/>
            <w:hideMark/>
          </w:tcPr>
          <w:p w14:paraId="5A30C79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10" w:type="pct"/>
            <w:shd w:val="clear" w:color="auto" w:fill="E5F1FF"/>
            <w:noWrap/>
            <w:vAlign w:val="center"/>
            <w:hideMark/>
          </w:tcPr>
          <w:p w14:paraId="1C652F6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09" w:type="pct"/>
            <w:shd w:val="clear" w:color="auto" w:fill="E5F1FF"/>
            <w:noWrap/>
            <w:vAlign w:val="center"/>
            <w:hideMark/>
          </w:tcPr>
          <w:p w14:paraId="70D7D2C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10" w:type="pct"/>
            <w:shd w:val="clear" w:color="auto" w:fill="E5F1FF"/>
            <w:noWrap/>
            <w:vAlign w:val="center"/>
            <w:hideMark/>
          </w:tcPr>
          <w:p w14:paraId="22BD6EF7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1571AF70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0E094B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2B4D65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 transplantační chirurgie Brno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E9090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B1726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231DD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E180B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B6D91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0,95 %</w:t>
            </w:r>
          </w:p>
        </w:tc>
      </w:tr>
      <w:tr w:rsidR="00DA059D" w:rsidRPr="00DA059D" w14:paraId="54D3AD8C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5641A2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C4D1CE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55B44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96A65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1BA41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16542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4A6FA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0,60 %</w:t>
            </w:r>
          </w:p>
        </w:tc>
      </w:tr>
      <w:tr w:rsidR="00DA059D" w:rsidRPr="00DA059D" w14:paraId="6D8E848D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7B5B21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07F161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67E7CF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D8CF4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37BC5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E58A3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979B7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0,82 %</w:t>
            </w:r>
          </w:p>
        </w:tc>
      </w:tr>
      <w:tr w:rsidR="00DA059D" w:rsidRPr="00DA059D" w14:paraId="37448FB9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0F80001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C8F8D4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A2BB5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9,36 %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9D958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22D83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72B09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91149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0,50 %</w:t>
            </w:r>
          </w:p>
        </w:tc>
      </w:tr>
      <w:tr w:rsidR="00DA059D" w:rsidRPr="00DA059D" w14:paraId="5989EE8A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C4A7B2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0647EC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A60AE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27,81 %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A05CC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28,07 %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B8095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28,17 %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F06F8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18,49 %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97F09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26,07 %</w:t>
            </w:r>
          </w:p>
        </w:tc>
      </w:tr>
      <w:tr w:rsidR="00DA059D" w:rsidRPr="00DA059D" w14:paraId="0245E92B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B91094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61E179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B7C3FD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1,48 %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8AB08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1,48 %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461DE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1,73 %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9AC47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1,71 %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136E6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2,05 %</w:t>
            </w:r>
          </w:p>
        </w:tc>
      </w:tr>
      <w:tr w:rsidR="00DA059D" w:rsidRPr="00DA059D" w14:paraId="3EBBAC1F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F0ECCA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5CDAE5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EA6D6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1,50 %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18AD5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1,53 %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624F3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1,61 %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28E7B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1,34 %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F19E0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2,06 %</w:t>
            </w:r>
          </w:p>
        </w:tc>
      </w:tr>
      <w:tr w:rsidR="00DA059D" w:rsidRPr="00DA059D" w14:paraId="1256DE62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0C6EAB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A26627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D9B50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A61D6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676871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C2A47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D084B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1,27 %</w:t>
            </w:r>
          </w:p>
        </w:tc>
      </w:tr>
      <w:tr w:rsidR="00DA059D" w:rsidRPr="00DA059D" w14:paraId="19CC3041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99E0A0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00098892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EF4744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31CD2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3B71B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2ABB3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02152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95A57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0,96 %</w:t>
            </w:r>
          </w:p>
        </w:tc>
      </w:tr>
      <w:tr w:rsidR="00DA059D" w:rsidRPr="00DA059D" w14:paraId="00A9E99A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963DCE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71E084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63019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E3E0D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DA036D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66398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0,82 %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5DFAA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1,17 %</w:t>
            </w:r>
          </w:p>
        </w:tc>
      </w:tr>
      <w:tr w:rsidR="00DA059D" w:rsidRPr="00DA059D" w14:paraId="4959A13B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173773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00669806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5B12A4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B005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3CD13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D60EA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04EEB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A4663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0,96 %</w:t>
            </w:r>
          </w:p>
        </w:tc>
      </w:tr>
      <w:tr w:rsidR="00DA059D" w:rsidRPr="00DA059D" w14:paraId="3DA24774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0E8B234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AD4781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 Brně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410C1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8,95 %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EBC5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16,54 %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CF794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18,44 %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10CC8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12,79 %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277166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13,13 %</w:t>
            </w:r>
          </w:p>
        </w:tc>
      </w:tr>
      <w:tr w:rsidR="00DA059D" w:rsidRPr="00DA059D" w14:paraId="447E843E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59BFA2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00064203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BD912F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1B99B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1,88 %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894E3D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1,79 %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2F522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13CEE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98F96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2,35 %</w:t>
            </w:r>
          </w:p>
        </w:tc>
      </w:tr>
      <w:tr w:rsidR="00DA059D" w:rsidRPr="00DA059D" w14:paraId="527F465E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4A410B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652246A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EFD260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0A968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E23CE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EA7E6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A3E48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0,36 %</w:t>
            </w:r>
          </w:p>
        </w:tc>
      </w:tr>
      <w:tr w:rsidR="00DA059D" w:rsidRPr="00DA059D" w14:paraId="6CE77283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77BB616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6A95BEA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 experimentální medicíny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DBF28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6,46 %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98122D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5,86 %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A2388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5,18 %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02DC9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5,64 %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7AB2C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5,73 %</w:t>
            </w:r>
          </w:p>
        </w:tc>
      </w:tr>
      <w:tr w:rsidR="00DA059D" w:rsidRPr="00DA059D" w14:paraId="210FA23C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0620F37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928069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F91FF8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91,51 %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F0510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28,43 %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54D1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48,52 %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105B2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31,32 %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28DB2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29,75 %</w:t>
            </w:r>
          </w:p>
        </w:tc>
      </w:tr>
      <w:tr w:rsidR="00DA059D" w:rsidRPr="00DA059D" w14:paraId="374D125E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6FCF89F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7EDF04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 respiračních nemocí Janov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E288C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5,88 %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4AD30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2,96 %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32649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3,69 %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EDD2B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1,67 %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5DE96D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2,59 %</w:t>
            </w:r>
          </w:p>
        </w:tc>
      </w:tr>
      <w:tr w:rsidR="00DA059D" w:rsidRPr="00DA059D" w14:paraId="00380677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2C6615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00883573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F90FB2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7FF077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CF32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0DDE8D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C3AB4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3188F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1,38 %</w:t>
            </w:r>
          </w:p>
        </w:tc>
      </w:tr>
      <w:tr w:rsidR="00DA059D" w:rsidRPr="00DA059D" w14:paraId="392ED4A2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005CA10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C9B54C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E1125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4,56 %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2EA19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5,73 %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9D0A5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6,29 %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45B91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5,23 %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7E78D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5,30 %</w:t>
            </w:r>
          </w:p>
        </w:tc>
      </w:tr>
      <w:tr w:rsidR="00DA059D" w:rsidRPr="00DA059D" w14:paraId="49851520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4A0265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EEBA92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1C4227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32,74 %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C6A1F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37,69 %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E47FC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58,78 %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AA7A8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36,91 %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D06D0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46,62 %</w:t>
            </w:r>
          </w:p>
        </w:tc>
      </w:tr>
      <w:tr w:rsidR="00DA059D" w:rsidRPr="00DA059D" w14:paraId="5DAADC51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1883F8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2F8C0E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C0E43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64,80 %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A3F71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67,41 %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EE1798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88,42 %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B0046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76,84 %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4ABCB8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78,17 %</w:t>
            </w:r>
          </w:p>
        </w:tc>
      </w:tr>
      <w:tr w:rsidR="00DA059D" w:rsidRPr="00DA059D" w14:paraId="1C40BCE8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7ED3021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0031C9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26BD1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D437C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7,63 %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11C0A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BBB03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1,43 %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7A3B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2,51 %</w:t>
            </w:r>
          </w:p>
        </w:tc>
      </w:tr>
      <w:tr w:rsidR="00DA059D" w:rsidRPr="00DA059D" w14:paraId="52E7A283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7A9BC70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4530357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57FAD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E3127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EB406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B5AC7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4B65B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0,80 %</w:t>
            </w:r>
          </w:p>
        </w:tc>
      </w:tr>
      <w:tr w:rsidR="00DA059D" w:rsidRPr="00DA059D" w14:paraId="36C1FA16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B524AF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00583600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F11C0B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71BED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574FA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3B587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6293D0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2,84 %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7168A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1,52 %</w:t>
            </w:r>
          </w:p>
        </w:tc>
      </w:tr>
      <w:tr w:rsidR="00DA059D" w:rsidRPr="00DA059D" w14:paraId="6C925BA5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AA3F32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EB5401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67BEE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9130E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B142D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3,28 %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02A9C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2,79 %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DD5C2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1,17 %</w:t>
            </w:r>
          </w:p>
        </w:tc>
      </w:tr>
      <w:tr w:rsidR="00DA059D" w:rsidRPr="00DA059D" w14:paraId="35E6726F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5D2B1E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F004A4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92E71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1,63 %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5CC5C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BFFEC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1,53 %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4292A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1,71 %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A554FE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1,72 %</w:t>
            </w:r>
          </w:p>
        </w:tc>
      </w:tr>
      <w:tr w:rsidR="00DA059D" w:rsidRPr="00DA059D" w14:paraId="6A51CEB2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64C0E45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5705AE0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FF258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F3905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996EC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DED9C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F8B9E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0,85 %</w:t>
            </w:r>
          </w:p>
        </w:tc>
      </w:tr>
      <w:tr w:rsidR="00DA059D" w:rsidRPr="00DA059D" w14:paraId="4C3F3532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F7369B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69AA7BC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C5B37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27CF5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EEECB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1353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288FC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</w:tr>
      <w:tr w:rsidR="00DA059D" w:rsidRPr="00DA059D" w14:paraId="2758CAB9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FE899C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95F4BB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7E98E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60F22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DB109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BBAF3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E2F4A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1,06 %</w:t>
            </w:r>
          </w:p>
        </w:tc>
      </w:tr>
      <w:tr w:rsidR="00DA059D" w:rsidRPr="00DA059D" w14:paraId="2CCBA53A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465D02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20F05EA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06C4D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5D641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78B47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5540B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43C6A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0,94 %</w:t>
            </w:r>
          </w:p>
        </w:tc>
      </w:tr>
      <w:tr w:rsidR="00DA059D" w:rsidRPr="00DA059D" w14:paraId="34A58AD1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B8E5C7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F7D21A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E8021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49B19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D40DF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1,24 %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CDC03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F6C31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0,93 %</w:t>
            </w:r>
          </w:p>
        </w:tc>
      </w:tr>
      <w:tr w:rsidR="00DA059D" w:rsidRPr="00DA059D" w14:paraId="44FAE58F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DCB46D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A6AB5C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ACC41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9060D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84B41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5,32 %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26D8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3,54 %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F3BD2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0,58 %</w:t>
            </w:r>
          </w:p>
        </w:tc>
      </w:tr>
      <w:tr w:rsidR="00DA059D" w:rsidRPr="00DA059D" w14:paraId="39AFE984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6845774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4BFE31A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Dobřanech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1C33F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A6E237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E545E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5AFE5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812F0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0,50 %</w:t>
            </w:r>
          </w:p>
        </w:tc>
      </w:tr>
      <w:tr w:rsidR="00DA059D" w:rsidRPr="00DA059D" w14:paraId="72C6D4BE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C9E378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4CC445C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Kroměříži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0B69F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9144C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ABC28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F5D420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7BAC2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</w:tr>
      <w:tr w:rsidR="00DA059D" w:rsidRPr="00DA059D" w14:paraId="34AAEF78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0DC735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4417CE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Opavě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F60F7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0,01 %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60C0C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75624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EC4D3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FEF91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1,19 %</w:t>
            </w:r>
          </w:p>
        </w:tc>
      </w:tr>
      <w:tr w:rsidR="00DA059D" w:rsidRPr="00DA059D" w14:paraId="1699E783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CB1A58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00883581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6627610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FC29D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11,14 %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81905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4,84 %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302AA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7,77 %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864366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11,80 %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78865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13,86 %</w:t>
            </w:r>
          </w:p>
        </w:tc>
      </w:tr>
      <w:tr w:rsidR="00DA059D" w:rsidRPr="00DA059D" w14:paraId="388004A3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953581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D68545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6782E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B8E552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1,89 %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E6640C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3CF79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0,22 %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97A6B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0,77 %</w:t>
            </w:r>
          </w:p>
        </w:tc>
      </w:tr>
      <w:tr w:rsidR="00DA059D" w:rsidRPr="00DA059D" w14:paraId="11C42967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23EB27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5A5048A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4FF2F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2,83 %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CCBCB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2,87 %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14CE7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2,35 %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E615A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7E25A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1,94 %</w:t>
            </w:r>
          </w:p>
        </w:tc>
      </w:tr>
      <w:tr w:rsidR="00DA059D" w:rsidRPr="00DA059D" w14:paraId="1D38489F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2D74FD7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C2D1FD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A2B51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5,26 %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AF0BF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4,58 %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0DDB3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4,06 %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42CEF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3,03 %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AF828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4,11 %</w:t>
            </w:r>
          </w:p>
        </w:tc>
      </w:tr>
      <w:tr w:rsidR="00DA059D" w:rsidRPr="00DA059D" w14:paraId="7C077DDD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1346B37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A5E819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69E56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69,86 %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36EDB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75,88 %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EDA07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71,47 %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D519F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73,20 %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F599D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73,23 %</w:t>
            </w:r>
          </w:p>
        </w:tc>
      </w:tr>
      <w:tr w:rsidR="00DA059D" w:rsidRPr="00DA059D" w14:paraId="1D26EB59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674708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C0EFFB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67584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6,54 %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56314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5,61 %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525180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5,69 %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B180DB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5,18 %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4D367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6,31 %</w:t>
            </w:r>
          </w:p>
        </w:tc>
      </w:tr>
      <w:tr w:rsidR="00DA059D" w:rsidRPr="00DA059D" w14:paraId="314F3111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791F70D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4638310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4BDEC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6,62 %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53165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5,45 %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30497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3,82 %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22447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3,47 %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4E49C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4,81 %</w:t>
            </w:r>
          </w:p>
        </w:tc>
      </w:tr>
      <w:tr w:rsidR="00DA059D" w:rsidRPr="00DA059D" w14:paraId="337A3C68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461A232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3C28D8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9BCDE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DA4EF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1,06 %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B8F16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B6321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1,58 %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50673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2,64 %</w:t>
            </w:r>
          </w:p>
        </w:tc>
      </w:tr>
      <w:tr w:rsidR="00DA059D" w:rsidRPr="00DA059D" w14:paraId="2EF99EFD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736C2FB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86F090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 Praze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6B8FB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2,49 %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188AD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3,01 %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36E9A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2,54 %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5386D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2,95 %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0BB5D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3,05 %</w:t>
            </w:r>
          </w:p>
        </w:tc>
      </w:tr>
      <w:tr w:rsidR="00DA059D" w:rsidRPr="00DA059D" w14:paraId="1F8201BB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3955207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1CB17F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Ostravě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76306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6,37 %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CF541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6,59 %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7DE34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13,35 %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29F2E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15,27 %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FC97B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17,16 %</w:t>
            </w:r>
          </w:p>
        </w:tc>
      </w:tr>
      <w:tr w:rsidR="00DA059D" w:rsidRPr="00DA059D" w14:paraId="41A3A51A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5989275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DB72E9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Ústí nad Labem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78325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2,13 %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4681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2,43 %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4E4DAC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4,50 %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AA92A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14,18 %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6DFC5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15,21 %</w:t>
            </w:r>
          </w:p>
        </w:tc>
      </w:tr>
      <w:tr w:rsidR="00DA059D" w:rsidRPr="00DA059D" w14:paraId="0494E5F7" w14:textId="77777777" w:rsidTr="00DA059D">
        <w:trPr>
          <w:trHeight w:val="255"/>
        </w:trPr>
        <w:tc>
          <w:tcPr>
            <w:tcW w:w="415" w:type="pct"/>
            <w:vAlign w:val="center"/>
          </w:tcPr>
          <w:p w14:paraId="3E01BD3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63C5FBD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5A6A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89,86 %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0ABE8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72,81 %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DF424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1AFB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82B6A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279253F1" w14:textId="77777777" w:rsidTr="00DA059D">
        <w:trPr>
          <w:trHeight w:val="255"/>
        </w:trPr>
        <w:tc>
          <w:tcPr>
            <w:tcW w:w="2953" w:type="pct"/>
            <w:gridSpan w:val="2"/>
            <w:shd w:val="clear" w:color="auto" w:fill="F2C6C9"/>
          </w:tcPr>
          <w:p w14:paraId="5F46EF3F" w14:textId="77777777" w:rsidR="00DA059D" w:rsidRPr="00DA059D" w:rsidRDefault="00DA059D" w:rsidP="00DA059D">
            <w:pPr>
              <w:spacing w:after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color w:val="000000"/>
                <w:sz w:val="16"/>
                <w:szCs w:val="16"/>
              </w:rPr>
              <w:t>Podíl výnosů z transferů PO v rozpočtové kapitole 335 MZd na celkových výnosech PO</w:t>
            </w:r>
            <w:r w:rsidRPr="00DA059D" w:rsidDel="003D7601">
              <w:rPr>
                <w:rFonts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F2C6C9"/>
            <w:noWrap/>
            <w:vAlign w:val="center"/>
          </w:tcPr>
          <w:p w14:paraId="3F553E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2,99 %</w:t>
            </w:r>
          </w:p>
        </w:tc>
        <w:tc>
          <w:tcPr>
            <w:tcW w:w="409" w:type="pct"/>
            <w:shd w:val="clear" w:color="auto" w:fill="F2C6C9"/>
            <w:noWrap/>
            <w:vAlign w:val="center"/>
          </w:tcPr>
          <w:p w14:paraId="4455E1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3,44 %</w:t>
            </w:r>
          </w:p>
        </w:tc>
        <w:tc>
          <w:tcPr>
            <w:tcW w:w="410" w:type="pct"/>
            <w:shd w:val="clear" w:color="auto" w:fill="F2C6C9"/>
            <w:noWrap/>
            <w:vAlign w:val="center"/>
          </w:tcPr>
          <w:p w14:paraId="2DAD9F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3,60 %</w:t>
            </w:r>
          </w:p>
        </w:tc>
        <w:tc>
          <w:tcPr>
            <w:tcW w:w="409" w:type="pct"/>
            <w:shd w:val="clear" w:color="auto" w:fill="F2C6C9"/>
            <w:noWrap/>
            <w:vAlign w:val="center"/>
          </w:tcPr>
          <w:p w14:paraId="78D449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3,20 %</w:t>
            </w:r>
          </w:p>
        </w:tc>
        <w:tc>
          <w:tcPr>
            <w:tcW w:w="410" w:type="pct"/>
            <w:shd w:val="clear" w:color="auto" w:fill="F2C6C9"/>
            <w:noWrap/>
            <w:vAlign w:val="center"/>
          </w:tcPr>
          <w:p w14:paraId="031A6B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3,58 %</w:t>
            </w:r>
          </w:p>
        </w:tc>
      </w:tr>
    </w:tbl>
    <w:p w14:paraId="33AB1387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41" w:name="_Toc520714621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MONITOR; vlastní zpracování NKÚ.</w:t>
      </w:r>
    </w:p>
    <w:p w14:paraId="4518FDC1" w14:textId="77777777" w:rsidR="00DA059D" w:rsidRPr="00DA059D" w:rsidRDefault="00DA059D" w:rsidP="00DA059D">
      <w:pPr>
        <w:spacing w:after="0"/>
        <w:jc w:val="both"/>
      </w:pPr>
    </w:p>
    <w:p w14:paraId="6ACBBB8A" w14:textId="7A0BF4D8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42" w:name="_Toc524590478"/>
      <w:bookmarkStart w:id="143" w:name="_Toc53176646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44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Podíl výše příspěvku na provoz na celkových výnosech PO</w:t>
      </w:r>
      <w:bookmarkEnd w:id="141"/>
      <w:bookmarkEnd w:id="142"/>
      <w:bookmarkEnd w:id="143"/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4662"/>
        <w:gridCol w:w="726"/>
        <w:gridCol w:w="726"/>
        <w:gridCol w:w="729"/>
        <w:gridCol w:w="727"/>
        <w:gridCol w:w="729"/>
      </w:tblGrid>
      <w:tr w:rsidR="00DA059D" w:rsidRPr="00DA059D" w14:paraId="45B5FA39" w14:textId="77777777" w:rsidTr="00A87950">
        <w:trPr>
          <w:trHeight w:val="25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4E6829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2C8C3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0CA82C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9C79AD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F4A595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8126C3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B8D451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47C73BF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2B8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DD8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 transplantační chirurgie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EE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7E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E9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29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7C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6782C10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E8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17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9B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74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26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730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93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0,60 %</w:t>
            </w:r>
          </w:p>
        </w:tc>
      </w:tr>
      <w:tr w:rsidR="00DA059D" w:rsidRPr="00DA059D" w14:paraId="527F977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C5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F34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B0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4F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31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8B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10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7C0DD59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5D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A7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D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9,27 %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08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7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B5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53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0,44 %</w:t>
            </w:r>
          </w:p>
        </w:tc>
      </w:tr>
      <w:tr w:rsidR="00DA059D" w:rsidRPr="00DA059D" w14:paraId="2FF5CF86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09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AC8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1A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EC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B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5,20 %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E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7,70 %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5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7,10 %</w:t>
            </w:r>
          </w:p>
        </w:tc>
      </w:tr>
      <w:tr w:rsidR="00DA059D" w:rsidRPr="00DA059D" w14:paraId="444E7C2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198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2AD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CD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45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EA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93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96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59B2BFF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FD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7FF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865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5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25E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339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CA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0,36 %</w:t>
            </w:r>
          </w:p>
        </w:tc>
      </w:tr>
      <w:tr w:rsidR="00DA059D" w:rsidRPr="00DA059D" w14:paraId="4B2E3D8B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1F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4B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002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3D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18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1A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636CC18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15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00098892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DA4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06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900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68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8F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C3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2A38521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1E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7B0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B18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4B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3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FD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0,23 %</w:t>
            </w:r>
          </w:p>
        </w:tc>
      </w:tr>
      <w:tr w:rsidR="00DA059D" w:rsidRPr="00DA059D" w14:paraId="11FE801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130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00669806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D97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7F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C6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0A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07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C4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0,23 %</w:t>
            </w:r>
          </w:p>
        </w:tc>
      </w:tr>
      <w:tr w:rsidR="00DA059D" w:rsidRPr="00DA059D" w14:paraId="3B6D79D4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3E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86D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 Brně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C20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3B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18,76 %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7B5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05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C4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4134E776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D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00064203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F56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2B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93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246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1F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88D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0,23 %</w:t>
            </w:r>
          </w:p>
        </w:tc>
      </w:tr>
      <w:tr w:rsidR="00DA059D" w:rsidRPr="00DA059D" w14:paraId="35497E9B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676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4DA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30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4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9FF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22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4B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0,31 %</w:t>
            </w:r>
          </w:p>
        </w:tc>
      </w:tr>
      <w:tr w:rsidR="00DA059D" w:rsidRPr="00DA059D" w14:paraId="6B21F185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E3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EE7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 experimentální medicíny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38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195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FF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59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CE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C2AC4C6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62B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F9C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CF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DA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322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31,98 %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79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31,32 %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B5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29,75 %</w:t>
            </w:r>
          </w:p>
        </w:tc>
      </w:tr>
      <w:tr w:rsidR="00DA059D" w:rsidRPr="00DA059D" w14:paraId="5D107D8C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BF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3B4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 respiračních nemocí Janov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1E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2,97 %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58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351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EC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9E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0A11F5C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AD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00883573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6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0C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26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00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6E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891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0,54 %</w:t>
            </w:r>
          </w:p>
        </w:tc>
      </w:tr>
      <w:tr w:rsidR="00DA059D" w:rsidRPr="00DA059D" w14:paraId="1132F7F5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46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247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E3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43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06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F6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06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</w:tr>
      <w:tr w:rsidR="00DA059D" w:rsidRPr="00DA059D" w14:paraId="1013FCF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74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AE4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B6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26,38 %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53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30,37 %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69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22,09 %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E2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53B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35,67 %</w:t>
            </w:r>
          </w:p>
        </w:tc>
      </w:tr>
      <w:tr w:rsidR="00DA059D" w:rsidRPr="00DA059D" w14:paraId="6197DDE6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66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D3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A61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63,91 %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9A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67,41 %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46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56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0F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0,16 %</w:t>
            </w:r>
          </w:p>
        </w:tc>
      </w:tr>
      <w:tr w:rsidR="00DA059D" w:rsidRPr="00DA059D" w14:paraId="7FDE7CF2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A2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8B3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34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F2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7,43 %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A9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B2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A05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1,61 %</w:t>
            </w:r>
          </w:p>
        </w:tc>
      </w:tr>
      <w:tr w:rsidR="00DA059D" w:rsidRPr="00DA059D" w14:paraId="39CD46E9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63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F1B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0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4B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CC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54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0A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2D824C9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CB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00583600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3AA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E2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1,08 %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F8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A29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81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34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0,96 %</w:t>
            </w:r>
          </w:p>
        </w:tc>
      </w:tr>
      <w:tr w:rsidR="00DA059D" w:rsidRPr="00DA059D" w14:paraId="12DB407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D8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34E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F15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2A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0,05 %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75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B6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A6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1,17 %</w:t>
            </w:r>
          </w:p>
        </w:tc>
      </w:tr>
      <w:tr w:rsidR="00DA059D" w:rsidRPr="00DA059D" w14:paraId="4953326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2D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638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80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0,77 %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2DB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5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CF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C52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0,54 %</w:t>
            </w:r>
          </w:p>
        </w:tc>
      </w:tr>
      <w:tr w:rsidR="00DA059D" w:rsidRPr="00DA059D" w14:paraId="130B6C1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83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341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12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B9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0,04 %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5B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CA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C4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</w:tr>
      <w:tr w:rsidR="00DA059D" w:rsidRPr="00DA059D" w14:paraId="3A94E1F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27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36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D63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9EA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505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03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8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</w:tr>
      <w:tr w:rsidR="00DA059D" w:rsidRPr="00DA059D" w14:paraId="16E4321D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D78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C1A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61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8A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E0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CC6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CD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0,38 %</w:t>
            </w:r>
          </w:p>
        </w:tc>
      </w:tr>
      <w:tr w:rsidR="00DA059D" w:rsidRPr="00DA059D" w14:paraId="3E19FDA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70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20F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F6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048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63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D2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40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68AB1EC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55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4B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79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749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0,08 %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D1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AC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0,14 %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6C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1BDF478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79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D4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D0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C6C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3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D8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6B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0,58 %</w:t>
            </w:r>
          </w:p>
        </w:tc>
      </w:tr>
      <w:tr w:rsidR="00DA059D" w:rsidRPr="00DA059D" w14:paraId="3171EED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B9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D86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Dobřanech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BB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D6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4D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98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DE0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0,50 %</w:t>
            </w:r>
          </w:p>
        </w:tc>
      </w:tr>
      <w:tr w:rsidR="00DA059D" w:rsidRPr="00DA059D" w14:paraId="0C0E633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99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C84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Kroměříži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8C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D7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DC9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E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D1B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0,56 %</w:t>
            </w:r>
          </w:p>
        </w:tc>
      </w:tr>
      <w:tr w:rsidR="00DA059D" w:rsidRPr="00DA059D" w14:paraId="42F6E05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99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B7E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Opavě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49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F2F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E8B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3E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C1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0,48 %</w:t>
            </w:r>
          </w:p>
        </w:tc>
      </w:tr>
      <w:tr w:rsidR="00DA059D" w:rsidRPr="00DA059D" w14:paraId="63DF60A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4FB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00883581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82C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1D0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11,14 %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79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4,84 %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89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EF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11,80 %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47A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13,86 %</w:t>
            </w:r>
          </w:p>
        </w:tc>
      </w:tr>
      <w:tr w:rsidR="00DA059D" w:rsidRPr="00DA059D" w14:paraId="196ED456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33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5B9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AF6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DC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28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5D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AD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0,44 %</w:t>
            </w:r>
          </w:p>
        </w:tc>
      </w:tr>
      <w:tr w:rsidR="00DA059D" w:rsidRPr="00DA059D" w14:paraId="177869B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8B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BA0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B4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8B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EF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42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600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0,23 %</w:t>
            </w:r>
          </w:p>
        </w:tc>
      </w:tr>
      <w:tr w:rsidR="00DA059D" w:rsidRPr="00DA059D" w14:paraId="065AAA6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D55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637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A5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BE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91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D6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54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4D224D0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20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003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B8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53,72 %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6F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51,80 %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8A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53,25 %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C5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50,38 %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E4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58,34 %</w:t>
            </w:r>
          </w:p>
        </w:tc>
      </w:tr>
      <w:tr w:rsidR="00DA059D" w:rsidRPr="00DA059D" w14:paraId="615F6CF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3A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C5A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7D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2,16 %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CA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4A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2,45 %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39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2,24 %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C3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3,24 %</w:t>
            </w:r>
          </w:p>
        </w:tc>
      </w:tr>
      <w:tr w:rsidR="00DA059D" w:rsidRPr="00DA059D" w14:paraId="44406FB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AF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97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B1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5,24 %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CF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4,17 %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127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20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E9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7E348C5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C6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F3E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0D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8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0,02 %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E4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0,31 %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78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0,17 %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E8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0,91 %</w:t>
            </w:r>
          </w:p>
        </w:tc>
      </w:tr>
      <w:tr w:rsidR="00DA059D" w:rsidRPr="00DA059D" w14:paraId="14BF316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DA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AA2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 Praze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7C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2,49 %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D3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2,68 %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AD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2,36 %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F6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0,67 %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FB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0,45 %</w:t>
            </w:r>
          </w:p>
        </w:tc>
      </w:tr>
      <w:tr w:rsidR="00DA059D" w:rsidRPr="00DA059D" w14:paraId="27317618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58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8A6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Ostravě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1E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2,58 %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8E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3,46 %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A1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4,54 %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1E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11,74 %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F2A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13,22 %</w:t>
            </w:r>
          </w:p>
        </w:tc>
      </w:tr>
      <w:tr w:rsidR="00DA059D" w:rsidRPr="00DA059D" w14:paraId="52C96D5C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46B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C09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Ústí nad Labem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30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B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1,25 %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67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4,26 %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50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14,18 %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C1F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13,13 %</w:t>
            </w:r>
          </w:p>
        </w:tc>
      </w:tr>
      <w:tr w:rsidR="00DA059D" w:rsidRPr="00DA059D" w14:paraId="288CBC85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3E9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C40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27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77,39 %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77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72,81 %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8AD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D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9F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A059D" w:rsidRPr="00DA059D" w14:paraId="0F460D79" w14:textId="77777777" w:rsidTr="00DA059D">
        <w:trPr>
          <w:trHeight w:val="255"/>
        </w:trPr>
        <w:tc>
          <w:tcPr>
            <w:tcW w:w="2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3A29064B" w14:textId="77777777" w:rsidR="00DA059D" w:rsidRPr="00DA059D" w:rsidRDefault="00DA059D" w:rsidP="00DA059D">
            <w:pPr>
              <w:spacing w:after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color w:val="000000"/>
                <w:sz w:val="16"/>
                <w:szCs w:val="16"/>
              </w:rPr>
              <w:t>Podíl výše příspěvku na provoz na celkových výnosech PO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2E34C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0,89 %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4EC628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2,03 %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B8BEAD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0,75 %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1BE38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0,68 %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97D84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0,85 %</w:t>
            </w:r>
          </w:p>
        </w:tc>
      </w:tr>
    </w:tbl>
    <w:p w14:paraId="0D7F861F" w14:textId="77777777" w:rsidR="00DA059D" w:rsidRPr="00DA059D" w:rsidRDefault="00DA059D" w:rsidP="00DA059D">
      <w:pPr>
        <w:spacing w:before="40" w:after="0"/>
        <w:ind w:left="567" w:hanging="567"/>
        <w:rPr>
          <w:rFonts w:cs="Calibri"/>
          <w:sz w:val="20"/>
          <w:szCs w:val="20"/>
        </w:rPr>
      </w:pPr>
      <w:bookmarkStart w:id="144" w:name="_Toc520714622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b/>
          <w:sz w:val="20"/>
          <w:szCs w:val="20"/>
        </w:rPr>
        <w:tab/>
      </w:r>
      <w:r w:rsidRPr="00DA059D">
        <w:rPr>
          <w:rFonts w:cs="Calibri"/>
          <w:sz w:val="20"/>
          <w:szCs w:val="20"/>
        </w:rPr>
        <w:t xml:space="preserve">informační portál MONITOR, IISSP-CSÚIS – výkaz přehled o rozpočtu SPO – část II (údaje ze sloupce </w:t>
      </w:r>
      <w:r w:rsidRPr="00DA059D">
        <w:rPr>
          <w:rFonts w:cs="Calibri"/>
          <w:i/>
          <w:sz w:val="20"/>
          <w:szCs w:val="20"/>
        </w:rPr>
        <w:t>Skutečnost minulého roku v Kč</w:t>
      </w:r>
      <w:r w:rsidRPr="00DA059D">
        <w:rPr>
          <w:rFonts w:cs="Calibri"/>
          <w:sz w:val="20"/>
          <w:szCs w:val="20"/>
        </w:rPr>
        <w:t>); vlastní zpracování NKÚ.</w:t>
      </w:r>
    </w:p>
    <w:p w14:paraId="7048F859" w14:textId="77777777" w:rsidR="00DA059D" w:rsidRPr="00DA059D" w:rsidRDefault="00DA059D" w:rsidP="00DA059D">
      <w:pPr>
        <w:spacing w:after="0"/>
        <w:jc w:val="both"/>
      </w:pPr>
    </w:p>
    <w:p w14:paraId="3A6C6B2A" w14:textId="33BD6A39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45" w:name="_Toc524590479"/>
      <w:bookmarkStart w:id="146" w:name="_Toc531766465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45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Podíl výše příspěvku na provoz na výnosech z transferů PO (účet 671)</w:t>
      </w:r>
      <w:bookmarkEnd w:id="144"/>
      <w:bookmarkEnd w:id="145"/>
      <w:bookmarkEnd w:id="146"/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4662"/>
        <w:gridCol w:w="726"/>
        <w:gridCol w:w="726"/>
        <w:gridCol w:w="729"/>
        <w:gridCol w:w="727"/>
        <w:gridCol w:w="729"/>
      </w:tblGrid>
      <w:tr w:rsidR="00DA059D" w:rsidRPr="00DA059D" w14:paraId="1350FBC0" w14:textId="77777777" w:rsidTr="00A87950">
        <w:trPr>
          <w:trHeight w:val="25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C57F56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6E9E1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FB42714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4C3017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DDA5B8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2B42A3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EA822EE" w14:textId="77777777" w:rsidR="00DA059D" w:rsidRPr="00DA059D" w:rsidRDefault="00DA059D" w:rsidP="00A8795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51DF112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AED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00209775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7F5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Centrum kardiovaskulární a transplantační chirurgie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DAC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66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048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4A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A3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7A87F05D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2E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00842052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D33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9F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4B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F9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6C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CE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0D7E57B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AB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00831034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C7B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Louny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5F0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FF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39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A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700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128346A9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319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00667421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27B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Dětská psychiatrická nemocnice Opařany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06A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98,97 %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06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70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C63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E8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87,43 %</w:t>
            </w:r>
          </w:p>
        </w:tc>
      </w:tr>
      <w:tr w:rsidR="00DA059D" w:rsidRPr="00DA059D" w14:paraId="4E37D45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47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00023761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5CC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Endokrinologický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748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E2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9C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18,44 %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6E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41,62 %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5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27,24 %</w:t>
            </w:r>
          </w:p>
        </w:tc>
      </w:tr>
      <w:tr w:rsidR="00DA059D" w:rsidRPr="00DA059D" w14:paraId="13AAAFC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96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65269705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C74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2EA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0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24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E3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1A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15EFB254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27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00179906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985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Hradec Králové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D1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1,31 %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D4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0,89 %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7C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2,48 %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7D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8,07 %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47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17,38 %</w:t>
            </w:r>
          </w:p>
        </w:tc>
      </w:tr>
      <w:tr w:rsidR="00DA059D" w:rsidRPr="00DA059D" w14:paraId="7DA8851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ED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00064173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F63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Královské Vinohrady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9F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DC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AF9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449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127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1CCF6C75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FD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lastRenderedPageBreak/>
              <w:t>00098892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18A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Olomouc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E1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60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3D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27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32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316E4DC4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C2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00843989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A29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Ostrava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39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85,09 %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36D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84,83 %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5C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F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60,43 %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B8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19,62 %</w:t>
            </w:r>
          </w:p>
        </w:tc>
      </w:tr>
      <w:tr w:rsidR="00DA059D" w:rsidRPr="00DA059D" w14:paraId="582FFD52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5D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00669806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16B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Plzeň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8A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9CB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BF5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5D6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13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24,38 %</w:t>
            </w:r>
          </w:p>
        </w:tc>
      </w:tr>
      <w:tr w:rsidR="00DA059D" w:rsidRPr="00DA059D" w14:paraId="0CDBCF8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0EB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00159816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CA8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u sv. Anny v Brně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E9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08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113,39 %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F3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33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184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35D5F40C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FE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00064203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DE7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Fakultní nemocnice v Motole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58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3,65 %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45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0,45 %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5D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2,81 %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A2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01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9,75 %</w:t>
            </w:r>
          </w:p>
        </w:tc>
      </w:tr>
      <w:tr w:rsidR="00DA059D" w:rsidRPr="00DA059D" w14:paraId="5F44F55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4D4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00183024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32E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6B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3E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4F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219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54E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85,55 %</w:t>
            </w:r>
          </w:p>
        </w:tc>
      </w:tr>
      <w:tr w:rsidR="00DA059D" w:rsidRPr="00DA059D" w14:paraId="396BDA0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45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00023001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43F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klinické a experimentální medicíny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49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83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10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80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B9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6BB4CF1D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5F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00023841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D2D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0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FE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DB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65,91 %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C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54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04C3C2E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A4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00669784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E19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Léčebna tuberkulózy a respiračních nemocí Janov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2C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50,51 %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72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CA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BC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FE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48F4974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70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00883573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F91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Léčebné lázně Lázně Kynžvart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F2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775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90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279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D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39,03 %</w:t>
            </w:r>
          </w:p>
        </w:tc>
      </w:tr>
      <w:tr w:rsidR="00DA059D" w:rsidRPr="00DA059D" w14:paraId="4733818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C3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00209805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FE2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Masarykův onkologický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DB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95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404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1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953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1,60 %</w:t>
            </w:r>
          </w:p>
        </w:tc>
      </w:tr>
      <w:tr w:rsidR="00DA059D" w:rsidRPr="00DA059D" w14:paraId="6F7FB8A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E48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00023850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6DB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4C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80,57 %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3C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80,57 %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4A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37,57 %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2A7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45E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76,52 %</w:t>
            </w:r>
          </w:p>
        </w:tc>
      </w:tr>
      <w:tr w:rsidR="00DA059D" w:rsidRPr="00DA059D" w14:paraId="52C322F0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3F9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DBE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Národní ústav duševního zdraví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ED8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98,62 %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17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B59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04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F3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0,21 %</w:t>
            </w:r>
          </w:p>
        </w:tc>
      </w:tr>
      <w:tr w:rsidR="00DA059D" w:rsidRPr="00DA059D" w14:paraId="40557A49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4E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00064211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C7D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Bulovce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95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14,58 %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DA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97,35 %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44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80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76,21 %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5F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64,19 %</w:t>
            </w:r>
          </w:p>
        </w:tc>
      </w:tr>
      <w:tr w:rsidR="00DA059D" w:rsidRPr="00DA059D" w14:paraId="28565ECD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206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00023884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001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Nemocnice Na Homolce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133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945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E7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E3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15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4C4954C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35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00583600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EF4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Červený Dvůr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06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98,00 %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A7C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47,37 %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88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8F8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25,09 %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7A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63,22 %</w:t>
            </w:r>
          </w:p>
        </w:tc>
      </w:tr>
      <w:tr w:rsidR="00DA059D" w:rsidRPr="00DA059D" w14:paraId="4A0AB4E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67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00843954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388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léčebna Šternberk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BA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9F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708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49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DE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74590867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DAB6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00064220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34F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Bohnice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87B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47,04 %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3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FEE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45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83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31,27 %</w:t>
            </w:r>
          </w:p>
        </w:tc>
      </w:tr>
      <w:tr w:rsidR="00DA059D" w:rsidRPr="00DA059D" w14:paraId="1B66099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F3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00160105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2AA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Brno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C3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10,65 %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717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7,40 %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DE7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5AF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C1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66,32 %</w:t>
            </w:r>
          </w:p>
        </w:tc>
      </w:tr>
      <w:tr w:rsidR="00DA059D" w:rsidRPr="00DA059D" w14:paraId="296FDA02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BD6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00179230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EB7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Havlíčkův Brod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0B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45,54 %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D8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E4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7FE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3BD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4F49C3FB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5C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00673552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C05B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Horní Beřkovice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36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E05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98D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2AA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36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35,45 %</w:t>
            </w:r>
          </w:p>
        </w:tc>
      </w:tr>
      <w:tr w:rsidR="00DA059D" w:rsidRPr="00DA059D" w14:paraId="2D42C642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4D6C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00600601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0EE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Jihlava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EE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F01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B0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814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85B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89B5B1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B9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00068691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3A3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Kosmonosy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E3F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97,22 %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277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96,08 %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A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1F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97,92 %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DD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73D64EA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9F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00851388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5B8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Marianny Oranžské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BD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B85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A77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589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72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3116611A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55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00669792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4D7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Dobřanech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D6F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FB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BC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B2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68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04EBF05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2B2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00567914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EBE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Kroměříži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95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17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F61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AC8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E7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1E2E576E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01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00844004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095C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Psychiatrická nemocnice v Opavě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DF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53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53B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34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249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40,10 %</w:t>
            </w:r>
          </w:p>
        </w:tc>
      </w:tr>
      <w:tr w:rsidR="00DA059D" w:rsidRPr="00DA059D" w14:paraId="7DBB1F2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9D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00883581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21B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644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398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F24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35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40C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</w:tr>
      <w:tr w:rsidR="00DA059D" w:rsidRPr="00DA059D" w14:paraId="37DC0249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DF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00601233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BD3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Hrabyně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A2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18A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D3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B8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4D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56,72 %</w:t>
            </w:r>
          </w:p>
        </w:tc>
      </w:tr>
      <w:tr w:rsidR="00DA059D" w:rsidRPr="00DA059D" w14:paraId="1E1474F3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DF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00068705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15C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Rehabilitační ústav Kladruby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B7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04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D67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E92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470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12,00 %</w:t>
            </w:r>
          </w:p>
        </w:tc>
      </w:tr>
      <w:tr w:rsidR="00DA059D" w:rsidRPr="00DA059D" w14:paraId="66153EC8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53B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00023728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3BC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Revmatologický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F0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7D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8C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4A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69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0979D90D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6648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75010330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BA0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Státní zdravotní ústav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E7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76,90 %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D3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68,26 %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53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74,51 %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A74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68,82 %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494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79,67 %</w:t>
            </w:r>
          </w:p>
        </w:tc>
      </w:tr>
      <w:tr w:rsidR="00DA059D" w:rsidRPr="00DA059D" w14:paraId="0CEAEA84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A4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00064190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A6C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Thomayerova nemocnice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F83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32,96 %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B9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35,61 %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4F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43,11 %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545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43,23 %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7E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51,32 %</w:t>
            </w:r>
          </w:p>
        </w:tc>
      </w:tr>
      <w:tr w:rsidR="00DA059D" w:rsidRPr="00DA059D" w14:paraId="3C2BC82F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1ED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00023736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2ED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hematologie a krevní transfuze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0F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79,16 %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6A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76,51 %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518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F41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01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</w:tr>
      <w:tr w:rsidR="00DA059D" w:rsidRPr="00DA059D" w14:paraId="5FD089D1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561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00023698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901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Ústav pro péči o matku a dítě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B0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3,28 %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2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2,21 %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FA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26,79 %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1A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10,86 %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3E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34,60 %</w:t>
            </w:r>
          </w:p>
        </w:tc>
      </w:tr>
      <w:tr w:rsidR="00DA059D" w:rsidRPr="00DA059D" w14:paraId="4FFAF45B" w14:textId="77777777" w:rsidTr="00DA059D">
        <w:trPr>
          <w:trHeight w:val="25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2E5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00064165</w:t>
            </w: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019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Všeobecná fakultní nemocnice v Praze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64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99,98 %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E0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89,04 %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31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93,14 %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73B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22,79 %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CC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14,81 %</w:t>
            </w:r>
          </w:p>
        </w:tc>
      </w:tr>
      <w:tr w:rsidR="00DA059D" w:rsidRPr="00DA059D" w14:paraId="13F133CC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BF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71009396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31C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Ostravě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E2A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40,55 %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E2C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52,55 %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0DF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34,01 %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7BF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76,86 %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E4B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77,04 %</w:t>
            </w:r>
          </w:p>
        </w:tc>
      </w:tr>
      <w:tr w:rsidR="00DA059D" w:rsidRPr="00DA059D" w14:paraId="3ED9FE9A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17E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71009361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641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Zdravotní ústav se sídlem v Ústí nad Labem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54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0,00 %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D3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51,26 %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671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94,62 %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7A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1A3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86,31 %</w:t>
            </w:r>
          </w:p>
        </w:tc>
      </w:tr>
      <w:tr w:rsidR="00DA059D" w:rsidRPr="00DA059D" w14:paraId="5F8ACD21" w14:textId="77777777" w:rsidTr="00DA059D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3F3F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00875422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43E8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Zdravotnické zabezpečení krizových stavů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E3F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86,12 %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35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2C4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7E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3E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A059D" w:rsidRPr="00DA059D" w14:paraId="48AB9879" w14:textId="77777777" w:rsidTr="00DA059D">
        <w:trPr>
          <w:trHeight w:val="255"/>
        </w:trPr>
        <w:tc>
          <w:tcPr>
            <w:tcW w:w="2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6AEC44E6" w14:textId="77777777" w:rsidR="00DA059D" w:rsidRPr="00DA059D" w:rsidRDefault="00DA059D" w:rsidP="00DA059D">
            <w:pPr>
              <w:spacing w:after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color w:val="000000"/>
                <w:sz w:val="16"/>
                <w:szCs w:val="16"/>
              </w:rPr>
              <w:t>Podíl výše příspěvku na provoz na výnosech z transferů PO (účet 671)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51C2A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29,74 %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499854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58,93 %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09B63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20,94 %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4510D0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21,34 %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46DF06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A059D">
              <w:rPr>
                <w:rFonts w:cs="Calibri"/>
                <w:b/>
                <w:bCs/>
                <w:color w:val="000000"/>
                <w:sz w:val="16"/>
                <w:szCs w:val="16"/>
              </w:rPr>
              <w:t>23,67 %</w:t>
            </w:r>
          </w:p>
        </w:tc>
      </w:tr>
    </w:tbl>
    <w:p w14:paraId="7A052E9F" w14:textId="77777777" w:rsidR="00DA059D" w:rsidRPr="00DA059D" w:rsidRDefault="00DA059D" w:rsidP="00A87950">
      <w:pPr>
        <w:spacing w:after="0"/>
        <w:ind w:left="567" w:hanging="567"/>
        <w:rPr>
          <w:rFonts w:cs="Calibri"/>
          <w:sz w:val="20"/>
          <w:szCs w:val="20"/>
        </w:rPr>
      </w:pPr>
      <w:bookmarkStart w:id="147" w:name="_Toc520714623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b/>
          <w:sz w:val="20"/>
          <w:szCs w:val="20"/>
        </w:rPr>
        <w:tab/>
      </w:r>
      <w:r w:rsidRPr="00DA059D">
        <w:rPr>
          <w:rFonts w:cs="Calibri"/>
          <w:sz w:val="20"/>
          <w:szCs w:val="20"/>
        </w:rPr>
        <w:t xml:space="preserve">informační portál MONITOR, IISSP-CSÚIS – výkaz přehled o rozpočtu SPO – část II (údaje ze sloupce </w:t>
      </w:r>
      <w:r w:rsidRPr="00DA059D">
        <w:rPr>
          <w:rFonts w:cs="Calibri"/>
          <w:i/>
          <w:sz w:val="20"/>
          <w:szCs w:val="20"/>
        </w:rPr>
        <w:t>Skutečnost minulého roku v Kč</w:t>
      </w:r>
      <w:r w:rsidRPr="00DA059D">
        <w:rPr>
          <w:rFonts w:cs="Calibri"/>
          <w:sz w:val="20"/>
          <w:szCs w:val="20"/>
        </w:rPr>
        <w:t>); vlastní zpracování NKÚ.</w:t>
      </w:r>
    </w:p>
    <w:p w14:paraId="33DA93B5" w14:textId="77777777" w:rsidR="00DA059D" w:rsidRPr="00DA059D" w:rsidRDefault="00DA059D" w:rsidP="00DA059D">
      <w:pPr>
        <w:spacing w:after="0"/>
      </w:pPr>
      <w:r w:rsidRPr="00DA059D">
        <w:br w:type="page"/>
      </w:r>
    </w:p>
    <w:p w14:paraId="636149AA" w14:textId="7B89EF57" w:rsidR="00DA059D" w:rsidRPr="00DA059D" w:rsidRDefault="00DA059D" w:rsidP="00A87950">
      <w:pPr>
        <w:keepNext/>
        <w:tabs>
          <w:tab w:val="right" w:pos="9072"/>
        </w:tabs>
        <w:spacing w:after="40"/>
        <w:ind w:left="1446" w:hanging="1446"/>
        <w:rPr>
          <w:rFonts w:cs="Calibri"/>
          <w:b/>
          <w:bCs/>
        </w:rPr>
      </w:pPr>
      <w:bookmarkStart w:id="148" w:name="_Toc524590480"/>
      <w:bookmarkStart w:id="149" w:name="_Toc531766466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46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</w:t>
      </w:r>
      <w:r w:rsidRPr="00DA059D">
        <w:rPr>
          <w:rFonts w:cs="Calibri"/>
          <w:b/>
          <w:bCs/>
        </w:rPr>
        <w:tab/>
        <w:t>Porovnání výše příspěvku na provoz s celkovými výnosy a s výnosy z transferů (za všechny PO v rozpočtové kapitole 335 MZd)</w:t>
      </w:r>
      <w:bookmarkEnd w:id="147"/>
      <w:bookmarkEnd w:id="148"/>
      <w:bookmarkEnd w:id="1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8"/>
        <w:gridCol w:w="1128"/>
        <w:gridCol w:w="1128"/>
        <w:gridCol w:w="1130"/>
        <w:gridCol w:w="1129"/>
        <w:gridCol w:w="1129"/>
      </w:tblGrid>
      <w:tr w:rsidR="00DA059D" w:rsidRPr="00DA059D" w14:paraId="7F97EFCF" w14:textId="77777777" w:rsidTr="00DA059D">
        <w:trPr>
          <w:trHeight w:val="255"/>
          <w:tblHeader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53E07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D709A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9B008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6FE40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8BC81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881B9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DA059D" w:rsidRPr="00DA059D" w14:paraId="23C222AF" w14:textId="77777777" w:rsidTr="00DA059D">
        <w:trPr>
          <w:trHeight w:val="255"/>
        </w:trPr>
        <w:tc>
          <w:tcPr>
            <w:tcW w:w="1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C4A0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Příspěvek na provoz / celkové výnosy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DB4F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0,89 %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2D7C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2,03 %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B8FA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0,75 %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1ADF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0,68 %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C4DC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0,85 %</w:t>
            </w:r>
          </w:p>
        </w:tc>
      </w:tr>
      <w:tr w:rsidR="00DA059D" w:rsidRPr="00DA059D" w14:paraId="610AF99C" w14:textId="77777777" w:rsidTr="00DA059D">
        <w:trPr>
          <w:trHeight w:val="255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6997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color w:val="000000"/>
                <w:sz w:val="20"/>
                <w:szCs w:val="20"/>
              </w:rPr>
              <w:t>Příspěvek na provoz / výnosy z transferů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B3C7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29,74 %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9EAC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58,93 %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3454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20,94 %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607F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21,34 %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A3C8" w14:textId="77777777" w:rsidR="00DA059D" w:rsidRPr="00DA059D" w:rsidRDefault="00DA059D" w:rsidP="00DA059D">
            <w:pPr>
              <w:spacing w:after="0"/>
              <w:ind w:right="18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23,67 %</w:t>
            </w:r>
          </w:p>
        </w:tc>
      </w:tr>
    </w:tbl>
    <w:p w14:paraId="7D16BA39" w14:textId="77777777" w:rsidR="00DA059D" w:rsidRPr="00DA059D" w:rsidRDefault="00DA059D" w:rsidP="00DA059D">
      <w:pPr>
        <w:spacing w:before="40" w:after="0"/>
        <w:rPr>
          <w:rFonts w:cs="Calibri"/>
          <w:sz w:val="20"/>
          <w:szCs w:val="20"/>
        </w:rPr>
      </w:pPr>
      <w:bookmarkStart w:id="150" w:name="_Toc520715154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p w14:paraId="6BF313C4" w14:textId="77777777" w:rsidR="00DA059D" w:rsidRPr="00DA059D" w:rsidRDefault="00DA059D" w:rsidP="00DA059D">
      <w:pPr>
        <w:spacing w:after="0"/>
        <w:jc w:val="both"/>
      </w:pPr>
    </w:p>
    <w:p w14:paraId="674A382B" w14:textId="47789B77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51" w:name="_Toc520714624"/>
      <w:bookmarkStart w:id="152" w:name="_Toc524590481"/>
      <w:bookmarkStart w:id="153" w:name="_Toc531766467"/>
      <w:bookmarkEnd w:id="150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47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>: Tempo růstu výnosů a příspěvku na provoz PO kapitoly 335</w:t>
      </w:r>
      <w:bookmarkEnd w:id="151"/>
      <w:bookmarkEnd w:id="152"/>
      <w:r w:rsidRPr="00DA059D">
        <w:rPr>
          <w:rFonts w:cs="Calibri"/>
          <w:b/>
          <w:bCs/>
        </w:rPr>
        <w:t xml:space="preserve"> MZ</w:t>
      </w:r>
      <w:bookmarkEnd w:id="153"/>
      <w:r w:rsidRPr="00DA059D">
        <w:rPr>
          <w:rFonts w:cs="Calibri"/>
          <w:b/>
          <w:bCs/>
        </w:rPr>
        <w:t>d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20"/>
        <w:gridCol w:w="1520"/>
        <w:gridCol w:w="1521"/>
        <w:gridCol w:w="1519"/>
      </w:tblGrid>
      <w:tr w:rsidR="00DA059D" w:rsidRPr="00DA059D" w14:paraId="6380C4E7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559AE1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</w:p>
          <w:p w14:paraId="7C78E52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FCBEF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2014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3819C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2015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41924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2016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9677D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2017 </w:t>
            </w:r>
            <w:r w:rsidRPr="00DA059D">
              <w:rPr>
                <w:rFonts w:cs="Calibri"/>
                <w:b/>
                <w:sz w:val="20"/>
                <w:szCs w:val="20"/>
              </w:rPr>
              <w:t xml:space="preserve">− </w:t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DA059D" w:rsidRPr="00DA059D" w14:paraId="1EA54D0F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C28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celkem v Kč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DBD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4 441 617 948,42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60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3 420 662 614,85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64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3 467 414 344,70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362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4 792 603 854,95</w:t>
            </w:r>
          </w:p>
        </w:tc>
      </w:tr>
      <w:tr w:rsidR="00DA059D" w:rsidRPr="00DA059D" w14:paraId="5BFA62A3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ED59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transferové (účet 671) v Kč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525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461 426 343,63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9E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238 644 674,83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F31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194 003 780,24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42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473 307 276,41</w:t>
            </w:r>
          </w:p>
        </w:tc>
      </w:tr>
      <w:tr w:rsidR="00DA059D" w:rsidRPr="00DA059D" w14:paraId="2C697CA2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E553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Příspěvek na provoz v Kč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806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861 266 093,97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2AA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892 288 690,05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C6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30 701 854,76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A12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171 020 595,17</w:t>
            </w:r>
          </w:p>
        </w:tc>
      </w:tr>
      <w:tr w:rsidR="00DA059D" w:rsidRPr="00DA059D" w14:paraId="0A8272E9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5DF2B6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</w:t>
            </w:r>
          </w:p>
          <w:p w14:paraId="3D91762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([{x+1}</w:t>
            </w:r>
            <w:r w:rsidRPr="00DA059D">
              <w:rPr>
                <w:rFonts w:cs="Calibri"/>
                <w:b/>
                <w:sz w:val="20"/>
                <w:szCs w:val="20"/>
              </w:rPr>
              <w:sym w:font="Symbol" w:char="F02D"/>
            </w:r>
            <w:r w:rsidRPr="00DA059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x]/x)×100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06F48B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2014/2013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8450F9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2015/2014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C74B4E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44DDF7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A059D">
              <w:rPr>
                <w:rFonts w:cs="Calibri"/>
                <w:b/>
                <w:color w:val="000000"/>
                <w:sz w:val="20"/>
                <w:szCs w:val="20"/>
              </w:rPr>
              <w:t>2017/2016</w:t>
            </w:r>
          </w:p>
        </w:tc>
      </w:tr>
      <w:tr w:rsidR="00DA059D" w:rsidRPr="00DA059D" w14:paraId="714A49DE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FB3B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F52E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6,57 %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AB05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4,75 %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B954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4,60 %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B58A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6,07 %</w:t>
            </w:r>
          </w:p>
        </w:tc>
      </w:tr>
      <w:tr w:rsidR="00DA059D" w:rsidRPr="00DA059D" w14:paraId="3EF62927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C894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Výnosy transferové (účet 671)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A438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22,86 %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B2A4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9,62 %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FD32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7,14 %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22D0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18,75 %</w:t>
            </w:r>
          </w:p>
        </w:tc>
      </w:tr>
      <w:tr w:rsidR="00DA059D" w:rsidRPr="00DA059D" w14:paraId="0D39997B" w14:textId="77777777" w:rsidTr="00DA059D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A1BA" w14:textId="77777777" w:rsidR="00DA059D" w:rsidRPr="00DA059D" w:rsidRDefault="00DA059D" w:rsidP="00DA059D">
            <w:pPr>
              <w:spacing w:after="0"/>
              <w:jc w:val="both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DA059D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Příspěvek na provoz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6E7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143,44 %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BDCF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61,04 %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8BA3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color w:val="000000"/>
                <w:sz w:val="18"/>
                <w:szCs w:val="18"/>
              </w:rPr>
              <w:t>5,39 %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B319" w14:textId="77777777" w:rsidR="00DA059D" w:rsidRPr="00DA059D" w:rsidRDefault="00DA059D" w:rsidP="00DA059D">
            <w:pPr>
              <w:spacing w:after="0"/>
              <w:ind w:right="31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</w:rPr>
              <w:t>31,75 %</w:t>
            </w:r>
          </w:p>
        </w:tc>
      </w:tr>
    </w:tbl>
    <w:p w14:paraId="75C1BD86" w14:textId="26F5D8AB" w:rsidR="00DA059D" w:rsidRPr="00DA059D" w:rsidRDefault="00DA059D" w:rsidP="00DA059D">
      <w:pPr>
        <w:tabs>
          <w:tab w:val="right" w:pos="9072"/>
        </w:tabs>
        <w:spacing w:before="40" w:after="0"/>
        <w:rPr>
          <w:rFonts w:cs="Calibri"/>
          <w:b/>
          <w:sz w:val="20"/>
          <w:szCs w:val="20"/>
        </w:rPr>
      </w:pPr>
      <w:bookmarkStart w:id="154" w:name="_Toc520715155"/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vlastní výpočet NKÚ.</w:t>
      </w:r>
    </w:p>
    <w:bookmarkEnd w:id="154"/>
    <w:p w14:paraId="2490C693" w14:textId="77777777" w:rsidR="00DA059D" w:rsidRPr="00DA059D" w:rsidRDefault="00DA059D" w:rsidP="00DA059D">
      <w:pPr>
        <w:spacing w:after="0"/>
      </w:pPr>
    </w:p>
    <w:p w14:paraId="611EC9D8" w14:textId="573A3B35" w:rsidR="00DA059D" w:rsidRPr="00DA059D" w:rsidRDefault="00DA059D" w:rsidP="00DA059D">
      <w:pPr>
        <w:keepNext/>
        <w:tabs>
          <w:tab w:val="right" w:pos="9072"/>
        </w:tabs>
        <w:spacing w:after="40"/>
        <w:ind w:right="1"/>
        <w:rPr>
          <w:rFonts w:cs="Calibri"/>
          <w:b/>
          <w:bCs/>
        </w:rPr>
      </w:pPr>
      <w:bookmarkStart w:id="155" w:name="_Toc524590472"/>
      <w:bookmarkStart w:id="156" w:name="_Toc529804824"/>
      <w:r w:rsidRPr="00DA059D">
        <w:rPr>
          <w:rFonts w:cs="Calibri"/>
          <w:b/>
          <w:bCs/>
        </w:rPr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48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Výsledky hospodaření běžného účetního období nemocnic </w:t>
      </w:r>
      <w:r w:rsidRPr="00DA059D">
        <w:rPr>
          <w:rFonts w:cs="Calibri"/>
          <w:b/>
          <w:bCs/>
        </w:rPr>
        <w:tab/>
        <w:t>(v tis. Kč)</w:t>
      </w:r>
      <w:bookmarkEnd w:id="155"/>
      <w:bookmarkEnd w:id="156"/>
    </w:p>
    <w:tbl>
      <w:tblPr>
        <w:tblW w:w="50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1065"/>
        <w:gridCol w:w="966"/>
        <w:gridCol w:w="1004"/>
        <w:gridCol w:w="1016"/>
        <w:gridCol w:w="1016"/>
        <w:gridCol w:w="1143"/>
      </w:tblGrid>
      <w:tr w:rsidR="00DA059D" w:rsidRPr="00DA059D" w14:paraId="7E1B0BE0" w14:textId="77777777" w:rsidTr="00DA059D">
        <w:trPr>
          <w:trHeight w:val="2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7532588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277A426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1853294A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4963BF9E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12BAF208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EBF7" w:fill="E5F1FF"/>
            <w:vAlign w:val="center"/>
            <w:hideMark/>
          </w:tcPr>
          <w:p w14:paraId="28E3EA62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4AA3846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Kumulovaný VH</w:t>
            </w:r>
          </w:p>
        </w:tc>
      </w:tr>
      <w:tr w:rsidR="00DA059D" w:rsidRPr="00DA059D" w14:paraId="0F25713A" w14:textId="77777777" w:rsidTr="00DA059D">
        <w:trPr>
          <w:trHeight w:val="2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3D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Brno</w:t>
            </w:r>
          </w:p>
        </w:tc>
        <w:tc>
          <w:tcPr>
            <w:tcW w:w="10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46CC9D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302 946,76</w:t>
            </w:r>
          </w:p>
        </w:tc>
        <w:tc>
          <w:tcPr>
            <w:tcW w:w="9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87683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8 407,78</w:t>
            </w:r>
          </w:p>
        </w:tc>
        <w:tc>
          <w:tcPr>
            <w:tcW w:w="10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B5C12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1 520,34</w:t>
            </w:r>
          </w:p>
        </w:tc>
        <w:tc>
          <w:tcPr>
            <w:tcW w:w="1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4C0A1DC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12 727,13</w:t>
            </w:r>
          </w:p>
        </w:tc>
        <w:tc>
          <w:tcPr>
            <w:tcW w:w="1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0E257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16 840,53</w:t>
            </w:r>
          </w:p>
        </w:tc>
        <w:tc>
          <w:tcPr>
            <w:tcW w:w="11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2C087C5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342 442,54</w:t>
            </w:r>
          </w:p>
        </w:tc>
      </w:tr>
      <w:tr w:rsidR="00DA059D" w:rsidRPr="00DA059D" w14:paraId="4C28F6CD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DB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Hradec Králové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863849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467,80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CE212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89,93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DC944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13 712,83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307FA4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1 316,22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9DA459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1 204,85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1B6C825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10 634,02</w:t>
            </w:r>
          </w:p>
        </w:tc>
      </w:tr>
      <w:tr w:rsidR="00DA059D" w:rsidRPr="00DA059D" w14:paraId="403E733B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BA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Královské Vinohrady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120B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4 310,76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44C12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1 982,40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B3BBC8" w14:textId="77777777" w:rsidR="00DA059D" w:rsidRPr="00DA059D" w:rsidRDefault="00DA059D" w:rsidP="00DA059D">
            <w:pPr>
              <w:spacing w:after="0"/>
              <w:ind w:left="-47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120 769,66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37B8B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58 655,71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B6A5F2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3 498,52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08D774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189 217,04</w:t>
            </w:r>
          </w:p>
        </w:tc>
      </w:tr>
      <w:tr w:rsidR="00DA059D" w:rsidRPr="00DA059D" w14:paraId="150AEF73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7A4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Olomouc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AFC3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45 496,46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F7D6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197 381,52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DDB7F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296 648,16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E6F179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139 747,62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CA5CA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182 985,02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751B7F3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862 258,78</w:t>
            </w:r>
          </w:p>
        </w:tc>
      </w:tr>
      <w:tr w:rsidR="00DA059D" w:rsidRPr="00DA059D" w14:paraId="308B41E4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C02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Ostrava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F288CE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180,12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B279F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192,55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FE093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621,59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B37E6F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1 583,62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0635CD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66 891,34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4ACC44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69 108,97</w:t>
            </w:r>
          </w:p>
        </w:tc>
      </w:tr>
      <w:tr w:rsidR="00DA059D" w:rsidRPr="00DA059D" w14:paraId="55D9EE0C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A4F6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Plzeň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A4691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25 920,64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60EE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1 612,33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A3C4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1 780,69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C41C8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1 876,85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87B432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870,58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18C8BD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32 061,09</w:t>
            </w:r>
          </w:p>
        </w:tc>
      </w:tr>
      <w:tr w:rsidR="00DA059D" w:rsidRPr="00DA059D" w14:paraId="1234595B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381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u sv. Anny v Brně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09F21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367 168,66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9937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3 861,92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E92C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96 935,54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4DAE79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232 982,85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2B274E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333 762,68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8FC2E3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1 026 987,82</w:t>
            </w:r>
          </w:p>
        </w:tc>
      </w:tr>
      <w:tr w:rsidR="00DA059D" w:rsidRPr="00DA059D" w14:paraId="4E10F18E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83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v Motole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2B429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30 561,61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A6480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39 402,78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266F6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44 653,99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8D0FCB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41 212,39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1A3DA3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40 644,91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F7CA19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196 475,69</w:t>
            </w:r>
          </w:p>
        </w:tc>
      </w:tr>
      <w:tr w:rsidR="00DA059D" w:rsidRPr="00DA059D" w14:paraId="451F7E31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19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Bulovce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1C17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310 312,73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CB58D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208 709,85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1CF4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31 538,01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D2E62F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1 302,53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D575FC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216,02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1C2761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68 546,32</w:t>
            </w:r>
          </w:p>
        </w:tc>
      </w:tr>
      <w:tr w:rsidR="00DA059D" w:rsidRPr="00DA059D" w14:paraId="075685A6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025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Homolce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1C2DC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19 446,05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614370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22 182,48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8EFEC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19 111,48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8D1C55B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11 214,10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28D079A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6 376,47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698D17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4 926,48</w:t>
            </w:r>
          </w:p>
        </w:tc>
      </w:tr>
      <w:tr w:rsidR="00DA059D" w:rsidRPr="00DA059D" w14:paraId="7A661BA7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E010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Thomayerova nemocnice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0D867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155 565,16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CC6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262,80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9336B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283,71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A78DBC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313,97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CF52B0F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800,10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81960D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</w:rPr>
              <w:t>−</w:t>
            </w:r>
            <w:r w:rsidRPr="00DA059D">
              <w:rPr>
                <w:rFonts w:cs="Calibri"/>
                <w:sz w:val="18"/>
                <w:szCs w:val="18"/>
                <w:lang w:eastAsia="cs-CZ"/>
              </w:rPr>
              <w:t>153 904,57</w:t>
            </w:r>
          </w:p>
        </w:tc>
      </w:tr>
      <w:tr w:rsidR="00DA059D" w:rsidRPr="00DA059D" w14:paraId="002F4704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D8F1" w14:textId="77777777" w:rsidR="00DA059D" w:rsidRPr="00DA059D" w:rsidRDefault="00DA059D" w:rsidP="00DA059D">
            <w:pPr>
              <w:spacing w:after="0"/>
              <w:ind w:right="-142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Všeobecná fakultní nemocnice v Praze</w:t>
            </w:r>
          </w:p>
        </w:tc>
        <w:tc>
          <w:tcPr>
            <w:tcW w:w="106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E7278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96,49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81117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521,01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8879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1 414,25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A120E4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927,03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776F9E" w14:textId="77777777" w:rsidR="00DA059D" w:rsidRPr="00DA059D" w:rsidRDefault="00DA059D" w:rsidP="00DA059D">
            <w:pPr>
              <w:spacing w:after="0"/>
              <w:ind w:left="-75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1 674,51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101E15B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4 633,29</w:t>
            </w:r>
          </w:p>
        </w:tc>
      </w:tr>
      <w:tr w:rsidR="00DA059D" w:rsidRPr="00DA059D" w14:paraId="5DAEAA60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30C40799" w14:textId="77777777" w:rsidR="00DA059D" w:rsidRPr="00DA059D" w:rsidRDefault="00DA059D" w:rsidP="00DA059D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Hospodářská činnost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6B643353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7E11EEF6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11093E4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2AA77E84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76AD5B6D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vAlign w:val="center"/>
            <w:hideMark/>
          </w:tcPr>
          <w:p w14:paraId="73995DC1" w14:textId="77777777" w:rsidR="00DA059D" w:rsidRPr="00DA059D" w:rsidRDefault="00DA059D" w:rsidP="00DA059D">
            <w:pPr>
              <w:spacing w:after="0"/>
              <w:ind w:left="-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Kumulovaný VH</w:t>
            </w:r>
          </w:p>
        </w:tc>
      </w:tr>
      <w:tr w:rsidR="00DA059D" w:rsidRPr="00DA059D" w14:paraId="06C322F5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90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Brno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24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6 030,78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A7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8 951,26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92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9 471,78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FC2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13 207,07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94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17 033,07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15E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54 693,95</w:t>
            </w:r>
          </w:p>
        </w:tc>
      </w:tr>
      <w:tr w:rsidR="00DA059D" w:rsidRPr="00DA059D" w14:paraId="7B3512F4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C02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Hradec Králové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BD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1 101,88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A2C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2 005,64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FE3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1 853,17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8B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1 483,03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64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1 986,93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F4D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8 430,65</w:t>
            </w:r>
          </w:p>
        </w:tc>
      </w:tr>
      <w:tr w:rsidR="00DA059D" w:rsidRPr="00DA059D" w14:paraId="10FF60E7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D82" w14:textId="77777777" w:rsidR="00DA059D" w:rsidRPr="00DA059D" w:rsidRDefault="00DA059D" w:rsidP="00DA059D">
            <w:pPr>
              <w:spacing w:after="0"/>
              <w:ind w:right="-3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Královské Vinohrady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93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4 878,47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7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2 839,35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79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3 154,42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19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3 437,05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C12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3 610,08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8E7F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17 919,37</w:t>
            </w:r>
          </w:p>
        </w:tc>
      </w:tr>
      <w:tr w:rsidR="00DA059D" w:rsidRPr="00DA059D" w14:paraId="4C99DD2B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B53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Olomouc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B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2 076,80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50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1 176,42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A2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2 767,56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74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3 270,20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86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3 189,19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1B09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12 480,18</w:t>
            </w:r>
          </w:p>
        </w:tc>
      </w:tr>
      <w:tr w:rsidR="00DA059D" w:rsidRPr="00DA059D" w14:paraId="4826E4F2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D9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Ostrava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4C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998,02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22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772,28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AB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1 101,85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7FE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1 335,16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AB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1 462,08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AE4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5 669,40</w:t>
            </w:r>
          </w:p>
        </w:tc>
      </w:tr>
      <w:tr w:rsidR="00DA059D" w:rsidRPr="00DA059D" w14:paraId="5742385C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2C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Plzeň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4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1 663,83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04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1 560,05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3D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1 400,64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12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2 219,25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B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2 106,62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555A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8 950,40</w:t>
            </w:r>
          </w:p>
        </w:tc>
      </w:tr>
      <w:tr w:rsidR="00DA059D" w:rsidRPr="00DA059D" w14:paraId="1F2A295D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F305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u sv. Anny v Brně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93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432,51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B8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1 238,86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5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847,94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A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1 588,19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65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715,37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70CC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4 822,87</w:t>
            </w:r>
          </w:p>
        </w:tc>
      </w:tr>
      <w:tr w:rsidR="00DA059D" w:rsidRPr="00DA059D" w14:paraId="3C8B0E0F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93C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v Motole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0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32 083,08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3A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40 415,72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7C2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47 605,61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113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45 363,00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EA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43 946,52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5E93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209 413,94</w:t>
            </w:r>
          </w:p>
        </w:tc>
      </w:tr>
      <w:tr w:rsidR="00DA059D" w:rsidRPr="00DA059D" w14:paraId="7F2A5217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3B6D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Bulovce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A6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1 940,47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24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5 803,55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8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59,89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9E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1 136,36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B5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167,59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F7E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9 107,86</w:t>
            </w:r>
          </w:p>
        </w:tc>
      </w:tr>
      <w:tr w:rsidR="00DA059D" w:rsidRPr="00DA059D" w14:paraId="58836DAD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D2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Homolce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0AA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18 979,73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B2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19 597,80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DE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19 235,21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39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18 495,59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80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18 385,66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65A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94 693,98</w:t>
            </w:r>
          </w:p>
        </w:tc>
      </w:tr>
      <w:tr w:rsidR="00DA059D" w:rsidRPr="00DA059D" w14:paraId="1C69F9CB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5DA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Thomayerova nemocnice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181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30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4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866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C7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C57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  <w:tr w:rsidR="00DA059D" w:rsidRPr="00DA059D" w14:paraId="75893F8B" w14:textId="77777777" w:rsidTr="00DA059D">
        <w:trPr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F76" w14:textId="77777777" w:rsidR="00DA059D" w:rsidRPr="00DA059D" w:rsidRDefault="00DA059D" w:rsidP="00DA059D">
            <w:pPr>
              <w:spacing w:after="0"/>
              <w:ind w:right="-142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Všeobecná fakultní nemocnice v Praze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CF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0E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A72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19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3DB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8FB" w14:textId="77777777" w:rsidR="00DA059D" w:rsidRPr="00DA059D" w:rsidRDefault="00DA059D" w:rsidP="00DA059D">
            <w:pPr>
              <w:spacing w:after="0"/>
              <w:ind w:left="-8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</w:tbl>
    <w:p w14:paraId="2D57B9F3" w14:textId="77777777" w:rsidR="00DA059D" w:rsidRPr="00DA059D" w:rsidRDefault="00DA059D" w:rsidP="00DA059D">
      <w:pPr>
        <w:spacing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2C233802" w14:textId="1E989E70" w:rsidR="00DA059D" w:rsidRPr="00DA059D" w:rsidRDefault="00DA059D" w:rsidP="00DA059D">
      <w:pPr>
        <w:keepNext/>
        <w:tabs>
          <w:tab w:val="right" w:pos="9072"/>
        </w:tabs>
        <w:spacing w:after="40"/>
        <w:rPr>
          <w:rFonts w:cs="Calibri"/>
          <w:b/>
          <w:bCs/>
        </w:rPr>
      </w:pPr>
      <w:bookmarkStart w:id="157" w:name="_Toc529804825"/>
      <w:r w:rsidRPr="00DA059D">
        <w:rPr>
          <w:rFonts w:cs="Calibri"/>
          <w:b/>
          <w:bCs/>
        </w:rPr>
        <w:lastRenderedPageBreak/>
        <w:t xml:space="preserve">Tabulka č. </w:t>
      </w:r>
      <w:r w:rsidRPr="00DA059D">
        <w:rPr>
          <w:rFonts w:cs="Calibri"/>
          <w:b/>
          <w:bCs/>
        </w:rPr>
        <w:fldChar w:fldCharType="begin"/>
      </w:r>
      <w:r w:rsidRPr="00DA059D">
        <w:rPr>
          <w:rFonts w:cs="Calibri"/>
          <w:b/>
          <w:bCs/>
        </w:rPr>
        <w:instrText xml:space="preserve"> SEQ Tabulka \* ARABIC </w:instrText>
      </w:r>
      <w:r w:rsidRPr="00DA059D">
        <w:rPr>
          <w:rFonts w:cs="Calibri"/>
          <w:b/>
          <w:bCs/>
        </w:rPr>
        <w:fldChar w:fldCharType="separate"/>
      </w:r>
      <w:r w:rsidR="006A3DF4">
        <w:rPr>
          <w:rFonts w:cs="Calibri"/>
          <w:b/>
          <w:bCs/>
          <w:noProof/>
        </w:rPr>
        <w:t>49</w:t>
      </w:r>
      <w:r w:rsidRPr="00DA059D">
        <w:rPr>
          <w:rFonts w:cs="Calibri"/>
          <w:b/>
          <w:bCs/>
        </w:rPr>
        <w:fldChar w:fldCharType="end"/>
      </w:r>
      <w:r w:rsidRPr="00DA059D">
        <w:rPr>
          <w:rFonts w:cs="Calibri"/>
          <w:b/>
          <w:bCs/>
        </w:rPr>
        <w:t xml:space="preserve">: Dlouhodobé závazky nemocnic </w:t>
      </w:r>
      <w:r w:rsidRPr="00DA059D">
        <w:rPr>
          <w:rFonts w:cs="Calibri"/>
          <w:b/>
          <w:bCs/>
        </w:rPr>
        <w:tab/>
        <w:t>(v tis. Kč)</w:t>
      </w:r>
      <w:bookmarkEnd w:id="1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192"/>
        <w:gridCol w:w="1192"/>
        <w:gridCol w:w="1192"/>
        <w:gridCol w:w="1193"/>
        <w:gridCol w:w="1193"/>
      </w:tblGrid>
      <w:tr w:rsidR="00DA059D" w:rsidRPr="00DA059D" w14:paraId="39152B4A" w14:textId="77777777" w:rsidTr="00856B5F">
        <w:trPr>
          <w:trHeight w:val="283"/>
          <w:tblHeader/>
        </w:trPr>
        <w:tc>
          <w:tcPr>
            <w:tcW w:w="1710" w:type="pct"/>
            <w:shd w:val="clear" w:color="DDEBF7" w:fill="E5F1FF"/>
            <w:vAlign w:val="center"/>
            <w:hideMark/>
          </w:tcPr>
          <w:p w14:paraId="5E287A12" w14:textId="77777777" w:rsidR="00DA059D" w:rsidRPr="00DA059D" w:rsidRDefault="00DA059D" w:rsidP="00DA059D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Dlouhodobé závazky</w:t>
            </w:r>
          </w:p>
        </w:tc>
        <w:tc>
          <w:tcPr>
            <w:tcW w:w="657" w:type="pct"/>
            <w:shd w:val="clear" w:color="DDEBF7" w:fill="E5F1FF"/>
            <w:vAlign w:val="center"/>
            <w:hideMark/>
          </w:tcPr>
          <w:p w14:paraId="51DFDA1B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658" w:type="pct"/>
            <w:shd w:val="clear" w:color="DDEBF7" w:fill="E5F1FF"/>
            <w:vAlign w:val="center"/>
            <w:hideMark/>
          </w:tcPr>
          <w:p w14:paraId="13BF2849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658" w:type="pct"/>
            <w:shd w:val="clear" w:color="DDEBF7" w:fill="E5F1FF"/>
            <w:vAlign w:val="center"/>
            <w:hideMark/>
          </w:tcPr>
          <w:p w14:paraId="27793045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658" w:type="pct"/>
            <w:shd w:val="clear" w:color="DDEBF7" w:fill="E5F1FF"/>
            <w:vAlign w:val="center"/>
            <w:hideMark/>
          </w:tcPr>
          <w:p w14:paraId="6F3D7FEF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658" w:type="pct"/>
            <w:shd w:val="clear" w:color="DDEBF7" w:fill="E5F1FF"/>
            <w:vAlign w:val="center"/>
            <w:hideMark/>
          </w:tcPr>
          <w:p w14:paraId="2561EEDC" w14:textId="77777777" w:rsidR="00DA059D" w:rsidRPr="00DA059D" w:rsidRDefault="00DA059D" w:rsidP="00DA059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</w:tr>
      <w:tr w:rsidR="00DA059D" w:rsidRPr="00DA059D" w14:paraId="51B065FE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7C2A86A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Brno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67CAD8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26 968,12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819ED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28 506,42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5B6898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62 013,46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6C7B1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131 302,11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6038FC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143 137,88</w:t>
            </w:r>
          </w:p>
        </w:tc>
      </w:tr>
      <w:tr w:rsidR="00DA059D" w:rsidRPr="00DA059D" w14:paraId="75974A7A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774595C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Hradec Králové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390626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17 738,07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51B61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26 499,97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6778C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3 087,66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35B4B1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1 993,02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05B9CB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56,74</w:t>
            </w:r>
          </w:p>
        </w:tc>
      </w:tr>
      <w:tr w:rsidR="00DA059D" w:rsidRPr="00DA059D" w14:paraId="75D1CE31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4811272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Královské Vinohrady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517CE5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D5300C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4507AE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E86B4E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0D6A70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  <w:tr w:rsidR="00DA059D" w:rsidRPr="00DA059D" w14:paraId="52207AFA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0CE01F5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Olomouc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D1E477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DA835F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92AEBC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EA3B06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8B2E5A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  <w:tr w:rsidR="00DA059D" w:rsidRPr="00DA059D" w14:paraId="419C6ACC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431A9DB7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Ostrava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F2147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3 988,77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AC4BBC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615,00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864C3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CB0734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1 750,76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842B16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1 750,76</w:t>
            </w:r>
          </w:p>
        </w:tc>
      </w:tr>
      <w:tr w:rsidR="00DA059D" w:rsidRPr="00DA059D" w14:paraId="701413DA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28B9FEA9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Plzeň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26B581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37,87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B20054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677969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4D8095F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1 108,79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EEC736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1 127,92</w:t>
            </w:r>
          </w:p>
        </w:tc>
      </w:tr>
      <w:tr w:rsidR="00DA059D" w:rsidRPr="00DA059D" w14:paraId="1356D2F2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4D4A7F7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u sv. Anny v Brně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E07E59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591 214,64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FFFE65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363 339,97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7355813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640 159,22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4480A60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507 881,47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66DF4D8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794 182,17</w:t>
            </w:r>
          </w:p>
        </w:tc>
      </w:tr>
      <w:tr w:rsidR="00DA059D" w:rsidRPr="00DA059D" w14:paraId="65E5317F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04E7448A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Fakultní nemocnice v Motole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73D259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750,53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FD717C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9B8CB1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217 477,53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15342D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275 759,75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237E8A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223 437,27</w:t>
            </w:r>
          </w:p>
        </w:tc>
      </w:tr>
      <w:tr w:rsidR="00DA059D" w:rsidRPr="00DA059D" w14:paraId="38725510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24A8D0F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Bulovce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B6683C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22 483,03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6DA4B87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32 729,21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F90329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29 369,03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9F2903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117 026,21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9929BDD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114 095,66</w:t>
            </w:r>
          </w:p>
        </w:tc>
      </w:tr>
      <w:tr w:rsidR="00DA059D" w:rsidRPr="00DA059D" w14:paraId="78A686BA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1536103F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Nemocnice Na Homolce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619F4A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CCBE4F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120 000,00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51ABA74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D6FEA3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69799719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  <w:tr w:rsidR="00DA059D" w:rsidRPr="00DA059D" w14:paraId="40225260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278B75F2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Thomayerova nemocnice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C389FC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35761FA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1 168,83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1A5679E2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860,32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028E8036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280,80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FD9586E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22,99</w:t>
            </w:r>
          </w:p>
        </w:tc>
      </w:tr>
      <w:tr w:rsidR="00DA059D" w:rsidRPr="00DA059D" w14:paraId="71824D77" w14:textId="77777777" w:rsidTr="00856B5F">
        <w:trPr>
          <w:trHeight w:val="283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7FBEF241" w14:textId="77777777" w:rsidR="00DA059D" w:rsidRPr="00DA059D" w:rsidRDefault="00DA059D" w:rsidP="00DA059D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color w:val="000000"/>
                <w:sz w:val="18"/>
                <w:szCs w:val="18"/>
                <w:lang w:eastAsia="cs-CZ"/>
              </w:rPr>
              <w:t>Všeobecná fakultní nemocnice v Praze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5B60AF75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6 273,44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738017C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3 390,85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A9DADB1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70 020,19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7E1D2940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29 215,33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3FC4872B" w14:textId="77777777" w:rsidR="00DA059D" w:rsidRPr="00DA059D" w:rsidRDefault="00DA059D" w:rsidP="00DA059D">
            <w:pPr>
              <w:spacing w:after="0"/>
              <w:jc w:val="right"/>
              <w:rPr>
                <w:rFonts w:cs="Calibri"/>
                <w:sz w:val="18"/>
                <w:szCs w:val="18"/>
                <w:lang w:eastAsia="cs-CZ"/>
              </w:rPr>
            </w:pPr>
            <w:r w:rsidRPr="00DA059D">
              <w:rPr>
                <w:rFonts w:cs="Calibri"/>
                <w:sz w:val="18"/>
                <w:szCs w:val="18"/>
                <w:lang w:eastAsia="cs-CZ"/>
              </w:rPr>
              <w:t>0,00</w:t>
            </w:r>
          </w:p>
        </w:tc>
      </w:tr>
    </w:tbl>
    <w:p w14:paraId="2EE2CE0F" w14:textId="77777777" w:rsidR="00DA059D" w:rsidRPr="00DA059D" w:rsidRDefault="00DA059D" w:rsidP="00DA059D">
      <w:pPr>
        <w:spacing w:before="40" w:after="0"/>
        <w:rPr>
          <w:rFonts w:cs="Calibri"/>
          <w:b/>
          <w:sz w:val="20"/>
          <w:szCs w:val="20"/>
        </w:rPr>
      </w:pPr>
      <w:r w:rsidRPr="00DA059D">
        <w:rPr>
          <w:rFonts w:cs="Calibri"/>
          <w:b/>
          <w:sz w:val="20"/>
          <w:szCs w:val="20"/>
        </w:rPr>
        <w:t xml:space="preserve">Zdroj: </w:t>
      </w:r>
      <w:r w:rsidRPr="00DA059D">
        <w:rPr>
          <w:rFonts w:cs="Calibri"/>
          <w:sz w:val="20"/>
          <w:szCs w:val="20"/>
        </w:rPr>
        <w:t>informační portál MONITOR.</w:t>
      </w:r>
    </w:p>
    <w:p w14:paraId="7D70B0D7" w14:textId="77777777" w:rsidR="0006173B" w:rsidRDefault="0006173B">
      <w:pPr>
        <w:spacing w:after="160" w:line="259" w:lineRule="auto"/>
        <w:rPr>
          <w:rFonts w:asciiTheme="minorHAnsi" w:eastAsiaTheme="minorHAnsi" w:hAnsiTheme="minorHAnsi" w:cstheme="minorHAnsi"/>
        </w:rPr>
      </w:pPr>
      <w:bookmarkStart w:id="158" w:name="_GoBack"/>
      <w:bookmarkEnd w:id="158"/>
    </w:p>
    <w:sectPr w:rsidR="0006173B" w:rsidSect="004321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3534" w14:textId="77777777" w:rsidR="006C1B1F" w:rsidRDefault="006C1B1F" w:rsidP="002B7978">
      <w:pPr>
        <w:spacing w:after="0"/>
      </w:pPr>
      <w:r>
        <w:separator/>
      </w:r>
    </w:p>
  </w:endnote>
  <w:endnote w:type="continuationSeparator" w:id="0">
    <w:p w14:paraId="244AED8A" w14:textId="77777777" w:rsidR="006C1B1F" w:rsidRDefault="006C1B1F" w:rsidP="002B7978">
      <w:pPr>
        <w:spacing w:after="0"/>
      </w:pPr>
      <w:r>
        <w:continuationSeparator/>
      </w:r>
    </w:p>
  </w:endnote>
  <w:endnote w:type="continuationNotice" w:id="1">
    <w:p w14:paraId="0EDED42E" w14:textId="77777777" w:rsidR="006C1B1F" w:rsidRDefault="006C1B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ACCD" w14:textId="77777777" w:rsidR="003D535C" w:rsidRDefault="003D53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27037"/>
      <w:docPartObj>
        <w:docPartGallery w:val="Page Numbers (Bottom of Page)"/>
        <w:docPartUnique/>
      </w:docPartObj>
    </w:sdtPr>
    <w:sdtEndPr/>
    <w:sdtContent>
      <w:p w14:paraId="128773DB" w14:textId="5EC369E3" w:rsidR="006C1B1F" w:rsidRDefault="006C1B1F" w:rsidP="000555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F4">
          <w:rPr>
            <w:noProof/>
          </w:rPr>
          <w:t>48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081A" w14:textId="77777777" w:rsidR="003D535C" w:rsidRDefault="003D5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BBA2" w14:textId="77777777" w:rsidR="006C1B1F" w:rsidRDefault="006C1B1F" w:rsidP="002B7978">
      <w:pPr>
        <w:spacing w:after="0"/>
      </w:pPr>
      <w:r>
        <w:separator/>
      </w:r>
    </w:p>
  </w:footnote>
  <w:footnote w:type="continuationSeparator" w:id="0">
    <w:p w14:paraId="77C9BEBE" w14:textId="77777777" w:rsidR="006C1B1F" w:rsidRDefault="006C1B1F" w:rsidP="002B7978">
      <w:pPr>
        <w:spacing w:after="0"/>
      </w:pPr>
      <w:r>
        <w:continuationSeparator/>
      </w:r>
    </w:p>
  </w:footnote>
  <w:footnote w:type="continuationNotice" w:id="1">
    <w:p w14:paraId="60951F1E" w14:textId="77777777" w:rsidR="006C1B1F" w:rsidRDefault="006C1B1F">
      <w:pPr>
        <w:spacing w:after="0"/>
      </w:pPr>
    </w:p>
  </w:footnote>
  <w:footnote w:id="2">
    <w:p w14:paraId="2D03E72E" w14:textId="7651FCB1" w:rsidR="006C1B1F" w:rsidRPr="00A7770B" w:rsidRDefault="006C1B1F" w:rsidP="003C6DF6">
      <w:pPr>
        <w:pStyle w:val="Textpoznpodarou"/>
        <w:ind w:left="284" w:hanging="284"/>
        <w:rPr>
          <w:rFonts w:asciiTheme="minorHAnsi" w:hAnsiTheme="minorHAnsi" w:cstheme="minorHAnsi"/>
        </w:rPr>
      </w:pPr>
      <w:r w:rsidRPr="00A7770B">
        <w:rPr>
          <w:rStyle w:val="Znakapoznpodarou"/>
          <w:rFonts w:asciiTheme="minorHAnsi" w:hAnsiTheme="minorHAnsi" w:cstheme="minorHAnsi"/>
        </w:rPr>
        <w:footnoteRef/>
      </w:r>
      <w:r w:rsidRPr="00A777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Významnost byla stanovena</w:t>
      </w:r>
      <w:r w:rsidRPr="00A7770B">
        <w:rPr>
          <w:rFonts w:asciiTheme="minorHAnsi" w:hAnsiTheme="minorHAnsi" w:cstheme="minorHAnsi"/>
        </w:rPr>
        <w:t xml:space="preserve"> ve výši 2 % z celkových nákladů, které byly vykázány ve výši 4 545 mil. Kč.</w:t>
      </w:r>
    </w:p>
  </w:footnote>
  <w:footnote w:id="3">
    <w:p w14:paraId="7E4794A9" w14:textId="128042E2" w:rsidR="006C1B1F" w:rsidRPr="00B30899" w:rsidRDefault="006C1B1F" w:rsidP="00B308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30899">
        <w:rPr>
          <w:rStyle w:val="Znakapoznpodarou"/>
          <w:rFonts w:ascii="Calibri" w:hAnsi="Calibri" w:cs="Calibri"/>
        </w:rPr>
        <w:footnoteRef/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</w:rPr>
        <w:tab/>
        <w:t>Dle ustanovení § 20</w:t>
      </w:r>
      <w:r>
        <w:rPr>
          <w:rFonts w:ascii="Calibri" w:hAnsi="Calibri" w:cs="Calibri"/>
        </w:rPr>
        <w:t xml:space="preserve"> odst. 4</w:t>
      </w:r>
      <w:r w:rsidRPr="00B30899">
        <w:rPr>
          <w:rFonts w:ascii="Calibri" w:hAnsi="Calibri" w:cs="Calibri"/>
        </w:rPr>
        <w:t xml:space="preserve"> zákona č. 218/2000 Sb., o rozpočtových pravidlech a o změně některých souvisejících zákonů (rozpočtová pravidla)</w:t>
      </w:r>
      <w:r>
        <w:rPr>
          <w:rFonts w:ascii="Calibri" w:hAnsi="Calibri" w:cs="Calibri"/>
        </w:rPr>
        <w:t>, (dále jen „rozpočtová pravidla“), jsou organizační složky státu</w:t>
      </w:r>
      <w:r w:rsidRPr="00B30899">
        <w:rPr>
          <w:rFonts w:ascii="Calibri" w:hAnsi="Calibri" w:cs="Calibri"/>
        </w:rPr>
        <w:t xml:space="preserve">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celků, rozpočtů dobrovolných svazků obcí a rozpočtů Regionálních rad regionů soudržnosti. Dle </w:t>
      </w:r>
      <w:r>
        <w:rPr>
          <w:rFonts w:ascii="Calibri" w:hAnsi="Calibri" w:cs="Calibri"/>
        </w:rPr>
        <w:t xml:space="preserve">ustanovení </w:t>
      </w:r>
      <w:r w:rsidRPr="00B30899">
        <w:rPr>
          <w:rFonts w:ascii="Calibri" w:hAnsi="Calibri" w:cs="Calibri"/>
        </w:rPr>
        <w:t xml:space="preserve">§ 5 odst. 1 </w:t>
      </w:r>
      <w:r>
        <w:rPr>
          <w:rFonts w:ascii="Calibri" w:hAnsi="Calibri" w:cs="Calibri"/>
        </w:rPr>
        <w:t>a </w:t>
      </w:r>
      <w:r w:rsidRPr="00B30899">
        <w:rPr>
          <w:rFonts w:ascii="Calibri" w:hAnsi="Calibri" w:cs="Calibri"/>
        </w:rPr>
        <w:t xml:space="preserve">přílohy č. </w:t>
      </w:r>
      <w:r>
        <w:rPr>
          <w:rFonts w:ascii="Calibri" w:hAnsi="Calibri" w:cs="Calibri"/>
        </w:rPr>
        <w:t>1 této vyhlášky zpracovávají organizační složky státu</w:t>
      </w:r>
      <w:r w:rsidRPr="00B30899">
        <w:rPr>
          <w:rFonts w:ascii="Calibri" w:hAnsi="Calibri" w:cs="Calibri"/>
        </w:rPr>
        <w:t xml:space="preserve"> údaje pro hodnocení plnění státního rozpočtu přímo v rozpočtovém systému, ve kterém je z nich následně sestavován výkaz pro hodnocení plnění rozpočtu.</w:t>
      </w:r>
    </w:p>
  </w:footnote>
  <w:footnote w:id="4">
    <w:p w14:paraId="142F2B04" w14:textId="0F40100B" w:rsidR="006C1B1F" w:rsidRPr="00B30899" w:rsidRDefault="006C1B1F" w:rsidP="00B308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30899">
        <w:rPr>
          <w:rStyle w:val="Znakapoznpodarou"/>
          <w:rFonts w:ascii="Calibri" w:hAnsi="Calibri" w:cs="Calibri"/>
        </w:rPr>
        <w:footnoteRef/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</w:rPr>
        <w:tab/>
        <w:t>Kon</w:t>
      </w:r>
      <w:r>
        <w:rPr>
          <w:rFonts w:ascii="Calibri" w:hAnsi="Calibri" w:cs="Calibri"/>
        </w:rPr>
        <w:t>trolní akce NKÚ č. 15/07</w:t>
      </w:r>
      <w:r w:rsidRPr="00B30899">
        <w:rPr>
          <w:rFonts w:ascii="Calibri" w:hAnsi="Calibri" w:cs="Calibri"/>
        </w:rPr>
        <w:t xml:space="preserve"> – </w:t>
      </w:r>
      <w:r w:rsidRPr="00B30899">
        <w:rPr>
          <w:rFonts w:ascii="Calibri" w:hAnsi="Calibri" w:cs="Calibri"/>
          <w:i/>
        </w:rPr>
        <w:t xml:space="preserve">Závěrečný účet kapitoly státního rozpočtu Ministerstvo </w:t>
      </w:r>
      <w:r>
        <w:rPr>
          <w:rFonts w:ascii="Calibri" w:hAnsi="Calibri" w:cs="Calibri"/>
          <w:i/>
        </w:rPr>
        <w:t>zdravotnictví za rok 2014</w:t>
      </w:r>
      <w:r w:rsidRPr="00B30899">
        <w:rPr>
          <w:rFonts w:ascii="Calibri" w:hAnsi="Calibri" w:cs="Calibri"/>
          <w:i/>
        </w:rPr>
        <w:t>, účetní závěrka</w:t>
      </w:r>
      <w:r>
        <w:rPr>
          <w:rFonts w:ascii="Calibri" w:hAnsi="Calibri" w:cs="Calibri"/>
          <w:i/>
        </w:rPr>
        <w:t xml:space="preserve"> Ministerstva zdravotnictví za rok 2014</w:t>
      </w:r>
      <w:r w:rsidRPr="00B30899">
        <w:rPr>
          <w:rFonts w:ascii="Calibri" w:hAnsi="Calibri" w:cs="Calibri"/>
          <w:i/>
        </w:rPr>
        <w:t xml:space="preserve"> a </w:t>
      </w:r>
      <w:r>
        <w:rPr>
          <w:rFonts w:ascii="Calibri" w:hAnsi="Calibri" w:cs="Calibri"/>
          <w:i/>
        </w:rPr>
        <w:t xml:space="preserve">údaje předkládané Ministerstvem zdravotnictví pro hodnocení plnění státního rozpočtu za rok 2014 </w:t>
      </w:r>
      <w:r>
        <w:rPr>
          <w:rFonts w:ascii="Calibri" w:hAnsi="Calibri" w:cs="Calibri"/>
        </w:rPr>
        <w:t>(kontrolní závěr byl zveřejněn v částce 1/2016</w:t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  <w:i/>
        </w:rPr>
        <w:t>Věstníku NKÚ</w:t>
      </w:r>
      <w:r w:rsidRPr="00DF6473">
        <w:rPr>
          <w:rFonts w:ascii="Calibri" w:hAnsi="Calibri" w:cs="Calibri"/>
        </w:rPr>
        <w:t>)</w:t>
      </w:r>
      <w:r w:rsidRPr="0067592A">
        <w:rPr>
          <w:rFonts w:ascii="Calibri" w:hAnsi="Calibri" w:cs="Calibri"/>
        </w:rPr>
        <w:t>.</w:t>
      </w:r>
    </w:p>
  </w:footnote>
  <w:footnote w:id="5">
    <w:p w14:paraId="7A31DEFF" w14:textId="2C99627F" w:rsidR="006C1B1F" w:rsidRPr="00B30899" w:rsidRDefault="006C1B1F" w:rsidP="00B30899">
      <w:pPr>
        <w:spacing w:after="0"/>
        <w:ind w:left="284" w:hanging="284"/>
        <w:jc w:val="both"/>
        <w:rPr>
          <w:rFonts w:eastAsiaTheme="minorHAnsi" w:cs="Calibri"/>
          <w:sz w:val="20"/>
          <w:szCs w:val="20"/>
        </w:rPr>
      </w:pPr>
      <w:r w:rsidRPr="00B30899">
        <w:rPr>
          <w:rStyle w:val="Znakapoznpodarou"/>
          <w:rFonts w:cs="Calibri"/>
          <w:sz w:val="20"/>
          <w:szCs w:val="20"/>
        </w:rPr>
        <w:footnoteRef/>
      </w:r>
      <w:r w:rsidRPr="00B30899">
        <w:rPr>
          <w:rFonts w:cs="Calibri"/>
          <w:sz w:val="20"/>
          <w:szCs w:val="20"/>
        </w:rPr>
        <w:t xml:space="preserve"> </w:t>
      </w:r>
      <w:r w:rsidRPr="00B30899">
        <w:rPr>
          <w:rFonts w:cs="Calibri"/>
          <w:sz w:val="20"/>
          <w:szCs w:val="20"/>
        </w:rPr>
        <w:tab/>
        <w:t>V souladu s ustanovením § 21a odst. 5 záko</w:t>
      </w:r>
      <w:r>
        <w:rPr>
          <w:rFonts w:cs="Calibri"/>
          <w:sz w:val="20"/>
          <w:szCs w:val="20"/>
        </w:rPr>
        <w:t>na o účetnictví OSS (a tedy i MZd)</w:t>
      </w:r>
      <w:r w:rsidRPr="00B30899">
        <w:rPr>
          <w:rFonts w:cs="Calibri"/>
          <w:sz w:val="20"/>
          <w:szCs w:val="20"/>
        </w:rPr>
        <w:t xml:space="preserve"> zveřejňují účetní závěrku prostřednictvím Ministerstva financí způsobem umožňujícím dálkový přístup</w:t>
      </w:r>
      <w:r w:rsidRPr="00B30899">
        <w:rPr>
          <w:rFonts w:eastAsiaTheme="minorHAnsi" w:cs="Calibri"/>
          <w:sz w:val="20"/>
          <w:szCs w:val="20"/>
        </w:rPr>
        <w:t>.</w:t>
      </w:r>
    </w:p>
  </w:footnote>
  <w:footnote w:id="6">
    <w:p w14:paraId="793DE845" w14:textId="674121CD" w:rsidR="006C1B1F" w:rsidRPr="004B5BFA" w:rsidRDefault="006C1B1F" w:rsidP="00C801D9">
      <w:pPr>
        <w:pStyle w:val="Textpoznpodarou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B5BFA">
        <w:rPr>
          <w:rStyle w:val="Znakapoznpodarou"/>
          <w:rFonts w:asciiTheme="minorHAnsi" w:hAnsiTheme="minorHAnsi" w:cstheme="minorHAnsi"/>
        </w:rPr>
        <w:footnoteRef/>
      </w:r>
      <w:r w:rsidRPr="004B5BFA">
        <w:rPr>
          <w:rFonts w:asciiTheme="minorHAnsi" w:hAnsiTheme="minorHAnsi" w:cstheme="minorHAnsi"/>
        </w:rPr>
        <w:t xml:space="preserve"> </w:t>
      </w:r>
      <w:r w:rsidRPr="004B5BFA">
        <w:rPr>
          <w:rFonts w:asciiTheme="minorHAnsi" w:hAnsiTheme="minorHAnsi" w:cstheme="minorHAnsi"/>
        </w:rPr>
        <w:tab/>
        <w:t xml:space="preserve">Viz </w:t>
      </w:r>
      <w:hyperlink r:id="rId1" w:history="1">
        <w:r w:rsidRPr="004B5BFA">
          <w:rPr>
            <w:rStyle w:val="Hypertextovodkaz"/>
            <w:rFonts w:asciiTheme="minorHAnsi" w:hAnsiTheme="minorHAnsi" w:cstheme="minorHAnsi"/>
          </w:rPr>
          <w:t>http://monitor.statnipokladna.cz/2017/statni-rozpocet/oss-sf/00024341</w:t>
        </w:r>
      </w:hyperlink>
      <w:r w:rsidRPr="004B5BFA">
        <w:rPr>
          <w:rFonts w:asciiTheme="minorHAnsi" w:hAnsiTheme="minorHAnsi" w:cstheme="minorHAnsi"/>
        </w:rPr>
        <w:t>,</w:t>
      </w:r>
      <w:r w:rsidRPr="004B5BFA">
        <w:rPr>
          <w:rStyle w:val="Hypertextovodkaz"/>
          <w:rFonts w:asciiTheme="minorHAnsi" w:hAnsiTheme="minorHAnsi" w:cstheme="minorHAnsi"/>
          <w:color w:val="auto"/>
          <w:u w:val="none"/>
        </w:rPr>
        <w:t xml:space="preserve"> dále viz záložka „ÚČETNÍ ZÁVĚRKA“.</w:t>
      </w:r>
      <w:r w:rsidRPr="004B5BF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 xml:space="preserve"> </w:t>
      </w:r>
    </w:p>
  </w:footnote>
  <w:footnote w:id="7">
    <w:p w14:paraId="63A1B6F4" w14:textId="5334F803" w:rsidR="006C1B1F" w:rsidRPr="00F560FE" w:rsidRDefault="006C1B1F" w:rsidP="00C801D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560FE">
        <w:rPr>
          <w:rStyle w:val="Znakapoznpodarou"/>
          <w:rFonts w:asciiTheme="minorHAnsi" w:hAnsiTheme="minorHAnsi" w:cstheme="minorHAnsi"/>
        </w:rPr>
        <w:footnoteRef/>
      </w:r>
      <w:r w:rsidRPr="00F560FE">
        <w:rPr>
          <w:rFonts w:asciiTheme="minorHAnsi" w:hAnsiTheme="minorHAnsi" w:cstheme="minorHAnsi"/>
        </w:rPr>
        <w:t xml:space="preserve"> </w:t>
      </w:r>
      <w:r w:rsidRPr="00F560FE">
        <w:rPr>
          <w:rFonts w:asciiTheme="minorHAnsi" w:hAnsiTheme="minorHAnsi" w:cstheme="minorHAnsi"/>
        </w:rPr>
        <w:tab/>
        <w:t xml:space="preserve">Hladina významnosti reprezentuje hodnotu rozsahu nesprávností v účetní závěrce, jejichž překročení by již mohlo ovlivnit přiměřeně znalého uživatele. Při stanovení hladiny významnosti postupuje </w:t>
      </w:r>
      <w:r w:rsidRPr="00C0565A">
        <w:rPr>
          <w:rFonts w:asciiTheme="minorHAnsi" w:hAnsiTheme="minorHAnsi" w:cstheme="minorHAnsi"/>
        </w:rPr>
        <w:t xml:space="preserve">NKÚ </w:t>
      </w:r>
      <w:r w:rsidRPr="00F560FE">
        <w:rPr>
          <w:rFonts w:asciiTheme="minorHAnsi" w:hAnsiTheme="minorHAnsi" w:cstheme="minorHAnsi"/>
        </w:rPr>
        <w:t xml:space="preserve">v souladu </w:t>
      </w:r>
      <w:r>
        <w:rPr>
          <w:rFonts w:asciiTheme="minorHAnsi" w:hAnsiTheme="minorHAnsi" w:cstheme="minorHAnsi"/>
        </w:rPr>
        <w:t xml:space="preserve">s mezinárodními </w:t>
      </w:r>
      <w:r w:rsidRPr="00F560FE">
        <w:rPr>
          <w:rFonts w:asciiTheme="minorHAnsi" w:hAnsiTheme="minorHAnsi" w:cstheme="minorHAnsi"/>
        </w:rPr>
        <w:t>standardy nejvyšších kontrolních institucí (ISSAI) pro finanční audit a kontrolními standardy NKÚ.</w:t>
      </w:r>
    </w:p>
  </w:footnote>
  <w:footnote w:id="8">
    <w:p w14:paraId="39D9C035" w14:textId="170DF0C2" w:rsidR="006C1B1F" w:rsidRPr="003C6DF6" w:rsidRDefault="006C1B1F" w:rsidP="0033466E">
      <w:pPr>
        <w:pStyle w:val="Textpoznpodarou"/>
        <w:ind w:left="284" w:hanging="284"/>
        <w:rPr>
          <w:rFonts w:asciiTheme="minorHAnsi" w:hAnsiTheme="minorHAnsi" w:cstheme="minorHAnsi"/>
        </w:rPr>
      </w:pPr>
      <w:r w:rsidRPr="003C6DF6">
        <w:rPr>
          <w:rStyle w:val="Znakapoznpodarou"/>
          <w:rFonts w:asciiTheme="minorHAnsi" w:hAnsiTheme="minorHAnsi" w:cstheme="minorHAnsi"/>
        </w:rPr>
        <w:footnoteRef/>
      </w:r>
      <w:r w:rsidRPr="003C6DF6">
        <w:rPr>
          <w:rFonts w:asciiTheme="minorHAnsi" w:hAnsiTheme="minorHAnsi" w:cstheme="minorHAnsi"/>
        </w:rPr>
        <w:t xml:space="preserve"> </w:t>
      </w:r>
      <w:r w:rsidRPr="003C6DF6">
        <w:rPr>
          <w:rFonts w:asciiTheme="minorHAnsi" w:hAnsiTheme="minorHAnsi" w:cstheme="minorHAnsi"/>
        </w:rPr>
        <w:tab/>
        <w:t xml:space="preserve">Blíže viz: </w:t>
      </w:r>
      <w:hyperlink r:id="rId2" w:history="1">
        <w:r w:rsidRPr="00F560FE">
          <w:rPr>
            <w:rStyle w:val="Hypertextovodkaz"/>
            <w:rFonts w:asciiTheme="minorHAnsi" w:hAnsiTheme="minorHAnsi" w:cstheme="minorHAnsi"/>
          </w:rPr>
          <w:t>http://monitor.statnipokladna.cz/2017/statni-rozpocet/kapitola/335</w:t>
        </w:r>
      </w:hyperlink>
      <w:r w:rsidRPr="00F560F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9">
    <w:p w14:paraId="71AF938F" w14:textId="65F34577" w:rsidR="006C1B1F" w:rsidRPr="003C6DF6" w:rsidRDefault="006C1B1F" w:rsidP="007A1349">
      <w:pPr>
        <w:pStyle w:val="Textpoznpodarou"/>
        <w:ind w:left="284" w:hanging="284"/>
        <w:rPr>
          <w:rFonts w:asciiTheme="minorHAnsi" w:hAnsiTheme="minorHAnsi" w:cstheme="minorHAnsi"/>
        </w:rPr>
      </w:pPr>
      <w:r w:rsidRPr="003C6DF6">
        <w:rPr>
          <w:rStyle w:val="Znakapoznpodarou"/>
          <w:rFonts w:asciiTheme="minorHAnsi" w:hAnsiTheme="minorHAnsi" w:cstheme="minorHAnsi"/>
        </w:rPr>
        <w:footnoteRef/>
      </w:r>
      <w:r w:rsidRPr="003C6DF6">
        <w:rPr>
          <w:rFonts w:asciiTheme="minorHAnsi" w:hAnsiTheme="minorHAnsi" w:cstheme="minorHAnsi"/>
        </w:rPr>
        <w:t xml:space="preserve"> </w:t>
      </w:r>
      <w:r w:rsidRPr="003C6DF6">
        <w:rPr>
          <w:rFonts w:asciiTheme="minorHAnsi" w:hAnsiTheme="minorHAnsi" w:cstheme="minorHAnsi"/>
        </w:rPr>
        <w:tab/>
        <w:t>Sledují se i jiné údaje, např. o pohybech rezervního fondu</w:t>
      </w:r>
      <w:r w:rsidRPr="003C6DF6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0">
    <w:p w14:paraId="77BCBAC6" w14:textId="1D4DDF53" w:rsidR="006C1B1F" w:rsidRPr="00F560FE" w:rsidRDefault="006C1B1F" w:rsidP="00F74C0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C6DF6">
        <w:rPr>
          <w:rStyle w:val="Znakapoznpodarou"/>
          <w:rFonts w:asciiTheme="minorHAnsi" w:hAnsiTheme="minorHAnsi" w:cstheme="minorHAnsi"/>
        </w:rPr>
        <w:footnoteRef/>
      </w:r>
      <w:r w:rsidRPr="003C6DF6">
        <w:rPr>
          <w:rFonts w:asciiTheme="minorHAnsi" w:hAnsiTheme="minorHAnsi" w:cstheme="minorHAnsi"/>
        </w:rPr>
        <w:t xml:space="preserve"> </w:t>
      </w:r>
      <w:r w:rsidRPr="003C6DF6">
        <w:rPr>
          <w:rFonts w:asciiTheme="minorHAnsi" w:hAnsiTheme="minorHAnsi" w:cstheme="minorHAnsi"/>
        </w:rPr>
        <w:tab/>
        <w:t>Viz příloha č. 1 k vyhlášce č. 5/2014 Sb.</w:t>
      </w:r>
    </w:p>
  </w:footnote>
  <w:footnote w:id="11">
    <w:p w14:paraId="55AAE2C2" w14:textId="52A9F39D" w:rsidR="006C1B1F" w:rsidRPr="00E93037" w:rsidRDefault="006C1B1F" w:rsidP="00510195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9107F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cs="Calibri"/>
          <w:sz w:val="20"/>
          <w:szCs w:val="20"/>
        </w:rPr>
        <w:t>Usnesení vlády ČR ze dne 7</w:t>
      </w:r>
      <w:r w:rsidRPr="00E93037">
        <w:rPr>
          <w:rFonts w:cs="Calibri"/>
          <w:sz w:val="20"/>
          <w:szCs w:val="20"/>
        </w:rPr>
        <w:t xml:space="preserve">. </w:t>
      </w:r>
      <w:r w:rsidRPr="00FE79CF">
        <w:rPr>
          <w:rFonts w:cs="Calibri"/>
          <w:sz w:val="20"/>
          <w:szCs w:val="20"/>
        </w:rPr>
        <w:t>dubna 2016 č. 298</w:t>
      </w:r>
      <w:r>
        <w:rPr>
          <w:rFonts w:cs="Calibri"/>
          <w:sz w:val="20"/>
          <w:szCs w:val="20"/>
        </w:rPr>
        <w:t>,</w:t>
      </w:r>
      <w:r w:rsidRPr="00FE79CF">
        <w:rPr>
          <w:rFonts w:cs="Calibri"/>
          <w:sz w:val="20"/>
          <w:szCs w:val="20"/>
        </w:rPr>
        <w:t xml:space="preserve"> </w:t>
      </w:r>
      <w:r w:rsidRPr="00FE79CF">
        <w:rPr>
          <w:rFonts w:cs="Calibri"/>
          <w:i/>
          <w:sz w:val="20"/>
          <w:szCs w:val="20"/>
        </w:rPr>
        <w:t>ke Kontrolnímu závěru Nejvyššího kontrolního úřadu z kontrolní akce č. 15/07 Závěrečný účet kapitoly státního rozpočtu Ministerstvo zdravotnictví za rok 2014, účetní závěrka Ministerstva zdravotnictví za rok 2014 a údaje předkládané Ministerstvem zdravotnictví pro hodnocení plnění státního rozpočtu za rok 2014</w:t>
      </w:r>
      <w:r w:rsidRPr="00FE79CF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</w:t>
      </w:r>
    </w:p>
  </w:footnote>
  <w:footnote w:id="12">
    <w:p w14:paraId="13DD22E2" w14:textId="1415B25F" w:rsidR="006C1B1F" w:rsidRPr="005377D4" w:rsidRDefault="006C1B1F" w:rsidP="0097584F">
      <w:pPr>
        <w:spacing w:after="0"/>
        <w:ind w:left="284" w:hanging="284"/>
        <w:jc w:val="both"/>
      </w:pPr>
      <w:r w:rsidRPr="004A0ADF">
        <w:rPr>
          <w:rStyle w:val="Znakapoznpodarou"/>
          <w:sz w:val="20"/>
          <w:szCs w:val="20"/>
        </w:rPr>
        <w:footnoteRef/>
      </w:r>
      <w:r>
        <w:t xml:space="preserve"> </w:t>
      </w:r>
      <w:r>
        <w:tab/>
      </w:r>
      <w:r w:rsidRPr="004F3336">
        <w:rPr>
          <w:sz w:val="20"/>
          <w:szCs w:val="20"/>
          <w:lang w:eastAsia="cs-CZ"/>
        </w:rPr>
        <w:t xml:space="preserve">Provedení opatření k nápravě, </w:t>
      </w:r>
      <w:r>
        <w:rPr>
          <w:sz w:val="20"/>
          <w:szCs w:val="20"/>
          <w:lang w:eastAsia="cs-CZ"/>
        </w:rPr>
        <w:t>které se týkalo</w:t>
      </w:r>
      <w:r w:rsidRPr="004F3336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 xml:space="preserve">v příloze ÚZ uvedených </w:t>
      </w:r>
      <w:r w:rsidRPr="004F3336">
        <w:rPr>
          <w:sz w:val="20"/>
          <w:szCs w:val="20"/>
          <w:lang w:eastAsia="cs-CZ"/>
        </w:rPr>
        <w:t>informac</w:t>
      </w:r>
      <w:r>
        <w:rPr>
          <w:sz w:val="20"/>
          <w:szCs w:val="20"/>
          <w:lang w:eastAsia="cs-CZ"/>
        </w:rPr>
        <w:t>í</w:t>
      </w:r>
      <w:r w:rsidRPr="004F3336">
        <w:rPr>
          <w:sz w:val="20"/>
          <w:szCs w:val="20"/>
          <w:lang w:eastAsia="cs-CZ"/>
        </w:rPr>
        <w:t xml:space="preserve"> o výši splatných závazků pojistného na sociální zabezpečení a příspěvku na státní politiku zaměstnanosti, o výši splatných závazků veřejného zdravotního pojištění a výši daňových nedoplatků evidovaných u místně příslušných finančních orgánů</w:t>
      </w:r>
      <w:r>
        <w:rPr>
          <w:sz w:val="20"/>
          <w:szCs w:val="20"/>
          <w:lang w:eastAsia="cs-CZ"/>
        </w:rPr>
        <w:t>,</w:t>
      </w:r>
      <w:r w:rsidRPr="004F3336">
        <w:rPr>
          <w:sz w:val="20"/>
          <w:szCs w:val="20"/>
          <w:lang w:eastAsia="cs-CZ"/>
        </w:rPr>
        <w:t xml:space="preserve"> již nelze z důvodu úpravy právních předpisů ve vztahu k ÚZ vyhodnotit.</w:t>
      </w:r>
    </w:p>
  </w:footnote>
  <w:footnote w:id="13">
    <w:p w14:paraId="1E563871" w14:textId="77777777" w:rsidR="006C1B1F" w:rsidRPr="001E58E4" w:rsidRDefault="006C1B1F" w:rsidP="009E1123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Finanční výkazy v celém sestaveném rozsahu ale nejsou součástí (přílohou) závěrečných účtů kapitol státního rozpočtu.</w:t>
      </w:r>
    </w:p>
  </w:footnote>
  <w:footnote w:id="14">
    <w:p w14:paraId="55F39F5D" w14:textId="649C6294" w:rsidR="006C1B1F" w:rsidRPr="002B40DE" w:rsidRDefault="006C1B1F" w:rsidP="00C8458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B40DE">
        <w:rPr>
          <w:rStyle w:val="Znakapoznpodarou"/>
          <w:rFonts w:asciiTheme="minorHAnsi" w:hAnsiTheme="minorHAnsi" w:cstheme="minorHAnsi"/>
        </w:rPr>
        <w:footnoteRef/>
      </w:r>
      <w:r w:rsidRPr="002B40DE">
        <w:rPr>
          <w:rFonts w:asciiTheme="minorHAnsi" w:hAnsiTheme="minorHAnsi" w:cstheme="minorHAnsi"/>
        </w:rPr>
        <w:t xml:space="preserve"> </w:t>
      </w:r>
      <w:r w:rsidRPr="007B6713">
        <w:rPr>
          <w:rFonts w:asciiTheme="minorHAnsi" w:hAnsiTheme="minorHAnsi" w:cstheme="minorHAnsi"/>
        </w:rPr>
        <w:tab/>
        <w:t xml:space="preserve">Viz např. kontrolní akce č. 17/31 – </w:t>
      </w:r>
      <w:r w:rsidRPr="002B40DE">
        <w:rPr>
          <w:rFonts w:asciiTheme="minorHAnsi" w:hAnsiTheme="minorHAnsi" w:cstheme="minorHAnsi"/>
          <w:i/>
        </w:rPr>
        <w:t>Závěrečný účet kapitoly státního rozpočtu Ministerstvo zemědělství za rok 2017, účetní závěrka Ministerstva zemědělství za rok 2017 a údaje předkládané Ministerstvem zemědělství pro hodnocení plnění státního rozpočtu za rok 2017</w:t>
      </w:r>
      <w:r w:rsidRPr="002B40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(KZ byl </w:t>
      </w:r>
      <w:r w:rsidRPr="002B40DE">
        <w:rPr>
          <w:rFonts w:asciiTheme="minorHAnsi" w:hAnsiTheme="minorHAnsi" w:cstheme="minorHAnsi"/>
        </w:rPr>
        <w:t xml:space="preserve">zveřejněn v částce 4/2018 </w:t>
      </w:r>
      <w:r w:rsidRPr="002B40DE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</w:t>
      </w:r>
      <w:r w:rsidRPr="005B6599">
        <w:rPr>
          <w:rFonts w:asciiTheme="minorHAnsi" w:hAnsiTheme="minorHAnsi" w:cstheme="minorHAnsi"/>
          <w:i/>
        </w:rPr>
        <w:t>,</w:t>
      </w:r>
      <w:r w:rsidRPr="002B40DE">
        <w:rPr>
          <w:rFonts w:asciiTheme="minorHAnsi" w:hAnsiTheme="minorHAnsi" w:cstheme="minorHAnsi"/>
        </w:rPr>
        <w:t xml:space="preserve"> kontrolní akce č. 17/18 – </w:t>
      </w:r>
      <w:r w:rsidRPr="002B40DE">
        <w:rPr>
          <w:rFonts w:asciiTheme="minorHAnsi" w:hAnsiTheme="minorHAnsi" w:cstheme="minorHAnsi"/>
          <w:i/>
        </w:rPr>
        <w:t>Závěrečný účet kapitoly státního rozpočtu Ministerstvo životního prostředí za rok 2016, účetní závěrka Ministerstva životního prostředí za rok 2016 a údaje předkládané Ministerstvem životního prostředí pro hodnocení plnění státního rozpočtu za rok 2016</w:t>
      </w:r>
      <w:r w:rsidRPr="002B40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(KZ byl </w:t>
      </w:r>
      <w:r w:rsidRPr="002B40DE">
        <w:rPr>
          <w:rFonts w:asciiTheme="minorHAnsi" w:hAnsiTheme="minorHAnsi" w:cstheme="minorHAnsi"/>
        </w:rPr>
        <w:t xml:space="preserve">zveřejněn v částce 3/2018 </w:t>
      </w:r>
      <w:r w:rsidRPr="002B40DE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</w:t>
      </w:r>
      <w:r w:rsidRPr="002B40DE">
        <w:rPr>
          <w:rFonts w:asciiTheme="minorHAnsi" w:hAnsiTheme="minorHAnsi" w:cstheme="minorHAnsi"/>
          <w:i/>
        </w:rPr>
        <w:t xml:space="preserve"> </w:t>
      </w:r>
      <w:r w:rsidRPr="002B40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Pr="002B40DE">
        <w:rPr>
          <w:rFonts w:asciiTheme="minorHAnsi" w:hAnsiTheme="minorHAnsi" w:cstheme="minorHAnsi"/>
        </w:rPr>
        <w:t xml:space="preserve">kontrolní akce č. 17/08 – </w:t>
      </w:r>
      <w:r w:rsidRPr="002B40DE">
        <w:rPr>
          <w:rFonts w:asciiTheme="minorHAnsi" w:hAnsiTheme="minorHAnsi" w:cstheme="minorHAnsi"/>
          <w:i/>
        </w:rPr>
        <w:t>Závěrečný účet kapitoly státního rozpočtu Ministerstvo pro místní rozvoj za rok 2016, účetní závěrka Ministerstva pro místní rozvoj za rok 2016 a údaje předkládané Ministerstvem pro místní rozvoj pro hodnocení plnění státního rozpočtu za rok 2016</w:t>
      </w:r>
      <w:r w:rsidRPr="002B40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(KZ byl </w:t>
      </w:r>
      <w:r w:rsidRPr="002B40DE">
        <w:rPr>
          <w:rFonts w:asciiTheme="minorHAnsi" w:hAnsiTheme="minorHAnsi" w:cstheme="minorHAnsi"/>
        </w:rPr>
        <w:t xml:space="preserve">zveřejněn v částce 1/2018 </w:t>
      </w:r>
      <w:r w:rsidRPr="002B40DE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</w:t>
      </w:r>
      <w:r w:rsidRPr="00CE4911">
        <w:rPr>
          <w:rFonts w:asciiTheme="minorHAnsi" w:hAnsiTheme="minorHAnsi" w:cstheme="minorHAnsi"/>
        </w:rPr>
        <w:t>.</w:t>
      </w:r>
    </w:p>
  </w:footnote>
  <w:footnote w:id="15">
    <w:p w14:paraId="6CBFF9ED" w14:textId="612C9E7C" w:rsidR="006C1B1F" w:rsidRPr="005D01D1" w:rsidRDefault="006C1B1F" w:rsidP="009675BF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2B40DE">
        <w:rPr>
          <w:rStyle w:val="Znakapoznpodarou"/>
          <w:rFonts w:cstheme="minorHAnsi"/>
          <w:sz w:val="20"/>
          <w:szCs w:val="20"/>
        </w:rPr>
        <w:footnoteRef/>
      </w:r>
      <w:r w:rsidRPr="002B40DE">
        <w:rPr>
          <w:rFonts w:cstheme="minorHAnsi"/>
          <w:sz w:val="20"/>
          <w:szCs w:val="20"/>
        </w:rPr>
        <w:t xml:space="preserve"> </w:t>
      </w:r>
      <w:r w:rsidRPr="002B40DE">
        <w:rPr>
          <w:rFonts w:cstheme="minorHAnsi"/>
          <w:sz w:val="20"/>
          <w:szCs w:val="20"/>
        </w:rPr>
        <w:tab/>
        <w:t>Na rozdíl od finančních výkazů se v účetnictví zobrazuje např. to, že transfer byl poskytnut formou zálohy a očekává se z tohoto důvodu ještě jeho vypořádání, a proto náklad z něj je jen odhad; nebo to, že OSS vznikl nárok na refundaci (např. z prostředků fondů Evropské unie).</w:t>
      </w:r>
    </w:p>
  </w:footnote>
  <w:footnote w:id="16">
    <w:p w14:paraId="1BE3DFC1" w14:textId="15332451" w:rsidR="006C1B1F" w:rsidRPr="005D01D1" w:rsidRDefault="006C1B1F" w:rsidP="006C5D57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2B40DE">
        <w:rPr>
          <w:rStyle w:val="Znakapoznpodarou"/>
          <w:rFonts w:cstheme="minorHAnsi"/>
          <w:sz w:val="20"/>
          <w:szCs w:val="20"/>
        </w:rPr>
        <w:footnoteRef/>
      </w:r>
      <w:r w:rsidRPr="002B40DE">
        <w:rPr>
          <w:rFonts w:cstheme="minorHAnsi"/>
          <w:sz w:val="20"/>
          <w:szCs w:val="20"/>
        </w:rPr>
        <w:t xml:space="preserve"> </w:t>
      </w:r>
      <w:r w:rsidRPr="002B40DE">
        <w:rPr>
          <w:rFonts w:cstheme="minorHAnsi"/>
          <w:sz w:val="20"/>
          <w:szCs w:val="20"/>
        </w:rPr>
        <w:tab/>
        <w:t>Akruální princip (nebo také báze, koncept) je jedna ze základních účetních zásad a spočívá v tom, že náklady a výnosy se účtují do období, se kterým věcně a časově souvisejí, aniž by bylo bráno v úvahu, kdy došlo k reálnému pohybu peněz.</w:t>
      </w:r>
    </w:p>
  </w:footnote>
  <w:footnote w:id="17">
    <w:p w14:paraId="100B9CE6" w14:textId="77777777" w:rsidR="006C1B1F" w:rsidRPr="002B40DE" w:rsidRDefault="006C1B1F" w:rsidP="00B77ECB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2B40DE">
        <w:rPr>
          <w:rStyle w:val="Znakapoznpodarou"/>
          <w:rFonts w:cstheme="minorHAnsi"/>
          <w:sz w:val="20"/>
          <w:szCs w:val="20"/>
        </w:rPr>
        <w:footnoteRef/>
      </w:r>
      <w:r w:rsidRPr="002B40DE">
        <w:rPr>
          <w:rFonts w:cstheme="minorHAnsi"/>
          <w:sz w:val="20"/>
          <w:szCs w:val="20"/>
        </w:rPr>
        <w:t xml:space="preserve"> </w:t>
      </w:r>
      <w:r w:rsidRPr="002B40DE">
        <w:rPr>
          <w:rFonts w:cstheme="minorHAnsi"/>
          <w:sz w:val="20"/>
          <w:szCs w:val="20"/>
        </w:rPr>
        <w:tab/>
        <w:t xml:space="preserve">Viz </w:t>
      </w:r>
      <w:r w:rsidRPr="002B40DE">
        <w:rPr>
          <w:rFonts w:cstheme="minorHAnsi"/>
          <w:i/>
          <w:iCs/>
          <w:sz w:val="20"/>
          <w:szCs w:val="20"/>
        </w:rPr>
        <w:t xml:space="preserve">Zpráva o účetních výkazech za </w:t>
      </w:r>
      <w:r w:rsidRPr="005D01D1">
        <w:rPr>
          <w:rFonts w:cstheme="minorHAnsi"/>
          <w:i/>
          <w:iCs/>
          <w:sz w:val="20"/>
          <w:szCs w:val="20"/>
        </w:rPr>
        <w:t xml:space="preserve">Českou republiku za rok 2016 </w:t>
      </w:r>
      <w:r w:rsidRPr="005D01D1">
        <w:rPr>
          <w:rFonts w:cstheme="minorHAnsi"/>
          <w:sz w:val="20"/>
          <w:szCs w:val="20"/>
        </w:rPr>
        <w:t xml:space="preserve">(dostupné z </w:t>
      </w:r>
      <w:hyperlink r:id="rId3" w:history="1">
        <w:r w:rsidRPr="002B40DE">
          <w:rPr>
            <w:rStyle w:val="Hypertextovodkaz"/>
            <w:sz w:val="20"/>
            <w:szCs w:val="20"/>
          </w:rPr>
          <w:t>http://www.mfcr.cz/cs/verejny-sektor/ucetnictvi-a-ucetnictvi-statu/ucetni-reforma-verejnych-financi-ucetnic/ucetni-vykaznictvi-statu/ucetni-vykazy-za-ceskou-republiku</w:t>
        </w:r>
      </w:hyperlink>
      <w:r w:rsidRPr="002B40DE">
        <w:rPr>
          <w:sz w:val="20"/>
          <w:szCs w:val="20"/>
        </w:rPr>
        <w:t>).</w:t>
      </w:r>
    </w:p>
  </w:footnote>
  <w:footnote w:id="18">
    <w:p w14:paraId="288ED65C" w14:textId="2078C408" w:rsidR="006C1B1F" w:rsidRPr="009416E0" w:rsidRDefault="006C1B1F" w:rsidP="009E57D6">
      <w:pPr>
        <w:spacing w:after="0"/>
        <w:ind w:left="284" w:hanging="284"/>
        <w:jc w:val="both"/>
        <w:rPr>
          <w:rFonts w:asciiTheme="minorHAnsi" w:eastAsia="Calibri" w:hAnsiTheme="minorHAnsi" w:cstheme="minorHAnsi"/>
        </w:rPr>
      </w:pPr>
      <w:r w:rsidRPr="009107FE">
        <w:rPr>
          <w:rStyle w:val="Znakapoznpodarou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P</w:t>
      </w:r>
      <w:r w:rsidRPr="001E58E4">
        <w:rPr>
          <w:rFonts w:eastAsia="Calibri" w:cstheme="minorHAnsi"/>
          <w:sz w:val="20"/>
          <w:szCs w:val="20"/>
        </w:rPr>
        <w:t xml:space="preserve">odmíněné závazky za kapitolu </w:t>
      </w:r>
      <w:r>
        <w:rPr>
          <w:rFonts w:eastAsia="Calibri" w:cstheme="minorHAnsi"/>
          <w:sz w:val="20"/>
          <w:szCs w:val="20"/>
        </w:rPr>
        <w:t>335</w:t>
      </w:r>
      <w:r w:rsidRPr="001E58E4">
        <w:rPr>
          <w:rFonts w:eastAsia="Calibri" w:cstheme="minorHAnsi"/>
          <w:sz w:val="20"/>
          <w:szCs w:val="20"/>
        </w:rPr>
        <w:t xml:space="preserve"> M</w:t>
      </w:r>
      <w:r>
        <w:rPr>
          <w:rFonts w:eastAsia="Calibri" w:cstheme="minorHAnsi"/>
          <w:sz w:val="20"/>
          <w:szCs w:val="20"/>
        </w:rPr>
        <w:t>Zd</w:t>
      </w:r>
      <w:r w:rsidRPr="001E58E4">
        <w:rPr>
          <w:rFonts w:eastAsia="Calibri" w:cstheme="minorHAnsi"/>
          <w:sz w:val="20"/>
          <w:szCs w:val="20"/>
        </w:rPr>
        <w:t xml:space="preserve"> (za OSS a PO) byly k 31. prosinci 201</w:t>
      </w:r>
      <w:r>
        <w:rPr>
          <w:rFonts w:eastAsia="Calibri" w:cstheme="minorHAnsi"/>
          <w:sz w:val="20"/>
          <w:szCs w:val="20"/>
        </w:rPr>
        <w:t>7</w:t>
      </w:r>
      <w:r w:rsidRPr="001E58E4">
        <w:rPr>
          <w:rFonts w:eastAsia="Calibri" w:cstheme="minorHAnsi"/>
          <w:sz w:val="20"/>
          <w:szCs w:val="20"/>
        </w:rPr>
        <w:t xml:space="preserve"> dle údajů zveřejněných z účetních závěrek v</w:t>
      </w:r>
      <w:r>
        <w:rPr>
          <w:rFonts w:eastAsia="Calibri" w:cstheme="minorHAnsi"/>
          <w:sz w:val="20"/>
          <w:szCs w:val="20"/>
        </w:rPr>
        <w:t xml:space="preserve"> informačním portálu </w:t>
      </w:r>
      <w:r w:rsidRPr="001E58E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ONITOR</w:t>
      </w:r>
      <w:r w:rsidRPr="001E58E4">
        <w:rPr>
          <w:rFonts w:eastAsia="Calibri" w:cstheme="minorHAnsi"/>
          <w:sz w:val="20"/>
          <w:szCs w:val="20"/>
        </w:rPr>
        <w:t xml:space="preserve"> ve výši </w:t>
      </w:r>
      <w:r>
        <w:rPr>
          <w:rFonts w:eastAsia="Calibri" w:cstheme="minorHAnsi"/>
          <w:sz w:val="20"/>
          <w:szCs w:val="20"/>
        </w:rPr>
        <w:t xml:space="preserve">25 607 269 564,09 </w:t>
      </w:r>
      <w:r w:rsidRPr="001E58E4">
        <w:rPr>
          <w:rFonts w:eastAsia="Calibri" w:cstheme="minorHAnsi"/>
          <w:sz w:val="20"/>
          <w:szCs w:val="20"/>
        </w:rPr>
        <w:t xml:space="preserve">Kč; z toho </w:t>
      </w:r>
      <w:r>
        <w:rPr>
          <w:rFonts w:eastAsia="Calibri" w:cstheme="minorHAnsi"/>
          <w:sz w:val="20"/>
          <w:szCs w:val="20"/>
        </w:rPr>
        <w:t>85</w:t>
      </w:r>
      <w:r w:rsidRPr="001E58E4">
        <w:rPr>
          <w:rFonts w:eastAsia="Calibri" w:cstheme="minorHAnsi"/>
          <w:sz w:val="20"/>
          <w:szCs w:val="20"/>
        </w:rPr>
        <w:t xml:space="preserve"> % podmíněných závazků vykazuje M</w:t>
      </w:r>
      <w:r>
        <w:rPr>
          <w:rFonts w:eastAsia="Calibri" w:cstheme="minorHAnsi"/>
          <w:sz w:val="20"/>
          <w:szCs w:val="20"/>
        </w:rPr>
        <w:t>Zd</w:t>
      </w:r>
      <w:r w:rsidRPr="001E58E4">
        <w:rPr>
          <w:rFonts w:eastAsia="Calibri" w:cstheme="minorHAnsi"/>
          <w:sz w:val="20"/>
          <w:szCs w:val="20"/>
        </w:rPr>
        <w:t>. U podmíněných závazků lze očekávat, resp. nelze vyloučit, potenciálně významný dopad na budoucí výdaje státního rozpočtu,</w:t>
      </w:r>
      <w:r>
        <w:rPr>
          <w:rFonts w:eastAsia="Calibri" w:cstheme="minorHAnsi"/>
          <w:sz w:val="20"/>
          <w:szCs w:val="20"/>
        </w:rPr>
        <w:t xml:space="preserve"> což vyplývá ze zákona č. 23/2017 Sb</w:t>
      </w:r>
      <w:r w:rsidRPr="00A7770B">
        <w:rPr>
          <w:rFonts w:eastAsia="Calibri" w:cstheme="minorHAnsi"/>
          <w:sz w:val="20"/>
          <w:szCs w:val="20"/>
        </w:rPr>
        <w:t>., o pravidlech rozpočtové</w:t>
      </w:r>
      <w:r w:rsidRPr="0007370C">
        <w:rPr>
          <w:rFonts w:eastAsia="Calibri" w:cstheme="minorHAnsi"/>
          <w:sz w:val="20"/>
          <w:szCs w:val="20"/>
        </w:rPr>
        <w:t xml:space="preserve"> </w:t>
      </w:r>
      <w:r w:rsidRPr="00A7770B">
        <w:rPr>
          <w:rFonts w:eastAsia="Calibri" w:cstheme="minorHAnsi"/>
          <w:sz w:val="20"/>
          <w:szCs w:val="20"/>
        </w:rPr>
        <w:t>odpovědnosti</w:t>
      </w:r>
      <w:r w:rsidRPr="0007370C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</w:rPr>
        <w:t xml:space="preserve"> P</w:t>
      </w:r>
      <w:r w:rsidRPr="001E58E4">
        <w:rPr>
          <w:rFonts w:eastAsia="Calibri" w:cstheme="minorHAnsi"/>
          <w:sz w:val="20"/>
          <w:szCs w:val="20"/>
        </w:rPr>
        <w:t xml:space="preserve">řesto </w:t>
      </w:r>
      <w:r>
        <w:rPr>
          <w:rFonts w:eastAsia="Calibri" w:cstheme="minorHAnsi"/>
          <w:sz w:val="20"/>
          <w:szCs w:val="20"/>
        </w:rPr>
        <w:t>nejsou</w:t>
      </w:r>
      <w:r w:rsidRPr="001E58E4">
        <w:rPr>
          <w:rFonts w:eastAsia="Calibri" w:cstheme="minorHAnsi"/>
          <w:sz w:val="20"/>
          <w:szCs w:val="20"/>
        </w:rPr>
        <w:t xml:space="preserve"> vyhláškou č. 419/2001 Sb. </w:t>
      </w:r>
      <w:r>
        <w:rPr>
          <w:rFonts w:eastAsia="Calibri" w:cstheme="minorHAnsi"/>
          <w:sz w:val="20"/>
          <w:szCs w:val="20"/>
        </w:rPr>
        <w:t>tyto skutečnosti stanoveny jako povinné informace v průvodní zprávě závěrečného účtu.</w:t>
      </w:r>
    </w:p>
  </w:footnote>
  <w:footnote w:id="19">
    <w:p w14:paraId="22DFC71F" w14:textId="77777777" w:rsidR="006C1B1F" w:rsidRPr="00B406C8" w:rsidRDefault="006C1B1F" w:rsidP="00DB408A">
      <w:pPr>
        <w:pStyle w:val="Textpoznpodarou"/>
        <w:ind w:left="278" w:hanging="278"/>
        <w:jc w:val="both"/>
        <w:rPr>
          <w:rFonts w:asciiTheme="minorHAnsi" w:hAnsiTheme="minorHAnsi" w:cstheme="minorHAnsi"/>
        </w:rPr>
      </w:pPr>
      <w:r w:rsidRPr="00B406C8">
        <w:rPr>
          <w:rStyle w:val="Znakapoznpodarou"/>
          <w:rFonts w:asciiTheme="minorHAnsi" w:hAnsiTheme="minorHAnsi" w:cstheme="minorHAnsi"/>
        </w:rPr>
        <w:footnoteRef/>
      </w:r>
      <w:r w:rsidRPr="00B406C8">
        <w:rPr>
          <w:rFonts w:asciiTheme="minorHAnsi" w:hAnsiTheme="minorHAnsi" w:cstheme="minorHAnsi"/>
        </w:rPr>
        <w:t xml:space="preserve"> </w:t>
      </w:r>
      <w:r w:rsidRPr="00B40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Viz</w:t>
      </w:r>
      <w:r w:rsidRPr="00B406C8">
        <w:rPr>
          <w:rFonts w:asciiTheme="minorHAnsi" w:hAnsiTheme="minorHAnsi" w:cstheme="minorHAnsi"/>
        </w:rPr>
        <w:t xml:space="preserve"> ustanovení § 1 odst. 3</w:t>
      </w:r>
      <w:r>
        <w:rPr>
          <w:rFonts w:asciiTheme="minorHAnsi" w:hAnsiTheme="minorHAnsi" w:cstheme="minorHAnsi"/>
        </w:rPr>
        <w:t xml:space="preserve"> zákona o účetnictví</w:t>
      </w:r>
      <w:r w:rsidRPr="00B406C8">
        <w:rPr>
          <w:rFonts w:asciiTheme="minorHAnsi" w:hAnsiTheme="minorHAnsi" w:cstheme="minorHAnsi"/>
        </w:rPr>
        <w:t>.</w:t>
      </w:r>
    </w:p>
  </w:footnote>
  <w:footnote w:id="20">
    <w:p w14:paraId="6A7634C0" w14:textId="77777777" w:rsidR="006C1B1F" w:rsidRPr="00B406C8" w:rsidRDefault="006C1B1F" w:rsidP="00DB408A">
      <w:pPr>
        <w:pStyle w:val="Textpoznpodarou"/>
        <w:ind w:left="278" w:hanging="278"/>
        <w:jc w:val="both"/>
        <w:rPr>
          <w:rFonts w:asciiTheme="minorHAnsi" w:hAnsiTheme="minorHAnsi" w:cstheme="minorHAnsi"/>
        </w:rPr>
      </w:pPr>
      <w:r w:rsidRPr="00B406C8">
        <w:rPr>
          <w:rStyle w:val="Znakapoznpodarou"/>
          <w:rFonts w:asciiTheme="minorHAnsi" w:hAnsiTheme="minorHAnsi" w:cstheme="minorHAnsi"/>
        </w:rPr>
        <w:footnoteRef/>
      </w:r>
      <w:r w:rsidRPr="00B406C8">
        <w:rPr>
          <w:rFonts w:asciiTheme="minorHAnsi" w:hAnsiTheme="minorHAnsi" w:cstheme="minorHAnsi"/>
        </w:rPr>
        <w:t xml:space="preserve"> </w:t>
      </w:r>
      <w:r w:rsidRPr="00B40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Dle ustanovení § 3 písm. o) rozpočtových pravidel je rozpočtový systém informačním systémem veřejné správy, v němž se mj. soustřeďují údaje pro hodnocení plnění státního rozpočtu</w:t>
      </w:r>
      <w:r w:rsidRPr="00B406C8">
        <w:rPr>
          <w:rFonts w:asciiTheme="minorHAnsi" w:hAnsiTheme="minorHAnsi" w:cstheme="minorHAnsi"/>
        </w:rPr>
        <w:t>.</w:t>
      </w:r>
    </w:p>
  </w:footnote>
  <w:footnote w:id="21">
    <w:p w14:paraId="2466B3A8" w14:textId="7BB996BA" w:rsidR="006C1B1F" w:rsidRPr="00456405" w:rsidRDefault="006C1B1F" w:rsidP="002B40D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7770B">
        <w:rPr>
          <w:rStyle w:val="Znakapoznpodarou"/>
          <w:rFonts w:asciiTheme="minorHAnsi" w:hAnsiTheme="minorHAnsi" w:cstheme="minorHAnsi"/>
        </w:rPr>
        <w:footnoteRef/>
      </w:r>
      <w:r w:rsidRPr="00A777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7770B">
        <w:rPr>
          <w:rFonts w:asciiTheme="minorHAnsi" w:hAnsiTheme="minorHAnsi" w:cstheme="minorHAnsi"/>
        </w:rPr>
        <w:t xml:space="preserve">Dle ustanovení § 1 odst. 3 zákona o účetnictví jsou vybranými účetními jednotkami organizační složky státu, státní fondy podle rozpočtových pravidel, územní samosprávné celky, dobrovolné </w:t>
      </w:r>
      <w:r w:rsidRPr="00456405">
        <w:rPr>
          <w:rFonts w:asciiTheme="minorHAnsi" w:hAnsiTheme="minorHAnsi" w:cstheme="minorHAnsi"/>
        </w:rPr>
        <w:t>svazky</w:t>
      </w:r>
      <w:r w:rsidRPr="00A7770B">
        <w:rPr>
          <w:rFonts w:asciiTheme="minorHAnsi" w:hAnsiTheme="minorHAnsi" w:cstheme="minorHAnsi"/>
        </w:rPr>
        <w:t xml:space="preserve"> obcí, </w:t>
      </w:r>
      <w:r w:rsidRPr="00456405">
        <w:rPr>
          <w:rFonts w:asciiTheme="minorHAnsi" w:hAnsiTheme="minorHAnsi" w:cstheme="minorHAnsi"/>
        </w:rPr>
        <w:t>Regionální</w:t>
      </w:r>
      <w:r w:rsidRPr="00A7770B">
        <w:rPr>
          <w:rFonts w:asciiTheme="minorHAnsi" w:hAnsiTheme="minorHAnsi" w:cstheme="minorHAnsi"/>
        </w:rPr>
        <w:t xml:space="preserve"> rady regionů soudržnosti, příspěvkové organizace a zdravotní pojišťovny.</w:t>
      </w:r>
    </w:p>
    <w:p w14:paraId="7BF246B8" w14:textId="755C4D7E" w:rsidR="006C1B1F" w:rsidRDefault="006C1B1F" w:rsidP="002B40DE">
      <w:pPr>
        <w:pStyle w:val="Textpoznpodarou"/>
        <w:ind w:left="284"/>
        <w:jc w:val="both"/>
      </w:pPr>
      <w:r w:rsidRPr="00456405">
        <w:rPr>
          <w:rFonts w:asciiTheme="minorHAnsi" w:hAnsiTheme="minorHAnsi" w:cstheme="minorHAnsi"/>
        </w:rPr>
        <w:t xml:space="preserve">Dle ustanovení § 36 odst. 1 zákona o účetnictví pro dosažení souladu při používání účetních metod účetními jednotkami a pro zajištění vyšší míry srovnatelnosti účetních závěrek vydává </w:t>
      </w:r>
      <w:r>
        <w:rPr>
          <w:rFonts w:asciiTheme="minorHAnsi" w:hAnsiTheme="minorHAnsi" w:cstheme="minorHAnsi"/>
        </w:rPr>
        <w:t>M</w:t>
      </w:r>
      <w:r w:rsidRPr="00456405">
        <w:rPr>
          <w:rFonts w:asciiTheme="minorHAnsi" w:hAnsiTheme="minorHAnsi" w:cstheme="minorHAnsi"/>
        </w:rPr>
        <w:t>inisterstvo</w:t>
      </w:r>
      <w:r>
        <w:rPr>
          <w:rFonts w:asciiTheme="minorHAnsi" w:hAnsiTheme="minorHAnsi" w:cstheme="minorHAnsi"/>
        </w:rPr>
        <w:t xml:space="preserve"> financí</w:t>
      </w:r>
      <w:r w:rsidRPr="00456405">
        <w:rPr>
          <w:rFonts w:asciiTheme="minorHAnsi" w:hAnsiTheme="minorHAnsi" w:cstheme="minorHAnsi"/>
        </w:rPr>
        <w:t xml:space="preserve"> České účetní </w:t>
      </w:r>
      <w:r>
        <w:rPr>
          <w:rFonts w:asciiTheme="minorHAnsi" w:hAnsiTheme="minorHAnsi" w:cstheme="minorHAnsi"/>
        </w:rPr>
        <w:t>standardy</w:t>
      </w:r>
      <w:r w:rsidRPr="00456405">
        <w:rPr>
          <w:rFonts w:asciiTheme="minorHAnsi" w:hAnsiTheme="minorHAnsi" w:cstheme="minorHAnsi"/>
        </w:rPr>
        <w:t xml:space="preserve">. Standardy stanoví zejména bližší popis účetních metod a postupů účtování. Vybrané účetní jednotky postupují podle standardů vždy. Použití standardů účetními jednotkami se považuje za naplnění účetních metod podle tohoto zákona a věrného a </w:t>
      </w:r>
      <w:r>
        <w:rPr>
          <w:rFonts w:asciiTheme="minorHAnsi" w:hAnsiTheme="minorHAnsi" w:cstheme="minorHAnsi"/>
        </w:rPr>
        <w:t>poctiv</w:t>
      </w:r>
      <w:r w:rsidRPr="00456405">
        <w:rPr>
          <w:rFonts w:asciiTheme="minorHAnsi" w:hAnsiTheme="minorHAnsi" w:cstheme="minorHAnsi"/>
        </w:rPr>
        <w:t>ého obrazu předmětu účetnictví.</w:t>
      </w:r>
    </w:p>
  </w:footnote>
  <w:footnote w:id="22">
    <w:p w14:paraId="531AD5C9" w14:textId="747FCDCF" w:rsidR="006C1B1F" w:rsidRPr="00C4583A" w:rsidRDefault="006C1B1F" w:rsidP="002B40DE">
      <w:pPr>
        <w:pStyle w:val="Textpoznpodarou"/>
        <w:ind w:left="284" w:hanging="284"/>
        <w:rPr>
          <w:rFonts w:asciiTheme="minorHAnsi" w:hAnsiTheme="minorHAnsi" w:cstheme="minorHAnsi"/>
        </w:rPr>
      </w:pPr>
      <w:r w:rsidRPr="00C4583A">
        <w:rPr>
          <w:rStyle w:val="Znakapoznpodarou"/>
          <w:rFonts w:asciiTheme="minorHAnsi" w:hAnsiTheme="minorHAnsi" w:cstheme="minorHAnsi"/>
        </w:rPr>
        <w:footnoteRef/>
      </w:r>
      <w:r w:rsidRPr="00C4583A">
        <w:rPr>
          <w:rFonts w:asciiTheme="minorHAnsi" w:hAnsiTheme="minorHAnsi" w:cstheme="minorHAnsi"/>
        </w:rPr>
        <w:t xml:space="preserve"> </w:t>
      </w:r>
      <w:r w:rsidRPr="00C4583A">
        <w:rPr>
          <w:rFonts w:asciiTheme="minorHAnsi" w:hAnsiTheme="minorHAnsi" w:cstheme="minorHAnsi"/>
        </w:rPr>
        <w:tab/>
      </w:r>
      <w:r w:rsidRPr="002B40DE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z</w:t>
      </w:r>
      <w:r w:rsidRPr="002B40DE">
        <w:rPr>
          <w:rFonts w:asciiTheme="minorHAnsi" w:hAnsiTheme="minorHAnsi" w:cstheme="minorHAnsi"/>
        </w:rPr>
        <w:t>ávěrečném účtu kapitoly 335 MZd</w:t>
      </w:r>
      <w:r w:rsidRPr="005D01D1">
        <w:rPr>
          <w:rFonts w:asciiTheme="minorHAnsi" w:hAnsiTheme="minorHAnsi" w:cstheme="minorHAnsi"/>
        </w:rPr>
        <w:t xml:space="preserve"> uvedený pod zkratkou „TIS“.</w:t>
      </w:r>
    </w:p>
  </w:footnote>
  <w:footnote w:id="23">
    <w:p w14:paraId="353A002D" w14:textId="77777777" w:rsidR="006C1B1F" w:rsidRPr="00DA059D" w:rsidRDefault="006C1B1F" w:rsidP="00DA059D">
      <w:pPr>
        <w:pStyle w:val="Textpoznpodarou"/>
        <w:ind w:left="284" w:hanging="284"/>
        <w:rPr>
          <w:rFonts w:asciiTheme="minorHAnsi" w:hAnsiTheme="minorHAnsi" w:cstheme="minorHAnsi"/>
        </w:rPr>
      </w:pPr>
      <w:r w:rsidRPr="00DA059D">
        <w:rPr>
          <w:rStyle w:val="Znakapoznpodarou"/>
          <w:rFonts w:asciiTheme="minorHAnsi" w:hAnsiTheme="minorHAnsi" w:cstheme="minorHAnsi"/>
        </w:rPr>
        <w:footnoteRef/>
      </w:r>
      <w:r w:rsidRPr="00DA059D">
        <w:rPr>
          <w:rFonts w:asciiTheme="minorHAnsi" w:hAnsiTheme="minorHAnsi" w:cstheme="minorHAnsi"/>
        </w:rPr>
        <w:t xml:space="preserve"> </w:t>
      </w:r>
      <w:r w:rsidRPr="00DA059D">
        <w:rPr>
          <w:rFonts w:asciiTheme="minorHAnsi" w:hAnsiTheme="minorHAnsi" w:cstheme="minorHAnsi"/>
        </w:rPr>
        <w:tab/>
        <w:t>Koordinační středisko pro resortní zdravotnické informační systémy zaniklo ke dni 31. 12. 2017.</w:t>
      </w:r>
    </w:p>
  </w:footnote>
  <w:footnote w:id="24">
    <w:p w14:paraId="0D2581A3" w14:textId="77777777" w:rsidR="006C1B1F" w:rsidRPr="00331123" w:rsidRDefault="006C1B1F" w:rsidP="00DA059D">
      <w:pPr>
        <w:pStyle w:val="Textpoznpodarou"/>
        <w:ind w:left="284" w:hanging="284"/>
        <w:rPr>
          <w:rFonts w:asciiTheme="minorHAnsi" w:hAnsiTheme="minorHAnsi" w:cstheme="minorHAnsi"/>
        </w:rPr>
      </w:pPr>
      <w:r w:rsidRPr="00331123">
        <w:rPr>
          <w:rStyle w:val="Znakapoznpodarou"/>
          <w:rFonts w:asciiTheme="minorHAnsi" w:hAnsiTheme="minorHAnsi" w:cstheme="minorHAnsi"/>
        </w:rPr>
        <w:footnoteRef/>
      </w:r>
      <w:r w:rsidRPr="00331123">
        <w:rPr>
          <w:rFonts w:asciiTheme="minorHAnsi" w:hAnsiTheme="minorHAnsi" w:cstheme="minorHAnsi"/>
        </w:rPr>
        <w:t xml:space="preserve"> </w:t>
      </w:r>
      <w:r w:rsidRPr="00331123">
        <w:rPr>
          <w:rFonts w:asciiTheme="minorHAnsi" w:hAnsiTheme="minorHAnsi" w:cstheme="minorHAnsi"/>
        </w:rPr>
        <w:tab/>
        <w:t>Zdravotnické zabezpečení krizových stavů zaniklo ke dni 30. 6.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6004" w14:textId="77777777" w:rsidR="003D535C" w:rsidRDefault="003D53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E625" w14:textId="77777777" w:rsidR="003D535C" w:rsidRDefault="003D53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F08F" w14:textId="37A0CD40" w:rsidR="006C1B1F" w:rsidRDefault="006C1B1F">
    <w:pPr>
      <w:pStyle w:val="Zhlav"/>
    </w:pPr>
  </w:p>
  <w:p w14:paraId="2E672AB3" w14:textId="10B6FEC8" w:rsidR="006C1B1F" w:rsidRPr="00C02639" w:rsidRDefault="006C1B1F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74"/>
    <w:multiLevelType w:val="hybridMultilevel"/>
    <w:tmpl w:val="7360A21C"/>
    <w:lvl w:ilvl="0" w:tplc="31668ADE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626"/>
    <w:multiLevelType w:val="hybridMultilevel"/>
    <w:tmpl w:val="36E085A8"/>
    <w:lvl w:ilvl="0" w:tplc="7DDE12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104A"/>
    <w:multiLevelType w:val="hybridMultilevel"/>
    <w:tmpl w:val="E70E9372"/>
    <w:lvl w:ilvl="0" w:tplc="12CA4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D89"/>
    <w:multiLevelType w:val="hybridMultilevel"/>
    <w:tmpl w:val="34BC91C6"/>
    <w:lvl w:ilvl="0" w:tplc="7DDE12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67EF"/>
    <w:multiLevelType w:val="hybridMultilevel"/>
    <w:tmpl w:val="12E2D15A"/>
    <w:lvl w:ilvl="0" w:tplc="7DDE12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93B"/>
    <w:multiLevelType w:val="hybridMultilevel"/>
    <w:tmpl w:val="1FC2C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41DE"/>
    <w:multiLevelType w:val="hybridMultilevel"/>
    <w:tmpl w:val="37B4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F1FDC"/>
    <w:multiLevelType w:val="hybridMultilevel"/>
    <w:tmpl w:val="7D80F430"/>
    <w:lvl w:ilvl="0" w:tplc="98128B18">
      <w:start w:val="6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1363"/>
    <w:multiLevelType w:val="hybridMultilevel"/>
    <w:tmpl w:val="C33A4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00AEC"/>
    <w:multiLevelType w:val="hybridMultilevel"/>
    <w:tmpl w:val="01069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A6F2F"/>
    <w:multiLevelType w:val="hybridMultilevel"/>
    <w:tmpl w:val="4ECE846A"/>
    <w:lvl w:ilvl="0" w:tplc="41BAD02E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0BF1"/>
    <w:multiLevelType w:val="hybridMultilevel"/>
    <w:tmpl w:val="8EB4F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5483"/>
    <w:multiLevelType w:val="multilevel"/>
    <w:tmpl w:val="E5B8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5F3090"/>
    <w:multiLevelType w:val="multilevel"/>
    <w:tmpl w:val="10284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5A7966"/>
    <w:multiLevelType w:val="multilevel"/>
    <w:tmpl w:val="62C22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080D66"/>
    <w:multiLevelType w:val="multilevel"/>
    <w:tmpl w:val="4EE2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064211"/>
    <w:multiLevelType w:val="hybridMultilevel"/>
    <w:tmpl w:val="05B8E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13F6"/>
    <w:multiLevelType w:val="hybridMultilevel"/>
    <w:tmpl w:val="B1D27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56BCD"/>
    <w:multiLevelType w:val="multilevel"/>
    <w:tmpl w:val="B3265C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B15F4A"/>
    <w:multiLevelType w:val="hybridMultilevel"/>
    <w:tmpl w:val="816CA058"/>
    <w:lvl w:ilvl="0" w:tplc="7DDE12F2">
      <w:start w:val="1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53E408E5"/>
    <w:multiLevelType w:val="hybridMultilevel"/>
    <w:tmpl w:val="D0F61F46"/>
    <w:lvl w:ilvl="0" w:tplc="7DDE12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82B92"/>
    <w:multiLevelType w:val="hybridMultilevel"/>
    <w:tmpl w:val="85801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B3F9C"/>
    <w:multiLevelType w:val="multilevel"/>
    <w:tmpl w:val="D77C402C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4F711C"/>
    <w:multiLevelType w:val="hybridMultilevel"/>
    <w:tmpl w:val="121293B0"/>
    <w:lvl w:ilvl="0" w:tplc="7DDE12F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0CD1"/>
    <w:multiLevelType w:val="hybridMultilevel"/>
    <w:tmpl w:val="68DE7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55BF6"/>
    <w:multiLevelType w:val="hybridMultilevel"/>
    <w:tmpl w:val="B1DAA312"/>
    <w:lvl w:ilvl="0" w:tplc="4DBA4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E67D7"/>
    <w:multiLevelType w:val="hybridMultilevel"/>
    <w:tmpl w:val="D6E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4034"/>
    <w:multiLevelType w:val="multilevel"/>
    <w:tmpl w:val="5CE650D2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4AA0B9B"/>
    <w:multiLevelType w:val="multilevel"/>
    <w:tmpl w:val="C630C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D7250"/>
    <w:multiLevelType w:val="hybridMultilevel"/>
    <w:tmpl w:val="212AD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5682"/>
    <w:multiLevelType w:val="hybridMultilevel"/>
    <w:tmpl w:val="7AE2BEA6"/>
    <w:lvl w:ilvl="0" w:tplc="6F383026">
      <w:start w:val="1"/>
      <w:numFmt w:val="bullet"/>
      <w:lvlText w:val="-"/>
      <w:lvlJc w:val="left"/>
      <w:pPr>
        <w:ind w:left="179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6CDB583D"/>
    <w:multiLevelType w:val="hybridMultilevel"/>
    <w:tmpl w:val="B6EAE554"/>
    <w:lvl w:ilvl="0" w:tplc="BB8A3F7C">
      <w:start w:val="1"/>
      <w:numFmt w:val="upperLetter"/>
      <w:pStyle w:val="NadpisAB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37B83"/>
    <w:multiLevelType w:val="hybridMultilevel"/>
    <w:tmpl w:val="5686C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07868"/>
    <w:multiLevelType w:val="hybridMultilevel"/>
    <w:tmpl w:val="F59ADD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7B9E"/>
    <w:multiLevelType w:val="multilevel"/>
    <w:tmpl w:val="FADEA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8"/>
  </w:num>
  <w:num w:numId="4">
    <w:abstractNumId w:val="26"/>
  </w:num>
  <w:num w:numId="5">
    <w:abstractNumId w:val="30"/>
  </w:num>
  <w:num w:numId="6">
    <w:abstractNumId w:val="31"/>
  </w:num>
  <w:num w:numId="7">
    <w:abstractNumId w:val="19"/>
  </w:num>
  <w:num w:numId="8">
    <w:abstractNumId w:val="8"/>
  </w:num>
  <w:num w:numId="9">
    <w:abstractNumId w:val="7"/>
  </w:num>
  <w:num w:numId="10">
    <w:abstractNumId w:val="16"/>
  </w:num>
  <w:num w:numId="11">
    <w:abstractNumId w:val="17"/>
  </w:num>
  <w:num w:numId="12">
    <w:abstractNumId w:val="29"/>
  </w:num>
  <w:num w:numId="13">
    <w:abstractNumId w:val="21"/>
  </w:num>
  <w:num w:numId="14">
    <w:abstractNumId w:val="11"/>
  </w:num>
  <w:num w:numId="15">
    <w:abstractNumId w:val="18"/>
  </w:num>
  <w:num w:numId="16">
    <w:abstractNumId w:val="22"/>
  </w:num>
  <w:num w:numId="17">
    <w:abstractNumId w:val="33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7"/>
  </w:num>
  <w:num w:numId="23">
    <w:abstractNumId w:val="14"/>
  </w:num>
  <w:num w:numId="24">
    <w:abstractNumId w:val="15"/>
  </w:num>
  <w:num w:numId="25">
    <w:abstractNumId w:val="34"/>
  </w:num>
  <w:num w:numId="26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62" w:hanging="306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3"/>
  </w:num>
  <w:num w:numId="29">
    <w:abstractNumId w:val="1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21" w:hanging="10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"/>
  </w:num>
  <w:num w:numId="33">
    <w:abstractNumId w:val="32"/>
  </w:num>
  <w:num w:numId="34">
    <w:abstractNumId w:val="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"/>
  </w:num>
  <w:num w:numId="41">
    <w:abstractNumId w:val="23"/>
  </w:num>
  <w:num w:numId="42">
    <w:abstractNumId w:val="20"/>
  </w:num>
  <w:num w:numId="43">
    <w:abstractNumId w:val="4"/>
  </w:num>
  <w:num w:numId="44">
    <w:abstractNumId w:val="5"/>
  </w:num>
  <w:num w:numId="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TrackMoves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266"/>
    <w:rsid w:val="00004EF9"/>
    <w:rsid w:val="00005413"/>
    <w:rsid w:val="000102DC"/>
    <w:rsid w:val="00010565"/>
    <w:rsid w:val="00010948"/>
    <w:rsid w:val="000116ED"/>
    <w:rsid w:val="00011D21"/>
    <w:rsid w:val="00012047"/>
    <w:rsid w:val="00012334"/>
    <w:rsid w:val="000136D6"/>
    <w:rsid w:val="00013D01"/>
    <w:rsid w:val="00013F4A"/>
    <w:rsid w:val="00015061"/>
    <w:rsid w:val="000150C6"/>
    <w:rsid w:val="00015F85"/>
    <w:rsid w:val="00017CCE"/>
    <w:rsid w:val="00017D5E"/>
    <w:rsid w:val="00017EA4"/>
    <w:rsid w:val="000205FD"/>
    <w:rsid w:val="000209B1"/>
    <w:rsid w:val="00021226"/>
    <w:rsid w:val="00022153"/>
    <w:rsid w:val="000221DC"/>
    <w:rsid w:val="00024CEB"/>
    <w:rsid w:val="00025582"/>
    <w:rsid w:val="00026B84"/>
    <w:rsid w:val="00027C18"/>
    <w:rsid w:val="000305CE"/>
    <w:rsid w:val="00031FF6"/>
    <w:rsid w:val="000342EB"/>
    <w:rsid w:val="0003469E"/>
    <w:rsid w:val="0003552A"/>
    <w:rsid w:val="000365ED"/>
    <w:rsid w:val="00037BD3"/>
    <w:rsid w:val="0004226B"/>
    <w:rsid w:val="00044B71"/>
    <w:rsid w:val="00045D1D"/>
    <w:rsid w:val="00045D4B"/>
    <w:rsid w:val="00050275"/>
    <w:rsid w:val="000549E4"/>
    <w:rsid w:val="00054D70"/>
    <w:rsid w:val="00054DA8"/>
    <w:rsid w:val="00055581"/>
    <w:rsid w:val="000562E0"/>
    <w:rsid w:val="00056E58"/>
    <w:rsid w:val="000570C7"/>
    <w:rsid w:val="000611BC"/>
    <w:rsid w:val="0006173B"/>
    <w:rsid w:val="0006188A"/>
    <w:rsid w:val="00062738"/>
    <w:rsid w:val="00063109"/>
    <w:rsid w:val="00063906"/>
    <w:rsid w:val="000641B2"/>
    <w:rsid w:val="00065E97"/>
    <w:rsid w:val="00066AC4"/>
    <w:rsid w:val="00070ED0"/>
    <w:rsid w:val="000721C1"/>
    <w:rsid w:val="000728F2"/>
    <w:rsid w:val="00073218"/>
    <w:rsid w:val="0007370C"/>
    <w:rsid w:val="00074D33"/>
    <w:rsid w:val="00075A94"/>
    <w:rsid w:val="00077ACA"/>
    <w:rsid w:val="00080832"/>
    <w:rsid w:val="00080C55"/>
    <w:rsid w:val="0008172A"/>
    <w:rsid w:val="00081853"/>
    <w:rsid w:val="000819E2"/>
    <w:rsid w:val="000822BF"/>
    <w:rsid w:val="00082C74"/>
    <w:rsid w:val="00085D01"/>
    <w:rsid w:val="000867C9"/>
    <w:rsid w:val="0009232A"/>
    <w:rsid w:val="00093120"/>
    <w:rsid w:val="00094908"/>
    <w:rsid w:val="0009689F"/>
    <w:rsid w:val="00097990"/>
    <w:rsid w:val="000A0E8B"/>
    <w:rsid w:val="000A36E9"/>
    <w:rsid w:val="000A5267"/>
    <w:rsid w:val="000A5714"/>
    <w:rsid w:val="000A5A79"/>
    <w:rsid w:val="000A5BDF"/>
    <w:rsid w:val="000A5D44"/>
    <w:rsid w:val="000A5ECA"/>
    <w:rsid w:val="000A7032"/>
    <w:rsid w:val="000A75DF"/>
    <w:rsid w:val="000B0C14"/>
    <w:rsid w:val="000B0EB8"/>
    <w:rsid w:val="000B169C"/>
    <w:rsid w:val="000B2255"/>
    <w:rsid w:val="000B3825"/>
    <w:rsid w:val="000B4ABD"/>
    <w:rsid w:val="000B4B91"/>
    <w:rsid w:val="000B59DC"/>
    <w:rsid w:val="000B7E39"/>
    <w:rsid w:val="000B7ED0"/>
    <w:rsid w:val="000C04E6"/>
    <w:rsid w:val="000C1D99"/>
    <w:rsid w:val="000D069E"/>
    <w:rsid w:val="000D1BFE"/>
    <w:rsid w:val="000D1EC1"/>
    <w:rsid w:val="000D4A59"/>
    <w:rsid w:val="000D63EF"/>
    <w:rsid w:val="000D72DE"/>
    <w:rsid w:val="000D7A9E"/>
    <w:rsid w:val="000D7EB0"/>
    <w:rsid w:val="000E04F4"/>
    <w:rsid w:val="000E082C"/>
    <w:rsid w:val="000E0B18"/>
    <w:rsid w:val="000E12F1"/>
    <w:rsid w:val="000E25B5"/>
    <w:rsid w:val="000E2836"/>
    <w:rsid w:val="000E31D2"/>
    <w:rsid w:val="000E3621"/>
    <w:rsid w:val="000E4ED7"/>
    <w:rsid w:val="000E4F78"/>
    <w:rsid w:val="000E7694"/>
    <w:rsid w:val="000E7D3E"/>
    <w:rsid w:val="000F125B"/>
    <w:rsid w:val="000F189D"/>
    <w:rsid w:val="000F209F"/>
    <w:rsid w:val="000F2220"/>
    <w:rsid w:val="000F2B19"/>
    <w:rsid w:val="000F3E30"/>
    <w:rsid w:val="000F425C"/>
    <w:rsid w:val="000F42EF"/>
    <w:rsid w:val="000F5927"/>
    <w:rsid w:val="001055C3"/>
    <w:rsid w:val="00106409"/>
    <w:rsid w:val="00107771"/>
    <w:rsid w:val="00111FB1"/>
    <w:rsid w:val="00112642"/>
    <w:rsid w:val="00112DFF"/>
    <w:rsid w:val="00113B06"/>
    <w:rsid w:val="00113F2D"/>
    <w:rsid w:val="00114033"/>
    <w:rsid w:val="001141E0"/>
    <w:rsid w:val="00114527"/>
    <w:rsid w:val="00114660"/>
    <w:rsid w:val="00115015"/>
    <w:rsid w:val="00116A85"/>
    <w:rsid w:val="00117093"/>
    <w:rsid w:val="0011741A"/>
    <w:rsid w:val="00120064"/>
    <w:rsid w:val="001202CB"/>
    <w:rsid w:val="00121D77"/>
    <w:rsid w:val="00122E3A"/>
    <w:rsid w:val="001231C4"/>
    <w:rsid w:val="00124CA1"/>
    <w:rsid w:val="00124FA7"/>
    <w:rsid w:val="0012538B"/>
    <w:rsid w:val="0012623F"/>
    <w:rsid w:val="00126597"/>
    <w:rsid w:val="001268C7"/>
    <w:rsid w:val="001344EE"/>
    <w:rsid w:val="0013580F"/>
    <w:rsid w:val="00136F23"/>
    <w:rsid w:val="00137C89"/>
    <w:rsid w:val="00141E59"/>
    <w:rsid w:val="00141F5F"/>
    <w:rsid w:val="001426DD"/>
    <w:rsid w:val="001433FE"/>
    <w:rsid w:val="001441BA"/>
    <w:rsid w:val="00147308"/>
    <w:rsid w:val="00147C26"/>
    <w:rsid w:val="00150F3C"/>
    <w:rsid w:val="001519E4"/>
    <w:rsid w:val="00152AD3"/>
    <w:rsid w:val="00153444"/>
    <w:rsid w:val="0015589D"/>
    <w:rsid w:val="00156475"/>
    <w:rsid w:val="001569F8"/>
    <w:rsid w:val="001574C7"/>
    <w:rsid w:val="001579AE"/>
    <w:rsid w:val="00157F5E"/>
    <w:rsid w:val="00160F7E"/>
    <w:rsid w:val="00161C6F"/>
    <w:rsid w:val="00163CD9"/>
    <w:rsid w:val="00164460"/>
    <w:rsid w:val="001645E7"/>
    <w:rsid w:val="00164D18"/>
    <w:rsid w:val="0016566E"/>
    <w:rsid w:val="00167779"/>
    <w:rsid w:val="00171017"/>
    <w:rsid w:val="00174F1F"/>
    <w:rsid w:val="00175C4F"/>
    <w:rsid w:val="00175EAB"/>
    <w:rsid w:val="00175F87"/>
    <w:rsid w:val="0017668D"/>
    <w:rsid w:val="00176D6E"/>
    <w:rsid w:val="00180B90"/>
    <w:rsid w:val="00181225"/>
    <w:rsid w:val="00181402"/>
    <w:rsid w:val="0018212D"/>
    <w:rsid w:val="00182474"/>
    <w:rsid w:val="00182ED1"/>
    <w:rsid w:val="001866A7"/>
    <w:rsid w:val="0019231A"/>
    <w:rsid w:val="00192BAA"/>
    <w:rsid w:val="00193A3D"/>
    <w:rsid w:val="00193D5F"/>
    <w:rsid w:val="00194BE8"/>
    <w:rsid w:val="001A164B"/>
    <w:rsid w:val="001A19CA"/>
    <w:rsid w:val="001A20AD"/>
    <w:rsid w:val="001A3920"/>
    <w:rsid w:val="001A482C"/>
    <w:rsid w:val="001A601C"/>
    <w:rsid w:val="001A6D72"/>
    <w:rsid w:val="001A7621"/>
    <w:rsid w:val="001B1165"/>
    <w:rsid w:val="001B19A8"/>
    <w:rsid w:val="001B2E9E"/>
    <w:rsid w:val="001B48A7"/>
    <w:rsid w:val="001B5272"/>
    <w:rsid w:val="001B571E"/>
    <w:rsid w:val="001B76BE"/>
    <w:rsid w:val="001C0001"/>
    <w:rsid w:val="001C1977"/>
    <w:rsid w:val="001C48EB"/>
    <w:rsid w:val="001C555C"/>
    <w:rsid w:val="001C649A"/>
    <w:rsid w:val="001D24A7"/>
    <w:rsid w:val="001D24FB"/>
    <w:rsid w:val="001D2A6F"/>
    <w:rsid w:val="001D383E"/>
    <w:rsid w:val="001D4050"/>
    <w:rsid w:val="001D4C2D"/>
    <w:rsid w:val="001D57E4"/>
    <w:rsid w:val="001D7EAE"/>
    <w:rsid w:val="001E0315"/>
    <w:rsid w:val="001E0CB2"/>
    <w:rsid w:val="001E1607"/>
    <w:rsid w:val="001E416B"/>
    <w:rsid w:val="001E4832"/>
    <w:rsid w:val="001E668D"/>
    <w:rsid w:val="001E6D4C"/>
    <w:rsid w:val="001E6D9E"/>
    <w:rsid w:val="001E79D0"/>
    <w:rsid w:val="001F0066"/>
    <w:rsid w:val="001F1A92"/>
    <w:rsid w:val="001F1F57"/>
    <w:rsid w:val="001F24A6"/>
    <w:rsid w:val="001F2AF2"/>
    <w:rsid w:val="001F3DD9"/>
    <w:rsid w:val="001F5A2A"/>
    <w:rsid w:val="001F68CD"/>
    <w:rsid w:val="001F740C"/>
    <w:rsid w:val="001F78DB"/>
    <w:rsid w:val="002008C3"/>
    <w:rsid w:val="002010CA"/>
    <w:rsid w:val="00203788"/>
    <w:rsid w:val="00203DF0"/>
    <w:rsid w:val="00203F77"/>
    <w:rsid w:val="0020473E"/>
    <w:rsid w:val="0020520F"/>
    <w:rsid w:val="002053F1"/>
    <w:rsid w:val="002065FA"/>
    <w:rsid w:val="00206C3F"/>
    <w:rsid w:val="00206F66"/>
    <w:rsid w:val="0020705B"/>
    <w:rsid w:val="002073BC"/>
    <w:rsid w:val="00207AE7"/>
    <w:rsid w:val="00207EEB"/>
    <w:rsid w:val="0021095E"/>
    <w:rsid w:val="002112A1"/>
    <w:rsid w:val="00211E0B"/>
    <w:rsid w:val="00217487"/>
    <w:rsid w:val="002202D3"/>
    <w:rsid w:val="0022055C"/>
    <w:rsid w:val="00220FB8"/>
    <w:rsid w:val="00221698"/>
    <w:rsid w:val="00221ED8"/>
    <w:rsid w:val="00223C06"/>
    <w:rsid w:val="00224417"/>
    <w:rsid w:val="002256BA"/>
    <w:rsid w:val="00227273"/>
    <w:rsid w:val="002272FC"/>
    <w:rsid w:val="00227A36"/>
    <w:rsid w:val="00231E37"/>
    <w:rsid w:val="0023212A"/>
    <w:rsid w:val="00233035"/>
    <w:rsid w:val="00233606"/>
    <w:rsid w:val="0023597E"/>
    <w:rsid w:val="00235D0E"/>
    <w:rsid w:val="00236288"/>
    <w:rsid w:val="00236760"/>
    <w:rsid w:val="00237D37"/>
    <w:rsid w:val="002406D5"/>
    <w:rsid w:val="00243613"/>
    <w:rsid w:val="00243906"/>
    <w:rsid w:val="00243D16"/>
    <w:rsid w:val="00245288"/>
    <w:rsid w:val="002464BB"/>
    <w:rsid w:val="00247441"/>
    <w:rsid w:val="0025166D"/>
    <w:rsid w:val="00252999"/>
    <w:rsid w:val="00252CA2"/>
    <w:rsid w:val="00256020"/>
    <w:rsid w:val="00256992"/>
    <w:rsid w:val="00260714"/>
    <w:rsid w:val="00261A10"/>
    <w:rsid w:val="00261E6F"/>
    <w:rsid w:val="00261EB6"/>
    <w:rsid w:val="00262AAB"/>
    <w:rsid w:val="00263E20"/>
    <w:rsid w:val="002640B7"/>
    <w:rsid w:val="00264B64"/>
    <w:rsid w:val="002668D3"/>
    <w:rsid w:val="00267A31"/>
    <w:rsid w:val="0027012B"/>
    <w:rsid w:val="00270555"/>
    <w:rsid w:val="002705EA"/>
    <w:rsid w:val="002706A7"/>
    <w:rsid w:val="00270CEC"/>
    <w:rsid w:val="00276FF1"/>
    <w:rsid w:val="0028022D"/>
    <w:rsid w:val="00280CE6"/>
    <w:rsid w:val="0028239D"/>
    <w:rsid w:val="00282745"/>
    <w:rsid w:val="00282CC9"/>
    <w:rsid w:val="0028508F"/>
    <w:rsid w:val="00285731"/>
    <w:rsid w:val="00286992"/>
    <w:rsid w:val="00286A25"/>
    <w:rsid w:val="00286BC3"/>
    <w:rsid w:val="00287651"/>
    <w:rsid w:val="002915A8"/>
    <w:rsid w:val="0029287A"/>
    <w:rsid w:val="002940F9"/>
    <w:rsid w:val="00295B5D"/>
    <w:rsid w:val="002A0552"/>
    <w:rsid w:val="002A1506"/>
    <w:rsid w:val="002A2937"/>
    <w:rsid w:val="002A3A62"/>
    <w:rsid w:val="002A4B22"/>
    <w:rsid w:val="002A4CFB"/>
    <w:rsid w:val="002A5276"/>
    <w:rsid w:val="002B25DC"/>
    <w:rsid w:val="002B290A"/>
    <w:rsid w:val="002B2D52"/>
    <w:rsid w:val="002B33D1"/>
    <w:rsid w:val="002B40DE"/>
    <w:rsid w:val="002B485D"/>
    <w:rsid w:val="002B4BE1"/>
    <w:rsid w:val="002B4FE0"/>
    <w:rsid w:val="002B5103"/>
    <w:rsid w:val="002B520E"/>
    <w:rsid w:val="002B593E"/>
    <w:rsid w:val="002B5BE9"/>
    <w:rsid w:val="002B738A"/>
    <w:rsid w:val="002B7978"/>
    <w:rsid w:val="002B7E11"/>
    <w:rsid w:val="002C1566"/>
    <w:rsid w:val="002C1F2D"/>
    <w:rsid w:val="002C1FF8"/>
    <w:rsid w:val="002C4512"/>
    <w:rsid w:val="002C45B7"/>
    <w:rsid w:val="002C5C52"/>
    <w:rsid w:val="002C610A"/>
    <w:rsid w:val="002C616D"/>
    <w:rsid w:val="002C6339"/>
    <w:rsid w:val="002C652B"/>
    <w:rsid w:val="002C66A8"/>
    <w:rsid w:val="002C6A7C"/>
    <w:rsid w:val="002C7334"/>
    <w:rsid w:val="002D0B15"/>
    <w:rsid w:val="002D28C8"/>
    <w:rsid w:val="002D2A4C"/>
    <w:rsid w:val="002D30C7"/>
    <w:rsid w:val="002D30D2"/>
    <w:rsid w:val="002D454E"/>
    <w:rsid w:val="002D512A"/>
    <w:rsid w:val="002E0E60"/>
    <w:rsid w:val="002E16B9"/>
    <w:rsid w:val="002E1B90"/>
    <w:rsid w:val="002E1E39"/>
    <w:rsid w:val="002E2B4E"/>
    <w:rsid w:val="002E46CB"/>
    <w:rsid w:val="002E4D79"/>
    <w:rsid w:val="002E6156"/>
    <w:rsid w:val="002E74EE"/>
    <w:rsid w:val="002F05A9"/>
    <w:rsid w:val="002F196C"/>
    <w:rsid w:val="002F46E1"/>
    <w:rsid w:val="002F6099"/>
    <w:rsid w:val="002F660E"/>
    <w:rsid w:val="002F6A95"/>
    <w:rsid w:val="00301691"/>
    <w:rsid w:val="00303714"/>
    <w:rsid w:val="00304A16"/>
    <w:rsid w:val="003065EB"/>
    <w:rsid w:val="00307089"/>
    <w:rsid w:val="00307589"/>
    <w:rsid w:val="00310273"/>
    <w:rsid w:val="0031446D"/>
    <w:rsid w:val="00316DD2"/>
    <w:rsid w:val="00317CD3"/>
    <w:rsid w:val="00321595"/>
    <w:rsid w:val="00323475"/>
    <w:rsid w:val="00325610"/>
    <w:rsid w:val="00326274"/>
    <w:rsid w:val="003275F1"/>
    <w:rsid w:val="00330263"/>
    <w:rsid w:val="00331123"/>
    <w:rsid w:val="003319DD"/>
    <w:rsid w:val="00333380"/>
    <w:rsid w:val="00333E78"/>
    <w:rsid w:val="0033466E"/>
    <w:rsid w:val="00334C15"/>
    <w:rsid w:val="00335A64"/>
    <w:rsid w:val="00336C97"/>
    <w:rsid w:val="00336FCE"/>
    <w:rsid w:val="00337885"/>
    <w:rsid w:val="00337CD1"/>
    <w:rsid w:val="003411FB"/>
    <w:rsid w:val="0034133D"/>
    <w:rsid w:val="003422CC"/>
    <w:rsid w:val="003426E4"/>
    <w:rsid w:val="00342B46"/>
    <w:rsid w:val="00342E78"/>
    <w:rsid w:val="00343BD2"/>
    <w:rsid w:val="00346ADF"/>
    <w:rsid w:val="00346E29"/>
    <w:rsid w:val="0034730B"/>
    <w:rsid w:val="00350CE5"/>
    <w:rsid w:val="00351494"/>
    <w:rsid w:val="00352670"/>
    <w:rsid w:val="00354510"/>
    <w:rsid w:val="0035533B"/>
    <w:rsid w:val="00355D7D"/>
    <w:rsid w:val="00355D9E"/>
    <w:rsid w:val="00356B7D"/>
    <w:rsid w:val="00357F64"/>
    <w:rsid w:val="00361537"/>
    <w:rsid w:val="00361C7A"/>
    <w:rsid w:val="00361E84"/>
    <w:rsid w:val="00362548"/>
    <w:rsid w:val="003634E8"/>
    <w:rsid w:val="003637BB"/>
    <w:rsid w:val="003640D1"/>
    <w:rsid w:val="003652A5"/>
    <w:rsid w:val="003652CE"/>
    <w:rsid w:val="0036604E"/>
    <w:rsid w:val="00367CD1"/>
    <w:rsid w:val="00367E2A"/>
    <w:rsid w:val="003715A0"/>
    <w:rsid w:val="00371D47"/>
    <w:rsid w:val="00371D92"/>
    <w:rsid w:val="00373044"/>
    <w:rsid w:val="00373721"/>
    <w:rsid w:val="003738A8"/>
    <w:rsid w:val="0037709C"/>
    <w:rsid w:val="00380502"/>
    <w:rsid w:val="0038058B"/>
    <w:rsid w:val="003808DA"/>
    <w:rsid w:val="003827FE"/>
    <w:rsid w:val="00382976"/>
    <w:rsid w:val="00382BBC"/>
    <w:rsid w:val="00382FBD"/>
    <w:rsid w:val="0038314C"/>
    <w:rsid w:val="0038395C"/>
    <w:rsid w:val="00383F1A"/>
    <w:rsid w:val="0038445D"/>
    <w:rsid w:val="003856DF"/>
    <w:rsid w:val="003860A2"/>
    <w:rsid w:val="003862F0"/>
    <w:rsid w:val="00387118"/>
    <w:rsid w:val="00387654"/>
    <w:rsid w:val="00391B34"/>
    <w:rsid w:val="00392434"/>
    <w:rsid w:val="00393398"/>
    <w:rsid w:val="003964D2"/>
    <w:rsid w:val="00397AD4"/>
    <w:rsid w:val="003A04E3"/>
    <w:rsid w:val="003A1E97"/>
    <w:rsid w:val="003A21C5"/>
    <w:rsid w:val="003A4602"/>
    <w:rsid w:val="003A4B77"/>
    <w:rsid w:val="003A5F72"/>
    <w:rsid w:val="003A6213"/>
    <w:rsid w:val="003A6939"/>
    <w:rsid w:val="003A6CBB"/>
    <w:rsid w:val="003A6E50"/>
    <w:rsid w:val="003B1447"/>
    <w:rsid w:val="003B4841"/>
    <w:rsid w:val="003B4E0F"/>
    <w:rsid w:val="003B5B51"/>
    <w:rsid w:val="003C01A5"/>
    <w:rsid w:val="003C1E0F"/>
    <w:rsid w:val="003C21D3"/>
    <w:rsid w:val="003C3550"/>
    <w:rsid w:val="003C4DA8"/>
    <w:rsid w:val="003C6B59"/>
    <w:rsid w:val="003C6DF6"/>
    <w:rsid w:val="003C6E4B"/>
    <w:rsid w:val="003D0A7A"/>
    <w:rsid w:val="003D167A"/>
    <w:rsid w:val="003D2874"/>
    <w:rsid w:val="003D2C17"/>
    <w:rsid w:val="003D3350"/>
    <w:rsid w:val="003D43EB"/>
    <w:rsid w:val="003D4CF9"/>
    <w:rsid w:val="003D535C"/>
    <w:rsid w:val="003D5D9E"/>
    <w:rsid w:val="003E02DD"/>
    <w:rsid w:val="003E177A"/>
    <w:rsid w:val="003E298D"/>
    <w:rsid w:val="003E466F"/>
    <w:rsid w:val="003E4AEB"/>
    <w:rsid w:val="003E66B0"/>
    <w:rsid w:val="003E7636"/>
    <w:rsid w:val="003F0EB8"/>
    <w:rsid w:val="003F26A8"/>
    <w:rsid w:val="003F31C8"/>
    <w:rsid w:val="003F4E76"/>
    <w:rsid w:val="003F6D54"/>
    <w:rsid w:val="00401CFF"/>
    <w:rsid w:val="00401DFC"/>
    <w:rsid w:val="00402B73"/>
    <w:rsid w:val="00402F5B"/>
    <w:rsid w:val="00403262"/>
    <w:rsid w:val="00403FB0"/>
    <w:rsid w:val="00404F7D"/>
    <w:rsid w:val="00405668"/>
    <w:rsid w:val="00405F08"/>
    <w:rsid w:val="00406FE3"/>
    <w:rsid w:val="00410963"/>
    <w:rsid w:val="00411172"/>
    <w:rsid w:val="00411630"/>
    <w:rsid w:val="004123A2"/>
    <w:rsid w:val="004139C8"/>
    <w:rsid w:val="004145B5"/>
    <w:rsid w:val="00417569"/>
    <w:rsid w:val="00420B57"/>
    <w:rsid w:val="0042198F"/>
    <w:rsid w:val="00422CFF"/>
    <w:rsid w:val="0042309E"/>
    <w:rsid w:val="004232AD"/>
    <w:rsid w:val="004240B5"/>
    <w:rsid w:val="00424DE4"/>
    <w:rsid w:val="0042576A"/>
    <w:rsid w:val="00426C29"/>
    <w:rsid w:val="00426C9B"/>
    <w:rsid w:val="004270B8"/>
    <w:rsid w:val="00430D48"/>
    <w:rsid w:val="0043145D"/>
    <w:rsid w:val="0043187C"/>
    <w:rsid w:val="00432127"/>
    <w:rsid w:val="0043303A"/>
    <w:rsid w:val="00433FFC"/>
    <w:rsid w:val="004340F7"/>
    <w:rsid w:val="004360FE"/>
    <w:rsid w:val="004378C7"/>
    <w:rsid w:val="00437C41"/>
    <w:rsid w:val="004412F2"/>
    <w:rsid w:val="00445900"/>
    <w:rsid w:val="00445E50"/>
    <w:rsid w:val="00446B25"/>
    <w:rsid w:val="0044736D"/>
    <w:rsid w:val="00447728"/>
    <w:rsid w:val="004512E1"/>
    <w:rsid w:val="00452ACB"/>
    <w:rsid w:val="00454A54"/>
    <w:rsid w:val="004550FC"/>
    <w:rsid w:val="0045581D"/>
    <w:rsid w:val="00456329"/>
    <w:rsid w:val="00456405"/>
    <w:rsid w:val="004566B8"/>
    <w:rsid w:val="0045680B"/>
    <w:rsid w:val="00456AEA"/>
    <w:rsid w:val="00457B47"/>
    <w:rsid w:val="004602B2"/>
    <w:rsid w:val="004611BE"/>
    <w:rsid w:val="00462094"/>
    <w:rsid w:val="00462E1E"/>
    <w:rsid w:val="00463FDF"/>
    <w:rsid w:val="004641C2"/>
    <w:rsid w:val="00464329"/>
    <w:rsid w:val="004665B2"/>
    <w:rsid w:val="00467C0B"/>
    <w:rsid w:val="00471A12"/>
    <w:rsid w:val="004751E9"/>
    <w:rsid w:val="00475814"/>
    <w:rsid w:val="00476545"/>
    <w:rsid w:val="00477F42"/>
    <w:rsid w:val="00480446"/>
    <w:rsid w:val="00480BF6"/>
    <w:rsid w:val="0048142A"/>
    <w:rsid w:val="004830A7"/>
    <w:rsid w:val="00483F2C"/>
    <w:rsid w:val="00484687"/>
    <w:rsid w:val="00491140"/>
    <w:rsid w:val="004924C8"/>
    <w:rsid w:val="00493351"/>
    <w:rsid w:val="00493895"/>
    <w:rsid w:val="00493A7D"/>
    <w:rsid w:val="00493C64"/>
    <w:rsid w:val="00493FDA"/>
    <w:rsid w:val="00494B0F"/>
    <w:rsid w:val="00494D7D"/>
    <w:rsid w:val="00497DD3"/>
    <w:rsid w:val="004A017B"/>
    <w:rsid w:val="004A0ADF"/>
    <w:rsid w:val="004A1717"/>
    <w:rsid w:val="004A2E8F"/>
    <w:rsid w:val="004A482D"/>
    <w:rsid w:val="004A4AEB"/>
    <w:rsid w:val="004A5A3E"/>
    <w:rsid w:val="004A6ED0"/>
    <w:rsid w:val="004A7344"/>
    <w:rsid w:val="004B022C"/>
    <w:rsid w:val="004B04D2"/>
    <w:rsid w:val="004B2913"/>
    <w:rsid w:val="004B569B"/>
    <w:rsid w:val="004B5BFA"/>
    <w:rsid w:val="004B61FA"/>
    <w:rsid w:val="004B67B6"/>
    <w:rsid w:val="004C15A4"/>
    <w:rsid w:val="004C17E2"/>
    <w:rsid w:val="004C1B38"/>
    <w:rsid w:val="004C1EC8"/>
    <w:rsid w:val="004C2048"/>
    <w:rsid w:val="004C287D"/>
    <w:rsid w:val="004C33C8"/>
    <w:rsid w:val="004C3BD3"/>
    <w:rsid w:val="004C49C5"/>
    <w:rsid w:val="004C5793"/>
    <w:rsid w:val="004C6E57"/>
    <w:rsid w:val="004C759B"/>
    <w:rsid w:val="004C76A5"/>
    <w:rsid w:val="004D05B3"/>
    <w:rsid w:val="004D0DE6"/>
    <w:rsid w:val="004D1174"/>
    <w:rsid w:val="004D1438"/>
    <w:rsid w:val="004D1C8E"/>
    <w:rsid w:val="004D278F"/>
    <w:rsid w:val="004D3BC8"/>
    <w:rsid w:val="004D48BA"/>
    <w:rsid w:val="004D5986"/>
    <w:rsid w:val="004D6D6E"/>
    <w:rsid w:val="004E0283"/>
    <w:rsid w:val="004E0354"/>
    <w:rsid w:val="004E1840"/>
    <w:rsid w:val="004E1DEA"/>
    <w:rsid w:val="004E2DFE"/>
    <w:rsid w:val="004E3929"/>
    <w:rsid w:val="004E51D8"/>
    <w:rsid w:val="004E5CB5"/>
    <w:rsid w:val="004E62D1"/>
    <w:rsid w:val="004E681A"/>
    <w:rsid w:val="004E6877"/>
    <w:rsid w:val="004F0F92"/>
    <w:rsid w:val="004F169A"/>
    <w:rsid w:val="004F17CC"/>
    <w:rsid w:val="004F2707"/>
    <w:rsid w:val="004F51BC"/>
    <w:rsid w:val="004F6213"/>
    <w:rsid w:val="004F6901"/>
    <w:rsid w:val="00501308"/>
    <w:rsid w:val="0050225B"/>
    <w:rsid w:val="005022D7"/>
    <w:rsid w:val="00502493"/>
    <w:rsid w:val="00503EC8"/>
    <w:rsid w:val="00505E75"/>
    <w:rsid w:val="00510195"/>
    <w:rsid w:val="00511295"/>
    <w:rsid w:val="0051353E"/>
    <w:rsid w:val="005138A0"/>
    <w:rsid w:val="00514AB2"/>
    <w:rsid w:val="00515564"/>
    <w:rsid w:val="0051620E"/>
    <w:rsid w:val="005167CF"/>
    <w:rsid w:val="00521611"/>
    <w:rsid w:val="005226B4"/>
    <w:rsid w:val="005229EA"/>
    <w:rsid w:val="00524918"/>
    <w:rsid w:val="00525FE4"/>
    <w:rsid w:val="0052634B"/>
    <w:rsid w:val="00531553"/>
    <w:rsid w:val="0053181A"/>
    <w:rsid w:val="0053282F"/>
    <w:rsid w:val="00532A42"/>
    <w:rsid w:val="00535BBA"/>
    <w:rsid w:val="00535FCD"/>
    <w:rsid w:val="005377D4"/>
    <w:rsid w:val="0054059A"/>
    <w:rsid w:val="00541078"/>
    <w:rsid w:val="005422BD"/>
    <w:rsid w:val="005453FA"/>
    <w:rsid w:val="0054571C"/>
    <w:rsid w:val="00547CC6"/>
    <w:rsid w:val="00547D0C"/>
    <w:rsid w:val="00550879"/>
    <w:rsid w:val="00550F2D"/>
    <w:rsid w:val="005517FD"/>
    <w:rsid w:val="005529DF"/>
    <w:rsid w:val="00553060"/>
    <w:rsid w:val="00553238"/>
    <w:rsid w:val="00554E3B"/>
    <w:rsid w:val="0055653C"/>
    <w:rsid w:val="00556D1E"/>
    <w:rsid w:val="00557379"/>
    <w:rsid w:val="00557716"/>
    <w:rsid w:val="00561D7A"/>
    <w:rsid w:val="00562690"/>
    <w:rsid w:val="00565512"/>
    <w:rsid w:val="0057162B"/>
    <w:rsid w:val="005721CF"/>
    <w:rsid w:val="0057256E"/>
    <w:rsid w:val="005773AE"/>
    <w:rsid w:val="0058089B"/>
    <w:rsid w:val="00580947"/>
    <w:rsid w:val="00581B21"/>
    <w:rsid w:val="00581CE8"/>
    <w:rsid w:val="00581D6B"/>
    <w:rsid w:val="00581F8E"/>
    <w:rsid w:val="00582484"/>
    <w:rsid w:val="00585F30"/>
    <w:rsid w:val="00586C12"/>
    <w:rsid w:val="005874C0"/>
    <w:rsid w:val="005903C0"/>
    <w:rsid w:val="00593273"/>
    <w:rsid w:val="00596B90"/>
    <w:rsid w:val="00596BDB"/>
    <w:rsid w:val="0059781D"/>
    <w:rsid w:val="005A07A0"/>
    <w:rsid w:val="005A0F92"/>
    <w:rsid w:val="005A1156"/>
    <w:rsid w:val="005A194D"/>
    <w:rsid w:val="005A3F1A"/>
    <w:rsid w:val="005A4DBA"/>
    <w:rsid w:val="005A50CA"/>
    <w:rsid w:val="005A689C"/>
    <w:rsid w:val="005A7618"/>
    <w:rsid w:val="005B0805"/>
    <w:rsid w:val="005B2A02"/>
    <w:rsid w:val="005B2FAE"/>
    <w:rsid w:val="005B379B"/>
    <w:rsid w:val="005B385D"/>
    <w:rsid w:val="005B41D9"/>
    <w:rsid w:val="005B4815"/>
    <w:rsid w:val="005B4C77"/>
    <w:rsid w:val="005B6599"/>
    <w:rsid w:val="005B73E0"/>
    <w:rsid w:val="005B7807"/>
    <w:rsid w:val="005C15FF"/>
    <w:rsid w:val="005C25B2"/>
    <w:rsid w:val="005C304C"/>
    <w:rsid w:val="005C3755"/>
    <w:rsid w:val="005C3BF4"/>
    <w:rsid w:val="005C3C2B"/>
    <w:rsid w:val="005C411C"/>
    <w:rsid w:val="005C4963"/>
    <w:rsid w:val="005C53F5"/>
    <w:rsid w:val="005C5B58"/>
    <w:rsid w:val="005C66C2"/>
    <w:rsid w:val="005C70C8"/>
    <w:rsid w:val="005D01D1"/>
    <w:rsid w:val="005D031D"/>
    <w:rsid w:val="005D0F32"/>
    <w:rsid w:val="005D3033"/>
    <w:rsid w:val="005D6067"/>
    <w:rsid w:val="005D723B"/>
    <w:rsid w:val="005E1998"/>
    <w:rsid w:val="005E231D"/>
    <w:rsid w:val="005E273E"/>
    <w:rsid w:val="005E3343"/>
    <w:rsid w:val="005E5E30"/>
    <w:rsid w:val="005E6054"/>
    <w:rsid w:val="005F0A0B"/>
    <w:rsid w:val="005F2754"/>
    <w:rsid w:val="005F3BC0"/>
    <w:rsid w:val="005F3DD6"/>
    <w:rsid w:val="005F4CAF"/>
    <w:rsid w:val="005F59BC"/>
    <w:rsid w:val="005F6102"/>
    <w:rsid w:val="005F6DA2"/>
    <w:rsid w:val="005F7187"/>
    <w:rsid w:val="005F7727"/>
    <w:rsid w:val="005F7AE1"/>
    <w:rsid w:val="006005A6"/>
    <w:rsid w:val="006027A3"/>
    <w:rsid w:val="006041F9"/>
    <w:rsid w:val="006043BA"/>
    <w:rsid w:val="00605746"/>
    <w:rsid w:val="00606269"/>
    <w:rsid w:val="0060687A"/>
    <w:rsid w:val="00606AFB"/>
    <w:rsid w:val="006070FB"/>
    <w:rsid w:val="006102DE"/>
    <w:rsid w:val="006111FE"/>
    <w:rsid w:val="006143B2"/>
    <w:rsid w:val="00614A79"/>
    <w:rsid w:val="00615E4C"/>
    <w:rsid w:val="00615F42"/>
    <w:rsid w:val="00616144"/>
    <w:rsid w:val="0061633E"/>
    <w:rsid w:val="00616A11"/>
    <w:rsid w:val="00617271"/>
    <w:rsid w:val="0061735F"/>
    <w:rsid w:val="00617E2D"/>
    <w:rsid w:val="006202A7"/>
    <w:rsid w:val="00622DEC"/>
    <w:rsid w:val="00624A7F"/>
    <w:rsid w:val="0062609E"/>
    <w:rsid w:val="0062642D"/>
    <w:rsid w:val="0062674F"/>
    <w:rsid w:val="006268C3"/>
    <w:rsid w:val="00627021"/>
    <w:rsid w:val="006312AF"/>
    <w:rsid w:val="0063180E"/>
    <w:rsid w:val="006325DF"/>
    <w:rsid w:val="00632EB8"/>
    <w:rsid w:val="00633DB6"/>
    <w:rsid w:val="00635CD5"/>
    <w:rsid w:val="0063621B"/>
    <w:rsid w:val="006366D4"/>
    <w:rsid w:val="0064287A"/>
    <w:rsid w:val="0064527C"/>
    <w:rsid w:val="00646D22"/>
    <w:rsid w:val="00646E23"/>
    <w:rsid w:val="00650738"/>
    <w:rsid w:val="00652E21"/>
    <w:rsid w:val="00653B7A"/>
    <w:rsid w:val="00656961"/>
    <w:rsid w:val="00656B7E"/>
    <w:rsid w:val="006621E5"/>
    <w:rsid w:val="00663442"/>
    <w:rsid w:val="00663657"/>
    <w:rsid w:val="00664A0E"/>
    <w:rsid w:val="00664D24"/>
    <w:rsid w:val="00664DC0"/>
    <w:rsid w:val="00665605"/>
    <w:rsid w:val="00665B1D"/>
    <w:rsid w:val="00666FB3"/>
    <w:rsid w:val="00671D92"/>
    <w:rsid w:val="00672F76"/>
    <w:rsid w:val="00673AEF"/>
    <w:rsid w:val="006744B0"/>
    <w:rsid w:val="0067592A"/>
    <w:rsid w:val="00676B98"/>
    <w:rsid w:val="00680F28"/>
    <w:rsid w:val="00681C83"/>
    <w:rsid w:val="00681D82"/>
    <w:rsid w:val="0068404C"/>
    <w:rsid w:val="006840FC"/>
    <w:rsid w:val="006847C5"/>
    <w:rsid w:val="00684871"/>
    <w:rsid w:val="006855EE"/>
    <w:rsid w:val="00686898"/>
    <w:rsid w:val="00686A98"/>
    <w:rsid w:val="00687D48"/>
    <w:rsid w:val="00690CC4"/>
    <w:rsid w:val="0069206B"/>
    <w:rsid w:val="00692D27"/>
    <w:rsid w:val="006934D4"/>
    <w:rsid w:val="00694594"/>
    <w:rsid w:val="00695024"/>
    <w:rsid w:val="006957FD"/>
    <w:rsid w:val="006960EB"/>
    <w:rsid w:val="0069760A"/>
    <w:rsid w:val="006976BB"/>
    <w:rsid w:val="006A3434"/>
    <w:rsid w:val="006A3DF4"/>
    <w:rsid w:val="006A5F7C"/>
    <w:rsid w:val="006A7E85"/>
    <w:rsid w:val="006B05F9"/>
    <w:rsid w:val="006B1BCA"/>
    <w:rsid w:val="006B2001"/>
    <w:rsid w:val="006B25A0"/>
    <w:rsid w:val="006B2761"/>
    <w:rsid w:val="006B4171"/>
    <w:rsid w:val="006B4DEB"/>
    <w:rsid w:val="006B685D"/>
    <w:rsid w:val="006B6AD1"/>
    <w:rsid w:val="006B71B6"/>
    <w:rsid w:val="006C0537"/>
    <w:rsid w:val="006C0608"/>
    <w:rsid w:val="006C0E9F"/>
    <w:rsid w:val="006C1B1F"/>
    <w:rsid w:val="006C2664"/>
    <w:rsid w:val="006C2990"/>
    <w:rsid w:val="006C29BB"/>
    <w:rsid w:val="006C2BF4"/>
    <w:rsid w:val="006C4114"/>
    <w:rsid w:val="006C468D"/>
    <w:rsid w:val="006C5D57"/>
    <w:rsid w:val="006C60CB"/>
    <w:rsid w:val="006C650B"/>
    <w:rsid w:val="006C6938"/>
    <w:rsid w:val="006C6A42"/>
    <w:rsid w:val="006C6B19"/>
    <w:rsid w:val="006C7027"/>
    <w:rsid w:val="006C7725"/>
    <w:rsid w:val="006C7DB6"/>
    <w:rsid w:val="006D1134"/>
    <w:rsid w:val="006D35D1"/>
    <w:rsid w:val="006D5259"/>
    <w:rsid w:val="006D5C75"/>
    <w:rsid w:val="006D5FBB"/>
    <w:rsid w:val="006E0BA4"/>
    <w:rsid w:val="006E1090"/>
    <w:rsid w:val="006E42AC"/>
    <w:rsid w:val="006E546B"/>
    <w:rsid w:val="006E693A"/>
    <w:rsid w:val="006E6C89"/>
    <w:rsid w:val="006E78DE"/>
    <w:rsid w:val="006F151D"/>
    <w:rsid w:val="006F1CDB"/>
    <w:rsid w:val="006F2E83"/>
    <w:rsid w:val="006F3417"/>
    <w:rsid w:val="006F3F69"/>
    <w:rsid w:val="006F5B9A"/>
    <w:rsid w:val="006F699D"/>
    <w:rsid w:val="007012B8"/>
    <w:rsid w:val="00702396"/>
    <w:rsid w:val="00702D4B"/>
    <w:rsid w:val="007040AA"/>
    <w:rsid w:val="007050C7"/>
    <w:rsid w:val="0070588C"/>
    <w:rsid w:val="00706A27"/>
    <w:rsid w:val="00706F07"/>
    <w:rsid w:val="00707E4A"/>
    <w:rsid w:val="007109D7"/>
    <w:rsid w:val="00711621"/>
    <w:rsid w:val="00714F53"/>
    <w:rsid w:val="00714F84"/>
    <w:rsid w:val="00715624"/>
    <w:rsid w:val="007161EF"/>
    <w:rsid w:val="0071755D"/>
    <w:rsid w:val="00720C07"/>
    <w:rsid w:val="007222F8"/>
    <w:rsid w:val="0072283D"/>
    <w:rsid w:val="007254E8"/>
    <w:rsid w:val="00725FF3"/>
    <w:rsid w:val="007266D1"/>
    <w:rsid w:val="00727173"/>
    <w:rsid w:val="00731036"/>
    <w:rsid w:val="007320C8"/>
    <w:rsid w:val="007340FF"/>
    <w:rsid w:val="007363A7"/>
    <w:rsid w:val="00737849"/>
    <w:rsid w:val="0074292C"/>
    <w:rsid w:val="00742AFD"/>
    <w:rsid w:val="00742E28"/>
    <w:rsid w:val="00743B19"/>
    <w:rsid w:val="007440F8"/>
    <w:rsid w:val="00744F09"/>
    <w:rsid w:val="007461F4"/>
    <w:rsid w:val="00747FFC"/>
    <w:rsid w:val="00750FBA"/>
    <w:rsid w:val="00751A84"/>
    <w:rsid w:val="00752A7B"/>
    <w:rsid w:val="00752AD1"/>
    <w:rsid w:val="00757862"/>
    <w:rsid w:val="00757B98"/>
    <w:rsid w:val="0076032B"/>
    <w:rsid w:val="00760ABF"/>
    <w:rsid w:val="0076170C"/>
    <w:rsid w:val="007622B1"/>
    <w:rsid w:val="007626B8"/>
    <w:rsid w:val="00763197"/>
    <w:rsid w:val="007640A8"/>
    <w:rsid w:val="00765366"/>
    <w:rsid w:val="007674B9"/>
    <w:rsid w:val="00767827"/>
    <w:rsid w:val="00767D9D"/>
    <w:rsid w:val="00770322"/>
    <w:rsid w:val="00772221"/>
    <w:rsid w:val="00772A28"/>
    <w:rsid w:val="00774579"/>
    <w:rsid w:val="007745F6"/>
    <w:rsid w:val="0077709F"/>
    <w:rsid w:val="007771C2"/>
    <w:rsid w:val="007771FA"/>
    <w:rsid w:val="007777A7"/>
    <w:rsid w:val="007814C9"/>
    <w:rsid w:val="00782503"/>
    <w:rsid w:val="00782FF9"/>
    <w:rsid w:val="00783492"/>
    <w:rsid w:val="00784650"/>
    <w:rsid w:val="00787F69"/>
    <w:rsid w:val="0079078A"/>
    <w:rsid w:val="00790ECD"/>
    <w:rsid w:val="007932B5"/>
    <w:rsid w:val="00794491"/>
    <w:rsid w:val="0079712A"/>
    <w:rsid w:val="0079722E"/>
    <w:rsid w:val="007A0E0E"/>
    <w:rsid w:val="007A1349"/>
    <w:rsid w:val="007A2400"/>
    <w:rsid w:val="007A3C4B"/>
    <w:rsid w:val="007A748F"/>
    <w:rsid w:val="007A7522"/>
    <w:rsid w:val="007A7591"/>
    <w:rsid w:val="007B100C"/>
    <w:rsid w:val="007B46B9"/>
    <w:rsid w:val="007B498C"/>
    <w:rsid w:val="007B6713"/>
    <w:rsid w:val="007C1D16"/>
    <w:rsid w:val="007C2EE5"/>
    <w:rsid w:val="007C420B"/>
    <w:rsid w:val="007C43B0"/>
    <w:rsid w:val="007C49AC"/>
    <w:rsid w:val="007C5D7D"/>
    <w:rsid w:val="007C5E0B"/>
    <w:rsid w:val="007C7C81"/>
    <w:rsid w:val="007D0244"/>
    <w:rsid w:val="007D05BC"/>
    <w:rsid w:val="007D0987"/>
    <w:rsid w:val="007D15FE"/>
    <w:rsid w:val="007D18DF"/>
    <w:rsid w:val="007D1BDA"/>
    <w:rsid w:val="007D3126"/>
    <w:rsid w:val="007D39CE"/>
    <w:rsid w:val="007D718E"/>
    <w:rsid w:val="007E146D"/>
    <w:rsid w:val="007E3E33"/>
    <w:rsid w:val="007E3F8F"/>
    <w:rsid w:val="007E48AB"/>
    <w:rsid w:val="007E4F1C"/>
    <w:rsid w:val="007E519A"/>
    <w:rsid w:val="007E5640"/>
    <w:rsid w:val="007E58C7"/>
    <w:rsid w:val="007E6F1A"/>
    <w:rsid w:val="007E7613"/>
    <w:rsid w:val="007F120A"/>
    <w:rsid w:val="007F196A"/>
    <w:rsid w:val="007F2456"/>
    <w:rsid w:val="007F2B6B"/>
    <w:rsid w:val="007F2E81"/>
    <w:rsid w:val="007F4B00"/>
    <w:rsid w:val="007F55F5"/>
    <w:rsid w:val="007F75E3"/>
    <w:rsid w:val="00800516"/>
    <w:rsid w:val="0080259A"/>
    <w:rsid w:val="00804563"/>
    <w:rsid w:val="008046B3"/>
    <w:rsid w:val="00804E25"/>
    <w:rsid w:val="0080552E"/>
    <w:rsid w:val="00805B7A"/>
    <w:rsid w:val="00805C59"/>
    <w:rsid w:val="00811613"/>
    <w:rsid w:val="00811CF7"/>
    <w:rsid w:val="00812390"/>
    <w:rsid w:val="008126B8"/>
    <w:rsid w:val="00812CBE"/>
    <w:rsid w:val="0081324E"/>
    <w:rsid w:val="0081347E"/>
    <w:rsid w:val="00813640"/>
    <w:rsid w:val="00813EF6"/>
    <w:rsid w:val="008149BA"/>
    <w:rsid w:val="00814CF6"/>
    <w:rsid w:val="00814E79"/>
    <w:rsid w:val="008203C0"/>
    <w:rsid w:val="00820829"/>
    <w:rsid w:val="00820E5C"/>
    <w:rsid w:val="008222AC"/>
    <w:rsid w:val="00822DB1"/>
    <w:rsid w:val="0082603F"/>
    <w:rsid w:val="00831872"/>
    <w:rsid w:val="00832DBA"/>
    <w:rsid w:val="0083314C"/>
    <w:rsid w:val="00833A3E"/>
    <w:rsid w:val="008341ED"/>
    <w:rsid w:val="00834976"/>
    <w:rsid w:val="008379F2"/>
    <w:rsid w:val="00837EDF"/>
    <w:rsid w:val="0084031C"/>
    <w:rsid w:val="008416B4"/>
    <w:rsid w:val="00841FBE"/>
    <w:rsid w:val="0084279E"/>
    <w:rsid w:val="00843DF1"/>
    <w:rsid w:val="008462FC"/>
    <w:rsid w:val="008465AF"/>
    <w:rsid w:val="008467AB"/>
    <w:rsid w:val="00847737"/>
    <w:rsid w:val="0085093F"/>
    <w:rsid w:val="00851238"/>
    <w:rsid w:val="00851DC3"/>
    <w:rsid w:val="00853140"/>
    <w:rsid w:val="0085318D"/>
    <w:rsid w:val="008551B0"/>
    <w:rsid w:val="00856B5F"/>
    <w:rsid w:val="008615D8"/>
    <w:rsid w:val="008621B6"/>
    <w:rsid w:val="008630B0"/>
    <w:rsid w:val="008648CB"/>
    <w:rsid w:val="00866402"/>
    <w:rsid w:val="008664C0"/>
    <w:rsid w:val="0086705E"/>
    <w:rsid w:val="00867315"/>
    <w:rsid w:val="00867996"/>
    <w:rsid w:val="00867EDC"/>
    <w:rsid w:val="00872725"/>
    <w:rsid w:val="008728F6"/>
    <w:rsid w:val="008732C6"/>
    <w:rsid w:val="0087682F"/>
    <w:rsid w:val="00876B67"/>
    <w:rsid w:val="008770EC"/>
    <w:rsid w:val="00877DC8"/>
    <w:rsid w:val="0088097F"/>
    <w:rsid w:val="00880DAA"/>
    <w:rsid w:val="008814BA"/>
    <w:rsid w:val="00884993"/>
    <w:rsid w:val="008862B9"/>
    <w:rsid w:val="00890040"/>
    <w:rsid w:val="0089070C"/>
    <w:rsid w:val="00890925"/>
    <w:rsid w:val="0089247E"/>
    <w:rsid w:val="00893753"/>
    <w:rsid w:val="00896409"/>
    <w:rsid w:val="00896E6E"/>
    <w:rsid w:val="008A160F"/>
    <w:rsid w:val="008A1A05"/>
    <w:rsid w:val="008A26DF"/>
    <w:rsid w:val="008A3E76"/>
    <w:rsid w:val="008A49CA"/>
    <w:rsid w:val="008A49F7"/>
    <w:rsid w:val="008A4CC0"/>
    <w:rsid w:val="008A53A8"/>
    <w:rsid w:val="008A6647"/>
    <w:rsid w:val="008A7641"/>
    <w:rsid w:val="008A7E7C"/>
    <w:rsid w:val="008B0836"/>
    <w:rsid w:val="008B48D4"/>
    <w:rsid w:val="008B5D16"/>
    <w:rsid w:val="008B6763"/>
    <w:rsid w:val="008B7A99"/>
    <w:rsid w:val="008B7B0C"/>
    <w:rsid w:val="008B7EC5"/>
    <w:rsid w:val="008C0614"/>
    <w:rsid w:val="008C1CDF"/>
    <w:rsid w:val="008C1F91"/>
    <w:rsid w:val="008C3C42"/>
    <w:rsid w:val="008C3DDC"/>
    <w:rsid w:val="008C6B5E"/>
    <w:rsid w:val="008C6C35"/>
    <w:rsid w:val="008D027C"/>
    <w:rsid w:val="008D07FF"/>
    <w:rsid w:val="008D0A0E"/>
    <w:rsid w:val="008D2BCC"/>
    <w:rsid w:val="008D381A"/>
    <w:rsid w:val="008D562A"/>
    <w:rsid w:val="008D6124"/>
    <w:rsid w:val="008D655F"/>
    <w:rsid w:val="008D6D79"/>
    <w:rsid w:val="008D7339"/>
    <w:rsid w:val="008D7A23"/>
    <w:rsid w:val="008D7FE9"/>
    <w:rsid w:val="008E18AD"/>
    <w:rsid w:val="008E1AA9"/>
    <w:rsid w:val="008E3339"/>
    <w:rsid w:val="008E4E1E"/>
    <w:rsid w:val="008E56BF"/>
    <w:rsid w:val="008E5DA3"/>
    <w:rsid w:val="008E6938"/>
    <w:rsid w:val="008F2934"/>
    <w:rsid w:val="008F44BC"/>
    <w:rsid w:val="008F46EE"/>
    <w:rsid w:val="008F4798"/>
    <w:rsid w:val="008F5131"/>
    <w:rsid w:val="008F68B4"/>
    <w:rsid w:val="008F7D80"/>
    <w:rsid w:val="008F7F32"/>
    <w:rsid w:val="0090153E"/>
    <w:rsid w:val="00902397"/>
    <w:rsid w:val="00902E90"/>
    <w:rsid w:val="00903359"/>
    <w:rsid w:val="0090450E"/>
    <w:rsid w:val="00904871"/>
    <w:rsid w:val="00904F96"/>
    <w:rsid w:val="00906654"/>
    <w:rsid w:val="00906808"/>
    <w:rsid w:val="009107FE"/>
    <w:rsid w:val="00911643"/>
    <w:rsid w:val="009127B0"/>
    <w:rsid w:val="00913200"/>
    <w:rsid w:val="00915F3D"/>
    <w:rsid w:val="00920135"/>
    <w:rsid w:val="00920BDB"/>
    <w:rsid w:val="00923725"/>
    <w:rsid w:val="00924D4E"/>
    <w:rsid w:val="0092527D"/>
    <w:rsid w:val="009260B6"/>
    <w:rsid w:val="00926311"/>
    <w:rsid w:val="00926363"/>
    <w:rsid w:val="0092707C"/>
    <w:rsid w:val="009273FF"/>
    <w:rsid w:val="009276CE"/>
    <w:rsid w:val="009317ED"/>
    <w:rsid w:val="00931D82"/>
    <w:rsid w:val="009348E8"/>
    <w:rsid w:val="00934952"/>
    <w:rsid w:val="009350ED"/>
    <w:rsid w:val="00935DF3"/>
    <w:rsid w:val="009374F1"/>
    <w:rsid w:val="009402CE"/>
    <w:rsid w:val="0094087A"/>
    <w:rsid w:val="009416E0"/>
    <w:rsid w:val="00941984"/>
    <w:rsid w:val="00941E2F"/>
    <w:rsid w:val="00942492"/>
    <w:rsid w:val="00942B30"/>
    <w:rsid w:val="00942BF3"/>
    <w:rsid w:val="00943CBE"/>
    <w:rsid w:val="00951261"/>
    <w:rsid w:val="00953F8F"/>
    <w:rsid w:val="00955325"/>
    <w:rsid w:val="00957889"/>
    <w:rsid w:val="009603A1"/>
    <w:rsid w:val="0096488A"/>
    <w:rsid w:val="0096495F"/>
    <w:rsid w:val="00965820"/>
    <w:rsid w:val="00966331"/>
    <w:rsid w:val="009674A3"/>
    <w:rsid w:val="009675BF"/>
    <w:rsid w:val="009710D3"/>
    <w:rsid w:val="009733E8"/>
    <w:rsid w:val="0097519D"/>
    <w:rsid w:val="0097584F"/>
    <w:rsid w:val="0097756E"/>
    <w:rsid w:val="00981B3C"/>
    <w:rsid w:val="0098311D"/>
    <w:rsid w:val="009837E5"/>
    <w:rsid w:val="009845A6"/>
    <w:rsid w:val="00985587"/>
    <w:rsid w:val="0098569D"/>
    <w:rsid w:val="0098626D"/>
    <w:rsid w:val="00986748"/>
    <w:rsid w:val="009870AA"/>
    <w:rsid w:val="00987C68"/>
    <w:rsid w:val="0099009D"/>
    <w:rsid w:val="0099070E"/>
    <w:rsid w:val="00991368"/>
    <w:rsid w:val="009919D8"/>
    <w:rsid w:val="00991BFC"/>
    <w:rsid w:val="00992A5D"/>
    <w:rsid w:val="00993907"/>
    <w:rsid w:val="0099622C"/>
    <w:rsid w:val="009A02B1"/>
    <w:rsid w:val="009A0566"/>
    <w:rsid w:val="009A4237"/>
    <w:rsid w:val="009A4899"/>
    <w:rsid w:val="009A5088"/>
    <w:rsid w:val="009A50E5"/>
    <w:rsid w:val="009A5D24"/>
    <w:rsid w:val="009A5ED2"/>
    <w:rsid w:val="009A63F2"/>
    <w:rsid w:val="009A6A9B"/>
    <w:rsid w:val="009A785F"/>
    <w:rsid w:val="009B03DA"/>
    <w:rsid w:val="009B57B3"/>
    <w:rsid w:val="009B6778"/>
    <w:rsid w:val="009B6FFA"/>
    <w:rsid w:val="009C1214"/>
    <w:rsid w:val="009C1955"/>
    <w:rsid w:val="009C3736"/>
    <w:rsid w:val="009C3A50"/>
    <w:rsid w:val="009C4862"/>
    <w:rsid w:val="009C4E1A"/>
    <w:rsid w:val="009C5484"/>
    <w:rsid w:val="009C6098"/>
    <w:rsid w:val="009C6BE5"/>
    <w:rsid w:val="009D10CF"/>
    <w:rsid w:val="009D329D"/>
    <w:rsid w:val="009D3CEA"/>
    <w:rsid w:val="009D68E4"/>
    <w:rsid w:val="009D7C97"/>
    <w:rsid w:val="009E060C"/>
    <w:rsid w:val="009E1123"/>
    <w:rsid w:val="009E1D5E"/>
    <w:rsid w:val="009E57D6"/>
    <w:rsid w:val="009E712F"/>
    <w:rsid w:val="009E715B"/>
    <w:rsid w:val="009E7304"/>
    <w:rsid w:val="009E73BA"/>
    <w:rsid w:val="009E775D"/>
    <w:rsid w:val="009E7F05"/>
    <w:rsid w:val="009F018F"/>
    <w:rsid w:val="009F2E65"/>
    <w:rsid w:val="009F38B1"/>
    <w:rsid w:val="009F3BD4"/>
    <w:rsid w:val="009F53DB"/>
    <w:rsid w:val="009F57CC"/>
    <w:rsid w:val="009F59A5"/>
    <w:rsid w:val="009F7D01"/>
    <w:rsid w:val="00A01F1B"/>
    <w:rsid w:val="00A01FA4"/>
    <w:rsid w:val="00A02511"/>
    <w:rsid w:val="00A03D68"/>
    <w:rsid w:val="00A04AED"/>
    <w:rsid w:val="00A06EE9"/>
    <w:rsid w:val="00A076E6"/>
    <w:rsid w:val="00A07DE6"/>
    <w:rsid w:val="00A100BE"/>
    <w:rsid w:val="00A10162"/>
    <w:rsid w:val="00A11FF6"/>
    <w:rsid w:val="00A121D3"/>
    <w:rsid w:val="00A12882"/>
    <w:rsid w:val="00A13A73"/>
    <w:rsid w:val="00A141DB"/>
    <w:rsid w:val="00A1675E"/>
    <w:rsid w:val="00A17978"/>
    <w:rsid w:val="00A204D4"/>
    <w:rsid w:val="00A21459"/>
    <w:rsid w:val="00A2184F"/>
    <w:rsid w:val="00A22952"/>
    <w:rsid w:val="00A2472A"/>
    <w:rsid w:val="00A24AAC"/>
    <w:rsid w:val="00A24C8F"/>
    <w:rsid w:val="00A25186"/>
    <w:rsid w:val="00A25BE9"/>
    <w:rsid w:val="00A269ED"/>
    <w:rsid w:val="00A31D77"/>
    <w:rsid w:val="00A322CB"/>
    <w:rsid w:val="00A332F4"/>
    <w:rsid w:val="00A344B0"/>
    <w:rsid w:val="00A35684"/>
    <w:rsid w:val="00A36905"/>
    <w:rsid w:val="00A3736C"/>
    <w:rsid w:val="00A3756B"/>
    <w:rsid w:val="00A40A8C"/>
    <w:rsid w:val="00A41DA2"/>
    <w:rsid w:val="00A428DD"/>
    <w:rsid w:val="00A449CE"/>
    <w:rsid w:val="00A45819"/>
    <w:rsid w:val="00A46958"/>
    <w:rsid w:val="00A46FBF"/>
    <w:rsid w:val="00A500B4"/>
    <w:rsid w:val="00A50B68"/>
    <w:rsid w:val="00A51B9B"/>
    <w:rsid w:val="00A5208D"/>
    <w:rsid w:val="00A5506D"/>
    <w:rsid w:val="00A5665E"/>
    <w:rsid w:val="00A56AEA"/>
    <w:rsid w:val="00A60E2B"/>
    <w:rsid w:val="00A63102"/>
    <w:rsid w:val="00A637FA"/>
    <w:rsid w:val="00A647F4"/>
    <w:rsid w:val="00A70D4E"/>
    <w:rsid w:val="00A72717"/>
    <w:rsid w:val="00A74308"/>
    <w:rsid w:val="00A7490F"/>
    <w:rsid w:val="00A75D02"/>
    <w:rsid w:val="00A75F33"/>
    <w:rsid w:val="00A77239"/>
    <w:rsid w:val="00A772B2"/>
    <w:rsid w:val="00A7759D"/>
    <w:rsid w:val="00A7770B"/>
    <w:rsid w:val="00A80924"/>
    <w:rsid w:val="00A83AB5"/>
    <w:rsid w:val="00A8458B"/>
    <w:rsid w:val="00A86820"/>
    <w:rsid w:val="00A86A19"/>
    <w:rsid w:val="00A877B4"/>
    <w:rsid w:val="00A87950"/>
    <w:rsid w:val="00A87CDE"/>
    <w:rsid w:val="00A97466"/>
    <w:rsid w:val="00AA197B"/>
    <w:rsid w:val="00AA1DCD"/>
    <w:rsid w:val="00AA3707"/>
    <w:rsid w:val="00AA3C3C"/>
    <w:rsid w:val="00AA4FD5"/>
    <w:rsid w:val="00AB0B60"/>
    <w:rsid w:val="00AB0FF4"/>
    <w:rsid w:val="00AB10C6"/>
    <w:rsid w:val="00AB2845"/>
    <w:rsid w:val="00AB5A6D"/>
    <w:rsid w:val="00AB61E3"/>
    <w:rsid w:val="00AB7EA8"/>
    <w:rsid w:val="00AC0ACE"/>
    <w:rsid w:val="00AC112F"/>
    <w:rsid w:val="00AC1417"/>
    <w:rsid w:val="00AC4259"/>
    <w:rsid w:val="00AC44B1"/>
    <w:rsid w:val="00AC7B31"/>
    <w:rsid w:val="00AC7CAF"/>
    <w:rsid w:val="00AD2396"/>
    <w:rsid w:val="00AD4A2A"/>
    <w:rsid w:val="00AE224A"/>
    <w:rsid w:val="00AE26FF"/>
    <w:rsid w:val="00AE4B12"/>
    <w:rsid w:val="00AE5B52"/>
    <w:rsid w:val="00AE7284"/>
    <w:rsid w:val="00AF004C"/>
    <w:rsid w:val="00AF0AB0"/>
    <w:rsid w:val="00AF0C4B"/>
    <w:rsid w:val="00AF12FA"/>
    <w:rsid w:val="00AF309B"/>
    <w:rsid w:val="00AF3204"/>
    <w:rsid w:val="00AF379A"/>
    <w:rsid w:val="00AF3FC2"/>
    <w:rsid w:val="00AF4A6C"/>
    <w:rsid w:val="00AF5183"/>
    <w:rsid w:val="00AF758E"/>
    <w:rsid w:val="00B0051F"/>
    <w:rsid w:val="00B01E55"/>
    <w:rsid w:val="00B035D1"/>
    <w:rsid w:val="00B03813"/>
    <w:rsid w:val="00B03FEA"/>
    <w:rsid w:val="00B057B3"/>
    <w:rsid w:val="00B05F4F"/>
    <w:rsid w:val="00B07170"/>
    <w:rsid w:val="00B1171E"/>
    <w:rsid w:val="00B143AD"/>
    <w:rsid w:val="00B15EA8"/>
    <w:rsid w:val="00B160BC"/>
    <w:rsid w:val="00B171F6"/>
    <w:rsid w:val="00B209EE"/>
    <w:rsid w:val="00B246DA"/>
    <w:rsid w:val="00B2490A"/>
    <w:rsid w:val="00B25CE2"/>
    <w:rsid w:val="00B27066"/>
    <w:rsid w:val="00B30899"/>
    <w:rsid w:val="00B30F37"/>
    <w:rsid w:val="00B32C03"/>
    <w:rsid w:val="00B339DE"/>
    <w:rsid w:val="00B33CC7"/>
    <w:rsid w:val="00B351C5"/>
    <w:rsid w:val="00B35C4A"/>
    <w:rsid w:val="00B370E8"/>
    <w:rsid w:val="00B37CEC"/>
    <w:rsid w:val="00B406C8"/>
    <w:rsid w:val="00B40BB1"/>
    <w:rsid w:val="00B4161E"/>
    <w:rsid w:val="00B41E33"/>
    <w:rsid w:val="00B42AE8"/>
    <w:rsid w:val="00B44033"/>
    <w:rsid w:val="00B45498"/>
    <w:rsid w:val="00B45FE2"/>
    <w:rsid w:val="00B468C8"/>
    <w:rsid w:val="00B500E7"/>
    <w:rsid w:val="00B5152A"/>
    <w:rsid w:val="00B5318E"/>
    <w:rsid w:val="00B56CEA"/>
    <w:rsid w:val="00B61CE4"/>
    <w:rsid w:val="00B630BC"/>
    <w:rsid w:val="00B63E5D"/>
    <w:rsid w:val="00B647D9"/>
    <w:rsid w:val="00B64CF6"/>
    <w:rsid w:val="00B65B6A"/>
    <w:rsid w:val="00B660AB"/>
    <w:rsid w:val="00B671A7"/>
    <w:rsid w:val="00B6741C"/>
    <w:rsid w:val="00B7018D"/>
    <w:rsid w:val="00B71402"/>
    <w:rsid w:val="00B7190B"/>
    <w:rsid w:val="00B71C3A"/>
    <w:rsid w:val="00B7238F"/>
    <w:rsid w:val="00B733E5"/>
    <w:rsid w:val="00B73817"/>
    <w:rsid w:val="00B7495C"/>
    <w:rsid w:val="00B754DD"/>
    <w:rsid w:val="00B77ECB"/>
    <w:rsid w:val="00B82E1F"/>
    <w:rsid w:val="00B83057"/>
    <w:rsid w:val="00B8437D"/>
    <w:rsid w:val="00B85827"/>
    <w:rsid w:val="00B8607C"/>
    <w:rsid w:val="00B922BC"/>
    <w:rsid w:val="00B9236E"/>
    <w:rsid w:val="00B92BDD"/>
    <w:rsid w:val="00B931B2"/>
    <w:rsid w:val="00B936B2"/>
    <w:rsid w:val="00B94944"/>
    <w:rsid w:val="00B950BD"/>
    <w:rsid w:val="00B9754B"/>
    <w:rsid w:val="00BA001C"/>
    <w:rsid w:val="00BA1342"/>
    <w:rsid w:val="00BA1A35"/>
    <w:rsid w:val="00BA20EC"/>
    <w:rsid w:val="00BA3F1F"/>
    <w:rsid w:val="00BA4A08"/>
    <w:rsid w:val="00BA61B4"/>
    <w:rsid w:val="00BA7F5E"/>
    <w:rsid w:val="00BB20C2"/>
    <w:rsid w:val="00BB2B8B"/>
    <w:rsid w:val="00BB7137"/>
    <w:rsid w:val="00BB74C7"/>
    <w:rsid w:val="00BC3486"/>
    <w:rsid w:val="00BC426A"/>
    <w:rsid w:val="00BC47BC"/>
    <w:rsid w:val="00BC60EA"/>
    <w:rsid w:val="00BC6C9B"/>
    <w:rsid w:val="00BD0976"/>
    <w:rsid w:val="00BD1851"/>
    <w:rsid w:val="00BD23A2"/>
    <w:rsid w:val="00BD423E"/>
    <w:rsid w:val="00BD4838"/>
    <w:rsid w:val="00BD489D"/>
    <w:rsid w:val="00BD4E31"/>
    <w:rsid w:val="00BD5488"/>
    <w:rsid w:val="00BD55A4"/>
    <w:rsid w:val="00BD6244"/>
    <w:rsid w:val="00BD6285"/>
    <w:rsid w:val="00BE08D3"/>
    <w:rsid w:val="00BE28C6"/>
    <w:rsid w:val="00BE5F9D"/>
    <w:rsid w:val="00BE6F64"/>
    <w:rsid w:val="00BF5F53"/>
    <w:rsid w:val="00BF6997"/>
    <w:rsid w:val="00BF749F"/>
    <w:rsid w:val="00C0030F"/>
    <w:rsid w:val="00C0057C"/>
    <w:rsid w:val="00C00B71"/>
    <w:rsid w:val="00C014E4"/>
    <w:rsid w:val="00C02436"/>
    <w:rsid w:val="00C02639"/>
    <w:rsid w:val="00C03A4A"/>
    <w:rsid w:val="00C04489"/>
    <w:rsid w:val="00C05582"/>
    <w:rsid w:val="00C05A88"/>
    <w:rsid w:val="00C05C5D"/>
    <w:rsid w:val="00C06665"/>
    <w:rsid w:val="00C0679B"/>
    <w:rsid w:val="00C12C40"/>
    <w:rsid w:val="00C13157"/>
    <w:rsid w:val="00C13CB8"/>
    <w:rsid w:val="00C14926"/>
    <w:rsid w:val="00C14D2E"/>
    <w:rsid w:val="00C159BE"/>
    <w:rsid w:val="00C16899"/>
    <w:rsid w:val="00C172CD"/>
    <w:rsid w:val="00C2018D"/>
    <w:rsid w:val="00C212D0"/>
    <w:rsid w:val="00C22D02"/>
    <w:rsid w:val="00C2778F"/>
    <w:rsid w:val="00C30899"/>
    <w:rsid w:val="00C317B0"/>
    <w:rsid w:val="00C32C07"/>
    <w:rsid w:val="00C32F6B"/>
    <w:rsid w:val="00C33132"/>
    <w:rsid w:val="00C341C2"/>
    <w:rsid w:val="00C40742"/>
    <w:rsid w:val="00C40841"/>
    <w:rsid w:val="00C409E7"/>
    <w:rsid w:val="00C417B7"/>
    <w:rsid w:val="00C4583A"/>
    <w:rsid w:val="00C45B56"/>
    <w:rsid w:val="00C46423"/>
    <w:rsid w:val="00C47251"/>
    <w:rsid w:val="00C5131D"/>
    <w:rsid w:val="00C51914"/>
    <w:rsid w:val="00C52A59"/>
    <w:rsid w:val="00C52E1A"/>
    <w:rsid w:val="00C53B82"/>
    <w:rsid w:val="00C56880"/>
    <w:rsid w:val="00C617AE"/>
    <w:rsid w:val="00C64677"/>
    <w:rsid w:val="00C64E41"/>
    <w:rsid w:val="00C67C92"/>
    <w:rsid w:val="00C7349C"/>
    <w:rsid w:val="00C73D75"/>
    <w:rsid w:val="00C756A6"/>
    <w:rsid w:val="00C76B39"/>
    <w:rsid w:val="00C777AA"/>
    <w:rsid w:val="00C801D9"/>
    <w:rsid w:val="00C80B0F"/>
    <w:rsid w:val="00C81244"/>
    <w:rsid w:val="00C81454"/>
    <w:rsid w:val="00C817FB"/>
    <w:rsid w:val="00C81AD9"/>
    <w:rsid w:val="00C83265"/>
    <w:rsid w:val="00C84584"/>
    <w:rsid w:val="00C84949"/>
    <w:rsid w:val="00C853A1"/>
    <w:rsid w:val="00C853FE"/>
    <w:rsid w:val="00C854EE"/>
    <w:rsid w:val="00C90252"/>
    <w:rsid w:val="00C907BA"/>
    <w:rsid w:val="00C9083F"/>
    <w:rsid w:val="00C922C3"/>
    <w:rsid w:val="00C936AD"/>
    <w:rsid w:val="00C9525D"/>
    <w:rsid w:val="00C952E0"/>
    <w:rsid w:val="00C97ED8"/>
    <w:rsid w:val="00CA1396"/>
    <w:rsid w:val="00CA1E22"/>
    <w:rsid w:val="00CA221F"/>
    <w:rsid w:val="00CA2D2A"/>
    <w:rsid w:val="00CA3561"/>
    <w:rsid w:val="00CA50F5"/>
    <w:rsid w:val="00CA519E"/>
    <w:rsid w:val="00CA587F"/>
    <w:rsid w:val="00CA72AE"/>
    <w:rsid w:val="00CB100C"/>
    <w:rsid w:val="00CB1690"/>
    <w:rsid w:val="00CB39F5"/>
    <w:rsid w:val="00CB530B"/>
    <w:rsid w:val="00CB541E"/>
    <w:rsid w:val="00CB6633"/>
    <w:rsid w:val="00CC07F8"/>
    <w:rsid w:val="00CC0A13"/>
    <w:rsid w:val="00CC207A"/>
    <w:rsid w:val="00CC21FD"/>
    <w:rsid w:val="00CC2256"/>
    <w:rsid w:val="00CC272D"/>
    <w:rsid w:val="00CC2ADF"/>
    <w:rsid w:val="00CC62DF"/>
    <w:rsid w:val="00CC68CE"/>
    <w:rsid w:val="00CD2009"/>
    <w:rsid w:val="00CD2142"/>
    <w:rsid w:val="00CD266C"/>
    <w:rsid w:val="00CD41AB"/>
    <w:rsid w:val="00CD4AE2"/>
    <w:rsid w:val="00CD75D0"/>
    <w:rsid w:val="00CE0DC1"/>
    <w:rsid w:val="00CE1D2B"/>
    <w:rsid w:val="00CE3276"/>
    <w:rsid w:val="00CE3980"/>
    <w:rsid w:val="00CE4424"/>
    <w:rsid w:val="00CE4911"/>
    <w:rsid w:val="00CE4D3D"/>
    <w:rsid w:val="00CE5E4F"/>
    <w:rsid w:val="00CE748B"/>
    <w:rsid w:val="00CE7A77"/>
    <w:rsid w:val="00CF18F9"/>
    <w:rsid w:val="00CF2F57"/>
    <w:rsid w:val="00CF35ED"/>
    <w:rsid w:val="00CF3DC6"/>
    <w:rsid w:val="00CF4288"/>
    <w:rsid w:val="00CF46DA"/>
    <w:rsid w:val="00CF48DC"/>
    <w:rsid w:val="00CF7492"/>
    <w:rsid w:val="00D01E14"/>
    <w:rsid w:val="00D029FF"/>
    <w:rsid w:val="00D04F88"/>
    <w:rsid w:val="00D06D43"/>
    <w:rsid w:val="00D104F0"/>
    <w:rsid w:val="00D113F2"/>
    <w:rsid w:val="00D118FD"/>
    <w:rsid w:val="00D124AD"/>
    <w:rsid w:val="00D129A7"/>
    <w:rsid w:val="00D12A57"/>
    <w:rsid w:val="00D12E29"/>
    <w:rsid w:val="00D16D62"/>
    <w:rsid w:val="00D201FC"/>
    <w:rsid w:val="00D207EA"/>
    <w:rsid w:val="00D213E8"/>
    <w:rsid w:val="00D223F2"/>
    <w:rsid w:val="00D22BDC"/>
    <w:rsid w:val="00D258F4"/>
    <w:rsid w:val="00D25BD9"/>
    <w:rsid w:val="00D2616D"/>
    <w:rsid w:val="00D26B45"/>
    <w:rsid w:val="00D26BAC"/>
    <w:rsid w:val="00D30EF2"/>
    <w:rsid w:val="00D31D2D"/>
    <w:rsid w:val="00D31E6E"/>
    <w:rsid w:val="00D32BC9"/>
    <w:rsid w:val="00D32D62"/>
    <w:rsid w:val="00D3347A"/>
    <w:rsid w:val="00D335A0"/>
    <w:rsid w:val="00D33C70"/>
    <w:rsid w:val="00D35A8B"/>
    <w:rsid w:val="00D366A4"/>
    <w:rsid w:val="00D370D4"/>
    <w:rsid w:val="00D4126E"/>
    <w:rsid w:val="00D43444"/>
    <w:rsid w:val="00D44055"/>
    <w:rsid w:val="00D44352"/>
    <w:rsid w:val="00D47029"/>
    <w:rsid w:val="00D47ACB"/>
    <w:rsid w:val="00D47F83"/>
    <w:rsid w:val="00D51443"/>
    <w:rsid w:val="00D53232"/>
    <w:rsid w:val="00D537F9"/>
    <w:rsid w:val="00D5389A"/>
    <w:rsid w:val="00D542D3"/>
    <w:rsid w:val="00D54DAC"/>
    <w:rsid w:val="00D56081"/>
    <w:rsid w:val="00D6078C"/>
    <w:rsid w:val="00D6174B"/>
    <w:rsid w:val="00D61A7A"/>
    <w:rsid w:val="00D6323B"/>
    <w:rsid w:val="00D65274"/>
    <w:rsid w:val="00D6552A"/>
    <w:rsid w:val="00D7331F"/>
    <w:rsid w:val="00D74282"/>
    <w:rsid w:val="00D75277"/>
    <w:rsid w:val="00D75415"/>
    <w:rsid w:val="00D75EAE"/>
    <w:rsid w:val="00D75F19"/>
    <w:rsid w:val="00D76A27"/>
    <w:rsid w:val="00D81912"/>
    <w:rsid w:val="00D8238F"/>
    <w:rsid w:val="00D85452"/>
    <w:rsid w:val="00D85514"/>
    <w:rsid w:val="00D9059D"/>
    <w:rsid w:val="00D90A66"/>
    <w:rsid w:val="00D90B09"/>
    <w:rsid w:val="00D91C15"/>
    <w:rsid w:val="00D92085"/>
    <w:rsid w:val="00D92513"/>
    <w:rsid w:val="00D95C64"/>
    <w:rsid w:val="00D95F53"/>
    <w:rsid w:val="00DA059D"/>
    <w:rsid w:val="00DA0FC1"/>
    <w:rsid w:val="00DA26B6"/>
    <w:rsid w:val="00DA2E28"/>
    <w:rsid w:val="00DA38B0"/>
    <w:rsid w:val="00DA5039"/>
    <w:rsid w:val="00DA5B07"/>
    <w:rsid w:val="00DA5F54"/>
    <w:rsid w:val="00DA6A88"/>
    <w:rsid w:val="00DB246C"/>
    <w:rsid w:val="00DB2AC1"/>
    <w:rsid w:val="00DB3899"/>
    <w:rsid w:val="00DB408A"/>
    <w:rsid w:val="00DB44A2"/>
    <w:rsid w:val="00DB4CA1"/>
    <w:rsid w:val="00DB4E20"/>
    <w:rsid w:val="00DB5EA6"/>
    <w:rsid w:val="00DB7F29"/>
    <w:rsid w:val="00DC0A33"/>
    <w:rsid w:val="00DC0F11"/>
    <w:rsid w:val="00DC2519"/>
    <w:rsid w:val="00DC3E59"/>
    <w:rsid w:val="00DC4129"/>
    <w:rsid w:val="00DD1FA6"/>
    <w:rsid w:val="00DD2853"/>
    <w:rsid w:val="00DD382F"/>
    <w:rsid w:val="00DD5AEB"/>
    <w:rsid w:val="00DD5C1A"/>
    <w:rsid w:val="00DD5F2D"/>
    <w:rsid w:val="00DD6C78"/>
    <w:rsid w:val="00DE11C2"/>
    <w:rsid w:val="00DE13D3"/>
    <w:rsid w:val="00DE3790"/>
    <w:rsid w:val="00DE3F53"/>
    <w:rsid w:val="00DE3FC2"/>
    <w:rsid w:val="00DE42E3"/>
    <w:rsid w:val="00DE4C55"/>
    <w:rsid w:val="00DE6626"/>
    <w:rsid w:val="00DF1B14"/>
    <w:rsid w:val="00DF2873"/>
    <w:rsid w:val="00DF373B"/>
    <w:rsid w:val="00DF37D3"/>
    <w:rsid w:val="00DF5EC8"/>
    <w:rsid w:val="00DF6473"/>
    <w:rsid w:val="00DF7A7E"/>
    <w:rsid w:val="00E02D50"/>
    <w:rsid w:val="00E0387D"/>
    <w:rsid w:val="00E05753"/>
    <w:rsid w:val="00E0626F"/>
    <w:rsid w:val="00E0671D"/>
    <w:rsid w:val="00E0735B"/>
    <w:rsid w:val="00E073A2"/>
    <w:rsid w:val="00E07C86"/>
    <w:rsid w:val="00E1052F"/>
    <w:rsid w:val="00E108AF"/>
    <w:rsid w:val="00E10CE1"/>
    <w:rsid w:val="00E112A5"/>
    <w:rsid w:val="00E11ED6"/>
    <w:rsid w:val="00E11F05"/>
    <w:rsid w:val="00E11F44"/>
    <w:rsid w:val="00E1206A"/>
    <w:rsid w:val="00E1340F"/>
    <w:rsid w:val="00E14DF3"/>
    <w:rsid w:val="00E15B38"/>
    <w:rsid w:val="00E1609A"/>
    <w:rsid w:val="00E16149"/>
    <w:rsid w:val="00E20979"/>
    <w:rsid w:val="00E20D3B"/>
    <w:rsid w:val="00E21748"/>
    <w:rsid w:val="00E21FE5"/>
    <w:rsid w:val="00E23194"/>
    <w:rsid w:val="00E232F0"/>
    <w:rsid w:val="00E235CA"/>
    <w:rsid w:val="00E23786"/>
    <w:rsid w:val="00E23807"/>
    <w:rsid w:val="00E2659A"/>
    <w:rsid w:val="00E26E29"/>
    <w:rsid w:val="00E27E65"/>
    <w:rsid w:val="00E301D2"/>
    <w:rsid w:val="00E3250E"/>
    <w:rsid w:val="00E32AFC"/>
    <w:rsid w:val="00E3337E"/>
    <w:rsid w:val="00E3419E"/>
    <w:rsid w:val="00E34429"/>
    <w:rsid w:val="00E3548A"/>
    <w:rsid w:val="00E360E3"/>
    <w:rsid w:val="00E368D8"/>
    <w:rsid w:val="00E37232"/>
    <w:rsid w:val="00E4114E"/>
    <w:rsid w:val="00E418A4"/>
    <w:rsid w:val="00E42812"/>
    <w:rsid w:val="00E43E22"/>
    <w:rsid w:val="00E43F6E"/>
    <w:rsid w:val="00E447AE"/>
    <w:rsid w:val="00E455D4"/>
    <w:rsid w:val="00E468DD"/>
    <w:rsid w:val="00E47BA8"/>
    <w:rsid w:val="00E500A1"/>
    <w:rsid w:val="00E500FD"/>
    <w:rsid w:val="00E51204"/>
    <w:rsid w:val="00E51C0B"/>
    <w:rsid w:val="00E51FDF"/>
    <w:rsid w:val="00E5459F"/>
    <w:rsid w:val="00E55D04"/>
    <w:rsid w:val="00E56600"/>
    <w:rsid w:val="00E57B42"/>
    <w:rsid w:val="00E612A2"/>
    <w:rsid w:val="00E613A1"/>
    <w:rsid w:val="00E6291C"/>
    <w:rsid w:val="00E64EBD"/>
    <w:rsid w:val="00E676DA"/>
    <w:rsid w:val="00E706AA"/>
    <w:rsid w:val="00E74CF9"/>
    <w:rsid w:val="00E75224"/>
    <w:rsid w:val="00E7535E"/>
    <w:rsid w:val="00E758F8"/>
    <w:rsid w:val="00E75CF2"/>
    <w:rsid w:val="00E77BBF"/>
    <w:rsid w:val="00E817E2"/>
    <w:rsid w:val="00E84A53"/>
    <w:rsid w:val="00E84C9A"/>
    <w:rsid w:val="00E84EA4"/>
    <w:rsid w:val="00E851D5"/>
    <w:rsid w:val="00E87CCE"/>
    <w:rsid w:val="00E917E1"/>
    <w:rsid w:val="00E919A1"/>
    <w:rsid w:val="00E91FF5"/>
    <w:rsid w:val="00E9262F"/>
    <w:rsid w:val="00E93037"/>
    <w:rsid w:val="00E93B2F"/>
    <w:rsid w:val="00E93E4A"/>
    <w:rsid w:val="00E9563C"/>
    <w:rsid w:val="00E960EE"/>
    <w:rsid w:val="00E9679A"/>
    <w:rsid w:val="00EA0637"/>
    <w:rsid w:val="00EA286E"/>
    <w:rsid w:val="00EA29CC"/>
    <w:rsid w:val="00EA345A"/>
    <w:rsid w:val="00EA3FD4"/>
    <w:rsid w:val="00EA44A3"/>
    <w:rsid w:val="00EA4722"/>
    <w:rsid w:val="00EA4CF3"/>
    <w:rsid w:val="00EA563D"/>
    <w:rsid w:val="00EA61D4"/>
    <w:rsid w:val="00EA6647"/>
    <w:rsid w:val="00EA66CC"/>
    <w:rsid w:val="00EA6E7C"/>
    <w:rsid w:val="00EA71EB"/>
    <w:rsid w:val="00EA736C"/>
    <w:rsid w:val="00EB0724"/>
    <w:rsid w:val="00EB3291"/>
    <w:rsid w:val="00EB374D"/>
    <w:rsid w:val="00EB50B6"/>
    <w:rsid w:val="00EB5838"/>
    <w:rsid w:val="00EC3A0D"/>
    <w:rsid w:val="00EC3E31"/>
    <w:rsid w:val="00EC4E38"/>
    <w:rsid w:val="00EC6B2A"/>
    <w:rsid w:val="00EC6DC3"/>
    <w:rsid w:val="00ED0DF2"/>
    <w:rsid w:val="00ED126C"/>
    <w:rsid w:val="00ED2790"/>
    <w:rsid w:val="00ED347C"/>
    <w:rsid w:val="00ED3E43"/>
    <w:rsid w:val="00ED5143"/>
    <w:rsid w:val="00ED6174"/>
    <w:rsid w:val="00ED6997"/>
    <w:rsid w:val="00EE018D"/>
    <w:rsid w:val="00EE1666"/>
    <w:rsid w:val="00EE492B"/>
    <w:rsid w:val="00EE63BB"/>
    <w:rsid w:val="00EE6F0D"/>
    <w:rsid w:val="00EE7648"/>
    <w:rsid w:val="00EE7930"/>
    <w:rsid w:val="00EF5AAF"/>
    <w:rsid w:val="00EF5D04"/>
    <w:rsid w:val="00F00C1B"/>
    <w:rsid w:val="00F00CF3"/>
    <w:rsid w:val="00F02134"/>
    <w:rsid w:val="00F0275F"/>
    <w:rsid w:val="00F03BD1"/>
    <w:rsid w:val="00F04529"/>
    <w:rsid w:val="00F04633"/>
    <w:rsid w:val="00F04BD7"/>
    <w:rsid w:val="00F05073"/>
    <w:rsid w:val="00F05401"/>
    <w:rsid w:val="00F054EE"/>
    <w:rsid w:val="00F063BC"/>
    <w:rsid w:val="00F06F8E"/>
    <w:rsid w:val="00F0746C"/>
    <w:rsid w:val="00F07D07"/>
    <w:rsid w:val="00F127DF"/>
    <w:rsid w:val="00F13BB9"/>
    <w:rsid w:val="00F13C39"/>
    <w:rsid w:val="00F142FA"/>
    <w:rsid w:val="00F15777"/>
    <w:rsid w:val="00F15E93"/>
    <w:rsid w:val="00F15F28"/>
    <w:rsid w:val="00F161D5"/>
    <w:rsid w:val="00F16CC4"/>
    <w:rsid w:val="00F1719F"/>
    <w:rsid w:val="00F17530"/>
    <w:rsid w:val="00F2171A"/>
    <w:rsid w:val="00F21C42"/>
    <w:rsid w:val="00F21E06"/>
    <w:rsid w:val="00F21FAB"/>
    <w:rsid w:val="00F2233D"/>
    <w:rsid w:val="00F2295D"/>
    <w:rsid w:val="00F2298B"/>
    <w:rsid w:val="00F230DA"/>
    <w:rsid w:val="00F254E7"/>
    <w:rsid w:val="00F26302"/>
    <w:rsid w:val="00F26C7D"/>
    <w:rsid w:val="00F27594"/>
    <w:rsid w:val="00F30112"/>
    <w:rsid w:val="00F31657"/>
    <w:rsid w:val="00F3201F"/>
    <w:rsid w:val="00F32C40"/>
    <w:rsid w:val="00F3395E"/>
    <w:rsid w:val="00F371B6"/>
    <w:rsid w:val="00F37279"/>
    <w:rsid w:val="00F37799"/>
    <w:rsid w:val="00F40713"/>
    <w:rsid w:val="00F40CE2"/>
    <w:rsid w:val="00F42496"/>
    <w:rsid w:val="00F42BEB"/>
    <w:rsid w:val="00F42D25"/>
    <w:rsid w:val="00F4342A"/>
    <w:rsid w:val="00F52215"/>
    <w:rsid w:val="00F53CB6"/>
    <w:rsid w:val="00F560FE"/>
    <w:rsid w:val="00F57B2D"/>
    <w:rsid w:val="00F6225B"/>
    <w:rsid w:val="00F64160"/>
    <w:rsid w:val="00F647F8"/>
    <w:rsid w:val="00F65158"/>
    <w:rsid w:val="00F667EA"/>
    <w:rsid w:val="00F70932"/>
    <w:rsid w:val="00F71FC9"/>
    <w:rsid w:val="00F7353C"/>
    <w:rsid w:val="00F73C4A"/>
    <w:rsid w:val="00F73E57"/>
    <w:rsid w:val="00F741D2"/>
    <w:rsid w:val="00F74AD4"/>
    <w:rsid w:val="00F74C0E"/>
    <w:rsid w:val="00F762BF"/>
    <w:rsid w:val="00F80074"/>
    <w:rsid w:val="00F802FB"/>
    <w:rsid w:val="00F80462"/>
    <w:rsid w:val="00F84DF6"/>
    <w:rsid w:val="00F856EE"/>
    <w:rsid w:val="00F8743A"/>
    <w:rsid w:val="00F91286"/>
    <w:rsid w:val="00F9202F"/>
    <w:rsid w:val="00F92B8C"/>
    <w:rsid w:val="00F94683"/>
    <w:rsid w:val="00F9608B"/>
    <w:rsid w:val="00F96F26"/>
    <w:rsid w:val="00FA1FEB"/>
    <w:rsid w:val="00FA2922"/>
    <w:rsid w:val="00FA2FE2"/>
    <w:rsid w:val="00FA3A2E"/>
    <w:rsid w:val="00FA3F34"/>
    <w:rsid w:val="00FA4F20"/>
    <w:rsid w:val="00FA59C5"/>
    <w:rsid w:val="00FA7D9E"/>
    <w:rsid w:val="00FB12CD"/>
    <w:rsid w:val="00FB15C1"/>
    <w:rsid w:val="00FB2152"/>
    <w:rsid w:val="00FB2260"/>
    <w:rsid w:val="00FB2D9F"/>
    <w:rsid w:val="00FB3BF5"/>
    <w:rsid w:val="00FB4E08"/>
    <w:rsid w:val="00FB4F9E"/>
    <w:rsid w:val="00FB67B9"/>
    <w:rsid w:val="00FB7387"/>
    <w:rsid w:val="00FB7F56"/>
    <w:rsid w:val="00FC0886"/>
    <w:rsid w:val="00FC0BB6"/>
    <w:rsid w:val="00FC18FB"/>
    <w:rsid w:val="00FC289A"/>
    <w:rsid w:val="00FC33CB"/>
    <w:rsid w:val="00FC517B"/>
    <w:rsid w:val="00FD17E3"/>
    <w:rsid w:val="00FD364D"/>
    <w:rsid w:val="00FD5E03"/>
    <w:rsid w:val="00FD643A"/>
    <w:rsid w:val="00FD713B"/>
    <w:rsid w:val="00FD7CB7"/>
    <w:rsid w:val="00FD7DA7"/>
    <w:rsid w:val="00FD7F20"/>
    <w:rsid w:val="00FE2C6E"/>
    <w:rsid w:val="00FE3CA3"/>
    <w:rsid w:val="00FE62B5"/>
    <w:rsid w:val="00FE68FB"/>
    <w:rsid w:val="00FE78BA"/>
    <w:rsid w:val="00FE79CF"/>
    <w:rsid w:val="00FE7D6A"/>
    <w:rsid w:val="00FF054A"/>
    <w:rsid w:val="00FF0989"/>
    <w:rsid w:val="00FF0CD0"/>
    <w:rsid w:val="00FF100A"/>
    <w:rsid w:val="00FF23C6"/>
    <w:rsid w:val="00FF2B4A"/>
    <w:rsid w:val="00FF4223"/>
    <w:rsid w:val="00FF474B"/>
    <w:rsid w:val="00FF480A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E183BD3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7A0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260"/>
    <w:pPr>
      <w:spacing w:before="240" w:after="0" w:line="259" w:lineRule="auto"/>
      <w:outlineLvl w:val="2"/>
    </w:pPr>
    <w:rPr>
      <w:rFonts w:asciiTheme="minorHAnsi" w:eastAsiaTheme="minorHAnsi" w:hAnsiTheme="minorHAnsi" w:cstheme="minorHAns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1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1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1"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pis pro KZ,Odstavec_muj,Nad,odrážky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pis pro KZ Char,Odstavec_muj Char,Nad Char,odrážky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F5260"/>
    <w:rPr>
      <w:rFonts w:eastAsiaTheme="minorHAnsi" w:cstheme="minorHAns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1"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uiPriority w:val="1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1"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2B7978"/>
    <w:rPr>
      <w:vertAlign w:val="superscript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99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640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semiHidden/>
    <w:rsid w:val="00182474"/>
    <w:pPr>
      <w:spacing w:after="0"/>
      <w:jc w:val="both"/>
    </w:pPr>
    <w:rPr>
      <w:rFonts w:ascii="Arial" w:hAnsi="Arial" w:cs="Arial"/>
      <w:i/>
      <w:iCs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82474"/>
    <w:rPr>
      <w:rFonts w:ascii="Arial" w:hAnsi="Arial" w:cs="Arial"/>
      <w:i/>
      <w:iCs/>
      <w:sz w:val="18"/>
      <w:szCs w:val="24"/>
    </w:rPr>
  </w:style>
  <w:style w:type="character" w:styleId="slostrnky">
    <w:name w:val="page number"/>
    <w:basedOn w:val="Standardnpsmoodstavce"/>
    <w:semiHidden/>
    <w:rsid w:val="00182474"/>
  </w:style>
  <w:style w:type="paragraph" w:styleId="Podnadpis">
    <w:name w:val="Subtitle"/>
    <w:basedOn w:val="Normln"/>
    <w:next w:val="Normln"/>
    <w:link w:val="PodnadpisChar"/>
    <w:uiPriority w:val="11"/>
    <w:qFormat/>
    <w:rsid w:val="00182474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824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65">
    <w:name w:val="xl65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cs-CZ"/>
    </w:rPr>
  </w:style>
  <w:style w:type="paragraph" w:customStyle="1" w:styleId="xl66">
    <w:name w:val="xl66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cs-CZ"/>
    </w:rPr>
  </w:style>
  <w:style w:type="paragraph" w:customStyle="1" w:styleId="xl68">
    <w:name w:val="xl68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Theme="minorHAnsi" w:hAnsiTheme="minorHAnsi"/>
      <w:lang w:eastAsia="cs-CZ"/>
    </w:rPr>
  </w:style>
  <w:style w:type="paragraph" w:customStyle="1" w:styleId="xl69">
    <w:name w:val="xl69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Theme="minorHAnsi" w:hAnsiTheme="minorHAnsi"/>
      <w:lang w:eastAsia="cs-CZ"/>
    </w:rPr>
  </w:style>
  <w:style w:type="paragraph" w:customStyle="1" w:styleId="xl70">
    <w:name w:val="xl70"/>
    <w:basedOn w:val="Normln"/>
    <w:uiPriority w:val="99"/>
    <w:unhideWhenUsed/>
    <w:rsid w:val="0018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Theme="minorHAnsi" w:hAnsiTheme="minorHAnsi"/>
      <w:lang w:eastAsia="cs-CZ"/>
    </w:rPr>
  </w:style>
  <w:style w:type="paragraph" w:customStyle="1" w:styleId="NadpisAB">
    <w:name w:val="Nadpis AB"/>
    <w:basedOn w:val="Normln"/>
    <w:next w:val="Normln"/>
    <w:uiPriority w:val="99"/>
    <w:qFormat/>
    <w:rsid w:val="00182474"/>
    <w:pPr>
      <w:widowControl w:val="0"/>
      <w:numPr>
        <w:numId w:val="6"/>
      </w:numPr>
      <w:autoSpaceDE w:val="0"/>
      <w:autoSpaceDN w:val="0"/>
      <w:adjustRightInd w:val="0"/>
      <w:spacing w:before="240" w:after="240"/>
      <w:jc w:val="both"/>
    </w:pPr>
    <w:rPr>
      <w:rFonts w:asciiTheme="minorHAnsi" w:hAnsiTheme="minorHAnsi" w:cstheme="minorHAnsi"/>
      <w:b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182474"/>
    <w:pPr>
      <w:keepNext/>
      <w:keepLines/>
      <w:pageBreakBefore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82474"/>
    <w:pPr>
      <w:spacing w:after="100"/>
      <w:ind w:left="240"/>
    </w:pPr>
    <w:rPr>
      <w:rFonts w:asciiTheme="minorHAnsi" w:eastAsiaTheme="minorHAnsi" w:hAnsiTheme="minorHAnsi" w:cstheme="minorBid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182474"/>
    <w:pPr>
      <w:spacing w:after="100"/>
      <w:ind w:left="480"/>
    </w:pPr>
    <w:rPr>
      <w:rFonts w:asciiTheme="minorHAnsi" w:eastAsiaTheme="minorHAnsi" w:hAnsiTheme="minorHAnsi" w:cstheme="minorBidi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18247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8247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8247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8247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draznn">
    <w:name w:val="Emphasis"/>
    <w:basedOn w:val="Standardnpsmoodstavce"/>
    <w:uiPriority w:val="20"/>
    <w:qFormat/>
    <w:rsid w:val="00FC0BB6"/>
    <w:rPr>
      <w:i/>
      <w:iCs/>
    </w:rPr>
  </w:style>
  <w:style w:type="numbering" w:customStyle="1" w:styleId="Bezseznamu1">
    <w:name w:val="Bez seznamu1"/>
    <w:next w:val="Bezseznamu"/>
    <w:uiPriority w:val="99"/>
    <w:semiHidden/>
    <w:unhideWhenUsed/>
    <w:rsid w:val="00DA059D"/>
  </w:style>
  <w:style w:type="table" w:customStyle="1" w:styleId="Mkatabulky1">
    <w:name w:val="Mřížka tabulky1"/>
    <w:basedOn w:val="Normlntabulka"/>
    <w:next w:val="Mkatabulky"/>
    <w:uiPriority w:val="39"/>
    <w:rsid w:val="00DA05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cr.cz/cs/verejny-sektor/ucetnictvi-a-ucetnictvi-statu/ucetni-reforma-verejnych-financi-ucetnic/ucetni-vykaznictvi-statu/ucetni-vykazy-za-ceskou-republiku" TargetMode="External"/><Relationship Id="rId2" Type="http://schemas.openxmlformats.org/officeDocument/2006/relationships/hyperlink" Target="http://monitor.statnipokladna.cz/2017/statni-rozpocet/kapitola/335" TargetMode="External"/><Relationship Id="rId1" Type="http://schemas.openxmlformats.org/officeDocument/2006/relationships/hyperlink" Target="http://monitor.statnipokladna.cz/2017/statni-rozpocet/oss-sf/00024341%2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Plocha\MojePlocha\Anal&#253;zy%20kapitol%20SR\Anal&#253;za%20kapitol%20SR_2018\3E\Anal&#253;za_1_NaV_v&#269;.%20ZP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'PaV_kapitol_vč. TR'!$C$172</c:f>
              <c:strCache>
                <c:ptCount val="1"/>
                <c:pt idx="0">
                  <c:v>Tempo růstu příjmů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numFmt formatCode="0.00_i\­\­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'PaV_kapitol_vč. TR'!$D$171:$G$171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'PaV_kapitol_vč. TR'!$D$172:$G$172</c:f>
              <c:numCache>
                <c:formatCode>0.00%</c:formatCode>
                <c:ptCount val="4"/>
                <c:pt idx="0">
                  <c:v>1.6558822518293059</c:v>
                </c:pt>
                <c:pt idx="1">
                  <c:v>1.1134590702543341</c:v>
                </c:pt>
                <c:pt idx="2">
                  <c:v>-0.19455601835613345</c:v>
                </c:pt>
                <c:pt idx="3">
                  <c:v>-0.7575566917779214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68-47FB-8672-C5ECE74A023C}"/>
            </c:ext>
          </c:extLst>
        </c:ser>
        <c:ser>
          <c:idx val="1"/>
          <c:order val="1"/>
          <c:tx>
            <c:strRef>
              <c:f>'PaV_kapitol_vč. TR'!$C$173</c:f>
              <c:strCache>
                <c:ptCount val="1"/>
                <c:pt idx="0">
                  <c:v>Tempo růstu výdajů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'PaV_kapitol_vč. TR'!$D$171:$G$171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'PaV_kapitol_vč. TR'!$D$173:$G$173</c:f>
              <c:numCache>
                <c:formatCode>0.00%</c:formatCode>
                <c:ptCount val="4"/>
                <c:pt idx="0">
                  <c:v>-2.4889401355838132E-2</c:v>
                </c:pt>
                <c:pt idx="1">
                  <c:v>0.18699062687240256</c:v>
                </c:pt>
                <c:pt idx="2">
                  <c:v>-4.2989871705227396E-2</c:v>
                </c:pt>
                <c:pt idx="3">
                  <c:v>-2.2242823567523447E-2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68-47FB-8672-C5ECE74A0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'PaV_ÚJ_vč. TR'!$E$181</c:f>
              <c:strCache>
                <c:ptCount val="1"/>
                <c:pt idx="0">
                  <c:v>Tempo růstu příjmů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'PaV_ÚJ_vč. TR'!$F$180:$I$180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'PaV_ÚJ_vč. TR'!$F$181:$I$181</c:f>
              <c:numCache>
                <c:formatCode>0.00%</c:formatCode>
                <c:ptCount val="4"/>
                <c:pt idx="0">
                  <c:v>2.1481056778800904</c:v>
                </c:pt>
                <c:pt idx="1">
                  <c:v>1.451800243355986</c:v>
                </c:pt>
                <c:pt idx="2">
                  <c:v>-0.20338489819748859</c:v>
                </c:pt>
                <c:pt idx="3">
                  <c:v>-0.89219639673328066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F9-44EF-9776-EF7710C3D790}"/>
            </c:ext>
          </c:extLst>
        </c:ser>
        <c:ser>
          <c:idx val="1"/>
          <c:order val="1"/>
          <c:tx>
            <c:strRef>
              <c:f>'PaV_ÚJ_vč. TR'!$E$182</c:f>
              <c:strCache>
                <c:ptCount val="1"/>
                <c:pt idx="0">
                  <c:v>Tempo růstu výdajů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'PaV_ÚJ_vč. TR'!$F$180:$I$180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'PaV_ÚJ_vč. TR'!$F$182:$I$182</c:f>
              <c:numCache>
                <c:formatCode>0.00%</c:formatCode>
                <c:ptCount val="4"/>
                <c:pt idx="0">
                  <c:v>-5.7188200969048669E-2</c:v>
                </c:pt>
                <c:pt idx="1">
                  <c:v>0.24483890753082269</c:v>
                </c:pt>
                <c:pt idx="2">
                  <c:v>-6.6148061956352519E-2</c:v>
                </c:pt>
                <c:pt idx="3">
                  <c:v>-4.4398152361144916E-2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F9-44EF-9776-EF7710C3D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'PaV_ostatní OSS_vč. TR'!$C$170</c:f>
              <c:strCache>
                <c:ptCount val="1"/>
                <c:pt idx="0">
                  <c:v>Tempo růstu příjmů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6628615867465053E-4"/>
                  <c:y val="-1.5187514234600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F8-4F2D-AF6E-7A996BBB9CDD}"/>
                </c:ext>
              </c:extLst>
            </c:dLbl>
            <c:dLbl>
              <c:idx val="1"/>
              <c:layout>
                <c:manualLayout>
                  <c:x val="-6.8800427724312243E-3"/>
                  <c:y val="-6.87162172734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F8-4F2D-AF6E-7A996BBB9CDD}"/>
                </c:ext>
              </c:extLst>
            </c:dLbl>
            <c:dLbl>
              <c:idx val="2"/>
              <c:layout>
                <c:manualLayout>
                  <c:x val="-0.11576660556319349"/>
                  <c:y val="2.0140372716161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F8-4F2D-AF6E-7A996BBB9CDD}"/>
                </c:ext>
              </c:extLst>
            </c:dLbl>
            <c:dLbl>
              <c:idx val="3"/>
              <c:layout>
                <c:manualLayout>
                  <c:x val="-1.3227513227513308E-2"/>
                  <c:y val="4.8575844557297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F8-4F2D-AF6E-7A996BBB9CDD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'PaV_ostatní OSS_vč. TR'!$D$169:$G$169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'PaV_ostatní OSS_vč. TR'!$D$170:$G$170</c:f>
              <c:numCache>
                <c:formatCode>0.00%</c:formatCode>
                <c:ptCount val="4"/>
                <c:pt idx="0">
                  <c:v>0.84094945305160484</c:v>
                </c:pt>
                <c:pt idx="1">
                  <c:v>0.15555546562879022</c:v>
                </c:pt>
                <c:pt idx="2">
                  <c:v>-0.14152049598872904</c:v>
                </c:pt>
                <c:pt idx="3">
                  <c:v>-7.0527110547855369E-3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F8-4F2D-AF6E-7A996BBB9CDD}"/>
            </c:ext>
          </c:extLst>
        </c:ser>
        <c:ser>
          <c:idx val="1"/>
          <c:order val="1"/>
          <c:tx>
            <c:strRef>
              <c:f>'PaV_ostatní OSS_vč. TR'!$C$171</c:f>
              <c:strCache>
                <c:ptCount val="1"/>
                <c:pt idx="0">
                  <c:v>Tempo růstu výdajů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8.5178415198100238E-2"/>
                  <c:y val="-5.7407816294987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4F8-4F2D-AF6E-7A996BBB9CDD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'PaV_ostatní OSS_vč. TR'!$D$169:$G$169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'PaV_ostatní OSS_vč. TR'!$D$171:$G$171</c:f>
              <c:numCache>
                <c:formatCode>0.00%</c:formatCode>
                <c:ptCount val="4"/>
                <c:pt idx="0">
                  <c:v>6.8257445083209425E-2</c:v>
                </c:pt>
                <c:pt idx="1">
                  <c:v>3.9752151989722991E-2</c:v>
                </c:pt>
                <c:pt idx="2">
                  <c:v>2.75799139068688E-2</c:v>
                </c:pt>
                <c:pt idx="3">
                  <c:v>3.9112859864567862E-2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4F8-4F2D-AF6E-7A996BBB9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'NaV kapitol_vč. TR'!$C$172</c:f>
              <c:strCache>
                <c:ptCount val="1"/>
                <c:pt idx="0">
                  <c:v>Tempo růstu výnosů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741116870049491E-2"/>
                  <c:y val="-4.1425446819147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79B-4127-8B38-9D842F904174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 kapitol_vč. TR'!$D$171:$G$171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 kapitol_vč. TR'!$D$172:$G$172</c:f>
              <c:numCache>
                <c:formatCode>0.00%</c:formatCode>
                <c:ptCount val="4"/>
                <c:pt idx="0">
                  <c:v>0.69528243209336016</c:v>
                </c:pt>
                <c:pt idx="1">
                  <c:v>1.8330133743735231</c:v>
                </c:pt>
                <c:pt idx="2">
                  <c:v>-0.20072693675645245</c:v>
                </c:pt>
                <c:pt idx="3">
                  <c:v>-0.71482059657174024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9B-4127-8B38-9D842F904174}"/>
            </c:ext>
          </c:extLst>
        </c:ser>
        <c:ser>
          <c:idx val="1"/>
          <c:order val="1"/>
          <c:tx>
            <c:strRef>
              <c:f>'NaV kapitol_vč. TR'!$C$173</c:f>
              <c:strCache>
                <c:ptCount val="1"/>
                <c:pt idx="0">
                  <c:v>Tempo růstu nákladů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3.0464073935202545E-2"/>
                  <c:y val="-5.1052273798078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9B-4127-8B38-9D842F904174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 kapitol_vč. TR'!$D$171:$G$171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 kapitol_vč. TR'!$D$173:$G$173</c:f>
              <c:numCache>
                <c:formatCode>0.00%</c:formatCode>
                <c:ptCount val="4"/>
                <c:pt idx="0">
                  <c:v>0.27032869706025031</c:v>
                </c:pt>
                <c:pt idx="1">
                  <c:v>-8.3396357760661455E-2</c:v>
                </c:pt>
                <c:pt idx="2">
                  <c:v>8.0182737739017976E-2</c:v>
                </c:pt>
                <c:pt idx="3">
                  <c:v>-3.8931324334511526E-2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9B-4127-8B38-9D842F904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'NaV ÚJ_vč. TR'!$D$181</c:f>
              <c:strCache>
                <c:ptCount val="1"/>
                <c:pt idx="0">
                  <c:v>Tempo růstu výnosů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947263536502382E-2"/>
                  <c:y val="-6.35554249690967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F72-4D3D-A0EB-B0B774BC558C}"/>
                </c:ext>
              </c:extLst>
            </c:dLbl>
            <c:dLbl>
              <c:idx val="1"/>
              <c:layout>
                <c:manualLayout>
                  <c:x val="-7.5462789373550929E-3"/>
                  <c:y val="-4.1683429447671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F72-4D3D-A0EB-B0B774BC558C}"/>
                </c:ext>
              </c:extLst>
            </c:dLbl>
            <c:dLbl>
              <c:idx val="2"/>
              <c:layout>
                <c:manualLayout>
                  <c:x val="-8.9311579108167033E-2"/>
                  <c:y val="4.6099415316516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F72-4D3D-A0EB-B0B774BC558C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 ÚJ_vč. TR'!$E$180:$H$180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 ÚJ_vč. TR'!$E$181:$H$181</c:f>
              <c:numCache>
                <c:formatCode>0.00%</c:formatCode>
                <c:ptCount val="4"/>
                <c:pt idx="0">
                  <c:v>0.78294013421461151</c:v>
                </c:pt>
                <c:pt idx="1">
                  <c:v>2.7843109276201448</c:v>
                </c:pt>
                <c:pt idx="2">
                  <c:v>-0.23265176773437271</c:v>
                </c:pt>
                <c:pt idx="3">
                  <c:v>-0.87171468889355308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72-4D3D-A0EB-B0B774BC558C}"/>
            </c:ext>
          </c:extLst>
        </c:ser>
        <c:ser>
          <c:idx val="1"/>
          <c:order val="1"/>
          <c:tx>
            <c:strRef>
              <c:f>'NaV ÚJ_vč. TR'!$D$182</c:f>
              <c:strCache>
                <c:ptCount val="1"/>
                <c:pt idx="0">
                  <c:v>Tempo růstu nákladů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0813023372078496E-2"/>
                  <c:y val="4.6099415316516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F72-4D3D-A0EB-B0B774BC558C}"/>
                </c:ext>
              </c:extLst>
            </c:dLbl>
            <c:dLbl>
              <c:idx val="2"/>
              <c:layout>
                <c:manualLayout>
                  <c:x val="-3.1130483689538808E-2"/>
                  <c:y val="-5.5468259666923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F72-4D3D-A0EB-B0B774BC558C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 ÚJ_vč. TR'!$E$180:$H$180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 ÚJ_vč. TR'!$E$182:$H$182</c:f>
              <c:numCache>
                <c:formatCode>0.00%</c:formatCode>
                <c:ptCount val="4"/>
                <c:pt idx="0">
                  <c:v>0.3513318919184456</c:v>
                </c:pt>
                <c:pt idx="1">
                  <c:v>-0.14151495760567245</c:v>
                </c:pt>
                <c:pt idx="2">
                  <c:v>0.10304893255544921</c:v>
                </c:pt>
                <c:pt idx="3">
                  <c:v>-7.2338359814962783E-2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F72-4D3D-A0EB-B0B774BC5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03442493165322E-2"/>
          <c:y val="5.5912698412698428E-2"/>
          <c:w val="0.65568173220546544"/>
          <c:h val="0.85203068366454193"/>
        </c:manualLayout>
      </c:layout>
      <c:lineChart>
        <c:grouping val="standard"/>
        <c:varyColors val="0"/>
        <c:ser>
          <c:idx val="0"/>
          <c:order val="0"/>
          <c:tx>
            <c:strRef>
              <c:f>'NaV_ostatní OSS_vč. TR'!$C$170</c:f>
              <c:strCache>
                <c:ptCount val="1"/>
                <c:pt idx="0">
                  <c:v>Tempo růstu výnosů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6.1328271466066744E-2"/>
                  <c:y val="5.0515401185361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831-4DF6-A101-396437FD0CC3}"/>
                </c:ext>
              </c:extLst>
            </c:dLbl>
            <c:dLbl>
              <c:idx val="2"/>
              <c:layout>
                <c:manualLayout>
                  <c:x val="-0.1032153966865253"/>
                  <c:y val="3.2851457709980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831-4DF6-A101-396437FD0CC3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'NaV_ostatní OSS_vč. TR'!$D$169:$G$169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'NaV_ostatní OSS_vč. TR'!$D$170:$G$170</c:f>
              <c:numCache>
                <c:formatCode>0.00%</c:formatCode>
                <c:ptCount val="4"/>
                <c:pt idx="0">
                  <c:v>0.55252470150657085</c:v>
                </c:pt>
                <c:pt idx="1">
                  <c:v>5.381580871438852E-2</c:v>
                </c:pt>
                <c:pt idx="2">
                  <c:v>1.3689712593051418E-2</c:v>
                </c:pt>
                <c:pt idx="3">
                  <c:v>8.2850668198807667E-2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31-4DF6-A101-396437FD0CC3}"/>
            </c:ext>
          </c:extLst>
        </c:ser>
        <c:ser>
          <c:idx val="1"/>
          <c:order val="1"/>
          <c:tx>
            <c:strRef>
              <c:f>'NaV_ostatní OSS_vč. TR'!$C$171</c:f>
              <c:strCache>
                <c:ptCount val="1"/>
                <c:pt idx="0">
                  <c:v>Tempo růstu nákladů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5.2991830426142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831-4DF6-A101-396437FD0CC3}"/>
                </c:ext>
              </c:extLst>
            </c:dLbl>
            <c:dLbl>
              <c:idx val="1"/>
              <c:layout>
                <c:manualLayout>
                  <c:x val="-4.04169346286349E-17"/>
                  <c:y val="-4.4159858688452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831-4DF6-A101-396437FD0CC3}"/>
                </c:ext>
              </c:extLst>
            </c:dLbl>
            <c:dLbl>
              <c:idx val="2"/>
              <c:layout>
                <c:manualLayout>
                  <c:x val="-8.8183421516754845E-3"/>
                  <c:y val="-4.857584455729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831-4DF6-A101-396437FD0CC3}"/>
                </c:ext>
              </c:extLst>
            </c:dLbl>
            <c:numFmt formatCode="0.00_i%" sourceLinked="0"/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'NaV_ostatní OSS_vč. TR'!$D$169:$G$169</c:f>
              <c:numCache>
                <c:formatCode>@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'NaV_ostatní OSS_vč. TR'!$D$171:$G$171</c:f>
              <c:numCache>
                <c:formatCode>0.00%</c:formatCode>
                <c:ptCount val="4"/>
                <c:pt idx="0">
                  <c:v>0.10102622610635716</c:v>
                </c:pt>
                <c:pt idx="1">
                  <c:v>6.5690943698817478E-2</c:v>
                </c:pt>
                <c:pt idx="2">
                  <c:v>3.2930664569842186E-2</c:v>
                </c:pt>
                <c:pt idx="3">
                  <c:v>3.4789216898142024E-2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831-4DF6-A101-396437FD0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66808"/>
        <c:axId val="191444968"/>
      </c:lineChart>
      <c:catAx>
        <c:axId val="19146680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44968"/>
        <c:crosses val="autoZero"/>
        <c:auto val="1"/>
        <c:lblAlgn val="ctr"/>
        <c:lblOffset val="100"/>
        <c:noMultiLvlLbl val="0"/>
      </c:catAx>
      <c:valAx>
        <c:axId val="19144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6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8C06-1447-4BB3-B809-FF6C871E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9BA81-0D06-4359-BADA-016CFB7D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FB92680C.dotm</Template>
  <TotalTime>4</TotalTime>
  <Pages>48</Pages>
  <Words>16350</Words>
  <Characters>96467</Characters>
  <Application>Microsoft Office Word</Application>
  <DocSecurity>0</DocSecurity>
  <Lines>803</Lines>
  <Paragraphs>225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18/13 - Závěrečný účet kapitoly státního rozpočtu Ministerstvo zdravotnictví</vt:lpstr>
    </vt:vector>
  </TitlesOfParts>
  <Company>NKU</Company>
  <LinksUpToDate>false</LinksUpToDate>
  <CharactersWithSpaces>112592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18/13 - Závěrečný účet kapitoly státního rozpočtu Ministerstvo zdravotnictví</dc:title>
  <dc:subject/>
  <dc:creator>Nejvyšší kontrolní úřad</dc:creator>
  <cp:keywords>kontrolní závěr;účetnictví;Ministerstvo zdravotnictví</cp:keywords>
  <dc:description/>
  <cp:lastModifiedBy>KOKRDA Daniel</cp:lastModifiedBy>
  <cp:revision>6</cp:revision>
  <cp:lastPrinted>2019-02-21T13:12:00Z</cp:lastPrinted>
  <dcterms:created xsi:type="dcterms:W3CDTF">2019-02-21T13:07:00Z</dcterms:created>
  <dcterms:modified xsi:type="dcterms:W3CDTF">2019-02-21T13:13:00Z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