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EE71" w14:textId="77777777" w:rsidR="009E560F" w:rsidRPr="009E560F" w:rsidRDefault="009E560F" w:rsidP="009E560F">
      <w:pPr>
        <w:spacing w:before="0"/>
        <w:jc w:val="center"/>
      </w:pPr>
      <w:bookmarkStart w:id="0" w:name="_GoBack"/>
      <w:bookmarkEnd w:id="0"/>
      <w:r w:rsidRPr="009E560F">
        <w:rPr>
          <w:noProof/>
          <w:lang w:eastAsia="cs-CZ"/>
        </w:rPr>
        <w:drawing>
          <wp:anchor distT="0" distB="0" distL="114300" distR="114300" simplePos="0" relativeHeight="251658240" behindDoc="0" locked="0" layoutInCell="1" allowOverlap="1" wp14:anchorId="43642ED9" wp14:editId="756625AD">
            <wp:simplePos x="0" y="0"/>
            <wp:positionH relativeFrom="margin">
              <wp:posOffset>2520315</wp:posOffset>
            </wp:positionH>
            <wp:positionV relativeFrom="paragraph">
              <wp:posOffset>0</wp:posOffset>
            </wp:positionV>
            <wp:extent cx="764433" cy="54000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64433" cy="540000"/>
                    </a:xfrm>
                    <a:prstGeom prst="rect">
                      <a:avLst/>
                    </a:prstGeom>
                    <a:noFill/>
                  </pic:spPr>
                </pic:pic>
              </a:graphicData>
            </a:graphic>
            <wp14:sizeRelH relativeFrom="page">
              <wp14:pctWidth>0</wp14:pctWidth>
            </wp14:sizeRelH>
            <wp14:sizeRelV relativeFrom="page">
              <wp14:pctHeight>0</wp14:pctHeight>
            </wp14:sizeRelV>
          </wp:anchor>
        </w:drawing>
      </w:r>
    </w:p>
    <w:p w14:paraId="02900F77" w14:textId="77777777" w:rsidR="004F24F4" w:rsidRDefault="004F24F4" w:rsidP="009E560F">
      <w:pPr>
        <w:spacing w:before="0"/>
        <w:jc w:val="center"/>
      </w:pPr>
    </w:p>
    <w:p w14:paraId="6BADF45C" w14:textId="77777777" w:rsidR="002D5CBF" w:rsidRPr="009E560F" w:rsidRDefault="002D5CBF" w:rsidP="009E560F">
      <w:pPr>
        <w:spacing w:before="0"/>
        <w:jc w:val="center"/>
      </w:pPr>
    </w:p>
    <w:p w14:paraId="0B846D1B" w14:textId="77777777" w:rsidR="004F24F4" w:rsidRPr="0010177B" w:rsidRDefault="00D91D0B" w:rsidP="009E560F">
      <w:pPr>
        <w:spacing w:before="0"/>
        <w:jc w:val="center"/>
        <w:rPr>
          <w:b/>
          <w:sz w:val="28"/>
          <w:szCs w:val="28"/>
        </w:rPr>
      </w:pPr>
      <w:r w:rsidRPr="0010177B">
        <w:rPr>
          <w:b/>
          <w:sz w:val="28"/>
          <w:szCs w:val="28"/>
        </w:rPr>
        <w:t>Kontrolní závěr z kontrolní akce</w:t>
      </w:r>
    </w:p>
    <w:p w14:paraId="725A5CC7" w14:textId="77777777" w:rsidR="009E560F" w:rsidRPr="009E560F" w:rsidRDefault="009E560F" w:rsidP="009E560F">
      <w:pPr>
        <w:spacing w:before="0"/>
        <w:jc w:val="center"/>
      </w:pPr>
    </w:p>
    <w:p w14:paraId="0FA6326F" w14:textId="77777777" w:rsidR="004F24F4" w:rsidRDefault="00D91D0B" w:rsidP="009E560F">
      <w:pPr>
        <w:spacing w:before="0"/>
        <w:jc w:val="center"/>
        <w:rPr>
          <w:b/>
          <w:sz w:val="28"/>
          <w:szCs w:val="28"/>
        </w:rPr>
      </w:pPr>
      <w:r w:rsidRPr="0010177B">
        <w:rPr>
          <w:b/>
          <w:sz w:val="28"/>
          <w:szCs w:val="28"/>
        </w:rPr>
        <w:t>1</w:t>
      </w:r>
      <w:r w:rsidR="000874D7">
        <w:rPr>
          <w:b/>
          <w:sz w:val="28"/>
          <w:szCs w:val="28"/>
        </w:rPr>
        <w:t>8/08</w:t>
      </w:r>
    </w:p>
    <w:p w14:paraId="75E994C7" w14:textId="77777777" w:rsidR="009E560F" w:rsidRPr="009E560F" w:rsidRDefault="009E560F" w:rsidP="009E560F">
      <w:pPr>
        <w:spacing w:before="0"/>
        <w:jc w:val="center"/>
      </w:pPr>
    </w:p>
    <w:p w14:paraId="1CFD88F0" w14:textId="77777777" w:rsidR="004F24F4" w:rsidRPr="00B17732" w:rsidRDefault="000874D7" w:rsidP="009E560F">
      <w:pPr>
        <w:spacing w:before="0"/>
        <w:jc w:val="center"/>
        <w:rPr>
          <w:b/>
          <w:sz w:val="28"/>
          <w:szCs w:val="28"/>
        </w:rPr>
      </w:pPr>
      <w:r w:rsidRPr="00B17732">
        <w:rPr>
          <w:b/>
          <w:sz w:val="28"/>
          <w:szCs w:val="28"/>
        </w:rPr>
        <w:t>Peněžní prostředky vynakládané na podpory v sektoru živočišné výroby</w:t>
      </w:r>
    </w:p>
    <w:p w14:paraId="457B0F5E" w14:textId="77777777" w:rsidR="002D5CBF" w:rsidRDefault="002D5CBF" w:rsidP="002D5CBF">
      <w:pPr>
        <w:spacing w:before="0"/>
      </w:pPr>
    </w:p>
    <w:p w14:paraId="1D095B1F" w14:textId="77777777" w:rsidR="002D5CBF" w:rsidRPr="009E560F" w:rsidRDefault="002D5CBF" w:rsidP="002D5CBF">
      <w:pPr>
        <w:spacing w:before="0"/>
      </w:pPr>
    </w:p>
    <w:p w14:paraId="0AF9832A" w14:textId="501E6C83" w:rsidR="004F24F4" w:rsidRPr="00876251" w:rsidRDefault="00D91D0B" w:rsidP="002D5CBF">
      <w:pPr>
        <w:spacing w:before="0"/>
        <w:rPr>
          <w:color w:val="000000" w:themeColor="text1"/>
        </w:rPr>
      </w:pPr>
      <w:r w:rsidRPr="00876251">
        <w:rPr>
          <w:color w:val="000000" w:themeColor="text1"/>
        </w:rPr>
        <w:t>Kontrolní akce byla zařazena do plánu kontrolní činnosti Nejvyššího kontrolního úřadu (dále jen „NKÚ“) na rok 201</w:t>
      </w:r>
      <w:r w:rsidR="00B17732">
        <w:rPr>
          <w:color w:val="000000" w:themeColor="text1"/>
        </w:rPr>
        <w:t>8</w:t>
      </w:r>
      <w:r w:rsidRPr="00876251">
        <w:rPr>
          <w:color w:val="000000" w:themeColor="text1"/>
        </w:rPr>
        <w:t xml:space="preserve"> pod číslem 1</w:t>
      </w:r>
      <w:r w:rsidR="00B17732">
        <w:rPr>
          <w:color w:val="000000" w:themeColor="text1"/>
        </w:rPr>
        <w:t>8</w:t>
      </w:r>
      <w:r w:rsidRPr="00876251">
        <w:rPr>
          <w:color w:val="000000" w:themeColor="text1"/>
        </w:rPr>
        <w:t>/</w:t>
      </w:r>
      <w:r w:rsidR="00B17732">
        <w:rPr>
          <w:color w:val="000000" w:themeColor="text1"/>
        </w:rPr>
        <w:t>08</w:t>
      </w:r>
      <w:r w:rsidRPr="00876251">
        <w:rPr>
          <w:color w:val="000000" w:themeColor="text1"/>
        </w:rPr>
        <w:t>. Kontrolní akci řídil a kontrolní závěr vypracoval člen</w:t>
      </w:r>
      <w:r w:rsidR="005A01EC">
        <w:rPr>
          <w:color w:val="000000" w:themeColor="text1"/>
        </w:rPr>
        <w:t> </w:t>
      </w:r>
      <w:r w:rsidRPr="00876251">
        <w:rPr>
          <w:color w:val="000000" w:themeColor="text1"/>
        </w:rPr>
        <w:t>NKÚ Ing.</w:t>
      </w:r>
      <w:r w:rsidR="00B17732">
        <w:rPr>
          <w:color w:val="000000" w:themeColor="text1"/>
        </w:rPr>
        <w:t xml:space="preserve"> Josef Kubíček</w:t>
      </w:r>
      <w:r w:rsidRPr="00876251">
        <w:rPr>
          <w:color w:val="000000" w:themeColor="text1"/>
        </w:rPr>
        <w:t>.</w:t>
      </w:r>
    </w:p>
    <w:p w14:paraId="2129A000" w14:textId="77777777" w:rsidR="00876251" w:rsidRDefault="00876251" w:rsidP="002D5CBF">
      <w:pPr>
        <w:spacing w:before="0"/>
        <w:rPr>
          <w:color w:val="000000" w:themeColor="text1"/>
        </w:rPr>
      </w:pPr>
    </w:p>
    <w:p w14:paraId="54EBED40" w14:textId="77777777" w:rsidR="004F24F4" w:rsidRDefault="00D91D0B" w:rsidP="002D5CBF">
      <w:pPr>
        <w:spacing w:before="0"/>
        <w:rPr>
          <w:color w:val="000000" w:themeColor="text1"/>
        </w:rPr>
      </w:pPr>
      <w:r w:rsidRPr="00876251">
        <w:rPr>
          <w:color w:val="000000" w:themeColor="text1"/>
        </w:rPr>
        <w:t xml:space="preserve">Cílem kontroly bylo </w:t>
      </w:r>
      <w:r w:rsidR="008903DB">
        <w:rPr>
          <w:color w:val="000000" w:themeColor="text1"/>
        </w:rPr>
        <w:t xml:space="preserve">prověřit systém řízení a poskytování podpory v sektoru živočišné výroby včetně stanovení strategických cílů a prověřit, zda poskytnuté peněžní prostředky přispívají k dosažení předpokládaných přínosů a účinků. </w:t>
      </w:r>
    </w:p>
    <w:p w14:paraId="79F99480" w14:textId="77777777" w:rsidR="00876251" w:rsidRPr="00876251" w:rsidRDefault="00876251" w:rsidP="002D5CBF">
      <w:pPr>
        <w:spacing w:before="0"/>
        <w:rPr>
          <w:color w:val="000000" w:themeColor="text1"/>
        </w:rPr>
      </w:pPr>
    </w:p>
    <w:p w14:paraId="76C2F40C" w14:textId="77777777" w:rsidR="004F24F4" w:rsidRDefault="00D91D0B" w:rsidP="002D5CBF">
      <w:pPr>
        <w:spacing w:before="0"/>
        <w:rPr>
          <w:color w:val="000000" w:themeColor="text1"/>
        </w:rPr>
      </w:pPr>
      <w:r w:rsidRPr="00876251">
        <w:rPr>
          <w:color w:val="000000" w:themeColor="text1"/>
        </w:rPr>
        <w:t xml:space="preserve">Kontrola byla prováděna u kontrolovaných osob v období od </w:t>
      </w:r>
      <w:r w:rsidR="00B17732">
        <w:rPr>
          <w:color w:val="000000" w:themeColor="text1"/>
        </w:rPr>
        <w:t>března</w:t>
      </w:r>
      <w:r w:rsidRPr="00876251">
        <w:rPr>
          <w:color w:val="000000" w:themeColor="text1"/>
        </w:rPr>
        <w:t xml:space="preserve"> do </w:t>
      </w:r>
      <w:r w:rsidR="00B17732">
        <w:rPr>
          <w:color w:val="000000" w:themeColor="text1"/>
        </w:rPr>
        <w:t>října</w:t>
      </w:r>
      <w:r w:rsidRPr="00876251">
        <w:rPr>
          <w:color w:val="000000" w:themeColor="text1"/>
        </w:rPr>
        <w:t xml:space="preserve"> 2018. </w:t>
      </w:r>
    </w:p>
    <w:p w14:paraId="301972D0" w14:textId="77777777" w:rsidR="00876251" w:rsidRPr="00876251" w:rsidRDefault="00876251" w:rsidP="002D5CBF">
      <w:pPr>
        <w:spacing w:before="0"/>
        <w:rPr>
          <w:color w:val="000000" w:themeColor="text1"/>
        </w:rPr>
      </w:pPr>
    </w:p>
    <w:p w14:paraId="5B56522E" w14:textId="77777777" w:rsidR="004F24F4" w:rsidRDefault="00D91D0B" w:rsidP="002D5CBF">
      <w:pPr>
        <w:spacing w:before="0"/>
        <w:rPr>
          <w:color w:val="000000" w:themeColor="text1"/>
        </w:rPr>
      </w:pPr>
      <w:r w:rsidRPr="00876251">
        <w:rPr>
          <w:color w:val="000000" w:themeColor="text1"/>
        </w:rPr>
        <w:t>Kontrolovaným obdobím byly roky 2014 až 2017, v případě věcných souvislostí i období předcházející a následující.</w:t>
      </w:r>
    </w:p>
    <w:p w14:paraId="199B8688" w14:textId="77777777" w:rsidR="00876251" w:rsidRPr="00876251" w:rsidRDefault="00876251" w:rsidP="002D5CBF">
      <w:pPr>
        <w:spacing w:before="0"/>
        <w:rPr>
          <w:color w:val="000000" w:themeColor="text1"/>
        </w:rPr>
      </w:pPr>
    </w:p>
    <w:p w14:paraId="58BC1394" w14:textId="77777777" w:rsidR="002154A9" w:rsidRDefault="00D91D0B" w:rsidP="002D5CBF">
      <w:pPr>
        <w:widowControl w:val="0"/>
        <w:autoSpaceDE w:val="0"/>
        <w:autoSpaceDN w:val="0"/>
        <w:adjustRightInd w:val="0"/>
        <w:spacing w:before="0"/>
      </w:pPr>
      <w:r w:rsidRPr="00876251">
        <w:rPr>
          <w:b/>
          <w:color w:val="000000" w:themeColor="text1"/>
        </w:rPr>
        <w:t>Kontrolované osoby:</w:t>
      </w:r>
      <w:r w:rsidRPr="00876251">
        <w:rPr>
          <w:b/>
          <w:color w:val="000000" w:themeColor="text1"/>
        </w:rPr>
        <w:cr/>
      </w:r>
      <w:r w:rsidR="00ED1175" w:rsidRPr="00ED1175">
        <w:t xml:space="preserve">Ministerstvo zemědělství (dále též „MZe“); </w:t>
      </w:r>
    </w:p>
    <w:p w14:paraId="62051EC7" w14:textId="77777777" w:rsidR="002154A9" w:rsidRDefault="00ED1175" w:rsidP="002D5CBF">
      <w:pPr>
        <w:widowControl w:val="0"/>
        <w:autoSpaceDE w:val="0"/>
        <w:autoSpaceDN w:val="0"/>
        <w:adjustRightInd w:val="0"/>
        <w:spacing w:before="0"/>
      </w:pPr>
      <w:r w:rsidRPr="00ED1175">
        <w:t xml:space="preserve">Státní zemědělský intervenční fond, Praha (dále též „SZIF“); </w:t>
      </w:r>
    </w:p>
    <w:p w14:paraId="377BBE18" w14:textId="77777777" w:rsidR="002154A9" w:rsidRDefault="00ED1175" w:rsidP="002D5CBF">
      <w:pPr>
        <w:widowControl w:val="0"/>
        <w:autoSpaceDE w:val="0"/>
        <w:autoSpaceDN w:val="0"/>
        <w:adjustRightInd w:val="0"/>
        <w:spacing w:before="0"/>
      </w:pPr>
      <w:r w:rsidRPr="00ED1175">
        <w:t>S</w:t>
      </w:r>
      <w:r w:rsidR="00873EF1">
        <w:t xml:space="preserve">ELMA a.s., Jihlava; </w:t>
      </w:r>
    </w:p>
    <w:p w14:paraId="40A4D28C" w14:textId="77777777" w:rsidR="002154A9" w:rsidRDefault="00873EF1" w:rsidP="002D5CBF">
      <w:pPr>
        <w:widowControl w:val="0"/>
        <w:autoSpaceDE w:val="0"/>
        <w:autoSpaceDN w:val="0"/>
        <w:adjustRightInd w:val="0"/>
        <w:spacing w:before="0"/>
      </w:pPr>
      <w:r>
        <w:t xml:space="preserve">PROVEM a.s. </w:t>
      </w:r>
      <w:r w:rsidR="00ED1175" w:rsidRPr="00ED1175">
        <w:t>Havlíčkův Brod</w:t>
      </w:r>
      <w:r w:rsidR="003412AD">
        <w:t>, Kojetín</w:t>
      </w:r>
      <w:r w:rsidR="00ED1175" w:rsidRPr="00ED1175">
        <w:t xml:space="preserve">; </w:t>
      </w:r>
    </w:p>
    <w:p w14:paraId="7E84BE62" w14:textId="0BB883CC" w:rsidR="00ED1175" w:rsidRPr="00ED1175" w:rsidRDefault="00ED1175" w:rsidP="002D5CBF">
      <w:pPr>
        <w:widowControl w:val="0"/>
        <w:autoSpaceDE w:val="0"/>
        <w:autoSpaceDN w:val="0"/>
        <w:adjustRightInd w:val="0"/>
        <w:spacing w:before="0"/>
      </w:pPr>
      <w:r w:rsidRPr="00ED1175">
        <w:t>LIPRA PORK a.s., Rovensko pod Troskami.</w:t>
      </w:r>
    </w:p>
    <w:p w14:paraId="4588B188" w14:textId="77777777" w:rsidR="00ED1175" w:rsidRPr="00ED1175" w:rsidRDefault="00ED1175" w:rsidP="002D5CBF">
      <w:pPr>
        <w:widowControl w:val="0"/>
        <w:autoSpaceDE w:val="0"/>
        <w:autoSpaceDN w:val="0"/>
        <w:adjustRightInd w:val="0"/>
        <w:spacing w:before="0"/>
      </w:pPr>
    </w:p>
    <w:p w14:paraId="280F9908" w14:textId="0D6ECC07" w:rsidR="00ED1175" w:rsidRPr="00ED1175" w:rsidRDefault="00ED1175" w:rsidP="002D5CBF">
      <w:pPr>
        <w:widowControl w:val="0"/>
        <w:autoSpaceDE w:val="0"/>
        <w:autoSpaceDN w:val="0"/>
        <w:adjustRightInd w:val="0"/>
        <w:spacing w:before="0"/>
      </w:pPr>
      <w:r w:rsidRPr="00ED1175">
        <w:t>Námitky proti kontrolnímu protokolu, které podal</w:t>
      </w:r>
      <w:r w:rsidR="0089593B">
        <w:t>y</w:t>
      </w:r>
      <w:r w:rsidRPr="00ED1175">
        <w:t xml:space="preserve"> Ministerstvo zemědělství a Státní zemědělský intervenční fond, byly vypořádány vedoucími skupin kontrolujících rozhodnutími o námitkách. Odvolání proti rozhodnutí</w:t>
      </w:r>
      <w:r w:rsidR="0089593B">
        <w:t>m</w:t>
      </w:r>
      <w:r w:rsidRPr="00ED1175">
        <w:t xml:space="preserve"> o námitkách podal</w:t>
      </w:r>
      <w:r w:rsidR="0089593B">
        <w:t>y</w:t>
      </w:r>
      <w:r w:rsidRPr="00ED1175">
        <w:t xml:space="preserve"> Ministerstvo zemědělství a</w:t>
      </w:r>
      <w:r w:rsidR="0089593B">
        <w:t> </w:t>
      </w:r>
      <w:r w:rsidRPr="00ED1175">
        <w:t>Státní zemědělský intervenční fond a byl</w:t>
      </w:r>
      <w:r w:rsidR="0089593B">
        <w:t>y</w:t>
      </w:r>
      <w:r w:rsidRPr="00ED1175">
        <w:t xml:space="preserve"> vypořádán</w:t>
      </w:r>
      <w:r w:rsidR="0089593B">
        <w:t>y</w:t>
      </w:r>
      <w:r w:rsidRPr="00ED1175">
        <w:t xml:space="preserve"> usnes</w:t>
      </w:r>
      <w:r w:rsidR="00FF43BB">
        <w:t>eními Kolegia NKÚ č.</w:t>
      </w:r>
      <w:r w:rsidR="0089593B">
        <w:t> </w:t>
      </w:r>
      <w:r w:rsidR="00FF43BB">
        <w:t>9/I/2019 a </w:t>
      </w:r>
      <w:r w:rsidRPr="00ED1175">
        <w:t>10/I/2019 ze dne 21. ledna 2019.</w:t>
      </w:r>
    </w:p>
    <w:p w14:paraId="796E8D96" w14:textId="77777777" w:rsidR="004F24F4" w:rsidRPr="00876251" w:rsidRDefault="004F24F4" w:rsidP="00ED1175">
      <w:pPr>
        <w:spacing w:before="0"/>
        <w:rPr>
          <w:color w:val="000000" w:themeColor="text1"/>
        </w:rPr>
      </w:pPr>
    </w:p>
    <w:p w14:paraId="213AB0D9" w14:textId="77777777" w:rsidR="004F24F4" w:rsidRDefault="004F24F4" w:rsidP="00876251">
      <w:pPr>
        <w:spacing w:before="0"/>
        <w:rPr>
          <w:color w:val="000000" w:themeColor="text1"/>
        </w:rPr>
      </w:pPr>
    </w:p>
    <w:p w14:paraId="639F4A53" w14:textId="77777777" w:rsidR="004F24F4" w:rsidRPr="003E5848" w:rsidRDefault="00D91D0B" w:rsidP="002D5CBF">
      <w:pPr>
        <w:spacing w:before="0" w:line="360" w:lineRule="auto"/>
        <w:rPr>
          <w:color w:val="000000" w:themeColor="text1"/>
        </w:rPr>
      </w:pPr>
      <w:r w:rsidRPr="00876251">
        <w:rPr>
          <w:b/>
          <w:i/>
          <w:color w:val="000000" w:themeColor="text1"/>
          <w:spacing w:val="40"/>
        </w:rPr>
        <w:t>Kolegium</w:t>
      </w:r>
      <w:r w:rsidRPr="00876251">
        <w:rPr>
          <w:b/>
          <w:i/>
          <w:color w:val="000000" w:themeColor="text1"/>
        </w:rPr>
        <w:t xml:space="preserve">   </w:t>
      </w:r>
      <w:r w:rsidRPr="00876251">
        <w:rPr>
          <w:b/>
          <w:i/>
          <w:color w:val="000000" w:themeColor="text1"/>
          <w:spacing w:val="40"/>
        </w:rPr>
        <w:t>NKÚ</w:t>
      </w:r>
      <w:r w:rsidRPr="00876251">
        <w:rPr>
          <w:b/>
          <w:i/>
          <w:color w:val="000000" w:themeColor="text1"/>
        </w:rPr>
        <w:t xml:space="preserve">   </w:t>
      </w:r>
      <w:r w:rsidRPr="00876251">
        <w:rPr>
          <w:color w:val="000000" w:themeColor="text1"/>
        </w:rPr>
        <w:t xml:space="preserve">na svém </w:t>
      </w:r>
      <w:r w:rsidR="003E5848">
        <w:rPr>
          <w:color w:val="000000" w:themeColor="text1"/>
        </w:rPr>
        <w:t>IV</w:t>
      </w:r>
      <w:r w:rsidRPr="003E5848">
        <w:rPr>
          <w:color w:val="000000" w:themeColor="text1"/>
        </w:rPr>
        <w:t xml:space="preserve">. jednání, které se konalo dne </w:t>
      </w:r>
      <w:r w:rsidR="003E5848">
        <w:rPr>
          <w:color w:val="000000" w:themeColor="text1"/>
        </w:rPr>
        <w:t>25. března</w:t>
      </w:r>
      <w:r w:rsidR="000C057F" w:rsidRPr="003E5848">
        <w:rPr>
          <w:color w:val="000000" w:themeColor="text1"/>
        </w:rPr>
        <w:t xml:space="preserve"> </w:t>
      </w:r>
      <w:r w:rsidRPr="003E5848">
        <w:rPr>
          <w:color w:val="000000" w:themeColor="text1"/>
        </w:rPr>
        <w:t>201</w:t>
      </w:r>
      <w:r w:rsidR="000C057F" w:rsidRPr="003E5848">
        <w:rPr>
          <w:color w:val="000000" w:themeColor="text1"/>
        </w:rPr>
        <w:t>9</w:t>
      </w:r>
      <w:r w:rsidRPr="003E5848">
        <w:rPr>
          <w:color w:val="000000" w:themeColor="text1"/>
        </w:rPr>
        <w:t>,</w:t>
      </w:r>
    </w:p>
    <w:p w14:paraId="70F335A8" w14:textId="77777777" w:rsidR="004F24F4" w:rsidRPr="00876251" w:rsidRDefault="00D91D0B" w:rsidP="002D5CBF">
      <w:pPr>
        <w:spacing w:before="0" w:line="360" w:lineRule="auto"/>
        <w:rPr>
          <w:color w:val="000000" w:themeColor="text1"/>
        </w:rPr>
      </w:pPr>
      <w:r w:rsidRPr="003E5848">
        <w:rPr>
          <w:b/>
          <w:i/>
          <w:color w:val="000000" w:themeColor="text1"/>
          <w:spacing w:val="40"/>
        </w:rPr>
        <w:t>schválilo</w:t>
      </w:r>
      <w:r w:rsidRPr="003E5848">
        <w:rPr>
          <w:b/>
          <w:i/>
          <w:color w:val="000000" w:themeColor="text1"/>
        </w:rPr>
        <w:t xml:space="preserve">   </w:t>
      </w:r>
      <w:r w:rsidRPr="003E5848">
        <w:rPr>
          <w:color w:val="000000" w:themeColor="text1"/>
        </w:rPr>
        <w:t xml:space="preserve">usnesením č. </w:t>
      </w:r>
      <w:r w:rsidR="00D431AE">
        <w:rPr>
          <w:color w:val="000000" w:themeColor="text1"/>
        </w:rPr>
        <w:t>8</w:t>
      </w:r>
      <w:r w:rsidR="003E5848">
        <w:rPr>
          <w:color w:val="000000" w:themeColor="text1"/>
        </w:rPr>
        <w:t>/IV</w:t>
      </w:r>
      <w:r w:rsidRPr="003E5848">
        <w:rPr>
          <w:color w:val="000000" w:themeColor="text1"/>
        </w:rPr>
        <w:t>/201</w:t>
      </w:r>
      <w:r w:rsidR="000C057F" w:rsidRPr="003E5848">
        <w:rPr>
          <w:color w:val="000000" w:themeColor="text1"/>
        </w:rPr>
        <w:t>9</w:t>
      </w:r>
    </w:p>
    <w:p w14:paraId="3D5E5043" w14:textId="77777777" w:rsidR="004F24F4" w:rsidRDefault="00D91D0B" w:rsidP="002D5CBF">
      <w:pPr>
        <w:spacing w:before="0" w:line="360" w:lineRule="auto"/>
      </w:pPr>
      <w:r w:rsidRPr="00E61CB6">
        <w:rPr>
          <w:b/>
          <w:i/>
          <w:color w:val="000000" w:themeColor="text1"/>
          <w:spacing w:val="40"/>
        </w:rPr>
        <w:t>kontrolní</w:t>
      </w:r>
      <w:r w:rsidRPr="00876251">
        <w:rPr>
          <w:color w:val="000000" w:themeColor="text1"/>
        </w:rPr>
        <w:t xml:space="preserve">   </w:t>
      </w:r>
      <w:r w:rsidRPr="00E61CB6">
        <w:rPr>
          <w:b/>
          <w:i/>
          <w:color w:val="000000" w:themeColor="text1"/>
          <w:spacing w:val="40"/>
        </w:rPr>
        <w:t>závěr</w:t>
      </w:r>
      <w:r w:rsidRPr="00876251">
        <w:rPr>
          <w:color w:val="000000" w:themeColor="text1"/>
        </w:rPr>
        <w:t xml:space="preserve">   v tomto znění:</w:t>
      </w:r>
    </w:p>
    <w:p w14:paraId="6639F946" w14:textId="5D6A2FBE" w:rsidR="00195A37" w:rsidRDefault="00195A37" w:rsidP="00195A37">
      <w:pPr>
        <w:spacing w:before="0"/>
        <w:jc w:val="left"/>
        <w:rPr>
          <w:b/>
          <w:sz w:val="28"/>
        </w:rPr>
      </w:pPr>
      <w:r>
        <w:rPr>
          <w:b/>
          <w:sz w:val="28"/>
        </w:rPr>
        <w:br w:type="page"/>
      </w:r>
    </w:p>
    <w:p w14:paraId="591CD196" w14:textId="5642B705" w:rsidR="00B65F84" w:rsidRDefault="004D1A47">
      <w:pPr>
        <w:spacing w:before="0"/>
        <w:jc w:val="left"/>
        <w:rPr>
          <w:b/>
          <w:sz w:val="28"/>
        </w:rPr>
      </w:pPr>
      <w:r w:rsidRPr="004D1A47">
        <w:rPr>
          <w:b/>
          <w:noProof/>
          <w:sz w:val="28"/>
          <w:lang w:eastAsia="cs-CZ"/>
        </w:rPr>
        <w:lastRenderedPageBreak/>
        <w:drawing>
          <wp:anchor distT="0" distB="0" distL="114300" distR="114300" simplePos="0" relativeHeight="251663360" behindDoc="0" locked="0" layoutInCell="1" allowOverlap="1" wp14:anchorId="073074B0" wp14:editId="58AF59F8">
            <wp:simplePos x="0" y="0"/>
            <wp:positionH relativeFrom="margin">
              <wp:posOffset>0</wp:posOffset>
            </wp:positionH>
            <wp:positionV relativeFrom="paragraph">
              <wp:posOffset>-15149</wp:posOffset>
            </wp:positionV>
            <wp:extent cx="5759145" cy="9013371"/>
            <wp:effectExtent l="0" t="0" r="0" b="0"/>
            <wp:wrapNone/>
            <wp:docPr id="5" name="Obrázek 5" descr="C:\Users\ZUZANKOVA\AppData\Local\Microsoft\Windows\INetCache\Content.Outlook\T9IY2SGR\18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ZANKOVA\AppData\Local\Microsoft\Windows\INetCache\Content.Outlook\T9IY2SGR\18_08.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874" t="5118" r="9155" b="2850"/>
                    <a:stretch/>
                  </pic:blipFill>
                  <pic:spPr bwMode="auto">
                    <a:xfrm>
                      <a:off x="0" y="0"/>
                      <a:ext cx="5759145" cy="9013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5F84">
        <w:rPr>
          <w:b/>
          <w:sz w:val="28"/>
        </w:rPr>
        <w:br w:type="page"/>
      </w:r>
    </w:p>
    <w:p w14:paraId="41A15B8E" w14:textId="77777777" w:rsidR="004F24F4" w:rsidRPr="00665C11" w:rsidRDefault="009E560F" w:rsidP="00665C11">
      <w:pPr>
        <w:spacing w:before="0"/>
        <w:ind w:left="357"/>
        <w:jc w:val="center"/>
        <w:outlineLvl w:val="0"/>
        <w:rPr>
          <w:b/>
          <w:sz w:val="28"/>
        </w:rPr>
      </w:pPr>
      <w:r w:rsidRPr="00665C11">
        <w:rPr>
          <w:b/>
          <w:sz w:val="28"/>
        </w:rPr>
        <w:lastRenderedPageBreak/>
        <w:t xml:space="preserve">I. </w:t>
      </w:r>
      <w:r w:rsidR="00D91D0B" w:rsidRPr="00665C11">
        <w:rPr>
          <w:b/>
          <w:sz w:val="28"/>
        </w:rPr>
        <w:t>Shrnutí a vyhodnocení</w:t>
      </w:r>
    </w:p>
    <w:p w14:paraId="66423E49" w14:textId="77777777" w:rsidR="00665C11" w:rsidRPr="009E560F" w:rsidRDefault="00665C11" w:rsidP="002D5CBF">
      <w:pPr>
        <w:spacing w:before="0"/>
      </w:pPr>
    </w:p>
    <w:p w14:paraId="165C5F59" w14:textId="0F8FE204" w:rsidR="00AD22FC" w:rsidRPr="00E0678B" w:rsidRDefault="00AD22FC" w:rsidP="002D5CBF">
      <w:pPr>
        <w:spacing w:before="0"/>
        <w:rPr>
          <w:color w:val="000000" w:themeColor="text1"/>
        </w:rPr>
      </w:pPr>
      <w:r w:rsidRPr="00E00E80">
        <w:t xml:space="preserve">NKÚ </w:t>
      </w:r>
      <w:r>
        <w:rPr>
          <w:color w:val="000000" w:themeColor="text1"/>
        </w:rPr>
        <w:t xml:space="preserve">prověřil systém řízení a poskytování peněžních prostředků </w:t>
      </w:r>
      <w:r w:rsidR="006C5E55">
        <w:rPr>
          <w:color w:val="000000" w:themeColor="text1"/>
        </w:rPr>
        <w:t>státního rozpočtu</w:t>
      </w:r>
      <w:r>
        <w:rPr>
          <w:color w:val="000000" w:themeColor="text1"/>
        </w:rPr>
        <w:t xml:space="preserve"> a Evropské unie (dále též „EU“) na podpory poskytované do živočišné výroby včetně</w:t>
      </w:r>
      <w:r w:rsidR="003412AD">
        <w:rPr>
          <w:color w:val="000000" w:themeColor="text1"/>
        </w:rPr>
        <w:t xml:space="preserve"> stanovení strategických cílů a </w:t>
      </w:r>
      <w:r>
        <w:rPr>
          <w:color w:val="000000" w:themeColor="text1"/>
        </w:rPr>
        <w:t>ověřil, zda poskytnuté peněžní prostředky přispívají k dosažení předpokládaných</w:t>
      </w:r>
      <w:r w:rsidR="003412AD">
        <w:rPr>
          <w:color w:val="000000" w:themeColor="text1"/>
        </w:rPr>
        <w:t xml:space="preserve"> přínosů a </w:t>
      </w:r>
      <w:r>
        <w:rPr>
          <w:color w:val="000000" w:themeColor="text1"/>
        </w:rPr>
        <w:t xml:space="preserve">účinků. </w:t>
      </w:r>
      <w:r>
        <w:t>Za tímto účelem posoudil</w:t>
      </w:r>
      <w:r w:rsidR="00CF1559">
        <w:t xml:space="preserve"> poskytování dotací ze státního rozpočtu (dále též „národní dotace“), </w:t>
      </w:r>
      <w:r w:rsidR="00CF797C" w:rsidRPr="0071578F">
        <w:rPr>
          <w:i/>
        </w:rPr>
        <w:t>Program</w:t>
      </w:r>
      <w:r w:rsidR="00CF1559" w:rsidRPr="0071578F">
        <w:rPr>
          <w:i/>
        </w:rPr>
        <w:t>u</w:t>
      </w:r>
      <w:r w:rsidR="00CF797C" w:rsidRPr="0071578F">
        <w:rPr>
          <w:i/>
        </w:rPr>
        <w:t xml:space="preserve"> ro</w:t>
      </w:r>
      <w:r w:rsidR="00FA6BEC" w:rsidRPr="0071578F">
        <w:rPr>
          <w:i/>
        </w:rPr>
        <w:t>zvoje venkova ČR na období 2007–</w:t>
      </w:r>
      <w:r w:rsidR="00CF797C" w:rsidRPr="0071578F">
        <w:rPr>
          <w:i/>
        </w:rPr>
        <w:t>2013</w:t>
      </w:r>
      <w:r w:rsidR="00CF797C">
        <w:t xml:space="preserve"> (dále jen „PRV 07-13“), </w:t>
      </w:r>
      <w:r w:rsidR="00CF797C" w:rsidRPr="0071578F">
        <w:rPr>
          <w:i/>
        </w:rPr>
        <w:t>Program</w:t>
      </w:r>
      <w:r w:rsidR="00CF1559" w:rsidRPr="0071578F">
        <w:rPr>
          <w:i/>
        </w:rPr>
        <w:t>u</w:t>
      </w:r>
      <w:r w:rsidR="00CF797C" w:rsidRPr="0071578F">
        <w:rPr>
          <w:i/>
        </w:rPr>
        <w:t xml:space="preserve"> rozv</w:t>
      </w:r>
      <w:r w:rsidR="00FA6BEC" w:rsidRPr="0071578F">
        <w:rPr>
          <w:i/>
        </w:rPr>
        <w:t>oje venkova ČR na období 2014–</w:t>
      </w:r>
      <w:r w:rsidR="00CF797C" w:rsidRPr="0071578F">
        <w:rPr>
          <w:i/>
        </w:rPr>
        <w:t>2020</w:t>
      </w:r>
      <w:r w:rsidR="00CF797C">
        <w:t xml:space="preserve"> (dále jen </w:t>
      </w:r>
      <w:r w:rsidR="002154A9">
        <w:br/>
      </w:r>
      <w:r w:rsidR="00CF797C">
        <w:t>„PRV 14</w:t>
      </w:r>
      <w:r w:rsidR="004E4CFF">
        <w:t>-</w:t>
      </w:r>
      <w:r w:rsidR="00CF797C">
        <w:t>20“)</w:t>
      </w:r>
      <w:r>
        <w:t>, dále přímých plateb a mimořádných podpor směřujících do sektoru živočišné výroby. Zaměřil se na nastavení podmínek těchto podpor, říd</w:t>
      </w:r>
      <w:r w:rsidR="00000596">
        <w:t>i</w:t>
      </w:r>
      <w:r>
        <w:t xml:space="preserve">cí a kontrolní činnost MZe a SZIF a dále na spolehlivost monitorování a hodnocení dopadů poskytovaných podpor. </w:t>
      </w:r>
      <w:r w:rsidR="00636978">
        <w:t xml:space="preserve">NKÚ </w:t>
      </w:r>
      <w:r>
        <w:t>prověřil žádosti o dotac</w:t>
      </w:r>
      <w:r w:rsidR="002154A9">
        <w:t>e</w:t>
      </w:r>
      <w:r>
        <w:t xml:space="preserve"> v celkovém objemu </w:t>
      </w:r>
      <w:r w:rsidR="001B4C1F">
        <w:t>1,2 miliard</w:t>
      </w:r>
      <w:r>
        <w:t xml:space="preserve"> Kč a provedl kontrolu u tří příjemců dotací. </w:t>
      </w:r>
    </w:p>
    <w:p w14:paraId="70C2913A" w14:textId="77777777" w:rsidR="00AD22FC" w:rsidRPr="003C22DD" w:rsidRDefault="00AD22FC" w:rsidP="002D5CBF">
      <w:pPr>
        <w:spacing w:before="0"/>
      </w:pPr>
    </w:p>
    <w:p w14:paraId="734A4B3D" w14:textId="77777777" w:rsidR="00AD22FC" w:rsidRDefault="00AD22FC" w:rsidP="002D5CBF">
      <w:pPr>
        <w:spacing w:before="0"/>
        <w:rPr>
          <w:b/>
        </w:rPr>
      </w:pPr>
      <w:r>
        <w:rPr>
          <w:b/>
        </w:rPr>
        <w:t>Celkové vyhodnocení</w:t>
      </w:r>
    </w:p>
    <w:p w14:paraId="04355607" w14:textId="77777777" w:rsidR="002D5CBF" w:rsidRDefault="002D5CBF" w:rsidP="002D5CBF">
      <w:pPr>
        <w:spacing w:before="0"/>
        <w:rPr>
          <w:b/>
        </w:rPr>
      </w:pPr>
    </w:p>
    <w:p w14:paraId="0D320F8E" w14:textId="77777777" w:rsidR="006B13B5" w:rsidRDefault="00F96568" w:rsidP="002D5CBF">
      <w:pPr>
        <w:spacing w:before="0"/>
      </w:pPr>
      <w:r>
        <w:rPr>
          <w:b/>
        </w:rPr>
        <w:t>Česká republika patří k</w:t>
      </w:r>
      <w:r w:rsidR="006B13B5">
        <w:rPr>
          <w:b/>
        </w:rPr>
        <w:t> </w:t>
      </w:r>
      <w:r>
        <w:rPr>
          <w:b/>
        </w:rPr>
        <w:t xml:space="preserve">zemím Evropské unie, které </w:t>
      </w:r>
      <w:r w:rsidR="00D431AE">
        <w:rPr>
          <w:b/>
        </w:rPr>
        <w:t>významně</w:t>
      </w:r>
      <w:r>
        <w:rPr>
          <w:b/>
        </w:rPr>
        <w:t xml:space="preserve"> dotují živočišnou výrobu. </w:t>
      </w:r>
      <w:r w:rsidR="006B13B5">
        <w:rPr>
          <w:b/>
        </w:rPr>
        <w:t>Do</w:t>
      </w:r>
      <w:r w:rsidR="004E310E">
        <w:rPr>
          <w:b/>
        </w:rPr>
        <w:t xml:space="preserve"> tohoto</w:t>
      </w:r>
      <w:r w:rsidR="006B13B5">
        <w:rPr>
          <w:b/>
        </w:rPr>
        <w:t xml:space="preserve"> sektoru směřuje velké </w:t>
      </w:r>
      <w:r w:rsidR="006B13B5" w:rsidRPr="00BA7649">
        <w:rPr>
          <w:b/>
        </w:rPr>
        <w:t>množství</w:t>
      </w:r>
      <w:r w:rsidR="006B13B5">
        <w:rPr>
          <w:b/>
        </w:rPr>
        <w:t xml:space="preserve"> různorodých</w:t>
      </w:r>
      <w:r w:rsidR="006B13B5" w:rsidRPr="00BA7649">
        <w:rPr>
          <w:b/>
        </w:rPr>
        <w:t xml:space="preserve"> </w:t>
      </w:r>
      <w:r w:rsidR="006B13B5">
        <w:rPr>
          <w:b/>
        </w:rPr>
        <w:t>podpor</w:t>
      </w:r>
      <w:r w:rsidR="006B13B5" w:rsidRPr="00BA7649">
        <w:rPr>
          <w:b/>
        </w:rPr>
        <w:t xml:space="preserve"> </w:t>
      </w:r>
      <w:r w:rsidR="006B13B5">
        <w:rPr>
          <w:b/>
        </w:rPr>
        <w:t>a dotací s významným finančním objemem. Tyto p</w:t>
      </w:r>
      <w:r w:rsidR="001343CA">
        <w:rPr>
          <w:b/>
        </w:rPr>
        <w:t xml:space="preserve">odpory jsou poskytovány </w:t>
      </w:r>
      <w:r w:rsidR="0038632F" w:rsidRPr="00BA7649">
        <w:rPr>
          <w:b/>
        </w:rPr>
        <w:t>jak z</w:t>
      </w:r>
      <w:r w:rsidR="00A21C93">
        <w:rPr>
          <w:b/>
        </w:rPr>
        <w:t> </w:t>
      </w:r>
      <w:r w:rsidR="0038632F" w:rsidRPr="00BA7649">
        <w:rPr>
          <w:b/>
        </w:rPr>
        <w:t>národních</w:t>
      </w:r>
      <w:r w:rsidR="00A21C93">
        <w:rPr>
          <w:b/>
        </w:rPr>
        <w:t>,</w:t>
      </w:r>
      <w:r w:rsidR="0038632F" w:rsidRPr="00BA7649">
        <w:rPr>
          <w:b/>
        </w:rPr>
        <w:t xml:space="preserve"> tak z evropských zdrojů.</w:t>
      </w:r>
      <w:r w:rsidR="00E31795">
        <w:t xml:space="preserve"> </w:t>
      </w:r>
    </w:p>
    <w:p w14:paraId="548B793A" w14:textId="77777777" w:rsidR="002D5CBF" w:rsidRDefault="002D5CBF" w:rsidP="002D5CBF">
      <w:pPr>
        <w:spacing w:before="0"/>
        <w:rPr>
          <w:b/>
        </w:rPr>
      </w:pPr>
    </w:p>
    <w:p w14:paraId="05B67A38" w14:textId="1DDE76BE" w:rsidR="00075BFC" w:rsidRDefault="00A21C93" w:rsidP="002D5CBF">
      <w:pPr>
        <w:spacing w:before="0"/>
        <w:rPr>
          <w:b/>
        </w:rPr>
      </w:pPr>
      <w:r>
        <w:rPr>
          <w:b/>
        </w:rPr>
        <w:t xml:space="preserve">Významné </w:t>
      </w:r>
      <w:r w:rsidR="00BA7649">
        <w:rPr>
          <w:b/>
        </w:rPr>
        <w:t>nedostatky</w:t>
      </w:r>
      <w:r>
        <w:rPr>
          <w:b/>
        </w:rPr>
        <w:t xml:space="preserve"> </w:t>
      </w:r>
      <w:r w:rsidR="00BA7649">
        <w:rPr>
          <w:b/>
        </w:rPr>
        <w:t>byly</w:t>
      </w:r>
      <w:r w:rsidR="004E310E">
        <w:rPr>
          <w:b/>
        </w:rPr>
        <w:t xml:space="preserve"> kontrolou</w:t>
      </w:r>
      <w:r w:rsidR="00BA7649">
        <w:rPr>
          <w:b/>
        </w:rPr>
        <w:t xml:space="preserve"> </w:t>
      </w:r>
      <w:r w:rsidR="004E310E">
        <w:rPr>
          <w:b/>
        </w:rPr>
        <w:t>zjištěny</w:t>
      </w:r>
      <w:r w:rsidR="00BA7649">
        <w:rPr>
          <w:b/>
        </w:rPr>
        <w:t xml:space="preserve"> u národních dotací</w:t>
      </w:r>
      <w:r w:rsidR="00D81F25">
        <w:rPr>
          <w:b/>
        </w:rPr>
        <w:t xml:space="preserve">. </w:t>
      </w:r>
      <w:r w:rsidR="00CF1559">
        <w:rPr>
          <w:b/>
        </w:rPr>
        <w:t xml:space="preserve">MZe </w:t>
      </w:r>
      <w:r w:rsidR="004C7CAB">
        <w:rPr>
          <w:b/>
        </w:rPr>
        <w:t xml:space="preserve">u nich </w:t>
      </w:r>
      <w:r w:rsidR="00CF1559">
        <w:rPr>
          <w:b/>
        </w:rPr>
        <w:t xml:space="preserve">nastavilo </w:t>
      </w:r>
      <w:r w:rsidR="001343CA">
        <w:rPr>
          <w:b/>
        </w:rPr>
        <w:t xml:space="preserve">dotační </w:t>
      </w:r>
      <w:r w:rsidR="00D81F25">
        <w:rPr>
          <w:b/>
        </w:rPr>
        <w:t>podmínky a k</w:t>
      </w:r>
      <w:r w:rsidR="0038632F" w:rsidRPr="00583375">
        <w:rPr>
          <w:b/>
        </w:rPr>
        <w:t>ontrolní</w:t>
      </w:r>
      <w:r w:rsidR="0038632F">
        <w:rPr>
          <w:b/>
        </w:rPr>
        <w:t xml:space="preserve"> systém</w:t>
      </w:r>
      <w:r w:rsidR="00E31795">
        <w:rPr>
          <w:b/>
        </w:rPr>
        <w:t xml:space="preserve"> </w:t>
      </w:r>
      <w:r w:rsidR="00CF1559">
        <w:rPr>
          <w:b/>
        </w:rPr>
        <w:t xml:space="preserve">tak, že </w:t>
      </w:r>
      <w:r w:rsidR="00E31795">
        <w:rPr>
          <w:b/>
        </w:rPr>
        <w:t>vykazuj</w:t>
      </w:r>
      <w:r w:rsidR="0089593B">
        <w:rPr>
          <w:b/>
        </w:rPr>
        <w:t>í</w:t>
      </w:r>
      <w:r w:rsidR="0038632F">
        <w:rPr>
          <w:b/>
        </w:rPr>
        <w:t xml:space="preserve"> </w:t>
      </w:r>
      <w:r w:rsidR="0038632F" w:rsidRPr="006A18D2">
        <w:rPr>
          <w:b/>
        </w:rPr>
        <w:t>řadu zásadních nedostatků, které negativně ovlivňují účelnost a hospodárno</w:t>
      </w:r>
      <w:r w:rsidR="0038632F">
        <w:rPr>
          <w:b/>
        </w:rPr>
        <w:t>st vynakládaných</w:t>
      </w:r>
      <w:r w:rsidR="0038632F" w:rsidRPr="006A18D2">
        <w:rPr>
          <w:b/>
        </w:rPr>
        <w:t xml:space="preserve"> veřejných prostředků. </w:t>
      </w:r>
      <w:r w:rsidR="001343CA">
        <w:rPr>
          <w:b/>
        </w:rPr>
        <w:t xml:space="preserve">NKÚ zjistil </w:t>
      </w:r>
      <w:r w:rsidR="00E31795">
        <w:rPr>
          <w:b/>
        </w:rPr>
        <w:t>případy, kdy MZe příjemcům dotace</w:t>
      </w:r>
      <w:r w:rsidR="0038632F" w:rsidRPr="006A18D2">
        <w:rPr>
          <w:b/>
        </w:rPr>
        <w:t xml:space="preserve"> proplatilo výdaje, které nebyly dol</w:t>
      </w:r>
      <w:r w:rsidR="0038632F">
        <w:rPr>
          <w:b/>
        </w:rPr>
        <w:t>oženy fakturami nebo byly v rozporu s dotačními podmínkami.</w:t>
      </w:r>
      <w:r w:rsidR="00075BFC">
        <w:rPr>
          <w:b/>
        </w:rPr>
        <w:t xml:space="preserve"> </w:t>
      </w:r>
    </w:p>
    <w:p w14:paraId="447B6925" w14:textId="77777777" w:rsidR="002D5CBF" w:rsidRDefault="002D5CBF" w:rsidP="002D5CBF">
      <w:pPr>
        <w:spacing w:before="0"/>
        <w:rPr>
          <w:b/>
        </w:rPr>
      </w:pPr>
    </w:p>
    <w:p w14:paraId="4D7D9020" w14:textId="77777777" w:rsidR="0038632F" w:rsidRDefault="0015747C" w:rsidP="002D5CBF">
      <w:pPr>
        <w:spacing w:before="0"/>
        <w:rPr>
          <w:b/>
        </w:rPr>
      </w:pPr>
      <w:r>
        <w:rPr>
          <w:b/>
        </w:rPr>
        <w:t>Ří</w:t>
      </w:r>
      <w:r w:rsidR="00CF1559">
        <w:rPr>
          <w:b/>
        </w:rPr>
        <w:t>d</w:t>
      </w:r>
      <w:r>
        <w:rPr>
          <w:b/>
        </w:rPr>
        <w:t>i</w:t>
      </w:r>
      <w:r w:rsidR="00CF1559">
        <w:rPr>
          <w:b/>
        </w:rPr>
        <w:t>cí systém a podmínky</w:t>
      </w:r>
      <w:r w:rsidR="004E37EC">
        <w:rPr>
          <w:b/>
        </w:rPr>
        <w:t>, které MZe nastavilo</w:t>
      </w:r>
      <w:r w:rsidR="00CF1559">
        <w:rPr>
          <w:b/>
        </w:rPr>
        <w:t xml:space="preserve"> pro poskytování podpor z evropských zdrojů</w:t>
      </w:r>
      <w:r w:rsidR="00CB4CF2">
        <w:rPr>
          <w:b/>
        </w:rPr>
        <w:t>,</w:t>
      </w:r>
      <w:r w:rsidR="00CF1559">
        <w:rPr>
          <w:b/>
        </w:rPr>
        <w:t xml:space="preserve"> byl</w:t>
      </w:r>
      <w:r w:rsidR="004E37EC">
        <w:rPr>
          <w:b/>
        </w:rPr>
        <w:t>y</w:t>
      </w:r>
      <w:r w:rsidR="00CF1559">
        <w:rPr>
          <w:b/>
        </w:rPr>
        <w:t>, až na některé dílčí nedostatky, shledán</w:t>
      </w:r>
      <w:r w:rsidR="004E37EC">
        <w:rPr>
          <w:b/>
        </w:rPr>
        <w:t xml:space="preserve">y </w:t>
      </w:r>
      <w:r w:rsidR="00CF1559">
        <w:rPr>
          <w:b/>
        </w:rPr>
        <w:t>funkčním</w:t>
      </w:r>
      <w:r w:rsidR="004E37EC">
        <w:rPr>
          <w:b/>
        </w:rPr>
        <w:t>i</w:t>
      </w:r>
      <w:r w:rsidR="00CF1559">
        <w:rPr>
          <w:b/>
        </w:rPr>
        <w:t xml:space="preserve"> a účinným</w:t>
      </w:r>
      <w:r w:rsidR="004E37EC">
        <w:rPr>
          <w:b/>
        </w:rPr>
        <w:t>i</w:t>
      </w:r>
      <w:r w:rsidR="00CF1559">
        <w:rPr>
          <w:b/>
        </w:rPr>
        <w:t>.</w:t>
      </w:r>
      <w:r w:rsidR="004E37EC">
        <w:rPr>
          <w:b/>
        </w:rPr>
        <w:t xml:space="preserve"> Nedostatky s finančním dopadem byly zjištěny u SZIF </w:t>
      </w:r>
      <w:r w:rsidR="002C2023">
        <w:rPr>
          <w:b/>
        </w:rPr>
        <w:t xml:space="preserve">v případě neoprávněného poskytnutí dotace příjemci. </w:t>
      </w:r>
    </w:p>
    <w:p w14:paraId="650EF3BD" w14:textId="77777777" w:rsidR="002D5CBF" w:rsidRDefault="002D5CBF" w:rsidP="002D5CBF">
      <w:pPr>
        <w:spacing w:before="0"/>
        <w:rPr>
          <w:b/>
        </w:rPr>
      </w:pPr>
    </w:p>
    <w:p w14:paraId="09A98AE1" w14:textId="77777777" w:rsidR="00AD22FC" w:rsidRDefault="00AD22FC" w:rsidP="002D5CBF">
      <w:pPr>
        <w:spacing w:before="0"/>
        <w:rPr>
          <w:b/>
        </w:rPr>
      </w:pPr>
      <w:r>
        <w:rPr>
          <w:b/>
        </w:rPr>
        <w:lastRenderedPageBreak/>
        <w:t xml:space="preserve">NKÚ konstatuje, že se MZe nedaří naplňovat strategické cíle, jež si v sektoru živočišné výroby stanovilo. </w:t>
      </w:r>
      <w:r w:rsidR="00A46B5F">
        <w:rPr>
          <w:b/>
        </w:rPr>
        <w:t>S</w:t>
      </w:r>
      <w:r>
        <w:rPr>
          <w:b/>
        </w:rPr>
        <w:t>tavy hospodářský</w:t>
      </w:r>
      <w:r w:rsidR="004E310E">
        <w:rPr>
          <w:b/>
        </w:rPr>
        <w:t>ch</w:t>
      </w:r>
      <w:r>
        <w:rPr>
          <w:b/>
        </w:rPr>
        <w:t xml:space="preserve"> zvířat (dojnic a prasat)</w:t>
      </w:r>
      <w:r w:rsidR="00F96568">
        <w:rPr>
          <w:b/>
        </w:rPr>
        <w:t xml:space="preserve"> a </w:t>
      </w:r>
      <w:r w:rsidR="004C7CAB">
        <w:rPr>
          <w:b/>
        </w:rPr>
        <w:t xml:space="preserve">míra </w:t>
      </w:r>
      <w:r w:rsidR="00F96568">
        <w:rPr>
          <w:b/>
        </w:rPr>
        <w:t>soběstačnost</w:t>
      </w:r>
      <w:r w:rsidR="004C7CAB">
        <w:rPr>
          <w:b/>
        </w:rPr>
        <w:t>i</w:t>
      </w:r>
      <w:r w:rsidR="00F96568">
        <w:rPr>
          <w:b/>
        </w:rPr>
        <w:t xml:space="preserve"> ČR v pokrytí spotřeby hovězího i </w:t>
      </w:r>
      <w:r w:rsidR="00F96568" w:rsidRPr="00ED1175">
        <w:rPr>
          <w:b/>
        </w:rPr>
        <w:t>vepřového masa</w:t>
      </w:r>
      <w:r w:rsidR="00CE0B7C">
        <w:rPr>
          <w:b/>
        </w:rPr>
        <w:t xml:space="preserve"> se</w:t>
      </w:r>
      <w:r w:rsidRPr="00ED1175">
        <w:rPr>
          <w:b/>
        </w:rPr>
        <w:t xml:space="preserve"> </w:t>
      </w:r>
      <w:r w:rsidR="00A46B5F">
        <w:rPr>
          <w:b/>
        </w:rPr>
        <w:t xml:space="preserve">ke konci roku 2017 </w:t>
      </w:r>
      <w:r w:rsidRPr="00ED1175">
        <w:rPr>
          <w:b/>
        </w:rPr>
        <w:t xml:space="preserve">oproti roku 2015 snížily, </w:t>
      </w:r>
      <w:r w:rsidR="00F96568" w:rsidRPr="00ED1175">
        <w:rPr>
          <w:b/>
        </w:rPr>
        <w:t xml:space="preserve">přestože se </w:t>
      </w:r>
      <w:r w:rsidRPr="00ED1175">
        <w:rPr>
          <w:b/>
        </w:rPr>
        <w:t xml:space="preserve">dotace do </w:t>
      </w:r>
      <w:r w:rsidR="00A241D5" w:rsidRPr="00ED1175">
        <w:rPr>
          <w:b/>
        </w:rPr>
        <w:t>živočišné výroby od roku 2012</w:t>
      </w:r>
      <w:r w:rsidRPr="00ED1175">
        <w:rPr>
          <w:b/>
        </w:rPr>
        <w:t xml:space="preserve"> zvyšují</w:t>
      </w:r>
      <w:r w:rsidR="00F96568">
        <w:rPr>
          <w:b/>
        </w:rPr>
        <w:t xml:space="preserve">. </w:t>
      </w:r>
      <w:r w:rsidR="008279A9">
        <w:rPr>
          <w:b/>
        </w:rPr>
        <w:t>Nejvyšší p</w:t>
      </w:r>
      <w:r w:rsidR="00A241D5">
        <w:rPr>
          <w:b/>
        </w:rPr>
        <w:t>rocentuáln</w:t>
      </w:r>
      <w:r w:rsidR="008279A9">
        <w:rPr>
          <w:b/>
        </w:rPr>
        <w:t>í nárůst dotací vykazuje</w:t>
      </w:r>
      <w:r>
        <w:rPr>
          <w:b/>
        </w:rPr>
        <w:t xml:space="preserve"> sektor chov</w:t>
      </w:r>
      <w:r w:rsidR="008279A9">
        <w:rPr>
          <w:b/>
        </w:rPr>
        <w:t>u</w:t>
      </w:r>
      <w:r>
        <w:rPr>
          <w:b/>
        </w:rPr>
        <w:t xml:space="preserve"> prasat a drůbeže. </w:t>
      </w:r>
    </w:p>
    <w:p w14:paraId="48419ED2" w14:textId="77777777" w:rsidR="00AD22FC" w:rsidRDefault="00AD22FC" w:rsidP="002D5CBF">
      <w:pPr>
        <w:spacing w:before="0"/>
      </w:pPr>
    </w:p>
    <w:p w14:paraId="1876CA43" w14:textId="77777777" w:rsidR="00AD22FC" w:rsidRPr="00726333" w:rsidRDefault="00AD22FC" w:rsidP="002D5CBF">
      <w:pPr>
        <w:spacing w:before="0"/>
      </w:pPr>
      <w:r>
        <w:t>Celkové vyhodnocení vyplývá z těchto zjištěných nedostatků</w:t>
      </w:r>
      <w:r w:rsidRPr="00726333">
        <w:t>:</w:t>
      </w:r>
    </w:p>
    <w:p w14:paraId="203A3C5E" w14:textId="77777777" w:rsidR="00AD22FC" w:rsidRDefault="00C15D18" w:rsidP="00E50E4E">
      <w:pPr>
        <w:pStyle w:val="Odstavecseseznamem"/>
        <w:numPr>
          <w:ilvl w:val="0"/>
          <w:numId w:val="2"/>
        </w:numPr>
        <w:spacing w:before="0"/>
        <w:ind w:left="284" w:hanging="285"/>
        <w:contextualSpacing w:val="0"/>
      </w:pPr>
      <w:r>
        <w:t>N</w:t>
      </w:r>
      <w:r w:rsidR="00AD22FC" w:rsidRPr="00E67D52">
        <w:t>ejsou plněny strategické cíle</w:t>
      </w:r>
      <w:r>
        <w:t xml:space="preserve"> v sektoru živočišné výroby</w:t>
      </w:r>
      <w:r w:rsidR="00AD22FC" w:rsidRPr="00E67D52">
        <w:t xml:space="preserve"> spočívající např.</w:t>
      </w:r>
      <w:r w:rsidR="00AD22FC">
        <w:t xml:space="preserve"> v navýšení stavu dojnic</w:t>
      </w:r>
      <w:r w:rsidR="00AD22FC" w:rsidRPr="00E67D52">
        <w:t xml:space="preserve"> a prasat. Pět z osmi hodnocených</w:t>
      </w:r>
      <w:r w:rsidR="00AD22FC">
        <w:t xml:space="preserve"> indikativních uka</w:t>
      </w:r>
      <w:r w:rsidR="006A183E">
        <w:t>zatelů vykazovalo ke konci roku </w:t>
      </w:r>
      <w:r w:rsidR="00AD22FC">
        <w:t>201</w:t>
      </w:r>
      <w:r w:rsidR="00AD22FC" w:rsidRPr="008279A9">
        <w:t>7</w:t>
      </w:r>
      <w:r w:rsidR="00AD22FC">
        <w:t xml:space="preserve"> pokles oproti roku 2015</w:t>
      </w:r>
      <w:r w:rsidR="005247CF">
        <w:t>, přestože mělo dojít k</w:t>
      </w:r>
      <w:r w:rsidR="002C2AB9">
        <w:t xml:space="preserve"> jejich </w:t>
      </w:r>
      <w:r w:rsidR="005247CF">
        <w:t>nárůstu</w:t>
      </w:r>
      <w:r w:rsidR="002C2AB9">
        <w:t>.</w:t>
      </w:r>
      <w:r w:rsidR="005247CF">
        <w:t xml:space="preserve"> </w:t>
      </w:r>
    </w:p>
    <w:p w14:paraId="752A9552" w14:textId="7A7E0ED7" w:rsidR="0093503A" w:rsidRDefault="0093503A" w:rsidP="00E50E4E">
      <w:pPr>
        <w:pStyle w:val="Odstavecseseznamem"/>
        <w:numPr>
          <w:ilvl w:val="0"/>
          <w:numId w:val="2"/>
        </w:numPr>
        <w:spacing w:before="0"/>
        <w:ind w:left="284" w:hanging="285"/>
        <w:contextualSpacing w:val="0"/>
      </w:pPr>
      <w:r>
        <w:t>Účelem d</w:t>
      </w:r>
      <w:r w:rsidR="008500CF">
        <w:t>otací</w:t>
      </w:r>
      <w:r w:rsidR="00AD22FC" w:rsidRPr="00E67D52">
        <w:t xml:space="preserve"> </w:t>
      </w:r>
      <w:r w:rsidR="00AD22FC">
        <w:t>z</w:t>
      </w:r>
      <w:r w:rsidR="00A46B5F">
        <w:t xml:space="preserve"> národního </w:t>
      </w:r>
      <w:r w:rsidR="00AD22FC">
        <w:t xml:space="preserve">dotačního programu </w:t>
      </w:r>
      <w:r w:rsidR="00AD22FC" w:rsidRPr="0071578F">
        <w:t>19.A</w:t>
      </w:r>
      <w:r w:rsidR="00AD22FC" w:rsidRPr="002154A9">
        <w:t xml:space="preserve"> </w:t>
      </w:r>
      <w:r w:rsidR="006A183E">
        <w:rPr>
          <w:bCs/>
          <w:i/>
          <w:shd w:val="clear" w:color="auto" w:fill="FFFFFF"/>
        </w:rPr>
        <w:t>Podpora na účast producentů a </w:t>
      </w:r>
      <w:r w:rsidR="00BF7C33" w:rsidRPr="00D829CE">
        <w:rPr>
          <w:bCs/>
          <w:i/>
          <w:shd w:val="clear" w:color="auto" w:fill="FFFFFF"/>
        </w:rPr>
        <w:t>zpracovatelů mléka v režimu jakosti Q CZ</w:t>
      </w:r>
      <w:r w:rsidR="0079504B">
        <w:rPr>
          <w:rStyle w:val="Znakapoznpodarou"/>
          <w:bCs/>
          <w:i/>
          <w:shd w:val="clear" w:color="auto" w:fill="FFFFFF"/>
        </w:rPr>
        <w:footnoteReference w:id="2"/>
      </w:r>
      <w:r>
        <w:t xml:space="preserve"> je podpora </w:t>
      </w:r>
      <w:r w:rsidR="008279A9">
        <w:t xml:space="preserve">zvyšování kvality mléka. </w:t>
      </w:r>
      <w:r>
        <w:t xml:space="preserve">NKÚ zjistil, že: </w:t>
      </w:r>
    </w:p>
    <w:p w14:paraId="7DAF6D50" w14:textId="1F7B4AA2" w:rsidR="0093503A" w:rsidRDefault="008279A9" w:rsidP="00E50E4E">
      <w:pPr>
        <w:pStyle w:val="Odstavecseseznamem"/>
        <w:numPr>
          <w:ilvl w:val="1"/>
          <w:numId w:val="28"/>
        </w:numPr>
        <w:spacing w:before="0"/>
        <w:ind w:left="851" w:hanging="284"/>
        <w:contextualSpacing w:val="0"/>
      </w:pPr>
      <w:r>
        <w:t xml:space="preserve">Dotace </w:t>
      </w:r>
      <w:r w:rsidR="00AD22FC">
        <w:t xml:space="preserve">směřovaly na úhradu běžných provozních nákladů mlékáren, </w:t>
      </w:r>
      <w:r w:rsidR="0093503A">
        <w:t xml:space="preserve">které dlouhodobě vykazují zisky. </w:t>
      </w:r>
      <w:r w:rsidR="00BA4F0D">
        <w:t>Kalkulace nákladů</w:t>
      </w:r>
      <w:r>
        <w:t xml:space="preserve"> prokazující vypočtené provozní náklady posuzovalo MZe pouze formálně a ne</w:t>
      </w:r>
      <w:r w:rsidR="00A46B5F">
        <w:t>ověřovalo</w:t>
      </w:r>
      <w:r>
        <w:t>, zda náklady skutečně souvisely s</w:t>
      </w:r>
      <w:r w:rsidR="00BF5DA0">
        <w:t xml:space="preserve"> předmětem podpory. </w:t>
      </w:r>
    </w:p>
    <w:p w14:paraId="4E018016" w14:textId="57EAF9FF" w:rsidR="0093503A" w:rsidRDefault="00AD22FC" w:rsidP="00E50E4E">
      <w:pPr>
        <w:pStyle w:val="Odstavecseseznamem"/>
        <w:numPr>
          <w:ilvl w:val="1"/>
          <w:numId w:val="28"/>
        </w:numPr>
        <w:spacing w:before="0"/>
        <w:ind w:left="851" w:hanging="284"/>
        <w:contextualSpacing w:val="0"/>
      </w:pPr>
      <w:r>
        <w:t xml:space="preserve">MZe </w:t>
      </w:r>
      <w:r w:rsidR="008500CF">
        <w:t>stanovilo</w:t>
      </w:r>
      <w:r>
        <w:t xml:space="preserve"> </w:t>
      </w:r>
      <w:r w:rsidR="00BF5DA0">
        <w:t>jeden z hlavních ukazatelů</w:t>
      </w:r>
      <w:r w:rsidR="004C7CAB">
        <w:t xml:space="preserve"> kvality mléka jakosti Q CZ </w:t>
      </w:r>
      <w:r w:rsidRPr="0071578F">
        <w:t>„</w:t>
      </w:r>
      <w:r w:rsidRPr="0093503A">
        <w:rPr>
          <w:i/>
        </w:rPr>
        <w:t>počet somatických buněk na 1 ml mléka</w:t>
      </w:r>
      <w:r w:rsidRPr="0071578F">
        <w:t>“</w:t>
      </w:r>
      <w:r>
        <w:t xml:space="preserve"> v hodnotě, která významně nepřesahuje průměrnou hodnotu u syrového kravského mléka v ČR. </w:t>
      </w:r>
    </w:p>
    <w:p w14:paraId="2A9BA6BB" w14:textId="6C85A0F9" w:rsidR="00AD22FC" w:rsidRDefault="00BF5DA0" w:rsidP="00E50E4E">
      <w:pPr>
        <w:pStyle w:val="Odstavecseseznamem"/>
        <w:numPr>
          <w:ilvl w:val="1"/>
          <w:numId w:val="28"/>
        </w:numPr>
        <w:spacing w:before="0"/>
        <w:ind w:left="851" w:hanging="284"/>
        <w:contextualSpacing w:val="0"/>
      </w:pPr>
      <w:r>
        <w:t xml:space="preserve">Žadatelem mohl být i podnik spadající do kategorie velkého podniku. Musel však doložit, že je pro něho podpora nezbytná a má motivační účinek. </w:t>
      </w:r>
      <w:r w:rsidR="00F159B7">
        <w:t>Žadatelé předkládali nedostatečné podklady, na</w:t>
      </w:r>
      <w:r w:rsidR="002154A9">
        <w:t xml:space="preserve"> jejichž</w:t>
      </w:r>
      <w:r w:rsidR="00F159B7">
        <w:t xml:space="preserve"> základě nemohlo MZe tuto podmínku ověřit. Přesto podporu těmto žadatelům vyplatilo. </w:t>
      </w:r>
    </w:p>
    <w:p w14:paraId="30582C80" w14:textId="5D7D5B87" w:rsidR="004E37EC" w:rsidRPr="00ED1175" w:rsidRDefault="00ED1175" w:rsidP="00E50E4E">
      <w:pPr>
        <w:pStyle w:val="Odstavecseseznamem"/>
        <w:numPr>
          <w:ilvl w:val="0"/>
          <w:numId w:val="2"/>
        </w:numPr>
        <w:spacing w:before="0"/>
        <w:ind w:left="284" w:hanging="284"/>
        <w:contextualSpacing w:val="0"/>
      </w:pPr>
      <w:r w:rsidRPr="00ED1175">
        <w:t>Dotace z</w:t>
      </w:r>
      <w:r w:rsidR="00A46B5F">
        <w:t xml:space="preserve"> národního </w:t>
      </w:r>
      <w:r w:rsidRPr="00ED1175">
        <w:t xml:space="preserve">dotačního programu 8.F </w:t>
      </w:r>
      <w:r w:rsidRPr="00ED1175">
        <w:rPr>
          <w:i/>
          <w:iCs/>
        </w:rPr>
        <w:t>Nákazový fond</w:t>
      </w:r>
      <w:r w:rsidRPr="00ED1175">
        <w:t xml:space="preserve"> </w:t>
      </w:r>
      <w:r w:rsidR="003412AD">
        <w:t>jsou určeny chovatelům prasat a </w:t>
      </w:r>
      <w:r w:rsidRPr="00ED1175">
        <w:t>drůbeže na podporu vybraných činností zaměřených proti rozšiřování nebezpečných nákaz hospodářských zvířat. MZe proplácelo tyto dotace na základě faktur s obecně formulovanými předměty plnění, bez bližší speci</w:t>
      </w:r>
      <w:r w:rsidR="003412AD">
        <w:t>fikace a podrobnějšího popisu a </w:t>
      </w:r>
      <w:r w:rsidRPr="00ED1175">
        <w:t xml:space="preserve">konkrétního vztahu k účelu dotace. Z dokumentace nebylo možné ověřit rozsah činností ani objem provedené práce. MZe tak </w:t>
      </w:r>
      <w:r w:rsidR="00793129">
        <w:t xml:space="preserve">neposuzovalo </w:t>
      </w:r>
      <w:r w:rsidRPr="00ED1175">
        <w:t xml:space="preserve">účelnost a hospodárnost výdajů. </w:t>
      </w:r>
    </w:p>
    <w:p w14:paraId="41AFF8CD" w14:textId="2D2D399D" w:rsidR="00AD22FC" w:rsidRDefault="00AD22FC" w:rsidP="00E50E4E">
      <w:pPr>
        <w:pStyle w:val="Odstavecseseznamem"/>
        <w:numPr>
          <w:ilvl w:val="0"/>
          <w:numId w:val="32"/>
        </w:numPr>
        <w:spacing w:before="0"/>
        <w:ind w:left="851" w:hanging="284"/>
        <w:contextualSpacing w:val="0"/>
      </w:pPr>
      <w:r>
        <w:t>Příkladem nehospodárnosti je</w:t>
      </w:r>
      <w:r w:rsidR="0079504B">
        <w:t xml:space="preserve"> případ</w:t>
      </w:r>
      <w:r>
        <w:t xml:space="preserve"> příjemce dot</w:t>
      </w:r>
      <w:r w:rsidR="003412AD">
        <w:t xml:space="preserve">ace, který obdržel za roky </w:t>
      </w:r>
      <w:r w:rsidR="002154A9">
        <w:br/>
      </w:r>
      <w:r w:rsidR="003412AD">
        <w:t>2015–</w:t>
      </w:r>
      <w:r>
        <w:t>2017 mj. dotaci na zaplacení odbor</w:t>
      </w:r>
      <w:r w:rsidR="00633A7F">
        <w:t>ného dozoru při čištění stájí v </w:t>
      </w:r>
      <w:r>
        <w:t xml:space="preserve">celkové výši </w:t>
      </w:r>
      <w:r w:rsidR="00000596">
        <w:t>3,1 milionu</w:t>
      </w:r>
      <w:r>
        <w:t xml:space="preserve"> Kč, přičemž jedna hodina dozoru stála 2 600 Kč. </w:t>
      </w:r>
      <w:r w:rsidR="0098083A">
        <w:t>Navíc t</w:t>
      </w:r>
      <w:r>
        <w:t>entýž příjemce zaplatil za stejné období za pronájem čist</w:t>
      </w:r>
      <w:r w:rsidR="002154A9">
        <w:t>i</w:t>
      </w:r>
      <w:r>
        <w:t>cích dezinfekčních strojů několikanásobně více, než by stálo pořízení nových strojů.</w:t>
      </w:r>
    </w:p>
    <w:p w14:paraId="16E8A332" w14:textId="63D059D1" w:rsidR="00AD22FC" w:rsidRDefault="00AD22FC" w:rsidP="00E50E4E">
      <w:pPr>
        <w:pStyle w:val="Odstavecseseznamem"/>
        <w:numPr>
          <w:ilvl w:val="0"/>
          <w:numId w:val="2"/>
        </w:numPr>
        <w:spacing w:before="0"/>
        <w:ind w:left="284" w:hanging="285"/>
        <w:contextualSpacing w:val="0"/>
      </w:pPr>
      <w:r>
        <w:t xml:space="preserve">MZe ročně </w:t>
      </w:r>
      <w:r w:rsidRPr="00B80D75">
        <w:t xml:space="preserve">administruje </w:t>
      </w:r>
      <w:r w:rsidR="0082725C" w:rsidRPr="00B80D75">
        <w:t xml:space="preserve">více než dva </w:t>
      </w:r>
      <w:r w:rsidRPr="00B80D75">
        <w:t>tisíce žádostí o národní</w:t>
      </w:r>
      <w:r>
        <w:t xml:space="preserve"> dotace.</w:t>
      </w:r>
      <w:r w:rsidR="003F283A">
        <w:t xml:space="preserve"> MZe nenastavilo systém tak, aby bylo schopno </w:t>
      </w:r>
      <w:r w:rsidR="0082725C">
        <w:t xml:space="preserve">zajistit </w:t>
      </w:r>
      <w:r>
        <w:t xml:space="preserve">jejich </w:t>
      </w:r>
      <w:r w:rsidR="0082725C">
        <w:t xml:space="preserve">řádnou </w:t>
      </w:r>
      <w:r>
        <w:t>administraci a kontrolu. Docház</w:t>
      </w:r>
      <w:r w:rsidR="003F283A">
        <w:t>elo</w:t>
      </w:r>
      <w:r>
        <w:t xml:space="preserve"> tak k případům, kdy </w:t>
      </w:r>
      <w:r w:rsidR="003F283A">
        <w:t>byly</w:t>
      </w:r>
      <w:r>
        <w:t xml:space="preserve"> žadatelům propláceny výdaje, které ne</w:t>
      </w:r>
      <w:r w:rsidR="003F283A">
        <w:t>byly</w:t>
      </w:r>
      <w:r>
        <w:t xml:space="preserve"> doloženy fakturami, nebo </w:t>
      </w:r>
      <w:r w:rsidR="003F283A">
        <w:t xml:space="preserve">byly </w:t>
      </w:r>
      <w:r>
        <w:t xml:space="preserve">neuznatelné.  </w:t>
      </w:r>
    </w:p>
    <w:p w14:paraId="75C97D04" w14:textId="77777777" w:rsidR="00AD22FC" w:rsidRDefault="00AD22FC" w:rsidP="00E50E4E">
      <w:pPr>
        <w:pStyle w:val="Odstavecseseznamem"/>
        <w:numPr>
          <w:ilvl w:val="0"/>
          <w:numId w:val="2"/>
        </w:numPr>
        <w:spacing w:before="0"/>
        <w:ind w:left="284" w:hanging="285"/>
        <w:contextualSpacing w:val="0"/>
      </w:pPr>
      <w:r>
        <w:t>Při kontrole podmínky počtu ustajovacích míst u projektů PRV 14</w:t>
      </w:r>
      <w:r w:rsidR="006A183E">
        <w:t>-</w:t>
      </w:r>
      <w:r>
        <w:t>20 není ze strany SZIF zachována</w:t>
      </w:r>
      <w:r w:rsidR="00626F1F">
        <w:t xml:space="preserve"> dostatečná</w:t>
      </w:r>
      <w:r>
        <w:t xml:space="preserve"> auditní stopa a není zřejmé, zda </w:t>
      </w:r>
      <w:r w:rsidR="00A21C93">
        <w:t xml:space="preserve">a jak </w:t>
      </w:r>
      <w:r>
        <w:t xml:space="preserve">SZIF tyto kontroly provádí. Od splnění této podmínky se přitom odvíjí výše dotace, kterou žadatel obdrží. </w:t>
      </w:r>
    </w:p>
    <w:p w14:paraId="4DCE0A13" w14:textId="77777777" w:rsidR="00E07DD3" w:rsidRDefault="00E07DD3" w:rsidP="00E50E4E">
      <w:pPr>
        <w:pStyle w:val="Odstavecseseznamem"/>
        <w:numPr>
          <w:ilvl w:val="0"/>
          <w:numId w:val="2"/>
        </w:numPr>
        <w:spacing w:before="0"/>
        <w:ind w:left="284" w:hanging="285"/>
        <w:contextualSpacing w:val="0"/>
      </w:pPr>
      <w:r>
        <w:t>MZe i SZIF u projektů PRV 07</w:t>
      </w:r>
      <w:r w:rsidR="006A183E">
        <w:t>-</w:t>
      </w:r>
      <w:r>
        <w:t xml:space="preserve">13 </w:t>
      </w:r>
      <w:r w:rsidR="0082725C">
        <w:t>schvalovalo</w:t>
      </w:r>
      <w:r>
        <w:t xml:space="preserve"> postupy příjemců, kteří rozdělovali investiční zemědělské projekty</w:t>
      </w:r>
      <w:r w:rsidR="00626F1F">
        <w:t xml:space="preserve"> do více žádostí o dotaci</w:t>
      </w:r>
      <w:r w:rsidR="00336E11">
        <w:t xml:space="preserve">. </w:t>
      </w:r>
      <w:r w:rsidR="00221A43">
        <w:t xml:space="preserve">Rozdělením projektů do více žádostí </w:t>
      </w:r>
      <w:r w:rsidR="00336E11">
        <w:t xml:space="preserve">příjemci </w:t>
      </w:r>
      <w:r w:rsidR="0079504B">
        <w:t xml:space="preserve">dosáhli poskytnutí </w:t>
      </w:r>
      <w:r>
        <w:t xml:space="preserve">vyšší dotace. </w:t>
      </w:r>
    </w:p>
    <w:p w14:paraId="74654C0C" w14:textId="77777777" w:rsidR="00E07DD3" w:rsidRDefault="002E5F66" w:rsidP="00E50E4E">
      <w:pPr>
        <w:pStyle w:val="Odstavecseseznamem"/>
        <w:numPr>
          <w:ilvl w:val="0"/>
          <w:numId w:val="2"/>
        </w:numPr>
        <w:spacing w:before="0"/>
        <w:ind w:left="284" w:hanging="285"/>
        <w:contextualSpacing w:val="0"/>
      </w:pPr>
      <w:r>
        <w:t>Na kontrolním vzorku byly zjištěny tyto s</w:t>
      </w:r>
      <w:r w:rsidR="00E07DD3">
        <w:t xml:space="preserve">kutečnosti: </w:t>
      </w:r>
    </w:p>
    <w:p w14:paraId="6D235DB2" w14:textId="4B128137" w:rsidR="00E07DD3" w:rsidRDefault="003F283A" w:rsidP="00E50E4E">
      <w:pPr>
        <w:pStyle w:val="Odstavecseseznamem"/>
        <w:numPr>
          <w:ilvl w:val="1"/>
          <w:numId w:val="30"/>
        </w:numPr>
        <w:spacing w:before="0"/>
        <w:ind w:left="851" w:hanging="284"/>
        <w:contextualSpacing w:val="0"/>
      </w:pPr>
      <w:r>
        <w:t>Kvůli</w:t>
      </w:r>
      <w:r w:rsidR="00E07DD3">
        <w:t xml:space="preserve"> nedostatečné kontrole žádostí o dot</w:t>
      </w:r>
      <w:r w:rsidR="0002495F">
        <w:t>aci ze strany MZe a SZIF bylo u </w:t>
      </w:r>
      <w:r w:rsidR="00E07DD3">
        <w:t xml:space="preserve">dotačního programu 19.A vyplaceno 23,7 milionů Kč, které neměly být </w:t>
      </w:r>
      <w:r w:rsidR="0098083A">
        <w:t>uhrazeny</w:t>
      </w:r>
      <w:r w:rsidR="00E07DD3">
        <w:t>.</w:t>
      </w:r>
    </w:p>
    <w:p w14:paraId="00CE60E4" w14:textId="44927C66" w:rsidR="00E368FD" w:rsidRDefault="00E07DD3" w:rsidP="00E50E4E">
      <w:pPr>
        <w:pStyle w:val="Odstavecseseznamem"/>
        <w:numPr>
          <w:ilvl w:val="1"/>
          <w:numId w:val="30"/>
        </w:numPr>
        <w:spacing w:before="0"/>
        <w:ind w:left="851" w:hanging="284"/>
        <w:contextualSpacing w:val="0"/>
      </w:pPr>
      <w:r>
        <w:t>U dvou projektů PRV 07</w:t>
      </w:r>
      <w:r w:rsidR="006A183E">
        <w:t>-</w:t>
      </w:r>
      <w:r>
        <w:t xml:space="preserve">13 vyplatil SZIF neoprávněně finanční prostředky v celkové výši </w:t>
      </w:r>
      <w:r w:rsidR="00B513C7">
        <w:t>16,4</w:t>
      </w:r>
      <w:r>
        <w:t xml:space="preserve"> miliónů </w:t>
      </w:r>
      <w:r w:rsidR="003F283A">
        <w:t>Kč</w:t>
      </w:r>
      <w:r w:rsidR="00244513">
        <w:t>,</w:t>
      </w:r>
      <w:r>
        <w:t xml:space="preserve"> a dopustil se tak</w:t>
      </w:r>
      <w:r w:rsidR="00626F1F">
        <w:t xml:space="preserve"> porušení</w:t>
      </w:r>
      <w:r>
        <w:t xml:space="preserve"> rozpočtové kázně. </w:t>
      </w:r>
    </w:p>
    <w:p w14:paraId="0867BB9C" w14:textId="6FB06BA3" w:rsidR="00A21C93" w:rsidRDefault="00A21C93" w:rsidP="00E50E4E">
      <w:pPr>
        <w:pStyle w:val="Odstavecseseznamem"/>
        <w:numPr>
          <w:ilvl w:val="0"/>
          <w:numId w:val="2"/>
        </w:numPr>
        <w:spacing w:before="0"/>
        <w:ind w:left="284" w:hanging="285"/>
        <w:contextualSpacing w:val="0"/>
      </w:pPr>
      <w:r>
        <w:t>Z analýzy dat</w:t>
      </w:r>
      <w:r w:rsidRPr="0099328B">
        <w:t xml:space="preserve"> </w:t>
      </w:r>
      <w:r>
        <w:t>ze</w:t>
      </w:r>
      <w:r w:rsidRPr="0004703B">
        <w:t xml:space="preserve"> </w:t>
      </w:r>
      <w:r w:rsidRPr="0071578F">
        <w:rPr>
          <w:i/>
        </w:rPr>
        <w:t>Zemědělské účetní datové sítě</w:t>
      </w:r>
      <w:r w:rsidRPr="0004703B">
        <w:t xml:space="preserve"> </w:t>
      </w:r>
      <w:r w:rsidRPr="0071578F">
        <w:rPr>
          <w:i/>
        </w:rPr>
        <w:t>FADN</w:t>
      </w:r>
      <w:r w:rsidRPr="0004703B">
        <w:t xml:space="preserve"> vyplynulo, že </w:t>
      </w:r>
      <w:r>
        <w:t xml:space="preserve">Česká republika ve srovnání s členskými zeměmi EU vyplácí nadprůměrné dotace do sektoru </w:t>
      </w:r>
      <w:r w:rsidR="005D5FB5">
        <w:t>živočišné výroby</w:t>
      </w:r>
      <w:r>
        <w:t>. V roce 2016 došlo o</w:t>
      </w:r>
      <w:r w:rsidRPr="0004703B">
        <w:t>proti</w:t>
      </w:r>
      <w:r>
        <w:t xml:space="preserve"> roku 2010 ke zvýšení </w:t>
      </w:r>
      <w:r w:rsidR="00CB4CF2">
        <w:t xml:space="preserve">vyplacených dotací </w:t>
      </w:r>
      <w:r w:rsidRPr="0099328B">
        <w:t xml:space="preserve">ve všech sledovaných výrobních zaměřeních kromě chovu skotu. </w:t>
      </w:r>
    </w:p>
    <w:p w14:paraId="0E950CAB" w14:textId="77777777" w:rsidR="002D5CBF" w:rsidRDefault="002D5CBF" w:rsidP="002D5CBF">
      <w:pPr>
        <w:spacing w:before="0"/>
        <w:jc w:val="left"/>
      </w:pPr>
    </w:p>
    <w:p w14:paraId="0713B58F" w14:textId="77777777" w:rsidR="00E50E4E" w:rsidRDefault="00E50E4E" w:rsidP="002D5CBF">
      <w:pPr>
        <w:spacing w:before="0"/>
        <w:jc w:val="left"/>
      </w:pPr>
    </w:p>
    <w:p w14:paraId="1A28D7FA" w14:textId="5E1E3018" w:rsidR="00FE318E" w:rsidRPr="00B919FE" w:rsidRDefault="0095045E" w:rsidP="00244513">
      <w:pPr>
        <w:spacing w:before="0"/>
        <w:ind w:left="567" w:hanging="568"/>
        <w:rPr>
          <w:sz w:val="20"/>
          <w:szCs w:val="20"/>
        </w:rPr>
      </w:pPr>
      <w:r w:rsidRPr="00633A7F">
        <w:rPr>
          <w:b/>
          <w:bCs/>
          <w:sz w:val="20"/>
          <w:szCs w:val="20"/>
        </w:rPr>
        <w:t>Pozn</w:t>
      </w:r>
      <w:r w:rsidR="00244513">
        <w:rPr>
          <w:b/>
          <w:bCs/>
          <w:sz w:val="20"/>
          <w:szCs w:val="20"/>
        </w:rPr>
        <w:t>.</w:t>
      </w:r>
      <w:r w:rsidRPr="00633A7F">
        <w:rPr>
          <w:b/>
          <w:bCs/>
          <w:sz w:val="20"/>
          <w:szCs w:val="20"/>
        </w:rPr>
        <w:t>:</w:t>
      </w:r>
      <w:r w:rsidRPr="00B919FE">
        <w:rPr>
          <w:bCs/>
          <w:sz w:val="20"/>
          <w:szCs w:val="20"/>
        </w:rPr>
        <w:t xml:space="preserve"> Právní předpisy uvedené v tomto kontrolním závěru jsou aplikovány ve znění účinném pro kontrolované období.</w:t>
      </w:r>
    </w:p>
    <w:p w14:paraId="2BF24350" w14:textId="77777777" w:rsidR="002D5CBF" w:rsidRDefault="002D5CBF" w:rsidP="002D5CBF">
      <w:pPr>
        <w:spacing w:before="0"/>
        <w:jc w:val="left"/>
      </w:pPr>
    </w:p>
    <w:p w14:paraId="080D19B6" w14:textId="77777777" w:rsidR="002D5CBF" w:rsidRDefault="002D5CBF">
      <w:pPr>
        <w:spacing w:before="0"/>
        <w:jc w:val="left"/>
        <w:rPr>
          <w:b/>
          <w:sz w:val="28"/>
        </w:rPr>
      </w:pPr>
      <w:r>
        <w:rPr>
          <w:b/>
          <w:sz w:val="28"/>
        </w:rPr>
        <w:br w:type="page"/>
      </w:r>
    </w:p>
    <w:p w14:paraId="79A01B71" w14:textId="77777777" w:rsidR="004F24F4" w:rsidRDefault="00D91D0B" w:rsidP="00645592">
      <w:pPr>
        <w:spacing w:before="0"/>
        <w:jc w:val="center"/>
        <w:outlineLvl w:val="0"/>
        <w:rPr>
          <w:b/>
          <w:sz w:val="28"/>
        </w:rPr>
      </w:pPr>
      <w:r w:rsidRPr="00665C11">
        <w:rPr>
          <w:b/>
          <w:sz w:val="28"/>
        </w:rPr>
        <w:t>II. Informace o kontrolované oblasti</w:t>
      </w:r>
    </w:p>
    <w:p w14:paraId="0E49A8B7" w14:textId="77777777" w:rsidR="00E251FA" w:rsidRPr="00E671BD" w:rsidRDefault="00E251FA" w:rsidP="00E50E4E">
      <w:pPr>
        <w:spacing w:before="0"/>
        <w:jc w:val="left"/>
        <w:outlineLvl w:val="0"/>
      </w:pPr>
    </w:p>
    <w:p w14:paraId="3ADA2A81" w14:textId="4727E781" w:rsidR="00E251FA" w:rsidRDefault="00E251FA" w:rsidP="00E50E4E">
      <w:pPr>
        <w:spacing w:before="0"/>
        <w:rPr>
          <w:bCs/>
          <w:iCs/>
        </w:rPr>
      </w:pPr>
      <w:r w:rsidRPr="00F12739">
        <w:rPr>
          <w:bCs/>
          <w:iCs/>
        </w:rPr>
        <w:t xml:space="preserve">Živočišná výroba </w:t>
      </w:r>
      <w:r w:rsidR="003F57FA">
        <w:rPr>
          <w:bCs/>
          <w:iCs/>
        </w:rPr>
        <w:t xml:space="preserve">(dále též „ŽV“) </w:t>
      </w:r>
      <w:r w:rsidRPr="00F12739">
        <w:rPr>
          <w:bCs/>
          <w:iCs/>
        </w:rPr>
        <w:t>je klíčovou součástí zemědělské výroby v ČR, která navazuje na rostlinnou produkci. Hlavním cílem živočišné výroby je produkce masa, mléka</w:t>
      </w:r>
      <w:r>
        <w:rPr>
          <w:bCs/>
          <w:iCs/>
        </w:rPr>
        <w:t xml:space="preserve"> a</w:t>
      </w:r>
      <w:r w:rsidRPr="00F12739">
        <w:rPr>
          <w:bCs/>
          <w:iCs/>
        </w:rPr>
        <w:t xml:space="preserve"> vajec nejenom na tuzemský trh, ale i pro </w:t>
      </w:r>
      <w:r>
        <w:rPr>
          <w:bCs/>
          <w:iCs/>
        </w:rPr>
        <w:t>zahraniční trh</w:t>
      </w:r>
      <w:r w:rsidRPr="00F12739">
        <w:rPr>
          <w:bCs/>
          <w:iCs/>
        </w:rPr>
        <w:t>. V ČR je živočišná výroba zastoupena především stájovým chovem skotu</w:t>
      </w:r>
      <w:r>
        <w:rPr>
          <w:bCs/>
          <w:iCs/>
        </w:rPr>
        <w:t xml:space="preserve"> a</w:t>
      </w:r>
      <w:r w:rsidRPr="00F12739">
        <w:rPr>
          <w:bCs/>
          <w:iCs/>
        </w:rPr>
        <w:t xml:space="preserve"> prasat, </w:t>
      </w:r>
      <w:r>
        <w:rPr>
          <w:bCs/>
          <w:iCs/>
        </w:rPr>
        <w:t xml:space="preserve">chovem </w:t>
      </w:r>
      <w:r w:rsidRPr="00F12739">
        <w:rPr>
          <w:bCs/>
          <w:iCs/>
        </w:rPr>
        <w:t>drůbeže, ovcí a koz. Do těchto odvětví smě</w:t>
      </w:r>
      <w:r w:rsidR="00244513">
        <w:rPr>
          <w:bCs/>
          <w:iCs/>
        </w:rPr>
        <w:t>r</w:t>
      </w:r>
      <w:r w:rsidRPr="00F12739">
        <w:rPr>
          <w:bCs/>
          <w:iCs/>
        </w:rPr>
        <w:t xml:space="preserve">uje </w:t>
      </w:r>
      <w:r>
        <w:rPr>
          <w:bCs/>
          <w:iCs/>
        </w:rPr>
        <w:t xml:space="preserve">Ministerstvo zemědělství </w:t>
      </w:r>
      <w:r w:rsidR="001B4C1F">
        <w:rPr>
          <w:bCs/>
          <w:iCs/>
        </w:rPr>
        <w:t xml:space="preserve">významný </w:t>
      </w:r>
      <w:r w:rsidRPr="00F12739">
        <w:rPr>
          <w:bCs/>
          <w:iCs/>
        </w:rPr>
        <w:t xml:space="preserve">díl </w:t>
      </w:r>
      <w:r>
        <w:rPr>
          <w:bCs/>
          <w:iCs/>
        </w:rPr>
        <w:t xml:space="preserve">evropské i </w:t>
      </w:r>
      <w:r w:rsidRPr="00F12739">
        <w:rPr>
          <w:bCs/>
          <w:iCs/>
        </w:rPr>
        <w:t>národní podpory.</w:t>
      </w:r>
    </w:p>
    <w:p w14:paraId="5E9D6F47" w14:textId="77777777" w:rsidR="00E671BD" w:rsidRDefault="00E671BD" w:rsidP="00E50E4E">
      <w:pPr>
        <w:spacing w:before="0"/>
        <w:rPr>
          <w:bCs/>
          <w:iCs/>
        </w:rPr>
      </w:pPr>
    </w:p>
    <w:p w14:paraId="58C2DD85" w14:textId="76DA105B" w:rsidR="00B513C7" w:rsidRDefault="00E251FA" w:rsidP="00E50E4E">
      <w:pPr>
        <w:spacing w:before="0"/>
        <w:rPr>
          <w:bCs/>
          <w:iCs/>
        </w:rPr>
      </w:pPr>
      <w:r>
        <w:rPr>
          <w:bCs/>
          <w:iCs/>
        </w:rPr>
        <w:t>Kontrolní akce NKÚ se zaměřila</w:t>
      </w:r>
      <w:r w:rsidRPr="00DE41E9">
        <w:rPr>
          <w:bCs/>
          <w:iCs/>
        </w:rPr>
        <w:t xml:space="preserve"> na </w:t>
      </w:r>
      <w:r w:rsidR="0077714E">
        <w:rPr>
          <w:bCs/>
          <w:iCs/>
        </w:rPr>
        <w:t>nejdůležitější</w:t>
      </w:r>
      <w:r w:rsidRPr="00DE41E9">
        <w:rPr>
          <w:bCs/>
          <w:iCs/>
        </w:rPr>
        <w:t xml:space="preserve"> odvětví živočišné výroby, a sice na chov skotu a produkci hovězího masa a mléka a na chov prasat a produkci vepřového masa.</w:t>
      </w:r>
      <w:r w:rsidRPr="0071578F">
        <w:rPr>
          <w:bCs/>
          <w:iCs/>
        </w:rPr>
        <w:t xml:space="preserve"> </w:t>
      </w:r>
      <w:r w:rsidRPr="00D311E5">
        <w:rPr>
          <w:bCs/>
          <w:iCs/>
        </w:rPr>
        <w:t xml:space="preserve">V rámci těchto odvětví </w:t>
      </w:r>
      <w:r>
        <w:rPr>
          <w:bCs/>
          <w:iCs/>
        </w:rPr>
        <w:t>byly</w:t>
      </w:r>
      <w:r w:rsidRPr="00D311E5">
        <w:rPr>
          <w:bCs/>
          <w:iCs/>
        </w:rPr>
        <w:t xml:space="preserve"> prověřeny klíčové oblasti</w:t>
      </w:r>
      <w:r w:rsidR="00CC6184">
        <w:rPr>
          <w:bCs/>
          <w:iCs/>
        </w:rPr>
        <w:t>,</w:t>
      </w:r>
      <w:r w:rsidRPr="00D311E5">
        <w:rPr>
          <w:bCs/>
          <w:iCs/>
        </w:rPr>
        <w:t xml:space="preserve"> jako</w:t>
      </w:r>
      <w:r w:rsidR="00CC6184">
        <w:rPr>
          <w:bCs/>
          <w:iCs/>
        </w:rPr>
        <w:t xml:space="preserve"> jsou</w:t>
      </w:r>
      <w:r w:rsidRPr="00D311E5">
        <w:rPr>
          <w:bCs/>
          <w:iCs/>
        </w:rPr>
        <w:t xml:space="preserve"> nastavení strategick</w:t>
      </w:r>
      <w:r w:rsidR="001B4C1F">
        <w:rPr>
          <w:bCs/>
          <w:iCs/>
        </w:rPr>
        <w:t>ého</w:t>
      </w:r>
      <w:r w:rsidRPr="00D311E5">
        <w:rPr>
          <w:bCs/>
          <w:iCs/>
        </w:rPr>
        <w:t xml:space="preserve"> plán</w:t>
      </w:r>
      <w:r w:rsidR="001B4C1F">
        <w:rPr>
          <w:bCs/>
          <w:iCs/>
        </w:rPr>
        <w:t>u</w:t>
      </w:r>
      <w:r w:rsidRPr="00D311E5">
        <w:rPr>
          <w:bCs/>
          <w:iCs/>
        </w:rPr>
        <w:t xml:space="preserve">, stanovení cílů, </w:t>
      </w:r>
      <w:r w:rsidR="001B4C1F" w:rsidRPr="00D311E5">
        <w:rPr>
          <w:bCs/>
          <w:iCs/>
        </w:rPr>
        <w:t xml:space="preserve">systém řízení a kontroly, </w:t>
      </w:r>
      <w:r w:rsidRPr="00D311E5">
        <w:rPr>
          <w:bCs/>
          <w:iCs/>
        </w:rPr>
        <w:t>monitoring výstupů a dopa</w:t>
      </w:r>
      <w:r w:rsidR="004A450E">
        <w:rPr>
          <w:bCs/>
          <w:iCs/>
        </w:rPr>
        <w:t>dů podpor, vyhodnocování cílů a </w:t>
      </w:r>
      <w:r w:rsidRPr="00D311E5">
        <w:rPr>
          <w:bCs/>
          <w:iCs/>
        </w:rPr>
        <w:t>přínosů vybraných podpor</w:t>
      </w:r>
      <w:r>
        <w:rPr>
          <w:bCs/>
          <w:iCs/>
        </w:rPr>
        <w:t>.</w:t>
      </w:r>
      <w:r w:rsidRPr="00D311E5">
        <w:rPr>
          <w:bCs/>
          <w:iCs/>
        </w:rPr>
        <w:t xml:space="preserve"> Na systémové úrovni b</w:t>
      </w:r>
      <w:r>
        <w:rPr>
          <w:bCs/>
          <w:iCs/>
        </w:rPr>
        <w:t>yly</w:t>
      </w:r>
      <w:r w:rsidRPr="00D311E5">
        <w:rPr>
          <w:bCs/>
          <w:iCs/>
        </w:rPr>
        <w:t xml:space="preserve"> posouzeny nastavené podmínky pro poskytování </w:t>
      </w:r>
      <w:r w:rsidR="007C40C5">
        <w:rPr>
          <w:bCs/>
          <w:iCs/>
        </w:rPr>
        <w:t xml:space="preserve">evropských i národních </w:t>
      </w:r>
      <w:r w:rsidR="00CF797C">
        <w:rPr>
          <w:bCs/>
          <w:iCs/>
        </w:rPr>
        <w:t>dotací</w:t>
      </w:r>
      <w:r w:rsidR="007C40C5">
        <w:rPr>
          <w:bCs/>
          <w:iCs/>
        </w:rPr>
        <w:t xml:space="preserve">. </w:t>
      </w:r>
      <w:r w:rsidRPr="00D311E5">
        <w:rPr>
          <w:bCs/>
          <w:iCs/>
        </w:rPr>
        <w:t>U vybraných podpor</w:t>
      </w:r>
      <w:r>
        <w:rPr>
          <w:bCs/>
          <w:iCs/>
        </w:rPr>
        <w:t xml:space="preserve"> (dotačních opatření)</w:t>
      </w:r>
      <w:r w:rsidRPr="00D311E5">
        <w:rPr>
          <w:bCs/>
          <w:iCs/>
        </w:rPr>
        <w:t xml:space="preserve"> b</w:t>
      </w:r>
      <w:r>
        <w:rPr>
          <w:bCs/>
          <w:iCs/>
        </w:rPr>
        <w:t>yl</w:t>
      </w:r>
      <w:r w:rsidRPr="00D311E5">
        <w:rPr>
          <w:bCs/>
          <w:iCs/>
        </w:rPr>
        <w:t xml:space="preserve"> prověřen proces administrace a kontroly a </w:t>
      </w:r>
      <w:r>
        <w:rPr>
          <w:bCs/>
          <w:iCs/>
        </w:rPr>
        <w:t xml:space="preserve">dále bylo prověřeno, </w:t>
      </w:r>
      <w:r w:rsidRPr="00D311E5">
        <w:rPr>
          <w:bCs/>
          <w:iCs/>
        </w:rPr>
        <w:t xml:space="preserve">zda </w:t>
      </w:r>
      <w:r>
        <w:rPr>
          <w:bCs/>
          <w:iCs/>
        </w:rPr>
        <w:t xml:space="preserve">byly </w:t>
      </w:r>
      <w:r w:rsidRPr="00D311E5">
        <w:rPr>
          <w:bCs/>
          <w:iCs/>
        </w:rPr>
        <w:t>veřejné prostředky poskytnuty v souladu se stanovenými podmínkami</w:t>
      </w:r>
      <w:r>
        <w:rPr>
          <w:bCs/>
          <w:iCs/>
        </w:rPr>
        <w:t xml:space="preserve"> a zda byla </w:t>
      </w:r>
      <w:r w:rsidRPr="00D311E5">
        <w:rPr>
          <w:bCs/>
          <w:iCs/>
        </w:rPr>
        <w:t>podpora účinná</w:t>
      </w:r>
      <w:r>
        <w:rPr>
          <w:bCs/>
          <w:iCs/>
        </w:rPr>
        <w:t>.</w:t>
      </w:r>
      <w:r w:rsidRPr="00D311E5">
        <w:rPr>
          <w:bCs/>
          <w:iCs/>
        </w:rPr>
        <w:t xml:space="preserve"> </w:t>
      </w:r>
    </w:p>
    <w:p w14:paraId="46B91247" w14:textId="77777777" w:rsidR="00E671BD" w:rsidRDefault="00E671BD" w:rsidP="00E50E4E">
      <w:pPr>
        <w:spacing w:before="0"/>
        <w:rPr>
          <w:bCs/>
          <w:iCs/>
        </w:rPr>
      </w:pPr>
    </w:p>
    <w:p w14:paraId="44FF1B43" w14:textId="2C7E0DC7" w:rsidR="00B513C7" w:rsidRPr="00B513C7" w:rsidRDefault="00487B4F" w:rsidP="00E50E4E">
      <w:pPr>
        <w:spacing w:before="0"/>
        <w:rPr>
          <w:bCs/>
          <w:iCs/>
        </w:rPr>
      </w:pPr>
      <w:r w:rsidRPr="00C6558C">
        <w:t>Údaje o ekonomickém a produkčním vývoji v sektoru zemědělství</w:t>
      </w:r>
      <w:r w:rsidR="004A450E">
        <w:t xml:space="preserve"> jsou evidována a zpracovávána v rámci</w:t>
      </w:r>
      <w:r w:rsidR="005D7F1E" w:rsidRPr="00C6558C">
        <w:t xml:space="preserve"> </w:t>
      </w:r>
      <w:r w:rsidR="005D7F1E" w:rsidRPr="0071578F">
        <w:rPr>
          <w:i/>
        </w:rPr>
        <w:t>Zemědělské účetní</w:t>
      </w:r>
      <w:r w:rsidRPr="0071578F">
        <w:rPr>
          <w:i/>
        </w:rPr>
        <w:t xml:space="preserve"> </w:t>
      </w:r>
      <w:r w:rsidR="005D7F1E" w:rsidRPr="0071578F">
        <w:rPr>
          <w:i/>
        </w:rPr>
        <w:t>datové sítě</w:t>
      </w:r>
      <w:r w:rsidR="005D7F1E">
        <w:t xml:space="preserve"> </w:t>
      </w:r>
      <w:r w:rsidR="005D7F1E" w:rsidRPr="0071578F">
        <w:rPr>
          <w:i/>
        </w:rPr>
        <w:t>FADN</w:t>
      </w:r>
      <w:r>
        <w:t xml:space="preserve"> ČR</w:t>
      </w:r>
      <w:r w:rsidR="005D7F1E">
        <w:rPr>
          <w:rStyle w:val="Znakapoznpodarou"/>
        </w:rPr>
        <w:footnoteReference w:id="3"/>
      </w:r>
      <w:r w:rsidR="005D7F1E">
        <w:t xml:space="preserve">. </w:t>
      </w:r>
      <w:r w:rsidR="008B3BF9">
        <w:t xml:space="preserve">Tato síť, </w:t>
      </w:r>
      <w:r w:rsidR="00A21C93">
        <w:t>jejímž</w:t>
      </w:r>
      <w:r w:rsidR="008B3BF9">
        <w:t xml:space="preserve"> provozováním je v ČR pověřeno kontaktní pracoviště FADN při Ústavu zemědělské ekonomiky a informací</w:t>
      </w:r>
      <w:r w:rsidR="00B513C7">
        <w:t xml:space="preserve">, </w:t>
      </w:r>
      <w:r w:rsidR="008B3BF9">
        <w:t>je</w:t>
      </w:r>
      <w:r w:rsidR="00B513C7">
        <w:t xml:space="preserve"> hlavní</w:t>
      </w:r>
      <w:r w:rsidR="008B3BF9">
        <w:t>m</w:t>
      </w:r>
      <w:r w:rsidR="00B513C7">
        <w:t xml:space="preserve"> informační</w:t>
      </w:r>
      <w:r w:rsidR="008B3BF9">
        <w:t>m</w:t>
      </w:r>
      <w:r w:rsidR="00B513C7">
        <w:t xml:space="preserve"> zdroj</w:t>
      </w:r>
      <w:r w:rsidR="008B3BF9">
        <w:t>em</w:t>
      </w:r>
      <w:r w:rsidR="00B513C7">
        <w:t xml:space="preserve"> Evropské komise o reálné ekonomické situaci zemědělských podniků.</w:t>
      </w:r>
    </w:p>
    <w:p w14:paraId="09C5C1A5" w14:textId="77777777" w:rsidR="00E671BD" w:rsidRDefault="00E671BD" w:rsidP="00E50E4E">
      <w:pPr>
        <w:pStyle w:val="Odstavecseseznamem"/>
        <w:spacing w:before="0"/>
        <w:ind w:left="0"/>
        <w:contextualSpacing w:val="0"/>
        <w:rPr>
          <w:rFonts w:asciiTheme="minorHAnsi" w:hAnsiTheme="minorHAnsi" w:cstheme="minorHAnsi"/>
        </w:rPr>
      </w:pPr>
    </w:p>
    <w:p w14:paraId="02A2846D" w14:textId="77777777" w:rsidR="00D829CE" w:rsidRPr="008243D1" w:rsidRDefault="00D829CE" w:rsidP="00E50E4E">
      <w:pPr>
        <w:pStyle w:val="Odstavecseseznamem"/>
        <w:spacing w:before="0"/>
        <w:ind w:left="0"/>
        <w:contextualSpacing w:val="0"/>
        <w:rPr>
          <w:rFonts w:asciiTheme="minorHAnsi" w:hAnsiTheme="minorHAnsi" w:cstheme="minorHAnsi"/>
        </w:rPr>
      </w:pPr>
      <w:r>
        <w:rPr>
          <w:rFonts w:asciiTheme="minorHAnsi" w:hAnsiTheme="minorHAnsi" w:cstheme="minorHAnsi"/>
        </w:rPr>
        <w:t>MZe</w:t>
      </w:r>
      <w:r w:rsidR="0098083A">
        <w:rPr>
          <w:rFonts w:asciiTheme="minorHAnsi" w:hAnsiTheme="minorHAnsi" w:cstheme="minorHAnsi"/>
        </w:rPr>
        <w:t xml:space="preserve"> poskyt</w:t>
      </w:r>
      <w:r w:rsidR="00AC400D">
        <w:rPr>
          <w:rFonts w:asciiTheme="minorHAnsi" w:hAnsiTheme="minorHAnsi" w:cstheme="minorHAnsi"/>
        </w:rPr>
        <w:t xml:space="preserve">lo </w:t>
      </w:r>
      <w:r>
        <w:rPr>
          <w:rFonts w:asciiTheme="minorHAnsi" w:hAnsiTheme="minorHAnsi" w:cstheme="minorHAnsi"/>
        </w:rPr>
        <w:t xml:space="preserve">v kontrolovaném období </w:t>
      </w:r>
      <w:r w:rsidR="0098083A">
        <w:rPr>
          <w:rFonts w:asciiTheme="minorHAnsi" w:hAnsiTheme="minorHAnsi" w:cstheme="minorHAnsi"/>
        </w:rPr>
        <w:t xml:space="preserve">podporu ze státních prostředků </w:t>
      </w:r>
      <w:r>
        <w:rPr>
          <w:rFonts w:asciiTheme="minorHAnsi" w:hAnsiTheme="minorHAnsi" w:cstheme="minorHAnsi"/>
        </w:rPr>
        <w:t xml:space="preserve">v celkové výši </w:t>
      </w:r>
      <w:r w:rsidR="004A450E">
        <w:rPr>
          <w:rFonts w:asciiTheme="minorHAnsi" w:hAnsiTheme="minorHAnsi" w:cstheme="minorHAnsi"/>
        </w:rPr>
        <w:t>8</w:t>
      </w:r>
      <w:r w:rsidR="00000596">
        <w:rPr>
          <w:rFonts w:asciiTheme="minorHAnsi" w:hAnsiTheme="minorHAnsi" w:cstheme="minorHAnsi"/>
        </w:rPr>
        <w:t>,</w:t>
      </w:r>
      <w:r w:rsidR="004A450E">
        <w:rPr>
          <w:rFonts w:asciiTheme="minorHAnsi" w:hAnsiTheme="minorHAnsi" w:cstheme="minorHAnsi"/>
        </w:rPr>
        <w:t>4 </w:t>
      </w:r>
      <w:r w:rsidR="00ED1175">
        <w:rPr>
          <w:rFonts w:asciiTheme="minorHAnsi" w:hAnsiTheme="minorHAnsi" w:cstheme="minorHAnsi"/>
        </w:rPr>
        <w:t>miliard</w:t>
      </w:r>
      <w:r>
        <w:rPr>
          <w:rFonts w:asciiTheme="minorHAnsi" w:hAnsiTheme="minorHAnsi" w:cstheme="minorHAnsi"/>
        </w:rPr>
        <w:t xml:space="preserve"> Kč, a to </w:t>
      </w:r>
      <w:r w:rsidRPr="008243D1">
        <w:rPr>
          <w:rFonts w:asciiTheme="minorHAnsi" w:hAnsiTheme="minorHAnsi" w:cstheme="minorHAnsi"/>
        </w:rPr>
        <w:t>prostřednictvím</w:t>
      </w:r>
      <w:r>
        <w:rPr>
          <w:rFonts w:asciiTheme="minorHAnsi" w:hAnsiTheme="minorHAnsi" w:cstheme="minorHAnsi"/>
        </w:rPr>
        <w:t xml:space="preserve"> těchto národních dotačních programů</w:t>
      </w:r>
      <w:r w:rsidR="00B74639">
        <w:rPr>
          <w:rStyle w:val="Znakapoznpodarou"/>
          <w:rFonts w:asciiTheme="minorHAnsi" w:hAnsiTheme="minorHAnsi" w:cstheme="minorHAnsi"/>
        </w:rPr>
        <w:footnoteReference w:id="4"/>
      </w:r>
      <w:r w:rsidRPr="008243D1">
        <w:rPr>
          <w:rFonts w:asciiTheme="minorHAnsi" w:hAnsiTheme="minorHAnsi" w:cstheme="minorHAnsi"/>
        </w:rPr>
        <w:t>:</w:t>
      </w:r>
    </w:p>
    <w:p w14:paraId="2FBF06E4" w14:textId="7AE354CB" w:rsidR="00D829CE" w:rsidRPr="00D829CE" w:rsidRDefault="00D829CE" w:rsidP="00E671BD">
      <w:pPr>
        <w:pStyle w:val="Odstavecseseznamem"/>
        <w:numPr>
          <w:ilvl w:val="0"/>
          <w:numId w:val="15"/>
        </w:numPr>
        <w:spacing w:before="0"/>
        <w:ind w:left="567" w:hanging="283"/>
        <w:contextualSpacing w:val="0"/>
        <w:rPr>
          <w:b/>
          <w:bCs/>
          <w:shd w:val="clear" w:color="auto" w:fill="FFFFFF"/>
        </w:rPr>
      </w:pPr>
      <w:r w:rsidRPr="0071578F">
        <w:rPr>
          <w:bCs/>
          <w:shd w:val="clear" w:color="auto" w:fill="FFFFFF"/>
        </w:rPr>
        <w:t>2.A</w:t>
      </w:r>
      <w:r w:rsidRPr="00D829CE">
        <w:rPr>
          <w:bCs/>
          <w:i/>
          <w:shd w:val="clear" w:color="auto" w:fill="FFFFFF"/>
        </w:rPr>
        <w:t xml:space="preserve"> Udržování a zlepšování genetického potenciálu vyjmenovaných hospodářských zvířat</w:t>
      </w:r>
      <w:r w:rsidR="009F02CE">
        <w:rPr>
          <w:bCs/>
          <w:shd w:val="clear" w:color="auto" w:fill="FFFFFF"/>
        </w:rPr>
        <w:t>;</w:t>
      </w:r>
      <w:r w:rsidRPr="00D829CE">
        <w:rPr>
          <w:bCs/>
          <w:shd w:val="clear" w:color="auto" w:fill="FFFFFF"/>
        </w:rPr>
        <w:t xml:space="preserve"> </w:t>
      </w:r>
    </w:p>
    <w:p w14:paraId="4E7822A2" w14:textId="07AA7924" w:rsidR="00D829CE" w:rsidRPr="00D829CE" w:rsidRDefault="00D829CE" w:rsidP="00E671BD">
      <w:pPr>
        <w:pStyle w:val="Odstavecseseznamem"/>
        <w:numPr>
          <w:ilvl w:val="0"/>
          <w:numId w:val="15"/>
        </w:numPr>
        <w:spacing w:before="0"/>
        <w:ind w:left="567" w:hanging="283"/>
        <w:contextualSpacing w:val="0"/>
        <w:rPr>
          <w:b/>
          <w:bCs/>
          <w:shd w:val="clear" w:color="auto" w:fill="FFFFFF"/>
        </w:rPr>
      </w:pPr>
      <w:r w:rsidRPr="0071578F">
        <w:rPr>
          <w:bCs/>
          <w:shd w:val="clear" w:color="auto" w:fill="FFFFFF"/>
        </w:rPr>
        <w:t>2.D</w:t>
      </w:r>
      <w:r w:rsidRPr="00D829CE">
        <w:rPr>
          <w:bCs/>
          <w:i/>
          <w:shd w:val="clear" w:color="auto" w:fill="FFFFFF"/>
        </w:rPr>
        <w:t xml:space="preserve"> Nákup plemenných zvířat</w:t>
      </w:r>
      <w:r w:rsidRPr="00D829CE">
        <w:rPr>
          <w:bCs/>
          <w:shd w:val="clear" w:color="auto" w:fill="FFFFFF"/>
        </w:rPr>
        <w:t xml:space="preserve"> – účelem je zlepšení genetické hodnoty stád skotu, ovcí a</w:t>
      </w:r>
      <w:r w:rsidR="009F02CE">
        <w:rPr>
          <w:bCs/>
          <w:shd w:val="clear" w:color="auto" w:fill="FFFFFF"/>
        </w:rPr>
        <w:t> </w:t>
      </w:r>
      <w:r w:rsidRPr="00D829CE">
        <w:rPr>
          <w:bCs/>
          <w:shd w:val="clear" w:color="auto" w:fill="FFFFFF"/>
        </w:rPr>
        <w:t>koz</w:t>
      </w:r>
      <w:r w:rsidR="009F02CE">
        <w:rPr>
          <w:bCs/>
          <w:shd w:val="clear" w:color="auto" w:fill="FFFFFF"/>
        </w:rPr>
        <w:t>;</w:t>
      </w:r>
    </w:p>
    <w:p w14:paraId="71D58E78" w14:textId="447E3719" w:rsidR="00D829CE" w:rsidRPr="00D829CE" w:rsidRDefault="00D829CE" w:rsidP="00E671BD">
      <w:pPr>
        <w:pStyle w:val="Odstavecseseznamem"/>
        <w:numPr>
          <w:ilvl w:val="0"/>
          <w:numId w:val="15"/>
        </w:numPr>
        <w:spacing w:before="0"/>
        <w:ind w:left="567" w:hanging="283"/>
        <w:contextualSpacing w:val="0"/>
        <w:rPr>
          <w:bCs/>
          <w:shd w:val="clear" w:color="auto" w:fill="FFFFFF"/>
        </w:rPr>
      </w:pPr>
      <w:r w:rsidRPr="0071578F">
        <w:rPr>
          <w:bCs/>
          <w:shd w:val="clear" w:color="auto" w:fill="FFFFFF"/>
        </w:rPr>
        <w:t>8.F</w:t>
      </w:r>
      <w:r w:rsidRPr="00D829CE">
        <w:rPr>
          <w:bCs/>
          <w:i/>
          <w:shd w:val="clear" w:color="auto" w:fill="FFFFFF"/>
        </w:rPr>
        <w:t xml:space="preserve"> Nákazový fond</w:t>
      </w:r>
      <w:r w:rsidRPr="00D829CE">
        <w:rPr>
          <w:bCs/>
          <w:shd w:val="clear" w:color="auto" w:fill="FFFFFF"/>
        </w:rPr>
        <w:t xml:space="preserve"> </w:t>
      </w:r>
      <w:r w:rsidR="009F02CE">
        <w:rPr>
          <w:bCs/>
          <w:shd w:val="clear" w:color="auto" w:fill="FFFFFF"/>
        </w:rPr>
        <w:t>–</w:t>
      </w:r>
      <w:r w:rsidRPr="00D829CE">
        <w:rPr>
          <w:bCs/>
          <w:shd w:val="clear" w:color="auto" w:fill="FFFFFF"/>
        </w:rPr>
        <w:t xml:space="preserve"> účelem je podpora vybraných činností zaměřených na ozdravení chovů prasat a drůbeže</w:t>
      </w:r>
      <w:r w:rsidR="009F02CE">
        <w:rPr>
          <w:bCs/>
          <w:shd w:val="clear" w:color="auto" w:fill="FFFFFF"/>
        </w:rPr>
        <w:t>;</w:t>
      </w:r>
      <w:r w:rsidRPr="00D829CE">
        <w:rPr>
          <w:bCs/>
          <w:shd w:val="clear" w:color="auto" w:fill="FFFFFF"/>
        </w:rPr>
        <w:t xml:space="preserve"> </w:t>
      </w:r>
    </w:p>
    <w:p w14:paraId="28C787D5" w14:textId="647EA1C9" w:rsidR="00D829CE" w:rsidRPr="00D829CE" w:rsidRDefault="00D829CE" w:rsidP="00E671BD">
      <w:pPr>
        <w:pStyle w:val="Odstavecseseznamem"/>
        <w:numPr>
          <w:ilvl w:val="0"/>
          <w:numId w:val="15"/>
        </w:numPr>
        <w:spacing w:before="0"/>
        <w:ind w:left="567" w:hanging="283"/>
        <w:contextualSpacing w:val="0"/>
        <w:rPr>
          <w:bCs/>
          <w:i/>
          <w:shd w:val="clear" w:color="auto" w:fill="FFFFFF"/>
        </w:rPr>
      </w:pPr>
      <w:r w:rsidRPr="0071578F">
        <w:rPr>
          <w:bCs/>
          <w:shd w:val="clear" w:color="auto" w:fill="FFFFFF"/>
        </w:rPr>
        <w:t>19.A</w:t>
      </w:r>
      <w:r w:rsidRPr="00D829CE">
        <w:rPr>
          <w:bCs/>
          <w:i/>
          <w:shd w:val="clear" w:color="auto" w:fill="FFFFFF"/>
        </w:rPr>
        <w:t xml:space="preserve"> Podpora na účast producentů a zpracovatelů mléka v režimu jakosti Q CZ</w:t>
      </w:r>
      <w:r w:rsidR="00AF4B66">
        <w:rPr>
          <w:bCs/>
          <w:i/>
          <w:shd w:val="clear" w:color="auto" w:fill="FFFFFF"/>
        </w:rPr>
        <w:t xml:space="preserve"> – </w:t>
      </w:r>
      <w:r w:rsidR="00AF4B66">
        <w:rPr>
          <w:bCs/>
          <w:shd w:val="clear" w:color="auto" w:fill="FFFFFF"/>
        </w:rPr>
        <w:t>účelem dotace je podpora účasti v režimech jakosti mléka Q CZ v zájmu zlepšení tržních příležitostí a dosažení přidané hodnoty u mléka a mléčných výrobků</w:t>
      </w:r>
      <w:r w:rsidR="009F02CE">
        <w:rPr>
          <w:bCs/>
          <w:shd w:val="clear" w:color="auto" w:fill="FFFFFF"/>
        </w:rPr>
        <w:t>;</w:t>
      </w:r>
    </w:p>
    <w:p w14:paraId="09B2C223" w14:textId="606CED5D" w:rsidR="006F1D8A" w:rsidRPr="006F1D8A" w:rsidRDefault="00AF4B66" w:rsidP="00E671BD">
      <w:pPr>
        <w:pStyle w:val="Odstavecseseznamem"/>
        <w:numPr>
          <w:ilvl w:val="0"/>
          <w:numId w:val="15"/>
        </w:numPr>
        <w:spacing w:before="0"/>
        <w:ind w:left="567" w:hanging="283"/>
        <w:contextualSpacing w:val="0"/>
        <w:rPr>
          <w:bCs/>
          <w:u w:val="single"/>
          <w:shd w:val="clear" w:color="auto" w:fill="FFFFFF"/>
        </w:rPr>
      </w:pPr>
      <w:r w:rsidRPr="0071578F">
        <w:rPr>
          <w:bCs/>
          <w:shd w:val="clear" w:color="auto" w:fill="FFFFFF"/>
        </w:rPr>
        <w:t>20.</w:t>
      </w:r>
      <w:r w:rsidR="00D829CE" w:rsidRPr="0071578F">
        <w:rPr>
          <w:bCs/>
          <w:shd w:val="clear" w:color="auto" w:fill="FFFFFF"/>
        </w:rPr>
        <w:t>A</w:t>
      </w:r>
      <w:r w:rsidR="00D829CE" w:rsidRPr="00D829CE">
        <w:rPr>
          <w:bCs/>
          <w:i/>
          <w:shd w:val="clear" w:color="auto" w:fill="FFFFFF"/>
        </w:rPr>
        <w:t xml:space="preserve"> </w:t>
      </w:r>
      <w:r w:rsidR="00FE620B">
        <w:rPr>
          <w:bCs/>
          <w:i/>
          <w:shd w:val="clear" w:color="auto" w:fill="FFFFFF"/>
        </w:rPr>
        <w:t>Zlepšení životních podmínek v chovu dojnic</w:t>
      </w:r>
      <w:r w:rsidR="009F02CE">
        <w:rPr>
          <w:bCs/>
          <w:shd w:val="clear" w:color="auto" w:fill="FFFFFF"/>
        </w:rPr>
        <w:t>;</w:t>
      </w:r>
    </w:p>
    <w:p w14:paraId="29CE5E55" w14:textId="77777777" w:rsidR="006F1D8A" w:rsidRPr="006F1D8A" w:rsidRDefault="006F1D8A" w:rsidP="00E671BD">
      <w:pPr>
        <w:pStyle w:val="Odstavecseseznamem"/>
        <w:numPr>
          <w:ilvl w:val="0"/>
          <w:numId w:val="15"/>
        </w:numPr>
        <w:spacing w:before="0"/>
        <w:ind w:left="567" w:hanging="283"/>
        <w:contextualSpacing w:val="0"/>
      </w:pPr>
      <w:r w:rsidRPr="006F1D8A">
        <w:rPr>
          <w:i/>
        </w:rPr>
        <w:t xml:space="preserve">Podpora udržovatelům genetických zdrojů hospodářských zvířat, ryb a včel </w:t>
      </w:r>
      <w:r>
        <w:t xml:space="preserve">– účelem je </w:t>
      </w:r>
      <w:r w:rsidRPr="006F1D8A">
        <w:t>zachování genetických zdrojů hospodářských zvířat a geneticky cenných populací hospodářských zvířat, ryb a včel</w:t>
      </w:r>
      <w:r w:rsidR="00DC0AEC">
        <w:t>.</w:t>
      </w:r>
    </w:p>
    <w:p w14:paraId="6D059D65" w14:textId="4DDAFDE6" w:rsidR="00FE620B" w:rsidRPr="00FE620B" w:rsidRDefault="00D829CE" w:rsidP="00E671BD">
      <w:pPr>
        <w:pStyle w:val="Odstavecseseznamem"/>
        <w:numPr>
          <w:ilvl w:val="0"/>
          <w:numId w:val="15"/>
        </w:numPr>
        <w:spacing w:before="0"/>
        <w:ind w:left="567" w:hanging="283"/>
        <w:contextualSpacing w:val="0"/>
        <w:rPr>
          <w:rFonts w:asciiTheme="minorHAnsi" w:hAnsiTheme="minorHAnsi" w:cstheme="minorHAnsi"/>
        </w:rPr>
      </w:pPr>
      <w:r w:rsidRPr="0071578F">
        <w:rPr>
          <w:bCs/>
          <w:shd w:val="clear" w:color="auto" w:fill="FFFFFF"/>
        </w:rPr>
        <w:t xml:space="preserve">S.1.2 </w:t>
      </w:r>
      <w:r w:rsidRPr="00FE620B">
        <w:rPr>
          <w:bCs/>
          <w:i/>
          <w:shd w:val="clear" w:color="auto" w:fill="FFFFFF"/>
        </w:rPr>
        <w:t>Kompenzace za sucho 2015</w:t>
      </w:r>
      <w:r w:rsidRPr="00FE620B">
        <w:rPr>
          <w:bCs/>
          <w:shd w:val="clear" w:color="auto" w:fill="FFFFFF"/>
        </w:rPr>
        <w:t xml:space="preserve"> –</w:t>
      </w:r>
      <w:r w:rsidRPr="00FE620B">
        <w:rPr>
          <w:b/>
          <w:bCs/>
          <w:shd w:val="clear" w:color="auto" w:fill="FFFFFF"/>
        </w:rPr>
        <w:t xml:space="preserve"> </w:t>
      </w:r>
      <w:r w:rsidR="007863E4" w:rsidRPr="00FE620B">
        <w:rPr>
          <w:bCs/>
          <w:shd w:val="clear" w:color="auto" w:fill="FFFFFF"/>
        </w:rPr>
        <w:t>účelem</w:t>
      </w:r>
      <w:r w:rsidRPr="00FE620B">
        <w:rPr>
          <w:bCs/>
          <w:shd w:val="clear" w:color="auto" w:fill="FFFFFF"/>
        </w:rPr>
        <w:t xml:space="preserve"> podpory je zmírnit dopady sucha z roku 2015 v sektoru ŽV. </w:t>
      </w:r>
    </w:p>
    <w:p w14:paraId="0B742694" w14:textId="77777777" w:rsidR="00E671BD" w:rsidRDefault="00E671BD" w:rsidP="00E50E4E">
      <w:pPr>
        <w:spacing w:before="0"/>
      </w:pPr>
    </w:p>
    <w:p w14:paraId="01F8AB0D" w14:textId="77777777" w:rsidR="00D829CE" w:rsidRPr="00FE620B" w:rsidRDefault="00CD4B03" w:rsidP="00E50E4E">
      <w:pPr>
        <w:spacing w:before="0"/>
      </w:pPr>
      <w:r>
        <w:t xml:space="preserve">MZe poskytlo </w:t>
      </w:r>
      <w:r w:rsidR="00AC400D">
        <w:t>v kontrolovaném období p</w:t>
      </w:r>
      <w:r w:rsidR="00D829CE" w:rsidRPr="00FE620B">
        <w:t>odporu z prostředků Evropské unie</w:t>
      </w:r>
      <w:r w:rsidR="002E4D7C" w:rsidRPr="00FE620B">
        <w:t xml:space="preserve"> a státního rozpočtu</w:t>
      </w:r>
      <w:r w:rsidR="00D829CE" w:rsidRPr="00FE620B">
        <w:t xml:space="preserve"> v celkové výši </w:t>
      </w:r>
      <w:r w:rsidR="00ED1175">
        <w:t>12,7 miliard</w:t>
      </w:r>
      <w:r w:rsidR="00D829CE" w:rsidRPr="00FE620B">
        <w:t xml:space="preserve"> Kč, a </w:t>
      </w:r>
      <w:r w:rsidR="00FE620B" w:rsidRPr="00FE620B">
        <w:t>to prostřednictvím:</w:t>
      </w:r>
    </w:p>
    <w:p w14:paraId="3BC6B670" w14:textId="77777777" w:rsidR="00A46B5F" w:rsidRPr="00B919FE" w:rsidRDefault="005C685F" w:rsidP="00E671BD">
      <w:pPr>
        <w:pStyle w:val="Odstavecseseznamem"/>
        <w:numPr>
          <w:ilvl w:val="0"/>
          <w:numId w:val="17"/>
        </w:numPr>
        <w:spacing w:before="0"/>
        <w:ind w:left="567" w:hanging="283"/>
        <w:contextualSpacing w:val="0"/>
        <w:rPr>
          <w:bCs/>
          <w:i/>
          <w:iCs/>
        </w:rPr>
      </w:pPr>
      <w:r w:rsidRPr="002E4D7C">
        <w:rPr>
          <w:bCs/>
          <w:i/>
          <w:iCs/>
        </w:rPr>
        <w:t>přímých plateb</w:t>
      </w:r>
      <w:r>
        <w:rPr>
          <w:bCs/>
          <w:iCs/>
        </w:rPr>
        <w:t xml:space="preserve">, složek </w:t>
      </w:r>
    </w:p>
    <w:p w14:paraId="5151C0AE" w14:textId="654B36B8" w:rsidR="00A46B5F" w:rsidRPr="00B919FE" w:rsidRDefault="00F57C83" w:rsidP="00E671BD">
      <w:pPr>
        <w:pStyle w:val="Odstavecseseznamem"/>
        <w:numPr>
          <w:ilvl w:val="0"/>
          <w:numId w:val="17"/>
        </w:numPr>
        <w:spacing w:before="0"/>
        <w:ind w:left="851" w:hanging="284"/>
        <w:contextualSpacing w:val="0"/>
        <w:rPr>
          <w:bCs/>
          <w:i/>
          <w:iCs/>
        </w:rPr>
      </w:pPr>
      <w:r>
        <w:rPr>
          <w:bCs/>
          <w:i/>
          <w:iCs/>
        </w:rPr>
        <w:t>d</w:t>
      </w:r>
      <w:r w:rsidR="005C685F" w:rsidRPr="002E4D7C">
        <w:rPr>
          <w:bCs/>
          <w:i/>
          <w:iCs/>
        </w:rPr>
        <w:t>obrovolná podpora vázaná na produkci</w:t>
      </w:r>
      <w:r w:rsidR="009F02CE">
        <w:rPr>
          <w:bCs/>
          <w:iCs/>
        </w:rPr>
        <w:t>,</w:t>
      </w:r>
    </w:p>
    <w:p w14:paraId="4859A375" w14:textId="117F2CB4" w:rsidR="00D829CE" w:rsidRPr="002E4D7C" w:rsidRDefault="00F57C83" w:rsidP="00E671BD">
      <w:pPr>
        <w:pStyle w:val="Odstavecseseznamem"/>
        <w:numPr>
          <w:ilvl w:val="0"/>
          <w:numId w:val="17"/>
        </w:numPr>
        <w:spacing w:before="0"/>
        <w:ind w:left="851" w:hanging="284"/>
        <w:contextualSpacing w:val="0"/>
        <w:rPr>
          <w:bCs/>
          <w:i/>
          <w:iCs/>
        </w:rPr>
      </w:pPr>
      <w:r>
        <w:rPr>
          <w:bCs/>
          <w:i/>
          <w:iCs/>
        </w:rPr>
        <w:t>p</w:t>
      </w:r>
      <w:r w:rsidR="005C685F" w:rsidRPr="002E4D7C">
        <w:rPr>
          <w:bCs/>
          <w:i/>
          <w:iCs/>
        </w:rPr>
        <w:t>řechodná vnitrostátní podpora</w:t>
      </w:r>
      <w:r w:rsidR="009F02CE">
        <w:rPr>
          <w:bCs/>
          <w:iCs/>
        </w:rPr>
        <w:t>;</w:t>
      </w:r>
    </w:p>
    <w:p w14:paraId="31E0ADF3" w14:textId="3DB6CCF8" w:rsidR="005C685F" w:rsidRPr="002E4D7C" w:rsidRDefault="004A450E" w:rsidP="00E671BD">
      <w:pPr>
        <w:pStyle w:val="Odstavecseseznamem"/>
        <w:numPr>
          <w:ilvl w:val="0"/>
          <w:numId w:val="17"/>
        </w:numPr>
        <w:spacing w:before="0"/>
        <w:ind w:left="567" w:hanging="283"/>
        <w:contextualSpacing w:val="0"/>
        <w:rPr>
          <w:bCs/>
          <w:i/>
          <w:iCs/>
        </w:rPr>
      </w:pPr>
      <w:r>
        <w:rPr>
          <w:bCs/>
          <w:i/>
          <w:iCs/>
        </w:rPr>
        <w:t>Programu rozvoje venkova 2007–</w:t>
      </w:r>
      <w:r w:rsidR="005C685F" w:rsidRPr="002E4D7C">
        <w:rPr>
          <w:bCs/>
          <w:i/>
          <w:iCs/>
        </w:rPr>
        <w:t>2013</w:t>
      </w:r>
      <w:r w:rsidR="005C685F">
        <w:rPr>
          <w:bCs/>
          <w:iCs/>
        </w:rPr>
        <w:t xml:space="preserve">, opatření 1.1 </w:t>
      </w:r>
      <w:r w:rsidR="005C685F" w:rsidRPr="002E4D7C">
        <w:rPr>
          <w:bCs/>
          <w:i/>
          <w:iCs/>
        </w:rPr>
        <w:t>Modernizace zemědělských podniků</w:t>
      </w:r>
      <w:r w:rsidR="009F02CE">
        <w:rPr>
          <w:bCs/>
          <w:iCs/>
        </w:rPr>
        <w:t>;</w:t>
      </w:r>
    </w:p>
    <w:p w14:paraId="137E1314" w14:textId="6F8ABA43" w:rsidR="005C685F" w:rsidRDefault="005C685F" w:rsidP="00E671BD">
      <w:pPr>
        <w:pStyle w:val="Odstavecseseznamem"/>
        <w:numPr>
          <w:ilvl w:val="0"/>
          <w:numId w:val="17"/>
        </w:numPr>
        <w:spacing w:before="0"/>
        <w:ind w:left="567" w:hanging="283"/>
        <w:contextualSpacing w:val="0"/>
        <w:rPr>
          <w:bCs/>
          <w:iCs/>
        </w:rPr>
      </w:pPr>
      <w:r w:rsidRPr="002E4D7C">
        <w:rPr>
          <w:bCs/>
          <w:i/>
          <w:iCs/>
        </w:rPr>
        <w:t>Progr</w:t>
      </w:r>
      <w:r w:rsidR="004A450E">
        <w:rPr>
          <w:bCs/>
          <w:i/>
          <w:iCs/>
        </w:rPr>
        <w:t>amu rozvoje venkova 2014–</w:t>
      </w:r>
      <w:r w:rsidRPr="002E4D7C">
        <w:rPr>
          <w:bCs/>
          <w:i/>
          <w:iCs/>
        </w:rPr>
        <w:t>2020</w:t>
      </w:r>
      <w:r>
        <w:rPr>
          <w:bCs/>
          <w:iCs/>
        </w:rPr>
        <w:t xml:space="preserve">, operace M04 </w:t>
      </w:r>
      <w:r w:rsidRPr="002E4D7C">
        <w:rPr>
          <w:bCs/>
          <w:i/>
          <w:iCs/>
        </w:rPr>
        <w:t>I</w:t>
      </w:r>
      <w:r w:rsidR="002E4D7C" w:rsidRPr="002E4D7C">
        <w:rPr>
          <w:bCs/>
          <w:i/>
          <w:iCs/>
        </w:rPr>
        <w:t>nvestice do hmotného majetku</w:t>
      </w:r>
      <w:r w:rsidR="002E4D7C">
        <w:rPr>
          <w:bCs/>
          <w:iCs/>
        </w:rPr>
        <w:t xml:space="preserve"> a</w:t>
      </w:r>
      <w:r w:rsidR="00E671BD">
        <w:rPr>
          <w:bCs/>
          <w:iCs/>
        </w:rPr>
        <w:t> </w:t>
      </w:r>
      <w:r w:rsidR="002E4D7C">
        <w:rPr>
          <w:bCs/>
          <w:iCs/>
        </w:rPr>
        <w:t xml:space="preserve">operace M14 </w:t>
      </w:r>
      <w:r w:rsidR="002E4D7C" w:rsidRPr="002E4D7C">
        <w:rPr>
          <w:bCs/>
          <w:i/>
          <w:iCs/>
        </w:rPr>
        <w:t>Dobré životní podmínky zvířat</w:t>
      </w:r>
      <w:r w:rsidR="009F02CE">
        <w:rPr>
          <w:bCs/>
          <w:iCs/>
        </w:rPr>
        <w:t>;</w:t>
      </w:r>
    </w:p>
    <w:p w14:paraId="66AEAAE6" w14:textId="5CF66217" w:rsidR="007863E4" w:rsidRPr="007863E4" w:rsidRDefault="009F02CE" w:rsidP="00E671BD">
      <w:pPr>
        <w:pStyle w:val="Odstavecseseznamem"/>
        <w:numPr>
          <w:ilvl w:val="0"/>
          <w:numId w:val="17"/>
        </w:numPr>
        <w:spacing w:before="0"/>
        <w:ind w:left="567" w:hanging="283"/>
        <w:contextualSpacing w:val="0"/>
        <w:rPr>
          <w:bCs/>
          <w:i/>
          <w:iCs/>
        </w:rPr>
      </w:pPr>
      <w:r>
        <w:rPr>
          <w:bCs/>
          <w:i/>
          <w:iCs/>
        </w:rPr>
        <w:t>m</w:t>
      </w:r>
      <w:r w:rsidR="002E4D7C" w:rsidRPr="002E4D7C">
        <w:rPr>
          <w:bCs/>
          <w:i/>
          <w:iCs/>
        </w:rPr>
        <w:t>imořádných podpor</w:t>
      </w:r>
      <w:r w:rsidR="002E4D7C">
        <w:rPr>
          <w:bCs/>
          <w:iCs/>
        </w:rPr>
        <w:t xml:space="preserve">, a to </w:t>
      </w:r>
      <w:r w:rsidR="00F57C83">
        <w:rPr>
          <w:bCs/>
          <w:i/>
          <w:iCs/>
        </w:rPr>
        <w:t>d</w:t>
      </w:r>
      <w:r w:rsidR="002E4D7C" w:rsidRPr="002E4D7C">
        <w:rPr>
          <w:bCs/>
          <w:i/>
          <w:iCs/>
        </w:rPr>
        <w:t>očasné mimořádné podpory pro zemědělce v odvětví živočišné výroby</w:t>
      </w:r>
      <w:r w:rsidR="002E4D7C">
        <w:rPr>
          <w:bCs/>
          <w:iCs/>
        </w:rPr>
        <w:t xml:space="preserve">, </w:t>
      </w:r>
      <w:r w:rsidR="00F57C83">
        <w:rPr>
          <w:bCs/>
          <w:i/>
          <w:iCs/>
        </w:rPr>
        <w:t>m</w:t>
      </w:r>
      <w:r w:rsidR="002E4D7C" w:rsidRPr="002E4D7C">
        <w:rPr>
          <w:bCs/>
          <w:i/>
          <w:iCs/>
        </w:rPr>
        <w:t xml:space="preserve">imořádné podpory na přizpůsobení pro </w:t>
      </w:r>
      <w:r w:rsidR="008A7795">
        <w:rPr>
          <w:bCs/>
          <w:i/>
          <w:iCs/>
        </w:rPr>
        <w:t>producenty mléka a </w:t>
      </w:r>
      <w:r w:rsidR="002E4D7C" w:rsidRPr="002E4D7C">
        <w:rPr>
          <w:bCs/>
          <w:i/>
          <w:iCs/>
        </w:rPr>
        <w:t>zemědělce v dalších odvětvích živočišné výroby</w:t>
      </w:r>
      <w:r w:rsidR="002E4D7C">
        <w:rPr>
          <w:bCs/>
          <w:iCs/>
        </w:rPr>
        <w:t xml:space="preserve"> a </w:t>
      </w:r>
      <w:r w:rsidR="00F57C83">
        <w:rPr>
          <w:bCs/>
          <w:i/>
          <w:iCs/>
        </w:rPr>
        <w:t>m</w:t>
      </w:r>
      <w:r w:rsidR="002E4D7C" w:rsidRPr="002E4D7C">
        <w:rPr>
          <w:bCs/>
          <w:i/>
          <w:iCs/>
        </w:rPr>
        <w:t>imořádné podpory na snížení produkce mléka</w:t>
      </w:r>
      <w:r>
        <w:rPr>
          <w:bCs/>
          <w:iCs/>
        </w:rPr>
        <w:t>.</w:t>
      </w:r>
    </w:p>
    <w:p w14:paraId="55DF2214" w14:textId="77777777" w:rsidR="00E671BD" w:rsidRDefault="00E671BD" w:rsidP="00E50E4E">
      <w:pPr>
        <w:spacing w:before="0"/>
        <w:rPr>
          <w:noProof/>
          <w:lang w:eastAsia="cs-CZ"/>
        </w:rPr>
      </w:pPr>
    </w:p>
    <w:p w14:paraId="6C2B4203" w14:textId="02FF0E71" w:rsidR="0098580E" w:rsidRPr="00E671BD" w:rsidRDefault="00461AB8" w:rsidP="00461AB8">
      <w:pPr>
        <w:spacing w:before="0"/>
        <w:ind w:left="993" w:hanging="993"/>
        <w:rPr>
          <w:b/>
        </w:rPr>
      </w:pPr>
      <w:r>
        <w:rPr>
          <w:b/>
        </w:rPr>
        <w:t xml:space="preserve">Graf č. 1: </w:t>
      </w:r>
      <w:r>
        <w:rPr>
          <w:b/>
        </w:rPr>
        <w:tab/>
      </w:r>
      <w:r w:rsidRPr="00461AB8">
        <w:rPr>
          <w:b/>
          <w:bCs/>
        </w:rPr>
        <w:t>Kontrolovatelný objem – vyplacené prostředky v sektoru živočišné výroby za období 2014–2017</w:t>
      </w:r>
    </w:p>
    <w:p w14:paraId="52906ABE" w14:textId="164A395A" w:rsidR="005D509E" w:rsidRPr="007876B7" w:rsidRDefault="00D156C4" w:rsidP="00E671BD">
      <w:pPr>
        <w:spacing w:before="0"/>
        <w:rPr>
          <w:b/>
          <w:color w:val="000000" w:themeColor="text1"/>
        </w:rPr>
      </w:pPr>
      <w:r w:rsidRPr="007876B7">
        <w:rPr>
          <w:noProof/>
          <w:color w:val="000000" w:themeColor="text1"/>
          <w:lang w:eastAsia="cs-CZ"/>
        </w:rPr>
        <w:drawing>
          <wp:anchor distT="0" distB="0" distL="114300" distR="114300" simplePos="0" relativeHeight="251665408" behindDoc="0" locked="0" layoutInCell="1" allowOverlap="1" wp14:anchorId="694D9208" wp14:editId="6963A507">
            <wp:simplePos x="0" y="0"/>
            <wp:positionH relativeFrom="column">
              <wp:posOffset>-1933</wp:posOffset>
            </wp:positionH>
            <wp:positionV relativeFrom="paragraph">
              <wp:posOffset>2374</wp:posOffset>
            </wp:positionV>
            <wp:extent cx="5759450" cy="3600000"/>
            <wp:effectExtent l="0" t="0" r="0" b="635"/>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95BEC65" w14:textId="77777777" w:rsidR="007863E4" w:rsidRPr="00E671BD" w:rsidRDefault="00796446" w:rsidP="00E671BD">
      <w:pPr>
        <w:keepNext/>
        <w:spacing w:before="0"/>
        <w:rPr>
          <w:b/>
        </w:rPr>
      </w:pPr>
      <w:r w:rsidRPr="00E671BD">
        <w:rPr>
          <w:b/>
        </w:rPr>
        <w:t xml:space="preserve">Subjekty </w:t>
      </w:r>
      <w:r w:rsidR="00487B4F" w:rsidRPr="00E671BD">
        <w:rPr>
          <w:b/>
        </w:rPr>
        <w:t>zapojené do implementace podpor</w:t>
      </w:r>
      <w:r w:rsidRPr="00E671BD">
        <w:rPr>
          <w:b/>
        </w:rPr>
        <w:t xml:space="preserve"> </w:t>
      </w:r>
    </w:p>
    <w:p w14:paraId="26888B5A" w14:textId="77777777" w:rsidR="007863E4" w:rsidRPr="00E671BD" w:rsidRDefault="007863E4" w:rsidP="00E671BD">
      <w:pPr>
        <w:keepNext/>
        <w:tabs>
          <w:tab w:val="left" w:pos="1418"/>
        </w:tabs>
        <w:spacing w:before="0"/>
      </w:pPr>
    </w:p>
    <w:p w14:paraId="5F56B90F" w14:textId="77777777" w:rsidR="002C2AB9" w:rsidRPr="00E671BD" w:rsidRDefault="002C2AB9" w:rsidP="00E671BD">
      <w:pPr>
        <w:pStyle w:val="KP-normlntext"/>
        <w:keepNext/>
        <w:tabs>
          <w:tab w:val="left" w:pos="1418"/>
        </w:tabs>
        <w:spacing w:before="0" w:after="0"/>
        <w:ind w:firstLine="0"/>
        <w:jc w:val="left"/>
        <w:rPr>
          <w:rFonts w:ascii="Calibri" w:hAnsi="Calibri"/>
          <w:i/>
          <w:sz w:val="24"/>
          <w:szCs w:val="24"/>
        </w:rPr>
      </w:pPr>
      <w:r w:rsidRPr="00E671BD">
        <w:rPr>
          <w:rFonts w:ascii="Calibri" w:hAnsi="Calibri"/>
          <w:i/>
          <w:sz w:val="24"/>
          <w:szCs w:val="24"/>
        </w:rPr>
        <w:t>Ministerstvo zemědělství</w:t>
      </w:r>
    </w:p>
    <w:p w14:paraId="1D066B96" w14:textId="77777777" w:rsidR="00E671BD" w:rsidRDefault="00E671BD" w:rsidP="00E671BD">
      <w:pPr>
        <w:keepNext/>
        <w:tabs>
          <w:tab w:val="left" w:pos="1418"/>
        </w:tabs>
        <w:spacing w:before="0"/>
      </w:pPr>
    </w:p>
    <w:p w14:paraId="1A5A2BFE" w14:textId="731E048A" w:rsidR="002C2AB9" w:rsidRDefault="002C2AB9" w:rsidP="00E671BD">
      <w:pPr>
        <w:tabs>
          <w:tab w:val="left" w:pos="1418"/>
        </w:tabs>
        <w:spacing w:before="0"/>
      </w:pPr>
      <w:r w:rsidRPr="00E671BD">
        <w:t xml:space="preserve">MZe je odpovědné za implementaci obou </w:t>
      </w:r>
      <w:r w:rsidR="008607D7">
        <w:t>p</w:t>
      </w:r>
      <w:r w:rsidRPr="00E671BD">
        <w:t xml:space="preserve">rogramů rozvoje venkova a odpovídá za účinné, účelné a správné řízení a provádění programů. MZe dále </w:t>
      </w:r>
      <w:r w:rsidR="00ED1175" w:rsidRPr="00E671BD">
        <w:t>připravuje</w:t>
      </w:r>
      <w:r w:rsidRPr="00E671BD">
        <w:t xml:space="preserve"> nařízení vlády, kter</w:t>
      </w:r>
      <w:r w:rsidR="00B8265E" w:rsidRPr="00E671BD">
        <w:t>á</w:t>
      </w:r>
      <w:r w:rsidRPr="00E671BD">
        <w:t xml:space="preserve"> upravuj</w:t>
      </w:r>
      <w:r w:rsidR="00B8265E" w:rsidRPr="00E671BD">
        <w:t>í</w:t>
      </w:r>
      <w:r w:rsidRPr="00E671BD">
        <w:t xml:space="preserve"> podmínky poskytování přímých i mimořádných podpor. </w:t>
      </w:r>
    </w:p>
    <w:p w14:paraId="1056623A" w14:textId="77777777" w:rsidR="00E671BD" w:rsidRPr="00E671BD" w:rsidRDefault="00E671BD" w:rsidP="00E671BD">
      <w:pPr>
        <w:tabs>
          <w:tab w:val="left" w:pos="1418"/>
        </w:tabs>
        <w:spacing w:before="0"/>
      </w:pPr>
    </w:p>
    <w:p w14:paraId="5D031253" w14:textId="61A10975" w:rsidR="005D7F1E" w:rsidRPr="00E671BD" w:rsidRDefault="00CD4B03" w:rsidP="00E671BD">
      <w:pPr>
        <w:spacing w:before="0"/>
      </w:pPr>
      <w:r w:rsidRPr="00E671BD">
        <w:t>MZe poskytuje n</w:t>
      </w:r>
      <w:r w:rsidR="002C2AB9" w:rsidRPr="00E671BD">
        <w:t xml:space="preserve">árodní dotace na základě </w:t>
      </w:r>
      <w:r w:rsidR="008607D7">
        <w:t>z</w:t>
      </w:r>
      <w:r w:rsidR="002C2AB9" w:rsidRPr="00E671BD">
        <w:t xml:space="preserve">ásad, kterými se stanovují podmínky pro poskytování dotací na základě </w:t>
      </w:r>
      <w:r w:rsidR="008A7795" w:rsidRPr="00E671BD">
        <w:t xml:space="preserve">ustanovení </w:t>
      </w:r>
      <w:r w:rsidR="002C2AB9" w:rsidRPr="00E671BD">
        <w:t>§ 2 a § 2d zákona č. 252/1997 Sb., o zemědělství</w:t>
      </w:r>
      <w:r w:rsidR="00F57C83">
        <w:t>,</w:t>
      </w:r>
      <w:r w:rsidR="002C2AB9" w:rsidRPr="00E671BD">
        <w:t xml:space="preserve"> (dále jen „Zásady“). V těchto Zásadách MZe stanovuje obecné podmínky pro poskytnutí dotace a vyhlašuje jednotlivé dotační programy. </w:t>
      </w:r>
    </w:p>
    <w:p w14:paraId="59E2F063" w14:textId="77777777" w:rsidR="005D7F1E" w:rsidRPr="00E671BD" w:rsidRDefault="005D7F1E" w:rsidP="00E671BD">
      <w:pPr>
        <w:pStyle w:val="Default"/>
        <w:shd w:val="clear" w:color="auto" w:fill="FFFFFF"/>
        <w:tabs>
          <w:tab w:val="left" w:pos="1418"/>
        </w:tabs>
        <w:jc w:val="both"/>
        <w:rPr>
          <w:rFonts w:ascii="Calibri" w:hAnsi="Calibri" w:cs="Calibri"/>
          <w:i/>
        </w:rPr>
      </w:pPr>
    </w:p>
    <w:p w14:paraId="722CF7EE" w14:textId="77777777" w:rsidR="002C2AB9" w:rsidRPr="00E671BD" w:rsidRDefault="002C2AB9" w:rsidP="00E671BD">
      <w:pPr>
        <w:pStyle w:val="Default"/>
        <w:keepNext/>
        <w:shd w:val="clear" w:color="auto" w:fill="FFFFFF"/>
        <w:tabs>
          <w:tab w:val="left" w:pos="1418"/>
        </w:tabs>
        <w:jc w:val="both"/>
        <w:rPr>
          <w:rFonts w:ascii="Calibri" w:hAnsi="Calibri" w:cs="Calibri"/>
          <w:i/>
        </w:rPr>
      </w:pPr>
      <w:r w:rsidRPr="00E671BD">
        <w:rPr>
          <w:rFonts w:ascii="Calibri" w:hAnsi="Calibri" w:cs="Calibri"/>
          <w:i/>
        </w:rPr>
        <w:t>Státní zemědělský intervenční fond</w:t>
      </w:r>
    </w:p>
    <w:p w14:paraId="423049DD" w14:textId="77777777" w:rsidR="00E671BD" w:rsidRDefault="00E671BD" w:rsidP="00E671BD">
      <w:pPr>
        <w:keepNext/>
        <w:spacing w:before="0"/>
      </w:pPr>
    </w:p>
    <w:p w14:paraId="518E8C69" w14:textId="1D567E01" w:rsidR="002C2AB9" w:rsidRDefault="002C2AB9" w:rsidP="00E671BD">
      <w:pPr>
        <w:spacing w:before="0"/>
      </w:pPr>
      <w:r w:rsidRPr="00E671BD">
        <w:t>Státní zemědělský intervenční fond se podílí na administraci dotací</w:t>
      </w:r>
      <w:r w:rsidR="00332C99" w:rsidRPr="00E671BD">
        <w:t xml:space="preserve"> z EU</w:t>
      </w:r>
      <w:r w:rsidRPr="00E671BD">
        <w:t xml:space="preserve">. Vykonává funkci platební agentury, provádí administraci a kontrolu žádostí o dotaci z obou </w:t>
      </w:r>
      <w:r w:rsidR="008607D7">
        <w:t>p</w:t>
      </w:r>
      <w:r w:rsidRPr="00E671BD">
        <w:t xml:space="preserve">rogramů rozvoje venkova i žádostí o přímé a mimořádné podpory a zajišťuje provádění plateb příjemcům dotací. </w:t>
      </w:r>
    </w:p>
    <w:p w14:paraId="64AD6BEA" w14:textId="77777777" w:rsidR="00E671BD" w:rsidRPr="00E671BD" w:rsidRDefault="00E671BD" w:rsidP="00E671BD">
      <w:pPr>
        <w:spacing w:before="0"/>
      </w:pPr>
    </w:p>
    <w:p w14:paraId="6C11CCB1" w14:textId="77777777" w:rsidR="00DD4ED5" w:rsidRPr="00E671BD" w:rsidRDefault="002C2AB9" w:rsidP="00E671BD">
      <w:pPr>
        <w:spacing w:before="0"/>
      </w:pPr>
      <w:r w:rsidRPr="00E671BD">
        <w:t xml:space="preserve">U národních dotací SZIF </w:t>
      </w:r>
      <w:r w:rsidR="003E5877" w:rsidRPr="00E671BD">
        <w:t xml:space="preserve">pouze </w:t>
      </w:r>
      <w:r w:rsidRPr="00E671BD">
        <w:t xml:space="preserve">přijímá žádosti o dotace a podílí se na jejich administrativních kontrolách. </w:t>
      </w:r>
    </w:p>
    <w:p w14:paraId="01E69698" w14:textId="77777777" w:rsidR="004E4CFF" w:rsidRDefault="004E4CFF" w:rsidP="00E671BD">
      <w:pPr>
        <w:spacing w:before="0"/>
        <w:outlineLvl w:val="0"/>
      </w:pPr>
    </w:p>
    <w:p w14:paraId="062BF51A" w14:textId="77777777" w:rsidR="00E671BD" w:rsidRPr="00E671BD" w:rsidRDefault="00E671BD" w:rsidP="00E671BD">
      <w:pPr>
        <w:spacing w:before="0"/>
        <w:outlineLvl w:val="0"/>
      </w:pPr>
    </w:p>
    <w:p w14:paraId="5F669C8B" w14:textId="77777777" w:rsidR="004F24F4" w:rsidRPr="00AD78F3" w:rsidRDefault="00D91D0B" w:rsidP="00AD78F3">
      <w:pPr>
        <w:spacing w:before="0"/>
        <w:jc w:val="center"/>
        <w:outlineLvl w:val="0"/>
        <w:rPr>
          <w:b/>
          <w:sz w:val="28"/>
        </w:rPr>
      </w:pPr>
      <w:r w:rsidRPr="00AD78F3">
        <w:rPr>
          <w:b/>
          <w:sz w:val="28"/>
        </w:rPr>
        <w:t>III. Rozsah kontroly</w:t>
      </w:r>
    </w:p>
    <w:p w14:paraId="7E9076DF" w14:textId="77777777" w:rsidR="00AD78F3" w:rsidRDefault="00AD78F3" w:rsidP="00E671BD">
      <w:pPr>
        <w:spacing w:before="0"/>
      </w:pPr>
    </w:p>
    <w:p w14:paraId="072D39A2" w14:textId="77777777" w:rsidR="005E4907" w:rsidRDefault="005E4907" w:rsidP="00E671BD">
      <w:pPr>
        <w:spacing w:before="0"/>
      </w:pPr>
      <w:r>
        <w:t>Pro oblast kontroly byla vybrána klíčová odvětví živočišné výroby. Jedn</w:t>
      </w:r>
      <w:r w:rsidR="007E14B4">
        <w:t>á</w:t>
      </w:r>
      <w:r w:rsidR="008A7795">
        <w:t xml:space="preserve"> se o chov skotu a </w:t>
      </w:r>
      <w:r>
        <w:t>produkci hovězího masa a mléka a chov prasat a produkci vepřového masa. Tato odvětví jsou klíčová jak z hlediska finančního objemu poskytovaných dotací, tak z pohledu mimořádný</w:t>
      </w:r>
      <w:r w:rsidR="007E14B4">
        <w:t>ch</w:t>
      </w:r>
      <w:r>
        <w:t xml:space="preserve"> podpor, které </w:t>
      </w:r>
      <w:r w:rsidR="007E14B4">
        <w:t>byly poskytnuty</w:t>
      </w:r>
      <w:r>
        <w:t xml:space="preserve"> v důsledku krizové situace právě </w:t>
      </w:r>
      <w:r w:rsidR="007E14B4">
        <w:t xml:space="preserve">do těchto </w:t>
      </w:r>
      <w:r>
        <w:t>vybran</w:t>
      </w:r>
      <w:r w:rsidR="007E14B4">
        <w:t>ých</w:t>
      </w:r>
      <w:r>
        <w:t xml:space="preserve"> odvětví. Z časového hlediska byla kontrola zaměřena na období let 2014 až 2017; v případě věcných a časových souvislostí i období předcházející a následující. </w:t>
      </w:r>
    </w:p>
    <w:p w14:paraId="6D08AFA0" w14:textId="77777777" w:rsidR="00E671BD" w:rsidRDefault="00E671BD" w:rsidP="00E671BD">
      <w:pPr>
        <w:spacing w:before="0"/>
      </w:pPr>
    </w:p>
    <w:p w14:paraId="01467AAD" w14:textId="77777777" w:rsidR="002C2AB9" w:rsidRPr="0080633D" w:rsidRDefault="002C2AB9" w:rsidP="00E671BD">
      <w:pPr>
        <w:spacing w:before="0"/>
        <w:rPr>
          <w:b/>
        </w:rPr>
      </w:pPr>
      <w:r w:rsidRPr="0080633D">
        <w:rPr>
          <w:b/>
        </w:rPr>
        <w:t>Kontrola u MZe</w:t>
      </w:r>
    </w:p>
    <w:p w14:paraId="07DCE18B" w14:textId="77777777" w:rsidR="00E671BD" w:rsidRDefault="00E671BD" w:rsidP="00E671BD">
      <w:pPr>
        <w:spacing w:before="0"/>
      </w:pPr>
    </w:p>
    <w:p w14:paraId="3FC548CB" w14:textId="1A2CB259" w:rsidR="002C2AB9" w:rsidRDefault="002C2AB9" w:rsidP="00E671BD">
      <w:pPr>
        <w:spacing w:before="0"/>
      </w:pPr>
      <w:r>
        <w:t xml:space="preserve">Kontrola u MZe byla provedena </w:t>
      </w:r>
      <w:r w:rsidR="002E23C8">
        <w:t xml:space="preserve">jak </w:t>
      </w:r>
      <w:r>
        <w:t>na systémové úrovni</w:t>
      </w:r>
      <w:r w:rsidR="002E23C8">
        <w:t>, tak na úrovni kontroly složek příjemců</w:t>
      </w:r>
      <w:r>
        <w:t xml:space="preserve">. </w:t>
      </w:r>
      <w:r w:rsidR="002E23C8">
        <w:t>Systémová kontrola se t</w:t>
      </w:r>
      <w:r>
        <w:t>ýkala nastavení strategických plánů, nastavení podmínek pro poskytování</w:t>
      </w:r>
      <w:r w:rsidR="007C40C5">
        <w:t xml:space="preserve"> </w:t>
      </w:r>
      <w:r w:rsidR="007C40C5">
        <w:rPr>
          <w:bCs/>
          <w:iCs/>
        </w:rPr>
        <w:t xml:space="preserve">evropských i národních </w:t>
      </w:r>
      <w:r w:rsidR="00CF797C">
        <w:rPr>
          <w:bCs/>
          <w:iCs/>
        </w:rPr>
        <w:t>dotací</w:t>
      </w:r>
      <w:r w:rsidR="007C40C5">
        <w:rPr>
          <w:bCs/>
          <w:iCs/>
        </w:rPr>
        <w:t xml:space="preserve">. </w:t>
      </w:r>
      <w:r>
        <w:t xml:space="preserve">Na úrovni kontrolního vzorku byly kontrolovány vybrané národní dotační programy, které byly NKÚ posouzeny jako nejvíce rizikové z hlediska účelnosti a hospodárnosti proplácených finančních prostředků. </w:t>
      </w:r>
    </w:p>
    <w:p w14:paraId="0E867B0A" w14:textId="77777777" w:rsidR="00E671BD" w:rsidRDefault="00E671BD" w:rsidP="00E671BD">
      <w:pPr>
        <w:spacing w:before="0"/>
      </w:pPr>
    </w:p>
    <w:p w14:paraId="582ADDFD" w14:textId="77777777" w:rsidR="007C40C5" w:rsidRDefault="0095045E" w:rsidP="00E671BD">
      <w:pPr>
        <w:spacing w:before="0"/>
      </w:pPr>
      <w:r>
        <w:t xml:space="preserve">Kontrolováno bylo 121 žádostí o dotaci v celkové </w:t>
      </w:r>
      <w:r w:rsidR="002C2AB9">
        <w:t xml:space="preserve">výši </w:t>
      </w:r>
      <w:r w:rsidR="002C2AB9" w:rsidRPr="008F3A5A">
        <w:t>893 199 53</w:t>
      </w:r>
      <w:r w:rsidR="00332C99">
        <w:t>5</w:t>
      </w:r>
      <w:r w:rsidR="00F27182">
        <w:t xml:space="preserve"> Kč.</w:t>
      </w:r>
    </w:p>
    <w:p w14:paraId="7F9304F4" w14:textId="77777777" w:rsidR="00E671BD" w:rsidRDefault="00E671BD" w:rsidP="00E671BD">
      <w:pPr>
        <w:spacing w:before="0"/>
      </w:pPr>
    </w:p>
    <w:p w14:paraId="463200DF" w14:textId="77777777" w:rsidR="002C2AB9" w:rsidRPr="0080633D" w:rsidRDefault="002C2AB9" w:rsidP="00E671BD">
      <w:pPr>
        <w:spacing w:before="0"/>
        <w:rPr>
          <w:b/>
        </w:rPr>
      </w:pPr>
      <w:r w:rsidRPr="0080633D">
        <w:rPr>
          <w:b/>
        </w:rPr>
        <w:t>Kontrola u SZIF</w:t>
      </w:r>
    </w:p>
    <w:p w14:paraId="07584B26" w14:textId="77777777" w:rsidR="00E671BD" w:rsidRDefault="00E671BD" w:rsidP="00E671BD">
      <w:pPr>
        <w:spacing w:before="0"/>
      </w:pPr>
    </w:p>
    <w:p w14:paraId="6147A601" w14:textId="36C2B4E2" w:rsidR="002C2AB9" w:rsidRDefault="002C2AB9" w:rsidP="00E671BD">
      <w:pPr>
        <w:spacing w:before="0"/>
      </w:pPr>
      <w:r>
        <w:t>Kontrola u SZIF byla provedena na centrálním pracovišti</w:t>
      </w:r>
      <w:r w:rsidR="00846E0A">
        <w:t xml:space="preserve"> SZIF</w:t>
      </w:r>
      <w:r w:rsidR="008A7795">
        <w:t xml:space="preserve"> a týkala se administrace a </w:t>
      </w:r>
      <w:r>
        <w:t xml:space="preserve">kontroly </w:t>
      </w:r>
      <w:r w:rsidR="00CF797C">
        <w:t>dotací</w:t>
      </w:r>
      <w:r>
        <w:t xml:space="preserve"> a</w:t>
      </w:r>
      <w:r w:rsidR="008607D7">
        <w:t> prověřila,</w:t>
      </w:r>
      <w:r>
        <w:t xml:space="preserve"> zda byly peněžní prostředky vynaloženy v souladu s právními předpisy, účelně a hospodárně. Na úrovni kontrolního vzorku byly kontrolovány proje</w:t>
      </w:r>
      <w:r w:rsidR="008A7795">
        <w:t>kty spolufinancované z PRV 07</w:t>
      </w:r>
      <w:r w:rsidR="006A183E">
        <w:t>-</w:t>
      </w:r>
      <w:r w:rsidR="008A7795">
        <w:t>13 a PRV 14</w:t>
      </w:r>
      <w:r w:rsidR="006A183E">
        <w:t>-</w:t>
      </w:r>
      <w:r>
        <w:t xml:space="preserve">20. Jednalo se o projekty realizované z opatření </w:t>
      </w:r>
      <w:r w:rsidRPr="0071578F">
        <w:t xml:space="preserve">1.1 </w:t>
      </w:r>
      <w:r w:rsidRPr="00E513B8">
        <w:rPr>
          <w:i/>
        </w:rPr>
        <w:t>Modernizace zemědělských podniků</w:t>
      </w:r>
      <w:r w:rsidR="008A7795">
        <w:t xml:space="preserve"> z PRV 07</w:t>
      </w:r>
      <w:r w:rsidR="006A183E">
        <w:t>-</w:t>
      </w:r>
      <w:r>
        <w:t xml:space="preserve">13 a operace </w:t>
      </w:r>
      <w:r w:rsidRPr="0071578F">
        <w:t>4.1.1</w:t>
      </w:r>
      <w:r w:rsidRPr="00E513B8">
        <w:rPr>
          <w:i/>
        </w:rPr>
        <w:t xml:space="preserve"> Investice do zemědělských podniků</w:t>
      </w:r>
      <w:r w:rsidR="008A7795">
        <w:t xml:space="preserve"> z PRV 14</w:t>
      </w:r>
      <w:r w:rsidR="006A183E">
        <w:t>-</w:t>
      </w:r>
      <w:r>
        <w:t xml:space="preserve">20. V rámci neprojektového opatření M14 </w:t>
      </w:r>
      <w:r w:rsidRPr="002E4D7C">
        <w:rPr>
          <w:bCs/>
          <w:i/>
          <w:iCs/>
        </w:rPr>
        <w:t>Dobré životní podmínky zvířat</w:t>
      </w:r>
      <w:r>
        <w:t xml:space="preserve"> byly ověřov</w:t>
      </w:r>
      <w:r w:rsidR="008A7795">
        <w:t>ány jednotné žádosti z PRV 14</w:t>
      </w:r>
      <w:r w:rsidR="006A183E">
        <w:t>-</w:t>
      </w:r>
      <w:r>
        <w:t>20.</w:t>
      </w:r>
    </w:p>
    <w:p w14:paraId="14B84CDB" w14:textId="77777777" w:rsidR="00E671BD" w:rsidRDefault="00E671BD" w:rsidP="00E671BD">
      <w:pPr>
        <w:spacing w:before="0"/>
      </w:pPr>
    </w:p>
    <w:p w14:paraId="7D6934E3" w14:textId="77777777" w:rsidR="00FE318E" w:rsidRDefault="0095045E" w:rsidP="00E671BD">
      <w:pPr>
        <w:spacing w:before="0"/>
      </w:pPr>
      <w:r>
        <w:t xml:space="preserve">Kontrolováno bylo 33 projektů a žádostí o dotaci v celkové výši </w:t>
      </w:r>
      <w:r w:rsidR="002C2AB9">
        <w:t xml:space="preserve">287 597 980 Kč. </w:t>
      </w:r>
    </w:p>
    <w:p w14:paraId="481EE5AB" w14:textId="02126D15" w:rsidR="00E671BD" w:rsidRDefault="00E671BD" w:rsidP="00E671BD">
      <w:pPr>
        <w:spacing w:before="0"/>
      </w:pPr>
    </w:p>
    <w:p w14:paraId="17EF740E" w14:textId="2D8363DD" w:rsidR="0071578F" w:rsidRDefault="0071578F" w:rsidP="00E671BD">
      <w:pPr>
        <w:spacing w:before="0"/>
      </w:pPr>
    </w:p>
    <w:p w14:paraId="249AF02D" w14:textId="77777777" w:rsidR="0071578F" w:rsidRDefault="0071578F" w:rsidP="00E671BD">
      <w:pPr>
        <w:spacing w:before="0"/>
      </w:pPr>
    </w:p>
    <w:p w14:paraId="645DBF0A" w14:textId="77777777" w:rsidR="002C2AB9" w:rsidRPr="0080633D" w:rsidRDefault="002C2AB9" w:rsidP="00635EA2">
      <w:pPr>
        <w:spacing w:before="0"/>
        <w:rPr>
          <w:b/>
        </w:rPr>
      </w:pPr>
      <w:r w:rsidRPr="0080633D">
        <w:rPr>
          <w:b/>
        </w:rPr>
        <w:t>Kontrola u příjemců dotací</w:t>
      </w:r>
    </w:p>
    <w:p w14:paraId="7B76CE60" w14:textId="77777777" w:rsidR="00E671BD" w:rsidRDefault="00E671BD" w:rsidP="00635EA2">
      <w:pPr>
        <w:spacing w:before="0"/>
      </w:pPr>
    </w:p>
    <w:p w14:paraId="17D840B9" w14:textId="6F898E96" w:rsidR="00F27182" w:rsidRPr="004332C6" w:rsidRDefault="002C2AB9" w:rsidP="00E671BD">
      <w:pPr>
        <w:spacing w:before="0"/>
        <w:rPr>
          <w:sz w:val="22"/>
          <w:szCs w:val="22"/>
          <w:lang w:eastAsia="cs-CZ"/>
        </w:rPr>
      </w:pPr>
      <w:r>
        <w:t>Kontrolou proběhla u tří příjemců dotací z dotačníh</w:t>
      </w:r>
      <w:r w:rsidR="00AF7ED5">
        <w:t xml:space="preserve">o programu 8.F </w:t>
      </w:r>
      <w:r w:rsidR="00AF7ED5" w:rsidRPr="0071578F">
        <w:rPr>
          <w:i/>
        </w:rPr>
        <w:t xml:space="preserve">Nákazový fond </w:t>
      </w:r>
      <w:r w:rsidR="00AF7ED5">
        <w:t>a </w:t>
      </w:r>
      <w:r>
        <w:t xml:space="preserve">z opatření </w:t>
      </w:r>
      <w:r w:rsidRPr="0071578F">
        <w:t xml:space="preserve">1.1 </w:t>
      </w:r>
      <w:r w:rsidRPr="00E513B8">
        <w:rPr>
          <w:i/>
        </w:rPr>
        <w:t>Modernizace zemědělských podniků</w:t>
      </w:r>
      <w:r>
        <w:t xml:space="preserve"> z PRV 07</w:t>
      </w:r>
      <w:r w:rsidR="00370C2C">
        <w:t>-</w:t>
      </w:r>
      <w:r>
        <w:t>13. Jednalo se o příjemce dotace SELMA a.s., PROVEM a.s. Havlíčkův Brod a LIPRA PORK a.s. Kontrolovaný o</w:t>
      </w:r>
      <w:r w:rsidR="00AF7ED5">
        <w:t>bjem u </w:t>
      </w:r>
      <w:r>
        <w:t xml:space="preserve">příjemců byl </w:t>
      </w:r>
      <w:r w:rsidR="004332C6">
        <w:rPr>
          <w:lang w:eastAsia="cs-CZ"/>
        </w:rPr>
        <w:t>74</w:t>
      </w:r>
      <w:r w:rsidR="0071578F">
        <w:rPr>
          <w:lang w:eastAsia="cs-CZ"/>
        </w:rPr>
        <w:t> </w:t>
      </w:r>
      <w:r w:rsidR="004332C6">
        <w:rPr>
          <w:lang w:eastAsia="cs-CZ"/>
        </w:rPr>
        <w:t>630</w:t>
      </w:r>
      <w:r w:rsidR="0071578F">
        <w:rPr>
          <w:lang w:eastAsia="cs-CZ"/>
        </w:rPr>
        <w:t> </w:t>
      </w:r>
      <w:r w:rsidR="004332C6">
        <w:rPr>
          <w:lang w:eastAsia="cs-CZ"/>
        </w:rPr>
        <w:t>245</w:t>
      </w:r>
      <w:r w:rsidR="0071578F">
        <w:rPr>
          <w:lang w:eastAsia="cs-CZ"/>
        </w:rPr>
        <w:t> </w:t>
      </w:r>
      <w:r>
        <w:t>Kč.</w:t>
      </w:r>
    </w:p>
    <w:p w14:paraId="5E37B8D2" w14:textId="77777777" w:rsidR="00323292" w:rsidRDefault="00323292" w:rsidP="00E671BD">
      <w:pPr>
        <w:spacing w:before="0"/>
      </w:pPr>
    </w:p>
    <w:p w14:paraId="1ABA324C" w14:textId="1BC5BA65" w:rsidR="0080633D" w:rsidRDefault="00F27182" w:rsidP="00E671BD">
      <w:pPr>
        <w:spacing w:before="0"/>
      </w:pPr>
      <w:r>
        <w:t>V kontrolní akci byla provedena také analýza dat týkající se živočišné výroby ze</w:t>
      </w:r>
      <w:r w:rsidR="007B6FD8">
        <w:t xml:space="preserve"> </w:t>
      </w:r>
      <w:r w:rsidRPr="0071578F">
        <w:rPr>
          <w:i/>
        </w:rPr>
        <w:t>Zemědělské účetní datové sítě FADN</w:t>
      </w:r>
      <w:r>
        <w:t>, která tvoří hlavní informační zdroj Evropské komise o reálné ekonomické situaci zemědělských podniků.</w:t>
      </w:r>
      <w:r w:rsidR="00796446">
        <w:t xml:space="preserve">  </w:t>
      </w:r>
    </w:p>
    <w:p w14:paraId="74285790" w14:textId="77777777" w:rsidR="000C057F" w:rsidRDefault="000C057F" w:rsidP="00E671BD">
      <w:pPr>
        <w:spacing w:before="0"/>
      </w:pPr>
    </w:p>
    <w:p w14:paraId="4AB413DE" w14:textId="59EFBA2C" w:rsidR="007C40C5" w:rsidRPr="00E671BD" w:rsidRDefault="005D7C7F" w:rsidP="00635EA2">
      <w:pPr>
        <w:spacing w:before="0"/>
        <w:ind w:left="1134" w:hanging="1134"/>
        <w:rPr>
          <w:b/>
        </w:rPr>
      </w:pPr>
      <w:r>
        <w:rPr>
          <w:b/>
        </w:rPr>
        <w:t xml:space="preserve">Graf č. 2: </w:t>
      </w:r>
      <w:r w:rsidR="00910118">
        <w:rPr>
          <w:b/>
        </w:rPr>
        <w:t>Zk</w:t>
      </w:r>
      <w:r>
        <w:rPr>
          <w:b/>
        </w:rPr>
        <w:t>ontrolovaný objem</w:t>
      </w:r>
      <w:r w:rsidR="008607D7">
        <w:rPr>
          <w:b/>
        </w:rPr>
        <w:t xml:space="preserve"> finančních prostředků</w:t>
      </w:r>
    </w:p>
    <w:p w14:paraId="796AFC7E" w14:textId="4120189B" w:rsidR="00F27182" w:rsidRDefault="006B5810" w:rsidP="006150C8">
      <w:pPr>
        <w:spacing w:before="0"/>
      </w:pPr>
      <w:r>
        <w:rPr>
          <w:noProof/>
          <w:lang w:eastAsia="cs-CZ"/>
        </w:rPr>
        <w:drawing>
          <wp:anchor distT="0" distB="0" distL="114300" distR="114300" simplePos="0" relativeHeight="251664384" behindDoc="0" locked="0" layoutInCell="1" allowOverlap="1" wp14:anchorId="05F93B17" wp14:editId="0D926C5D">
            <wp:simplePos x="0" y="0"/>
            <wp:positionH relativeFrom="column">
              <wp:posOffset>-660</wp:posOffset>
            </wp:positionH>
            <wp:positionV relativeFrom="paragraph">
              <wp:posOffset>3200</wp:posOffset>
            </wp:positionV>
            <wp:extent cx="5759450" cy="3239770"/>
            <wp:effectExtent l="0" t="0" r="0" b="0"/>
            <wp:wrapTopAndBottom/>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8656D9B" w14:textId="77777777" w:rsidR="007E1392" w:rsidRDefault="007E1392" w:rsidP="006150C8">
      <w:pPr>
        <w:spacing w:before="0"/>
      </w:pPr>
    </w:p>
    <w:p w14:paraId="062A824B" w14:textId="77777777" w:rsidR="004F24F4" w:rsidRPr="00AD78F3" w:rsidRDefault="00D91D0B" w:rsidP="00AD78F3">
      <w:pPr>
        <w:spacing w:before="0"/>
        <w:jc w:val="center"/>
        <w:outlineLvl w:val="0"/>
        <w:rPr>
          <w:b/>
          <w:sz w:val="28"/>
        </w:rPr>
      </w:pPr>
      <w:r w:rsidRPr="00AD78F3">
        <w:rPr>
          <w:b/>
          <w:sz w:val="28"/>
        </w:rPr>
        <w:t>IV. Podrobné skutečnosti zjištěné kontrolou</w:t>
      </w:r>
    </w:p>
    <w:p w14:paraId="27D52674" w14:textId="77777777" w:rsidR="00B37660" w:rsidRPr="008A5C57" w:rsidRDefault="00B37660" w:rsidP="008A5C57">
      <w:pPr>
        <w:spacing w:before="0"/>
      </w:pPr>
    </w:p>
    <w:p w14:paraId="3730F440" w14:textId="77777777" w:rsidR="004F24F4" w:rsidRPr="008A5C57" w:rsidRDefault="008A5C57" w:rsidP="008A5C57">
      <w:pPr>
        <w:pStyle w:val="Nadpis2"/>
        <w:numPr>
          <w:ilvl w:val="0"/>
          <w:numId w:val="0"/>
        </w:numPr>
        <w:spacing w:before="0"/>
        <w:rPr>
          <w:sz w:val="24"/>
          <w:szCs w:val="24"/>
        </w:rPr>
      </w:pPr>
      <w:r>
        <w:rPr>
          <w:sz w:val="24"/>
          <w:szCs w:val="24"/>
        </w:rPr>
        <w:t xml:space="preserve">1. </w:t>
      </w:r>
      <w:r w:rsidR="00993950" w:rsidRPr="008A5C57">
        <w:rPr>
          <w:sz w:val="24"/>
          <w:szCs w:val="24"/>
        </w:rPr>
        <w:t xml:space="preserve">Splnilo </w:t>
      </w:r>
      <w:r w:rsidR="00F8794D" w:rsidRPr="008A5C57">
        <w:rPr>
          <w:sz w:val="24"/>
          <w:szCs w:val="24"/>
        </w:rPr>
        <w:t>MZe stanovené strategické cíle?</w:t>
      </w:r>
    </w:p>
    <w:p w14:paraId="6C17195C" w14:textId="77777777" w:rsidR="00A246A9" w:rsidRPr="008A5C57" w:rsidRDefault="00A246A9" w:rsidP="008A5C57">
      <w:pPr>
        <w:spacing w:before="0"/>
      </w:pPr>
    </w:p>
    <w:p w14:paraId="4D34BDA8" w14:textId="77777777" w:rsidR="00A246A9" w:rsidRDefault="00A246A9" w:rsidP="008A5C57">
      <w:pPr>
        <w:spacing w:before="0"/>
      </w:pPr>
      <w:r w:rsidRPr="008A5C57">
        <w:t xml:space="preserve">Poskytovatel dotací odpovídá za fungování systému a plnění stanovených cílů. Pro efektivní vyhodnocení přínosů </w:t>
      </w:r>
      <w:r w:rsidR="005A685B" w:rsidRPr="008A5C57">
        <w:t>dotací</w:t>
      </w:r>
      <w:r w:rsidRPr="008A5C57">
        <w:t xml:space="preserve"> a vynaložených peněžních prostředků musí být jednoznačně vymezeny konkrétní cíle a měřitelné </w:t>
      </w:r>
      <w:r w:rsidR="003F283A" w:rsidRPr="008A5C57">
        <w:t>ukazatele</w:t>
      </w:r>
      <w:r w:rsidRPr="008A5C57">
        <w:t>, s jejichž pomocí lze míru dosažení cíle vyhodnotit. Neplnění cílů snižuje účinnost vynaložených veřejných prostředků.</w:t>
      </w:r>
    </w:p>
    <w:p w14:paraId="7B5CAAC6" w14:textId="77777777" w:rsidR="008A5C57" w:rsidRPr="008A5C57" w:rsidRDefault="008A5C57" w:rsidP="008A5C57">
      <w:pPr>
        <w:spacing w:before="0"/>
      </w:pPr>
    </w:p>
    <w:p w14:paraId="2D10587B" w14:textId="0B8C7B0D" w:rsidR="001B6F59" w:rsidRDefault="00ED1E57" w:rsidP="008A5C57">
      <w:pPr>
        <w:spacing w:before="0"/>
      </w:pPr>
      <w:r w:rsidRPr="008A5C57">
        <w:t>Hlavním</w:t>
      </w:r>
      <w:r w:rsidR="00613837" w:rsidRPr="008A5C57">
        <w:t xml:space="preserve"> strategickým dokumentem pro oblast zemědělství je dokument </w:t>
      </w:r>
      <w:r w:rsidR="00613837" w:rsidRPr="008A5C57">
        <w:rPr>
          <w:i/>
        </w:rPr>
        <w:t>Strategie resortu Ministerstva zemědělství České republiky s výhledem do roku 2030</w:t>
      </w:r>
      <w:r w:rsidR="00613837" w:rsidRPr="008A5C57">
        <w:t xml:space="preserve"> (dále jen „Strategie“)</w:t>
      </w:r>
      <w:r w:rsidR="00613837" w:rsidRPr="008A5C57">
        <w:rPr>
          <w:rStyle w:val="Znakapoznpodarou"/>
        </w:rPr>
        <w:footnoteReference w:id="5"/>
      </w:r>
      <w:r w:rsidR="00613837" w:rsidRPr="008A5C57">
        <w:t xml:space="preserve">. </w:t>
      </w:r>
      <w:r w:rsidR="00DF06C5" w:rsidRPr="008A5C57">
        <w:t>O</w:t>
      </w:r>
      <w:r w:rsidR="00D40C38" w:rsidRPr="008A5C57">
        <w:t>bsahuje strategické cíle, které jsou dále rozpracovány do cílů dílčích. Plnění těchto cílů se vyhodnocuje prostřednictvím</w:t>
      </w:r>
      <w:r w:rsidR="00437CEF" w:rsidRPr="008A5C57">
        <w:t xml:space="preserve"> </w:t>
      </w:r>
      <w:r w:rsidR="002D5EBD" w:rsidRPr="008A5C57">
        <w:t xml:space="preserve">tzv. </w:t>
      </w:r>
      <w:r w:rsidR="001B6F59" w:rsidRPr="008A5C57">
        <w:t>indikativ</w:t>
      </w:r>
      <w:r w:rsidR="00437CEF" w:rsidRPr="008A5C57">
        <w:t>n</w:t>
      </w:r>
      <w:r w:rsidR="00D40C38" w:rsidRPr="008A5C57">
        <w:t>í</w:t>
      </w:r>
      <w:r w:rsidR="00796446" w:rsidRPr="008A5C57">
        <w:t>ch</w:t>
      </w:r>
      <w:r w:rsidR="00D40C38" w:rsidRPr="008A5C57">
        <w:t xml:space="preserve"> ukazatelů</w:t>
      </w:r>
      <w:r w:rsidR="0080633D" w:rsidRPr="008A5C57">
        <w:t xml:space="preserve"> strategických cílů. </w:t>
      </w:r>
      <w:r w:rsidR="00437CEF" w:rsidRPr="008A5C57">
        <w:t>Z</w:t>
      </w:r>
      <w:r w:rsidR="001B6F59" w:rsidRPr="008A5C57">
        <w:t xml:space="preserve">a výchozí stav </w:t>
      </w:r>
      <w:r w:rsidR="00437CEF" w:rsidRPr="008A5C57">
        <w:t>je brán rok</w:t>
      </w:r>
      <w:r w:rsidR="00735671" w:rsidRPr="008A5C57">
        <w:t xml:space="preserve"> 2015 a dále jsou určeny předpokládané </w:t>
      </w:r>
      <w:r w:rsidR="001B6F59" w:rsidRPr="008A5C57">
        <w:t>hodnoty</w:t>
      </w:r>
      <w:r w:rsidR="00437CEF" w:rsidRPr="008A5C57">
        <w:t xml:space="preserve"> jednotlivých ukazatelů</w:t>
      </w:r>
      <w:r w:rsidR="001B6F59" w:rsidRPr="008A5C57">
        <w:t xml:space="preserve"> pro roky 2020, 2025 a 2030. V tabulce č. 1 j</w:t>
      </w:r>
      <w:r w:rsidR="00437CEF" w:rsidRPr="008A5C57">
        <w:t>sou uvedeny hodnoty osmi</w:t>
      </w:r>
      <w:r w:rsidR="001B6F59" w:rsidRPr="008A5C57">
        <w:t xml:space="preserve"> indikativní</w:t>
      </w:r>
      <w:r w:rsidR="00437CEF" w:rsidRPr="008A5C57">
        <w:t>ch</w:t>
      </w:r>
      <w:r w:rsidR="001B6F59" w:rsidRPr="008A5C57">
        <w:t xml:space="preserve"> ukazatel</w:t>
      </w:r>
      <w:r w:rsidR="00437CEF" w:rsidRPr="008A5C57">
        <w:t>ů</w:t>
      </w:r>
      <w:r w:rsidR="001B6F59" w:rsidRPr="008A5C57">
        <w:t xml:space="preserve"> týkající</w:t>
      </w:r>
      <w:r w:rsidR="008607D7">
        <w:t>ch</w:t>
      </w:r>
      <w:r w:rsidR="001B6F59" w:rsidRPr="008A5C57">
        <w:t xml:space="preserve"> </w:t>
      </w:r>
      <w:r w:rsidR="00437CEF" w:rsidRPr="008A5C57">
        <w:t xml:space="preserve">se </w:t>
      </w:r>
      <w:r w:rsidR="001B6F59" w:rsidRPr="008A5C57">
        <w:t>živočišné výroby.</w:t>
      </w:r>
    </w:p>
    <w:p w14:paraId="671F258C" w14:textId="77777777" w:rsidR="008A5C57" w:rsidRPr="008A5C57" w:rsidRDefault="008A5C57" w:rsidP="008A5C57">
      <w:pPr>
        <w:spacing w:before="0"/>
      </w:pPr>
    </w:p>
    <w:p w14:paraId="30F054E9" w14:textId="0DB4FAF0" w:rsidR="001B6F59" w:rsidRPr="00816090" w:rsidRDefault="001B6F59" w:rsidP="007E1392">
      <w:pPr>
        <w:pStyle w:val="Titulek"/>
        <w:keepNext/>
        <w:spacing w:before="0" w:after="40"/>
        <w:ind w:left="1304" w:hanging="1304"/>
        <w:rPr>
          <w:rFonts w:asciiTheme="minorHAnsi" w:hAnsiTheme="minorHAnsi" w:cstheme="minorHAnsi"/>
          <w:b/>
          <w:i w:val="0"/>
          <w:color w:val="000000" w:themeColor="text1"/>
          <w:sz w:val="24"/>
        </w:rPr>
      </w:pPr>
      <w:r w:rsidRPr="008A5C57">
        <w:rPr>
          <w:rFonts w:asciiTheme="minorHAnsi" w:hAnsiTheme="minorHAnsi" w:cstheme="minorHAnsi"/>
          <w:b/>
          <w:i w:val="0"/>
          <w:color w:val="000000" w:themeColor="text1"/>
          <w:sz w:val="24"/>
        </w:rPr>
        <w:t xml:space="preserve">Tabulka č. </w:t>
      </w:r>
      <w:r w:rsidRPr="008A5C57">
        <w:rPr>
          <w:rFonts w:asciiTheme="minorHAnsi" w:hAnsiTheme="minorHAnsi" w:cstheme="minorHAnsi"/>
          <w:b/>
          <w:i w:val="0"/>
          <w:color w:val="auto"/>
          <w:sz w:val="24"/>
        </w:rPr>
        <w:fldChar w:fldCharType="begin"/>
      </w:r>
      <w:r w:rsidRPr="008A5C57">
        <w:rPr>
          <w:rFonts w:asciiTheme="minorHAnsi" w:hAnsiTheme="minorHAnsi" w:cstheme="minorHAnsi"/>
          <w:b/>
          <w:i w:val="0"/>
          <w:color w:val="auto"/>
          <w:sz w:val="24"/>
        </w:rPr>
        <w:instrText xml:space="preserve"> SEQ Tabulka_č. \* ARABIC </w:instrText>
      </w:r>
      <w:r w:rsidRPr="008A5C57">
        <w:rPr>
          <w:rFonts w:asciiTheme="minorHAnsi" w:hAnsiTheme="minorHAnsi" w:cstheme="minorHAnsi"/>
          <w:b/>
          <w:i w:val="0"/>
          <w:color w:val="auto"/>
          <w:sz w:val="24"/>
        </w:rPr>
        <w:fldChar w:fldCharType="separate"/>
      </w:r>
      <w:r w:rsidR="00375D12">
        <w:rPr>
          <w:rFonts w:asciiTheme="minorHAnsi" w:hAnsiTheme="minorHAnsi" w:cstheme="minorHAnsi"/>
          <w:b/>
          <w:i w:val="0"/>
          <w:noProof/>
          <w:color w:val="auto"/>
          <w:sz w:val="24"/>
        </w:rPr>
        <w:t>1</w:t>
      </w:r>
      <w:r w:rsidRPr="008A5C57">
        <w:rPr>
          <w:rFonts w:asciiTheme="minorHAnsi" w:hAnsiTheme="minorHAnsi" w:cstheme="minorHAnsi"/>
          <w:b/>
          <w:i w:val="0"/>
          <w:color w:val="auto"/>
          <w:sz w:val="24"/>
        </w:rPr>
        <w:fldChar w:fldCharType="end"/>
      </w:r>
      <w:r w:rsidR="007E1392">
        <w:rPr>
          <w:rFonts w:asciiTheme="minorHAnsi" w:hAnsiTheme="minorHAnsi" w:cstheme="minorHAnsi"/>
          <w:b/>
          <w:i w:val="0"/>
          <w:color w:val="000000" w:themeColor="text1"/>
          <w:sz w:val="24"/>
        </w:rPr>
        <w:t>:</w:t>
      </w:r>
      <w:r w:rsidR="00816090">
        <w:rPr>
          <w:rFonts w:asciiTheme="minorHAnsi" w:hAnsiTheme="minorHAnsi" w:cstheme="minorHAnsi"/>
          <w:b/>
          <w:i w:val="0"/>
          <w:color w:val="000000" w:themeColor="text1"/>
          <w:sz w:val="24"/>
        </w:rPr>
        <w:tab/>
      </w:r>
      <w:r w:rsidRPr="00816090">
        <w:rPr>
          <w:rFonts w:asciiTheme="minorHAnsi" w:hAnsiTheme="minorHAnsi" w:cstheme="minorHAnsi"/>
          <w:b/>
          <w:i w:val="0"/>
          <w:color w:val="000000" w:themeColor="text1"/>
          <w:sz w:val="24"/>
        </w:rPr>
        <w:t>Indikativní ukazatele strategických cílů (vybrané ukazatele s ohledem na předmět kontroly)</w:t>
      </w:r>
    </w:p>
    <w:tbl>
      <w:tblPr>
        <w:tblW w:w="9103" w:type="dxa"/>
        <w:jc w:val="center"/>
        <w:tblCellMar>
          <w:left w:w="70" w:type="dxa"/>
          <w:right w:w="70" w:type="dxa"/>
        </w:tblCellMar>
        <w:tblLook w:val="04A0" w:firstRow="1" w:lastRow="0" w:firstColumn="1" w:lastColumn="0" w:noHBand="0" w:noVBand="1"/>
      </w:tblPr>
      <w:tblGrid>
        <w:gridCol w:w="1855"/>
        <w:gridCol w:w="894"/>
        <w:gridCol w:w="1531"/>
        <w:gridCol w:w="1757"/>
        <w:gridCol w:w="1022"/>
        <w:gridCol w:w="1022"/>
        <w:gridCol w:w="1022"/>
      </w:tblGrid>
      <w:tr w:rsidR="00CE5A9E" w:rsidRPr="008A5C57" w14:paraId="30737B5D" w14:textId="77777777" w:rsidTr="00CE5A9E">
        <w:trPr>
          <w:trHeight w:val="227"/>
          <w:jc w:val="center"/>
        </w:trPr>
        <w:tc>
          <w:tcPr>
            <w:tcW w:w="1855" w:type="dxa"/>
            <w:tcBorders>
              <w:top w:val="single" w:sz="4" w:space="0" w:color="auto"/>
              <w:left w:val="single" w:sz="4" w:space="0" w:color="auto"/>
              <w:bottom w:val="single" w:sz="4" w:space="0" w:color="auto"/>
              <w:right w:val="single" w:sz="4" w:space="0" w:color="auto"/>
            </w:tcBorders>
            <w:shd w:val="clear" w:color="000000" w:fill="DDF1FF"/>
            <w:vAlign w:val="center"/>
            <w:hideMark/>
          </w:tcPr>
          <w:p w14:paraId="0EF63B73" w14:textId="77777777" w:rsidR="00736008" w:rsidRPr="008A5C57" w:rsidRDefault="00736008" w:rsidP="008A5C57">
            <w:pPr>
              <w:spacing w:before="0"/>
              <w:jc w:val="center"/>
              <w:rPr>
                <w:b/>
                <w:bCs/>
                <w:sz w:val="20"/>
                <w:szCs w:val="20"/>
                <w:lang w:eastAsia="cs-CZ"/>
              </w:rPr>
            </w:pPr>
            <w:r w:rsidRPr="008A5C57">
              <w:rPr>
                <w:b/>
                <w:bCs/>
                <w:sz w:val="20"/>
                <w:szCs w:val="20"/>
                <w:lang w:eastAsia="cs-CZ"/>
              </w:rPr>
              <w:t>Ukazatel</w:t>
            </w:r>
          </w:p>
        </w:tc>
        <w:tc>
          <w:tcPr>
            <w:tcW w:w="894" w:type="dxa"/>
            <w:tcBorders>
              <w:top w:val="single" w:sz="4" w:space="0" w:color="auto"/>
              <w:left w:val="nil"/>
              <w:bottom w:val="single" w:sz="4" w:space="0" w:color="auto"/>
              <w:right w:val="single" w:sz="4" w:space="0" w:color="auto"/>
            </w:tcBorders>
            <w:shd w:val="clear" w:color="000000" w:fill="DDF1FF"/>
            <w:vAlign w:val="center"/>
            <w:hideMark/>
          </w:tcPr>
          <w:p w14:paraId="17536539" w14:textId="77777777" w:rsidR="00736008" w:rsidRPr="008A5C57" w:rsidRDefault="00736008" w:rsidP="008A5C57">
            <w:pPr>
              <w:spacing w:before="0"/>
              <w:jc w:val="center"/>
              <w:rPr>
                <w:b/>
                <w:bCs/>
                <w:sz w:val="20"/>
                <w:szCs w:val="20"/>
                <w:lang w:eastAsia="cs-CZ"/>
              </w:rPr>
            </w:pPr>
            <w:r w:rsidRPr="008A5C57">
              <w:rPr>
                <w:b/>
                <w:bCs/>
                <w:sz w:val="20"/>
                <w:szCs w:val="20"/>
                <w:lang w:eastAsia="cs-CZ"/>
              </w:rPr>
              <w:t>Jednotka</w:t>
            </w:r>
          </w:p>
        </w:tc>
        <w:tc>
          <w:tcPr>
            <w:tcW w:w="1531" w:type="dxa"/>
            <w:tcBorders>
              <w:top w:val="single" w:sz="4" w:space="0" w:color="auto"/>
              <w:left w:val="nil"/>
              <w:bottom w:val="single" w:sz="4" w:space="0" w:color="auto"/>
              <w:right w:val="single" w:sz="4" w:space="0" w:color="auto"/>
            </w:tcBorders>
            <w:shd w:val="clear" w:color="000000" w:fill="DDF1FF"/>
            <w:vAlign w:val="center"/>
            <w:hideMark/>
          </w:tcPr>
          <w:p w14:paraId="755F0941" w14:textId="77777777" w:rsidR="00736008" w:rsidRPr="008A5C57" w:rsidRDefault="00736008" w:rsidP="008A5C57">
            <w:pPr>
              <w:spacing w:before="0"/>
              <w:jc w:val="center"/>
              <w:rPr>
                <w:b/>
                <w:bCs/>
                <w:sz w:val="20"/>
                <w:szCs w:val="20"/>
                <w:lang w:eastAsia="cs-CZ"/>
              </w:rPr>
            </w:pPr>
            <w:r w:rsidRPr="008A5C57">
              <w:rPr>
                <w:b/>
                <w:bCs/>
                <w:sz w:val="20"/>
                <w:szCs w:val="20"/>
                <w:lang w:eastAsia="cs-CZ"/>
              </w:rPr>
              <w:t>Stav v roce 2015 (výchozí stav dle Strategie)</w:t>
            </w:r>
          </w:p>
        </w:tc>
        <w:tc>
          <w:tcPr>
            <w:tcW w:w="1757" w:type="dxa"/>
            <w:tcBorders>
              <w:top w:val="single" w:sz="4" w:space="0" w:color="auto"/>
              <w:left w:val="nil"/>
              <w:bottom w:val="single" w:sz="4" w:space="0" w:color="auto"/>
              <w:right w:val="single" w:sz="4" w:space="0" w:color="auto"/>
            </w:tcBorders>
            <w:shd w:val="clear" w:color="000000" w:fill="D9D9D9"/>
            <w:vAlign w:val="center"/>
            <w:hideMark/>
          </w:tcPr>
          <w:p w14:paraId="59F302BD" w14:textId="77777777" w:rsidR="00736008" w:rsidRPr="008A5C57" w:rsidRDefault="00736008" w:rsidP="008A5C57">
            <w:pPr>
              <w:spacing w:before="0"/>
              <w:jc w:val="center"/>
              <w:rPr>
                <w:b/>
                <w:bCs/>
                <w:sz w:val="20"/>
                <w:szCs w:val="20"/>
                <w:lang w:eastAsia="cs-CZ"/>
              </w:rPr>
            </w:pPr>
            <w:r w:rsidRPr="008A5C57">
              <w:rPr>
                <w:b/>
                <w:bCs/>
                <w:sz w:val="20"/>
                <w:szCs w:val="20"/>
                <w:lang w:eastAsia="cs-CZ"/>
              </w:rPr>
              <w:t>Stav k 31. 12. 2017, případně průměrný stav v roce 2017*</w:t>
            </w:r>
          </w:p>
        </w:tc>
        <w:tc>
          <w:tcPr>
            <w:tcW w:w="1022" w:type="dxa"/>
            <w:tcBorders>
              <w:top w:val="single" w:sz="4" w:space="0" w:color="auto"/>
              <w:left w:val="nil"/>
              <w:bottom w:val="single" w:sz="4" w:space="0" w:color="auto"/>
              <w:right w:val="single" w:sz="4" w:space="0" w:color="auto"/>
            </w:tcBorders>
            <w:shd w:val="clear" w:color="000000" w:fill="DDF1FF"/>
            <w:vAlign w:val="center"/>
            <w:hideMark/>
          </w:tcPr>
          <w:p w14:paraId="5ABCFDE0" w14:textId="77777777" w:rsidR="00736008" w:rsidRPr="008A5C57" w:rsidRDefault="00736008" w:rsidP="008A5C57">
            <w:pPr>
              <w:spacing w:before="0"/>
              <w:jc w:val="center"/>
              <w:rPr>
                <w:b/>
                <w:bCs/>
                <w:sz w:val="20"/>
                <w:szCs w:val="20"/>
                <w:lang w:eastAsia="cs-CZ"/>
              </w:rPr>
            </w:pPr>
            <w:r w:rsidRPr="008A5C57">
              <w:rPr>
                <w:b/>
                <w:bCs/>
                <w:sz w:val="20"/>
                <w:szCs w:val="20"/>
                <w:lang w:eastAsia="cs-CZ"/>
              </w:rPr>
              <w:t>Indikativní hodnota 2020</w:t>
            </w:r>
          </w:p>
        </w:tc>
        <w:tc>
          <w:tcPr>
            <w:tcW w:w="1022" w:type="dxa"/>
            <w:tcBorders>
              <w:top w:val="single" w:sz="4" w:space="0" w:color="auto"/>
              <w:left w:val="nil"/>
              <w:bottom w:val="single" w:sz="4" w:space="0" w:color="auto"/>
              <w:right w:val="single" w:sz="4" w:space="0" w:color="auto"/>
            </w:tcBorders>
            <w:shd w:val="clear" w:color="000000" w:fill="DDF1FF"/>
            <w:vAlign w:val="center"/>
            <w:hideMark/>
          </w:tcPr>
          <w:p w14:paraId="1F6465D3" w14:textId="77777777" w:rsidR="00736008" w:rsidRPr="008A5C57" w:rsidRDefault="00736008" w:rsidP="008A5C57">
            <w:pPr>
              <w:spacing w:before="0"/>
              <w:jc w:val="center"/>
              <w:rPr>
                <w:b/>
                <w:bCs/>
                <w:sz w:val="20"/>
                <w:szCs w:val="20"/>
                <w:lang w:eastAsia="cs-CZ"/>
              </w:rPr>
            </w:pPr>
            <w:r w:rsidRPr="008A5C57">
              <w:rPr>
                <w:b/>
                <w:bCs/>
                <w:sz w:val="20"/>
                <w:szCs w:val="20"/>
                <w:lang w:eastAsia="cs-CZ"/>
              </w:rPr>
              <w:t>Indikativní hodnota 2025</w:t>
            </w:r>
          </w:p>
        </w:tc>
        <w:tc>
          <w:tcPr>
            <w:tcW w:w="1022" w:type="dxa"/>
            <w:tcBorders>
              <w:top w:val="single" w:sz="4" w:space="0" w:color="auto"/>
              <w:left w:val="nil"/>
              <w:bottom w:val="single" w:sz="4" w:space="0" w:color="auto"/>
              <w:right w:val="single" w:sz="4" w:space="0" w:color="auto"/>
            </w:tcBorders>
            <w:shd w:val="clear" w:color="000000" w:fill="DDF1FF"/>
            <w:vAlign w:val="center"/>
            <w:hideMark/>
          </w:tcPr>
          <w:p w14:paraId="69A31542" w14:textId="77777777" w:rsidR="00736008" w:rsidRPr="008A5C57" w:rsidRDefault="00736008" w:rsidP="008A5C57">
            <w:pPr>
              <w:spacing w:before="0"/>
              <w:jc w:val="center"/>
              <w:rPr>
                <w:b/>
                <w:bCs/>
                <w:sz w:val="20"/>
                <w:szCs w:val="20"/>
                <w:lang w:eastAsia="cs-CZ"/>
              </w:rPr>
            </w:pPr>
            <w:r w:rsidRPr="008A5C57">
              <w:rPr>
                <w:b/>
                <w:bCs/>
                <w:sz w:val="20"/>
                <w:szCs w:val="20"/>
                <w:lang w:eastAsia="cs-CZ"/>
              </w:rPr>
              <w:t>Indikativní hodnota 2030</w:t>
            </w:r>
          </w:p>
        </w:tc>
      </w:tr>
      <w:tr w:rsidR="00CE5A9E" w:rsidRPr="008A5C57" w14:paraId="4D259635"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59507853" w14:textId="77777777" w:rsidR="00736008" w:rsidRPr="008A5C57" w:rsidRDefault="00736008" w:rsidP="008A5C57">
            <w:pPr>
              <w:spacing w:before="0"/>
              <w:jc w:val="left"/>
              <w:rPr>
                <w:sz w:val="20"/>
                <w:szCs w:val="20"/>
                <w:lang w:eastAsia="cs-CZ"/>
              </w:rPr>
            </w:pPr>
            <w:r w:rsidRPr="008A5C57">
              <w:rPr>
                <w:sz w:val="20"/>
                <w:szCs w:val="20"/>
                <w:lang w:eastAsia="cs-CZ"/>
              </w:rPr>
              <w:t>Podíl ŽV na celkové zemědělské produkci</w:t>
            </w:r>
          </w:p>
        </w:tc>
        <w:tc>
          <w:tcPr>
            <w:tcW w:w="894" w:type="dxa"/>
            <w:tcBorders>
              <w:top w:val="nil"/>
              <w:left w:val="nil"/>
              <w:bottom w:val="single" w:sz="4" w:space="0" w:color="auto"/>
              <w:right w:val="single" w:sz="4" w:space="0" w:color="auto"/>
            </w:tcBorders>
            <w:shd w:val="clear" w:color="auto" w:fill="auto"/>
            <w:vAlign w:val="center"/>
            <w:hideMark/>
          </w:tcPr>
          <w:p w14:paraId="7F24E450" w14:textId="77777777" w:rsidR="00736008" w:rsidRPr="008A5C57" w:rsidRDefault="00736008" w:rsidP="008A5C57">
            <w:pPr>
              <w:spacing w:before="0"/>
              <w:jc w:val="center"/>
              <w:rPr>
                <w:sz w:val="20"/>
                <w:szCs w:val="20"/>
                <w:lang w:eastAsia="cs-CZ"/>
              </w:rPr>
            </w:pPr>
            <w:r w:rsidRPr="008A5C57">
              <w:rPr>
                <w:sz w:val="20"/>
                <w:szCs w:val="20"/>
                <w:lang w:eastAsia="cs-CZ"/>
              </w:rPr>
              <w:t>%</w:t>
            </w:r>
          </w:p>
        </w:tc>
        <w:tc>
          <w:tcPr>
            <w:tcW w:w="1531" w:type="dxa"/>
            <w:tcBorders>
              <w:top w:val="nil"/>
              <w:left w:val="nil"/>
              <w:bottom w:val="single" w:sz="4" w:space="0" w:color="auto"/>
              <w:right w:val="single" w:sz="4" w:space="0" w:color="auto"/>
            </w:tcBorders>
            <w:shd w:val="clear" w:color="auto" w:fill="auto"/>
            <w:vAlign w:val="center"/>
            <w:hideMark/>
          </w:tcPr>
          <w:p w14:paraId="4557BAF0" w14:textId="77777777" w:rsidR="00736008" w:rsidRPr="008A5C57" w:rsidRDefault="00736008" w:rsidP="006D368A">
            <w:pPr>
              <w:spacing w:before="0"/>
              <w:ind w:right="388"/>
              <w:jc w:val="right"/>
              <w:rPr>
                <w:sz w:val="20"/>
                <w:szCs w:val="20"/>
                <w:lang w:eastAsia="cs-CZ"/>
              </w:rPr>
            </w:pPr>
            <w:r w:rsidRPr="008A5C57">
              <w:rPr>
                <w:sz w:val="20"/>
                <w:szCs w:val="20"/>
                <w:lang w:eastAsia="cs-CZ"/>
              </w:rPr>
              <w:t>45</w:t>
            </w:r>
          </w:p>
        </w:tc>
        <w:tc>
          <w:tcPr>
            <w:tcW w:w="1757" w:type="dxa"/>
            <w:tcBorders>
              <w:top w:val="nil"/>
              <w:left w:val="nil"/>
              <w:bottom w:val="single" w:sz="4" w:space="0" w:color="auto"/>
              <w:right w:val="single" w:sz="4" w:space="0" w:color="auto"/>
            </w:tcBorders>
            <w:shd w:val="clear" w:color="000000" w:fill="D9D9D9"/>
            <w:vAlign w:val="center"/>
            <w:hideMark/>
          </w:tcPr>
          <w:p w14:paraId="51AB55FD" w14:textId="77777777" w:rsidR="00736008" w:rsidRPr="008A5C57" w:rsidRDefault="00736008" w:rsidP="006D368A">
            <w:pPr>
              <w:spacing w:before="0"/>
              <w:ind w:right="580"/>
              <w:jc w:val="right"/>
              <w:rPr>
                <w:color w:val="FF0000"/>
                <w:sz w:val="20"/>
                <w:szCs w:val="20"/>
                <w:lang w:eastAsia="cs-CZ"/>
              </w:rPr>
            </w:pPr>
            <w:r w:rsidRPr="008A5C57">
              <w:rPr>
                <w:color w:val="FF0000"/>
                <w:sz w:val="20"/>
                <w:szCs w:val="20"/>
                <w:lang w:eastAsia="cs-CZ"/>
              </w:rPr>
              <w:t>39</w:t>
            </w:r>
          </w:p>
        </w:tc>
        <w:tc>
          <w:tcPr>
            <w:tcW w:w="1022" w:type="dxa"/>
            <w:tcBorders>
              <w:top w:val="nil"/>
              <w:left w:val="nil"/>
              <w:bottom w:val="single" w:sz="4" w:space="0" w:color="auto"/>
              <w:right w:val="single" w:sz="4" w:space="0" w:color="auto"/>
            </w:tcBorders>
            <w:shd w:val="clear" w:color="auto" w:fill="auto"/>
            <w:vAlign w:val="center"/>
            <w:hideMark/>
          </w:tcPr>
          <w:p w14:paraId="350EABB8" w14:textId="77777777" w:rsidR="00736008" w:rsidRPr="008A5C57" w:rsidRDefault="00736008" w:rsidP="006D368A">
            <w:pPr>
              <w:spacing w:before="0"/>
              <w:ind w:right="113"/>
              <w:jc w:val="right"/>
              <w:rPr>
                <w:sz w:val="20"/>
                <w:szCs w:val="20"/>
                <w:lang w:eastAsia="cs-CZ"/>
              </w:rPr>
            </w:pPr>
            <w:r w:rsidRPr="008A5C57">
              <w:rPr>
                <w:sz w:val="20"/>
                <w:szCs w:val="20"/>
                <w:lang w:eastAsia="cs-CZ"/>
              </w:rPr>
              <w:t>47</w:t>
            </w:r>
          </w:p>
        </w:tc>
        <w:tc>
          <w:tcPr>
            <w:tcW w:w="1022" w:type="dxa"/>
            <w:tcBorders>
              <w:top w:val="nil"/>
              <w:left w:val="nil"/>
              <w:bottom w:val="single" w:sz="4" w:space="0" w:color="auto"/>
              <w:right w:val="single" w:sz="4" w:space="0" w:color="auto"/>
            </w:tcBorders>
            <w:shd w:val="clear" w:color="auto" w:fill="auto"/>
            <w:vAlign w:val="center"/>
            <w:hideMark/>
          </w:tcPr>
          <w:p w14:paraId="0EDE7F66" w14:textId="77777777" w:rsidR="00736008" w:rsidRPr="008A5C57" w:rsidRDefault="00736008" w:rsidP="006D368A">
            <w:pPr>
              <w:spacing w:before="0"/>
              <w:ind w:right="67"/>
              <w:jc w:val="right"/>
              <w:rPr>
                <w:sz w:val="20"/>
                <w:szCs w:val="20"/>
                <w:lang w:eastAsia="cs-CZ"/>
              </w:rPr>
            </w:pPr>
            <w:r w:rsidRPr="008A5C57">
              <w:rPr>
                <w:sz w:val="20"/>
                <w:szCs w:val="20"/>
                <w:lang w:eastAsia="cs-CZ"/>
              </w:rPr>
              <w:t>48</w:t>
            </w:r>
          </w:p>
        </w:tc>
        <w:tc>
          <w:tcPr>
            <w:tcW w:w="1022" w:type="dxa"/>
            <w:tcBorders>
              <w:top w:val="nil"/>
              <w:left w:val="nil"/>
              <w:bottom w:val="single" w:sz="4" w:space="0" w:color="auto"/>
              <w:right w:val="single" w:sz="4" w:space="0" w:color="auto"/>
            </w:tcBorders>
            <w:shd w:val="clear" w:color="auto" w:fill="auto"/>
            <w:vAlign w:val="center"/>
            <w:hideMark/>
          </w:tcPr>
          <w:p w14:paraId="08CA1F76" w14:textId="77777777" w:rsidR="00736008" w:rsidRPr="008A5C57" w:rsidRDefault="00736008" w:rsidP="006D368A">
            <w:pPr>
              <w:spacing w:before="0"/>
              <w:ind w:right="67"/>
              <w:jc w:val="right"/>
              <w:rPr>
                <w:sz w:val="20"/>
                <w:szCs w:val="20"/>
                <w:lang w:eastAsia="cs-CZ"/>
              </w:rPr>
            </w:pPr>
            <w:r w:rsidRPr="008A5C57">
              <w:rPr>
                <w:sz w:val="20"/>
                <w:szCs w:val="20"/>
                <w:lang w:eastAsia="cs-CZ"/>
              </w:rPr>
              <w:t>50</w:t>
            </w:r>
          </w:p>
        </w:tc>
      </w:tr>
      <w:tr w:rsidR="00CE5A9E" w:rsidRPr="008A5C57" w14:paraId="2084AD9C"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36004CC4" w14:textId="77777777" w:rsidR="00736008" w:rsidRPr="008A5C57" w:rsidRDefault="00736008" w:rsidP="008A5C57">
            <w:pPr>
              <w:spacing w:before="0"/>
              <w:jc w:val="left"/>
              <w:rPr>
                <w:sz w:val="20"/>
                <w:szCs w:val="20"/>
                <w:lang w:eastAsia="cs-CZ"/>
              </w:rPr>
            </w:pPr>
            <w:r w:rsidRPr="008A5C57">
              <w:rPr>
                <w:sz w:val="20"/>
                <w:szCs w:val="20"/>
                <w:lang w:eastAsia="cs-CZ"/>
              </w:rPr>
              <w:t>Stav dojnic</w:t>
            </w:r>
          </w:p>
        </w:tc>
        <w:tc>
          <w:tcPr>
            <w:tcW w:w="894" w:type="dxa"/>
            <w:tcBorders>
              <w:top w:val="nil"/>
              <w:left w:val="nil"/>
              <w:bottom w:val="single" w:sz="4" w:space="0" w:color="auto"/>
              <w:right w:val="single" w:sz="4" w:space="0" w:color="auto"/>
            </w:tcBorders>
            <w:shd w:val="clear" w:color="auto" w:fill="auto"/>
            <w:vAlign w:val="center"/>
            <w:hideMark/>
          </w:tcPr>
          <w:p w14:paraId="448DC90E" w14:textId="77777777" w:rsidR="00736008" w:rsidRPr="008A5C57" w:rsidRDefault="00736008" w:rsidP="008A5C57">
            <w:pPr>
              <w:spacing w:before="0"/>
              <w:jc w:val="center"/>
              <w:rPr>
                <w:sz w:val="20"/>
                <w:szCs w:val="20"/>
                <w:lang w:eastAsia="cs-CZ"/>
              </w:rPr>
            </w:pPr>
            <w:r w:rsidRPr="008A5C57">
              <w:rPr>
                <w:sz w:val="20"/>
                <w:szCs w:val="20"/>
                <w:lang w:eastAsia="cs-CZ"/>
              </w:rPr>
              <w:t>tis. ks</w:t>
            </w:r>
          </w:p>
        </w:tc>
        <w:tc>
          <w:tcPr>
            <w:tcW w:w="1531" w:type="dxa"/>
            <w:tcBorders>
              <w:top w:val="nil"/>
              <w:left w:val="nil"/>
              <w:bottom w:val="single" w:sz="4" w:space="0" w:color="auto"/>
              <w:right w:val="single" w:sz="4" w:space="0" w:color="auto"/>
            </w:tcBorders>
            <w:shd w:val="clear" w:color="auto" w:fill="auto"/>
            <w:vAlign w:val="center"/>
            <w:hideMark/>
          </w:tcPr>
          <w:p w14:paraId="0E66ED5D" w14:textId="77777777" w:rsidR="00736008" w:rsidRPr="008A5C57" w:rsidRDefault="00736008" w:rsidP="006D368A">
            <w:pPr>
              <w:spacing w:before="0"/>
              <w:ind w:right="388"/>
              <w:jc w:val="right"/>
              <w:rPr>
                <w:sz w:val="20"/>
                <w:szCs w:val="20"/>
                <w:lang w:eastAsia="cs-CZ"/>
              </w:rPr>
            </w:pPr>
            <w:r w:rsidRPr="008A5C57">
              <w:rPr>
                <w:sz w:val="20"/>
                <w:szCs w:val="20"/>
                <w:lang w:eastAsia="cs-CZ"/>
              </w:rPr>
              <w:t>376</w:t>
            </w:r>
          </w:p>
        </w:tc>
        <w:tc>
          <w:tcPr>
            <w:tcW w:w="1757" w:type="dxa"/>
            <w:tcBorders>
              <w:top w:val="nil"/>
              <w:left w:val="nil"/>
              <w:bottom w:val="single" w:sz="4" w:space="0" w:color="auto"/>
              <w:right w:val="single" w:sz="4" w:space="0" w:color="auto"/>
            </w:tcBorders>
            <w:shd w:val="clear" w:color="000000" w:fill="D9D9D9"/>
            <w:vAlign w:val="center"/>
            <w:hideMark/>
          </w:tcPr>
          <w:p w14:paraId="1DACC302" w14:textId="77777777" w:rsidR="00736008" w:rsidRPr="008A5C57" w:rsidRDefault="00736008" w:rsidP="006D368A">
            <w:pPr>
              <w:spacing w:before="0"/>
              <w:ind w:right="438"/>
              <w:jc w:val="right"/>
              <w:rPr>
                <w:color w:val="FF0000"/>
                <w:sz w:val="20"/>
                <w:szCs w:val="20"/>
                <w:lang w:eastAsia="cs-CZ"/>
              </w:rPr>
            </w:pPr>
            <w:r w:rsidRPr="008A5C57">
              <w:rPr>
                <w:color w:val="FF0000"/>
                <w:sz w:val="20"/>
                <w:szCs w:val="20"/>
                <w:lang w:eastAsia="cs-CZ"/>
              </w:rPr>
              <w:t>364,6</w:t>
            </w:r>
          </w:p>
        </w:tc>
        <w:tc>
          <w:tcPr>
            <w:tcW w:w="1022" w:type="dxa"/>
            <w:tcBorders>
              <w:top w:val="nil"/>
              <w:left w:val="nil"/>
              <w:bottom w:val="single" w:sz="4" w:space="0" w:color="auto"/>
              <w:right w:val="single" w:sz="4" w:space="0" w:color="auto"/>
            </w:tcBorders>
            <w:shd w:val="clear" w:color="auto" w:fill="auto"/>
            <w:vAlign w:val="center"/>
            <w:hideMark/>
          </w:tcPr>
          <w:p w14:paraId="07C1DC60" w14:textId="77777777" w:rsidR="00736008" w:rsidRPr="008A5C57" w:rsidRDefault="00736008" w:rsidP="006D368A">
            <w:pPr>
              <w:spacing w:before="0"/>
              <w:ind w:right="113"/>
              <w:jc w:val="right"/>
              <w:rPr>
                <w:sz w:val="20"/>
                <w:szCs w:val="20"/>
                <w:lang w:eastAsia="cs-CZ"/>
              </w:rPr>
            </w:pPr>
            <w:r w:rsidRPr="008A5C57">
              <w:rPr>
                <w:sz w:val="20"/>
                <w:szCs w:val="20"/>
                <w:lang w:eastAsia="cs-CZ"/>
              </w:rPr>
              <w:t>380</w:t>
            </w:r>
          </w:p>
        </w:tc>
        <w:tc>
          <w:tcPr>
            <w:tcW w:w="1022" w:type="dxa"/>
            <w:tcBorders>
              <w:top w:val="nil"/>
              <w:left w:val="nil"/>
              <w:bottom w:val="single" w:sz="4" w:space="0" w:color="auto"/>
              <w:right w:val="single" w:sz="4" w:space="0" w:color="auto"/>
            </w:tcBorders>
            <w:shd w:val="clear" w:color="auto" w:fill="auto"/>
            <w:vAlign w:val="center"/>
            <w:hideMark/>
          </w:tcPr>
          <w:p w14:paraId="33300EA4" w14:textId="77777777" w:rsidR="00736008" w:rsidRPr="008A5C57" w:rsidRDefault="00736008" w:rsidP="006D368A">
            <w:pPr>
              <w:spacing w:before="0"/>
              <w:ind w:right="67"/>
              <w:jc w:val="right"/>
              <w:rPr>
                <w:sz w:val="20"/>
                <w:szCs w:val="20"/>
                <w:lang w:eastAsia="cs-CZ"/>
              </w:rPr>
            </w:pPr>
            <w:r w:rsidRPr="008A5C57">
              <w:rPr>
                <w:sz w:val="20"/>
                <w:szCs w:val="20"/>
                <w:lang w:eastAsia="cs-CZ"/>
              </w:rPr>
              <w:t>385</w:t>
            </w:r>
          </w:p>
        </w:tc>
        <w:tc>
          <w:tcPr>
            <w:tcW w:w="1022" w:type="dxa"/>
            <w:tcBorders>
              <w:top w:val="nil"/>
              <w:left w:val="nil"/>
              <w:bottom w:val="single" w:sz="4" w:space="0" w:color="auto"/>
              <w:right w:val="single" w:sz="4" w:space="0" w:color="auto"/>
            </w:tcBorders>
            <w:shd w:val="clear" w:color="auto" w:fill="auto"/>
            <w:vAlign w:val="center"/>
            <w:hideMark/>
          </w:tcPr>
          <w:p w14:paraId="55AE7328" w14:textId="77777777" w:rsidR="00736008" w:rsidRPr="008A5C57" w:rsidRDefault="00736008" w:rsidP="006D368A">
            <w:pPr>
              <w:spacing w:before="0"/>
              <w:ind w:right="67"/>
              <w:jc w:val="right"/>
              <w:rPr>
                <w:sz w:val="20"/>
                <w:szCs w:val="20"/>
                <w:lang w:eastAsia="cs-CZ"/>
              </w:rPr>
            </w:pPr>
            <w:r w:rsidRPr="008A5C57">
              <w:rPr>
                <w:sz w:val="20"/>
                <w:szCs w:val="20"/>
                <w:lang w:eastAsia="cs-CZ"/>
              </w:rPr>
              <w:t>390</w:t>
            </w:r>
          </w:p>
        </w:tc>
      </w:tr>
      <w:tr w:rsidR="00CE5A9E" w:rsidRPr="008A5C57" w14:paraId="45E4B4E8"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1D04F89D" w14:textId="77777777" w:rsidR="00736008" w:rsidRPr="008A5C57" w:rsidRDefault="00736008" w:rsidP="008A5C57">
            <w:pPr>
              <w:spacing w:before="0"/>
              <w:jc w:val="left"/>
              <w:rPr>
                <w:sz w:val="20"/>
                <w:szCs w:val="20"/>
                <w:lang w:eastAsia="cs-CZ"/>
              </w:rPr>
            </w:pPr>
            <w:r w:rsidRPr="008A5C57">
              <w:rPr>
                <w:sz w:val="20"/>
                <w:szCs w:val="20"/>
                <w:lang w:eastAsia="cs-CZ"/>
              </w:rPr>
              <w:t>Podíl dojnic s převahou krmiv na trvalých travních porostech</w:t>
            </w:r>
          </w:p>
        </w:tc>
        <w:tc>
          <w:tcPr>
            <w:tcW w:w="894" w:type="dxa"/>
            <w:tcBorders>
              <w:top w:val="nil"/>
              <w:left w:val="nil"/>
              <w:bottom w:val="single" w:sz="4" w:space="0" w:color="auto"/>
              <w:right w:val="single" w:sz="4" w:space="0" w:color="auto"/>
            </w:tcBorders>
            <w:shd w:val="clear" w:color="auto" w:fill="auto"/>
            <w:vAlign w:val="center"/>
            <w:hideMark/>
          </w:tcPr>
          <w:p w14:paraId="62C268B0" w14:textId="77777777" w:rsidR="00736008" w:rsidRPr="008A5C57" w:rsidRDefault="00736008" w:rsidP="008A5C57">
            <w:pPr>
              <w:spacing w:before="0"/>
              <w:jc w:val="center"/>
              <w:rPr>
                <w:sz w:val="20"/>
                <w:szCs w:val="20"/>
                <w:lang w:eastAsia="cs-CZ"/>
              </w:rPr>
            </w:pPr>
            <w:r w:rsidRPr="008A5C57">
              <w:rPr>
                <w:sz w:val="20"/>
                <w:szCs w:val="20"/>
                <w:lang w:eastAsia="cs-CZ"/>
              </w:rPr>
              <w:t>index</w:t>
            </w:r>
          </w:p>
        </w:tc>
        <w:tc>
          <w:tcPr>
            <w:tcW w:w="1531" w:type="dxa"/>
            <w:tcBorders>
              <w:top w:val="nil"/>
              <w:left w:val="nil"/>
              <w:bottom w:val="single" w:sz="4" w:space="0" w:color="auto"/>
              <w:right w:val="single" w:sz="4" w:space="0" w:color="auto"/>
            </w:tcBorders>
            <w:shd w:val="clear" w:color="auto" w:fill="auto"/>
            <w:vAlign w:val="center"/>
            <w:hideMark/>
          </w:tcPr>
          <w:p w14:paraId="573716FB" w14:textId="77777777" w:rsidR="00736008" w:rsidRPr="008A5C57" w:rsidRDefault="00736008" w:rsidP="006D368A">
            <w:pPr>
              <w:spacing w:before="0"/>
              <w:ind w:right="388"/>
              <w:jc w:val="right"/>
              <w:rPr>
                <w:sz w:val="20"/>
                <w:szCs w:val="20"/>
                <w:lang w:eastAsia="cs-CZ"/>
              </w:rPr>
            </w:pPr>
            <w:r w:rsidRPr="008A5C57">
              <w:rPr>
                <w:sz w:val="20"/>
                <w:szCs w:val="20"/>
                <w:lang w:eastAsia="cs-CZ"/>
              </w:rPr>
              <w:t>100</w:t>
            </w:r>
          </w:p>
        </w:tc>
        <w:tc>
          <w:tcPr>
            <w:tcW w:w="1757" w:type="dxa"/>
            <w:tcBorders>
              <w:top w:val="nil"/>
              <w:left w:val="nil"/>
              <w:bottom w:val="single" w:sz="4" w:space="0" w:color="auto"/>
              <w:right w:val="single" w:sz="4" w:space="0" w:color="auto"/>
            </w:tcBorders>
            <w:shd w:val="clear" w:color="000000" w:fill="D9D9D9"/>
            <w:vAlign w:val="center"/>
            <w:hideMark/>
          </w:tcPr>
          <w:p w14:paraId="77797C5D" w14:textId="1C12DCD2" w:rsidR="00736008" w:rsidRPr="008A5C57" w:rsidRDefault="00D34086" w:rsidP="008A5C57">
            <w:pPr>
              <w:spacing w:before="0"/>
              <w:jc w:val="center"/>
              <w:rPr>
                <w:sz w:val="20"/>
                <w:szCs w:val="20"/>
                <w:lang w:eastAsia="cs-CZ"/>
              </w:rPr>
            </w:pPr>
            <w:r>
              <w:rPr>
                <w:sz w:val="20"/>
                <w:szCs w:val="20"/>
                <w:lang w:eastAsia="cs-CZ"/>
              </w:rPr>
              <w:t>N</w:t>
            </w:r>
            <w:r w:rsidR="00736008" w:rsidRPr="008A5C57">
              <w:rPr>
                <w:sz w:val="20"/>
                <w:szCs w:val="20"/>
                <w:lang w:eastAsia="cs-CZ"/>
              </w:rPr>
              <w:t>edohledáno</w:t>
            </w:r>
          </w:p>
        </w:tc>
        <w:tc>
          <w:tcPr>
            <w:tcW w:w="1022" w:type="dxa"/>
            <w:tcBorders>
              <w:top w:val="nil"/>
              <w:left w:val="nil"/>
              <w:bottom w:val="single" w:sz="4" w:space="0" w:color="auto"/>
              <w:right w:val="single" w:sz="4" w:space="0" w:color="auto"/>
            </w:tcBorders>
            <w:shd w:val="clear" w:color="auto" w:fill="auto"/>
            <w:vAlign w:val="center"/>
            <w:hideMark/>
          </w:tcPr>
          <w:p w14:paraId="0AA4EC2E" w14:textId="77777777" w:rsidR="00736008" w:rsidRPr="008A5C57" w:rsidRDefault="00736008" w:rsidP="006D368A">
            <w:pPr>
              <w:spacing w:before="0"/>
              <w:ind w:right="113"/>
              <w:jc w:val="right"/>
              <w:rPr>
                <w:sz w:val="20"/>
                <w:szCs w:val="20"/>
                <w:lang w:eastAsia="cs-CZ"/>
              </w:rPr>
            </w:pPr>
            <w:r w:rsidRPr="008A5C57">
              <w:rPr>
                <w:sz w:val="20"/>
                <w:szCs w:val="20"/>
                <w:lang w:eastAsia="cs-CZ"/>
              </w:rPr>
              <w:t>110</w:t>
            </w:r>
          </w:p>
        </w:tc>
        <w:tc>
          <w:tcPr>
            <w:tcW w:w="1022" w:type="dxa"/>
            <w:tcBorders>
              <w:top w:val="nil"/>
              <w:left w:val="nil"/>
              <w:bottom w:val="single" w:sz="4" w:space="0" w:color="auto"/>
              <w:right w:val="single" w:sz="4" w:space="0" w:color="auto"/>
            </w:tcBorders>
            <w:shd w:val="clear" w:color="auto" w:fill="auto"/>
            <w:vAlign w:val="center"/>
            <w:hideMark/>
          </w:tcPr>
          <w:p w14:paraId="740565DE" w14:textId="77777777" w:rsidR="00736008" w:rsidRPr="008A5C57" w:rsidRDefault="00736008" w:rsidP="006D368A">
            <w:pPr>
              <w:spacing w:before="0"/>
              <w:ind w:right="67"/>
              <w:jc w:val="right"/>
              <w:rPr>
                <w:sz w:val="20"/>
                <w:szCs w:val="20"/>
                <w:lang w:eastAsia="cs-CZ"/>
              </w:rPr>
            </w:pPr>
            <w:r w:rsidRPr="008A5C57">
              <w:rPr>
                <w:sz w:val="20"/>
                <w:szCs w:val="20"/>
                <w:lang w:eastAsia="cs-CZ"/>
              </w:rPr>
              <w:t>115</w:t>
            </w:r>
          </w:p>
        </w:tc>
        <w:tc>
          <w:tcPr>
            <w:tcW w:w="1022" w:type="dxa"/>
            <w:tcBorders>
              <w:top w:val="nil"/>
              <w:left w:val="nil"/>
              <w:bottom w:val="single" w:sz="4" w:space="0" w:color="auto"/>
              <w:right w:val="single" w:sz="4" w:space="0" w:color="auto"/>
            </w:tcBorders>
            <w:shd w:val="clear" w:color="auto" w:fill="auto"/>
            <w:vAlign w:val="center"/>
            <w:hideMark/>
          </w:tcPr>
          <w:p w14:paraId="0E21E898" w14:textId="77777777" w:rsidR="00736008" w:rsidRPr="008A5C57" w:rsidRDefault="00736008" w:rsidP="006D368A">
            <w:pPr>
              <w:spacing w:before="0"/>
              <w:ind w:right="67"/>
              <w:jc w:val="right"/>
              <w:rPr>
                <w:sz w:val="20"/>
                <w:szCs w:val="20"/>
                <w:lang w:eastAsia="cs-CZ"/>
              </w:rPr>
            </w:pPr>
            <w:r w:rsidRPr="008A5C57">
              <w:rPr>
                <w:sz w:val="20"/>
                <w:szCs w:val="20"/>
                <w:lang w:eastAsia="cs-CZ"/>
              </w:rPr>
              <w:t>120</w:t>
            </w:r>
          </w:p>
        </w:tc>
      </w:tr>
      <w:tr w:rsidR="00CE5A9E" w:rsidRPr="008A5C57" w14:paraId="6AB83E37"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71FD1021" w14:textId="77777777" w:rsidR="00736008" w:rsidRPr="008A5C57" w:rsidRDefault="00736008" w:rsidP="008A5C57">
            <w:pPr>
              <w:spacing w:before="0"/>
              <w:jc w:val="left"/>
              <w:rPr>
                <w:sz w:val="20"/>
                <w:szCs w:val="20"/>
                <w:lang w:eastAsia="cs-CZ"/>
              </w:rPr>
            </w:pPr>
            <w:r w:rsidRPr="008A5C57">
              <w:rPr>
                <w:sz w:val="20"/>
                <w:szCs w:val="20"/>
                <w:lang w:eastAsia="cs-CZ"/>
              </w:rPr>
              <w:t xml:space="preserve">Stav krav </w:t>
            </w:r>
            <w:r w:rsidR="00DC0AEC" w:rsidRPr="008A5C57">
              <w:rPr>
                <w:sz w:val="20"/>
                <w:szCs w:val="20"/>
                <w:lang w:eastAsia="cs-CZ"/>
              </w:rPr>
              <w:t>bez tržní produkce mléka</w:t>
            </w:r>
          </w:p>
        </w:tc>
        <w:tc>
          <w:tcPr>
            <w:tcW w:w="894" w:type="dxa"/>
            <w:tcBorders>
              <w:top w:val="nil"/>
              <w:left w:val="nil"/>
              <w:bottom w:val="single" w:sz="4" w:space="0" w:color="auto"/>
              <w:right w:val="single" w:sz="4" w:space="0" w:color="auto"/>
            </w:tcBorders>
            <w:shd w:val="clear" w:color="auto" w:fill="auto"/>
            <w:vAlign w:val="center"/>
            <w:hideMark/>
          </w:tcPr>
          <w:p w14:paraId="1460B8C1" w14:textId="77777777" w:rsidR="00736008" w:rsidRPr="008A5C57" w:rsidRDefault="00736008" w:rsidP="008A5C57">
            <w:pPr>
              <w:spacing w:before="0"/>
              <w:jc w:val="center"/>
              <w:rPr>
                <w:sz w:val="20"/>
                <w:szCs w:val="20"/>
                <w:lang w:eastAsia="cs-CZ"/>
              </w:rPr>
            </w:pPr>
            <w:r w:rsidRPr="008A5C57">
              <w:rPr>
                <w:sz w:val="20"/>
                <w:szCs w:val="20"/>
                <w:lang w:eastAsia="cs-CZ"/>
              </w:rPr>
              <w:t>tis. ks</w:t>
            </w:r>
          </w:p>
        </w:tc>
        <w:tc>
          <w:tcPr>
            <w:tcW w:w="1531" w:type="dxa"/>
            <w:tcBorders>
              <w:top w:val="nil"/>
              <w:left w:val="nil"/>
              <w:bottom w:val="single" w:sz="4" w:space="0" w:color="auto"/>
              <w:right w:val="single" w:sz="4" w:space="0" w:color="auto"/>
            </w:tcBorders>
            <w:shd w:val="clear" w:color="auto" w:fill="auto"/>
            <w:vAlign w:val="center"/>
            <w:hideMark/>
          </w:tcPr>
          <w:p w14:paraId="5D9C73D7" w14:textId="77777777" w:rsidR="00736008" w:rsidRPr="008A5C57" w:rsidRDefault="00736008" w:rsidP="006D368A">
            <w:pPr>
              <w:spacing w:before="0"/>
              <w:ind w:right="388"/>
              <w:jc w:val="right"/>
              <w:rPr>
                <w:sz w:val="20"/>
                <w:szCs w:val="20"/>
                <w:lang w:eastAsia="cs-CZ"/>
              </w:rPr>
            </w:pPr>
            <w:r w:rsidRPr="008A5C57">
              <w:rPr>
                <w:sz w:val="20"/>
                <w:szCs w:val="20"/>
                <w:lang w:eastAsia="cs-CZ"/>
              </w:rPr>
              <w:t>204</w:t>
            </w:r>
          </w:p>
        </w:tc>
        <w:tc>
          <w:tcPr>
            <w:tcW w:w="1757" w:type="dxa"/>
            <w:tcBorders>
              <w:top w:val="nil"/>
              <w:left w:val="nil"/>
              <w:bottom w:val="single" w:sz="4" w:space="0" w:color="auto"/>
              <w:right w:val="single" w:sz="4" w:space="0" w:color="auto"/>
            </w:tcBorders>
            <w:shd w:val="clear" w:color="000000" w:fill="D9D9D9"/>
            <w:vAlign w:val="center"/>
            <w:hideMark/>
          </w:tcPr>
          <w:p w14:paraId="5614F3FE" w14:textId="77777777" w:rsidR="00736008" w:rsidRPr="008A5C57" w:rsidRDefault="00736008" w:rsidP="006D368A">
            <w:pPr>
              <w:spacing w:before="0"/>
              <w:ind w:right="580"/>
              <w:jc w:val="right"/>
              <w:rPr>
                <w:sz w:val="20"/>
                <w:szCs w:val="20"/>
                <w:lang w:eastAsia="cs-CZ"/>
              </w:rPr>
            </w:pPr>
            <w:r w:rsidRPr="008A5C57">
              <w:rPr>
                <w:sz w:val="20"/>
                <w:szCs w:val="20"/>
                <w:lang w:eastAsia="cs-CZ"/>
              </w:rPr>
              <w:t>205</w:t>
            </w:r>
          </w:p>
        </w:tc>
        <w:tc>
          <w:tcPr>
            <w:tcW w:w="1022" w:type="dxa"/>
            <w:tcBorders>
              <w:top w:val="nil"/>
              <w:left w:val="nil"/>
              <w:bottom w:val="single" w:sz="4" w:space="0" w:color="auto"/>
              <w:right w:val="single" w:sz="4" w:space="0" w:color="auto"/>
            </w:tcBorders>
            <w:shd w:val="clear" w:color="auto" w:fill="auto"/>
            <w:vAlign w:val="center"/>
            <w:hideMark/>
          </w:tcPr>
          <w:p w14:paraId="7CE13EE5" w14:textId="77777777" w:rsidR="00736008" w:rsidRPr="008A5C57" w:rsidRDefault="00736008" w:rsidP="006D368A">
            <w:pPr>
              <w:spacing w:before="0"/>
              <w:ind w:right="113"/>
              <w:jc w:val="right"/>
              <w:rPr>
                <w:sz w:val="20"/>
                <w:szCs w:val="20"/>
                <w:lang w:eastAsia="cs-CZ"/>
              </w:rPr>
            </w:pPr>
            <w:r w:rsidRPr="008A5C57">
              <w:rPr>
                <w:sz w:val="20"/>
                <w:szCs w:val="20"/>
                <w:lang w:eastAsia="cs-CZ"/>
              </w:rPr>
              <w:t>235</w:t>
            </w:r>
          </w:p>
        </w:tc>
        <w:tc>
          <w:tcPr>
            <w:tcW w:w="1022" w:type="dxa"/>
            <w:tcBorders>
              <w:top w:val="nil"/>
              <w:left w:val="nil"/>
              <w:bottom w:val="single" w:sz="4" w:space="0" w:color="auto"/>
              <w:right w:val="single" w:sz="4" w:space="0" w:color="auto"/>
            </w:tcBorders>
            <w:shd w:val="clear" w:color="auto" w:fill="auto"/>
            <w:vAlign w:val="center"/>
            <w:hideMark/>
          </w:tcPr>
          <w:p w14:paraId="6836DF69" w14:textId="77777777" w:rsidR="00736008" w:rsidRPr="008A5C57" w:rsidRDefault="00736008" w:rsidP="006D368A">
            <w:pPr>
              <w:spacing w:before="0"/>
              <w:ind w:right="67"/>
              <w:jc w:val="right"/>
              <w:rPr>
                <w:sz w:val="20"/>
                <w:szCs w:val="20"/>
                <w:lang w:eastAsia="cs-CZ"/>
              </w:rPr>
            </w:pPr>
            <w:r w:rsidRPr="008A5C57">
              <w:rPr>
                <w:sz w:val="20"/>
                <w:szCs w:val="20"/>
                <w:lang w:eastAsia="cs-CZ"/>
              </w:rPr>
              <w:t>270</w:t>
            </w:r>
          </w:p>
        </w:tc>
        <w:tc>
          <w:tcPr>
            <w:tcW w:w="1022" w:type="dxa"/>
            <w:tcBorders>
              <w:top w:val="nil"/>
              <w:left w:val="nil"/>
              <w:bottom w:val="single" w:sz="4" w:space="0" w:color="auto"/>
              <w:right w:val="single" w:sz="4" w:space="0" w:color="auto"/>
            </w:tcBorders>
            <w:shd w:val="clear" w:color="auto" w:fill="auto"/>
            <w:vAlign w:val="center"/>
            <w:hideMark/>
          </w:tcPr>
          <w:p w14:paraId="1C25A1AE" w14:textId="77777777" w:rsidR="00736008" w:rsidRPr="008A5C57" w:rsidRDefault="00736008" w:rsidP="006D368A">
            <w:pPr>
              <w:spacing w:before="0"/>
              <w:ind w:right="67"/>
              <w:jc w:val="right"/>
              <w:rPr>
                <w:sz w:val="20"/>
                <w:szCs w:val="20"/>
                <w:lang w:eastAsia="cs-CZ"/>
              </w:rPr>
            </w:pPr>
            <w:r w:rsidRPr="008A5C57">
              <w:rPr>
                <w:sz w:val="20"/>
                <w:szCs w:val="20"/>
                <w:lang w:eastAsia="cs-CZ"/>
              </w:rPr>
              <w:t>300</w:t>
            </w:r>
          </w:p>
        </w:tc>
      </w:tr>
      <w:tr w:rsidR="00CE5A9E" w:rsidRPr="008A5C57" w14:paraId="7154EF46" w14:textId="77777777" w:rsidTr="00CE5A9E">
        <w:trPr>
          <w:trHeight w:val="244"/>
          <w:jc w:val="center"/>
        </w:trPr>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14:paraId="3937B20D" w14:textId="77777777" w:rsidR="00736008" w:rsidRPr="008A5C57" w:rsidRDefault="00736008" w:rsidP="008A5C57">
            <w:pPr>
              <w:spacing w:before="0"/>
              <w:jc w:val="left"/>
              <w:rPr>
                <w:sz w:val="20"/>
                <w:szCs w:val="20"/>
                <w:lang w:eastAsia="cs-CZ"/>
              </w:rPr>
            </w:pPr>
            <w:r w:rsidRPr="008A5C57">
              <w:rPr>
                <w:sz w:val="20"/>
                <w:szCs w:val="20"/>
                <w:lang w:eastAsia="cs-CZ"/>
              </w:rPr>
              <w:t xml:space="preserve">Stav prasat celkem </w:t>
            </w:r>
            <w:r w:rsidR="008A5C57">
              <w:rPr>
                <w:sz w:val="20"/>
                <w:szCs w:val="20"/>
                <w:lang w:eastAsia="cs-CZ"/>
              </w:rPr>
              <w:t>(z </w:t>
            </w:r>
            <w:r w:rsidRPr="008A5C57">
              <w:rPr>
                <w:sz w:val="20"/>
                <w:szCs w:val="20"/>
                <w:lang w:eastAsia="cs-CZ"/>
              </w:rPr>
              <w:t>toho prasnic)</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14:paraId="28B6700B" w14:textId="77777777" w:rsidR="00736008" w:rsidRPr="008A5C57" w:rsidRDefault="00736008" w:rsidP="008A5C57">
            <w:pPr>
              <w:spacing w:before="0"/>
              <w:jc w:val="center"/>
              <w:rPr>
                <w:sz w:val="20"/>
                <w:szCs w:val="20"/>
                <w:lang w:eastAsia="cs-CZ"/>
              </w:rPr>
            </w:pPr>
            <w:r w:rsidRPr="008A5C57">
              <w:rPr>
                <w:sz w:val="20"/>
                <w:szCs w:val="20"/>
                <w:lang w:eastAsia="cs-CZ"/>
              </w:rPr>
              <w:t>tis. ks</w:t>
            </w:r>
          </w:p>
        </w:tc>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14:paraId="79F52F3C" w14:textId="7C0188C8" w:rsidR="00736008" w:rsidRPr="008A5C57" w:rsidRDefault="00736008" w:rsidP="006D368A">
            <w:pPr>
              <w:spacing w:before="0"/>
              <w:ind w:right="388"/>
              <w:jc w:val="right"/>
              <w:rPr>
                <w:sz w:val="20"/>
                <w:szCs w:val="20"/>
                <w:lang w:eastAsia="cs-CZ"/>
              </w:rPr>
            </w:pPr>
            <w:r w:rsidRPr="008A5C57">
              <w:rPr>
                <w:sz w:val="20"/>
                <w:szCs w:val="20"/>
                <w:lang w:eastAsia="cs-CZ"/>
              </w:rPr>
              <w:t>1</w:t>
            </w:r>
            <w:r w:rsidR="006D368A">
              <w:rPr>
                <w:sz w:val="20"/>
                <w:szCs w:val="20"/>
                <w:lang w:eastAsia="cs-CZ"/>
              </w:rPr>
              <w:t> </w:t>
            </w:r>
            <w:r w:rsidRPr="008A5C57">
              <w:rPr>
                <w:sz w:val="20"/>
                <w:szCs w:val="20"/>
                <w:lang w:eastAsia="cs-CZ"/>
              </w:rPr>
              <w:t>555</w:t>
            </w:r>
            <w:r w:rsidR="006D368A">
              <w:rPr>
                <w:sz w:val="20"/>
                <w:szCs w:val="20"/>
                <w:lang w:eastAsia="cs-CZ"/>
              </w:rPr>
              <w:br/>
            </w:r>
            <w:r w:rsidRPr="008A5C57">
              <w:rPr>
                <w:sz w:val="20"/>
                <w:szCs w:val="20"/>
                <w:lang w:eastAsia="cs-CZ"/>
              </w:rPr>
              <w:t>(96)</w:t>
            </w:r>
          </w:p>
        </w:tc>
        <w:tc>
          <w:tcPr>
            <w:tcW w:w="17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21F773" w14:textId="77777777" w:rsidR="00736008" w:rsidRPr="008A5C57" w:rsidRDefault="00736008" w:rsidP="006D368A">
            <w:pPr>
              <w:spacing w:before="0"/>
              <w:ind w:right="580"/>
              <w:jc w:val="right"/>
              <w:rPr>
                <w:color w:val="FF0000"/>
                <w:sz w:val="20"/>
                <w:szCs w:val="20"/>
                <w:lang w:eastAsia="cs-CZ"/>
              </w:rPr>
            </w:pPr>
            <w:r w:rsidRPr="008A5C57">
              <w:rPr>
                <w:color w:val="FF0000"/>
                <w:sz w:val="20"/>
                <w:szCs w:val="20"/>
                <w:lang w:eastAsia="cs-CZ"/>
              </w:rPr>
              <w:t>1532 (94)</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081ECAED" w14:textId="6623846F" w:rsidR="00736008" w:rsidRPr="008A5C57" w:rsidRDefault="00736008" w:rsidP="006D368A">
            <w:pPr>
              <w:spacing w:before="0"/>
              <w:ind w:right="113"/>
              <w:jc w:val="right"/>
              <w:rPr>
                <w:sz w:val="20"/>
                <w:szCs w:val="20"/>
                <w:lang w:eastAsia="cs-CZ"/>
              </w:rPr>
            </w:pPr>
            <w:r w:rsidRPr="008A5C57">
              <w:rPr>
                <w:sz w:val="20"/>
                <w:szCs w:val="20"/>
                <w:lang w:eastAsia="cs-CZ"/>
              </w:rPr>
              <w:t>1</w:t>
            </w:r>
            <w:r w:rsidR="006D368A">
              <w:rPr>
                <w:sz w:val="20"/>
                <w:szCs w:val="20"/>
                <w:lang w:eastAsia="cs-CZ"/>
              </w:rPr>
              <w:t> </w:t>
            </w:r>
            <w:r w:rsidRPr="008A5C57">
              <w:rPr>
                <w:sz w:val="20"/>
                <w:szCs w:val="20"/>
                <w:lang w:eastAsia="cs-CZ"/>
              </w:rPr>
              <w:t>800</w:t>
            </w:r>
            <w:r w:rsidR="006D368A">
              <w:rPr>
                <w:sz w:val="20"/>
                <w:szCs w:val="20"/>
                <w:lang w:eastAsia="cs-CZ"/>
              </w:rPr>
              <w:br/>
            </w:r>
            <w:r w:rsidRPr="008A5C57">
              <w:rPr>
                <w:sz w:val="20"/>
                <w:szCs w:val="20"/>
                <w:lang w:eastAsia="cs-CZ"/>
              </w:rPr>
              <w:t>(100)</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205B98E7" w14:textId="11950D99" w:rsidR="00736008" w:rsidRPr="008A5C57" w:rsidRDefault="00736008" w:rsidP="006D368A">
            <w:pPr>
              <w:spacing w:before="0"/>
              <w:ind w:right="67"/>
              <w:jc w:val="right"/>
              <w:rPr>
                <w:sz w:val="20"/>
                <w:szCs w:val="20"/>
                <w:lang w:eastAsia="cs-CZ"/>
              </w:rPr>
            </w:pPr>
            <w:r w:rsidRPr="008A5C57">
              <w:rPr>
                <w:sz w:val="20"/>
                <w:szCs w:val="20"/>
                <w:lang w:eastAsia="cs-CZ"/>
              </w:rPr>
              <w:t>2</w:t>
            </w:r>
            <w:r w:rsidR="006D368A">
              <w:rPr>
                <w:sz w:val="20"/>
                <w:szCs w:val="20"/>
                <w:lang w:eastAsia="cs-CZ"/>
              </w:rPr>
              <w:t> </w:t>
            </w:r>
            <w:r w:rsidRPr="008A5C57">
              <w:rPr>
                <w:sz w:val="20"/>
                <w:szCs w:val="20"/>
                <w:lang w:eastAsia="cs-CZ"/>
              </w:rPr>
              <w:t>100</w:t>
            </w:r>
            <w:r w:rsidR="006D368A">
              <w:rPr>
                <w:sz w:val="20"/>
                <w:szCs w:val="20"/>
                <w:lang w:eastAsia="cs-CZ"/>
              </w:rPr>
              <w:br/>
            </w:r>
            <w:r w:rsidRPr="008A5C57">
              <w:rPr>
                <w:sz w:val="20"/>
                <w:szCs w:val="20"/>
                <w:lang w:eastAsia="cs-CZ"/>
              </w:rPr>
              <w:t>(110)</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75058F3C" w14:textId="44A45DFD" w:rsidR="00736008" w:rsidRPr="008A5C57" w:rsidRDefault="00736008" w:rsidP="006D368A">
            <w:pPr>
              <w:spacing w:before="0"/>
              <w:ind w:right="67"/>
              <w:jc w:val="right"/>
              <w:rPr>
                <w:sz w:val="20"/>
                <w:szCs w:val="20"/>
                <w:lang w:eastAsia="cs-CZ"/>
              </w:rPr>
            </w:pPr>
            <w:r w:rsidRPr="008A5C57">
              <w:rPr>
                <w:sz w:val="20"/>
                <w:szCs w:val="20"/>
                <w:lang w:eastAsia="cs-CZ"/>
              </w:rPr>
              <w:t>2</w:t>
            </w:r>
            <w:r w:rsidR="006D368A">
              <w:rPr>
                <w:sz w:val="20"/>
                <w:szCs w:val="20"/>
                <w:lang w:eastAsia="cs-CZ"/>
              </w:rPr>
              <w:t> </w:t>
            </w:r>
            <w:r w:rsidRPr="008A5C57">
              <w:rPr>
                <w:sz w:val="20"/>
                <w:szCs w:val="20"/>
                <w:lang w:eastAsia="cs-CZ"/>
              </w:rPr>
              <w:t>400</w:t>
            </w:r>
            <w:r w:rsidR="006D368A">
              <w:rPr>
                <w:sz w:val="20"/>
                <w:szCs w:val="20"/>
                <w:lang w:eastAsia="cs-CZ"/>
              </w:rPr>
              <w:br/>
            </w:r>
            <w:r w:rsidRPr="008A5C57">
              <w:rPr>
                <w:sz w:val="20"/>
                <w:szCs w:val="20"/>
                <w:lang w:eastAsia="cs-CZ"/>
              </w:rPr>
              <w:t>(120)</w:t>
            </w:r>
          </w:p>
        </w:tc>
      </w:tr>
      <w:tr w:rsidR="00CE5A9E" w:rsidRPr="008A5C57" w14:paraId="00CEFED7" w14:textId="77777777" w:rsidTr="00CE5A9E">
        <w:trPr>
          <w:trHeight w:val="293"/>
          <w:jc w:val="center"/>
        </w:trPr>
        <w:tc>
          <w:tcPr>
            <w:tcW w:w="1855" w:type="dxa"/>
            <w:vMerge/>
            <w:tcBorders>
              <w:top w:val="nil"/>
              <w:left w:val="single" w:sz="4" w:space="0" w:color="auto"/>
              <w:bottom w:val="single" w:sz="4" w:space="0" w:color="000000"/>
              <w:right w:val="single" w:sz="4" w:space="0" w:color="auto"/>
            </w:tcBorders>
            <w:vAlign w:val="center"/>
            <w:hideMark/>
          </w:tcPr>
          <w:p w14:paraId="626C41A5" w14:textId="77777777" w:rsidR="00736008" w:rsidRPr="008A5C57" w:rsidRDefault="00736008" w:rsidP="008A5C57">
            <w:pPr>
              <w:spacing w:before="0"/>
              <w:jc w:val="left"/>
              <w:rPr>
                <w:sz w:val="20"/>
                <w:szCs w:val="20"/>
                <w:lang w:eastAsia="cs-CZ"/>
              </w:rPr>
            </w:pPr>
          </w:p>
        </w:tc>
        <w:tc>
          <w:tcPr>
            <w:tcW w:w="894" w:type="dxa"/>
            <w:vMerge/>
            <w:tcBorders>
              <w:top w:val="nil"/>
              <w:left w:val="single" w:sz="4" w:space="0" w:color="auto"/>
              <w:bottom w:val="single" w:sz="4" w:space="0" w:color="auto"/>
              <w:right w:val="single" w:sz="4" w:space="0" w:color="auto"/>
            </w:tcBorders>
            <w:vAlign w:val="center"/>
            <w:hideMark/>
          </w:tcPr>
          <w:p w14:paraId="6E1F4276" w14:textId="77777777" w:rsidR="00736008" w:rsidRPr="008A5C57" w:rsidRDefault="00736008" w:rsidP="008A5C57">
            <w:pPr>
              <w:spacing w:before="0"/>
              <w:jc w:val="left"/>
              <w:rPr>
                <w:sz w:val="20"/>
                <w:szCs w:val="20"/>
                <w:lang w:eastAsia="cs-CZ"/>
              </w:rPr>
            </w:pPr>
          </w:p>
        </w:tc>
        <w:tc>
          <w:tcPr>
            <w:tcW w:w="1531" w:type="dxa"/>
            <w:vMerge/>
            <w:tcBorders>
              <w:top w:val="nil"/>
              <w:left w:val="single" w:sz="4" w:space="0" w:color="auto"/>
              <w:bottom w:val="single" w:sz="4" w:space="0" w:color="auto"/>
              <w:right w:val="single" w:sz="4" w:space="0" w:color="auto"/>
            </w:tcBorders>
            <w:vAlign w:val="center"/>
            <w:hideMark/>
          </w:tcPr>
          <w:p w14:paraId="40459BCF" w14:textId="77777777" w:rsidR="00736008" w:rsidRPr="008A5C57" w:rsidRDefault="00736008" w:rsidP="006D368A">
            <w:pPr>
              <w:spacing w:before="0"/>
              <w:ind w:right="388"/>
              <w:jc w:val="right"/>
              <w:rPr>
                <w:sz w:val="20"/>
                <w:szCs w:val="20"/>
                <w:lang w:eastAsia="cs-CZ"/>
              </w:rPr>
            </w:pPr>
          </w:p>
        </w:tc>
        <w:tc>
          <w:tcPr>
            <w:tcW w:w="1757" w:type="dxa"/>
            <w:vMerge/>
            <w:tcBorders>
              <w:top w:val="nil"/>
              <w:left w:val="single" w:sz="4" w:space="0" w:color="auto"/>
              <w:bottom w:val="single" w:sz="4" w:space="0" w:color="auto"/>
              <w:right w:val="single" w:sz="4" w:space="0" w:color="auto"/>
            </w:tcBorders>
            <w:vAlign w:val="center"/>
            <w:hideMark/>
          </w:tcPr>
          <w:p w14:paraId="49772040" w14:textId="77777777" w:rsidR="00736008" w:rsidRPr="008A5C57" w:rsidRDefault="00736008" w:rsidP="006D368A">
            <w:pPr>
              <w:spacing w:before="0"/>
              <w:ind w:right="580"/>
              <w:jc w:val="right"/>
              <w:rPr>
                <w:color w:val="FF0000"/>
                <w:sz w:val="20"/>
                <w:szCs w:val="20"/>
                <w:lang w:eastAsia="cs-CZ"/>
              </w:rPr>
            </w:pPr>
          </w:p>
        </w:tc>
        <w:tc>
          <w:tcPr>
            <w:tcW w:w="1022" w:type="dxa"/>
            <w:vMerge/>
            <w:tcBorders>
              <w:top w:val="nil"/>
              <w:left w:val="single" w:sz="4" w:space="0" w:color="auto"/>
              <w:bottom w:val="single" w:sz="4" w:space="0" w:color="auto"/>
              <w:right w:val="single" w:sz="4" w:space="0" w:color="auto"/>
            </w:tcBorders>
            <w:vAlign w:val="center"/>
            <w:hideMark/>
          </w:tcPr>
          <w:p w14:paraId="7A1D1F19" w14:textId="77777777" w:rsidR="00736008" w:rsidRPr="008A5C57" w:rsidRDefault="00736008" w:rsidP="006D368A">
            <w:pPr>
              <w:spacing w:before="0"/>
              <w:ind w:right="113"/>
              <w:jc w:val="right"/>
              <w:rPr>
                <w:sz w:val="20"/>
                <w:szCs w:val="20"/>
                <w:lang w:eastAsia="cs-CZ"/>
              </w:rPr>
            </w:pPr>
          </w:p>
        </w:tc>
        <w:tc>
          <w:tcPr>
            <w:tcW w:w="1022" w:type="dxa"/>
            <w:vMerge/>
            <w:tcBorders>
              <w:top w:val="nil"/>
              <w:left w:val="single" w:sz="4" w:space="0" w:color="auto"/>
              <w:bottom w:val="single" w:sz="4" w:space="0" w:color="auto"/>
              <w:right w:val="single" w:sz="4" w:space="0" w:color="auto"/>
            </w:tcBorders>
            <w:vAlign w:val="center"/>
            <w:hideMark/>
          </w:tcPr>
          <w:p w14:paraId="4A3EF8D8" w14:textId="77777777" w:rsidR="00736008" w:rsidRPr="008A5C57" w:rsidRDefault="00736008" w:rsidP="006D368A">
            <w:pPr>
              <w:spacing w:before="0"/>
              <w:ind w:right="67"/>
              <w:jc w:val="right"/>
              <w:rPr>
                <w:sz w:val="20"/>
                <w:szCs w:val="20"/>
                <w:lang w:eastAsia="cs-CZ"/>
              </w:rPr>
            </w:pPr>
          </w:p>
        </w:tc>
        <w:tc>
          <w:tcPr>
            <w:tcW w:w="1022" w:type="dxa"/>
            <w:vMerge/>
            <w:tcBorders>
              <w:top w:val="nil"/>
              <w:left w:val="single" w:sz="4" w:space="0" w:color="auto"/>
              <w:bottom w:val="single" w:sz="4" w:space="0" w:color="auto"/>
              <w:right w:val="single" w:sz="4" w:space="0" w:color="auto"/>
            </w:tcBorders>
            <w:vAlign w:val="center"/>
            <w:hideMark/>
          </w:tcPr>
          <w:p w14:paraId="6CDD4C8F" w14:textId="77777777" w:rsidR="00736008" w:rsidRPr="008A5C57" w:rsidRDefault="00736008" w:rsidP="006D368A">
            <w:pPr>
              <w:spacing w:before="0"/>
              <w:ind w:right="67"/>
              <w:jc w:val="right"/>
              <w:rPr>
                <w:sz w:val="20"/>
                <w:szCs w:val="20"/>
                <w:lang w:eastAsia="cs-CZ"/>
              </w:rPr>
            </w:pPr>
          </w:p>
        </w:tc>
      </w:tr>
      <w:tr w:rsidR="00CE5A9E" w:rsidRPr="008A5C57" w14:paraId="2A3F79AB"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20133F5F" w14:textId="77777777" w:rsidR="00736008" w:rsidRPr="008A5C57" w:rsidRDefault="00736008" w:rsidP="008A5C57">
            <w:pPr>
              <w:spacing w:before="0"/>
              <w:jc w:val="left"/>
              <w:rPr>
                <w:sz w:val="20"/>
                <w:szCs w:val="20"/>
                <w:lang w:eastAsia="cs-CZ"/>
              </w:rPr>
            </w:pPr>
            <w:r w:rsidRPr="008A5C57">
              <w:rPr>
                <w:sz w:val="20"/>
                <w:szCs w:val="20"/>
                <w:lang w:eastAsia="cs-CZ"/>
              </w:rPr>
              <w:t>Míra krytí spotřeby mléka a mléčných výrobků</w:t>
            </w:r>
          </w:p>
        </w:tc>
        <w:tc>
          <w:tcPr>
            <w:tcW w:w="894" w:type="dxa"/>
            <w:tcBorders>
              <w:top w:val="nil"/>
              <w:left w:val="nil"/>
              <w:bottom w:val="single" w:sz="4" w:space="0" w:color="auto"/>
              <w:right w:val="single" w:sz="4" w:space="0" w:color="auto"/>
            </w:tcBorders>
            <w:shd w:val="clear" w:color="auto" w:fill="auto"/>
            <w:vAlign w:val="center"/>
            <w:hideMark/>
          </w:tcPr>
          <w:p w14:paraId="1D72DB02" w14:textId="77777777" w:rsidR="00736008" w:rsidRPr="008A5C57" w:rsidRDefault="00736008" w:rsidP="008A5C57">
            <w:pPr>
              <w:spacing w:before="0"/>
              <w:jc w:val="center"/>
              <w:rPr>
                <w:sz w:val="20"/>
                <w:szCs w:val="20"/>
                <w:lang w:eastAsia="cs-CZ"/>
              </w:rPr>
            </w:pPr>
            <w:r w:rsidRPr="008A5C57">
              <w:rPr>
                <w:sz w:val="20"/>
                <w:szCs w:val="20"/>
                <w:lang w:eastAsia="cs-CZ"/>
              </w:rPr>
              <w:t>%</w:t>
            </w:r>
          </w:p>
        </w:tc>
        <w:tc>
          <w:tcPr>
            <w:tcW w:w="1531" w:type="dxa"/>
            <w:tcBorders>
              <w:top w:val="nil"/>
              <w:left w:val="nil"/>
              <w:bottom w:val="single" w:sz="4" w:space="0" w:color="auto"/>
              <w:right w:val="single" w:sz="4" w:space="0" w:color="auto"/>
            </w:tcBorders>
            <w:shd w:val="clear" w:color="auto" w:fill="auto"/>
            <w:vAlign w:val="center"/>
            <w:hideMark/>
          </w:tcPr>
          <w:p w14:paraId="5A48A33F" w14:textId="77777777" w:rsidR="00736008" w:rsidRPr="008A5C57" w:rsidRDefault="00736008" w:rsidP="006D368A">
            <w:pPr>
              <w:spacing w:before="0"/>
              <w:ind w:right="388"/>
              <w:jc w:val="right"/>
              <w:rPr>
                <w:sz w:val="20"/>
                <w:szCs w:val="20"/>
                <w:lang w:eastAsia="cs-CZ"/>
              </w:rPr>
            </w:pPr>
            <w:r w:rsidRPr="008A5C57">
              <w:rPr>
                <w:sz w:val="20"/>
                <w:szCs w:val="20"/>
                <w:lang w:eastAsia="cs-CZ"/>
              </w:rPr>
              <w:t>130</w:t>
            </w:r>
          </w:p>
        </w:tc>
        <w:tc>
          <w:tcPr>
            <w:tcW w:w="1757" w:type="dxa"/>
            <w:tcBorders>
              <w:top w:val="nil"/>
              <w:left w:val="nil"/>
              <w:bottom w:val="single" w:sz="4" w:space="0" w:color="auto"/>
              <w:right w:val="single" w:sz="4" w:space="0" w:color="auto"/>
            </w:tcBorders>
            <w:shd w:val="clear" w:color="000000" w:fill="D9D9D9"/>
            <w:vAlign w:val="center"/>
            <w:hideMark/>
          </w:tcPr>
          <w:p w14:paraId="2FAB7CF8" w14:textId="77777777" w:rsidR="00736008" w:rsidRPr="008A5C57" w:rsidRDefault="00736008" w:rsidP="006D368A">
            <w:pPr>
              <w:spacing w:before="0"/>
              <w:ind w:right="438"/>
              <w:jc w:val="right"/>
              <w:rPr>
                <w:sz w:val="20"/>
                <w:szCs w:val="20"/>
                <w:lang w:eastAsia="cs-CZ"/>
              </w:rPr>
            </w:pPr>
            <w:r w:rsidRPr="008A5C57">
              <w:rPr>
                <w:sz w:val="20"/>
                <w:szCs w:val="20"/>
                <w:lang w:eastAsia="cs-CZ"/>
              </w:rPr>
              <w:t>132,9</w:t>
            </w:r>
          </w:p>
        </w:tc>
        <w:tc>
          <w:tcPr>
            <w:tcW w:w="1022" w:type="dxa"/>
            <w:tcBorders>
              <w:top w:val="nil"/>
              <w:left w:val="nil"/>
              <w:bottom w:val="single" w:sz="4" w:space="0" w:color="auto"/>
              <w:right w:val="single" w:sz="4" w:space="0" w:color="auto"/>
            </w:tcBorders>
            <w:shd w:val="clear" w:color="auto" w:fill="auto"/>
            <w:vAlign w:val="center"/>
            <w:hideMark/>
          </w:tcPr>
          <w:p w14:paraId="60E6066A" w14:textId="77777777" w:rsidR="00736008" w:rsidRPr="008A5C57" w:rsidRDefault="00736008" w:rsidP="006D368A">
            <w:pPr>
              <w:spacing w:before="0"/>
              <w:ind w:right="113"/>
              <w:jc w:val="right"/>
              <w:rPr>
                <w:sz w:val="20"/>
                <w:szCs w:val="20"/>
                <w:lang w:eastAsia="cs-CZ"/>
              </w:rPr>
            </w:pPr>
            <w:r w:rsidRPr="008A5C57">
              <w:rPr>
                <w:sz w:val="20"/>
                <w:szCs w:val="20"/>
                <w:lang w:eastAsia="cs-CZ"/>
              </w:rPr>
              <w:t>130</w:t>
            </w:r>
          </w:p>
        </w:tc>
        <w:tc>
          <w:tcPr>
            <w:tcW w:w="1022" w:type="dxa"/>
            <w:tcBorders>
              <w:top w:val="nil"/>
              <w:left w:val="nil"/>
              <w:bottom w:val="single" w:sz="4" w:space="0" w:color="auto"/>
              <w:right w:val="single" w:sz="4" w:space="0" w:color="auto"/>
            </w:tcBorders>
            <w:shd w:val="clear" w:color="auto" w:fill="auto"/>
            <w:vAlign w:val="center"/>
            <w:hideMark/>
          </w:tcPr>
          <w:p w14:paraId="739105EB" w14:textId="77777777" w:rsidR="00736008" w:rsidRPr="008A5C57" w:rsidRDefault="00736008" w:rsidP="006D368A">
            <w:pPr>
              <w:spacing w:before="0"/>
              <w:ind w:right="67"/>
              <w:jc w:val="right"/>
              <w:rPr>
                <w:sz w:val="20"/>
                <w:szCs w:val="20"/>
                <w:lang w:eastAsia="cs-CZ"/>
              </w:rPr>
            </w:pPr>
            <w:r w:rsidRPr="008A5C57">
              <w:rPr>
                <w:sz w:val="20"/>
                <w:szCs w:val="20"/>
                <w:lang w:eastAsia="cs-CZ"/>
              </w:rPr>
              <w:t>130</w:t>
            </w:r>
          </w:p>
        </w:tc>
        <w:tc>
          <w:tcPr>
            <w:tcW w:w="1022" w:type="dxa"/>
            <w:tcBorders>
              <w:top w:val="nil"/>
              <w:left w:val="nil"/>
              <w:bottom w:val="single" w:sz="4" w:space="0" w:color="auto"/>
              <w:right w:val="single" w:sz="4" w:space="0" w:color="auto"/>
            </w:tcBorders>
            <w:shd w:val="clear" w:color="auto" w:fill="auto"/>
            <w:vAlign w:val="center"/>
            <w:hideMark/>
          </w:tcPr>
          <w:p w14:paraId="1D9CFA6A" w14:textId="77777777" w:rsidR="00736008" w:rsidRPr="008A5C57" w:rsidRDefault="00736008" w:rsidP="006D368A">
            <w:pPr>
              <w:spacing w:before="0"/>
              <w:ind w:right="67"/>
              <w:jc w:val="right"/>
              <w:rPr>
                <w:sz w:val="20"/>
                <w:szCs w:val="20"/>
                <w:lang w:eastAsia="cs-CZ"/>
              </w:rPr>
            </w:pPr>
            <w:r w:rsidRPr="008A5C57">
              <w:rPr>
                <w:sz w:val="20"/>
                <w:szCs w:val="20"/>
                <w:lang w:eastAsia="cs-CZ"/>
              </w:rPr>
              <w:t>130</w:t>
            </w:r>
          </w:p>
        </w:tc>
      </w:tr>
      <w:tr w:rsidR="00CE5A9E" w:rsidRPr="008A5C57" w14:paraId="1FEA8212"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602B61B2" w14:textId="77777777" w:rsidR="00736008" w:rsidRPr="008A5C57" w:rsidRDefault="00736008" w:rsidP="008A5C57">
            <w:pPr>
              <w:spacing w:before="0"/>
              <w:jc w:val="left"/>
              <w:rPr>
                <w:sz w:val="20"/>
                <w:szCs w:val="20"/>
                <w:lang w:eastAsia="cs-CZ"/>
              </w:rPr>
            </w:pPr>
            <w:r w:rsidRPr="008A5C57">
              <w:rPr>
                <w:sz w:val="20"/>
                <w:szCs w:val="20"/>
                <w:lang w:eastAsia="cs-CZ"/>
              </w:rPr>
              <w:t>Míra krytí spotřeby hovězího masa</w:t>
            </w:r>
          </w:p>
        </w:tc>
        <w:tc>
          <w:tcPr>
            <w:tcW w:w="894" w:type="dxa"/>
            <w:tcBorders>
              <w:top w:val="nil"/>
              <w:left w:val="nil"/>
              <w:bottom w:val="single" w:sz="4" w:space="0" w:color="auto"/>
              <w:right w:val="single" w:sz="4" w:space="0" w:color="auto"/>
            </w:tcBorders>
            <w:shd w:val="clear" w:color="auto" w:fill="auto"/>
            <w:vAlign w:val="center"/>
            <w:hideMark/>
          </w:tcPr>
          <w:p w14:paraId="7B4FDBED" w14:textId="77777777" w:rsidR="00736008" w:rsidRPr="008A5C57" w:rsidRDefault="00736008" w:rsidP="008A5C57">
            <w:pPr>
              <w:spacing w:before="0"/>
              <w:jc w:val="center"/>
              <w:rPr>
                <w:sz w:val="20"/>
                <w:szCs w:val="20"/>
                <w:lang w:eastAsia="cs-CZ"/>
              </w:rPr>
            </w:pPr>
            <w:r w:rsidRPr="008A5C57">
              <w:rPr>
                <w:sz w:val="20"/>
                <w:szCs w:val="20"/>
                <w:lang w:eastAsia="cs-CZ"/>
              </w:rPr>
              <w:t>%</w:t>
            </w:r>
          </w:p>
        </w:tc>
        <w:tc>
          <w:tcPr>
            <w:tcW w:w="1531" w:type="dxa"/>
            <w:tcBorders>
              <w:top w:val="nil"/>
              <w:left w:val="nil"/>
              <w:bottom w:val="single" w:sz="4" w:space="0" w:color="auto"/>
              <w:right w:val="single" w:sz="4" w:space="0" w:color="auto"/>
            </w:tcBorders>
            <w:shd w:val="clear" w:color="auto" w:fill="auto"/>
            <w:vAlign w:val="center"/>
            <w:hideMark/>
          </w:tcPr>
          <w:p w14:paraId="41B51360" w14:textId="77777777" w:rsidR="00736008" w:rsidRPr="008A5C57" w:rsidRDefault="00736008" w:rsidP="006D368A">
            <w:pPr>
              <w:spacing w:before="0"/>
              <w:ind w:right="388"/>
              <w:jc w:val="right"/>
              <w:rPr>
                <w:sz w:val="20"/>
                <w:szCs w:val="20"/>
                <w:lang w:eastAsia="cs-CZ"/>
              </w:rPr>
            </w:pPr>
            <w:r w:rsidRPr="008A5C57">
              <w:rPr>
                <w:sz w:val="20"/>
                <w:szCs w:val="20"/>
                <w:lang w:eastAsia="cs-CZ"/>
              </w:rPr>
              <w:t>140</w:t>
            </w:r>
          </w:p>
        </w:tc>
        <w:tc>
          <w:tcPr>
            <w:tcW w:w="1757" w:type="dxa"/>
            <w:tcBorders>
              <w:top w:val="nil"/>
              <w:left w:val="nil"/>
              <w:bottom w:val="single" w:sz="4" w:space="0" w:color="auto"/>
              <w:right w:val="single" w:sz="4" w:space="0" w:color="auto"/>
            </w:tcBorders>
            <w:shd w:val="clear" w:color="000000" w:fill="D9D9D9"/>
            <w:vAlign w:val="center"/>
            <w:hideMark/>
          </w:tcPr>
          <w:p w14:paraId="5AB52284" w14:textId="77777777" w:rsidR="00736008" w:rsidRPr="008A5C57" w:rsidRDefault="00736008" w:rsidP="006D368A">
            <w:pPr>
              <w:spacing w:before="0"/>
              <w:ind w:right="438"/>
              <w:jc w:val="right"/>
              <w:rPr>
                <w:color w:val="FF0000"/>
                <w:sz w:val="20"/>
                <w:szCs w:val="20"/>
                <w:lang w:eastAsia="cs-CZ"/>
              </w:rPr>
            </w:pPr>
            <w:r w:rsidRPr="008A5C57">
              <w:rPr>
                <w:color w:val="FF0000"/>
                <w:sz w:val="20"/>
                <w:szCs w:val="20"/>
                <w:lang w:eastAsia="cs-CZ"/>
              </w:rPr>
              <w:t>121,6</w:t>
            </w:r>
          </w:p>
        </w:tc>
        <w:tc>
          <w:tcPr>
            <w:tcW w:w="1022" w:type="dxa"/>
            <w:tcBorders>
              <w:top w:val="nil"/>
              <w:left w:val="nil"/>
              <w:bottom w:val="single" w:sz="4" w:space="0" w:color="auto"/>
              <w:right w:val="single" w:sz="4" w:space="0" w:color="auto"/>
            </w:tcBorders>
            <w:shd w:val="clear" w:color="auto" w:fill="auto"/>
            <w:vAlign w:val="center"/>
            <w:hideMark/>
          </w:tcPr>
          <w:p w14:paraId="71F9F738" w14:textId="77777777" w:rsidR="00736008" w:rsidRPr="008A5C57" w:rsidRDefault="00736008" w:rsidP="006D368A">
            <w:pPr>
              <w:spacing w:before="0"/>
              <w:ind w:right="113"/>
              <w:jc w:val="right"/>
              <w:rPr>
                <w:sz w:val="20"/>
                <w:szCs w:val="20"/>
                <w:lang w:eastAsia="cs-CZ"/>
              </w:rPr>
            </w:pPr>
            <w:r w:rsidRPr="008A5C57">
              <w:rPr>
                <w:sz w:val="20"/>
                <w:szCs w:val="20"/>
                <w:lang w:eastAsia="cs-CZ"/>
              </w:rPr>
              <w:t>140</w:t>
            </w:r>
          </w:p>
        </w:tc>
        <w:tc>
          <w:tcPr>
            <w:tcW w:w="1022" w:type="dxa"/>
            <w:tcBorders>
              <w:top w:val="nil"/>
              <w:left w:val="nil"/>
              <w:bottom w:val="single" w:sz="4" w:space="0" w:color="auto"/>
              <w:right w:val="single" w:sz="4" w:space="0" w:color="auto"/>
            </w:tcBorders>
            <w:shd w:val="clear" w:color="auto" w:fill="auto"/>
            <w:vAlign w:val="center"/>
            <w:hideMark/>
          </w:tcPr>
          <w:p w14:paraId="1D8E144F" w14:textId="77777777" w:rsidR="00736008" w:rsidRPr="008A5C57" w:rsidRDefault="00736008" w:rsidP="006D368A">
            <w:pPr>
              <w:spacing w:before="0"/>
              <w:ind w:right="67"/>
              <w:jc w:val="right"/>
              <w:rPr>
                <w:sz w:val="20"/>
                <w:szCs w:val="20"/>
                <w:lang w:eastAsia="cs-CZ"/>
              </w:rPr>
            </w:pPr>
            <w:r w:rsidRPr="008A5C57">
              <w:rPr>
                <w:sz w:val="20"/>
                <w:szCs w:val="20"/>
                <w:lang w:eastAsia="cs-CZ"/>
              </w:rPr>
              <w:t>140</w:t>
            </w:r>
          </w:p>
        </w:tc>
        <w:tc>
          <w:tcPr>
            <w:tcW w:w="1022" w:type="dxa"/>
            <w:tcBorders>
              <w:top w:val="nil"/>
              <w:left w:val="nil"/>
              <w:bottom w:val="single" w:sz="4" w:space="0" w:color="auto"/>
              <w:right w:val="single" w:sz="4" w:space="0" w:color="auto"/>
            </w:tcBorders>
            <w:shd w:val="clear" w:color="auto" w:fill="auto"/>
            <w:vAlign w:val="center"/>
            <w:hideMark/>
          </w:tcPr>
          <w:p w14:paraId="6EADE301" w14:textId="77777777" w:rsidR="00736008" w:rsidRPr="008A5C57" w:rsidRDefault="00736008" w:rsidP="006D368A">
            <w:pPr>
              <w:spacing w:before="0"/>
              <w:ind w:right="67"/>
              <w:jc w:val="right"/>
              <w:rPr>
                <w:sz w:val="20"/>
                <w:szCs w:val="20"/>
                <w:lang w:eastAsia="cs-CZ"/>
              </w:rPr>
            </w:pPr>
            <w:r w:rsidRPr="008A5C57">
              <w:rPr>
                <w:sz w:val="20"/>
                <w:szCs w:val="20"/>
                <w:lang w:eastAsia="cs-CZ"/>
              </w:rPr>
              <w:t>140</w:t>
            </w:r>
          </w:p>
        </w:tc>
      </w:tr>
      <w:tr w:rsidR="00CE5A9E" w:rsidRPr="008A5C57" w14:paraId="51A80B18" w14:textId="77777777" w:rsidTr="00CE5A9E">
        <w:trPr>
          <w:trHeight w:val="227"/>
          <w:jc w:val="center"/>
        </w:trPr>
        <w:tc>
          <w:tcPr>
            <w:tcW w:w="1855" w:type="dxa"/>
            <w:tcBorders>
              <w:top w:val="nil"/>
              <w:left w:val="single" w:sz="4" w:space="0" w:color="auto"/>
              <w:bottom w:val="single" w:sz="4" w:space="0" w:color="auto"/>
              <w:right w:val="single" w:sz="4" w:space="0" w:color="auto"/>
            </w:tcBorders>
            <w:shd w:val="clear" w:color="auto" w:fill="auto"/>
            <w:vAlign w:val="center"/>
            <w:hideMark/>
          </w:tcPr>
          <w:p w14:paraId="028CA4D0" w14:textId="77777777" w:rsidR="00736008" w:rsidRPr="008A5C57" w:rsidRDefault="00736008" w:rsidP="008A5C57">
            <w:pPr>
              <w:spacing w:before="0"/>
              <w:jc w:val="left"/>
              <w:rPr>
                <w:sz w:val="20"/>
                <w:szCs w:val="20"/>
                <w:lang w:eastAsia="cs-CZ"/>
              </w:rPr>
            </w:pPr>
            <w:r w:rsidRPr="008A5C57">
              <w:rPr>
                <w:sz w:val="20"/>
                <w:szCs w:val="20"/>
                <w:lang w:eastAsia="cs-CZ"/>
              </w:rPr>
              <w:t>Míry krytí spotřeby vepřového masa</w:t>
            </w:r>
          </w:p>
        </w:tc>
        <w:tc>
          <w:tcPr>
            <w:tcW w:w="894" w:type="dxa"/>
            <w:tcBorders>
              <w:top w:val="nil"/>
              <w:left w:val="nil"/>
              <w:bottom w:val="single" w:sz="4" w:space="0" w:color="auto"/>
              <w:right w:val="single" w:sz="4" w:space="0" w:color="auto"/>
            </w:tcBorders>
            <w:shd w:val="clear" w:color="auto" w:fill="auto"/>
            <w:vAlign w:val="center"/>
            <w:hideMark/>
          </w:tcPr>
          <w:p w14:paraId="689B82D9" w14:textId="77777777" w:rsidR="00736008" w:rsidRPr="008A5C57" w:rsidRDefault="00736008" w:rsidP="008A5C57">
            <w:pPr>
              <w:spacing w:before="0"/>
              <w:jc w:val="center"/>
              <w:rPr>
                <w:sz w:val="20"/>
                <w:szCs w:val="20"/>
                <w:lang w:eastAsia="cs-CZ"/>
              </w:rPr>
            </w:pPr>
            <w:r w:rsidRPr="008A5C57">
              <w:rPr>
                <w:sz w:val="20"/>
                <w:szCs w:val="20"/>
                <w:lang w:eastAsia="cs-CZ"/>
              </w:rPr>
              <w:t>%</w:t>
            </w:r>
          </w:p>
        </w:tc>
        <w:tc>
          <w:tcPr>
            <w:tcW w:w="1531" w:type="dxa"/>
            <w:tcBorders>
              <w:top w:val="nil"/>
              <w:left w:val="nil"/>
              <w:bottom w:val="single" w:sz="4" w:space="0" w:color="auto"/>
              <w:right w:val="single" w:sz="4" w:space="0" w:color="auto"/>
            </w:tcBorders>
            <w:shd w:val="clear" w:color="auto" w:fill="auto"/>
            <w:vAlign w:val="center"/>
            <w:hideMark/>
          </w:tcPr>
          <w:p w14:paraId="30F79D05" w14:textId="77777777" w:rsidR="00736008" w:rsidRPr="008A5C57" w:rsidRDefault="00736008" w:rsidP="006D368A">
            <w:pPr>
              <w:spacing w:before="0"/>
              <w:ind w:right="388"/>
              <w:jc w:val="right"/>
              <w:rPr>
                <w:sz w:val="20"/>
                <w:szCs w:val="20"/>
                <w:lang w:eastAsia="cs-CZ"/>
              </w:rPr>
            </w:pPr>
            <w:r w:rsidRPr="008A5C57">
              <w:rPr>
                <w:sz w:val="20"/>
                <w:szCs w:val="20"/>
                <w:lang w:eastAsia="cs-CZ"/>
              </w:rPr>
              <w:t>55</w:t>
            </w:r>
          </w:p>
        </w:tc>
        <w:tc>
          <w:tcPr>
            <w:tcW w:w="1757" w:type="dxa"/>
            <w:tcBorders>
              <w:top w:val="nil"/>
              <w:left w:val="nil"/>
              <w:bottom w:val="single" w:sz="4" w:space="0" w:color="auto"/>
              <w:right w:val="single" w:sz="4" w:space="0" w:color="auto"/>
            </w:tcBorders>
            <w:shd w:val="clear" w:color="000000" w:fill="D9D9D9"/>
            <w:vAlign w:val="center"/>
            <w:hideMark/>
          </w:tcPr>
          <w:p w14:paraId="264F9FA9" w14:textId="77777777" w:rsidR="00736008" w:rsidRPr="008A5C57" w:rsidRDefault="00736008" w:rsidP="006D368A">
            <w:pPr>
              <w:spacing w:before="0"/>
              <w:ind w:right="438"/>
              <w:jc w:val="right"/>
              <w:rPr>
                <w:color w:val="FF0000"/>
                <w:sz w:val="20"/>
                <w:szCs w:val="20"/>
                <w:lang w:eastAsia="cs-CZ"/>
              </w:rPr>
            </w:pPr>
            <w:r w:rsidRPr="008A5C57">
              <w:rPr>
                <w:color w:val="FF0000"/>
                <w:sz w:val="20"/>
                <w:szCs w:val="20"/>
                <w:lang w:eastAsia="cs-CZ"/>
              </w:rPr>
              <w:t>52,7</w:t>
            </w:r>
          </w:p>
        </w:tc>
        <w:tc>
          <w:tcPr>
            <w:tcW w:w="1022" w:type="dxa"/>
            <w:tcBorders>
              <w:top w:val="nil"/>
              <w:left w:val="nil"/>
              <w:bottom w:val="single" w:sz="4" w:space="0" w:color="auto"/>
              <w:right w:val="single" w:sz="4" w:space="0" w:color="auto"/>
            </w:tcBorders>
            <w:shd w:val="clear" w:color="auto" w:fill="auto"/>
            <w:vAlign w:val="center"/>
            <w:hideMark/>
          </w:tcPr>
          <w:p w14:paraId="57ACDDE0" w14:textId="77777777" w:rsidR="00736008" w:rsidRPr="008A5C57" w:rsidRDefault="00736008" w:rsidP="006D368A">
            <w:pPr>
              <w:spacing w:before="0"/>
              <w:ind w:right="113"/>
              <w:jc w:val="right"/>
              <w:rPr>
                <w:sz w:val="20"/>
                <w:szCs w:val="20"/>
                <w:lang w:eastAsia="cs-CZ"/>
              </w:rPr>
            </w:pPr>
            <w:r w:rsidRPr="008A5C57">
              <w:rPr>
                <w:sz w:val="20"/>
                <w:szCs w:val="20"/>
                <w:lang w:eastAsia="cs-CZ"/>
              </w:rPr>
              <w:t>60</w:t>
            </w:r>
          </w:p>
        </w:tc>
        <w:tc>
          <w:tcPr>
            <w:tcW w:w="1022" w:type="dxa"/>
            <w:tcBorders>
              <w:top w:val="nil"/>
              <w:left w:val="nil"/>
              <w:bottom w:val="single" w:sz="4" w:space="0" w:color="auto"/>
              <w:right w:val="single" w:sz="4" w:space="0" w:color="auto"/>
            </w:tcBorders>
            <w:shd w:val="clear" w:color="auto" w:fill="auto"/>
            <w:vAlign w:val="center"/>
            <w:hideMark/>
          </w:tcPr>
          <w:p w14:paraId="1DC8BF28" w14:textId="77777777" w:rsidR="00736008" w:rsidRPr="008A5C57" w:rsidRDefault="00736008" w:rsidP="006D368A">
            <w:pPr>
              <w:spacing w:before="0"/>
              <w:ind w:right="67"/>
              <w:jc w:val="right"/>
              <w:rPr>
                <w:sz w:val="20"/>
                <w:szCs w:val="20"/>
                <w:lang w:eastAsia="cs-CZ"/>
              </w:rPr>
            </w:pPr>
            <w:r w:rsidRPr="008A5C57">
              <w:rPr>
                <w:sz w:val="20"/>
                <w:szCs w:val="20"/>
                <w:lang w:eastAsia="cs-CZ"/>
              </w:rPr>
              <w:t>70</w:t>
            </w:r>
          </w:p>
        </w:tc>
        <w:tc>
          <w:tcPr>
            <w:tcW w:w="1022" w:type="dxa"/>
            <w:tcBorders>
              <w:top w:val="nil"/>
              <w:left w:val="nil"/>
              <w:bottom w:val="single" w:sz="4" w:space="0" w:color="auto"/>
              <w:right w:val="single" w:sz="4" w:space="0" w:color="auto"/>
            </w:tcBorders>
            <w:shd w:val="clear" w:color="auto" w:fill="auto"/>
            <w:vAlign w:val="center"/>
            <w:hideMark/>
          </w:tcPr>
          <w:p w14:paraId="395A20C5" w14:textId="77777777" w:rsidR="00736008" w:rsidRPr="008A5C57" w:rsidRDefault="00736008" w:rsidP="006D368A">
            <w:pPr>
              <w:spacing w:before="0"/>
              <w:ind w:right="67"/>
              <w:jc w:val="right"/>
              <w:rPr>
                <w:sz w:val="20"/>
                <w:szCs w:val="20"/>
                <w:lang w:eastAsia="cs-CZ"/>
              </w:rPr>
            </w:pPr>
            <w:r w:rsidRPr="008A5C57">
              <w:rPr>
                <w:sz w:val="20"/>
                <w:szCs w:val="20"/>
                <w:lang w:eastAsia="cs-CZ"/>
              </w:rPr>
              <w:t>80</w:t>
            </w:r>
          </w:p>
        </w:tc>
      </w:tr>
    </w:tbl>
    <w:p w14:paraId="36BE7647" w14:textId="77777777" w:rsidR="004A54DE" w:rsidRDefault="001B6F59" w:rsidP="00CE5A9E">
      <w:pPr>
        <w:pStyle w:val="Odstavecseseznamem"/>
        <w:spacing w:before="40"/>
        <w:ind w:left="284" w:hanging="284"/>
        <w:contextualSpacing w:val="0"/>
        <w:outlineLvl w:val="1"/>
        <w:rPr>
          <w:sz w:val="18"/>
          <w:szCs w:val="18"/>
        </w:rPr>
      </w:pPr>
      <w:r w:rsidRPr="00AF7ED5">
        <w:rPr>
          <w:b/>
          <w:sz w:val="18"/>
          <w:szCs w:val="18"/>
        </w:rPr>
        <w:t>Zdroj:</w:t>
      </w:r>
      <w:r w:rsidRPr="00751EB4">
        <w:rPr>
          <w:sz w:val="18"/>
          <w:szCs w:val="18"/>
        </w:rPr>
        <w:t xml:space="preserve"> </w:t>
      </w:r>
      <w:r w:rsidR="004A54DE">
        <w:rPr>
          <w:sz w:val="18"/>
          <w:szCs w:val="18"/>
        </w:rPr>
        <w:t xml:space="preserve">Strategie, </w:t>
      </w:r>
      <w:r w:rsidR="004A54DE" w:rsidRPr="0071578F">
        <w:rPr>
          <w:i/>
          <w:sz w:val="18"/>
          <w:szCs w:val="18"/>
        </w:rPr>
        <w:t>Zemědělství 2017</w:t>
      </w:r>
      <w:r w:rsidR="004A54DE">
        <w:rPr>
          <w:sz w:val="18"/>
          <w:szCs w:val="18"/>
        </w:rPr>
        <w:t xml:space="preserve"> a</w:t>
      </w:r>
      <w:r w:rsidR="004A54DE" w:rsidRPr="0071578F">
        <w:rPr>
          <w:i/>
          <w:sz w:val="18"/>
          <w:szCs w:val="18"/>
        </w:rPr>
        <w:t xml:space="preserve"> Zpráva o stavu zemědělství 2017</w:t>
      </w:r>
      <w:r w:rsidR="00AF7ED5">
        <w:rPr>
          <w:sz w:val="18"/>
          <w:szCs w:val="18"/>
        </w:rPr>
        <w:t>.</w:t>
      </w:r>
    </w:p>
    <w:p w14:paraId="43CC6479" w14:textId="27596AB4" w:rsidR="001B6F59" w:rsidRDefault="004A54DE" w:rsidP="00437CEF">
      <w:pPr>
        <w:pStyle w:val="Odstavecseseznamem"/>
        <w:spacing w:before="0"/>
        <w:ind w:left="284" w:hanging="284"/>
        <w:outlineLvl w:val="1"/>
        <w:rPr>
          <w:b/>
          <w:bCs/>
        </w:rPr>
      </w:pPr>
      <w:r>
        <w:rPr>
          <w:sz w:val="18"/>
          <w:szCs w:val="18"/>
        </w:rPr>
        <w:t xml:space="preserve">* </w:t>
      </w:r>
      <w:r w:rsidR="008607D7">
        <w:rPr>
          <w:sz w:val="18"/>
          <w:szCs w:val="18"/>
        </w:rPr>
        <w:t>Vypracoval</w:t>
      </w:r>
      <w:r w:rsidR="00437CEF">
        <w:rPr>
          <w:sz w:val="18"/>
          <w:szCs w:val="18"/>
        </w:rPr>
        <w:t xml:space="preserve"> NKÚ z dat uvedených ve </w:t>
      </w:r>
      <w:r w:rsidR="001B6F59" w:rsidRPr="00751EB4">
        <w:rPr>
          <w:sz w:val="18"/>
          <w:szCs w:val="18"/>
        </w:rPr>
        <w:t>Strategi</w:t>
      </w:r>
      <w:r w:rsidR="00437CEF">
        <w:rPr>
          <w:sz w:val="18"/>
          <w:szCs w:val="18"/>
        </w:rPr>
        <w:t xml:space="preserve">i a publikacích </w:t>
      </w:r>
      <w:r w:rsidR="00437CEF" w:rsidRPr="0071578F">
        <w:rPr>
          <w:i/>
          <w:sz w:val="18"/>
          <w:szCs w:val="18"/>
        </w:rPr>
        <w:t>Zemědělství 2017</w:t>
      </w:r>
      <w:r w:rsidR="00437CEF">
        <w:rPr>
          <w:sz w:val="18"/>
          <w:szCs w:val="18"/>
        </w:rPr>
        <w:t xml:space="preserve"> a</w:t>
      </w:r>
      <w:r w:rsidR="001B6F59" w:rsidRPr="00751EB4">
        <w:rPr>
          <w:sz w:val="18"/>
          <w:szCs w:val="18"/>
        </w:rPr>
        <w:t xml:space="preserve"> </w:t>
      </w:r>
      <w:r w:rsidR="001B6F59" w:rsidRPr="0071578F">
        <w:rPr>
          <w:i/>
          <w:sz w:val="18"/>
          <w:szCs w:val="18"/>
        </w:rPr>
        <w:t>Zpráva o stavu z</w:t>
      </w:r>
      <w:r w:rsidR="00437CEF" w:rsidRPr="0071578F">
        <w:rPr>
          <w:i/>
          <w:sz w:val="18"/>
          <w:szCs w:val="18"/>
        </w:rPr>
        <w:t>emědělství 2017</w:t>
      </w:r>
      <w:r w:rsidR="00AF7ED5">
        <w:rPr>
          <w:sz w:val="18"/>
          <w:szCs w:val="18"/>
        </w:rPr>
        <w:t>.</w:t>
      </w:r>
    </w:p>
    <w:p w14:paraId="13375844" w14:textId="77777777" w:rsidR="00CE5A9E" w:rsidRDefault="00CE5A9E" w:rsidP="00A9734B">
      <w:pPr>
        <w:pStyle w:val="Odstavecseseznamem"/>
        <w:spacing w:before="0"/>
        <w:ind w:left="0"/>
        <w:outlineLvl w:val="1"/>
        <w:rPr>
          <w:bCs/>
        </w:rPr>
      </w:pPr>
    </w:p>
    <w:p w14:paraId="4D41E82B" w14:textId="3512A7CB" w:rsidR="002C2AB9" w:rsidRDefault="002C2AB9" w:rsidP="00CE5A9E">
      <w:pPr>
        <w:pStyle w:val="Odstavecseseznamem"/>
        <w:spacing w:before="0"/>
        <w:ind w:left="0"/>
        <w:contextualSpacing w:val="0"/>
        <w:outlineLvl w:val="1"/>
        <w:rPr>
          <w:bCs/>
        </w:rPr>
      </w:pPr>
      <w:r w:rsidRPr="00CE5A9E">
        <w:rPr>
          <w:bCs/>
        </w:rPr>
        <w:t>Z dat uvedených v tabulce č. 1 vyplývá, že pět z osmi hodnocených ukazatelů vykazovalo k 31.</w:t>
      </w:r>
      <w:r w:rsidR="00005722" w:rsidRPr="00CE5A9E">
        <w:rPr>
          <w:bCs/>
        </w:rPr>
        <w:t> </w:t>
      </w:r>
      <w:r w:rsidRPr="00CE5A9E">
        <w:rPr>
          <w:bCs/>
        </w:rPr>
        <w:t>12. 2017 pokles oproti roku 2015 (výchozímu stavu) místo plánovaného nárůstu. U</w:t>
      </w:r>
      <w:r w:rsidR="00005722" w:rsidRPr="00CE5A9E">
        <w:rPr>
          <w:bCs/>
        </w:rPr>
        <w:t> </w:t>
      </w:r>
      <w:r w:rsidRPr="00CE5A9E">
        <w:rPr>
          <w:bCs/>
        </w:rPr>
        <w:t>těchto pěti ukazatelů se bud</w:t>
      </w:r>
      <w:r w:rsidR="00846E0A" w:rsidRPr="00CE5A9E">
        <w:rPr>
          <w:bCs/>
        </w:rPr>
        <w:t>ou</w:t>
      </w:r>
      <w:r w:rsidRPr="00CE5A9E">
        <w:rPr>
          <w:bCs/>
        </w:rPr>
        <w:t xml:space="preserve"> obtížně naplňovat ind</w:t>
      </w:r>
      <w:r w:rsidR="00FB24F0" w:rsidRPr="00CE5A9E">
        <w:rPr>
          <w:bCs/>
        </w:rPr>
        <w:t>ikativní hodnoty pro rok 2020 a </w:t>
      </w:r>
      <w:r w:rsidRPr="00CE5A9E">
        <w:rPr>
          <w:bCs/>
        </w:rPr>
        <w:t>následující. Nejvyšší pokles vykazoval</w:t>
      </w:r>
      <w:r w:rsidR="00C975A9">
        <w:rPr>
          <w:bCs/>
        </w:rPr>
        <w:t>y</w:t>
      </w:r>
      <w:r w:rsidRPr="00CE5A9E">
        <w:rPr>
          <w:bCs/>
        </w:rPr>
        <w:t xml:space="preserve"> ukazatel</w:t>
      </w:r>
      <w:r w:rsidR="00C975A9">
        <w:rPr>
          <w:bCs/>
        </w:rPr>
        <w:t>e</w:t>
      </w:r>
      <w:r w:rsidRPr="00CE5A9E">
        <w:rPr>
          <w:bCs/>
        </w:rPr>
        <w:t xml:space="preserve"> </w:t>
      </w:r>
      <w:r w:rsidR="00C975A9">
        <w:rPr>
          <w:bCs/>
        </w:rPr>
        <w:t>„</w:t>
      </w:r>
      <w:r w:rsidR="00C975A9">
        <w:rPr>
          <w:bCs/>
          <w:i/>
        </w:rPr>
        <w:t>m</w:t>
      </w:r>
      <w:r w:rsidRPr="00CE5A9E">
        <w:rPr>
          <w:bCs/>
          <w:i/>
        </w:rPr>
        <w:t>íra krytí spotřeby hovězího masa</w:t>
      </w:r>
      <w:r w:rsidR="00C975A9">
        <w:rPr>
          <w:bCs/>
          <w:i/>
        </w:rPr>
        <w:t>“</w:t>
      </w:r>
      <w:r w:rsidRPr="00CE5A9E">
        <w:rPr>
          <w:bCs/>
        </w:rPr>
        <w:t xml:space="preserve"> a</w:t>
      </w:r>
      <w:r w:rsidR="00C975A9">
        <w:rPr>
          <w:bCs/>
        </w:rPr>
        <w:t> „</w:t>
      </w:r>
      <w:r w:rsidR="00C975A9">
        <w:rPr>
          <w:bCs/>
          <w:i/>
        </w:rPr>
        <w:t>p</w:t>
      </w:r>
      <w:r w:rsidRPr="00CE5A9E">
        <w:rPr>
          <w:bCs/>
          <w:i/>
        </w:rPr>
        <w:t>odíl ŽV na celkové zemědělské produkci</w:t>
      </w:r>
      <w:r w:rsidR="00C975A9">
        <w:rPr>
          <w:bCs/>
          <w:i/>
        </w:rPr>
        <w:t>“</w:t>
      </w:r>
      <w:r w:rsidRPr="00CE5A9E">
        <w:rPr>
          <w:bCs/>
        </w:rPr>
        <w:t>.</w:t>
      </w:r>
    </w:p>
    <w:p w14:paraId="74748DB0" w14:textId="77777777" w:rsidR="007B2063" w:rsidRPr="00CE5A9E" w:rsidRDefault="007B2063" w:rsidP="00CE5A9E">
      <w:pPr>
        <w:pStyle w:val="Odstavecseseznamem"/>
        <w:spacing w:before="0"/>
        <w:ind w:left="0"/>
        <w:contextualSpacing w:val="0"/>
        <w:outlineLvl w:val="1"/>
        <w:rPr>
          <w:bCs/>
        </w:rPr>
      </w:pPr>
    </w:p>
    <w:p w14:paraId="366C917F" w14:textId="77777777" w:rsidR="004A54DE" w:rsidRPr="00CE5A9E" w:rsidRDefault="004A54DE" w:rsidP="00CE5A9E">
      <w:pPr>
        <w:spacing w:before="0"/>
        <w:rPr>
          <w:b/>
        </w:rPr>
      </w:pPr>
      <w:r w:rsidRPr="00CE5A9E">
        <w:rPr>
          <w:b/>
        </w:rPr>
        <w:t xml:space="preserve">MZe se nedaří </w:t>
      </w:r>
      <w:r w:rsidR="004A479F" w:rsidRPr="00CE5A9E">
        <w:rPr>
          <w:b/>
        </w:rPr>
        <w:t>na</w:t>
      </w:r>
      <w:r w:rsidRPr="00CE5A9E">
        <w:rPr>
          <w:b/>
        </w:rPr>
        <w:t xml:space="preserve">plnit </w:t>
      </w:r>
      <w:r w:rsidR="002D2406" w:rsidRPr="00CE5A9E">
        <w:rPr>
          <w:b/>
        </w:rPr>
        <w:t xml:space="preserve">indikativní ukazatele strategických </w:t>
      </w:r>
      <w:r w:rsidR="004A479F" w:rsidRPr="00CE5A9E">
        <w:rPr>
          <w:b/>
        </w:rPr>
        <w:t>cíl</w:t>
      </w:r>
      <w:r w:rsidR="002D2406" w:rsidRPr="00CE5A9E">
        <w:rPr>
          <w:b/>
        </w:rPr>
        <w:t>ů</w:t>
      </w:r>
      <w:r w:rsidR="004A479F" w:rsidRPr="00CE5A9E">
        <w:rPr>
          <w:b/>
        </w:rPr>
        <w:t xml:space="preserve"> v sektoru živočišné výroby uvedené ve Strategii</w:t>
      </w:r>
      <w:r w:rsidRPr="00CE5A9E">
        <w:rPr>
          <w:rStyle w:val="Znakapoznpodarou"/>
          <w:b/>
        </w:rPr>
        <w:footnoteReference w:id="6"/>
      </w:r>
      <w:r w:rsidR="004A479F" w:rsidRPr="00CE5A9E">
        <w:rPr>
          <w:b/>
        </w:rPr>
        <w:t>.</w:t>
      </w:r>
    </w:p>
    <w:p w14:paraId="7E169903" w14:textId="640ED6D2" w:rsidR="001B6F59" w:rsidRDefault="001B6F59" w:rsidP="007B2063">
      <w:pPr>
        <w:pStyle w:val="Odstavecseseznamem"/>
        <w:spacing w:before="0"/>
        <w:ind w:left="0"/>
        <w:contextualSpacing w:val="0"/>
        <w:outlineLvl w:val="1"/>
        <w:rPr>
          <w:bCs/>
        </w:rPr>
      </w:pPr>
    </w:p>
    <w:p w14:paraId="285424CF" w14:textId="2F171E4A" w:rsidR="0071578F" w:rsidRDefault="0071578F" w:rsidP="007B2063">
      <w:pPr>
        <w:pStyle w:val="Odstavecseseznamem"/>
        <w:spacing w:before="0"/>
        <w:ind w:left="0"/>
        <w:contextualSpacing w:val="0"/>
        <w:outlineLvl w:val="1"/>
        <w:rPr>
          <w:bCs/>
        </w:rPr>
      </w:pPr>
    </w:p>
    <w:p w14:paraId="24F1DA65" w14:textId="79EA287B" w:rsidR="0071578F" w:rsidRDefault="0071578F" w:rsidP="007B2063">
      <w:pPr>
        <w:pStyle w:val="Odstavecseseznamem"/>
        <w:spacing w:before="0"/>
        <w:ind w:left="0"/>
        <w:contextualSpacing w:val="0"/>
        <w:outlineLvl w:val="1"/>
        <w:rPr>
          <w:bCs/>
        </w:rPr>
      </w:pPr>
    </w:p>
    <w:p w14:paraId="271FE85A" w14:textId="77777777" w:rsidR="0071578F" w:rsidRPr="007B2063" w:rsidRDefault="0071578F" w:rsidP="007B2063">
      <w:pPr>
        <w:pStyle w:val="Odstavecseseznamem"/>
        <w:spacing w:before="0"/>
        <w:ind w:left="0"/>
        <w:contextualSpacing w:val="0"/>
        <w:outlineLvl w:val="1"/>
        <w:rPr>
          <w:bCs/>
        </w:rPr>
      </w:pPr>
    </w:p>
    <w:p w14:paraId="43F90D2A" w14:textId="77777777" w:rsidR="005A4517" w:rsidRPr="00CE5A9E" w:rsidRDefault="00816090" w:rsidP="007876B7">
      <w:pPr>
        <w:pStyle w:val="Nadpis2"/>
        <w:numPr>
          <w:ilvl w:val="0"/>
          <w:numId w:val="0"/>
        </w:numPr>
        <w:spacing w:before="0"/>
        <w:ind w:left="284" w:hanging="284"/>
        <w:rPr>
          <w:sz w:val="24"/>
          <w:szCs w:val="24"/>
        </w:rPr>
      </w:pPr>
      <w:r>
        <w:rPr>
          <w:sz w:val="24"/>
          <w:szCs w:val="24"/>
        </w:rPr>
        <w:t xml:space="preserve">2. </w:t>
      </w:r>
      <w:r>
        <w:rPr>
          <w:sz w:val="24"/>
          <w:szCs w:val="24"/>
        </w:rPr>
        <w:tab/>
      </w:r>
      <w:r w:rsidR="00F8794D" w:rsidRPr="00CE5A9E">
        <w:rPr>
          <w:sz w:val="24"/>
          <w:szCs w:val="24"/>
        </w:rPr>
        <w:t>Nastavilo MZe pravidla a podmínky pro realizaci vybraných dotačních opatření v souladu se strategickými cíli a legislativními po</w:t>
      </w:r>
      <w:r w:rsidR="00D53B49" w:rsidRPr="00CE5A9E">
        <w:rPr>
          <w:sz w:val="24"/>
          <w:szCs w:val="24"/>
        </w:rPr>
        <w:t>ž</w:t>
      </w:r>
      <w:r w:rsidR="00F8794D" w:rsidRPr="00CE5A9E">
        <w:rPr>
          <w:sz w:val="24"/>
          <w:szCs w:val="24"/>
        </w:rPr>
        <w:t>adavky</w:t>
      </w:r>
      <w:r w:rsidR="00993950" w:rsidRPr="00CE5A9E">
        <w:rPr>
          <w:sz w:val="24"/>
          <w:szCs w:val="24"/>
        </w:rPr>
        <w:t>?</w:t>
      </w:r>
    </w:p>
    <w:p w14:paraId="447ACE83" w14:textId="77777777" w:rsidR="007B2063" w:rsidRDefault="007B2063" w:rsidP="007876B7">
      <w:pPr>
        <w:pStyle w:val="KP-normlntext"/>
        <w:spacing w:before="0" w:after="0"/>
        <w:ind w:firstLine="0"/>
        <w:rPr>
          <w:rFonts w:asciiTheme="minorHAnsi" w:hAnsiTheme="minorHAnsi" w:cstheme="minorHAnsi"/>
          <w:sz w:val="24"/>
          <w:szCs w:val="24"/>
          <w:lang w:eastAsia="cs-CZ"/>
        </w:rPr>
      </w:pPr>
    </w:p>
    <w:p w14:paraId="365151A8" w14:textId="77777777" w:rsidR="00C00B29" w:rsidRDefault="00A9734B" w:rsidP="00CE5A9E">
      <w:pPr>
        <w:pStyle w:val="KP-normlntext"/>
        <w:spacing w:before="0" w:after="0"/>
        <w:ind w:firstLine="0"/>
        <w:rPr>
          <w:rFonts w:asciiTheme="minorHAnsi" w:hAnsiTheme="minorHAnsi" w:cstheme="minorHAnsi"/>
          <w:sz w:val="24"/>
          <w:szCs w:val="24"/>
          <w:lang w:eastAsia="cs-CZ"/>
        </w:rPr>
      </w:pPr>
      <w:r w:rsidRPr="00CE5A9E">
        <w:rPr>
          <w:rFonts w:asciiTheme="minorHAnsi" w:hAnsiTheme="minorHAnsi" w:cstheme="minorHAnsi"/>
          <w:sz w:val="24"/>
          <w:szCs w:val="24"/>
          <w:lang w:eastAsia="cs-CZ"/>
        </w:rPr>
        <w:t xml:space="preserve">Poskytovatel dotace má povinnost nastavit podmínky pro realizaci jednotlivých </w:t>
      </w:r>
      <w:r w:rsidR="00FB24F0" w:rsidRPr="00CE5A9E">
        <w:rPr>
          <w:rFonts w:asciiTheme="minorHAnsi" w:hAnsiTheme="minorHAnsi" w:cstheme="minorHAnsi"/>
          <w:sz w:val="24"/>
          <w:szCs w:val="24"/>
          <w:lang w:eastAsia="cs-CZ"/>
        </w:rPr>
        <w:t>podpor a </w:t>
      </w:r>
      <w:r w:rsidR="00414438" w:rsidRPr="00CE5A9E">
        <w:rPr>
          <w:rFonts w:asciiTheme="minorHAnsi" w:hAnsiTheme="minorHAnsi" w:cstheme="minorHAnsi"/>
          <w:sz w:val="24"/>
          <w:szCs w:val="24"/>
          <w:lang w:eastAsia="cs-CZ"/>
        </w:rPr>
        <w:t xml:space="preserve">dotací </w:t>
      </w:r>
      <w:r w:rsidRPr="00CE5A9E">
        <w:rPr>
          <w:rFonts w:asciiTheme="minorHAnsi" w:hAnsiTheme="minorHAnsi" w:cstheme="minorHAnsi"/>
          <w:sz w:val="24"/>
          <w:szCs w:val="24"/>
          <w:lang w:eastAsia="cs-CZ"/>
        </w:rPr>
        <w:t xml:space="preserve">v souladu s principy účelnosti, hospodárnosti a efektivnosti. </w:t>
      </w:r>
      <w:r w:rsidR="00414438" w:rsidRPr="00CE5A9E">
        <w:rPr>
          <w:rFonts w:asciiTheme="minorHAnsi" w:hAnsiTheme="minorHAnsi" w:cstheme="minorHAnsi"/>
          <w:sz w:val="24"/>
          <w:szCs w:val="24"/>
          <w:lang w:eastAsia="cs-CZ"/>
        </w:rPr>
        <w:t>Vyplacené prostředky by měly směřovat k naplnění cílů a účelů jednotlivých podpor</w:t>
      </w:r>
      <w:r w:rsidR="004A54DE" w:rsidRPr="00CE5A9E">
        <w:rPr>
          <w:rFonts w:asciiTheme="minorHAnsi" w:hAnsiTheme="minorHAnsi" w:cstheme="minorHAnsi"/>
          <w:sz w:val="24"/>
          <w:szCs w:val="24"/>
          <w:lang w:eastAsia="cs-CZ"/>
        </w:rPr>
        <w:t xml:space="preserve"> i k naplňování strategických cílů</w:t>
      </w:r>
      <w:r w:rsidR="00414438" w:rsidRPr="00CE5A9E">
        <w:rPr>
          <w:rFonts w:asciiTheme="minorHAnsi" w:hAnsiTheme="minorHAnsi" w:cstheme="minorHAnsi"/>
          <w:sz w:val="24"/>
          <w:szCs w:val="24"/>
          <w:lang w:eastAsia="cs-CZ"/>
        </w:rPr>
        <w:t xml:space="preserve">. </w:t>
      </w:r>
    </w:p>
    <w:p w14:paraId="68B65A3E" w14:textId="77777777" w:rsidR="007B2063" w:rsidRPr="00CE5A9E" w:rsidRDefault="007B2063" w:rsidP="00CE5A9E">
      <w:pPr>
        <w:pStyle w:val="KP-normlntext"/>
        <w:spacing w:before="0" w:after="0"/>
        <w:ind w:firstLine="0"/>
        <w:rPr>
          <w:rFonts w:asciiTheme="minorHAnsi" w:hAnsiTheme="minorHAnsi" w:cstheme="minorHAnsi"/>
          <w:sz w:val="24"/>
          <w:szCs w:val="24"/>
          <w:lang w:eastAsia="cs-CZ"/>
        </w:rPr>
      </w:pPr>
    </w:p>
    <w:p w14:paraId="36B0EFEA" w14:textId="27BBD53D" w:rsidR="00414438" w:rsidRPr="00CE5A9E" w:rsidRDefault="00816090" w:rsidP="007876B7">
      <w:pPr>
        <w:pStyle w:val="Nadpis3"/>
        <w:keepNext/>
        <w:numPr>
          <w:ilvl w:val="0"/>
          <w:numId w:val="0"/>
        </w:numPr>
        <w:spacing w:before="0" w:after="0"/>
        <w:ind w:left="426" w:hanging="426"/>
      </w:pPr>
      <w:r>
        <w:t xml:space="preserve">2.1 </w:t>
      </w:r>
      <w:r>
        <w:tab/>
      </w:r>
      <w:r w:rsidR="00194073" w:rsidRPr="00CE5A9E">
        <w:t xml:space="preserve">Dotační program 19.A </w:t>
      </w:r>
      <w:r w:rsidR="007C40C5" w:rsidRPr="0071578F">
        <w:rPr>
          <w:i/>
        </w:rPr>
        <w:t>Podpora na účast producentů a zpracovatelů zemědělských produktů v režimech jakosti Q CZ</w:t>
      </w:r>
    </w:p>
    <w:p w14:paraId="3CF0B35B" w14:textId="77777777" w:rsidR="007B2063" w:rsidRDefault="007B2063" w:rsidP="0071578F">
      <w:pPr>
        <w:keepNext/>
        <w:spacing w:before="0"/>
      </w:pPr>
    </w:p>
    <w:p w14:paraId="791D919B" w14:textId="7C88368D" w:rsidR="002C2AB9" w:rsidRPr="00CE5A9E" w:rsidRDefault="002C2AB9" w:rsidP="00CE5A9E">
      <w:pPr>
        <w:spacing w:before="0"/>
      </w:pPr>
      <w:r w:rsidRPr="00CE5A9E">
        <w:t xml:space="preserve">Účelem národního dotačního programu 19.A je podpora účasti producentů a zpracovatelů mléka v režimech jakosti Q CZ v zájmu zlepšení tržních příležitostí a dosažení přidané hodnoty u mléka a mléčných výrobků. </w:t>
      </w:r>
    </w:p>
    <w:p w14:paraId="7E67E88E" w14:textId="77777777" w:rsidR="007B2063" w:rsidRDefault="007B2063" w:rsidP="00CE5A9E">
      <w:pPr>
        <w:spacing w:before="0"/>
        <w:rPr>
          <w:lang w:eastAsia="cs-CZ"/>
        </w:rPr>
      </w:pPr>
    </w:p>
    <w:p w14:paraId="73519C86" w14:textId="10A1C486" w:rsidR="002C2AB9" w:rsidRPr="00CE5A9E" w:rsidRDefault="002C2AB9" w:rsidP="00CE5A9E">
      <w:pPr>
        <w:spacing w:before="0"/>
        <w:rPr>
          <w:lang w:eastAsia="cs-CZ"/>
        </w:rPr>
      </w:pPr>
      <w:r w:rsidRPr="00CE5A9E">
        <w:rPr>
          <w:lang w:eastAsia="cs-CZ"/>
        </w:rPr>
        <w:t>Dotační program 19.A obsahuje dva podtituly:</w:t>
      </w:r>
    </w:p>
    <w:p w14:paraId="1CEEB426" w14:textId="28FD018D" w:rsidR="002C2AB9" w:rsidRPr="00CE5A9E" w:rsidRDefault="002C2AB9" w:rsidP="007B2063">
      <w:pPr>
        <w:pStyle w:val="Odstavecseseznamem"/>
        <w:numPr>
          <w:ilvl w:val="0"/>
          <w:numId w:val="20"/>
        </w:numPr>
        <w:spacing w:before="0"/>
        <w:ind w:left="567" w:hanging="283"/>
        <w:contextualSpacing w:val="0"/>
        <w:rPr>
          <w:lang w:eastAsia="cs-CZ"/>
        </w:rPr>
      </w:pPr>
      <w:r w:rsidRPr="00CE5A9E">
        <w:rPr>
          <w:lang w:eastAsia="cs-CZ"/>
        </w:rPr>
        <w:t xml:space="preserve">19.A.a </w:t>
      </w:r>
      <w:r w:rsidRPr="0071578F">
        <w:rPr>
          <w:i/>
          <w:lang w:eastAsia="cs-CZ"/>
        </w:rPr>
        <w:t>Podpora na účast producentů a zpracovatelů mléka v režimu jakosti Q CZ</w:t>
      </w:r>
      <w:r w:rsidR="00C975A9">
        <w:rPr>
          <w:lang w:eastAsia="cs-CZ"/>
        </w:rPr>
        <w:t>,</w:t>
      </w:r>
    </w:p>
    <w:p w14:paraId="0C81C5D6" w14:textId="0D3152E5" w:rsidR="002C2AB9" w:rsidRPr="00CE5A9E" w:rsidRDefault="002C2AB9" w:rsidP="007B2063">
      <w:pPr>
        <w:pStyle w:val="Odstavecseseznamem"/>
        <w:numPr>
          <w:ilvl w:val="0"/>
          <w:numId w:val="20"/>
        </w:numPr>
        <w:spacing w:before="0"/>
        <w:ind w:left="567" w:hanging="283"/>
        <w:contextualSpacing w:val="0"/>
        <w:rPr>
          <w:lang w:eastAsia="cs-CZ"/>
        </w:rPr>
      </w:pPr>
      <w:r w:rsidRPr="00CE5A9E">
        <w:rPr>
          <w:lang w:eastAsia="cs-CZ"/>
        </w:rPr>
        <w:t xml:space="preserve">19.A.b </w:t>
      </w:r>
      <w:r w:rsidRPr="0071578F">
        <w:rPr>
          <w:i/>
          <w:lang w:eastAsia="cs-CZ"/>
        </w:rPr>
        <w:t>Podpora činností spojených s režimem jakosti Q CZ</w:t>
      </w:r>
      <w:r w:rsidR="006D368A">
        <w:rPr>
          <w:lang w:eastAsia="cs-CZ"/>
        </w:rPr>
        <w:t>, který se dále člení na</w:t>
      </w:r>
      <w:r w:rsidR="00C975A9">
        <w:rPr>
          <w:lang w:eastAsia="cs-CZ"/>
        </w:rPr>
        <w:t>:</w:t>
      </w:r>
    </w:p>
    <w:p w14:paraId="698F66C6" w14:textId="6A8BF6FA" w:rsidR="002C2AB9" w:rsidRPr="00CE5A9E" w:rsidRDefault="002C2AB9" w:rsidP="007B2063">
      <w:pPr>
        <w:pStyle w:val="Odstavecseseznamem"/>
        <w:numPr>
          <w:ilvl w:val="1"/>
          <w:numId w:val="20"/>
        </w:numPr>
        <w:spacing w:before="0"/>
        <w:ind w:left="851" w:hanging="284"/>
        <w:contextualSpacing w:val="0"/>
        <w:rPr>
          <w:lang w:eastAsia="cs-CZ"/>
        </w:rPr>
      </w:pPr>
      <w:r w:rsidRPr="00CE5A9E">
        <w:rPr>
          <w:lang w:eastAsia="cs-CZ"/>
        </w:rPr>
        <w:t xml:space="preserve">19.A.b.1 </w:t>
      </w:r>
      <w:r w:rsidRPr="0071578F">
        <w:rPr>
          <w:i/>
          <w:lang w:eastAsia="cs-CZ"/>
        </w:rPr>
        <w:t>Podpora kontrolních opatření a poradenství spojených s režimem jakosti Q</w:t>
      </w:r>
      <w:r w:rsidR="00C975A9" w:rsidRPr="0071578F">
        <w:rPr>
          <w:i/>
          <w:lang w:eastAsia="cs-CZ"/>
        </w:rPr>
        <w:t> </w:t>
      </w:r>
      <w:r w:rsidRPr="0071578F">
        <w:rPr>
          <w:i/>
          <w:lang w:eastAsia="cs-CZ"/>
        </w:rPr>
        <w:t>CZ</w:t>
      </w:r>
      <w:r w:rsidR="00C975A9">
        <w:rPr>
          <w:lang w:eastAsia="cs-CZ"/>
        </w:rPr>
        <w:t>,</w:t>
      </w:r>
    </w:p>
    <w:p w14:paraId="3D66B76F" w14:textId="168ED5ED" w:rsidR="002C2AB9" w:rsidRPr="00CE5A9E" w:rsidRDefault="002C2AB9" w:rsidP="007B2063">
      <w:pPr>
        <w:pStyle w:val="Odstavecseseznamem"/>
        <w:numPr>
          <w:ilvl w:val="1"/>
          <w:numId w:val="20"/>
        </w:numPr>
        <w:spacing w:before="0"/>
        <w:ind w:left="851" w:hanging="284"/>
        <w:contextualSpacing w:val="0"/>
        <w:rPr>
          <w:lang w:eastAsia="cs-CZ"/>
        </w:rPr>
      </w:pPr>
      <w:r w:rsidRPr="00CE5A9E">
        <w:rPr>
          <w:lang w:eastAsia="cs-CZ"/>
        </w:rPr>
        <w:t xml:space="preserve">19.A.b.2 </w:t>
      </w:r>
      <w:r w:rsidRPr="0071578F">
        <w:rPr>
          <w:i/>
          <w:lang w:eastAsia="cs-CZ"/>
        </w:rPr>
        <w:t>Podpora vyjmenovaných úkonů provedených formou služeb spojených s režimem jakosti Q CZ</w:t>
      </w:r>
      <w:r w:rsidR="00C975A9">
        <w:rPr>
          <w:lang w:eastAsia="cs-CZ"/>
        </w:rPr>
        <w:t>.</w:t>
      </w:r>
    </w:p>
    <w:p w14:paraId="289800AE" w14:textId="77777777" w:rsidR="007B2063" w:rsidRDefault="007B2063" w:rsidP="00CE5A9E">
      <w:pPr>
        <w:spacing w:before="0"/>
      </w:pPr>
    </w:p>
    <w:p w14:paraId="6A5EE781" w14:textId="00B1974E" w:rsidR="002C2AB9" w:rsidRDefault="002C2AB9" w:rsidP="00CE5A9E">
      <w:pPr>
        <w:spacing w:before="0"/>
      </w:pPr>
      <w:r w:rsidRPr="00CE5A9E">
        <w:t xml:space="preserve">Kontrolou byli prověřeni příjemci čerpající dotace z dotačního podtitulu 19.A.b.1, jednalo se výlučně o mlékárny. V případě, že některý z vybraných příjemců čerpal dotace i z dotačního podtitulu 19.A.a, byla provedena kontrola i těchto žádostí o dotaci. </w:t>
      </w:r>
    </w:p>
    <w:p w14:paraId="55E426F7" w14:textId="77777777" w:rsidR="007B2063" w:rsidRPr="00CE5A9E" w:rsidRDefault="007B2063" w:rsidP="00CE5A9E">
      <w:pPr>
        <w:spacing w:before="0"/>
      </w:pPr>
    </w:p>
    <w:p w14:paraId="2CB7A92C" w14:textId="01523864" w:rsidR="00FE318E" w:rsidRDefault="002C2AB9" w:rsidP="00CE5A9E">
      <w:pPr>
        <w:pStyle w:val="Odstavecseseznamem"/>
        <w:spacing w:before="0"/>
        <w:ind w:left="0"/>
        <w:contextualSpacing w:val="0"/>
      </w:pPr>
      <w:r w:rsidRPr="00CE5A9E">
        <w:t xml:space="preserve">Celkový objem vyplacených prostředků </w:t>
      </w:r>
      <w:r w:rsidR="00E07413" w:rsidRPr="00CE5A9E">
        <w:t>v</w:t>
      </w:r>
      <w:r w:rsidRPr="00CE5A9E">
        <w:t xml:space="preserve"> </w:t>
      </w:r>
      <w:r w:rsidR="00E07413" w:rsidRPr="00CE5A9E">
        <w:t>letech</w:t>
      </w:r>
      <w:r w:rsidRPr="00CE5A9E">
        <w:t xml:space="preserve"> 201</w:t>
      </w:r>
      <w:r w:rsidR="00C6558C" w:rsidRPr="00CE5A9E">
        <w:t>6</w:t>
      </w:r>
      <w:r w:rsidR="00775226" w:rsidRPr="00CE5A9E">
        <w:t>–</w:t>
      </w:r>
      <w:r w:rsidRPr="00CE5A9E">
        <w:t xml:space="preserve">2017 činil </w:t>
      </w:r>
      <w:r w:rsidR="00ED1175" w:rsidRPr="00CE5A9E">
        <w:rPr>
          <w:lang w:val="cs"/>
        </w:rPr>
        <w:t>638 190 106</w:t>
      </w:r>
      <w:r w:rsidRPr="00CE5A9E">
        <w:t xml:space="preserve"> Kč.  </w:t>
      </w:r>
    </w:p>
    <w:p w14:paraId="4A4A0BB3" w14:textId="77777777" w:rsidR="008F21C1" w:rsidRPr="007876B7" w:rsidRDefault="008F21C1" w:rsidP="007876B7">
      <w:pPr>
        <w:pStyle w:val="Odstavecseseznamem"/>
        <w:spacing w:before="0"/>
        <w:ind w:left="0"/>
        <w:contextualSpacing w:val="0"/>
      </w:pPr>
    </w:p>
    <w:p w14:paraId="1CE1D5DA" w14:textId="77777777" w:rsidR="002C2AB9" w:rsidRPr="007B2063" w:rsidRDefault="002C2AB9" w:rsidP="007B2063">
      <w:pPr>
        <w:spacing w:before="0"/>
        <w:jc w:val="left"/>
        <w:outlineLvl w:val="3"/>
        <w:rPr>
          <w:vanish/>
          <w:lang w:eastAsia="cs-CZ"/>
        </w:rPr>
      </w:pPr>
    </w:p>
    <w:p w14:paraId="1ED5D002" w14:textId="77777777" w:rsidR="002C2AB9" w:rsidRPr="00816090" w:rsidRDefault="00816090" w:rsidP="007B2063">
      <w:pPr>
        <w:pStyle w:val="Nadpis4"/>
        <w:numPr>
          <w:ilvl w:val="0"/>
          <w:numId w:val="0"/>
        </w:numPr>
        <w:spacing w:before="0" w:after="0"/>
        <w:contextualSpacing w:val="0"/>
        <w:rPr>
          <w:b/>
        </w:rPr>
      </w:pPr>
      <w:r w:rsidRPr="00816090">
        <w:rPr>
          <w:b/>
        </w:rPr>
        <w:t xml:space="preserve">2.1.1 </w:t>
      </w:r>
      <w:r w:rsidR="00D40812" w:rsidRPr="00816090">
        <w:rPr>
          <w:b/>
        </w:rPr>
        <w:t>Nedostatečné p</w:t>
      </w:r>
      <w:r w:rsidR="002C2AB9" w:rsidRPr="00816090">
        <w:rPr>
          <w:b/>
        </w:rPr>
        <w:t>osuzování motivačního účinku podpory</w:t>
      </w:r>
    </w:p>
    <w:p w14:paraId="0B999EF7" w14:textId="77777777" w:rsidR="007B2063" w:rsidRDefault="007B2063" w:rsidP="00CE5A9E">
      <w:pPr>
        <w:spacing w:before="0"/>
        <w:rPr>
          <w:color w:val="000000" w:themeColor="text1"/>
          <w:lang w:eastAsia="cs-CZ"/>
        </w:rPr>
      </w:pPr>
    </w:p>
    <w:p w14:paraId="1F743316" w14:textId="5DEC646D" w:rsidR="002C2AB9" w:rsidRDefault="002C2AB9" w:rsidP="00CE5A9E">
      <w:pPr>
        <w:spacing w:before="0"/>
        <w:rPr>
          <w:color w:val="000000" w:themeColor="text1"/>
          <w:lang w:eastAsia="cs-CZ"/>
        </w:rPr>
      </w:pPr>
      <w:r w:rsidRPr="00CE5A9E">
        <w:rPr>
          <w:color w:val="000000" w:themeColor="text1"/>
          <w:lang w:eastAsia="cs-CZ"/>
        </w:rPr>
        <w:t>Pokyny Evropské unie</w:t>
      </w:r>
      <w:r w:rsidR="008D3806" w:rsidRPr="00CE5A9E">
        <w:rPr>
          <w:color w:val="000000" w:themeColor="text1"/>
          <w:lang w:eastAsia="cs-CZ"/>
        </w:rPr>
        <w:t xml:space="preserve"> </w:t>
      </w:r>
      <w:r w:rsidR="008D3806" w:rsidRPr="00CE5A9E">
        <w:t>ke státní podpoře v odvětvích zemědělství a lesnictví a ve venkovských oblastech na období 2014 až 2020</w:t>
      </w:r>
      <w:r w:rsidR="006E19ED" w:rsidRPr="00CE5A9E">
        <w:t xml:space="preserve"> (dále též „Pokyny Evropské unie“)</w:t>
      </w:r>
      <w:r w:rsidRPr="00CE5A9E">
        <w:rPr>
          <w:color w:val="000000" w:themeColor="text1"/>
          <w:lang w:eastAsia="cs-CZ"/>
        </w:rPr>
        <w:t xml:space="preserve"> stanovují, že podpora slučitelná s vnitřním trhem nesmí subvencovat náklady na činnost, které by podniku vznikly v každém případě, a nesmí vyrovnávat běžná podnikatelská rizika hospodářské činnosti. Velké podniky</w:t>
      </w:r>
      <w:r w:rsidRPr="00CE5A9E">
        <w:rPr>
          <w:rStyle w:val="Znakapoznpodarou"/>
          <w:color w:val="000000" w:themeColor="text1"/>
          <w:lang w:eastAsia="cs-CZ"/>
        </w:rPr>
        <w:footnoteReference w:id="7"/>
      </w:r>
      <w:r w:rsidRPr="00CE5A9E">
        <w:rPr>
          <w:color w:val="000000" w:themeColor="text1"/>
          <w:lang w:eastAsia="cs-CZ"/>
        </w:rPr>
        <w:t xml:space="preserve"> musí v žádosti o dotaci popsat situaci, která by nastala v případě, že by podpora nebyla poskytnuta</w:t>
      </w:r>
      <w:r w:rsidR="00D43011">
        <w:rPr>
          <w:color w:val="000000" w:themeColor="text1"/>
          <w:lang w:eastAsia="cs-CZ"/>
        </w:rPr>
        <w:t>,</w:t>
      </w:r>
      <w:r w:rsidRPr="00CE5A9E">
        <w:rPr>
          <w:color w:val="000000" w:themeColor="text1"/>
          <w:lang w:eastAsia="cs-CZ"/>
        </w:rPr>
        <w:t xml:space="preserve"> a předložit doklady, z nichž popis této situace vychází</w:t>
      </w:r>
      <w:r w:rsidR="00D43011">
        <w:rPr>
          <w:color w:val="000000" w:themeColor="text1"/>
          <w:lang w:eastAsia="cs-CZ"/>
        </w:rPr>
        <w:t>,</w:t>
      </w:r>
      <w:r w:rsidRPr="00CE5A9E">
        <w:rPr>
          <w:color w:val="000000" w:themeColor="text1"/>
          <w:lang w:eastAsia="cs-CZ"/>
        </w:rPr>
        <w:t xml:space="preserve"> a následně musí orgán poskytující podporu provést kontrolu věrohodnosti uvedeného hypotetického scénáře a potvrdit, že podpora má motivační účinek. </w:t>
      </w:r>
    </w:p>
    <w:p w14:paraId="47D8A62A" w14:textId="77777777" w:rsidR="007B2063" w:rsidRPr="00CE5A9E" w:rsidRDefault="007B2063" w:rsidP="00CE5A9E">
      <w:pPr>
        <w:spacing w:before="0"/>
        <w:rPr>
          <w:color w:val="000000" w:themeColor="text1"/>
          <w:lang w:eastAsia="cs-CZ"/>
        </w:rPr>
      </w:pPr>
    </w:p>
    <w:p w14:paraId="5D6B648F" w14:textId="38063346" w:rsidR="002C2AB9" w:rsidRPr="00CE5A9E" w:rsidRDefault="00CD4B03" w:rsidP="00CE5A9E">
      <w:pPr>
        <w:spacing w:before="0"/>
        <w:rPr>
          <w:b/>
          <w:color w:val="000000" w:themeColor="text1"/>
          <w:lang w:eastAsia="cs-CZ"/>
        </w:rPr>
      </w:pPr>
      <w:r w:rsidRPr="00CE5A9E">
        <w:rPr>
          <w:color w:val="000000" w:themeColor="text1"/>
          <w:lang w:eastAsia="cs-CZ"/>
        </w:rPr>
        <w:t>Do kategorie velkých podniků spadalo 11 z</w:t>
      </w:r>
      <w:r w:rsidR="002C2AB9" w:rsidRPr="00CE5A9E">
        <w:rPr>
          <w:color w:val="000000" w:themeColor="text1"/>
          <w:lang w:eastAsia="cs-CZ"/>
        </w:rPr>
        <w:t> 19 kontrolovaných příjemců podpory z dotačního titulu 19.A. Tito příjemci ve svých žádostech pouze formálním způsobem popsali situaci, která by nastala v případě, že by podpora nebyla poskytnuta</w:t>
      </w:r>
      <w:r w:rsidR="00D43011">
        <w:rPr>
          <w:color w:val="000000" w:themeColor="text1"/>
          <w:lang w:eastAsia="cs-CZ"/>
        </w:rPr>
        <w:t>,</w:t>
      </w:r>
      <w:r w:rsidR="002C2AB9" w:rsidRPr="00CE5A9E">
        <w:rPr>
          <w:color w:val="000000" w:themeColor="text1"/>
          <w:lang w:eastAsia="cs-CZ"/>
        </w:rPr>
        <w:t xml:space="preserve"> a tento hypotetický scénář </w:t>
      </w:r>
      <w:r w:rsidR="00CB4CF2" w:rsidRPr="00CE5A9E">
        <w:rPr>
          <w:color w:val="000000" w:themeColor="text1"/>
          <w:lang w:eastAsia="cs-CZ"/>
        </w:rPr>
        <w:t>neprokázali</w:t>
      </w:r>
      <w:r w:rsidR="002C2AB9" w:rsidRPr="00CE5A9E">
        <w:rPr>
          <w:color w:val="000000" w:themeColor="text1"/>
          <w:lang w:eastAsia="cs-CZ"/>
        </w:rPr>
        <w:t xml:space="preserve"> žádnými doklady. </w:t>
      </w:r>
      <w:r w:rsidR="002C2AB9" w:rsidRPr="00CE5A9E">
        <w:rPr>
          <w:b/>
          <w:color w:val="000000" w:themeColor="text1"/>
          <w:lang w:eastAsia="cs-CZ"/>
        </w:rPr>
        <w:t>MZe nesplnilo povinnost provést</w:t>
      </w:r>
      <w:r w:rsidR="00846E0A" w:rsidRPr="00CE5A9E">
        <w:rPr>
          <w:b/>
          <w:color w:val="000000" w:themeColor="text1"/>
          <w:lang w:eastAsia="cs-CZ"/>
        </w:rPr>
        <w:t xml:space="preserve"> účinnou</w:t>
      </w:r>
      <w:r w:rsidR="002C2AB9" w:rsidRPr="00CE5A9E">
        <w:rPr>
          <w:b/>
          <w:color w:val="000000" w:themeColor="text1"/>
          <w:lang w:eastAsia="cs-CZ"/>
        </w:rPr>
        <w:t xml:space="preserve"> kontrolu uvedeného hypotetického srovnání</w:t>
      </w:r>
      <w:r w:rsidR="00D43011">
        <w:rPr>
          <w:b/>
          <w:color w:val="000000" w:themeColor="text1"/>
          <w:lang w:eastAsia="cs-CZ"/>
        </w:rPr>
        <w:t>,</w:t>
      </w:r>
      <w:r w:rsidR="002C2AB9" w:rsidRPr="00CE5A9E">
        <w:rPr>
          <w:b/>
          <w:color w:val="000000" w:themeColor="text1"/>
          <w:lang w:eastAsia="cs-CZ"/>
        </w:rPr>
        <w:t xml:space="preserve"> a nepotvrdilo tak, že poskytovaná podpora má požadovaný motivační účinek. MZe zdůvodnění požadavku podpory/prohlášení velkých podniků posuzovalo pouze formálně. </w:t>
      </w:r>
    </w:p>
    <w:p w14:paraId="7BFDB0D7" w14:textId="77777777" w:rsidR="007B2063" w:rsidRDefault="007B2063" w:rsidP="007B2063">
      <w:pPr>
        <w:pStyle w:val="Nadpis4"/>
        <w:numPr>
          <w:ilvl w:val="0"/>
          <w:numId w:val="0"/>
        </w:numPr>
        <w:spacing w:before="0" w:after="0"/>
        <w:contextualSpacing w:val="0"/>
      </w:pPr>
    </w:p>
    <w:p w14:paraId="4E7621B7" w14:textId="77777777" w:rsidR="002C2AB9" w:rsidRPr="00816090" w:rsidRDefault="00816090" w:rsidP="007E1392">
      <w:pPr>
        <w:pStyle w:val="Nadpis4"/>
        <w:keepNext/>
        <w:numPr>
          <w:ilvl w:val="0"/>
          <w:numId w:val="0"/>
        </w:numPr>
        <w:spacing w:before="0" w:after="0"/>
        <w:contextualSpacing w:val="0"/>
        <w:rPr>
          <w:b/>
        </w:rPr>
      </w:pPr>
      <w:r w:rsidRPr="00816090">
        <w:rPr>
          <w:b/>
        </w:rPr>
        <w:t xml:space="preserve">2.1.2 </w:t>
      </w:r>
      <w:r w:rsidR="00D40812" w:rsidRPr="00816090">
        <w:rPr>
          <w:b/>
        </w:rPr>
        <w:t xml:space="preserve">Dotace nesměřující k naplnění účelů podpory </w:t>
      </w:r>
    </w:p>
    <w:p w14:paraId="24F83BD4" w14:textId="77777777" w:rsidR="007B2063" w:rsidRDefault="007B2063" w:rsidP="007E1392">
      <w:pPr>
        <w:keepNext/>
        <w:spacing w:before="0"/>
        <w:rPr>
          <w:lang w:eastAsia="cs-CZ"/>
        </w:rPr>
      </w:pPr>
    </w:p>
    <w:p w14:paraId="621BFF64" w14:textId="60E9D726" w:rsidR="002C2AB9" w:rsidRDefault="002C2AB9" w:rsidP="00CE5A9E">
      <w:pPr>
        <w:spacing w:before="0"/>
        <w:rPr>
          <w:lang w:eastAsia="cs-CZ"/>
        </w:rPr>
      </w:pPr>
      <w:r w:rsidRPr="00CE5A9E">
        <w:rPr>
          <w:lang w:eastAsia="cs-CZ"/>
        </w:rPr>
        <w:t xml:space="preserve">Předmětem dotačního podtitulu </w:t>
      </w:r>
      <w:r w:rsidRPr="0071578F">
        <w:rPr>
          <w:lang w:eastAsia="cs-CZ"/>
        </w:rPr>
        <w:t>19.A.b.1</w:t>
      </w:r>
      <w:r w:rsidRPr="00CE5A9E">
        <w:rPr>
          <w:i/>
          <w:lang w:eastAsia="cs-CZ"/>
        </w:rPr>
        <w:t xml:space="preserve"> Podpora kontrolních opatření a poradenství spojených s režimem jakosti Q CZ</w:t>
      </w:r>
      <w:r w:rsidRPr="00CE5A9E">
        <w:rPr>
          <w:lang w:eastAsia="cs-CZ"/>
        </w:rPr>
        <w:t xml:space="preserve"> je podpora subjektů</w:t>
      </w:r>
      <w:r w:rsidR="00827C8E" w:rsidRPr="00CE5A9E">
        <w:rPr>
          <w:lang w:eastAsia="cs-CZ"/>
        </w:rPr>
        <w:t>m</w:t>
      </w:r>
      <w:r w:rsidRPr="00CE5A9E">
        <w:rPr>
          <w:lang w:eastAsia="cs-CZ"/>
        </w:rPr>
        <w:t xml:space="preserve"> zodp</w:t>
      </w:r>
      <w:r w:rsidR="00242448" w:rsidRPr="00CE5A9E">
        <w:rPr>
          <w:lang w:eastAsia="cs-CZ"/>
        </w:rPr>
        <w:t>ovědným za kontrolní opatření a </w:t>
      </w:r>
      <w:r w:rsidRPr="00CE5A9E">
        <w:rPr>
          <w:lang w:eastAsia="cs-CZ"/>
        </w:rPr>
        <w:t>poradenství</w:t>
      </w:r>
      <w:r w:rsidR="00827C8E" w:rsidRPr="00CE5A9E">
        <w:rPr>
          <w:lang w:eastAsia="cs-CZ"/>
        </w:rPr>
        <w:t>,</w:t>
      </w:r>
      <w:r w:rsidRPr="00CE5A9E">
        <w:rPr>
          <w:lang w:eastAsia="cs-CZ"/>
        </w:rPr>
        <w:t xml:space="preserve"> na částečnou úhradu nákladů na závazná kontrolní opatření a poradenství ve vztahu k producentovi mléka, který je zapojen do režimu jakosti Q CZ. Dále jsou do uznatelných nákladů zařazeny i provozní</w:t>
      </w:r>
      <w:r w:rsidR="00352047" w:rsidRPr="00CE5A9E">
        <w:rPr>
          <w:lang w:eastAsia="cs-CZ"/>
        </w:rPr>
        <w:t xml:space="preserve"> (nepřímé)</w:t>
      </w:r>
      <w:r w:rsidRPr="00CE5A9E">
        <w:rPr>
          <w:lang w:eastAsia="cs-CZ"/>
        </w:rPr>
        <w:t xml:space="preserve"> náklady. </w:t>
      </w:r>
    </w:p>
    <w:p w14:paraId="67219530" w14:textId="77777777" w:rsidR="007B2063" w:rsidRPr="00CE5A9E" w:rsidRDefault="007B2063" w:rsidP="00CE5A9E">
      <w:pPr>
        <w:spacing w:before="0"/>
        <w:rPr>
          <w:lang w:eastAsia="cs-CZ"/>
        </w:rPr>
      </w:pPr>
    </w:p>
    <w:p w14:paraId="0E6547EE" w14:textId="77777777" w:rsidR="002C2AB9" w:rsidRDefault="002C2AB9" w:rsidP="00CE5A9E">
      <w:pPr>
        <w:spacing w:before="0"/>
        <w:rPr>
          <w:lang w:eastAsia="cs-CZ"/>
        </w:rPr>
      </w:pPr>
      <w:r w:rsidRPr="00CE5A9E">
        <w:rPr>
          <w:lang w:eastAsia="cs-CZ"/>
        </w:rPr>
        <w:t>NKÚ provedl analýzu faktur, které předložili příjemci jako součást žádosti o dotaci. Náklady, které příjemci vykazovali, byly rozděleny na náklady souvi</w:t>
      </w:r>
      <w:r w:rsidR="00242448" w:rsidRPr="00CE5A9E">
        <w:rPr>
          <w:lang w:eastAsia="cs-CZ"/>
        </w:rPr>
        <w:t>sející s režimem jakosti Q CZ a </w:t>
      </w:r>
      <w:r w:rsidR="00352047" w:rsidRPr="00CE5A9E">
        <w:rPr>
          <w:lang w:eastAsia="cs-CZ"/>
        </w:rPr>
        <w:t xml:space="preserve">provozní </w:t>
      </w:r>
      <w:r w:rsidRPr="00CE5A9E">
        <w:rPr>
          <w:lang w:eastAsia="cs-CZ"/>
        </w:rPr>
        <w:t>náklady</w:t>
      </w:r>
      <w:r w:rsidRPr="00CE5A9E">
        <w:rPr>
          <w:rStyle w:val="Znakapoznpodarou"/>
          <w:lang w:eastAsia="cs-CZ"/>
        </w:rPr>
        <w:footnoteReference w:id="8"/>
      </w:r>
      <w:r w:rsidRPr="00CE5A9E">
        <w:rPr>
          <w:lang w:eastAsia="cs-CZ"/>
        </w:rPr>
        <w:t xml:space="preserve">. </w:t>
      </w:r>
    </w:p>
    <w:p w14:paraId="5E8521BE" w14:textId="77777777" w:rsidR="007B2063" w:rsidRPr="00CE5A9E" w:rsidRDefault="007B2063" w:rsidP="00CE5A9E">
      <w:pPr>
        <w:spacing w:before="0"/>
        <w:rPr>
          <w:lang w:eastAsia="cs-CZ"/>
        </w:rPr>
      </w:pPr>
    </w:p>
    <w:p w14:paraId="346C5D47" w14:textId="77777777" w:rsidR="002C2AB9" w:rsidRDefault="002C2AB9" w:rsidP="00CE5A9E">
      <w:pPr>
        <w:spacing w:before="0"/>
        <w:rPr>
          <w:lang w:eastAsia="cs-CZ"/>
        </w:rPr>
      </w:pPr>
      <w:r w:rsidRPr="00CE5A9E">
        <w:rPr>
          <w:lang w:eastAsia="cs-CZ"/>
        </w:rPr>
        <w:t>Z analýzy vyplynulo, že v roce 2016 tvořily náklady souvi</w:t>
      </w:r>
      <w:r w:rsidR="00242448" w:rsidRPr="00CE5A9E">
        <w:rPr>
          <w:lang w:eastAsia="cs-CZ"/>
        </w:rPr>
        <w:t>sející s režimem jakosti Q CZ u </w:t>
      </w:r>
      <w:r w:rsidRPr="00CE5A9E">
        <w:rPr>
          <w:lang w:eastAsia="cs-CZ"/>
        </w:rPr>
        <w:t xml:space="preserve">kontrolovaných žádostí o dotaci pouze </w:t>
      </w:r>
      <w:r w:rsidRPr="00CE5A9E">
        <w:rPr>
          <w:b/>
          <w:lang w:eastAsia="cs-CZ"/>
        </w:rPr>
        <w:t>10,1</w:t>
      </w:r>
      <w:r w:rsidR="00ED1175" w:rsidRPr="00CE5A9E">
        <w:rPr>
          <w:b/>
          <w:lang w:eastAsia="cs-CZ"/>
        </w:rPr>
        <w:t>5</w:t>
      </w:r>
      <w:r w:rsidRPr="00CE5A9E">
        <w:rPr>
          <w:b/>
          <w:lang w:eastAsia="cs-CZ"/>
        </w:rPr>
        <w:t xml:space="preserve"> %</w:t>
      </w:r>
      <w:r w:rsidRPr="00CE5A9E">
        <w:rPr>
          <w:lang w:eastAsia="cs-CZ"/>
        </w:rPr>
        <w:t xml:space="preserve"> z celkových nákladů. V roce 2017 tvořily tyto náklady pouze </w:t>
      </w:r>
      <w:r w:rsidR="00ED1175" w:rsidRPr="00CE5A9E">
        <w:rPr>
          <w:b/>
          <w:lang w:eastAsia="cs-CZ"/>
        </w:rPr>
        <w:t>5</w:t>
      </w:r>
      <w:r w:rsidRPr="00CE5A9E">
        <w:rPr>
          <w:b/>
          <w:lang w:eastAsia="cs-CZ"/>
        </w:rPr>
        <w:t>,</w:t>
      </w:r>
      <w:r w:rsidR="00ED1175" w:rsidRPr="00CE5A9E">
        <w:rPr>
          <w:b/>
          <w:lang w:eastAsia="cs-CZ"/>
        </w:rPr>
        <w:t>68</w:t>
      </w:r>
      <w:r w:rsidRPr="00CE5A9E">
        <w:rPr>
          <w:b/>
          <w:lang w:eastAsia="cs-CZ"/>
        </w:rPr>
        <w:t xml:space="preserve"> %</w:t>
      </w:r>
      <w:r w:rsidRPr="00CE5A9E">
        <w:rPr>
          <w:lang w:eastAsia="cs-CZ"/>
        </w:rPr>
        <w:t xml:space="preserve"> z celkových nákladů. </w:t>
      </w:r>
    </w:p>
    <w:p w14:paraId="3C432BCF" w14:textId="77777777" w:rsidR="00CE5A9E" w:rsidRPr="00CE5A9E" w:rsidRDefault="00CE5A9E" w:rsidP="00CE5A9E">
      <w:pPr>
        <w:spacing w:before="0"/>
        <w:rPr>
          <w:lang w:eastAsia="cs-CZ"/>
        </w:rPr>
      </w:pPr>
    </w:p>
    <w:p w14:paraId="77F474D2" w14:textId="0E0700F6" w:rsidR="002C2AB9" w:rsidRPr="00816090" w:rsidRDefault="002C2AB9" w:rsidP="007E1392">
      <w:pPr>
        <w:spacing w:before="0" w:after="40"/>
        <w:ind w:left="1304" w:hanging="1304"/>
        <w:rPr>
          <w:b/>
        </w:rPr>
      </w:pPr>
      <w:r w:rsidRPr="00CE5A9E">
        <w:rPr>
          <w:b/>
        </w:rPr>
        <w:t xml:space="preserve">Tabulka č. </w:t>
      </w:r>
      <w:r w:rsidR="00B32003" w:rsidRPr="00CE5A9E">
        <w:rPr>
          <w:b/>
        </w:rPr>
        <w:t>2</w:t>
      </w:r>
      <w:r w:rsidRPr="00CE5A9E">
        <w:rPr>
          <w:b/>
        </w:rPr>
        <w:t>:</w:t>
      </w:r>
      <w:r w:rsidR="00CE5A9E">
        <w:tab/>
      </w:r>
      <w:r w:rsidRPr="00816090">
        <w:rPr>
          <w:b/>
        </w:rPr>
        <w:t xml:space="preserve">Rozdělení nákladů hrazených z dotačního titulu 19.A.b.1 v rámci kontrolního vzorku </w:t>
      </w:r>
    </w:p>
    <w:tbl>
      <w:tblPr>
        <w:tblStyle w:val="Mkatabulky"/>
        <w:tblW w:w="9014" w:type="dxa"/>
        <w:jc w:val="center"/>
        <w:tblLook w:val="04A0" w:firstRow="1" w:lastRow="0" w:firstColumn="1" w:lastColumn="0" w:noHBand="0" w:noVBand="1"/>
      </w:tblPr>
      <w:tblGrid>
        <w:gridCol w:w="850"/>
        <w:gridCol w:w="2778"/>
        <w:gridCol w:w="1984"/>
        <w:gridCol w:w="3402"/>
      </w:tblGrid>
      <w:tr w:rsidR="00D623C2" w14:paraId="54809103" w14:textId="77777777" w:rsidTr="00D623C2">
        <w:trPr>
          <w:trHeight w:val="227"/>
          <w:jc w:val="center"/>
        </w:trPr>
        <w:tc>
          <w:tcPr>
            <w:tcW w:w="850" w:type="dxa"/>
            <w:shd w:val="clear" w:color="auto" w:fill="DDF1FF"/>
            <w:vAlign w:val="center"/>
          </w:tcPr>
          <w:p w14:paraId="78328735" w14:textId="77777777" w:rsidR="002C2AB9" w:rsidRPr="00D623C2" w:rsidRDefault="002C2AB9" w:rsidP="002C2AB9">
            <w:pPr>
              <w:spacing w:before="0"/>
              <w:ind w:left="142" w:hanging="142"/>
              <w:jc w:val="center"/>
              <w:rPr>
                <w:rFonts w:asciiTheme="minorHAnsi" w:hAnsiTheme="minorHAnsi"/>
                <w:b/>
                <w:sz w:val="20"/>
                <w:szCs w:val="20"/>
              </w:rPr>
            </w:pPr>
            <w:r w:rsidRPr="00D623C2">
              <w:rPr>
                <w:rFonts w:asciiTheme="minorHAnsi" w:hAnsiTheme="minorHAnsi"/>
                <w:b/>
                <w:sz w:val="20"/>
                <w:szCs w:val="20"/>
              </w:rPr>
              <w:t>Rok</w:t>
            </w:r>
          </w:p>
        </w:tc>
        <w:tc>
          <w:tcPr>
            <w:tcW w:w="2778" w:type="dxa"/>
            <w:shd w:val="clear" w:color="auto" w:fill="DDF1FF"/>
            <w:vAlign w:val="center"/>
          </w:tcPr>
          <w:p w14:paraId="457A0440" w14:textId="77777777" w:rsidR="002C2AB9" w:rsidRPr="00D623C2" w:rsidRDefault="002C2AB9" w:rsidP="002C2AB9">
            <w:pPr>
              <w:spacing w:before="0"/>
              <w:jc w:val="center"/>
              <w:rPr>
                <w:rFonts w:asciiTheme="minorHAnsi" w:hAnsiTheme="minorHAnsi"/>
                <w:b/>
                <w:sz w:val="20"/>
                <w:szCs w:val="20"/>
              </w:rPr>
            </w:pPr>
            <w:r w:rsidRPr="00D623C2">
              <w:rPr>
                <w:rFonts w:asciiTheme="minorHAnsi" w:hAnsiTheme="minorHAnsi"/>
                <w:b/>
                <w:sz w:val="20"/>
                <w:szCs w:val="20"/>
              </w:rPr>
              <w:t>Náklady související s režimem jakosti Q CZ v Kč</w:t>
            </w:r>
          </w:p>
        </w:tc>
        <w:tc>
          <w:tcPr>
            <w:tcW w:w="1984" w:type="dxa"/>
            <w:shd w:val="clear" w:color="auto" w:fill="DDF1FF"/>
            <w:vAlign w:val="center"/>
          </w:tcPr>
          <w:p w14:paraId="7501D8CC" w14:textId="77777777" w:rsidR="002C2AB9" w:rsidRPr="00D623C2" w:rsidRDefault="00352047" w:rsidP="00D623C2">
            <w:pPr>
              <w:spacing w:before="0"/>
              <w:jc w:val="center"/>
              <w:rPr>
                <w:rFonts w:asciiTheme="minorHAnsi" w:hAnsiTheme="minorHAnsi"/>
                <w:b/>
                <w:sz w:val="20"/>
                <w:szCs w:val="20"/>
              </w:rPr>
            </w:pPr>
            <w:r w:rsidRPr="00D623C2">
              <w:rPr>
                <w:rFonts w:asciiTheme="minorHAnsi" w:hAnsiTheme="minorHAnsi"/>
                <w:b/>
                <w:sz w:val="20"/>
                <w:szCs w:val="20"/>
              </w:rPr>
              <w:t>Provozní</w:t>
            </w:r>
            <w:r w:rsidR="002C2AB9" w:rsidRPr="00D623C2">
              <w:rPr>
                <w:rFonts w:asciiTheme="minorHAnsi" w:hAnsiTheme="minorHAnsi"/>
                <w:b/>
                <w:sz w:val="20"/>
                <w:szCs w:val="20"/>
              </w:rPr>
              <w:t xml:space="preserve"> náklady v</w:t>
            </w:r>
            <w:r w:rsidR="00D623C2">
              <w:rPr>
                <w:rFonts w:asciiTheme="minorHAnsi" w:hAnsiTheme="minorHAnsi"/>
                <w:b/>
                <w:sz w:val="20"/>
                <w:szCs w:val="20"/>
              </w:rPr>
              <w:t> </w:t>
            </w:r>
            <w:r w:rsidR="002C2AB9" w:rsidRPr="00D623C2">
              <w:rPr>
                <w:rFonts w:asciiTheme="minorHAnsi" w:hAnsiTheme="minorHAnsi"/>
                <w:b/>
                <w:sz w:val="20"/>
                <w:szCs w:val="20"/>
              </w:rPr>
              <w:t>Kč</w:t>
            </w:r>
          </w:p>
        </w:tc>
        <w:tc>
          <w:tcPr>
            <w:tcW w:w="3402" w:type="dxa"/>
            <w:shd w:val="clear" w:color="auto" w:fill="DDF1FF"/>
            <w:vAlign w:val="center"/>
          </w:tcPr>
          <w:p w14:paraId="62E70A3C" w14:textId="77777777" w:rsidR="002C2AB9" w:rsidRPr="00D623C2" w:rsidRDefault="002C2AB9" w:rsidP="00ED1175">
            <w:pPr>
              <w:spacing w:before="0"/>
              <w:jc w:val="center"/>
              <w:rPr>
                <w:b/>
                <w:sz w:val="20"/>
                <w:szCs w:val="20"/>
              </w:rPr>
            </w:pPr>
            <w:r w:rsidRPr="00D623C2">
              <w:rPr>
                <w:rFonts w:asciiTheme="minorHAnsi" w:hAnsiTheme="minorHAnsi"/>
                <w:b/>
                <w:sz w:val="20"/>
                <w:szCs w:val="20"/>
              </w:rPr>
              <w:t xml:space="preserve">Podíl nákladů souvisejících s režimem jakosti na </w:t>
            </w:r>
            <w:r w:rsidR="00ED1175" w:rsidRPr="00D623C2">
              <w:rPr>
                <w:rFonts w:asciiTheme="minorHAnsi" w:hAnsiTheme="minorHAnsi"/>
                <w:b/>
                <w:sz w:val="20"/>
                <w:szCs w:val="20"/>
              </w:rPr>
              <w:t>celkových</w:t>
            </w:r>
            <w:r w:rsidRPr="00D623C2">
              <w:rPr>
                <w:rFonts w:asciiTheme="minorHAnsi" w:hAnsiTheme="minorHAnsi"/>
                <w:b/>
                <w:sz w:val="20"/>
                <w:szCs w:val="20"/>
              </w:rPr>
              <w:t xml:space="preserve"> nákladech</w:t>
            </w:r>
          </w:p>
        </w:tc>
      </w:tr>
      <w:tr w:rsidR="00CE5A9E" w14:paraId="3E0BCFB8" w14:textId="77777777" w:rsidTr="00D623C2">
        <w:trPr>
          <w:trHeight w:val="227"/>
          <w:jc w:val="center"/>
        </w:trPr>
        <w:tc>
          <w:tcPr>
            <w:tcW w:w="850" w:type="dxa"/>
            <w:vAlign w:val="center"/>
          </w:tcPr>
          <w:p w14:paraId="63480B89" w14:textId="77777777" w:rsidR="002C2AB9" w:rsidRPr="004917E1" w:rsidRDefault="002C2AB9" w:rsidP="002C2AB9">
            <w:pPr>
              <w:spacing w:before="0"/>
              <w:jc w:val="center"/>
              <w:rPr>
                <w:rFonts w:asciiTheme="minorHAnsi" w:hAnsiTheme="minorHAnsi"/>
                <w:sz w:val="20"/>
                <w:szCs w:val="20"/>
              </w:rPr>
            </w:pPr>
            <w:r w:rsidRPr="004917E1">
              <w:rPr>
                <w:rFonts w:asciiTheme="minorHAnsi" w:hAnsiTheme="minorHAnsi"/>
                <w:sz w:val="20"/>
                <w:szCs w:val="20"/>
              </w:rPr>
              <w:t>2016</w:t>
            </w:r>
          </w:p>
        </w:tc>
        <w:tc>
          <w:tcPr>
            <w:tcW w:w="2778" w:type="dxa"/>
            <w:vAlign w:val="center"/>
          </w:tcPr>
          <w:p w14:paraId="5DEF72BD" w14:textId="77777777" w:rsidR="002C2AB9" w:rsidRPr="004917E1" w:rsidRDefault="002C2AB9" w:rsidP="00D623C2">
            <w:pPr>
              <w:spacing w:before="0"/>
              <w:ind w:right="123"/>
              <w:jc w:val="right"/>
              <w:rPr>
                <w:rFonts w:asciiTheme="minorHAnsi" w:hAnsiTheme="minorHAnsi"/>
                <w:sz w:val="20"/>
                <w:szCs w:val="20"/>
              </w:rPr>
            </w:pPr>
            <w:r w:rsidRPr="004917E1">
              <w:rPr>
                <w:rFonts w:asciiTheme="minorHAnsi" w:hAnsiTheme="minorHAnsi"/>
                <w:sz w:val="20"/>
                <w:szCs w:val="20"/>
              </w:rPr>
              <w:t>7 158 528,00</w:t>
            </w:r>
          </w:p>
        </w:tc>
        <w:tc>
          <w:tcPr>
            <w:tcW w:w="1984" w:type="dxa"/>
            <w:vAlign w:val="center"/>
          </w:tcPr>
          <w:p w14:paraId="4611B30C" w14:textId="77777777" w:rsidR="002C2AB9" w:rsidRPr="004917E1" w:rsidRDefault="002C2AB9" w:rsidP="00D623C2">
            <w:pPr>
              <w:spacing w:before="0"/>
              <w:ind w:right="119"/>
              <w:jc w:val="right"/>
              <w:rPr>
                <w:rFonts w:asciiTheme="minorHAnsi" w:hAnsiTheme="minorHAnsi"/>
                <w:sz w:val="20"/>
                <w:szCs w:val="20"/>
              </w:rPr>
            </w:pPr>
            <w:r>
              <w:rPr>
                <w:rFonts w:asciiTheme="minorHAnsi" w:hAnsiTheme="minorHAnsi"/>
                <w:sz w:val="20"/>
                <w:szCs w:val="20"/>
              </w:rPr>
              <w:t>63 340 586,93</w:t>
            </w:r>
          </w:p>
        </w:tc>
        <w:tc>
          <w:tcPr>
            <w:tcW w:w="3402" w:type="dxa"/>
            <w:vAlign w:val="center"/>
          </w:tcPr>
          <w:p w14:paraId="300EACE6" w14:textId="77777777" w:rsidR="002C2AB9" w:rsidRPr="004917E1" w:rsidRDefault="002C2AB9" w:rsidP="00D623C2">
            <w:pPr>
              <w:spacing w:before="0"/>
              <w:ind w:right="1121"/>
              <w:jc w:val="right"/>
              <w:rPr>
                <w:rFonts w:asciiTheme="minorHAnsi" w:hAnsiTheme="minorHAnsi"/>
                <w:sz w:val="20"/>
                <w:szCs w:val="20"/>
              </w:rPr>
            </w:pPr>
            <w:r>
              <w:rPr>
                <w:rFonts w:asciiTheme="minorHAnsi" w:hAnsiTheme="minorHAnsi"/>
                <w:sz w:val="20"/>
                <w:szCs w:val="20"/>
              </w:rPr>
              <w:t>10,1</w:t>
            </w:r>
            <w:r w:rsidR="00ED1175">
              <w:rPr>
                <w:rFonts w:asciiTheme="minorHAnsi" w:hAnsiTheme="minorHAnsi"/>
                <w:sz w:val="20"/>
                <w:szCs w:val="20"/>
              </w:rPr>
              <w:t>5</w:t>
            </w:r>
            <w:r w:rsidRPr="004917E1">
              <w:rPr>
                <w:rFonts w:asciiTheme="minorHAnsi" w:hAnsiTheme="minorHAnsi"/>
                <w:sz w:val="20"/>
                <w:szCs w:val="20"/>
              </w:rPr>
              <w:t xml:space="preserve"> %</w:t>
            </w:r>
          </w:p>
        </w:tc>
      </w:tr>
      <w:tr w:rsidR="00CE5A9E" w14:paraId="7D27619B" w14:textId="77777777" w:rsidTr="00D623C2">
        <w:trPr>
          <w:trHeight w:val="227"/>
          <w:jc w:val="center"/>
        </w:trPr>
        <w:tc>
          <w:tcPr>
            <w:tcW w:w="850" w:type="dxa"/>
            <w:vAlign w:val="center"/>
          </w:tcPr>
          <w:p w14:paraId="662C895A" w14:textId="77777777" w:rsidR="002C2AB9" w:rsidRPr="004917E1" w:rsidRDefault="002C2AB9" w:rsidP="002C2AB9">
            <w:pPr>
              <w:spacing w:before="0"/>
              <w:jc w:val="center"/>
              <w:rPr>
                <w:rFonts w:asciiTheme="minorHAnsi" w:hAnsiTheme="minorHAnsi"/>
                <w:sz w:val="20"/>
                <w:szCs w:val="20"/>
              </w:rPr>
            </w:pPr>
            <w:r w:rsidRPr="004917E1">
              <w:rPr>
                <w:rFonts w:asciiTheme="minorHAnsi" w:hAnsiTheme="minorHAnsi"/>
                <w:sz w:val="20"/>
                <w:szCs w:val="20"/>
              </w:rPr>
              <w:t>2017</w:t>
            </w:r>
          </w:p>
        </w:tc>
        <w:tc>
          <w:tcPr>
            <w:tcW w:w="2778" w:type="dxa"/>
            <w:vAlign w:val="center"/>
          </w:tcPr>
          <w:p w14:paraId="559E34C9" w14:textId="77777777" w:rsidR="002C2AB9" w:rsidRPr="004917E1" w:rsidRDefault="002C2AB9" w:rsidP="00D623C2">
            <w:pPr>
              <w:spacing w:before="0"/>
              <w:ind w:right="123"/>
              <w:jc w:val="right"/>
              <w:rPr>
                <w:rFonts w:asciiTheme="minorHAnsi" w:hAnsiTheme="minorHAnsi"/>
                <w:sz w:val="20"/>
                <w:szCs w:val="20"/>
              </w:rPr>
            </w:pPr>
            <w:r w:rsidRPr="004917E1">
              <w:rPr>
                <w:rFonts w:asciiTheme="minorHAnsi" w:hAnsiTheme="minorHAnsi"/>
                <w:sz w:val="20"/>
                <w:szCs w:val="20"/>
              </w:rPr>
              <w:t>8 411 533,44</w:t>
            </w:r>
          </w:p>
        </w:tc>
        <w:tc>
          <w:tcPr>
            <w:tcW w:w="1984" w:type="dxa"/>
            <w:vAlign w:val="center"/>
          </w:tcPr>
          <w:p w14:paraId="315BDCDC" w14:textId="77777777" w:rsidR="002C2AB9" w:rsidRPr="004917E1" w:rsidRDefault="002C2AB9" w:rsidP="00D623C2">
            <w:pPr>
              <w:spacing w:before="0"/>
              <w:ind w:right="119"/>
              <w:jc w:val="right"/>
              <w:rPr>
                <w:rFonts w:asciiTheme="minorHAnsi" w:hAnsiTheme="minorHAnsi"/>
                <w:sz w:val="20"/>
                <w:szCs w:val="20"/>
              </w:rPr>
            </w:pPr>
            <w:r w:rsidRPr="004917E1">
              <w:rPr>
                <w:rFonts w:asciiTheme="minorHAnsi" w:hAnsiTheme="minorHAnsi"/>
                <w:sz w:val="20"/>
                <w:szCs w:val="20"/>
              </w:rPr>
              <w:t>139 583 521,31</w:t>
            </w:r>
          </w:p>
        </w:tc>
        <w:tc>
          <w:tcPr>
            <w:tcW w:w="3402" w:type="dxa"/>
            <w:vAlign w:val="center"/>
          </w:tcPr>
          <w:p w14:paraId="2C34B598" w14:textId="2851EA88" w:rsidR="002C2AB9" w:rsidRPr="004917E1" w:rsidRDefault="00ED1175" w:rsidP="00D623C2">
            <w:pPr>
              <w:spacing w:before="0"/>
              <w:ind w:right="1121"/>
              <w:jc w:val="right"/>
              <w:rPr>
                <w:rFonts w:asciiTheme="minorHAnsi" w:hAnsiTheme="minorHAnsi"/>
                <w:sz w:val="20"/>
                <w:szCs w:val="20"/>
              </w:rPr>
            </w:pPr>
            <w:r>
              <w:rPr>
                <w:rFonts w:asciiTheme="minorHAnsi" w:hAnsiTheme="minorHAnsi"/>
                <w:sz w:val="20"/>
                <w:szCs w:val="20"/>
              </w:rPr>
              <w:t>5</w:t>
            </w:r>
            <w:r w:rsidR="002C2AB9" w:rsidRPr="004917E1">
              <w:rPr>
                <w:rFonts w:asciiTheme="minorHAnsi" w:hAnsiTheme="minorHAnsi"/>
                <w:sz w:val="20"/>
                <w:szCs w:val="20"/>
              </w:rPr>
              <w:t>,</w:t>
            </w:r>
            <w:r>
              <w:rPr>
                <w:rFonts w:asciiTheme="minorHAnsi" w:hAnsiTheme="minorHAnsi"/>
                <w:sz w:val="20"/>
                <w:szCs w:val="20"/>
              </w:rPr>
              <w:t>68</w:t>
            </w:r>
            <w:r w:rsidR="006D49CD">
              <w:rPr>
                <w:rFonts w:asciiTheme="minorHAnsi" w:hAnsiTheme="minorHAnsi"/>
                <w:sz w:val="20"/>
                <w:szCs w:val="20"/>
              </w:rPr>
              <w:t> </w:t>
            </w:r>
            <w:r w:rsidR="002C2AB9" w:rsidRPr="004917E1">
              <w:rPr>
                <w:rFonts w:asciiTheme="minorHAnsi" w:hAnsiTheme="minorHAnsi"/>
                <w:sz w:val="20"/>
                <w:szCs w:val="20"/>
              </w:rPr>
              <w:t>%</w:t>
            </w:r>
          </w:p>
        </w:tc>
      </w:tr>
    </w:tbl>
    <w:p w14:paraId="6AD86BE5" w14:textId="77777777" w:rsidR="002C2AB9" w:rsidRPr="00D623C2" w:rsidRDefault="002C2AB9" w:rsidP="00D623C2">
      <w:pPr>
        <w:spacing w:before="0"/>
        <w:rPr>
          <w:lang w:eastAsia="cs-CZ"/>
        </w:rPr>
      </w:pPr>
    </w:p>
    <w:p w14:paraId="0BB02250" w14:textId="3DBC8B00" w:rsidR="002C2AB9" w:rsidRPr="00D623C2" w:rsidRDefault="002C2AB9" w:rsidP="00D623C2">
      <w:pPr>
        <w:pStyle w:val="Textkomente"/>
        <w:spacing w:before="0"/>
        <w:rPr>
          <w:b/>
          <w:sz w:val="24"/>
          <w:szCs w:val="24"/>
          <w:lang w:eastAsia="cs-CZ"/>
        </w:rPr>
      </w:pPr>
      <w:r w:rsidRPr="00D623C2">
        <w:rPr>
          <w:b/>
          <w:sz w:val="24"/>
          <w:szCs w:val="24"/>
          <w:lang w:eastAsia="cs-CZ"/>
        </w:rPr>
        <w:t xml:space="preserve">Příjemci čerpali v rámci dotačního podtitulu 19.A.b.1 dotace především na provozní </w:t>
      </w:r>
      <w:r w:rsidR="00802603" w:rsidRPr="00D623C2">
        <w:rPr>
          <w:b/>
          <w:sz w:val="24"/>
          <w:szCs w:val="24"/>
          <w:lang w:eastAsia="cs-CZ"/>
        </w:rPr>
        <w:t>náklady, což je v rozporu s Pokyny Evropské unie, podle kterých podpora nesmí subvencovat náklady na činnost, které by podniku vznikly v každém případě</w:t>
      </w:r>
      <w:r w:rsidR="00E862CF">
        <w:rPr>
          <w:b/>
          <w:sz w:val="24"/>
          <w:szCs w:val="24"/>
          <w:lang w:eastAsia="cs-CZ"/>
        </w:rPr>
        <w:t>,</w:t>
      </w:r>
      <w:r w:rsidR="00802603" w:rsidRPr="00D623C2">
        <w:rPr>
          <w:b/>
          <w:sz w:val="24"/>
          <w:szCs w:val="24"/>
          <w:lang w:eastAsia="cs-CZ"/>
        </w:rPr>
        <w:t xml:space="preserve"> a nesmí vyrovnávat běžná podnikatelská rizika hospodářské činnosti.</w:t>
      </w:r>
      <w:r w:rsidRPr="00D623C2">
        <w:rPr>
          <w:b/>
          <w:sz w:val="24"/>
          <w:szCs w:val="24"/>
          <w:lang w:eastAsia="cs-CZ"/>
        </w:rPr>
        <w:t xml:space="preserve"> Náklady související se závaznými kontrolními opatřeními a poradenstvím ve vztahu k producentovi mléka byly zanedbatelné, z celkových nákladů činily zhruba 6 až 10 %. Dotace vyplacené v rámci tohoto podtitulu tak nesměřovaly k naplnění účelu dotace. </w:t>
      </w:r>
    </w:p>
    <w:p w14:paraId="7F20FCBF" w14:textId="77777777" w:rsidR="007B2063" w:rsidRDefault="007B2063" w:rsidP="00D623C2">
      <w:pPr>
        <w:pStyle w:val="Textkomente"/>
        <w:spacing w:before="0"/>
        <w:rPr>
          <w:sz w:val="24"/>
          <w:szCs w:val="24"/>
          <w:lang w:eastAsia="cs-CZ"/>
        </w:rPr>
      </w:pPr>
    </w:p>
    <w:p w14:paraId="2F8D399A" w14:textId="77777777" w:rsidR="007B2063" w:rsidRDefault="002C2AB9" w:rsidP="007B2063">
      <w:pPr>
        <w:pStyle w:val="Textkomente"/>
        <w:spacing w:before="0"/>
        <w:rPr>
          <w:sz w:val="24"/>
          <w:szCs w:val="24"/>
          <w:lang w:eastAsia="cs-CZ"/>
        </w:rPr>
      </w:pPr>
      <w:r w:rsidRPr="00D623C2">
        <w:rPr>
          <w:sz w:val="24"/>
          <w:szCs w:val="24"/>
          <w:lang w:eastAsia="cs-CZ"/>
        </w:rPr>
        <w:t>NKÚ dále provedl analýzu vývoje zisku a tržeb 19 příjemců z dotačního</w:t>
      </w:r>
      <w:r w:rsidR="00A5796C" w:rsidRPr="00D623C2">
        <w:rPr>
          <w:sz w:val="24"/>
          <w:szCs w:val="24"/>
          <w:lang w:eastAsia="cs-CZ"/>
        </w:rPr>
        <w:t xml:space="preserve"> podtitul 19.A.b.1 za roky 2014–</w:t>
      </w:r>
      <w:r w:rsidRPr="00D623C2">
        <w:rPr>
          <w:sz w:val="24"/>
          <w:szCs w:val="24"/>
          <w:lang w:eastAsia="cs-CZ"/>
        </w:rPr>
        <w:t>2017. Z této analýzy vyplynulo, že všichni příjemci jsou podniky se zisky v řádech desítek či stovek miliónů korun</w:t>
      </w:r>
      <w:r w:rsidR="00ED1175" w:rsidRPr="00D623C2">
        <w:rPr>
          <w:sz w:val="24"/>
          <w:szCs w:val="24"/>
          <w:lang w:eastAsia="cs-CZ"/>
        </w:rPr>
        <w:t xml:space="preserve"> ročně</w:t>
      </w:r>
      <w:r w:rsidR="003A3970" w:rsidRPr="00D623C2">
        <w:rPr>
          <w:sz w:val="24"/>
          <w:szCs w:val="24"/>
          <w:lang w:eastAsia="cs-CZ"/>
        </w:rPr>
        <w:t>. Přesto tito příjemci obdrželi dotaci na provozní výdaje</w:t>
      </w:r>
      <w:r w:rsidR="000D0150" w:rsidRPr="00D623C2">
        <w:rPr>
          <w:sz w:val="24"/>
          <w:szCs w:val="24"/>
          <w:lang w:eastAsia="cs-CZ"/>
        </w:rPr>
        <w:t>.</w:t>
      </w:r>
    </w:p>
    <w:p w14:paraId="57E7997E" w14:textId="52EFD041" w:rsidR="007B2063" w:rsidRDefault="007B2063" w:rsidP="007B2063">
      <w:pPr>
        <w:pStyle w:val="Textkomente"/>
        <w:spacing w:before="0"/>
        <w:rPr>
          <w:sz w:val="24"/>
        </w:rPr>
      </w:pPr>
    </w:p>
    <w:p w14:paraId="551522F5" w14:textId="77777777" w:rsidR="008F21C1" w:rsidRPr="007B2063" w:rsidRDefault="008F21C1" w:rsidP="007B2063">
      <w:pPr>
        <w:pStyle w:val="Textkomente"/>
        <w:spacing w:before="0"/>
        <w:rPr>
          <w:sz w:val="24"/>
        </w:rPr>
      </w:pPr>
    </w:p>
    <w:p w14:paraId="6AF85ABA" w14:textId="77777777" w:rsidR="00215DF2" w:rsidRPr="00816090" w:rsidRDefault="00816090" w:rsidP="007876B7">
      <w:pPr>
        <w:pStyle w:val="Nadpis4"/>
        <w:numPr>
          <w:ilvl w:val="0"/>
          <w:numId w:val="0"/>
        </w:numPr>
        <w:spacing w:before="0" w:after="0"/>
        <w:contextualSpacing w:val="0"/>
        <w:rPr>
          <w:b/>
        </w:rPr>
      </w:pPr>
      <w:r>
        <w:rPr>
          <w:b/>
        </w:rPr>
        <w:t xml:space="preserve">2.1.3 </w:t>
      </w:r>
      <w:r w:rsidR="003A3970" w:rsidRPr="00816090">
        <w:rPr>
          <w:b/>
        </w:rPr>
        <w:t>Nastaven</w:t>
      </w:r>
      <w:r w:rsidR="00336E11" w:rsidRPr="00816090">
        <w:rPr>
          <w:b/>
        </w:rPr>
        <w:t>é</w:t>
      </w:r>
      <w:r w:rsidR="003A3970" w:rsidRPr="00816090">
        <w:rPr>
          <w:b/>
        </w:rPr>
        <w:t xml:space="preserve"> hodnoty</w:t>
      </w:r>
      <w:r w:rsidR="00215DF2" w:rsidRPr="00816090">
        <w:rPr>
          <w:b/>
        </w:rPr>
        <w:t xml:space="preserve"> parametr</w:t>
      </w:r>
      <w:r w:rsidR="003A3970" w:rsidRPr="00816090">
        <w:rPr>
          <w:b/>
        </w:rPr>
        <w:t>u</w:t>
      </w:r>
      <w:r w:rsidR="00215DF2" w:rsidRPr="00816090">
        <w:rPr>
          <w:b/>
        </w:rPr>
        <w:t xml:space="preserve"> kvality mléka Q CZ</w:t>
      </w:r>
    </w:p>
    <w:p w14:paraId="54BD773F" w14:textId="77777777" w:rsidR="007B2063" w:rsidRDefault="007B2063" w:rsidP="007876B7">
      <w:pPr>
        <w:spacing w:before="0"/>
        <w:rPr>
          <w:lang w:eastAsia="cs-CZ"/>
        </w:rPr>
      </w:pPr>
    </w:p>
    <w:p w14:paraId="03949876" w14:textId="052D4A3B" w:rsidR="00215DF2" w:rsidRPr="00D623C2" w:rsidRDefault="00BE0D6F" w:rsidP="00D623C2">
      <w:pPr>
        <w:spacing w:before="0"/>
        <w:rPr>
          <w:lang w:eastAsia="cs-CZ"/>
        </w:rPr>
      </w:pPr>
      <w:r w:rsidRPr="00D623C2">
        <w:rPr>
          <w:lang w:eastAsia="cs-CZ"/>
        </w:rPr>
        <w:t>Dotace z </w:t>
      </w:r>
      <w:r w:rsidR="00964789" w:rsidRPr="00D623C2">
        <w:rPr>
          <w:lang w:eastAsia="cs-CZ"/>
        </w:rPr>
        <w:t>dotačního programu 19.A směřují</w:t>
      </w:r>
      <w:r w:rsidRPr="00D623C2">
        <w:rPr>
          <w:lang w:eastAsia="cs-CZ"/>
        </w:rPr>
        <w:t xml:space="preserve"> </w:t>
      </w:r>
      <w:r w:rsidR="00DA6CBE" w:rsidRPr="00D623C2">
        <w:rPr>
          <w:lang w:eastAsia="cs-CZ"/>
        </w:rPr>
        <w:t>na podporu těchto</w:t>
      </w:r>
      <w:r w:rsidRPr="00D623C2">
        <w:rPr>
          <w:lang w:eastAsia="cs-CZ"/>
        </w:rPr>
        <w:t xml:space="preserve"> </w:t>
      </w:r>
      <w:r w:rsidR="00964789" w:rsidRPr="00D623C2">
        <w:rPr>
          <w:lang w:eastAsia="cs-CZ"/>
        </w:rPr>
        <w:t xml:space="preserve">dvou </w:t>
      </w:r>
      <w:r w:rsidRPr="00D623C2">
        <w:rPr>
          <w:lang w:eastAsia="cs-CZ"/>
        </w:rPr>
        <w:t>produktů:</w:t>
      </w:r>
    </w:p>
    <w:p w14:paraId="76A9A1E8" w14:textId="35857AFF" w:rsidR="00215DF2" w:rsidRPr="00D623C2" w:rsidRDefault="00C215A1" w:rsidP="00D623C2">
      <w:pPr>
        <w:pStyle w:val="Odstavecseseznamem"/>
        <w:numPr>
          <w:ilvl w:val="0"/>
          <w:numId w:val="21"/>
        </w:numPr>
        <w:spacing w:before="0"/>
        <w:contextualSpacing w:val="0"/>
        <w:rPr>
          <w:lang w:eastAsia="cs-CZ"/>
        </w:rPr>
      </w:pPr>
      <w:r>
        <w:rPr>
          <w:lang w:eastAsia="cs-CZ"/>
        </w:rPr>
        <w:t>s</w:t>
      </w:r>
      <w:r w:rsidR="00215DF2" w:rsidRPr="00D623C2">
        <w:rPr>
          <w:lang w:eastAsia="cs-CZ"/>
        </w:rPr>
        <w:t>yrové kravské mléko v režimu jakosti Q CZ (produkt M1)</w:t>
      </w:r>
      <w:r w:rsidR="00DA6CBE" w:rsidRPr="00D623C2">
        <w:rPr>
          <w:lang w:eastAsia="cs-CZ"/>
        </w:rPr>
        <w:t>,</w:t>
      </w:r>
    </w:p>
    <w:p w14:paraId="64B54694" w14:textId="5CCC6000" w:rsidR="00215DF2" w:rsidRPr="00D623C2" w:rsidRDefault="00C215A1" w:rsidP="00D623C2">
      <w:pPr>
        <w:pStyle w:val="Odstavecseseznamem"/>
        <w:numPr>
          <w:ilvl w:val="0"/>
          <w:numId w:val="21"/>
        </w:numPr>
        <w:spacing w:before="0"/>
        <w:contextualSpacing w:val="0"/>
        <w:rPr>
          <w:lang w:eastAsia="cs-CZ"/>
        </w:rPr>
      </w:pPr>
      <w:r>
        <w:rPr>
          <w:lang w:eastAsia="cs-CZ"/>
        </w:rPr>
        <w:t>m</w:t>
      </w:r>
      <w:r w:rsidR="00215DF2" w:rsidRPr="00D623C2">
        <w:rPr>
          <w:lang w:eastAsia="cs-CZ"/>
        </w:rPr>
        <w:t>lékárenský výrobek v režimu jakosti Q CZ (produkt M2)</w:t>
      </w:r>
      <w:r w:rsidR="00964789" w:rsidRPr="00D623C2">
        <w:rPr>
          <w:lang w:eastAsia="cs-CZ"/>
        </w:rPr>
        <w:t>.</w:t>
      </w:r>
    </w:p>
    <w:p w14:paraId="19617B01" w14:textId="77777777" w:rsidR="007B2063" w:rsidRDefault="007B2063" w:rsidP="00D623C2">
      <w:pPr>
        <w:spacing w:before="0"/>
        <w:rPr>
          <w:lang w:eastAsia="cs-CZ"/>
        </w:rPr>
      </w:pPr>
    </w:p>
    <w:p w14:paraId="4BB883AB" w14:textId="77777777" w:rsidR="00215DF2" w:rsidRDefault="00680FFC" w:rsidP="00D623C2">
      <w:pPr>
        <w:spacing w:before="0"/>
        <w:rPr>
          <w:rFonts w:asciiTheme="minorHAnsi" w:hAnsiTheme="minorHAnsi"/>
        </w:rPr>
      </w:pPr>
      <w:r w:rsidRPr="00D623C2">
        <w:rPr>
          <w:lang w:eastAsia="cs-CZ"/>
        </w:rPr>
        <w:t>Podporovány by měl</w:t>
      </w:r>
      <w:r w:rsidR="002B0BFA" w:rsidRPr="00D623C2">
        <w:rPr>
          <w:lang w:eastAsia="cs-CZ"/>
        </w:rPr>
        <w:t>y</w:t>
      </w:r>
      <w:r w:rsidRPr="00D623C2">
        <w:rPr>
          <w:lang w:eastAsia="cs-CZ"/>
        </w:rPr>
        <w:t xml:space="preserve"> být produkty, </w:t>
      </w:r>
      <w:r w:rsidR="00964789" w:rsidRPr="00D623C2">
        <w:rPr>
          <w:lang w:eastAsia="cs-CZ"/>
        </w:rPr>
        <w:t xml:space="preserve">které </w:t>
      </w:r>
      <w:r w:rsidR="00CB4CF2" w:rsidRPr="00D623C2">
        <w:rPr>
          <w:lang w:eastAsia="cs-CZ"/>
        </w:rPr>
        <w:t>splňují</w:t>
      </w:r>
      <w:r w:rsidR="00964789" w:rsidRPr="00D623C2">
        <w:rPr>
          <w:lang w:eastAsia="cs-CZ"/>
        </w:rPr>
        <w:t xml:space="preserve"> stanovené parametry a ukazatele</w:t>
      </w:r>
      <w:r w:rsidR="00964789" w:rsidRPr="00D623C2">
        <w:rPr>
          <w:rStyle w:val="Znakapoznpodarou"/>
          <w:lang w:eastAsia="cs-CZ"/>
        </w:rPr>
        <w:footnoteReference w:id="9"/>
      </w:r>
      <w:r w:rsidR="00964789" w:rsidRPr="00D623C2">
        <w:rPr>
          <w:lang w:eastAsia="cs-CZ"/>
        </w:rPr>
        <w:t xml:space="preserve">. </w:t>
      </w:r>
      <w:r w:rsidR="00215DF2" w:rsidRPr="00D623C2">
        <w:rPr>
          <w:lang w:eastAsia="cs-CZ"/>
        </w:rPr>
        <w:t>Mezi hlavní ukazatele patří počet somatických buněk (PSB)</w:t>
      </w:r>
      <w:r w:rsidRPr="00D623C2">
        <w:rPr>
          <w:lang w:eastAsia="cs-CZ"/>
        </w:rPr>
        <w:t>,</w:t>
      </w:r>
      <w:r w:rsidR="00DA6CBE" w:rsidRPr="00D623C2">
        <w:rPr>
          <w:lang w:eastAsia="cs-CZ"/>
        </w:rPr>
        <w:t xml:space="preserve"> u kterého byla</w:t>
      </w:r>
      <w:r w:rsidR="00215DF2" w:rsidRPr="00D623C2">
        <w:rPr>
          <w:lang w:eastAsia="cs-CZ"/>
        </w:rPr>
        <w:t xml:space="preserve"> ze strany MZe nastavena hodnota „</w:t>
      </w:r>
      <w:r w:rsidR="00215DF2" w:rsidRPr="00D623C2">
        <w:rPr>
          <w:rFonts w:asciiTheme="minorHAnsi" w:hAnsiTheme="minorHAnsi"/>
        </w:rPr>
        <w:t>≤ 220 000 v 1 ml</w:t>
      </w:r>
      <w:r w:rsidR="00964789" w:rsidRPr="00D623C2">
        <w:rPr>
          <w:rFonts w:asciiTheme="minorHAnsi" w:hAnsiTheme="minorHAnsi"/>
        </w:rPr>
        <w:t xml:space="preserve"> mléka</w:t>
      </w:r>
      <w:r w:rsidR="00924294" w:rsidRPr="00D623C2">
        <w:rPr>
          <w:rFonts w:asciiTheme="minorHAnsi" w:hAnsiTheme="minorHAnsi"/>
        </w:rPr>
        <w:t>“</w:t>
      </w:r>
      <w:r w:rsidR="00215DF2" w:rsidRPr="00D623C2">
        <w:rPr>
          <w:rFonts w:asciiTheme="minorHAnsi" w:hAnsiTheme="minorHAnsi"/>
        </w:rPr>
        <w:t xml:space="preserve">. </w:t>
      </w:r>
    </w:p>
    <w:p w14:paraId="00A01AB4" w14:textId="77777777" w:rsidR="007B2063" w:rsidRPr="00D623C2" w:rsidRDefault="007B2063" w:rsidP="00D623C2">
      <w:pPr>
        <w:spacing w:before="0"/>
        <w:rPr>
          <w:rFonts w:asciiTheme="minorHAnsi" w:hAnsiTheme="minorHAnsi"/>
        </w:rPr>
      </w:pPr>
    </w:p>
    <w:p w14:paraId="192D2E3B" w14:textId="06BE459C" w:rsidR="00EE7C9B" w:rsidRDefault="00215DF2" w:rsidP="00D623C2">
      <w:pPr>
        <w:spacing w:before="0"/>
      </w:pPr>
      <w:r w:rsidRPr="00D623C2">
        <w:rPr>
          <w:lang w:eastAsia="cs-CZ"/>
        </w:rPr>
        <w:t>V období let 2010 až 2017 se průměrný počet somatických buněk v ČR</w:t>
      </w:r>
      <w:r w:rsidR="00A5796C" w:rsidRPr="00D623C2">
        <w:rPr>
          <w:lang w:eastAsia="cs-CZ"/>
        </w:rPr>
        <w:t xml:space="preserve"> pohyboval v rozmezí 223 000–</w:t>
      </w:r>
      <w:r w:rsidRPr="00D623C2">
        <w:rPr>
          <w:lang w:eastAsia="cs-CZ"/>
        </w:rPr>
        <w:t>266 200 v 1 ml</w:t>
      </w:r>
      <w:r w:rsidR="00964789" w:rsidRPr="00D623C2">
        <w:rPr>
          <w:lang w:eastAsia="cs-CZ"/>
        </w:rPr>
        <w:t xml:space="preserve"> mléka</w:t>
      </w:r>
      <w:r w:rsidRPr="00D623C2">
        <w:rPr>
          <w:lang w:eastAsia="cs-CZ"/>
        </w:rPr>
        <w:t xml:space="preserve">, s tím že </w:t>
      </w:r>
      <w:r w:rsidR="00924294" w:rsidRPr="00D623C2">
        <w:rPr>
          <w:lang w:eastAsia="cs-CZ"/>
        </w:rPr>
        <w:t>měl</w:t>
      </w:r>
      <w:r w:rsidRPr="00D623C2">
        <w:rPr>
          <w:lang w:eastAsia="cs-CZ"/>
        </w:rPr>
        <w:t xml:space="preserve"> klesající tendenci. Hodnota PSB</w:t>
      </w:r>
      <w:r w:rsidR="00924294" w:rsidRPr="00D623C2">
        <w:rPr>
          <w:lang w:eastAsia="cs-CZ"/>
        </w:rPr>
        <w:t>, kterou pro dotační titul nastavilo</w:t>
      </w:r>
      <w:r w:rsidRPr="00D623C2">
        <w:rPr>
          <w:lang w:eastAsia="cs-CZ"/>
        </w:rPr>
        <w:t xml:space="preserve"> MZe</w:t>
      </w:r>
      <w:r w:rsidR="00C215A1">
        <w:rPr>
          <w:lang w:eastAsia="cs-CZ"/>
        </w:rPr>
        <w:t>,</w:t>
      </w:r>
      <w:r w:rsidRPr="00D623C2">
        <w:rPr>
          <w:lang w:eastAsia="cs-CZ"/>
        </w:rPr>
        <w:t xml:space="preserve"> je </w:t>
      </w:r>
      <w:r w:rsidR="00680FFC" w:rsidRPr="00D623C2">
        <w:rPr>
          <w:lang w:eastAsia="cs-CZ"/>
        </w:rPr>
        <w:t xml:space="preserve">tedy </w:t>
      </w:r>
      <w:r w:rsidRPr="00D623C2">
        <w:rPr>
          <w:lang w:eastAsia="cs-CZ"/>
        </w:rPr>
        <w:t>pod průměrnou hodnotou PSB za všechny sledované roky</w:t>
      </w:r>
      <w:r w:rsidR="00EE7C9B" w:rsidRPr="00D623C2">
        <w:rPr>
          <w:lang w:eastAsia="cs-CZ"/>
        </w:rPr>
        <w:t xml:space="preserve">. Zároveň se však </w:t>
      </w:r>
      <w:r w:rsidRPr="00D623C2">
        <w:t>pohybuje v rozmezí, ve kterém se zdravotní stav stáda hodnotí jako ohrožený s nutností realizace vhodných opatření k jeho zlepšení</w:t>
      </w:r>
      <w:r w:rsidR="00EE7C9B" w:rsidRPr="00D623C2">
        <w:rPr>
          <w:rStyle w:val="Znakapoznpodarou"/>
        </w:rPr>
        <w:footnoteReference w:id="10"/>
      </w:r>
      <w:r w:rsidR="00EE7C9B" w:rsidRPr="00D623C2">
        <w:t xml:space="preserve">. </w:t>
      </w:r>
    </w:p>
    <w:p w14:paraId="755341CF" w14:textId="77777777" w:rsidR="007B2063" w:rsidRPr="00D623C2" w:rsidRDefault="007B2063" w:rsidP="00D623C2">
      <w:pPr>
        <w:spacing w:before="0"/>
      </w:pPr>
    </w:p>
    <w:p w14:paraId="16108645" w14:textId="278BD843" w:rsidR="00964789" w:rsidRDefault="00215DF2" w:rsidP="00D623C2">
      <w:pPr>
        <w:spacing w:before="0"/>
      </w:pPr>
      <w:r w:rsidRPr="00D623C2">
        <w:rPr>
          <w:b/>
        </w:rPr>
        <w:t>MZe stanovilo</w:t>
      </w:r>
      <w:r w:rsidRPr="00D623C2">
        <w:t xml:space="preserve"> </w:t>
      </w:r>
      <w:r w:rsidRPr="00D623C2">
        <w:rPr>
          <w:b/>
        </w:rPr>
        <w:t xml:space="preserve">parametry jakosti mléka Q CZ, které významně nepřesahují průměrnou hodnotu PSB u </w:t>
      </w:r>
      <w:r w:rsidR="00E07413" w:rsidRPr="00D623C2">
        <w:rPr>
          <w:b/>
        </w:rPr>
        <w:t xml:space="preserve">běžného </w:t>
      </w:r>
      <w:r w:rsidRPr="00D623C2">
        <w:rPr>
          <w:b/>
        </w:rPr>
        <w:t>syrového kravského mléka v ČR</w:t>
      </w:r>
      <w:r w:rsidRPr="0071578F">
        <w:rPr>
          <w:b/>
        </w:rPr>
        <w:t>.</w:t>
      </w:r>
      <w:r w:rsidRPr="00D623C2">
        <w:t xml:space="preserve"> </w:t>
      </w:r>
      <w:r w:rsidR="004D6918" w:rsidRPr="00D623C2">
        <w:t>Do nejvyšších tříd jakosti je v ČR zařazeno 97 % vyráběného mléka, a proto nelze stanovenou hodnotu PSB považovat za selektivní ukazatel nadstandar</w:t>
      </w:r>
      <w:r w:rsidR="00BA4F0D" w:rsidRPr="00D623C2">
        <w:t>d</w:t>
      </w:r>
      <w:r w:rsidR="004D6918" w:rsidRPr="00D623C2">
        <w:t>ní jakosti mléka.</w:t>
      </w:r>
    </w:p>
    <w:p w14:paraId="12FBBBB1" w14:textId="77777777" w:rsidR="007B2063" w:rsidRPr="00D623C2" w:rsidRDefault="007B2063" w:rsidP="00D623C2">
      <w:pPr>
        <w:spacing w:before="0"/>
      </w:pPr>
    </w:p>
    <w:p w14:paraId="5E5C38BC" w14:textId="77777777" w:rsidR="00215DF2" w:rsidRPr="00816090" w:rsidRDefault="00816090" w:rsidP="007B2063">
      <w:pPr>
        <w:pStyle w:val="Nadpis4"/>
        <w:numPr>
          <w:ilvl w:val="0"/>
          <w:numId w:val="0"/>
        </w:numPr>
        <w:spacing w:before="0" w:after="0"/>
        <w:contextualSpacing w:val="0"/>
        <w:rPr>
          <w:b/>
        </w:rPr>
      </w:pPr>
      <w:r>
        <w:rPr>
          <w:b/>
        </w:rPr>
        <w:t xml:space="preserve">2.1.4 </w:t>
      </w:r>
      <w:r w:rsidR="003A3970" w:rsidRPr="00816090">
        <w:rPr>
          <w:b/>
        </w:rPr>
        <w:t xml:space="preserve">Nedostatečná kalkulace nákladů </w:t>
      </w:r>
    </w:p>
    <w:p w14:paraId="12F9706C" w14:textId="77777777" w:rsidR="007B2063" w:rsidRDefault="007B2063" w:rsidP="00D623C2">
      <w:pPr>
        <w:pStyle w:val="Bezmezer"/>
        <w:jc w:val="both"/>
        <w:rPr>
          <w:rFonts w:ascii="Calibri" w:hAnsi="Calibri" w:cs="Calibri"/>
          <w:color w:val="000000"/>
          <w:sz w:val="24"/>
          <w:szCs w:val="24"/>
          <w:lang w:eastAsia="cs-CZ"/>
        </w:rPr>
      </w:pPr>
    </w:p>
    <w:p w14:paraId="065A96D6" w14:textId="040E81EB" w:rsidR="007B2063" w:rsidRDefault="00C33EA3" w:rsidP="00D623C2">
      <w:pPr>
        <w:pStyle w:val="Bezmezer"/>
        <w:jc w:val="both"/>
        <w:rPr>
          <w:rFonts w:ascii="Calibri" w:hAnsi="Calibri" w:cs="Calibri"/>
          <w:color w:val="000000"/>
          <w:sz w:val="24"/>
          <w:szCs w:val="24"/>
          <w:lang w:eastAsia="cs-CZ"/>
        </w:rPr>
      </w:pPr>
      <w:r w:rsidRPr="00D623C2">
        <w:rPr>
          <w:rFonts w:ascii="Calibri" w:hAnsi="Calibri" w:cs="Calibri"/>
          <w:color w:val="000000"/>
          <w:sz w:val="24"/>
          <w:szCs w:val="24"/>
          <w:lang w:eastAsia="cs-CZ"/>
        </w:rPr>
        <w:t>Aby mohl žadatel čerpat dotace</w:t>
      </w:r>
      <w:r w:rsidR="00352047" w:rsidRPr="00D623C2">
        <w:rPr>
          <w:rFonts w:ascii="Calibri" w:hAnsi="Calibri" w:cs="Calibri"/>
          <w:color w:val="000000"/>
          <w:sz w:val="24"/>
          <w:szCs w:val="24"/>
          <w:lang w:eastAsia="cs-CZ"/>
        </w:rPr>
        <w:t xml:space="preserve"> i na</w:t>
      </w:r>
      <w:r w:rsidR="001C0DD5" w:rsidRPr="00D623C2">
        <w:rPr>
          <w:rFonts w:ascii="Calibri" w:hAnsi="Calibri" w:cs="Calibri"/>
          <w:color w:val="000000"/>
          <w:sz w:val="24"/>
          <w:szCs w:val="24"/>
          <w:lang w:eastAsia="cs-CZ"/>
        </w:rPr>
        <w:t xml:space="preserve"> </w:t>
      </w:r>
      <w:r w:rsidR="00352047" w:rsidRPr="00D623C2">
        <w:rPr>
          <w:rFonts w:ascii="Calibri" w:hAnsi="Calibri" w:cs="Calibri"/>
          <w:color w:val="000000"/>
          <w:sz w:val="24"/>
          <w:szCs w:val="24"/>
          <w:lang w:eastAsia="cs-CZ"/>
        </w:rPr>
        <w:t xml:space="preserve">provozní </w:t>
      </w:r>
      <w:r w:rsidR="00C6558C" w:rsidRPr="00D623C2">
        <w:rPr>
          <w:rFonts w:ascii="Calibri" w:hAnsi="Calibri" w:cs="Calibri"/>
          <w:color w:val="000000"/>
          <w:sz w:val="24"/>
          <w:szCs w:val="24"/>
          <w:lang w:eastAsia="cs-CZ"/>
        </w:rPr>
        <w:t xml:space="preserve">(nepřímé) </w:t>
      </w:r>
      <w:r w:rsidR="00352047" w:rsidRPr="00D623C2">
        <w:rPr>
          <w:rStyle w:val="Odkaznakoment"/>
          <w:rFonts w:ascii="Calibri" w:eastAsia="Times New Roman" w:hAnsi="Calibri" w:cs="Calibri"/>
          <w:color w:val="000000"/>
          <w:sz w:val="24"/>
          <w:szCs w:val="24"/>
        </w:rPr>
        <w:t>n</w:t>
      </w:r>
      <w:r w:rsidR="00680FFC" w:rsidRPr="00D623C2">
        <w:rPr>
          <w:rFonts w:ascii="Calibri" w:hAnsi="Calibri" w:cs="Calibri"/>
          <w:color w:val="000000"/>
          <w:sz w:val="24"/>
          <w:szCs w:val="24"/>
          <w:lang w:eastAsia="cs-CZ"/>
        </w:rPr>
        <w:t>áklady</w:t>
      </w:r>
      <w:r w:rsidR="00680FFC" w:rsidRPr="00D623C2">
        <w:rPr>
          <w:rStyle w:val="Znakapoznpodarou"/>
          <w:rFonts w:ascii="Calibri" w:hAnsi="Calibri" w:cs="Calibri"/>
          <w:color w:val="000000"/>
          <w:sz w:val="24"/>
          <w:szCs w:val="24"/>
          <w:lang w:eastAsia="cs-CZ"/>
        </w:rPr>
        <w:footnoteReference w:id="11"/>
      </w:r>
      <w:r w:rsidR="00C215A1">
        <w:rPr>
          <w:rFonts w:ascii="Calibri" w:hAnsi="Calibri" w:cs="Calibri"/>
          <w:color w:val="000000"/>
          <w:sz w:val="24"/>
          <w:szCs w:val="24"/>
          <w:lang w:eastAsia="cs-CZ"/>
        </w:rPr>
        <w:t>,</w:t>
      </w:r>
      <w:r w:rsidR="00680FFC" w:rsidRPr="00D623C2">
        <w:rPr>
          <w:rFonts w:ascii="Calibri" w:hAnsi="Calibri" w:cs="Calibri"/>
          <w:color w:val="000000"/>
          <w:sz w:val="24"/>
          <w:szCs w:val="24"/>
          <w:lang w:eastAsia="cs-CZ"/>
        </w:rPr>
        <w:t xml:space="preserve"> musel mít pro příslušný rok vypracovanou závaznou vnitropodnikovou </w:t>
      </w:r>
      <w:r w:rsidR="00215DF2" w:rsidRPr="00D623C2">
        <w:rPr>
          <w:rFonts w:ascii="Calibri" w:hAnsi="Calibri" w:cs="Calibri"/>
          <w:color w:val="000000"/>
          <w:sz w:val="24"/>
          <w:szCs w:val="24"/>
          <w:lang w:eastAsia="cs-CZ"/>
        </w:rPr>
        <w:t>směrnici obsahující kalkulační vzorec, kter</w:t>
      </w:r>
      <w:r w:rsidR="006C3FBE" w:rsidRPr="00D623C2">
        <w:rPr>
          <w:rFonts w:ascii="Calibri" w:hAnsi="Calibri" w:cs="Calibri"/>
          <w:color w:val="000000"/>
          <w:sz w:val="24"/>
          <w:szCs w:val="24"/>
          <w:lang w:eastAsia="cs-CZ"/>
        </w:rPr>
        <w:t>ý</w:t>
      </w:r>
      <w:r w:rsidR="00215DF2" w:rsidRPr="00D623C2">
        <w:rPr>
          <w:rFonts w:ascii="Calibri" w:hAnsi="Calibri" w:cs="Calibri"/>
          <w:color w:val="000000"/>
          <w:sz w:val="24"/>
          <w:szCs w:val="24"/>
          <w:lang w:eastAsia="cs-CZ"/>
        </w:rPr>
        <w:t xml:space="preserve"> určuje</w:t>
      </w:r>
      <w:r w:rsidR="00997F9F" w:rsidRPr="00D623C2">
        <w:rPr>
          <w:rFonts w:ascii="Calibri" w:hAnsi="Calibri" w:cs="Calibri"/>
          <w:color w:val="000000"/>
          <w:sz w:val="24"/>
          <w:szCs w:val="24"/>
          <w:lang w:eastAsia="cs-CZ"/>
        </w:rPr>
        <w:t>,</w:t>
      </w:r>
      <w:r w:rsidR="00215DF2" w:rsidRPr="00D623C2">
        <w:rPr>
          <w:rFonts w:ascii="Calibri" w:hAnsi="Calibri" w:cs="Calibri"/>
          <w:color w:val="000000"/>
          <w:sz w:val="24"/>
          <w:szCs w:val="24"/>
          <w:lang w:eastAsia="cs-CZ"/>
        </w:rPr>
        <w:t xml:space="preserve"> do jaké míry tyto náklady souvisí s režimem jakosti Q CZ</w:t>
      </w:r>
      <w:r w:rsidR="00C215A1">
        <w:rPr>
          <w:rFonts w:ascii="Calibri" w:hAnsi="Calibri" w:cs="Calibri"/>
          <w:color w:val="000000"/>
          <w:sz w:val="24"/>
          <w:szCs w:val="24"/>
          <w:lang w:eastAsia="cs-CZ"/>
        </w:rPr>
        <w:t>,</w:t>
      </w:r>
      <w:r w:rsidR="00215DF2" w:rsidRPr="00D623C2">
        <w:rPr>
          <w:rFonts w:ascii="Calibri" w:hAnsi="Calibri" w:cs="Calibri"/>
          <w:color w:val="000000"/>
          <w:sz w:val="24"/>
          <w:szCs w:val="24"/>
          <w:lang w:eastAsia="cs-CZ"/>
        </w:rPr>
        <w:t xml:space="preserve"> a mohou tak být v poměrné výši zařazeny do uznatelných nákladů.</w:t>
      </w:r>
    </w:p>
    <w:p w14:paraId="5C593AAD" w14:textId="77777777" w:rsidR="00215DF2" w:rsidRPr="00D623C2" w:rsidRDefault="00215DF2" w:rsidP="00D623C2">
      <w:pPr>
        <w:pStyle w:val="Bezmezer"/>
        <w:jc w:val="both"/>
        <w:rPr>
          <w:rFonts w:ascii="Calibri" w:hAnsi="Calibri" w:cs="Calibri"/>
          <w:color w:val="000000"/>
          <w:sz w:val="24"/>
          <w:szCs w:val="24"/>
          <w:lang w:eastAsia="cs-CZ"/>
        </w:rPr>
      </w:pPr>
    </w:p>
    <w:p w14:paraId="662CDBC2" w14:textId="7DFF3A46" w:rsidR="00C33EA3" w:rsidRDefault="002B0BFA" w:rsidP="00D623C2">
      <w:pPr>
        <w:pStyle w:val="Bezmezer"/>
        <w:jc w:val="both"/>
        <w:rPr>
          <w:rFonts w:ascii="Calibri" w:hAnsi="Calibri" w:cs="Calibri"/>
          <w:color w:val="000000"/>
          <w:sz w:val="24"/>
          <w:szCs w:val="24"/>
          <w:lang w:eastAsia="cs-CZ"/>
        </w:rPr>
      </w:pPr>
      <w:r w:rsidRPr="00D623C2">
        <w:rPr>
          <w:rFonts w:ascii="Calibri" w:hAnsi="Calibri" w:cs="Calibri"/>
          <w:color w:val="000000"/>
          <w:sz w:val="24"/>
          <w:szCs w:val="24"/>
          <w:lang w:eastAsia="cs-CZ"/>
        </w:rPr>
        <w:t>Ve</w:t>
      </w:r>
      <w:r w:rsidR="006C3FBE" w:rsidRPr="00D623C2">
        <w:rPr>
          <w:rFonts w:ascii="Calibri" w:hAnsi="Calibri" w:cs="Calibri"/>
          <w:color w:val="000000"/>
          <w:sz w:val="24"/>
          <w:szCs w:val="24"/>
          <w:lang w:eastAsia="cs-CZ"/>
        </w:rPr>
        <w:t xml:space="preserve"> </w:t>
      </w:r>
      <w:r w:rsidR="00215DF2" w:rsidRPr="00D623C2">
        <w:rPr>
          <w:rFonts w:ascii="Calibri" w:hAnsi="Calibri" w:cs="Calibri"/>
          <w:color w:val="000000"/>
          <w:sz w:val="24"/>
          <w:szCs w:val="24"/>
          <w:lang w:eastAsia="cs-CZ"/>
        </w:rPr>
        <w:t>31</w:t>
      </w:r>
      <w:r w:rsidR="00C215A1">
        <w:rPr>
          <w:rFonts w:ascii="Calibri" w:hAnsi="Calibri" w:cs="Calibri"/>
          <w:color w:val="000000"/>
          <w:sz w:val="24"/>
          <w:szCs w:val="24"/>
          <w:lang w:eastAsia="cs-CZ"/>
        </w:rPr>
        <w:t xml:space="preserve"> případech</w:t>
      </w:r>
      <w:r w:rsidR="00215DF2" w:rsidRPr="00D623C2">
        <w:rPr>
          <w:rFonts w:ascii="Calibri" w:hAnsi="Calibri" w:cs="Calibri"/>
          <w:color w:val="000000"/>
          <w:sz w:val="24"/>
          <w:szCs w:val="24"/>
          <w:lang w:eastAsia="cs-CZ"/>
        </w:rPr>
        <w:t xml:space="preserve"> z celkových 35 žádostí kontrolního vzorku příjemci požadovali proplacení </w:t>
      </w:r>
      <w:r w:rsidR="001C0DD5" w:rsidRPr="00D623C2">
        <w:rPr>
          <w:rFonts w:ascii="Calibri" w:hAnsi="Calibri" w:cs="Calibri"/>
          <w:color w:val="000000"/>
          <w:sz w:val="24"/>
          <w:szCs w:val="24"/>
          <w:lang w:eastAsia="cs-CZ"/>
        </w:rPr>
        <w:t xml:space="preserve">nepřímých </w:t>
      </w:r>
      <w:r w:rsidR="00352047" w:rsidRPr="00D623C2">
        <w:rPr>
          <w:rFonts w:ascii="Calibri" w:hAnsi="Calibri" w:cs="Calibri"/>
          <w:color w:val="000000"/>
          <w:sz w:val="24"/>
          <w:szCs w:val="24"/>
          <w:lang w:eastAsia="cs-CZ"/>
        </w:rPr>
        <w:t xml:space="preserve">provozních </w:t>
      </w:r>
      <w:r w:rsidR="00215DF2" w:rsidRPr="00D623C2">
        <w:rPr>
          <w:rFonts w:ascii="Calibri" w:hAnsi="Calibri" w:cs="Calibri"/>
          <w:color w:val="000000"/>
          <w:sz w:val="24"/>
          <w:szCs w:val="24"/>
          <w:lang w:eastAsia="cs-CZ"/>
        </w:rPr>
        <w:t>nákladů</w:t>
      </w:r>
      <w:r w:rsidR="00C215A1">
        <w:rPr>
          <w:rFonts w:ascii="Calibri" w:hAnsi="Calibri" w:cs="Calibri"/>
          <w:color w:val="000000"/>
          <w:sz w:val="24"/>
          <w:szCs w:val="24"/>
          <w:lang w:eastAsia="cs-CZ"/>
        </w:rPr>
        <w:t>,</w:t>
      </w:r>
      <w:r w:rsidR="00215DF2" w:rsidRPr="00D623C2">
        <w:rPr>
          <w:rFonts w:ascii="Calibri" w:hAnsi="Calibri" w:cs="Calibri"/>
          <w:color w:val="000000"/>
          <w:sz w:val="24"/>
          <w:szCs w:val="24"/>
          <w:lang w:eastAsia="cs-CZ"/>
        </w:rPr>
        <w:t xml:space="preserve"> a k žádosti tak musela být přiložena z</w:t>
      </w:r>
      <w:r w:rsidR="00C33EA3" w:rsidRPr="00D623C2">
        <w:rPr>
          <w:rFonts w:ascii="Calibri" w:hAnsi="Calibri" w:cs="Calibri"/>
          <w:color w:val="000000"/>
          <w:sz w:val="24"/>
          <w:szCs w:val="24"/>
          <w:lang w:eastAsia="cs-CZ"/>
        </w:rPr>
        <w:t>ávazná vnitropodniková směrnice. NKÚ zjistil, že předložené v</w:t>
      </w:r>
      <w:r w:rsidR="00215DF2" w:rsidRPr="00D623C2">
        <w:rPr>
          <w:rFonts w:ascii="Calibri" w:hAnsi="Calibri" w:cs="Calibri"/>
          <w:color w:val="000000"/>
          <w:sz w:val="24"/>
          <w:szCs w:val="24"/>
          <w:lang w:eastAsia="cs-CZ"/>
        </w:rPr>
        <w:t xml:space="preserve">nitropodnikové směrnice </w:t>
      </w:r>
      <w:r w:rsidR="00C33EA3" w:rsidRPr="00D623C2">
        <w:rPr>
          <w:rFonts w:ascii="Calibri" w:hAnsi="Calibri" w:cs="Calibri"/>
          <w:color w:val="000000"/>
          <w:sz w:val="24"/>
          <w:szCs w:val="24"/>
          <w:lang w:eastAsia="cs-CZ"/>
        </w:rPr>
        <w:t xml:space="preserve">měly </w:t>
      </w:r>
      <w:r w:rsidR="00215DF2" w:rsidRPr="00D623C2">
        <w:rPr>
          <w:rFonts w:ascii="Calibri" w:hAnsi="Calibri" w:cs="Calibri"/>
          <w:color w:val="000000"/>
          <w:sz w:val="24"/>
          <w:szCs w:val="24"/>
          <w:lang w:eastAsia="cs-CZ"/>
        </w:rPr>
        <w:t>pouze</w:t>
      </w:r>
      <w:r w:rsidR="00160F12" w:rsidRPr="00D623C2">
        <w:rPr>
          <w:rFonts w:ascii="Calibri" w:hAnsi="Calibri" w:cs="Calibri"/>
          <w:color w:val="000000"/>
          <w:sz w:val="24"/>
          <w:szCs w:val="24"/>
          <w:lang w:eastAsia="cs-CZ"/>
        </w:rPr>
        <w:t xml:space="preserve"> formální charakter a </w:t>
      </w:r>
      <w:r w:rsidR="00C33EA3" w:rsidRPr="00D623C2">
        <w:rPr>
          <w:rFonts w:ascii="Calibri" w:hAnsi="Calibri" w:cs="Calibri"/>
          <w:color w:val="000000"/>
          <w:sz w:val="24"/>
          <w:szCs w:val="24"/>
          <w:lang w:eastAsia="cs-CZ"/>
        </w:rPr>
        <w:t>neobsahovaly</w:t>
      </w:r>
      <w:r w:rsidR="00215DF2" w:rsidRPr="00D623C2">
        <w:rPr>
          <w:rFonts w:ascii="Calibri" w:hAnsi="Calibri" w:cs="Calibri"/>
          <w:color w:val="000000"/>
          <w:sz w:val="24"/>
          <w:szCs w:val="24"/>
          <w:lang w:eastAsia="cs-CZ"/>
        </w:rPr>
        <w:t xml:space="preserve"> </w:t>
      </w:r>
      <w:r w:rsidR="00ED1175" w:rsidRPr="00D623C2">
        <w:rPr>
          <w:rFonts w:ascii="Calibri" w:hAnsi="Calibri" w:cs="Calibri"/>
          <w:color w:val="000000"/>
          <w:sz w:val="24"/>
          <w:szCs w:val="24"/>
          <w:lang w:eastAsia="cs-CZ"/>
        </w:rPr>
        <w:t>kalkulaci</w:t>
      </w:r>
      <w:r w:rsidR="008E0C6F" w:rsidRPr="00D623C2">
        <w:rPr>
          <w:rFonts w:ascii="Calibri" w:hAnsi="Calibri" w:cs="Calibri"/>
          <w:color w:val="000000"/>
          <w:sz w:val="24"/>
          <w:szCs w:val="24"/>
          <w:lang w:eastAsia="cs-CZ"/>
        </w:rPr>
        <w:t>, podle které by</w:t>
      </w:r>
      <w:r w:rsidR="00215DF2" w:rsidRPr="00D623C2">
        <w:rPr>
          <w:rFonts w:ascii="Calibri" w:hAnsi="Calibri" w:cs="Calibri"/>
          <w:color w:val="000000"/>
          <w:sz w:val="24"/>
          <w:szCs w:val="24"/>
          <w:lang w:eastAsia="cs-CZ"/>
        </w:rPr>
        <w:t xml:space="preserve"> žadatel</w:t>
      </w:r>
      <w:r w:rsidR="008E0C6F" w:rsidRPr="00D623C2">
        <w:rPr>
          <w:rFonts w:ascii="Calibri" w:hAnsi="Calibri" w:cs="Calibri"/>
          <w:color w:val="000000"/>
          <w:sz w:val="24"/>
          <w:szCs w:val="24"/>
          <w:lang w:eastAsia="cs-CZ"/>
        </w:rPr>
        <w:t xml:space="preserve"> </w:t>
      </w:r>
      <w:r w:rsidR="00C64DB3" w:rsidRPr="00D623C2">
        <w:rPr>
          <w:rFonts w:ascii="Calibri" w:hAnsi="Calibri" w:cs="Calibri"/>
          <w:color w:val="000000"/>
          <w:sz w:val="24"/>
          <w:szCs w:val="24"/>
          <w:lang w:eastAsia="cs-CZ"/>
        </w:rPr>
        <w:t xml:space="preserve">průkazným způsobem </w:t>
      </w:r>
      <w:r w:rsidR="008E0C6F" w:rsidRPr="00D623C2">
        <w:rPr>
          <w:rFonts w:ascii="Calibri" w:hAnsi="Calibri" w:cs="Calibri"/>
          <w:color w:val="000000"/>
          <w:sz w:val="24"/>
          <w:szCs w:val="24"/>
          <w:lang w:eastAsia="cs-CZ"/>
        </w:rPr>
        <w:t>rozvrhl</w:t>
      </w:r>
      <w:r w:rsidR="00215DF2" w:rsidRPr="00D623C2">
        <w:rPr>
          <w:rFonts w:ascii="Calibri" w:hAnsi="Calibri" w:cs="Calibri"/>
          <w:color w:val="000000"/>
          <w:sz w:val="24"/>
          <w:szCs w:val="24"/>
          <w:lang w:eastAsia="cs-CZ"/>
        </w:rPr>
        <w:t xml:space="preserve"> nepřímé</w:t>
      </w:r>
      <w:r w:rsidR="001C0DD5" w:rsidRPr="00D623C2">
        <w:rPr>
          <w:rFonts w:ascii="Calibri" w:hAnsi="Calibri" w:cs="Calibri"/>
          <w:color w:val="000000"/>
          <w:sz w:val="24"/>
          <w:szCs w:val="24"/>
          <w:lang w:eastAsia="cs-CZ"/>
        </w:rPr>
        <w:t xml:space="preserve"> provozní</w:t>
      </w:r>
      <w:r w:rsidR="00215DF2" w:rsidRPr="00D623C2">
        <w:rPr>
          <w:rFonts w:ascii="Calibri" w:hAnsi="Calibri" w:cs="Calibri"/>
          <w:color w:val="000000"/>
          <w:sz w:val="24"/>
          <w:szCs w:val="24"/>
          <w:lang w:eastAsia="cs-CZ"/>
        </w:rPr>
        <w:t xml:space="preserve"> náklady na jednotlivé činnosti. MZe tyto vnitro</w:t>
      </w:r>
      <w:r w:rsidR="007B2063">
        <w:rPr>
          <w:rFonts w:ascii="Calibri" w:hAnsi="Calibri" w:cs="Calibri"/>
          <w:color w:val="000000"/>
          <w:sz w:val="24"/>
          <w:szCs w:val="24"/>
          <w:lang w:eastAsia="cs-CZ"/>
        </w:rPr>
        <w:t>podnikové směrnice akceptovalo.</w:t>
      </w:r>
    </w:p>
    <w:p w14:paraId="61F7844E" w14:textId="77777777" w:rsidR="007B2063" w:rsidRPr="00D623C2" w:rsidRDefault="007B2063" w:rsidP="00D623C2">
      <w:pPr>
        <w:pStyle w:val="Bezmezer"/>
        <w:jc w:val="both"/>
        <w:rPr>
          <w:rFonts w:ascii="Calibri" w:hAnsi="Calibri" w:cs="Calibri"/>
          <w:color w:val="000000"/>
          <w:sz w:val="24"/>
          <w:szCs w:val="24"/>
          <w:lang w:eastAsia="cs-CZ"/>
        </w:rPr>
      </w:pPr>
    </w:p>
    <w:p w14:paraId="6F9B9493" w14:textId="77777777" w:rsidR="00215DF2" w:rsidRPr="00D623C2" w:rsidRDefault="00215DF2" w:rsidP="00D623C2">
      <w:pPr>
        <w:pStyle w:val="Bezmezer"/>
        <w:jc w:val="both"/>
        <w:rPr>
          <w:rFonts w:ascii="Calibri" w:hAnsi="Calibri" w:cs="Calibri"/>
          <w:b/>
          <w:color w:val="000000"/>
          <w:sz w:val="24"/>
          <w:szCs w:val="24"/>
          <w:lang w:eastAsia="cs-CZ"/>
        </w:rPr>
      </w:pPr>
      <w:r w:rsidRPr="00D623C2">
        <w:rPr>
          <w:rFonts w:ascii="Calibri" w:hAnsi="Calibri" w:cs="Calibri"/>
          <w:b/>
          <w:color w:val="000000"/>
          <w:sz w:val="24"/>
          <w:szCs w:val="24"/>
          <w:lang w:eastAsia="cs-CZ"/>
        </w:rPr>
        <w:t xml:space="preserve">MZe jednoznačně neověřilo, zda </w:t>
      </w:r>
      <w:r w:rsidR="00352047" w:rsidRPr="00D623C2">
        <w:rPr>
          <w:rFonts w:ascii="Calibri" w:hAnsi="Calibri" w:cs="Calibri"/>
          <w:b/>
          <w:color w:val="000000"/>
          <w:sz w:val="24"/>
          <w:szCs w:val="24"/>
          <w:lang w:eastAsia="cs-CZ"/>
        </w:rPr>
        <w:t>provozní</w:t>
      </w:r>
      <w:r w:rsidRPr="00D623C2">
        <w:rPr>
          <w:rFonts w:ascii="Calibri" w:hAnsi="Calibri" w:cs="Calibri"/>
          <w:b/>
          <w:color w:val="000000"/>
          <w:sz w:val="24"/>
          <w:szCs w:val="24"/>
          <w:lang w:eastAsia="cs-CZ"/>
        </w:rPr>
        <w:t xml:space="preserve"> náklady, jejichž proplacení bylo ze strany příjemců požadováno, skutečně souvisí s režimem jakosti mléka Q CZ.</w:t>
      </w:r>
    </w:p>
    <w:p w14:paraId="3E9FCF5A" w14:textId="75F37264" w:rsidR="007B2063" w:rsidRDefault="007B2063" w:rsidP="007B2063">
      <w:pPr>
        <w:pStyle w:val="Bezmezer"/>
        <w:jc w:val="both"/>
        <w:rPr>
          <w:rFonts w:ascii="Calibri" w:hAnsi="Calibri" w:cs="Calibri"/>
          <w:color w:val="000000"/>
          <w:sz w:val="24"/>
          <w:szCs w:val="24"/>
          <w:lang w:eastAsia="cs-CZ"/>
        </w:rPr>
      </w:pPr>
    </w:p>
    <w:p w14:paraId="17785CA5" w14:textId="47427681" w:rsidR="008F21C1" w:rsidRDefault="008F21C1" w:rsidP="007B2063">
      <w:pPr>
        <w:pStyle w:val="Bezmezer"/>
        <w:jc w:val="both"/>
        <w:rPr>
          <w:rFonts w:ascii="Calibri" w:hAnsi="Calibri" w:cs="Calibri"/>
          <w:color w:val="000000"/>
          <w:sz w:val="24"/>
          <w:szCs w:val="24"/>
          <w:lang w:eastAsia="cs-CZ"/>
        </w:rPr>
      </w:pPr>
    </w:p>
    <w:p w14:paraId="5BC90D86" w14:textId="4208C52E" w:rsidR="008F21C1" w:rsidRPr="00D623C2" w:rsidRDefault="008F21C1" w:rsidP="007B2063">
      <w:pPr>
        <w:pStyle w:val="Bezmezer"/>
        <w:jc w:val="both"/>
        <w:rPr>
          <w:rFonts w:ascii="Calibri" w:hAnsi="Calibri" w:cs="Calibri"/>
          <w:color w:val="000000"/>
          <w:sz w:val="24"/>
          <w:szCs w:val="24"/>
          <w:lang w:eastAsia="cs-CZ"/>
        </w:rPr>
      </w:pPr>
    </w:p>
    <w:p w14:paraId="13E28498" w14:textId="3AF44A46" w:rsidR="0008031C" w:rsidRPr="00D623C2" w:rsidRDefault="00816090" w:rsidP="007876B7">
      <w:pPr>
        <w:pStyle w:val="Nadpis3"/>
        <w:numPr>
          <w:ilvl w:val="0"/>
          <w:numId w:val="0"/>
        </w:numPr>
        <w:spacing w:before="0" w:after="0"/>
      </w:pPr>
      <w:r>
        <w:t xml:space="preserve">2.2 </w:t>
      </w:r>
      <w:r w:rsidR="00194073" w:rsidRPr="00D623C2">
        <w:t xml:space="preserve">Dotační program 8.F </w:t>
      </w:r>
      <w:r w:rsidR="000E1AFE" w:rsidRPr="0071578F">
        <w:rPr>
          <w:i/>
        </w:rPr>
        <w:t>Nákazový fond</w:t>
      </w:r>
    </w:p>
    <w:p w14:paraId="740566F9" w14:textId="77777777" w:rsidR="007B2063" w:rsidRDefault="007B2063" w:rsidP="007876B7">
      <w:pPr>
        <w:pStyle w:val="Odstavecseseznamem"/>
        <w:spacing w:before="0"/>
        <w:ind w:left="0"/>
        <w:contextualSpacing w:val="0"/>
      </w:pPr>
    </w:p>
    <w:p w14:paraId="0E4C61A9" w14:textId="48D2214B" w:rsidR="000E1AFE" w:rsidRPr="00D623C2" w:rsidRDefault="00D45A2C" w:rsidP="00D623C2">
      <w:pPr>
        <w:pStyle w:val="Odstavecseseznamem"/>
        <w:spacing w:before="0"/>
        <w:ind w:left="0"/>
        <w:contextualSpacing w:val="0"/>
      </w:pPr>
      <w:r w:rsidRPr="00D623C2">
        <w:t>Dotace z d</w:t>
      </w:r>
      <w:r w:rsidR="000E1AFE" w:rsidRPr="00D623C2">
        <w:t>otační</w:t>
      </w:r>
      <w:r w:rsidRPr="00D623C2">
        <w:t>ho</w:t>
      </w:r>
      <w:r w:rsidR="000E1AFE" w:rsidRPr="00D623C2">
        <w:t xml:space="preserve"> </w:t>
      </w:r>
      <w:r w:rsidR="00C7319B" w:rsidRPr="00D623C2">
        <w:t>program</w:t>
      </w:r>
      <w:r w:rsidRPr="00D623C2">
        <w:t>u</w:t>
      </w:r>
      <w:r w:rsidR="000E1AFE" w:rsidRPr="00D623C2">
        <w:t xml:space="preserve"> 8.F</w:t>
      </w:r>
      <w:r w:rsidRPr="00D623C2">
        <w:t xml:space="preserve"> jsou </w:t>
      </w:r>
      <w:r w:rsidR="000E1AFE" w:rsidRPr="00D623C2">
        <w:t>určen</w:t>
      </w:r>
      <w:r w:rsidRPr="00D623C2">
        <w:t>y</w:t>
      </w:r>
      <w:r w:rsidR="000E1AFE" w:rsidRPr="00D623C2">
        <w:t xml:space="preserve"> chovatelům prasat a drůbeže jako podpora vybraných činností zaměřených proti rozšiřování nebezpečných nákaz hospodářských zvířat. </w:t>
      </w:r>
      <w:r w:rsidR="00C7319B" w:rsidRPr="00D623C2">
        <w:t xml:space="preserve">Sazba dotace je stanovena na jedno </w:t>
      </w:r>
      <w:r w:rsidR="009B22B7" w:rsidRPr="00D623C2">
        <w:t xml:space="preserve">ozdravené </w:t>
      </w:r>
      <w:r w:rsidR="00C7319B" w:rsidRPr="00D623C2">
        <w:t xml:space="preserve">ustajovací místo pro příslušnou kategorii prasat. </w:t>
      </w:r>
    </w:p>
    <w:p w14:paraId="234B45F8" w14:textId="77777777" w:rsidR="007B2063" w:rsidRDefault="007B2063" w:rsidP="00D623C2">
      <w:pPr>
        <w:pStyle w:val="Odstavecseseznamem"/>
        <w:spacing w:before="0"/>
        <w:ind w:left="0"/>
        <w:contextualSpacing w:val="0"/>
        <w:rPr>
          <w:bCs/>
          <w:iCs/>
        </w:rPr>
      </w:pPr>
    </w:p>
    <w:p w14:paraId="19C81011" w14:textId="79CB7E8E" w:rsidR="00C7319B" w:rsidRPr="00D623C2" w:rsidRDefault="00C7319B" w:rsidP="00D623C2">
      <w:pPr>
        <w:pStyle w:val="Odstavecseseznamem"/>
        <w:spacing w:before="0"/>
        <w:ind w:left="0"/>
        <w:contextualSpacing w:val="0"/>
        <w:rPr>
          <w:bCs/>
        </w:rPr>
      </w:pPr>
      <w:r w:rsidRPr="00D623C2">
        <w:rPr>
          <w:bCs/>
          <w:iCs/>
        </w:rPr>
        <w:t xml:space="preserve">Žadatel o dotaci musí mít vytvořen </w:t>
      </w:r>
      <w:r w:rsidRPr="0071578F">
        <w:rPr>
          <w:bCs/>
          <w:iCs/>
        </w:rPr>
        <w:t>„</w:t>
      </w:r>
      <w:r w:rsidR="00C215A1">
        <w:rPr>
          <w:bCs/>
          <w:i/>
        </w:rPr>
        <w:t>o</w:t>
      </w:r>
      <w:r w:rsidRPr="00D623C2">
        <w:rPr>
          <w:bCs/>
          <w:i/>
        </w:rPr>
        <w:t>zdravovací program od vyjmenovaných nákaz prasat</w:t>
      </w:r>
      <w:r w:rsidRPr="0071578F">
        <w:rPr>
          <w:bCs/>
        </w:rPr>
        <w:t>“</w:t>
      </w:r>
      <w:r w:rsidRPr="006C338D">
        <w:rPr>
          <w:bCs/>
        </w:rPr>
        <w:t xml:space="preserve"> </w:t>
      </w:r>
      <w:r w:rsidRPr="00D623C2">
        <w:rPr>
          <w:bCs/>
        </w:rPr>
        <w:t xml:space="preserve">(dále též „OP VNP“), schválený orgánem veterinární správy. Tento orgán také potvrzuje, že nejpozději k vedenému datu bylo provedeno ozdravení </w:t>
      </w:r>
      <w:r w:rsidR="00D45A2C" w:rsidRPr="00D623C2">
        <w:rPr>
          <w:bCs/>
        </w:rPr>
        <w:t>předmětného</w:t>
      </w:r>
      <w:r w:rsidRPr="00D623C2">
        <w:rPr>
          <w:bCs/>
        </w:rPr>
        <w:t xml:space="preserve"> počtu usta</w:t>
      </w:r>
      <w:r w:rsidR="00B01B9E" w:rsidRPr="00D623C2">
        <w:rPr>
          <w:bCs/>
        </w:rPr>
        <w:t>jovacích</w:t>
      </w:r>
      <w:r w:rsidR="004370B4" w:rsidRPr="00D623C2">
        <w:rPr>
          <w:bCs/>
        </w:rPr>
        <w:t>/</w:t>
      </w:r>
      <w:r w:rsidR="00B01B9E" w:rsidRPr="00D623C2">
        <w:rPr>
          <w:bCs/>
        </w:rPr>
        <w:t>porodních míst prasnic</w:t>
      </w:r>
      <w:r w:rsidRPr="00D623C2">
        <w:rPr>
          <w:bCs/>
        </w:rPr>
        <w:t>/prasat a bylo dokončeno naskladnění zdravými zvířaty v</w:t>
      </w:r>
      <w:r w:rsidR="00160F12" w:rsidRPr="00D623C2">
        <w:rPr>
          <w:bCs/>
        </w:rPr>
        <w:t> </w:t>
      </w:r>
      <w:r w:rsidRPr="00D623C2">
        <w:rPr>
          <w:bCs/>
        </w:rPr>
        <w:t>souladu s OP VNP.</w:t>
      </w:r>
    </w:p>
    <w:p w14:paraId="2B1D0EE7" w14:textId="77777777" w:rsidR="007B2063" w:rsidRDefault="007B2063" w:rsidP="00D623C2">
      <w:pPr>
        <w:pStyle w:val="Odstavecseseznamem"/>
        <w:spacing w:before="0"/>
        <w:ind w:left="0"/>
        <w:contextualSpacing w:val="0"/>
      </w:pPr>
    </w:p>
    <w:p w14:paraId="14D18CA3" w14:textId="53D485E8" w:rsidR="00394B48" w:rsidRDefault="00C7319B" w:rsidP="00D623C2">
      <w:pPr>
        <w:pStyle w:val="Odstavecseseznamem"/>
        <w:spacing w:before="0"/>
        <w:ind w:left="0"/>
        <w:contextualSpacing w:val="0"/>
      </w:pPr>
      <w:r w:rsidRPr="00D623C2">
        <w:t xml:space="preserve">Celkový objem vyplacených prostředků </w:t>
      </w:r>
      <w:r w:rsidR="00D45A2C" w:rsidRPr="00D623C2">
        <w:t xml:space="preserve">v rámci dotačního programu </w:t>
      </w:r>
      <w:r w:rsidRPr="00D623C2">
        <w:t xml:space="preserve">za roky </w:t>
      </w:r>
      <w:r w:rsidR="00160F12" w:rsidRPr="00D623C2">
        <w:t>2014–</w:t>
      </w:r>
      <w:r w:rsidRPr="00D623C2">
        <w:t xml:space="preserve">2017 činil 5 302 682 559 Kč.  </w:t>
      </w:r>
    </w:p>
    <w:p w14:paraId="1B21F56B" w14:textId="77777777" w:rsidR="008F21C1" w:rsidRPr="007876B7" w:rsidRDefault="008F21C1" w:rsidP="007876B7">
      <w:pPr>
        <w:pStyle w:val="Odstavecseseznamem"/>
        <w:spacing w:before="0"/>
        <w:ind w:left="0"/>
        <w:contextualSpacing w:val="0"/>
      </w:pPr>
    </w:p>
    <w:p w14:paraId="7BA2DFD5" w14:textId="77777777" w:rsidR="0008031C" w:rsidRPr="00816090" w:rsidRDefault="00816090" w:rsidP="007B2063">
      <w:pPr>
        <w:pStyle w:val="Nadpis4"/>
        <w:numPr>
          <w:ilvl w:val="0"/>
          <w:numId w:val="0"/>
        </w:numPr>
        <w:spacing w:before="0" w:after="0"/>
        <w:contextualSpacing w:val="0"/>
        <w:rPr>
          <w:b/>
        </w:rPr>
      </w:pPr>
      <w:r>
        <w:rPr>
          <w:b/>
        </w:rPr>
        <w:t xml:space="preserve">2.2.1 </w:t>
      </w:r>
      <w:r w:rsidR="00072369" w:rsidRPr="00816090">
        <w:rPr>
          <w:b/>
        </w:rPr>
        <w:t xml:space="preserve">Nedostatečné </w:t>
      </w:r>
      <w:r w:rsidR="00480E39" w:rsidRPr="00816090">
        <w:rPr>
          <w:b/>
        </w:rPr>
        <w:t>zajištění</w:t>
      </w:r>
      <w:r w:rsidR="00881A32" w:rsidRPr="00816090">
        <w:rPr>
          <w:b/>
        </w:rPr>
        <w:t xml:space="preserve"> vazby proplacených nákladů na účel dotace</w:t>
      </w:r>
    </w:p>
    <w:p w14:paraId="3271DD59" w14:textId="77777777" w:rsidR="007B2063" w:rsidRDefault="007B2063" w:rsidP="00D623C2">
      <w:pPr>
        <w:pStyle w:val="Odstavecseseznamem"/>
        <w:spacing w:before="0"/>
        <w:ind w:left="0"/>
        <w:contextualSpacing w:val="0"/>
      </w:pPr>
    </w:p>
    <w:p w14:paraId="5545799F" w14:textId="02BCAB3D" w:rsidR="009B22B7" w:rsidRDefault="00D51DD5" w:rsidP="00D623C2">
      <w:pPr>
        <w:pStyle w:val="Odstavecseseznamem"/>
        <w:spacing w:before="0"/>
        <w:ind w:left="0"/>
        <w:contextualSpacing w:val="0"/>
        <w:rPr>
          <w:bCs/>
          <w:iCs/>
        </w:rPr>
      </w:pPr>
      <w:r w:rsidRPr="00D623C2">
        <w:t xml:space="preserve">Předmětem </w:t>
      </w:r>
      <w:r w:rsidR="009B22B7" w:rsidRPr="00D623C2">
        <w:t>dotace je částečn</w:t>
      </w:r>
      <w:r w:rsidRPr="00D623C2">
        <w:t>á</w:t>
      </w:r>
      <w:r w:rsidR="009B22B7" w:rsidRPr="00D623C2">
        <w:t xml:space="preserve"> úhrad</w:t>
      </w:r>
      <w:r w:rsidR="004370B4" w:rsidRPr="00D623C2">
        <w:t>a</w:t>
      </w:r>
      <w:r w:rsidR="009B22B7" w:rsidRPr="00D623C2">
        <w:t xml:space="preserve"> nákladů </w:t>
      </w:r>
      <w:r w:rsidRPr="00D623C2">
        <w:t xml:space="preserve">vynaložených na služby spojené </w:t>
      </w:r>
      <w:r w:rsidR="009B22B7" w:rsidRPr="00D623C2">
        <w:t xml:space="preserve">s prováděním opatření zaměřených proti rozšiřování vyjmenovaných chorob prasat. </w:t>
      </w:r>
      <w:r w:rsidR="0063392B" w:rsidRPr="00D623C2">
        <w:rPr>
          <w:bCs/>
          <w:iCs/>
        </w:rPr>
        <w:t xml:space="preserve">Žadatel musel činnosti spojené s ozdravením chovů provádět formou služeb a následně vzniklé </w:t>
      </w:r>
      <w:r w:rsidRPr="00D623C2">
        <w:rPr>
          <w:bCs/>
          <w:iCs/>
        </w:rPr>
        <w:t>náklady</w:t>
      </w:r>
      <w:r w:rsidR="00B01B9E" w:rsidRPr="00D623C2">
        <w:rPr>
          <w:bCs/>
          <w:iCs/>
        </w:rPr>
        <w:t xml:space="preserve"> prok</w:t>
      </w:r>
      <w:r w:rsidR="0063392B" w:rsidRPr="00D623C2">
        <w:rPr>
          <w:bCs/>
          <w:iCs/>
        </w:rPr>
        <w:t>ázat</w:t>
      </w:r>
      <w:r w:rsidR="00B01B9E" w:rsidRPr="00D623C2">
        <w:rPr>
          <w:bCs/>
          <w:iCs/>
        </w:rPr>
        <w:t xml:space="preserve"> fakturami.</w:t>
      </w:r>
      <w:r w:rsidR="009B22B7" w:rsidRPr="00D623C2">
        <w:rPr>
          <w:bCs/>
          <w:iCs/>
        </w:rPr>
        <w:t xml:space="preserve"> </w:t>
      </w:r>
      <w:r w:rsidR="006C6D4F" w:rsidRPr="00D623C2">
        <w:rPr>
          <w:bCs/>
          <w:iCs/>
        </w:rPr>
        <w:t xml:space="preserve">Dle Zásad měli žadatelé předložit </w:t>
      </w:r>
      <w:r w:rsidR="006C6D4F" w:rsidRPr="0071578F">
        <w:rPr>
          <w:bCs/>
          <w:iCs/>
        </w:rPr>
        <w:t>„</w:t>
      </w:r>
      <w:r w:rsidR="00902394">
        <w:rPr>
          <w:bCs/>
          <w:i/>
          <w:iCs/>
        </w:rPr>
        <w:t xml:space="preserve">… </w:t>
      </w:r>
      <w:r w:rsidR="006C6D4F" w:rsidRPr="00D623C2">
        <w:rPr>
          <w:bCs/>
          <w:i/>
          <w:iCs/>
        </w:rPr>
        <w:t>kopie dokladů dokumentujících vynaložené náklady na úkony provedené formou služeb (uvedené v části D</w:t>
      </w:r>
      <w:r w:rsidR="00DF3C20" w:rsidRPr="00D623C2">
        <w:rPr>
          <w:bCs/>
          <w:i/>
          <w:iCs/>
        </w:rPr>
        <w:t xml:space="preserve"> Zásad) v souvislosti s </w:t>
      </w:r>
      <w:r w:rsidR="006C6D4F" w:rsidRPr="00D623C2">
        <w:rPr>
          <w:bCs/>
          <w:i/>
          <w:iCs/>
        </w:rPr>
        <w:t>ozdravováním od vyjmenovaných nákaz prasat podle OP VNP v období od října do září každého roku (faktura apod.)</w:t>
      </w:r>
      <w:r w:rsidR="006C6D4F" w:rsidRPr="0071578F">
        <w:rPr>
          <w:bCs/>
          <w:iCs/>
        </w:rPr>
        <w:t>“.</w:t>
      </w:r>
      <w:r w:rsidR="00E816D0" w:rsidRPr="00D623C2">
        <w:rPr>
          <w:bCs/>
          <w:i/>
          <w:iCs/>
        </w:rPr>
        <w:t xml:space="preserve"> </w:t>
      </w:r>
      <w:r w:rsidR="00E816D0" w:rsidRPr="00D623C2">
        <w:rPr>
          <w:bCs/>
          <w:iCs/>
        </w:rPr>
        <w:t>Zásady však neupřesň</w:t>
      </w:r>
      <w:r w:rsidR="004370B4" w:rsidRPr="00D623C2">
        <w:rPr>
          <w:bCs/>
          <w:iCs/>
        </w:rPr>
        <w:t>ovaly</w:t>
      </w:r>
      <w:r w:rsidR="00E816D0" w:rsidRPr="00D623C2">
        <w:rPr>
          <w:bCs/>
          <w:iCs/>
        </w:rPr>
        <w:t xml:space="preserve">, co by měly doklady dokumentující </w:t>
      </w:r>
      <w:r w:rsidRPr="00D623C2">
        <w:rPr>
          <w:bCs/>
          <w:iCs/>
        </w:rPr>
        <w:t xml:space="preserve">vynaložené </w:t>
      </w:r>
      <w:r w:rsidR="00E816D0" w:rsidRPr="00D623C2">
        <w:rPr>
          <w:bCs/>
          <w:iCs/>
        </w:rPr>
        <w:t>náklady obsahovat</w:t>
      </w:r>
      <w:r w:rsidR="00E816D0" w:rsidRPr="006C338D">
        <w:rPr>
          <w:bCs/>
          <w:iCs/>
        </w:rPr>
        <w:t xml:space="preserve"> </w:t>
      </w:r>
      <w:r w:rsidR="00E816D0" w:rsidRPr="00D623C2">
        <w:rPr>
          <w:bCs/>
          <w:iCs/>
        </w:rPr>
        <w:t>(</w:t>
      </w:r>
      <w:r w:rsidR="00881A32" w:rsidRPr="00D623C2">
        <w:rPr>
          <w:bCs/>
          <w:iCs/>
        </w:rPr>
        <w:t xml:space="preserve">např. </w:t>
      </w:r>
      <w:r w:rsidR="00E816D0" w:rsidRPr="00D623C2">
        <w:rPr>
          <w:bCs/>
          <w:iCs/>
        </w:rPr>
        <w:t>podrobný rozpis prací, smlouvy, objednávky, ozdravný program a jinou dokumentaci, na n</w:t>
      </w:r>
      <w:r w:rsidR="004370B4" w:rsidRPr="00D623C2">
        <w:rPr>
          <w:bCs/>
          <w:iCs/>
        </w:rPr>
        <w:t>i</w:t>
      </w:r>
      <w:r w:rsidR="00E816D0" w:rsidRPr="00D623C2">
        <w:rPr>
          <w:bCs/>
          <w:iCs/>
        </w:rPr>
        <w:t>ž se dodavatelé odkazují, fotodokumentaci provedených prací apod.)</w:t>
      </w:r>
      <w:r w:rsidR="004370B4" w:rsidRPr="00D623C2">
        <w:rPr>
          <w:bCs/>
          <w:iCs/>
        </w:rPr>
        <w:t>.</w:t>
      </w:r>
    </w:p>
    <w:p w14:paraId="65579DE1" w14:textId="77777777" w:rsidR="007B2063" w:rsidRPr="00D623C2" w:rsidRDefault="007B2063" w:rsidP="00D623C2">
      <w:pPr>
        <w:pStyle w:val="Odstavecseseznamem"/>
        <w:spacing w:before="0"/>
        <w:ind w:left="0"/>
        <w:contextualSpacing w:val="0"/>
        <w:rPr>
          <w:bCs/>
          <w:iCs/>
        </w:rPr>
      </w:pPr>
    </w:p>
    <w:p w14:paraId="6D50A7C3" w14:textId="5586A46B" w:rsidR="006C6D4F" w:rsidRDefault="006C6D4F" w:rsidP="00D623C2">
      <w:pPr>
        <w:pStyle w:val="Odstavecseseznamem"/>
        <w:spacing w:before="0"/>
        <w:ind w:left="0"/>
        <w:contextualSpacing w:val="0"/>
      </w:pPr>
      <w:r w:rsidRPr="00D623C2">
        <w:rPr>
          <w:bCs/>
          <w:iCs/>
        </w:rPr>
        <w:t xml:space="preserve">Žadatelé </w:t>
      </w:r>
      <w:r w:rsidR="00881A32" w:rsidRPr="00D623C2">
        <w:rPr>
          <w:bCs/>
          <w:iCs/>
        </w:rPr>
        <w:t xml:space="preserve">tak </w:t>
      </w:r>
      <w:r w:rsidR="00014936" w:rsidRPr="00D623C2">
        <w:rPr>
          <w:bCs/>
          <w:iCs/>
        </w:rPr>
        <w:t>předkládali na SZIF, resp. MZe</w:t>
      </w:r>
      <w:r w:rsidR="00902394">
        <w:rPr>
          <w:bCs/>
          <w:iCs/>
        </w:rPr>
        <w:t>,</w:t>
      </w:r>
      <w:r w:rsidR="00014936" w:rsidRPr="00D623C2">
        <w:rPr>
          <w:bCs/>
          <w:iCs/>
        </w:rPr>
        <w:t xml:space="preserve"> faktury </w:t>
      </w:r>
      <w:r w:rsidR="000E1AFE" w:rsidRPr="00D623C2">
        <w:t>s obecně formulovanými předměty činnosti, bez bližší specifikace a podrobnějšího popisu a konkrétního vztahu k účelu dotace, bez předávacího protokolu, smlouvy nebo jiného dokumentu, ze</w:t>
      </w:r>
      <w:r w:rsidR="00902394">
        <w:t xml:space="preserve"> </w:t>
      </w:r>
      <w:r w:rsidR="000E1AFE" w:rsidRPr="00D623C2">
        <w:t xml:space="preserve">kterého by </w:t>
      </w:r>
      <w:r w:rsidR="00FE1B56" w:rsidRPr="00D623C2">
        <w:t>mohl</w:t>
      </w:r>
      <w:r w:rsidR="00902394">
        <w:t>y</w:t>
      </w:r>
      <w:r w:rsidR="00FE1B56" w:rsidRPr="00D623C2">
        <w:t xml:space="preserve"> SZIF/MZe </w:t>
      </w:r>
      <w:r w:rsidR="00F67FBA" w:rsidRPr="00D623C2">
        <w:t xml:space="preserve">ověřit </w:t>
      </w:r>
      <w:r w:rsidR="000E1AFE" w:rsidRPr="00D623C2">
        <w:t xml:space="preserve">rozsah provedených prací </w:t>
      </w:r>
      <w:r w:rsidR="00F67FBA" w:rsidRPr="00D623C2">
        <w:t>a prokázat vazbu na účel dotace</w:t>
      </w:r>
      <w:r w:rsidR="007B2063">
        <w:t>.</w:t>
      </w:r>
    </w:p>
    <w:p w14:paraId="4A40DAAD" w14:textId="77777777" w:rsidR="007B2063" w:rsidRPr="00D623C2" w:rsidRDefault="007B2063" w:rsidP="00D623C2">
      <w:pPr>
        <w:pStyle w:val="Odstavecseseznamem"/>
        <w:spacing w:before="0"/>
        <w:ind w:left="0"/>
        <w:contextualSpacing w:val="0"/>
      </w:pPr>
    </w:p>
    <w:p w14:paraId="3511FBFC" w14:textId="690F0D4F" w:rsidR="006C6D4F" w:rsidRPr="00D623C2" w:rsidRDefault="000E1AFE" w:rsidP="00D623C2">
      <w:pPr>
        <w:pStyle w:val="Odstavecseseznamem"/>
        <w:spacing w:before="0"/>
        <w:ind w:left="0"/>
        <w:contextualSpacing w:val="0"/>
        <w:rPr>
          <w:b/>
          <w:bCs/>
          <w:iCs/>
        </w:rPr>
      </w:pPr>
      <w:r w:rsidRPr="00D623C2">
        <w:rPr>
          <w:b/>
        </w:rPr>
        <w:t xml:space="preserve">MZe </w:t>
      </w:r>
      <w:r w:rsidR="00707948" w:rsidRPr="00D623C2">
        <w:rPr>
          <w:b/>
        </w:rPr>
        <w:t xml:space="preserve">i SZIF </w:t>
      </w:r>
      <w:r w:rsidR="00F67FBA" w:rsidRPr="00D623C2">
        <w:rPr>
          <w:b/>
        </w:rPr>
        <w:t xml:space="preserve">nedostatečně </w:t>
      </w:r>
      <w:r w:rsidR="00881A32" w:rsidRPr="00D623C2">
        <w:rPr>
          <w:b/>
        </w:rPr>
        <w:t>ověřoval</w:t>
      </w:r>
      <w:r w:rsidR="00707948" w:rsidRPr="00D623C2">
        <w:rPr>
          <w:b/>
        </w:rPr>
        <w:t>y</w:t>
      </w:r>
      <w:r w:rsidR="00E816D0" w:rsidRPr="00D623C2">
        <w:rPr>
          <w:b/>
        </w:rPr>
        <w:t xml:space="preserve"> </w:t>
      </w:r>
      <w:r w:rsidRPr="00D623C2">
        <w:rPr>
          <w:b/>
        </w:rPr>
        <w:t>vazbu uskutečněných činností</w:t>
      </w:r>
      <w:r w:rsidR="00F67FBA" w:rsidRPr="00D623C2">
        <w:rPr>
          <w:b/>
        </w:rPr>
        <w:t>/pořízených služeb</w:t>
      </w:r>
      <w:r w:rsidRPr="00D623C2">
        <w:rPr>
          <w:b/>
        </w:rPr>
        <w:t>, resp. up</w:t>
      </w:r>
      <w:r w:rsidR="00881A32" w:rsidRPr="00D623C2">
        <w:rPr>
          <w:b/>
        </w:rPr>
        <w:t>latněných nákladů</w:t>
      </w:r>
      <w:r w:rsidR="00902394">
        <w:rPr>
          <w:b/>
        </w:rPr>
        <w:t>,</w:t>
      </w:r>
      <w:r w:rsidR="00E816D0" w:rsidRPr="00D623C2">
        <w:rPr>
          <w:b/>
        </w:rPr>
        <w:t xml:space="preserve"> na účel dotace</w:t>
      </w:r>
      <w:r w:rsidR="00F67FBA" w:rsidRPr="00D623C2">
        <w:rPr>
          <w:b/>
        </w:rPr>
        <w:t xml:space="preserve"> a neověřoval</w:t>
      </w:r>
      <w:r w:rsidR="00CB4CF2" w:rsidRPr="00D623C2">
        <w:rPr>
          <w:b/>
        </w:rPr>
        <w:t>y</w:t>
      </w:r>
      <w:r w:rsidR="006C6D4F" w:rsidRPr="00D623C2">
        <w:rPr>
          <w:b/>
        </w:rPr>
        <w:t xml:space="preserve">, zda byly </w:t>
      </w:r>
      <w:r w:rsidR="00ED1175" w:rsidRPr="00D623C2">
        <w:rPr>
          <w:b/>
        </w:rPr>
        <w:t>fakturované</w:t>
      </w:r>
      <w:r w:rsidR="006C6D4F" w:rsidRPr="00D623C2">
        <w:rPr>
          <w:b/>
        </w:rPr>
        <w:t xml:space="preserve"> a proplácené činnosti prováděny v souladu s OP VNP</w:t>
      </w:r>
      <w:r w:rsidR="00ED505F" w:rsidRPr="00D623C2">
        <w:rPr>
          <w:b/>
        </w:rPr>
        <w:t xml:space="preserve"> a zda dotace splnila stanovený účel.  </w:t>
      </w:r>
    </w:p>
    <w:p w14:paraId="0DFCC3EC" w14:textId="77777777" w:rsidR="007B2063" w:rsidRDefault="007B2063" w:rsidP="007B2063">
      <w:pPr>
        <w:pStyle w:val="Nadpis4"/>
        <w:numPr>
          <w:ilvl w:val="0"/>
          <w:numId w:val="0"/>
        </w:numPr>
        <w:spacing w:before="0" w:after="0"/>
        <w:contextualSpacing w:val="0"/>
      </w:pPr>
    </w:p>
    <w:p w14:paraId="34F4F240" w14:textId="295E70CB" w:rsidR="00E342B3" w:rsidRPr="00816090" w:rsidRDefault="00816090" w:rsidP="00816090">
      <w:pPr>
        <w:pStyle w:val="Nadpis4"/>
        <w:keepNext/>
        <w:numPr>
          <w:ilvl w:val="0"/>
          <w:numId w:val="0"/>
        </w:numPr>
        <w:spacing w:before="0" w:after="0"/>
        <w:contextualSpacing w:val="0"/>
        <w:rPr>
          <w:b/>
        </w:rPr>
      </w:pPr>
      <w:r>
        <w:rPr>
          <w:b/>
        </w:rPr>
        <w:t xml:space="preserve">2.2.2 </w:t>
      </w:r>
      <w:r w:rsidR="00881A32" w:rsidRPr="00816090">
        <w:rPr>
          <w:b/>
        </w:rPr>
        <w:t xml:space="preserve">Nedostatečné </w:t>
      </w:r>
      <w:r w:rsidR="00C830C3" w:rsidRPr="00816090">
        <w:rPr>
          <w:b/>
        </w:rPr>
        <w:t>zajištění</w:t>
      </w:r>
      <w:r w:rsidR="00AF1558" w:rsidRPr="00816090">
        <w:rPr>
          <w:b/>
        </w:rPr>
        <w:t xml:space="preserve"> </w:t>
      </w:r>
      <w:r w:rsidR="00881A32" w:rsidRPr="00816090">
        <w:rPr>
          <w:b/>
        </w:rPr>
        <w:t>hospodárnosti</w:t>
      </w:r>
      <w:r w:rsidR="001B0D2B" w:rsidRPr="00816090">
        <w:rPr>
          <w:b/>
        </w:rPr>
        <w:t xml:space="preserve"> </w:t>
      </w:r>
      <w:r w:rsidR="00C6558C" w:rsidRPr="00816090">
        <w:rPr>
          <w:b/>
        </w:rPr>
        <w:t>výdajů</w:t>
      </w:r>
    </w:p>
    <w:p w14:paraId="33FE5FF6" w14:textId="77777777" w:rsidR="007B2063" w:rsidRDefault="007B2063" w:rsidP="00816090">
      <w:pPr>
        <w:keepNext/>
        <w:shd w:val="clear" w:color="auto" w:fill="FFFFFF"/>
        <w:spacing w:before="0"/>
        <w:rPr>
          <w:bCs/>
          <w:iCs/>
        </w:rPr>
      </w:pPr>
    </w:p>
    <w:p w14:paraId="40B42A9F" w14:textId="344888D7" w:rsidR="000E1AFE" w:rsidRDefault="00E816D0" w:rsidP="00D623C2">
      <w:pPr>
        <w:shd w:val="clear" w:color="auto" w:fill="FFFFFF"/>
        <w:spacing w:before="0"/>
        <w:rPr>
          <w:bCs/>
          <w:iCs/>
        </w:rPr>
      </w:pPr>
      <w:r w:rsidRPr="00D623C2">
        <w:rPr>
          <w:bCs/>
          <w:iCs/>
        </w:rPr>
        <w:t xml:space="preserve">MZe </w:t>
      </w:r>
      <w:r w:rsidR="00BA4815" w:rsidRPr="00D623C2">
        <w:rPr>
          <w:bCs/>
          <w:iCs/>
        </w:rPr>
        <w:t xml:space="preserve">zajišťovalo hospodárnost </w:t>
      </w:r>
      <w:r w:rsidR="00C6558C" w:rsidRPr="00D623C2">
        <w:rPr>
          <w:bCs/>
          <w:iCs/>
        </w:rPr>
        <w:t>výdajů</w:t>
      </w:r>
      <w:r w:rsidR="00BA4815" w:rsidRPr="00D623C2">
        <w:rPr>
          <w:bCs/>
          <w:iCs/>
        </w:rPr>
        <w:t xml:space="preserve"> pouze pevnou sazbou dotace, která byla určena jako maximální limit </w:t>
      </w:r>
      <w:r w:rsidR="002F4144" w:rsidRPr="00D623C2">
        <w:rPr>
          <w:bCs/>
          <w:iCs/>
        </w:rPr>
        <w:t>n</w:t>
      </w:r>
      <w:r w:rsidR="00BA4815" w:rsidRPr="00D623C2">
        <w:rPr>
          <w:bCs/>
          <w:iCs/>
        </w:rPr>
        <w:t xml:space="preserve">a jedno ozdravené ustajovací místo pro příslušnou kategorii prasat. Nepoužilo </w:t>
      </w:r>
      <w:r w:rsidRPr="00D623C2">
        <w:rPr>
          <w:bCs/>
          <w:iCs/>
        </w:rPr>
        <w:t>žádný z dalších nástrojů</w:t>
      </w:r>
      <w:r w:rsidR="007A4C91" w:rsidRPr="00D623C2">
        <w:rPr>
          <w:bCs/>
          <w:iCs/>
        </w:rPr>
        <w:t xml:space="preserve"> zajišťujících hospodárné vynakládání veřejných prostředků a jejich kontrolu,</w:t>
      </w:r>
      <w:r w:rsidR="00C2763A" w:rsidRPr="00D623C2">
        <w:rPr>
          <w:bCs/>
          <w:iCs/>
        </w:rPr>
        <w:t xml:space="preserve"> </w:t>
      </w:r>
      <w:r w:rsidR="001B11D6">
        <w:rPr>
          <w:bCs/>
          <w:iCs/>
        </w:rPr>
        <w:t xml:space="preserve">jako jsou </w:t>
      </w:r>
      <w:r w:rsidRPr="00D623C2">
        <w:rPr>
          <w:bCs/>
          <w:iCs/>
        </w:rPr>
        <w:t xml:space="preserve">např. </w:t>
      </w:r>
      <w:r w:rsidR="00BA4815" w:rsidRPr="00D623C2">
        <w:rPr>
          <w:bCs/>
          <w:iCs/>
        </w:rPr>
        <w:t>stanovení pravidel pro výběr dodavatelů</w:t>
      </w:r>
      <w:r w:rsidR="009868B0" w:rsidRPr="00D623C2">
        <w:rPr>
          <w:bCs/>
          <w:iCs/>
        </w:rPr>
        <w:t xml:space="preserve"> služeb, stanov</w:t>
      </w:r>
      <w:r w:rsidR="00F762C1" w:rsidRPr="00D623C2">
        <w:rPr>
          <w:bCs/>
          <w:iCs/>
        </w:rPr>
        <w:t>ení</w:t>
      </w:r>
      <w:r w:rsidR="009868B0" w:rsidRPr="00D623C2">
        <w:rPr>
          <w:bCs/>
          <w:iCs/>
        </w:rPr>
        <w:t xml:space="preserve"> finanční</w:t>
      </w:r>
      <w:r w:rsidR="007A4C91" w:rsidRPr="00D623C2">
        <w:rPr>
          <w:bCs/>
          <w:iCs/>
        </w:rPr>
        <w:t>ch</w:t>
      </w:r>
      <w:r w:rsidR="009868B0" w:rsidRPr="00D623C2">
        <w:rPr>
          <w:bCs/>
          <w:iCs/>
        </w:rPr>
        <w:t xml:space="preserve"> limit</w:t>
      </w:r>
      <w:r w:rsidR="007A4C91" w:rsidRPr="00D623C2">
        <w:rPr>
          <w:bCs/>
          <w:iCs/>
        </w:rPr>
        <w:t>ů</w:t>
      </w:r>
      <w:r w:rsidR="00BA4815" w:rsidRPr="00D623C2">
        <w:rPr>
          <w:bCs/>
          <w:iCs/>
        </w:rPr>
        <w:t xml:space="preserve"> výdajů či </w:t>
      </w:r>
      <w:r w:rsidR="007A4C91" w:rsidRPr="00D623C2">
        <w:rPr>
          <w:bCs/>
          <w:iCs/>
        </w:rPr>
        <w:t xml:space="preserve">stanovení </w:t>
      </w:r>
      <w:r w:rsidR="00BA4815" w:rsidRPr="00D623C2">
        <w:rPr>
          <w:bCs/>
          <w:iCs/>
        </w:rPr>
        <w:t>dílčí sazby dotací pro jednotlivé činnosti</w:t>
      </w:r>
      <w:r w:rsidR="009868B0" w:rsidRPr="00D623C2">
        <w:rPr>
          <w:bCs/>
          <w:iCs/>
        </w:rPr>
        <w:t xml:space="preserve">, </w:t>
      </w:r>
      <w:r w:rsidR="00ED1175" w:rsidRPr="00D623C2">
        <w:rPr>
          <w:bCs/>
          <w:iCs/>
        </w:rPr>
        <w:t>a zpravidla ani</w:t>
      </w:r>
      <w:r w:rsidR="009868B0" w:rsidRPr="00D623C2">
        <w:rPr>
          <w:bCs/>
          <w:iCs/>
        </w:rPr>
        <w:t xml:space="preserve"> finanční spoluúčast příjemce dotace na úhradách pořízených služeb. </w:t>
      </w:r>
    </w:p>
    <w:p w14:paraId="5AD3EFD3" w14:textId="77777777" w:rsidR="007B2063" w:rsidRPr="00D623C2" w:rsidRDefault="007B2063" w:rsidP="00D623C2">
      <w:pPr>
        <w:shd w:val="clear" w:color="auto" w:fill="FFFFFF"/>
        <w:spacing w:before="0"/>
        <w:rPr>
          <w:bCs/>
          <w:iCs/>
        </w:rPr>
      </w:pPr>
    </w:p>
    <w:p w14:paraId="0FA4583C" w14:textId="77777777" w:rsidR="00ED505F" w:rsidRDefault="00F762C1" w:rsidP="00D623C2">
      <w:pPr>
        <w:pStyle w:val="Odstavecseseznamem"/>
        <w:spacing w:before="0"/>
        <w:ind w:left="0"/>
        <w:contextualSpacing w:val="0"/>
      </w:pPr>
      <w:r w:rsidRPr="00D623C2">
        <w:rPr>
          <w:bCs/>
          <w:iCs/>
        </w:rPr>
        <w:t>Jelikož nebyli žadatelé povinni specifikovat rozsah činnost</w:t>
      </w:r>
      <w:r w:rsidR="002F4144" w:rsidRPr="00D623C2">
        <w:rPr>
          <w:bCs/>
          <w:iCs/>
        </w:rPr>
        <w:t>í</w:t>
      </w:r>
      <w:r w:rsidRPr="00D623C2">
        <w:rPr>
          <w:bCs/>
          <w:iCs/>
        </w:rPr>
        <w:t>, objem provedené práce</w:t>
      </w:r>
      <w:r w:rsidR="0067738B" w:rsidRPr="00D623C2">
        <w:rPr>
          <w:bCs/>
          <w:iCs/>
        </w:rPr>
        <w:t xml:space="preserve"> ani jiný jednotkový údaj provedených činností, nemohlo MZe ověřit, zda byla fakturovaná </w:t>
      </w:r>
      <w:r w:rsidR="00BA4F0D" w:rsidRPr="00D623C2">
        <w:rPr>
          <w:bCs/>
          <w:iCs/>
        </w:rPr>
        <w:t>částka za úkony provedené formou služeb</w:t>
      </w:r>
      <w:r w:rsidR="0067738B" w:rsidRPr="00D623C2">
        <w:rPr>
          <w:bCs/>
          <w:iCs/>
        </w:rPr>
        <w:t xml:space="preserve"> </w:t>
      </w:r>
      <w:r w:rsidR="00BA4F0D" w:rsidRPr="00D623C2">
        <w:rPr>
          <w:bCs/>
          <w:iCs/>
        </w:rPr>
        <w:t>přiměřená.</w:t>
      </w:r>
      <w:r w:rsidR="002D2406" w:rsidRPr="00D623C2">
        <w:rPr>
          <w:bCs/>
          <w:iCs/>
        </w:rPr>
        <w:t xml:space="preserve"> </w:t>
      </w:r>
      <w:r w:rsidR="0063392B" w:rsidRPr="00D623C2">
        <w:t xml:space="preserve">Žadatel tak </w:t>
      </w:r>
      <w:r w:rsidR="00ED505F" w:rsidRPr="00D623C2">
        <w:t xml:space="preserve">nebyl motivován chovat se </w:t>
      </w:r>
      <w:r w:rsidR="00F02A10" w:rsidRPr="00D623C2">
        <w:t>hospodár</w:t>
      </w:r>
      <w:r w:rsidR="0063392B" w:rsidRPr="00D623C2">
        <w:t>ně</w:t>
      </w:r>
      <w:r w:rsidR="00ED505F" w:rsidRPr="00D623C2">
        <w:t xml:space="preserve">. Toto riziko se projevilo u kontrolovaných projektů, což uvádí i následující příklady nehospodárného vynaložení peněžních prostředků. </w:t>
      </w:r>
    </w:p>
    <w:p w14:paraId="2ED99C76" w14:textId="77777777" w:rsidR="007B2063" w:rsidRPr="00D623C2" w:rsidRDefault="007B2063" w:rsidP="00D623C2">
      <w:pPr>
        <w:pStyle w:val="Odstavecseseznamem"/>
        <w:spacing w:before="0"/>
        <w:ind w:left="0"/>
        <w:contextualSpacing w:val="0"/>
      </w:pPr>
    </w:p>
    <w:p w14:paraId="6D542A37" w14:textId="2719E002" w:rsidR="008455F1" w:rsidRPr="00D623C2" w:rsidRDefault="00BD11F2" w:rsidP="00D623C2">
      <w:pPr>
        <w:pStyle w:val="Odstavecseseznamem"/>
        <w:spacing w:before="0"/>
        <w:ind w:left="0"/>
        <w:contextualSpacing w:val="0"/>
      </w:pPr>
      <w:r w:rsidRPr="00D623C2">
        <w:rPr>
          <w:bCs/>
          <w:iCs/>
        </w:rPr>
        <w:t xml:space="preserve">Kontrola NKÚ proběhla u </w:t>
      </w:r>
      <w:r w:rsidR="009868B0" w:rsidRPr="00D623C2">
        <w:t>příjemce dot</w:t>
      </w:r>
      <w:r w:rsidR="00160F12" w:rsidRPr="00D623C2">
        <w:t xml:space="preserve">ace, který obdržel </w:t>
      </w:r>
      <w:r w:rsidR="00CB4CF2" w:rsidRPr="00D623C2">
        <w:t>v letech</w:t>
      </w:r>
      <w:r w:rsidR="00160F12" w:rsidRPr="00D623C2">
        <w:t xml:space="preserve"> 2015–</w:t>
      </w:r>
      <w:r w:rsidR="009868B0" w:rsidRPr="00D623C2">
        <w:t>2017 mj. dotaci</w:t>
      </w:r>
      <w:r w:rsidR="00BD7E2B" w:rsidRPr="00D623C2">
        <w:t xml:space="preserve"> z dotačního programu 8.F</w:t>
      </w:r>
      <w:r w:rsidR="008455F1" w:rsidRPr="00D623C2">
        <w:t>:</w:t>
      </w:r>
    </w:p>
    <w:p w14:paraId="50E46788" w14:textId="26B37269" w:rsidR="00BD7E2B" w:rsidRPr="00D623C2" w:rsidRDefault="009868B0" w:rsidP="00816090">
      <w:pPr>
        <w:pStyle w:val="Odstavecseseznamem"/>
        <w:numPr>
          <w:ilvl w:val="0"/>
          <w:numId w:val="22"/>
        </w:numPr>
        <w:spacing w:before="0"/>
        <w:ind w:left="284" w:hanging="284"/>
        <w:contextualSpacing w:val="0"/>
      </w:pPr>
      <w:r w:rsidRPr="00D623C2">
        <w:t xml:space="preserve">na zaplacení odborného dozoru při čištění stájí v celkové výši </w:t>
      </w:r>
      <w:r w:rsidR="00BD7E2B" w:rsidRPr="00D623C2">
        <w:t>3 104 400</w:t>
      </w:r>
      <w:r w:rsidRPr="00D623C2">
        <w:t xml:space="preserve"> Kč, přičemž jedn</w:t>
      </w:r>
      <w:r w:rsidR="00BD7E2B" w:rsidRPr="00D623C2">
        <w:t>a hodina dozoru stála 2 600 Kč</w:t>
      </w:r>
      <w:r w:rsidR="001B11D6">
        <w:t>;</w:t>
      </w:r>
      <w:r w:rsidR="00BD7E2B" w:rsidRPr="00D623C2">
        <w:t xml:space="preserve"> </w:t>
      </w:r>
    </w:p>
    <w:p w14:paraId="6564A771" w14:textId="1E53FD23" w:rsidR="000B0B28" w:rsidRPr="00D623C2" w:rsidRDefault="000B0B28" w:rsidP="00816090">
      <w:pPr>
        <w:pStyle w:val="Odstavecseseznamem"/>
        <w:numPr>
          <w:ilvl w:val="0"/>
          <w:numId w:val="22"/>
        </w:numPr>
        <w:spacing w:before="0"/>
        <w:ind w:left="284" w:hanging="284"/>
        <w:contextualSpacing w:val="0"/>
      </w:pPr>
      <w:r w:rsidRPr="00D623C2">
        <w:t>na zaplacení pronáj</w:t>
      </w:r>
      <w:r w:rsidR="008455F1" w:rsidRPr="00D623C2">
        <w:t>m</w:t>
      </w:r>
      <w:r w:rsidRPr="00D623C2">
        <w:t>u</w:t>
      </w:r>
      <w:r w:rsidR="008455F1" w:rsidRPr="00D623C2">
        <w:t xml:space="preserve"> dezinfekčního stroje Fog C150 </w:t>
      </w:r>
      <w:r w:rsidRPr="00D623C2">
        <w:t>v celkové výši 1 054 500 Kč, přičemž jedna hodina pronájmu stála</w:t>
      </w:r>
      <w:r w:rsidR="008455F1" w:rsidRPr="00D623C2">
        <w:t xml:space="preserve"> 1 500 Kč</w:t>
      </w:r>
      <w:r w:rsidRPr="00D623C2">
        <w:t>. Pořizovací c</w:t>
      </w:r>
      <w:r w:rsidR="008455F1" w:rsidRPr="00D623C2">
        <w:t>ena nového stroje se pohybuje kolem 400 US dolarů</w:t>
      </w:r>
      <w:r w:rsidR="001B11D6">
        <w:t>,</w:t>
      </w:r>
      <w:r w:rsidR="004E3B96" w:rsidRPr="00816095">
        <w:t xml:space="preserve"> tj. cca 9 000 Kč</w:t>
      </w:r>
      <w:r w:rsidR="001B11D6" w:rsidRPr="00816095">
        <w:t>;</w:t>
      </w:r>
      <w:r w:rsidR="008455F1" w:rsidRPr="00D623C2">
        <w:t xml:space="preserve"> </w:t>
      </w:r>
    </w:p>
    <w:p w14:paraId="61788E7D" w14:textId="1722DDE4" w:rsidR="00624C88" w:rsidRPr="00D623C2" w:rsidRDefault="000B0B28" w:rsidP="00816090">
      <w:pPr>
        <w:pStyle w:val="Odstavecseseznamem"/>
        <w:numPr>
          <w:ilvl w:val="0"/>
          <w:numId w:val="22"/>
        </w:numPr>
        <w:spacing w:before="0"/>
        <w:ind w:left="284" w:hanging="284"/>
        <w:contextualSpacing w:val="0"/>
      </w:pPr>
      <w:r w:rsidRPr="00D623C2">
        <w:t xml:space="preserve">na zaplacení pronájmu </w:t>
      </w:r>
      <w:r w:rsidR="008455F1" w:rsidRPr="00D623C2">
        <w:t xml:space="preserve">dezinfekčního stroje Honda </w:t>
      </w:r>
      <w:r w:rsidRPr="00D623C2">
        <w:t>v celkové výši 2 886 400 Kč, přičemž jedna hodina pronájmu stála 2 200 Kč. P</w:t>
      </w:r>
      <w:r w:rsidR="008455F1" w:rsidRPr="00D623C2">
        <w:t xml:space="preserve">ořizovací cena běžného profesionálního stroje na dezinfekci a čištění stájí </w:t>
      </w:r>
      <w:r w:rsidRPr="00D623C2">
        <w:t xml:space="preserve">se pohybuje kolem </w:t>
      </w:r>
      <w:r w:rsidR="008455F1" w:rsidRPr="00D623C2">
        <w:t>150</w:t>
      </w:r>
      <w:r w:rsidR="0019514A" w:rsidRPr="00D623C2">
        <w:t xml:space="preserve"> 000</w:t>
      </w:r>
      <w:r w:rsidR="00624C88" w:rsidRPr="00D623C2">
        <w:t xml:space="preserve"> Kč.</w:t>
      </w:r>
    </w:p>
    <w:p w14:paraId="68FF3596" w14:textId="77777777" w:rsidR="00816090" w:rsidRDefault="00816090" w:rsidP="00D623C2">
      <w:pPr>
        <w:spacing w:before="0"/>
      </w:pPr>
    </w:p>
    <w:p w14:paraId="21B7B614" w14:textId="77777777" w:rsidR="00624C88" w:rsidRDefault="00624C88" w:rsidP="00D623C2">
      <w:pPr>
        <w:spacing w:before="0"/>
      </w:pPr>
      <w:r w:rsidRPr="00D623C2">
        <w:t xml:space="preserve">Vlastní čištění a obsluhu dezinfekčních strojů přitom prováděli pracovníci příjemce, dodavatel poskytoval pouze odborný dozor. </w:t>
      </w:r>
    </w:p>
    <w:p w14:paraId="1FD0D70A" w14:textId="77777777" w:rsidR="007B2063" w:rsidRPr="00D623C2" w:rsidRDefault="007B2063" w:rsidP="00D623C2">
      <w:pPr>
        <w:spacing w:before="0"/>
      </w:pPr>
    </w:p>
    <w:p w14:paraId="29D64FD5" w14:textId="2FA733D1" w:rsidR="00ED505F" w:rsidRPr="00D623C2" w:rsidRDefault="00ED505F" w:rsidP="00D623C2">
      <w:pPr>
        <w:pStyle w:val="Odstavecseseznamem"/>
        <w:spacing w:before="0"/>
        <w:ind w:left="0"/>
        <w:contextualSpacing w:val="0"/>
        <w:rPr>
          <w:bCs/>
          <w:iCs/>
        </w:rPr>
      </w:pPr>
      <w:r w:rsidRPr="00D623C2">
        <w:rPr>
          <w:b/>
          <w:bCs/>
          <w:iCs/>
        </w:rPr>
        <w:t xml:space="preserve">MZe </w:t>
      </w:r>
      <w:r w:rsidR="00011480" w:rsidRPr="00D623C2">
        <w:rPr>
          <w:b/>
          <w:bCs/>
          <w:iCs/>
        </w:rPr>
        <w:t xml:space="preserve">nestanovilo </w:t>
      </w:r>
      <w:r w:rsidRPr="00D623C2">
        <w:rPr>
          <w:b/>
          <w:bCs/>
          <w:iCs/>
        </w:rPr>
        <w:t xml:space="preserve">pro administraci a poskytování dotací </w:t>
      </w:r>
      <w:r w:rsidR="00707948" w:rsidRPr="00D623C2">
        <w:rPr>
          <w:b/>
          <w:bCs/>
          <w:iCs/>
        </w:rPr>
        <w:t xml:space="preserve">v rámci dotačního programu 8.F </w:t>
      </w:r>
      <w:r w:rsidRPr="00D623C2">
        <w:rPr>
          <w:b/>
          <w:bCs/>
          <w:iCs/>
        </w:rPr>
        <w:t>dostatečné podmínky pro sledování a vyhodnocování hospodárnosti vynaložených výdajů</w:t>
      </w:r>
      <w:r w:rsidRPr="00D623C2">
        <w:rPr>
          <w:rStyle w:val="Znakapoznpodarou"/>
          <w:b/>
          <w:bCs/>
          <w:iCs/>
        </w:rPr>
        <w:footnoteReference w:id="12"/>
      </w:r>
      <w:r w:rsidR="00707948" w:rsidRPr="0071578F">
        <w:rPr>
          <w:b/>
          <w:bCs/>
          <w:iCs/>
        </w:rPr>
        <w:t>.</w:t>
      </w:r>
      <w:r w:rsidR="00707948" w:rsidRPr="00D623C2">
        <w:rPr>
          <w:bCs/>
          <w:iCs/>
        </w:rPr>
        <w:t xml:space="preserve"> </w:t>
      </w:r>
      <w:r w:rsidR="00707948" w:rsidRPr="00D623C2">
        <w:rPr>
          <w:b/>
          <w:bCs/>
          <w:iCs/>
        </w:rPr>
        <w:t>Nemohlo proto ověřit, zda žadatel realizoval činnosti související s ozdravením chovů hospodárně.</w:t>
      </w:r>
      <w:r w:rsidR="00707948" w:rsidRPr="00D623C2">
        <w:rPr>
          <w:bCs/>
          <w:iCs/>
        </w:rPr>
        <w:t xml:space="preserve"> </w:t>
      </w:r>
    </w:p>
    <w:p w14:paraId="1DC176DF" w14:textId="77777777" w:rsidR="00846E07" w:rsidRPr="00D623C2" w:rsidRDefault="00846E07" w:rsidP="00D623C2">
      <w:pPr>
        <w:pStyle w:val="Odstavecseseznamem"/>
        <w:spacing w:before="0"/>
        <w:ind w:left="0"/>
        <w:contextualSpacing w:val="0"/>
        <w:rPr>
          <w:bCs/>
          <w:iCs/>
        </w:rPr>
      </w:pPr>
    </w:p>
    <w:p w14:paraId="21FA1058" w14:textId="77777777" w:rsidR="00F8794D" w:rsidRPr="00D623C2" w:rsidRDefault="00816090" w:rsidP="00816090">
      <w:pPr>
        <w:pStyle w:val="Nadpis2"/>
        <w:numPr>
          <w:ilvl w:val="0"/>
          <w:numId w:val="0"/>
        </w:numPr>
        <w:spacing w:before="0"/>
        <w:rPr>
          <w:sz w:val="24"/>
          <w:szCs w:val="24"/>
        </w:rPr>
      </w:pPr>
      <w:r>
        <w:rPr>
          <w:sz w:val="24"/>
          <w:szCs w:val="24"/>
        </w:rPr>
        <w:t xml:space="preserve">3. </w:t>
      </w:r>
      <w:r w:rsidR="004A479F" w:rsidRPr="00D623C2">
        <w:rPr>
          <w:sz w:val="24"/>
          <w:szCs w:val="24"/>
        </w:rPr>
        <w:t xml:space="preserve">Byl kontrolní systém </w:t>
      </w:r>
      <w:r w:rsidR="00F8794D" w:rsidRPr="00D623C2">
        <w:rPr>
          <w:sz w:val="24"/>
          <w:szCs w:val="24"/>
        </w:rPr>
        <w:t>funkční a účinný?</w:t>
      </w:r>
    </w:p>
    <w:p w14:paraId="1151D6D0" w14:textId="77777777" w:rsidR="007B2063" w:rsidRDefault="007B2063" w:rsidP="00D623C2">
      <w:pPr>
        <w:spacing w:before="0"/>
      </w:pPr>
    </w:p>
    <w:p w14:paraId="0BAAB10C" w14:textId="77777777" w:rsidR="0008031C" w:rsidRDefault="001C5ED7" w:rsidP="00D623C2">
      <w:pPr>
        <w:spacing w:before="0"/>
      </w:pPr>
      <w:r w:rsidRPr="00D623C2">
        <w:t xml:space="preserve">Poskytovatel by měl zavést účinný systém kontrol žádostí o </w:t>
      </w:r>
      <w:r w:rsidR="00382AC9" w:rsidRPr="00D623C2">
        <w:t>podporu</w:t>
      </w:r>
      <w:r w:rsidRPr="00D623C2">
        <w:t xml:space="preserve"> a tyto kontroly by měly </w:t>
      </w:r>
      <w:r w:rsidR="00382AC9" w:rsidRPr="00D623C2">
        <w:t xml:space="preserve">být účinné a funkční. </w:t>
      </w:r>
      <w:r w:rsidR="00E00014" w:rsidRPr="00D623C2">
        <w:t>Při</w:t>
      </w:r>
      <w:r w:rsidR="00382AC9" w:rsidRPr="00D623C2">
        <w:t>tom je povinen postupovat v souladu s</w:t>
      </w:r>
      <w:r w:rsidR="0063392B" w:rsidRPr="00D623C2">
        <w:t> požadavky právních předpisů</w:t>
      </w:r>
      <w:r w:rsidR="00382AC9" w:rsidRPr="00D623C2">
        <w:t>, především zákonem č. 320/2001 Sb.</w:t>
      </w:r>
      <w:r w:rsidR="002F4144" w:rsidRPr="00D623C2">
        <w:t>,</w:t>
      </w:r>
      <w:r w:rsidR="00FE318E" w:rsidRPr="00D623C2">
        <w:t xml:space="preserve"> o finanční kontrole ve veřejné správě a o změně některých zákonů (zákon o finanční kontrole).</w:t>
      </w:r>
    </w:p>
    <w:p w14:paraId="2E56D7C7" w14:textId="77777777" w:rsidR="007B2063" w:rsidRPr="00D623C2" w:rsidRDefault="007B2063" w:rsidP="00D623C2">
      <w:pPr>
        <w:spacing w:before="0"/>
      </w:pPr>
    </w:p>
    <w:p w14:paraId="54A0AC88" w14:textId="77777777" w:rsidR="0008031C" w:rsidRPr="00D623C2" w:rsidRDefault="00816090" w:rsidP="00816090">
      <w:pPr>
        <w:pStyle w:val="Nadpis3"/>
        <w:keepNext/>
        <w:numPr>
          <w:ilvl w:val="0"/>
          <w:numId w:val="0"/>
        </w:numPr>
        <w:spacing w:before="0" w:after="0"/>
      </w:pPr>
      <w:r>
        <w:t xml:space="preserve">3.1 </w:t>
      </w:r>
      <w:r w:rsidR="0008031C" w:rsidRPr="00D623C2">
        <w:t xml:space="preserve">Nedostatečná kontrolní činnost MZe a SZIF </w:t>
      </w:r>
      <w:r w:rsidR="00202A1B" w:rsidRPr="00D623C2">
        <w:t>u národních dotací</w:t>
      </w:r>
    </w:p>
    <w:p w14:paraId="3307C2EF" w14:textId="77777777" w:rsidR="007B2063" w:rsidRDefault="007B2063" w:rsidP="00816090">
      <w:pPr>
        <w:keepNext/>
        <w:spacing w:before="0"/>
      </w:pPr>
    </w:p>
    <w:p w14:paraId="4BCE2962" w14:textId="77777777" w:rsidR="00202A1B" w:rsidRPr="00D623C2" w:rsidRDefault="00202A1B" w:rsidP="00D623C2">
      <w:pPr>
        <w:spacing w:before="0"/>
      </w:pPr>
      <w:r w:rsidRPr="00D623C2">
        <w:t xml:space="preserve">NKÚ ověřil, jakým způsobem probíhají kontroly žádostí o dotaci a zda jsou tyto kontroly účinné a funkční. </w:t>
      </w:r>
    </w:p>
    <w:p w14:paraId="3F167748" w14:textId="77777777" w:rsidR="007B2063" w:rsidRDefault="007B2063" w:rsidP="00D623C2">
      <w:pPr>
        <w:pStyle w:val="Odstavecseseznamem"/>
        <w:spacing w:before="0"/>
        <w:ind w:left="0"/>
        <w:contextualSpacing w:val="0"/>
        <w:rPr>
          <w:bCs/>
          <w:iCs/>
        </w:rPr>
      </w:pPr>
    </w:p>
    <w:p w14:paraId="5BEAE776" w14:textId="3C7BB769" w:rsidR="00072369" w:rsidRDefault="00CF5E2B" w:rsidP="00D623C2">
      <w:pPr>
        <w:pStyle w:val="Odstavecseseznamem"/>
        <w:spacing w:before="0"/>
        <w:ind w:left="0"/>
        <w:contextualSpacing w:val="0"/>
        <w:rPr>
          <w:bCs/>
          <w:iCs/>
        </w:rPr>
      </w:pPr>
      <w:r w:rsidRPr="00D623C2">
        <w:rPr>
          <w:bCs/>
          <w:iCs/>
        </w:rPr>
        <w:t>Žadatelé</w:t>
      </w:r>
      <w:r w:rsidR="00A82816" w:rsidRPr="00D623C2">
        <w:rPr>
          <w:bCs/>
          <w:iCs/>
        </w:rPr>
        <w:t xml:space="preserve"> o národní dotace</w:t>
      </w:r>
      <w:r w:rsidRPr="00D623C2">
        <w:rPr>
          <w:bCs/>
          <w:iCs/>
        </w:rPr>
        <w:t xml:space="preserve"> podáva</w:t>
      </w:r>
      <w:r w:rsidR="00B92058" w:rsidRPr="00D623C2">
        <w:rPr>
          <w:bCs/>
          <w:iCs/>
        </w:rPr>
        <w:t>li</w:t>
      </w:r>
      <w:r w:rsidRPr="00D623C2">
        <w:rPr>
          <w:bCs/>
          <w:iCs/>
        </w:rPr>
        <w:t xml:space="preserve"> žádost</w:t>
      </w:r>
      <w:r w:rsidR="00B92058" w:rsidRPr="00D623C2">
        <w:rPr>
          <w:bCs/>
          <w:iCs/>
        </w:rPr>
        <w:t xml:space="preserve"> o dotaci</w:t>
      </w:r>
      <w:r w:rsidRPr="00D623C2">
        <w:rPr>
          <w:bCs/>
          <w:iCs/>
        </w:rPr>
        <w:t xml:space="preserve"> na příslušný regionální od</w:t>
      </w:r>
      <w:r w:rsidR="00B92058" w:rsidRPr="00D623C2">
        <w:rPr>
          <w:bCs/>
          <w:iCs/>
        </w:rPr>
        <w:t>bor SZIF, který žádost zaevidoval</w:t>
      </w:r>
      <w:r w:rsidRPr="00D623C2">
        <w:rPr>
          <w:bCs/>
          <w:iCs/>
        </w:rPr>
        <w:t xml:space="preserve"> a prověř</w:t>
      </w:r>
      <w:r w:rsidR="00B92058" w:rsidRPr="00D623C2">
        <w:rPr>
          <w:bCs/>
          <w:iCs/>
        </w:rPr>
        <w:t>il</w:t>
      </w:r>
      <w:r w:rsidRPr="00D623C2">
        <w:rPr>
          <w:bCs/>
          <w:iCs/>
        </w:rPr>
        <w:t xml:space="preserve"> </w:t>
      </w:r>
      <w:r w:rsidR="00B92058" w:rsidRPr="00D623C2">
        <w:rPr>
          <w:bCs/>
          <w:iCs/>
        </w:rPr>
        <w:t xml:space="preserve">ji </w:t>
      </w:r>
      <w:r w:rsidRPr="00D623C2">
        <w:rPr>
          <w:bCs/>
          <w:iCs/>
        </w:rPr>
        <w:t>z hlediska úplnosti a správnosti</w:t>
      </w:r>
      <w:r w:rsidR="00B92058" w:rsidRPr="00D623C2">
        <w:rPr>
          <w:bCs/>
          <w:iCs/>
        </w:rPr>
        <w:t xml:space="preserve">. Následně </w:t>
      </w:r>
      <w:r w:rsidR="00A82816" w:rsidRPr="00D623C2">
        <w:rPr>
          <w:bCs/>
          <w:iCs/>
        </w:rPr>
        <w:t xml:space="preserve">byla </w:t>
      </w:r>
      <w:r w:rsidR="00B92058" w:rsidRPr="00D623C2">
        <w:rPr>
          <w:bCs/>
          <w:iCs/>
        </w:rPr>
        <w:t>žádost postoupena</w:t>
      </w:r>
      <w:r w:rsidRPr="00D623C2">
        <w:rPr>
          <w:bCs/>
          <w:iCs/>
        </w:rPr>
        <w:t xml:space="preserve"> MZe</w:t>
      </w:r>
      <w:r w:rsidR="00B92058" w:rsidRPr="00D623C2">
        <w:rPr>
          <w:bCs/>
          <w:iCs/>
        </w:rPr>
        <w:t>, které provádí</w:t>
      </w:r>
      <w:r w:rsidRPr="00D623C2">
        <w:rPr>
          <w:bCs/>
          <w:iCs/>
        </w:rPr>
        <w:t xml:space="preserve"> kontrolu žádosti garantem (princip čtyř očí). </w:t>
      </w:r>
      <w:r w:rsidR="001938AF" w:rsidRPr="00D623C2">
        <w:rPr>
          <w:bCs/>
          <w:iCs/>
        </w:rPr>
        <w:t>V</w:t>
      </w:r>
      <w:r w:rsidR="00B92058" w:rsidRPr="00D623C2">
        <w:rPr>
          <w:bCs/>
          <w:iCs/>
        </w:rPr>
        <w:t>ztah</w:t>
      </w:r>
      <w:r w:rsidR="001938AF" w:rsidRPr="00D623C2">
        <w:rPr>
          <w:bCs/>
          <w:iCs/>
        </w:rPr>
        <w:t xml:space="preserve"> mezi MZe a SZIF</w:t>
      </w:r>
      <w:r w:rsidR="00B92058" w:rsidRPr="00D623C2">
        <w:rPr>
          <w:bCs/>
          <w:iCs/>
        </w:rPr>
        <w:t xml:space="preserve"> byl v kontrolovaném období upraven </w:t>
      </w:r>
      <w:r w:rsidR="001B11D6">
        <w:rPr>
          <w:bCs/>
          <w:iCs/>
        </w:rPr>
        <w:t>d</w:t>
      </w:r>
      <w:r w:rsidR="00B92058" w:rsidRPr="00D623C2">
        <w:rPr>
          <w:bCs/>
          <w:iCs/>
        </w:rPr>
        <w:t>ohodou mezi MZe a SZIF ze dne 8. 1. 2015</w:t>
      </w:r>
      <w:r w:rsidR="00B92058" w:rsidRPr="00D623C2">
        <w:rPr>
          <w:rStyle w:val="Znakapoznpodarou"/>
          <w:bCs/>
          <w:iCs/>
        </w:rPr>
        <w:footnoteReference w:id="13"/>
      </w:r>
      <w:r w:rsidR="00B92058" w:rsidRPr="00D623C2">
        <w:rPr>
          <w:bCs/>
          <w:iCs/>
        </w:rPr>
        <w:t>.</w:t>
      </w:r>
    </w:p>
    <w:p w14:paraId="5DBE7FB1" w14:textId="77777777" w:rsidR="00D623C2" w:rsidRPr="00D623C2" w:rsidRDefault="00D623C2" w:rsidP="00D623C2">
      <w:pPr>
        <w:pStyle w:val="Odstavecseseznamem"/>
        <w:spacing w:before="0"/>
        <w:ind w:left="0"/>
        <w:contextualSpacing w:val="0"/>
      </w:pPr>
    </w:p>
    <w:p w14:paraId="7035A3BB" w14:textId="77777777" w:rsidR="006D1CEF" w:rsidRPr="007E1392" w:rsidRDefault="006D1CEF" w:rsidP="00520703">
      <w:pPr>
        <w:pStyle w:val="Titulek"/>
        <w:keepNext/>
        <w:spacing w:before="0" w:after="40"/>
        <w:ind w:left="1304" w:hanging="1304"/>
        <w:rPr>
          <w:rFonts w:asciiTheme="minorHAnsi" w:hAnsiTheme="minorHAnsi" w:cstheme="minorHAnsi"/>
          <w:b/>
          <w:i w:val="0"/>
          <w:color w:val="auto"/>
          <w:sz w:val="24"/>
        </w:rPr>
      </w:pPr>
      <w:r w:rsidRPr="00D623C2">
        <w:rPr>
          <w:rFonts w:asciiTheme="minorHAnsi" w:hAnsiTheme="minorHAnsi" w:cstheme="minorHAnsi"/>
          <w:b/>
          <w:i w:val="0"/>
          <w:color w:val="auto"/>
          <w:sz w:val="24"/>
        </w:rPr>
        <w:t xml:space="preserve">Tabulka č. </w:t>
      </w:r>
      <w:r w:rsidR="00B32003" w:rsidRPr="00D623C2">
        <w:rPr>
          <w:rFonts w:asciiTheme="minorHAnsi" w:hAnsiTheme="minorHAnsi" w:cstheme="minorHAnsi"/>
          <w:b/>
          <w:i w:val="0"/>
          <w:color w:val="auto"/>
          <w:sz w:val="24"/>
        </w:rPr>
        <w:t>3</w:t>
      </w:r>
      <w:r w:rsidRPr="00D623C2">
        <w:rPr>
          <w:rFonts w:asciiTheme="minorHAnsi" w:hAnsiTheme="minorHAnsi" w:cstheme="minorHAnsi"/>
          <w:b/>
          <w:i w:val="0"/>
          <w:color w:val="auto"/>
          <w:sz w:val="24"/>
        </w:rPr>
        <w:t>:</w:t>
      </w:r>
      <w:r w:rsidR="00D623C2">
        <w:rPr>
          <w:color w:val="auto"/>
          <w:sz w:val="24"/>
        </w:rPr>
        <w:tab/>
      </w:r>
      <w:r w:rsidRPr="007E1392">
        <w:rPr>
          <w:rFonts w:asciiTheme="minorHAnsi" w:hAnsiTheme="minorHAnsi" w:cstheme="minorHAnsi"/>
          <w:b/>
          <w:i w:val="0"/>
          <w:color w:val="auto"/>
          <w:sz w:val="24"/>
        </w:rPr>
        <w:t>Počet administrovaných žádostí o dotaci</w:t>
      </w:r>
      <w:r w:rsidR="00332CB4" w:rsidRPr="007E1392">
        <w:rPr>
          <w:rFonts w:asciiTheme="minorHAnsi" w:hAnsiTheme="minorHAnsi" w:cstheme="minorHAnsi"/>
          <w:b/>
          <w:i w:val="0"/>
          <w:color w:val="auto"/>
          <w:sz w:val="24"/>
        </w:rPr>
        <w:t xml:space="preserve"> u nejvýznamnějších dotačních programů</w:t>
      </w:r>
      <w:r w:rsidR="002F4144" w:rsidRPr="007E1392">
        <w:rPr>
          <w:rFonts w:asciiTheme="minorHAnsi" w:hAnsiTheme="minorHAnsi" w:cstheme="minorHAnsi"/>
          <w:b/>
          <w:i w:val="0"/>
          <w:color w:val="auto"/>
          <w:sz w:val="24"/>
        </w:rPr>
        <w:t xml:space="preserve"> </w:t>
      </w:r>
      <w:r w:rsidR="004E3B96" w:rsidRPr="007E1392">
        <w:rPr>
          <w:rFonts w:asciiTheme="minorHAnsi" w:hAnsiTheme="minorHAnsi" w:cstheme="minorHAnsi"/>
          <w:b/>
          <w:i w:val="0"/>
          <w:color w:val="auto"/>
          <w:sz w:val="24"/>
        </w:rPr>
        <w:t>v sektoru živočišné výroby</w:t>
      </w:r>
    </w:p>
    <w:tbl>
      <w:tblPr>
        <w:tblStyle w:val="Mkatabulky3"/>
        <w:tblW w:w="8931" w:type="dxa"/>
        <w:jc w:val="center"/>
        <w:tblLook w:val="04A0" w:firstRow="1" w:lastRow="0" w:firstColumn="1" w:lastColumn="0" w:noHBand="0" w:noVBand="1"/>
      </w:tblPr>
      <w:tblGrid>
        <w:gridCol w:w="2302"/>
        <w:gridCol w:w="2302"/>
        <w:gridCol w:w="2302"/>
        <w:gridCol w:w="2025"/>
      </w:tblGrid>
      <w:tr w:rsidR="006D1CEF" w:rsidRPr="00EB270E" w14:paraId="5ABCCDD6" w14:textId="77777777" w:rsidTr="00D623C2">
        <w:trPr>
          <w:trHeight w:val="227"/>
          <w:jc w:val="center"/>
        </w:trPr>
        <w:tc>
          <w:tcPr>
            <w:tcW w:w="2302" w:type="dxa"/>
            <w:shd w:val="clear" w:color="auto" w:fill="DDF1FF"/>
          </w:tcPr>
          <w:p w14:paraId="54D7357E" w14:textId="77777777" w:rsidR="006D1CEF" w:rsidRPr="00EB270E" w:rsidRDefault="006D1CEF" w:rsidP="00520703">
            <w:pPr>
              <w:keepNext/>
              <w:spacing w:before="0"/>
              <w:jc w:val="center"/>
              <w:rPr>
                <w:rFonts w:eastAsia="Calibri" w:cs="Times New Roman"/>
                <w:b/>
                <w:sz w:val="20"/>
                <w:szCs w:val="20"/>
              </w:rPr>
            </w:pPr>
            <w:r w:rsidRPr="00EB270E">
              <w:rPr>
                <w:rFonts w:eastAsia="Calibri" w:cs="Times New Roman"/>
                <w:b/>
                <w:sz w:val="20"/>
                <w:szCs w:val="20"/>
              </w:rPr>
              <w:t>Dotační program</w:t>
            </w:r>
          </w:p>
        </w:tc>
        <w:tc>
          <w:tcPr>
            <w:tcW w:w="2302" w:type="dxa"/>
            <w:shd w:val="clear" w:color="auto" w:fill="DDF1FF"/>
          </w:tcPr>
          <w:p w14:paraId="5F2C06A7" w14:textId="77777777" w:rsidR="006D1CEF" w:rsidRPr="00EB270E" w:rsidRDefault="006D1CEF" w:rsidP="00520703">
            <w:pPr>
              <w:keepNext/>
              <w:spacing w:before="0"/>
              <w:jc w:val="center"/>
              <w:rPr>
                <w:rFonts w:eastAsia="Calibri" w:cs="Times New Roman"/>
                <w:b/>
                <w:sz w:val="20"/>
                <w:szCs w:val="20"/>
              </w:rPr>
            </w:pPr>
            <w:r w:rsidRPr="00EB270E">
              <w:rPr>
                <w:rFonts w:eastAsia="Calibri" w:cs="Times New Roman"/>
                <w:b/>
                <w:sz w:val="20"/>
                <w:szCs w:val="20"/>
              </w:rPr>
              <w:t>2.A</w:t>
            </w:r>
          </w:p>
        </w:tc>
        <w:tc>
          <w:tcPr>
            <w:tcW w:w="2302" w:type="dxa"/>
            <w:shd w:val="clear" w:color="auto" w:fill="DDF1FF"/>
          </w:tcPr>
          <w:p w14:paraId="37081361" w14:textId="77777777" w:rsidR="006D1CEF" w:rsidRPr="00EB270E" w:rsidRDefault="006D1CEF" w:rsidP="00520703">
            <w:pPr>
              <w:keepNext/>
              <w:spacing w:before="0"/>
              <w:jc w:val="center"/>
              <w:rPr>
                <w:rFonts w:eastAsia="Calibri" w:cs="Times New Roman"/>
                <w:b/>
                <w:sz w:val="20"/>
                <w:szCs w:val="20"/>
              </w:rPr>
            </w:pPr>
            <w:r w:rsidRPr="00EB270E">
              <w:rPr>
                <w:rFonts w:eastAsia="Calibri" w:cs="Times New Roman"/>
                <w:b/>
                <w:sz w:val="20"/>
                <w:szCs w:val="20"/>
              </w:rPr>
              <w:t>8.F</w:t>
            </w:r>
          </w:p>
        </w:tc>
        <w:tc>
          <w:tcPr>
            <w:tcW w:w="2025" w:type="dxa"/>
            <w:shd w:val="clear" w:color="auto" w:fill="DDF1FF"/>
          </w:tcPr>
          <w:p w14:paraId="4BDC3A7E" w14:textId="77777777" w:rsidR="006D1CEF" w:rsidRPr="00EB270E" w:rsidRDefault="006D1CEF" w:rsidP="00520703">
            <w:pPr>
              <w:keepNext/>
              <w:spacing w:before="0"/>
              <w:jc w:val="center"/>
              <w:rPr>
                <w:rFonts w:eastAsia="Calibri" w:cs="Times New Roman"/>
                <w:b/>
                <w:sz w:val="20"/>
                <w:szCs w:val="20"/>
              </w:rPr>
            </w:pPr>
            <w:r w:rsidRPr="00EB270E">
              <w:rPr>
                <w:rFonts w:eastAsia="Calibri" w:cs="Times New Roman"/>
                <w:b/>
                <w:sz w:val="20"/>
                <w:szCs w:val="20"/>
              </w:rPr>
              <w:t>19.A</w:t>
            </w:r>
          </w:p>
        </w:tc>
      </w:tr>
      <w:tr w:rsidR="006D1CEF" w:rsidRPr="00EB270E" w14:paraId="7C0E6438" w14:textId="77777777" w:rsidTr="00D623C2">
        <w:trPr>
          <w:trHeight w:val="227"/>
          <w:jc w:val="center"/>
        </w:trPr>
        <w:tc>
          <w:tcPr>
            <w:tcW w:w="2302" w:type="dxa"/>
          </w:tcPr>
          <w:p w14:paraId="18317152" w14:textId="77777777" w:rsidR="006D1CEF" w:rsidRPr="00EB270E" w:rsidRDefault="006D1CEF" w:rsidP="00520703">
            <w:pPr>
              <w:keepNext/>
              <w:spacing w:before="0"/>
              <w:jc w:val="center"/>
              <w:rPr>
                <w:rFonts w:eastAsia="Calibri" w:cs="Times New Roman"/>
                <w:sz w:val="20"/>
                <w:szCs w:val="20"/>
              </w:rPr>
            </w:pPr>
            <w:r w:rsidRPr="00EB270E">
              <w:rPr>
                <w:rFonts w:eastAsia="Calibri" w:cs="Times New Roman"/>
                <w:sz w:val="20"/>
                <w:szCs w:val="20"/>
              </w:rPr>
              <w:t>2016</w:t>
            </w:r>
          </w:p>
        </w:tc>
        <w:tc>
          <w:tcPr>
            <w:tcW w:w="2302" w:type="dxa"/>
          </w:tcPr>
          <w:p w14:paraId="3BD523D1" w14:textId="77777777" w:rsidR="006D1CEF" w:rsidRPr="00EB270E" w:rsidRDefault="006D1CEF" w:rsidP="00520703">
            <w:pPr>
              <w:keepNext/>
              <w:spacing w:before="0"/>
              <w:ind w:right="818"/>
              <w:jc w:val="right"/>
              <w:rPr>
                <w:rFonts w:eastAsia="Calibri" w:cs="Times New Roman"/>
                <w:sz w:val="20"/>
                <w:szCs w:val="20"/>
              </w:rPr>
            </w:pPr>
            <w:r w:rsidRPr="00EB270E">
              <w:rPr>
                <w:rFonts w:eastAsia="Calibri" w:cs="Times New Roman"/>
                <w:sz w:val="20"/>
                <w:szCs w:val="20"/>
              </w:rPr>
              <w:t>208</w:t>
            </w:r>
          </w:p>
        </w:tc>
        <w:tc>
          <w:tcPr>
            <w:tcW w:w="2302" w:type="dxa"/>
          </w:tcPr>
          <w:p w14:paraId="7ACBD846" w14:textId="77777777" w:rsidR="006D1CEF" w:rsidRPr="00EB270E" w:rsidRDefault="006D1CEF" w:rsidP="00520703">
            <w:pPr>
              <w:keepNext/>
              <w:spacing w:before="0"/>
              <w:ind w:right="818"/>
              <w:jc w:val="right"/>
              <w:rPr>
                <w:rFonts w:eastAsia="Calibri" w:cs="Times New Roman"/>
                <w:sz w:val="20"/>
                <w:szCs w:val="20"/>
              </w:rPr>
            </w:pPr>
            <w:r w:rsidRPr="00EB270E">
              <w:rPr>
                <w:rFonts w:eastAsia="Calibri" w:cs="Times New Roman"/>
                <w:sz w:val="20"/>
                <w:szCs w:val="20"/>
              </w:rPr>
              <w:t>791</w:t>
            </w:r>
          </w:p>
        </w:tc>
        <w:tc>
          <w:tcPr>
            <w:tcW w:w="2025" w:type="dxa"/>
          </w:tcPr>
          <w:p w14:paraId="7934DCFA" w14:textId="77777777" w:rsidR="006D1CEF" w:rsidRPr="00EB270E" w:rsidRDefault="006D1CEF" w:rsidP="00520703">
            <w:pPr>
              <w:keepNext/>
              <w:spacing w:before="0"/>
              <w:ind w:right="818"/>
              <w:jc w:val="right"/>
              <w:rPr>
                <w:rFonts w:eastAsia="Calibri" w:cs="Times New Roman"/>
                <w:sz w:val="20"/>
                <w:szCs w:val="20"/>
              </w:rPr>
            </w:pPr>
            <w:r w:rsidRPr="00EB270E">
              <w:rPr>
                <w:rFonts w:eastAsia="Calibri" w:cs="Times New Roman"/>
                <w:sz w:val="20"/>
                <w:szCs w:val="20"/>
              </w:rPr>
              <w:t>921</w:t>
            </w:r>
          </w:p>
        </w:tc>
      </w:tr>
      <w:tr w:rsidR="006D1CEF" w:rsidRPr="00EB270E" w14:paraId="2BCB5FA3" w14:textId="77777777" w:rsidTr="00D623C2">
        <w:trPr>
          <w:trHeight w:val="227"/>
          <w:jc w:val="center"/>
        </w:trPr>
        <w:tc>
          <w:tcPr>
            <w:tcW w:w="2302" w:type="dxa"/>
          </w:tcPr>
          <w:p w14:paraId="4F27ACDB" w14:textId="77777777" w:rsidR="006D1CEF" w:rsidRPr="00EB270E" w:rsidRDefault="006D1CEF" w:rsidP="00520703">
            <w:pPr>
              <w:keepNext/>
              <w:spacing w:before="0"/>
              <w:jc w:val="center"/>
              <w:rPr>
                <w:rFonts w:eastAsia="Calibri" w:cs="Times New Roman"/>
                <w:sz w:val="20"/>
                <w:szCs w:val="20"/>
              </w:rPr>
            </w:pPr>
            <w:r w:rsidRPr="00EB270E">
              <w:rPr>
                <w:rFonts w:eastAsia="Calibri" w:cs="Times New Roman"/>
                <w:sz w:val="20"/>
                <w:szCs w:val="20"/>
              </w:rPr>
              <w:t>2017</w:t>
            </w:r>
          </w:p>
        </w:tc>
        <w:tc>
          <w:tcPr>
            <w:tcW w:w="2302" w:type="dxa"/>
          </w:tcPr>
          <w:p w14:paraId="401F38C8" w14:textId="77777777" w:rsidR="006D1CEF" w:rsidRPr="00EB270E" w:rsidRDefault="006D1CEF" w:rsidP="00520703">
            <w:pPr>
              <w:keepNext/>
              <w:spacing w:before="0"/>
              <w:ind w:right="818"/>
              <w:jc w:val="right"/>
              <w:rPr>
                <w:rFonts w:eastAsia="Calibri" w:cs="Times New Roman"/>
                <w:sz w:val="20"/>
                <w:szCs w:val="20"/>
              </w:rPr>
            </w:pPr>
            <w:r w:rsidRPr="00EB270E">
              <w:rPr>
                <w:rFonts w:eastAsia="Calibri" w:cs="Times New Roman"/>
                <w:sz w:val="20"/>
                <w:szCs w:val="20"/>
              </w:rPr>
              <w:t>218</w:t>
            </w:r>
          </w:p>
        </w:tc>
        <w:tc>
          <w:tcPr>
            <w:tcW w:w="2302" w:type="dxa"/>
          </w:tcPr>
          <w:p w14:paraId="08D227BA" w14:textId="77777777" w:rsidR="006D1CEF" w:rsidRPr="00EB270E" w:rsidRDefault="006D1CEF" w:rsidP="00520703">
            <w:pPr>
              <w:keepNext/>
              <w:spacing w:before="0"/>
              <w:ind w:right="818"/>
              <w:jc w:val="right"/>
              <w:rPr>
                <w:rFonts w:eastAsia="Calibri" w:cs="Times New Roman"/>
                <w:sz w:val="20"/>
                <w:szCs w:val="20"/>
              </w:rPr>
            </w:pPr>
            <w:r w:rsidRPr="00EB270E">
              <w:rPr>
                <w:rFonts w:eastAsia="Calibri" w:cs="Times New Roman"/>
                <w:sz w:val="20"/>
                <w:szCs w:val="20"/>
              </w:rPr>
              <w:t>807</w:t>
            </w:r>
          </w:p>
        </w:tc>
        <w:tc>
          <w:tcPr>
            <w:tcW w:w="2025" w:type="dxa"/>
          </w:tcPr>
          <w:p w14:paraId="014AC099" w14:textId="77777777" w:rsidR="006D1CEF" w:rsidRPr="00EB270E" w:rsidRDefault="006D1CEF" w:rsidP="00520703">
            <w:pPr>
              <w:keepNext/>
              <w:spacing w:before="0"/>
              <w:ind w:right="818"/>
              <w:jc w:val="right"/>
              <w:rPr>
                <w:rFonts w:eastAsia="Calibri" w:cs="Times New Roman"/>
                <w:sz w:val="20"/>
                <w:szCs w:val="20"/>
              </w:rPr>
            </w:pPr>
            <w:r w:rsidRPr="00EB270E">
              <w:rPr>
                <w:rFonts w:eastAsia="Calibri" w:cs="Times New Roman"/>
                <w:sz w:val="20"/>
                <w:szCs w:val="20"/>
              </w:rPr>
              <w:t>999</w:t>
            </w:r>
          </w:p>
        </w:tc>
      </w:tr>
      <w:tr w:rsidR="006D1CEF" w:rsidRPr="00EB270E" w14:paraId="65CA63BA" w14:textId="77777777" w:rsidTr="00D623C2">
        <w:trPr>
          <w:trHeight w:val="227"/>
          <w:jc w:val="center"/>
        </w:trPr>
        <w:tc>
          <w:tcPr>
            <w:tcW w:w="2302" w:type="dxa"/>
            <w:shd w:val="clear" w:color="auto" w:fill="F2C6C9"/>
          </w:tcPr>
          <w:p w14:paraId="3420B095" w14:textId="77777777" w:rsidR="006D1CEF" w:rsidRPr="00EB270E" w:rsidRDefault="006D1CEF" w:rsidP="00520703">
            <w:pPr>
              <w:keepNext/>
              <w:spacing w:before="0"/>
              <w:jc w:val="center"/>
              <w:rPr>
                <w:rFonts w:eastAsia="Calibri" w:cs="Times New Roman"/>
                <w:b/>
                <w:sz w:val="20"/>
                <w:szCs w:val="20"/>
              </w:rPr>
            </w:pPr>
            <w:r w:rsidRPr="00EB270E">
              <w:rPr>
                <w:rFonts w:eastAsia="Calibri" w:cs="Times New Roman"/>
                <w:b/>
                <w:sz w:val="20"/>
                <w:szCs w:val="20"/>
              </w:rPr>
              <w:t>Celkem</w:t>
            </w:r>
          </w:p>
        </w:tc>
        <w:tc>
          <w:tcPr>
            <w:tcW w:w="2302" w:type="dxa"/>
            <w:shd w:val="clear" w:color="auto" w:fill="F2C6C9"/>
          </w:tcPr>
          <w:p w14:paraId="6523043A" w14:textId="77777777" w:rsidR="006D1CEF" w:rsidRPr="00EB270E" w:rsidRDefault="006D1CEF" w:rsidP="00520703">
            <w:pPr>
              <w:keepNext/>
              <w:spacing w:before="0"/>
              <w:ind w:right="818"/>
              <w:jc w:val="right"/>
              <w:rPr>
                <w:rFonts w:eastAsia="Calibri" w:cs="Times New Roman"/>
                <w:b/>
                <w:sz w:val="20"/>
                <w:szCs w:val="20"/>
              </w:rPr>
            </w:pPr>
            <w:r w:rsidRPr="00EB270E">
              <w:rPr>
                <w:rFonts w:eastAsia="Calibri" w:cs="Times New Roman"/>
                <w:b/>
                <w:sz w:val="20"/>
                <w:szCs w:val="20"/>
              </w:rPr>
              <w:t>426</w:t>
            </w:r>
          </w:p>
        </w:tc>
        <w:tc>
          <w:tcPr>
            <w:tcW w:w="2302" w:type="dxa"/>
            <w:shd w:val="clear" w:color="auto" w:fill="F2C6C9"/>
          </w:tcPr>
          <w:p w14:paraId="0B662131" w14:textId="77777777" w:rsidR="006D1CEF" w:rsidRPr="00EB270E" w:rsidRDefault="006D1CEF" w:rsidP="00520703">
            <w:pPr>
              <w:keepNext/>
              <w:spacing w:before="0"/>
              <w:ind w:right="818"/>
              <w:jc w:val="right"/>
              <w:rPr>
                <w:rFonts w:eastAsia="Calibri" w:cs="Times New Roman"/>
                <w:b/>
                <w:sz w:val="20"/>
                <w:szCs w:val="20"/>
              </w:rPr>
            </w:pPr>
            <w:r w:rsidRPr="00EB270E">
              <w:rPr>
                <w:rFonts w:eastAsia="Calibri" w:cs="Times New Roman"/>
                <w:b/>
                <w:sz w:val="20"/>
                <w:szCs w:val="20"/>
              </w:rPr>
              <w:t>1 598</w:t>
            </w:r>
          </w:p>
        </w:tc>
        <w:tc>
          <w:tcPr>
            <w:tcW w:w="2025" w:type="dxa"/>
            <w:shd w:val="clear" w:color="auto" w:fill="F2C6C9"/>
          </w:tcPr>
          <w:p w14:paraId="6814172F" w14:textId="77777777" w:rsidR="006D1CEF" w:rsidRPr="00EB270E" w:rsidRDefault="006D1CEF" w:rsidP="00520703">
            <w:pPr>
              <w:keepNext/>
              <w:spacing w:before="0"/>
              <w:ind w:right="818"/>
              <w:jc w:val="right"/>
              <w:rPr>
                <w:rFonts w:eastAsia="Calibri" w:cs="Times New Roman"/>
                <w:b/>
                <w:sz w:val="20"/>
                <w:szCs w:val="20"/>
              </w:rPr>
            </w:pPr>
            <w:r w:rsidRPr="00EB270E">
              <w:rPr>
                <w:rFonts w:eastAsia="Calibri" w:cs="Times New Roman"/>
                <w:b/>
                <w:sz w:val="20"/>
                <w:szCs w:val="20"/>
              </w:rPr>
              <w:t>1 920</w:t>
            </w:r>
          </w:p>
        </w:tc>
      </w:tr>
    </w:tbl>
    <w:p w14:paraId="2060C7DD" w14:textId="77777777" w:rsidR="00F42131" w:rsidRDefault="00F42131" w:rsidP="00D623C2">
      <w:pPr>
        <w:spacing w:before="0"/>
      </w:pPr>
    </w:p>
    <w:p w14:paraId="3BE03557" w14:textId="7BB52575" w:rsidR="006D1CEF" w:rsidRDefault="0019514A" w:rsidP="00D623C2">
      <w:pPr>
        <w:spacing w:before="0"/>
      </w:pPr>
      <w:r w:rsidRPr="00D623C2">
        <w:t xml:space="preserve">Jak vyplývá z tabulky č. 3, </w:t>
      </w:r>
      <w:r w:rsidR="00A82816" w:rsidRPr="00D623C2">
        <w:t>MZe</w:t>
      </w:r>
      <w:r w:rsidR="0016421A" w:rsidRPr="00D623C2">
        <w:t xml:space="preserve"> a SZIF </w:t>
      </w:r>
      <w:r w:rsidR="00A82816" w:rsidRPr="00D623C2">
        <w:t>ročně administruj</w:t>
      </w:r>
      <w:r w:rsidR="0016421A" w:rsidRPr="00D623C2">
        <w:t>í</w:t>
      </w:r>
      <w:r w:rsidR="00A82816" w:rsidRPr="00D623C2">
        <w:t xml:space="preserve"> více než dva tisíce žádostí o národní dotace. </w:t>
      </w:r>
      <w:r w:rsidR="004E3B96" w:rsidRPr="00D623C2">
        <w:t xml:space="preserve">Kvůli nevhodně nastavenému systému </w:t>
      </w:r>
      <w:r w:rsidR="00A82816" w:rsidRPr="00D623C2">
        <w:t>ne</w:t>
      </w:r>
      <w:r w:rsidR="0016421A" w:rsidRPr="00D623C2">
        <w:t>jsou</w:t>
      </w:r>
      <w:r w:rsidR="00A82816" w:rsidRPr="00D623C2">
        <w:t xml:space="preserve"> schopn</w:t>
      </w:r>
      <w:r w:rsidR="00520703">
        <w:t>y</w:t>
      </w:r>
      <w:r w:rsidR="00A82816" w:rsidRPr="00D623C2">
        <w:t xml:space="preserve"> zajistit jejich řádnou administraci a kontrolu. Dochází tak k případům, kdy jsou žadatelům propláceny výdaje, které nejsou doloženy fakturami, nebo jsou přímo neuznatelné. </w:t>
      </w:r>
    </w:p>
    <w:p w14:paraId="236B0C18" w14:textId="77777777" w:rsidR="00F42131" w:rsidRPr="00F42131" w:rsidRDefault="00F42131" w:rsidP="00D623C2">
      <w:pPr>
        <w:spacing w:before="0"/>
      </w:pPr>
    </w:p>
    <w:p w14:paraId="5CBBC51E" w14:textId="2EC3F6BB" w:rsidR="001938AF" w:rsidRDefault="00CA7182" w:rsidP="00D623C2">
      <w:pPr>
        <w:pStyle w:val="Odstavecseseznamem"/>
        <w:spacing w:before="0"/>
        <w:ind w:left="0"/>
        <w:contextualSpacing w:val="0"/>
      </w:pPr>
      <w:r w:rsidRPr="00D623C2">
        <w:t xml:space="preserve">NKÚ </w:t>
      </w:r>
      <w:r w:rsidR="002F4144" w:rsidRPr="00D623C2">
        <w:t>zjistil</w:t>
      </w:r>
      <w:r w:rsidRPr="00D623C2">
        <w:t xml:space="preserve"> významné nedostatky </w:t>
      </w:r>
      <w:r w:rsidR="004E3B96" w:rsidRPr="00D623C2">
        <w:t xml:space="preserve">při kontrole administrace </w:t>
      </w:r>
      <w:r w:rsidR="002E66F2" w:rsidRPr="00D623C2">
        <w:t xml:space="preserve">dotačního titulu 19.A. Více </w:t>
      </w:r>
      <w:r w:rsidR="002F4144" w:rsidRPr="00D623C2">
        <w:t>je</w:t>
      </w:r>
      <w:r w:rsidR="002E66F2" w:rsidRPr="00D623C2">
        <w:t xml:space="preserve"> uvedeno v následujících </w:t>
      </w:r>
      <w:r w:rsidR="00170E5B" w:rsidRPr="00D623C2">
        <w:t>bodech</w:t>
      </w:r>
      <w:r w:rsidR="002E66F2" w:rsidRPr="00D623C2">
        <w:t xml:space="preserve">. </w:t>
      </w:r>
    </w:p>
    <w:p w14:paraId="2EDD323C" w14:textId="77777777" w:rsidR="008F21C1" w:rsidRPr="00635EA2" w:rsidRDefault="008F21C1" w:rsidP="00635EA2">
      <w:pPr>
        <w:pStyle w:val="Odstavecseseznamem"/>
        <w:spacing w:before="0"/>
        <w:ind w:left="0"/>
        <w:contextualSpacing w:val="0"/>
      </w:pPr>
    </w:p>
    <w:p w14:paraId="6DD22FED" w14:textId="6F6B02B2" w:rsidR="00CA7182" w:rsidRPr="00215D0C" w:rsidRDefault="00215D0C" w:rsidP="00F42131">
      <w:pPr>
        <w:pStyle w:val="Nadpis4"/>
        <w:numPr>
          <w:ilvl w:val="0"/>
          <w:numId w:val="0"/>
        </w:numPr>
        <w:spacing w:before="0" w:after="0"/>
        <w:contextualSpacing w:val="0"/>
        <w:rPr>
          <w:b/>
        </w:rPr>
      </w:pPr>
      <w:r>
        <w:rPr>
          <w:b/>
        </w:rPr>
        <w:t xml:space="preserve">3.1.1 </w:t>
      </w:r>
      <w:r w:rsidR="00CA7182" w:rsidRPr="00215D0C">
        <w:rPr>
          <w:b/>
        </w:rPr>
        <w:t>Nedoložené náklady</w:t>
      </w:r>
      <w:r w:rsidR="006D1CEF" w:rsidRPr="00215D0C">
        <w:rPr>
          <w:b/>
        </w:rPr>
        <w:t xml:space="preserve"> u dotačního programu 19.A</w:t>
      </w:r>
    </w:p>
    <w:p w14:paraId="338582D8" w14:textId="77777777" w:rsidR="00F42131" w:rsidRDefault="00F42131" w:rsidP="00D623C2">
      <w:pPr>
        <w:spacing w:before="0"/>
        <w:rPr>
          <w:lang w:eastAsia="cs-CZ"/>
        </w:rPr>
      </w:pPr>
    </w:p>
    <w:p w14:paraId="23F97A1A" w14:textId="77777777" w:rsidR="007B6A52" w:rsidRDefault="007B6A52" w:rsidP="00D623C2">
      <w:pPr>
        <w:spacing w:before="0"/>
        <w:rPr>
          <w:lang w:eastAsia="cs-CZ"/>
        </w:rPr>
      </w:pPr>
      <w:r w:rsidRPr="00D623C2">
        <w:rPr>
          <w:lang w:eastAsia="cs-CZ"/>
        </w:rPr>
        <w:t>Žadatel má na základě ustanovení</w:t>
      </w:r>
      <w:r w:rsidR="002F4144" w:rsidRPr="00D623C2">
        <w:rPr>
          <w:lang w:eastAsia="cs-CZ"/>
        </w:rPr>
        <w:t xml:space="preserve"> uvedeného</w:t>
      </w:r>
      <w:r w:rsidRPr="00D623C2">
        <w:rPr>
          <w:lang w:eastAsia="cs-CZ"/>
        </w:rPr>
        <w:t xml:space="preserve"> v Zásadách </w:t>
      </w:r>
      <w:r w:rsidR="00C24C7E" w:rsidRPr="00D623C2">
        <w:rPr>
          <w:lang w:eastAsia="cs-CZ"/>
        </w:rPr>
        <w:t>povinnost předložit v žádosti o </w:t>
      </w:r>
      <w:r w:rsidRPr="00D623C2">
        <w:rPr>
          <w:lang w:eastAsia="cs-CZ"/>
        </w:rPr>
        <w:t xml:space="preserve">dotaci doklady dokumentující vynaložené náklady spojené s předmětem dotace a doklady dokumentující uhrazení těchto nákladů. </w:t>
      </w:r>
    </w:p>
    <w:p w14:paraId="34CE04EC" w14:textId="77777777" w:rsidR="00F42131" w:rsidRPr="00D623C2" w:rsidRDefault="00F42131" w:rsidP="00D623C2">
      <w:pPr>
        <w:spacing w:before="0"/>
        <w:rPr>
          <w:lang w:eastAsia="cs-CZ"/>
        </w:rPr>
      </w:pPr>
    </w:p>
    <w:p w14:paraId="5E9FA487" w14:textId="77777777" w:rsidR="0063392B" w:rsidRDefault="00332CB4" w:rsidP="00D623C2">
      <w:pPr>
        <w:spacing w:before="0"/>
        <w:rPr>
          <w:lang w:eastAsia="cs-CZ"/>
        </w:rPr>
      </w:pPr>
      <w:r w:rsidRPr="00D623C2">
        <w:rPr>
          <w:lang w:eastAsia="cs-CZ"/>
        </w:rPr>
        <w:t>NKÚ zjistil</w:t>
      </w:r>
      <w:r w:rsidR="00CA7182" w:rsidRPr="00D623C2">
        <w:rPr>
          <w:lang w:eastAsia="cs-CZ"/>
        </w:rPr>
        <w:t xml:space="preserve">, že </w:t>
      </w:r>
      <w:r w:rsidR="0063392B" w:rsidRPr="00D623C2">
        <w:rPr>
          <w:lang w:eastAsia="cs-CZ"/>
        </w:rPr>
        <w:t>ve čtyřech</w:t>
      </w:r>
      <w:r w:rsidRPr="00D623C2">
        <w:rPr>
          <w:lang w:eastAsia="cs-CZ"/>
        </w:rPr>
        <w:t xml:space="preserve"> případech nemělo MZe při kontrole žádostí o dotaci k dispozici</w:t>
      </w:r>
      <w:r w:rsidR="00CA7182" w:rsidRPr="00D623C2">
        <w:rPr>
          <w:lang w:eastAsia="cs-CZ"/>
        </w:rPr>
        <w:t xml:space="preserve"> </w:t>
      </w:r>
      <w:r w:rsidRPr="00D623C2">
        <w:rPr>
          <w:lang w:eastAsia="cs-CZ"/>
        </w:rPr>
        <w:t xml:space="preserve">kompletní dokumenty (faktury) dokládající vynaložené náklady. </w:t>
      </w:r>
      <w:r w:rsidR="00CA7182" w:rsidRPr="00D623C2">
        <w:rPr>
          <w:lang w:eastAsia="cs-CZ"/>
        </w:rPr>
        <w:t xml:space="preserve">Jednalo se o </w:t>
      </w:r>
      <w:r w:rsidR="0063392B" w:rsidRPr="00D623C2">
        <w:rPr>
          <w:lang w:eastAsia="cs-CZ"/>
        </w:rPr>
        <w:t>náklady v celkové hodnotě 12 955</w:t>
      </w:r>
      <w:r w:rsidR="00674528" w:rsidRPr="00D623C2">
        <w:rPr>
          <w:lang w:eastAsia="cs-CZ"/>
        </w:rPr>
        <w:t> </w:t>
      </w:r>
      <w:r w:rsidR="0063392B" w:rsidRPr="00D623C2">
        <w:rPr>
          <w:lang w:eastAsia="cs-CZ"/>
        </w:rPr>
        <w:t xml:space="preserve">121 Kč. </w:t>
      </w:r>
    </w:p>
    <w:p w14:paraId="2D77C43B" w14:textId="77777777" w:rsidR="00F42131" w:rsidRPr="00D623C2" w:rsidRDefault="00F42131" w:rsidP="00D623C2">
      <w:pPr>
        <w:spacing w:before="0"/>
        <w:rPr>
          <w:lang w:eastAsia="cs-CZ"/>
        </w:rPr>
      </w:pPr>
    </w:p>
    <w:p w14:paraId="66AFE891" w14:textId="77777777" w:rsidR="00846E07" w:rsidRPr="00D623C2" w:rsidRDefault="006D1CEF" w:rsidP="00D623C2">
      <w:pPr>
        <w:spacing w:before="0"/>
        <w:rPr>
          <w:b/>
          <w:color w:val="000000" w:themeColor="text1"/>
        </w:rPr>
      </w:pPr>
      <w:r w:rsidRPr="00D623C2">
        <w:rPr>
          <w:b/>
          <w:color w:val="000000" w:themeColor="text1"/>
        </w:rPr>
        <w:t xml:space="preserve">MZe tak </w:t>
      </w:r>
      <w:r w:rsidR="00845092" w:rsidRPr="00D623C2">
        <w:rPr>
          <w:b/>
          <w:color w:val="000000" w:themeColor="text1"/>
        </w:rPr>
        <w:t xml:space="preserve">neprovedlo řádně kontrolu a </w:t>
      </w:r>
      <w:r w:rsidRPr="00D623C2">
        <w:rPr>
          <w:b/>
          <w:color w:val="000000" w:themeColor="text1"/>
        </w:rPr>
        <w:t xml:space="preserve">neověřilo skutečný vznik </w:t>
      </w:r>
      <w:r w:rsidR="0063392B" w:rsidRPr="00D623C2">
        <w:rPr>
          <w:b/>
          <w:color w:val="000000" w:themeColor="text1"/>
        </w:rPr>
        <w:t xml:space="preserve">proplacených </w:t>
      </w:r>
      <w:r w:rsidRPr="00D623C2">
        <w:rPr>
          <w:b/>
          <w:color w:val="000000" w:themeColor="text1"/>
        </w:rPr>
        <w:t>nákladů</w:t>
      </w:r>
      <w:r w:rsidR="00332CB4" w:rsidRPr="00D623C2">
        <w:rPr>
          <w:rStyle w:val="Znakapoznpodarou"/>
          <w:b/>
          <w:color w:val="000000" w:themeColor="text1"/>
        </w:rPr>
        <w:footnoteReference w:id="14"/>
      </w:r>
      <w:r w:rsidRPr="00D623C2">
        <w:rPr>
          <w:b/>
          <w:color w:val="000000" w:themeColor="text1"/>
        </w:rPr>
        <w:t>.</w:t>
      </w:r>
    </w:p>
    <w:p w14:paraId="0579FA6A" w14:textId="77777777" w:rsidR="00F42131" w:rsidRDefault="00F42131" w:rsidP="00F42131">
      <w:pPr>
        <w:pStyle w:val="Nadpis4"/>
        <w:numPr>
          <w:ilvl w:val="0"/>
          <w:numId w:val="0"/>
        </w:numPr>
        <w:spacing w:before="0" w:after="0"/>
        <w:contextualSpacing w:val="0"/>
      </w:pPr>
    </w:p>
    <w:p w14:paraId="33887206" w14:textId="775356FB" w:rsidR="00CA7182" w:rsidRPr="00215D0C" w:rsidRDefault="00215D0C" w:rsidP="00F42131">
      <w:pPr>
        <w:pStyle w:val="Nadpis4"/>
        <w:numPr>
          <w:ilvl w:val="0"/>
          <w:numId w:val="0"/>
        </w:numPr>
        <w:spacing w:before="0" w:after="0"/>
        <w:contextualSpacing w:val="0"/>
        <w:rPr>
          <w:b/>
        </w:rPr>
      </w:pPr>
      <w:r>
        <w:rPr>
          <w:b/>
        </w:rPr>
        <w:t xml:space="preserve">3.1.2 </w:t>
      </w:r>
      <w:r w:rsidR="004E37EC" w:rsidRPr="00215D0C">
        <w:rPr>
          <w:b/>
        </w:rPr>
        <w:t>N</w:t>
      </w:r>
      <w:r w:rsidR="006D1CEF" w:rsidRPr="00215D0C">
        <w:rPr>
          <w:b/>
        </w:rPr>
        <w:t>áklady</w:t>
      </w:r>
      <w:r w:rsidR="004E37EC" w:rsidRPr="00215D0C">
        <w:rPr>
          <w:b/>
        </w:rPr>
        <w:t xml:space="preserve"> na přepravu mléka</w:t>
      </w:r>
      <w:r w:rsidR="006D1CEF" w:rsidRPr="00215D0C">
        <w:rPr>
          <w:b/>
        </w:rPr>
        <w:t xml:space="preserve"> u dotačního programu 19.A</w:t>
      </w:r>
    </w:p>
    <w:p w14:paraId="148B2EE4" w14:textId="77777777" w:rsidR="00F42131" w:rsidRDefault="00F42131" w:rsidP="00D623C2">
      <w:pPr>
        <w:spacing w:before="0"/>
        <w:rPr>
          <w:lang w:eastAsia="cs-CZ"/>
        </w:rPr>
      </w:pPr>
    </w:p>
    <w:p w14:paraId="3A92AB15" w14:textId="77777777" w:rsidR="004E37EC" w:rsidRPr="00D623C2" w:rsidRDefault="00BD4AA0" w:rsidP="00D623C2">
      <w:pPr>
        <w:spacing w:before="0"/>
      </w:pPr>
      <w:r w:rsidRPr="00D623C2">
        <w:rPr>
          <w:lang w:eastAsia="cs-CZ"/>
        </w:rPr>
        <w:t>Neu</w:t>
      </w:r>
      <w:r w:rsidR="006D1CEF" w:rsidRPr="00D623C2">
        <w:rPr>
          <w:lang w:eastAsia="cs-CZ"/>
        </w:rPr>
        <w:t>znatelnými náklady jsou dle Zásad náklady na přepr</w:t>
      </w:r>
      <w:r w:rsidR="00FB2EEA" w:rsidRPr="00D623C2">
        <w:rPr>
          <w:lang w:eastAsia="cs-CZ"/>
        </w:rPr>
        <w:t>avu mléka. Příjemci dotace tuto</w:t>
      </w:r>
      <w:r w:rsidR="006D1CEF" w:rsidRPr="00D623C2">
        <w:rPr>
          <w:lang w:eastAsia="cs-CZ"/>
        </w:rPr>
        <w:t xml:space="preserve"> </w:t>
      </w:r>
      <w:r w:rsidR="00FB2EEA" w:rsidRPr="00D623C2">
        <w:rPr>
          <w:lang w:eastAsia="cs-CZ"/>
        </w:rPr>
        <w:t>skutečnost</w:t>
      </w:r>
      <w:r w:rsidR="006D1CEF" w:rsidRPr="00D623C2">
        <w:rPr>
          <w:lang w:eastAsia="cs-CZ"/>
        </w:rPr>
        <w:t xml:space="preserve"> obcházeli tím, že si ve vnitropodnikových směrnicích stanovili, že faktury za přepravu mléka jsou základem pro výp</w:t>
      </w:r>
      <w:r w:rsidR="00FB2EEA" w:rsidRPr="00D623C2">
        <w:rPr>
          <w:lang w:eastAsia="cs-CZ"/>
        </w:rPr>
        <w:t>očet jiných uznatelných nákladů. N</w:t>
      </w:r>
      <w:r w:rsidR="006D1CEF" w:rsidRPr="00D623C2">
        <w:rPr>
          <w:lang w:eastAsia="cs-CZ"/>
        </w:rPr>
        <w:t xml:space="preserve">apř. </w:t>
      </w:r>
      <w:r w:rsidR="006D1CEF" w:rsidRPr="00D623C2">
        <w:t xml:space="preserve">20 % z nákladů na přepravu mléka </w:t>
      </w:r>
      <w:r w:rsidR="002F4144" w:rsidRPr="00D623C2">
        <w:t>bylo</w:t>
      </w:r>
      <w:r w:rsidR="006D1CEF" w:rsidRPr="00D623C2">
        <w:t xml:space="preserve"> nákladem na odběr vzorků při přejímce syrového kravského mléka, který již uznatelný byl. </w:t>
      </w:r>
      <w:r w:rsidR="0081622A" w:rsidRPr="00D623C2">
        <w:t xml:space="preserve">MZe nastavilo podmínky pro uplatňování provozních nákladů tak, že žadatelé mohli do uznatelných nákladů promítnout i náklady na přepravu mléka, které </w:t>
      </w:r>
      <w:r w:rsidR="00C64DB3" w:rsidRPr="00D623C2">
        <w:t xml:space="preserve">nebyly </w:t>
      </w:r>
      <w:r w:rsidR="003B47FA" w:rsidRPr="00D623C2">
        <w:t>dle Zásad</w:t>
      </w:r>
      <w:r w:rsidR="0081622A" w:rsidRPr="00D623C2">
        <w:t xml:space="preserve"> uznatelné.</w:t>
      </w:r>
    </w:p>
    <w:p w14:paraId="27BA1EB2" w14:textId="77777777" w:rsidR="00F42131" w:rsidRDefault="00F42131" w:rsidP="00F42131">
      <w:pPr>
        <w:spacing w:before="0"/>
      </w:pPr>
    </w:p>
    <w:p w14:paraId="2A3852E1" w14:textId="77777777" w:rsidR="00F42131" w:rsidRDefault="001E1125" w:rsidP="00F42131">
      <w:pPr>
        <w:spacing w:before="0"/>
        <w:rPr>
          <w:b/>
        </w:rPr>
      </w:pPr>
      <w:r w:rsidRPr="00D623C2">
        <w:t>Náklady n</w:t>
      </w:r>
      <w:r w:rsidR="006D1CEF" w:rsidRPr="00D623C2">
        <w:t xml:space="preserve">a přepravu mléka tímto způsobem </w:t>
      </w:r>
      <w:r w:rsidR="00FA3E86" w:rsidRPr="00D623C2">
        <w:t xml:space="preserve">příjemci </w:t>
      </w:r>
      <w:r w:rsidR="004E3B96" w:rsidRPr="00D623C2">
        <w:t xml:space="preserve">promítli </w:t>
      </w:r>
      <w:r w:rsidR="006D1CEF" w:rsidRPr="00D623C2">
        <w:t>do uznatelných nákladů</w:t>
      </w:r>
      <w:r w:rsidR="00B74639" w:rsidRPr="00D623C2">
        <w:t xml:space="preserve">, které jim následně </w:t>
      </w:r>
      <w:r w:rsidR="006D1CEF" w:rsidRPr="00D623C2">
        <w:t xml:space="preserve">MZe </w:t>
      </w:r>
      <w:r w:rsidR="00B74639" w:rsidRPr="00D623C2">
        <w:t>proplatilo</w:t>
      </w:r>
      <w:r w:rsidRPr="00D623C2">
        <w:t>.</w:t>
      </w:r>
      <w:r w:rsidR="00A20C96" w:rsidRPr="00D623C2">
        <w:t xml:space="preserve"> </w:t>
      </w:r>
      <w:r w:rsidR="005306D0" w:rsidRPr="00D623C2">
        <w:rPr>
          <w:b/>
        </w:rPr>
        <w:t xml:space="preserve">MZe </w:t>
      </w:r>
      <w:r w:rsidR="00C64DB3" w:rsidRPr="00D623C2">
        <w:rPr>
          <w:b/>
        </w:rPr>
        <w:t>takto</w:t>
      </w:r>
      <w:r w:rsidR="007B6A52" w:rsidRPr="00D623C2">
        <w:rPr>
          <w:b/>
        </w:rPr>
        <w:t xml:space="preserve"> propla</w:t>
      </w:r>
      <w:r w:rsidR="005306D0" w:rsidRPr="00D623C2">
        <w:rPr>
          <w:b/>
        </w:rPr>
        <w:t xml:space="preserve">tilo 1 845 462,65 Kč </w:t>
      </w:r>
      <w:r w:rsidR="00846E07" w:rsidRPr="00D623C2">
        <w:rPr>
          <w:b/>
        </w:rPr>
        <w:t xml:space="preserve">za rok 2016 </w:t>
      </w:r>
      <w:r w:rsidR="00DF3C20" w:rsidRPr="00D623C2">
        <w:rPr>
          <w:b/>
        </w:rPr>
        <w:t>a </w:t>
      </w:r>
      <w:r w:rsidR="007B6A52" w:rsidRPr="00D623C2">
        <w:rPr>
          <w:b/>
        </w:rPr>
        <w:t>21 906 241,17 Kč</w:t>
      </w:r>
      <w:r w:rsidR="00846E07" w:rsidRPr="00D623C2">
        <w:rPr>
          <w:b/>
        </w:rPr>
        <w:t xml:space="preserve"> za rok 2017</w:t>
      </w:r>
      <w:r w:rsidR="005306D0" w:rsidRPr="00D623C2">
        <w:rPr>
          <w:b/>
          <w:vertAlign w:val="superscript"/>
        </w:rPr>
        <w:t>1</w:t>
      </w:r>
      <w:r w:rsidR="00173754" w:rsidRPr="00D623C2">
        <w:rPr>
          <w:b/>
          <w:vertAlign w:val="superscript"/>
        </w:rPr>
        <w:t>3</w:t>
      </w:r>
      <w:r w:rsidR="007B6A52" w:rsidRPr="00D623C2">
        <w:rPr>
          <w:b/>
        </w:rPr>
        <w:t>.</w:t>
      </w:r>
    </w:p>
    <w:p w14:paraId="4DD04EC4" w14:textId="77777777" w:rsidR="00F42131" w:rsidRPr="00215D0C" w:rsidRDefault="00F42131" w:rsidP="00F42131">
      <w:pPr>
        <w:spacing w:before="0"/>
      </w:pPr>
    </w:p>
    <w:p w14:paraId="4B6A848D" w14:textId="77777777" w:rsidR="003D0D0A" w:rsidRPr="00215D0C" w:rsidRDefault="00215D0C" w:rsidP="00520703">
      <w:pPr>
        <w:keepNext/>
        <w:spacing w:before="0"/>
        <w:rPr>
          <w:b/>
        </w:rPr>
      </w:pPr>
      <w:r>
        <w:rPr>
          <w:b/>
        </w:rPr>
        <w:t xml:space="preserve">3.1.3 </w:t>
      </w:r>
      <w:r w:rsidR="003D0D0A" w:rsidRPr="00215D0C">
        <w:rPr>
          <w:b/>
        </w:rPr>
        <w:t>Nedoložení dokladů o množství zpracovaného mléka</w:t>
      </w:r>
    </w:p>
    <w:p w14:paraId="506BFCC6" w14:textId="77777777" w:rsidR="00F42131" w:rsidRDefault="00F42131" w:rsidP="00520703">
      <w:pPr>
        <w:keepNext/>
        <w:spacing w:before="0"/>
        <w:rPr>
          <w:lang w:eastAsia="cs-CZ"/>
        </w:rPr>
      </w:pPr>
    </w:p>
    <w:p w14:paraId="59CD12D1" w14:textId="28EEFBCF" w:rsidR="003D0D0A" w:rsidRDefault="003D0D0A" w:rsidP="00D623C2">
      <w:pPr>
        <w:spacing w:before="0"/>
        <w:rPr>
          <w:lang w:eastAsia="cs-CZ"/>
        </w:rPr>
      </w:pPr>
      <w:r w:rsidRPr="00D623C2">
        <w:rPr>
          <w:lang w:eastAsia="cs-CZ"/>
        </w:rPr>
        <w:t>Na základě Zásad byl žadatel podpory z dotačního podprogramu 19.A.b.1 povinen doložit doklad o množství litrů syrového kravského mléka vyrobeného žadatelem nebo převzatého žadatelem v režimu jakosti Q CZ. V Zásadách je k dotačnímu programu 19 uvedeno, že součet výše dotací za 19.A.b.1 a 19.A.b.2 pro jednoho a téhož příjemce může být maximálně do 1,00</w:t>
      </w:r>
      <w:r w:rsidR="005D6864" w:rsidRPr="00D623C2">
        <w:rPr>
          <w:lang w:eastAsia="cs-CZ"/>
        </w:rPr>
        <w:t> </w:t>
      </w:r>
      <w:r w:rsidRPr="00D623C2">
        <w:rPr>
          <w:lang w:eastAsia="cs-CZ"/>
        </w:rPr>
        <w:t>Kč/l syrového kravského mléka vyrobeného producentem nebo převzatého mléka zpracovatelem nebo schválenou organizací producentů v režimu jakosti Q CZ.</w:t>
      </w:r>
    </w:p>
    <w:p w14:paraId="2B57C26E" w14:textId="77777777" w:rsidR="00F42131" w:rsidRPr="00D623C2" w:rsidRDefault="00F42131" w:rsidP="00D623C2">
      <w:pPr>
        <w:spacing w:before="0"/>
        <w:rPr>
          <w:lang w:eastAsia="cs-CZ"/>
        </w:rPr>
      </w:pPr>
    </w:p>
    <w:p w14:paraId="60CABC04" w14:textId="77777777" w:rsidR="003D0D0A" w:rsidRDefault="003D0D0A" w:rsidP="00D623C2">
      <w:pPr>
        <w:spacing w:before="0"/>
        <w:rPr>
          <w:lang w:eastAsia="cs-CZ"/>
        </w:rPr>
      </w:pPr>
      <w:r w:rsidRPr="00D623C2">
        <w:rPr>
          <w:b/>
          <w:lang w:eastAsia="cs-CZ"/>
        </w:rPr>
        <w:t>MZe nepředložilo ke kontrole NKÚ doklady o množství syrového kravského mléka vyrobeného žadatelem v režimu jakosti Q CZ nebo doklad</w:t>
      </w:r>
      <w:r w:rsidR="0019514A" w:rsidRPr="00D623C2">
        <w:rPr>
          <w:b/>
          <w:lang w:eastAsia="cs-CZ"/>
        </w:rPr>
        <w:t>y</w:t>
      </w:r>
      <w:r w:rsidRPr="00D623C2">
        <w:rPr>
          <w:b/>
          <w:lang w:eastAsia="cs-CZ"/>
        </w:rPr>
        <w:t xml:space="preserve"> o množství litrů syrového kravského mléka v režimu jakosti Q CZ převzatého žadatelem u čtyřech žádostí o dotaci z dotačního podprogramu 19.A.b.1.</w:t>
      </w:r>
      <w:r w:rsidRPr="00D623C2">
        <w:rPr>
          <w:lang w:eastAsia="cs-CZ"/>
        </w:rPr>
        <w:t xml:space="preserve"> MZe u těchto žádostí o dotaci neověřilo na základě chybějících dokladů podmínku maximální dotace do 1,00 Kč/l syrového kravského mléka vyrobeného producentem nebo převzatého mléka zpracovatelem nebo schválenou organizací producentů v režimu jakosti Q CZ.</w:t>
      </w:r>
    </w:p>
    <w:p w14:paraId="5C9BDF49" w14:textId="77777777" w:rsidR="00F42131" w:rsidRPr="00D623C2" w:rsidRDefault="00F42131" w:rsidP="00D623C2">
      <w:pPr>
        <w:spacing w:before="0"/>
        <w:rPr>
          <w:lang w:eastAsia="cs-CZ"/>
        </w:rPr>
      </w:pPr>
    </w:p>
    <w:p w14:paraId="62D1DAB2" w14:textId="77777777" w:rsidR="0008031C" w:rsidRPr="00D623C2" w:rsidRDefault="00215D0C" w:rsidP="00F42131">
      <w:pPr>
        <w:pStyle w:val="Nadpis3"/>
        <w:numPr>
          <w:ilvl w:val="0"/>
          <w:numId w:val="0"/>
        </w:numPr>
        <w:spacing w:before="0" w:after="0"/>
      </w:pPr>
      <w:r>
        <w:t xml:space="preserve">3.2 </w:t>
      </w:r>
      <w:r w:rsidR="0008031C" w:rsidRPr="00D623C2">
        <w:t>Rozdělování projektů u PRV 07-13</w:t>
      </w:r>
    </w:p>
    <w:p w14:paraId="27BFBD13" w14:textId="77777777" w:rsidR="00F42131" w:rsidRDefault="00F42131" w:rsidP="00D623C2">
      <w:pPr>
        <w:autoSpaceDE w:val="0"/>
        <w:autoSpaceDN w:val="0"/>
        <w:adjustRightInd w:val="0"/>
        <w:spacing w:before="0"/>
      </w:pPr>
    </w:p>
    <w:p w14:paraId="01C556A6" w14:textId="733EF7EE" w:rsidR="00107CA7" w:rsidRPr="00D623C2" w:rsidRDefault="00741DE1" w:rsidP="00D623C2">
      <w:pPr>
        <w:autoSpaceDE w:val="0"/>
        <w:autoSpaceDN w:val="0"/>
        <w:adjustRightInd w:val="0"/>
        <w:spacing w:before="0"/>
      </w:pPr>
      <w:r w:rsidRPr="00D623C2">
        <w:t xml:space="preserve">V PRV 07-13 byl limit způsobilých výdajů na jeden projekt v rámci podopatření </w:t>
      </w:r>
      <w:r w:rsidRPr="00D623C2">
        <w:rPr>
          <w:i/>
        </w:rPr>
        <w:t xml:space="preserve">I.1.1.1 Modernizace zemědělských podniků </w:t>
      </w:r>
      <w:r w:rsidR="004D2086" w:rsidRPr="00D623C2">
        <w:t xml:space="preserve">stanoven na </w:t>
      </w:r>
      <w:r w:rsidRPr="00D623C2">
        <w:t xml:space="preserve">30 mil. Kč. </w:t>
      </w:r>
      <w:r w:rsidR="005A711C" w:rsidRPr="00D623C2">
        <w:t xml:space="preserve">MZe tento limit stanovilo s cílem zamezit vyčerpání alokace velkými projekty a podpořit více menších projektů a tím i více žadatelů. </w:t>
      </w:r>
    </w:p>
    <w:p w14:paraId="0A99E27E" w14:textId="77777777" w:rsidR="00F42131" w:rsidRDefault="00F42131" w:rsidP="00D623C2">
      <w:pPr>
        <w:autoSpaceDE w:val="0"/>
        <w:autoSpaceDN w:val="0"/>
        <w:adjustRightInd w:val="0"/>
        <w:spacing w:before="0"/>
      </w:pPr>
    </w:p>
    <w:p w14:paraId="4C92BA7E" w14:textId="51BA6D74" w:rsidR="004D2086" w:rsidRDefault="00741DE1" w:rsidP="00D623C2">
      <w:pPr>
        <w:autoSpaceDE w:val="0"/>
        <w:autoSpaceDN w:val="0"/>
        <w:adjustRightInd w:val="0"/>
        <w:spacing w:before="0"/>
      </w:pPr>
      <w:r w:rsidRPr="00D623C2">
        <w:t xml:space="preserve">NKÚ zjistil, že někteří příjemci obcházeli smysl </w:t>
      </w:r>
      <w:r w:rsidR="004D2086" w:rsidRPr="00D623C2">
        <w:t xml:space="preserve">této podmínky </w:t>
      </w:r>
      <w:r w:rsidRPr="00D623C2">
        <w:t xml:space="preserve">tak, že </w:t>
      </w:r>
      <w:r w:rsidR="00260E89" w:rsidRPr="00D623C2">
        <w:t>rozdělovali investiční zemědělské projekty</w:t>
      </w:r>
      <w:r w:rsidR="005D6864" w:rsidRPr="00D623C2">
        <w:t xml:space="preserve"> do více žádostí o dotaci</w:t>
      </w:r>
      <w:r w:rsidR="00260E89" w:rsidRPr="00D623C2">
        <w:t xml:space="preserve"> za účelem </w:t>
      </w:r>
      <w:r w:rsidR="005A711C" w:rsidRPr="00D623C2">
        <w:t xml:space="preserve">získání </w:t>
      </w:r>
      <w:r w:rsidR="00F42131">
        <w:t>vyšší dotace.</w:t>
      </w:r>
    </w:p>
    <w:p w14:paraId="34093F85" w14:textId="77777777" w:rsidR="00F42131" w:rsidRPr="00D623C2" w:rsidRDefault="00F42131" w:rsidP="00D623C2">
      <w:pPr>
        <w:autoSpaceDE w:val="0"/>
        <w:autoSpaceDN w:val="0"/>
        <w:adjustRightInd w:val="0"/>
        <w:spacing w:before="0"/>
        <w:rPr>
          <w:lang w:eastAsia="cs-CZ"/>
        </w:rPr>
      </w:pPr>
    </w:p>
    <w:p w14:paraId="61D68E02" w14:textId="075242CF" w:rsidR="00741DE1" w:rsidRDefault="00260E89" w:rsidP="00D623C2">
      <w:pPr>
        <w:autoSpaceDE w:val="0"/>
        <w:autoSpaceDN w:val="0"/>
        <w:adjustRightInd w:val="0"/>
        <w:spacing w:before="0"/>
      </w:pPr>
      <w:r w:rsidRPr="00D623C2">
        <w:t xml:space="preserve">Například </w:t>
      </w:r>
      <w:r w:rsidR="007F0F13" w:rsidRPr="00D623C2">
        <w:t xml:space="preserve">jeden </w:t>
      </w:r>
      <w:r w:rsidRPr="00D623C2">
        <w:t xml:space="preserve">příjemce dotace </w:t>
      </w:r>
      <w:r w:rsidR="004D2086" w:rsidRPr="00D623C2">
        <w:t xml:space="preserve">podal v rámci jednoho kola příjmu žádostí celkem šest žádostí o dotaci </w:t>
      </w:r>
      <w:r w:rsidRPr="00D623C2">
        <w:t>na modernizaci zemědělského areálu v</w:t>
      </w:r>
      <w:r w:rsidR="004D36BB" w:rsidRPr="00D623C2">
        <w:t> </w:t>
      </w:r>
      <w:r w:rsidRPr="00D623C2">
        <w:t>Kojetíně</w:t>
      </w:r>
      <w:r w:rsidR="004D36BB" w:rsidRPr="00D623C2">
        <w:t xml:space="preserve"> – výkrmové haly prasat</w:t>
      </w:r>
      <w:r w:rsidRPr="00D623C2">
        <w:t xml:space="preserve">. Přitom se jednalo o </w:t>
      </w:r>
      <w:r w:rsidR="004D36BB" w:rsidRPr="00D623C2">
        <w:t>stavebně, technologicky i funkčně propojené výkrmové haly. P</w:t>
      </w:r>
      <w:r w:rsidR="00741DE1" w:rsidRPr="00D623C2">
        <w:t>rojekt</w:t>
      </w:r>
      <w:r w:rsidRPr="00D623C2">
        <w:t>y</w:t>
      </w:r>
      <w:r w:rsidR="004D36BB" w:rsidRPr="00D623C2">
        <w:t xml:space="preserve"> byly</w:t>
      </w:r>
      <w:r w:rsidR="00741DE1" w:rsidRPr="00D623C2">
        <w:t xml:space="preserve"> realizov</w:t>
      </w:r>
      <w:r w:rsidR="000561E8">
        <w:t>ány</w:t>
      </w:r>
      <w:r w:rsidR="00741DE1" w:rsidRPr="00D623C2">
        <w:t xml:space="preserve"> ve stejné době, na stejném místě, prostřednictvím jedné stavební firmy, na základě jedné projektové/technické dokumentace, jednoho </w:t>
      </w:r>
      <w:r w:rsidR="0063392B" w:rsidRPr="00D623C2">
        <w:t>výběrového</w:t>
      </w:r>
      <w:r w:rsidR="00741DE1" w:rsidRPr="00D623C2">
        <w:t xml:space="preserve"> řízení a slouží totožnému účelu</w:t>
      </w:r>
      <w:r w:rsidR="004D2086" w:rsidRPr="00D623C2">
        <w:t xml:space="preserve">. </w:t>
      </w:r>
      <w:r w:rsidR="004D2086" w:rsidRPr="00D623C2">
        <w:rPr>
          <w:color w:val="000000" w:themeColor="text1"/>
        </w:rPr>
        <w:t>C</w:t>
      </w:r>
      <w:r w:rsidR="004D2086" w:rsidRPr="00D623C2">
        <w:t xml:space="preserve">elkově se jednalo o projekty za 127 883 732 Kč. </w:t>
      </w:r>
      <w:r w:rsidR="00107CA7" w:rsidRPr="00D623C2">
        <w:t xml:space="preserve">V případě realizace </w:t>
      </w:r>
      <w:r w:rsidR="00050A49" w:rsidRPr="00D623C2">
        <w:t xml:space="preserve">projektu jako jednoho celku (formou jedné žádosti o dotaci) </w:t>
      </w:r>
      <w:r w:rsidR="00107CA7" w:rsidRPr="00D623C2">
        <w:t>by způsobilé výdaje činily maximálně 30 mil. Kč a dotace (35 %</w:t>
      </w:r>
      <w:r w:rsidR="00011480" w:rsidRPr="00D623C2">
        <w:t xml:space="preserve"> ze způsobilých výdajů</w:t>
      </w:r>
      <w:r w:rsidR="00107CA7" w:rsidRPr="00D623C2">
        <w:t xml:space="preserve">) maximálně 10,5 mil. Kč. </w:t>
      </w:r>
      <w:r w:rsidRPr="00D623C2">
        <w:t>SZIF</w:t>
      </w:r>
      <w:r w:rsidR="00050A49" w:rsidRPr="00D623C2">
        <w:t xml:space="preserve"> však</w:t>
      </w:r>
      <w:r w:rsidRPr="00D623C2">
        <w:t xml:space="preserve"> poskytl příjemci dotaci v celkové výši 26 793 306 Kč, tedy o 16 293 306 Kč vyšší</w:t>
      </w:r>
      <w:r w:rsidR="000561E8">
        <w:t>,</w:t>
      </w:r>
      <w:r w:rsidRPr="00D623C2">
        <w:t xml:space="preserve"> než jakou by měl poskytnout</w:t>
      </w:r>
      <w:r w:rsidR="004D36BB" w:rsidRPr="00D623C2">
        <w:t xml:space="preserve"> v případě </w:t>
      </w:r>
      <w:r w:rsidR="0063392B" w:rsidRPr="00D623C2">
        <w:t>realizace</w:t>
      </w:r>
      <w:r w:rsidR="004D36BB" w:rsidRPr="00D623C2">
        <w:t xml:space="preserve"> projekt</w:t>
      </w:r>
      <w:r w:rsidR="0063392B" w:rsidRPr="00D623C2">
        <w:t xml:space="preserve">u jako jednoho celku. </w:t>
      </w:r>
      <w:r w:rsidRPr="00D623C2">
        <w:t>Tím se SZIF dopustil porušení rozpočtové kázně ve výši 16 293 306 Kč</w:t>
      </w:r>
      <w:r w:rsidR="00BD4AA0" w:rsidRPr="00D623C2">
        <w:rPr>
          <w:rStyle w:val="Znakapoznpodarou"/>
        </w:rPr>
        <w:footnoteReference w:id="15"/>
      </w:r>
      <w:r w:rsidRPr="00D623C2">
        <w:t xml:space="preserve">. </w:t>
      </w:r>
    </w:p>
    <w:p w14:paraId="7F12C182" w14:textId="77777777" w:rsidR="00F42131" w:rsidRPr="00D623C2" w:rsidRDefault="00F42131" w:rsidP="00D623C2">
      <w:pPr>
        <w:autoSpaceDE w:val="0"/>
        <w:autoSpaceDN w:val="0"/>
        <w:adjustRightInd w:val="0"/>
        <w:spacing w:before="0"/>
      </w:pPr>
    </w:p>
    <w:p w14:paraId="0D968FD1" w14:textId="77777777" w:rsidR="00260E89" w:rsidRPr="00D623C2" w:rsidRDefault="00741DE1" w:rsidP="00D623C2">
      <w:pPr>
        <w:autoSpaceDE w:val="0"/>
        <w:autoSpaceDN w:val="0"/>
        <w:adjustRightInd w:val="0"/>
        <w:spacing w:before="0"/>
        <w:rPr>
          <w:lang w:eastAsia="cs-CZ"/>
        </w:rPr>
      </w:pPr>
      <w:r w:rsidRPr="00D623C2">
        <w:rPr>
          <w:lang w:eastAsia="cs-CZ"/>
        </w:rPr>
        <w:t>V </w:t>
      </w:r>
      <w:r w:rsidR="004D2086" w:rsidRPr="00D623C2">
        <w:rPr>
          <w:lang w:eastAsia="cs-CZ"/>
        </w:rPr>
        <w:t>současném</w:t>
      </w:r>
      <w:r w:rsidRPr="00D623C2">
        <w:rPr>
          <w:lang w:eastAsia="cs-CZ"/>
        </w:rPr>
        <w:t xml:space="preserve"> programovém období </w:t>
      </w:r>
      <w:r w:rsidR="004D2086" w:rsidRPr="00D623C2">
        <w:rPr>
          <w:lang w:eastAsia="cs-CZ"/>
        </w:rPr>
        <w:t>jsou</w:t>
      </w:r>
      <w:r w:rsidRPr="00D623C2">
        <w:rPr>
          <w:lang w:eastAsia="cs-CZ"/>
        </w:rPr>
        <w:t xml:space="preserve"> tyto podmínky Pravidel </w:t>
      </w:r>
      <w:r w:rsidR="004D2086" w:rsidRPr="00D623C2">
        <w:rPr>
          <w:lang w:eastAsia="cs-CZ"/>
        </w:rPr>
        <w:t xml:space="preserve">již </w:t>
      </w:r>
      <w:r w:rsidRPr="00D623C2">
        <w:rPr>
          <w:lang w:eastAsia="cs-CZ"/>
        </w:rPr>
        <w:t>upraveny</w:t>
      </w:r>
      <w:r w:rsidR="005F405C" w:rsidRPr="00D623C2">
        <w:rPr>
          <w:lang w:eastAsia="cs-CZ"/>
        </w:rPr>
        <w:t xml:space="preserve">, limit způsobilých výdajů </w:t>
      </w:r>
      <w:r w:rsidR="00011480" w:rsidRPr="00D623C2">
        <w:rPr>
          <w:lang w:eastAsia="cs-CZ"/>
        </w:rPr>
        <w:t>byl pro</w:t>
      </w:r>
      <w:r w:rsidR="005F405C" w:rsidRPr="00D623C2">
        <w:rPr>
          <w:lang w:eastAsia="cs-CZ"/>
        </w:rPr>
        <w:t xml:space="preserve"> jeden projekt navýšen na 150 mil. Kč.</w:t>
      </w:r>
    </w:p>
    <w:p w14:paraId="6417F481" w14:textId="77777777" w:rsidR="00A20C96" w:rsidRPr="00D623C2" w:rsidRDefault="00A20C96" w:rsidP="00D623C2">
      <w:pPr>
        <w:autoSpaceDE w:val="0"/>
        <w:autoSpaceDN w:val="0"/>
        <w:adjustRightInd w:val="0"/>
        <w:spacing w:before="0"/>
        <w:rPr>
          <w:lang w:eastAsia="cs-CZ"/>
        </w:rPr>
      </w:pPr>
    </w:p>
    <w:p w14:paraId="060BDFD2" w14:textId="79D9C4CE" w:rsidR="00BD7E2B" w:rsidRPr="00D623C2" w:rsidRDefault="00215D0C" w:rsidP="00C72997">
      <w:pPr>
        <w:pStyle w:val="Nadpis3"/>
        <w:keepNext/>
        <w:numPr>
          <w:ilvl w:val="0"/>
          <w:numId w:val="0"/>
        </w:numPr>
        <w:spacing w:before="0" w:after="0"/>
      </w:pPr>
      <w:r>
        <w:t xml:space="preserve">3.3 </w:t>
      </w:r>
      <w:r w:rsidR="00BD7E2B" w:rsidRPr="00D623C2">
        <w:t xml:space="preserve">Kontrola počtu ustajovacích míst u projektů </w:t>
      </w:r>
      <w:r w:rsidR="00000596" w:rsidRPr="00D623C2">
        <w:t>p</w:t>
      </w:r>
      <w:r w:rsidR="00BD7E2B" w:rsidRPr="00D623C2">
        <w:t>rogram</w:t>
      </w:r>
      <w:r w:rsidR="000561E8">
        <w:t>ů</w:t>
      </w:r>
      <w:r w:rsidR="00BD7E2B" w:rsidRPr="00D623C2">
        <w:t xml:space="preserve"> rozvoje venkova</w:t>
      </w:r>
    </w:p>
    <w:p w14:paraId="10961E6F" w14:textId="77777777" w:rsidR="00F42131" w:rsidRDefault="00F42131" w:rsidP="00C72997">
      <w:pPr>
        <w:keepNext/>
        <w:spacing w:before="0"/>
        <w:rPr>
          <w:bCs/>
        </w:rPr>
      </w:pPr>
    </w:p>
    <w:p w14:paraId="6A1A4311" w14:textId="77777777" w:rsidR="00BD7E2B" w:rsidRPr="00D623C2" w:rsidRDefault="00BD7E2B" w:rsidP="00D623C2">
      <w:pPr>
        <w:spacing w:before="0"/>
        <w:rPr>
          <w:bCs/>
        </w:rPr>
      </w:pPr>
      <w:r w:rsidRPr="00D623C2">
        <w:rPr>
          <w:bCs/>
        </w:rPr>
        <w:t>Výše dotace je u PRV 07-13 i PRV 14-20 navázána na počet ust</w:t>
      </w:r>
      <w:r w:rsidR="00AA49C9" w:rsidRPr="00D623C2">
        <w:rPr>
          <w:bCs/>
        </w:rPr>
        <w:t>a</w:t>
      </w:r>
      <w:r w:rsidRPr="00D623C2">
        <w:rPr>
          <w:bCs/>
        </w:rPr>
        <w:t xml:space="preserve">jovacích míst, které se žadatel zavázal v podpořeném projektu vytvořit/zrekonstruovat. </w:t>
      </w:r>
    </w:p>
    <w:p w14:paraId="0C8BCC9A" w14:textId="77777777" w:rsidR="00F42131" w:rsidRDefault="00F42131" w:rsidP="00D623C2">
      <w:pPr>
        <w:spacing w:before="0"/>
        <w:rPr>
          <w:bCs/>
        </w:rPr>
      </w:pPr>
    </w:p>
    <w:p w14:paraId="6A34F939" w14:textId="77777777" w:rsidR="00BD7E2B" w:rsidRDefault="00BD7E2B" w:rsidP="00D623C2">
      <w:pPr>
        <w:spacing w:before="0"/>
        <w:rPr>
          <w:bCs/>
        </w:rPr>
      </w:pPr>
      <w:r w:rsidRPr="00D623C2">
        <w:rPr>
          <w:bCs/>
        </w:rPr>
        <w:t>SZIF kontrolu počtu ustajovacích míst provádí jako součást adm</w:t>
      </w:r>
      <w:r w:rsidR="00264C00" w:rsidRPr="00D623C2">
        <w:rPr>
          <w:bCs/>
        </w:rPr>
        <w:t>inistrativní kontroly žádostí o </w:t>
      </w:r>
      <w:r w:rsidRPr="00D623C2">
        <w:rPr>
          <w:bCs/>
        </w:rPr>
        <w:t xml:space="preserve">dotaci na základě dokumentace předložené žadatelem. Další kontrola této podmínky probíhá při kontrole na místě, před proplacením žádosti o dotaci. O těchto kontrolách však neexistuje žádný záznam, </w:t>
      </w:r>
      <w:r w:rsidR="004D2D92" w:rsidRPr="00D623C2">
        <w:rPr>
          <w:bCs/>
        </w:rPr>
        <w:t xml:space="preserve">není možné zjistit, </w:t>
      </w:r>
      <w:r w:rsidRPr="00D623C2">
        <w:rPr>
          <w:bCs/>
        </w:rPr>
        <w:t>zda a jakým způsobem byla kontrola této podmínky provedena.</w:t>
      </w:r>
    </w:p>
    <w:p w14:paraId="0D49F247" w14:textId="77777777" w:rsidR="00F42131" w:rsidRPr="00D623C2" w:rsidRDefault="00F42131" w:rsidP="00D623C2">
      <w:pPr>
        <w:spacing w:before="0"/>
        <w:rPr>
          <w:bCs/>
        </w:rPr>
      </w:pPr>
    </w:p>
    <w:p w14:paraId="68E036DA" w14:textId="77777777" w:rsidR="00BD7E2B" w:rsidRPr="00D623C2" w:rsidRDefault="00BD7E2B" w:rsidP="00D623C2">
      <w:pPr>
        <w:spacing w:before="0"/>
        <w:rPr>
          <w:b/>
          <w:bCs/>
        </w:rPr>
      </w:pPr>
      <w:r w:rsidRPr="00D623C2">
        <w:rPr>
          <w:b/>
          <w:bCs/>
        </w:rPr>
        <w:t xml:space="preserve">Splnění podmínky počtu ustajovacích míst ze strany příjemce dotace má zásadní vliv na výši vyplacené dotace, přesto SZIF nezachovává auditní stopu o metodě a způsobu její kontroly. </w:t>
      </w:r>
    </w:p>
    <w:p w14:paraId="7CA537B6" w14:textId="77777777" w:rsidR="00F42131" w:rsidRDefault="00F42131" w:rsidP="00D623C2">
      <w:pPr>
        <w:spacing w:before="0"/>
        <w:rPr>
          <w:bCs/>
        </w:rPr>
      </w:pPr>
    </w:p>
    <w:p w14:paraId="69573E3F" w14:textId="093754C7" w:rsidR="00BD7E2B" w:rsidRDefault="00BD7E2B" w:rsidP="00D623C2">
      <w:pPr>
        <w:spacing w:before="0"/>
        <w:rPr>
          <w:bCs/>
        </w:rPr>
      </w:pPr>
      <w:r w:rsidRPr="00D623C2">
        <w:rPr>
          <w:bCs/>
        </w:rPr>
        <w:t>Kontrolou vzorku projektů NKÚ zjistil, že v jednom případě neměl SZIF pro ověření této podmínky dostatečné podklady</w:t>
      </w:r>
      <w:r w:rsidR="000561E8">
        <w:rPr>
          <w:bCs/>
        </w:rPr>
        <w:t>,</w:t>
      </w:r>
      <w:r w:rsidRPr="00D623C2">
        <w:rPr>
          <w:bCs/>
        </w:rPr>
        <w:t xml:space="preserve"> a přesto tuto dotaci vyplatil. </w:t>
      </w:r>
    </w:p>
    <w:p w14:paraId="52FBDDEA" w14:textId="77777777" w:rsidR="00F42131" w:rsidRPr="00D623C2" w:rsidRDefault="00F42131" w:rsidP="00D623C2">
      <w:pPr>
        <w:spacing w:before="0"/>
        <w:rPr>
          <w:bCs/>
        </w:rPr>
      </w:pPr>
    </w:p>
    <w:p w14:paraId="237D2A7C" w14:textId="77777777" w:rsidR="0008031C" w:rsidRPr="00D623C2" w:rsidRDefault="00215D0C" w:rsidP="00215D0C">
      <w:pPr>
        <w:pStyle w:val="Nadpis3"/>
        <w:numPr>
          <w:ilvl w:val="0"/>
          <w:numId w:val="0"/>
        </w:numPr>
        <w:spacing w:before="0" w:after="0"/>
      </w:pPr>
      <w:r>
        <w:t xml:space="preserve">3.4 </w:t>
      </w:r>
      <w:r w:rsidR="0008031C" w:rsidRPr="00D623C2">
        <w:t xml:space="preserve">Neoprávněně vyplacené prostředky </w:t>
      </w:r>
    </w:p>
    <w:p w14:paraId="13D38DAC" w14:textId="77777777" w:rsidR="00F42131" w:rsidRDefault="00F42131" w:rsidP="00D623C2">
      <w:pPr>
        <w:spacing w:before="0"/>
      </w:pPr>
    </w:p>
    <w:p w14:paraId="35EEC2EC" w14:textId="77777777" w:rsidR="00F00E54" w:rsidRPr="000561E8" w:rsidRDefault="00260E89" w:rsidP="00D623C2">
      <w:pPr>
        <w:spacing w:before="0"/>
        <w:rPr>
          <w:color w:val="000000" w:themeColor="text1"/>
        </w:rPr>
      </w:pPr>
      <w:r w:rsidRPr="000561E8">
        <w:rPr>
          <w:color w:val="000000" w:themeColor="text1"/>
        </w:rPr>
        <w:t>U</w:t>
      </w:r>
      <w:r w:rsidR="001C0DD5" w:rsidRPr="000561E8">
        <w:rPr>
          <w:color w:val="000000" w:themeColor="text1"/>
        </w:rPr>
        <w:t xml:space="preserve"> </w:t>
      </w:r>
      <w:r w:rsidRPr="000561E8">
        <w:rPr>
          <w:color w:val="000000" w:themeColor="text1"/>
        </w:rPr>
        <w:t>projektu</w:t>
      </w:r>
      <w:r w:rsidR="001C0DD5" w:rsidRPr="000561E8">
        <w:rPr>
          <w:color w:val="000000" w:themeColor="text1"/>
        </w:rPr>
        <w:t xml:space="preserve"> PRV 07-13 na rekonstrukci výkrmové haly a výstavbu jímky</w:t>
      </w:r>
      <w:r w:rsidRPr="000561E8">
        <w:rPr>
          <w:color w:val="000000" w:themeColor="text1"/>
        </w:rPr>
        <w:t xml:space="preserve"> nepostupoval </w:t>
      </w:r>
      <w:r w:rsidR="0063392B" w:rsidRPr="000561E8">
        <w:rPr>
          <w:color w:val="000000" w:themeColor="text1"/>
        </w:rPr>
        <w:t xml:space="preserve">jeden </w:t>
      </w:r>
      <w:r w:rsidRPr="000561E8">
        <w:rPr>
          <w:color w:val="000000" w:themeColor="text1"/>
        </w:rPr>
        <w:t xml:space="preserve">příjemce </w:t>
      </w:r>
      <w:r w:rsidR="0063392B" w:rsidRPr="000561E8">
        <w:rPr>
          <w:color w:val="000000" w:themeColor="text1"/>
        </w:rPr>
        <w:t xml:space="preserve">dotace </w:t>
      </w:r>
      <w:r w:rsidRPr="000561E8">
        <w:rPr>
          <w:color w:val="000000" w:themeColor="text1"/>
        </w:rPr>
        <w:t>v souladu s</w:t>
      </w:r>
      <w:r w:rsidR="00A40CB8" w:rsidRPr="000561E8">
        <w:rPr>
          <w:color w:val="000000" w:themeColor="text1"/>
        </w:rPr>
        <w:t> </w:t>
      </w:r>
      <w:r w:rsidRPr="0071578F">
        <w:rPr>
          <w:i/>
          <w:color w:val="000000" w:themeColor="text1"/>
        </w:rPr>
        <w:t>Pravidly</w:t>
      </w:r>
      <w:r w:rsidR="00A40CB8" w:rsidRPr="0071578F">
        <w:rPr>
          <w:i/>
          <w:color w:val="000000" w:themeColor="text1"/>
        </w:rPr>
        <w:t>,</w:t>
      </w:r>
      <w:r w:rsidR="008D3806" w:rsidRPr="0071578F">
        <w:rPr>
          <w:i/>
          <w:color w:val="000000" w:themeColor="text1"/>
        </w:rPr>
        <w:t xml:space="preserve"> </w:t>
      </w:r>
      <w:r w:rsidR="00A40CB8" w:rsidRPr="0071578F">
        <w:rPr>
          <w:rStyle w:val="Siln"/>
          <w:b w:val="0"/>
          <w:i/>
          <w:color w:val="000000" w:themeColor="text1"/>
          <w:shd w:val="clear" w:color="auto" w:fill="FFFFFF"/>
        </w:rPr>
        <w:t>kterými se stanovují podmínky pro poskytování dotace na projekty Programu rozvoje venkova</w:t>
      </w:r>
      <w:r w:rsidR="00B919FE" w:rsidRPr="000561E8">
        <w:rPr>
          <w:rStyle w:val="Siln"/>
          <w:b w:val="0"/>
          <w:color w:val="000000" w:themeColor="text1"/>
          <w:shd w:val="clear" w:color="auto" w:fill="FFFFFF"/>
        </w:rPr>
        <w:t>,</w:t>
      </w:r>
      <w:r w:rsidRPr="000561E8">
        <w:rPr>
          <w:color w:val="000000" w:themeColor="text1"/>
        </w:rPr>
        <w:t xml:space="preserve"> a nenahlásil změnu technického řešení projektu. SZIF při kontrole na místě tento nedostatek neodhalil a </w:t>
      </w:r>
      <w:r w:rsidR="0094063F" w:rsidRPr="000561E8">
        <w:rPr>
          <w:color w:val="000000" w:themeColor="text1"/>
        </w:rPr>
        <w:t>neprovedl řádně administrativní kontrolu</w:t>
      </w:r>
      <w:r w:rsidR="0094063F" w:rsidRPr="000561E8">
        <w:rPr>
          <w:rStyle w:val="Znakapoznpodarou"/>
          <w:color w:val="000000" w:themeColor="text1"/>
        </w:rPr>
        <w:footnoteReference w:id="16"/>
      </w:r>
      <w:r w:rsidR="0094063F" w:rsidRPr="000561E8">
        <w:rPr>
          <w:color w:val="000000" w:themeColor="text1"/>
        </w:rPr>
        <w:t>. Tím se dopustil</w:t>
      </w:r>
      <w:r w:rsidR="009470F7" w:rsidRPr="000561E8">
        <w:rPr>
          <w:color w:val="000000" w:themeColor="text1"/>
        </w:rPr>
        <w:t xml:space="preserve"> porušení</w:t>
      </w:r>
      <w:r w:rsidR="0094063F" w:rsidRPr="000561E8">
        <w:rPr>
          <w:color w:val="000000" w:themeColor="text1"/>
        </w:rPr>
        <w:t xml:space="preserve"> rozpočtové kázně</w:t>
      </w:r>
      <w:r w:rsidR="0094063F" w:rsidRPr="000561E8">
        <w:rPr>
          <w:rStyle w:val="Znakapoznpodarou"/>
          <w:color w:val="000000" w:themeColor="text1"/>
        </w:rPr>
        <w:footnoteReference w:id="17"/>
      </w:r>
      <w:r w:rsidR="0094063F" w:rsidRPr="000561E8">
        <w:rPr>
          <w:color w:val="000000" w:themeColor="text1"/>
        </w:rPr>
        <w:t xml:space="preserve"> ve výši 124 952 Kč. </w:t>
      </w:r>
    </w:p>
    <w:p w14:paraId="23B89D7F" w14:textId="77777777" w:rsidR="00FA3E86" w:rsidRPr="00D623C2" w:rsidRDefault="00FA3E86" w:rsidP="00D623C2">
      <w:pPr>
        <w:spacing w:before="0"/>
      </w:pPr>
    </w:p>
    <w:p w14:paraId="7C7EC8BB" w14:textId="77777777" w:rsidR="00C813EE" w:rsidRPr="00D623C2" w:rsidRDefault="00215D0C" w:rsidP="00215D0C">
      <w:pPr>
        <w:pStyle w:val="Nadpis2"/>
        <w:numPr>
          <w:ilvl w:val="0"/>
          <w:numId w:val="0"/>
        </w:numPr>
        <w:spacing w:before="0"/>
        <w:rPr>
          <w:sz w:val="24"/>
          <w:szCs w:val="24"/>
        </w:rPr>
      </w:pPr>
      <w:r>
        <w:rPr>
          <w:sz w:val="24"/>
          <w:szCs w:val="24"/>
        </w:rPr>
        <w:t xml:space="preserve">4. </w:t>
      </w:r>
      <w:r w:rsidR="00011480" w:rsidRPr="00D623C2">
        <w:rPr>
          <w:sz w:val="24"/>
          <w:szCs w:val="24"/>
        </w:rPr>
        <w:t>Vývoj a směřování dotačních prostředků do živočišné výroby</w:t>
      </w:r>
    </w:p>
    <w:p w14:paraId="26E7A599" w14:textId="77777777" w:rsidR="00F42131" w:rsidRDefault="00F42131" w:rsidP="00D623C2">
      <w:pPr>
        <w:spacing w:before="0"/>
      </w:pPr>
    </w:p>
    <w:p w14:paraId="1FC89535" w14:textId="77777777" w:rsidR="00F42131" w:rsidRDefault="00423B76" w:rsidP="00D623C2">
      <w:pPr>
        <w:spacing w:before="0"/>
      </w:pPr>
      <w:r w:rsidRPr="00D623C2">
        <w:t>NKÚ z</w:t>
      </w:r>
      <w:r w:rsidR="00C813EE" w:rsidRPr="00D623C2">
        <w:t xml:space="preserve">a pomocí dat z mezinárodní sítě FADN </w:t>
      </w:r>
      <w:r w:rsidR="00B46D25" w:rsidRPr="00D623C2">
        <w:t>ověřil</w:t>
      </w:r>
      <w:r w:rsidR="00C813EE" w:rsidRPr="00D623C2">
        <w:t xml:space="preserve">, </w:t>
      </w:r>
      <w:r w:rsidR="00674528" w:rsidRPr="00D623C2">
        <w:t xml:space="preserve">do jakých odvětví </w:t>
      </w:r>
      <w:r w:rsidR="00A20C96" w:rsidRPr="00D623C2">
        <w:t xml:space="preserve">živočišné výroby dotace směřují, </w:t>
      </w:r>
      <w:r w:rsidR="00674528" w:rsidRPr="00D623C2">
        <w:t>a porovnal je</w:t>
      </w:r>
      <w:r w:rsidR="00173754" w:rsidRPr="00D623C2">
        <w:t>jich výši</w:t>
      </w:r>
      <w:r w:rsidR="00674528" w:rsidRPr="00D623C2">
        <w:t xml:space="preserve"> s ostatními členskými státy EU.</w:t>
      </w:r>
    </w:p>
    <w:p w14:paraId="6D10D5B0" w14:textId="77777777" w:rsidR="00F42131" w:rsidRDefault="00F42131" w:rsidP="00D623C2">
      <w:pPr>
        <w:spacing w:before="0"/>
      </w:pPr>
    </w:p>
    <w:p w14:paraId="39E2AD0F" w14:textId="32600939" w:rsidR="00033890" w:rsidRPr="00D623C2" w:rsidRDefault="001145F0" w:rsidP="00D623C2">
      <w:pPr>
        <w:spacing w:before="0"/>
      </w:pPr>
      <w:r w:rsidRPr="00D623C2">
        <w:t xml:space="preserve">Data </w:t>
      </w:r>
      <w:r w:rsidR="00423B76" w:rsidRPr="00D623C2">
        <w:t>ze</w:t>
      </w:r>
      <w:r w:rsidR="007B6FD8">
        <w:t xml:space="preserve"> </w:t>
      </w:r>
      <w:r w:rsidRPr="00D623C2">
        <w:t>sít</w:t>
      </w:r>
      <w:r w:rsidR="00423B76" w:rsidRPr="00D623C2">
        <w:t>ě</w:t>
      </w:r>
      <w:r w:rsidRPr="00D623C2">
        <w:t xml:space="preserve"> FADN pochází z výběrového šetření hospodářských výsledků podnikatelských subjektů v zemědělství. </w:t>
      </w:r>
      <w:r w:rsidR="00033890" w:rsidRPr="00D623C2">
        <w:t>V rámci tohoto šetření jsou zemědělské podniky členěny do skupin dle výrobního zaměření. Živočišné výroby se týkají tato výrobní zaměření</w:t>
      </w:r>
      <w:r w:rsidR="00DA5637" w:rsidRPr="00D623C2">
        <w:t xml:space="preserve"> (VZ):</w:t>
      </w:r>
    </w:p>
    <w:p w14:paraId="4815F67C" w14:textId="77777777" w:rsidR="00033890" w:rsidRPr="00D623C2" w:rsidRDefault="00033890" w:rsidP="00215D0C">
      <w:pPr>
        <w:pStyle w:val="Odstavecseseznamem"/>
        <w:numPr>
          <w:ilvl w:val="0"/>
          <w:numId w:val="23"/>
        </w:numPr>
        <w:spacing w:before="0"/>
        <w:ind w:left="284" w:hanging="284"/>
        <w:contextualSpacing w:val="0"/>
      </w:pPr>
      <w:r w:rsidRPr="00D623C2">
        <w:t>smíšená výroba,</w:t>
      </w:r>
    </w:p>
    <w:p w14:paraId="0D9DCB51" w14:textId="77777777" w:rsidR="00033890" w:rsidRPr="00D623C2" w:rsidRDefault="00033890" w:rsidP="00215D0C">
      <w:pPr>
        <w:pStyle w:val="Odstavecseseznamem"/>
        <w:numPr>
          <w:ilvl w:val="0"/>
          <w:numId w:val="23"/>
        </w:numPr>
        <w:spacing w:before="0"/>
        <w:ind w:left="284" w:hanging="284"/>
        <w:contextualSpacing w:val="0"/>
      </w:pPr>
      <w:r w:rsidRPr="00D623C2">
        <w:t>produkce mléka,</w:t>
      </w:r>
    </w:p>
    <w:p w14:paraId="798D94D9" w14:textId="77777777" w:rsidR="00033890" w:rsidRPr="00D623C2" w:rsidRDefault="00033890" w:rsidP="00215D0C">
      <w:pPr>
        <w:pStyle w:val="Odstavecseseznamem"/>
        <w:numPr>
          <w:ilvl w:val="0"/>
          <w:numId w:val="23"/>
        </w:numPr>
        <w:spacing w:before="0"/>
        <w:ind w:left="284" w:hanging="284"/>
        <w:contextualSpacing w:val="0"/>
      </w:pPr>
      <w:r w:rsidRPr="00D623C2">
        <w:t>chov skotu, ovcí, koz a ostatních zvířat zkrmující objemnou píci,</w:t>
      </w:r>
    </w:p>
    <w:p w14:paraId="47945266" w14:textId="77777777" w:rsidR="00033890" w:rsidRPr="00D623C2" w:rsidRDefault="00033890" w:rsidP="00215D0C">
      <w:pPr>
        <w:pStyle w:val="Odstavecseseznamem"/>
        <w:numPr>
          <w:ilvl w:val="0"/>
          <w:numId w:val="23"/>
        </w:numPr>
        <w:spacing w:before="0"/>
        <w:ind w:left="284" w:hanging="284"/>
        <w:contextualSpacing w:val="0"/>
      </w:pPr>
      <w:r w:rsidRPr="00D623C2">
        <w:t xml:space="preserve">chov prasat a drůbeže. </w:t>
      </w:r>
    </w:p>
    <w:p w14:paraId="2029FFC7" w14:textId="77777777" w:rsidR="00F42131" w:rsidRDefault="00F42131" w:rsidP="00D623C2">
      <w:pPr>
        <w:spacing w:before="0"/>
      </w:pPr>
    </w:p>
    <w:p w14:paraId="06463E47" w14:textId="77777777" w:rsidR="00B32003" w:rsidRPr="00D623C2" w:rsidRDefault="00033890" w:rsidP="00D623C2">
      <w:pPr>
        <w:spacing w:before="0"/>
      </w:pPr>
      <w:r w:rsidRPr="00D623C2">
        <w:t xml:space="preserve">Pro srovnatelnost údajů byl u výstupů zvolen přepočet na jednu dobytčí jednotku (DJ). </w:t>
      </w:r>
      <w:r w:rsidR="00DF3C20" w:rsidRPr="00D623C2">
        <w:t>Více o </w:t>
      </w:r>
      <w:r w:rsidR="00DA5A3C" w:rsidRPr="00D623C2">
        <w:t xml:space="preserve">metodách a způsobech šetření FADN je uvedeno v příloze č. 1 tohoto kontrolního závěru. </w:t>
      </w:r>
    </w:p>
    <w:p w14:paraId="4FCFDA1F" w14:textId="77777777" w:rsidR="00CB4718" w:rsidRPr="00D623C2" w:rsidRDefault="00CB4718" w:rsidP="00D623C2">
      <w:pPr>
        <w:spacing w:before="0"/>
      </w:pPr>
    </w:p>
    <w:p w14:paraId="73EFB72B" w14:textId="56EF78CC" w:rsidR="00F00E54" w:rsidRPr="00D623C2" w:rsidRDefault="00CE0FC8" w:rsidP="00CE0FC8">
      <w:pPr>
        <w:pStyle w:val="Titulek"/>
        <w:keepNext/>
        <w:spacing w:before="0"/>
        <w:ind w:left="993" w:hanging="993"/>
        <w:rPr>
          <w:rFonts w:ascii="Calibri" w:hAnsi="Calibri" w:cs="Calibri"/>
          <w:b/>
          <w:color w:val="auto"/>
          <w:sz w:val="24"/>
        </w:rPr>
      </w:pPr>
      <w:r>
        <w:rPr>
          <w:noProof/>
          <w:lang w:eastAsia="cs-CZ"/>
        </w:rPr>
        <w:drawing>
          <wp:anchor distT="0" distB="0" distL="114300" distR="114300" simplePos="0" relativeHeight="251661312" behindDoc="0" locked="0" layoutInCell="1" allowOverlap="1" wp14:anchorId="7ABFF32C" wp14:editId="30E0C75C">
            <wp:simplePos x="0" y="0"/>
            <wp:positionH relativeFrom="column">
              <wp:posOffset>-2540</wp:posOffset>
            </wp:positionH>
            <wp:positionV relativeFrom="paragraph">
              <wp:posOffset>443037</wp:posOffset>
            </wp:positionV>
            <wp:extent cx="5760000" cy="3600000"/>
            <wp:effectExtent l="0" t="0" r="0" b="635"/>
            <wp:wrapTopAndBottom/>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F00E54" w:rsidRPr="00D623C2">
        <w:rPr>
          <w:rFonts w:ascii="Calibri" w:hAnsi="Calibri" w:cs="Calibri"/>
          <w:b/>
          <w:i w:val="0"/>
          <w:color w:val="auto"/>
          <w:sz w:val="24"/>
        </w:rPr>
        <w:t>Graf č.</w:t>
      </w:r>
      <w:r w:rsidR="00000596" w:rsidRPr="00D623C2">
        <w:rPr>
          <w:rFonts w:ascii="Calibri" w:hAnsi="Calibri" w:cs="Calibri"/>
          <w:b/>
          <w:i w:val="0"/>
          <w:color w:val="auto"/>
          <w:sz w:val="24"/>
        </w:rPr>
        <w:t xml:space="preserve"> </w:t>
      </w:r>
      <w:r w:rsidR="005D7C7F">
        <w:rPr>
          <w:rFonts w:ascii="Calibri" w:hAnsi="Calibri" w:cs="Calibri"/>
          <w:b/>
          <w:i w:val="0"/>
          <w:color w:val="auto"/>
          <w:sz w:val="24"/>
        </w:rPr>
        <w:t>3</w:t>
      </w:r>
      <w:r w:rsidR="00F00E54" w:rsidRPr="00D623C2">
        <w:rPr>
          <w:rFonts w:ascii="Calibri" w:hAnsi="Calibri" w:cs="Calibri"/>
          <w:b/>
          <w:color w:val="auto"/>
          <w:sz w:val="24"/>
        </w:rPr>
        <w:t xml:space="preserve">: </w:t>
      </w:r>
      <w:r w:rsidR="00D623C2">
        <w:rPr>
          <w:rFonts w:ascii="Calibri" w:hAnsi="Calibri" w:cs="Calibri"/>
          <w:b/>
          <w:color w:val="auto"/>
          <w:sz w:val="24"/>
        </w:rPr>
        <w:tab/>
      </w:r>
      <w:r w:rsidR="00F00E54" w:rsidRPr="00D623C2">
        <w:rPr>
          <w:rFonts w:ascii="Calibri" w:hAnsi="Calibri" w:cs="Calibri"/>
          <w:b/>
          <w:i w:val="0"/>
          <w:color w:val="auto"/>
          <w:sz w:val="24"/>
        </w:rPr>
        <w:t xml:space="preserve">Vývoj </w:t>
      </w:r>
      <w:r w:rsidR="006E639B" w:rsidRPr="00D623C2">
        <w:rPr>
          <w:rFonts w:ascii="Calibri" w:hAnsi="Calibri" w:cs="Calibri"/>
          <w:b/>
          <w:i w:val="0"/>
          <w:color w:val="auto"/>
          <w:sz w:val="24"/>
        </w:rPr>
        <w:t>výše p</w:t>
      </w:r>
      <w:r w:rsidR="00F00E54" w:rsidRPr="00D623C2">
        <w:rPr>
          <w:rFonts w:ascii="Calibri" w:hAnsi="Calibri" w:cs="Calibri"/>
          <w:b/>
          <w:i w:val="0"/>
          <w:color w:val="auto"/>
          <w:sz w:val="24"/>
        </w:rPr>
        <w:t xml:space="preserve">rovozních dotací </w:t>
      </w:r>
      <w:r w:rsidR="00E61CB6" w:rsidRPr="00D623C2">
        <w:rPr>
          <w:rFonts w:ascii="Calibri" w:hAnsi="Calibri" w:cs="Calibri"/>
          <w:b/>
          <w:i w:val="0"/>
          <w:color w:val="auto"/>
          <w:sz w:val="24"/>
        </w:rPr>
        <w:t>do zemědělských podniků</w:t>
      </w:r>
      <w:r w:rsidR="009C2601" w:rsidRPr="00D623C2">
        <w:rPr>
          <w:rFonts w:ascii="Calibri" w:hAnsi="Calibri" w:cs="Calibri"/>
          <w:b/>
          <w:i w:val="0"/>
          <w:color w:val="auto"/>
          <w:sz w:val="24"/>
        </w:rPr>
        <w:t xml:space="preserve"> dle výrobního zaměření</w:t>
      </w:r>
      <w:r w:rsidR="00E61CB6" w:rsidRPr="00D623C2">
        <w:rPr>
          <w:rFonts w:ascii="Calibri" w:hAnsi="Calibri" w:cs="Calibri"/>
          <w:b/>
          <w:i w:val="0"/>
          <w:color w:val="auto"/>
          <w:sz w:val="24"/>
        </w:rPr>
        <w:t xml:space="preserve"> </w:t>
      </w:r>
      <w:r w:rsidR="00F00E54" w:rsidRPr="00D623C2">
        <w:rPr>
          <w:rFonts w:ascii="Calibri" w:hAnsi="Calibri" w:cs="Calibri"/>
          <w:b/>
          <w:i w:val="0"/>
          <w:color w:val="auto"/>
          <w:sz w:val="24"/>
        </w:rPr>
        <w:t>přepočten</w:t>
      </w:r>
      <w:r w:rsidR="006E639B" w:rsidRPr="00D623C2">
        <w:rPr>
          <w:rFonts w:ascii="Calibri" w:hAnsi="Calibri" w:cs="Calibri"/>
          <w:b/>
          <w:i w:val="0"/>
          <w:color w:val="auto"/>
          <w:sz w:val="24"/>
        </w:rPr>
        <w:t>ý</w:t>
      </w:r>
      <w:r w:rsidR="00F00E54" w:rsidRPr="00D623C2">
        <w:rPr>
          <w:rFonts w:ascii="Calibri" w:hAnsi="Calibri" w:cs="Calibri"/>
          <w:b/>
          <w:i w:val="0"/>
          <w:color w:val="auto"/>
          <w:sz w:val="24"/>
        </w:rPr>
        <w:t xml:space="preserve"> na dobytčí jednotku</w:t>
      </w:r>
    </w:p>
    <w:p w14:paraId="4E52D9A4" w14:textId="77777777" w:rsidR="00F42131" w:rsidRDefault="00F42131" w:rsidP="00CE0FC8">
      <w:pPr>
        <w:keepNext/>
        <w:spacing w:before="0"/>
      </w:pPr>
    </w:p>
    <w:p w14:paraId="5B744D81" w14:textId="7F946BC0" w:rsidR="00F00E54" w:rsidRPr="00DA5637" w:rsidRDefault="00F00E54" w:rsidP="00F42131">
      <w:pPr>
        <w:spacing w:before="0"/>
        <w:ind w:left="567" w:hanging="567"/>
        <w:rPr>
          <w:sz w:val="18"/>
          <w:szCs w:val="18"/>
        </w:rPr>
      </w:pPr>
      <w:r w:rsidRPr="00DA5637">
        <w:rPr>
          <w:b/>
          <w:sz w:val="18"/>
          <w:szCs w:val="18"/>
        </w:rPr>
        <w:t>Zdroj:</w:t>
      </w:r>
      <w:r>
        <w:t xml:space="preserve"> </w:t>
      </w:r>
      <w:r w:rsidRPr="00DA5637">
        <w:rPr>
          <w:sz w:val="18"/>
          <w:szCs w:val="18"/>
        </w:rPr>
        <w:t>FADN PUBLIC DATABASE</w:t>
      </w:r>
      <w:r w:rsidR="00F42131">
        <w:rPr>
          <w:sz w:val="18"/>
          <w:szCs w:val="18"/>
        </w:rPr>
        <w:t xml:space="preserve"> </w:t>
      </w:r>
      <w:r w:rsidRPr="00DA5637">
        <w:rPr>
          <w:sz w:val="18"/>
          <w:szCs w:val="18"/>
        </w:rPr>
        <w:t>(</w:t>
      </w:r>
      <w:hyperlink r:id="rId17" w:history="1">
        <w:r w:rsidRPr="00DA5637">
          <w:rPr>
            <w:rStyle w:val="Hypertextovodkaz"/>
            <w:sz w:val="18"/>
            <w:szCs w:val="18"/>
          </w:rPr>
          <w:t>http://ec.europa.eu/agriculture/rica/database/database_en.cfm</w:t>
        </w:r>
      </w:hyperlink>
      <w:r w:rsidRPr="00DA5637">
        <w:rPr>
          <w:sz w:val="18"/>
          <w:szCs w:val="18"/>
        </w:rPr>
        <w:t>)</w:t>
      </w:r>
      <w:r w:rsidR="007B6FD8">
        <w:rPr>
          <w:sz w:val="18"/>
          <w:szCs w:val="18"/>
        </w:rPr>
        <w:t>.</w:t>
      </w:r>
    </w:p>
    <w:p w14:paraId="17CE4168" w14:textId="77777777" w:rsidR="00CB4718" w:rsidRDefault="00CB4718" w:rsidP="00F42131">
      <w:pPr>
        <w:spacing w:before="0"/>
      </w:pPr>
    </w:p>
    <w:p w14:paraId="5EAFE9B4" w14:textId="5A1E603B" w:rsidR="004E3B96" w:rsidRDefault="0075137E" w:rsidP="00F42131">
      <w:pPr>
        <w:widowControl w:val="0"/>
        <w:autoSpaceDE w:val="0"/>
        <w:autoSpaceDN w:val="0"/>
        <w:adjustRightInd w:val="0"/>
        <w:spacing w:before="0"/>
      </w:pPr>
      <w:r>
        <w:t xml:space="preserve">Graf </w:t>
      </w:r>
      <w:r w:rsidR="0019514A">
        <w:t xml:space="preserve">č. </w:t>
      </w:r>
      <w:r w:rsidR="007B6FD8">
        <w:t>3</w:t>
      </w:r>
      <w:r w:rsidR="00195A37">
        <w:t xml:space="preserve"> znázorňuje</w:t>
      </w:r>
      <w:r w:rsidR="00EA0BED">
        <w:t xml:space="preserve"> vývoj </w:t>
      </w:r>
      <w:r w:rsidR="00195A37">
        <w:t>výše provozních dotací plynoucí</w:t>
      </w:r>
      <w:r w:rsidR="0019514A">
        <w:t>ch</w:t>
      </w:r>
      <w:r w:rsidR="00195A37">
        <w:t xml:space="preserve"> do zemědělských podniků podle výrobního zaměření v České republice a zároveň průměrné hodnoty provozních dotací v rámci EU. </w:t>
      </w:r>
      <w:r w:rsidR="004E3B96" w:rsidRPr="004E3B96">
        <w:t xml:space="preserve">Z dat uvedených v grafu vyplývá, že nejvyšší objem dotačních prostředků směřuje do zemědělských podniků s výrobním zaměřením na chov skotu. Zemědělské podniky zaměřené na produkci mléka a na smíšenou produkci dostávají finanční prostředky zhruba ve srovnatelné výši a s podobným růstovým trendem. Nejméně dotací směřuje do podniků zaměřených na chov prasat a drůbeže. </w:t>
      </w:r>
    </w:p>
    <w:p w14:paraId="1DA57DB4" w14:textId="77777777" w:rsidR="00F42131" w:rsidRPr="004E3B96" w:rsidRDefault="00F42131" w:rsidP="00F42131">
      <w:pPr>
        <w:widowControl w:val="0"/>
        <w:autoSpaceDE w:val="0"/>
        <w:autoSpaceDN w:val="0"/>
        <w:adjustRightInd w:val="0"/>
        <w:spacing w:before="0"/>
      </w:pPr>
    </w:p>
    <w:p w14:paraId="70D417A9" w14:textId="0740AFFE" w:rsidR="00F42131" w:rsidRDefault="004E3B96" w:rsidP="00F42131">
      <w:pPr>
        <w:widowControl w:val="0"/>
        <w:autoSpaceDE w:val="0"/>
        <w:autoSpaceDN w:val="0"/>
        <w:adjustRightInd w:val="0"/>
        <w:spacing w:before="0"/>
      </w:pPr>
      <w:r w:rsidRPr="004E3B96">
        <w:t>Pokud jde o vývoj výše dotací v čase, od roku 2012 rostou dotace u všech výrobních zaměření živočišné výroby</w:t>
      </w:r>
      <w:r w:rsidR="007B6FD8">
        <w:t>,</w:t>
      </w:r>
      <w:r w:rsidRPr="004E3B96">
        <w:t xml:space="preserve"> </w:t>
      </w:r>
      <w:r w:rsidR="007B6FD8">
        <w:t>s výjimkou</w:t>
      </w:r>
      <w:r w:rsidRPr="004E3B96">
        <w:t xml:space="preserve"> výrobního zaměření chov skotu. Nejzřetelnější nárůst je u</w:t>
      </w:r>
      <w:r w:rsidR="007B6FD8">
        <w:t> </w:t>
      </w:r>
      <w:r w:rsidRPr="004E3B96">
        <w:t>zaměření chov prasat a drůbeže, kam do roku 2012 směřovaly jen minimální dotace.</w:t>
      </w:r>
    </w:p>
    <w:p w14:paraId="139CB438" w14:textId="77777777" w:rsidR="00F42131" w:rsidRDefault="00F42131" w:rsidP="00F42131">
      <w:pPr>
        <w:widowControl w:val="0"/>
        <w:autoSpaceDE w:val="0"/>
        <w:autoSpaceDN w:val="0"/>
        <w:adjustRightInd w:val="0"/>
        <w:spacing w:before="0"/>
      </w:pPr>
    </w:p>
    <w:p w14:paraId="7DBA8BB3" w14:textId="57AC5673" w:rsidR="00FE318E" w:rsidRDefault="004E3B96" w:rsidP="00215D0C">
      <w:pPr>
        <w:autoSpaceDE w:val="0"/>
        <w:autoSpaceDN w:val="0"/>
        <w:adjustRightInd w:val="0"/>
        <w:spacing w:before="0"/>
        <w:rPr>
          <w:b/>
        </w:rPr>
      </w:pPr>
      <w:r w:rsidRPr="00DA5637">
        <w:rPr>
          <w:b/>
        </w:rPr>
        <w:t>Česká republika</w:t>
      </w:r>
      <w:r w:rsidR="00107CA7">
        <w:rPr>
          <w:b/>
        </w:rPr>
        <w:t xml:space="preserve"> </w:t>
      </w:r>
      <w:r w:rsidR="00925FEF">
        <w:rPr>
          <w:b/>
        </w:rPr>
        <w:t xml:space="preserve">vykazuje </w:t>
      </w:r>
      <w:r w:rsidR="003E5877">
        <w:rPr>
          <w:b/>
        </w:rPr>
        <w:t xml:space="preserve">v </w:t>
      </w:r>
      <w:r w:rsidR="00925FEF">
        <w:rPr>
          <w:b/>
        </w:rPr>
        <w:t>objem</w:t>
      </w:r>
      <w:r w:rsidR="003E5877">
        <w:rPr>
          <w:b/>
        </w:rPr>
        <w:t>u</w:t>
      </w:r>
      <w:r w:rsidR="00925FEF">
        <w:rPr>
          <w:b/>
        </w:rPr>
        <w:t xml:space="preserve"> dotací poskytnutých do živočišné výroby </w:t>
      </w:r>
      <w:r w:rsidR="003E5877">
        <w:rPr>
          <w:b/>
        </w:rPr>
        <w:t xml:space="preserve">dlouhodobě hodnoty </w:t>
      </w:r>
      <w:r w:rsidR="00107CA7">
        <w:rPr>
          <w:b/>
        </w:rPr>
        <w:t>vysoko nad průměrem EU</w:t>
      </w:r>
      <w:r w:rsidRPr="00DA5637">
        <w:rPr>
          <w:b/>
        </w:rPr>
        <w:t xml:space="preserve"> ve vš</w:t>
      </w:r>
      <w:r w:rsidR="009E42A1">
        <w:rPr>
          <w:b/>
        </w:rPr>
        <w:t>ech výrobních zaměřeních</w:t>
      </w:r>
      <w:r w:rsidR="00B919FE">
        <w:rPr>
          <w:b/>
        </w:rPr>
        <w:t xml:space="preserve">, </w:t>
      </w:r>
      <w:r w:rsidR="007B6FD8">
        <w:rPr>
          <w:b/>
        </w:rPr>
        <w:t>s výjimkou</w:t>
      </w:r>
      <w:r w:rsidR="00B919FE">
        <w:rPr>
          <w:b/>
        </w:rPr>
        <w:t xml:space="preserve"> výrobního zaměření chov prasat a drůbeže. U tohoto výrobního zaměření </w:t>
      </w:r>
      <w:r w:rsidR="00050A49">
        <w:rPr>
          <w:b/>
        </w:rPr>
        <w:t xml:space="preserve">je nárůst </w:t>
      </w:r>
      <w:r w:rsidR="00B919FE">
        <w:rPr>
          <w:b/>
        </w:rPr>
        <w:t xml:space="preserve">dotací </w:t>
      </w:r>
      <w:r w:rsidR="00050A49">
        <w:rPr>
          <w:b/>
        </w:rPr>
        <w:t>patrný od roku 2013.</w:t>
      </w:r>
    </w:p>
    <w:p w14:paraId="788E5D8A" w14:textId="77777777" w:rsidR="00A20C96" w:rsidRPr="00F42131" w:rsidRDefault="00A20C96" w:rsidP="00F42131">
      <w:pPr>
        <w:widowControl w:val="0"/>
        <w:autoSpaceDE w:val="0"/>
        <w:autoSpaceDN w:val="0"/>
        <w:adjustRightInd w:val="0"/>
        <w:spacing w:before="0"/>
      </w:pPr>
    </w:p>
    <w:p w14:paraId="08A77FBB" w14:textId="097D55F1" w:rsidR="00C55A12" w:rsidRPr="007E1392" w:rsidRDefault="00C55A12" w:rsidP="004D1A47">
      <w:pPr>
        <w:keepNext/>
        <w:spacing w:before="0" w:after="40"/>
        <w:ind w:left="1304" w:hanging="1304"/>
        <w:rPr>
          <w:b/>
        </w:rPr>
      </w:pPr>
      <w:r w:rsidRPr="00DF3C20">
        <w:rPr>
          <w:b/>
        </w:rPr>
        <w:t xml:space="preserve">Tabulka č. </w:t>
      </w:r>
      <w:r w:rsidR="00301A3C" w:rsidRPr="00DF3C20">
        <w:rPr>
          <w:b/>
        </w:rPr>
        <w:t>4</w:t>
      </w:r>
      <w:r w:rsidR="00B32003" w:rsidRPr="00DF3C20">
        <w:rPr>
          <w:b/>
        </w:rPr>
        <w:t>:</w:t>
      </w:r>
      <w:r w:rsidR="00F42131">
        <w:tab/>
      </w:r>
      <w:r w:rsidRPr="007E1392">
        <w:rPr>
          <w:b/>
        </w:rPr>
        <w:t>Vývoj celkové produkce, celkových nákladů a poměru celkových nákladů k celkové produkci v ČR</w:t>
      </w:r>
    </w:p>
    <w:tbl>
      <w:tblPr>
        <w:tblStyle w:val="Mkatabulky"/>
        <w:tblW w:w="0" w:type="auto"/>
        <w:jc w:val="center"/>
        <w:tblLook w:val="04A0" w:firstRow="1" w:lastRow="0" w:firstColumn="1" w:lastColumn="0" w:noHBand="0" w:noVBand="1"/>
      </w:tblPr>
      <w:tblGrid>
        <w:gridCol w:w="581"/>
        <w:gridCol w:w="784"/>
        <w:gridCol w:w="702"/>
        <w:gridCol w:w="625"/>
        <w:gridCol w:w="777"/>
        <w:gridCol w:w="721"/>
        <w:gridCol w:w="615"/>
        <w:gridCol w:w="777"/>
        <w:gridCol w:w="721"/>
        <w:gridCol w:w="623"/>
        <w:gridCol w:w="777"/>
        <w:gridCol w:w="721"/>
        <w:gridCol w:w="636"/>
      </w:tblGrid>
      <w:tr w:rsidR="005F05E8" w:rsidRPr="00215D0C" w14:paraId="3E4BE3DA" w14:textId="77777777" w:rsidTr="00CE0FC8">
        <w:trPr>
          <w:cantSplit/>
          <w:trHeight w:val="227"/>
          <w:jc w:val="center"/>
        </w:trPr>
        <w:tc>
          <w:tcPr>
            <w:tcW w:w="586" w:type="dxa"/>
            <w:vMerge w:val="restart"/>
            <w:shd w:val="clear" w:color="auto" w:fill="E5F1FF"/>
            <w:vAlign w:val="center"/>
          </w:tcPr>
          <w:p w14:paraId="1CDBE182" w14:textId="2856C210" w:rsidR="005F05E8" w:rsidRPr="00A47492" w:rsidRDefault="005F05E8" w:rsidP="0042183F">
            <w:pPr>
              <w:keepNext/>
              <w:spacing w:before="0"/>
              <w:jc w:val="center"/>
              <w:rPr>
                <w:sz w:val="16"/>
                <w:szCs w:val="20"/>
              </w:rPr>
            </w:pPr>
            <w:r w:rsidRPr="00A47492">
              <w:rPr>
                <w:b/>
                <w:sz w:val="16"/>
                <w:szCs w:val="20"/>
              </w:rPr>
              <w:t>Rok</w:t>
            </w:r>
          </w:p>
        </w:tc>
        <w:tc>
          <w:tcPr>
            <w:tcW w:w="2121" w:type="dxa"/>
            <w:gridSpan w:val="3"/>
            <w:shd w:val="clear" w:color="auto" w:fill="E5F1FF"/>
          </w:tcPr>
          <w:p w14:paraId="3A66F106" w14:textId="77777777" w:rsidR="005F05E8" w:rsidRPr="009476A3" w:rsidRDefault="005F05E8" w:rsidP="00CE0FC8">
            <w:pPr>
              <w:keepNext/>
              <w:spacing w:before="0"/>
              <w:jc w:val="center"/>
              <w:rPr>
                <w:b/>
                <w:sz w:val="20"/>
                <w:szCs w:val="20"/>
              </w:rPr>
            </w:pPr>
            <w:r>
              <w:rPr>
                <w:b/>
                <w:sz w:val="20"/>
                <w:szCs w:val="20"/>
              </w:rPr>
              <w:t>Produkce mléka</w:t>
            </w:r>
          </w:p>
        </w:tc>
        <w:tc>
          <w:tcPr>
            <w:tcW w:w="2102" w:type="dxa"/>
            <w:gridSpan w:val="3"/>
            <w:shd w:val="clear" w:color="auto" w:fill="E5F1FF"/>
          </w:tcPr>
          <w:p w14:paraId="1A3940E2" w14:textId="77777777" w:rsidR="005F05E8" w:rsidRPr="009476A3" w:rsidRDefault="005F05E8" w:rsidP="00CE0FC8">
            <w:pPr>
              <w:keepNext/>
              <w:spacing w:before="0"/>
              <w:jc w:val="center"/>
              <w:rPr>
                <w:b/>
                <w:sz w:val="20"/>
                <w:szCs w:val="20"/>
              </w:rPr>
            </w:pPr>
            <w:r>
              <w:rPr>
                <w:b/>
                <w:sz w:val="20"/>
                <w:szCs w:val="20"/>
              </w:rPr>
              <w:t>Chov skotu</w:t>
            </w:r>
          </w:p>
        </w:tc>
        <w:tc>
          <w:tcPr>
            <w:tcW w:w="2118" w:type="dxa"/>
            <w:gridSpan w:val="3"/>
            <w:shd w:val="clear" w:color="auto" w:fill="E5F1FF"/>
          </w:tcPr>
          <w:p w14:paraId="217ADF71" w14:textId="77777777" w:rsidR="005F05E8" w:rsidRPr="009476A3" w:rsidRDefault="005F05E8" w:rsidP="00CE0FC8">
            <w:pPr>
              <w:keepNext/>
              <w:spacing w:before="0"/>
              <w:jc w:val="center"/>
              <w:rPr>
                <w:b/>
                <w:sz w:val="20"/>
                <w:szCs w:val="20"/>
              </w:rPr>
            </w:pPr>
            <w:r>
              <w:rPr>
                <w:b/>
                <w:sz w:val="20"/>
                <w:szCs w:val="20"/>
              </w:rPr>
              <w:t>Chov prasat a drůbeže</w:t>
            </w:r>
          </w:p>
        </w:tc>
        <w:tc>
          <w:tcPr>
            <w:tcW w:w="2133" w:type="dxa"/>
            <w:gridSpan w:val="3"/>
            <w:shd w:val="clear" w:color="auto" w:fill="E5F1FF"/>
          </w:tcPr>
          <w:p w14:paraId="01DAB484" w14:textId="77777777" w:rsidR="005F05E8" w:rsidRPr="009476A3" w:rsidRDefault="005F05E8" w:rsidP="00CE0FC8">
            <w:pPr>
              <w:keepNext/>
              <w:spacing w:before="0"/>
              <w:jc w:val="center"/>
              <w:rPr>
                <w:b/>
                <w:sz w:val="20"/>
                <w:szCs w:val="20"/>
              </w:rPr>
            </w:pPr>
            <w:r>
              <w:rPr>
                <w:b/>
                <w:sz w:val="20"/>
                <w:szCs w:val="20"/>
              </w:rPr>
              <w:t>Smíšená výroba</w:t>
            </w:r>
          </w:p>
        </w:tc>
      </w:tr>
      <w:tr w:rsidR="00A47492" w:rsidRPr="00215D0C" w14:paraId="737593D6" w14:textId="77777777" w:rsidTr="00CE0FC8">
        <w:trPr>
          <w:cantSplit/>
          <w:trHeight w:val="227"/>
          <w:jc w:val="center"/>
        </w:trPr>
        <w:tc>
          <w:tcPr>
            <w:tcW w:w="586" w:type="dxa"/>
            <w:vMerge/>
            <w:shd w:val="clear" w:color="auto" w:fill="E5F1FF"/>
            <w:vAlign w:val="center"/>
          </w:tcPr>
          <w:p w14:paraId="0070E902" w14:textId="77777777" w:rsidR="005F05E8" w:rsidRPr="00A47492" w:rsidRDefault="005F05E8" w:rsidP="00CE0FC8">
            <w:pPr>
              <w:keepNext/>
              <w:spacing w:before="0"/>
              <w:jc w:val="center"/>
              <w:rPr>
                <w:b/>
                <w:sz w:val="16"/>
                <w:szCs w:val="20"/>
              </w:rPr>
            </w:pPr>
          </w:p>
        </w:tc>
        <w:tc>
          <w:tcPr>
            <w:tcW w:w="776" w:type="dxa"/>
            <w:shd w:val="clear" w:color="auto" w:fill="E5F1FF"/>
            <w:vAlign w:val="center"/>
          </w:tcPr>
          <w:p w14:paraId="06A7AECC" w14:textId="77777777" w:rsidR="005F05E8" w:rsidRPr="00A47492" w:rsidRDefault="005F05E8" w:rsidP="00CE0FC8">
            <w:pPr>
              <w:keepNext/>
              <w:spacing w:before="0"/>
              <w:jc w:val="center"/>
              <w:rPr>
                <w:b/>
                <w:spacing w:val="-8"/>
                <w:sz w:val="16"/>
                <w:szCs w:val="16"/>
              </w:rPr>
            </w:pPr>
            <w:r w:rsidRPr="00A47492">
              <w:rPr>
                <w:b/>
                <w:spacing w:val="-8"/>
                <w:sz w:val="16"/>
                <w:szCs w:val="16"/>
              </w:rPr>
              <w:t>Produkce</w:t>
            </w:r>
          </w:p>
        </w:tc>
        <w:tc>
          <w:tcPr>
            <w:tcW w:w="0" w:type="auto"/>
            <w:shd w:val="clear" w:color="auto" w:fill="E5F1FF"/>
            <w:vAlign w:val="center"/>
          </w:tcPr>
          <w:p w14:paraId="69E97D02" w14:textId="77777777" w:rsidR="005F05E8" w:rsidRPr="00A47492" w:rsidRDefault="005F05E8" w:rsidP="00CE0FC8">
            <w:pPr>
              <w:keepNext/>
              <w:spacing w:before="0"/>
              <w:jc w:val="center"/>
              <w:rPr>
                <w:b/>
                <w:spacing w:val="-8"/>
                <w:sz w:val="16"/>
                <w:szCs w:val="16"/>
              </w:rPr>
            </w:pPr>
            <w:r w:rsidRPr="00A47492">
              <w:rPr>
                <w:b/>
                <w:spacing w:val="-8"/>
                <w:sz w:val="16"/>
                <w:szCs w:val="16"/>
              </w:rPr>
              <w:t>Náklady</w:t>
            </w:r>
          </w:p>
        </w:tc>
        <w:tc>
          <w:tcPr>
            <w:tcW w:w="621" w:type="dxa"/>
            <w:shd w:val="clear" w:color="auto" w:fill="E5F1FF"/>
            <w:vAlign w:val="center"/>
          </w:tcPr>
          <w:p w14:paraId="3D6DA434" w14:textId="77777777" w:rsidR="005F05E8" w:rsidRPr="00A47492" w:rsidRDefault="005F05E8" w:rsidP="00CE0FC8">
            <w:pPr>
              <w:keepNext/>
              <w:spacing w:before="0"/>
              <w:jc w:val="center"/>
              <w:rPr>
                <w:b/>
                <w:spacing w:val="-8"/>
                <w:sz w:val="16"/>
                <w:szCs w:val="16"/>
              </w:rPr>
            </w:pPr>
            <w:r w:rsidRPr="00A47492">
              <w:rPr>
                <w:b/>
                <w:spacing w:val="-8"/>
                <w:sz w:val="16"/>
                <w:szCs w:val="16"/>
              </w:rPr>
              <w:t>Poměr</w:t>
            </w:r>
          </w:p>
        </w:tc>
        <w:tc>
          <w:tcPr>
            <w:tcW w:w="770" w:type="dxa"/>
            <w:shd w:val="clear" w:color="auto" w:fill="E5F1FF"/>
            <w:vAlign w:val="center"/>
          </w:tcPr>
          <w:p w14:paraId="32413DC0" w14:textId="77777777" w:rsidR="005F05E8" w:rsidRPr="00A47492" w:rsidRDefault="005F05E8" w:rsidP="00CE0FC8">
            <w:pPr>
              <w:keepNext/>
              <w:spacing w:before="0"/>
              <w:jc w:val="center"/>
              <w:rPr>
                <w:b/>
                <w:spacing w:val="-8"/>
                <w:sz w:val="16"/>
                <w:szCs w:val="16"/>
              </w:rPr>
            </w:pPr>
            <w:r w:rsidRPr="00A47492">
              <w:rPr>
                <w:b/>
                <w:spacing w:val="-8"/>
                <w:sz w:val="16"/>
                <w:szCs w:val="16"/>
              </w:rPr>
              <w:t>Produkce</w:t>
            </w:r>
          </w:p>
        </w:tc>
        <w:tc>
          <w:tcPr>
            <w:tcW w:w="724" w:type="dxa"/>
            <w:shd w:val="clear" w:color="auto" w:fill="E5F1FF"/>
            <w:vAlign w:val="center"/>
          </w:tcPr>
          <w:p w14:paraId="0BEAC6F2" w14:textId="77777777" w:rsidR="005F05E8" w:rsidRPr="00A47492" w:rsidRDefault="005F05E8" w:rsidP="00CE0FC8">
            <w:pPr>
              <w:keepNext/>
              <w:spacing w:before="0"/>
              <w:jc w:val="center"/>
              <w:rPr>
                <w:b/>
                <w:spacing w:val="-8"/>
                <w:sz w:val="16"/>
                <w:szCs w:val="16"/>
              </w:rPr>
            </w:pPr>
            <w:r w:rsidRPr="00A47492">
              <w:rPr>
                <w:b/>
                <w:spacing w:val="-8"/>
                <w:sz w:val="16"/>
                <w:szCs w:val="16"/>
              </w:rPr>
              <w:t>Náklady</w:t>
            </w:r>
          </w:p>
        </w:tc>
        <w:tc>
          <w:tcPr>
            <w:tcW w:w="608" w:type="dxa"/>
            <w:shd w:val="clear" w:color="auto" w:fill="E5F1FF"/>
            <w:vAlign w:val="center"/>
          </w:tcPr>
          <w:p w14:paraId="48DEDD5F" w14:textId="77777777" w:rsidR="005F05E8" w:rsidRPr="00A47492" w:rsidRDefault="005F05E8" w:rsidP="00CE0FC8">
            <w:pPr>
              <w:keepNext/>
              <w:spacing w:before="0"/>
              <w:jc w:val="center"/>
              <w:rPr>
                <w:b/>
                <w:spacing w:val="-8"/>
                <w:sz w:val="16"/>
                <w:szCs w:val="16"/>
              </w:rPr>
            </w:pPr>
            <w:r w:rsidRPr="00A47492">
              <w:rPr>
                <w:b/>
                <w:spacing w:val="-8"/>
                <w:sz w:val="16"/>
                <w:szCs w:val="16"/>
              </w:rPr>
              <w:t>Poměr</w:t>
            </w:r>
          </w:p>
        </w:tc>
        <w:tc>
          <w:tcPr>
            <w:tcW w:w="770" w:type="dxa"/>
            <w:shd w:val="clear" w:color="auto" w:fill="E5F1FF"/>
            <w:vAlign w:val="center"/>
          </w:tcPr>
          <w:p w14:paraId="28DF6CD7" w14:textId="77777777" w:rsidR="005F05E8" w:rsidRPr="00A47492" w:rsidRDefault="005F05E8" w:rsidP="00CE0FC8">
            <w:pPr>
              <w:keepNext/>
              <w:spacing w:before="0"/>
              <w:jc w:val="center"/>
              <w:rPr>
                <w:b/>
                <w:spacing w:val="-8"/>
                <w:sz w:val="16"/>
                <w:szCs w:val="16"/>
              </w:rPr>
            </w:pPr>
            <w:r w:rsidRPr="00A47492">
              <w:rPr>
                <w:b/>
                <w:spacing w:val="-8"/>
                <w:sz w:val="16"/>
                <w:szCs w:val="16"/>
              </w:rPr>
              <w:t>Produkce</w:t>
            </w:r>
          </w:p>
        </w:tc>
        <w:tc>
          <w:tcPr>
            <w:tcW w:w="724" w:type="dxa"/>
            <w:shd w:val="clear" w:color="auto" w:fill="E5F1FF"/>
            <w:vAlign w:val="center"/>
          </w:tcPr>
          <w:p w14:paraId="1E5F3A17" w14:textId="77777777" w:rsidR="005F05E8" w:rsidRPr="00A47492" w:rsidRDefault="005F05E8" w:rsidP="00CE0FC8">
            <w:pPr>
              <w:keepNext/>
              <w:spacing w:before="0"/>
              <w:jc w:val="center"/>
              <w:rPr>
                <w:b/>
                <w:spacing w:val="-8"/>
                <w:sz w:val="16"/>
                <w:szCs w:val="16"/>
              </w:rPr>
            </w:pPr>
            <w:r w:rsidRPr="00A47492">
              <w:rPr>
                <w:b/>
                <w:spacing w:val="-8"/>
                <w:sz w:val="16"/>
                <w:szCs w:val="16"/>
              </w:rPr>
              <w:t>Náklady</w:t>
            </w:r>
          </w:p>
        </w:tc>
        <w:tc>
          <w:tcPr>
            <w:tcW w:w="624" w:type="dxa"/>
            <w:shd w:val="clear" w:color="auto" w:fill="E5F1FF"/>
            <w:vAlign w:val="center"/>
          </w:tcPr>
          <w:p w14:paraId="464450DB" w14:textId="77777777" w:rsidR="005F05E8" w:rsidRPr="00A47492" w:rsidRDefault="005F05E8" w:rsidP="00CE0FC8">
            <w:pPr>
              <w:keepNext/>
              <w:spacing w:before="0"/>
              <w:jc w:val="center"/>
              <w:rPr>
                <w:b/>
                <w:spacing w:val="-8"/>
                <w:sz w:val="16"/>
                <w:szCs w:val="16"/>
              </w:rPr>
            </w:pPr>
            <w:r w:rsidRPr="00A47492">
              <w:rPr>
                <w:b/>
                <w:spacing w:val="-8"/>
                <w:sz w:val="16"/>
                <w:szCs w:val="16"/>
              </w:rPr>
              <w:t>Poměr</w:t>
            </w:r>
          </w:p>
        </w:tc>
        <w:tc>
          <w:tcPr>
            <w:tcW w:w="770" w:type="dxa"/>
            <w:shd w:val="clear" w:color="auto" w:fill="E5F1FF"/>
            <w:vAlign w:val="center"/>
          </w:tcPr>
          <w:p w14:paraId="45DECCDB" w14:textId="77777777" w:rsidR="005F05E8" w:rsidRPr="00A47492" w:rsidRDefault="005F05E8" w:rsidP="00CE0FC8">
            <w:pPr>
              <w:keepNext/>
              <w:spacing w:before="0"/>
              <w:jc w:val="center"/>
              <w:rPr>
                <w:b/>
                <w:spacing w:val="-8"/>
                <w:sz w:val="16"/>
                <w:szCs w:val="16"/>
              </w:rPr>
            </w:pPr>
            <w:r w:rsidRPr="00A47492">
              <w:rPr>
                <w:b/>
                <w:spacing w:val="-8"/>
                <w:sz w:val="16"/>
                <w:szCs w:val="16"/>
              </w:rPr>
              <w:t>Produkce</w:t>
            </w:r>
          </w:p>
        </w:tc>
        <w:tc>
          <w:tcPr>
            <w:tcW w:w="724" w:type="dxa"/>
            <w:shd w:val="clear" w:color="auto" w:fill="E5F1FF"/>
            <w:vAlign w:val="center"/>
          </w:tcPr>
          <w:p w14:paraId="0F65CB99" w14:textId="77777777" w:rsidR="005F05E8" w:rsidRPr="00A47492" w:rsidRDefault="005F05E8" w:rsidP="00CE0FC8">
            <w:pPr>
              <w:keepNext/>
              <w:spacing w:before="0"/>
              <w:jc w:val="center"/>
              <w:rPr>
                <w:b/>
                <w:spacing w:val="-8"/>
                <w:sz w:val="16"/>
                <w:szCs w:val="16"/>
              </w:rPr>
            </w:pPr>
            <w:r w:rsidRPr="00A47492">
              <w:rPr>
                <w:b/>
                <w:spacing w:val="-8"/>
                <w:sz w:val="16"/>
                <w:szCs w:val="16"/>
              </w:rPr>
              <w:t>Náklady</w:t>
            </w:r>
          </w:p>
        </w:tc>
        <w:tc>
          <w:tcPr>
            <w:tcW w:w="639" w:type="dxa"/>
            <w:shd w:val="clear" w:color="auto" w:fill="E5F1FF"/>
            <w:vAlign w:val="center"/>
          </w:tcPr>
          <w:p w14:paraId="4F405E7C" w14:textId="77777777" w:rsidR="005F05E8" w:rsidRPr="00A47492" w:rsidRDefault="005F05E8" w:rsidP="00CE0FC8">
            <w:pPr>
              <w:keepNext/>
              <w:spacing w:before="0"/>
              <w:jc w:val="center"/>
              <w:rPr>
                <w:b/>
                <w:spacing w:val="-8"/>
                <w:sz w:val="16"/>
                <w:szCs w:val="16"/>
              </w:rPr>
            </w:pPr>
            <w:r w:rsidRPr="00A47492">
              <w:rPr>
                <w:b/>
                <w:spacing w:val="-8"/>
                <w:sz w:val="16"/>
                <w:szCs w:val="16"/>
              </w:rPr>
              <w:t>Poměr</w:t>
            </w:r>
          </w:p>
        </w:tc>
      </w:tr>
      <w:tr w:rsidR="00A47492" w:rsidRPr="00215D0C" w14:paraId="00218B02" w14:textId="77777777" w:rsidTr="00CE0FC8">
        <w:trPr>
          <w:cantSplit/>
          <w:trHeight w:val="227"/>
          <w:jc w:val="center"/>
        </w:trPr>
        <w:tc>
          <w:tcPr>
            <w:tcW w:w="586" w:type="dxa"/>
            <w:vAlign w:val="center"/>
          </w:tcPr>
          <w:p w14:paraId="00B55BF4" w14:textId="77777777" w:rsidR="00215D0C" w:rsidRPr="00A47492" w:rsidRDefault="009476A3" w:rsidP="00CE0FC8">
            <w:pPr>
              <w:keepNext/>
              <w:spacing w:before="0"/>
              <w:jc w:val="center"/>
              <w:rPr>
                <w:b/>
                <w:sz w:val="16"/>
                <w:szCs w:val="20"/>
              </w:rPr>
            </w:pPr>
            <w:r w:rsidRPr="00A47492">
              <w:rPr>
                <w:b/>
                <w:sz w:val="16"/>
                <w:szCs w:val="20"/>
              </w:rPr>
              <w:t>2004</w:t>
            </w:r>
          </w:p>
        </w:tc>
        <w:tc>
          <w:tcPr>
            <w:tcW w:w="776" w:type="dxa"/>
            <w:vAlign w:val="center"/>
          </w:tcPr>
          <w:p w14:paraId="48953FA3"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1 620 €</w:t>
            </w:r>
          </w:p>
        </w:tc>
        <w:tc>
          <w:tcPr>
            <w:tcW w:w="0" w:type="auto"/>
            <w:vAlign w:val="center"/>
          </w:tcPr>
          <w:p w14:paraId="20B71933"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1 742 €</w:t>
            </w:r>
          </w:p>
        </w:tc>
        <w:tc>
          <w:tcPr>
            <w:tcW w:w="621" w:type="dxa"/>
            <w:shd w:val="clear" w:color="auto" w:fill="F2C6C9"/>
            <w:vAlign w:val="center"/>
          </w:tcPr>
          <w:p w14:paraId="2B4E7552"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107</w:t>
            </w:r>
            <w:r w:rsidR="00EA4C68" w:rsidRPr="00A47492">
              <w:rPr>
                <w:color w:val="000000" w:themeColor="text1"/>
                <w:sz w:val="16"/>
                <w:szCs w:val="17"/>
              </w:rPr>
              <w:t> </w:t>
            </w:r>
            <w:r w:rsidRPr="00A47492">
              <w:rPr>
                <w:color w:val="000000" w:themeColor="text1"/>
                <w:sz w:val="16"/>
                <w:szCs w:val="17"/>
              </w:rPr>
              <w:t>%</w:t>
            </w:r>
          </w:p>
        </w:tc>
        <w:tc>
          <w:tcPr>
            <w:tcW w:w="770" w:type="dxa"/>
            <w:vAlign w:val="center"/>
          </w:tcPr>
          <w:p w14:paraId="7BF7A2AD"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868 €</w:t>
            </w:r>
          </w:p>
        </w:tc>
        <w:tc>
          <w:tcPr>
            <w:tcW w:w="724" w:type="dxa"/>
            <w:vAlign w:val="center"/>
          </w:tcPr>
          <w:p w14:paraId="6628C985"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1 120 €</w:t>
            </w:r>
          </w:p>
        </w:tc>
        <w:tc>
          <w:tcPr>
            <w:tcW w:w="608" w:type="dxa"/>
            <w:shd w:val="clear" w:color="auto" w:fill="F2C6C9"/>
            <w:vAlign w:val="center"/>
          </w:tcPr>
          <w:p w14:paraId="45C7EB20" w14:textId="070843F0"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129</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2194157A"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798 €</w:t>
            </w:r>
          </w:p>
        </w:tc>
        <w:tc>
          <w:tcPr>
            <w:tcW w:w="724" w:type="dxa"/>
            <w:vAlign w:val="center"/>
          </w:tcPr>
          <w:p w14:paraId="49089D8C"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804 €</w:t>
            </w:r>
          </w:p>
        </w:tc>
        <w:tc>
          <w:tcPr>
            <w:tcW w:w="624" w:type="dxa"/>
            <w:shd w:val="clear" w:color="auto" w:fill="F2C6C9"/>
            <w:vAlign w:val="center"/>
          </w:tcPr>
          <w:p w14:paraId="6A90CE7C" w14:textId="4816D8CE"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101</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504E67F4"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1 979 €</w:t>
            </w:r>
          </w:p>
        </w:tc>
        <w:tc>
          <w:tcPr>
            <w:tcW w:w="724" w:type="dxa"/>
            <w:vAlign w:val="center"/>
          </w:tcPr>
          <w:p w14:paraId="6AF6CD9C" w14:textId="77777777"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2 072 €</w:t>
            </w:r>
          </w:p>
        </w:tc>
        <w:tc>
          <w:tcPr>
            <w:tcW w:w="639" w:type="dxa"/>
            <w:shd w:val="clear" w:color="auto" w:fill="F2C6C9"/>
            <w:vAlign w:val="center"/>
          </w:tcPr>
          <w:p w14:paraId="193ACEF0" w14:textId="059D44BC" w:rsidR="00215D0C" w:rsidRPr="00A47492" w:rsidRDefault="00CA662C" w:rsidP="00CE0FC8">
            <w:pPr>
              <w:keepNext/>
              <w:spacing w:before="0"/>
              <w:jc w:val="right"/>
              <w:rPr>
                <w:color w:val="000000" w:themeColor="text1"/>
                <w:sz w:val="16"/>
                <w:szCs w:val="17"/>
              </w:rPr>
            </w:pPr>
            <w:r w:rsidRPr="00A47492">
              <w:rPr>
                <w:color w:val="000000" w:themeColor="text1"/>
                <w:sz w:val="16"/>
                <w:szCs w:val="17"/>
              </w:rPr>
              <w:t>105</w:t>
            </w:r>
            <w:r w:rsidR="00C12496" w:rsidRPr="00A47492">
              <w:rPr>
                <w:color w:val="000000" w:themeColor="text1"/>
                <w:sz w:val="16"/>
                <w:szCs w:val="17"/>
              </w:rPr>
              <w:t> </w:t>
            </w:r>
            <w:r w:rsidRPr="00A47492">
              <w:rPr>
                <w:color w:val="000000" w:themeColor="text1"/>
                <w:sz w:val="16"/>
                <w:szCs w:val="17"/>
              </w:rPr>
              <w:t>%</w:t>
            </w:r>
          </w:p>
        </w:tc>
      </w:tr>
      <w:tr w:rsidR="00A47492" w:rsidRPr="00215D0C" w14:paraId="79BCDB25" w14:textId="77777777" w:rsidTr="00CE0FC8">
        <w:trPr>
          <w:cantSplit/>
          <w:trHeight w:val="227"/>
          <w:jc w:val="center"/>
        </w:trPr>
        <w:tc>
          <w:tcPr>
            <w:tcW w:w="586" w:type="dxa"/>
            <w:vAlign w:val="center"/>
          </w:tcPr>
          <w:p w14:paraId="21DE7996" w14:textId="77777777" w:rsidR="00215D0C" w:rsidRPr="00A47492" w:rsidRDefault="009476A3" w:rsidP="00CE0FC8">
            <w:pPr>
              <w:keepNext/>
              <w:spacing w:before="0"/>
              <w:jc w:val="center"/>
              <w:rPr>
                <w:b/>
                <w:sz w:val="16"/>
                <w:szCs w:val="20"/>
              </w:rPr>
            </w:pPr>
            <w:r w:rsidRPr="00A47492">
              <w:rPr>
                <w:b/>
                <w:sz w:val="16"/>
                <w:szCs w:val="20"/>
              </w:rPr>
              <w:t>2005</w:t>
            </w:r>
          </w:p>
        </w:tc>
        <w:tc>
          <w:tcPr>
            <w:tcW w:w="776" w:type="dxa"/>
            <w:vAlign w:val="center"/>
          </w:tcPr>
          <w:p w14:paraId="6EEB2943" w14:textId="77777777" w:rsidR="00215D0C" w:rsidRPr="00A47492" w:rsidRDefault="007A384F" w:rsidP="00CE0FC8">
            <w:pPr>
              <w:keepNext/>
              <w:spacing w:before="0"/>
              <w:jc w:val="right"/>
              <w:rPr>
                <w:color w:val="000000" w:themeColor="text1"/>
                <w:sz w:val="16"/>
                <w:szCs w:val="17"/>
              </w:rPr>
            </w:pPr>
            <w:r w:rsidRPr="00A47492">
              <w:rPr>
                <w:color w:val="000000" w:themeColor="text1"/>
                <w:sz w:val="16"/>
                <w:szCs w:val="17"/>
              </w:rPr>
              <w:t>1 630 €</w:t>
            </w:r>
          </w:p>
        </w:tc>
        <w:tc>
          <w:tcPr>
            <w:tcW w:w="0" w:type="auto"/>
            <w:vAlign w:val="center"/>
          </w:tcPr>
          <w:p w14:paraId="4E9AD94A"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1 815 €</w:t>
            </w:r>
          </w:p>
        </w:tc>
        <w:tc>
          <w:tcPr>
            <w:tcW w:w="621" w:type="dxa"/>
            <w:shd w:val="clear" w:color="auto" w:fill="F2C6C9"/>
            <w:vAlign w:val="center"/>
          </w:tcPr>
          <w:p w14:paraId="258EBFBB"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111</w:t>
            </w:r>
            <w:r w:rsidR="00EA4C68" w:rsidRPr="00A47492">
              <w:rPr>
                <w:color w:val="000000" w:themeColor="text1"/>
                <w:sz w:val="16"/>
                <w:szCs w:val="17"/>
              </w:rPr>
              <w:t> </w:t>
            </w:r>
            <w:r w:rsidRPr="00A47492">
              <w:rPr>
                <w:color w:val="000000" w:themeColor="text1"/>
                <w:sz w:val="16"/>
                <w:szCs w:val="17"/>
              </w:rPr>
              <w:t>%</w:t>
            </w:r>
          </w:p>
        </w:tc>
        <w:tc>
          <w:tcPr>
            <w:tcW w:w="770" w:type="dxa"/>
            <w:vAlign w:val="center"/>
          </w:tcPr>
          <w:p w14:paraId="705E2639"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966 €</w:t>
            </w:r>
          </w:p>
        </w:tc>
        <w:tc>
          <w:tcPr>
            <w:tcW w:w="724" w:type="dxa"/>
            <w:vAlign w:val="center"/>
          </w:tcPr>
          <w:p w14:paraId="66ED48DF"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1 133 €</w:t>
            </w:r>
          </w:p>
        </w:tc>
        <w:tc>
          <w:tcPr>
            <w:tcW w:w="608" w:type="dxa"/>
            <w:shd w:val="clear" w:color="auto" w:fill="F2C6C9"/>
            <w:vAlign w:val="center"/>
          </w:tcPr>
          <w:p w14:paraId="38119011" w14:textId="08DA2AE6"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138</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14D0BC16"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820 €</w:t>
            </w:r>
          </w:p>
        </w:tc>
        <w:tc>
          <w:tcPr>
            <w:tcW w:w="724" w:type="dxa"/>
            <w:vAlign w:val="center"/>
          </w:tcPr>
          <w:p w14:paraId="26CC5EA7"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794</w:t>
            </w:r>
            <w:r w:rsidR="005F05E8" w:rsidRPr="00A47492">
              <w:rPr>
                <w:color w:val="000000" w:themeColor="text1"/>
                <w:sz w:val="16"/>
                <w:szCs w:val="17"/>
              </w:rPr>
              <w:t> €</w:t>
            </w:r>
          </w:p>
        </w:tc>
        <w:tc>
          <w:tcPr>
            <w:tcW w:w="624" w:type="dxa"/>
            <w:shd w:val="clear" w:color="auto" w:fill="F2C6C9"/>
            <w:vAlign w:val="center"/>
          </w:tcPr>
          <w:p w14:paraId="0957EB29" w14:textId="0223B8C0" w:rsidR="00215D0C" w:rsidRPr="00A47492" w:rsidRDefault="005F05E8" w:rsidP="00CE0FC8">
            <w:pPr>
              <w:keepNext/>
              <w:spacing w:before="0"/>
              <w:jc w:val="right"/>
              <w:rPr>
                <w:color w:val="000000" w:themeColor="text1"/>
                <w:sz w:val="16"/>
                <w:szCs w:val="17"/>
              </w:rPr>
            </w:pPr>
            <w:r w:rsidRPr="00A47492">
              <w:rPr>
                <w:color w:val="000000" w:themeColor="text1"/>
                <w:sz w:val="16"/>
                <w:szCs w:val="17"/>
              </w:rPr>
              <w:t>97</w:t>
            </w:r>
            <w:r w:rsidR="006657DD">
              <w:rPr>
                <w:color w:val="000000" w:themeColor="text1"/>
                <w:sz w:val="16"/>
                <w:szCs w:val="17"/>
              </w:rPr>
              <w:t> </w:t>
            </w:r>
            <w:r w:rsidRPr="00A47492">
              <w:rPr>
                <w:color w:val="000000" w:themeColor="text1"/>
                <w:sz w:val="16"/>
                <w:szCs w:val="17"/>
              </w:rPr>
              <w:t>%</w:t>
            </w:r>
          </w:p>
        </w:tc>
        <w:tc>
          <w:tcPr>
            <w:tcW w:w="770" w:type="dxa"/>
            <w:vAlign w:val="center"/>
          </w:tcPr>
          <w:p w14:paraId="0CE54A1B"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1 967 €</w:t>
            </w:r>
          </w:p>
        </w:tc>
        <w:tc>
          <w:tcPr>
            <w:tcW w:w="724" w:type="dxa"/>
            <w:vAlign w:val="center"/>
          </w:tcPr>
          <w:p w14:paraId="5358A8DA"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2 217 €</w:t>
            </w:r>
          </w:p>
        </w:tc>
        <w:tc>
          <w:tcPr>
            <w:tcW w:w="639" w:type="dxa"/>
            <w:shd w:val="clear" w:color="auto" w:fill="F2C6C9"/>
            <w:vAlign w:val="center"/>
          </w:tcPr>
          <w:p w14:paraId="0B529222" w14:textId="45D50759"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113</w:t>
            </w:r>
            <w:r w:rsidR="006657DD">
              <w:rPr>
                <w:color w:val="000000" w:themeColor="text1"/>
                <w:sz w:val="16"/>
                <w:szCs w:val="17"/>
              </w:rPr>
              <w:t> </w:t>
            </w:r>
            <w:r w:rsidRPr="00A47492">
              <w:rPr>
                <w:color w:val="000000" w:themeColor="text1"/>
                <w:sz w:val="16"/>
                <w:szCs w:val="17"/>
              </w:rPr>
              <w:t>%</w:t>
            </w:r>
          </w:p>
        </w:tc>
      </w:tr>
      <w:tr w:rsidR="00A47492" w:rsidRPr="00215D0C" w14:paraId="67B77354" w14:textId="77777777" w:rsidTr="00CE0FC8">
        <w:trPr>
          <w:cantSplit/>
          <w:trHeight w:val="227"/>
          <w:jc w:val="center"/>
        </w:trPr>
        <w:tc>
          <w:tcPr>
            <w:tcW w:w="586" w:type="dxa"/>
            <w:vAlign w:val="center"/>
          </w:tcPr>
          <w:p w14:paraId="5D300E81" w14:textId="77777777" w:rsidR="00215D0C" w:rsidRPr="00A47492" w:rsidRDefault="009476A3" w:rsidP="00CE0FC8">
            <w:pPr>
              <w:keepNext/>
              <w:spacing w:before="0"/>
              <w:jc w:val="center"/>
              <w:rPr>
                <w:b/>
                <w:sz w:val="16"/>
                <w:szCs w:val="20"/>
              </w:rPr>
            </w:pPr>
            <w:r w:rsidRPr="00A47492">
              <w:rPr>
                <w:b/>
                <w:sz w:val="16"/>
                <w:szCs w:val="20"/>
              </w:rPr>
              <w:t>2006</w:t>
            </w:r>
          </w:p>
        </w:tc>
        <w:tc>
          <w:tcPr>
            <w:tcW w:w="776" w:type="dxa"/>
            <w:vAlign w:val="center"/>
          </w:tcPr>
          <w:p w14:paraId="17A952A4" w14:textId="77777777" w:rsidR="00215D0C" w:rsidRPr="00A47492" w:rsidRDefault="007A384F" w:rsidP="00CE0FC8">
            <w:pPr>
              <w:keepNext/>
              <w:spacing w:before="0"/>
              <w:jc w:val="right"/>
              <w:rPr>
                <w:color w:val="000000" w:themeColor="text1"/>
                <w:sz w:val="16"/>
                <w:szCs w:val="17"/>
              </w:rPr>
            </w:pPr>
            <w:r w:rsidRPr="00A47492">
              <w:rPr>
                <w:color w:val="000000" w:themeColor="text1"/>
                <w:sz w:val="16"/>
                <w:szCs w:val="17"/>
              </w:rPr>
              <w:t>1 684 €</w:t>
            </w:r>
          </w:p>
        </w:tc>
        <w:tc>
          <w:tcPr>
            <w:tcW w:w="0" w:type="auto"/>
            <w:vAlign w:val="center"/>
          </w:tcPr>
          <w:p w14:paraId="55D42702"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1 948 €</w:t>
            </w:r>
          </w:p>
        </w:tc>
        <w:tc>
          <w:tcPr>
            <w:tcW w:w="621" w:type="dxa"/>
            <w:shd w:val="clear" w:color="auto" w:fill="F2C6C9"/>
            <w:vAlign w:val="center"/>
          </w:tcPr>
          <w:p w14:paraId="46E951DD"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116</w:t>
            </w:r>
            <w:r w:rsidR="00EA4C68" w:rsidRPr="00A47492">
              <w:rPr>
                <w:color w:val="000000" w:themeColor="text1"/>
                <w:sz w:val="16"/>
                <w:szCs w:val="17"/>
              </w:rPr>
              <w:t> </w:t>
            </w:r>
            <w:r w:rsidRPr="00A47492">
              <w:rPr>
                <w:color w:val="000000" w:themeColor="text1"/>
                <w:sz w:val="16"/>
                <w:szCs w:val="17"/>
              </w:rPr>
              <w:t>%</w:t>
            </w:r>
          </w:p>
        </w:tc>
        <w:tc>
          <w:tcPr>
            <w:tcW w:w="770" w:type="dxa"/>
            <w:vAlign w:val="center"/>
          </w:tcPr>
          <w:p w14:paraId="7FF678D4"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860</w:t>
            </w:r>
            <w:r w:rsidR="009D342A" w:rsidRPr="00A47492">
              <w:rPr>
                <w:color w:val="000000" w:themeColor="text1"/>
                <w:sz w:val="16"/>
                <w:szCs w:val="17"/>
              </w:rPr>
              <w:t> €</w:t>
            </w:r>
          </w:p>
        </w:tc>
        <w:tc>
          <w:tcPr>
            <w:tcW w:w="724" w:type="dxa"/>
            <w:vAlign w:val="center"/>
          </w:tcPr>
          <w:p w14:paraId="2D864C49"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1 475 €</w:t>
            </w:r>
          </w:p>
        </w:tc>
        <w:tc>
          <w:tcPr>
            <w:tcW w:w="608" w:type="dxa"/>
            <w:shd w:val="clear" w:color="auto" w:fill="F2C6C9"/>
            <w:vAlign w:val="center"/>
          </w:tcPr>
          <w:p w14:paraId="14295C52" w14:textId="6819F759"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172</w:t>
            </w:r>
            <w:r w:rsidR="00A47492">
              <w:rPr>
                <w:color w:val="000000" w:themeColor="text1"/>
                <w:sz w:val="16"/>
                <w:szCs w:val="17"/>
              </w:rPr>
              <w:t> </w:t>
            </w:r>
            <w:r w:rsidRPr="00A47492">
              <w:rPr>
                <w:color w:val="000000" w:themeColor="text1"/>
                <w:sz w:val="16"/>
                <w:szCs w:val="17"/>
              </w:rPr>
              <w:t>%</w:t>
            </w:r>
          </w:p>
        </w:tc>
        <w:tc>
          <w:tcPr>
            <w:tcW w:w="770" w:type="dxa"/>
            <w:vAlign w:val="center"/>
          </w:tcPr>
          <w:p w14:paraId="11C77A6D"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886 €</w:t>
            </w:r>
          </w:p>
        </w:tc>
        <w:tc>
          <w:tcPr>
            <w:tcW w:w="724" w:type="dxa"/>
            <w:vAlign w:val="center"/>
          </w:tcPr>
          <w:p w14:paraId="2CB069C3"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895</w:t>
            </w:r>
            <w:r w:rsidR="005F05E8" w:rsidRPr="00A47492">
              <w:rPr>
                <w:color w:val="000000" w:themeColor="text1"/>
                <w:sz w:val="16"/>
                <w:szCs w:val="17"/>
              </w:rPr>
              <w:t> €</w:t>
            </w:r>
          </w:p>
        </w:tc>
        <w:tc>
          <w:tcPr>
            <w:tcW w:w="624" w:type="dxa"/>
            <w:shd w:val="clear" w:color="auto" w:fill="F2C6C9"/>
            <w:vAlign w:val="center"/>
          </w:tcPr>
          <w:p w14:paraId="06D6203B" w14:textId="1AD2FEF9" w:rsidR="00215D0C" w:rsidRPr="00A47492" w:rsidRDefault="005F05E8" w:rsidP="00CE0FC8">
            <w:pPr>
              <w:keepNext/>
              <w:spacing w:before="0"/>
              <w:jc w:val="right"/>
              <w:rPr>
                <w:color w:val="000000" w:themeColor="text1"/>
                <w:sz w:val="16"/>
                <w:szCs w:val="17"/>
              </w:rPr>
            </w:pPr>
            <w:r w:rsidRPr="00A47492">
              <w:rPr>
                <w:color w:val="000000" w:themeColor="text1"/>
                <w:sz w:val="16"/>
                <w:szCs w:val="17"/>
              </w:rPr>
              <w:t>101</w:t>
            </w:r>
            <w:r w:rsidR="006657DD">
              <w:rPr>
                <w:color w:val="000000" w:themeColor="text1"/>
                <w:sz w:val="16"/>
                <w:szCs w:val="17"/>
              </w:rPr>
              <w:t> </w:t>
            </w:r>
            <w:r w:rsidRPr="00A47492">
              <w:rPr>
                <w:color w:val="000000" w:themeColor="text1"/>
                <w:sz w:val="16"/>
                <w:szCs w:val="17"/>
              </w:rPr>
              <w:t>%</w:t>
            </w:r>
          </w:p>
        </w:tc>
        <w:tc>
          <w:tcPr>
            <w:tcW w:w="770" w:type="dxa"/>
            <w:vAlign w:val="center"/>
          </w:tcPr>
          <w:p w14:paraId="5F9F285C"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2 013 €</w:t>
            </w:r>
          </w:p>
        </w:tc>
        <w:tc>
          <w:tcPr>
            <w:tcW w:w="724" w:type="dxa"/>
            <w:vAlign w:val="center"/>
          </w:tcPr>
          <w:p w14:paraId="77DC42B6"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2 370 €</w:t>
            </w:r>
          </w:p>
        </w:tc>
        <w:tc>
          <w:tcPr>
            <w:tcW w:w="639" w:type="dxa"/>
            <w:shd w:val="clear" w:color="auto" w:fill="F2C6C9"/>
            <w:vAlign w:val="center"/>
          </w:tcPr>
          <w:p w14:paraId="57F83288" w14:textId="53ACD53E"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118</w:t>
            </w:r>
            <w:r w:rsidR="006657DD">
              <w:rPr>
                <w:color w:val="000000" w:themeColor="text1"/>
                <w:sz w:val="16"/>
                <w:szCs w:val="17"/>
              </w:rPr>
              <w:t> </w:t>
            </w:r>
            <w:r w:rsidRPr="00A47492">
              <w:rPr>
                <w:color w:val="000000" w:themeColor="text1"/>
                <w:sz w:val="16"/>
                <w:szCs w:val="17"/>
              </w:rPr>
              <w:t>%</w:t>
            </w:r>
          </w:p>
        </w:tc>
      </w:tr>
      <w:tr w:rsidR="00A47492" w:rsidRPr="00215D0C" w14:paraId="0D4801F4" w14:textId="77777777" w:rsidTr="00CE0FC8">
        <w:trPr>
          <w:cantSplit/>
          <w:trHeight w:val="227"/>
          <w:jc w:val="center"/>
        </w:trPr>
        <w:tc>
          <w:tcPr>
            <w:tcW w:w="586" w:type="dxa"/>
            <w:vAlign w:val="center"/>
          </w:tcPr>
          <w:p w14:paraId="03D05B40" w14:textId="77777777" w:rsidR="00215D0C" w:rsidRPr="00A47492" w:rsidRDefault="009476A3" w:rsidP="00CE0FC8">
            <w:pPr>
              <w:keepNext/>
              <w:spacing w:before="0"/>
              <w:jc w:val="center"/>
              <w:rPr>
                <w:b/>
                <w:sz w:val="16"/>
                <w:szCs w:val="20"/>
              </w:rPr>
            </w:pPr>
            <w:r w:rsidRPr="00A47492">
              <w:rPr>
                <w:b/>
                <w:sz w:val="16"/>
                <w:szCs w:val="20"/>
              </w:rPr>
              <w:t>2007</w:t>
            </w:r>
          </w:p>
        </w:tc>
        <w:tc>
          <w:tcPr>
            <w:tcW w:w="776" w:type="dxa"/>
            <w:vAlign w:val="center"/>
          </w:tcPr>
          <w:p w14:paraId="6B4951C8" w14:textId="77777777" w:rsidR="00215D0C" w:rsidRPr="00A47492" w:rsidRDefault="007A384F" w:rsidP="00CE0FC8">
            <w:pPr>
              <w:keepNext/>
              <w:spacing w:before="0"/>
              <w:jc w:val="right"/>
              <w:rPr>
                <w:color w:val="000000" w:themeColor="text1"/>
                <w:sz w:val="16"/>
                <w:szCs w:val="17"/>
              </w:rPr>
            </w:pPr>
            <w:r w:rsidRPr="00A47492">
              <w:rPr>
                <w:color w:val="000000" w:themeColor="text1"/>
                <w:sz w:val="16"/>
                <w:szCs w:val="17"/>
              </w:rPr>
              <w:t>1 889 €</w:t>
            </w:r>
          </w:p>
        </w:tc>
        <w:tc>
          <w:tcPr>
            <w:tcW w:w="0" w:type="auto"/>
            <w:vAlign w:val="center"/>
          </w:tcPr>
          <w:p w14:paraId="76D353F3"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2 120 €</w:t>
            </w:r>
          </w:p>
        </w:tc>
        <w:tc>
          <w:tcPr>
            <w:tcW w:w="621" w:type="dxa"/>
            <w:shd w:val="clear" w:color="auto" w:fill="F2C6C9"/>
            <w:vAlign w:val="center"/>
          </w:tcPr>
          <w:p w14:paraId="24487981"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112</w:t>
            </w:r>
            <w:r w:rsidR="00EA4C68" w:rsidRPr="00A47492">
              <w:rPr>
                <w:color w:val="000000" w:themeColor="text1"/>
                <w:sz w:val="16"/>
                <w:szCs w:val="17"/>
              </w:rPr>
              <w:t> </w:t>
            </w:r>
            <w:r w:rsidRPr="00A47492">
              <w:rPr>
                <w:color w:val="000000" w:themeColor="text1"/>
                <w:sz w:val="16"/>
                <w:szCs w:val="17"/>
              </w:rPr>
              <w:t>%</w:t>
            </w:r>
          </w:p>
        </w:tc>
        <w:tc>
          <w:tcPr>
            <w:tcW w:w="770" w:type="dxa"/>
            <w:vAlign w:val="center"/>
          </w:tcPr>
          <w:p w14:paraId="0B6A16D1"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955</w:t>
            </w:r>
            <w:r w:rsidR="009D342A" w:rsidRPr="00A47492">
              <w:rPr>
                <w:color w:val="000000" w:themeColor="text1"/>
                <w:sz w:val="16"/>
                <w:szCs w:val="17"/>
              </w:rPr>
              <w:t> €</w:t>
            </w:r>
          </w:p>
        </w:tc>
        <w:tc>
          <w:tcPr>
            <w:tcW w:w="724" w:type="dxa"/>
            <w:vAlign w:val="center"/>
          </w:tcPr>
          <w:p w14:paraId="7FFA184E"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1 557 €</w:t>
            </w:r>
          </w:p>
        </w:tc>
        <w:tc>
          <w:tcPr>
            <w:tcW w:w="608" w:type="dxa"/>
            <w:shd w:val="clear" w:color="auto" w:fill="F2C6C9"/>
            <w:vAlign w:val="center"/>
          </w:tcPr>
          <w:p w14:paraId="38835402" w14:textId="0E839736"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163</w:t>
            </w:r>
            <w:r w:rsidR="00A47492">
              <w:rPr>
                <w:color w:val="000000" w:themeColor="text1"/>
                <w:sz w:val="16"/>
                <w:szCs w:val="17"/>
              </w:rPr>
              <w:t> </w:t>
            </w:r>
            <w:r w:rsidRPr="00A47492">
              <w:rPr>
                <w:color w:val="000000" w:themeColor="text1"/>
                <w:sz w:val="16"/>
                <w:szCs w:val="17"/>
              </w:rPr>
              <w:t>%</w:t>
            </w:r>
          </w:p>
        </w:tc>
        <w:tc>
          <w:tcPr>
            <w:tcW w:w="770" w:type="dxa"/>
            <w:vAlign w:val="center"/>
          </w:tcPr>
          <w:p w14:paraId="213AAB51"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1 007 €</w:t>
            </w:r>
          </w:p>
        </w:tc>
        <w:tc>
          <w:tcPr>
            <w:tcW w:w="724" w:type="dxa"/>
            <w:vAlign w:val="center"/>
          </w:tcPr>
          <w:p w14:paraId="62CB0D0D"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w:t>
            </w:r>
            <w:r w:rsidR="005F05E8" w:rsidRPr="00A47492">
              <w:rPr>
                <w:color w:val="000000" w:themeColor="text1"/>
                <w:sz w:val="16"/>
                <w:szCs w:val="17"/>
              </w:rPr>
              <w:t> </w:t>
            </w:r>
            <w:r w:rsidRPr="00A47492">
              <w:rPr>
                <w:color w:val="000000" w:themeColor="text1"/>
                <w:sz w:val="16"/>
                <w:szCs w:val="17"/>
              </w:rPr>
              <w:t>065</w:t>
            </w:r>
            <w:r w:rsidR="005F05E8" w:rsidRPr="00A47492">
              <w:rPr>
                <w:color w:val="000000" w:themeColor="text1"/>
                <w:sz w:val="16"/>
                <w:szCs w:val="17"/>
              </w:rPr>
              <w:t> €</w:t>
            </w:r>
          </w:p>
        </w:tc>
        <w:tc>
          <w:tcPr>
            <w:tcW w:w="624" w:type="dxa"/>
            <w:shd w:val="clear" w:color="auto" w:fill="F2C6C9"/>
            <w:vAlign w:val="center"/>
          </w:tcPr>
          <w:p w14:paraId="22C0A8A1" w14:textId="053E8360" w:rsidR="00215D0C" w:rsidRPr="00A47492" w:rsidRDefault="005F05E8" w:rsidP="00CE0FC8">
            <w:pPr>
              <w:keepNext/>
              <w:spacing w:before="0"/>
              <w:jc w:val="right"/>
              <w:rPr>
                <w:color w:val="000000" w:themeColor="text1"/>
                <w:sz w:val="16"/>
                <w:szCs w:val="17"/>
              </w:rPr>
            </w:pPr>
            <w:r w:rsidRPr="00A47492">
              <w:rPr>
                <w:color w:val="000000" w:themeColor="text1"/>
                <w:sz w:val="16"/>
                <w:szCs w:val="17"/>
              </w:rPr>
              <w:t>106</w:t>
            </w:r>
            <w:r w:rsidR="006657DD">
              <w:rPr>
                <w:color w:val="000000" w:themeColor="text1"/>
                <w:sz w:val="16"/>
                <w:szCs w:val="17"/>
              </w:rPr>
              <w:t> </w:t>
            </w:r>
            <w:r w:rsidRPr="00A47492">
              <w:rPr>
                <w:color w:val="000000" w:themeColor="text1"/>
                <w:sz w:val="16"/>
                <w:szCs w:val="17"/>
              </w:rPr>
              <w:t>%</w:t>
            </w:r>
          </w:p>
        </w:tc>
        <w:tc>
          <w:tcPr>
            <w:tcW w:w="770" w:type="dxa"/>
            <w:vAlign w:val="center"/>
          </w:tcPr>
          <w:p w14:paraId="5411FA75"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2 321 €</w:t>
            </w:r>
          </w:p>
        </w:tc>
        <w:tc>
          <w:tcPr>
            <w:tcW w:w="724" w:type="dxa"/>
            <w:vAlign w:val="center"/>
          </w:tcPr>
          <w:p w14:paraId="50C24FC4"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2 585 €</w:t>
            </w:r>
          </w:p>
        </w:tc>
        <w:tc>
          <w:tcPr>
            <w:tcW w:w="639" w:type="dxa"/>
            <w:shd w:val="clear" w:color="auto" w:fill="F2C6C9"/>
            <w:vAlign w:val="center"/>
          </w:tcPr>
          <w:p w14:paraId="497AF64F" w14:textId="22ABEF49"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111</w:t>
            </w:r>
            <w:r w:rsidR="006657DD">
              <w:rPr>
                <w:color w:val="000000" w:themeColor="text1"/>
                <w:sz w:val="16"/>
                <w:szCs w:val="17"/>
              </w:rPr>
              <w:t> </w:t>
            </w:r>
            <w:r w:rsidRPr="00A47492">
              <w:rPr>
                <w:color w:val="000000" w:themeColor="text1"/>
                <w:sz w:val="16"/>
                <w:szCs w:val="17"/>
              </w:rPr>
              <w:t>%</w:t>
            </w:r>
          </w:p>
        </w:tc>
      </w:tr>
      <w:tr w:rsidR="00A47492" w:rsidRPr="00215D0C" w14:paraId="1B7D95A5" w14:textId="77777777" w:rsidTr="00CE0FC8">
        <w:trPr>
          <w:cantSplit/>
          <w:trHeight w:val="227"/>
          <w:jc w:val="center"/>
        </w:trPr>
        <w:tc>
          <w:tcPr>
            <w:tcW w:w="586" w:type="dxa"/>
            <w:vAlign w:val="center"/>
          </w:tcPr>
          <w:p w14:paraId="1E7FAB89" w14:textId="77777777" w:rsidR="00215D0C" w:rsidRPr="00A47492" w:rsidRDefault="009476A3" w:rsidP="00CE0FC8">
            <w:pPr>
              <w:keepNext/>
              <w:spacing w:before="0"/>
              <w:jc w:val="center"/>
              <w:rPr>
                <w:b/>
                <w:sz w:val="16"/>
                <w:szCs w:val="20"/>
              </w:rPr>
            </w:pPr>
            <w:r w:rsidRPr="00A47492">
              <w:rPr>
                <w:b/>
                <w:sz w:val="16"/>
                <w:szCs w:val="20"/>
              </w:rPr>
              <w:t>2008</w:t>
            </w:r>
          </w:p>
        </w:tc>
        <w:tc>
          <w:tcPr>
            <w:tcW w:w="776" w:type="dxa"/>
            <w:vAlign w:val="center"/>
          </w:tcPr>
          <w:p w14:paraId="22E45B99" w14:textId="77777777" w:rsidR="00215D0C" w:rsidRPr="00A47492" w:rsidRDefault="007A384F" w:rsidP="00CE0FC8">
            <w:pPr>
              <w:keepNext/>
              <w:spacing w:before="0"/>
              <w:jc w:val="right"/>
              <w:rPr>
                <w:color w:val="000000" w:themeColor="text1"/>
                <w:sz w:val="16"/>
                <w:szCs w:val="17"/>
              </w:rPr>
            </w:pPr>
            <w:r w:rsidRPr="00A47492">
              <w:rPr>
                <w:color w:val="000000" w:themeColor="text1"/>
                <w:sz w:val="16"/>
                <w:szCs w:val="17"/>
              </w:rPr>
              <w:t>2 129 €</w:t>
            </w:r>
          </w:p>
        </w:tc>
        <w:tc>
          <w:tcPr>
            <w:tcW w:w="0" w:type="auto"/>
            <w:vAlign w:val="center"/>
          </w:tcPr>
          <w:p w14:paraId="2D9AB23B"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2 532 €</w:t>
            </w:r>
          </w:p>
        </w:tc>
        <w:tc>
          <w:tcPr>
            <w:tcW w:w="621" w:type="dxa"/>
            <w:shd w:val="clear" w:color="auto" w:fill="F2C6C9"/>
            <w:vAlign w:val="center"/>
          </w:tcPr>
          <w:p w14:paraId="22B45D5F"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119</w:t>
            </w:r>
            <w:r w:rsidR="00EA4C68" w:rsidRPr="00A47492">
              <w:rPr>
                <w:color w:val="000000" w:themeColor="text1"/>
                <w:sz w:val="16"/>
                <w:szCs w:val="17"/>
              </w:rPr>
              <w:t> </w:t>
            </w:r>
            <w:r w:rsidRPr="00A47492">
              <w:rPr>
                <w:color w:val="000000" w:themeColor="text1"/>
                <w:sz w:val="16"/>
                <w:szCs w:val="17"/>
              </w:rPr>
              <w:t>%</w:t>
            </w:r>
          </w:p>
        </w:tc>
        <w:tc>
          <w:tcPr>
            <w:tcW w:w="770" w:type="dxa"/>
            <w:vAlign w:val="center"/>
          </w:tcPr>
          <w:p w14:paraId="7C6EDA7A" w14:textId="77777777" w:rsidR="00215D0C" w:rsidRPr="00A47492" w:rsidRDefault="00776A24" w:rsidP="00CE0FC8">
            <w:pPr>
              <w:keepNext/>
              <w:spacing w:before="0"/>
              <w:jc w:val="right"/>
              <w:rPr>
                <w:color w:val="000000" w:themeColor="text1"/>
                <w:sz w:val="16"/>
                <w:szCs w:val="17"/>
              </w:rPr>
            </w:pPr>
            <w:r w:rsidRPr="00A47492">
              <w:rPr>
                <w:color w:val="000000" w:themeColor="text1"/>
                <w:sz w:val="16"/>
                <w:szCs w:val="17"/>
              </w:rPr>
              <w:t>1</w:t>
            </w:r>
            <w:r w:rsidR="009D342A" w:rsidRPr="00A47492">
              <w:rPr>
                <w:color w:val="000000" w:themeColor="text1"/>
                <w:sz w:val="16"/>
                <w:szCs w:val="17"/>
              </w:rPr>
              <w:t> </w:t>
            </w:r>
            <w:r w:rsidRPr="00A47492">
              <w:rPr>
                <w:color w:val="000000" w:themeColor="text1"/>
                <w:sz w:val="16"/>
                <w:szCs w:val="17"/>
              </w:rPr>
              <w:t>082</w:t>
            </w:r>
            <w:r w:rsidR="009D342A" w:rsidRPr="00A47492">
              <w:rPr>
                <w:color w:val="000000" w:themeColor="text1"/>
                <w:sz w:val="16"/>
                <w:szCs w:val="17"/>
              </w:rPr>
              <w:t> €</w:t>
            </w:r>
          </w:p>
        </w:tc>
        <w:tc>
          <w:tcPr>
            <w:tcW w:w="724" w:type="dxa"/>
            <w:vAlign w:val="center"/>
          </w:tcPr>
          <w:p w14:paraId="43C079C6"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1 723 €</w:t>
            </w:r>
          </w:p>
        </w:tc>
        <w:tc>
          <w:tcPr>
            <w:tcW w:w="608" w:type="dxa"/>
            <w:shd w:val="clear" w:color="auto" w:fill="F2C6C9"/>
            <w:vAlign w:val="center"/>
          </w:tcPr>
          <w:p w14:paraId="4A0C79B8" w14:textId="229363B6"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159</w:t>
            </w:r>
            <w:r w:rsidR="00A47492">
              <w:rPr>
                <w:color w:val="000000" w:themeColor="text1"/>
                <w:sz w:val="16"/>
                <w:szCs w:val="17"/>
              </w:rPr>
              <w:t> </w:t>
            </w:r>
            <w:r w:rsidRPr="00A47492">
              <w:rPr>
                <w:color w:val="000000" w:themeColor="text1"/>
                <w:sz w:val="16"/>
                <w:szCs w:val="17"/>
              </w:rPr>
              <w:t>%</w:t>
            </w:r>
          </w:p>
        </w:tc>
        <w:tc>
          <w:tcPr>
            <w:tcW w:w="770" w:type="dxa"/>
            <w:vAlign w:val="center"/>
          </w:tcPr>
          <w:p w14:paraId="5BA66B0C"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928 €</w:t>
            </w:r>
          </w:p>
        </w:tc>
        <w:tc>
          <w:tcPr>
            <w:tcW w:w="724" w:type="dxa"/>
            <w:vAlign w:val="center"/>
          </w:tcPr>
          <w:p w14:paraId="1A659815" w14:textId="77777777" w:rsidR="00215D0C" w:rsidRPr="00A47492" w:rsidRDefault="009D342A" w:rsidP="00CE0FC8">
            <w:pPr>
              <w:keepNext/>
              <w:spacing w:before="0"/>
              <w:jc w:val="right"/>
              <w:rPr>
                <w:color w:val="000000" w:themeColor="text1"/>
                <w:sz w:val="16"/>
                <w:szCs w:val="17"/>
              </w:rPr>
            </w:pPr>
            <w:r w:rsidRPr="00A47492">
              <w:rPr>
                <w:color w:val="000000" w:themeColor="text1"/>
                <w:sz w:val="16"/>
                <w:szCs w:val="17"/>
              </w:rPr>
              <w:t>995</w:t>
            </w:r>
            <w:r w:rsidR="005F05E8" w:rsidRPr="00A47492">
              <w:rPr>
                <w:color w:val="000000" w:themeColor="text1"/>
                <w:sz w:val="16"/>
                <w:szCs w:val="17"/>
              </w:rPr>
              <w:t> €</w:t>
            </w:r>
          </w:p>
        </w:tc>
        <w:tc>
          <w:tcPr>
            <w:tcW w:w="624" w:type="dxa"/>
            <w:shd w:val="clear" w:color="auto" w:fill="F2C6C9"/>
            <w:vAlign w:val="center"/>
          </w:tcPr>
          <w:p w14:paraId="4688269C" w14:textId="7465B411" w:rsidR="00215D0C" w:rsidRPr="00A47492" w:rsidRDefault="005F05E8" w:rsidP="00CE0FC8">
            <w:pPr>
              <w:keepNext/>
              <w:spacing w:before="0"/>
              <w:jc w:val="right"/>
              <w:rPr>
                <w:color w:val="000000" w:themeColor="text1"/>
                <w:sz w:val="16"/>
                <w:szCs w:val="17"/>
              </w:rPr>
            </w:pPr>
            <w:r w:rsidRPr="00A47492">
              <w:rPr>
                <w:color w:val="000000" w:themeColor="text1"/>
                <w:sz w:val="16"/>
                <w:szCs w:val="17"/>
              </w:rPr>
              <w:t>107</w:t>
            </w:r>
            <w:r w:rsidR="006657DD">
              <w:rPr>
                <w:color w:val="000000" w:themeColor="text1"/>
                <w:sz w:val="16"/>
                <w:szCs w:val="17"/>
              </w:rPr>
              <w:t> </w:t>
            </w:r>
            <w:r w:rsidRPr="00A47492">
              <w:rPr>
                <w:color w:val="000000" w:themeColor="text1"/>
                <w:sz w:val="16"/>
                <w:szCs w:val="17"/>
              </w:rPr>
              <w:t>%</w:t>
            </w:r>
          </w:p>
        </w:tc>
        <w:tc>
          <w:tcPr>
            <w:tcW w:w="770" w:type="dxa"/>
            <w:vAlign w:val="center"/>
          </w:tcPr>
          <w:p w14:paraId="703E055C"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2 675 €</w:t>
            </w:r>
          </w:p>
        </w:tc>
        <w:tc>
          <w:tcPr>
            <w:tcW w:w="724" w:type="dxa"/>
            <w:vAlign w:val="center"/>
          </w:tcPr>
          <w:p w14:paraId="1660A0B2" w14:textId="77777777"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3 134 €</w:t>
            </w:r>
          </w:p>
        </w:tc>
        <w:tc>
          <w:tcPr>
            <w:tcW w:w="639" w:type="dxa"/>
            <w:shd w:val="clear" w:color="auto" w:fill="F2C6C9"/>
            <w:vAlign w:val="center"/>
          </w:tcPr>
          <w:p w14:paraId="14019353" w14:textId="1C4AD22C" w:rsidR="00215D0C" w:rsidRPr="00A47492" w:rsidRDefault="00806C43" w:rsidP="00CE0FC8">
            <w:pPr>
              <w:keepNext/>
              <w:spacing w:before="0"/>
              <w:jc w:val="right"/>
              <w:rPr>
                <w:color w:val="000000" w:themeColor="text1"/>
                <w:sz w:val="16"/>
                <w:szCs w:val="17"/>
              </w:rPr>
            </w:pPr>
            <w:r w:rsidRPr="00A47492">
              <w:rPr>
                <w:color w:val="000000" w:themeColor="text1"/>
                <w:sz w:val="16"/>
                <w:szCs w:val="17"/>
              </w:rPr>
              <w:t>117</w:t>
            </w:r>
            <w:r w:rsidR="006657DD">
              <w:rPr>
                <w:color w:val="000000" w:themeColor="text1"/>
                <w:sz w:val="16"/>
                <w:szCs w:val="17"/>
              </w:rPr>
              <w:t> </w:t>
            </w:r>
            <w:r w:rsidRPr="00A47492">
              <w:rPr>
                <w:color w:val="000000" w:themeColor="text1"/>
                <w:sz w:val="16"/>
                <w:szCs w:val="17"/>
              </w:rPr>
              <w:t>%</w:t>
            </w:r>
          </w:p>
        </w:tc>
      </w:tr>
      <w:tr w:rsidR="00A47492" w:rsidRPr="00215D0C" w14:paraId="3F881D30" w14:textId="77777777" w:rsidTr="00CE0FC8">
        <w:trPr>
          <w:cantSplit/>
          <w:trHeight w:val="227"/>
          <w:jc w:val="center"/>
        </w:trPr>
        <w:tc>
          <w:tcPr>
            <w:tcW w:w="586" w:type="dxa"/>
            <w:vAlign w:val="center"/>
          </w:tcPr>
          <w:p w14:paraId="3BE2A126" w14:textId="77777777" w:rsidR="009476A3" w:rsidRPr="00A47492" w:rsidRDefault="009476A3" w:rsidP="00CE0FC8">
            <w:pPr>
              <w:keepNext/>
              <w:spacing w:before="0"/>
              <w:jc w:val="center"/>
              <w:rPr>
                <w:b/>
                <w:sz w:val="16"/>
                <w:szCs w:val="20"/>
              </w:rPr>
            </w:pPr>
            <w:r w:rsidRPr="00A47492">
              <w:rPr>
                <w:b/>
                <w:sz w:val="16"/>
                <w:szCs w:val="20"/>
              </w:rPr>
              <w:t>2009</w:t>
            </w:r>
          </w:p>
        </w:tc>
        <w:tc>
          <w:tcPr>
            <w:tcW w:w="776" w:type="dxa"/>
            <w:vAlign w:val="center"/>
          </w:tcPr>
          <w:p w14:paraId="004D1037" w14:textId="77777777" w:rsidR="009476A3" w:rsidRPr="00A47492" w:rsidRDefault="007A384F" w:rsidP="00CE0FC8">
            <w:pPr>
              <w:keepNext/>
              <w:spacing w:before="0"/>
              <w:jc w:val="right"/>
              <w:rPr>
                <w:color w:val="000000" w:themeColor="text1"/>
                <w:sz w:val="16"/>
                <w:szCs w:val="17"/>
              </w:rPr>
            </w:pPr>
            <w:r w:rsidRPr="00A47492">
              <w:rPr>
                <w:color w:val="000000" w:themeColor="text1"/>
                <w:sz w:val="16"/>
                <w:szCs w:val="17"/>
              </w:rPr>
              <w:t>1 654 €</w:t>
            </w:r>
          </w:p>
        </w:tc>
        <w:tc>
          <w:tcPr>
            <w:tcW w:w="0" w:type="auto"/>
            <w:vAlign w:val="center"/>
          </w:tcPr>
          <w:p w14:paraId="2773C68E" w14:textId="7777777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2 180 €</w:t>
            </w:r>
          </w:p>
        </w:tc>
        <w:tc>
          <w:tcPr>
            <w:tcW w:w="621" w:type="dxa"/>
            <w:shd w:val="clear" w:color="auto" w:fill="F2C6C9"/>
            <w:vAlign w:val="center"/>
          </w:tcPr>
          <w:p w14:paraId="1F94EE63" w14:textId="1EEFB7F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132</w:t>
            </w:r>
            <w:r w:rsidR="004D1A47" w:rsidRPr="00A47492">
              <w:rPr>
                <w:color w:val="000000" w:themeColor="text1"/>
                <w:sz w:val="16"/>
                <w:szCs w:val="17"/>
              </w:rPr>
              <w:t> </w:t>
            </w:r>
            <w:r w:rsidRPr="00A47492">
              <w:rPr>
                <w:color w:val="000000" w:themeColor="text1"/>
                <w:sz w:val="16"/>
                <w:szCs w:val="17"/>
              </w:rPr>
              <w:t>%</w:t>
            </w:r>
          </w:p>
        </w:tc>
        <w:tc>
          <w:tcPr>
            <w:tcW w:w="770" w:type="dxa"/>
            <w:vAlign w:val="center"/>
          </w:tcPr>
          <w:p w14:paraId="2F8A01B1" w14:textId="7777777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906</w:t>
            </w:r>
            <w:r w:rsidR="009D342A" w:rsidRPr="00A47492">
              <w:rPr>
                <w:color w:val="000000" w:themeColor="text1"/>
                <w:sz w:val="16"/>
                <w:szCs w:val="17"/>
              </w:rPr>
              <w:t> €</w:t>
            </w:r>
          </w:p>
        </w:tc>
        <w:tc>
          <w:tcPr>
            <w:tcW w:w="724" w:type="dxa"/>
            <w:vAlign w:val="center"/>
          </w:tcPr>
          <w:p w14:paraId="5C6F9FD7"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1 613 €</w:t>
            </w:r>
          </w:p>
        </w:tc>
        <w:tc>
          <w:tcPr>
            <w:tcW w:w="608" w:type="dxa"/>
            <w:shd w:val="clear" w:color="auto" w:fill="F2C6C9"/>
            <w:vAlign w:val="center"/>
          </w:tcPr>
          <w:p w14:paraId="4153F251" w14:textId="5B40E802"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178</w:t>
            </w:r>
            <w:r w:rsidR="00A47492">
              <w:rPr>
                <w:color w:val="000000" w:themeColor="text1"/>
                <w:sz w:val="16"/>
                <w:szCs w:val="17"/>
              </w:rPr>
              <w:t> </w:t>
            </w:r>
            <w:r w:rsidRPr="00A47492">
              <w:rPr>
                <w:color w:val="000000" w:themeColor="text1"/>
                <w:sz w:val="16"/>
                <w:szCs w:val="17"/>
              </w:rPr>
              <w:t>%</w:t>
            </w:r>
          </w:p>
        </w:tc>
        <w:tc>
          <w:tcPr>
            <w:tcW w:w="770" w:type="dxa"/>
            <w:vAlign w:val="center"/>
          </w:tcPr>
          <w:p w14:paraId="4C83E6E4"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1 080 €</w:t>
            </w:r>
          </w:p>
        </w:tc>
        <w:tc>
          <w:tcPr>
            <w:tcW w:w="724" w:type="dxa"/>
            <w:vAlign w:val="center"/>
          </w:tcPr>
          <w:p w14:paraId="7B3D8E05"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w:t>
            </w:r>
            <w:r w:rsidR="005F05E8" w:rsidRPr="00A47492">
              <w:rPr>
                <w:color w:val="000000" w:themeColor="text1"/>
                <w:sz w:val="16"/>
                <w:szCs w:val="17"/>
              </w:rPr>
              <w:t> </w:t>
            </w:r>
            <w:r w:rsidRPr="00A47492">
              <w:rPr>
                <w:color w:val="000000" w:themeColor="text1"/>
                <w:sz w:val="16"/>
                <w:szCs w:val="17"/>
              </w:rPr>
              <w:t>154</w:t>
            </w:r>
            <w:r w:rsidR="005F05E8" w:rsidRPr="00A47492">
              <w:rPr>
                <w:color w:val="000000" w:themeColor="text1"/>
                <w:sz w:val="16"/>
                <w:szCs w:val="17"/>
              </w:rPr>
              <w:t> €</w:t>
            </w:r>
          </w:p>
        </w:tc>
        <w:tc>
          <w:tcPr>
            <w:tcW w:w="624" w:type="dxa"/>
            <w:shd w:val="clear" w:color="auto" w:fill="F2C6C9"/>
            <w:vAlign w:val="center"/>
          </w:tcPr>
          <w:p w14:paraId="037E43D1" w14:textId="4C6064F0" w:rsidR="009476A3" w:rsidRPr="00A47492" w:rsidRDefault="005F05E8" w:rsidP="00CE0FC8">
            <w:pPr>
              <w:keepNext/>
              <w:spacing w:before="0"/>
              <w:jc w:val="right"/>
              <w:rPr>
                <w:color w:val="000000" w:themeColor="text1"/>
                <w:sz w:val="16"/>
                <w:szCs w:val="17"/>
              </w:rPr>
            </w:pPr>
            <w:r w:rsidRPr="00A47492">
              <w:rPr>
                <w:color w:val="000000" w:themeColor="text1"/>
                <w:sz w:val="16"/>
                <w:szCs w:val="17"/>
              </w:rPr>
              <w:t>107</w:t>
            </w:r>
            <w:r w:rsidR="006657DD">
              <w:rPr>
                <w:color w:val="000000" w:themeColor="text1"/>
                <w:sz w:val="16"/>
                <w:szCs w:val="17"/>
              </w:rPr>
              <w:t> </w:t>
            </w:r>
            <w:r w:rsidRPr="00A47492">
              <w:rPr>
                <w:color w:val="000000" w:themeColor="text1"/>
                <w:sz w:val="16"/>
                <w:szCs w:val="17"/>
              </w:rPr>
              <w:t>%</w:t>
            </w:r>
          </w:p>
        </w:tc>
        <w:tc>
          <w:tcPr>
            <w:tcW w:w="770" w:type="dxa"/>
            <w:vAlign w:val="center"/>
          </w:tcPr>
          <w:p w14:paraId="1DFC4EEB" w14:textId="77777777"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2 175 €</w:t>
            </w:r>
          </w:p>
        </w:tc>
        <w:tc>
          <w:tcPr>
            <w:tcW w:w="724" w:type="dxa"/>
            <w:vAlign w:val="center"/>
          </w:tcPr>
          <w:p w14:paraId="736C445E" w14:textId="77777777"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2 836 €</w:t>
            </w:r>
          </w:p>
        </w:tc>
        <w:tc>
          <w:tcPr>
            <w:tcW w:w="639" w:type="dxa"/>
            <w:shd w:val="clear" w:color="auto" w:fill="F2C6C9"/>
            <w:vAlign w:val="center"/>
          </w:tcPr>
          <w:p w14:paraId="1B87B06E" w14:textId="4FC409D0"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130</w:t>
            </w:r>
            <w:r w:rsidR="006657DD">
              <w:rPr>
                <w:color w:val="000000" w:themeColor="text1"/>
                <w:sz w:val="16"/>
                <w:szCs w:val="17"/>
              </w:rPr>
              <w:t> </w:t>
            </w:r>
            <w:r w:rsidRPr="00A47492">
              <w:rPr>
                <w:color w:val="000000" w:themeColor="text1"/>
                <w:sz w:val="16"/>
                <w:szCs w:val="17"/>
              </w:rPr>
              <w:t>%</w:t>
            </w:r>
          </w:p>
        </w:tc>
      </w:tr>
      <w:tr w:rsidR="00A47492" w:rsidRPr="00215D0C" w14:paraId="00F5D97E" w14:textId="77777777" w:rsidTr="00CE0FC8">
        <w:trPr>
          <w:cantSplit/>
          <w:trHeight w:val="227"/>
          <w:jc w:val="center"/>
        </w:trPr>
        <w:tc>
          <w:tcPr>
            <w:tcW w:w="586" w:type="dxa"/>
            <w:vAlign w:val="center"/>
          </w:tcPr>
          <w:p w14:paraId="63D4A13D" w14:textId="77777777" w:rsidR="009476A3" w:rsidRPr="00A47492" w:rsidRDefault="009476A3" w:rsidP="00CE0FC8">
            <w:pPr>
              <w:keepNext/>
              <w:spacing w:before="0"/>
              <w:jc w:val="center"/>
              <w:rPr>
                <w:b/>
                <w:sz w:val="16"/>
                <w:szCs w:val="20"/>
              </w:rPr>
            </w:pPr>
            <w:r w:rsidRPr="00A47492">
              <w:rPr>
                <w:b/>
                <w:sz w:val="16"/>
                <w:szCs w:val="20"/>
              </w:rPr>
              <w:t>2010</w:t>
            </w:r>
          </w:p>
        </w:tc>
        <w:tc>
          <w:tcPr>
            <w:tcW w:w="776" w:type="dxa"/>
            <w:vAlign w:val="center"/>
          </w:tcPr>
          <w:p w14:paraId="6F3A8317" w14:textId="77777777" w:rsidR="009476A3" w:rsidRPr="00A47492" w:rsidRDefault="007A384F" w:rsidP="00CE0FC8">
            <w:pPr>
              <w:keepNext/>
              <w:spacing w:before="0"/>
              <w:jc w:val="right"/>
              <w:rPr>
                <w:color w:val="000000" w:themeColor="text1"/>
                <w:sz w:val="16"/>
                <w:szCs w:val="17"/>
              </w:rPr>
            </w:pPr>
            <w:r w:rsidRPr="00A47492">
              <w:rPr>
                <w:color w:val="000000" w:themeColor="text1"/>
                <w:sz w:val="16"/>
                <w:szCs w:val="17"/>
              </w:rPr>
              <w:t>1 919 €</w:t>
            </w:r>
          </w:p>
        </w:tc>
        <w:tc>
          <w:tcPr>
            <w:tcW w:w="0" w:type="auto"/>
            <w:vAlign w:val="center"/>
          </w:tcPr>
          <w:p w14:paraId="32C3F2B5" w14:textId="7777777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2 371 €</w:t>
            </w:r>
          </w:p>
        </w:tc>
        <w:tc>
          <w:tcPr>
            <w:tcW w:w="621" w:type="dxa"/>
            <w:shd w:val="clear" w:color="auto" w:fill="F2C6C9"/>
            <w:vAlign w:val="center"/>
          </w:tcPr>
          <w:p w14:paraId="2242CC38" w14:textId="47A498EE"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124</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77A1383D" w14:textId="7777777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962</w:t>
            </w:r>
            <w:r w:rsidR="009D342A" w:rsidRPr="00A47492">
              <w:rPr>
                <w:color w:val="000000" w:themeColor="text1"/>
                <w:sz w:val="16"/>
                <w:szCs w:val="17"/>
              </w:rPr>
              <w:t> €</w:t>
            </w:r>
          </w:p>
        </w:tc>
        <w:tc>
          <w:tcPr>
            <w:tcW w:w="724" w:type="dxa"/>
            <w:vAlign w:val="center"/>
          </w:tcPr>
          <w:p w14:paraId="7EF76954"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1 768 €</w:t>
            </w:r>
          </w:p>
        </w:tc>
        <w:tc>
          <w:tcPr>
            <w:tcW w:w="608" w:type="dxa"/>
            <w:shd w:val="clear" w:color="auto" w:fill="F2C6C9"/>
            <w:vAlign w:val="center"/>
          </w:tcPr>
          <w:p w14:paraId="7490AE61" w14:textId="21277375"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184</w:t>
            </w:r>
            <w:r w:rsidR="00A47492">
              <w:rPr>
                <w:color w:val="000000" w:themeColor="text1"/>
                <w:sz w:val="16"/>
                <w:szCs w:val="17"/>
              </w:rPr>
              <w:t> </w:t>
            </w:r>
            <w:r w:rsidRPr="00A47492">
              <w:rPr>
                <w:color w:val="000000" w:themeColor="text1"/>
                <w:sz w:val="16"/>
                <w:szCs w:val="17"/>
              </w:rPr>
              <w:t>%</w:t>
            </w:r>
          </w:p>
        </w:tc>
        <w:tc>
          <w:tcPr>
            <w:tcW w:w="770" w:type="dxa"/>
            <w:vAlign w:val="center"/>
          </w:tcPr>
          <w:p w14:paraId="6D7EAA9C"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1 247 €</w:t>
            </w:r>
          </w:p>
        </w:tc>
        <w:tc>
          <w:tcPr>
            <w:tcW w:w="724" w:type="dxa"/>
            <w:vAlign w:val="center"/>
          </w:tcPr>
          <w:p w14:paraId="2F6407C0"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w:t>
            </w:r>
            <w:r w:rsidR="005F05E8" w:rsidRPr="00A47492">
              <w:rPr>
                <w:color w:val="000000" w:themeColor="text1"/>
                <w:sz w:val="16"/>
                <w:szCs w:val="17"/>
              </w:rPr>
              <w:t> </w:t>
            </w:r>
            <w:r w:rsidRPr="00A47492">
              <w:rPr>
                <w:color w:val="000000" w:themeColor="text1"/>
                <w:sz w:val="16"/>
                <w:szCs w:val="17"/>
              </w:rPr>
              <w:t>281</w:t>
            </w:r>
            <w:r w:rsidR="005F05E8" w:rsidRPr="00A47492">
              <w:rPr>
                <w:color w:val="000000" w:themeColor="text1"/>
                <w:sz w:val="16"/>
                <w:szCs w:val="17"/>
              </w:rPr>
              <w:t> €</w:t>
            </w:r>
          </w:p>
        </w:tc>
        <w:tc>
          <w:tcPr>
            <w:tcW w:w="624" w:type="dxa"/>
            <w:shd w:val="clear" w:color="auto" w:fill="F2C6C9"/>
            <w:vAlign w:val="center"/>
          </w:tcPr>
          <w:p w14:paraId="2B8A2BF0" w14:textId="32A6CFBB" w:rsidR="009476A3" w:rsidRPr="00A47492" w:rsidRDefault="005F05E8" w:rsidP="00CE0FC8">
            <w:pPr>
              <w:keepNext/>
              <w:spacing w:before="0"/>
              <w:jc w:val="right"/>
              <w:rPr>
                <w:color w:val="000000" w:themeColor="text1"/>
                <w:sz w:val="16"/>
                <w:szCs w:val="17"/>
              </w:rPr>
            </w:pPr>
            <w:r w:rsidRPr="00A47492">
              <w:rPr>
                <w:color w:val="000000" w:themeColor="text1"/>
                <w:sz w:val="16"/>
                <w:szCs w:val="17"/>
              </w:rPr>
              <w:t>103</w:t>
            </w:r>
            <w:r w:rsidR="006657DD">
              <w:rPr>
                <w:color w:val="000000" w:themeColor="text1"/>
                <w:sz w:val="16"/>
                <w:szCs w:val="17"/>
              </w:rPr>
              <w:t> </w:t>
            </w:r>
            <w:r w:rsidRPr="00A47492">
              <w:rPr>
                <w:color w:val="000000" w:themeColor="text1"/>
                <w:sz w:val="16"/>
                <w:szCs w:val="17"/>
              </w:rPr>
              <w:t>%</w:t>
            </w:r>
          </w:p>
        </w:tc>
        <w:tc>
          <w:tcPr>
            <w:tcW w:w="770" w:type="dxa"/>
            <w:vAlign w:val="center"/>
          </w:tcPr>
          <w:p w14:paraId="6EC47232" w14:textId="77777777"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2 477 €</w:t>
            </w:r>
          </w:p>
        </w:tc>
        <w:tc>
          <w:tcPr>
            <w:tcW w:w="724" w:type="dxa"/>
            <w:vAlign w:val="center"/>
          </w:tcPr>
          <w:p w14:paraId="015DEA78" w14:textId="77777777"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3 020 €</w:t>
            </w:r>
          </w:p>
        </w:tc>
        <w:tc>
          <w:tcPr>
            <w:tcW w:w="639" w:type="dxa"/>
            <w:shd w:val="clear" w:color="auto" w:fill="F2C6C9"/>
            <w:vAlign w:val="center"/>
          </w:tcPr>
          <w:p w14:paraId="0AF8AC47" w14:textId="5B03A448"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122</w:t>
            </w:r>
            <w:r w:rsidR="006657DD">
              <w:rPr>
                <w:color w:val="000000" w:themeColor="text1"/>
                <w:sz w:val="16"/>
                <w:szCs w:val="17"/>
              </w:rPr>
              <w:t> </w:t>
            </w:r>
            <w:r w:rsidRPr="00A47492">
              <w:rPr>
                <w:color w:val="000000" w:themeColor="text1"/>
                <w:sz w:val="16"/>
                <w:szCs w:val="17"/>
              </w:rPr>
              <w:t>%</w:t>
            </w:r>
          </w:p>
        </w:tc>
      </w:tr>
      <w:tr w:rsidR="00A47492" w:rsidRPr="00215D0C" w14:paraId="7426DC33" w14:textId="77777777" w:rsidTr="00CE0FC8">
        <w:trPr>
          <w:cantSplit/>
          <w:trHeight w:val="227"/>
          <w:jc w:val="center"/>
        </w:trPr>
        <w:tc>
          <w:tcPr>
            <w:tcW w:w="586" w:type="dxa"/>
            <w:vAlign w:val="center"/>
          </w:tcPr>
          <w:p w14:paraId="72A57081" w14:textId="77777777" w:rsidR="009476A3" w:rsidRPr="00A47492" w:rsidRDefault="009476A3" w:rsidP="00CE0FC8">
            <w:pPr>
              <w:keepNext/>
              <w:spacing w:before="0"/>
              <w:jc w:val="center"/>
              <w:rPr>
                <w:b/>
                <w:sz w:val="16"/>
                <w:szCs w:val="20"/>
              </w:rPr>
            </w:pPr>
            <w:r w:rsidRPr="00A47492">
              <w:rPr>
                <w:b/>
                <w:sz w:val="16"/>
                <w:szCs w:val="20"/>
              </w:rPr>
              <w:t>2011</w:t>
            </w:r>
          </w:p>
        </w:tc>
        <w:tc>
          <w:tcPr>
            <w:tcW w:w="776" w:type="dxa"/>
            <w:vAlign w:val="center"/>
          </w:tcPr>
          <w:p w14:paraId="4FD9F020" w14:textId="77777777" w:rsidR="009476A3" w:rsidRPr="00A47492" w:rsidRDefault="007A384F" w:rsidP="00CE0FC8">
            <w:pPr>
              <w:keepNext/>
              <w:spacing w:before="0"/>
              <w:jc w:val="right"/>
              <w:rPr>
                <w:color w:val="000000" w:themeColor="text1"/>
                <w:sz w:val="16"/>
                <w:szCs w:val="17"/>
              </w:rPr>
            </w:pPr>
            <w:r w:rsidRPr="00A47492">
              <w:rPr>
                <w:color w:val="000000" w:themeColor="text1"/>
                <w:sz w:val="16"/>
                <w:szCs w:val="17"/>
              </w:rPr>
              <w:t>2 407 €</w:t>
            </w:r>
          </w:p>
        </w:tc>
        <w:tc>
          <w:tcPr>
            <w:tcW w:w="0" w:type="auto"/>
            <w:vAlign w:val="center"/>
          </w:tcPr>
          <w:p w14:paraId="76DDCE91" w14:textId="7777777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2 777 €</w:t>
            </w:r>
          </w:p>
        </w:tc>
        <w:tc>
          <w:tcPr>
            <w:tcW w:w="621" w:type="dxa"/>
            <w:shd w:val="clear" w:color="auto" w:fill="F2C6C9"/>
            <w:vAlign w:val="center"/>
          </w:tcPr>
          <w:p w14:paraId="364A93CD" w14:textId="3398BDF8"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115</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6614F484" w14:textId="77777777" w:rsidR="009476A3" w:rsidRPr="00A47492" w:rsidRDefault="00776A24" w:rsidP="00CE0FC8">
            <w:pPr>
              <w:keepNext/>
              <w:spacing w:before="0"/>
              <w:jc w:val="right"/>
              <w:rPr>
                <w:color w:val="000000" w:themeColor="text1"/>
                <w:sz w:val="16"/>
                <w:szCs w:val="17"/>
              </w:rPr>
            </w:pPr>
            <w:r w:rsidRPr="00A47492">
              <w:rPr>
                <w:color w:val="000000" w:themeColor="text1"/>
                <w:sz w:val="16"/>
                <w:szCs w:val="17"/>
              </w:rPr>
              <w:t>1</w:t>
            </w:r>
            <w:r w:rsidR="009D342A" w:rsidRPr="00A47492">
              <w:rPr>
                <w:color w:val="000000" w:themeColor="text1"/>
                <w:sz w:val="16"/>
                <w:szCs w:val="17"/>
              </w:rPr>
              <w:t> </w:t>
            </w:r>
            <w:r w:rsidRPr="00A47492">
              <w:rPr>
                <w:color w:val="000000" w:themeColor="text1"/>
                <w:sz w:val="16"/>
                <w:szCs w:val="17"/>
              </w:rPr>
              <w:t>109</w:t>
            </w:r>
            <w:r w:rsidR="009D342A" w:rsidRPr="00A47492">
              <w:rPr>
                <w:color w:val="000000" w:themeColor="text1"/>
                <w:sz w:val="16"/>
                <w:szCs w:val="17"/>
              </w:rPr>
              <w:t> €</w:t>
            </w:r>
          </w:p>
        </w:tc>
        <w:tc>
          <w:tcPr>
            <w:tcW w:w="724" w:type="dxa"/>
            <w:vAlign w:val="center"/>
          </w:tcPr>
          <w:p w14:paraId="4CF54C03"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1 885 €</w:t>
            </w:r>
          </w:p>
        </w:tc>
        <w:tc>
          <w:tcPr>
            <w:tcW w:w="608" w:type="dxa"/>
            <w:shd w:val="clear" w:color="auto" w:fill="F2C6C9"/>
            <w:vAlign w:val="center"/>
          </w:tcPr>
          <w:p w14:paraId="7971E3AE" w14:textId="39CAF489"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170</w:t>
            </w:r>
            <w:r w:rsidR="00A47492">
              <w:rPr>
                <w:color w:val="000000" w:themeColor="text1"/>
                <w:sz w:val="16"/>
                <w:szCs w:val="17"/>
              </w:rPr>
              <w:t> </w:t>
            </w:r>
            <w:r w:rsidRPr="00A47492">
              <w:rPr>
                <w:color w:val="000000" w:themeColor="text1"/>
                <w:sz w:val="16"/>
                <w:szCs w:val="17"/>
              </w:rPr>
              <w:t>%</w:t>
            </w:r>
          </w:p>
        </w:tc>
        <w:tc>
          <w:tcPr>
            <w:tcW w:w="770" w:type="dxa"/>
            <w:vAlign w:val="center"/>
          </w:tcPr>
          <w:p w14:paraId="21388D30"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1 286 €</w:t>
            </w:r>
          </w:p>
        </w:tc>
        <w:tc>
          <w:tcPr>
            <w:tcW w:w="724" w:type="dxa"/>
            <w:vAlign w:val="center"/>
          </w:tcPr>
          <w:p w14:paraId="118D3166" w14:textId="77777777" w:rsidR="009476A3" w:rsidRPr="00A47492" w:rsidRDefault="009D342A" w:rsidP="00CE0FC8">
            <w:pPr>
              <w:keepNext/>
              <w:spacing w:before="0"/>
              <w:jc w:val="right"/>
              <w:rPr>
                <w:color w:val="000000" w:themeColor="text1"/>
                <w:sz w:val="16"/>
                <w:szCs w:val="17"/>
              </w:rPr>
            </w:pPr>
            <w:r w:rsidRPr="00A47492">
              <w:rPr>
                <w:color w:val="000000" w:themeColor="text1"/>
                <w:sz w:val="16"/>
                <w:szCs w:val="17"/>
              </w:rPr>
              <w:t>1</w:t>
            </w:r>
            <w:r w:rsidR="005F05E8" w:rsidRPr="00A47492">
              <w:rPr>
                <w:color w:val="000000" w:themeColor="text1"/>
                <w:sz w:val="16"/>
                <w:szCs w:val="17"/>
              </w:rPr>
              <w:t> </w:t>
            </w:r>
            <w:r w:rsidRPr="00A47492">
              <w:rPr>
                <w:color w:val="000000" w:themeColor="text1"/>
                <w:sz w:val="16"/>
                <w:szCs w:val="17"/>
              </w:rPr>
              <w:t>398</w:t>
            </w:r>
            <w:r w:rsidR="005F05E8" w:rsidRPr="00A47492">
              <w:rPr>
                <w:color w:val="000000" w:themeColor="text1"/>
                <w:sz w:val="16"/>
                <w:szCs w:val="17"/>
              </w:rPr>
              <w:t> €</w:t>
            </w:r>
          </w:p>
        </w:tc>
        <w:tc>
          <w:tcPr>
            <w:tcW w:w="624" w:type="dxa"/>
            <w:shd w:val="clear" w:color="auto" w:fill="F2C6C9"/>
            <w:vAlign w:val="center"/>
          </w:tcPr>
          <w:p w14:paraId="70ACCA0D" w14:textId="1C674FCB" w:rsidR="009476A3" w:rsidRPr="00A47492" w:rsidRDefault="005F05E8" w:rsidP="00CE0FC8">
            <w:pPr>
              <w:keepNext/>
              <w:spacing w:before="0"/>
              <w:jc w:val="right"/>
              <w:rPr>
                <w:color w:val="000000" w:themeColor="text1"/>
                <w:sz w:val="16"/>
                <w:szCs w:val="17"/>
              </w:rPr>
            </w:pPr>
            <w:r w:rsidRPr="00A47492">
              <w:rPr>
                <w:color w:val="000000" w:themeColor="text1"/>
                <w:sz w:val="16"/>
                <w:szCs w:val="17"/>
              </w:rPr>
              <w:t>109</w:t>
            </w:r>
            <w:r w:rsidR="006657DD">
              <w:rPr>
                <w:color w:val="000000" w:themeColor="text1"/>
                <w:sz w:val="16"/>
                <w:szCs w:val="17"/>
              </w:rPr>
              <w:t> </w:t>
            </w:r>
            <w:r w:rsidRPr="00A47492">
              <w:rPr>
                <w:color w:val="000000" w:themeColor="text1"/>
                <w:sz w:val="16"/>
                <w:szCs w:val="17"/>
              </w:rPr>
              <w:t>%</w:t>
            </w:r>
          </w:p>
        </w:tc>
        <w:tc>
          <w:tcPr>
            <w:tcW w:w="770" w:type="dxa"/>
            <w:vAlign w:val="center"/>
          </w:tcPr>
          <w:p w14:paraId="2FD0572D" w14:textId="77777777"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3 137 €</w:t>
            </w:r>
          </w:p>
        </w:tc>
        <w:tc>
          <w:tcPr>
            <w:tcW w:w="724" w:type="dxa"/>
            <w:vAlign w:val="center"/>
          </w:tcPr>
          <w:p w14:paraId="66AD15F6" w14:textId="77777777"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3 475 €</w:t>
            </w:r>
          </w:p>
        </w:tc>
        <w:tc>
          <w:tcPr>
            <w:tcW w:w="639" w:type="dxa"/>
            <w:shd w:val="clear" w:color="auto" w:fill="F2C6C9"/>
            <w:vAlign w:val="center"/>
          </w:tcPr>
          <w:p w14:paraId="19307C8D" w14:textId="25EEFF50" w:rsidR="009476A3" w:rsidRPr="00A47492" w:rsidRDefault="00806C43" w:rsidP="00CE0FC8">
            <w:pPr>
              <w:keepNext/>
              <w:spacing w:before="0"/>
              <w:jc w:val="right"/>
              <w:rPr>
                <w:color w:val="000000" w:themeColor="text1"/>
                <w:sz w:val="16"/>
                <w:szCs w:val="17"/>
              </w:rPr>
            </w:pPr>
            <w:r w:rsidRPr="00A47492">
              <w:rPr>
                <w:color w:val="000000" w:themeColor="text1"/>
                <w:sz w:val="16"/>
                <w:szCs w:val="17"/>
              </w:rPr>
              <w:t>111</w:t>
            </w:r>
            <w:r w:rsidR="006657DD">
              <w:rPr>
                <w:color w:val="000000" w:themeColor="text1"/>
                <w:sz w:val="16"/>
                <w:szCs w:val="17"/>
              </w:rPr>
              <w:t> </w:t>
            </w:r>
            <w:r w:rsidRPr="00A47492">
              <w:rPr>
                <w:color w:val="000000" w:themeColor="text1"/>
                <w:sz w:val="16"/>
                <w:szCs w:val="17"/>
              </w:rPr>
              <w:t>%</w:t>
            </w:r>
          </w:p>
        </w:tc>
      </w:tr>
      <w:tr w:rsidR="00A47492" w:rsidRPr="00215D0C" w14:paraId="0A42F1A6" w14:textId="77777777" w:rsidTr="00CE0FC8">
        <w:trPr>
          <w:cantSplit/>
          <w:trHeight w:val="227"/>
          <w:jc w:val="center"/>
        </w:trPr>
        <w:tc>
          <w:tcPr>
            <w:tcW w:w="586" w:type="dxa"/>
            <w:vAlign w:val="center"/>
          </w:tcPr>
          <w:p w14:paraId="11DA8C76" w14:textId="77777777" w:rsidR="005F05E8" w:rsidRPr="00A47492" w:rsidRDefault="005F05E8" w:rsidP="00CE0FC8">
            <w:pPr>
              <w:keepNext/>
              <w:spacing w:before="0"/>
              <w:jc w:val="center"/>
              <w:rPr>
                <w:b/>
                <w:sz w:val="16"/>
                <w:szCs w:val="20"/>
              </w:rPr>
            </w:pPr>
            <w:r w:rsidRPr="00A47492">
              <w:rPr>
                <w:b/>
                <w:sz w:val="16"/>
                <w:szCs w:val="20"/>
              </w:rPr>
              <w:t>2012</w:t>
            </w:r>
          </w:p>
        </w:tc>
        <w:tc>
          <w:tcPr>
            <w:tcW w:w="776" w:type="dxa"/>
            <w:vAlign w:val="center"/>
          </w:tcPr>
          <w:p w14:paraId="084B4F21"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2 562 €</w:t>
            </w:r>
          </w:p>
        </w:tc>
        <w:tc>
          <w:tcPr>
            <w:tcW w:w="0" w:type="auto"/>
            <w:vAlign w:val="center"/>
          </w:tcPr>
          <w:p w14:paraId="4C276AAC"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2 947 €</w:t>
            </w:r>
          </w:p>
        </w:tc>
        <w:tc>
          <w:tcPr>
            <w:tcW w:w="621" w:type="dxa"/>
            <w:shd w:val="clear" w:color="auto" w:fill="F2C6C9"/>
            <w:vAlign w:val="center"/>
          </w:tcPr>
          <w:p w14:paraId="1F341F7A" w14:textId="028F280C"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115</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2DA860BD"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975 €</w:t>
            </w:r>
          </w:p>
        </w:tc>
        <w:tc>
          <w:tcPr>
            <w:tcW w:w="724" w:type="dxa"/>
            <w:vAlign w:val="center"/>
          </w:tcPr>
          <w:p w14:paraId="2F940F33"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1 752 €</w:t>
            </w:r>
          </w:p>
        </w:tc>
        <w:tc>
          <w:tcPr>
            <w:tcW w:w="608" w:type="dxa"/>
            <w:shd w:val="clear" w:color="auto" w:fill="F2C6C9"/>
            <w:vAlign w:val="center"/>
          </w:tcPr>
          <w:p w14:paraId="5E17D784" w14:textId="22E28A98"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180</w:t>
            </w:r>
            <w:r w:rsidR="00A47492">
              <w:rPr>
                <w:color w:val="000000" w:themeColor="text1"/>
                <w:sz w:val="16"/>
                <w:szCs w:val="17"/>
              </w:rPr>
              <w:t> </w:t>
            </w:r>
            <w:r w:rsidRPr="00A47492">
              <w:rPr>
                <w:color w:val="000000" w:themeColor="text1"/>
                <w:sz w:val="16"/>
                <w:szCs w:val="17"/>
              </w:rPr>
              <w:t>%</w:t>
            </w:r>
          </w:p>
        </w:tc>
        <w:tc>
          <w:tcPr>
            <w:tcW w:w="770" w:type="dxa"/>
            <w:vAlign w:val="center"/>
          </w:tcPr>
          <w:p w14:paraId="53B3C170"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1 421 €</w:t>
            </w:r>
          </w:p>
        </w:tc>
        <w:tc>
          <w:tcPr>
            <w:tcW w:w="724" w:type="dxa"/>
            <w:vAlign w:val="center"/>
          </w:tcPr>
          <w:p w14:paraId="3210C167"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1 391 €</w:t>
            </w:r>
          </w:p>
        </w:tc>
        <w:tc>
          <w:tcPr>
            <w:tcW w:w="624" w:type="dxa"/>
            <w:shd w:val="clear" w:color="auto" w:fill="F2C6C9"/>
            <w:vAlign w:val="center"/>
          </w:tcPr>
          <w:p w14:paraId="47D84C7B" w14:textId="5F843A3F"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98</w:t>
            </w:r>
            <w:r w:rsidR="006657DD">
              <w:rPr>
                <w:color w:val="000000" w:themeColor="text1"/>
                <w:sz w:val="16"/>
                <w:szCs w:val="17"/>
              </w:rPr>
              <w:t> </w:t>
            </w:r>
            <w:r w:rsidRPr="00A47492">
              <w:rPr>
                <w:color w:val="000000" w:themeColor="text1"/>
                <w:sz w:val="16"/>
                <w:szCs w:val="17"/>
              </w:rPr>
              <w:t>%</w:t>
            </w:r>
          </w:p>
        </w:tc>
        <w:tc>
          <w:tcPr>
            <w:tcW w:w="770" w:type="dxa"/>
            <w:vAlign w:val="center"/>
          </w:tcPr>
          <w:p w14:paraId="4FFAF023"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3 228 €</w:t>
            </w:r>
          </w:p>
        </w:tc>
        <w:tc>
          <w:tcPr>
            <w:tcW w:w="724" w:type="dxa"/>
            <w:vAlign w:val="center"/>
          </w:tcPr>
          <w:p w14:paraId="68DB464E"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3 605 €</w:t>
            </w:r>
          </w:p>
        </w:tc>
        <w:tc>
          <w:tcPr>
            <w:tcW w:w="639" w:type="dxa"/>
            <w:shd w:val="clear" w:color="auto" w:fill="F2C6C9"/>
            <w:vAlign w:val="center"/>
          </w:tcPr>
          <w:p w14:paraId="3F250523" w14:textId="103F891C"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112</w:t>
            </w:r>
            <w:r w:rsidR="006657DD">
              <w:rPr>
                <w:color w:val="000000" w:themeColor="text1"/>
                <w:sz w:val="16"/>
                <w:szCs w:val="17"/>
              </w:rPr>
              <w:t> </w:t>
            </w:r>
            <w:r w:rsidRPr="00A47492">
              <w:rPr>
                <w:color w:val="000000" w:themeColor="text1"/>
                <w:sz w:val="16"/>
                <w:szCs w:val="17"/>
              </w:rPr>
              <w:t>%</w:t>
            </w:r>
          </w:p>
        </w:tc>
      </w:tr>
      <w:tr w:rsidR="00A47492" w:rsidRPr="00215D0C" w14:paraId="400392A4" w14:textId="77777777" w:rsidTr="00CE0FC8">
        <w:trPr>
          <w:cantSplit/>
          <w:trHeight w:val="227"/>
          <w:jc w:val="center"/>
        </w:trPr>
        <w:tc>
          <w:tcPr>
            <w:tcW w:w="586" w:type="dxa"/>
            <w:vAlign w:val="center"/>
          </w:tcPr>
          <w:p w14:paraId="453D304A" w14:textId="77777777" w:rsidR="005F05E8" w:rsidRPr="00A47492" w:rsidRDefault="005F05E8" w:rsidP="00CE0FC8">
            <w:pPr>
              <w:keepNext/>
              <w:spacing w:before="0"/>
              <w:jc w:val="center"/>
              <w:rPr>
                <w:b/>
                <w:sz w:val="16"/>
                <w:szCs w:val="20"/>
              </w:rPr>
            </w:pPr>
            <w:r w:rsidRPr="00A47492">
              <w:rPr>
                <w:b/>
                <w:sz w:val="16"/>
                <w:szCs w:val="20"/>
              </w:rPr>
              <w:t>2013</w:t>
            </w:r>
          </w:p>
        </w:tc>
        <w:tc>
          <w:tcPr>
            <w:tcW w:w="776" w:type="dxa"/>
            <w:vAlign w:val="center"/>
          </w:tcPr>
          <w:p w14:paraId="57726F8E"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2 470 €</w:t>
            </w:r>
          </w:p>
        </w:tc>
        <w:tc>
          <w:tcPr>
            <w:tcW w:w="0" w:type="auto"/>
            <w:vAlign w:val="center"/>
          </w:tcPr>
          <w:p w14:paraId="5C2E9145"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2 996 €</w:t>
            </w:r>
          </w:p>
        </w:tc>
        <w:tc>
          <w:tcPr>
            <w:tcW w:w="621" w:type="dxa"/>
            <w:shd w:val="clear" w:color="auto" w:fill="F2C6C9"/>
            <w:vAlign w:val="center"/>
          </w:tcPr>
          <w:p w14:paraId="0187F97C" w14:textId="5669D526"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121</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587AAF5C"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1 028 €</w:t>
            </w:r>
          </w:p>
        </w:tc>
        <w:tc>
          <w:tcPr>
            <w:tcW w:w="724" w:type="dxa"/>
            <w:vAlign w:val="center"/>
          </w:tcPr>
          <w:p w14:paraId="75A647CB"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1 779 €</w:t>
            </w:r>
          </w:p>
        </w:tc>
        <w:tc>
          <w:tcPr>
            <w:tcW w:w="608" w:type="dxa"/>
            <w:shd w:val="clear" w:color="auto" w:fill="F2C6C9"/>
            <w:vAlign w:val="center"/>
          </w:tcPr>
          <w:p w14:paraId="071D2738" w14:textId="23336AA1"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173</w:t>
            </w:r>
            <w:r w:rsidR="00A47492">
              <w:rPr>
                <w:color w:val="000000" w:themeColor="text1"/>
                <w:sz w:val="16"/>
                <w:szCs w:val="17"/>
              </w:rPr>
              <w:t> </w:t>
            </w:r>
            <w:r w:rsidRPr="00A47492">
              <w:rPr>
                <w:color w:val="000000" w:themeColor="text1"/>
                <w:sz w:val="16"/>
                <w:szCs w:val="17"/>
              </w:rPr>
              <w:t>%</w:t>
            </w:r>
          </w:p>
        </w:tc>
        <w:tc>
          <w:tcPr>
            <w:tcW w:w="770" w:type="dxa"/>
            <w:vAlign w:val="center"/>
          </w:tcPr>
          <w:p w14:paraId="04763530"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1 384 €</w:t>
            </w:r>
          </w:p>
        </w:tc>
        <w:tc>
          <w:tcPr>
            <w:tcW w:w="724" w:type="dxa"/>
            <w:vAlign w:val="center"/>
          </w:tcPr>
          <w:p w14:paraId="45E31B80"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1 390 €</w:t>
            </w:r>
          </w:p>
        </w:tc>
        <w:tc>
          <w:tcPr>
            <w:tcW w:w="624" w:type="dxa"/>
            <w:shd w:val="clear" w:color="auto" w:fill="F2C6C9"/>
            <w:vAlign w:val="center"/>
          </w:tcPr>
          <w:p w14:paraId="34A2C5A8" w14:textId="0291E148"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100</w:t>
            </w:r>
            <w:r w:rsidR="006657DD">
              <w:rPr>
                <w:color w:val="000000" w:themeColor="text1"/>
                <w:sz w:val="16"/>
                <w:szCs w:val="17"/>
              </w:rPr>
              <w:t> </w:t>
            </w:r>
            <w:r w:rsidRPr="00A47492">
              <w:rPr>
                <w:color w:val="000000" w:themeColor="text1"/>
                <w:sz w:val="16"/>
                <w:szCs w:val="17"/>
              </w:rPr>
              <w:t>%</w:t>
            </w:r>
          </w:p>
        </w:tc>
        <w:tc>
          <w:tcPr>
            <w:tcW w:w="770" w:type="dxa"/>
            <w:vAlign w:val="center"/>
          </w:tcPr>
          <w:p w14:paraId="638594CC"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3 154 €</w:t>
            </w:r>
          </w:p>
        </w:tc>
        <w:tc>
          <w:tcPr>
            <w:tcW w:w="724" w:type="dxa"/>
            <w:vAlign w:val="center"/>
          </w:tcPr>
          <w:p w14:paraId="16AA3CFD"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3 574 €</w:t>
            </w:r>
          </w:p>
        </w:tc>
        <w:tc>
          <w:tcPr>
            <w:tcW w:w="639" w:type="dxa"/>
            <w:shd w:val="clear" w:color="auto" w:fill="F2C6C9"/>
            <w:vAlign w:val="center"/>
          </w:tcPr>
          <w:p w14:paraId="1BF27873" w14:textId="152A677D"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113</w:t>
            </w:r>
            <w:r w:rsidR="006657DD">
              <w:rPr>
                <w:color w:val="000000" w:themeColor="text1"/>
                <w:sz w:val="16"/>
                <w:szCs w:val="17"/>
              </w:rPr>
              <w:t> </w:t>
            </w:r>
            <w:r w:rsidRPr="00A47492">
              <w:rPr>
                <w:color w:val="000000" w:themeColor="text1"/>
                <w:sz w:val="16"/>
                <w:szCs w:val="17"/>
              </w:rPr>
              <w:t>%</w:t>
            </w:r>
          </w:p>
        </w:tc>
      </w:tr>
      <w:tr w:rsidR="00A47492" w:rsidRPr="00215D0C" w14:paraId="41DEFE98" w14:textId="77777777" w:rsidTr="00CE0FC8">
        <w:trPr>
          <w:cantSplit/>
          <w:trHeight w:val="227"/>
          <w:jc w:val="center"/>
        </w:trPr>
        <w:tc>
          <w:tcPr>
            <w:tcW w:w="586" w:type="dxa"/>
            <w:vAlign w:val="center"/>
          </w:tcPr>
          <w:p w14:paraId="641D86A0" w14:textId="77777777" w:rsidR="005F05E8" w:rsidRPr="00A47492" w:rsidRDefault="005F05E8" w:rsidP="00CE0FC8">
            <w:pPr>
              <w:keepNext/>
              <w:spacing w:before="0"/>
              <w:jc w:val="center"/>
              <w:rPr>
                <w:b/>
                <w:sz w:val="16"/>
                <w:szCs w:val="20"/>
              </w:rPr>
            </w:pPr>
            <w:r w:rsidRPr="00A47492">
              <w:rPr>
                <w:b/>
                <w:sz w:val="16"/>
                <w:szCs w:val="20"/>
              </w:rPr>
              <w:t>2014</w:t>
            </w:r>
          </w:p>
        </w:tc>
        <w:tc>
          <w:tcPr>
            <w:tcW w:w="776" w:type="dxa"/>
            <w:vAlign w:val="center"/>
          </w:tcPr>
          <w:p w14:paraId="5BC29B4A"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2 793 €</w:t>
            </w:r>
          </w:p>
        </w:tc>
        <w:tc>
          <w:tcPr>
            <w:tcW w:w="0" w:type="auto"/>
            <w:vAlign w:val="center"/>
          </w:tcPr>
          <w:p w14:paraId="53CC46B0"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3 159 €</w:t>
            </w:r>
          </w:p>
        </w:tc>
        <w:tc>
          <w:tcPr>
            <w:tcW w:w="621" w:type="dxa"/>
            <w:shd w:val="clear" w:color="auto" w:fill="F2C6C9"/>
            <w:vAlign w:val="center"/>
          </w:tcPr>
          <w:p w14:paraId="5EC0C1DA" w14:textId="7E86F8CB"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113</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23D9A1F6"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1 022 €</w:t>
            </w:r>
          </w:p>
        </w:tc>
        <w:tc>
          <w:tcPr>
            <w:tcW w:w="724" w:type="dxa"/>
            <w:vAlign w:val="center"/>
          </w:tcPr>
          <w:p w14:paraId="6F272511"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1 720 €</w:t>
            </w:r>
          </w:p>
        </w:tc>
        <w:tc>
          <w:tcPr>
            <w:tcW w:w="608" w:type="dxa"/>
            <w:shd w:val="clear" w:color="auto" w:fill="F2C6C9"/>
            <w:vAlign w:val="center"/>
          </w:tcPr>
          <w:p w14:paraId="4BC6010D" w14:textId="70396A23"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168</w:t>
            </w:r>
            <w:r w:rsidR="00A47492">
              <w:rPr>
                <w:color w:val="000000" w:themeColor="text1"/>
                <w:sz w:val="16"/>
                <w:szCs w:val="17"/>
              </w:rPr>
              <w:t> </w:t>
            </w:r>
            <w:r w:rsidRPr="00A47492">
              <w:rPr>
                <w:color w:val="000000" w:themeColor="text1"/>
                <w:sz w:val="16"/>
                <w:szCs w:val="17"/>
              </w:rPr>
              <w:t>%</w:t>
            </w:r>
          </w:p>
        </w:tc>
        <w:tc>
          <w:tcPr>
            <w:tcW w:w="770" w:type="dxa"/>
            <w:vAlign w:val="center"/>
          </w:tcPr>
          <w:p w14:paraId="06231D94"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1 364 €</w:t>
            </w:r>
          </w:p>
        </w:tc>
        <w:tc>
          <w:tcPr>
            <w:tcW w:w="724" w:type="dxa"/>
            <w:vAlign w:val="center"/>
          </w:tcPr>
          <w:p w14:paraId="0C325FAE"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1 327 €</w:t>
            </w:r>
          </w:p>
        </w:tc>
        <w:tc>
          <w:tcPr>
            <w:tcW w:w="624" w:type="dxa"/>
            <w:shd w:val="clear" w:color="auto" w:fill="F2C6C9"/>
            <w:vAlign w:val="center"/>
          </w:tcPr>
          <w:p w14:paraId="038D506F" w14:textId="25815AE5"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97</w:t>
            </w:r>
            <w:r w:rsidR="006657DD">
              <w:rPr>
                <w:color w:val="000000" w:themeColor="text1"/>
                <w:sz w:val="16"/>
                <w:szCs w:val="17"/>
              </w:rPr>
              <w:t> </w:t>
            </w:r>
            <w:r w:rsidRPr="00A47492">
              <w:rPr>
                <w:color w:val="000000" w:themeColor="text1"/>
                <w:sz w:val="16"/>
                <w:szCs w:val="17"/>
              </w:rPr>
              <w:t>%</w:t>
            </w:r>
          </w:p>
        </w:tc>
        <w:tc>
          <w:tcPr>
            <w:tcW w:w="770" w:type="dxa"/>
            <w:vAlign w:val="center"/>
          </w:tcPr>
          <w:p w14:paraId="5F536AF8"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3 364 €</w:t>
            </w:r>
          </w:p>
        </w:tc>
        <w:tc>
          <w:tcPr>
            <w:tcW w:w="724" w:type="dxa"/>
            <w:vAlign w:val="center"/>
          </w:tcPr>
          <w:p w14:paraId="1E3B9239"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3 701 €</w:t>
            </w:r>
          </w:p>
        </w:tc>
        <w:tc>
          <w:tcPr>
            <w:tcW w:w="639" w:type="dxa"/>
            <w:shd w:val="clear" w:color="auto" w:fill="F2C6C9"/>
            <w:vAlign w:val="center"/>
          </w:tcPr>
          <w:p w14:paraId="6E655E49" w14:textId="366E5F31"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110</w:t>
            </w:r>
            <w:r w:rsidR="006657DD">
              <w:rPr>
                <w:color w:val="000000" w:themeColor="text1"/>
                <w:sz w:val="16"/>
                <w:szCs w:val="17"/>
              </w:rPr>
              <w:t> </w:t>
            </w:r>
            <w:r w:rsidRPr="00A47492">
              <w:rPr>
                <w:color w:val="000000" w:themeColor="text1"/>
                <w:sz w:val="16"/>
                <w:szCs w:val="17"/>
              </w:rPr>
              <w:t>%</w:t>
            </w:r>
          </w:p>
        </w:tc>
      </w:tr>
      <w:tr w:rsidR="00A47492" w:rsidRPr="00215D0C" w14:paraId="5BEE90DB" w14:textId="77777777" w:rsidTr="00CE0FC8">
        <w:trPr>
          <w:cantSplit/>
          <w:trHeight w:val="227"/>
          <w:jc w:val="center"/>
        </w:trPr>
        <w:tc>
          <w:tcPr>
            <w:tcW w:w="586" w:type="dxa"/>
            <w:vAlign w:val="center"/>
          </w:tcPr>
          <w:p w14:paraId="22D9F299" w14:textId="77777777" w:rsidR="005F05E8" w:rsidRPr="00A47492" w:rsidRDefault="005F05E8" w:rsidP="00CE0FC8">
            <w:pPr>
              <w:keepNext/>
              <w:spacing w:before="0"/>
              <w:jc w:val="center"/>
              <w:rPr>
                <w:b/>
                <w:sz w:val="16"/>
                <w:szCs w:val="20"/>
              </w:rPr>
            </w:pPr>
            <w:r w:rsidRPr="00A47492">
              <w:rPr>
                <w:b/>
                <w:sz w:val="16"/>
                <w:szCs w:val="20"/>
              </w:rPr>
              <w:t>2015</w:t>
            </w:r>
          </w:p>
        </w:tc>
        <w:tc>
          <w:tcPr>
            <w:tcW w:w="776" w:type="dxa"/>
            <w:vAlign w:val="center"/>
          </w:tcPr>
          <w:p w14:paraId="1E3CA835"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2 560 €</w:t>
            </w:r>
          </w:p>
        </w:tc>
        <w:tc>
          <w:tcPr>
            <w:tcW w:w="0" w:type="auto"/>
            <w:vAlign w:val="center"/>
          </w:tcPr>
          <w:p w14:paraId="180DBDD1"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3 168 €</w:t>
            </w:r>
          </w:p>
        </w:tc>
        <w:tc>
          <w:tcPr>
            <w:tcW w:w="621" w:type="dxa"/>
            <w:shd w:val="clear" w:color="auto" w:fill="F2C6C9"/>
            <w:vAlign w:val="center"/>
          </w:tcPr>
          <w:p w14:paraId="6237B61E" w14:textId="32F3D5FE"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124</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0E5289C6"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1 069 €</w:t>
            </w:r>
          </w:p>
        </w:tc>
        <w:tc>
          <w:tcPr>
            <w:tcW w:w="724" w:type="dxa"/>
            <w:vAlign w:val="center"/>
          </w:tcPr>
          <w:p w14:paraId="0F7C217D"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1 738 €</w:t>
            </w:r>
          </w:p>
        </w:tc>
        <w:tc>
          <w:tcPr>
            <w:tcW w:w="608" w:type="dxa"/>
            <w:shd w:val="clear" w:color="auto" w:fill="F2C6C9"/>
            <w:vAlign w:val="center"/>
          </w:tcPr>
          <w:p w14:paraId="281D6080" w14:textId="03DC209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163</w:t>
            </w:r>
            <w:r w:rsidR="00A47492">
              <w:rPr>
                <w:color w:val="000000" w:themeColor="text1"/>
                <w:sz w:val="16"/>
                <w:szCs w:val="17"/>
              </w:rPr>
              <w:t> </w:t>
            </w:r>
            <w:r w:rsidRPr="00A47492">
              <w:rPr>
                <w:color w:val="000000" w:themeColor="text1"/>
                <w:sz w:val="16"/>
                <w:szCs w:val="17"/>
              </w:rPr>
              <w:t>%</w:t>
            </w:r>
          </w:p>
        </w:tc>
        <w:tc>
          <w:tcPr>
            <w:tcW w:w="770" w:type="dxa"/>
            <w:vAlign w:val="center"/>
          </w:tcPr>
          <w:p w14:paraId="0A0BC8CC"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1 419 €</w:t>
            </w:r>
          </w:p>
        </w:tc>
        <w:tc>
          <w:tcPr>
            <w:tcW w:w="724" w:type="dxa"/>
            <w:vAlign w:val="center"/>
          </w:tcPr>
          <w:p w14:paraId="0122F9BA"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1 462 €</w:t>
            </w:r>
          </w:p>
        </w:tc>
        <w:tc>
          <w:tcPr>
            <w:tcW w:w="624" w:type="dxa"/>
            <w:shd w:val="clear" w:color="auto" w:fill="F2C6C9"/>
            <w:vAlign w:val="center"/>
          </w:tcPr>
          <w:p w14:paraId="35D31037" w14:textId="13E04F43"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103</w:t>
            </w:r>
            <w:r w:rsidR="006657DD">
              <w:rPr>
                <w:color w:val="000000" w:themeColor="text1"/>
                <w:sz w:val="16"/>
                <w:szCs w:val="17"/>
              </w:rPr>
              <w:t> </w:t>
            </w:r>
            <w:r w:rsidRPr="00A47492">
              <w:rPr>
                <w:color w:val="000000" w:themeColor="text1"/>
                <w:sz w:val="16"/>
                <w:szCs w:val="17"/>
              </w:rPr>
              <w:t>%</w:t>
            </w:r>
          </w:p>
        </w:tc>
        <w:tc>
          <w:tcPr>
            <w:tcW w:w="770" w:type="dxa"/>
            <w:vAlign w:val="center"/>
          </w:tcPr>
          <w:p w14:paraId="7D21D7EF"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3 157 €</w:t>
            </w:r>
          </w:p>
        </w:tc>
        <w:tc>
          <w:tcPr>
            <w:tcW w:w="724" w:type="dxa"/>
            <w:vAlign w:val="center"/>
          </w:tcPr>
          <w:p w14:paraId="1665DBD8"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3 745 €</w:t>
            </w:r>
          </w:p>
        </w:tc>
        <w:tc>
          <w:tcPr>
            <w:tcW w:w="639" w:type="dxa"/>
            <w:shd w:val="clear" w:color="auto" w:fill="F2C6C9"/>
            <w:vAlign w:val="center"/>
          </w:tcPr>
          <w:p w14:paraId="5CAFB639" w14:textId="411AB160"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119</w:t>
            </w:r>
            <w:r w:rsidR="006657DD">
              <w:rPr>
                <w:color w:val="000000" w:themeColor="text1"/>
                <w:sz w:val="16"/>
                <w:szCs w:val="17"/>
              </w:rPr>
              <w:t> </w:t>
            </w:r>
            <w:r w:rsidRPr="00A47492">
              <w:rPr>
                <w:color w:val="000000" w:themeColor="text1"/>
                <w:sz w:val="16"/>
                <w:szCs w:val="17"/>
              </w:rPr>
              <w:t>%</w:t>
            </w:r>
          </w:p>
        </w:tc>
      </w:tr>
      <w:tr w:rsidR="00A47492" w:rsidRPr="00215D0C" w14:paraId="77BD8D74" w14:textId="77777777" w:rsidTr="00CE0FC8">
        <w:trPr>
          <w:cantSplit/>
          <w:trHeight w:val="227"/>
          <w:jc w:val="center"/>
        </w:trPr>
        <w:tc>
          <w:tcPr>
            <w:tcW w:w="586" w:type="dxa"/>
            <w:vAlign w:val="center"/>
          </w:tcPr>
          <w:p w14:paraId="6A380DD4" w14:textId="77777777" w:rsidR="005F05E8" w:rsidRPr="00A47492" w:rsidRDefault="005F05E8" w:rsidP="00CE0FC8">
            <w:pPr>
              <w:keepNext/>
              <w:spacing w:before="0"/>
              <w:jc w:val="center"/>
              <w:rPr>
                <w:b/>
                <w:sz w:val="16"/>
                <w:szCs w:val="20"/>
              </w:rPr>
            </w:pPr>
            <w:r w:rsidRPr="00A47492">
              <w:rPr>
                <w:b/>
                <w:sz w:val="16"/>
                <w:szCs w:val="20"/>
              </w:rPr>
              <w:t>2016</w:t>
            </w:r>
          </w:p>
        </w:tc>
        <w:tc>
          <w:tcPr>
            <w:tcW w:w="776" w:type="dxa"/>
            <w:vAlign w:val="center"/>
          </w:tcPr>
          <w:p w14:paraId="037769EB"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2 551 €</w:t>
            </w:r>
          </w:p>
        </w:tc>
        <w:tc>
          <w:tcPr>
            <w:tcW w:w="0" w:type="auto"/>
            <w:vAlign w:val="center"/>
          </w:tcPr>
          <w:p w14:paraId="1726FF11"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3 201 €</w:t>
            </w:r>
          </w:p>
        </w:tc>
        <w:tc>
          <w:tcPr>
            <w:tcW w:w="621" w:type="dxa"/>
            <w:shd w:val="clear" w:color="auto" w:fill="F2C6C9"/>
            <w:vAlign w:val="center"/>
          </w:tcPr>
          <w:p w14:paraId="4E13E679" w14:textId="53029069"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125</w:t>
            </w:r>
            <w:r w:rsidR="00C12496" w:rsidRPr="00A47492">
              <w:rPr>
                <w:color w:val="000000" w:themeColor="text1"/>
                <w:sz w:val="16"/>
                <w:szCs w:val="17"/>
              </w:rPr>
              <w:t> </w:t>
            </w:r>
            <w:r w:rsidRPr="00A47492">
              <w:rPr>
                <w:color w:val="000000" w:themeColor="text1"/>
                <w:sz w:val="16"/>
                <w:szCs w:val="17"/>
              </w:rPr>
              <w:t>%</w:t>
            </w:r>
          </w:p>
        </w:tc>
        <w:tc>
          <w:tcPr>
            <w:tcW w:w="770" w:type="dxa"/>
            <w:vAlign w:val="center"/>
          </w:tcPr>
          <w:p w14:paraId="6C7D8BBE"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1 073 €</w:t>
            </w:r>
          </w:p>
        </w:tc>
        <w:tc>
          <w:tcPr>
            <w:tcW w:w="724" w:type="dxa"/>
            <w:vAlign w:val="center"/>
          </w:tcPr>
          <w:p w14:paraId="2766E56C"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1 773 €</w:t>
            </w:r>
          </w:p>
        </w:tc>
        <w:tc>
          <w:tcPr>
            <w:tcW w:w="608" w:type="dxa"/>
            <w:shd w:val="clear" w:color="auto" w:fill="F2C6C9"/>
            <w:vAlign w:val="center"/>
          </w:tcPr>
          <w:p w14:paraId="317C1B34" w14:textId="6C97B6A0"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165</w:t>
            </w:r>
            <w:r w:rsidR="00A47492">
              <w:rPr>
                <w:color w:val="000000" w:themeColor="text1"/>
                <w:sz w:val="16"/>
                <w:szCs w:val="17"/>
              </w:rPr>
              <w:t> </w:t>
            </w:r>
            <w:r w:rsidRPr="00A47492">
              <w:rPr>
                <w:color w:val="000000" w:themeColor="text1"/>
                <w:sz w:val="16"/>
                <w:szCs w:val="17"/>
              </w:rPr>
              <w:t>%</w:t>
            </w:r>
          </w:p>
        </w:tc>
        <w:tc>
          <w:tcPr>
            <w:tcW w:w="770" w:type="dxa"/>
            <w:vAlign w:val="center"/>
          </w:tcPr>
          <w:p w14:paraId="012C71DC"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1 388 €</w:t>
            </w:r>
          </w:p>
        </w:tc>
        <w:tc>
          <w:tcPr>
            <w:tcW w:w="724" w:type="dxa"/>
            <w:vAlign w:val="center"/>
          </w:tcPr>
          <w:p w14:paraId="2118C1D7" w14:textId="77777777"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1 440 €</w:t>
            </w:r>
          </w:p>
        </w:tc>
        <w:tc>
          <w:tcPr>
            <w:tcW w:w="624" w:type="dxa"/>
            <w:shd w:val="clear" w:color="auto" w:fill="F2C6C9"/>
            <w:vAlign w:val="center"/>
          </w:tcPr>
          <w:p w14:paraId="4DD1226F" w14:textId="6D623BF6" w:rsidR="005F05E8" w:rsidRPr="00A47492" w:rsidRDefault="005F05E8" w:rsidP="00CE0FC8">
            <w:pPr>
              <w:keepNext/>
              <w:spacing w:before="0"/>
              <w:jc w:val="right"/>
              <w:rPr>
                <w:color w:val="000000" w:themeColor="text1"/>
                <w:sz w:val="16"/>
                <w:szCs w:val="17"/>
              </w:rPr>
            </w:pPr>
            <w:r w:rsidRPr="00A47492">
              <w:rPr>
                <w:color w:val="000000" w:themeColor="text1"/>
                <w:sz w:val="16"/>
                <w:szCs w:val="17"/>
              </w:rPr>
              <w:t>104</w:t>
            </w:r>
            <w:r w:rsidR="006657DD">
              <w:rPr>
                <w:color w:val="000000" w:themeColor="text1"/>
                <w:sz w:val="16"/>
                <w:szCs w:val="17"/>
              </w:rPr>
              <w:t> </w:t>
            </w:r>
            <w:r w:rsidRPr="00A47492">
              <w:rPr>
                <w:color w:val="000000" w:themeColor="text1"/>
                <w:sz w:val="16"/>
                <w:szCs w:val="17"/>
              </w:rPr>
              <w:t>%</w:t>
            </w:r>
          </w:p>
        </w:tc>
        <w:tc>
          <w:tcPr>
            <w:tcW w:w="770" w:type="dxa"/>
            <w:vAlign w:val="center"/>
          </w:tcPr>
          <w:p w14:paraId="6B22CCAF"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3 155 €</w:t>
            </w:r>
          </w:p>
        </w:tc>
        <w:tc>
          <w:tcPr>
            <w:tcW w:w="724" w:type="dxa"/>
            <w:vAlign w:val="center"/>
          </w:tcPr>
          <w:p w14:paraId="31133B54" w14:textId="7777777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3 854 €</w:t>
            </w:r>
          </w:p>
        </w:tc>
        <w:tc>
          <w:tcPr>
            <w:tcW w:w="639" w:type="dxa"/>
            <w:shd w:val="clear" w:color="auto" w:fill="F2C6C9"/>
            <w:vAlign w:val="center"/>
          </w:tcPr>
          <w:p w14:paraId="49D7D2C4" w14:textId="4B09DDE7" w:rsidR="005F05E8" w:rsidRPr="00A47492" w:rsidRDefault="00806C43" w:rsidP="00CE0FC8">
            <w:pPr>
              <w:keepNext/>
              <w:spacing w:before="0"/>
              <w:jc w:val="right"/>
              <w:rPr>
                <w:color w:val="000000" w:themeColor="text1"/>
                <w:sz w:val="16"/>
                <w:szCs w:val="17"/>
              </w:rPr>
            </w:pPr>
            <w:r w:rsidRPr="00A47492">
              <w:rPr>
                <w:color w:val="000000" w:themeColor="text1"/>
                <w:sz w:val="16"/>
                <w:szCs w:val="17"/>
              </w:rPr>
              <w:t>122</w:t>
            </w:r>
            <w:r w:rsidR="006657DD">
              <w:rPr>
                <w:color w:val="000000" w:themeColor="text1"/>
                <w:sz w:val="16"/>
                <w:szCs w:val="17"/>
              </w:rPr>
              <w:t> </w:t>
            </w:r>
            <w:r w:rsidRPr="00A47492">
              <w:rPr>
                <w:color w:val="000000" w:themeColor="text1"/>
                <w:sz w:val="16"/>
                <w:szCs w:val="17"/>
              </w:rPr>
              <w:t>%</w:t>
            </w:r>
          </w:p>
        </w:tc>
      </w:tr>
    </w:tbl>
    <w:p w14:paraId="3DE89CB1" w14:textId="235FAC8B" w:rsidR="004E3B96" w:rsidRPr="004E3B96" w:rsidRDefault="00C55A12" w:rsidP="00F42131">
      <w:pPr>
        <w:spacing w:before="40"/>
        <w:rPr>
          <w:sz w:val="18"/>
          <w:szCs w:val="18"/>
        </w:rPr>
      </w:pPr>
      <w:r w:rsidRPr="00277B9A">
        <w:rPr>
          <w:b/>
          <w:sz w:val="18"/>
          <w:szCs w:val="18"/>
        </w:rPr>
        <w:t>Pozn</w:t>
      </w:r>
      <w:r w:rsidR="007E21C6">
        <w:rPr>
          <w:b/>
          <w:sz w:val="18"/>
          <w:szCs w:val="18"/>
        </w:rPr>
        <w:t>.</w:t>
      </w:r>
      <w:r w:rsidRPr="00277B9A">
        <w:rPr>
          <w:b/>
          <w:sz w:val="18"/>
          <w:szCs w:val="18"/>
        </w:rPr>
        <w:t>:</w:t>
      </w:r>
      <w:r w:rsidRPr="00884E81">
        <w:rPr>
          <w:sz w:val="18"/>
          <w:szCs w:val="18"/>
        </w:rPr>
        <w:t xml:space="preserve"> Ukazatele produkce a nákladů jsou přepočítány na jednu dobytčí jednotku</w:t>
      </w:r>
      <w:r w:rsidR="00277B9A">
        <w:rPr>
          <w:sz w:val="18"/>
          <w:szCs w:val="18"/>
        </w:rPr>
        <w:t>.</w:t>
      </w:r>
    </w:p>
    <w:p w14:paraId="1FD00E64" w14:textId="77777777" w:rsidR="004E3B96" w:rsidRDefault="004E3B96" w:rsidP="00F42131">
      <w:pPr>
        <w:spacing w:before="0"/>
      </w:pPr>
    </w:p>
    <w:p w14:paraId="0BC4CEE0" w14:textId="286B03F9" w:rsidR="004E3B96" w:rsidRPr="004E3B96" w:rsidRDefault="004E3B96" w:rsidP="00F42131">
      <w:pPr>
        <w:spacing w:before="0"/>
      </w:pPr>
      <w:r w:rsidRPr="004E3B96">
        <w:t xml:space="preserve">V tabulce </w:t>
      </w:r>
      <w:r w:rsidR="0019514A">
        <w:t>č. 4</w:t>
      </w:r>
      <w:r w:rsidRPr="004E3B96">
        <w:t xml:space="preserve"> je znázorněn vývoj produkce, nákladů a jejich poměr od roku 2004. Z analýzy těchto dat vyplývá, že nejméně rentabilní jsou podniky zaměřené na chov skotu, kde je poměr mezi výší celkové produkce a celkovými náklad</w:t>
      </w:r>
      <w:r w:rsidR="008A4D5D">
        <w:t>y</w:t>
      </w:r>
      <w:r w:rsidRPr="004E3B96">
        <w:t xml:space="preserve"> nejvyšší (165</w:t>
      </w:r>
      <w:r w:rsidR="00EA4C68">
        <w:t> </w:t>
      </w:r>
      <w:r w:rsidRPr="004E3B96">
        <w:t>%). Naopak u výrobního zaměření chov prasat a drůbeže je tento poměr nejnižší a pohybuje se kolem 10</w:t>
      </w:r>
      <w:r w:rsidR="00DA5A3C">
        <w:t>4</w:t>
      </w:r>
      <w:r w:rsidRPr="004E3B96">
        <w:t xml:space="preserve"> %. Z analýzy dat dále vyplynulo, že od roku 2010 </w:t>
      </w:r>
      <w:r w:rsidR="00DA5A3C">
        <w:t xml:space="preserve">se významně zvýšily </w:t>
      </w:r>
      <w:r w:rsidRPr="004E3B96">
        <w:t>celkové náklady u výrobních zaměření</w:t>
      </w:r>
      <w:r w:rsidR="00DA5A3C">
        <w:t xml:space="preserve"> produkce mléka a smíšená výroba.</w:t>
      </w:r>
    </w:p>
    <w:p w14:paraId="184111DD" w14:textId="77777777" w:rsidR="00DD1CD5" w:rsidRDefault="00DD1CD5" w:rsidP="00F42131">
      <w:pPr>
        <w:spacing w:before="0"/>
      </w:pPr>
    </w:p>
    <w:p w14:paraId="1356FE64" w14:textId="77777777" w:rsidR="00300CAF" w:rsidRDefault="00300CAF" w:rsidP="00F42131">
      <w:pPr>
        <w:spacing w:before="0"/>
        <w:rPr>
          <w:b/>
          <w:bCs/>
          <w:sz w:val="28"/>
          <w:szCs w:val="28"/>
        </w:rPr>
      </w:pPr>
      <w:r>
        <w:rPr>
          <w:b/>
          <w:bCs/>
          <w:sz w:val="28"/>
          <w:szCs w:val="28"/>
        </w:rPr>
        <w:br w:type="page"/>
      </w:r>
    </w:p>
    <w:p w14:paraId="0B69F129" w14:textId="77777777" w:rsidR="006C338D" w:rsidRDefault="004E3B96" w:rsidP="006C338D">
      <w:pPr>
        <w:widowControl w:val="0"/>
        <w:autoSpaceDE w:val="0"/>
        <w:autoSpaceDN w:val="0"/>
        <w:adjustRightInd w:val="0"/>
        <w:spacing w:after="120"/>
        <w:jc w:val="right"/>
        <w:rPr>
          <w:b/>
          <w:bCs/>
        </w:rPr>
      </w:pPr>
      <w:r w:rsidRPr="006C338D">
        <w:rPr>
          <w:b/>
          <w:bCs/>
        </w:rPr>
        <w:t>Příloha č. 1</w:t>
      </w:r>
    </w:p>
    <w:p w14:paraId="7A557986" w14:textId="77777777" w:rsidR="008B66FC" w:rsidRPr="008B66FC" w:rsidRDefault="008B66FC" w:rsidP="008B66FC">
      <w:pPr>
        <w:widowControl w:val="0"/>
        <w:autoSpaceDE w:val="0"/>
        <w:autoSpaceDN w:val="0"/>
        <w:adjustRightInd w:val="0"/>
        <w:spacing w:before="0"/>
        <w:rPr>
          <w:bCs/>
        </w:rPr>
      </w:pPr>
    </w:p>
    <w:p w14:paraId="3C23FC65" w14:textId="50C3619B" w:rsidR="004E3B96" w:rsidRPr="006C338D" w:rsidRDefault="00EA4C68" w:rsidP="008B66FC">
      <w:pPr>
        <w:widowControl w:val="0"/>
        <w:autoSpaceDE w:val="0"/>
        <w:autoSpaceDN w:val="0"/>
        <w:adjustRightInd w:val="0"/>
        <w:spacing w:before="0"/>
        <w:rPr>
          <w:b/>
          <w:bCs/>
        </w:rPr>
      </w:pPr>
      <w:r>
        <w:rPr>
          <w:b/>
          <w:bCs/>
        </w:rPr>
        <w:t>D</w:t>
      </w:r>
      <w:r w:rsidR="00821AEC" w:rsidRPr="006C338D">
        <w:rPr>
          <w:b/>
          <w:bCs/>
        </w:rPr>
        <w:t xml:space="preserve">atová příloha </w:t>
      </w:r>
      <w:r>
        <w:rPr>
          <w:b/>
          <w:bCs/>
        </w:rPr>
        <w:t xml:space="preserve">ke </w:t>
      </w:r>
      <w:r w:rsidR="00821AEC" w:rsidRPr="006C338D">
        <w:rPr>
          <w:b/>
          <w:bCs/>
        </w:rPr>
        <w:t xml:space="preserve">KZ 18/08 </w:t>
      </w:r>
      <w:r>
        <w:rPr>
          <w:b/>
          <w:bCs/>
        </w:rPr>
        <w:t xml:space="preserve">– </w:t>
      </w:r>
      <w:r w:rsidR="00D34086" w:rsidRPr="006C338D">
        <w:rPr>
          <w:b/>
          <w:bCs/>
        </w:rPr>
        <w:t>ŽIVOČIŠNÁ VÝROBA</w:t>
      </w:r>
    </w:p>
    <w:p w14:paraId="4B968C20" w14:textId="5AC87F65" w:rsidR="008B66FC" w:rsidRDefault="00672DD0" w:rsidP="008B66FC">
      <w:pPr>
        <w:widowControl w:val="0"/>
        <w:autoSpaceDE w:val="0"/>
        <w:autoSpaceDN w:val="0"/>
        <w:adjustRightInd w:val="0"/>
        <w:spacing w:before="0"/>
      </w:pPr>
      <w:r>
        <w:rPr>
          <w:bCs/>
        </w:rPr>
        <w:t xml:space="preserve">(Viz také odkaz </w:t>
      </w:r>
      <w:hyperlink r:id="rId18" w:history="1">
        <w:r>
          <w:rPr>
            <w:rStyle w:val="Hypertextovodkaz"/>
          </w:rPr>
          <w:t>https://www.nku.cz/scripts/detail.php?id=10222</w:t>
        </w:r>
      </w:hyperlink>
      <w:r>
        <w:rPr>
          <w:rStyle w:val="Hypertextovodkaz"/>
          <w:color w:val="000000" w:themeColor="text1"/>
          <w:u w:val="none"/>
        </w:rPr>
        <w:t>.</w:t>
      </w:r>
      <w:r w:rsidRPr="0071578F">
        <w:rPr>
          <w:rStyle w:val="Hypertextovodkaz"/>
          <w:u w:val="none"/>
        </w:rPr>
        <w:t>)</w:t>
      </w:r>
    </w:p>
    <w:p w14:paraId="3A7E9491" w14:textId="77777777" w:rsidR="00672DD0" w:rsidRDefault="00672DD0" w:rsidP="008B66FC">
      <w:pPr>
        <w:widowControl w:val="0"/>
        <w:autoSpaceDE w:val="0"/>
        <w:autoSpaceDN w:val="0"/>
        <w:adjustRightInd w:val="0"/>
        <w:spacing w:before="0"/>
      </w:pPr>
    </w:p>
    <w:p w14:paraId="698A94DE" w14:textId="2D99D777" w:rsidR="00300CAF" w:rsidRDefault="004E3B96" w:rsidP="008B66FC">
      <w:pPr>
        <w:widowControl w:val="0"/>
        <w:autoSpaceDE w:val="0"/>
        <w:autoSpaceDN w:val="0"/>
        <w:adjustRightInd w:val="0"/>
        <w:spacing w:before="0"/>
      </w:pPr>
      <w:r w:rsidRPr="006C338D">
        <w:t>NKÚ provedl analýzu dat týkající</w:t>
      </w:r>
      <w:r w:rsidR="000D7BB8" w:rsidRPr="006C338D">
        <w:t>ch</w:t>
      </w:r>
      <w:r w:rsidRPr="006C338D">
        <w:t xml:space="preserve"> se živočišné výroby z</w:t>
      </w:r>
      <w:r w:rsidR="00300CAF" w:rsidRPr="006C338D">
        <w:t>e</w:t>
      </w:r>
      <w:r w:rsidR="006C338D">
        <w:t xml:space="preserve"> </w:t>
      </w:r>
      <w:r w:rsidRPr="0071578F">
        <w:rPr>
          <w:i/>
        </w:rPr>
        <w:t>Zemědělské účetní datové sítě FADN</w:t>
      </w:r>
      <w:r w:rsidRPr="006C338D">
        <w:t>. Tato síť hraje roli hlavního informačního zdroje Evropské komise o reálné ekonomické situaci zemědělských podniků. Data ze sítě FADN pochází z výběrového šetření podnikatelských subjektů v zemědělství a zahrnuje každoročně cca 1</w:t>
      </w:r>
      <w:r w:rsidR="00EA4C68">
        <w:t> </w:t>
      </w:r>
      <w:r w:rsidRPr="006C338D">
        <w:t xml:space="preserve">400 podniků z České republiky. </w:t>
      </w:r>
      <w:r w:rsidR="00C21F55" w:rsidRPr="006C338D">
        <w:rPr>
          <w:bCs/>
        </w:rPr>
        <w:t>Podniky jsou rozčleněny dle jednotlivých výrobních zaměření</w:t>
      </w:r>
      <w:r w:rsidR="00925FEF" w:rsidRPr="006C338D">
        <w:rPr>
          <w:bCs/>
        </w:rPr>
        <w:t xml:space="preserve"> a jejich velikosti.</w:t>
      </w:r>
      <w:r w:rsidR="005B4E98" w:rsidRPr="006C338D">
        <w:rPr>
          <w:bCs/>
        </w:rPr>
        <w:t xml:space="preserve"> </w:t>
      </w:r>
      <w:r w:rsidR="005B4E98" w:rsidRPr="006C338D">
        <w:t>Sestavení plánu výběru podniků vyplývá z legislativy a metodik E</w:t>
      </w:r>
      <w:r w:rsidR="00357738" w:rsidRPr="006C338D">
        <w:t>vropské komise</w:t>
      </w:r>
      <w:r w:rsidR="005B4E98" w:rsidRPr="006C338D">
        <w:t>.</w:t>
      </w:r>
      <w:r w:rsidR="006C338D">
        <w:t xml:space="preserve"> </w:t>
      </w:r>
      <w:r w:rsidR="005B4E98" w:rsidRPr="006C338D">
        <w:t>Pro účely výběrových šetření je zaveden speciální klasifikační systém zemědělských podniků, který umožňuje zařadit každý podnik podle jeho ekonomické velikosti</w:t>
      </w:r>
      <w:r w:rsidR="00925FEF" w:rsidRPr="006C338D">
        <w:t xml:space="preserve"> (čtyři třídy)</w:t>
      </w:r>
      <w:r w:rsidR="005B4E98" w:rsidRPr="006C338D">
        <w:t xml:space="preserve"> a podle</w:t>
      </w:r>
      <w:r w:rsidR="00357738" w:rsidRPr="006C338D">
        <w:t xml:space="preserve"> jeho</w:t>
      </w:r>
      <w:r w:rsidR="005B4E98" w:rsidRPr="006C338D">
        <w:t xml:space="preserve"> specializace stanovit typ výrobního zaměření. V České republice tvoří podniky malé ekonomické velikosti třídy zhruba 15 % výběrového souboru, podniky střední velikosti </w:t>
      </w:r>
      <w:r w:rsidR="00925FEF" w:rsidRPr="006C338D">
        <w:t>tvoří</w:t>
      </w:r>
      <w:r w:rsidR="00A03EFC" w:rsidRPr="006C338D">
        <w:t xml:space="preserve"> 30 </w:t>
      </w:r>
      <w:r w:rsidR="005B4E98" w:rsidRPr="006C338D">
        <w:t>%, podniky velké velikosti jsou zastoupeny 25 % a největší podniky představují 30 %.</w:t>
      </w:r>
    </w:p>
    <w:p w14:paraId="047E0269" w14:textId="77777777" w:rsidR="008B66FC" w:rsidRPr="006C338D" w:rsidRDefault="008B66FC" w:rsidP="008B66FC">
      <w:pPr>
        <w:widowControl w:val="0"/>
        <w:autoSpaceDE w:val="0"/>
        <w:autoSpaceDN w:val="0"/>
        <w:adjustRightInd w:val="0"/>
        <w:spacing w:before="0"/>
      </w:pPr>
    </w:p>
    <w:p w14:paraId="712F2FFD" w14:textId="77777777" w:rsidR="004E3B96" w:rsidRPr="006C338D" w:rsidRDefault="00925FEF" w:rsidP="008B66FC">
      <w:pPr>
        <w:widowControl w:val="0"/>
        <w:autoSpaceDE w:val="0"/>
        <w:autoSpaceDN w:val="0"/>
        <w:adjustRightInd w:val="0"/>
        <w:spacing w:before="0"/>
      </w:pPr>
      <w:r w:rsidRPr="006C338D">
        <w:t>NKÚ použil p</w:t>
      </w:r>
      <w:r w:rsidR="004E3B96" w:rsidRPr="006C338D">
        <w:t>ro analýzu tyto ukazatele</w:t>
      </w:r>
      <w:r w:rsidR="00B32003" w:rsidRPr="006C338D">
        <w:t xml:space="preserve"> týkající se jednotlivých zemědělských podniků</w:t>
      </w:r>
      <w:r w:rsidR="004E3B96" w:rsidRPr="006C338D">
        <w:t xml:space="preserve">: </w:t>
      </w:r>
    </w:p>
    <w:p w14:paraId="3A50DF71" w14:textId="77777777" w:rsidR="00821AEC" w:rsidRPr="006C338D" w:rsidRDefault="00821AEC" w:rsidP="008B66FC">
      <w:pPr>
        <w:widowControl w:val="0"/>
        <w:autoSpaceDE w:val="0"/>
        <w:autoSpaceDN w:val="0"/>
        <w:adjustRightInd w:val="0"/>
        <w:spacing w:before="0"/>
        <w:ind w:left="284"/>
      </w:pPr>
      <w:r w:rsidRPr="006C338D">
        <w:rPr>
          <w:b/>
        </w:rPr>
        <w:t>SE</w:t>
      </w:r>
      <w:r w:rsidR="00323292" w:rsidRPr="006C338D">
        <w:rPr>
          <w:b/>
        </w:rPr>
        <w:t xml:space="preserve"> </w:t>
      </w:r>
      <w:r w:rsidRPr="006C338D">
        <w:rPr>
          <w:b/>
        </w:rPr>
        <w:t>020 Vstup pracovní síly celkem</w:t>
      </w:r>
      <w:r w:rsidRPr="006C338D">
        <w:t xml:space="preserve"> – suma odpracovaných hodin placených pracovníků</w:t>
      </w:r>
      <w:r w:rsidR="00EA4C68">
        <w:t>.</w:t>
      </w:r>
    </w:p>
    <w:p w14:paraId="4B98C67F" w14:textId="77777777" w:rsidR="004E3B96" w:rsidRPr="006C338D" w:rsidRDefault="004E3B96"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080 Dobytčí jednotky celkem</w:t>
      </w:r>
      <w:r w:rsidRPr="006C338D">
        <w:t xml:space="preserve"> – průměrný roční počet hospodářských zvířat přepočtený na dobytčí jednotku dle metodiky EU.</w:t>
      </w:r>
    </w:p>
    <w:p w14:paraId="3F03C4D0" w14:textId="77777777" w:rsidR="00821AEC" w:rsidRPr="006C338D" w:rsidRDefault="00821AEC"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 xml:space="preserve">131 Celková </w:t>
      </w:r>
      <w:r w:rsidR="002F15F1" w:rsidRPr="006C338D">
        <w:rPr>
          <w:b/>
          <w:bCs/>
        </w:rPr>
        <w:t xml:space="preserve">zemědělská </w:t>
      </w:r>
      <w:r w:rsidRPr="006C338D">
        <w:rPr>
          <w:b/>
          <w:bCs/>
        </w:rPr>
        <w:t>produkce</w:t>
      </w:r>
      <w:r w:rsidRPr="006C338D">
        <w:t xml:space="preserve"> </w:t>
      </w:r>
      <w:r w:rsidR="00D91BA0">
        <w:t>–</w:t>
      </w:r>
      <w:r w:rsidRPr="006C338D">
        <w:t xml:space="preserve"> souhrn živočišné, rostlinné a ostatní produkce.</w:t>
      </w:r>
    </w:p>
    <w:p w14:paraId="0EA22EC4" w14:textId="77777777" w:rsidR="004E3B96" w:rsidRPr="006C338D" w:rsidRDefault="004E3B96"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270 Celkové náklady</w:t>
      </w:r>
      <w:r w:rsidRPr="006C338D">
        <w:t xml:space="preserve"> – ukazatel tvořen součtem </w:t>
      </w:r>
      <w:r w:rsidR="000D6ED2" w:rsidRPr="006C338D">
        <w:t>přímých</w:t>
      </w:r>
      <w:r w:rsidRPr="006C338D">
        <w:t xml:space="preserve"> nákladů, režijních nákladů, odpisy a externími faktory.</w:t>
      </w:r>
    </w:p>
    <w:p w14:paraId="7EE8C873" w14:textId="77777777" w:rsidR="005B68FE" w:rsidRPr="006C338D" w:rsidRDefault="005B68FE" w:rsidP="008B66FC">
      <w:pPr>
        <w:widowControl w:val="0"/>
        <w:autoSpaceDE w:val="0"/>
        <w:autoSpaceDN w:val="0"/>
        <w:adjustRightInd w:val="0"/>
        <w:spacing w:before="0"/>
        <w:ind w:left="284"/>
      </w:pPr>
      <w:r w:rsidRPr="006C338D">
        <w:rPr>
          <w:b/>
        </w:rPr>
        <w:t>SE</w:t>
      </w:r>
      <w:r w:rsidR="00323292" w:rsidRPr="006C338D">
        <w:rPr>
          <w:b/>
        </w:rPr>
        <w:t xml:space="preserve"> </w:t>
      </w:r>
      <w:r w:rsidRPr="006C338D">
        <w:rPr>
          <w:b/>
        </w:rPr>
        <w:t>405 Saldo investičních dotací a daní</w:t>
      </w:r>
      <w:r w:rsidRPr="006C338D">
        <w:t xml:space="preserve"> – tvořen součtem</w:t>
      </w:r>
      <w:r w:rsidR="00277B9A" w:rsidRPr="006C338D">
        <w:t xml:space="preserve"> investičních dotací sníženým o </w:t>
      </w:r>
      <w:r w:rsidRPr="006C338D">
        <w:t xml:space="preserve">odpočet DPH z investic. </w:t>
      </w:r>
    </w:p>
    <w:p w14:paraId="435EED45" w14:textId="77777777" w:rsidR="004E3B96" w:rsidRPr="006C338D" w:rsidRDefault="004E3B96"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410 Hrubá přidaná hodnota</w:t>
      </w:r>
      <w:r w:rsidRPr="006C338D">
        <w:t xml:space="preserve"> – </w:t>
      </w:r>
      <w:r w:rsidR="00687F71" w:rsidRPr="006C338D">
        <w:t xml:space="preserve">je </w:t>
      </w:r>
      <w:r w:rsidRPr="006C338D">
        <w:t>definována jako rozdíl mezi celkovou zemědělskou produkcí (živočišná, rostlinná a ostatní produkce) a výrobní spotřebou (</w:t>
      </w:r>
      <w:r w:rsidR="001941E0" w:rsidRPr="006C338D">
        <w:t xml:space="preserve">přímé </w:t>
      </w:r>
      <w:r w:rsidRPr="006C338D">
        <w:t>a režijní náklady). Do hodnoty produkce je započten</w:t>
      </w:r>
      <w:r w:rsidR="00687F71" w:rsidRPr="006C338D">
        <w:t>o</w:t>
      </w:r>
      <w:r w:rsidRPr="006C338D">
        <w:t xml:space="preserve"> </w:t>
      </w:r>
      <w:r w:rsidR="00687F71" w:rsidRPr="006C338D">
        <w:t>saldo</w:t>
      </w:r>
      <w:r w:rsidRPr="006C338D">
        <w:t xml:space="preserve"> provozních dotací a daní.</w:t>
      </w:r>
    </w:p>
    <w:p w14:paraId="2BC155E5" w14:textId="77777777" w:rsidR="004E3B96" w:rsidRPr="006C338D" w:rsidRDefault="004E3B96"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 xml:space="preserve">415 Čistá přidaná hodnota </w:t>
      </w:r>
      <w:r w:rsidRPr="006C338D">
        <w:t>– tento ukazatel je stanov</w:t>
      </w:r>
      <w:r w:rsidR="00277B9A" w:rsidRPr="006C338D">
        <w:t>en z hodnoty celkové produkce a </w:t>
      </w:r>
      <w:r w:rsidRPr="006C338D">
        <w:t>všech provozních podpor, od které jsou odečteny všechny náklady kromě nákladů na externí faktory, tj. kromě mzdových nákladů, pachtovného, nájemného budov a úroků z úvěrů. Čistá přidaná hodnota tedy představuje zdroje podniku na pokrytí nákladů z výrobních faktorů.</w:t>
      </w:r>
    </w:p>
    <w:p w14:paraId="33090643" w14:textId="77777777" w:rsidR="004E3B96" w:rsidRPr="006C338D" w:rsidRDefault="004E3B96"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420 Důchod ze zemědělské činnosti</w:t>
      </w:r>
      <w:r w:rsidRPr="006C338D">
        <w:t xml:space="preserve"> – vyjadřuje zisk, případně ztrátu</w:t>
      </w:r>
      <w:r w:rsidR="00EA4C68">
        <w:t>,</w:t>
      </w:r>
      <w:r w:rsidRPr="006C338D">
        <w:t xml:space="preserve"> a je vyjádřen jako čistá přidaná hodnota po odečtení nákladů na externí faktory (mzdové náklady, pachtovné, nájemné budov a nákladové úroky) a přičtení investičních dotací.</w:t>
      </w:r>
    </w:p>
    <w:p w14:paraId="7C420A88" w14:textId="77777777" w:rsidR="00821AEC" w:rsidRPr="006C338D" w:rsidRDefault="004E3B96" w:rsidP="008B66FC">
      <w:pPr>
        <w:widowControl w:val="0"/>
        <w:autoSpaceDE w:val="0"/>
        <w:autoSpaceDN w:val="0"/>
        <w:adjustRightInd w:val="0"/>
        <w:spacing w:before="0"/>
        <w:ind w:left="284"/>
      </w:pPr>
      <w:r w:rsidRPr="006C338D">
        <w:rPr>
          <w:b/>
          <w:bCs/>
        </w:rPr>
        <w:t>SE</w:t>
      </w:r>
      <w:r w:rsidR="00323292" w:rsidRPr="006C338D">
        <w:rPr>
          <w:b/>
          <w:bCs/>
        </w:rPr>
        <w:t xml:space="preserve"> </w:t>
      </w:r>
      <w:r w:rsidRPr="006C338D">
        <w:rPr>
          <w:b/>
          <w:bCs/>
        </w:rPr>
        <w:t xml:space="preserve">600 </w:t>
      </w:r>
      <w:r w:rsidR="00431DB6" w:rsidRPr="006C338D">
        <w:rPr>
          <w:b/>
          <w:bCs/>
        </w:rPr>
        <w:t>Saldo</w:t>
      </w:r>
      <w:r w:rsidRPr="006C338D">
        <w:rPr>
          <w:b/>
          <w:bCs/>
        </w:rPr>
        <w:t xml:space="preserve"> provozních dotací a daní</w:t>
      </w:r>
      <w:r w:rsidRPr="006C338D">
        <w:t xml:space="preserve"> – tvořen</w:t>
      </w:r>
      <w:r w:rsidR="00B40373" w:rsidRPr="006C338D">
        <w:t>o</w:t>
      </w:r>
      <w:r w:rsidRPr="006C338D">
        <w:t xml:space="preserve"> součtem provozních dotací</w:t>
      </w:r>
      <w:r w:rsidR="001941E0" w:rsidRPr="006C338D">
        <w:t xml:space="preserve"> a saldem DPH,</w:t>
      </w:r>
      <w:r w:rsidRPr="006C338D">
        <w:t xml:space="preserve"> sníženým </w:t>
      </w:r>
      <w:r w:rsidR="001941E0" w:rsidRPr="006C338D">
        <w:t xml:space="preserve">o daně. </w:t>
      </w:r>
    </w:p>
    <w:p w14:paraId="0C9B0D94" w14:textId="77777777" w:rsidR="008B66FC" w:rsidRDefault="00AE02AE" w:rsidP="008B66FC">
      <w:pPr>
        <w:widowControl w:val="0"/>
        <w:autoSpaceDE w:val="0"/>
        <w:autoSpaceDN w:val="0"/>
        <w:adjustRightInd w:val="0"/>
        <w:spacing w:before="0"/>
        <w:ind w:left="284"/>
      </w:pPr>
      <w:r w:rsidRPr="006C338D">
        <w:rPr>
          <w:b/>
        </w:rPr>
        <w:t xml:space="preserve">Provozní dotace </w:t>
      </w:r>
      <w:r w:rsidRPr="006C338D">
        <w:t>– součet provozní</w:t>
      </w:r>
      <w:r w:rsidR="00EA4C68">
        <w:t>ch</w:t>
      </w:r>
      <w:r w:rsidRPr="006C338D">
        <w:t xml:space="preserve"> dotací</w:t>
      </w:r>
      <w:r w:rsidR="00EA4C68">
        <w:t>.</w:t>
      </w:r>
      <w:r w:rsidRPr="008B66FC">
        <w:t xml:space="preserve"> </w:t>
      </w:r>
    </w:p>
    <w:p w14:paraId="33649825" w14:textId="77777777" w:rsidR="00AE02AE" w:rsidRPr="006C338D" w:rsidRDefault="00C81676" w:rsidP="008B66FC">
      <w:pPr>
        <w:widowControl w:val="0"/>
        <w:autoSpaceDE w:val="0"/>
        <w:autoSpaceDN w:val="0"/>
        <w:adjustRightInd w:val="0"/>
        <w:spacing w:before="0"/>
        <w:ind w:left="284"/>
      </w:pPr>
      <w:r w:rsidRPr="006C338D">
        <w:rPr>
          <w:b/>
          <w:bCs/>
        </w:rPr>
        <w:t>Rozdíl</w:t>
      </w:r>
      <w:r w:rsidR="00821AEC" w:rsidRPr="006C338D">
        <w:rPr>
          <w:b/>
          <w:bCs/>
        </w:rPr>
        <w:t xml:space="preserve"> celkové</w:t>
      </w:r>
      <w:r w:rsidRPr="006C338D">
        <w:rPr>
          <w:b/>
          <w:bCs/>
        </w:rPr>
        <w:t xml:space="preserve"> produkce a</w:t>
      </w:r>
      <w:r w:rsidR="00821AEC" w:rsidRPr="006C338D">
        <w:rPr>
          <w:b/>
          <w:bCs/>
        </w:rPr>
        <w:t xml:space="preserve"> celkových </w:t>
      </w:r>
      <w:r w:rsidRPr="006C338D">
        <w:rPr>
          <w:b/>
          <w:bCs/>
        </w:rPr>
        <w:t>nákladů</w:t>
      </w:r>
      <w:r w:rsidRPr="006C338D">
        <w:rPr>
          <w:bCs/>
        </w:rPr>
        <w:t xml:space="preserve"> – kladný ukazatel značí, že produkce byla vyšší než náklady.</w:t>
      </w:r>
    </w:p>
    <w:p w14:paraId="352D91D1" w14:textId="77777777" w:rsidR="00300CAF" w:rsidRDefault="00300CAF" w:rsidP="008B66FC">
      <w:pPr>
        <w:spacing w:before="0"/>
        <w:rPr>
          <w:bCs/>
        </w:rPr>
      </w:pPr>
    </w:p>
    <w:p w14:paraId="303FD89E" w14:textId="77777777" w:rsidR="00F02A10" w:rsidRPr="002F15F1" w:rsidRDefault="00323292" w:rsidP="008B66FC">
      <w:pPr>
        <w:spacing w:before="0"/>
        <w:rPr>
          <w:bCs/>
          <w:sz w:val="18"/>
          <w:szCs w:val="18"/>
        </w:rPr>
      </w:pPr>
      <w:r>
        <w:rPr>
          <w:bCs/>
          <w:noProof/>
          <w:lang w:eastAsia="cs-CZ"/>
        </w:rPr>
        <w:drawing>
          <wp:anchor distT="0" distB="0" distL="114300" distR="114300" simplePos="0" relativeHeight="251662336" behindDoc="0" locked="0" layoutInCell="1" allowOverlap="1" wp14:anchorId="52DCF364" wp14:editId="01722BDB">
            <wp:simplePos x="0" y="0"/>
            <wp:positionH relativeFrom="column">
              <wp:posOffset>-660</wp:posOffset>
            </wp:positionH>
            <wp:positionV relativeFrom="paragraph">
              <wp:posOffset>610</wp:posOffset>
            </wp:positionV>
            <wp:extent cx="5759450" cy="4072890"/>
            <wp:effectExtent l="0" t="0" r="0" b="381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dvozeni ukazatelu eko (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0" cy="4072890"/>
                    </a:xfrm>
                    <a:prstGeom prst="rect">
                      <a:avLst/>
                    </a:prstGeom>
                  </pic:spPr>
                </pic:pic>
              </a:graphicData>
            </a:graphic>
            <wp14:sizeRelH relativeFrom="page">
              <wp14:pctWidth>0</wp14:pctWidth>
            </wp14:sizeRelH>
            <wp14:sizeRelV relativeFrom="page">
              <wp14:pctHeight>0</wp14:pctHeight>
            </wp14:sizeRelV>
          </wp:anchor>
        </w:drawing>
      </w:r>
      <w:r w:rsidR="002F15F1" w:rsidRPr="00277B9A">
        <w:rPr>
          <w:b/>
          <w:bCs/>
          <w:sz w:val="18"/>
          <w:szCs w:val="18"/>
        </w:rPr>
        <w:t>Z</w:t>
      </w:r>
      <w:r w:rsidR="00F02A10" w:rsidRPr="00277B9A">
        <w:rPr>
          <w:b/>
          <w:bCs/>
          <w:sz w:val="18"/>
          <w:szCs w:val="18"/>
        </w:rPr>
        <w:t>droj</w:t>
      </w:r>
      <w:r w:rsidR="002F15F1" w:rsidRPr="00277B9A">
        <w:rPr>
          <w:b/>
          <w:bCs/>
          <w:sz w:val="18"/>
          <w:szCs w:val="18"/>
        </w:rPr>
        <w:t>:</w:t>
      </w:r>
      <w:r w:rsidR="002F15F1" w:rsidRPr="002F15F1">
        <w:rPr>
          <w:bCs/>
          <w:sz w:val="18"/>
          <w:szCs w:val="18"/>
        </w:rPr>
        <w:t xml:space="preserve"> FADN ČR</w:t>
      </w:r>
      <w:r w:rsidR="00DF3C20">
        <w:rPr>
          <w:bCs/>
          <w:sz w:val="18"/>
          <w:szCs w:val="18"/>
        </w:rPr>
        <w:t>.</w:t>
      </w:r>
    </w:p>
    <w:p w14:paraId="1C65E923" w14:textId="77777777" w:rsidR="008B66FC" w:rsidRDefault="008B66FC" w:rsidP="008B66FC">
      <w:pPr>
        <w:widowControl w:val="0"/>
        <w:autoSpaceDE w:val="0"/>
        <w:autoSpaceDN w:val="0"/>
        <w:adjustRightInd w:val="0"/>
        <w:spacing w:before="0"/>
        <w:rPr>
          <w:bCs/>
        </w:rPr>
      </w:pPr>
    </w:p>
    <w:p w14:paraId="0CAD9EFD" w14:textId="77777777" w:rsidR="00C55A12" w:rsidRDefault="00300CAF" w:rsidP="008B66FC">
      <w:pPr>
        <w:widowControl w:val="0"/>
        <w:autoSpaceDE w:val="0"/>
        <w:autoSpaceDN w:val="0"/>
        <w:adjustRightInd w:val="0"/>
        <w:spacing w:before="0"/>
        <w:rPr>
          <w:bCs/>
        </w:rPr>
      </w:pPr>
      <w:r>
        <w:rPr>
          <w:bCs/>
        </w:rPr>
        <w:t>Zpr</w:t>
      </w:r>
      <w:r w:rsidR="00277B9A">
        <w:rPr>
          <w:bCs/>
        </w:rPr>
        <w:t>acovaná data se týkají let 2004–</w:t>
      </w:r>
      <w:r>
        <w:rPr>
          <w:bCs/>
        </w:rPr>
        <w:t>2016.</w:t>
      </w:r>
      <w:r w:rsidR="00C21F55">
        <w:rPr>
          <w:bCs/>
        </w:rPr>
        <w:t xml:space="preserve"> </w:t>
      </w:r>
      <w:r>
        <w:rPr>
          <w:bCs/>
        </w:rPr>
        <w:t xml:space="preserve">Analýza obsahuje data z evropské </w:t>
      </w:r>
      <w:r w:rsidR="00687F71">
        <w:rPr>
          <w:bCs/>
        </w:rPr>
        <w:t xml:space="preserve">části FADN, která jsou podkladem pro </w:t>
      </w:r>
      <w:r w:rsidR="00C21F55">
        <w:rPr>
          <w:bCs/>
        </w:rPr>
        <w:t>srovnání mezi jednotlivými</w:t>
      </w:r>
      <w:r w:rsidR="007533E3">
        <w:rPr>
          <w:bCs/>
        </w:rPr>
        <w:t xml:space="preserve"> členskými</w:t>
      </w:r>
      <w:r w:rsidR="00C21F55">
        <w:rPr>
          <w:bCs/>
        </w:rPr>
        <w:t xml:space="preserve"> státy</w:t>
      </w:r>
      <w:r w:rsidR="00687F6E">
        <w:rPr>
          <w:bCs/>
        </w:rPr>
        <w:t xml:space="preserve"> EU</w:t>
      </w:r>
      <w:r w:rsidR="00277B9A">
        <w:rPr>
          <w:bCs/>
        </w:rPr>
        <w:t xml:space="preserve"> či mezi členským státem a </w:t>
      </w:r>
      <w:r w:rsidR="00C21F55">
        <w:rPr>
          <w:bCs/>
        </w:rPr>
        <w:t xml:space="preserve">průměrem EU. </w:t>
      </w:r>
      <w:r w:rsidR="0081622A">
        <w:rPr>
          <w:bCs/>
        </w:rPr>
        <w:t>Data jsou sbírána a zpracována za použití jednotné metodiky v celé Evropské unii</w:t>
      </w:r>
      <w:r w:rsidR="000861CF">
        <w:rPr>
          <w:rStyle w:val="Znakapoznpodarou"/>
          <w:bCs/>
        </w:rPr>
        <w:footnoteReference w:id="18"/>
      </w:r>
      <w:r w:rsidR="0081622A">
        <w:rPr>
          <w:bCs/>
        </w:rPr>
        <w:t xml:space="preserve">. </w:t>
      </w:r>
    </w:p>
    <w:p w14:paraId="7BB8F705" w14:textId="77777777" w:rsidR="008B66FC" w:rsidRDefault="008B66FC" w:rsidP="008B66FC">
      <w:pPr>
        <w:widowControl w:val="0"/>
        <w:autoSpaceDE w:val="0"/>
        <w:autoSpaceDN w:val="0"/>
        <w:adjustRightInd w:val="0"/>
        <w:spacing w:before="0"/>
        <w:rPr>
          <w:bCs/>
        </w:rPr>
      </w:pPr>
    </w:p>
    <w:p w14:paraId="01E973FB" w14:textId="3B58E27C" w:rsidR="00726E96" w:rsidRDefault="00726E96" w:rsidP="008B66FC">
      <w:pPr>
        <w:spacing w:before="0"/>
        <w:rPr>
          <w:bCs/>
        </w:rPr>
      </w:pPr>
      <w:r>
        <w:rPr>
          <w:bCs/>
        </w:rPr>
        <w:t>V</w:t>
      </w:r>
      <w:r w:rsidR="00267FB7">
        <w:rPr>
          <w:bCs/>
        </w:rPr>
        <w:t> datové příloze</w:t>
      </w:r>
      <w:r w:rsidR="00846E07">
        <w:rPr>
          <w:bCs/>
        </w:rPr>
        <w:t xml:space="preserve"> jsou</w:t>
      </w:r>
      <w:r>
        <w:rPr>
          <w:bCs/>
        </w:rPr>
        <w:t xml:space="preserve"> </w:t>
      </w:r>
      <w:r w:rsidR="00B32003">
        <w:rPr>
          <w:bCs/>
        </w:rPr>
        <w:t xml:space="preserve">graficky zobrazeny </w:t>
      </w:r>
      <w:r>
        <w:rPr>
          <w:bCs/>
        </w:rPr>
        <w:t xml:space="preserve">hodnoty ukazatelů </w:t>
      </w:r>
      <w:r w:rsidR="00267FB7">
        <w:rPr>
          <w:bCs/>
        </w:rPr>
        <w:t>„</w:t>
      </w:r>
      <w:r w:rsidR="005D3B15" w:rsidRPr="0071578F">
        <w:rPr>
          <w:bCs/>
          <w:i/>
        </w:rPr>
        <w:t>s</w:t>
      </w:r>
      <w:r w:rsidR="00821AEC" w:rsidRPr="0071578F">
        <w:rPr>
          <w:bCs/>
          <w:i/>
        </w:rPr>
        <w:t>aldo</w:t>
      </w:r>
      <w:r w:rsidRPr="0071578F">
        <w:rPr>
          <w:bCs/>
          <w:i/>
        </w:rPr>
        <w:t xml:space="preserve"> provozních dotací a daní</w:t>
      </w:r>
      <w:r w:rsidR="00267FB7">
        <w:rPr>
          <w:bCs/>
        </w:rPr>
        <w:t>“</w:t>
      </w:r>
      <w:r>
        <w:rPr>
          <w:bCs/>
        </w:rPr>
        <w:t xml:space="preserve">, </w:t>
      </w:r>
      <w:r w:rsidR="00267FB7">
        <w:rPr>
          <w:bCs/>
        </w:rPr>
        <w:t>„</w:t>
      </w:r>
      <w:r w:rsidR="005D3B15" w:rsidRPr="0071578F">
        <w:rPr>
          <w:bCs/>
          <w:i/>
        </w:rPr>
        <w:t>s</w:t>
      </w:r>
      <w:r w:rsidR="00AE02AE" w:rsidRPr="0071578F">
        <w:rPr>
          <w:bCs/>
          <w:i/>
        </w:rPr>
        <w:t>aldo</w:t>
      </w:r>
      <w:r w:rsidRPr="0071578F">
        <w:rPr>
          <w:bCs/>
          <w:i/>
        </w:rPr>
        <w:t xml:space="preserve"> investičních daní a dotací</w:t>
      </w:r>
      <w:r w:rsidR="00267FB7">
        <w:rPr>
          <w:bCs/>
        </w:rPr>
        <w:t>“</w:t>
      </w:r>
      <w:r>
        <w:rPr>
          <w:bCs/>
        </w:rPr>
        <w:t xml:space="preserve">, </w:t>
      </w:r>
      <w:r w:rsidR="00267FB7">
        <w:rPr>
          <w:bCs/>
        </w:rPr>
        <w:t>„</w:t>
      </w:r>
      <w:r w:rsidR="005D3B15" w:rsidRPr="0071578F">
        <w:rPr>
          <w:bCs/>
          <w:i/>
        </w:rPr>
        <w:t>c</w:t>
      </w:r>
      <w:r w:rsidRPr="0071578F">
        <w:rPr>
          <w:bCs/>
          <w:i/>
        </w:rPr>
        <w:t>elkov</w:t>
      </w:r>
      <w:r w:rsidR="00267FB7" w:rsidRPr="0071578F">
        <w:rPr>
          <w:bCs/>
          <w:i/>
        </w:rPr>
        <w:t>á</w:t>
      </w:r>
      <w:r w:rsidR="00687F6E" w:rsidRPr="0071578F">
        <w:rPr>
          <w:bCs/>
          <w:i/>
        </w:rPr>
        <w:t xml:space="preserve"> zemědělské</w:t>
      </w:r>
      <w:r w:rsidRPr="0071578F">
        <w:rPr>
          <w:bCs/>
          <w:i/>
        </w:rPr>
        <w:t xml:space="preserve"> produkce</w:t>
      </w:r>
      <w:r w:rsidR="00267FB7">
        <w:rPr>
          <w:bCs/>
        </w:rPr>
        <w:t>“</w:t>
      </w:r>
      <w:r>
        <w:rPr>
          <w:bCs/>
        </w:rPr>
        <w:t xml:space="preserve">, </w:t>
      </w:r>
      <w:r w:rsidR="005D3B15">
        <w:rPr>
          <w:bCs/>
        </w:rPr>
        <w:t>„</w:t>
      </w:r>
      <w:r w:rsidR="005D3B15" w:rsidRPr="0071578F">
        <w:rPr>
          <w:bCs/>
          <w:i/>
        </w:rPr>
        <w:t>c</w:t>
      </w:r>
      <w:r w:rsidRPr="0071578F">
        <w:rPr>
          <w:bCs/>
          <w:i/>
        </w:rPr>
        <w:t>elkov</w:t>
      </w:r>
      <w:r w:rsidR="00267FB7" w:rsidRPr="0071578F">
        <w:rPr>
          <w:bCs/>
          <w:i/>
        </w:rPr>
        <w:t>é</w:t>
      </w:r>
      <w:r w:rsidRPr="0071578F">
        <w:rPr>
          <w:bCs/>
          <w:i/>
        </w:rPr>
        <w:t xml:space="preserve"> náklad</w:t>
      </w:r>
      <w:r w:rsidR="00267FB7" w:rsidRPr="0071578F">
        <w:rPr>
          <w:bCs/>
          <w:i/>
        </w:rPr>
        <w:t>y</w:t>
      </w:r>
      <w:r w:rsidR="00267FB7">
        <w:rPr>
          <w:bCs/>
        </w:rPr>
        <w:t>“</w:t>
      </w:r>
      <w:r>
        <w:rPr>
          <w:bCs/>
        </w:rPr>
        <w:t xml:space="preserve"> a </w:t>
      </w:r>
      <w:r w:rsidR="00267FB7">
        <w:rPr>
          <w:bCs/>
        </w:rPr>
        <w:t>„</w:t>
      </w:r>
      <w:r w:rsidR="005D3B15" w:rsidRPr="0071578F">
        <w:rPr>
          <w:bCs/>
          <w:i/>
        </w:rPr>
        <w:t>č</w:t>
      </w:r>
      <w:r w:rsidRPr="0071578F">
        <w:rPr>
          <w:bCs/>
          <w:i/>
        </w:rPr>
        <w:t>ist</w:t>
      </w:r>
      <w:r w:rsidR="00267FB7" w:rsidRPr="0071578F">
        <w:rPr>
          <w:bCs/>
          <w:i/>
        </w:rPr>
        <w:t>á</w:t>
      </w:r>
      <w:r w:rsidRPr="0071578F">
        <w:rPr>
          <w:bCs/>
          <w:i/>
        </w:rPr>
        <w:t xml:space="preserve"> přidan</w:t>
      </w:r>
      <w:r w:rsidR="00267FB7" w:rsidRPr="0071578F">
        <w:rPr>
          <w:bCs/>
          <w:i/>
        </w:rPr>
        <w:t>á</w:t>
      </w:r>
      <w:r w:rsidRPr="0071578F">
        <w:rPr>
          <w:bCs/>
          <w:i/>
        </w:rPr>
        <w:t xml:space="preserve"> hodnot</w:t>
      </w:r>
      <w:r w:rsidR="00267FB7" w:rsidRPr="0071578F">
        <w:rPr>
          <w:bCs/>
          <w:i/>
        </w:rPr>
        <w:t>a</w:t>
      </w:r>
      <w:r w:rsidR="00267FB7">
        <w:rPr>
          <w:bCs/>
        </w:rPr>
        <w:t>“</w:t>
      </w:r>
      <w:r>
        <w:rPr>
          <w:bCs/>
        </w:rPr>
        <w:t xml:space="preserve">, a to za jednotlivé roky a členské státy EU. </w:t>
      </w:r>
    </w:p>
    <w:p w14:paraId="74130CB8" w14:textId="77777777" w:rsidR="008B66FC" w:rsidRDefault="008B66FC" w:rsidP="008B66FC">
      <w:pPr>
        <w:spacing w:before="0"/>
        <w:rPr>
          <w:bCs/>
        </w:rPr>
      </w:pPr>
    </w:p>
    <w:p w14:paraId="19DBD2F4" w14:textId="5430104B" w:rsidR="00300CAF" w:rsidRDefault="00EA4C68" w:rsidP="008B66FC">
      <w:pPr>
        <w:spacing w:before="0"/>
        <w:rPr>
          <w:bCs/>
        </w:rPr>
      </w:pPr>
      <w:r>
        <w:rPr>
          <w:bCs/>
        </w:rPr>
        <w:t>Datová příloha</w:t>
      </w:r>
      <w:r w:rsidR="003B430F">
        <w:rPr>
          <w:bCs/>
        </w:rPr>
        <w:t xml:space="preserve"> obsahuje i </w:t>
      </w:r>
      <w:r w:rsidR="00AE02AE">
        <w:rPr>
          <w:bCs/>
        </w:rPr>
        <w:t xml:space="preserve">rozklad </w:t>
      </w:r>
      <w:r w:rsidR="00300CAF">
        <w:rPr>
          <w:bCs/>
        </w:rPr>
        <w:t xml:space="preserve">ukazatelů </w:t>
      </w:r>
      <w:r w:rsidR="00267FB7">
        <w:rPr>
          <w:bCs/>
        </w:rPr>
        <w:t>„</w:t>
      </w:r>
      <w:r w:rsidR="005D3B15" w:rsidRPr="0071578F">
        <w:rPr>
          <w:bCs/>
          <w:i/>
        </w:rPr>
        <w:t>c</w:t>
      </w:r>
      <w:r w:rsidR="00300CAF" w:rsidRPr="0071578F">
        <w:rPr>
          <w:bCs/>
          <w:i/>
        </w:rPr>
        <w:t>elkové náklady</w:t>
      </w:r>
      <w:r w:rsidR="00267FB7">
        <w:rPr>
          <w:bCs/>
        </w:rPr>
        <w:t>“</w:t>
      </w:r>
      <w:r w:rsidR="00726E96">
        <w:rPr>
          <w:bCs/>
        </w:rPr>
        <w:t xml:space="preserve">, </w:t>
      </w:r>
      <w:r w:rsidR="00267FB7">
        <w:rPr>
          <w:bCs/>
        </w:rPr>
        <w:t>„</w:t>
      </w:r>
      <w:r w:rsidR="005D3B15" w:rsidRPr="0071578F">
        <w:rPr>
          <w:bCs/>
          <w:i/>
        </w:rPr>
        <w:t>c</w:t>
      </w:r>
      <w:r w:rsidR="00726E96" w:rsidRPr="0071578F">
        <w:rPr>
          <w:bCs/>
          <w:i/>
        </w:rPr>
        <w:t>elková</w:t>
      </w:r>
      <w:r w:rsidR="00687F6E" w:rsidRPr="0071578F">
        <w:rPr>
          <w:bCs/>
          <w:i/>
        </w:rPr>
        <w:t xml:space="preserve"> zemědělská</w:t>
      </w:r>
      <w:r w:rsidR="00726E96" w:rsidRPr="0071578F">
        <w:rPr>
          <w:bCs/>
          <w:i/>
        </w:rPr>
        <w:t xml:space="preserve"> produkce</w:t>
      </w:r>
      <w:r w:rsidR="00267FB7">
        <w:rPr>
          <w:bCs/>
        </w:rPr>
        <w:t>“</w:t>
      </w:r>
      <w:r w:rsidR="00726E96">
        <w:rPr>
          <w:bCs/>
        </w:rPr>
        <w:t xml:space="preserve"> a</w:t>
      </w:r>
      <w:r w:rsidR="00267FB7">
        <w:rPr>
          <w:bCs/>
        </w:rPr>
        <w:t> „</w:t>
      </w:r>
      <w:r w:rsidR="005D3B15" w:rsidRPr="0071578F">
        <w:rPr>
          <w:bCs/>
          <w:i/>
        </w:rPr>
        <w:t>p</w:t>
      </w:r>
      <w:r w:rsidR="00726E96" w:rsidRPr="0071578F">
        <w:rPr>
          <w:bCs/>
          <w:i/>
        </w:rPr>
        <w:t>rovozní</w:t>
      </w:r>
      <w:r w:rsidR="00AE02AE" w:rsidRPr="0071578F">
        <w:rPr>
          <w:bCs/>
          <w:i/>
        </w:rPr>
        <w:t xml:space="preserve"> dotace</w:t>
      </w:r>
      <w:r w:rsidR="00267FB7">
        <w:rPr>
          <w:bCs/>
        </w:rPr>
        <w:t>“</w:t>
      </w:r>
      <w:r w:rsidR="00AE02AE">
        <w:rPr>
          <w:bCs/>
        </w:rPr>
        <w:t xml:space="preserve"> </w:t>
      </w:r>
      <w:r w:rsidR="00B32003">
        <w:rPr>
          <w:bCs/>
        </w:rPr>
        <w:t xml:space="preserve">pro jednotlivé členské státy. </w:t>
      </w:r>
      <w:r w:rsidR="00687F71">
        <w:rPr>
          <w:bCs/>
        </w:rPr>
        <w:t xml:space="preserve">Hodnoty ukazatelů za ČR lze porovnat </w:t>
      </w:r>
      <w:r w:rsidR="00300CAF">
        <w:rPr>
          <w:bCs/>
        </w:rPr>
        <w:t xml:space="preserve">s průměrem EU. </w:t>
      </w:r>
    </w:p>
    <w:p w14:paraId="190C3120" w14:textId="7F0079EF" w:rsidR="008B66FC" w:rsidRDefault="008B66FC" w:rsidP="008B66FC">
      <w:pPr>
        <w:spacing w:before="0"/>
        <w:rPr>
          <w:bCs/>
        </w:rPr>
      </w:pPr>
    </w:p>
    <w:p w14:paraId="03C54E94" w14:textId="5DC77FF6" w:rsidR="00B32125" w:rsidRDefault="00B32125" w:rsidP="008B66FC">
      <w:pPr>
        <w:spacing w:before="0"/>
        <w:rPr>
          <w:bCs/>
        </w:rPr>
      </w:pPr>
    </w:p>
    <w:sectPr w:rsidR="00B32125" w:rsidSect="00E50E4E">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E3FB" w14:textId="77777777" w:rsidR="007876B7" w:rsidRDefault="007876B7">
      <w:pPr>
        <w:spacing w:before="0"/>
      </w:pPr>
      <w:r>
        <w:separator/>
      </w:r>
    </w:p>
    <w:p w14:paraId="162EE855" w14:textId="77777777" w:rsidR="007876B7" w:rsidRDefault="007876B7"/>
  </w:endnote>
  <w:endnote w:type="continuationSeparator" w:id="0">
    <w:p w14:paraId="5DFA6DE5" w14:textId="77777777" w:rsidR="007876B7" w:rsidRDefault="007876B7">
      <w:pPr>
        <w:spacing w:before="0"/>
      </w:pPr>
      <w:r>
        <w:continuationSeparator/>
      </w:r>
    </w:p>
    <w:p w14:paraId="6B56C24E" w14:textId="77777777" w:rsidR="007876B7" w:rsidRDefault="007876B7"/>
  </w:endnote>
  <w:endnote w:type="continuationNotice" w:id="1">
    <w:p w14:paraId="514C313F" w14:textId="77777777" w:rsidR="007876B7" w:rsidRDefault="007876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07A8" w14:textId="77777777" w:rsidR="007876B7" w:rsidRDefault="007876B7">
    <w:pPr>
      <w:pStyle w:val="Zpat"/>
    </w:pPr>
  </w:p>
  <w:p w14:paraId="59CA910B" w14:textId="77777777" w:rsidR="007876B7" w:rsidRDefault="007876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2B2A" w14:textId="1C8F7839" w:rsidR="007876B7" w:rsidRDefault="007876B7" w:rsidP="00B65F84">
    <w:pPr>
      <w:pStyle w:val="Zpat"/>
      <w:jc w:val="center"/>
    </w:pPr>
    <w:r w:rsidRPr="001548CB">
      <w:fldChar w:fldCharType="begin"/>
    </w:r>
    <w:r w:rsidRPr="001548CB">
      <w:instrText>PAGE   \* MERGEFORMAT</w:instrText>
    </w:r>
    <w:r w:rsidRPr="001548CB">
      <w:fldChar w:fldCharType="separate"/>
    </w:r>
    <w:r w:rsidR="00375D12">
      <w:rPr>
        <w:noProof/>
      </w:rPr>
      <w:t>21</w:t>
    </w:r>
    <w:r w:rsidRPr="001548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F8A18" w14:textId="77777777" w:rsidR="00375D12" w:rsidRDefault="00375D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9E0F4" w14:textId="77777777" w:rsidR="007876B7" w:rsidRDefault="007876B7" w:rsidP="004F24F4">
      <w:r>
        <w:separator/>
      </w:r>
    </w:p>
    <w:p w14:paraId="47379DBF" w14:textId="77777777" w:rsidR="007876B7" w:rsidRDefault="007876B7"/>
  </w:footnote>
  <w:footnote w:type="continuationSeparator" w:id="0">
    <w:p w14:paraId="3FAF7CBA" w14:textId="77777777" w:rsidR="007876B7" w:rsidRDefault="007876B7" w:rsidP="004F24F4">
      <w:r>
        <w:continuationSeparator/>
      </w:r>
    </w:p>
    <w:p w14:paraId="4A50B73F" w14:textId="77777777" w:rsidR="007876B7" w:rsidRDefault="007876B7"/>
  </w:footnote>
  <w:footnote w:type="continuationNotice" w:id="1">
    <w:p w14:paraId="77F00811" w14:textId="77777777" w:rsidR="007876B7" w:rsidRDefault="007876B7">
      <w:pPr>
        <w:spacing w:before="0"/>
      </w:pPr>
    </w:p>
  </w:footnote>
  <w:footnote w:id="2">
    <w:p w14:paraId="6931E47B" w14:textId="77777777" w:rsidR="007876B7" w:rsidRPr="0089593B" w:rsidRDefault="007876B7" w:rsidP="00E50E4E">
      <w:pPr>
        <w:pStyle w:val="Textpoznpodarou"/>
        <w:ind w:left="284" w:hanging="284"/>
        <w:rPr>
          <w:color w:val="000000" w:themeColor="text1"/>
        </w:rPr>
      </w:pPr>
      <w:r w:rsidRPr="0089593B">
        <w:rPr>
          <w:rStyle w:val="Znakapoznpodarou"/>
          <w:color w:val="000000" w:themeColor="text1"/>
        </w:rPr>
        <w:footnoteRef/>
      </w:r>
      <w:r w:rsidRPr="0089593B">
        <w:rPr>
          <w:color w:val="000000" w:themeColor="text1"/>
        </w:rPr>
        <w:t xml:space="preserve"> </w:t>
      </w:r>
      <w:r w:rsidRPr="0089593B">
        <w:rPr>
          <w:color w:val="000000" w:themeColor="text1"/>
        </w:rPr>
        <w:tab/>
      </w:r>
      <w:r w:rsidRPr="0089593B">
        <w:rPr>
          <w:rFonts w:asciiTheme="minorHAnsi" w:hAnsiTheme="minorHAnsi" w:cstheme="minorHAnsi"/>
          <w:color w:val="000000" w:themeColor="text1"/>
          <w:shd w:val="clear" w:color="auto" w:fill="FFFFFF"/>
        </w:rPr>
        <w:t>Jedná se o režim jakosti, který jde významně nad rámec norem stanovených pro syrové mléko.</w:t>
      </w:r>
    </w:p>
  </w:footnote>
  <w:footnote w:id="3">
    <w:p w14:paraId="3A173553" w14:textId="06F0400B" w:rsidR="007876B7" w:rsidRPr="00605BF0" w:rsidRDefault="007876B7" w:rsidP="00E671BD">
      <w:pPr>
        <w:pStyle w:val="Textpoznpodarou"/>
        <w:ind w:left="284" w:hanging="284"/>
        <w:rPr>
          <w:color w:val="000000" w:themeColor="text1"/>
        </w:rPr>
      </w:pPr>
      <w:r w:rsidRPr="00605BF0">
        <w:rPr>
          <w:rStyle w:val="Znakapoznpodarou"/>
        </w:rPr>
        <w:footnoteRef/>
      </w:r>
      <w:r w:rsidRPr="00605BF0">
        <w:t xml:space="preserve"> </w:t>
      </w:r>
      <w:r w:rsidRPr="00605BF0">
        <w:tab/>
      </w:r>
      <w:r w:rsidRPr="00605BF0">
        <w:rPr>
          <w:color w:val="000000" w:themeColor="text1"/>
        </w:rPr>
        <w:t xml:space="preserve">Nařízení Rady EHS č. 79/65, </w:t>
      </w:r>
      <w:r w:rsidRPr="001A5587">
        <w:t>o založení zemědělské účetní datové sítě pro sběr údajů o příjmech a o hospodářské činnosti zemědělských podniků v Evropském hospodářském společenství</w:t>
      </w:r>
      <w:r w:rsidRPr="00605BF0">
        <w:rPr>
          <w:color w:val="000000" w:themeColor="text1"/>
        </w:rPr>
        <w:t>.</w:t>
      </w:r>
    </w:p>
  </w:footnote>
  <w:footnote w:id="4">
    <w:p w14:paraId="2765878C" w14:textId="77777777" w:rsidR="007876B7" w:rsidRPr="00605BF0" w:rsidRDefault="007876B7" w:rsidP="00E671BD">
      <w:pPr>
        <w:pStyle w:val="Textpoznpodarou"/>
        <w:ind w:left="284" w:hanging="284"/>
        <w:rPr>
          <w:color w:val="000000" w:themeColor="text1"/>
        </w:rPr>
      </w:pPr>
      <w:r w:rsidRPr="00605BF0">
        <w:rPr>
          <w:rStyle w:val="Znakapoznpodarou"/>
          <w:color w:val="000000" w:themeColor="text1"/>
        </w:rPr>
        <w:footnoteRef/>
      </w:r>
      <w:r w:rsidRPr="00605BF0">
        <w:rPr>
          <w:color w:val="000000" w:themeColor="text1"/>
        </w:rPr>
        <w:t xml:space="preserve"> </w:t>
      </w:r>
      <w:r w:rsidRPr="00605BF0">
        <w:rPr>
          <w:color w:val="000000" w:themeColor="text1"/>
        </w:rPr>
        <w:tab/>
        <w:t>Národní dotační programy jsou financovány ze státního rozpočtu ČR.</w:t>
      </w:r>
    </w:p>
  </w:footnote>
  <w:footnote w:id="5">
    <w:p w14:paraId="7D0DC9E4" w14:textId="6D101360" w:rsidR="007876B7" w:rsidRPr="00910118" w:rsidRDefault="007876B7" w:rsidP="00D431AE">
      <w:pPr>
        <w:pStyle w:val="Textpoznpodarou"/>
        <w:ind w:left="284" w:hanging="284"/>
        <w:rPr>
          <w:bCs/>
          <w:color w:val="000000" w:themeColor="text1"/>
          <w:szCs w:val="18"/>
        </w:rPr>
      </w:pPr>
      <w:r>
        <w:rPr>
          <w:rStyle w:val="Znakapoznpodarou"/>
        </w:rPr>
        <w:footnoteRef/>
      </w:r>
      <w:r>
        <w:t xml:space="preserve"> </w:t>
      </w:r>
      <w:r>
        <w:tab/>
      </w:r>
      <w:r w:rsidRPr="00910118">
        <w:rPr>
          <w:bCs/>
          <w:color w:val="000000" w:themeColor="text1"/>
          <w:szCs w:val="18"/>
        </w:rPr>
        <w:t xml:space="preserve">Strategický dokument schválený usnesením vlády České republiky ze dne 2. května 2016 č. 392, </w:t>
      </w:r>
      <w:r w:rsidRPr="0071578F">
        <w:rPr>
          <w:bCs/>
          <w:i/>
          <w:szCs w:val="18"/>
        </w:rPr>
        <w:t>ke Strategii resortu Ministerstva zemědělství České republiky s výhledem do roku 2030</w:t>
      </w:r>
      <w:r w:rsidRPr="00910118">
        <w:rPr>
          <w:bCs/>
          <w:color w:val="000000" w:themeColor="text1"/>
          <w:szCs w:val="18"/>
        </w:rPr>
        <w:t>.</w:t>
      </w:r>
    </w:p>
  </w:footnote>
  <w:footnote w:id="6">
    <w:p w14:paraId="15072D56" w14:textId="77777777" w:rsidR="007876B7" w:rsidRPr="006D368A" w:rsidRDefault="007876B7" w:rsidP="00D431AE">
      <w:pPr>
        <w:pStyle w:val="Textpoznpodarou"/>
        <w:ind w:left="284" w:hanging="284"/>
      </w:pPr>
      <w:r w:rsidRPr="006D368A">
        <w:rPr>
          <w:rStyle w:val="Znakapoznpodarou"/>
        </w:rPr>
        <w:footnoteRef/>
      </w:r>
      <w:r w:rsidRPr="006D368A">
        <w:t xml:space="preserve"> </w:t>
      </w:r>
      <w:r w:rsidRPr="006D368A">
        <w:tab/>
        <w:t xml:space="preserve">Problémy s naplněním Strategie a jejich cílů konstatuje i MZe ve </w:t>
      </w:r>
      <w:r w:rsidRPr="0071578F">
        <w:rPr>
          <w:i/>
        </w:rPr>
        <w:t>Zprávě o stavu zemědělství ČR za rok 2017</w:t>
      </w:r>
      <w:r w:rsidRPr="006D368A">
        <w:t>, kde doporučuje, aby byla v roce 2019 zajištěna hlubší ex-post i ex-ante analýza a případná možná revize strategických cílů a indikátorů a implementačních podmínek.</w:t>
      </w:r>
    </w:p>
  </w:footnote>
  <w:footnote w:id="7">
    <w:p w14:paraId="4F62F94F" w14:textId="4984EB24" w:rsidR="007876B7" w:rsidRPr="006D49CD" w:rsidRDefault="007876B7" w:rsidP="00D431AE">
      <w:pPr>
        <w:pStyle w:val="Textpoznpodarou"/>
        <w:ind w:left="284" w:hanging="284"/>
        <w:rPr>
          <w:lang w:eastAsia="cs-CZ"/>
        </w:rPr>
      </w:pPr>
      <w:r w:rsidRPr="006D49CD">
        <w:rPr>
          <w:rStyle w:val="Znakapoznpodarou"/>
        </w:rPr>
        <w:footnoteRef/>
      </w:r>
      <w:r w:rsidRPr="006D49CD">
        <w:t xml:space="preserve"> </w:t>
      </w:r>
      <w:r w:rsidRPr="006D49CD">
        <w:tab/>
      </w:r>
      <w:r w:rsidRPr="006D49CD">
        <w:rPr>
          <w:lang w:eastAsia="cs-CZ"/>
        </w:rPr>
        <w:t xml:space="preserve">Podle přílohy I nařízení Komise (EU) č. 702/2014, </w:t>
      </w:r>
      <w:r w:rsidRPr="001A5587">
        <w:rPr>
          <w:lang w:eastAsia="cs-CZ"/>
        </w:rPr>
        <w:t>kterým se v souladu s články 107 a 108 Smlouvy o fungování Evropské unie prohlašují určité kategorie podpory v odvětvích zemědělství a lesnictví a ve venkovských oblastech za slučitelné s vnitřním trhem</w:t>
      </w:r>
      <w:r w:rsidRPr="006D49CD">
        <w:rPr>
          <w:lang w:eastAsia="cs-CZ"/>
        </w:rPr>
        <w:t>.</w:t>
      </w:r>
    </w:p>
  </w:footnote>
  <w:footnote w:id="8">
    <w:p w14:paraId="230326F7" w14:textId="1F28DAE4" w:rsidR="007876B7" w:rsidRPr="006D49CD" w:rsidRDefault="007876B7" w:rsidP="00D431AE">
      <w:pPr>
        <w:pStyle w:val="Textpoznpodarou"/>
        <w:ind w:left="284" w:hanging="284"/>
        <w:rPr>
          <w:szCs w:val="18"/>
        </w:rPr>
      </w:pPr>
      <w:r w:rsidRPr="006D49CD">
        <w:rPr>
          <w:rStyle w:val="Znakapoznpodarou"/>
          <w:szCs w:val="18"/>
        </w:rPr>
        <w:footnoteRef/>
      </w:r>
      <w:r w:rsidRPr="006D49CD">
        <w:rPr>
          <w:szCs w:val="18"/>
        </w:rPr>
        <w:t xml:space="preserve"> </w:t>
      </w:r>
      <w:r w:rsidRPr="006D49CD">
        <w:rPr>
          <w:szCs w:val="18"/>
        </w:rPr>
        <w:tab/>
      </w:r>
      <w:r w:rsidRPr="006D49CD">
        <w:rPr>
          <w:szCs w:val="18"/>
          <w:lang w:eastAsia="cs-CZ"/>
        </w:rPr>
        <w:t>Do nákladů souvisejících s režimem jakosti Q CZ byly zahrnuty náklady na rozbory kvality mléka, náklady související s pořádanými školeními, kontrolní opatření a poradenství, rozbory, služby vlastních laboratoří, certifikace IFS, software-monitoring Q CZ, dále také náklady na pohonné hmoty, telefonní služby, náklady spojené s údržbou a opravou referenčních vozidel v případě, že byla prokázána souvislost mezi těmito náklady a kontrolou kvality mléka.</w:t>
      </w:r>
    </w:p>
  </w:footnote>
  <w:footnote w:id="9">
    <w:p w14:paraId="4AFA8E59" w14:textId="4F4CB476" w:rsidR="007876B7" w:rsidRPr="00902394" w:rsidRDefault="007876B7" w:rsidP="00B65F84">
      <w:pPr>
        <w:pStyle w:val="Textpoznpodarou"/>
        <w:ind w:left="284" w:hanging="284"/>
      </w:pPr>
      <w:r w:rsidRPr="00902394">
        <w:rPr>
          <w:rStyle w:val="Znakapoznpodarou"/>
        </w:rPr>
        <w:footnoteRef/>
      </w:r>
      <w:r w:rsidRPr="00902394">
        <w:t xml:space="preserve"> </w:t>
      </w:r>
      <w:r w:rsidRPr="00902394">
        <w:tab/>
        <w:t xml:space="preserve">Paramenty pro tyto produkty a pravidla certifikace jsou uvedeny ve </w:t>
      </w:r>
      <w:r w:rsidRPr="0071578F">
        <w:rPr>
          <w:i/>
        </w:rPr>
        <w:t>Věstníku Ministerstva  zemědělství České republiky</w:t>
      </w:r>
      <w:r w:rsidRPr="00902394">
        <w:t>, čj. 48131/2015-MZE-17212.</w:t>
      </w:r>
    </w:p>
  </w:footnote>
  <w:footnote w:id="10">
    <w:p w14:paraId="0933C427" w14:textId="77777777" w:rsidR="007876B7" w:rsidRPr="00902394" w:rsidRDefault="007876B7" w:rsidP="00B65F84">
      <w:pPr>
        <w:pStyle w:val="Textpoznpodarou"/>
        <w:ind w:left="284" w:hanging="284"/>
      </w:pPr>
      <w:r w:rsidRPr="00902394">
        <w:rPr>
          <w:rStyle w:val="Znakapoznpodarou"/>
        </w:rPr>
        <w:footnoteRef/>
      </w:r>
      <w:r w:rsidRPr="00902394">
        <w:t xml:space="preserve"> </w:t>
      </w:r>
      <w:r w:rsidRPr="00902394">
        <w:tab/>
        <w:t xml:space="preserve">Dle dat uvedených v ročenkách </w:t>
      </w:r>
      <w:r w:rsidRPr="0071578F">
        <w:rPr>
          <w:i/>
        </w:rPr>
        <w:t>Chov skotu v České republice</w:t>
      </w:r>
      <w:r w:rsidRPr="00902394">
        <w:t xml:space="preserve">. </w:t>
      </w:r>
    </w:p>
  </w:footnote>
  <w:footnote w:id="11">
    <w:p w14:paraId="21F8BB26" w14:textId="5A9C3D7E" w:rsidR="007876B7" w:rsidRPr="0071578F" w:rsidRDefault="007876B7" w:rsidP="00B65F84">
      <w:pPr>
        <w:pStyle w:val="Textpoznpodarou"/>
        <w:ind w:left="284" w:hanging="284"/>
      </w:pPr>
      <w:r w:rsidRPr="00902394">
        <w:rPr>
          <w:rStyle w:val="Znakapoznpodarou"/>
        </w:rPr>
        <w:footnoteRef/>
      </w:r>
      <w:r w:rsidRPr="00902394">
        <w:t xml:space="preserve"> </w:t>
      </w:r>
      <w:r w:rsidRPr="00902394">
        <w:tab/>
        <w:t>V Zásadách je uvedeno:</w:t>
      </w:r>
      <w:r w:rsidRPr="0071578F">
        <w:t xml:space="preserve"> „</w:t>
      </w:r>
      <w:r w:rsidRPr="00902394">
        <w:rPr>
          <w:i/>
        </w:rPr>
        <w:t>Pokud některé náklady nelze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r w:rsidRPr="0071578F">
        <w:t xml:space="preserve">“ </w:t>
      </w:r>
    </w:p>
  </w:footnote>
  <w:footnote w:id="12">
    <w:p w14:paraId="5E30765F" w14:textId="24F52A40" w:rsidR="007876B7" w:rsidRPr="001B11D6" w:rsidRDefault="007876B7" w:rsidP="00B65F84">
      <w:pPr>
        <w:pStyle w:val="Textpoznpodarou"/>
        <w:ind w:left="284" w:hanging="284"/>
        <w:rPr>
          <w:bCs/>
          <w:iCs/>
        </w:rPr>
      </w:pPr>
      <w:r w:rsidRPr="001B11D6">
        <w:rPr>
          <w:rStyle w:val="Znakapoznpodarou"/>
        </w:rPr>
        <w:footnoteRef/>
      </w:r>
      <w:r w:rsidRPr="001B11D6">
        <w:t xml:space="preserve"> </w:t>
      </w:r>
      <w:r w:rsidRPr="001B11D6">
        <w:tab/>
        <w:t xml:space="preserve">Ustanovení </w:t>
      </w:r>
      <w:r w:rsidRPr="001B11D6">
        <w:rPr>
          <w:bCs/>
          <w:iCs/>
        </w:rPr>
        <w:t>§ 39 odst. 1 a 3 zákona č. 218/2000 Sb.</w:t>
      </w:r>
      <w:r>
        <w:rPr>
          <w:bCs/>
          <w:iCs/>
        </w:rPr>
        <w:t>,</w:t>
      </w:r>
      <w:r w:rsidRPr="001B11D6">
        <w:rPr>
          <w:bCs/>
          <w:iCs/>
        </w:rPr>
        <w:t xml:space="preserve"> o rozpočtových pravidlech a o změně některých souvisejících zákonů (rozpočtová pravidla).</w:t>
      </w:r>
    </w:p>
  </w:footnote>
  <w:footnote w:id="13">
    <w:p w14:paraId="043A04FD" w14:textId="4CB3E85C" w:rsidR="007876B7" w:rsidRPr="001B11D6" w:rsidRDefault="007876B7" w:rsidP="00B65F84">
      <w:pPr>
        <w:pStyle w:val="Textpoznpodarou"/>
        <w:ind w:left="284" w:hanging="284"/>
        <w:rPr>
          <w:color w:val="000000" w:themeColor="text1"/>
        </w:rPr>
      </w:pPr>
      <w:r w:rsidRPr="001B11D6">
        <w:rPr>
          <w:rStyle w:val="Znakapoznpodarou"/>
        </w:rPr>
        <w:footnoteRef/>
      </w:r>
      <w:r w:rsidRPr="001B11D6">
        <w:t xml:space="preserve"> </w:t>
      </w:r>
      <w:r w:rsidRPr="001B11D6">
        <w:tab/>
      </w:r>
      <w:r w:rsidRPr="001B11D6">
        <w:rPr>
          <w:color w:val="000000" w:themeColor="text1"/>
        </w:rPr>
        <w:t xml:space="preserve">Předmětem </w:t>
      </w:r>
      <w:r>
        <w:rPr>
          <w:color w:val="000000" w:themeColor="text1"/>
        </w:rPr>
        <w:t>d</w:t>
      </w:r>
      <w:r w:rsidRPr="001B11D6">
        <w:rPr>
          <w:color w:val="000000" w:themeColor="text1"/>
        </w:rPr>
        <w:t xml:space="preserve">ohody je upřesnění rozsahu spolupráce v agendách MZe zajišťovaných zaměstnanci SZIF, včetně stanovení rámce, na jehož základě bude SZIF tyto činnosti zajišťovat, způsobu jejich zajištění a způsobu koordinace činností s MZe. </w:t>
      </w:r>
    </w:p>
  </w:footnote>
  <w:footnote w:id="14">
    <w:p w14:paraId="40DE15A8" w14:textId="021ADF92" w:rsidR="007876B7" w:rsidRPr="00520703" w:rsidRDefault="007876B7" w:rsidP="00F42131">
      <w:pPr>
        <w:pStyle w:val="Textpoznpodarou"/>
        <w:ind w:left="284" w:hanging="284"/>
      </w:pPr>
      <w:r w:rsidRPr="00520703">
        <w:rPr>
          <w:rStyle w:val="Znakapoznpodarou"/>
        </w:rPr>
        <w:footnoteRef/>
      </w:r>
      <w:r w:rsidRPr="00520703">
        <w:t xml:space="preserve"> </w:t>
      </w:r>
      <w:r w:rsidRPr="00520703">
        <w:tab/>
        <w:t xml:space="preserve">Ustanovení </w:t>
      </w:r>
      <w:r w:rsidRPr="00520703">
        <w:rPr>
          <w:color w:val="000000" w:themeColor="text1"/>
        </w:rPr>
        <w:t>§ 11 odst. 3 písm. a) zákona č. 320/2001 Sb.</w:t>
      </w:r>
      <w:r>
        <w:rPr>
          <w:color w:val="000000" w:themeColor="text1"/>
        </w:rPr>
        <w:t>,</w:t>
      </w:r>
      <w:r w:rsidRPr="00520703">
        <w:rPr>
          <w:color w:val="000000" w:themeColor="text1"/>
        </w:rPr>
        <w:t xml:space="preserve"> </w:t>
      </w:r>
      <w:r w:rsidRPr="00520703">
        <w:t>o finanční kontrole ve veřejné správě a o změně některých zákonů (zákon o finanční kontrole).</w:t>
      </w:r>
    </w:p>
  </w:footnote>
  <w:footnote w:id="15">
    <w:p w14:paraId="22F1AD44" w14:textId="553F9404" w:rsidR="007876B7" w:rsidRPr="00C72997" w:rsidRDefault="007876B7" w:rsidP="00B65F84">
      <w:pPr>
        <w:pStyle w:val="Textpoznpodarou"/>
        <w:ind w:left="284" w:hanging="284"/>
        <w:rPr>
          <w:bCs/>
          <w:iCs/>
        </w:rPr>
      </w:pPr>
      <w:r w:rsidRPr="00C72997">
        <w:rPr>
          <w:rStyle w:val="Znakapoznpodarou"/>
        </w:rPr>
        <w:footnoteRef/>
      </w:r>
      <w:r w:rsidRPr="00C72997">
        <w:t xml:space="preserve"> </w:t>
      </w:r>
      <w:r w:rsidRPr="00C72997">
        <w:tab/>
        <w:t xml:space="preserve">Ustanovení </w:t>
      </w:r>
      <w:r w:rsidRPr="00C72997">
        <w:rPr>
          <w:bCs/>
          <w:lang w:eastAsia="cs-CZ"/>
        </w:rPr>
        <w:t>§ 44 odst. 1 písm. b) a ustanovení § 3 písm. e) zákona č. 218/2000 Sb.</w:t>
      </w:r>
      <w:r>
        <w:rPr>
          <w:bCs/>
          <w:lang w:eastAsia="cs-CZ"/>
        </w:rPr>
        <w:t>,</w:t>
      </w:r>
      <w:r w:rsidRPr="00C72997">
        <w:rPr>
          <w:bCs/>
          <w:lang w:eastAsia="cs-CZ"/>
        </w:rPr>
        <w:t xml:space="preserve"> </w:t>
      </w:r>
      <w:r w:rsidRPr="00C72997">
        <w:rPr>
          <w:bCs/>
          <w:iCs/>
        </w:rPr>
        <w:t>o rozpočtových pravidlech a o změně některých souvisejících zákonů (rozpočtová pravidla).</w:t>
      </w:r>
    </w:p>
  </w:footnote>
  <w:footnote w:id="16">
    <w:p w14:paraId="2C90DE60" w14:textId="4A4E4581" w:rsidR="007876B7" w:rsidRPr="007B6FD8" w:rsidRDefault="007876B7" w:rsidP="00B65F84">
      <w:pPr>
        <w:pStyle w:val="Textpoznpodarou"/>
        <w:ind w:left="284" w:hanging="284"/>
      </w:pPr>
      <w:r w:rsidRPr="007B6FD8">
        <w:rPr>
          <w:rStyle w:val="Znakapoznpodarou"/>
        </w:rPr>
        <w:footnoteRef/>
      </w:r>
      <w:r w:rsidRPr="007B6FD8">
        <w:t xml:space="preserve"> </w:t>
      </w:r>
      <w:r w:rsidRPr="007B6FD8">
        <w:tab/>
        <w:t>Ustanovení § 11 odst. 3 zákona č. 320/2001 Sb.</w:t>
      </w:r>
      <w:r>
        <w:t>,</w:t>
      </w:r>
      <w:r w:rsidRPr="007B6FD8">
        <w:t xml:space="preserve"> o finanční kontrole ve veřejné správě a o změně některých zákonů (zákon o finanční kontrole).</w:t>
      </w:r>
    </w:p>
  </w:footnote>
  <w:footnote w:id="17">
    <w:p w14:paraId="4CAFC617" w14:textId="3A8E3D8A" w:rsidR="007876B7" w:rsidRPr="007B6FD8" w:rsidRDefault="007876B7" w:rsidP="00F42131">
      <w:pPr>
        <w:pStyle w:val="Textpoznpodarou"/>
        <w:ind w:left="284" w:hanging="284"/>
      </w:pPr>
      <w:r w:rsidRPr="007B6FD8">
        <w:rPr>
          <w:rStyle w:val="Znakapoznpodarou"/>
        </w:rPr>
        <w:footnoteRef/>
      </w:r>
      <w:r w:rsidRPr="007B6FD8">
        <w:t xml:space="preserve"> </w:t>
      </w:r>
      <w:r w:rsidRPr="007B6FD8">
        <w:tab/>
        <w:t xml:space="preserve">Ustanovení § 44 odst. 1 písm. b) </w:t>
      </w:r>
      <w:r w:rsidRPr="007B6FD8">
        <w:rPr>
          <w:bCs/>
          <w:lang w:eastAsia="cs-CZ"/>
        </w:rPr>
        <w:t xml:space="preserve">a ustanovení § 3 písm. e) </w:t>
      </w:r>
      <w:r w:rsidRPr="007B6FD8">
        <w:t>zákona č. 218/2000 Sb.</w:t>
      </w:r>
      <w:r>
        <w:t>,</w:t>
      </w:r>
      <w:r w:rsidRPr="007B6FD8">
        <w:t xml:space="preserve"> </w:t>
      </w:r>
      <w:r w:rsidRPr="007B6FD8">
        <w:rPr>
          <w:bCs/>
          <w:iCs/>
        </w:rPr>
        <w:t>o rozpočtových pravidlech a o změně některých souvisejících zákonů (rozpočtová pravidla).</w:t>
      </w:r>
    </w:p>
  </w:footnote>
  <w:footnote w:id="18">
    <w:p w14:paraId="0E4F498F" w14:textId="77777777" w:rsidR="007876B7" w:rsidRPr="006C338D" w:rsidRDefault="007876B7" w:rsidP="006C338D">
      <w:pPr>
        <w:widowControl w:val="0"/>
        <w:autoSpaceDE w:val="0"/>
        <w:autoSpaceDN w:val="0"/>
        <w:adjustRightInd w:val="0"/>
        <w:spacing w:before="0"/>
        <w:ind w:left="284" w:hanging="284"/>
        <w:rPr>
          <w:sz w:val="20"/>
          <w:szCs w:val="20"/>
        </w:rPr>
      </w:pPr>
      <w:r w:rsidRPr="006C338D">
        <w:rPr>
          <w:rStyle w:val="Znakapoznpodarou"/>
          <w:sz w:val="20"/>
          <w:szCs w:val="20"/>
        </w:rPr>
        <w:footnoteRef/>
      </w:r>
      <w:r w:rsidRPr="006C338D">
        <w:rPr>
          <w:sz w:val="20"/>
          <w:szCs w:val="20"/>
        </w:rPr>
        <w:t xml:space="preserve"> </w:t>
      </w:r>
      <w:r w:rsidRPr="006C338D">
        <w:rPr>
          <w:sz w:val="20"/>
          <w:szCs w:val="20"/>
        </w:rPr>
        <w:tab/>
      </w:r>
      <w:r w:rsidRPr="006C338D">
        <w:rPr>
          <w:bCs/>
          <w:sz w:val="20"/>
          <w:szCs w:val="20"/>
        </w:rPr>
        <w:t xml:space="preserve">Dotační systémy v jednotlivých členských státech mohou vykazovat odlišnosti, které mohou mít vliv na vykazovaná data a ukazatele z databáze FADN.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DBBF" w14:textId="77777777" w:rsidR="007876B7" w:rsidRDefault="007876B7">
    <w:pPr>
      <w:pStyle w:val="Zhlav"/>
    </w:pPr>
  </w:p>
  <w:p w14:paraId="5EC4FB09" w14:textId="77777777" w:rsidR="007876B7" w:rsidRDefault="007876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29E3" w14:textId="77777777" w:rsidR="00375D12" w:rsidRDefault="00375D1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84C3" w14:textId="77777777" w:rsidR="00375D12" w:rsidRDefault="00375D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105278"/>
    <w:lvl w:ilvl="0">
      <w:numFmt w:val="bullet"/>
      <w:lvlText w:val="*"/>
      <w:lvlJc w:val="left"/>
    </w:lvl>
  </w:abstractNum>
  <w:abstractNum w:abstractNumId="1" w15:restartNumberingAfterBreak="0">
    <w:nsid w:val="04ED269E"/>
    <w:multiLevelType w:val="hybridMultilevel"/>
    <w:tmpl w:val="44886F9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5536523"/>
    <w:multiLevelType w:val="hybridMultilevel"/>
    <w:tmpl w:val="D34E1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E0C10"/>
    <w:multiLevelType w:val="multilevel"/>
    <w:tmpl w:val="17EE7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1265C"/>
    <w:multiLevelType w:val="hybridMultilevel"/>
    <w:tmpl w:val="701EBC40"/>
    <w:lvl w:ilvl="0" w:tplc="04050001">
      <w:start w:val="1"/>
      <w:numFmt w:val="bullet"/>
      <w:lvlText w:val=""/>
      <w:lvlJc w:val="left"/>
      <w:pPr>
        <w:ind w:left="720" w:hanging="360"/>
      </w:pPr>
      <w:rPr>
        <w:rFonts w:ascii="Symbol" w:hAnsi="Symbol" w:hint="default"/>
        <w:color w:val="92D05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DE6355"/>
    <w:multiLevelType w:val="multilevel"/>
    <w:tmpl w:val="E048CB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Roman"/>
      <w:isLgl/>
      <w:lvlText w:val="%1.%2.%3"/>
      <w:lvlJc w:val="left"/>
      <w:pPr>
        <w:ind w:left="1440" w:hanging="108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4F2F26"/>
    <w:multiLevelType w:val="hybridMultilevel"/>
    <w:tmpl w:val="9FE81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B27E4"/>
    <w:multiLevelType w:val="hybridMultilevel"/>
    <w:tmpl w:val="0C0C7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E9334E"/>
    <w:multiLevelType w:val="hybridMultilevel"/>
    <w:tmpl w:val="DF38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8036BB"/>
    <w:multiLevelType w:val="hybridMultilevel"/>
    <w:tmpl w:val="A2B8ED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15B86360"/>
    <w:multiLevelType w:val="hybridMultilevel"/>
    <w:tmpl w:val="2F1A7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36255"/>
    <w:multiLevelType w:val="multilevel"/>
    <w:tmpl w:val="8B3AD6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
      <w:lvlText w:val="%1.%2.%3."/>
      <w:lvlJc w:val="left"/>
      <w:pPr>
        <w:ind w:left="1224" w:hanging="504"/>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A366B0"/>
    <w:multiLevelType w:val="multilevel"/>
    <w:tmpl w:val="D14AACB2"/>
    <w:lvl w:ilvl="0">
      <w:start w:val="1"/>
      <w:numFmt w:val="decimal"/>
      <w:pStyle w:val="Nadpis2"/>
      <w:lvlText w:val="%1."/>
      <w:lvlJc w:val="left"/>
      <w:pPr>
        <w:ind w:left="1080" w:hanging="360"/>
      </w:pPr>
    </w:lvl>
    <w:lvl w:ilvl="1">
      <w:start w:val="1"/>
      <w:numFmt w:val="decimal"/>
      <w:pStyle w:val="Nadpis3"/>
      <w:isLgl/>
      <w:lvlText w:val="%1.%2."/>
      <w:lvlJc w:val="left"/>
      <w:pPr>
        <w:ind w:left="1944"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312" w:hanging="108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184" w:hanging="1440"/>
      </w:pPr>
      <w:rPr>
        <w:rFonts w:hint="default"/>
      </w:rPr>
    </w:lvl>
    <w:lvl w:ilvl="7">
      <w:start w:val="1"/>
      <w:numFmt w:val="decimal"/>
      <w:isLgl/>
      <w:lvlText w:val="%1.%2.%3.%4.%5.%6.%7.%8."/>
      <w:lvlJc w:val="left"/>
      <w:pPr>
        <w:ind w:left="6048" w:hanging="1800"/>
      </w:pPr>
      <w:rPr>
        <w:rFonts w:hint="default"/>
      </w:rPr>
    </w:lvl>
    <w:lvl w:ilvl="8">
      <w:start w:val="1"/>
      <w:numFmt w:val="decimal"/>
      <w:isLgl/>
      <w:lvlText w:val="%1.%2.%3.%4.%5.%6.%7.%8.%9."/>
      <w:lvlJc w:val="left"/>
      <w:pPr>
        <w:ind w:left="6552" w:hanging="1800"/>
      </w:pPr>
      <w:rPr>
        <w:rFonts w:hint="default"/>
      </w:rPr>
    </w:lvl>
  </w:abstractNum>
  <w:abstractNum w:abstractNumId="13" w15:restartNumberingAfterBreak="0">
    <w:nsid w:val="24B208E4"/>
    <w:multiLevelType w:val="multilevel"/>
    <w:tmpl w:val="85847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7F6B68"/>
    <w:multiLevelType w:val="hybridMultilevel"/>
    <w:tmpl w:val="8CEE2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571E15"/>
    <w:multiLevelType w:val="hybridMultilevel"/>
    <w:tmpl w:val="2EC806D8"/>
    <w:lvl w:ilvl="0" w:tplc="DB5041CA">
      <w:start w:val="1"/>
      <w:numFmt w:val="bullet"/>
      <w:lvlText w:val=""/>
      <w:lvlJc w:val="left"/>
      <w:pPr>
        <w:ind w:left="720" w:hanging="360"/>
      </w:pPr>
      <w:rPr>
        <w:rFonts w:ascii="Symbol" w:hAnsi="Symbol" w:hint="default"/>
        <w:color w:val="FFFF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92134B"/>
    <w:multiLevelType w:val="hybridMultilevel"/>
    <w:tmpl w:val="4274DD98"/>
    <w:lvl w:ilvl="0" w:tplc="8AE84A0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05342E"/>
    <w:multiLevelType w:val="hybridMultilevel"/>
    <w:tmpl w:val="187E0D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1860BA6"/>
    <w:multiLevelType w:val="hybridMultilevel"/>
    <w:tmpl w:val="1436C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E13FB2"/>
    <w:multiLevelType w:val="hybridMultilevel"/>
    <w:tmpl w:val="9C2CE61C"/>
    <w:lvl w:ilvl="0" w:tplc="0405000B">
      <w:start w:val="1"/>
      <w:numFmt w:val="bullet"/>
      <w:lvlText w:val=""/>
      <w:lvlJc w:val="left"/>
      <w:pPr>
        <w:ind w:left="720" w:hanging="360"/>
      </w:pPr>
      <w:rPr>
        <w:rFonts w:ascii="Wingdings" w:hAnsi="Wingdings" w:hint="default"/>
      </w:rPr>
    </w:lvl>
    <w:lvl w:ilvl="1" w:tplc="E7A07B86">
      <w:start w:val="1"/>
      <w:numFmt w:val="lowerLetter"/>
      <w:lvlText w:val="%2."/>
      <w:lvlJc w:val="left"/>
      <w:pPr>
        <w:ind w:left="1440" w:hanging="360"/>
      </w:pPr>
    </w:lvl>
    <w:lvl w:ilvl="2" w:tplc="244850C4" w:tentative="1">
      <w:start w:val="1"/>
      <w:numFmt w:val="lowerRoman"/>
      <w:lvlText w:val="%3."/>
      <w:lvlJc w:val="right"/>
      <w:pPr>
        <w:ind w:left="2160" w:hanging="180"/>
      </w:pPr>
    </w:lvl>
    <w:lvl w:ilvl="3" w:tplc="F8B2832C" w:tentative="1">
      <w:start w:val="1"/>
      <w:numFmt w:val="decimal"/>
      <w:lvlText w:val="%4."/>
      <w:lvlJc w:val="left"/>
      <w:pPr>
        <w:ind w:left="2880" w:hanging="360"/>
      </w:pPr>
    </w:lvl>
    <w:lvl w:ilvl="4" w:tplc="C688DF1C" w:tentative="1">
      <w:start w:val="1"/>
      <w:numFmt w:val="lowerLetter"/>
      <w:lvlText w:val="%5."/>
      <w:lvlJc w:val="left"/>
      <w:pPr>
        <w:ind w:left="3600" w:hanging="360"/>
      </w:pPr>
    </w:lvl>
    <w:lvl w:ilvl="5" w:tplc="F21A668E" w:tentative="1">
      <w:start w:val="1"/>
      <w:numFmt w:val="lowerRoman"/>
      <w:lvlText w:val="%6."/>
      <w:lvlJc w:val="right"/>
      <w:pPr>
        <w:ind w:left="4320" w:hanging="180"/>
      </w:pPr>
    </w:lvl>
    <w:lvl w:ilvl="6" w:tplc="AE7E92A2" w:tentative="1">
      <w:start w:val="1"/>
      <w:numFmt w:val="decimal"/>
      <w:lvlText w:val="%7."/>
      <w:lvlJc w:val="left"/>
      <w:pPr>
        <w:ind w:left="5040" w:hanging="360"/>
      </w:pPr>
    </w:lvl>
    <w:lvl w:ilvl="7" w:tplc="D4321958" w:tentative="1">
      <w:start w:val="1"/>
      <w:numFmt w:val="lowerLetter"/>
      <w:lvlText w:val="%8."/>
      <w:lvlJc w:val="left"/>
      <w:pPr>
        <w:ind w:left="5760" w:hanging="360"/>
      </w:pPr>
    </w:lvl>
    <w:lvl w:ilvl="8" w:tplc="A2727C86" w:tentative="1">
      <w:start w:val="1"/>
      <w:numFmt w:val="lowerRoman"/>
      <w:lvlText w:val="%9."/>
      <w:lvlJc w:val="right"/>
      <w:pPr>
        <w:ind w:left="6480" w:hanging="180"/>
      </w:pPr>
    </w:lvl>
  </w:abstractNum>
  <w:abstractNum w:abstractNumId="20" w15:restartNumberingAfterBreak="0">
    <w:nsid w:val="3A144B99"/>
    <w:multiLevelType w:val="hybridMultilevel"/>
    <w:tmpl w:val="FF2863A8"/>
    <w:lvl w:ilvl="0" w:tplc="DE9A59F2">
      <w:start w:val="3"/>
      <w:numFmt w:val="bullet"/>
      <w:lvlText w:val=""/>
      <w:lvlJc w:val="left"/>
      <w:pPr>
        <w:ind w:left="720" w:hanging="360"/>
      </w:pPr>
      <w:rPr>
        <w:rFonts w:ascii="Symbol" w:eastAsiaTheme="minorHAnsi" w:hAnsi="Symbol" w:cs="Calibri" w:hint="default"/>
        <w:color w:val="00000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C87605"/>
    <w:multiLevelType w:val="hybridMultilevel"/>
    <w:tmpl w:val="A878AAD8"/>
    <w:lvl w:ilvl="0" w:tplc="D6DC575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584F1A"/>
    <w:multiLevelType w:val="hybridMultilevel"/>
    <w:tmpl w:val="9A5673EC"/>
    <w:lvl w:ilvl="0" w:tplc="81F65A5C">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244850C4" w:tentative="1">
      <w:start w:val="1"/>
      <w:numFmt w:val="lowerRoman"/>
      <w:lvlText w:val="%3."/>
      <w:lvlJc w:val="right"/>
      <w:pPr>
        <w:ind w:left="2160" w:hanging="180"/>
      </w:pPr>
    </w:lvl>
    <w:lvl w:ilvl="3" w:tplc="F8B2832C" w:tentative="1">
      <w:start w:val="1"/>
      <w:numFmt w:val="decimal"/>
      <w:lvlText w:val="%4."/>
      <w:lvlJc w:val="left"/>
      <w:pPr>
        <w:ind w:left="2880" w:hanging="360"/>
      </w:pPr>
    </w:lvl>
    <w:lvl w:ilvl="4" w:tplc="C688DF1C" w:tentative="1">
      <w:start w:val="1"/>
      <w:numFmt w:val="lowerLetter"/>
      <w:lvlText w:val="%5."/>
      <w:lvlJc w:val="left"/>
      <w:pPr>
        <w:ind w:left="3600" w:hanging="360"/>
      </w:pPr>
    </w:lvl>
    <w:lvl w:ilvl="5" w:tplc="F21A668E" w:tentative="1">
      <w:start w:val="1"/>
      <w:numFmt w:val="lowerRoman"/>
      <w:lvlText w:val="%6."/>
      <w:lvlJc w:val="right"/>
      <w:pPr>
        <w:ind w:left="4320" w:hanging="180"/>
      </w:pPr>
    </w:lvl>
    <w:lvl w:ilvl="6" w:tplc="AE7E92A2" w:tentative="1">
      <w:start w:val="1"/>
      <w:numFmt w:val="decimal"/>
      <w:lvlText w:val="%7."/>
      <w:lvlJc w:val="left"/>
      <w:pPr>
        <w:ind w:left="5040" w:hanging="360"/>
      </w:pPr>
    </w:lvl>
    <w:lvl w:ilvl="7" w:tplc="D4321958" w:tentative="1">
      <w:start w:val="1"/>
      <w:numFmt w:val="lowerLetter"/>
      <w:lvlText w:val="%8."/>
      <w:lvlJc w:val="left"/>
      <w:pPr>
        <w:ind w:left="5760" w:hanging="360"/>
      </w:pPr>
    </w:lvl>
    <w:lvl w:ilvl="8" w:tplc="A2727C86" w:tentative="1">
      <w:start w:val="1"/>
      <w:numFmt w:val="lowerRoman"/>
      <w:lvlText w:val="%9."/>
      <w:lvlJc w:val="right"/>
      <w:pPr>
        <w:ind w:left="6480" w:hanging="180"/>
      </w:pPr>
    </w:lvl>
  </w:abstractNum>
  <w:abstractNum w:abstractNumId="23" w15:restartNumberingAfterBreak="0">
    <w:nsid w:val="4F8975DC"/>
    <w:multiLevelType w:val="hybridMultilevel"/>
    <w:tmpl w:val="9A146E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2E4EAC"/>
    <w:multiLevelType w:val="hybridMultilevel"/>
    <w:tmpl w:val="D700C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032D6A"/>
    <w:multiLevelType w:val="hybridMultilevel"/>
    <w:tmpl w:val="07C219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902914"/>
    <w:multiLevelType w:val="hybridMultilevel"/>
    <w:tmpl w:val="465460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A54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1E4136"/>
    <w:multiLevelType w:val="multilevel"/>
    <w:tmpl w:val="DCD690BA"/>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720" w:hanging="360"/>
      </w:pPr>
      <w:rPr>
        <w:rFonts w:hint="default"/>
      </w:rPr>
    </w:lvl>
    <w:lvl w:ilvl="2">
      <w:start w:val="1"/>
      <w:numFmt w:val="lowerRoman"/>
      <w:isLgl/>
      <w:lvlText w:val="%1.%2.%3"/>
      <w:lvlJc w:val="left"/>
      <w:pPr>
        <w:ind w:left="1440" w:hanging="108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4012445"/>
    <w:multiLevelType w:val="hybridMultilevel"/>
    <w:tmpl w:val="4E5A4CB2"/>
    <w:lvl w:ilvl="0" w:tplc="81F65A5C">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244850C4" w:tentative="1">
      <w:start w:val="1"/>
      <w:numFmt w:val="lowerRoman"/>
      <w:lvlText w:val="%3."/>
      <w:lvlJc w:val="right"/>
      <w:pPr>
        <w:ind w:left="2160" w:hanging="180"/>
      </w:pPr>
    </w:lvl>
    <w:lvl w:ilvl="3" w:tplc="F8B2832C" w:tentative="1">
      <w:start w:val="1"/>
      <w:numFmt w:val="decimal"/>
      <w:lvlText w:val="%4."/>
      <w:lvlJc w:val="left"/>
      <w:pPr>
        <w:ind w:left="2880" w:hanging="360"/>
      </w:pPr>
    </w:lvl>
    <w:lvl w:ilvl="4" w:tplc="C688DF1C" w:tentative="1">
      <w:start w:val="1"/>
      <w:numFmt w:val="lowerLetter"/>
      <w:lvlText w:val="%5."/>
      <w:lvlJc w:val="left"/>
      <w:pPr>
        <w:ind w:left="3600" w:hanging="360"/>
      </w:pPr>
    </w:lvl>
    <w:lvl w:ilvl="5" w:tplc="F21A668E" w:tentative="1">
      <w:start w:val="1"/>
      <w:numFmt w:val="lowerRoman"/>
      <w:lvlText w:val="%6."/>
      <w:lvlJc w:val="right"/>
      <w:pPr>
        <w:ind w:left="4320" w:hanging="180"/>
      </w:pPr>
    </w:lvl>
    <w:lvl w:ilvl="6" w:tplc="AE7E92A2" w:tentative="1">
      <w:start w:val="1"/>
      <w:numFmt w:val="decimal"/>
      <w:lvlText w:val="%7."/>
      <w:lvlJc w:val="left"/>
      <w:pPr>
        <w:ind w:left="5040" w:hanging="360"/>
      </w:pPr>
    </w:lvl>
    <w:lvl w:ilvl="7" w:tplc="D4321958" w:tentative="1">
      <w:start w:val="1"/>
      <w:numFmt w:val="lowerLetter"/>
      <w:lvlText w:val="%8."/>
      <w:lvlJc w:val="left"/>
      <w:pPr>
        <w:ind w:left="5760" w:hanging="360"/>
      </w:pPr>
    </w:lvl>
    <w:lvl w:ilvl="8" w:tplc="A2727C86" w:tentative="1">
      <w:start w:val="1"/>
      <w:numFmt w:val="lowerRoman"/>
      <w:lvlText w:val="%9."/>
      <w:lvlJc w:val="right"/>
      <w:pPr>
        <w:ind w:left="6480" w:hanging="180"/>
      </w:pPr>
    </w:lvl>
  </w:abstractNum>
  <w:abstractNum w:abstractNumId="30" w15:restartNumberingAfterBreak="0">
    <w:nsid w:val="74A3660E"/>
    <w:multiLevelType w:val="hybridMultilevel"/>
    <w:tmpl w:val="0DEA0B04"/>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31" w15:restartNumberingAfterBreak="0">
    <w:nsid w:val="7D7422C5"/>
    <w:multiLevelType w:val="hybridMultilevel"/>
    <w:tmpl w:val="3EE66AF0"/>
    <w:lvl w:ilvl="0" w:tplc="81F65A5C">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244850C4" w:tentative="1">
      <w:start w:val="1"/>
      <w:numFmt w:val="lowerRoman"/>
      <w:lvlText w:val="%3."/>
      <w:lvlJc w:val="right"/>
      <w:pPr>
        <w:ind w:left="2160" w:hanging="180"/>
      </w:pPr>
    </w:lvl>
    <w:lvl w:ilvl="3" w:tplc="F8B2832C" w:tentative="1">
      <w:start w:val="1"/>
      <w:numFmt w:val="decimal"/>
      <w:lvlText w:val="%4."/>
      <w:lvlJc w:val="left"/>
      <w:pPr>
        <w:ind w:left="2880" w:hanging="360"/>
      </w:pPr>
    </w:lvl>
    <w:lvl w:ilvl="4" w:tplc="C688DF1C" w:tentative="1">
      <w:start w:val="1"/>
      <w:numFmt w:val="lowerLetter"/>
      <w:lvlText w:val="%5."/>
      <w:lvlJc w:val="left"/>
      <w:pPr>
        <w:ind w:left="3600" w:hanging="360"/>
      </w:pPr>
    </w:lvl>
    <w:lvl w:ilvl="5" w:tplc="F21A668E" w:tentative="1">
      <w:start w:val="1"/>
      <w:numFmt w:val="lowerRoman"/>
      <w:lvlText w:val="%6."/>
      <w:lvlJc w:val="right"/>
      <w:pPr>
        <w:ind w:left="4320" w:hanging="180"/>
      </w:pPr>
    </w:lvl>
    <w:lvl w:ilvl="6" w:tplc="AE7E92A2" w:tentative="1">
      <w:start w:val="1"/>
      <w:numFmt w:val="decimal"/>
      <w:lvlText w:val="%7."/>
      <w:lvlJc w:val="left"/>
      <w:pPr>
        <w:ind w:left="5040" w:hanging="360"/>
      </w:pPr>
    </w:lvl>
    <w:lvl w:ilvl="7" w:tplc="D4321958" w:tentative="1">
      <w:start w:val="1"/>
      <w:numFmt w:val="lowerLetter"/>
      <w:lvlText w:val="%8."/>
      <w:lvlJc w:val="left"/>
      <w:pPr>
        <w:ind w:left="5760" w:hanging="360"/>
      </w:pPr>
    </w:lvl>
    <w:lvl w:ilvl="8" w:tplc="A2727C86" w:tentative="1">
      <w:start w:val="1"/>
      <w:numFmt w:val="lowerRoman"/>
      <w:lvlText w:val="%9."/>
      <w:lvlJc w:val="right"/>
      <w:pPr>
        <w:ind w:left="6480" w:hanging="180"/>
      </w:pPr>
    </w:lvl>
  </w:abstractNum>
  <w:num w:numId="1">
    <w:abstractNumId w:val="28"/>
  </w:num>
  <w:num w:numId="2">
    <w:abstractNumId w:val="19"/>
  </w:num>
  <w:num w:numId="3">
    <w:abstractNumId w:val="6"/>
  </w:num>
  <w:num w:numId="4">
    <w:abstractNumId w:val="20"/>
  </w:num>
  <w:num w:numId="5">
    <w:abstractNumId w:val="14"/>
  </w:num>
  <w:num w:numId="6">
    <w:abstractNumId w:val="26"/>
  </w:num>
  <w:num w:numId="7">
    <w:abstractNumId w:val="2"/>
  </w:num>
  <w:num w:numId="8">
    <w:abstractNumId w:val="5"/>
  </w:num>
  <w:num w:numId="9">
    <w:abstractNumId w:val="7"/>
  </w:num>
  <w:num w:numId="10">
    <w:abstractNumId w:val="27"/>
  </w:num>
  <w:num w:numId="11">
    <w:abstractNumId w:val="12"/>
  </w:num>
  <w:num w:numId="12">
    <w:abstractNumId w:val="3"/>
  </w:num>
  <w:num w:numId="13">
    <w:abstractNumId w:val="11"/>
  </w:num>
  <w:num w:numId="14">
    <w:abstractNumId w:val="17"/>
  </w:num>
  <w:num w:numId="15">
    <w:abstractNumId w:val="25"/>
  </w:num>
  <w:num w:numId="16">
    <w:abstractNumId w:val="13"/>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3"/>
  </w:num>
  <w:num w:numId="21">
    <w:abstractNumId w:val="18"/>
  </w:num>
  <w:num w:numId="22">
    <w:abstractNumId w:val="8"/>
  </w:num>
  <w:num w:numId="23">
    <w:abstractNumId w:val="24"/>
  </w:num>
  <w:num w:numId="24">
    <w:abstractNumId w:val="21"/>
  </w:num>
  <w:num w:numId="25">
    <w:abstractNumId w:val="4"/>
  </w:num>
  <w:num w:numId="26">
    <w:abstractNumId w:val="15"/>
  </w:num>
  <w:num w:numId="27">
    <w:abstractNumId w:val="16"/>
  </w:num>
  <w:num w:numId="28">
    <w:abstractNumId w:val="29"/>
  </w:num>
  <w:num w:numId="29">
    <w:abstractNumId w:val="22"/>
  </w:num>
  <w:num w:numId="30">
    <w:abstractNumId w:val="31"/>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BC"/>
    <w:rsid w:val="00000596"/>
    <w:rsid w:val="00000DF6"/>
    <w:rsid w:val="00001C7D"/>
    <w:rsid w:val="0000340A"/>
    <w:rsid w:val="00005722"/>
    <w:rsid w:val="00010181"/>
    <w:rsid w:val="00011480"/>
    <w:rsid w:val="00011C0B"/>
    <w:rsid w:val="00014936"/>
    <w:rsid w:val="00023600"/>
    <w:rsid w:val="00023E04"/>
    <w:rsid w:val="0002495F"/>
    <w:rsid w:val="000336DD"/>
    <w:rsid w:val="00033890"/>
    <w:rsid w:val="00043624"/>
    <w:rsid w:val="00045102"/>
    <w:rsid w:val="0004703B"/>
    <w:rsid w:val="0005099E"/>
    <w:rsid w:val="00050A49"/>
    <w:rsid w:val="00052F5D"/>
    <w:rsid w:val="000561E8"/>
    <w:rsid w:val="000623EA"/>
    <w:rsid w:val="00070B2E"/>
    <w:rsid w:val="00072369"/>
    <w:rsid w:val="00075BFC"/>
    <w:rsid w:val="0008031C"/>
    <w:rsid w:val="0008286C"/>
    <w:rsid w:val="000861CF"/>
    <w:rsid w:val="000874D7"/>
    <w:rsid w:val="000A1AF8"/>
    <w:rsid w:val="000A22FE"/>
    <w:rsid w:val="000B0B28"/>
    <w:rsid w:val="000B1F2D"/>
    <w:rsid w:val="000B4446"/>
    <w:rsid w:val="000C057F"/>
    <w:rsid w:val="000C0952"/>
    <w:rsid w:val="000D0150"/>
    <w:rsid w:val="000D475B"/>
    <w:rsid w:val="000D6ED2"/>
    <w:rsid w:val="000D7BB8"/>
    <w:rsid w:val="000E09A3"/>
    <w:rsid w:val="000E1AFE"/>
    <w:rsid w:val="000E1E6B"/>
    <w:rsid w:val="000E5C55"/>
    <w:rsid w:val="000F0C7D"/>
    <w:rsid w:val="000F2980"/>
    <w:rsid w:val="001073FB"/>
    <w:rsid w:val="00107CA7"/>
    <w:rsid w:val="00111506"/>
    <w:rsid w:val="00111878"/>
    <w:rsid w:val="001133EB"/>
    <w:rsid w:val="001145F0"/>
    <w:rsid w:val="00121C9E"/>
    <w:rsid w:val="00127623"/>
    <w:rsid w:val="00131B7A"/>
    <w:rsid w:val="00133772"/>
    <w:rsid w:val="001343CA"/>
    <w:rsid w:val="00137EC3"/>
    <w:rsid w:val="0015011A"/>
    <w:rsid w:val="00155AB2"/>
    <w:rsid w:val="0015747C"/>
    <w:rsid w:val="00160F12"/>
    <w:rsid w:val="0016421A"/>
    <w:rsid w:val="00164DD3"/>
    <w:rsid w:val="001703E6"/>
    <w:rsid w:val="00170E5B"/>
    <w:rsid w:val="00171CB0"/>
    <w:rsid w:val="00173754"/>
    <w:rsid w:val="00173FEE"/>
    <w:rsid w:val="0017595F"/>
    <w:rsid w:val="00190642"/>
    <w:rsid w:val="001938AF"/>
    <w:rsid w:val="00194073"/>
    <w:rsid w:val="001941E0"/>
    <w:rsid w:val="0019514A"/>
    <w:rsid w:val="00195A37"/>
    <w:rsid w:val="00196AA0"/>
    <w:rsid w:val="001A5587"/>
    <w:rsid w:val="001A71AE"/>
    <w:rsid w:val="001B051B"/>
    <w:rsid w:val="001B0D2B"/>
    <w:rsid w:val="001B11D6"/>
    <w:rsid w:val="001B32C2"/>
    <w:rsid w:val="001B4C1F"/>
    <w:rsid w:val="001B5FD4"/>
    <w:rsid w:val="001B6F59"/>
    <w:rsid w:val="001C0DD5"/>
    <w:rsid w:val="001C4EF1"/>
    <w:rsid w:val="001C5ED7"/>
    <w:rsid w:val="001D1AD7"/>
    <w:rsid w:val="001D1E66"/>
    <w:rsid w:val="001D62F8"/>
    <w:rsid w:val="001E08D8"/>
    <w:rsid w:val="001E1125"/>
    <w:rsid w:val="001F62EF"/>
    <w:rsid w:val="00202A1B"/>
    <w:rsid w:val="002049EC"/>
    <w:rsid w:val="0021253E"/>
    <w:rsid w:val="002140F3"/>
    <w:rsid w:val="002154A9"/>
    <w:rsid w:val="00215D0C"/>
    <w:rsid w:val="00215DF2"/>
    <w:rsid w:val="00217DF9"/>
    <w:rsid w:val="00221A43"/>
    <w:rsid w:val="002235EC"/>
    <w:rsid w:val="00241A7A"/>
    <w:rsid w:val="00242448"/>
    <w:rsid w:val="00244513"/>
    <w:rsid w:val="00246CB7"/>
    <w:rsid w:val="00260E89"/>
    <w:rsid w:val="002630CA"/>
    <w:rsid w:val="002640A7"/>
    <w:rsid w:val="00264727"/>
    <w:rsid w:val="00264856"/>
    <w:rsid w:val="00264C00"/>
    <w:rsid w:val="00267165"/>
    <w:rsid w:val="00267FB7"/>
    <w:rsid w:val="00270079"/>
    <w:rsid w:val="0027466B"/>
    <w:rsid w:val="00275306"/>
    <w:rsid w:val="0027631D"/>
    <w:rsid w:val="00277B9A"/>
    <w:rsid w:val="002810F4"/>
    <w:rsid w:val="00284DD9"/>
    <w:rsid w:val="00286E3F"/>
    <w:rsid w:val="002978B2"/>
    <w:rsid w:val="002A33FF"/>
    <w:rsid w:val="002A599A"/>
    <w:rsid w:val="002B0BFA"/>
    <w:rsid w:val="002B3668"/>
    <w:rsid w:val="002B3B1E"/>
    <w:rsid w:val="002C2023"/>
    <w:rsid w:val="002C2AB9"/>
    <w:rsid w:val="002C3087"/>
    <w:rsid w:val="002C45B8"/>
    <w:rsid w:val="002C6BB9"/>
    <w:rsid w:val="002D0919"/>
    <w:rsid w:val="002D2406"/>
    <w:rsid w:val="002D5CBF"/>
    <w:rsid w:val="002D5EBD"/>
    <w:rsid w:val="002E23C8"/>
    <w:rsid w:val="002E4D7C"/>
    <w:rsid w:val="002E5F66"/>
    <w:rsid w:val="002E66F2"/>
    <w:rsid w:val="002F14E3"/>
    <w:rsid w:val="002F15F1"/>
    <w:rsid w:val="002F4144"/>
    <w:rsid w:val="003009C6"/>
    <w:rsid w:val="00300CAF"/>
    <w:rsid w:val="00301A3C"/>
    <w:rsid w:val="00301A7F"/>
    <w:rsid w:val="0030282C"/>
    <w:rsid w:val="00302DF9"/>
    <w:rsid w:val="00313551"/>
    <w:rsid w:val="003137CD"/>
    <w:rsid w:val="00313879"/>
    <w:rsid w:val="00320DDC"/>
    <w:rsid w:val="00323292"/>
    <w:rsid w:val="00323B63"/>
    <w:rsid w:val="00327846"/>
    <w:rsid w:val="00331489"/>
    <w:rsid w:val="00332C99"/>
    <w:rsid w:val="00332CB4"/>
    <w:rsid w:val="00336E11"/>
    <w:rsid w:val="003412AD"/>
    <w:rsid w:val="0034147C"/>
    <w:rsid w:val="0034547D"/>
    <w:rsid w:val="00346C0A"/>
    <w:rsid w:val="00346FC1"/>
    <w:rsid w:val="00352047"/>
    <w:rsid w:val="00357738"/>
    <w:rsid w:val="00370C2C"/>
    <w:rsid w:val="003732E1"/>
    <w:rsid w:val="0037581E"/>
    <w:rsid w:val="00375D12"/>
    <w:rsid w:val="0037671A"/>
    <w:rsid w:val="00380EE8"/>
    <w:rsid w:val="00382AC9"/>
    <w:rsid w:val="00382E10"/>
    <w:rsid w:val="0038393C"/>
    <w:rsid w:val="00383C22"/>
    <w:rsid w:val="00384C4E"/>
    <w:rsid w:val="00384FD0"/>
    <w:rsid w:val="0038632F"/>
    <w:rsid w:val="00393BA0"/>
    <w:rsid w:val="00394B48"/>
    <w:rsid w:val="003968F4"/>
    <w:rsid w:val="003A0CCB"/>
    <w:rsid w:val="003A3970"/>
    <w:rsid w:val="003B430F"/>
    <w:rsid w:val="003B47FA"/>
    <w:rsid w:val="003B5FB8"/>
    <w:rsid w:val="003C27D4"/>
    <w:rsid w:val="003C3683"/>
    <w:rsid w:val="003C47D4"/>
    <w:rsid w:val="003D0D0A"/>
    <w:rsid w:val="003D5BA1"/>
    <w:rsid w:val="003E5848"/>
    <w:rsid w:val="003E5877"/>
    <w:rsid w:val="003E7023"/>
    <w:rsid w:val="003F283A"/>
    <w:rsid w:val="003F2F84"/>
    <w:rsid w:val="003F32B0"/>
    <w:rsid w:val="003F57FA"/>
    <w:rsid w:val="0040273A"/>
    <w:rsid w:val="00402C54"/>
    <w:rsid w:val="00403B44"/>
    <w:rsid w:val="0040548C"/>
    <w:rsid w:val="004071CD"/>
    <w:rsid w:val="0041093D"/>
    <w:rsid w:val="00410DF4"/>
    <w:rsid w:val="00412098"/>
    <w:rsid w:val="00413FFD"/>
    <w:rsid w:val="00414438"/>
    <w:rsid w:val="00416CE4"/>
    <w:rsid w:val="0042183F"/>
    <w:rsid w:val="00423B76"/>
    <w:rsid w:val="00430C5E"/>
    <w:rsid w:val="00431DB6"/>
    <w:rsid w:val="004332C6"/>
    <w:rsid w:val="00433E55"/>
    <w:rsid w:val="004370B4"/>
    <w:rsid w:val="00437CEF"/>
    <w:rsid w:val="00442AD5"/>
    <w:rsid w:val="00446F5D"/>
    <w:rsid w:val="004477B3"/>
    <w:rsid w:val="00453A08"/>
    <w:rsid w:val="00454CF9"/>
    <w:rsid w:val="00455376"/>
    <w:rsid w:val="0045600B"/>
    <w:rsid w:val="00461AB8"/>
    <w:rsid w:val="004632FA"/>
    <w:rsid w:val="00472A7E"/>
    <w:rsid w:val="00474E76"/>
    <w:rsid w:val="004762E2"/>
    <w:rsid w:val="00480E39"/>
    <w:rsid w:val="0048274B"/>
    <w:rsid w:val="00487B4F"/>
    <w:rsid w:val="00490EA3"/>
    <w:rsid w:val="00492099"/>
    <w:rsid w:val="00492723"/>
    <w:rsid w:val="0049646C"/>
    <w:rsid w:val="004A0C3B"/>
    <w:rsid w:val="004A450E"/>
    <w:rsid w:val="004A479F"/>
    <w:rsid w:val="004A54DE"/>
    <w:rsid w:val="004B0415"/>
    <w:rsid w:val="004C7CAB"/>
    <w:rsid w:val="004D0E1F"/>
    <w:rsid w:val="004D1538"/>
    <w:rsid w:val="004D1A47"/>
    <w:rsid w:val="004D2086"/>
    <w:rsid w:val="004D2D92"/>
    <w:rsid w:val="004D36BB"/>
    <w:rsid w:val="004D6918"/>
    <w:rsid w:val="004E310E"/>
    <w:rsid w:val="004E37EC"/>
    <w:rsid w:val="004E3B96"/>
    <w:rsid w:val="004E441C"/>
    <w:rsid w:val="004E4CFF"/>
    <w:rsid w:val="004F24F4"/>
    <w:rsid w:val="004F423C"/>
    <w:rsid w:val="004F465B"/>
    <w:rsid w:val="004F6008"/>
    <w:rsid w:val="005025BC"/>
    <w:rsid w:val="00520703"/>
    <w:rsid w:val="005208F9"/>
    <w:rsid w:val="00522807"/>
    <w:rsid w:val="005247CF"/>
    <w:rsid w:val="00524CC6"/>
    <w:rsid w:val="00524F9F"/>
    <w:rsid w:val="00526531"/>
    <w:rsid w:val="005306D0"/>
    <w:rsid w:val="00533534"/>
    <w:rsid w:val="005352CA"/>
    <w:rsid w:val="00540DE2"/>
    <w:rsid w:val="005432D6"/>
    <w:rsid w:val="00552395"/>
    <w:rsid w:val="00552993"/>
    <w:rsid w:val="00562A30"/>
    <w:rsid w:val="00563F14"/>
    <w:rsid w:val="005650BF"/>
    <w:rsid w:val="00567C98"/>
    <w:rsid w:val="00573CBE"/>
    <w:rsid w:val="00583375"/>
    <w:rsid w:val="00593A59"/>
    <w:rsid w:val="0059705D"/>
    <w:rsid w:val="005A01EC"/>
    <w:rsid w:val="005A1C2B"/>
    <w:rsid w:val="005A4517"/>
    <w:rsid w:val="005A5160"/>
    <w:rsid w:val="005A57ED"/>
    <w:rsid w:val="005A685B"/>
    <w:rsid w:val="005A711C"/>
    <w:rsid w:val="005B4E98"/>
    <w:rsid w:val="005B5DEB"/>
    <w:rsid w:val="005B68FE"/>
    <w:rsid w:val="005C1C2F"/>
    <w:rsid w:val="005C24B0"/>
    <w:rsid w:val="005C6044"/>
    <w:rsid w:val="005C685F"/>
    <w:rsid w:val="005C6DA7"/>
    <w:rsid w:val="005C6DF8"/>
    <w:rsid w:val="005C7F3F"/>
    <w:rsid w:val="005D3B15"/>
    <w:rsid w:val="005D509E"/>
    <w:rsid w:val="005D5FB5"/>
    <w:rsid w:val="005D6864"/>
    <w:rsid w:val="005D7C7F"/>
    <w:rsid w:val="005D7CBC"/>
    <w:rsid w:val="005D7F1E"/>
    <w:rsid w:val="005E1602"/>
    <w:rsid w:val="005E4290"/>
    <w:rsid w:val="005E4907"/>
    <w:rsid w:val="005E6C30"/>
    <w:rsid w:val="005F05E8"/>
    <w:rsid w:val="005F1386"/>
    <w:rsid w:val="005F3B3B"/>
    <w:rsid w:val="005F405C"/>
    <w:rsid w:val="005F4CCC"/>
    <w:rsid w:val="005F629C"/>
    <w:rsid w:val="006016FF"/>
    <w:rsid w:val="006025EE"/>
    <w:rsid w:val="00605BF0"/>
    <w:rsid w:val="00613837"/>
    <w:rsid w:val="00613E36"/>
    <w:rsid w:val="0061440B"/>
    <w:rsid w:val="006150C8"/>
    <w:rsid w:val="006169C2"/>
    <w:rsid w:val="006178C0"/>
    <w:rsid w:val="00617FAB"/>
    <w:rsid w:val="006204E9"/>
    <w:rsid w:val="00621933"/>
    <w:rsid w:val="00622A55"/>
    <w:rsid w:val="00622BA8"/>
    <w:rsid w:val="00624C88"/>
    <w:rsid w:val="00626612"/>
    <w:rsid w:val="00626F1F"/>
    <w:rsid w:val="00631C61"/>
    <w:rsid w:val="0063392B"/>
    <w:rsid w:val="00633A7F"/>
    <w:rsid w:val="00635EA2"/>
    <w:rsid w:val="00636978"/>
    <w:rsid w:val="0064084A"/>
    <w:rsid w:val="00641A51"/>
    <w:rsid w:val="00645592"/>
    <w:rsid w:val="006556F8"/>
    <w:rsid w:val="006657DD"/>
    <w:rsid w:val="00665C11"/>
    <w:rsid w:val="0066797F"/>
    <w:rsid w:val="00670519"/>
    <w:rsid w:val="006723D6"/>
    <w:rsid w:val="00672DD0"/>
    <w:rsid w:val="00674528"/>
    <w:rsid w:val="006772DD"/>
    <w:rsid w:val="0067738B"/>
    <w:rsid w:val="00680FFC"/>
    <w:rsid w:val="00685AD7"/>
    <w:rsid w:val="006864BC"/>
    <w:rsid w:val="00687F6E"/>
    <w:rsid w:val="00687F71"/>
    <w:rsid w:val="00690404"/>
    <w:rsid w:val="00691F15"/>
    <w:rsid w:val="00693273"/>
    <w:rsid w:val="00693C99"/>
    <w:rsid w:val="0069426D"/>
    <w:rsid w:val="006A183E"/>
    <w:rsid w:val="006A18D2"/>
    <w:rsid w:val="006A4606"/>
    <w:rsid w:val="006A69A8"/>
    <w:rsid w:val="006A7427"/>
    <w:rsid w:val="006A7DC6"/>
    <w:rsid w:val="006B0BFA"/>
    <w:rsid w:val="006B13B5"/>
    <w:rsid w:val="006B3647"/>
    <w:rsid w:val="006B5810"/>
    <w:rsid w:val="006B615C"/>
    <w:rsid w:val="006C338D"/>
    <w:rsid w:val="006C3FBE"/>
    <w:rsid w:val="006C5E55"/>
    <w:rsid w:val="006C6D4F"/>
    <w:rsid w:val="006D07DB"/>
    <w:rsid w:val="006D1CEF"/>
    <w:rsid w:val="006D33C2"/>
    <w:rsid w:val="006D368A"/>
    <w:rsid w:val="006D3778"/>
    <w:rsid w:val="006D49CD"/>
    <w:rsid w:val="006E12B0"/>
    <w:rsid w:val="006E19ED"/>
    <w:rsid w:val="006E2C20"/>
    <w:rsid w:val="006E2CE1"/>
    <w:rsid w:val="006E36C4"/>
    <w:rsid w:val="006E45D2"/>
    <w:rsid w:val="006E474C"/>
    <w:rsid w:val="006E639B"/>
    <w:rsid w:val="006F1236"/>
    <w:rsid w:val="006F1D8A"/>
    <w:rsid w:val="006F55AE"/>
    <w:rsid w:val="0070300F"/>
    <w:rsid w:val="00707948"/>
    <w:rsid w:val="007132F5"/>
    <w:rsid w:val="0071578F"/>
    <w:rsid w:val="00717DE1"/>
    <w:rsid w:val="00726E96"/>
    <w:rsid w:val="007322CD"/>
    <w:rsid w:val="007344A6"/>
    <w:rsid w:val="00735671"/>
    <w:rsid w:val="00736008"/>
    <w:rsid w:val="007378FC"/>
    <w:rsid w:val="00740255"/>
    <w:rsid w:val="00740448"/>
    <w:rsid w:val="007414E1"/>
    <w:rsid w:val="00741DE1"/>
    <w:rsid w:val="00743053"/>
    <w:rsid w:val="00743E0C"/>
    <w:rsid w:val="00744786"/>
    <w:rsid w:val="0075137E"/>
    <w:rsid w:val="007533E3"/>
    <w:rsid w:val="007727F7"/>
    <w:rsid w:val="00774155"/>
    <w:rsid w:val="007748C0"/>
    <w:rsid w:val="00775226"/>
    <w:rsid w:val="00776A24"/>
    <w:rsid w:val="0077714E"/>
    <w:rsid w:val="007803C9"/>
    <w:rsid w:val="00782684"/>
    <w:rsid w:val="00783E6C"/>
    <w:rsid w:val="00785515"/>
    <w:rsid w:val="00785F7D"/>
    <w:rsid w:val="007863E4"/>
    <w:rsid w:val="007876B7"/>
    <w:rsid w:val="00792F04"/>
    <w:rsid w:val="00793129"/>
    <w:rsid w:val="00795024"/>
    <w:rsid w:val="0079504B"/>
    <w:rsid w:val="00796446"/>
    <w:rsid w:val="00796725"/>
    <w:rsid w:val="007972F6"/>
    <w:rsid w:val="007A0987"/>
    <w:rsid w:val="007A384F"/>
    <w:rsid w:val="007A4C91"/>
    <w:rsid w:val="007B1B0A"/>
    <w:rsid w:val="007B2063"/>
    <w:rsid w:val="007B534E"/>
    <w:rsid w:val="007B6A52"/>
    <w:rsid w:val="007B6FD8"/>
    <w:rsid w:val="007C13FC"/>
    <w:rsid w:val="007C2E96"/>
    <w:rsid w:val="007C40C5"/>
    <w:rsid w:val="007C62D7"/>
    <w:rsid w:val="007C654F"/>
    <w:rsid w:val="007D20E8"/>
    <w:rsid w:val="007E09A2"/>
    <w:rsid w:val="007E1392"/>
    <w:rsid w:val="007E14B4"/>
    <w:rsid w:val="007E21C6"/>
    <w:rsid w:val="007E32A1"/>
    <w:rsid w:val="007E500B"/>
    <w:rsid w:val="007F0F13"/>
    <w:rsid w:val="00802603"/>
    <w:rsid w:val="0080633D"/>
    <w:rsid w:val="00806C43"/>
    <w:rsid w:val="00810D3F"/>
    <w:rsid w:val="00810DF8"/>
    <w:rsid w:val="00816090"/>
    <w:rsid w:val="00816095"/>
    <w:rsid w:val="0081622A"/>
    <w:rsid w:val="00816B63"/>
    <w:rsid w:val="00817A57"/>
    <w:rsid w:val="00820E30"/>
    <w:rsid w:val="00821AEC"/>
    <w:rsid w:val="0082725C"/>
    <w:rsid w:val="008279A9"/>
    <w:rsid w:val="00827C8E"/>
    <w:rsid w:val="0083176E"/>
    <w:rsid w:val="00832626"/>
    <w:rsid w:val="0083787F"/>
    <w:rsid w:val="00840CC1"/>
    <w:rsid w:val="00845092"/>
    <w:rsid w:val="00845242"/>
    <w:rsid w:val="008455F1"/>
    <w:rsid w:val="00846E07"/>
    <w:rsid w:val="00846E0A"/>
    <w:rsid w:val="008500CF"/>
    <w:rsid w:val="008528BC"/>
    <w:rsid w:val="008607D7"/>
    <w:rsid w:val="00873EF1"/>
    <w:rsid w:val="00873FD5"/>
    <w:rsid w:val="00876251"/>
    <w:rsid w:val="00881A32"/>
    <w:rsid w:val="008903DB"/>
    <w:rsid w:val="0089593B"/>
    <w:rsid w:val="00896D31"/>
    <w:rsid w:val="00897560"/>
    <w:rsid w:val="008A1460"/>
    <w:rsid w:val="008A4D5D"/>
    <w:rsid w:val="008A5C57"/>
    <w:rsid w:val="008A7795"/>
    <w:rsid w:val="008B1F66"/>
    <w:rsid w:val="008B3BF9"/>
    <w:rsid w:val="008B3F5D"/>
    <w:rsid w:val="008B66FC"/>
    <w:rsid w:val="008C41AD"/>
    <w:rsid w:val="008D170F"/>
    <w:rsid w:val="008D3806"/>
    <w:rsid w:val="008D6FE3"/>
    <w:rsid w:val="008E0C6F"/>
    <w:rsid w:val="008E1C29"/>
    <w:rsid w:val="008E4FE8"/>
    <w:rsid w:val="008E67E6"/>
    <w:rsid w:val="008E7589"/>
    <w:rsid w:val="008E7606"/>
    <w:rsid w:val="008F21C1"/>
    <w:rsid w:val="008F2DA2"/>
    <w:rsid w:val="008F3A5A"/>
    <w:rsid w:val="008F5416"/>
    <w:rsid w:val="0090176B"/>
    <w:rsid w:val="00902394"/>
    <w:rsid w:val="00910118"/>
    <w:rsid w:val="00924294"/>
    <w:rsid w:val="00925FEF"/>
    <w:rsid w:val="00933A55"/>
    <w:rsid w:val="0093503A"/>
    <w:rsid w:val="0093634E"/>
    <w:rsid w:val="00937F3A"/>
    <w:rsid w:val="0094063F"/>
    <w:rsid w:val="00943F8B"/>
    <w:rsid w:val="00946D07"/>
    <w:rsid w:val="009470F7"/>
    <w:rsid w:val="009476A3"/>
    <w:rsid w:val="00947A92"/>
    <w:rsid w:val="0095045E"/>
    <w:rsid w:val="009600C7"/>
    <w:rsid w:val="009640F1"/>
    <w:rsid w:val="00964789"/>
    <w:rsid w:val="00967A64"/>
    <w:rsid w:val="009769AA"/>
    <w:rsid w:val="0098083A"/>
    <w:rsid w:val="0098161D"/>
    <w:rsid w:val="0098580E"/>
    <w:rsid w:val="00985FB1"/>
    <w:rsid w:val="009868B0"/>
    <w:rsid w:val="00987137"/>
    <w:rsid w:val="00993950"/>
    <w:rsid w:val="00996F5D"/>
    <w:rsid w:val="00997F9F"/>
    <w:rsid w:val="009A0A54"/>
    <w:rsid w:val="009B22B7"/>
    <w:rsid w:val="009B41EA"/>
    <w:rsid w:val="009B70CC"/>
    <w:rsid w:val="009B7396"/>
    <w:rsid w:val="009B7CCD"/>
    <w:rsid w:val="009C09F3"/>
    <w:rsid w:val="009C0AC2"/>
    <w:rsid w:val="009C1B6A"/>
    <w:rsid w:val="009C2601"/>
    <w:rsid w:val="009C4A35"/>
    <w:rsid w:val="009C50CE"/>
    <w:rsid w:val="009D0CC9"/>
    <w:rsid w:val="009D25BF"/>
    <w:rsid w:val="009D3034"/>
    <w:rsid w:val="009D342A"/>
    <w:rsid w:val="009E1089"/>
    <w:rsid w:val="009E40A1"/>
    <w:rsid w:val="009E42A1"/>
    <w:rsid w:val="009E560F"/>
    <w:rsid w:val="009F02CE"/>
    <w:rsid w:val="00A03EFC"/>
    <w:rsid w:val="00A04396"/>
    <w:rsid w:val="00A067E0"/>
    <w:rsid w:val="00A14D45"/>
    <w:rsid w:val="00A16DDE"/>
    <w:rsid w:val="00A200D6"/>
    <w:rsid w:val="00A20C96"/>
    <w:rsid w:val="00A21C93"/>
    <w:rsid w:val="00A23A6F"/>
    <w:rsid w:val="00A241D5"/>
    <w:rsid w:val="00A246A9"/>
    <w:rsid w:val="00A2560B"/>
    <w:rsid w:val="00A31C52"/>
    <w:rsid w:val="00A32BE9"/>
    <w:rsid w:val="00A40CB8"/>
    <w:rsid w:val="00A41F44"/>
    <w:rsid w:val="00A44D15"/>
    <w:rsid w:val="00A46B5F"/>
    <w:rsid w:val="00A47492"/>
    <w:rsid w:val="00A54489"/>
    <w:rsid w:val="00A55042"/>
    <w:rsid w:val="00A5796C"/>
    <w:rsid w:val="00A67CC2"/>
    <w:rsid w:val="00A73D31"/>
    <w:rsid w:val="00A7526C"/>
    <w:rsid w:val="00A76C37"/>
    <w:rsid w:val="00A82816"/>
    <w:rsid w:val="00A93312"/>
    <w:rsid w:val="00A9734B"/>
    <w:rsid w:val="00AA301F"/>
    <w:rsid w:val="00AA49C9"/>
    <w:rsid w:val="00AB485F"/>
    <w:rsid w:val="00AC0208"/>
    <w:rsid w:val="00AC1EBC"/>
    <w:rsid w:val="00AC400D"/>
    <w:rsid w:val="00AD137F"/>
    <w:rsid w:val="00AD206A"/>
    <w:rsid w:val="00AD22FC"/>
    <w:rsid w:val="00AD3148"/>
    <w:rsid w:val="00AD55E9"/>
    <w:rsid w:val="00AD5995"/>
    <w:rsid w:val="00AD78F3"/>
    <w:rsid w:val="00AE02AE"/>
    <w:rsid w:val="00AF1558"/>
    <w:rsid w:val="00AF4B66"/>
    <w:rsid w:val="00AF7ED5"/>
    <w:rsid w:val="00B01B9E"/>
    <w:rsid w:val="00B04472"/>
    <w:rsid w:val="00B05703"/>
    <w:rsid w:val="00B05F0C"/>
    <w:rsid w:val="00B17732"/>
    <w:rsid w:val="00B204E8"/>
    <w:rsid w:val="00B24888"/>
    <w:rsid w:val="00B26FBD"/>
    <w:rsid w:val="00B30D67"/>
    <w:rsid w:val="00B32003"/>
    <w:rsid w:val="00B32125"/>
    <w:rsid w:val="00B330A3"/>
    <w:rsid w:val="00B35064"/>
    <w:rsid w:val="00B37660"/>
    <w:rsid w:val="00B40373"/>
    <w:rsid w:val="00B41BE0"/>
    <w:rsid w:val="00B4316C"/>
    <w:rsid w:val="00B45BBC"/>
    <w:rsid w:val="00B46D25"/>
    <w:rsid w:val="00B513C7"/>
    <w:rsid w:val="00B57570"/>
    <w:rsid w:val="00B578E4"/>
    <w:rsid w:val="00B64FD0"/>
    <w:rsid w:val="00B65F84"/>
    <w:rsid w:val="00B74639"/>
    <w:rsid w:val="00B74FFE"/>
    <w:rsid w:val="00B80306"/>
    <w:rsid w:val="00B80D75"/>
    <w:rsid w:val="00B8265E"/>
    <w:rsid w:val="00B82EA7"/>
    <w:rsid w:val="00B8449B"/>
    <w:rsid w:val="00B859DE"/>
    <w:rsid w:val="00B86DE3"/>
    <w:rsid w:val="00B910D7"/>
    <w:rsid w:val="00B919FE"/>
    <w:rsid w:val="00B92058"/>
    <w:rsid w:val="00BA28A9"/>
    <w:rsid w:val="00BA4815"/>
    <w:rsid w:val="00BA4DAA"/>
    <w:rsid w:val="00BA4F0D"/>
    <w:rsid w:val="00BA5992"/>
    <w:rsid w:val="00BA7649"/>
    <w:rsid w:val="00BB243D"/>
    <w:rsid w:val="00BB2C9D"/>
    <w:rsid w:val="00BB3A3A"/>
    <w:rsid w:val="00BB5DEA"/>
    <w:rsid w:val="00BD11F2"/>
    <w:rsid w:val="00BD4AA0"/>
    <w:rsid w:val="00BD65E8"/>
    <w:rsid w:val="00BD7E2B"/>
    <w:rsid w:val="00BE0D6F"/>
    <w:rsid w:val="00BE2275"/>
    <w:rsid w:val="00BF2107"/>
    <w:rsid w:val="00BF5DA0"/>
    <w:rsid w:val="00BF74EA"/>
    <w:rsid w:val="00BF7C33"/>
    <w:rsid w:val="00C00749"/>
    <w:rsid w:val="00C00B29"/>
    <w:rsid w:val="00C00D3B"/>
    <w:rsid w:val="00C04D72"/>
    <w:rsid w:val="00C12362"/>
    <w:rsid w:val="00C12496"/>
    <w:rsid w:val="00C15D18"/>
    <w:rsid w:val="00C215A1"/>
    <w:rsid w:val="00C21F55"/>
    <w:rsid w:val="00C227C5"/>
    <w:rsid w:val="00C24C7E"/>
    <w:rsid w:val="00C2763A"/>
    <w:rsid w:val="00C30A0A"/>
    <w:rsid w:val="00C33EA3"/>
    <w:rsid w:val="00C42947"/>
    <w:rsid w:val="00C45E35"/>
    <w:rsid w:val="00C46852"/>
    <w:rsid w:val="00C4685B"/>
    <w:rsid w:val="00C55A12"/>
    <w:rsid w:val="00C60180"/>
    <w:rsid w:val="00C644F5"/>
    <w:rsid w:val="00C64DB3"/>
    <w:rsid w:val="00C6558C"/>
    <w:rsid w:val="00C67240"/>
    <w:rsid w:val="00C7062B"/>
    <w:rsid w:val="00C72997"/>
    <w:rsid w:val="00C72DEC"/>
    <w:rsid w:val="00C7319B"/>
    <w:rsid w:val="00C7600F"/>
    <w:rsid w:val="00C77473"/>
    <w:rsid w:val="00C813EE"/>
    <w:rsid w:val="00C8145E"/>
    <w:rsid w:val="00C81676"/>
    <w:rsid w:val="00C82631"/>
    <w:rsid w:val="00C830C3"/>
    <w:rsid w:val="00C87142"/>
    <w:rsid w:val="00C91626"/>
    <w:rsid w:val="00C91EF2"/>
    <w:rsid w:val="00C93DF8"/>
    <w:rsid w:val="00C95F5B"/>
    <w:rsid w:val="00C975A9"/>
    <w:rsid w:val="00CA662C"/>
    <w:rsid w:val="00CA6D11"/>
    <w:rsid w:val="00CA7182"/>
    <w:rsid w:val="00CB1789"/>
    <w:rsid w:val="00CB4718"/>
    <w:rsid w:val="00CB4CF2"/>
    <w:rsid w:val="00CC2863"/>
    <w:rsid w:val="00CC6184"/>
    <w:rsid w:val="00CC64CF"/>
    <w:rsid w:val="00CD4B03"/>
    <w:rsid w:val="00CE0B7C"/>
    <w:rsid w:val="00CE0FC8"/>
    <w:rsid w:val="00CE1959"/>
    <w:rsid w:val="00CE3878"/>
    <w:rsid w:val="00CE5A9E"/>
    <w:rsid w:val="00CE6AF0"/>
    <w:rsid w:val="00CE6CD2"/>
    <w:rsid w:val="00CE7CFC"/>
    <w:rsid w:val="00CF05CB"/>
    <w:rsid w:val="00CF0D0F"/>
    <w:rsid w:val="00CF1559"/>
    <w:rsid w:val="00CF2B1E"/>
    <w:rsid w:val="00CF3BBD"/>
    <w:rsid w:val="00CF5D8D"/>
    <w:rsid w:val="00CF5E2B"/>
    <w:rsid w:val="00CF73A1"/>
    <w:rsid w:val="00CF797C"/>
    <w:rsid w:val="00CF7D69"/>
    <w:rsid w:val="00D00321"/>
    <w:rsid w:val="00D12A8A"/>
    <w:rsid w:val="00D1534E"/>
    <w:rsid w:val="00D156C4"/>
    <w:rsid w:val="00D2068A"/>
    <w:rsid w:val="00D226E1"/>
    <w:rsid w:val="00D25CEA"/>
    <w:rsid w:val="00D25F97"/>
    <w:rsid w:val="00D30CBF"/>
    <w:rsid w:val="00D34086"/>
    <w:rsid w:val="00D36097"/>
    <w:rsid w:val="00D376AD"/>
    <w:rsid w:val="00D40812"/>
    <w:rsid w:val="00D40C38"/>
    <w:rsid w:val="00D43011"/>
    <w:rsid w:val="00D431AE"/>
    <w:rsid w:val="00D45A2C"/>
    <w:rsid w:val="00D466CF"/>
    <w:rsid w:val="00D47E26"/>
    <w:rsid w:val="00D51DD5"/>
    <w:rsid w:val="00D52288"/>
    <w:rsid w:val="00D524C0"/>
    <w:rsid w:val="00D53AA8"/>
    <w:rsid w:val="00D53B49"/>
    <w:rsid w:val="00D53D7C"/>
    <w:rsid w:val="00D56F6B"/>
    <w:rsid w:val="00D60F73"/>
    <w:rsid w:val="00D623C2"/>
    <w:rsid w:val="00D766D1"/>
    <w:rsid w:val="00D775E4"/>
    <w:rsid w:val="00D810F0"/>
    <w:rsid w:val="00D81615"/>
    <w:rsid w:val="00D81F25"/>
    <w:rsid w:val="00D829CE"/>
    <w:rsid w:val="00D8378F"/>
    <w:rsid w:val="00D841A2"/>
    <w:rsid w:val="00D91BA0"/>
    <w:rsid w:val="00D91D0B"/>
    <w:rsid w:val="00D94AEB"/>
    <w:rsid w:val="00DA1ED8"/>
    <w:rsid w:val="00DA5637"/>
    <w:rsid w:val="00DA5A3C"/>
    <w:rsid w:val="00DA6CBE"/>
    <w:rsid w:val="00DB0723"/>
    <w:rsid w:val="00DB4A98"/>
    <w:rsid w:val="00DC0AEC"/>
    <w:rsid w:val="00DC49BC"/>
    <w:rsid w:val="00DD1CD5"/>
    <w:rsid w:val="00DD4ED5"/>
    <w:rsid w:val="00DD5878"/>
    <w:rsid w:val="00DE627E"/>
    <w:rsid w:val="00DE6932"/>
    <w:rsid w:val="00DE6949"/>
    <w:rsid w:val="00DF06C5"/>
    <w:rsid w:val="00DF25B9"/>
    <w:rsid w:val="00DF3C20"/>
    <w:rsid w:val="00DF4A5A"/>
    <w:rsid w:val="00DF6DE2"/>
    <w:rsid w:val="00E00014"/>
    <w:rsid w:val="00E0678B"/>
    <w:rsid w:val="00E07413"/>
    <w:rsid w:val="00E07DD3"/>
    <w:rsid w:val="00E1091A"/>
    <w:rsid w:val="00E11CE0"/>
    <w:rsid w:val="00E1569B"/>
    <w:rsid w:val="00E20949"/>
    <w:rsid w:val="00E216DF"/>
    <w:rsid w:val="00E22BAE"/>
    <w:rsid w:val="00E251FA"/>
    <w:rsid w:val="00E27078"/>
    <w:rsid w:val="00E274C7"/>
    <w:rsid w:val="00E31795"/>
    <w:rsid w:val="00E33FB9"/>
    <w:rsid w:val="00E342B3"/>
    <w:rsid w:val="00E35FB4"/>
    <w:rsid w:val="00E368FD"/>
    <w:rsid w:val="00E40A36"/>
    <w:rsid w:val="00E4469E"/>
    <w:rsid w:val="00E46A53"/>
    <w:rsid w:val="00E50E4E"/>
    <w:rsid w:val="00E56A27"/>
    <w:rsid w:val="00E6159B"/>
    <w:rsid w:val="00E61CB6"/>
    <w:rsid w:val="00E65499"/>
    <w:rsid w:val="00E671BD"/>
    <w:rsid w:val="00E67D52"/>
    <w:rsid w:val="00E72827"/>
    <w:rsid w:val="00E72FD2"/>
    <w:rsid w:val="00E731D2"/>
    <w:rsid w:val="00E73E89"/>
    <w:rsid w:val="00E816D0"/>
    <w:rsid w:val="00E862CF"/>
    <w:rsid w:val="00E94616"/>
    <w:rsid w:val="00E9564B"/>
    <w:rsid w:val="00EA0BED"/>
    <w:rsid w:val="00EA2856"/>
    <w:rsid w:val="00EA4C68"/>
    <w:rsid w:val="00EB55AE"/>
    <w:rsid w:val="00EB620D"/>
    <w:rsid w:val="00EC5722"/>
    <w:rsid w:val="00ED1175"/>
    <w:rsid w:val="00ED1E57"/>
    <w:rsid w:val="00ED2DFA"/>
    <w:rsid w:val="00ED505F"/>
    <w:rsid w:val="00ED5F4C"/>
    <w:rsid w:val="00ED685F"/>
    <w:rsid w:val="00EE2BDB"/>
    <w:rsid w:val="00EE6A37"/>
    <w:rsid w:val="00EE7C9B"/>
    <w:rsid w:val="00EF1145"/>
    <w:rsid w:val="00EF33F8"/>
    <w:rsid w:val="00EF4275"/>
    <w:rsid w:val="00F00E54"/>
    <w:rsid w:val="00F02A10"/>
    <w:rsid w:val="00F02AA8"/>
    <w:rsid w:val="00F03EF8"/>
    <w:rsid w:val="00F04B56"/>
    <w:rsid w:val="00F05E82"/>
    <w:rsid w:val="00F06378"/>
    <w:rsid w:val="00F0790C"/>
    <w:rsid w:val="00F159B7"/>
    <w:rsid w:val="00F17863"/>
    <w:rsid w:val="00F23847"/>
    <w:rsid w:val="00F27182"/>
    <w:rsid w:val="00F27A0A"/>
    <w:rsid w:val="00F319B1"/>
    <w:rsid w:val="00F41854"/>
    <w:rsid w:val="00F42131"/>
    <w:rsid w:val="00F53603"/>
    <w:rsid w:val="00F57C83"/>
    <w:rsid w:val="00F65A41"/>
    <w:rsid w:val="00F67FBA"/>
    <w:rsid w:val="00F72FBB"/>
    <w:rsid w:val="00F741D9"/>
    <w:rsid w:val="00F762C1"/>
    <w:rsid w:val="00F81DC6"/>
    <w:rsid w:val="00F824B3"/>
    <w:rsid w:val="00F8794D"/>
    <w:rsid w:val="00F96568"/>
    <w:rsid w:val="00FA1E29"/>
    <w:rsid w:val="00FA3E86"/>
    <w:rsid w:val="00FA40F6"/>
    <w:rsid w:val="00FA6BEC"/>
    <w:rsid w:val="00FB24F0"/>
    <w:rsid w:val="00FB2EEA"/>
    <w:rsid w:val="00FC4487"/>
    <w:rsid w:val="00FC5710"/>
    <w:rsid w:val="00FC5C3D"/>
    <w:rsid w:val="00FD7E46"/>
    <w:rsid w:val="00FE100E"/>
    <w:rsid w:val="00FE1B56"/>
    <w:rsid w:val="00FE318E"/>
    <w:rsid w:val="00FE620B"/>
    <w:rsid w:val="00FE6950"/>
    <w:rsid w:val="00FF076F"/>
    <w:rsid w:val="00FF105C"/>
    <w:rsid w:val="00FF43BB"/>
    <w:rsid w:val="00FF673D"/>
    <w:rsid w:val="00FF7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5A211AD"/>
  <w15:docId w15:val="{63606A11-D4EC-4A1A-8380-4E7E05A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7660"/>
    <w:pPr>
      <w:spacing w:before="120"/>
      <w:jc w:val="both"/>
    </w:pPr>
    <w:rPr>
      <w:rFonts w:ascii="Calibri" w:hAnsi="Calibri" w:cs="Calibri"/>
      <w:color w:val="000000"/>
      <w:sz w:val="24"/>
      <w:szCs w:val="24"/>
      <w:lang w:eastAsia="en-US"/>
    </w:rPr>
  </w:style>
  <w:style w:type="paragraph" w:styleId="Nadpis1">
    <w:name w:val="heading 1"/>
    <w:basedOn w:val="Normln"/>
    <w:next w:val="Normln"/>
    <w:uiPriority w:val="9"/>
    <w:qFormat/>
    <w:rsid w:val="0010177B"/>
    <w:pPr>
      <w:keepNext/>
      <w:jc w:val="center"/>
      <w:outlineLvl w:val="0"/>
    </w:pPr>
    <w:rPr>
      <w:b/>
      <w:bCs/>
      <w:sz w:val="36"/>
      <w:szCs w:val="36"/>
    </w:rPr>
  </w:style>
  <w:style w:type="paragraph" w:styleId="Nadpis2">
    <w:name w:val="heading 2"/>
    <w:basedOn w:val="Normln"/>
    <w:next w:val="Normln"/>
    <w:link w:val="Nadpis2Char"/>
    <w:qFormat/>
    <w:rsid w:val="009B7396"/>
    <w:pPr>
      <w:numPr>
        <w:numId w:val="11"/>
      </w:numPr>
      <w:ind w:left="284" w:hanging="284"/>
      <w:outlineLvl w:val="1"/>
    </w:pPr>
    <w:rPr>
      <w:b/>
      <w:sz w:val="28"/>
      <w:szCs w:val="28"/>
    </w:rPr>
  </w:style>
  <w:style w:type="paragraph" w:styleId="Nadpis3">
    <w:name w:val="heading 3"/>
    <w:basedOn w:val="Normln"/>
    <w:next w:val="Normln"/>
    <w:uiPriority w:val="9"/>
    <w:qFormat/>
    <w:rsid w:val="00E216DF"/>
    <w:pPr>
      <w:numPr>
        <w:ilvl w:val="1"/>
        <w:numId w:val="11"/>
      </w:numPr>
      <w:spacing w:before="240" w:after="240"/>
      <w:ind w:left="425" w:hanging="425"/>
      <w:outlineLvl w:val="2"/>
    </w:pPr>
    <w:rPr>
      <w:b/>
    </w:rPr>
  </w:style>
  <w:style w:type="paragraph" w:styleId="Nadpis4">
    <w:name w:val="heading 4"/>
    <w:basedOn w:val="Odstavecseseznamem"/>
    <w:next w:val="Normln"/>
    <w:uiPriority w:val="9"/>
    <w:qFormat/>
    <w:rsid w:val="00E216DF"/>
    <w:pPr>
      <w:numPr>
        <w:ilvl w:val="2"/>
        <w:numId w:val="13"/>
      </w:numPr>
      <w:spacing w:before="240" w:after="240"/>
      <w:ind w:left="1225" w:hanging="505"/>
      <w:jc w:val="left"/>
      <w:outlineLvl w:val="3"/>
    </w:pPr>
    <w:rPr>
      <w:lang w:eastAsia="cs-CZ"/>
    </w:rPr>
  </w:style>
  <w:style w:type="paragraph" w:styleId="Nadpis5">
    <w:name w:val="heading 5"/>
    <w:basedOn w:val="Normln"/>
    <w:next w:val="Normln"/>
    <w:uiPriority w:val="9"/>
    <w:qFormat/>
    <w:rsid w:val="00FC2455"/>
    <w:pPr>
      <w:keepNext/>
      <w:outlineLvl w:val="4"/>
    </w:pPr>
    <w:rPr>
      <w:b/>
      <w:bCs/>
      <w:color w:val="0000FF"/>
      <w:sz w:val="28"/>
    </w:rPr>
  </w:style>
  <w:style w:type="paragraph" w:styleId="Nadpis6">
    <w:name w:val="heading 6"/>
    <w:basedOn w:val="Normln"/>
    <w:next w:val="Normln"/>
    <w:uiPriority w:val="9"/>
    <w:qFormat/>
    <w:rsid w:val="00FC2455"/>
    <w:pPr>
      <w:keepNext/>
      <w:spacing w:before="360"/>
      <w:ind w:firstLine="357"/>
      <w:jc w:val="center"/>
      <w:outlineLvl w:val="5"/>
    </w:pPr>
    <w:rPr>
      <w:rFonts w:ascii="Arial" w:hAnsi="Arial" w:cs="Arial"/>
      <w:b/>
      <w:bCs/>
      <w:sz w:val="28"/>
    </w:rPr>
  </w:style>
  <w:style w:type="paragraph" w:styleId="Nadpis7">
    <w:name w:val="heading 7"/>
    <w:basedOn w:val="Normln"/>
    <w:next w:val="Normln"/>
    <w:qFormat/>
    <w:rsid w:val="00FC2455"/>
    <w:pPr>
      <w:keepNext/>
      <w:ind w:firstLine="540"/>
      <w:outlineLvl w:val="6"/>
    </w:pPr>
    <w:rPr>
      <w:b/>
      <w:bCs/>
      <w:color w:val="0000FF"/>
    </w:rPr>
  </w:style>
  <w:style w:type="paragraph" w:styleId="Nadpis8">
    <w:name w:val="heading 8"/>
    <w:basedOn w:val="Normln"/>
    <w:next w:val="Normln"/>
    <w:link w:val="Nadpis8Char"/>
    <w:uiPriority w:val="9"/>
    <w:semiHidden/>
    <w:unhideWhenUsed/>
    <w:qFormat/>
    <w:rsid w:val="00AA56EB"/>
    <w:pPr>
      <w:spacing w:before="240" w:after="60"/>
      <w:outlineLvl w:val="7"/>
    </w:pPr>
    <w:rPr>
      <w:rFonts w:cs="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FC2455"/>
    <w:rPr>
      <w:b/>
      <w:bCs/>
      <w:sz w:val="32"/>
      <w:lang w:eastAsia="cs-CZ"/>
    </w:rPr>
  </w:style>
  <w:style w:type="paragraph" w:customStyle="1" w:styleId="odsazen">
    <w:name w:val="odsazený"/>
    <w:basedOn w:val="Normln"/>
    <w:rsid w:val="00FC2455"/>
    <w:pPr>
      <w:ind w:firstLine="567"/>
    </w:pPr>
    <w:rPr>
      <w:iCs/>
      <w:lang w:eastAsia="cs-CZ"/>
    </w:rPr>
  </w:style>
  <w:style w:type="paragraph" w:styleId="Zkladntext">
    <w:name w:val="Body Text"/>
    <w:basedOn w:val="Normln"/>
    <w:semiHidden/>
    <w:rsid w:val="00FC2455"/>
    <w:rPr>
      <w:b/>
      <w:bCs/>
      <w:sz w:val="28"/>
      <w:szCs w:val="28"/>
    </w:rPr>
  </w:style>
  <w:style w:type="paragraph" w:styleId="Zkladntextodsazen2">
    <w:name w:val="Body Text Indent 2"/>
    <w:basedOn w:val="Normln"/>
    <w:semiHidden/>
    <w:rsid w:val="00FC2455"/>
    <w:pPr>
      <w:ind w:left="1080" w:hanging="1080"/>
    </w:pPr>
    <w:rPr>
      <w:sz w:val="20"/>
      <w:szCs w:val="20"/>
    </w:rPr>
  </w:style>
  <w:style w:type="paragraph" w:customStyle="1" w:styleId="vod">
    <w:name w:val="Úvod"/>
    <w:basedOn w:val="Normln"/>
    <w:rsid w:val="00FC2455"/>
    <w:pPr>
      <w:keepNext/>
      <w:spacing w:before="360" w:after="240"/>
      <w:outlineLvl w:val="0"/>
    </w:pPr>
    <w:rPr>
      <w:b/>
      <w:bCs/>
      <w:sz w:val="28"/>
      <w:szCs w:val="28"/>
      <w:lang w:eastAsia="cs-CZ"/>
    </w:rPr>
  </w:style>
  <w:style w:type="paragraph" w:customStyle="1" w:styleId="Prosttext1">
    <w:name w:val="Prostý text1"/>
    <w:basedOn w:val="Normln"/>
    <w:rsid w:val="00FC2455"/>
    <w:rPr>
      <w:rFonts w:ascii="Courier New" w:hAnsi="Courier New"/>
      <w:sz w:val="20"/>
      <w:szCs w:val="20"/>
      <w:lang w:eastAsia="cs-CZ"/>
    </w:rPr>
  </w:style>
  <w:style w:type="paragraph" w:styleId="Zkladntextodsazen">
    <w:name w:val="Body Text Indent"/>
    <w:basedOn w:val="Normln"/>
    <w:semiHidden/>
    <w:rsid w:val="00FC2455"/>
    <w:pPr>
      <w:ind w:firstLine="720"/>
    </w:pPr>
  </w:style>
  <w:style w:type="paragraph" w:styleId="Zkladntext3">
    <w:name w:val="Body Text 3"/>
    <w:basedOn w:val="Normln"/>
    <w:semiHidden/>
    <w:rsid w:val="00FC2455"/>
    <w:pPr>
      <w:keepNext/>
      <w:keepLines/>
    </w:pPr>
    <w:rPr>
      <w:b/>
      <w:bCs/>
    </w:rPr>
  </w:style>
  <w:style w:type="paragraph" w:styleId="Zkladntext2">
    <w:name w:val="Body Text 2"/>
    <w:basedOn w:val="Normln"/>
    <w:semiHidden/>
    <w:rsid w:val="00FC2455"/>
    <w:pPr>
      <w:spacing w:after="120" w:line="480" w:lineRule="auto"/>
    </w:pPr>
  </w:style>
  <w:style w:type="paragraph" w:customStyle="1" w:styleId="BodyText21">
    <w:name w:val="Body Text 21"/>
    <w:basedOn w:val="Normln"/>
    <w:rsid w:val="00FC2455"/>
    <w:pPr>
      <w:overflowPunct w:val="0"/>
      <w:autoSpaceDE w:val="0"/>
      <w:autoSpaceDN w:val="0"/>
      <w:adjustRightInd w:val="0"/>
      <w:spacing w:after="120"/>
      <w:textAlignment w:val="baseline"/>
    </w:pPr>
    <w:rPr>
      <w:szCs w:val="20"/>
      <w:lang w:eastAsia="cs-CZ"/>
    </w:rPr>
  </w:style>
  <w:style w:type="paragraph" w:styleId="Zpat">
    <w:name w:val="footer"/>
    <w:basedOn w:val="Normln"/>
    <w:link w:val="ZpatChar"/>
    <w:uiPriority w:val="99"/>
    <w:rsid w:val="00FC2455"/>
    <w:pPr>
      <w:tabs>
        <w:tab w:val="center" w:pos="4536"/>
        <w:tab w:val="right" w:pos="9072"/>
      </w:tabs>
    </w:pPr>
  </w:style>
  <w:style w:type="character" w:styleId="slostrnky">
    <w:name w:val="page number"/>
    <w:basedOn w:val="Standardnpsmoodstavce"/>
    <w:semiHidden/>
    <w:rsid w:val="00FC2455"/>
  </w:style>
  <w:style w:type="paragraph" w:styleId="Zhlav">
    <w:name w:val="header"/>
    <w:basedOn w:val="Normln"/>
    <w:link w:val="ZhlavChar"/>
    <w:uiPriority w:val="99"/>
    <w:rsid w:val="00FC2455"/>
    <w:pPr>
      <w:tabs>
        <w:tab w:val="center" w:pos="4536"/>
        <w:tab w:val="right" w:pos="9072"/>
      </w:tabs>
    </w:pPr>
  </w:style>
  <w:style w:type="character" w:styleId="Odkaznakoment">
    <w:name w:val="annotation reference"/>
    <w:uiPriority w:val="99"/>
    <w:semiHidden/>
    <w:rsid w:val="00FC2455"/>
    <w:rPr>
      <w:sz w:val="16"/>
      <w:szCs w:val="16"/>
    </w:rPr>
  </w:style>
  <w:style w:type="paragraph" w:styleId="Textkomente">
    <w:name w:val="annotation text"/>
    <w:basedOn w:val="Normln"/>
    <w:link w:val="TextkomenteChar"/>
    <w:uiPriority w:val="99"/>
    <w:rsid w:val="00FC2455"/>
    <w:rPr>
      <w:sz w:val="20"/>
      <w:szCs w:val="20"/>
    </w:rPr>
  </w:style>
  <w:style w:type="paragraph" w:customStyle="1" w:styleId="Zkladntext21">
    <w:name w:val="Základní text 21"/>
    <w:basedOn w:val="Normln"/>
    <w:rsid w:val="00FC2455"/>
    <w:pPr>
      <w:overflowPunct w:val="0"/>
      <w:autoSpaceDE w:val="0"/>
      <w:autoSpaceDN w:val="0"/>
      <w:adjustRightInd w:val="0"/>
      <w:spacing w:line="240" w:lineRule="atLeast"/>
      <w:ind w:firstLine="425"/>
    </w:pPr>
    <w:rPr>
      <w:color w:val="FF0000"/>
      <w:szCs w:val="20"/>
      <w:lang w:eastAsia="cs-CZ"/>
    </w:rPr>
  </w:style>
  <w:style w:type="paragraph" w:styleId="Titulek">
    <w:name w:val="caption"/>
    <w:basedOn w:val="Normln"/>
    <w:next w:val="Normln"/>
    <w:uiPriority w:val="35"/>
    <w:qFormat/>
    <w:rsid w:val="00FC2455"/>
    <w:rPr>
      <w:rFonts w:ascii="Arial" w:hAnsi="Arial" w:cs="Arial"/>
      <w:i/>
      <w:iCs/>
      <w:sz w:val="18"/>
    </w:rPr>
  </w:style>
  <w:style w:type="paragraph" w:styleId="Zkladntextodsazen3">
    <w:name w:val="Body Text Indent 3"/>
    <w:basedOn w:val="Normln"/>
    <w:semiHidden/>
    <w:rsid w:val="00FC2455"/>
    <w:pPr>
      <w:autoSpaceDE w:val="0"/>
      <w:autoSpaceDN w:val="0"/>
      <w:adjustRightInd w:val="0"/>
      <w:spacing w:line="240" w:lineRule="atLeast"/>
      <w:ind w:left="360" w:hanging="360"/>
    </w:pPr>
  </w:style>
  <w:style w:type="character" w:customStyle="1" w:styleId="ZpatChar">
    <w:name w:val="Zápatí Char"/>
    <w:link w:val="Zpat"/>
    <w:uiPriority w:val="99"/>
    <w:rsid w:val="005E3F4A"/>
    <w:rPr>
      <w:sz w:val="24"/>
      <w:szCs w:val="24"/>
      <w:lang w:val="en-US" w:eastAsia="en-US"/>
    </w:rPr>
  </w:style>
  <w:style w:type="table" w:styleId="Mkatabulky">
    <w:name w:val="Table Grid"/>
    <w:basedOn w:val="Normlntabulka"/>
    <w:uiPriority w:val="39"/>
    <w:rsid w:val="008945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905D30"/>
    <w:rPr>
      <w:rFonts w:ascii="Tahoma" w:hAnsi="Tahoma" w:cs="Tahoma"/>
      <w:sz w:val="16"/>
      <w:szCs w:val="16"/>
    </w:rPr>
  </w:style>
  <w:style w:type="character" w:customStyle="1" w:styleId="TextbublinyChar">
    <w:name w:val="Text bubliny Char"/>
    <w:link w:val="Textbubliny"/>
    <w:uiPriority w:val="99"/>
    <w:semiHidden/>
    <w:rsid w:val="00905D30"/>
    <w:rPr>
      <w:rFonts w:ascii="Tahoma" w:hAnsi="Tahoma" w:cs="Tahoma"/>
      <w:sz w:val="16"/>
      <w:szCs w:val="16"/>
      <w:lang w:val="en-US" w:eastAsia="en-US"/>
    </w:rPr>
  </w:style>
  <w:style w:type="paragraph" w:styleId="Odstavecseseznamem">
    <w:name w:val="List Paragraph"/>
    <w:aliases w:val="Nad,Nadpis pro KZ,odrážky,List Paragraph_0,List Paragraph_1,List Paragraph_2,Odstavec se seznamem1,Odstavec se seznamem2,můj Nadpis 2,List Paragraph,List Paragraph1,List Paragraph2,Nad1,Nad2,Odstavec_muj,Odstavec_muj1,Odstavec_muj10"/>
    <w:basedOn w:val="Normln"/>
    <w:link w:val="OdstavecseseznamemChar"/>
    <w:uiPriority w:val="34"/>
    <w:qFormat/>
    <w:rsid w:val="00C94B2D"/>
    <w:pPr>
      <w:ind w:left="720"/>
      <w:contextualSpacing/>
    </w:pPr>
  </w:style>
  <w:style w:type="paragraph" w:styleId="Pedmtkomente">
    <w:name w:val="annotation subject"/>
    <w:basedOn w:val="Textkomente"/>
    <w:next w:val="Textkomente"/>
    <w:link w:val="PedmtkomenteChar"/>
    <w:uiPriority w:val="99"/>
    <w:semiHidden/>
    <w:unhideWhenUsed/>
    <w:rsid w:val="008D73B7"/>
    <w:rPr>
      <w:b/>
      <w:bCs/>
    </w:rPr>
  </w:style>
  <w:style w:type="character" w:customStyle="1" w:styleId="TextkomenteChar">
    <w:name w:val="Text komentáře Char"/>
    <w:link w:val="Textkomente"/>
    <w:uiPriority w:val="99"/>
    <w:rsid w:val="008D73B7"/>
    <w:rPr>
      <w:lang w:val="en-US" w:eastAsia="en-US"/>
    </w:rPr>
  </w:style>
  <w:style w:type="character" w:customStyle="1" w:styleId="PedmtkomenteChar">
    <w:name w:val="Předmět komentáře Char"/>
    <w:link w:val="Pedmtkomente"/>
    <w:uiPriority w:val="99"/>
    <w:semiHidden/>
    <w:rsid w:val="008D73B7"/>
    <w:rPr>
      <w:b/>
      <w:bCs/>
      <w:lang w:val="en-US" w:eastAsia="en-US"/>
    </w:rPr>
  </w:style>
  <w:style w:type="paragraph" w:styleId="Textpoznpodarou">
    <w:name w:val="footnote text"/>
    <w:aliases w:val="Footnote,Footnote Text Char,Footnote Text Char Char,Footnote Text Char Char Char Char Char Char,Footnote Text Char1,Footnote Text Char1 Char Char Char Char,Footnote Text Char2 Char Char Char,Footnote Text Char3 Char Char,Podrozdział"/>
    <w:basedOn w:val="Normln"/>
    <w:link w:val="TextpoznpodarouChar"/>
    <w:uiPriority w:val="99"/>
    <w:unhideWhenUsed/>
    <w:qFormat/>
    <w:rsid w:val="00EA73F6"/>
    <w:pPr>
      <w:spacing w:before="0"/>
    </w:pPr>
    <w:rPr>
      <w:sz w:val="20"/>
      <w:szCs w:val="20"/>
    </w:rPr>
  </w:style>
  <w:style w:type="character" w:customStyle="1" w:styleId="TextpoznpodarouChar">
    <w:name w:val="Text pozn. pod čarou Char"/>
    <w:aliases w:val="Footnote Char,Footnote Text Char Char1,Footnote Text Char Char Char,Footnote Text Char Char Char Char Char Char Char,Footnote Text Char1 Char,Footnote Text Char1 Char Char Char Char Char,Footnote Text Char2 Char Char Char Char"/>
    <w:link w:val="Textpoznpodarou"/>
    <w:uiPriority w:val="99"/>
    <w:rsid w:val="00EA73F6"/>
    <w:rPr>
      <w:rFonts w:ascii="Calibri" w:hAnsi="Calibri" w:cs="Calibri"/>
      <w:color w:val="000000"/>
      <w:lang w:eastAsia="en-US"/>
    </w:rPr>
  </w:style>
  <w:style w:type="character" w:styleId="Znakapoznpodarou">
    <w:name w:val="footnote reference"/>
    <w:aliases w:val="12 b.,Appel note de bas de p,Appel note de bas de page,BVI fnr,Char Car Car Car Car,Footnote Reference Superscript,Footnote symbol,Légende,PGI Fußnote Ziffer,PGI Fußnote Ziffer + Times New Roman,Voetnootverwijzing,Zúžené o ..."/>
    <w:uiPriority w:val="99"/>
    <w:unhideWhenUsed/>
    <w:rsid w:val="00E73CB0"/>
    <w:rPr>
      <w:vertAlign w:val="superscript"/>
    </w:rPr>
  </w:style>
  <w:style w:type="paragraph" w:styleId="Normlnweb">
    <w:name w:val="Normal (Web)"/>
    <w:basedOn w:val="Normln"/>
    <w:uiPriority w:val="99"/>
    <w:rsid w:val="003D6E7E"/>
  </w:style>
  <w:style w:type="character" w:styleId="Zdraznn">
    <w:name w:val="Emphasis"/>
    <w:aliases w:val="běžný text"/>
    <w:uiPriority w:val="20"/>
    <w:qFormat/>
    <w:rsid w:val="003D6E7E"/>
    <w:rPr>
      <w:i/>
      <w:iCs/>
    </w:rPr>
  </w:style>
  <w:style w:type="paragraph" w:customStyle="1" w:styleId="NormlnKZ">
    <w:name w:val="Normální KZ"/>
    <w:basedOn w:val="Normln"/>
    <w:rsid w:val="00AF495B"/>
    <w:pPr>
      <w:spacing w:after="120"/>
      <w:ind w:firstLine="425"/>
    </w:pPr>
    <w:rPr>
      <w:rFonts w:eastAsia="Calibri"/>
      <w:sz w:val="22"/>
      <w:szCs w:val="22"/>
      <w:lang w:eastAsia="cs-CZ"/>
    </w:rPr>
  </w:style>
  <w:style w:type="character" w:customStyle="1" w:styleId="OdstavecseseznamemChar">
    <w:name w:val="Odstavec se seznamem Char"/>
    <w:aliases w:val="Nad Char,Nadpis pro KZ Char,odrážky Char,List Paragraph_0 Char,List Paragraph_1 Char,List Paragraph_2 Char,Odstavec se seznamem1 Char,Odstavec se seznamem2 Char,můj Nadpis 2 Char,List Paragraph Char,List Paragraph1 Char"/>
    <w:link w:val="Odstavecseseznamem"/>
    <w:uiPriority w:val="34"/>
    <w:rsid w:val="00B707FC"/>
    <w:rPr>
      <w:sz w:val="24"/>
      <w:szCs w:val="24"/>
      <w:lang w:eastAsia="en-US"/>
    </w:rPr>
  </w:style>
  <w:style w:type="paragraph" w:customStyle="1" w:styleId="Default">
    <w:name w:val="Default"/>
    <w:rsid w:val="00CD752C"/>
    <w:pPr>
      <w:autoSpaceDE w:val="0"/>
      <w:autoSpaceDN w:val="0"/>
      <w:adjustRightInd w:val="0"/>
    </w:pPr>
    <w:rPr>
      <w:rFonts w:ascii="Arial" w:hAnsi="Arial" w:cs="Arial"/>
      <w:color w:val="000000"/>
      <w:sz w:val="24"/>
      <w:szCs w:val="24"/>
    </w:rPr>
  </w:style>
  <w:style w:type="character" w:customStyle="1" w:styleId="Nadpis2Char">
    <w:name w:val="Nadpis 2 Char"/>
    <w:link w:val="Nadpis2"/>
    <w:rsid w:val="009B7396"/>
    <w:rPr>
      <w:rFonts w:ascii="Calibri" w:hAnsi="Calibri" w:cs="Calibri"/>
      <w:b/>
      <w:color w:val="000000"/>
      <w:sz w:val="28"/>
      <w:szCs w:val="28"/>
      <w:lang w:eastAsia="en-US"/>
    </w:rPr>
  </w:style>
  <w:style w:type="character" w:customStyle="1" w:styleId="Nadpis8Char">
    <w:name w:val="Nadpis 8 Char"/>
    <w:link w:val="Nadpis8"/>
    <w:uiPriority w:val="9"/>
    <w:semiHidden/>
    <w:rsid w:val="00AA56EB"/>
    <w:rPr>
      <w:rFonts w:ascii="Calibri" w:eastAsia="Times New Roman" w:hAnsi="Calibri" w:cs="Times New Roman"/>
      <w:i/>
      <w:iCs/>
      <w:color w:val="000000"/>
      <w:sz w:val="24"/>
      <w:szCs w:val="24"/>
      <w:lang w:eastAsia="en-US"/>
    </w:rPr>
  </w:style>
  <w:style w:type="paragraph" w:customStyle="1" w:styleId="KP-normlntext">
    <w:name w:val="KP-normální text"/>
    <w:basedOn w:val="Normln"/>
    <w:link w:val="KP-normlntextChar"/>
    <w:qFormat/>
    <w:rsid w:val="00AA56EB"/>
    <w:pPr>
      <w:spacing w:after="120"/>
      <w:ind w:firstLine="720"/>
    </w:pPr>
    <w:rPr>
      <w:rFonts w:ascii="Arial" w:hAnsi="Arial" w:cs="Arial"/>
      <w:sz w:val="22"/>
      <w:szCs w:val="22"/>
    </w:rPr>
  </w:style>
  <w:style w:type="character" w:customStyle="1" w:styleId="KP-normlntextChar">
    <w:name w:val="KP-normální text Char"/>
    <w:link w:val="KP-normlntext"/>
    <w:rsid w:val="00AA56EB"/>
    <w:rPr>
      <w:rFonts w:ascii="Arial" w:hAnsi="Arial" w:cs="Arial"/>
      <w:color w:val="000000"/>
      <w:sz w:val="22"/>
      <w:szCs w:val="22"/>
      <w:lang w:eastAsia="en-US"/>
    </w:rPr>
  </w:style>
  <w:style w:type="character" w:styleId="Hypertextovodkaz">
    <w:name w:val="Hyperlink"/>
    <w:uiPriority w:val="99"/>
    <w:rsid w:val="00270B04"/>
    <w:rPr>
      <w:color w:val="0000FF"/>
      <w:u w:val="single"/>
    </w:rPr>
  </w:style>
  <w:style w:type="character" w:styleId="Siln">
    <w:name w:val="Strong"/>
    <w:uiPriority w:val="22"/>
    <w:qFormat/>
    <w:rsid w:val="00FE5478"/>
    <w:rPr>
      <w:b/>
      <w:bCs/>
    </w:rPr>
  </w:style>
  <w:style w:type="paragraph" w:customStyle="1" w:styleId="Pa18">
    <w:name w:val="Pa18"/>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character" w:customStyle="1" w:styleId="A14">
    <w:name w:val="A14"/>
    <w:uiPriority w:val="99"/>
    <w:rsid w:val="00653E37"/>
    <w:rPr>
      <w:b/>
      <w:color w:val="000000"/>
      <w:sz w:val="54"/>
    </w:rPr>
  </w:style>
  <w:style w:type="paragraph" w:customStyle="1" w:styleId="Pa19">
    <w:name w:val="Pa19"/>
    <w:basedOn w:val="Normln"/>
    <w:next w:val="Normln"/>
    <w:uiPriority w:val="99"/>
    <w:rsid w:val="00653E37"/>
    <w:pPr>
      <w:autoSpaceDE w:val="0"/>
      <w:autoSpaceDN w:val="0"/>
      <w:adjustRightInd w:val="0"/>
      <w:spacing w:before="0" w:line="211" w:lineRule="atLeast"/>
      <w:jc w:val="left"/>
    </w:pPr>
    <w:rPr>
      <w:rFonts w:cs="Times New Roman"/>
      <w:color w:val="auto"/>
      <w:lang w:eastAsia="cs-CZ"/>
    </w:rPr>
  </w:style>
  <w:style w:type="table" w:customStyle="1" w:styleId="Mkatabulky3">
    <w:name w:val="Mřížka tabulky3"/>
    <w:basedOn w:val="Normlntabulka"/>
    <w:next w:val="Mkatabulky"/>
    <w:uiPriority w:val="39"/>
    <w:rsid w:val="006E36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15DF2"/>
    <w:rPr>
      <w:rFonts w:ascii="Arial" w:eastAsia="Calibri" w:hAnsi="Arial"/>
      <w:sz w:val="22"/>
      <w:szCs w:val="22"/>
      <w:lang w:eastAsia="en-US"/>
    </w:rPr>
  </w:style>
  <w:style w:type="character" w:customStyle="1" w:styleId="TextChar">
    <w:name w:val="Text Char"/>
    <w:basedOn w:val="Standardnpsmoodstavce"/>
    <w:link w:val="Text"/>
    <w:locked/>
    <w:rsid w:val="00613837"/>
    <w:rPr>
      <w:rFonts w:asciiTheme="minorHAnsi" w:hAnsiTheme="minorHAnsi" w:cstheme="minorHAnsi"/>
    </w:rPr>
  </w:style>
  <w:style w:type="paragraph" w:customStyle="1" w:styleId="Text">
    <w:name w:val="Text"/>
    <w:basedOn w:val="Normln"/>
    <w:link w:val="TextChar"/>
    <w:qFormat/>
    <w:rsid w:val="00613837"/>
    <w:rPr>
      <w:rFonts w:asciiTheme="minorHAnsi" w:hAnsiTheme="minorHAnsi" w:cstheme="minorHAnsi"/>
      <w:color w:val="auto"/>
      <w:sz w:val="20"/>
      <w:szCs w:val="20"/>
      <w:lang w:eastAsia="cs-CZ"/>
    </w:rPr>
  </w:style>
  <w:style w:type="character" w:styleId="Sledovanodkaz">
    <w:name w:val="FollowedHyperlink"/>
    <w:basedOn w:val="Standardnpsmoodstavce"/>
    <w:uiPriority w:val="99"/>
    <w:semiHidden/>
    <w:unhideWhenUsed/>
    <w:rsid w:val="00EA0BED"/>
    <w:rPr>
      <w:color w:val="800080" w:themeColor="followedHyperlink"/>
      <w:u w:val="single"/>
    </w:rPr>
  </w:style>
  <w:style w:type="character" w:customStyle="1" w:styleId="ZhlavChar">
    <w:name w:val="Záhlaví Char"/>
    <w:basedOn w:val="Standardnpsmoodstavce"/>
    <w:link w:val="Zhlav"/>
    <w:uiPriority w:val="99"/>
    <w:rsid w:val="007748C0"/>
    <w:rPr>
      <w:rFonts w:ascii="Calibri" w:hAnsi="Calibri" w:cs="Calibri"/>
      <w:color w:val="000000"/>
      <w:sz w:val="24"/>
      <w:szCs w:val="24"/>
      <w:lang w:eastAsia="en-US"/>
    </w:rPr>
  </w:style>
  <w:style w:type="paragraph" w:styleId="Revize">
    <w:name w:val="Revision"/>
    <w:hidden/>
    <w:uiPriority w:val="99"/>
    <w:semiHidden/>
    <w:rsid w:val="00B919FE"/>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996">
      <w:bodyDiv w:val="1"/>
      <w:marLeft w:val="0"/>
      <w:marRight w:val="0"/>
      <w:marTop w:val="0"/>
      <w:marBottom w:val="0"/>
      <w:divBdr>
        <w:top w:val="none" w:sz="0" w:space="0" w:color="auto"/>
        <w:left w:val="none" w:sz="0" w:space="0" w:color="auto"/>
        <w:bottom w:val="none" w:sz="0" w:space="0" w:color="auto"/>
        <w:right w:val="none" w:sz="0" w:space="0" w:color="auto"/>
      </w:divBdr>
    </w:div>
    <w:div w:id="232786791">
      <w:bodyDiv w:val="1"/>
      <w:marLeft w:val="0"/>
      <w:marRight w:val="0"/>
      <w:marTop w:val="0"/>
      <w:marBottom w:val="0"/>
      <w:divBdr>
        <w:top w:val="none" w:sz="0" w:space="0" w:color="auto"/>
        <w:left w:val="none" w:sz="0" w:space="0" w:color="auto"/>
        <w:bottom w:val="none" w:sz="0" w:space="0" w:color="auto"/>
        <w:right w:val="none" w:sz="0" w:space="0" w:color="auto"/>
      </w:divBdr>
    </w:div>
    <w:div w:id="283342638">
      <w:bodyDiv w:val="1"/>
      <w:marLeft w:val="0"/>
      <w:marRight w:val="0"/>
      <w:marTop w:val="0"/>
      <w:marBottom w:val="0"/>
      <w:divBdr>
        <w:top w:val="none" w:sz="0" w:space="0" w:color="auto"/>
        <w:left w:val="none" w:sz="0" w:space="0" w:color="auto"/>
        <w:bottom w:val="none" w:sz="0" w:space="0" w:color="auto"/>
        <w:right w:val="none" w:sz="0" w:space="0" w:color="auto"/>
      </w:divBdr>
    </w:div>
    <w:div w:id="777140909">
      <w:bodyDiv w:val="1"/>
      <w:marLeft w:val="0"/>
      <w:marRight w:val="0"/>
      <w:marTop w:val="0"/>
      <w:marBottom w:val="0"/>
      <w:divBdr>
        <w:top w:val="none" w:sz="0" w:space="0" w:color="auto"/>
        <w:left w:val="none" w:sz="0" w:space="0" w:color="auto"/>
        <w:bottom w:val="none" w:sz="0" w:space="0" w:color="auto"/>
        <w:right w:val="none" w:sz="0" w:space="0" w:color="auto"/>
      </w:divBdr>
    </w:div>
    <w:div w:id="966009102">
      <w:bodyDiv w:val="1"/>
      <w:marLeft w:val="0"/>
      <w:marRight w:val="0"/>
      <w:marTop w:val="0"/>
      <w:marBottom w:val="0"/>
      <w:divBdr>
        <w:top w:val="none" w:sz="0" w:space="0" w:color="auto"/>
        <w:left w:val="none" w:sz="0" w:space="0" w:color="auto"/>
        <w:bottom w:val="none" w:sz="0" w:space="0" w:color="auto"/>
        <w:right w:val="none" w:sz="0" w:space="0" w:color="auto"/>
      </w:divBdr>
    </w:div>
    <w:div w:id="1024937203">
      <w:bodyDiv w:val="1"/>
      <w:marLeft w:val="0"/>
      <w:marRight w:val="0"/>
      <w:marTop w:val="0"/>
      <w:marBottom w:val="0"/>
      <w:divBdr>
        <w:top w:val="none" w:sz="0" w:space="0" w:color="auto"/>
        <w:left w:val="none" w:sz="0" w:space="0" w:color="auto"/>
        <w:bottom w:val="none" w:sz="0" w:space="0" w:color="auto"/>
        <w:right w:val="none" w:sz="0" w:space="0" w:color="auto"/>
      </w:divBdr>
    </w:div>
    <w:div w:id="1083530423">
      <w:bodyDiv w:val="1"/>
      <w:marLeft w:val="0"/>
      <w:marRight w:val="0"/>
      <w:marTop w:val="0"/>
      <w:marBottom w:val="0"/>
      <w:divBdr>
        <w:top w:val="none" w:sz="0" w:space="0" w:color="auto"/>
        <w:left w:val="none" w:sz="0" w:space="0" w:color="auto"/>
        <w:bottom w:val="none" w:sz="0" w:space="0" w:color="auto"/>
        <w:right w:val="none" w:sz="0" w:space="0" w:color="auto"/>
      </w:divBdr>
    </w:div>
    <w:div w:id="200936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nku.cz/scripts/detail.php?id=1022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c.europa.eu/agriculture/rica/database/database_en.cf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List_aplikac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List_aplikace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569090798600561"/>
          <c:y val="9.702054133337408E-2"/>
          <c:w val="0.48912639227704036"/>
          <c:h val="0.69612056770010289"/>
        </c:manualLayout>
      </c:layout>
      <c:doughnutChart>
        <c:varyColors val="1"/>
        <c:ser>
          <c:idx val="0"/>
          <c:order val="0"/>
          <c:dPt>
            <c:idx val="0"/>
            <c:bubble3D val="0"/>
            <c:spPr>
              <a:solidFill>
                <a:srgbClr val="004595"/>
              </a:solidFill>
              <a:ln w="19050">
                <a:solidFill>
                  <a:schemeClr val="lt1"/>
                </a:solidFill>
              </a:ln>
              <a:effectLst/>
            </c:spPr>
            <c:extLst>
              <c:ext xmlns:c16="http://schemas.microsoft.com/office/drawing/2014/chart" uri="{C3380CC4-5D6E-409C-BE32-E72D297353CC}">
                <c16:uniqueId val="{00000001-00E3-4ECF-A7D0-99FF943AB99D}"/>
              </c:ext>
            </c:extLst>
          </c:dPt>
          <c:dPt>
            <c:idx val="1"/>
            <c:bubble3D val="0"/>
            <c:spPr>
              <a:solidFill>
                <a:schemeClr val="accent5">
                  <a:shade val="76000"/>
                </a:schemeClr>
              </a:solidFill>
              <a:ln w="19050">
                <a:solidFill>
                  <a:schemeClr val="lt1"/>
                </a:solidFill>
              </a:ln>
              <a:effectLst/>
            </c:spPr>
            <c:extLst>
              <c:ext xmlns:c16="http://schemas.microsoft.com/office/drawing/2014/chart" uri="{C3380CC4-5D6E-409C-BE32-E72D297353CC}">
                <c16:uniqueId val="{00000003-00E3-4ECF-A7D0-99FF943AB99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00E3-4ECF-A7D0-99FF943AB99D}"/>
              </c:ext>
            </c:extLst>
          </c:dPt>
          <c:dPt>
            <c:idx val="3"/>
            <c:bubble3D val="0"/>
            <c:spPr>
              <a:solidFill>
                <a:schemeClr val="accent5">
                  <a:tint val="77000"/>
                </a:schemeClr>
              </a:solidFill>
              <a:ln w="19050">
                <a:solidFill>
                  <a:schemeClr val="lt1"/>
                </a:solidFill>
              </a:ln>
              <a:effectLst/>
            </c:spPr>
            <c:extLst>
              <c:ext xmlns:c16="http://schemas.microsoft.com/office/drawing/2014/chart" uri="{C3380CC4-5D6E-409C-BE32-E72D297353CC}">
                <c16:uniqueId val="{00000007-00E3-4ECF-A7D0-99FF943AB99D}"/>
              </c:ext>
            </c:extLst>
          </c:dPt>
          <c:dPt>
            <c:idx val="4"/>
            <c:bubble3D val="0"/>
            <c:spPr>
              <a:solidFill>
                <a:schemeClr val="accent5">
                  <a:tint val="54000"/>
                </a:schemeClr>
              </a:solidFill>
              <a:ln w="19050">
                <a:solidFill>
                  <a:schemeClr val="lt1"/>
                </a:solidFill>
              </a:ln>
              <a:effectLst/>
            </c:spPr>
            <c:extLst>
              <c:ext xmlns:c16="http://schemas.microsoft.com/office/drawing/2014/chart" uri="{C3380CC4-5D6E-409C-BE32-E72D297353CC}">
                <c16:uniqueId val="{00000009-00E3-4ECF-A7D0-99FF943AB99D}"/>
              </c:ext>
            </c:extLst>
          </c:dPt>
          <c:dLbls>
            <c:dLbl>
              <c:idx val="0"/>
              <c:layout>
                <c:manualLayout>
                  <c:x val="0.17134179478943301"/>
                  <c:y val="-9.3927187924935068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317A2702-3D43-4CB6-BF52-68765053186B}" type="CATEGORYNAME">
                      <a:rPr lang="en-US" sz="1000"/>
                      <a:pPr>
                        <a:defRPr/>
                      </a:pPr>
                      <a:t>[NÁZEV KATEGORIE]</a:t>
                    </a:fld>
                    <a:endParaRPr lang="en-US" sz="1000" baseline="0"/>
                  </a:p>
                  <a:p>
                    <a:pPr>
                      <a:defRPr/>
                    </a:pPr>
                    <a:fld id="{AFD19B1E-2EF3-486C-9190-045F6440942B}" type="CELLREF">
                      <a:rPr lang="en-US" sz="1000" baseline="0"/>
                      <a:pPr>
                        <a:defRPr/>
                      </a:pPr>
                      <a:t>[ODKAZ NA BUŇKU]</a:t>
                    </a:fld>
                    <a:endParaRPr lang="cs-CZ"/>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19117589353150036"/>
                      <c:h val="0.20693578253869696"/>
                    </c:manualLayout>
                  </c15:layout>
                  <c15:dlblFieldTable>
                    <c15:dlblFTEntry>
                      <c15:txfldGUID>{AFD19B1E-2EF3-486C-9190-045F6440942B}</c15:txfldGUID>
                      <c15:f>List1!$B$10</c15:f>
                      <c15:dlblFieldTableCache>
                        <c:ptCount val="1"/>
                        <c:pt idx="0">
                          <c:v>8,361 mld. Kč</c:v>
                        </c:pt>
                      </c15:dlblFieldTableCache>
                    </c15:dlblFTEntry>
                  </c15:dlblFieldTable>
                  <c15:showDataLabelsRange val="0"/>
                </c:ext>
                <c:ext xmlns:c16="http://schemas.microsoft.com/office/drawing/2014/chart" uri="{C3380CC4-5D6E-409C-BE32-E72D297353CC}">
                  <c16:uniqueId val="{00000001-00E3-4ECF-A7D0-99FF943AB99D}"/>
                </c:ext>
              </c:extLst>
            </c:dLbl>
            <c:dLbl>
              <c:idx val="1"/>
              <c:layout>
                <c:manualLayout>
                  <c:x val="0.1861635220125786"/>
                  <c:y val="5.567152572419011E-2"/>
                </c:manualLayout>
              </c:layout>
              <c:tx>
                <c:rich>
                  <a:bodyPr/>
                  <a:lstStyle/>
                  <a:p>
                    <a:fld id="{48BB586F-FA1B-4592-AEBD-508FE1524DC7}" type="CATEGORYNAME">
                      <a:rPr lang="en-US" sz="1000" baseline="0"/>
                      <a:pPr/>
                      <a:t>[NÁZEV KATEGORIE]</a:t>
                    </a:fld>
                    <a:endParaRPr lang="en-US" sz="1000" baseline="0"/>
                  </a:p>
                  <a:p>
                    <a:fld id="{91457C8A-3E64-4531-93FE-F1712667AADE}" type="CELLREF">
                      <a:rPr lang="en-US" sz="1000" baseline="0"/>
                      <a:pPr/>
                      <a:t>[ODKAZ NA BUŇKU]</a:t>
                    </a:fld>
                    <a:endParaRPr lang="cs-CZ"/>
                  </a:p>
                </c:rich>
              </c:tx>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{91457C8A-3E64-4531-93FE-F1712667AADE}</c15:txfldGUID>
                      <c15:f>List1!$B$20</c15:f>
                      <c15:dlblFieldTableCache>
                        <c:ptCount val="1"/>
                        <c:pt idx="0">
                          <c:v>1,562 mld. Kč</c:v>
                        </c:pt>
                      </c15:dlblFieldTableCache>
                    </c15:dlblFTEntry>
                  </c15:dlblFieldTable>
                  <c15:showDataLabelsRange val="0"/>
                </c:ext>
                <c:ext xmlns:c16="http://schemas.microsoft.com/office/drawing/2014/chart" uri="{C3380CC4-5D6E-409C-BE32-E72D297353CC}">
                  <c16:uniqueId val="{00000003-00E3-4ECF-A7D0-99FF943AB99D}"/>
                </c:ext>
              </c:extLst>
            </c:dLbl>
            <c:dLbl>
              <c:idx val="2"/>
              <c:layout>
                <c:manualLayout>
                  <c:x val="7.006675984686038E-2"/>
                  <c:y val="0.15186724873361548"/>
                </c:manualLayout>
              </c:layout>
              <c:tx>
                <c:rich>
                  <a:bodyPr/>
                  <a:lstStyle/>
                  <a:p>
                    <a:fld id="{22CB5544-AFDF-4EC6-9D63-003C2324EDB0}" type="CATEGORYNAME">
                      <a:rPr lang="en-US" sz="1000"/>
                      <a:pPr/>
                      <a:t>[NÁZEV KATEGORIE]</a:t>
                    </a:fld>
                    <a:endParaRPr lang="en-US" sz="1000" baseline="0"/>
                  </a:p>
                  <a:p>
                    <a:fld id="{328F0F1E-380F-4352-84C6-6D377C48A69D}" type="CELLREF">
                      <a:rPr lang="en-US" sz="1000" baseline="0"/>
                      <a:pPr/>
                      <a:t>[ODKAZ NA BUŇKU]</a:t>
                    </a:fld>
                    <a:endParaRPr lang="cs-CZ"/>
                  </a:p>
                </c:rich>
              </c:tx>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{328F0F1E-380F-4352-84C6-6D377C48A69D}</c15:txfldGUID>
                      <c15:f>List1!$B$23</c15:f>
                      <c15:dlblFieldTableCache>
                        <c:ptCount val="1"/>
                        <c:pt idx="0">
                          <c:v>2,313 mld. Kč</c:v>
                        </c:pt>
                      </c15:dlblFieldTableCache>
                    </c15:dlblFTEntry>
                  </c15:dlblFieldTable>
                  <c15:showDataLabelsRange val="0"/>
                </c:ext>
                <c:ext xmlns:c16="http://schemas.microsoft.com/office/drawing/2014/chart" uri="{C3380CC4-5D6E-409C-BE32-E72D297353CC}">
                  <c16:uniqueId val="{00000005-00E3-4ECF-A7D0-99FF943AB99D}"/>
                </c:ext>
              </c:extLst>
            </c:dLbl>
            <c:dLbl>
              <c:idx val="3"/>
              <c:layout>
                <c:manualLayout>
                  <c:x val="-0.11717323841095097"/>
                  <c:y val="0.10548525559588598"/>
                </c:manualLayout>
              </c:layout>
              <c:tx>
                <c:rich>
                  <a:bodyPr/>
                  <a:lstStyle/>
                  <a:p>
                    <a:fld id="{1E048582-9F3E-46A2-8AA8-51829C61EA3A}" type="CATEGORYNAME">
                      <a:rPr lang="en-US" sz="1000"/>
                      <a:pPr/>
                      <a:t>[NÁZEV KATEGORIE]</a:t>
                    </a:fld>
                    <a:endParaRPr lang="en-US" sz="1000" baseline="0"/>
                  </a:p>
                  <a:p>
                    <a:fld id="{FD568FBA-C4D1-4B66-A927-1A06782A0A61}" type="CELLREF">
                      <a:rPr lang="en-US" sz="1000" baseline="0"/>
                      <a:pPr/>
                      <a:t>[ODKAZ NA BUŇKU]</a:t>
                    </a:fld>
                    <a:endParaRPr lang="cs-CZ"/>
                  </a:p>
                </c:rich>
              </c:tx>
              <c:showLegendKey val="0"/>
              <c:showVal val="1"/>
              <c:showCatName val="1"/>
              <c:showSerName val="0"/>
              <c:showPercent val="0"/>
              <c:showBubbleSize val="0"/>
              <c:separator>
</c:separator>
              <c:extLst>
                <c:ext xmlns:c15="http://schemas.microsoft.com/office/drawing/2012/chart" uri="{CE6537A1-D6FC-4f65-9D91-7224C49458BB}">
                  <c15:layout/>
                  <c15:dlblFieldTable>
                    <c15:dlblFTEntry>
                      <c15:txfldGUID>{FD568FBA-C4D1-4B66-A927-1A06782A0A61}</c15:txfldGUID>
                      <c15:f>List1!$B$27</c15:f>
                      <c15:dlblFieldTableCache>
                        <c:ptCount val="1"/>
                        <c:pt idx="0">
                          <c:v>1,196 mld. Kč</c:v>
                        </c:pt>
                      </c15:dlblFieldTableCache>
                    </c15:dlblFTEntry>
                  </c15:dlblFieldTable>
                  <c15:showDataLabelsRange val="0"/>
                </c:ext>
                <c:ext xmlns:c16="http://schemas.microsoft.com/office/drawing/2014/chart" uri="{C3380CC4-5D6E-409C-BE32-E72D297353CC}">
                  <c16:uniqueId val="{00000007-00E3-4ECF-A7D0-99FF943AB99D}"/>
                </c:ext>
              </c:extLst>
            </c:dLbl>
            <c:dLbl>
              <c:idx val="4"/>
              <c:layout>
                <c:manualLayout>
                  <c:x val="-0.16919844776845011"/>
                  <c:y val="-7.1189352786184851E-2"/>
                </c:manualLayout>
              </c:layout>
              <c:tx>
                <c:rich>
                  <a:bodyPr/>
                  <a:lstStyle/>
                  <a:p>
                    <a:fld id="{F306D31F-61D6-42A4-834D-959A4442EE20}" type="CATEGORYNAME">
                      <a:rPr lang="en-US" sz="1000" baseline="0"/>
                      <a:pPr/>
                      <a:t>[NÁZEV KATEGORIE]</a:t>
                    </a:fld>
                    <a:endParaRPr lang="en-US" sz="1000" baseline="0"/>
                  </a:p>
                  <a:p>
                    <a:fld id="{F7FE2F57-031F-4A1E-B623-E6BF39A08044}" type="CELLREF">
                      <a:rPr lang="en-US" sz="1000" baseline="0"/>
                      <a:pPr/>
                      <a:t>[ODKAZ NA BUŇKU]</a:t>
                    </a:fld>
                    <a:endParaRPr lang="cs-CZ"/>
                  </a:p>
                </c:rich>
              </c:tx>
              <c:showLegendKey val="0"/>
              <c:showVal val="1"/>
              <c:showCatName val="1"/>
              <c:showSerName val="0"/>
              <c:showPercent val="0"/>
              <c:showBubbleSize val="0"/>
              <c:separator>
</c:separator>
              <c:extLst>
                <c:ext xmlns:c15="http://schemas.microsoft.com/office/drawing/2012/chart" uri="{CE6537A1-D6FC-4f65-9D91-7224C49458BB}">
                  <c15:layout>
                    <c:manualLayout>
                      <c:w val="0.1662151767963955"/>
                      <c:h val="0.14020912535783961"/>
                    </c:manualLayout>
                  </c15:layout>
                  <c15:dlblFieldTable>
                    <c15:dlblFTEntry>
                      <c15:txfldGUID>{F7FE2F57-031F-4A1E-B623-E6BF39A08044}</c15:txfldGUID>
                      <c15:f>List1!$B$32</c15:f>
                      <c15:dlblFieldTableCache>
                        <c:ptCount val="1"/>
                        <c:pt idx="0">
                          <c:v>7,675 mld. Kč</c:v>
                        </c:pt>
                      </c15:dlblFieldTableCache>
                    </c15:dlblFTEntry>
                  </c15:dlblFieldTable>
                  <c15:showDataLabelsRange val="0"/>
                </c:ext>
                <c:ext xmlns:c16="http://schemas.microsoft.com/office/drawing/2014/chart" uri="{C3380CC4-5D6E-409C-BE32-E72D297353CC}">
                  <c16:uniqueId val="{00000009-00E3-4ECF-A7D0-99FF943AB99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(List1!$A$10,List1!$A$20,List1!$A$23,List1!$A$27,List1!$A$32)</c:f>
              <c:strCache>
                <c:ptCount val="5"/>
                <c:pt idx="0">
                  <c:v>Národní dotace podle Zásad</c:v>
                </c:pt>
                <c:pt idx="1">
                  <c:v>PRV 2007–2013 </c:v>
                </c:pt>
                <c:pt idx="2">
                  <c:v>PRV 2014–2020</c:v>
                </c:pt>
                <c:pt idx="3">
                  <c:v>Mimořádné podpory</c:v>
                </c:pt>
                <c:pt idx="4">
                  <c:v>Přímé platby</c:v>
                </c:pt>
              </c:strCache>
            </c:strRef>
          </c:cat>
          <c:val>
            <c:numRef>
              <c:f>(List1!$B$10,List1!$B$20,List1!$B$23,List1!$B$27,List1!$B$32)</c:f>
              <c:numCache>
                <c:formatCode>###.000\ \ \ " mld. Kč"</c:formatCode>
                <c:ptCount val="5"/>
                <c:pt idx="0">
                  <c:v>8361458277</c:v>
                </c:pt>
                <c:pt idx="1">
                  <c:v>1561754000</c:v>
                </c:pt>
                <c:pt idx="2">
                  <c:v>2313361000</c:v>
                </c:pt>
                <c:pt idx="3">
                  <c:v>1195564655</c:v>
                </c:pt>
                <c:pt idx="4">
                  <c:v>7674653529</c:v>
                </c:pt>
              </c:numCache>
            </c:numRef>
          </c:val>
          <c:extLst>
            <c:ext xmlns:c16="http://schemas.microsoft.com/office/drawing/2014/chart" uri="{C3380CC4-5D6E-409C-BE32-E72D297353CC}">
              <c16:uniqueId val="{0000000A-00E3-4ECF-A7D0-99FF943AB99D}"/>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670263653647485"/>
          <c:y val="0.10539390141892789"/>
          <c:w val="0.4563171830643552"/>
          <c:h val="0.8112106723625444"/>
        </c:manualLayout>
      </c:layout>
      <c:doughnutChart>
        <c:varyColors val="1"/>
        <c:ser>
          <c:idx val="0"/>
          <c:order val="0"/>
          <c:spPr>
            <a:ln>
              <a:noFill/>
            </a:ln>
          </c:spPr>
          <c:dPt>
            <c:idx val="0"/>
            <c:bubble3D val="0"/>
            <c:spPr>
              <a:solidFill>
                <a:srgbClr val="004595"/>
              </a:solidFill>
              <a:ln w="19050">
                <a:noFill/>
              </a:ln>
              <a:effectLst/>
            </c:spPr>
            <c:extLst>
              <c:ext xmlns:c16="http://schemas.microsoft.com/office/drawing/2014/chart" uri="{C3380CC4-5D6E-409C-BE32-E72D297353CC}">
                <c16:uniqueId val="{00000001-7570-44E4-BD20-9C66A7A51395}"/>
              </c:ext>
            </c:extLst>
          </c:dPt>
          <c:dPt>
            <c:idx val="1"/>
            <c:bubble3D val="0"/>
            <c:spPr>
              <a:solidFill>
                <a:schemeClr val="accent5">
                  <a:shade val="86000"/>
                </a:schemeClr>
              </a:solidFill>
              <a:ln w="19050">
                <a:noFill/>
              </a:ln>
              <a:effectLst/>
            </c:spPr>
            <c:extLst>
              <c:ext xmlns:c16="http://schemas.microsoft.com/office/drawing/2014/chart" uri="{C3380CC4-5D6E-409C-BE32-E72D297353CC}">
                <c16:uniqueId val="{00000003-7570-44E4-BD20-9C66A7A51395}"/>
              </c:ext>
            </c:extLst>
          </c:dPt>
          <c:dPt>
            <c:idx val="2"/>
            <c:bubble3D val="0"/>
            <c:spPr>
              <a:solidFill>
                <a:schemeClr val="accent5">
                  <a:tint val="86000"/>
                </a:schemeClr>
              </a:solidFill>
              <a:ln w="19050">
                <a:noFill/>
              </a:ln>
              <a:effectLst/>
            </c:spPr>
            <c:extLst>
              <c:ext xmlns:c16="http://schemas.microsoft.com/office/drawing/2014/chart" uri="{C3380CC4-5D6E-409C-BE32-E72D297353CC}">
                <c16:uniqueId val="{00000005-7570-44E4-BD20-9C66A7A51395}"/>
              </c:ext>
            </c:extLst>
          </c:dPt>
          <c:dPt>
            <c:idx val="3"/>
            <c:bubble3D val="0"/>
            <c:spPr>
              <a:solidFill>
                <a:schemeClr val="accent5">
                  <a:tint val="58000"/>
                </a:schemeClr>
              </a:solidFill>
              <a:ln w="19050">
                <a:noFill/>
              </a:ln>
              <a:effectLst/>
            </c:spPr>
            <c:extLst>
              <c:ext xmlns:c16="http://schemas.microsoft.com/office/drawing/2014/chart" uri="{C3380CC4-5D6E-409C-BE32-E72D297353CC}">
                <c16:uniqueId val="{00000007-7570-44E4-BD20-9C66A7A51395}"/>
              </c:ext>
            </c:extLst>
          </c:dPt>
          <c:dLbls>
            <c:dLbl>
              <c:idx val="0"/>
              <c:layout>
                <c:manualLayout>
                  <c:x val="0.17060041407867496"/>
                  <c:y val="4.0694187422461371E-2"/>
                </c:manualLayout>
              </c:layout>
              <c:tx>
                <c:rich>
                  <a:bodyPr/>
                  <a:lstStyle/>
                  <a:p>
                    <a:r>
                      <a:rPr lang="en-US" sz="1000"/>
                      <a:t>Národní dotace podle Zásad</a:t>
                    </a:r>
                    <a:r>
                      <a:rPr lang="en-US" sz="1000" baseline="0"/>
                      <a:t>
</a:t>
                    </a:r>
                    <a:fld id="{A06069C9-AE78-402D-84F6-C219DC04C91F}" type="CELLREF">
                      <a:rPr lang="en-US" sz="1000" baseline="0"/>
                      <a:pPr/>
                      <a:t>[ODKAZ NA BUŇKU]</a:t>
                    </a:fld>
                    <a:endParaRPr lang="en-US" sz="1000" baseline="0"/>
                  </a:p>
                </c:rich>
              </c:tx>
              <c:showLegendKey val="0"/>
              <c:showVal val="1"/>
              <c:showCatName val="1"/>
              <c:showSerName val="0"/>
              <c:showPercent val="0"/>
              <c:showBubbleSize val="0"/>
              <c:extLst>
                <c:ext xmlns:c15="http://schemas.microsoft.com/office/drawing/2012/chart" uri="{CE6537A1-D6FC-4f65-9D91-7224C49458BB}">
                  <c15:layout/>
                  <c15:dlblFieldTable>
                    <c15:dlblFTEntry>
                      <c15:txfldGUID>{A06069C9-AE78-402D-84F6-C219DC04C91F}</c15:txfldGUID>
                      <c15:f>List1!$B$16</c15:f>
                      <c15:dlblFieldTableCache>
                        <c:ptCount val="1"/>
                        <c:pt idx="0">
                          <c:v>0,893 mld. Kč</c:v>
                        </c:pt>
                      </c15:dlblFieldTableCache>
                    </c15:dlblFTEntry>
                  </c15:dlblFieldTable>
                  <c15:showDataLabelsRange val="0"/>
                </c:ext>
                <c:ext xmlns:c16="http://schemas.microsoft.com/office/drawing/2014/chart" uri="{C3380CC4-5D6E-409C-BE32-E72D297353CC}">
                  <c16:uniqueId val="{00000001-7570-44E4-BD20-9C66A7A51395}"/>
                </c:ext>
              </c:extLst>
            </c:dLbl>
            <c:dLbl>
              <c:idx val="1"/>
              <c:layout>
                <c:manualLayout>
                  <c:x val="-0.15900621118012426"/>
                  <c:y val="9.5751029229320193E-3"/>
                </c:manualLayout>
              </c:layout>
              <c:tx>
                <c:rich>
                  <a:bodyPr/>
                  <a:lstStyle/>
                  <a:p>
                    <a:fld id="{3FAA1AA1-931C-4887-BA99-6C6BBDE251CE}" type="CATEGORYNAME">
                      <a:rPr lang="en-US" sz="1000"/>
                      <a:pPr/>
                      <a:t>[NÁZEV KATEGORIE]</a:t>
                    </a:fld>
                    <a:r>
                      <a:rPr lang="en-US" sz="1000" baseline="0"/>
                      <a:t>
</a:t>
                    </a:r>
                    <a:fld id="{7DB92010-0F45-4415-A80F-DF4F8A9EC404}" type="CELLREF">
                      <a:rPr lang="en-US" sz="1000" baseline="0"/>
                      <a:pPr/>
                      <a:t>[ODKAZ NA BUŇKU]</a:t>
                    </a:fld>
                    <a:endParaRPr lang="en-US" sz="1000" baseline="0"/>
                  </a:p>
                </c:rich>
              </c:tx>
              <c:showLegendKey val="0"/>
              <c:showVal val="1"/>
              <c:showCatName val="1"/>
              <c:showSerName val="0"/>
              <c:showPercent val="0"/>
              <c:showBubbleSize val="0"/>
              <c:extLst>
                <c:ext xmlns:c15="http://schemas.microsoft.com/office/drawing/2012/chart" uri="{CE6537A1-D6FC-4f65-9D91-7224C49458BB}">
                  <c15:layout/>
                  <c15:dlblFieldTable>
                    <c15:dlblFTEntry>
                      <c15:txfldGUID>{7DB92010-0F45-4415-A80F-DF4F8A9EC404}</c15:txfldGUID>
                      <c15:f>List1!$B$35</c15:f>
                      <c15:dlblFieldTableCache>
                        <c:ptCount val="1"/>
                        <c:pt idx="0">
                          <c:v>0,043 mld. Kč</c:v>
                        </c:pt>
                      </c15:dlblFieldTableCache>
                    </c15:dlblFTEntry>
                  </c15:dlblFieldTable>
                  <c15:showDataLabelsRange val="0"/>
                </c:ext>
                <c:ext xmlns:c16="http://schemas.microsoft.com/office/drawing/2014/chart" uri="{C3380CC4-5D6E-409C-BE32-E72D297353CC}">
                  <c16:uniqueId val="{00000003-7570-44E4-BD20-9C66A7A51395}"/>
                </c:ext>
              </c:extLst>
            </c:dLbl>
            <c:dLbl>
              <c:idx val="2"/>
              <c:layout>
                <c:manualLayout>
                  <c:x val="-0.1391304347826087"/>
                  <c:y val="-8.3782150575655967E-2"/>
                </c:manualLayout>
              </c:layout>
              <c:tx>
                <c:rich>
                  <a:bodyPr/>
                  <a:lstStyle/>
                  <a:p>
                    <a:fld id="{A6DCCD13-2C0F-43EF-91E8-FE6942A0944E}" type="CATEGORYNAME">
                      <a:rPr lang="en-US" sz="1000"/>
                      <a:pPr/>
                      <a:t>[NÁZEV KATEGORIE]</a:t>
                    </a:fld>
                    <a:r>
                      <a:rPr lang="en-US" sz="1000" baseline="0"/>
                      <a:t>
</a:t>
                    </a:r>
                    <a:fld id="{D89B010E-BE36-4C24-B246-5D43295D0F7B}" type="CELLREF">
                      <a:rPr lang="en-US" sz="1000" baseline="0"/>
                      <a:pPr/>
                      <a:t>[ODKAZ NA BUŇKU]</a:t>
                    </a:fld>
                    <a:endParaRPr lang="en-US" sz="1000" baseline="0"/>
                  </a:p>
                </c:rich>
              </c:tx>
              <c:showLegendKey val="0"/>
              <c:showVal val="1"/>
              <c:showCatName val="1"/>
              <c:showSerName val="0"/>
              <c:showPercent val="0"/>
              <c:showBubbleSize val="0"/>
              <c:extLst>
                <c:ext xmlns:c15="http://schemas.microsoft.com/office/drawing/2012/chart" uri="{CE6537A1-D6FC-4f65-9D91-7224C49458BB}">
                  <c15:layout/>
                  <c15:dlblFieldTable>
                    <c15:dlblFTEntry>
                      <c15:txfldGUID>{D89B010E-BE36-4C24-B246-5D43295D0F7B}</c15:txfldGUID>
                      <c15:f>List1!$B$36</c15:f>
                      <c15:dlblFieldTableCache>
                        <c:ptCount val="1"/>
                        <c:pt idx="0">
                          <c:v>0,245 mld. Kč</c:v>
                        </c:pt>
                      </c15:dlblFieldTableCache>
                    </c15:dlblFTEntry>
                  </c15:dlblFieldTable>
                  <c15:showDataLabelsRange val="0"/>
                </c:ext>
                <c:ext xmlns:c16="http://schemas.microsoft.com/office/drawing/2014/chart" uri="{C3380CC4-5D6E-409C-BE32-E72D297353CC}">
                  <c16:uniqueId val="{00000005-7570-44E4-BD20-9C66A7A51395}"/>
                </c:ext>
              </c:extLst>
            </c:dLbl>
            <c:dLbl>
              <c:idx val="3"/>
              <c:layout>
                <c:manualLayout>
                  <c:x val="0.23850931677018633"/>
                  <c:y val="-6.4631944729791738E-2"/>
                </c:manualLayout>
              </c:layout>
              <c:tx>
                <c:rich>
                  <a:bodyPr/>
                  <a:lstStyle/>
                  <a:p>
                    <a:fld id="{CC86E142-1E0E-479D-ACEC-49BE3B613CEF}" type="CATEGORYNAME">
                      <a:rPr lang="en-US"/>
                      <a:pPr/>
                      <a:t>[NÁZEV KATEGORIE]</a:t>
                    </a:fld>
                    <a:r>
                      <a:rPr lang="en-US" baseline="0"/>
                      <a:t>
</a:t>
                    </a:r>
                    <a:fld id="{1CE773FB-A8CF-4D7D-B938-99A1DC5F91D9}" type="CELLREF">
                      <a:rPr lang="en-US" sz="1200" baseline="0"/>
                      <a:pPr/>
                      <a:t>[ODKAZ NA BUŇKU]</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dlblFTEntry>
                      <c15:txfldGUID>{1CE773FB-A8CF-4D7D-B938-99A1DC5F91D9}</c15:txfldGUID>
                      <c15:f>List1!$B$37</c15:f>
                      <c15:dlblFieldTableCache>
                        <c:ptCount val="1"/>
                      </c15:dlblFieldTableCache>
                    </c15:dlblFTEntry>
                  </c15:dlblFieldTable>
                  <c15:showDataLabelsRange val="0"/>
                </c:ext>
                <c:ext xmlns:c16="http://schemas.microsoft.com/office/drawing/2014/chart" uri="{C3380CC4-5D6E-409C-BE32-E72D297353CC}">
                  <c16:uniqueId val="{00000007-7570-44E4-BD20-9C66A7A5139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(List1!$A$16,List1!$A$35,List1!$A$36,List1!$A$37)</c:f>
              <c:strCache>
                <c:ptCount val="3"/>
                <c:pt idx="0">
                  <c:v>Národní dotace podle Zásad, Zásad II., Zásad III.</c:v>
                </c:pt>
                <c:pt idx="1">
                  <c:v>PRV 2007–2013</c:v>
                </c:pt>
                <c:pt idx="2">
                  <c:v>PRV 2014–2020</c:v>
                </c:pt>
              </c:strCache>
            </c:strRef>
          </c:cat>
          <c:val>
            <c:numRef>
              <c:f>(List1!$B$16,List1!$B$35,List1!$B$36,List1!$B$37)</c:f>
              <c:numCache>
                <c:formatCode>###0.000\ \ \ " mld. Kč"</c:formatCode>
                <c:ptCount val="4"/>
                <c:pt idx="0">
                  <c:v>893199534.75</c:v>
                </c:pt>
                <c:pt idx="1">
                  <c:v>42988602</c:v>
                </c:pt>
                <c:pt idx="2">
                  <c:v>244609380</c:v>
                </c:pt>
              </c:numCache>
            </c:numRef>
          </c:val>
          <c:extLst>
            <c:ext xmlns:c16="http://schemas.microsoft.com/office/drawing/2014/chart" uri="{C3380CC4-5D6E-409C-BE32-E72D297353CC}">
              <c16:uniqueId val="{00000008-7570-44E4-BD20-9C66A7A51395}"/>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523274478330656E-2"/>
          <c:y val="3.8597883073180086E-2"/>
          <c:w val="0.84099695403243147"/>
          <c:h val="0.57503084154782924"/>
        </c:manualLayout>
      </c:layout>
      <c:lineChart>
        <c:grouping val="standard"/>
        <c:varyColors val="0"/>
        <c:ser>
          <c:idx val="0"/>
          <c:order val="0"/>
          <c:tx>
            <c:strRef>
              <c:f>List1!$B$1</c:f>
              <c:strCache>
                <c:ptCount val="1"/>
                <c:pt idx="0">
                  <c:v>Produkce mléka – ČR</c:v>
                </c:pt>
              </c:strCache>
            </c:strRef>
          </c:tx>
          <c:spPr>
            <a:ln w="28575" cap="rnd">
              <a:solidFill>
                <a:srgbClr val="D88085"/>
              </a:solidFill>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List1!$B$2:$B$14</c:f>
              <c:numCache>
                <c:formatCode>General</c:formatCode>
                <c:ptCount val="13"/>
                <c:pt idx="0">
                  <c:v>299.40072199999997</c:v>
                </c:pt>
                <c:pt idx="1">
                  <c:v>363.75104540000001</c:v>
                </c:pt>
                <c:pt idx="2">
                  <c:v>459.2830318</c:v>
                </c:pt>
                <c:pt idx="3">
                  <c:v>465.35280110000002</c:v>
                </c:pt>
                <c:pt idx="4">
                  <c:v>583.85013749999996</c:v>
                </c:pt>
                <c:pt idx="5">
                  <c:v>563.6393478</c:v>
                </c:pt>
                <c:pt idx="6">
                  <c:v>650.73485840000001</c:v>
                </c:pt>
                <c:pt idx="7">
                  <c:v>669.11411239999995</c:v>
                </c:pt>
                <c:pt idx="8">
                  <c:v>637.44380220000005</c:v>
                </c:pt>
                <c:pt idx="9">
                  <c:v>811.03248629999996</c:v>
                </c:pt>
                <c:pt idx="10">
                  <c:v>772.58547920000001</c:v>
                </c:pt>
                <c:pt idx="11">
                  <c:v>804.91711680000003</c:v>
                </c:pt>
                <c:pt idx="12">
                  <c:v>921.74483880000003</c:v>
                </c:pt>
              </c:numCache>
            </c:numRef>
          </c:val>
          <c:smooth val="0"/>
          <c:extLst>
            <c:ext xmlns:c16="http://schemas.microsoft.com/office/drawing/2014/chart" uri="{C3380CC4-5D6E-409C-BE32-E72D297353CC}">
              <c16:uniqueId val="{00000000-D0DA-48EF-B12F-EBAB23440BEB}"/>
            </c:ext>
          </c:extLst>
        </c:ser>
        <c:ser>
          <c:idx val="1"/>
          <c:order val="1"/>
          <c:tx>
            <c:strRef>
              <c:f>List1!$C$1</c:f>
              <c:strCache>
                <c:ptCount val="1"/>
                <c:pt idx="0">
                  <c:v>Produkce mléka – EU</c:v>
                </c:pt>
              </c:strCache>
            </c:strRef>
          </c:tx>
          <c:spPr>
            <a:ln w="28575" cap="rnd">
              <a:solidFill>
                <a:srgbClr val="D88085"/>
              </a:solidFill>
              <a:prstDash val="sysDash"/>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List1!$C$2:$C$14</c:f>
              <c:numCache>
                <c:formatCode>General</c:formatCode>
                <c:ptCount val="13"/>
                <c:pt idx="0">
                  <c:v>242.56926952141058</c:v>
                </c:pt>
                <c:pt idx="1">
                  <c:v>293.2103188821211</c:v>
                </c:pt>
                <c:pt idx="2">
                  <c:v>332.27503946676023</c:v>
                </c:pt>
                <c:pt idx="3">
                  <c:v>313.24419778002016</c:v>
                </c:pt>
                <c:pt idx="4">
                  <c:v>311.42088530202983</c:v>
                </c:pt>
                <c:pt idx="5">
                  <c:v>303.96141215106735</c:v>
                </c:pt>
                <c:pt idx="6">
                  <c:v>326.5637065637066</c:v>
                </c:pt>
                <c:pt idx="7">
                  <c:v>319.19694072657745</c:v>
                </c:pt>
                <c:pt idx="8">
                  <c:v>300.11813349084468</c:v>
                </c:pt>
                <c:pt idx="9">
                  <c:v>291.66997223324074</c:v>
                </c:pt>
                <c:pt idx="10">
                  <c:v>272.93873312564904</c:v>
                </c:pt>
                <c:pt idx="11">
                  <c:v>283.81618381618381</c:v>
                </c:pt>
                <c:pt idx="12">
                  <c:v>300.73313782991204</c:v>
                </c:pt>
              </c:numCache>
            </c:numRef>
          </c:val>
          <c:smooth val="0"/>
          <c:extLst>
            <c:ext xmlns:c16="http://schemas.microsoft.com/office/drawing/2014/chart" uri="{C3380CC4-5D6E-409C-BE32-E72D297353CC}">
              <c16:uniqueId val="{00000001-D0DA-48EF-B12F-EBAB23440BEB}"/>
            </c:ext>
          </c:extLst>
        </c:ser>
        <c:ser>
          <c:idx val="2"/>
          <c:order val="2"/>
          <c:tx>
            <c:strRef>
              <c:f>List1!$D$1</c:f>
              <c:strCache>
                <c:ptCount val="1"/>
                <c:pt idx="0">
                  <c:v>Chov prasat a drůbeže – ČR</c:v>
                </c:pt>
              </c:strCache>
            </c:strRef>
          </c:tx>
          <c:spPr>
            <a:ln w="28575" cap="rnd">
              <a:solidFill>
                <a:srgbClr val="6690C0"/>
              </a:solidFill>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List1!$D$2:$D$14</c:f>
              <c:numCache>
                <c:formatCode>General</c:formatCode>
                <c:ptCount val="13"/>
                <c:pt idx="0">
                  <c:v>9.3737170540000001</c:v>
                </c:pt>
                <c:pt idx="1">
                  <c:v>5.9594995229999999</c:v>
                </c:pt>
                <c:pt idx="2">
                  <c:v>9.7741620569999998</c:v>
                </c:pt>
                <c:pt idx="3">
                  <c:v>23.998211349999998</c:v>
                </c:pt>
                <c:pt idx="4">
                  <c:v>19.681100709999999</c:v>
                </c:pt>
                <c:pt idx="5">
                  <c:v>17.877125320000001</c:v>
                </c:pt>
                <c:pt idx="6">
                  <c:v>25.62143425</c:v>
                </c:pt>
                <c:pt idx="7">
                  <c:v>28.17145184</c:v>
                </c:pt>
                <c:pt idx="8">
                  <c:v>32.689855479999999</c:v>
                </c:pt>
                <c:pt idx="9">
                  <c:v>48.35940334</c:v>
                </c:pt>
                <c:pt idx="10">
                  <c:v>82.231312759999994</c:v>
                </c:pt>
                <c:pt idx="11">
                  <c:v>126.8357465</c:v>
                </c:pt>
                <c:pt idx="12">
                  <c:v>163.63177379999999</c:v>
                </c:pt>
              </c:numCache>
            </c:numRef>
          </c:val>
          <c:smooth val="0"/>
          <c:extLst>
            <c:ext xmlns:c16="http://schemas.microsoft.com/office/drawing/2014/chart" uri="{C3380CC4-5D6E-409C-BE32-E72D297353CC}">
              <c16:uniqueId val="{00000002-D0DA-48EF-B12F-EBAB23440BEB}"/>
            </c:ext>
          </c:extLst>
        </c:ser>
        <c:ser>
          <c:idx val="3"/>
          <c:order val="3"/>
          <c:tx>
            <c:strRef>
              <c:f>List1!$E$1</c:f>
              <c:strCache>
                <c:ptCount val="1"/>
                <c:pt idx="0">
                  <c:v>Chov prasat a drůbeže – EU</c:v>
                </c:pt>
              </c:strCache>
            </c:strRef>
          </c:tx>
          <c:spPr>
            <a:ln w="28575" cap="rnd">
              <a:solidFill>
                <a:srgbClr val="6690C0"/>
              </a:solidFill>
              <a:prstDash val="sysDash"/>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List1!$E$2:$E$14</c:f>
              <c:numCache>
                <c:formatCode>General</c:formatCode>
                <c:ptCount val="13"/>
                <c:pt idx="0">
                  <c:v>50.403185162786009</c:v>
                </c:pt>
                <c:pt idx="1">
                  <c:v>50.686834388022845</c:v>
                </c:pt>
                <c:pt idx="2">
                  <c:v>55.434283674197992</c:v>
                </c:pt>
                <c:pt idx="3">
                  <c:v>78.532966375493601</c:v>
                </c:pt>
                <c:pt idx="4">
                  <c:v>51.986152672651528</c:v>
                </c:pt>
                <c:pt idx="5">
                  <c:v>47.545103671124679</c:v>
                </c:pt>
                <c:pt idx="6">
                  <c:v>48.656865603265167</c:v>
                </c:pt>
                <c:pt idx="7">
                  <c:v>46.104298278211324</c:v>
                </c:pt>
                <c:pt idx="8">
                  <c:v>43.286770747740348</c:v>
                </c:pt>
                <c:pt idx="9">
                  <c:v>42.748658954307508</c:v>
                </c:pt>
                <c:pt idx="10">
                  <c:v>44.616228446059445</c:v>
                </c:pt>
                <c:pt idx="11">
                  <c:v>42.988490541076857</c:v>
                </c:pt>
                <c:pt idx="12">
                  <c:v>42.847482633552595</c:v>
                </c:pt>
              </c:numCache>
            </c:numRef>
          </c:val>
          <c:smooth val="0"/>
          <c:extLst>
            <c:ext xmlns:c16="http://schemas.microsoft.com/office/drawing/2014/chart" uri="{C3380CC4-5D6E-409C-BE32-E72D297353CC}">
              <c16:uniqueId val="{00000003-D0DA-48EF-B12F-EBAB23440BEB}"/>
            </c:ext>
          </c:extLst>
        </c:ser>
        <c:ser>
          <c:idx val="4"/>
          <c:order val="4"/>
          <c:tx>
            <c:strRef>
              <c:f>List1!$F$1</c:f>
              <c:strCache>
                <c:ptCount val="1"/>
                <c:pt idx="0">
                  <c:v>Chov skotu – ČR</c:v>
                </c:pt>
              </c:strCache>
            </c:strRef>
          </c:tx>
          <c:spPr>
            <a:ln w="28575" cap="rnd">
              <a:solidFill>
                <a:srgbClr val="BD2A33"/>
              </a:solidFill>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List1!$F$2:$F$14</c:f>
              <c:numCache>
                <c:formatCode>General</c:formatCode>
                <c:ptCount val="13"/>
                <c:pt idx="0">
                  <c:v>457.3544177</c:v>
                </c:pt>
                <c:pt idx="1">
                  <c:v>549.15055649999999</c:v>
                </c:pt>
                <c:pt idx="2">
                  <c:v>887.71421039999996</c:v>
                </c:pt>
                <c:pt idx="3">
                  <c:v>841.54400720000001</c:v>
                </c:pt>
                <c:pt idx="4">
                  <c:v>1073.282134</c:v>
                </c:pt>
                <c:pt idx="5">
                  <c:v>1140.899825</c:v>
                </c:pt>
                <c:pt idx="6">
                  <c:v>1151.0221710000001</c:v>
                </c:pt>
                <c:pt idx="7">
                  <c:v>1185.3091710000001</c:v>
                </c:pt>
                <c:pt idx="8">
                  <c:v>1219.4290120000001</c:v>
                </c:pt>
                <c:pt idx="9">
                  <c:v>1199.445111</c:v>
                </c:pt>
                <c:pt idx="10">
                  <c:v>1174.244676</c:v>
                </c:pt>
                <c:pt idx="11">
                  <c:v>1057.5652170000001</c:v>
                </c:pt>
                <c:pt idx="12">
                  <c:v>1128.694661</c:v>
                </c:pt>
              </c:numCache>
            </c:numRef>
          </c:val>
          <c:smooth val="0"/>
          <c:extLst>
            <c:ext xmlns:c16="http://schemas.microsoft.com/office/drawing/2014/chart" uri="{C3380CC4-5D6E-409C-BE32-E72D297353CC}">
              <c16:uniqueId val="{00000004-D0DA-48EF-B12F-EBAB23440BEB}"/>
            </c:ext>
          </c:extLst>
        </c:ser>
        <c:ser>
          <c:idx val="5"/>
          <c:order val="5"/>
          <c:tx>
            <c:strRef>
              <c:f>List1!$G$1</c:f>
              <c:strCache>
                <c:ptCount val="1"/>
                <c:pt idx="0">
                  <c:v>Chov skotu – EU</c:v>
                </c:pt>
              </c:strCache>
            </c:strRef>
          </c:tx>
          <c:spPr>
            <a:ln w="28575" cap="rnd">
              <a:solidFill>
                <a:srgbClr val="BD2A33"/>
              </a:solidFill>
              <a:prstDash val="sysDash"/>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List1!$G$2:$G$14</c:f>
              <c:numCache>
                <c:formatCode>General</c:formatCode>
                <c:ptCount val="13"/>
                <c:pt idx="0">
                  <c:v>345.38834951456312</c:v>
                </c:pt>
                <c:pt idx="1">
                  <c:v>356.44161212538751</c:v>
                </c:pt>
                <c:pt idx="2">
                  <c:v>369.32611731843576</c:v>
                </c:pt>
                <c:pt idx="3">
                  <c:v>348.72143018782532</c:v>
                </c:pt>
                <c:pt idx="4">
                  <c:v>351.54525386313469</c:v>
                </c:pt>
                <c:pt idx="5">
                  <c:v>350.91845878136201</c:v>
                </c:pt>
                <c:pt idx="6">
                  <c:v>353.94058433587037</c:v>
                </c:pt>
                <c:pt idx="7">
                  <c:v>359.17705735660849</c:v>
                </c:pt>
                <c:pt idx="8">
                  <c:v>354.28077966938071</c:v>
                </c:pt>
                <c:pt idx="9">
                  <c:v>351.47247119078105</c:v>
                </c:pt>
                <c:pt idx="10">
                  <c:v>340.66400399400897</c:v>
                </c:pt>
                <c:pt idx="11">
                  <c:v>346.51859246318941</c:v>
                </c:pt>
                <c:pt idx="12">
                  <c:v>363.21454197560388</c:v>
                </c:pt>
              </c:numCache>
            </c:numRef>
          </c:val>
          <c:smooth val="0"/>
          <c:extLst>
            <c:ext xmlns:c16="http://schemas.microsoft.com/office/drawing/2014/chart" uri="{C3380CC4-5D6E-409C-BE32-E72D297353CC}">
              <c16:uniqueId val="{00000005-D0DA-48EF-B12F-EBAB23440BEB}"/>
            </c:ext>
          </c:extLst>
        </c:ser>
        <c:ser>
          <c:idx val="6"/>
          <c:order val="6"/>
          <c:tx>
            <c:strRef>
              <c:f>List1!$H$1</c:f>
              <c:strCache>
                <c:ptCount val="1"/>
                <c:pt idx="0">
                  <c:v>Smíšená výroba – ČR</c:v>
                </c:pt>
              </c:strCache>
            </c:strRef>
          </c:tx>
          <c:spPr>
            <a:ln w="28575" cap="rnd">
              <a:solidFill>
                <a:srgbClr val="004595"/>
              </a:solidFill>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List1!$H$2:$H$14</c:f>
              <c:numCache>
                <c:formatCode>General</c:formatCode>
                <c:ptCount val="13"/>
                <c:pt idx="0">
                  <c:v>247.9747811</c:v>
                </c:pt>
                <c:pt idx="1">
                  <c:v>322.09742660000001</c:v>
                </c:pt>
                <c:pt idx="2">
                  <c:v>438.61452809999997</c:v>
                </c:pt>
                <c:pt idx="3">
                  <c:v>466.74791529999999</c:v>
                </c:pt>
                <c:pt idx="4">
                  <c:v>589.01993570000002</c:v>
                </c:pt>
                <c:pt idx="5">
                  <c:v>600.90477859999999</c:v>
                </c:pt>
                <c:pt idx="6">
                  <c:v>606.78419510000003</c:v>
                </c:pt>
                <c:pt idx="7">
                  <c:v>651.74590379999995</c:v>
                </c:pt>
                <c:pt idx="8">
                  <c:v>655.1382539</c:v>
                </c:pt>
                <c:pt idx="9">
                  <c:v>779.48717950000002</c:v>
                </c:pt>
                <c:pt idx="10">
                  <c:v>805.23311669999998</c:v>
                </c:pt>
                <c:pt idx="11">
                  <c:v>794.55074649999995</c:v>
                </c:pt>
                <c:pt idx="12">
                  <c:v>910.37191949999999</c:v>
                </c:pt>
              </c:numCache>
            </c:numRef>
          </c:val>
          <c:smooth val="0"/>
          <c:extLst>
            <c:ext xmlns:c16="http://schemas.microsoft.com/office/drawing/2014/chart" uri="{C3380CC4-5D6E-409C-BE32-E72D297353CC}">
              <c16:uniqueId val="{00000006-D0DA-48EF-B12F-EBAB23440BEB}"/>
            </c:ext>
          </c:extLst>
        </c:ser>
        <c:ser>
          <c:idx val="7"/>
          <c:order val="7"/>
          <c:tx>
            <c:strRef>
              <c:f>List1!$I$1</c:f>
              <c:strCache>
                <c:ptCount val="1"/>
                <c:pt idx="0">
                  <c:v>Smíšená výroba – EU</c:v>
                </c:pt>
              </c:strCache>
            </c:strRef>
          </c:tx>
          <c:spPr>
            <a:ln w="28575" cap="rnd">
              <a:solidFill>
                <a:srgbClr val="004595"/>
              </a:solidFill>
              <a:prstDash val="sysDash"/>
              <a:round/>
            </a:ln>
            <a:effectLst/>
          </c:spPr>
          <c:marker>
            <c:symbol val="none"/>
          </c:marker>
          <c:cat>
            <c:numRef>
              <c:f>List1!$A$2:$A$14</c:f>
              <c:numCache>
                <c:formatCode>General</c:formatCode>
                <c:ptCount val="13"/>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numCache>
            </c:numRef>
          </c:cat>
          <c:val>
            <c:numRef>
              <c:f>List1!$I$2:$I$14</c:f>
              <c:numCache>
                <c:formatCode>General</c:formatCode>
                <c:ptCount val="13"/>
                <c:pt idx="0">
                  <c:v>304.74308300395256</c:v>
                </c:pt>
                <c:pt idx="1">
                  <c:v>321.77339901477831</c:v>
                </c:pt>
                <c:pt idx="2">
                  <c:v>359.45151811949069</c:v>
                </c:pt>
                <c:pt idx="3">
                  <c:v>342.8726287262873</c:v>
                </c:pt>
                <c:pt idx="4">
                  <c:v>361.9483315392896</c:v>
                </c:pt>
                <c:pt idx="5">
                  <c:v>356.56360871768879</c:v>
                </c:pt>
                <c:pt idx="6">
                  <c:v>375.03774534474081</c:v>
                </c:pt>
                <c:pt idx="7">
                  <c:v>376.09126984126982</c:v>
                </c:pt>
                <c:pt idx="8">
                  <c:v>369.87087517934003</c:v>
                </c:pt>
                <c:pt idx="9">
                  <c:v>377.55004766444233</c:v>
                </c:pt>
                <c:pt idx="10">
                  <c:v>369.97668997669001</c:v>
                </c:pt>
                <c:pt idx="11">
                  <c:v>351.34011090573011</c:v>
                </c:pt>
                <c:pt idx="12">
                  <c:v>376.23442547300414</c:v>
                </c:pt>
              </c:numCache>
            </c:numRef>
          </c:val>
          <c:smooth val="0"/>
          <c:extLst>
            <c:ext xmlns:c16="http://schemas.microsoft.com/office/drawing/2014/chart" uri="{C3380CC4-5D6E-409C-BE32-E72D297353CC}">
              <c16:uniqueId val="{00000007-D0DA-48EF-B12F-EBAB23440BEB}"/>
            </c:ext>
          </c:extLst>
        </c:ser>
        <c:dLbls>
          <c:showLegendKey val="0"/>
          <c:showVal val="0"/>
          <c:showCatName val="0"/>
          <c:showSerName val="0"/>
          <c:showPercent val="0"/>
          <c:showBubbleSize val="0"/>
        </c:dLbls>
        <c:smooth val="0"/>
        <c:axId val="1404046000"/>
        <c:axId val="1404045584"/>
      </c:lineChart>
      <c:valAx>
        <c:axId val="140404558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b="1">
                    <a:solidFill>
                      <a:sysClr val="windowText" lastClr="000000"/>
                    </a:solidFill>
                  </a:rPr>
                  <a:t>€ na dobytčí jednotku</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b" anchorCtr="0"/>
          <a:lstStyle/>
          <a:p>
            <a:pPr>
              <a:defRPr sz="900" b="1" i="0" u="none" strike="noStrike" kern="1200" baseline="0">
                <a:solidFill>
                  <a:schemeClr val="tx1"/>
                </a:solidFill>
                <a:latin typeface="+mn-lt"/>
                <a:ea typeface="+mn-ea"/>
                <a:cs typeface="+mn-cs"/>
              </a:defRPr>
            </a:pPr>
            <a:endParaRPr lang="cs-CZ"/>
          </a:p>
        </c:txPr>
        <c:crossAx val="1404046000"/>
        <c:crosses val="max"/>
        <c:crossBetween val="between"/>
      </c:valAx>
      <c:catAx>
        <c:axId val="1404046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cs-CZ"/>
          </a:p>
        </c:txPr>
        <c:crossAx val="1404045584"/>
        <c:crosses val="autoZero"/>
        <c:auto val="1"/>
        <c:lblAlgn val="ctr"/>
        <c:lblOffset val="100"/>
        <c:noMultiLvlLbl val="0"/>
      </c:catAx>
      <c:spPr>
        <a:noFill/>
        <a:ln>
          <a:noFill/>
        </a:ln>
        <a:effectLst/>
      </c:spPr>
    </c:plotArea>
    <c:legend>
      <c:legendPos val="b"/>
      <c:layout>
        <c:manualLayout>
          <c:xMode val="edge"/>
          <c:yMode val="edge"/>
          <c:x val="0.12195767195767193"/>
          <c:y val="0.7266496870123581"/>
          <c:w val="0.72081128747795409"/>
          <c:h val="0.25057126970745969"/>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EBC8-6C84-4482-819F-9B61FE15D75C}">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0B6FE85-42A8-4CC7-92BB-0B4EE8D8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0B1BE-EA1C-46FD-BB66-B96F883C311A}">
  <ds:schemaRefs>
    <ds:schemaRef ds:uri="http://schemas.microsoft.com/office/2006/metadata/longProperties"/>
  </ds:schemaRefs>
</ds:datastoreItem>
</file>

<file path=customXml/itemProps4.xml><?xml version="1.0" encoding="utf-8"?>
<ds:datastoreItem xmlns:ds="http://schemas.openxmlformats.org/officeDocument/2006/customXml" ds:itemID="{FA2638AC-E15C-40C1-BF5F-6ACB054EEECC}">
  <ds:schemaRefs>
    <ds:schemaRef ds:uri="http://schemas.microsoft.com/sharepoint/v3/contenttype/forms"/>
  </ds:schemaRefs>
</ds:datastoreItem>
</file>

<file path=customXml/itemProps5.xml><?xml version="1.0" encoding="utf-8"?>
<ds:datastoreItem xmlns:ds="http://schemas.openxmlformats.org/officeDocument/2006/customXml" ds:itemID="{4EE4D5E0-A22D-4EC6-A654-552C2772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BA8E1A95.dotm</Template>
  <TotalTime>3</TotalTime>
  <Pages>21</Pages>
  <Words>6416</Words>
  <Characters>36210</Characters>
  <Application>Microsoft Office Word</Application>
  <DocSecurity>0</DocSecurity>
  <Lines>301</Lines>
  <Paragraphs>85</Paragraphs>
  <ScaleCrop>false</ScaleCrop>
  <HeadingPairs>
    <vt:vector size="2" baseType="variant">
      <vt:variant>
        <vt:lpstr>Název</vt:lpstr>
      </vt:variant>
      <vt:variant>
        <vt:i4>1</vt:i4>
      </vt:variant>
    </vt:vector>
  </HeadingPairs>
  <TitlesOfParts>
    <vt:vector size="1" baseType="lpstr">
      <vt:lpstr>Kontrolní závěr z kontrolní akce NKÚ č. 18/08 - Peněžní prostředky vynakládané na podpory v sektoru živočišné výroby</vt:lpstr>
    </vt:vector>
  </TitlesOfParts>
  <Company>NKU</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18/08 - Peněžní prostředky vynakládané na podpory v sektoru živočišné výroby</dc:title>
  <dc:creator>Nejvyšší kontrolní úřad</dc:creator>
  <cp:keywords>kontrolní závěr; živočišná výroba</cp:keywords>
  <cp:lastModifiedBy>KOKRDA Daniel</cp:lastModifiedBy>
  <cp:revision>3</cp:revision>
  <cp:lastPrinted>2019-04-11T07:10:00Z</cp:lastPrinted>
  <dcterms:created xsi:type="dcterms:W3CDTF">2019-04-11T07:09:00Z</dcterms:created>
  <dcterms:modified xsi:type="dcterms:W3CDTF">2019-04-11T07:11:00Z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17/26-NKU30/311/18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
    <vt:lpwstr>Dokument</vt:lpwstr>
  </property>
  <property fmtid="{D5CDD505-2E9C-101B-9397-08002B2CF9AE}" pid="8" name="ContentTypeId">
    <vt:lpwstr>0x0101002F7A625AE9F5AB4A939F92BCAA7FEC02</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19.4.2018</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EC_Pisemnost">
    <vt:lpwstr>18-5057/NKU</vt:lpwstr>
  </property>
  <property fmtid="{D5CDD505-2E9C-101B-9397-08002B2CF9AE}" pid="15" name="Key_BarCode_Pisemnost">
    <vt:lpwstr>*B000311673*</vt:lpwstr>
  </property>
  <property fmtid="{D5CDD505-2E9C-101B-9397-08002B2CF9AE}" pid="16" name="KRukam">
    <vt:lpwstr>{KRukam}</vt:lpwstr>
  </property>
  <property fmtid="{D5CDD505-2E9C-101B-9397-08002B2CF9AE}" pid="17" name="NameAddress_Contact_SpisovyUzel_PoziceZodpo_Pisemnost">
    <vt:lpwstr>ADRESÁT SU...</vt:lpwstr>
  </property>
  <property fmtid="{D5CDD505-2E9C-101B-9397-08002B2CF9AE}" pid="18" name="Odkaz">
    <vt:lpwstr>ODKAZ</vt:lpwstr>
  </property>
  <property fmtid="{D5CDD505-2E9C-101B-9397-08002B2CF9AE}" pid="19" name="Password_PisemnostTypZpristupneniInformaciZOSZ_Pisemnost">
    <vt:lpwstr>ZOSZ_Password</vt:lpwstr>
  </property>
  <property fmtid="{D5CDD505-2E9C-101B-9397-08002B2CF9AE}" pid="20" name="PocetListuDokumentu_Pisemnost">
    <vt:lpwstr>1</vt:lpwstr>
  </property>
  <property fmtid="{D5CDD505-2E9C-101B-9397-08002B2CF9AE}" pid="21" name="PocetListu_Pisemnost">
    <vt:lpwstr>1</vt:lpwstr>
  </property>
  <property fmtid="{D5CDD505-2E9C-101B-9397-08002B2CF9AE}" pid="22" name="PocetPriloh_Pisemnost">
    <vt:lpwstr>0</vt:lpwstr>
  </property>
  <property fmtid="{D5CDD505-2E9C-101B-9397-08002B2CF9AE}" pid="23" name="Podpis">
    <vt:lpwstr/>
  </property>
  <property fmtid="{D5CDD505-2E9C-101B-9397-08002B2CF9AE}" pid="24" name="PostalAddress_Contact_SpisovyUzel_PoziceZodpo_Pisemnost">
    <vt:lpwstr>ADRESA SU...</vt:lpwstr>
  </property>
  <property fmtid="{D5CDD505-2E9C-101B-9397-08002B2CF9AE}" pid="25" name="RC">
    <vt:lpwstr/>
  </property>
  <property fmtid="{D5CDD505-2E9C-101B-9397-08002B2CF9AE}" pid="26" name="SkartacniZnakLhuta_PisemnostZnak">
    <vt:lpwstr>?/?</vt:lpwstr>
  </property>
  <property fmtid="{D5CDD505-2E9C-101B-9397-08002B2CF9AE}" pid="27" name="SmlouvaCislo">
    <vt:lpwstr>ČÍSLO SMLOUVY</vt:lpwstr>
  </property>
  <property fmtid="{D5CDD505-2E9C-101B-9397-08002B2CF9AE}" pid="28" name="SZ_Spis_Pisemnost">
    <vt:lpwstr>17/26</vt:lpwstr>
  </property>
  <property fmtid="{D5CDD505-2E9C-101B-9397-08002B2CF9AE}" pid="29" name="TEST">
    <vt:lpwstr>testovací pole</vt:lpwstr>
  </property>
  <property fmtid="{D5CDD505-2E9C-101B-9397-08002B2CF9AE}" pid="30" name="TypPrilohy_Pisemnost">
    <vt:lpwstr>TYP PŘÍLOHY</vt:lpwstr>
  </property>
  <property fmtid="{D5CDD505-2E9C-101B-9397-08002B2CF9AE}" pid="31" name="UserName_PisemnostTypZpristupneniInformaciZOSZ_Pisemnost">
    <vt:lpwstr>ZOSZ_UserName</vt:lpwstr>
  </property>
  <property fmtid="{D5CDD505-2E9C-101B-9397-08002B2CF9AE}" pid="32" name="Vec_Pisemnost">
    <vt:lpwstr>Návrh kontrolního závěru 17/26 do připomínek</vt:lpwstr>
  </property>
  <property fmtid="{D5CDD505-2E9C-101B-9397-08002B2CF9AE}" pid="33" name="Zkratka_SpisovyUzel_PoziceZodpo_Pisemnost">
    <vt:lpwstr>30</vt:lpwstr>
  </property>
</Properties>
</file>