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B004D" w14:textId="7B82BA7A" w:rsidR="001D3CDC" w:rsidRDefault="001D3CDC" w:rsidP="001D3CDC">
      <w:pPr>
        <w:spacing w:after="0" w:line="240" w:lineRule="auto"/>
        <w:jc w:val="center"/>
        <w:rPr>
          <w:rFonts w:cstheme="minorHAnsi"/>
        </w:rPr>
      </w:pPr>
      <w:r w:rsidRPr="00ED7C30">
        <w:rPr>
          <w:rFonts w:cstheme="minorHAnsi"/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3CA49F62" wp14:editId="2D231D13">
            <wp:simplePos x="0" y="0"/>
            <wp:positionH relativeFrom="margin">
              <wp:posOffset>2480310</wp:posOffset>
            </wp:positionH>
            <wp:positionV relativeFrom="paragraph">
              <wp:posOffset>9525</wp:posOffset>
            </wp:positionV>
            <wp:extent cx="790575" cy="625475"/>
            <wp:effectExtent l="0" t="0" r="9525" b="317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25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BFB9B" w14:textId="69C57AB1" w:rsidR="00FA08D9" w:rsidRDefault="00FA08D9" w:rsidP="001D3CDC">
      <w:pPr>
        <w:spacing w:after="0" w:line="240" w:lineRule="auto"/>
        <w:jc w:val="center"/>
        <w:rPr>
          <w:rFonts w:cstheme="minorHAnsi"/>
        </w:rPr>
      </w:pPr>
    </w:p>
    <w:p w14:paraId="5800BE80" w14:textId="77777777" w:rsidR="001D3CDC" w:rsidRPr="00ED7C30" w:rsidRDefault="001D3CDC" w:rsidP="001D3CDC">
      <w:pPr>
        <w:spacing w:after="0" w:line="240" w:lineRule="auto"/>
        <w:jc w:val="center"/>
        <w:rPr>
          <w:rFonts w:cstheme="minorHAnsi"/>
        </w:rPr>
      </w:pPr>
    </w:p>
    <w:p w14:paraId="1FC0301E" w14:textId="77777777" w:rsidR="00FA08D9" w:rsidRPr="00ED7C30" w:rsidRDefault="00FA08D9" w:rsidP="00FA08D9">
      <w:pPr>
        <w:jc w:val="center"/>
        <w:rPr>
          <w:rFonts w:cstheme="minorHAnsi"/>
          <w:b/>
          <w:sz w:val="28"/>
          <w:szCs w:val="28"/>
        </w:rPr>
      </w:pPr>
      <w:bookmarkStart w:id="0" w:name="_GoBack"/>
      <w:r w:rsidRPr="00ED7C30">
        <w:rPr>
          <w:rFonts w:cstheme="minorHAnsi"/>
          <w:b/>
          <w:sz w:val="28"/>
          <w:szCs w:val="28"/>
        </w:rPr>
        <w:t>Kontrolní závěr z kontrolní akce</w:t>
      </w:r>
    </w:p>
    <w:p w14:paraId="2B02BB54" w14:textId="77777777" w:rsidR="00FA08D9" w:rsidRPr="00ED7C30" w:rsidRDefault="00FA08D9" w:rsidP="00FA08D9">
      <w:pPr>
        <w:jc w:val="center"/>
        <w:rPr>
          <w:rFonts w:cstheme="minorHAnsi"/>
          <w:b/>
          <w:sz w:val="28"/>
          <w:szCs w:val="28"/>
        </w:rPr>
      </w:pPr>
      <w:r w:rsidRPr="00ED7C30">
        <w:rPr>
          <w:rFonts w:cstheme="minorHAnsi"/>
          <w:b/>
          <w:sz w:val="28"/>
          <w:szCs w:val="28"/>
        </w:rPr>
        <w:t>16/29</w:t>
      </w:r>
    </w:p>
    <w:p w14:paraId="22D9437C" w14:textId="3646406E" w:rsidR="00FA08D9" w:rsidRPr="00ED7C30" w:rsidRDefault="00FA08D9" w:rsidP="00FA08D9">
      <w:pPr>
        <w:jc w:val="center"/>
        <w:rPr>
          <w:rFonts w:cstheme="minorHAnsi"/>
          <w:b/>
          <w:noProof/>
          <w:color w:val="000000"/>
          <w:sz w:val="28"/>
          <w:szCs w:val="28"/>
        </w:rPr>
      </w:pPr>
      <w:r w:rsidRPr="00ED7C30">
        <w:rPr>
          <w:rFonts w:cstheme="minorHAnsi"/>
          <w:b/>
          <w:noProof/>
          <w:color w:val="000000"/>
          <w:sz w:val="28"/>
          <w:szCs w:val="28"/>
        </w:rPr>
        <w:t xml:space="preserve">Závěrečný účet kapitoly státního rozpočtu </w:t>
      </w:r>
      <w:r w:rsidRPr="00AB7AAA">
        <w:rPr>
          <w:rFonts w:cstheme="minorHAnsi"/>
          <w:b/>
          <w:i/>
          <w:noProof/>
          <w:color w:val="000000"/>
          <w:sz w:val="28"/>
          <w:szCs w:val="28"/>
        </w:rPr>
        <w:t>Ministerstvo práce a sociálních věcí</w:t>
      </w:r>
      <w:r w:rsidRPr="00ED7C30">
        <w:rPr>
          <w:rFonts w:cstheme="minorHAnsi"/>
          <w:b/>
          <w:noProof/>
          <w:color w:val="000000"/>
          <w:sz w:val="28"/>
          <w:szCs w:val="28"/>
        </w:rPr>
        <w:t xml:space="preserve"> za rok 2016, účetní závěrka Ministerstva práce a sociálních věcí za rok 2016 a</w:t>
      </w:r>
      <w:r w:rsidR="00606569" w:rsidRPr="00ED7C30">
        <w:rPr>
          <w:rFonts w:cstheme="minorHAnsi"/>
          <w:b/>
          <w:noProof/>
          <w:color w:val="000000"/>
          <w:sz w:val="28"/>
          <w:szCs w:val="28"/>
        </w:rPr>
        <w:t> </w:t>
      </w:r>
      <w:r w:rsidRPr="00ED7C30">
        <w:rPr>
          <w:rFonts w:cstheme="minorHAnsi"/>
          <w:b/>
          <w:noProof/>
          <w:color w:val="000000"/>
          <w:sz w:val="28"/>
          <w:szCs w:val="28"/>
        </w:rPr>
        <w:t>údaje předkládané Ministerstvem práce a sociálních věcí pro hodnocení plnění státního rozpočtu za rok 2016</w:t>
      </w:r>
    </w:p>
    <w:bookmarkEnd w:id="0"/>
    <w:p w14:paraId="21FB6902" w14:textId="77777777" w:rsidR="001D3CDC" w:rsidRPr="00ED7C30" w:rsidRDefault="001D3CDC" w:rsidP="001D3CDC">
      <w:pPr>
        <w:jc w:val="both"/>
        <w:rPr>
          <w:rFonts w:cstheme="minorHAnsi"/>
          <w:sz w:val="24"/>
          <w:szCs w:val="24"/>
        </w:rPr>
      </w:pPr>
    </w:p>
    <w:p w14:paraId="5B79BAFF" w14:textId="48A30339" w:rsidR="00FA08D9" w:rsidRPr="00ED7C30" w:rsidRDefault="00FA08D9" w:rsidP="00FA08D9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 xml:space="preserve">Kontrolní akce byla zařazena do plánu kontrolní činnosti Nejvyššího kontrolního úřadu (dále </w:t>
      </w:r>
      <w:r w:rsidR="00364C41" w:rsidRPr="00ED7C30">
        <w:rPr>
          <w:rFonts w:cstheme="minorHAnsi"/>
          <w:sz w:val="24"/>
          <w:szCs w:val="24"/>
        </w:rPr>
        <w:t xml:space="preserve">také </w:t>
      </w:r>
      <w:r w:rsidRPr="00ED7C30">
        <w:rPr>
          <w:rFonts w:cstheme="minorHAnsi"/>
          <w:sz w:val="24"/>
          <w:szCs w:val="24"/>
        </w:rPr>
        <w:t>„NKÚ“) na rok 2016 pod číslem 16/29. Kontrolní akci řídil a kontrolní závěr vypracoval člen NKÚ Ing. Jan Vedral.</w:t>
      </w:r>
    </w:p>
    <w:p w14:paraId="6807A4F2" w14:textId="77777777" w:rsidR="00FA08D9" w:rsidRPr="00ED7C30" w:rsidRDefault="00FA08D9" w:rsidP="00FA08D9">
      <w:pPr>
        <w:jc w:val="both"/>
        <w:rPr>
          <w:rFonts w:cstheme="minorHAnsi"/>
          <w:bCs/>
          <w:sz w:val="24"/>
          <w:szCs w:val="24"/>
        </w:rPr>
      </w:pPr>
      <w:r w:rsidRPr="00ED7C30">
        <w:rPr>
          <w:rFonts w:cstheme="minorHAnsi"/>
          <w:sz w:val="24"/>
          <w:szCs w:val="24"/>
        </w:rPr>
        <w:t xml:space="preserve">Cílem kontroly bylo prověřit, </w:t>
      </w:r>
      <w:r w:rsidRPr="00ED7C30">
        <w:rPr>
          <w:rFonts w:cstheme="minorHAnsi"/>
          <w:bCs/>
          <w:sz w:val="24"/>
          <w:szCs w:val="24"/>
        </w:rPr>
        <w:t>zda Ministerstvo práce a sociálních věcí při sestavení závěrečného účtu a při vedení účetnictví a sestavení účetní závěrky a předkládání údajů pro hodnocení plnění státního rozpočtu za rok 2016 postupovalo v souladu s příslušnými právními předpisy.</w:t>
      </w:r>
    </w:p>
    <w:p w14:paraId="084FCFBA" w14:textId="77777777" w:rsidR="00FA08D9" w:rsidRPr="00ED7C30" w:rsidRDefault="00FA08D9" w:rsidP="00606569">
      <w:pPr>
        <w:spacing w:after="0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b/>
          <w:sz w:val="24"/>
          <w:szCs w:val="24"/>
        </w:rPr>
        <w:t>Kontrolovaná osoba</w:t>
      </w:r>
      <w:r w:rsidRPr="00ED7C30">
        <w:rPr>
          <w:rFonts w:cstheme="minorHAnsi"/>
          <w:sz w:val="24"/>
          <w:szCs w:val="24"/>
        </w:rPr>
        <w:t>:</w:t>
      </w:r>
    </w:p>
    <w:p w14:paraId="78E0D70D" w14:textId="77777777" w:rsidR="00FA08D9" w:rsidRPr="00ED7C30" w:rsidRDefault="00FA08D9" w:rsidP="00FA08D9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Ministerstvo práce a sociálních věcí (dále také „MPSV“).</w:t>
      </w:r>
    </w:p>
    <w:p w14:paraId="64A70EAC" w14:textId="77777777" w:rsidR="00FA08D9" w:rsidRPr="00ED7C30" w:rsidRDefault="00FA08D9" w:rsidP="00FA08D9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 xml:space="preserve">Kontrolováno bylo období roku 2016 včetně souvisejících skutečností </w:t>
      </w:r>
      <w:r w:rsidRPr="00ED7C30">
        <w:rPr>
          <w:rFonts w:cstheme="minorHAnsi"/>
          <w:spacing w:val="-2"/>
          <w:sz w:val="24"/>
          <w:szCs w:val="24"/>
        </w:rPr>
        <w:t>z let předchozích a roku následujícího</w:t>
      </w:r>
      <w:r w:rsidRPr="00ED7C30">
        <w:rPr>
          <w:rFonts w:cstheme="minorHAnsi"/>
          <w:sz w:val="24"/>
          <w:szCs w:val="24"/>
        </w:rPr>
        <w:t>.</w:t>
      </w:r>
    </w:p>
    <w:p w14:paraId="77EACD8C" w14:textId="3E90C6C4" w:rsidR="00FA08D9" w:rsidRPr="00ED7C30" w:rsidRDefault="00FA08D9" w:rsidP="00FA08D9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Kontrola byla prováděna u kontrolované osoby od listopadu 2016 do května 2017.</w:t>
      </w:r>
    </w:p>
    <w:p w14:paraId="6668F4D0" w14:textId="77777777" w:rsidR="001B259E" w:rsidRPr="00ED7C30" w:rsidRDefault="00FA08D9" w:rsidP="00FA08D9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 xml:space="preserve">Námitky proti kontrolnímu protokolu, které MPSV podalo, byly vypořádány vedoucí skupiny kontrolujících rozhodnutím o námitkách. Odvolání MPSV proti rozhodnutí o námitkách bylo vypořádáno usnesením Kolegia NKÚ. </w:t>
      </w:r>
      <w:r w:rsidR="006C3288" w:rsidRPr="00ED7C30">
        <w:rPr>
          <w:rFonts w:cstheme="minorHAnsi"/>
          <w:sz w:val="24"/>
          <w:szCs w:val="24"/>
        </w:rPr>
        <w:t xml:space="preserve"> </w:t>
      </w:r>
    </w:p>
    <w:p w14:paraId="777CD6E2" w14:textId="77777777" w:rsidR="001B259E" w:rsidRPr="00ED7C30" w:rsidRDefault="001B259E" w:rsidP="00FA08D9">
      <w:pPr>
        <w:jc w:val="both"/>
        <w:rPr>
          <w:rFonts w:cstheme="minorHAnsi"/>
          <w:sz w:val="24"/>
          <w:szCs w:val="24"/>
        </w:rPr>
      </w:pPr>
    </w:p>
    <w:p w14:paraId="05DC77BD" w14:textId="53D8F9FE" w:rsidR="00FA08D9" w:rsidRPr="00ED7C30" w:rsidRDefault="00FA08D9" w:rsidP="00FA08D9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b/>
          <w:bCs/>
          <w:i/>
          <w:iCs/>
          <w:spacing w:val="60"/>
          <w:sz w:val="24"/>
          <w:szCs w:val="24"/>
        </w:rPr>
        <w:t>Kolegium</w:t>
      </w:r>
      <w:r w:rsidRPr="00ED7C30">
        <w:rPr>
          <w:rFonts w:cstheme="minorHAnsi"/>
          <w:b/>
          <w:bCs/>
          <w:i/>
          <w:iCs/>
          <w:sz w:val="24"/>
          <w:szCs w:val="24"/>
        </w:rPr>
        <w:t xml:space="preserve">   </w:t>
      </w:r>
      <w:r w:rsidRPr="00ED7C30">
        <w:rPr>
          <w:rFonts w:cstheme="minorHAnsi"/>
          <w:b/>
          <w:bCs/>
          <w:i/>
          <w:iCs/>
          <w:spacing w:val="60"/>
          <w:sz w:val="24"/>
          <w:szCs w:val="24"/>
        </w:rPr>
        <w:t>NKÚ</w:t>
      </w:r>
      <w:r w:rsidRPr="00ED7C30">
        <w:rPr>
          <w:rFonts w:cstheme="minorHAnsi"/>
          <w:sz w:val="24"/>
          <w:szCs w:val="24"/>
        </w:rPr>
        <w:t xml:space="preserve">   na svém </w:t>
      </w:r>
      <w:r w:rsidR="00B81EF4" w:rsidRPr="00ED7C30">
        <w:rPr>
          <w:rFonts w:cstheme="minorHAnsi"/>
          <w:sz w:val="24"/>
          <w:szCs w:val="24"/>
        </w:rPr>
        <w:t>XIV</w:t>
      </w:r>
      <w:r w:rsidRPr="00ED7C30">
        <w:rPr>
          <w:rFonts w:cstheme="minorHAnsi"/>
          <w:sz w:val="24"/>
          <w:szCs w:val="24"/>
        </w:rPr>
        <w:t xml:space="preserve">. jednání, které se konalo dne </w:t>
      </w:r>
      <w:r w:rsidR="00B81EF4" w:rsidRPr="00ED7C30">
        <w:rPr>
          <w:rFonts w:cstheme="minorHAnsi"/>
          <w:sz w:val="24"/>
          <w:szCs w:val="24"/>
        </w:rPr>
        <w:t>18</w:t>
      </w:r>
      <w:r w:rsidRPr="00ED7C30">
        <w:rPr>
          <w:rFonts w:cstheme="minorHAnsi"/>
          <w:sz w:val="24"/>
          <w:szCs w:val="24"/>
        </w:rPr>
        <w:t xml:space="preserve">. </w:t>
      </w:r>
      <w:r w:rsidR="00404430" w:rsidRPr="00ED7C30">
        <w:rPr>
          <w:rFonts w:cstheme="minorHAnsi"/>
          <w:sz w:val="24"/>
          <w:szCs w:val="24"/>
        </w:rPr>
        <w:t xml:space="preserve">září </w:t>
      </w:r>
      <w:r w:rsidRPr="00ED7C30">
        <w:rPr>
          <w:rFonts w:cstheme="minorHAnsi"/>
          <w:sz w:val="24"/>
          <w:szCs w:val="24"/>
        </w:rPr>
        <w:t>2017,</w:t>
      </w:r>
    </w:p>
    <w:p w14:paraId="75EA3525" w14:textId="7633AF6F" w:rsidR="00FA08D9" w:rsidRPr="00ED7C30" w:rsidRDefault="00FA08D9" w:rsidP="00FA08D9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b/>
          <w:bCs/>
          <w:i/>
          <w:iCs/>
          <w:spacing w:val="60"/>
          <w:sz w:val="24"/>
          <w:szCs w:val="24"/>
        </w:rPr>
        <w:t>schválilo</w:t>
      </w:r>
      <w:r w:rsidRPr="00ED7C30">
        <w:rPr>
          <w:rFonts w:cstheme="minorHAnsi"/>
          <w:sz w:val="24"/>
          <w:szCs w:val="24"/>
        </w:rPr>
        <w:t xml:space="preserve">   usnesením č. </w:t>
      </w:r>
      <w:r w:rsidR="00606569" w:rsidRPr="00ED7C30">
        <w:rPr>
          <w:rFonts w:cstheme="minorHAnsi"/>
          <w:sz w:val="24"/>
          <w:szCs w:val="24"/>
        </w:rPr>
        <w:t>4</w:t>
      </w:r>
      <w:r w:rsidRPr="00ED7C30">
        <w:rPr>
          <w:rFonts w:cstheme="minorHAnsi"/>
          <w:sz w:val="24"/>
          <w:szCs w:val="24"/>
        </w:rPr>
        <w:t>/</w:t>
      </w:r>
      <w:r w:rsidR="00B81EF4" w:rsidRPr="00ED7C30">
        <w:rPr>
          <w:rFonts w:cstheme="minorHAnsi"/>
          <w:sz w:val="24"/>
          <w:szCs w:val="24"/>
        </w:rPr>
        <w:t>XIV</w:t>
      </w:r>
      <w:r w:rsidRPr="00ED7C30">
        <w:rPr>
          <w:rFonts w:cstheme="minorHAnsi"/>
          <w:sz w:val="24"/>
          <w:szCs w:val="24"/>
        </w:rPr>
        <w:t>/2017</w:t>
      </w:r>
    </w:p>
    <w:p w14:paraId="3505C214" w14:textId="77777777" w:rsidR="00FA08D9" w:rsidRPr="00ED7C30" w:rsidRDefault="00FA08D9" w:rsidP="00FA08D9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b/>
          <w:bCs/>
          <w:i/>
          <w:iCs/>
          <w:spacing w:val="60"/>
          <w:sz w:val="24"/>
          <w:szCs w:val="24"/>
        </w:rPr>
        <w:t>kontrolní</w:t>
      </w:r>
      <w:r w:rsidRPr="00ED7C30">
        <w:rPr>
          <w:rFonts w:cstheme="minorHAnsi"/>
          <w:b/>
          <w:bCs/>
          <w:i/>
          <w:iCs/>
          <w:sz w:val="24"/>
          <w:szCs w:val="24"/>
        </w:rPr>
        <w:t xml:space="preserve">   </w:t>
      </w:r>
      <w:r w:rsidRPr="00ED7C30">
        <w:rPr>
          <w:rFonts w:cstheme="minorHAnsi"/>
          <w:b/>
          <w:bCs/>
          <w:i/>
          <w:iCs/>
          <w:spacing w:val="60"/>
          <w:sz w:val="24"/>
          <w:szCs w:val="24"/>
        </w:rPr>
        <w:t>závěr</w:t>
      </w:r>
      <w:r w:rsidRPr="00ED7C30">
        <w:rPr>
          <w:rFonts w:cstheme="minorHAnsi"/>
          <w:sz w:val="24"/>
          <w:szCs w:val="24"/>
        </w:rPr>
        <w:t xml:space="preserve">   v tomto znění:</w:t>
      </w:r>
    </w:p>
    <w:p w14:paraId="38F35A00" w14:textId="19BDACAD" w:rsidR="00750C1D" w:rsidRPr="00ED7C30" w:rsidRDefault="00750C1D">
      <w:pPr>
        <w:rPr>
          <w:rFonts w:cstheme="minorHAnsi"/>
          <w:highlight w:val="yellow"/>
        </w:rPr>
      </w:pPr>
      <w:r w:rsidRPr="00ED7C30">
        <w:rPr>
          <w:rFonts w:cstheme="minorHAnsi"/>
          <w:highlight w:val="yellow"/>
        </w:rPr>
        <w:br w:type="page"/>
      </w:r>
    </w:p>
    <w:p w14:paraId="601B4A8F" w14:textId="77777777" w:rsidR="00FA08D9" w:rsidRPr="00A861C3" w:rsidRDefault="00FA08D9" w:rsidP="00606569">
      <w:pPr>
        <w:pStyle w:val="Nadpis1"/>
        <w:spacing w:before="0"/>
        <w:jc w:val="center"/>
        <w:rPr>
          <w:rFonts w:cstheme="minorHAnsi"/>
          <w:sz w:val="28"/>
        </w:rPr>
      </w:pPr>
      <w:r w:rsidRPr="00A861C3">
        <w:rPr>
          <w:rFonts w:cstheme="minorHAnsi"/>
          <w:sz w:val="28"/>
        </w:rPr>
        <w:lastRenderedPageBreak/>
        <w:t>I. Úvod</w:t>
      </w:r>
    </w:p>
    <w:p w14:paraId="12082E49" w14:textId="77777777" w:rsidR="00686078" w:rsidRPr="00ED7C30" w:rsidRDefault="00686078" w:rsidP="004C66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821F2D" w14:textId="6EF88C21" w:rsidR="00A531A5" w:rsidRPr="00ED7C30" w:rsidRDefault="00115967" w:rsidP="00DE7B31">
      <w:pPr>
        <w:spacing w:after="120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 xml:space="preserve">Působnost MPSV je stanovena zákonem České národní </w:t>
      </w:r>
      <w:r w:rsidR="00A531A5" w:rsidRPr="00ED7C30">
        <w:rPr>
          <w:rFonts w:cstheme="minorHAnsi"/>
          <w:sz w:val="24"/>
          <w:szCs w:val="24"/>
        </w:rPr>
        <w:t xml:space="preserve">rady </w:t>
      </w:r>
      <w:r w:rsidR="00DE7B31" w:rsidRPr="00ED7C30">
        <w:rPr>
          <w:rFonts w:cstheme="minorHAnsi"/>
          <w:sz w:val="24"/>
          <w:szCs w:val="24"/>
        </w:rPr>
        <w:t>č. 2/196</w:t>
      </w:r>
      <w:r w:rsidR="00F0471C" w:rsidRPr="00ED7C30">
        <w:rPr>
          <w:rFonts w:cstheme="minorHAnsi"/>
          <w:sz w:val="24"/>
          <w:szCs w:val="24"/>
        </w:rPr>
        <w:t>9 Sb., o zřízení ministerstev a </w:t>
      </w:r>
      <w:r w:rsidR="00DE7B31" w:rsidRPr="00ED7C30">
        <w:rPr>
          <w:rFonts w:cstheme="minorHAnsi"/>
          <w:sz w:val="24"/>
          <w:szCs w:val="24"/>
        </w:rPr>
        <w:t xml:space="preserve">jiných ústředních orgánů státní správy České republiky. </w:t>
      </w:r>
      <w:r w:rsidRPr="00ED7C30">
        <w:rPr>
          <w:rFonts w:cstheme="minorHAnsi"/>
          <w:sz w:val="24"/>
          <w:szCs w:val="24"/>
        </w:rPr>
        <w:t>Ustanovení §</w:t>
      </w:r>
      <w:r w:rsidR="00186452" w:rsidRPr="00ED7C30">
        <w:rPr>
          <w:rFonts w:cstheme="minorHAnsi"/>
          <w:sz w:val="24"/>
          <w:szCs w:val="24"/>
        </w:rPr>
        <w:t xml:space="preserve"> 9 odst. </w:t>
      </w:r>
      <w:r w:rsidR="00DE7B31" w:rsidRPr="00ED7C30">
        <w:rPr>
          <w:rFonts w:cstheme="minorHAnsi"/>
          <w:sz w:val="24"/>
          <w:szCs w:val="24"/>
        </w:rPr>
        <w:t>1</w:t>
      </w:r>
      <w:r w:rsidR="00FA20E5" w:rsidRPr="00ED7C30">
        <w:rPr>
          <w:rFonts w:cstheme="minorHAnsi"/>
          <w:sz w:val="24"/>
          <w:szCs w:val="24"/>
        </w:rPr>
        <w:t> </w:t>
      </w:r>
      <w:r w:rsidR="00186452" w:rsidRPr="00ED7C30">
        <w:rPr>
          <w:rFonts w:cstheme="minorHAnsi"/>
          <w:sz w:val="24"/>
          <w:szCs w:val="24"/>
        </w:rPr>
        <w:t>a </w:t>
      </w:r>
      <w:r w:rsidR="00DE7B31" w:rsidRPr="00ED7C30">
        <w:rPr>
          <w:rFonts w:cstheme="minorHAnsi"/>
          <w:sz w:val="24"/>
          <w:szCs w:val="24"/>
        </w:rPr>
        <w:t>2 tohoto zákona stanoví</w:t>
      </w:r>
      <w:r w:rsidR="00A531A5" w:rsidRPr="00ED7C30">
        <w:rPr>
          <w:rFonts w:cstheme="minorHAnsi"/>
          <w:sz w:val="24"/>
          <w:szCs w:val="24"/>
        </w:rPr>
        <w:t>:</w:t>
      </w:r>
    </w:p>
    <w:p w14:paraId="4DA081C0" w14:textId="53261283" w:rsidR="00115967" w:rsidRPr="00ED7C30" w:rsidRDefault="00DE7B31" w:rsidP="00DE7B31">
      <w:pPr>
        <w:spacing w:after="120"/>
        <w:jc w:val="both"/>
        <w:rPr>
          <w:rFonts w:cstheme="minorHAnsi"/>
          <w:i/>
          <w:sz w:val="24"/>
          <w:szCs w:val="24"/>
        </w:rPr>
      </w:pPr>
      <w:r w:rsidRPr="00AB7AAA">
        <w:rPr>
          <w:rFonts w:cstheme="minorHAnsi"/>
          <w:sz w:val="24"/>
          <w:szCs w:val="24"/>
        </w:rPr>
        <w:t>„</w:t>
      </w:r>
      <w:r w:rsidR="00A531A5" w:rsidRPr="00ED7C30">
        <w:rPr>
          <w:rFonts w:cstheme="minorHAnsi"/>
          <w:i/>
          <w:sz w:val="24"/>
          <w:szCs w:val="24"/>
        </w:rPr>
        <w:t xml:space="preserve">(1) </w:t>
      </w:r>
      <w:r w:rsidRPr="00ED7C30">
        <w:rPr>
          <w:rFonts w:cstheme="minorHAnsi"/>
          <w:i/>
          <w:sz w:val="24"/>
          <w:szCs w:val="24"/>
        </w:rPr>
        <w:t>Ministerstvo práce a sociálních věcí je ústředním orgánem státní správy pro pracovněprávní vztahy, bezpečnost práce, zaměstnanost a rekvalifikaci, kolektivní vyjednávání, mzdy a jiné odměny za práci, důchodové zabezpečení, nemocenské pojištění, sociální péči, péči o pracovní podmínky žen a mladistvých, právní ochranu mateřství, péči o</w:t>
      </w:r>
      <w:r w:rsidR="008A05CA" w:rsidRPr="00ED7C30">
        <w:rPr>
          <w:rFonts w:cstheme="minorHAnsi"/>
          <w:i/>
          <w:sz w:val="24"/>
          <w:szCs w:val="24"/>
        </w:rPr>
        <w:t> </w:t>
      </w:r>
      <w:r w:rsidRPr="00ED7C30">
        <w:rPr>
          <w:rFonts w:cstheme="minorHAnsi"/>
          <w:i/>
          <w:sz w:val="24"/>
          <w:szCs w:val="24"/>
        </w:rPr>
        <w:t>rodinu a děti, péči o občany, kteří potřebují zvláštní pomoc, a pro další otázky mzdové a</w:t>
      </w:r>
      <w:r w:rsidR="008A05CA" w:rsidRPr="00ED7C30">
        <w:rPr>
          <w:rFonts w:cstheme="minorHAnsi"/>
          <w:i/>
          <w:sz w:val="24"/>
          <w:szCs w:val="24"/>
        </w:rPr>
        <w:t> </w:t>
      </w:r>
      <w:r w:rsidRPr="00ED7C30">
        <w:rPr>
          <w:rFonts w:cstheme="minorHAnsi"/>
          <w:i/>
          <w:sz w:val="24"/>
          <w:szCs w:val="24"/>
        </w:rPr>
        <w:t>sociální politiky.</w:t>
      </w:r>
    </w:p>
    <w:p w14:paraId="3208C85C" w14:textId="76A1061A" w:rsidR="00FE31AC" w:rsidRPr="00ED7C30" w:rsidRDefault="00A531A5" w:rsidP="00DE7B31">
      <w:pPr>
        <w:spacing w:after="120"/>
        <w:jc w:val="both"/>
        <w:rPr>
          <w:rFonts w:cstheme="minorHAnsi"/>
          <w:i/>
          <w:sz w:val="24"/>
          <w:szCs w:val="24"/>
        </w:rPr>
      </w:pPr>
      <w:r w:rsidRPr="00ED7C30">
        <w:rPr>
          <w:rFonts w:cstheme="minorHAnsi"/>
          <w:i/>
          <w:sz w:val="24"/>
          <w:szCs w:val="24"/>
        </w:rPr>
        <w:t>(2)</w:t>
      </w:r>
      <w:r w:rsidR="00DE7B31" w:rsidRPr="00ED7C30">
        <w:rPr>
          <w:rFonts w:cstheme="minorHAnsi"/>
          <w:i/>
          <w:sz w:val="24"/>
          <w:szCs w:val="24"/>
        </w:rPr>
        <w:t xml:space="preserve"> Ministerstvo práce a sociálních věcí spolu s Ministerstvem financí připravuje a předkládá vládě návrhy právních úprav v oblasti odměňování státních zaměstnanců</w:t>
      </w:r>
      <w:r w:rsidR="00046AD6" w:rsidRPr="00ED7C30">
        <w:rPr>
          <w:rFonts w:cstheme="minorHAnsi"/>
          <w:i/>
          <w:sz w:val="24"/>
          <w:szCs w:val="24"/>
        </w:rPr>
        <w:t>.</w:t>
      </w:r>
      <w:r w:rsidR="00DE7B31" w:rsidRPr="00AB7AAA">
        <w:rPr>
          <w:rFonts w:cstheme="minorHAnsi"/>
          <w:sz w:val="24"/>
          <w:szCs w:val="24"/>
        </w:rPr>
        <w:t xml:space="preserve">“ </w:t>
      </w:r>
    </w:p>
    <w:p w14:paraId="5EE4744B" w14:textId="167E31E8" w:rsidR="00DE7B31" w:rsidRPr="00ED7C30" w:rsidRDefault="00A531A5" w:rsidP="00DE7B31">
      <w:pPr>
        <w:spacing w:after="120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MPSV plní v okruhu své působnosti úkoly stanové v zákonech a jiných obecně závazných právních předpisech.</w:t>
      </w:r>
      <w:r w:rsidR="00DE7B31" w:rsidRPr="00ED7C30">
        <w:rPr>
          <w:rFonts w:cstheme="minorHAnsi"/>
          <w:sz w:val="24"/>
          <w:szCs w:val="24"/>
        </w:rPr>
        <w:t xml:space="preserve"> </w:t>
      </w:r>
    </w:p>
    <w:p w14:paraId="405CA8B6" w14:textId="1E192DF2" w:rsidR="00DE7B31" w:rsidRPr="00ED7C30" w:rsidRDefault="00DE7B31" w:rsidP="00DE7B31">
      <w:pPr>
        <w:spacing w:after="120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 xml:space="preserve">Dle </w:t>
      </w:r>
      <w:r w:rsidR="00F0471C" w:rsidRPr="00ED7C30">
        <w:rPr>
          <w:rFonts w:cstheme="minorHAnsi"/>
          <w:sz w:val="24"/>
          <w:szCs w:val="24"/>
        </w:rPr>
        <w:t xml:space="preserve">ustanovení </w:t>
      </w:r>
      <w:r w:rsidRPr="00ED7C30">
        <w:rPr>
          <w:rFonts w:cstheme="minorHAnsi"/>
          <w:sz w:val="24"/>
          <w:szCs w:val="24"/>
        </w:rPr>
        <w:t>§ 3 odst. 1 zákona č. 219/2000 Sb., o majetku České republiky a jejím vystupování v právních vztazích, je MPSV organizační složkou státu (dále také „OSS“) a dle</w:t>
      </w:r>
      <w:r w:rsidR="00F0471C" w:rsidRPr="00ED7C30">
        <w:rPr>
          <w:rFonts w:cstheme="minorHAnsi"/>
          <w:sz w:val="24"/>
          <w:szCs w:val="24"/>
        </w:rPr>
        <w:t xml:space="preserve"> ustanovení </w:t>
      </w:r>
      <w:r w:rsidRPr="00ED7C30">
        <w:rPr>
          <w:rFonts w:cstheme="minorHAnsi"/>
          <w:sz w:val="24"/>
          <w:szCs w:val="24"/>
        </w:rPr>
        <w:t>§ 1 odst. 2</w:t>
      </w:r>
      <w:r w:rsidR="008A05CA" w:rsidRPr="00ED7C30">
        <w:rPr>
          <w:rFonts w:cstheme="minorHAnsi"/>
          <w:sz w:val="24"/>
          <w:szCs w:val="24"/>
        </w:rPr>
        <w:t> </w:t>
      </w:r>
      <w:r w:rsidRPr="00ED7C30">
        <w:rPr>
          <w:rFonts w:cstheme="minorHAnsi"/>
          <w:sz w:val="24"/>
          <w:szCs w:val="24"/>
        </w:rPr>
        <w:t>písm.</w:t>
      </w:r>
      <w:r w:rsidR="00E63F7C" w:rsidRPr="00ED7C30">
        <w:rPr>
          <w:rFonts w:cstheme="minorHAnsi"/>
          <w:sz w:val="24"/>
          <w:szCs w:val="24"/>
        </w:rPr>
        <w:t> </w:t>
      </w:r>
      <w:r w:rsidRPr="00ED7C30">
        <w:rPr>
          <w:rFonts w:cstheme="minorHAnsi"/>
          <w:sz w:val="24"/>
          <w:szCs w:val="24"/>
        </w:rPr>
        <w:t>c) zákona č. 563/1991 Sb., o</w:t>
      </w:r>
      <w:r w:rsidR="00F0471C" w:rsidRPr="00ED7C30">
        <w:rPr>
          <w:rFonts w:cstheme="minorHAnsi"/>
          <w:sz w:val="24"/>
          <w:szCs w:val="24"/>
        </w:rPr>
        <w:t xml:space="preserve"> účetnictví</w:t>
      </w:r>
      <w:r w:rsidRPr="00ED7C30">
        <w:rPr>
          <w:rFonts w:cstheme="minorHAnsi"/>
          <w:sz w:val="24"/>
          <w:szCs w:val="24"/>
        </w:rPr>
        <w:t>, je účetní</w:t>
      </w:r>
      <w:r w:rsidR="0012412B">
        <w:rPr>
          <w:rFonts w:cstheme="minorHAnsi"/>
          <w:sz w:val="24"/>
          <w:szCs w:val="24"/>
        </w:rPr>
        <w:t xml:space="preserve"> </w:t>
      </w:r>
      <w:r w:rsidRPr="00ED7C30">
        <w:rPr>
          <w:rFonts w:cstheme="minorHAnsi"/>
          <w:sz w:val="24"/>
          <w:szCs w:val="24"/>
        </w:rPr>
        <w:t xml:space="preserve">jednotkou. </w:t>
      </w:r>
    </w:p>
    <w:p w14:paraId="3DC12CC1" w14:textId="7EBC81AC" w:rsidR="00DE7B31" w:rsidRPr="00ED7C30" w:rsidRDefault="00DE7B31" w:rsidP="00DE7B31">
      <w:pPr>
        <w:spacing w:after="120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 xml:space="preserve">MPSV je dle </w:t>
      </w:r>
      <w:r w:rsidR="00F0471C" w:rsidRPr="00ED7C30">
        <w:rPr>
          <w:rFonts w:cstheme="minorHAnsi"/>
          <w:sz w:val="24"/>
          <w:szCs w:val="24"/>
        </w:rPr>
        <w:t xml:space="preserve">ustanovení </w:t>
      </w:r>
      <w:r w:rsidRPr="00ED7C30">
        <w:rPr>
          <w:rFonts w:cstheme="minorHAnsi"/>
          <w:sz w:val="24"/>
          <w:szCs w:val="24"/>
        </w:rPr>
        <w:t>§ 3 písm. g) zákona č. 218/2000 Sb.</w:t>
      </w:r>
      <w:r w:rsidR="00F0471C" w:rsidRPr="00ED7C30">
        <w:rPr>
          <w:rFonts w:cstheme="minorHAnsi"/>
          <w:sz w:val="24"/>
          <w:szCs w:val="24"/>
        </w:rPr>
        <w:t>, o rozpočtových pravidlech a o </w:t>
      </w:r>
      <w:r w:rsidRPr="00ED7C30">
        <w:rPr>
          <w:rFonts w:cstheme="minorHAnsi"/>
          <w:sz w:val="24"/>
          <w:szCs w:val="24"/>
        </w:rPr>
        <w:t xml:space="preserve">změně některých souvisejících zákonů </w:t>
      </w:r>
      <w:r w:rsidR="00A531A5" w:rsidRPr="00ED7C30">
        <w:rPr>
          <w:rFonts w:cstheme="minorHAnsi"/>
          <w:sz w:val="24"/>
          <w:szCs w:val="24"/>
        </w:rPr>
        <w:t>(rozpočtová pravidla)</w:t>
      </w:r>
      <w:r w:rsidRPr="00ED7C30">
        <w:rPr>
          <w:rFonts w:cstheme="minorHAnsi"/>
          <w:sz w:val="24"/>
          <w:szCs w:val="24"/>
        </w:rPr>
        <w:t>, správcem rozpočtové ka</w:t>
      </w:r>
      <w:r w:rsidR="00186452" w:rsidRPr="00ED7C30">
        <w:rPr>
          <w:rFonts w:cstheme="minorHAnsi"/>
          <w:sz w:val="24"/>
          <w:szCs w:val="24"/>
        </w:rPr>
        <w:t>pitoly 313</w:t>
      </w:r>
      <w:r w:rsidR="0012412B">
        <w:rPr>
          <w:rFonts w:cstheme="minorHAnsi"/>
          <w:sz w:val="24"/>
          <w:szCs w:val="24"/>
        </w:rPr>
        <w:t> –</w:t>
      </w:r>
      <w:r w:rsidR="00186452" w:rsidRPr="00ED7C30">
        <w:rPr>
          <w:rFonts w:cstheme="minorHAnsi"/>
          <w:sz w:val="24"/>
          <w:szCs w:val="24"/>
        </w:rPr>
        <w:t xml:space="preserve"> </w:t>
      </w:r>
      <w:r w:rsidR="00186452" w:rsidRPr="00AB7AAA">
        <w:rPr>
          <w:rFonts w:cstheme="minorHAnsi"/>
          <w:i/>
          <w:sz w:val="24"/>
          <w:szCs w:val="24"/>
        </w:rPr>
        <w:t>Ministerstvo práce a </w:t>
      </w:r>
      <w:r w:rsidRPr="00AB7AAA">
        <w:rPr>
          <w:rFonts w:cstheme="minorHAnsi"/>
          <w:i/>
          <w:sz w:val="24"/>
          <w:szCs w:val="24"/>
        </w:rPr>
        <w:t>sociálních věcí</w:t>
      </w:r>
      <w:r w:rsidR="0012412B">
        <w:rPr>
          <w:rFonts w:cstheme="minorHAnsi"/>
          <w:sz w:val="24"/>
          <w:szCs w:val="24"/>
        </w:rPr>
        <w:t xml:space="preserve"> (dále také „kapitola 313 MPSV“)</w:t>
      </w:r>
      <w:r w:rsidRPr="00ED7C30">
        <w:rPr>
          <w:rFonts w:cstheme="minorHAnsi"/>
          <w:sz w:val="24"/>
          <w:szCs w:val="24"/>
        </w:rPr>
        <w:t xml:space="preserve">. </w:t>
      </w:r>
    </w:p>
    <w:p w14:paraId="1762463E" w14:textId="77777777" w:rsidR="00DE7B31" w:rsidRPr="00ED7C30" w:rsidRDefault="00DE7B31" w:rsidP="004C66B3">
      <w:pPr>
        <w:spacing w:after="0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MPSV bylo k 31. 12. 2016 zřizovatelem 4</w:t>
      </w:r>
      <w:r w:rsidRPr="00AB7AAA">
        <w:rPr>
          <w:rFonts w:cstheme="minorHAnsi"/>
          <w:color w:val="000000" w:themeColor="text1"/>
          <w:sz w:val="24"/>
          <w:szCs w:val="24"/>
        </w:rPr>
        <w:t xml:space="preserve"> </w:t>
      </w:r>
      <w:r w:rsidRPr="00ED7C30">
        <w:rPr>
          <w:rFonts w:cstheme="minorHAnsi"/>
          <w:sz w:val="24"/>
          <w:szCs w:val="24"/>
        </w:rPr>
        <w:t>OSS a 7</w:t>
      </w:r>
      <w:r w:rsidRPr="00AB7AAA">
        <w:rPr>
          <w:rFonts w:cstheme="minorHAnsi"/>
          <w:color w:val="000000" w:themeColor="text1"/>
          <w:sz w:val="24"/>
          <w:szCs w:val="24"/>
        </w:rPr>
        <w:t xml:space="preserve"> </w:t>
      </w:r>
      <w:r w:rsidRPr="00ED7C30">
        <w:rPr>
          <w:rFonts w:cstheme="minorHAnsi"/>
          <w:sz w:val="24"/>
          <w:szCs w:val="24"/>
        </w:rPr>
        <w:t>příspěvkových organizací.</w:t>
      </w:r>
    </w:p>
    <w:p w14:paraId="302D785D" w14:textId="77777777" w:rsidR="00BD1D8C" w:rsidRPr="00ED7C30" w:rsidRDefault="00BD1D8C" w:rsidP="004C66B3">
      <w:pPr>
        <w:spacing w:after="0"/>
        <w:jc w:val="both"/>
        <w:rPr>
          <w:rFonts w:cstheme="minorHAnsi"/>
          <w:sz w:val="24"/>
          <w:szCs w:val="24"/>
        </w:rPr>
      </w:pPr>
    </w:p>
    <w:p w14:paraId="5B6F5855" w14:textId="77777777" w:rsidR="00686078" w:rsidRPr="00ED7C30" w:rsidRDefault="00686078" w:rsidP="00026D84">
      <w:pPr>
        <w:spacing w:after="0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Podíl MPSV na příjmech a výdajích kapitoly 313 MPSV byl v roce 2016 následující:</w:t>
      </w:r>
    </w:p>
    <w:p w14:paraId="599C98D5" w14:textId="277A7644" w:rsidR="00686078" w:rsidRPr="00ED7C30" w:rsidRDefault="00B6443D" w:rsidP="00686078">
      <w:pPr>
        <w:pStyle w:val="Odstavecseseznamem"/>
        <w:numPr>
          <w:ilvl w:val="0"/>
          <w:numId w:val="1"/>
        </w:numPr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ED7C30">
        <w:rPr>
          <w:rFonts w:asciiTheme="minorHAnsi" w:hAnsiTheme="minorHAnsi" w:cstheme="minorHAnsi"/>
        </w:rPr>
        <w:t>1,48</w:t>
      </w:r>
      <w:r w:rsidR="00686078" w:rsidRPr="00ED7C30">
        <w:rPr>
          <w:rFonts w:asciiTheme="minorHAnsi" w:hAnsiTheme="minorHAnsi" w:cstheme="minorHAnsi"/>
        </w:rPr>
        <w:t xml:space="preserve"> % příjmů kapitoly,</w:t>
      </w:r>
    </w:p>
    <w:p w14:paraId="67A0090E" w14:textId="2017E82B" w:rsidR="00686078" w:rsidRPr="00ED7C30" w:rsidRDefault="00B6443D" w:rsidP="00686078">
      <w:pPr>
        <w:pStyle w:val="Odstavecseseznamem"/>
        <w:numPr>
          <w:ilvl w:val="0"/>
          <w:numId w:val="1"/>
        </w:numPr>
        <w:spacing w:after="120" w:line="264" w:lineRule="auto"/>
        <w:ind w:left="284" w:hanging="284"/>
        <w:jc w:val="both"/>
        <w:rPr>
          <w:rFonts w:asciiTheme="minorHAnsi" w:hAnsiTheme="minorHAnsi" w:cstheme="minorHAnsi"/>
        </w:rPr>
      </w:pPr>
      <w:r w:rsidRPr="00ED7C30">
        <w:rPr>
          <w:rFonts w:asciiTheme="minorHAnsi" w:hAnsiTheme="minorHAnsi" w:cstheme="minorHAnsi"/>
        </w:rPr>
        <w:t xml:space="preserve">3,27 </w:t>
      </w:r>
      <w:r w:rsidR="00686078" w:rsidRPr="00ED7C30">
        <w:rPr>
          <w:rFonts w:asciiTheme="minorHAnsi" w:hAnsiTheme="minorHAnsi" w:cstheme="minorHAnsi"/>
        </w:rPr>
        <w:t>% výdajů kapitoly.</w:t>
      </w:r>
    </w:p>
    <w:p w14:paraId="01884A96" w14:textId="77777777" w:rsidR="00DE7B31" w:rsidRPr="00ED7C30" w:rsidRDefault="00DE7B31" w:rsidP="004C66B3">
      <w:pPr>
        <w:spacing w:after="0" w:line="240" w:lineRule="auto"/>
        <w:jc w:val="both"/>
        <w:rPr>
          <w:rFonts w:cstheme="minorHAnsi"/>
        </w:rPr>
      </w:pPr>
    </w:p>
    <w:p w14:paraId="64A21091" w14:textId="50328ED0" w:rsidR="00DE7B31" w:rsidRPr="00ED7C30" w:rsidRDefault="00DE7B31" w:rsidP="004C66B3">
      <w:pPr>
        <w:spacing w:after="0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 xml:space="preserve">Přehled základních údajů k 31. 12. 2016 z účetní závěrky MPSV a </w:t>
      </w:r>
      <w:r w:rsidR="0012412B">
        <w:rPr>
          <w:rFonts w:cstheme="minorHAnsi"/>
          <w:sz w:val="24"/>
          <w:szCs w:val="24"/>
        </w:rPr>
        <w:t>v</w:t>
      </w:r>
      <w:r w:rsidRPr="00ED7C30">
        <w:rPr>
          <w:rFonts w:cstheme="minorHAnsi"/>
          <w:sz w:val="24"/>
          <w:szCs w:val="24"/>
        </w:rPr>
        <w:t>ýkazu pro hodnocení plnění rozpočtu správců kapitol a organizačních složek státu (dále jen „Výkaz pro hodnocení plnění rozpočtu“) z rozpočtového systému</w:t>
      </w:r>
      <w:r w:rsidRPr="00ED7C30">
        <w:rPr>
          <w:rStyle w:val="Znakapoznpodarou"/>
          <w:rFonts w:cstheme="minorHAnsi"/>
          <w:sz w:val="24"/>
          <w:szCs w:val="24"/>
        </w:rPr>
        <w:footnoteReference w:id="1"/>
      </w:r>
      <w:r w:rsidRPr="00ED7C30">
        <w:rPr>
          <w:rFonts w:cstheme="minorHAnsi"/>
          <w:sz w:val="24"/>
          <w:szCs w:val="24"/>
        </w:rPr>
        <w:t xml:space="preserve"> je uveden v následujících tabulkách:</w:t>
      </w:r>
    </w:p>
    <w:p w14:paraId="6F027E94" w14:textId="140CDFFA" w:rsidR="00750C1D" w:rsidRPr="00ED7C30" w:rsidRDefault="00750C1D">
      <w:pPr>
        <w:rPr>
          <w:rFonts w:cstheme="minorHAnsi"/>
        </w:rPr>
      </w:pPr>
      <w:r w:rsidRPr="00ED7C30">
        <w:rPr>
          <w:rFonts w:cstheme="minorHAnsi"/>
        </w:rPr>
        <w:br w:type="page"/>
      </w:r>
    </w:p>
    <w:p w14:paraId="4F539947" w14:textId="40C069E4" w:rsidR="00DE7B31" w:rsidRPr="00ED7C30" w:rsidRDefault="00DE7B31" w:rsidP="00F531E0">
      <w:pPr>
        <w:pStyle w:val="Titulek"/>
      </w:pPr>
      <w:r w:rsidRPr="00ED7C30">
        <w:lastRenderedPageBreak/>
        <w:t>Tabulka 1: Údaje účetní závěrky MPSV k 31. 12. 2016 – rozvaha a výkaz zisku a ztráty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512"/>
      </w:tblGrid>
      <w:tr w:rsidR="00DE7B31" w:rsidRPr="00ED7C30" w14:paraId="673ED027" w14:textId="77777777" w:rsidTr="00130905">
        <w:trPr>
          <w:trHeight w:hRule="exact" w:val="34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52C2464" w14:textId="77777777" w:rsidR="00DE7B31" w:rsidRPr="00ED7C30" w:rsidRDefault="00DE7B31" w:rsidP="00682785">
            <w:pPr>
              <w:jc w:val="center"/>
              <w:rPr>
                <w:rFonts w:cstheme="minorHAnsi"/>
                <w:b/>
                <w:color w:val="000000"/>
              </w:rPr>
            </w:pPr>
            <w:r w:rsidRPr="00ED7C30">
              <w:rPr>
                <w:rFonts w:cstheme="minorHAnsi"/>
                <w:b/>
                <w:color w:val="000000"/>
              </w:rPr>
              <w:t>Položka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97CE3E0" w14:textId="77777777" w:rsidR="00DE7B31" w:rsidRPr="00ED7C30" w:rsidRDefault="00DE7B31" w:rsidP="00682785">
            <w:pPr>
              <w:jc w:val="center"/>
              <w:rPr>
                <w:rFonts w:cstheme="minorHAnsi"/>
                <w:b/>
                <w:color w:val="000000"/>
              </w:rPr>
            </w:pPr>
            <w:r w:rsidRPr="00ED7C30">
              <w:rPr>
                <w:rFonts w:cstheme="minorHAnsi"/>
                <w:b/>
                <w:color w:val="000000"/>
              </w:rPr>
              <w:t>Částka v Kč</w:t>
            </w:r>
          </w:p>
        </w:tc>
      </w:tr>
      <w:tr w:rsidR="00DE7B31" w:rsidRPr="00ED7C30" w14:paraId="67A01DCE" w14:textId="77777777" w:rsidTr="00130905">
        <w:trPr>
          <w:trHeight w:hRule="exact" w:val="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68D1" w14:textId="77777777" w:rsidR="00DE7B31" w:rsidRPr="00ED7C30" w:rsidRDefault="00DE7B31" w:rsidP="00682785">
            <w:pPr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Aktiva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1568" w14:textId="77777777" w:rsidR="00DE7B31" w:rsidRPr="00ED7C30" w:rsidRDefault="00DE7B31" w:rsidP="00AB7AAA">
            <w:pPr>
              <w:ind w:right="2665"/>
              <w:jc w:val="right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41 088 012 655,21*</w:t>
            </w:r>
          </w:p>
        </w:tc>
      </w:tr>
      <w:tr w:rsidR="00DE7B31" w:rsidRPr="00ED7C30" w14:paraId="54CDEA64" w14:textId="77777777" w:rsidTr="00130905">
        <w:trPr>
          <w:trHeight w:hRule="exact" w:val="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5EAD" w14:textId="77777777" w:rsidR="00DE7B31" w:rsidRPr="00ED7C30" w:rsidRDefault="00DE7B31" w:rsidP="00682785">
            <w:pPr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Pasiva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C979" w14:textId="77777777" w:rsidR="00DE7B31" w:rsidRPr="00ED7C30" w:rsidRDefault="00DE7B31" w:rsidP="00AB7AAA">
            <w:pPr>
              <w:ind w:right="2766"/>
              <w:jc w:val="right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41 088 012 655,21</w:t>
            </w:r>
          </w:p>
        </w:tc>
      </w:tr>
      <w:tr w:rsidR="00DE7B31" w:rsidRPr="00ED7C30" w14:paraId="4CD4F31B" w14:textId="77777777" w:rsidTr="00130905">
        <w:trPr>
          <w:trHeight w:hRule="exact" w:val="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EA72" w14:textId="77777777" w:rsidR="00DE7B31" w:rsidRPr="00ED7C30" w:rsidRDefault="00DE7B31" w:rsidP="00682785">
            <w:pPr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 xml:space="preserve">Náklady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1BBD" w14:textId="77777777" w:rsidR="00DE7B31" w:rsidRPr="00ED7C30" w:rsidRDefault="00DE7B31" w:rsidP="00AB7AAA">
            <w:pPr>
              <w:ind w:right="2766"/>
              <w:jc w:val="right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18 126 907 603,58</w:t>
            </w:r>
          </w:p>
        </w:tc>
      </w:tr>
      <w:tr w:rsidR="00DE7B31" w:rsidRPr="00ED7C30" w14:paraId="13EF0E65" w14:textId="77777777" w:rsidTr="00130905">
        <w:trPr>
          <w:trHeight w:hRule="exact" w:val="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3DA9" w14:textId="77777777" w:rsidR="00DE7B31" w:rsidRPr="00ED7C30" w:rsidRDefault="00DE7B31" w:rsidP="00682785">
            <w:pPr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 xml:space="preserve">Výnosy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309E" w14:textId="77777777" w:rsidR="00DE7B31" w:rsidRPr="00ED7C30" w:rsidRDefault="00DE7B31" w:rsidP="00AB7AAA">
            <w:pPr>
              <w:ind w:right="2766"/>
              <w:jc w:val="right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6 346 157 536,85</w:t>
            </w:r>
          </w:p>
        </w:tc>
      </w:tr>
    </w:tbl>
    <w:p w14:paraId="5507E8DF" w14:textId="5DAC2B7E" w:rsidR="00DE7B31" w:rsidRPr="00AB7AAA" w:rsidRDefault="00DE7B31" w:rsidP="00377D8B">
      <w:pPr>
        <w:spacing w:before="40" w:after="0"/>
        <w:rPr>
          <w:sz w:val="20"/>
        </w:rPr>
      </w:pPr>
      <w:r w:rsidRPr="00AB7AAA">
        <w:rPr>
          <w:b/>
          <w:sz w:val="20"/>
        </w:rPr>
        <w:t>Zdroj:</w:t>
      </w:r>
      <w:r w:rsidRPr="00AB7AAA">
        <w:rPr>
          <w:sz w:val="20"/>
        </w:rPr>
        <w:t xml:space="preserve"> </w:t>
      </w:r>
      <w:r w:rsidR="004B1ECB">
        <w:rPr>
          <w:sz w:val="20"/>
        </w:rPr>
        <w:t>ú</w:t>
      </w:r>
      <w:r w:rsidRPr="00AB7AAA">
        <w:rPr>
          <w:sz w:val="20"/>
        </w:rPr>
        <w:t>četní závěrka MPSV k 31. 12. 2016</w:t>
      </w:r>
      <w:r w:rsidR="00F0471C" w:rsidRPr="00AB7AAA">
        <w:rPr>
          <w:sz w:val="20"/>
        </w:rPr>
        <w:t>.</w:t>
      </w:r>
    </w:p>
    <w:p w14:paraId="2B7D84FC" w14:textId="310D74EA" w:rsidR="00DE7B31" w:rsidRPr="00AB7AAA" w:rsidRDefault="00DE7B31" w:rsidP="0012412B">
      <w:pPr>
        <w:ind w:left="284" w:hanging="284"/>
        <w:jc w:val="both"/>
        <w:rPr>
          <w:rFonts w:cstheme="minorHAnsi"/>
          <w:sz w:val="20"/>
          <w:szCs w:val="20"/>
        </w:rPr>
      </w:pPr>
      <w:r w:rsidRPr="00AB7AAA">
        <w:rPr>
          <w:rFonts w:cstheme="minorHAnsi"/>
          <w:b/>
          <w:sz w:val="20"/>
          <w:szCs w:val="20"/>
          <w:vertAlign w:val="superscript"/>
        </w:rPr>
        <w:t xml:space="preserve">* </w:t>
      </w:r>
      <w:r w:rsidR="0012412B">
        <w:rPr>
          <w:rFonts w:cstheme="minorHAnsi"/>
          <w:b/>
          <w:sz w:val="20"/>
          <w:szCs w:val="20"/>
          <w:vertAlign w:val="superscript"/>
        </w:rPr>
        <w:tab/>
      </w:r>
      <w:r w:rsidRPr="00AB7AAA">
        <w:rPr>
          <w:rFonts w:cstheme="minorHAnsi"/>
          <w:sz w:val="20"/>
          <w:szCs w:val="20"/>
        </w:rPr>
        <w:t>Hodnota aktiv ve výši 41 088 012 655,21 Kč je hodnota uvedená v rozvaze ve sloupci „netto“; hodnota brutto je ve výši 44 675 260 405,22 Kč, upravená o korekce v celkové výši 3 587 247 750,01 Kč.</w:t>
      </w:r>
    </w:p>
    <w:p w14:paraId="09638673" w14:textId="1756F55E" w:rsidR="00DE7B31" w:rsidRPr="00ED7C30" w:rsidRDefault="00DE7B31" w:rsidP="00DE7B31">
      <w:pPr>
        <w:keepNext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D7C30">
        <w:rPr>
          <w:rFonts w:cstheme="minorHAnsi"/>
          <w:b/>
          <w:bCs/>
          <w:sz w:val="24"/>
          <w:szCs w:val="24"/>
        </w:rPr>
        <w:t>Tabulka 2: Údaje účetní závěrky MPSV k 31. 12. 2016 – podrozvahové účty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5913"/>
        <w:gridCol w:w="1683"/>
      </w:tblGrid>
      <w:tr w:rsidR="00DE7B31" w:rsidRPr="00ED7C30" w14:paraId="384201A6" w14:textId="77777777" w:rsidTr="00AB7AAA">
        <w:trPr>
          <w:trHeight w:hRule="exact" w:val="567"/>
          <w:tblHeader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A29A785" w14:textId="77777777" w:rsidR="00DE7B31" w:rsidRPr="00ED7C30" w:rsidRDefault="00DE7B31" w:rsidP="008501A9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ED7C30">
              <w:rPr>
                <w:rFonts w:cstheme="minorHAnsi"/>
                <w:b/>
                <w:color w:val="000000"/>
              </w:rPr>
              <w:t>Syntetický účet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B0C6691" w14:textId="77777777" w:rsidR="00DE7B31" w:rsidRPr="00ED7C30" w:rsidRDefault="00DE7B31" w:rsidP="008501A9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ED7C30">
              <w:rPr>
                <w:rFonts w:cstheme="minorHAnsi"/>
                <w:b/>
                <w:color w:val="000000"/>
              </w:rPr>
              <w:t>Název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5C7ACEE" w14:textId="77777777" w:rsidR="00DE7B31" w:rsidRPr="00ED7C30" w:rsidRDefault="00DE7B31" w:rsidP="008501A9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ED7C30">
              <w:rPr>
                <w:rFonts w:cstheme="minorHAnsi"/>
                <w:b/>
                <w:color w:val="000000"/>
              </w:rPr>
              <w:t>Částka v Kč</w:t>
            </w:r>
          </w:p>
        </w:tc>
      </w:tr>
      <w:tr w:rsidR="00DE7B31" w:rsidRPr="00ED7C30" w14:paraId="7BC4AD33" w14:textId="77777777" w:rsidTr="00AB7AAA">
        <w:trPr>
          <w:trHeight w:hRule="exact" w:val="34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1951" w14:textId="77777777" w:rsidR="00DE7B31" w:rsidRPr="00ED7C30" w:rsidRDefault="00DE7B31" w:rsidP="00AB7AAA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901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145D" w14:textId="77777777" w:rsidR="00DE7B31" w:rsidRPr="00ED7C30" w:rsidRDefault="00DE7B31" w:rsidP="008501A9">
            <w:pPr>
              <w:spacing w:after="0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Jiný drobný dlouhodobý nehmotný majetek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08C2" w14:textId="77777777" w:rsidR="00DE7B31" w:rsidRPr="00ED7C30" w:rsidRDefault="00DE7B31" w:rsidP="008501A9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210 272 178,67</w:t>
            </w:r>
          </w:p>
        </w:tc>
      </w:tr>
      <w:tr w:rsidR="00DE7B31" w:rsidRPr="00ED7C30" w14:paraId="241B155D" w14:textId="77777777" w:rsidTr="00AB7AAA">
        <w:trPr>
          <w:trHeight w:hRule="exact" w:val="34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7C9B" w14:textId="77777777" w:rsidR="00DE7B31" w:rsidRPr="00ED7C30" w:rsidRDefault="00DE7B31" w:rsidP="00AB7AAA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902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28B" w14:textId="4EA5477B" w:rsidR="00DE7B31" w:rsidRPr="00ED7C30" w:rsidRDefault="001432AE" w:rsidP="008501A9">
            <w:pPr>
              <w:spacing w:after="0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Jiný d</w:t>
            </w:r>
            <w:r w:rsidR="00DE7B31" w:rsidRPr="00ED7C30">
              <w:rPr>
                <w:rFonts w:cstheme="minorHAnsi"/>
                <w:color w:val="000000"/>
              </w:rPr>
              <w:t>robný dlouhodobý hmotný majetek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1F57" w14:textId="77777777" w:rsidR="00DE7B31" w:rsidRPr="00ED7C30" w:rsidRDefault="00DE7B31" w:rsidP="008501A9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38 090 092,06</w:t>
            </w:r>
          </w:p>
        </w:tc>
      </w:tr>
      <w:tr w:rsidR="00DE7B31" w:rsidRPr="00ED7C30" w14:paraId="56F6BFA3" w14:textId="77777777" w:rsidTr="00AB7AAA">
        <w:trPr>
          <w:trHeight w:hRule="exact" w:val="34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5293" w14:textId="77777777" w:rsidR="00DE7B31" w:rsidRPr="00ED7C30" w:rsidRDefault="00DE7B31" w:rsidP="00AB7AAA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905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974F" w14:textId="77777777" w:rsidR="00DE7B31" w:rsidRPr="00ED7C30" w:rsidRDefault="00DE7B31" w:rsidP="008501A9">
            <w:pPr>
              <w:spacing w:after="0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Vyřazené pohledávky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9D98" w14:textId="77777777" w:rsidR="00DE7B31" w:rsidRPr="00ED7C30" w:rsidRDefault="00DE7B31" w:rsidP="008501A9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3 238 142,54</w:t>
            </w:r>
          </w:p>
        </w:tc>
      </w:tr>
      <w:tr w:rsidR="00DE7B31" w:rsidRPr="00ED7C30" w14:paraId="04737838" w14:textId="77777777" w:rsidTr="00AB7AAA">
        <w:trPr>
          <w:trHeight w:hRule="exact" w:val="34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DE0" w14:textId="77777777" w:rsidR="00DE7B31" w:rsidRPr="00ED7C30" w:rsidRDefault="00DE7B31" w:rsidP="00AB7AAA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916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629" w14:textId="77777777" w:rsidR="00DE7B31" w:rsidRPr="00ED7C30" w:rsidRDefault="00DE7B31" w:rsidP="008501A9">
            <w:pPr>
              <w:spacing w:after="0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Ostatní krátkodobé podmíněné závazky z transferů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804A" w14:textId="77777777" w:rsidR="00DE7B31" w:rsidRPr="00ED7C30" w:rsidRDefault="00DE7B31" w:rsidP="008501A9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1 455 207 186,00</w:t>
            </w:r>
          </w:p>
        </w:tc>
      </w:tr>
      <w:tr w:rsidR="00DE7B31" w:rsidRPr="00ED7C30" w14:paraId="1761E5A3" w14:textId="77777777" w:rsidTr="00AB7AAA">
        <w:trPr>
          <w:trHeight w:hRule="exact" w:val="34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ADF2" w14:textId="77777777" w:rsidR="00DE7B31" w:rsidRPr="00ED7C30" w:rsidRDefault="00DE7B31" w:rsidP="00AB7AAA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951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0031" w14:textId="77777777" w:rsidR="00DE7B31" w:rsidRPr="00ED7C30" w:rsidRDefault="00DE7B31" w:rsidP="008501A9">
            <w:pPr>
              <w:spacing w:after="0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Dlouhodobé podmíněné pohledávky z předfinancování transferů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4B7D" w14:textId="77777777" w:rsidR="00DE7B31" w:rsidRPr="00ED7C30" w:rsidRDefault="00DE7B31" w:rsidP="008501A9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385 096 402,42</w:t>
            </w:r>
          </w:p>
        </w:tc>
      </w:tr>
      <w:tr w:rsidR="00DE7B31" w:rsidRPr="00ED7C30" w14:paraId="40A7D4D5" w14:textId="77777777" w:rsidTr="00AB7AAA">
        <w:trPr>
          <w:trHeight w:hRule="exact" w:val="34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4EFF" w14:textId="77777777" w:rsidR="00DE7B31" w:rsidRPr="00ED7C30" w:rsidRDefault="00DE7B31" w:rsidP="00AB7AAA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953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49A0" w14:textId="77777777" w:rsidR="00DE7B31" w:rsidRPr="00ED7C30" w:rsidRDefault="00DE7B31" w:rsidP="008501A9">
            <w:pPr>
              <w:spacing w:after="0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Dlouhodobé podmíněné pohledávky ze zahraničních transferů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79C9" w14:textId="77777777" w:rsidR="00DE7B31" w:rsidRPr="00ED7C30" w:rsidRDefault="00DE7B31" w:rsidP="008501A9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2 851 950,90</w:t>
            </w:r>
          </w:p>
        </w:tc>
      </w:tr>
      <w:tr w:rsidR="00DE7B31" w:rsidRPr="00ED7C30" w14:paraId="1DC8119B" w14:textId="77777777" w:rsidTr="00AB7AAA">
        <w:trPr>
          <w:trHeight w:hRule="exact" w:val="34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CDCB" w14:textId="77777777" w:rsidR="00DE7B31" w:rsidRPr="00ED7C30" w:rsidRDefault="00DE7B31" w:rsidP="00AB7AAA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956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9320" w14:textId="77777777" w:rsidR="00DE7B31" w:rsidRPr="00ED7C30" w:rsidRDefault="00DE7B31" w:rsidP="008501A9">
            <w:pPr>
              <w:spacing w:after="0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Ostatní dlouhodobé podmíněné závazky z transferů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1D2C" w14:textId="77777777" w:rsidR="00DE7B31" w:rsidRPr="00ED7C30" w:rsidRDefault="00DE7B31" w:rsidP="008501A9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8 549 883 136,55</w:t>
            </w:r>
          </w:p>
        </w:tc>
      </w:tr>
      <w:tr w:rsidR="00DE7B31" w:rsidRPr="00ED7C30" w14:paraId="5162BA22" w14:textId="77777777" w:rsidTr="00AB7AAA">
        <w:trPr>
          <w:trHeight w:hRule="exact" w:val="34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1B03" w14:textId="77777777" w:rsidR="00DE7B31" w:rsidRPr="00ED7C30" w:rsidRDefault="00DE7B31" w:rsidP="00AB7AAA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974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024E" w14:textId="77777777" w:rsidR="00DE7B31" w:rsidRPr="00ED7C30" w:rsidRDefault="00DE7B31" w:rsidP="008501A9">
            <w:pPr>
              <w:spacing w:after="0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Dlouhodobé podmíněné závazky z jiných smluv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375D" w14:textId="77777777" w:rsidR="00DE7B31" w:rsidRPr="00ED7C30" w:rsidRDefault="00DE7B31" w:rsidP="008501A9">
            <w:pPr>
              <w:spacing w:after="0"/>
              <w:jc w:val="right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20 571 149,00</w:t>
            </w:r>
          </w:p>
        </w:tc>
      </w:tr>
    </w:tbl>
    <w:p w14:paraId="538B91E7" w14:textId="6C4AFD50" w:rsidR="00DE7B31" w:rsidRPr="00AB7AAA" w:rsidRDefault="00DE7B31" w:rsidP="00026D84">
      <w:pPr>
        <w:spacing w:before="40"/>
        <w:rPr>
          <w:rFonts w:cstheme="minorHAnsi"/>
          <w:sz w:val="20"/>
          <w:szCs w:val="20"/>
        </w:rPr>
      </w:pPr>
      <w:r w:rsidRPr="00AB7AAA">
        <w:rPr>
          <w:rFonts w:cstheme="minorHAnsi"/>
          <w:b/>
          <w:sz w:val="20"/>
          <w:szCs w:val="20"/>
        </w:rPr>
        <w:t>Zdroj:</w:t>
      </w:r>
      <w:r w:rsidRPr="00AB7AAA">
        <w:rPr>
          <w:rFonts w:cstheme="minorHAnsi"/>
          <w:sz w:val="20"/>
          <w:szCs w:val="20"/>
        </w:rPr>
        <w:t xml:space="preserve"> </w:t>
      </w:r>
      <w:r w:rsidR="008501A9">
        <w:rPr>
          <w:rFonts w:cstheme="minorHAnsi"/>
          <w:sz w:val="20"/>
          <w:szCs w:val="20"/>
        </w:rPr>
        <w:t>ú</w:t>
      </w:r>
      <w:r w:rsidRPr="00AB7AAA">
        <w:rPr>
          <w:rFonts w:cstheme="minorHAnsi"/>
          <w:sz w:val="20"/>
          <w:szCs w:val="20"/>
        </w:rPr>
        <w:t>četní závěrka MPSV k 31. 12. 2016</w:t>
      </w:r>
      <w:r w:rsidR="0054662C" w:rsidRPr="00AB7AAA">
        <w:rPr>
          <w:rFonts w:cstheme="minorHAnsi"/>
          <w:sz w:val="20"/>
          <w:szCs w:val="20"/>
        </w:rPr>
        <w:t>.</w:t>
      </w:r>
    </w:p>
    <w:p w14:paraId="58DC3656" w14:textId="13E4CAC5" w:rsidR="00DE7B31" w:rsidRPr="00ED7C30" w:rsidRDefault="00DE7B31" w:rsidP="00DE7B31">
      <w:pPr>
        <w:keepNext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D7C30">
        <w:rPr>
          <w:rFonts w:cstheme="minorHAnsi"/>
          <w:b/>
          <w:bCs/>
          <w:sz w:val="24"/>
          <w:szCs w:val="24"/>
        </w:rPr>
        <w:t xml:space="preserve">Tabulka 3: Údaje z </w:t>
      </w:r>
      <w:r w:rsidR="001432AE" w:rsidRPr="00ED7C30">
        <w:rPr>
          <w:rFonts w:cstheme="minorHAnsi"/>
          <w:b/>
          <w:bCs/>
          <w:sz w:val="24"/>
          <w:szCs w:val="24"/>
        </w:rPr>
        <w:t>V</w:t>
      </w:r>
      <w:r w:rsidRPr="00ED7C30">
        <w:rPr>
          <w:rFonts w:cstheme="minorHAnsi"/>
          <w:b/>
          <w:bCs/>
          <w:sz w:val="24"/>
          <w:szCs w:val="24"/>
        </w:rPr>
        <w:t>ýkazu pro hodnocení plnění rozpočtu MPSV k 31. 12. 2016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654"/>
      </w:tblGrid>
      <w:tr w:rsidR="00DE7B31" w:rsidRPr="00ED7C30" w14:paraId="3601263F" w14:textId="77777777" w:rsidTr="00130905">
        <w:trPr>
          <w:trHeight w:hRule="exact" w:val="34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131D6DAB" w14:textId="77777777" w:rsidR="00DE7B31" w:rsidRPr="00ED7C30" w:rsidRDefault="00DE7B31" w:rsidP="008501A9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ED7C30">
              <w:rPr>
                <w:rFonts w:cstheme="minorHAnsi"/>
                <w:b/>
                <w:color w:val="000000"/>
              </w:rPr>
              <w:t>Položka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6B04E63A" w14:textId="77777777" w:rsidR="00DE7B31" w:rsidRPr="00ED7C30" w:rsidRDefault="00DE7B31" w:rsidP="008501A9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ED7C30">
              <w:rPr>
                <w:rFonts w:cstheme="minorHAnsi"/>
                <w:b/>
                <w:color w:val="000000"/>
              </w:rPr>
              <w:t>Částka v Kč</w:t>
            </w:r>
          </w:p>
        </w:tc>
      </w:tr>
      <w:tr w:rsidR="00DE7B31" w:rsidRPr="00ED7C30" w14:paraId="6D09EE22" w14:textId="77777777" w:rsidTr="00130905">
        <w:trPr>
          <w:trHeight w:hRule="exact" w:val="3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1D5F" w14:textId="77777777" w:rsidR="00DE7B31" w:rsidRPr="00ED7C30" w:rsidRDefault="00DE7B31" w:rsidP="008501A9">
            <w:pPr>
              <w:spacing w:after="0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Příjmy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A139" w14:textId="77777777" w:rsidR="00DE7B31" w:rsidRPr="00ED7C30" w:rsidRDefault="00DE7B31" w:rsidP="00AB7AAA">
            <w:pPr>
              <w:spacing w:after="0"/>
              <w:ind w:right="3049"/>
              <w:jc w:val="right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6 347 348 659,76</w:t>
            </w:r>
          </w:p>
        </w:tc>
      </w:tr>
      <w:tr w:rsidR="00DE7B31" w:rsidRPr="00ED7C30" w14:paraId="50126524" w14:textId="77777777" w:rsidTr="00130905">
        <w:trPr>
          <w:trHeight w:hRule="exact" w:val="3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73CE" w14:textId="77777777" w:rsidR="00DE7B31" w:rsidRPr="00ED7C30" w:rsidRDefault="00DE7B31" w:rsidP="008501A9">
            <w:pPr>
              <w:spacing w:after="0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Výdaje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7D94" w14:textId="77777777" w:rsidR="00DE7B31" w:rsidRPr="00ED7C30" w:rsidRDefault="00DE7B31" w:rsidP="00AB7AAA">
            <w:pPr>
              <w:keepNext/>
              <w:spacing w:after="0"/>
              <w:ind w:right="3049"/>
              <w:jc w:val="right"/>
              <w:rPr>
                <w:rFonts w:cstheme="minorHAnsi"/>
                <w:color w:val="000000"/>
              </w:rPr>
            </w:pPr>
            <w:r w:rsidRPr="00ED7C30">
              <w:rPr>
                <w:rFonts w:cstheme="minorHAnsi"/>
                <w:color w:val="000000"/>
              </w:rPr>
              <w:t>17 638 920 283,86</w:t>
            </w:r>
          </w:p>
        </w:tc>
      </w:tr>
    </w:tbl>
    <w:p w14:paraId="6CBEEFC4" w14:textId="6FE64948" w:rsidR="00682785" w:rsidRPr="00AB7AAA" w:rsidRDefault="00DE7B31" w:rsidP="00026D84">
      <w:pPr>
        <w:spacing w:before="40"/>
        <w:rPr>
          <w:rFonts w:cstheme="minorHAnsi"/>
          <w:sz w:val="20"/>
          <w:szCs w:val="20"/>
        </w:rPr>
      </w:pPr>
      <w:r w:rsidRPr="00AB7AAA">
        <w:rPr>
          <w:rFonts w:cstheme="minorHAnsi"/>
          <w:b/>
          <w:sz w:val="20"/>
          <w:szCs w:val="20"/>
        </w:rPr>
        <w:t>Zdroj:</w:t>
      </w:r>
      <w:r w:rsidRPr="00AB7AAA">
        <w:rPr>
          <w:rFonts w:cstheme="minorHAnsi"/>
          <w:sz w:val="20"/>
          <w:szCs w:val="20"/>
        </w:rPr>
        <w:t xml:space="preserve"> Výkaz pro hodnocení plnění rozpočtu MPSV k 31. 12. 2016</w:t>
      </w:r>
      <w:r w:rsidR="0054662C" w:rsidRPr="00AB7AAA">
        <w:rPr>
          <w:rFonts w:cstheme="minorHAnsi"/>
          <w:sz w:val="20"/>
          <w:szCs w:val="20"/>
        </w:rPr>
        <w:t>.</w:t>
      </w:r>
    </w:p>
    <w:p w14:paraId="04ABEB47" w14:textId="4B439FD6" w:rsidR="00FA20E5" w:rsidRPr="00ED7C30" w:rsidRDefault="00FA20E5" w:rsidP="00FA20E5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Regulační rámec pro oblast účetnictví a finančního výkaznic</w:t>
      </w:r>
      <w:r w:rsidR="00A17D93" w:rsidRPr="00ED7C30">
        <w:rPr>
          <w:rFonts w:cstheme="minorHAnsi"/>
          <w:sz w:val="24"/>
          <w:szCs w:val="24"/>
        </w:rPr>
        <w:t>tví představují zejména zákon o </w:t>
      </w:r>
      <w:r w:rsidRPr="00ED7C30">
        <w:rPr>
          <w:rFonts w:cstheme="minorHAnsi"/>
          <w:sz w:val="24"/>
          <w:szCs w:val="24"/>
        </w:rPr>
        <w:t xml:space="preserve">účetnictví a prováděcí vyhlášky k tomuto zákonu, zejména vyhláška č. 410/2009 Sb., kterou se provádějí některá ustanovení zákona č. 563/1991 Sb., o účetnictví, ve znění pozdějších přepisů, pro některé vybrané účetní jednotky. Pro účely sjednocení aplikace byly postupně vydávány od roku 2009 </w:t>
      </w:r>
      <w:r w:rsidR="008D4AA3">
        <w:rPr>
          <w:rFonts w:cstheme="minorHAnsi"/>
          <w:sz w:val="24"/>
          <w:szCs w:val="24"/>
        </w:rPr>
        <w:t>č</w:t>
      </w:r>
      <w:r w:rsidRPr="008D4AA3">
        <w:rPr>
          <w:rFonts w:cstheme="minorHAnsi"/>
          <w:sz w:val="24"/>
          <w:szCs w:val="24"/>
        </w:rPr>
        <w:t xml:space="preserve">eské účetní standardy pro některé vybrané účetní jednotky </w:t>
      </w:r>
      <w:r w:rsidRPr="00ED7C30">
        <w:rPr>
          <w:rFonts w:cstheme="minorHAnsi"/>
          <w:sz w:val="24"/>
          <w:szCs w:val="24"/>
        </w:rPr>
        <w:t>(dále také „ČÚS“), které vycházejí z právního řádu.</w:t>
      </w:r>
    </w:p>
    <w:p w14:paraId="526DC301" w14:textId="77777777" w:rsidR="00FA20E5" w:rsidRPr="00ED7C30" w:rsidRDefault="00FA20E5" w:rsidP="00FA20E5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Nejvyšší kontrolní úřad dlouhodobě upozorňuje</w:t>
      </w:r>
      <w:r w:rsidRPr="00ED7C30">
        <w:rPr>
          <w:rStyle w:val="Znakapoznpodarou"/>
          <w:rFonts w:cstheme="minorHAnsi"/>
          <w:sz w:val="24"/>
          <w:szCs w:val="24"/>
        </w:rPr>
        <w:footnoteReference w:id="2"/>
      </w:r>
      <w:r w:rsidRPr="00ED7C30">
        <w:rPr>
          <w:rFonts w:cstheme="minorHAnsi"/>
          <w:sz w:val="24"/>
          <w:szCs w:val="24"/>
        </w:rPr>
        <w:t xml:space="preserve">, že </w:t>
      </w:r>
      <w:r w:rsidRPr="00ED7C30">
        <w:rPr>
          <w:rFonts w:cstheme="minorHAnsi"/>
          <w:b/>
          <w:sz w:val="24"/>
          <w:szCs w:val="24"/>
        </w:rPr>
        <w:t>nejsou naplněny základní cíle účetní</w:t>
      </w:r>
      <w:r w:rsidRPr="00ED7C30">
        <w:rPr>
          <w:rFonts w:cstheme="minorHAnsi"/>
          <w:sz w:val="24"/>
          <w:szCs w:val="24"/>
        </w:rPr>
        <w:t xml:space="preserve"> </w:t>
      </w:r>
      <w:r w:rsidRPr="00ED7C30">
        <w:rPr>
          <w:rFonts w:cstheme="minorHAnsi"/>
          <w:b/>
          <w:sz w:val="24"/>
          <w:szCs w:val="24"/>
        </w:rPr>
        <w:t>reformy</w:t>
      </w:r>
      <w:r w:rsidRPr="00AB7AAA">
        <w:rPr>
          <w:rFonts w:cstheme="minorHAnsi"/>
          <w:b/>
          <w:sz w:val="24"/>
          <w:szCs w:val="24"/>
        </w:rPr>
        <w:t xml:space="preserve">, </w:t>
      </w:r>
      <w:r w:rsidRPr="00ED7C30">
        <w:rPr>
          <w:rFonts w:cstheme="minorHAnsi"/>
          <w:sz w:val="24"/>
          <w:szCs w:val="24"/>
        </w:rPr>
        <w:t>která byla zahájena usnesením vlády č. 561 v roce 2007.</w:t>
      </w:r>
    </w:p>
    <w:p w14:paraId="57DEF0C0" w14:textId="77777777" w:rsidR="00FA20E5" w:rsidRPr="00ED7C30" w:rsidRDefault="00FA20E5" w:rsidP="00FA20E5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Základním cílem účetní reformy bylo</w:t>
      </w:r>
      <w:r w:rsidRPr="008D4AA3">
        <w:rPr>
          <w:rFonts w:cstheme="minorHAnsi"/>
          <w:sz w:val="24"/>
          <w:szCs w:val="24"/>
        </w:rPr>
        <w:t xml:space="preserve"> </w:t>
      </w:r>
      <w:r w:rsidRPr="00AB7AAA">
        <w:rPr>
          <w:rFonts w:cstheme="minorHAnsi"/>
          <w:sz w:val="24"/>
          <w:szCs w:val="24"/>
        </w:rPr>
        <w:t>„</w:t>
      </w:r>
      <w:r w:rsidRPr="00ED7C30">
        <w:rPr>
          <w:rFonts w:cstheme="minorHAnsi"/>
          <w:i/>
          <w:sz w:val="24"/>
          <w:szCs w:val="24"/>
        </w:rPr>
        <w:t xml:space="preserve">vytvoření podmínek pro efektivní </w:t>
      </w:r>
      <w:r w:rsidRPr="00ED7C30">
        <w:rPr>
          <w:rFonts w:cstheme="minorHAnsi"/>
          <w:b/>
          <w:i/>
          <w:sz w:val="24"/>
          <w:szCs w:val="24"/>
        </w:rPr>
        <w:t>zajištění správných, úplných</w:t>
      </w:r>
      <w:r w:rsidRPr="00ED7C30">
        <w:rPr>
          <w:rFonts w:cstheme="minorHAnsi"/>
          <w:i/>
          <w:sz w:val="24"/>
          <w:szCs w:val="24"/>
        </w:rPr>
        <w:t xml:space="preserve"> </w:t>
      </w:r>
      <w:r w:rsidRPr="00ED7C30">
        <w:rPr>
          <w:rFonts w:cstheme="minorHAnsi"/>
          <w:b/>
          <w:i/>
          <w:sz w:val="24"/>
          <w:szCs w:val="24"/>
        </w:rPr>
        <w:t>a včasných</w:t>
      </w:r>
      <w:r w:rsidRPr="00ED7C30">
        <w:rPr>
          <w:rFonts w:cstheme="minorHAnsi"/>
          <w:i/>
          <w:sz w:val="24"/>
          <w:szCs w:val="24"/>
        </w:rPr>
        <w:t xml:space="preserve"> informací o hospodářské situaci státu a příslušných účetních jednotek</w:t>
      </w:r>
      <w:r w:rsidRPr="00AB7AAA">
        <w:rPr>
          <w:rFonts w:cstheme="minorHAnsi"/>
          <w:sz w:val="24"/>
          <w:szCs w:val="24"/>
        </w:rPr>
        <w:t>“</w:t>
      </w:r>
      <w:r w:rsidRPr="00AB7AAA">
        <w:rPr>
          <w:rStyle w:val="Znakapoznpodarou"/>
          <w:rFonts w:cstheme="minorHAnsi"/>
          <w:sz w:val="24"/>
          <w:szCs w:val="24"/>
        </w:rPr>
        <w:footnoteReference w:id="3"/>
      </w:r>
      <w:r w:rsidRPr="00ED7C30">
        <w:rPr>
          <w:rFonts w:cstheme="minorHAnsi"/>
          <w:sz w:val="24"/>
          <w:szCs w:val="24"/>
        </w:rPr>
        <w:t>.</w:t>
      </w:r>
    </w:p>
    <w:p w14:paraId="5B3A364B" w14:textId="77777777" w:rsidR="00E841EE" w:rsidRDefault="00E841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EC6EB77" w14:textId="55E2072D" w:rsidR="00FA20E5" w:rsidRPr="00ED7C30" w:rsidRDefault="00FA20E5" w:rsidP="00FE5D3D">
      <w:pPr>
        <w:spacing w:after="0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lastRenderedPageBreak/>
        <w:t>Rozhodnutí o zahájení účetní reformy bylo zdůvodněno:</w:t>
      </w:r>
    </w:p>
    <w:p w14:paraId="5043F56B" w14:textId="77777777" w:rsidR="00FA20E5" w:rsidRPr="00ED7C30" w:rsidRDefault="00FA20E5" w:rsidP="00FA20E5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ED7C30">
        <w:rPr>
          <w:rFonts w:asciiTheme="minorHAnsi" w:hAnsiTheme="minorHAnsi" w:cstheme="minorHAnsi"/>
        </w:rPr>
        <w:t>potřebou získání informací pro efektivní řízení oblasti nakládání s veřejnými prostředky,</w:t>
      </w:r>
    </w:p>
    <w:p w14:paraId="5A2AE4C2" w14:textId="7C57BE63" w:rsidR="00FA20E5" w:rsidRPr="00ED7C30" w:rsidRDefault="00FA20E5" w:rsidP="00FA20E5">
      <w:pPr>
        <w:pStyle w:val="Odstavecseseznamem"/>
        <w:numPr>
          <w:ilvl w:val="0"/>
          <w:numId w:val="16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ED7C30">
        <w:rPr>
          <w:rFonts w:asciiTheme="minorHAnsi" w:hAnsiTheme="minorHAnsi" w:cstheme="minorHAnsi"/>
        </w:rPr>
        <w:t xml:space="preserve">reakcí na tlak Evropské komise a </w:t>
      </w:r>
      <w:proofErr w:type="spellStart"/>
      <w:r w:rsidRPr="00ED7C30">
        <w:rPr>
          <w:rFonts w:asciiTheme="minorHAnsi" w:hAnsiTheme="minorHAnsi" w:cstheme="minorHAnsi"/>
        </w:rPr>
        <w:t>Eurostatu</w:t>
      </w:r>
      <w:proofErr w:type="spellEnd"/>
      <w:r w:rsidRPr="00ED7C30">
        <w:rPr>
          <w:rFonts w:asciiTheme="minorHAnsi" w:hAnsiTheme="minorHAnsi" w:cstheme="minorHAnsi"/>
        </w:rPr>
        <w:t xml:space="preserve"> po odhalení </w:t>
      </w:r>
      <w:r w:rsidRPr="00ED7C30">
        <w:rPr>
          <w:rFonts w:asciiTheme="minorHAnsi" w:hAnsiTheme="minorHAnsi" w:cstheme="minorHAnsi"/>
          <w:b/>
        </w:rPr>
        <w:t>úmyslného zkreslování informací, zejména o výši státního dluhu</w:t>
      </w:r>
      <w:r w:rsidR="00FA4380">
        <w:rPr>
          <w:rFonts w:asciiTheme="minorHAnsi" w:hAnsiTheme="minorHAnsi" w:cstheme="minorHAnsi"/>
          <w:b/>
        </w:rPr>
        <w:t>,</w:t>
      </w:r>
      <w:r w:rsidRPr="00ED7C30">
        <w:rPr>
          <w:rFonts w:asciiTheme="minorHAnsi" w:hAnsiTheme="minorHAnsi" w:cstheme="minorHAnsi"/>
        </w:rPr>
        <w:t xml:space="preserve"> některými státy EU. </w:t>
      </w:r>
      <w:r w:rsidRPr="00ED7C30">
        <w:rPr>
          <w:rFonts w:asciiTheme="minorHAnsi" w:hAnsiTheme="minorHAnsi" w:cstheme="minorHAnsi"/>
          <w:b/>
        </w:rPr>
        <w:t>Sestavování národních účtů má vycházet z tzv. administrativních zdrojů dat</w:t>
      </w:r>
      <w:r w:rsidRPr="00AB7AAA">
        <w:rPr>
          <w:rFonts w:asciiTheme="minorHAnsi" w:hAnsiTheme="minorHAnsi" w:cstheme="minorHAnsi"/>
          <w:b/>
        </w:rPr>
        <w:t>,</w:t>
      </w:r>
      <w:r w:rsidRPr="00ED7C30">
        <w:rPr>
          <w:rFonts w:asciiTheme="minorHAnsi" w:hAnsiTheme="minorHAnsi" w:cstheme="minorHAnsi"/>
        </w:rPr>
        <w:t xml:space="preserve"> za které jsou považovány informace z účetnictví jednotek vládního sektoru. Za účetní období roku 2015 byly, byť v omezeném rozsahu, sestaveny konsolidované účetní výkazy za ČR.</w:t>
      </w:r>
    </w:p>
    <w:p w14:paraId="3A96CCFB" w14:textId="77777777" w:rsidR="00FA20E5" w:rsidRPr="00ED7C30" w:rsidRDefault="00FA20E5" w:rsidP="00FA20E5">
      <w:pPr>
        <w:jc w:val="both"/>
        <w:rPr>
          <w:rFonts w:cstheme="minorHAnsi"/>
          <w:b/>
          <w:sz w:val="24"/>
          <w:szCs w:val="24"/>
        </w:rPr>
      </w:pPr>
      <w:r w:rsidRPr="00ED7C30">
        <w:rPr>
          <w:rFonts w:cstheme="minorHAnsi"/>
          <w:b/>
          <w:sz w:val="24"/>
          <w:szCs w:val="24"/>
        </w:rPr>
        <w:t>Vysoká míra nesprávnosti, neúplnosti a nespolehlivosti údajů, zjišťovaná na úrovni jednotlivých účetních jednotek, ohrožuje naplnění deklarovaných cílů účetní reformy, včetně sestavení konsolidovaných účetních výkazů za ČR.</w:t>
      </w:r>
    </w:p>
    <w:p w14:paraId="463B23B3" w14:textId="77777777" w:rsidR="00606569" w:rsidRPr="00ED7C30" w:rsidRDefault="00606569" w:rsidP="000C6AE6">
      <w:pPr>
        <w:pStyle w:val="Nadpis1"/>
        <w:jc w:val="center"/>
        <w:rPr>
          <w:rFonts w:cstheme="minorHAnsi"/>
        </w:rPr>
      </w:pPr>
    </w:p>
    <w:p w14:paraId="5D6FE2DC" w14:textId="0A0A3FB8" w:rsidR="0004510D" w:rsidRPr="00A861C3" w:rsidRDefault="0004510D" w:rsidP="000C6AE6">
      <w:pPr>
        <w:pStyle w:val="Nadpis1"/>
        <w:jc w:val="center"/>
        <w:rPr>
          <w:rFonts w:cstheme="minorHAnsi"/>
          <w:sz w:val="28"/>
        </w:rPr>
      </w:pPr>
      <w:r w:rsidRPr="00A861C3">
        <w:rPr>
          <w:rFonts w:cstheme="minorHAnsi"/>
          <w:sz w:val="28"/>
        </w:rPr>
        <w:t>II. Shrnutí a vyhodnocení</w:t>
      </w:r>
    </w:p>
    <w:p w14:paraId="285EEBB0" w14:textId="77777777" w:rsidR="00FC4BBD" w:rsidRPr="00ED7C30" w:rsidRDefault="00FC4BBD" w:rsidP="00FC4B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8489A4" w14:textId="40C4E7DE" w:rsidR="0004510D" w:rsidRPr="00ED7C30" w:rsidRDefault="0004510D" w:rsidP="0004510D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Cílem kontrolní akce č. 16/29 bylo prověřit, zda MPSV při vedení účetnictví v roce 2016 a sestav</w:t>
      </w:r>
      <w:r w:rsidR="00FA4380">
        <w:rPr>
          <w:rFonts w:cstheme="minorHAnsi"/>
          <w:sz w:val="24"/>
          <w:szCs w:val="24"/>
        </w:rPr>
        <w:t>ová</w:t>
      </w:r>
      <w:r w:rsidRPr="00ED7C30">
        <w:rPr>
          <w:rFonts w:cstheme="minorHAnsi"/>
          <w:sz w:val="24"/>
          <w:szCs w:val="24"/>
        </w:rPr>
        <w:t xml:space="preserve">ní účetní závěrky k 31. </w:t>
      </w:r>
      <w:r w:rsidR="00E418C1" w:rsidRPr="00ED7C30">
        <w:rPr>
          <w:rFonts w:cstheme="minorHAnsi"/>
          <w:sz w:val="24"/>
          <w:szCs w:val="24"/>
        </w:rPr>
        <w:t>12. </w:t>
      </w:r>
      <w:r w:rsidRPr="00ED7C30">
        <w:rPr>
          <w:rFonts w:cstheme="minorHAnsi"/>
          <w:sz w:val="24"/>
          <w:szCs w:val="24"/>
        </w:rPr>
        <w:t>2016, při předkládání údajů pro hodnocení plnění rozpočtu a při sestav</w:t>
      </w:r>
      <w:r w:rsidR="00FA4380">
        <w:rPr>
          <w:rFonts w:cstheme="minorHAnsi"/>
          <w:sz w:val="24"/>
          <w:szCs w:val="24"/>
        </w:rPr>
        <w:t>ová</w:t>
      </w:r>
      <w:r w:rsidRPr="00ED7C30">
        <w:rPr>
          <w:rFonts w:cstheme="minorHAnsi"/>
          <w:sz w:val="24"/>
          <w:szCs w:val="24"/>
        </w:rPr>
        <w:t xml:space="preserve">ní závěrečného účtu (dále také „ZÚ“) za rok 2016 postupovalo v souladu s příslušnými právními předpisy. </w:t>
      </w:r>
    </w:p>
    <w:p w14:paraId="63A13616" w14:textId="77777777" w:rsidR="0004510D" w:rsidRPr="00ED7C30" w:rsidRDefault="0004510D" w:rsidP="0004510D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Cílem kontrolní akce bylo také identifikovat případná systémová rizika při vedení účetnictví (např. neúplnost či nesprávnost údajů), která by mohla mít vliv na účetní výkazy za Českou republiku</w:t>
      </w:r>
      <w:r w:rsidRPr="00ED7C30">
        <w:rPr>
          <w:rStyle w:val="Znakapoznpodarou"/>
          <w:rFonts w:cstheme="minorHAnsi"/>
          <w:sz w:val="24"/>
          <w:szCs w:val="24"/>
        </w:rPr>
        <w:footnoteReference w:id="4"/>
      </w:r>
      <w:r w:rsidRPr="00ED7C30">
        <w:rPr>
          <w:rFonts w:cstheme="minorHAnsi"/>
          <w:sz w:val="24"/>
          <w:szCs w:val="24"/>
        </w:rPr>
        <w:t>. Aby mohly být údaje z účetnictví použitelné pro konsolidaci na úrovni státu, je třeba zajistit jejich potřebnou kvalitu, zejména obsahovou stejnorodost, která je základem pro možnost přiřazovat k sobě při konsolidačních operacích sourodé položky a sčítat je</w:t>
      </w:r>
      <w:r w:rsidRPr="00ED7C30">
        <w:rPr>
          <w:rStyle w:val="Znakapoznpodarou"/>
          <w:rFonts w:cstheme="minorHAnsi"/>
          <w:sz w:val="24"/>
          <w:szCs w:val="24"/>
        </w:rPr>
        <w:footnoteReference w:id="5"/>
      </w:r>
      <w:r w:rsidRPr="00ED7C30">
        <w:rPr>
          <w:rFonts w:cstheme="minorHAnsi"/>
          <w:sz w:val="24"/>
          <w:szCs w:val="24"/>
        </w:rPr>
        <w:t>.</w:t>
      </w:r>
    </w:p>
    <w:p w14:paraId="3AA4DE35" w14:textId="5D00072A" w:rsidR="0004510D" w:rsidRPr="00ED7C30" w:rsidRDefault="0004510D" w:rsidP="0004510D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 xml:space="preserve">Při kontrole bylo provedeno i vyhodnocení opatření přijatých k nápravě </w:t>
      </w:r>
      <w:r w:rsidR="00115967" w:rsidRPr="00ED7C30">
        <w:rPr>
          <w:rFonts w:cstheme="minorHAnsi"/>
          <w:sz w:val="24"/>
          <w:szCs w:val="24"/>
        </w:rPr>
        <w:t>nedostatků zjištěných v kontrolní</w:t>
      </w:r>
      <w:r w:rsidR="002D2EA0" w:rsidRPr="00ED7C30">
        <w:rPr>
          <w:rFonts w:cstheme="minorHAnsi"/>
          <w:sz w:val="24"/>
          <w:szCs w:val="24"/>
        </w:rPr>
        <w:t>ch</w:t>
      </w:r>
      <w:r w:rsidR="00115967" w:rsidRPr="00ED7C30">
        <w:rPr>
          <w:rFonts w:cstheme="minorHAnsi"/>
          <w:sz w:val="24"/>
          <w:szCs w:val="24"/>
        </w:rPr>
        <w:t xml:space="preserve"> akc</w:t>
      </w:r>
      <w:r w:rsidR="002D2EA0" w:rsidRPr="00ED7C30">
        <w:rPr>
          <w:rFonts w:cstheme="minorHAnsi"/>
          <w:sz w:val="24"/>
          <w:szCs w:val="24"/>
        </w:rPr>
        <w:t>ích</w:t>
      </w:r>
      <w:r w:rsidRPr="00ED7C30">
        <w:rPr>
          <w:rFonts w:cstheme="minorHAnsi"/>
          <w:sz w:val="24"/>
          <w:szCs w:val="24"/>
        </w:rPr>
        <w:t xml:space="preserve"> č. 12/28</w:t>
      </w:r>
      <w:r w:rsidRPr="00ED7C30">
        <w:rPr>
          <w:rStyle w:val="Znakapoznpodarou"/>
          <w:rFonts w:cstheme="minorHAnsi"/>
          <w:sz w:val="24"/>
          <w:szCs w:val="24"/>
        </w:rPr>
        <w:footnoteReference w:id="6"/>
      </w:r>
      <w:r w:rsidRPr="00ED7C30">
        <w:rPr>
          <w:rFonts w:cstheme="minorHAnsi"/>
          <w:sz w:val="24"/>
          <w:szCs w:val="24"/>
        </w:rPr>
        <w:t xml:space="preserve"> a č. 15/34</w:t>
      </w:r>
      <w:r w:rsidR="00BD1D8C" w:rsidRPr="00ED7C30">
        <w:rPr>
          <w:rStyle w:val="Znakapoznpodarou"/>
          <w:rFonts w:cstheme="minorHAnsi"/>
          <w:sz w:val="24"/>
          <w:szCs w:val="24"/>
        </w:rPr>
        <w:footnoteReference w:id="7"/>
      </w:r>
      <w:r w:rsidRPr="00ED7C30">
        <w:rPr>
          <w:rFonts w:cstheme="minorHAnsi"/>
          <w:sz w:val="24"/>
          <w:szCs w:val="24"/>
        </w:rPr>
        <w:t>.</w:t>
      </w:r>
    </w:p>
    <w:p w14:paraId="61ED6687" w14:textId="0C997669" w:rsidR="0004510D" w:rsidRPr="00ED7C30" w:rsidRDefault="0004510D" w:rsidP="0004510D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V rámci kontroly bylo prověřováno mimo jiné i plnění jedné ze základních povinností OSS při hospodaření s majetkem státu</w:t>
      </w:r>
      <w:r w:rsidRPr="00ED7C30">
        <w:rPr>
          <w:rStyle w:val="Znakapoznpodarou"/>
          <w:rFonts w:cstheme="minorHAnsi"/>
          <w:sz w:val="24"/>
          <w:szCs w:val="24"/>
        </w:rPr>
        <w:footnoteReference w:id="8"/>
      </w:r>
      <w:r w:rsidRPr="00ED7C30">
        <w:rPr>
          <w:rFonts w:cstheme="minorHAnsi"/>
          <w:sz w:val="24"/>
          <w:szCs w:val="24"/>
        </w:rPr>
        <w:t xml:space="preserve">, tj. vést majetek v účetnictví a provádět jeho inventarizaci v souladu se zákonem o účetnictví. </w:t>
      </w:r>
    </w:p>
    <w:p w14:paraId="6B8329A0" w14:textId="2D8895D5" w:rsidR="0004510D" w:rsidRPr="00ED7C30" w:rsidRDefault="0004510D" w:rsidP="0004510D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Organizační složky státu jsou povinny v souladu se zákonem o účetnictví účtovat o stavu a pohybu majetku a jiných aktiv, závazků</w:t>
      </w:r>
      <w:r w:rsidR="001432AE" w:rsidRPr="00ED7C30">
        <w:rPr>
          <w:rFonts w:cstheme="minorHAnsi"/>
          <w:sz w:val="24"/>
          <w:szCs w:val="24"/>
        </w:rPr>
        <w:t xml:space="preserve"> včetně dluhů</w:t>
      </w:r>
      <w:r w:rsidRPr="00ED7C30">
        <w:rPr>
          <w:rFonts w:cstheme="minorHAnsi"/>
          <w:sz w:val="24"/>
          <w:szCs w:val="24"/>
        </w:rPr>
        <w:t xml:space="preserve"> a jiných pasiv, o nákladech a výnosech </w:t>
      </w:r>
      <w:r w:rsidRPr="00ED7C30">
        <w:rPr>
          <w:rFonts w:cstheme="minorHAnsi"/>
          <w:sz w:val="24"/>
          <w:szCs w:val="24"/>
        </w:rPr>
        <w:lastRenderedPageBreak/>
        <w:t>a o výsledku hospodaření. Informace, které předkládají v účetní závěrce</w:t>
      </w:r>
      <w:r w:rsidRPr="00ED7C30">
        <w:rPr>
          <w:rStyle w:val="Znakapoznpodarou"/>
          <w:rFonts w:cstheme="minorHAnsi"/>
          <w:sz w:val="24"/>
          <w:szCs w:val="24"/>
        </w:rPr>
        <w:footnoteReference w:id="9"/>
      </w:r>
      <w:r w:rsidRPr="00ED7C30">
        <w:rPr>
          <w:rFonts w:cstheme="minorHAnsi"/>
          <w:sz w:val="24"/>
          <w:szCs w:val="24"/>
        </w:rPr>
        <w:t xml:space="preserve">, musí být spolehlivé, srovnatelné, srozumitelné a posuzují se z hlediska významnosti. </w:t>
      </w:r>
    </w:p>
    <w:p w14:paraId="21E0BE23" w14:textId="753475A5" w:rsidR="0004510D" w:rsidRPr="00ED7C30" w:rsidRDefault="0004510D" w:rsidP="0004510D">
      <w:pPr>
        <w:spacing w:after="0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Informace z účetnictví a z účetních závěrek jsou základním informačním zdrojem zejména pro operativní a strategické řízení na úrovni účetních jednotek i státu a jsou administrativním zdrojem dat pro účely statistik. Mají význam i při modelování procesů veřejné správy</w:t>
      </w:r>
      <w:r w:rsidRPr="00ED7C30">
        <w:rPr>
          <w:rStyle w:val="Znakapoznpodarou"/>
          <w:rFonts w:cstheme="minorHAnsi"/>
          <w:sz w:val="24"/>
          <w:szCs w:val="24"/>
        </w:rPr>
        <w:footnoteReference w:id="10"/>
      </w:r>
      <w:r w:rsidRPr="00ED7C30">
        <w:rPr>
          <w:rFonts w:cstheme="minorHAnsi"/>
          <w:sz w:val="24"/>
          <w:szCs w:val="24"/>
        </w:rPr>
        <w:t>, a to pro určení nákladovosti jednotlivých vykonávaných agend.</w:t>
      </w:r>
    </w:p>
    <w:p w14:paraId="45EB047B" w14:textId="77777777" w:rsidR="0004510D" w:rsidRPr="00ED7C30" w:rsidRDefault="0004510D" w:rsidP="0004510D">
      <w:pPr>
        <w:spacing w:after="0" w:line="240" w:lineRule="auto"/>
        <w:jc w:val="both"/>
        <w:rPr>
          <w:rFonts w:cstheme="minorHAnsi"/>
        </w:rPr>
      </w:pPr>
    </w:p>
    <w:p w14:paraId="3EF0BDD0" w14:textId="6153151B" w:rsidR="0004510D" w:rsidRPr="00ED7C30" w:rsidRDefault="0004510D" w:rsidP="00526316">
      <w:pPr>
        <w:rPr>
          <w:rFonts w:cstheme="minorHAnsi"/>
          <w:b/>
          <w:sz w:val="24"/>
          <w:szCs w:val="24"/>
        </w:rPr>
      </w:pPr>
      <w:r w:rsidRPr="00ED7C30">
        <w:rPr>
          <w:rFonts w:cstheme="minorHAnsi"/>
          <w:b/>
          <w:sz w:val="24"/>
          <w:szCs w:val="24"/>
        </w:rPr>
        <w:t>Vedení účetnictví</w:t>
      </w:r>
    </w:p>
    <w:p w14:paraId="34AE9E38" w14:textId="77777777" w:rsidR="0004510D" w:rsidRPr="00ED7C30" w:rsidRDefault="0004510D" w:rsidP="000C6AE6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V oblasti vedení účetnictví se kontrola zaměřila na jeho správnost, úplnost, průkaznost a srozumitelnost. Prověřila dodržování směrné účtové osnovy a správnost používání účetních metod. Byly identifikovány významné transakční cykly</w:t>
      </w:r>
      <w:r w:rsidRPr="00ED7C30">
        <w:rPr>
          <w:rStyle w:val="Znakapoznpodarou"/>
          <w:rFonts w:cstheme="minorHAnsi"/>
          <w:sz w:val="24"/>
          <w:szCs w:val="24"/>
        </w:rPr>
        <w:footnoteReference w:id="11"/>
      </w:r>
      <w:r w:rsidRPr="00ED7C30">
        <w:rPr>
          <w:rFonts w:cstheme="minorHAnsi"/>
          <w:sz w:val="24"/>
          <w:szCs w:val="24"/>
        </w:rPr>
        <w:t xml:space="preserve"> a posouzeno nastavení systému účtování. U vybraných účetních případů byla provedena kontrola s cílem ověřit systém účtování a vykazování informací o skutečnostech, které jsou předmětem účetnictví.</w:t>
      </w:r>
    </w:p>
    <w:p w14:paraId="29F89307" w14:textId="1985E3E9" w:rsidR="0004510D" w:rsidRPr="00ED7C30" w:rsidRDefault="000C107C" w:rsidP="0004510D">
      <w:pPr>
        <w:spacing w:after="240"/>
        <w:jc w:val="both"/>
        <w:rPr>
          <w:rFonts w:eastAsia="Calibri" w:cstheme="minorHAnsi"/>
          <w:sz w:val="24"/>
          <w:szCs w:val="24"/>
        </w:rPr>
      </w:pPr>
      <w:r w:rsidRPr="00ED7C30">
        <w:rPr>
          <w:rFonts w:eastAsia="Calibri" w:cstheme="minorHAnsi"/>
          <w:sz w:val="24"/>
          <w:szCs w:val="24"/>
        </w:rPr>
        <w:t>Nejvýznam</w:t>
      </w:r>
      <w:r w:rsidR="000A2A21" w:rsidRPr="00ED7C30">
        <w:rPr>
          <w:rFonts w:eastAsia="Calibri" w:cstheme="minorHAnsi"/>
          <w:sz w:val="24"/>
          <w:szCs w:val="24"/>
        </w:rPr>
        <w:t>n</w:t>
      </w:r>
      <w:r w:rsidRPr="00ED7C30">
        <w:rPr>
          <w:rFonts w:eastAsia="Calibri" w:cstheme="minorHAnsi"/>
          <w:sz w:val="24"/>
          <w:szCs w:val="24"/>
        </w:rPr>
        <w:t>ější n</w:t>
      </w:r>
      <w:r w:rsidR="0004510D" w:rsidRPr="00ED7C30">
        <w:rPr>
          <w:rFonts w:eastAsia="Calibri" w:cstheme="minorHAnsi"/>
          <w:sz w:val="24"/>
          <w:szCs w:val="24"/>
        </w:rPr>
        <w:t>esprávnosti, které byly kontrolou zjištěny</w:t>
      </w:r>
      <w:r w:rsidR="000A2A21" w:rsidRPr="00ED7C30">
        <w:rPr>
          <w:rFonts w:eastAsia="Calibri" w:cstheme="minorHAnsi"/>
          <w:sz w:val="24"/>
          <w:szCs w:val="24"/>
        </w:rPr>
        <w:t>,</w:t>
      </w:r>
      <w:r w:rsidR="0004510D" w:rsidRPr="00ED7C30">
        <w:rPr>
          <w:rFonts w:eastAsia="Calibri" w:cstheme="minorHAnsi"/>
          <w:sz w:val="24"/>
          <w:szCs w:val="24"/>
        </w:rPr>
        <w:t xml:space="preserve"> </w:t>
      </w:r>
      <w:r w:rsidR="00B4569D" w:rsidRPr="00ED7C30">
        <w:rPr>
          <w:rFonts w:eastAsia="Calibri" w:cstheme="minorHAnsi"/>
          <w:sz w:val="24"/>
          <w:szCs w:val="24"/>
        </w:rPr>
        <w:t>jsou uvedeny v části III. </w:t>
      </w:r>
      <w:r w:rsidR="0004510D" w:rsidRPr="00ED7C30">
        <w:rPr>
          <w:rFonts w:eastAsia="Calibri" w:cstheme="minorHAnsi"/>
          <w:sz w:val="24"/>
          <w:szCs w:val="24"/>
        </w:rPr>
        <w:t>tohoto kontrolního závěru.</w:t>
      </w:r>
      <w:r w:rsidR="0053010E" w:rsidRPr="00ED7C30">
        <w:rPr>
          <w:rFonts w:eastAsia="Calibri" w:cstheme="minorHAnsi"/>
          <w:sz w:val="24"/>
          <w:szCs w:val="24"/>
        </w:rPr>
        <w:t xml:space="preserve"> Vyčíslení dopadu</w:t>
      </w:r>
      <w:r w:rsidR="001432AE" w:rsidRPr="00ED7C30">
        <w:rPr>
          <w:rFonts w:eastAsia="Calibri" w:cstheme="minorHAnsi"/>
          <w:sz w:val="24"/>
          <w:szCs w:val="24"/>
        </w:rPr>
        <w:t xml:space="preserve"> všech zjištěných nesprávností</w:t>
      </w:r>
      <w:r w:rsidR="0053010E" w:rsidRPr="00ED7C30">
        <w:rPr>
          <w:rFonts w:eastAsia="Calibri" w:cstheme="minorHAnsi"/>
          <w:sz w:val="24"/>
          <w:szCs w:val="24"/>
        </w:rPr>
        <w:t xml:space="preserve"> na údaje vykazované v</w:t>
      </w:r>
      <w:r w:rsidRPr="00ED7C30">
        <w:rPr>
          <w:rFonts w:eastAsia="Calibri" w:cstheme="minorHAnsi"/>
          <w:sz w:val="24"/>
          <w:szCs w:val="24"/>
        </w:rPr>
        <w:t xml:space="preserve"> účetní závěrce (dále také </w:t>
      </w:r>
      <w:r w:rsidR="00E20810" w:rsidRPr="00ED7C30">
        <w:rPr>
          <w:rFonts w:eastAsia="Calibri" w:cstheme="minorHAnsi"/>
          <w:sz w:val="24"/>
          <w:szCs w:val="24"/>
        </w:rPr>
        <w:t>„</w:t>
      </w:r>
      <w:r w:rsidRPr="00ED7C30">
        <w:rPr>
          <w:rFonts w:eastAsia="Calibri" w:cstheme="minorHAnsi"/>
          <w:sz w:val="24"/>
          <w:szCs w:val="24"/>
        </w:rPr>
        <w:t>ÚZ</w:t>
      </w:r>
      <w:r w:rsidR="00E20810" w:rsidRPr="00ED7C30">
        <w:rPr>
          <w:rFonts w:eastAsia="Calibri" w:cstheme="minorHAnsi"/>
          <w:sz w:val="24"/>
          <w:szCs w:val="24"/>
        </w:rPr>
        <w:t>“</w:t>
      </w:r>
      <w:r w:rsidRPr="00ED7C30">
        <w:rPr>
          <w:rFonts w:eastAsia="Calibri" w:cstheme="minorHAnsi"/>
          <w:sz w:val="24"/>
          <w:szCs w:val="24"/>
        </w:rPr>
        <w:t>)</w:t>
      </w:r>
      <w:r w:rsidR="0053010E" w:rsidRPr="00ED7C30">
        <w:rPr>
          <w:rFonts w:eastAsia="Calibri" w:cstheme="minorHAnsi"/>
          <w:sz w:val="24"/>
          <w:szCs w:val="24"/>
        </w:rPr>
        <w:t xml:space="preserve"> je uvedeno v následující tabulce.</w:t>
      </w:r>
    </w:p>
    <w:p w14:paraId="65B4D78B" w14:textId="68F06FA0" w:rsidR="0053010E" w:rsidRPr="00ED7C30" w:rsidRDefault="0053010E" w:rsidP="00F531E0">
      <w:pPr>
        <w:pStyle w:val="Titulek"/>
      </w:pPr>
      <w:r w:rsidRPr="00ED7C30">
        <w:t xml:space="preserve">Tabulka 4: </w:t>
      </w:r>
      <w:r w:rsidR="00E200DF" w:rsidRPr="00ED7C30">
        <w:t>Zjištěné nesprávnosti účetnictví s dopadem na údaje vykazované v</w:t>
      </w:r>
      <w:r w:rsidR="00ED7C30">
        <w:t> </w:t>
      </w:r>
      <w:r w:rsidR="00E200DF" w:rsidRPr="00ED7C30">
        <w:t>ÚZ</w:t>
      </w:r>
      <w:r w:rsidR="00FA4380">
        <w:tab/>
      </w:r>
      <w:r w:rsidRPr="00ED7C30">
        <w:t>(v Kč)</w:t>
      </w:r>
    </w:p>
    <w:tbl>
      <w:tblPr>
        <w:tblW w:w="57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4"/>
        <w:gridCol w:w="2833"/>
      </w:tblGrid>
      <w:tr w:rsidR="0053010E" w:rsidRPr="00ED7C30" w14:paraId="014E3DA0" w14:textId="77777777" w:rsidTr="00DE2841">
        <w:trPr>
          <w:trHeight w:hRule="exact" w:val="284"/>
        </w:trPr>
        <w:tc>
          <w:tcPr>
            <w:tcW w:w="6177" w:type="dxa"/>
            <w:vMerge w:val="restart"/>
            <w:shd w:val="clear" w:color="auto" w:fill="E5F1FF"/>
            <w:vAlign w:val="center"/>
            <w:hideMark/>
          </w:tcPr>
          <w:p w14:paraId="65BDD2C6" w14:textId="77777777" w:rsidR="0053010E" w:rsidRPr="00ED7C30" w:rsidRDefault="0053010E" w:rsidP="00FA4380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Výkaz</w:t>
            </w:r>
          </w:p>
        </w:tc>
        <w:tc>
          <w:tcPr>
            <w:tcW w:w="2835" w:type="dxa"/>
            <w:vMerge w:val="restart"/>
            <w:shd w:val="clear" w:color="auto" w:fill="E5F1FF"/>
            <w:vAlign w:val="center"/>
            <w:hideMark/>
          </w:tcPr>
          <w:p w14:paraId="3E4BE99F" w14:textId="77777777" w:rsidR="0053010E" w:rsidRPr="00ED7C30" w:rsidRDefault="0053010E" w:rsidP="00FA4380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Celková započtená nesprávnost</w:t>
            </w:r>
          </w:p>
        </w:tc>
      </w:tr>
      <w:tr w:rsidR="0053010E" w:rsidRPr="00ED7C30" w14:paraId="3EB37B56" w14:textId="77777777" w:rsidTr="00DE2841">
        <w:trPr>
          <w:trHeight w:hRule="exact" w:val="284"/>
        </w:trPr>
        <w:tc>
          <w:tcPr>
            <w:tcW w:w="6177" w:type="dxa"/>
            <w:vMerge/>
            <w:shd w:val="clear" w:color="auto" w:fill="E5F1FF"/>
            <w:vAlign w:val="center"/>
            <w:hideMark/>
          </w:tcPr>
          <w:p w14:paraId="319ED3D4" w14:textId="77777777" w:rsidR="0053010E" w:rsidRPr="00ED7C30" w:rsidRDefault="0053010E" w:rsidP="00FA4380">
            <w:pPr>
              <w:spacing w:after="0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shd w:val="clear" w:color="auto" w:fill="E5F1FF"/>
            <w:vAlign w:val="center"/>
            <w:hideMark/>
          </w:tcPr>
          <w:p w14:paraId="35314868" w14:textId="77777777" w:rsidR="0053010E" w:rsidRPr="00ED7C30" w:rsidRDefault="0053010E" w:rsidP="00FA4380">
            <w:pPr>
              <w:spacing w:after="0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3010E" w:rsidRPr="00ED7C30" w14:paraId="2D299519" w14:textId="77777777" w:rsidTr="00DE2841">
        <w:trPr>
          <w:trHeight w:hRule="exact" w:val="284"/>
        </w:trPr>
        <w:tc>
          <w:tcPr>
            <w:tcW w:w="6177" w:type="dxa"/>
            <w:shd w:val="clear" w:color="auto" w:fill="auto"/>
            <w:noWrap/>
            <w:vAlign w:val="center"/>
            <w:hideMark/>
          </w:tcPr>
          <w:p w14:paraId="068F6142" w14:textId="77777777" w:rsidR="0053010E" w:rsidRPr="00ED7C30" w:rsidRDefault="0053010E" w:rsidP="00FA4380">
            <w:pPr>
              <w:spacing w:after="0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sz w:val="20"/>
                <w:szCs w:val="20"/>
                <w:lang w:eastAsia="cs-CZ"/>
              </w:rPr>
              <w:t>CELKOVÁ NESPRÁVNOST V ÚČETNÍ ZÁVĚRCE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592D607" w14:textId="77777777" w:rsidR="0053010E" w:rsidRPr="00ED7C30" w:rsidRDefault="0053010E" w:rsidP="00FA4380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color w:val="000000"/>
                <w:sz w:val="20"/>
                <w:szCs w:val="20"/>
              </w:rPr>
              <w:t>8 396 031 615,36</w:t>
            </w:r>
          </w:p>
        </w:tc>
      </w:tr>
      <w:tr w:rsidR="0053010E" w:rsidRPr="00ED7C30" w14:paraId="34601827" w14:textId="77777777" w:rsidTr="00DE2841">
        <w:trPr>
          <w:trHeight w:hRule="exact" w:val="284"/>
        </w:trPr>
        <w:tc>
          <w:tcPr>
            <w:tcW w:w="6177" w:type="dxa"/>
            <w:shd w:val="clear" w:color="auto" w:fill="auto"/>
            <w:noWrap/>
            <w:vAlign w:val="center"/>
            <w:hideMark/>
          </w:tcPr>
          <w:p w14:paraId="2F49AFA8" w14:textId="77777777" w:rsidR="0053010E" w:rsidRPr="00ED7C30" w:rsidRDefault="0053010E" w:rsidP="00FA4380">
            <w:pPr>
              <w:spacing w:after="0"/>
              <w:rPr>
                <w:rFonts w:cstheme="minorHAnsi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sz w:val="20"/>
                <w:szCs w:val="20"/>
                <w:lang w:eastAsia="cs-CZ"/>
              </w:rPr>
              <w:t>Rozvaha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8E49620" w14:textId="77777777" w:rsidR="0053010E" w:rsidRPr="00ED7C30" w:rsidRDefault="0053010E" w:rsidP="00FA4380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</w:rPr>
              <w:t>4 736 363 231,89</w:t>
            </w:r>
          </w:p>
        </w:tc>
      </w:tr>
      <w:tr w:rsidR="0053010E" w:rsidRPr="00ED7C30" w14:paraId="54D4964E" w14:textId="77777777" w:rsidTr="00DE2841">
        <w:trPr>
          <w:trHeight w:hRule="exact" w:val="284"/>
        </w:trPr>
        <w:tc>
          <w:tcPr>
            <w:tcW w:w="6177" w:type="dxa"/>
            <w:shd w:val="clear" w:color="auto" w:fill="auto"/>
            <w:noWrap/>
            <w:vAlign w:val="center"/>
            <w:hideMark/>
          </w:tcPr>
          <w:p w14:paraId="658B516E" w14:textId="77777777" w:rsidR="0053010E" w:rsidRPr="00ED7C30" w:rsidRDefault="0053010E" w:rsidP="00FA4380">
            <w:pPr>
              <w:spacing w:after="0"/>
              <w:rPr>
                <w:rFonts w:cstheme="minorHAnsi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sz w:val="20"/>
                <w:szCs w:val="20"/>
                <w:lang w:eastAsia="cs-CZ"/>
              </w:rPr>
              <w:t>Výkaz zisku a ztráty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CBFCAD2" w14:textId="77777777" w:rsidR="0053010E" w:rsidRPr="00ED7C30" w:rsidRDefault="0053010E" w:rsidP="00FA4380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2 112 443 631,29</w:t>
            </w:r>
          </w:p>
        </w:tc>
      </w:tr>
      <w:tr w:rsidR="0053010E" w:rsidRPr="00ED7C30" w14:paraId="0D9CD79F" w14:textId="77777777" w:rsidTr="00DE2841">
        <w:trPr>
          <w:trHeight w:hRule="exact" w:val="284"/>
        </w:trPr>
        <w:tc>
          <w:tcPr>
            <w:tcW w:w="6177" w:type="dxa"/>
            <w:shd w:val="clear" w:color="auto" w:fill="auto"/>
            <w:noWrap/>
            <w:vAlign w:val="center"/>
            <w:hideMark/>
          </w:tcPr>
          <w:p w14:paraId="7A971B21" w14:textId="77777777" w:rsidR="0053010E" w:rsidRPr="00ED7C30" w:rsidRDefault="0053010E" w:rsidP="00FA4380">
            <w:pPr>
              <w:spacing w:after="0"/>
              <w:rPr>
                <w:rFonts w:cstheme="minorHAnsi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sz w:val="20"/>
                <w:szCs w:val="20"/>
                <w:lang w:eastAsia="cs-CZ"/>
              </w:rPr>
              <w:t>Příloha účetní závěrky (podrozvahové účty)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1F8B74E" w14:textId="77777777" w:rsidR="0053010E" w:rsidRPr="00ED7C30" w:rsidRDefault="0053010E" w:rsidP="00FA4380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1 038 310 198,19</w:t>
            </w:r>
          </w:p>
        </w:tc>
      </w:tr>
      <w:tr w:rsidR="0053010E" w:rsidRPr="00ED7C30" w14:paraId="51220232" w14:textId="77777777" w:rsidTr="00DE2841">
        <w:trPr>
          <w:trHeight w:hRule="exact" w:val="284"/>
        </w:trPr>
        <w:tc>
          <w:tcPr>
            <w:tcW w:w="6177" w:type="dxa"/>
            <w:shd w:val="clear" w:color="auto" w:fill="auto"/>
            <w:noWrap/>
            <w:vAlign w:val="center"/>
            <w:hideMark/>
          </w:tcPr>
          <w:p w14:paraId="5508AFA6" w14:textId="77777777" w:rsidR="0053010E" w:rsidRPr="00ED7C30" w:rsidRDefault="0053010E" w:rsidP="00FA4380">
            <w:pPr>
              <w:spacing w:after="0"/>
              <w:rPr>
                <w:rFonts w:cstheme="minorHAnsi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sz w:val="20"/>
                <w:szCs w:val="20"/>
                <w:lang w:eastAsia="cs-CZ"/>
              </w:rPr>
              <w:t>Přehled o peněžních tocích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94758AF" w14:textId="77777777" w:rsidR="0053010E" w:rsidRPr="00ED7C30" w:rsidRDefault="0053010E" w:rsidP="00FA4380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508 914 553,99</w:t>
            </w:r>
          </w:p>
        </w:tc>
      </w:tr>
      <w:tr w:rsidR="0053010E" w:rsidRPr="00ED7C30" w14:paraId="4F75BBBB" w14:textId="77777777" w:rsidTr="00DE2841">
        <w:trPr>
          <w:trHeight w:hRule="exact" w:val="284"/>
        </w:trPr>
        <w:tc>
          <w:tcPr>
            <w:tcW w:w="6177" w:type="dxa"/>
            <w:shd w:val="clear" w:color="auto" w:fill="auto"/>
            <w:noWrap/>
            <w:vAlign w:val="center"/>
            <w:hideMark/>
          </w:tcPr>
          <w:p w14:paraId="20BB2317" w14:textId="77777777" w:rsidR="0053010E" w:rsidRPr="00ED7C30" w:rsidRDefault="0053010E" w:rsidP="00FA4380">
            <w:pPr>
              <w:spacing w:after="0"/>
              <w:rPr>
                <w:rFonts w:cstheme="minorHAnsi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sz w:val="20"/>
                <w:szCs w:val="20"/>
                <w:lang w:eastAsia="cs-CZ"/>
              </w:rPr>
              <w:t>Přehled o změnách vlastního kapitálu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3DE48C" w14:textId="77777777" w:rsidR="0053010E" w:rsidRPr="00ED7C30" w:rsidRDefault="0053010E" w:rsidP="00FA4380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</w:tbl>
    <w:p w14:paraId="72AFCBD9" w14:textId="2A78970C" w:rsidR="0053010E" w:rsidRPr="00AB7AAA" w:rsidRDefault="0053010E" w:rsidP="00CE143A">
      <w:pPr>
        <w:spacing w:before="40"/>
        <w:jc w:val="both"/>
        <w:rPr>
          <w:rFonts w:cstheme="minorHAnsi"/>
          <w:b/>
          <w:sz w:val="20"/>
          <w:szCs w:val="20"/>
        </w:rPr>
      </w:pPr>
      <w:r w:rsidRPr="00AB7AAA">
        <w:rPr>
          <w:rFonts w:cstheme="minorHAnsi"/>
          <w:b/>
          <w:sz w:val="20"/>
          <w:szCs w:val="20"/>
        </w:rPr>
        <w:t>Zdroj:</w:t>
      </w:r>
      <w:r w:rsidRPr="00AB7AAA">
        <w:rPr>
          <w:rFonts w:cstheme="minorHAnsi"/>
          <w:sz w:val="20"/>
          <w:szCs w:val="20"/>
        </w:rPr>
        <w:t xml:space="preserve"> </w:t>
      </w:r>
      <w:r w:rsidR="00FA4380">
        <w:rPr>
          <w:rFonts w:cstheme="minorHAnsi"/>
          <w:sz w:val="20"/>
          <w:szCs w:val="20"/>
        </w:rPr>
        <w:t>v</w:t>
      </w:r>
      <w:r w:rsidRPr="00AB7AAA">
        <w:rPr>
          <w:rFonts w:cstheme="minorHAnsi"/>
          <w:sz w:val="20"/>
          <w:szCs w:val="20"/>
        </w:rPr>
        <w:t>lastní analýza</w:t>
      </w:r>
      <w:r w:rsidR="000807FA" w:rsidRPr="00AB7AAA">
        <w:rPr>
          <w:rFonts w:cstheme="minorHAnsi"/>
          <w:sz w:val="20"/>
          <w:szCs w:val="20"/>
        </w:rPr>
        <w:t>.</w:t>
      </w:r>
    </w:p>
    <w:p w14:paraId="402D2E5D" w14:textId="6F476061" w:rsidR="0004510D" w:rsidRPr="00ED7C30" w:rsidRDefault="0004510D" w:rsidP="0004510D">
      <w:pPr>
        <w:jc w:val="both"/>
        <w:rPr>
          <w:rFonts w:cstheme="minorHAnsi"/>
          <w:b/>
          <w:sz w:val="24"/>
          <w:szCs w:val="24"/>
        </w:rPr>
      </w:pPr>
      <w:r w:rsidRPr="00ED7C30">
        <w:rPr>
          <w:rFonts w:cstheme="minorHAnsi"/>
          <w:b/>
          <w:sz w:val="24"/>
          <w:szCs w:val="24"/>
        </w:rPr>
        <w:t xml:space="preserve">Na základě zjištěných skutečností NKÚ konstatuje, že MPSV v roce 2016 nevedlo </w:t>
      </w:r>
      <w:r w:rsidR="00546ADE" w:rsidRPr="00ED7C30">
        <w:rPr>
          <w:rFonts w:cstheme="minorHAnsi"/>
          <w:b/>
          <w:sz w:val="24"/>
          <w:szCs w:val="24"/>
        </w:rPr>
        <w:t>správné</w:t>
      </w:r>
      <w:r w:rsidR="00886F5A" w:rsidRPr="00ED7C30">
        <w:rPr>
          <w:rFonts w:cstheme="minorHAnsi"/>
          <w:b/>
          <w:sz w:val="24"/>
          <w:szCs w:val="24"/>
        </w:rPr>
        <w:t>,</w:t>
      </w:r>
      <w:r w:rsidR="00FA4380">
        <w:rPr>
          <w:rFonts w:cstheme="minorHAnsi"/>
          <w:b/>
          <w:sz w:val="24"/>
          <w:szCs w:val="24"/>
        </w:rPr>
        <w:t xml:space="preserve"> </w:t>
      </w:r>
      <w:r w:rsidR="00B4569D" w:rsidRPr="00ED7C30">
        <w:rPr>
          <w:rFonts w:cstheme="minorHAnsi"/>
          <w:b/>
          <w:sz w:val="24"/>
          <w:szCs w:val="24"/>
        </w:rPr>
        <w:t>úplné</w:t>
      </w:r>
      <w:r w:rsidR="00886F5A" w:rsidRPr="00ED7C30">
        <w:rPr>
          <w:rFonts w:cstheme="minorHAnsi"/>
          <w:b/>
          <w:sz w:val="24"/>
          <w:szCs w:val="24"/>
        </w:rPr>
        <w:t xml:space="preserve"> a průkazné</w:t>
      </w:r>
      <w:r w:rsidRPr="00ED7C30">
        <w:rPr>
          <w:rFonts w:cstheme="minorHAnsi"/>
          <w:b/>
          <w:sz w:val="24"/>
          <w:szCs w:val="24"/>
        </w:rPr>
        <w:t xml:space="preserve"> účetnictví ve smyslu ustanovení § 8 odst. </w:t>
      </w:r>
      <w:r w:rsidR="00B4569D" w:rsidRPr="00ED7C30">
        <w:rPr>
          <w:rFonts w:cstheme="minorHAnsi"/>
          <w:b/>
          <w:sz w:val="24"/>
          <w:szCs w:val="24"/>
        </w:rPr>
        <w:t xml:space="preserve">1 až </w:t>
      </w:r>
      <w:r w:rsidR="00886F5A" w:rsidRPr="00ED7C30">
        <w:rPr>
          <w:rFonts w:cstheme="minorHAnsi"/>
          <w:b/>
          <w:sz w:val="24"/>
          <w:szCs w:val="24"/>
        </w:rPr>
        <w:t>4</w:t>
      </w:r>
      <w:r w:rsidR="00A17D93" w:rsidRPr="00ED7C30">
        <w:rPr>
          <w:rFonts w:cstheme="minorHAnsi"/>
          <w:b/>
          <w:sz w:val="24"/>
          <w:szCs w:val="24"/>
        </w:rPr>
        <w:t xml:space="preserve"> zákona o </w:t>
      </w:r>
      <w:r w:rsidRPr="00ED7C30">
        <w:rPr>
          <w:rFonts w:cstheme="minorHAnsi"/>
          <w:b/>
          <w:sz w:val="24"/>
          <w:szCs w:val="24"/>
        </w:rPr>
        <w:t>účetnictví.</w:t>
      </w:r>
    </w:p>
    <w:p w14:paraId="7BC66A15" w14:textId="2257930A" w:rsidR="00B4569D" w:rsidRPr="00ED7C30" w:rsidRDefault="00B4569D" w:rsidP="00B240B6">
      <w:pPr>
        <w:pStyle w:val="Nadpis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D7C30">
        <w:rPr>
          <w:rFonts w:asciiTheme="minorHAnsi" w:hAnsiTheme="minorHAnsi" w:cstheme="minorHAnsi"/>
          <w:b/>
          <w:color w:val="auto"/>
          <w:sz w:val="24"/>
          <w:szCs w:val="24"/>
        </w:rPr>
        <w:t xml:space="preserve">Spolehlivost údajů účetní závěrky sestavené k 31. </w:t>
      </w:r>
      <w:r w:rsidR="00897F21" w:rsidRPr="00ED7C30">
        <w:rPr>
          <w:rFonts w:asciiTheme="minorHAnsi" w:hAnsiTheme="minorHAnsi" w:cstheme="minorHAnsi"/>
          <w:b/>
          <w:color w:val="auto"/>
          <w:sz w:val="24"/>
          <w:szCs w:val="24"/>
        </w:rPr>
        <w:t>12.</w:t>
      </w:r>
      <w:r w:rsidRPr="00ED7C3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2016</w:t>
      </w:r>
    </w:p>
    <w:p w14:paraId="05E09A93" w14:textId="005426FC" w:rsidR="00B4569D" w:rsidRPr="00ED7C30" w:rsidRDefault="00B4569D" w:rsidP="00B4569D">
      <w:pPr>
        <w:spacing w:after="120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Kontrolovány byly činnosti a skutečnosti, které byly předmětem účetnictví MPSV a měly vliv na hodnoty kontrolovaných významných konečných zůstatků účtů v účetní závěrce MPSV k 31. </w:t>
      </w:r>
      <w:r w:rsidR="00897F21" w:rsidRPr="00ED7C30">
        <w:rPr>
          <w:rFonts w:cstheme="minorHAnsi"/>
          <w:sz w:val="24"/>
          <w:szCs w:val="24"/>
        </w:rPr>
        <w:t>12.</w:t>
      </w:r>
      <w:r w:rsidRPr="00ED7C30">
        <w:rPr>
          <w:rFonts w:cstheme="minorHAnsi"/>
          <w:sz w:val="24"/>
          <w:szCs w:val="24"/>
        </w:rPr>
        <w:t xml:space="preserve"> 2016. </w:t>
      </w:r>
    </w:p>
    <w:p w14:paraId="14969F18" w14:textId="77777777" w:rsidR="00B4569D" w:rsidRPr="00ED7C30" w:rsidRDefault="00B4569D" w:rsidP="00B4569D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lastRenderedPageBreak/>
        <w:t>Pro posouzení spolehlivosti účetní závěrky byla stanovena významnost (</w:t>
      </w:r>
      <w:proofErr w:type="spellStart"/>
      <w:r w:rsidRPr="00ED7C30">
        <w:rPr>
          <w:rFonts w:cstheme="minorHAnsi"/>
          <w:sz w:val="24"/>
          <w:szCs w:val="24"/>
        </w:rPr>
        <w:t>materialita</w:t>
      </w:r>
      <w:proofErr w:type="spellEnd"/>
      <w:r w:rsidRPr="00ED7C30">
        <w:rPr>
          <w:rFonts w:cstheme="minorHAnsi"/>
          <w:sz w:val="24"/>
          <w:szCs w:val="24"/>
        </w:rPr>
        <w:t>), tj. hodnota nesprávností, u kterých je možné přiměřeně očekávat, že jednotlivě nebo v součtu ovlivní ekonomická rozhodnutí uživatelů účetní závěrky, ve výši 363 mil. Kč</w:t>
      </w:r>
      <w:r w:rsidRPr="00ED7C30">
        <w:rPr>
          <w:rFonts w:cstheme="minorHAnsi"/>
          <w:sz w:val="24"/>
          <w:szCs w:val="24"/>
          <w:vertAlign w:val="superscript"/>
        </w:rPr>
        <w:footnoteReference w:id="12"/>
      </w:r>
      <w:r w:rsidRPr="00ED7C30">
        <w:rPr>
          <w:rFonts w:cstheme="minorHAnsi"/>
          <w:sz w:val="24"/>
          <w:szCs w:val="24"/>
        </w:rPr>
        <w:t>.</w:t>
      </w:r>
    </w:p>
    <w:p w14:paraId="71621D34" w14:textId="6F5FD2B6" w:rsidR="00B4569D" w:rsidRPr="00ED7C30" w:rsidRDefault="00B4569D" w:rsidP="00B4569D">
      <w:pPr>
        <w:jc w:val="both"/>
        <w:rPr>
          <w:rFonts w:eastAsia="Calibri" w:cstheme="minorHAnsi"/>
          <w:b/>
          <w:sz w:val="24"/>
          <w:szCs w:val="24"/>
        </w:rPr>
      </w:pPr>
      <w:r w:rsidRPr="00ED7C30">
        <w:rPr>
          <w:rFonts w:eastAsia="Calibri" w:cstheme="minorHAnsi"/>
          <w:sz w:val="24"/>
          <w:szCs w:val="24"/>
        </w:rPr>
        <w:t xml:space="preserve">Kontrolou bylo zjištěno, že </w:t>
      </w:r>
      <w:r w:rsidR="004F7BF0">
        <w:rPr>
          <w:rFonts w:eastAsia="Calibri" w:cstheme="minorHAnsi"/>
          <w:sz w:val="24"/>
          <w:szCs w:val="24"/>
        </w:rPr>
        <w:t xml:space="preserve">v roce 2016 </w:t>
      </w:r>
      <w:r w:rsidRPr="00ED7C30">
        <w:rPr>
          <w:rFonts w:eastAsia="Calibri" w:cstheme="minorHAnsi"/>
          <w:sz w:val="24"/>
          <w:szCs w:val="24"/>
        </w:rPr>
        <w:t>nebyla provedena řádná inventarizace</w:t>
      </w:r>
      <w:r w:rsidR="00567F26" w:rsidRPr="00ED7C30">
        <w:rPr>
          <w:rFonts w:eastAsia="Calibri" w:cstheme="minorHAnsi"/>
          <w:sz w:val="24"/>
          <w:szCs w:val="24"/>
        </w:rPr>
        <w:t>.</w:t>
      </w:r>
      <w:r w:rsidR="00825B28" w:rsidRPr="00ED7C30">
        <w:rPr>
          <w:rFonts w:eastAsia="Calibri" w:cstheme="minorHAnsi"/>
          <w:sz w:val="24"/>
          <w:szCs w:val="24"/>
        </w:rPr>
        <w:t xml:space="preserve"> MPSV v důsledku opakované změny softwar</w:t>
      </w:r>
      <w:r w:rsidR="000C107C" w:rsidRPr="00ED7C30">
        <w:rPr>
          <w:rFonts w:eastAsia="Calibri" w:cstheme="minorHAnsi"/>
          <w:sz w:val="24"/>
          <w:szCs w:val="24"/>
        </w:rPr>
        <w:t>u</w:t>
      </w:r>
      <w:r w:rsidR="00825B28" w:rsidRPr="00ED7C30">
        <w:rPr>
          <w:rFonts w:eastAsia="Calibri" w:cstheme="minorHAnsi"/>
          <w:sz w:val="24"/>
          <w:szCs w:val="24"/>
        </w:rPr>
        <w:t xml:space="preserve"> pro vedení účetnictví a nedostatečně podrobného převodu jednotlivých zůstatků účtů </w:t>
      </w:r>
      <w:r w:rsidR="00E445CA">
        <w:rPr>
          <w:rFonts w:eastAsia="Calibri" w:cstheme="minorHAnsi"/>
          <w:sz w:val="24"/>
          <w:szCs w:val="24"/>
        </w:rPr>
        <w:t>i</w:t>
      </w:r>
      <w:r w:rsidR="00825B28" w:rsidRPr="00ED7C30">
        <w:rPr>
          <w:rFonts w:eastAsia="Calibri" w:cstheme="minorHAnsi"/>
          <w:sz w:val="24"/>
          <w:szCs w:val="24"/>
        </w:rPr>
        <w:t xml:space="preserve"> nedostatečně podrobného a úplného </w:t>
      </w:r>
      <w:r w:rsidR="00854831" w:rsidRPr="00ED7C30">
        <w:rPr>
          <w:rFonts w:eastAsia="Calibri" w:cstheme="minorHAnsi"/>
          <w:sz w:val="24"/>
          <w:szCs w:val="24"/>
        </w:rPr>
        <w:t>vedení účetnictví</w:t>
      </w:r>
      <w:r w:rsidR="00825B28" w:rsidRPr="00ED7C30">
        <w:rPr>
          <w:rFonts w:eastAsia="Calibri" w:cstheme="minorHAnsi"/>
          <w:sz w:val="24"/>
          <w:szCs w:val="24"/>
        </w:rPr>
        <w:t xml:space="preserve"> nebylo schopno vytvořit průkazné inventurní soupisy v souladu se zákonem o účetnictví a</w:t>
      </w:r>
      <w:r w:rsidR="00361847" w:rsidRPr="00ED7C30">
        <w:rPr>
          <w:rFonts w:eastAsia="Calibri" w:cstheme="minorHAnsi"/>
          <w:sz w:val="24"/>
          <w:szCs w:val="24"/>
        </w:rPr>
        <w:t> </w:t>
      </w:r>
      <w:r w:rsidR="00825B28" w:rsidRPr="00ED7C30">
        <w:rPr>
          <w:rFonts w:eastAsia="Calibri" w:cstheme="minorHAnsi"/>
          <w:sz w:val="24"/>
          <w:szCs w:val="24"/>
        </w:rPr>
        <w:t>prováděcími vyhláškami</w:t>
      </w:r>
      <w:r w:rsidRPr="00ED7C30">
        <w:rPr>
          <w:rFonts w:eastAsia="Calibri" w:cstheme="minorHAnsi"/>
          <w:sz w:val="24"/>
          <w:szCs w:val="24"/>
        </w:rPr>
        <w:t>.</w:t>
      </w:r>
      <w:r w:rsidR="00825B28" w:rsidRPr="00ED7C30">
        <w:rPr>
          <w:rFonts w:eastAsia="Calibri" w:cstheme="minorHAnsi"/>
          <w:sz w:val="24"/>
          <w:szCs w:val="24"/>
        </w:rPr>
        <w:t xml:space="preserve"> </w:t>
      </w:r>
      <w:r w:rsidR="00825B28" w:rsidRPr="00ED7C30">
        <w:rPr>
          <w:rFonts w:eastAsia="Calibri" w:cstheme="minorHAnsi"/>
          <w:b/>
          <w:sz w:val="24"/>
          <w:szCs w:val="24"/>
        </w:rPr>
        <w:t>MPSV nedoložilo, z jakých položek jsou</w:t>
      </w:r>
      <w:r w:rsidR="000C107C" w:rsidRPr="00ED7C30">
        <w:rPr>
          <w:rFonts w:eastAsia="Calibri" w:cstheme="minorHAnsi"/>
          <w:b/>
          <w:sz w:val="24"/>
          <w:szCs w:val="24"/>
        </w:rPr>
        <w:t xml:space="preserve"> tvořeny</w:t>
      </w:r>
      <w:r w:rsidR="00825B28" w:rsidRPr="00ED7C30">
        <w:rPr>
          <w:rFonts w:eastAsia="Calibri" w:cstheme="minorHAnsi"/>
          <w:b/>
          <w:sz w:val="24"/>
          <w:szCs w:val="24"/>
        </w:rPr>
        <w:t xml:space="preserve"> zůstatky účtů pohledávek a závazků uvedených v následujících odstavcích</w:t>
      </w:r>
      <w:r w:rsidR="000C107C" w:rsidRPr="00ED7C30">
        <w:rPr>
          <w:rFonts w:eastAsia="Calibri" w:cstheme="minorHAnsi"/>
          <w:b/>
          <w:sz w:val="24"/>
          <w:szCs w:val="24"/>
        </w:rPr>
        <w:t>.</w:t>
      </w:r>
    </w:p>
    <w:p w14:paraId="6FEE0D5D" w14:textId="30C016EA" w:rsidR="00C01BEE" w:rsidRPr="00ED7C30" w:rsidRDefault="00C01BEE" w:rsidP="00C01BEE">
      <w:pPr>
        <w:spacing w:after="120"/>
        <w:jc w:val="both"/>
        <w:rPr>
          <w:rFonts w:cstheme="minorHAnsi"/>
          <w:b/>
          <w:i/>
          <w:sz w:val="24"/>
          <w:szCs w:val="24"/>
        </w:rPr>
      </w:pPr>
      <w:r w:rsidRPr="00ED7C30">
        <w:rPr>
          <w:rFonts w:cstheme="minorHAnsi"/>
          <w:b/>
          <w:sz w:val="24"/>
          <w:szCs w:val="24"/>
        </w:rPr>
        <w:t xml:space="preserve">Zůstatky </w:t>
      </w:r>
      <w:r w:rsidR="001432AE" w:rsidRPr="00ED7C30">
        <w:rPr>
          <w:rFonts w:cstheme="minorHAnsi"/>
          <w:b/>
          <w:sz w:val="24"/>
          <w:szCs w:val="24"/>
        </w:rPr>
        <w:t xml:space="preserve">vykázané v účetní závěrce </w:t>
      </w:r>
      <w:r w:rsidRPr="00ED7C30">
        <w:rPr>
          <w:rFonts w:cstheme="minorHAnsi"/>
          <w:b/>
          <w:sz w:val="24"/>
          <w:szCs w:val="24"/>
        </w:rPr>
        <w:t xml:space="preserve">na účtech 311 – </w:t>
      </w:r>
      <w:r w:rsidRPr="00ED7C30">
        <w:rPr>
          <w:rFonts w:cstheme="minorHAnsi"/>
          <w:b/>
          <w:i/>
          <w:sz w:val="24"/>
          <w:szCs w:val="24"/>
        </w:rPr>
        <w:t>Odběratelé</w:t>
      </w:r>
      <w:r w:rsidRPr="00ED7C30">
        <w:rPr>
          <w:rFonts w:cstheme="minorHAnsi"/>
          <w:b/>
          <w:sz w:val="24"/>
          <w:szCs w:val="24"/>
        </w:rPr>
        <w:t xml:space="preserve">, 314 – </w:t>
      </w:r>
      <w:r w:rsidRPr="00ED7C30">
        <w:rPr>
          <w:rFonts w:cstheme="minorHAnsi"/>
          <w:b/>
          <w:i/>
          <w:sz w:val="24"/>
          <w:szCs w:val="24"/>
        </w:rPr>
        <w:t>Krátkodobé poskytnuté zálohy</w:t>
      </w:r>
      <w:r w:rsidRPr="00ED7C30">
        <w:rPr>
          <w:rFonts w:cstheme="minorHAnsi"/>
          <w:b/>
          <w:sz w:val="24"/>
          <w:szCs w:val="24"/>
        </w:rPr>
        <w:t xml:space="preserve">, 315 – </w:t>
      </w:r>
      <w:r w:rsidRPr="00ED7C30">
        <w:rPr>
          <w:rFonts w:cstheme="minorHAnsi"/>
          <w:b/>
          <w:i/>
          <w:sz w:val="24"/>
          <w:szCs w:val="24"/>
        </w:rPr>
        <w:t>Jiné pohledávky z hlavní činnosti</w:t>
      </w:r>
      <w:r w:rsidRPr="00AB7AAA">
        <w:rPr>
          <w:rFonts w:cstheme="minorHAnsi"/>
          <w:b/>
          <w:sz w:val="24"/>
          <w:szCs w:val="24"/>
        </w:rPr>
        <w:t>,</w:t>
      </w:r>
      <w:r w:rsidRPr="00ED7C30">
        <w:rPr>
          <w:rFonts w:cstheme="minorHAnsi"/>
          <w:b/>
          <w:i/>
          <w:sz w:val="24"/>
          <w:szCs w:val="24"/>
        </w:rPr>
        <w:t xml:space="preserve"> </w:t>
      </w:r>
      <w:r w:rsidRPr="00ED7C30">
        <w:rPr>
          <w:rFonts w:cstheme="minorHAnsi"/>
          <w:b/>
          <w:sz w:val="24"/>
          <w:szCs w:val="24"/>
        </w:rPr>
        <w:t xml:space="preserve">344 – </w:t>
      </w:r>
      <w:r w:rsidRPr="00ED7C30">
        <w:rPr>
          <w:rFonts w:cstheme="minorHAnsi"/>
          <w:b/>
          <w:i/>
          <w:sz w:val="24"/>
          <w:szCs w:val="24"/>
        </w:rPr>
        <w:t>Pohledávky za osobami mimo vybrané vládní instituce</w:t>
      </w:r>
      <w:r w:rsidRPr="00AB7AAA">
        <w:rPr>
          <w:rFonts w:cstheme="minorHAnsi"/>
          <w:b/>
          <w:sz w:val="24"/>
          <w:szCs w:val="24"/>
        </w:rPr>
        <w:t>,</w:t>
      </w:r>
      <w:r w:rsidRPr="00ED7C30">
        <w:rPr>
          <w:rFonts w:cstheme="minorHAnsi"/>
          <w:b/>
          <w:i/>
          <w:sz w:val="24"/>
          <w:szCs w:val="24"/>
        </w:rPr>
        <w:t xml:space="preserve"> 373 </w:t>
      </w:r>
      <w:r w:rsidRPr="00ED7C30">
        <w:rPr>
          <w:rFonts w:cstheme="minorHAnsi"/>
          <w:b/>
          <w:sz w:val="24"/>
          <w:szCs w:val="24"/>
        </w:rPr>
        <w:t xml:space="preserve">– </w:t>
      </w:r>
      <w:r w:rsidRPr="00ED7C30">
        <w:rPr>
          <w:rFonts w:cstheme="minorHAnsi"/>
          <w:b/>
          <w:i/>
          <w:sz w:val="24"/>
          <w:szCs w:val="24"/>
        </w:rPr>
        <w:t>Krátkodobé poskytnuté zálohy na transfery</w:t>
      </w:r>
      <w:r w:rsidR="00750C1D" w:rsidRPr="00ED7C30">
        <w:rPr>
          <w:rFonts w:cstheme="minorHAnsi"/>
          <w:b/>
          <w:i/>
          <w:sz w:val="24"/>
          <w:szCs w:val="24"/>
        </w:rPr>
        <w:t xml:space="preserve"> </w:t>
      </w:r>
      <w:r w:rsidR="008A468B">
        <w:rPr>
          <w:rFonts w:cstheme="minorHAnsi"/>
          <w:b/>
          <w:i/>
          <w:sz w:val="24"/>
          <w:szCs w:val="24"/>
        </w:rPr>
        <w:br/>
      </w:r>
      <w:r w:rsidRPr="00ED7C30">
        <w:rPr>
          <w:rFonts w:cstheme="minorHAnsi"/>
          <w:b/>
          <w:sz w:val="24"/>
          <w:szCs w:val="24"/>
        </w:rPr>
        <w:t xml:space="preserve">a 471 – </w:t>
      </w:r>
      <w:r w:rsidRPr="00ED7C30">
        <w:rPr>
          <w:rFonts w:cstheme="minorHAnsi"/>
          <w:b/>
          <w:i/>
          <w:sz w:val="24"/>
          <w:szCs w:val="24"/>
        </w:rPr>
        <w:t>Dlouhodobé poskytnuté zálohy na transfery</w:t>
      </w:r>
      <w:r w:rsidRPr="00ED7C30">
        <w:rPr>
          <w:rFonts w:cstheme="minorHAnsi"/>
          <w:b/>
          <w:sz w:val="24"/>
          <w:szCs w:val="24"/>
        </w:rPr>
        <w:t xml:space="preserve"> vykázané v účetní závěrce, které představují 96,10 % na straně </w:t>
      </w:r>
      <w:r w:rsidR="0056470D" w:rsidRPr="00ED7C30">
        <w:rPr>
          <w:rFonts w:cstheme="minorHAnsi"/>
          <w:b/>
          <w:sz w:val="24"/>
          <w:szCs w:val="24"/>
        </w:rPr>
        <w:t xml:space="preserve">celkových </w:t>
      </w:r>
      <w:r w:rsidRPr="00ED7C30">
        <w:rPr>
          <w:rFonts w:cstheme="minorHAnsi"/>
          <w:b/>
          <w:sz w:val="24"/>
          <w:szCs w:val="24"/>
        </w:rPr>
        <w:t>aktiv</w:t>
      </w:r>
      <w:r w:rsidR="004F7BF0">
        <w:rPr>
          <w:rFonts w:cstheme="minorHAnsi"/>
          <w:b/>
          <w:sz w:val="24"/>
          <w:szCs w:val="24"/>
        </w:rPr>
        <w:t>,</w:t>
      </w:r>
      <w:r w:rsidRPr="00ED7C30">
        <w:rPr>
          <w:rFonts w:cstheme="minorHAnsi"/>
          <w:b/>
          <w:sz w:val="24"/>
          <w:szCs w:val="24"/>
        </w:rPr>
        <w:t xml:space="preserve"> a dále zůstatky</w:t>
      </w:r>
      <w:r w:rsidR="0056470D" w:rsidRPr="00ED7C30">
        <w:rPr>
          <w:rFonts w:cstheme="minorHAnsi"/>
          <w:b/>
          <w:sz w:val="24"/>
          <w:szCs w:val="24"/>
        </w:rPr>
        <w:t xml:space="preserve"> vykázané v účetní závěrce</w:t>
      </w:r>
      <w:r w:rsidRPr="00ED7C30">
        <w:rPr>
          <w:rFonts w:cstheme="minorHAnsi"/>
          <w:b/>
          <w:sz w:val="24"/>
          <w:szCs w:val="24"/>
        </w:rPr>
        <w:t xml:space="preserve"> na účtech</w:t>
      </w:r>
      <w:r w:rsidR="00750C1D" w:rsidRPr="00ED7C30">
        <w:rPr>
          <w:rFonts w:cstheme="minorHAnsi"/>
          <w:b/>
          <w:sz w:val="24"/>
          <w:szCs w:val="24"/>
        </w:rPr>
        <w:t xml:space="preserve"> </w:t>
      </w:r>
      <w:r w:rsidRPr="00ED7C30">
        <w:rPr>
          <w:rFonts w:cstheme="minorHAnsi"/>
          <w:b/>
          <w:sz w:val="24"/>
          <w:szCs w:val="24"/>
        </w:rPr>
        <w:t>321</w:t>
      </w:r>
      <w:r w:rsidR="0007340F" w:rsidRPr="00ED7C30">
        <w:rPr>
          <w:rFonts w:cstheme="minorHAnsi"/>
          <w:b/>
          <w:sz w:val="24"/>
          <w:szCs w:val="24"/>
        </w:rPr>
        <w:t xml:space="preserve"> </w:t>
      </w:r>
      <w:r w:rsidRPr="00ED7C30">
        <w:rPr>
          <w:rFonts w:cstheme="minorHAnsi"/>
          <w:b/>
          <w:i/>
          <w:sz w:val="24"/>
          <w:szCs w:val="24"/>
        </w:rPr>
        <w:t>– Dodavatelé</w:t>
      </w:r>
      <w:r w:rsidRPr="00ED7C30">
        <w:rPr>
          <w:rFonts w:cstheme="minorHAnsi"/>
          <w:b/>
          <w:sz w:val="24"/>
          <w:szCs w:val="24"/>
        </w:rPr>
        <w:t xml:space="preserve">, 331 – </w:t>
      </w:r>
      <w:r w:rsidRPr="00ED7C30">
        <w:rPr>
          <w:rFonts w:cstheme="minorHAnsi"/>
          <w:b/>
          <w:i/>
          <w:sz w:val="24"/>
          <w:szCs w:val="24"/>
        </w:rPr>
        <w:t>Zaměstnanci</w:t>
      </w:r>
      <w:r w:rsidRPr="00ED7C30">
        <w:rPr>
          <w:rFonts w:cstheme="minorHAnsi"/>
          <w:b/>
          <w:sz w:val="24"/>
          <w:szCs w:val="24"/>
        </w:rPr>
        <w:t xml:space="preserve">, 345 – </w:t>
      </w:r>
      <w:r w:rsidRPr="00ED7C30">
        <w:rPr>
          <w:rFonts w:cstheme="minorHAnsi"/>
          <w:b/>
          <w:i/>
          <w:sz w:val="24"/>
          <w:szCs w:val="24"/>
        </w:rPr>
        <w:t>Závazky k osobám mimo vybrané vládní instituce</w:t>
      </w:r>
      <w:r w:rsidRPr="00ED7C30">
        <w:rPr>
          <w:rFonts w:cstheme="minorHAnsi"/>
          <w:b/>
          <w:sz w:val="24"/>
          <w:szCs w:val="24"/>
        </w:rPr>
        <w:t xml:space="preserve">, 347 – </w:t>
      </w:r>
      <w:r w:rsidRPr="00ED7C30">
        <w:rPr>
          <w:rFonts w:cstheme="minorHAnsi"/>
          <w:b/>
          <w:i/>
          <w:sz w:val="24"/>
          <w:szCs w:val="24"/>
        </w:rPr>
        <w:t>Závazky k vybraným ústředním vládním institucím</w:t>
      </w:r>
      <w:r w:rsidRPr="00ED7C30">
        <w:rPr>
          <w:rFonts w:cstheme="minorHAnsi"/>
          <w:b/>
          <w:sz w:val="24"/>
          <w:szCs w:val="24"/>
        </w:rPr>
        <w:t xml:space="preserve">, 349 – </w:t>
      </w:r>
      <w:r w:rsidRPr="00ED7C30">
        <w:rPr>
          <w:rFonts w:cstheme="minorHAnsi"/>
          <w:b/>
          <w:i/>
          <w:sz w:val="24"/>
          <w:szCs w:val="24"/>
        </w:rPr>
        <w:t>Závazky k vybraným místním vládním institucím</w:t>
      </w:r>
      <w:r w:rsidRPr="00ED7C30">
        <w:rPr>
          <w:rFonts w:cstheme="minorHAnsi"/>
          <w:b/>
          <w:sz w:val="24"/>
          <w:szCs w:val="24"/>
        </w:rPr>
        <w:t xml:space="preserve">, 378 – </w:t>
      </w:r>
      <w:r w:rsidRPr="00ED7C30">
        <w:rPr>
          <w:rFonts w:cstheme="minorHAnsi"/>
          <w:b/>
          <w:i/>
          <w:sz w:val="24"/>
          <w:szCs w:val="24"/>
        </w:rPr>
        <w:t>Ostatní krátkodobé závazky</w:t>
      </w:r>
      <w:r w:rsidRPr="00ED7C30">
        <w:rPr>
          <w:rFonts w:cstheme="minorHAnsi"/>
          <w:b/>
          <w:sz w:val="24"/>
          <w:szCs w:val="24"/>
        </w:rPr>
        <w:t xml:space="preserve"> a 389 – </w:t>
      </w:r>
      <w:r w:rsidRPr="00ED7C30">
        <w:rPr>
          <w:rFonts w:cstheme="minorHAnsi"/>
          <w:b/>
          <w:i/>
          <w:sz w:val="24"/>
          <w:szCs w:val="24"/>
        </w:rPr>
        <w:t>Dohadné účty pasivní</w:t>
      </w:r>
      <w:r w:rsidRPr="00ED7C30">
        <w:rPr>
          <w:rFonts w:cstheme="minorHAnsi"/>
          <w:b/>
          <w:sz w:val="24"/>
          <w:szCs w:val="24"/>
        </w:rPr>
        <w:t xml:space="preserve">, které představují 77,18 % na straně </w:t>
      </w:r>
      <w:r w:rsidR="0056470D" w:rsidRPr="00ED7C30">
        <w:rPr>
          <w:rFonts w:cstheme="minorHAnsi"/>
          <w:b/>
          <w:sz w:val="24"/>
          <w:szCs w:val="24"/>
        </w:rPr>
        <w:t xml:space="preserve">celkových </w:t>
      </w:r>
      <w:r w:rsidRPr="00ED7C30">
        <w:rPr>
          <w:rFonts w:cstheme="minorHAnsi"/>
          <w:b/>
          <w:sz w:val="24"/>
          <w:szCs w:val="24"/>
        </w:rPr>
        <w:t>pasiv</w:t>
      </w:r>
      <w:r w:rsidR="004F7BF0">
        <w:rPr>
          <w:rFonts w:cstheme="minorHAnsi"/>
          <w:b/>
          <w:sz w:val="24"/>
          <w:szCs w:val="24"/>
        </w:rPr>
        <w:t>,</w:t>
      </w:r>
      <w:r w:rsidRPr="00ED7C30">
        <w:rPr>
          <w:rFonts w:cstheme="minorHAnsi"/>
          <w:b/>
          <w:sz w:val="24"/>
          <w:szCs w:val="24"/>
        </w:rPr>
        <w:t xml:space="preserve"> nelze považovat za průkazné. </w:t>
      </w:r>
      <w:r w:rsidR="003F25ED" w:rsidRPr="00ED7C30">
        <w:rPr>
          <w:rFonts w:cstheme="minorHAnsi"/>
          <w:b/>
          <w:sz w:val="24"/>
          <w:szCs w:val="24"/>
        </w:rPr>
        <w:t xml:space="preserve"> </w:t>
      </w:r>
    </w:p>
    <w:p w14:paraId="1A83906A" w14:textId="5E2EB0EF" w:rsidR="00C01BEE" w:rsidRPr="00ED7C30" w:rsidRDefault="00C01BEE" w:rsidP="00C01BEE">
      <w:pPr>
        <w:spacing w:after="120"/>
        <w:jc w:val="both"/>
        <w:rPr>
          <w:rFonts w:cstheme="minorHAnsi"/>
          <w:b/>
          <w:sz w:val="24"/>
          <w:szCs w:val="24"/>
        </w:rPr>
      </w:pPr>
      <w:r w:rsidRPr="00ED7C30">
        <w:rPr>
          <w:rFonts w:cstheme="minorHAnsi"/>
          <w:b/>
          <w:sz w:val="24"/>
          <w:szCs w:val="24"/>
        </w:rPr>
        <w:t xml:space="preserve">U zůstatků účtů 905 – </w:t>
      </w:r>
      <w:r w:rsidRPr="00ED7C30">
        <w:rPr>
          <w:rFonts w:cstheme="minorHAnsi"/>
          <w:b/>
          <w:i/>
          <w:sz w:val="24"/>
          <w:szCs w:val="24"/>
        </w:rPr>
        <w:t>Vyřazené pohledávky</w:t>
      </w:r>
      <w:r w:rsidR="00D70DAD" w:rsidRPr="00ED7C30">
        <w:rPr>
          <w:rFonts w:cstheme="minorHAnsi"/>
          <w:b/>
          <w:sz w:val="24"/>
          <w:szCs w:val="24"/>
        </w:rPr>
        <w:t>,</w:t>
      </w:r>
      <w:r w:rsidRPr="00ED7C30">
        <w:rPr>
          <w:rFonts w:cstheme="minorHAnsi"/>
          <w:b/>
          <w:sz w:val="24"/>
          <w:szCs w:val="24"/>
        </w:rPr>
        <w:t xml:space="preserve"> 951 – </w:t>
      </w:r>
      <w:r w:rsidRPr="00ED7C30">
        <w:rPr>
          <w:rFonts w:cstheme="minorHAnsi"/>
          <w:b/>
          <w:i/>
          <w:sz w:val="24"/>
          <w:szCs w:val="24"/>
        </w:rPr>
        <w:t>Dlouhodobé podmíněné pohledávky z předfinancování transferů</w:t>
      </w:r>
      <w:r w:rsidR="0056470D" w:rsidRPr="00ED7C30">
        <w:rPr>
          <w:rFonts w:cstheme="minorHAnsi"/>
          <w:b/>
          <w:sz w:val="24"/>
          <w:szCs w:val="24"/>
        </w:rPr>
        <w:t xml:space="preserve"> </w:t>
      </w:r>
      <w:r w:rsidR="00D70DAD" w:rsidRPr="00ED7C30">
        <w:rPr>
          <w:rFonts w:cstheme="minorHAnsi"/>
          <w:b/>
          <w:sz w:val="24"/>
          <w:szCs w:val="24"/>
        </w:rPr>
        <w:t xml:space="preserve">a </w:t>
      </w:r>
      <w:r w:rsidR="0056470D" w:rsidRPr="00ED7C30">
        <w:rPr>
          <w:rFonts w:cstheme="minorHAnsi"/>
          <w:b/>
          <w:sz w:val="24"/>
          <w:szCs w:val="24"/>
        </w:rPr>
        <w:t xml:space="preserve">953 – </w:t>
      </w:r>
      <w:r w:rsidR="0056470D" w:rsidRPr="00ED7C30">
        <w:rPr>
          <w:rFonts w:cstheme="minorHAnsi"/>
          <w:b/>
          <w:i/>
          <w:sz w:val="24"/>
          <w:szCs w:val="24"/>
        </w:rPr>
        <w:t>Dlouhodobé podmíněné pohledávky ze zahraničních transferů</w:t>
      </w:r>
      <w:r w:rsidR="0056470D" w:rsidRPr="00ED7C30">
        <w:rPr>
          <w:rFonts w:cstheme="minorHAnsi"/>
          <w:b/>
          <w:sz w:val="24"/>
          <w:szCs w:val="24"/>
        </w:rPr>
        <w:t>,</w:t>
      </w:r>
      <w:r w:rsidRPr="00ED7C30">
        <w:rPr>
          <w:rFonts w:cstheme="minorHAnsi"/>
          <w:b/>
          <w:sz w:val="24"/>
          <w:szCs w:val="24"/>
        </w:rPr>
        <w:t xml:space="preserve"> které představují 6</w:t>
      </w:r>
      <w:r w:rsidR="00BC2314" w:rsidRPr="00ED7C30">
        <w:rPr>
          <w:rFonts w:cstheme="minorHAnsi"/>
          <w:b/>
          <w:sz w:val="24"/>
          <w:szCs w:val="24"/>
        </w:rPr>
        <w:t>1</w:t>
      </w:r>
      <w:r w:rsidRPr="00ED7C30">
        <w:rPr>
          <w:rFonts w:cstheme="minorHAnsi"/>
          <w:b/>
          <w:sz w:val="24"/>
          <w:szCs w:val="24"/>
        </w:rPr>
        <w:t>,</w:t>
      </w:r>
      <w:r w:rsidR="00BC2314" w:rsidRPr="00ED7C30">
        <w:rPr>
          <w:rFonts w:cstheme="minorHAnsi"/>
          <w:b/>
          <w:sz w:val="24"/>
          <w:szCs w:val="24"/>
        </w:rPr>
        <w:t>1</w:t>
      </w:r>
      <w:r w:rsidRPr="00ED7C30">
        <w:rPr>
          <w:rFonts w:cstheme="minorHAnsi"/>
          <w:b/>
          <w:sz w:val="24"/>
          <w:szCs w:val="24"/>
        </w:rPr>
        <w:t>7 % podmíněných podrozvahových pohledávek</w:t>
      </w:r>
      <w:r w:rsidR="004F7BF0">
        <w:rPr>
          <w:rFonts w:cstheme="minorHAnsi"/>
          <w:b/>
          <w:sz w:val="24"/>
          <w:szCs w:val="24"/>
        </w:rPr>
        <w:t>,</w:t>
      </w:r>
      <w:r w:rsidRPr="00ED7C30">
        <w:rPr>
          <w:rFonts w:cstheme="minorHAnsi"/>
          <w:b/>
          <w:sz w:val="24"/>
          <w:szCs w:val="24"/>
        </w:rPr>
        <w:t xml:space="preserve"> a účtů</w:t>
      </w:r>
      <w:r w:rsidR="00750C1D" w:rsidRPr="00ED7C30">
        <w:rPr>
          <w:rFonts w:cstheme="minorHAnsi"/>
          <w:b/>
          <w:sz w:val="24"/>
          <w:szCs w:val="24"/>
        </w:rPr>
        <w:t xml:space="preserve"> </w:t>
      </w:r>
      <w:r w:rsidR="004F7BF0">
        <w:rPr>
          <w:rFonts w:cstheme="minorHAnsi"/>
          <w:b/>
          <w:sz w:val="24"/>
          <w:szCs w:val="24"/>
        </w:rPr>
        <w:br/>
      </w:r>
      <w:r w:rsidRPr="00ED7C30">
        <w:rPr>
          <w:rFonts w:cstheme="minorHAnsi"/>
          <w:b/>
          <w:sz w:val="24"/>
          <w:szCs w:val="24"/>
        </w:rPr>
        <w:t xml:space="preserve">916 – </w:t>
      </w:r>
      <w:r w:rsidRPr="00ED7C30">
        <w:rPr>
          <w:rFonts w:cstheme="minorHAnsi"/>
          <w:b/>
          <w:i/>
          <w:sz w:val="24"/>
          <w:szCs w:val="24"/>
        </w:rPr>
        <w:t>Ostatní krátkodob</w:t>
      </w:r>
      <w:r w:rsidR="0056470D" w:rsidRPr="00ED7C30">
        <w:rPr>
          <w:rFonts w:cstheme="minorHAnsi"/>
          <w:b/>
          <w:i/>
          <w:sz w:val="24"/>
          <w:szCs w:val="24"/>
        </w:rPr>
        <w:t>é</w:t>
      </w:r>
      <w:r w:rsidRPr="00ED7C30">
        <w:rPr>
          <w:rFonts w:cstheme="minorHAnsi"/>
          <w:b/>
          <w:i/>
          <w:sz w:val="24"/>
          <w:szCs w:val="24"/>
        </w:rPr>
        <w:t xml:space="preserve"> </w:t>
      </w:r>
      <w:r w:rsidR="0056470D" w:rsidRPr="00ED7C30">
        <w:rPr>
          <w:rFonts w:cstheme="minorHAnsi"/>
          <w:b/>
          <w:i/>
          <w:sz w:val="24"/>
          <w:szCs w:val="24"/>
        </w:rPr>
        <w:t xml:space="preserve">podmíněné </w:t>
      </w:r>
      <w:r w:rsidRPr="00ED7C30">
        <w:rPr>
          <w:rFonts w:cstheme="minorHAnsi"/>
          <w:b/>
          <w:i/>
          <w:sz w:val="24"/>
          <w:szCs w:val="24"/>
        </w:rPr>
        <w:t>závazk</w:t>
      </w:r>
      <w:r w:rsidR="0056470D" w:rsidRPr="00ED7C30">
        <w:rPr>
          <w:rFonts w:cstheme="minorHAnsi"/>
          <w:b/>
          <w:i/>
          <w:sz w:val="24"/>
          <w:szCs w:val="24"/>
        </w:rPr>
        <w:t>y</w:t>
      </w:r>
      <w:r w:rsidRPr="00ED7C30">
        <w:rPr>
          <w:rFonts w:cstheme="minorHAnsi"/>
          <w:b/>
          <w:i/>
          <w:sz w:val="24"/>
          <w:szCs w:val="24"/>
        </w:rPr>
        <w:t xml:space="preserve"> z</w:t>
      </w:r>
      <w:r w:rsidR="008754FD" w:rsidRPr="00ED7C30">
        <w:rPr>
          <w:rFonts w:cstheme="minorHAnsi"/>
          <w:b/>
          <w:i/>
          <w:sz w:val="24"/>
          <w:szCs w:val="24"/>
        </w:rPr>
        <w:t> </w:t>
      </w:r>
      <w:r w:rsidRPr="00ED7C30">
        <w:rPr>
          <w:rFonts w:cstheme="minorHAnsi"/>
          <w:b/>
          <w:i/>
          <w:sz w:val="24"/>
          <w:szCs w:val="24"/>
        </w:rPr>
        <w:t>transferů</w:t>
      </w:r>
      <w:r w:rsidRPr="00AB7AAA">
        <w:rPr>
          <w:rFonts w:cstheme="minorHAnsi"/>
          <w:b/>
          <w:sz w:val="24"/>
          <w:szCs w:val="24"/>
        </w:rPr>
        <w:t xml:space="preserve"> a</w:t>
      </w:r>
      <w:r w:rsidRPr="00E445CA">
        <w:rPr>
          <w:rFonts w:cstheme="minorHAnsi"/>
          <w:b/>
          <w:sz w:val="24"/>
          <w:szCs w:val="24"/>
        </w:rPr>
        <w:t xml:space="preserve"> </w:t>
      </w:r>
      <w:r w:rsidRPr="00ED7C30">
        <w:rPr>
          <w:rFonts w:cstheme="minorHAnsi"/>
          <w:b/>
          <w:sz w:val="24"/>
          <w:szCs w:val="24"/>
        </w:rPr>
        <w:t xml:space="preserve">956 – </w:t>
      </w:r>
      <w:r w:rsidRPr="00ED7C30">
        <w:rPr>
          <w:rFonts w:cstheme="minorHAnsi"/>
          <w:b/>
          <w:i/>
          <w:sz w:val="24"/>
          <w:szCs w:val="24"/>
        </w:rPr>
        <w:t>Ostatní dlouhodobé podmíněné závazky z transferů</w:t>
      </w:r>
      <w:r w:rsidRPr="00ED7C30">
        <w:rPr>
          <w:rFonts w:cstheme="minorHAnsi"/>
          <w:b/>
          <w:sz w:val="24"/>
          <w:szCs w:val="24"/>
        </w:rPr>
        <w:t>, které představují 99,</w:t>
      </w:r>
      <w:r w:rsidR="008F0D73" w:rsidRPr="00ED7C30">
        <w:rPr>
          <w:rFonts w:cstheme="minorHAnsi"/>
          <w:b/>
          <w:sz w:val="24"/>
          <w:szCs w:val="24"/>
        </w:rPr>
        <w:t>97</w:t>
      </w:r>
      <w:r w:rsidRPr="00ED7C30">
        <w:rPr>
          <w:rFonts w:cstheme="minorHAnsi"/>
          <w:b/>
          <w:sz w:val="24"/>
          <w:szCs w:val="24"/>
        </w:rPr>
        <w:t xml:space="preserve"> % podmíněných podrozvahových závazků, nebyla provedena dokladová inventura.</w:t>
      </w:r>
    </w:p>
    <w:p w14:paraId="25F1026E" w14:textId="635AA745" w:rsidR="00825B28" w:rsidRPr="00ED7C30" w:rsidRDefault="00825B28" w:rsidP="00454508">
      <w:pPr>
        <w:spacing w:after="120"/>
        <w:jc w:val="both"/>
        <w:rPr>
          <w:rFonts w:cstheme="minorHAnsi"/>
          <w:b/>
          <w:sz w:val="24"/>
          <w:szCs w:val="24"/>
        </w:rPr>
      </w:pPr>
      <w:r w:rsidRPr="00ED7C30">
        <w:rPr>
          <w:rFonts w:cstheme="minorHAnsi"/>
          <w:b/>
          <w:sz w:val="24"/>
          <w:szCs w:val="24"/>
        </w:rPr>
        <w:t xml:space="preserve">Možnost </w:t>
      </w:r>
      <w:r w:rsidR="004F7BF0">
        <w:rPr>
          <w:rFonts w:cstheme="minorHAnsi"/>
          <w:b/>
          <w:sz w:val="24"/>
          <w:szCs w:val="24"/>
        </w:rPr>
        <w:t>vyjádřit</w:t>
      </w:r>
      <w:r w:rsidRPr="00ED7C30">
        <w:rPr>
          <w:rFonts w:cstheme="minorHAnsi"/>
          <w:b/>
          <w:sz w:val="24"/>
          <w:szCs w:val="24"/>
        </w:rPr>
        <w:t xml:space="preserve"> se ke spolehlivosti</w:t>
      </w:r>
      <w:r w:rsidR="004F7BF0">
        <w:rPr>
          <w:rFonts w:cstheme="minorHAnsi"/>
          <w:b/>
          <w:sz w:val="24"/>
          <w:szCs w:val="24"/>
        </w:rPr>
        <w:t xml:space="preserve"> </w:t>
      </w:r>
      <w:r w:rsidRPr="00ED7C30">
        <w:rPr>
          <w:rFonts w:cstheme="minorHAnsi"/>
          <w:b/>
          <w:sz w:val="24"/>
          <w:szCs w:val="24"/>
        </w:rPr>
        <w:t>účetní závěrky tak byla ve významném rozsahu omezena z důvodu neprůkaznosti účetnictví. Tato neprůkaznost vede k tomu, že nelze vyhodnotit, zda účetní závěrka podává věrný a poctivý obraz předmětu účetnictví a</w:t>
      </w:r>
      <w:r w:rsidR="004F7BF0">
        <w:rPr>
          <w:rFonts w:cstheme="minorHAnsi"/>
          <w:b/>
          <w:sz w:val="24"/>
          <w:szCs w:val="24"/>
        </w:rPr>
        <w:t> </w:t>
      </w:r>
      <w:r w:rsidRPr="00ED7C30">
        <w:rPr>
          <w:rFonts w:cstheme="minorHAnsi"/>
          <w:b/>
          <w:sz w:val="24"/>
          <w:szCs w:val="24"/>
        </w:rPr>
        <w:t xml:space="preserve">finanční situace účetní jednotky dle </w:t>
      </w:r>
      <w:r w:rsidR="0073216B" w:rsidRPr="00ED7C30">
        <w:rPr>
          <w:rFonts w:cstheme="minorHAnsi"/>
          <w:b/>
          <w:sz w:val="24"/>
          <w:szCs w:val="24"/>
        </w:rPr>
        <w:t xml:space="preserve">ustanovení </w:t>
      </w:r>
      <w:r w:rsidRPr="00ED7C30">
        <w:rPr>
          <w:rFonts w:cstheme="minorHAnsi"/>
          <w:b/>
          <w:sz w:val="24"/>
          <w:szCs w:val="24"/>
        </w:rPr>
        <w:t xml:space="preserve">§ 7 odst. 1 zákona o účetnictví. </w:t>
      </w:r>
      <w:r w:rsidR="00454508" w:rsidRPr="00ED7C30">
        <w:rPr>
          <w:rFonts w:cstheme="minorHAnsi"/>
          <w:b/>
          <w:bCs/>
          <w:sz w:val="24"/>
          <w:szCs w:val="24"/>
        </w:rPr>
        <w:t>Neprůkazné zůstatky účtů mnohonásobně převyšují stanovenou hladinu významnosti.</w:t>
      </w:r>
    </w:p>
    <w:p w14:paraId="4447EE13" w14:textId="77777777" w:rsidR="00C01BEE" w:rsidRPr="00ED7C30" w:rsidRDefault="00C01BEE" w:rsidP="004D557D">
      <w:pPr>
        <w:spacing w:after="0"/>
        <w:jc w:val="both"/>
        <w:rPr>
          <w:rFonts w:cstheme="minorHAnsi"/>
          <w:b/>
          <w:sz w:val="24"/>
          <w:szCs w:val="24"/>
        </w:rPr>
      </w:pPr>
      <w:r w:rsidRPr="00ED7C30">
        <w:rPr>
          <w:rFonts w:cstheme="minorHAnsi"/>
          <w:b/>
          <w:sz w:val="24"/>
          <w:szCs w:val="24"/>
        </w:rPr>
        <w:t>Z výše uvedených důvodů se NKÚ ke spolehlivosti účetní z</w:t>
      </w:r>
      <w:r w:rsidR="005C319B" w:rsidRPr="00ED7C30">
        <w:rPr>
          <w:rFonts w:cstheme="minorHAnsi"/>
          <w:b/>
          <w:sz w:val="24"/>
          <w:szCs w:val="24"/>
        </w:rPr>
        <w:t>ávěrky MPSV sestavené k 31. 12. </w:t>
      </w:r>
      <w:r w:rsidRPr="00ED7C30">
        <w:rPr>
          <w:rFonts w:cstheme="minorHAnsi"/>
          <w:b/>
          <w:sz w:val="24"/>
          <w:szCs w:val="24"/>
        </w:rPr>
        <w:t>2016 nevyjadřuje.</w:t>
      </w:r>
    </w:p>
    <w:p w14:paraId="370D2061" w14:textId="77777777" w:rsidR="004D557D" w:rsidRDefault="004D557D" w:rsidP="004D557D">
      <w:pPr>
        <w:pStyle w:val="Nadpis2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5B715E7" w14:textId="3B3D3AFF" w:rsidR="00851DEC" w:rsidRPr="00ED7C30" w:rsidRDefault="00851DEC" w:rsidP="001D3CDC">
      <w:pPr>
        <w:pStyle w:val="Nadpis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D7C30">
        <w:rPr>
          <w:rFonts w:asciiTheme="minorHAnsi" w:hAnsiTheme="minorHAnsi" w:cstheme="minorHAnsi"/>
          <w:b/>
          <w:color w:val="auto"/>
          <w:sz w:val="24"/>
          <w:szCs w:val="24"/>
        </w:rPr>
        <w:t>Údaje předkládané pro hodnocení plnění státního rozpočtu</w:t>
      </w:r>
    </w:p>
    <w:p w14:paraId="6BD02D36" w14:textId="7F004650" w:rsidR="00851DEC" w:rsidRPr="00ED7C30" w:rsidRDefault="00851DEC" w:rsidP="00851DEC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 xml:space="preserve">Údaje pro hodnocení plnění státního rozpočtu jsou zpracovávány správci kapitol státního rozpočtu v rozpočtovém systému. </w:t>
      </w:r>
      <w:r w:rsidRPr="00ED7C30">
        <w:rPr>
          <w:rFonts w:cstheme="minorHAnsi"/>
          <w:b/>
          <w:sz w:val="24"/>
          <w:szCs w:val="24"/>
        </w:rPr>
        <w:t>Údaje z rozpočtového systému a z nich sestavené finanční výkazy pro hodnocení plnění rozpočtu podávají detailní informace především</w:t>
      </w:r>
      <w:r w:rsidRPr="00ED7C30">
        <w:rPr>
          <w:rFonts w:cstheme="minorHAnsi"/>
          <w:sz w:val="24"/>
          <w:szCs w:val="24"/>
        </w:rPr>
        <w:t xml:space="preserve"> </w:t>
      </w:r>
      <w:r w:rsidRPr="00ED7C30">
        <w:rPr>
          <w:rFonts w:cstheme="minorHAnsi"/>
          <w:b/>
          <w:sz w:val="24"/>
          <w:szCs w:val="24"/>
        </w:rPr>
        <w:t>o pohybech peněžních prostředků státního rozpočtu</w:t>
      </w:r>
      <w:r w:rsidRPr="00ED7C30">
        <w:rPr>
          <w:rFonts w:cstheme="minorHAnsi"/>
          <w:sz w:val="24"/>
          <w:szCs w:val="24"/>
        </w:rPr>
        <w:t xml:space="preserve"> (rozpočtové údaje), tj. o inkasech (příjmech) a</w:t>
      </w:r>
      <w:r w:rsidR="002C72AD">
        <w:rPr>
          <w:rFonts w:cstheme="minorHAnsi"/>
          <w:sz w:val="24"/>
          <w:szCs w:val="24"/>
        </w:rPr>
        <w:t> </w:t>
      </w:r>
      <w:r w:rsidRPr="00ED7C30">
        <w:rPr>
          <w:rFonts w:cstheme="minorHAnsi"/>
          <w:sz w:val="24"/>
          <w:szCs w:val="24"/>
        </w:rPr>
        <w:t xml:space="preserve">výdajích realizovaných na bankovních účtech státního rozpočtu. Základním přínosem těchto </w:t>
      </w:r>
      <w:r w:rsidRPr="00ED7C30">
        <w:rPr>
          <w:rFonts w:cstheme="minorHAnsi"/>
          <w:sz w:val="24"/>
          <w:szCs w:val="24"/>
        </w:rPr>
        <w:lastRenderedPageBreak/>
        <w:t>údajů je, že umožňují sledovat plán neboli rozpočet očekávaných příjmů a odhadovaných výdajů i jeho skutečné plnění, tj. skutečná inkasa a výdaje prostředků.</w:t>
      </w:r>
    </w:p>
    <w:p w14:paraId="2C6358D8" w14:textId="75F15448" w:rsidR="00851DEC" w:rsidRPr="00ED7C30" w:rsidRDefault="00851DEC" w:rsidP="00851DEC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 xml:space="preserve">Správce kapitoly státního rozpočtu </w:t>
      </w:r>
      <w:r w:rsidR="0056470D" w:rsidRPr="00ED7C30">
        <w:rPr>
          <w:rFonts w:cstheme="minorHAnsi"/>
          <w:sz w:val="24"/>
          <w:szCs w:val="24"/>
        </w:rPr>
        <w:t>ověřuje</w:t>
      </w:r>
      <w:r w:rsidRPr="00ED7C30">
        <w:rPr>
          <w:rFonts w:cstheme="minorHAnsi"/>
          <w:sz w:val="24"/>
          <w:szCs w:val="24"/>
        </w:rPr>
        <w:t>, že údaje za kapitolu jsou v tomto systému správné</w:t>
      </w:r>
      <w:r w:rsidRPr="00ED7C30">
        <w:rPr>
          <w:rStyle w:val="Znakapoznpodarou"/>
          <w:rFonts w:cstheme="minorHAnsi"/>
          <w:sz w:val="24"/>
          <w:szCs w:val="24"/>
        </w:rPr>
        <w:footnoteReference w:id="13"/>
      </w:r>
      <w:r w:rsidRPr="00ED7C30">
        <w:rPr>
          <w:rFonts w:cstheme="minorHAnsi"/>
          <w:sz w:val="24"/>
          <w:szCs w:val="24"/>
        </w:rPr>
        <w:t xml:space="preserve">. </w:t>
      </w:r>
      <w:r w:rsidR="0011518F" w:rsidRPr="00ED7C30">
        <w:rPr>
          <w:rFonts w:cstheme="minorHAnsi"/>
          <w:sz w:val="24"/>
          <w:szCs w:val="24"/>
        </w:rPr>
        <w:t>V případě zjištění nesouladu údajů v rozpočtovém systému na úrovni kapitoly zajišťuje opravu údajů u příslušných organizačních složek státu.</w:t>
      </w:r>
    </w:p>
    <w:p w14:paraId="7A54236B" w14:textId="6F8C48A8" w:rsidR="00851DEC" w:rsidRPr="00ED7C30" w:rsidRDefault="00851DEC" w:rsidP="004D557D">
      <w:pPr>
        <w:spacing w:after="0"/>
        <w:jc w:val="both"/>
        <w:rPr>
          <w:rFonts w:cstheme="minorHAnsi"/>
        </w:rPr>
      </w:pPr>
      <w:r w:rsidRPr="00ED7C30">
        <w:rPr>
          <w:rFonts w:cstheme="minorHAnsi"/>
          <w:sz w:val="24"/>
          <w:szCs w:val="24"/>
        </w:rPr>
        <w:t>Kontrolou údajů vložených MP</w:t>
      </w:r>
      <w:r w:rsidR="004B14A0" w:rsidRPr="00ED7C30">
        <w:rPr>
          <w:rFonts w:cstheme="minorHAnsi"/>
          <w:sz w:val="24"/>
          <w:szCs w:val="24"/>
        </w:rPr>
        <w:t>SV</w:t>
      </w:r>
      <w:r w:rsidRPr="00ED7C30">
        <w:rPr>
          <w:rFonts w:cstheme="minorHAnsi"/>
          <w:sz w:val="24"/>
          <w:szCs w:val="24"/>
        </w:rPr>
        <w:t xml:space="preserve"> do rozpočtového systému byly zjištěny nesprávnosti ve výši </w:t>
      </w:r>
      <w:r w:rsidR="004B14A0" w:rsidRPr="00ED7C30">
        <w:rPr>
          <w:rFonts w:cstheme="minorHAnsi"/>
          <w:sz w:val="24"/>
          <w:szCs w:val="24"/>
        </w:rPr>
        <w:t>143 399 065,27</w:t>
      </w:r>
      <w:r w:rsidRPr="00ED7C30">
        <w:rPr>
          <w:rFonts w:cstheme="minorHAnsi"/>
          <w:sz w:val="24"/>
          <w:szCs w:val="24"/>
        </w:rPr>
        <w:t xml:space="preserve"> Kč. </w:t>
      </w:r>
      <w:r w:rsidR="004B14A0" w:rsidRPr="00ED7C30">
        <w:rPr>
          <w:rFonts w:cstheme="minorHAnsi"/>
          <w:b/>
          <w:sz w:val="24"/>
          <w:szCs w:val="24"/>
        </w:rPr>
        <w:t>T</w:t>
      </w:r>
      <w:r w:rsidR="008D6ABC">
        <w:rPr>
          <w:rFonts w:cstheme="minorHAnsi"/>
          <w:b/>
          <w:sz w:val="24"/>
          <w:szCs w:val="24"/>
        </w:rPr>
        <w:t>y</w:t>
      </w:r>
      <w:r w:rsidR="004B14A0" w:rsidRPr="00ED7C30">
        <w:rPr>
          <w:rFonts w:cstheme="minorHAnsi"/>
          <w:b/>
          <w:sz w:val="24"/>
          <w:szCs w:val="24"/>
        </w:rPr>
        <w:t>to nesprávnost</w:t>
      </w:r>
      <w:r w:rsidR="008D6ABC">
        <w:rPr>
          <w:rFonts w:cstheme="minorHAnsi"/>
          <w:b/>
          <w:sz w:val="24"/>
          <w:szCs w:val="24"/>
        </w:rPr>
        <w:t>i</w:t>
      </w:r>
      <w:r w:rsidR="004B14A0" w:rsidRPr="00ED7C30">
        <w:rPr>
          <w:rFonts w:cstheme="minorHAnsi"/>
          <w:b/>
          <w:sz w:val="24"/>
          <w:szCs w:val="24"/>
        </w:rPr>
        <w:t xml:space="preserve"> </w:t>
      </w:r>
      <w:r w:rsidR="008D6ABC">
        <w:rPr>
          <w:rFonts w:cstheme="minorHAnsi"/>
          <w:b/>
          <w:sz w:val="24"/>
          <w:szCs w:val="24"/>
        </w:rPr>
        <w:t>vznikly</w:t>
      </w:r>
      <w:r w:rsidR="004B14A0" w:rsidRPr="00ED7C30">
        <w:rPr>
          <w:rFonts w:cstheme="minorHAnsi"/>
          <w:b/>
          <w:sz w:val="24"/>
          <w:szCs w:val="24"/>
        </w:rPr>
        <w:t xml:space="preserve"> zejména nesprávn</w:t>
      </w:r>
      <w:r w:rsidR="008D6ABC">
        <w:rPr>
          <w:rFonts w:cstheme="minorHAnsi"/>
          <w:b/>
          <w:sz w:val="24"/>
          <w:szCs w:val="24"/>
        </w:rPr>
        <w:t>ým</w:t>
      </w:r>
      <w:r w:rsidR="004B14A0" w:rsidRPr="00ED7C30">
        <w:rPr>
          <w:rFonts w:cstheme="minorHAnsi"/>
          <w:b/>
          <w:sz w:val="24"/>
          <w:szCs w:val="24"/>
        </w:rPr>
        <w:t xml:space="preserve"> zatříděn</w:t>
      </w:r>
      <w:r w:rsidR="008D6ABC">
        <w:rPr>
          <w:rFonts w:cstheme="minorHAnsi"/>
          <w:b/>
          <w:sz w:val="24"/>
          <w:szCs w:val="24"/>
        </w:rPr>
        <w:t>ím</w:t>
      </w:r>
      <w:r w:rsidR="004B14A0" w:rsidRPr="00ED7C30">
        <w:rPr>
          <w:rFonts w:cstheme="minorHAnsi"/>
          <w:b/>
          <w:sz w:val="24"/>
          <w:szCs w:val="24"/>
        </w:rPr>
        <w:t xml:space="preserve"> výdaj</w:t>
      </w:r>
      <w:r w:rsidR="008D6ABC">
        <w:rPr>
          <w:rFonts w:cstheme="minorHAnsi"/>
          <w:b/>
          <w:sz w:val="24"/>
          <w:szCs w:val="24"/>
        </w:rPr>
        <w:t>ů</w:t>
      </w:r>
      <w:r w:rsidR="004B14A0" w:rsidRPr="00ED7C30">
        <w:rPr>
          <w:rFonts w:cstheme="minorHAnsi"/>
          <w:b/>
          <w:sz w:val="24"/>
          <w:szCs w:val="24"/>
        </w:rPr>
        <w:t xml:space="preserve"> na zpracování dat a služby </w:t>
      </w:r>
      <w:r w:rsidR="0011518F" w:rsidRPr="00ED7C30">
        <w:rPr>
          <w:rFonts w:cstheme="minorHAnsi"/>
          <w:b/>
          <w:sz w:val="24"/>
          <w:szCs w:val="24"/>
        </w:rPr>
        <w:t xml:space="preserve">související </w:t>
      </w:r>
      <w:r w:rsidR="004B14A0" w:rsidRPr="00ED7C30">
        <w:rPr>
          <w:rFonts w:cstheme="minorHAnsi"/>
          <w:b/>
          <w:sz w:val="24"/>
          <w:szCs w:val="24"/>
        </w:rPr>
        <w:t xml:space="preserve">s informačními a komunikačními technologiemi </w:t>
      </w:r>
      <w:r w:rsidR="008D6ABC">
        <w:rPr>
          <w:rFonts w:cstheme="minorHAnsi"/>
          <w:b/>
          <w:sz w:val="24"/>
          <w:szCs w:val="24"/>
        </w:rPr>
        <w:t xml:space="preserve">na </w:t>
      </w:r>
      <w:r w:rsidR="004B14A0" w:rsidRPr="00ED7C30">
        <w:rPr>
          <w:rFonts w:cstheme="minorHAnsi"/>
          <w:b/>
          <w:sz w:val="24"/>
          <w:szCs w:val="24"/>
        </w:rPr>
        <w:t>položk</w:t>
      </w:r>
      <w:r w:rsidR="008D6ABC">
        <w:rPr>
          <w:rFonts w:cstheme="minorHAnsi"/>
          <w:b/>
          <w:sz w:val="24"/>
          <w:szCs w:val="24"/>
        </w:rPr>
        <w:t>y</w:t>
      </w:r>
      <w:r w:rsidR="004B14A0" w:rsidRPr="00ED7C30">
        <w:rPr>
          <w:rFonts w:cstheme="minorHAnsi"/>
          <w:b/>
          <w:sz w:val="24"/>
          <w:szCs w:val="24"/>
        </w:rPr>
        <w:t xml:space="preserve"> rozpočtové skladby 5169 </w:t>
      </w:r>
      <w:r w:rsidR="007C4423" w:rsidRPr="00ED7C30">
        <w:rPr>
          <w:rFonts w:cstheme="minorHAnsi"/>
          <w:b/>
          <w:sz w:val="24"/>
          <w:szCs w:val="24"/>
        </w:rPr>
        <w:t>–</w:t>
      </w:r>
      <w:r w:rsidR="004B14A0" w:rsidRPr="00ED7C30">
        <w:rPr>
          <w:rFonts w:cstheme="minorHAnsi"/>
          <w:b/>
          <w:sz w:val="24"/>
          <w:szCs w:val="24"/>
        </w:rPr>
        <w:t xml:space="preserve"> </w:t>
      </w:r>
      <w:r w:rsidR="004B14A0" w:rsidRPr="00ED7C30">
        <w:rPr>
          <w:rFonts w:cstheme="minorHAnsi"/>
          <w:b/>
          <w:i/>
          <w:sz w:val="24"/>
          <w:szCs w:val="24"/>
        </w:rPr>
        <w:t xml:space="preserve">Nákup ostatních služeb, </w:t>
      </w:r>
      <w:r w:rsidR="004B14A0" w:rsidRPr="00ED7C30">
        <w:rPr>
          <w:rFonts w:cstheme="minorHAnsi"/>
          <w:b/>
          <w:sz w:val="24"/>
          <w:szCs w:val="24"/>
        </w:rPr>
        <w:t xml:space="preserve">5171 – </w:t>
      </w:r>
      <w:r w:rsidR="004B14A0" w:rsidRPr="00ED7C30">
        <w:rPr>
          <w:rFonts w:cstheme="minorHAnsi"/>
          <w:b/>
          <w:i/>
          <w:sz w:val="24"/>
          <w:szCs w:val="24"/>
        </w:rPr>
        <w:t>Opravy a udržování</w:t>
      </w:r>
      <w:r w:rsidR="004B14A0" w:rsidRPr="00ED7C30">
        <w:rPr>
          <w:rFonts w:cstheme="minorHAnsi"/>
          <w:b/>
          <w:sz w:val="24"/>
          <w:szCs w:val="24"/>
        </w:rPr>
        <w:t xml:space="preserve">, ačkoliv podle platné rozpočtové skladby je pro tento druh výdaje určena </w:t>
      </w:r>
      <w:r w:rsidR="00546ADE" w:rsidRPr="00ED7C30">
        <w:rPr>
          <w:rFonts w:cstheme="minorHAnsi"/>
          <w:b/>
          <w:sz w:val="24"/>
          <w:szCs w:val="24"/>
        </w:rPr>
        <w:t>položka rozpočtové skladby 5168 </w:t>
      </w:r>
      <w:r w:rsidR="004B14A0" w:rsidRPr="00ED7C30">
        <w:rPr>
          <w:rFonts w:cstheme="minorHAnsi"/>
          <w:b/>
          <w:i/>
          <w:sz w:val="24"/>
          <w:szCs w:val="24"/>
        </w:rPr>
        <w:t xml:space="preserve">– Zpracování dat a služby </w:t>
      </w:r>
      <w:r w:rsidR="00046AD6" w:rsidRPr="00ED7C30">
        <w:rPr>
          <w:rFonts w:cstheme="minorHAnsi"/>
          <w:b/>
          <w:i/>
          <w:sz w:val="24"/>
          <w:szCs w:val="24"/>
        </w:rPr>
        <w:t xml:space="preserve">související </w:t>
      </w:r>
      <w:r w:rsidR="004B14A0" w:rsidRPr="00ED7C30">
        <w:rPr>
          <w:rFonts w:cstheme="minorHAnsi"/>
          <w:b/>
          <w:i/>
          <w:sz w:val="24"/>
          <w:szCs w:val="24"/>
        </w:rPr>
        <w:t>s informačními a komunikačními technologiemi</w:t>
      </w:r>
      <w:r w:rsidRPr="00ED7C30">
        <w:rPr>
          <w:rFonts w:cstheme="minorHAnsi"/>
          <w:b/>
          <w:sz w:val="24"/>
          <w:szCs w:val="24"/>
        </w:rPr>
        <w:t>.</w:t>
      </w:r>
    </w:p>
    <w:p w14:paraId="0F2CC52E" w14:textId="77777777" w:rsidR="004D557D" w:rsidRDefault="004D557D" w:rsidP="004D557D">
      <w:pPr>
        <w:pStyle w:val="Nadpis2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83AA8DC" w14:textId="67D91CA5" w:rsidR="00851DEC" w:rsidRPr="00ED7C30" w:rsidRDefault="00851DEC" w:rsidP="00B240B6">
      <w:pPr>
        <w:pStyle w:val="Nadpis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D7C30">
        <w:rPr>
          <w:rFonts w:asciiTheme="minorHAnsi" w:hAnsiTheme="minorHAnsi" w:cstheme="minorHAnsi"/>
          <w:b/>
          <w:color w:val="auto"/>
          <w:sz w:val="24"/>
          <w:szCs w:val="24"/>
        </w:rPr>
        <w:t xml:space="preserve">Závěrečný účet </w:t>
      </w:r>
      <w:r w:rsidR="000C107C" w:rsidRPr="00ED7C30">
        <w:rPr>
          <w:rFonts w:asciiTheme="minorHAnsi" w:hAnsiTheme="minorHAnsi" w:cstheme="minorHAnsi"/>
          <w:b/>
          <w:color w:val="auto"/>
          <w:sz w:val="24"/>
          <w:szCs w:val="24"/>
        </w:rPr>
        <w:t xml:space="preserve">kapitoly MPSV </w:t>
      </w:r>
      <w:r w:rsidRPr="00ED7C30">
        <w:rPr>
          <w:rFonts w:asciiTheme="minorHAnsi" w:hAnsiTheme="minorHAnsi" w:cstheme="minorHAnsi"/>
          <w:b/>
          <w:color w:val="auto"/>
          <w:sz w:val="24"/>
          <w:szCs w:val="24"/>
        </w:rPr>
        <w:t>za rok 2016</w:t>
      </w:r>
    </w:p>
    <w:p w14:paraId="4D6CC202" w14:textId="68405EF3" w:rsidR="00851DEC" w:rsidRPr="00ED7C30" w:rsidRDefault="00851DEC" w:rsidP="00851DEC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V závěrečných účtech kapitol státního rozpočtu mají jejich jednotliví správci povinnost zveřejnit informace</w:t>
      </w:r>
      <w:r w:rsidR="008754FD" w:rsidRPr="00ED7C30">
        <w:rPr>
          <w:rFonts w:cstheme="minorHAnsi"/>
          <w:sz w:val="24"/>
          <w:szCs w:val="24"/>
        </w:rPr>
        <w:t xml:space="preserve"> o</w:t>
      </w:r>
      <w:r w:rsidR="00C95401" w:rsidRPr="00ED7C30">
        <w:rPr>
          <w:rFonts w:cstheme="minorHAnsi"/>
          <w:sz w:val="24"/>
          <w:szCs w:val="24"/>
        </w:rPr>
        <w:t xml:space="preserve"> </w:t>
      </w:r>
      <w:r w:rsidR="0004613E" w:rsidRPr="00ED7C30">
        <w:rPr>
          <w:rFonts w:cstheme="minorHAnsi"/>
          <w:sz w:val="24"/>
          <w:szCs w:val="24"/>
        </w:rPr>
        <w:t>výsledcích rozpočtového hospodaření</w:t>
      </w:r>
      <w:r w:rsidRPr="00ED7C30">
        <w:rPr>
          <w:rFonts w:cstheme="minorHAnsi"/>
          <w:sz w:val="24"/>
          <w:szCs w:val="24"/>
        </w:rPr>
        <w:t xml:space="preserve"> v příslušné kapitole státního rozpočtu za příslušný rozpočtový rok</w:t>
      </w:r>
      <w:r w:rsidRPr="00ED7C30">
        <w:rPr>
          <w:rStyle w:val="Znakapoznpodarou"/>
          <w:rFonts w:cstheme="minorHAnsi"/>
          <w:sz w:val="24"/>
          <w:szCs w:val="24"/>
        </w:rPr>
        <w:footnoteReference w:id="14"/>
      </w:r>
      <w:r w:rsidRPr="00ED7C30">
        <w:rPr>
          <w:rFonts w:cstheme="minorHAnsi"/>
          <w:sz w:val="24"/>
          <w:szCs w:val="24"/>
        </w:rPr>
        <w:t xml:space="preserve"> v rozsahu stanoveném právními předpisy</w:t>
      </w:r>
      <w:r w:rsidRPr="00ED7C30">
        <w:rPr>
          <w:rStyle w:val="Znakapoznpodarou"/>
          <w:rFonts w:cstheme="minorHAnsi"/>
          <w:sz w:val="24"/>
          <w:szCs w:val="24"/>
        </w:rPr>
        <w:footnoteReference w:id="15"/>
      </w:r>
      <w:r w:rsidRPr="00ED7C30">
        <w:rPr>
          <w:rFonts w:cstheme="minorHAnsi"/>
          <w:sz w:val="24"/>
          <w:szCs w:val="24"/>
        </w:rPr>
        <w:t xml:space="preserve">. </w:t>
      </w:r>
    </w:p>
    <w:p w14:paraId="58159BCB" w14:textId="28329D79" w:rsidR="00A363D5" w:rsidRPr="00ED7C30" w:rsidRDefault="00A363D5" w:rsidP="00A363D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D7C30">
        <w:rPr>
          <w:rFonts w:eastAsia="Times New Roman" w:cstheme="minorHAnsi"/>
          <w:sz w:val="24"/>
          <w:szCs w:val="24"/>
        </w:rPr>
        <w:t>Závěrečný účet kapitoly 313 MPSV byl zpracován v rozsahu s</w:t>
      </w:r>
      <w:r w:rsidR="001B2311" w:rsidRPr="00ED7C30">
        <w:rPr>
          <w:rFonts w:eastAsia="Times New Roman" w:cstheme="minorHAnsi"/>
          <w:sz w:val="24"/>
          <w:szCs w:val="24"/>
        </w:rPr>
        <w:t>tanoveném vyhláškou č. 419/2001 </w:t>
      </w:r>
      <w:r w:rsidRPr="00ED7C30">
        <w:rPr>
          <w:rFonts w:eastAsia="Times New Roman" w:cstheme="minorHAnsi"/>
          <w:sz w:val="24"/>
          <w:szCs w:val="24"/>
        </w:rPr>
        <w:t>Sb., o rozsahu, struktuře a termínech údajů předkládaných pro vypracování návrhu státního závěrečného účtu a o rozsahu a termínech sestavení návrhů závěrečných účtů kapitol státního rozpočtu, a obsahoval</w:t>
      </w:r>
      <w:r w:rsidR="001B2311" w:rsidRPr="00ED7C30">
        <w:rPr>
          <w:rFonts w:eastAsia="Times New Roman" w:cstheme="minorHAnsi"/>
          <w:sz w:val="24"/>
          <w:szCs w:val="24"/>
        </w:rPr>
        <w:t xml:space="preserve"> průvodní zprávu,</w:t>
      </w:r>
      <w:r w:rsidRPr="00ED7C30">
        <w:rPr>
          <w:rFonts w:eastAsia="Times New Roman" w:cstheme="minorHAnsi"/>
          <w:sz w:val="24"/>
          <w:szCs w:val="24"/>
        </w:rPr>
        <w:t xml:space="preserve"> povinné číselné sestavy a tabulkové přílohy. V průvodní zprávě ZÚ 2016 byly zjištěny nedostatky oproti požadavkům vyhlášky č.</w:t>
      </w:r>
      <w:r w:rsidR="00590CE9" w:rsidRPr="00ED7C30">
        <w:rPr>
          <w:rFonts w:eastAsia="Times New Roman" w:cstheme="minorHAnsi"/>
          <w:sz w:val="24"/>
          <w:szCs w:val="24"/>
        </w:rPr>
        <w:t> </w:t>
      </w:r>
      <w:r w:rsidRPr="00ED7C30">
        <w:rPr>
          <w:rFonts w:eastAsia="Times New Roman" w:cstheme="minorHAnsi"/>
          <w:sz w:val="24"/>
          <w:szCs w:val="24"/>
        </w:rPr>
        <w:t>419/2001 Sb., které neměly zásadní vliv na vypovídací schopnost závěrečného účtu. V tabulkové části ZÚ 2016 byly zjištěny drobné rozdíly od závazného vzoru.</w:t>
      </w:r>
    </w:p>
    <w:p w14:paraId="7B5F890E" w14:textId="4FCF435B" w:rsidR="006C03EC" w:rsidRPr="00ED7C30" w:rsidRDefault="00825B28" w:rsidP="004D557D">
      <w:pPr>
        <w:spacing w:before="120" w:after="0"/>
        <w:jc w:val="both"/>
        <w:rPr>
          <w:rFonts w:cstheme="minorHAnsi"/>
          <w:b/>
          <w:sz w:val="24"/>
          <w:szCs w:val="24"/>
        </w:rPr>
      </w:pPr>
      <w:r w:rsidRPr="00ED7C30">
        <w:rPr>
          <w:rFonts w:cstheme="minorHAnsi"/>
          <w:b/>
          <w:sz w:val="24"/>
          <w:szCs w:val="24"/>
        </w:rPr>
        <w:t>Vzhledem k tomu, že účetnictví MPSV nelze považovat za průkazné, nebyl v rámci kontroly posuzován soulad údajů závěrečného účtu</w:t>
      </w:r>
      <w:r w:rsidR="00CD5A37" w:rsidRPr="00ED7C30">
        <w:rPr>
          <w:rFonts w:cstheme="minorHAnsi"/>
          <w:b/>
          <w:sz w:val="24"/>
          <w:szCs w:val="24"/>
        </w:rPr>
        <w:t xml:space="preserve"> kapitoly MPSV</w:t>
      </w:r>
      <w:r w:rsidRPr="00ED7C30">
        <w:rPr>
          <w:rFonts w:cstheme="minorHAnsi"/>
          <w:b/>
          <w:sz w:val="24"/>
          <w:szCs w:val="24"/>
        </w:rPr>
        <w:t xml:space="preserve"> s údaji účetnictví.</w:t>
      </w:r>
    </w:p>
    <w:p w14:paraId="342D97C8" w14:textId="1D0F9F19" w:rsidR="00825B28" w:rsidRPr="00ED7C30" w:rsidRDefault="00825B28" w:rsidP="004D557D">
      <w:pPr>
        <w:spacing w:after="0"/>
        <w:rPr>
          <w:rFonts w:cstheme="minorHAnsi"/>
          <w:sz w:val="24"/>
          <w:szCs w:val="24"/>
        </w:rPr>
      </w:pPr>
    </w:p>
    <w:p w14:paraId="1B19DF7D" w14:textId="349C585E" w:rsidR="0008246B" w:rsidRPr="00ED7C30" w:rsidRDefault="00F920E5" w:rsidP="0008246B">
      <w:pPr>
        <w:pStyle w:val="Nadpis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D7C30">
        <w:rPr>
          <w:rFonts w:asciiTheme="minorHAnsi" w:hAnsiTheme="minorHAnsi" w:cstheme="minorHAnsi"/>
          <w:b/>
          <w:color w:val="auto"/>
          <w:sz w:val="24"/>
          <w:szCs w:val="24"/>
        </w:rPr>
        <w:t>Ekonomický informační systém</w:t>
      </w:r>
      <w:r w:rsidR="00854831" w:rsidRPr="00ED7C3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a provedení inventarizace</w:t>
      </w:r>
    </w:p>
    <w:p w14:paraId="4DB7EF5B" w14:textId="1814F384" w:rsidR="005B37E3" w:rsidRPr="00ED7C30" w:rsidRDefault="007A5146" w:rsidP="004D557D">
      <w:pPr>
        <w:spacing w:after="0"/>
        <w:jc w:val="both"/>
        <w:rPr>
          <w:rFonts w:cstheme="minorHAnsi"/>
          <w:iCs/>
          <w:sz w:val="24"/>
          <w:szCs w:val="24"/>
        </w:rPr>
      </w:pPr>
      <w:r w:rsidRPr="00ED7C30">
        <w:rPr>
          <w:rFonts w:cstheme="minorHAnsi"/>
          <w:sz w:val="24"/>
          <w:szCs w:val="24"/>
        </w:rPr>
        <w:t>MPS</w:t>
      </w:r>
      <w:r w:rsidR="0008246B" w:rsidRPr="00ED7C30">
        <w:rPr>
          <w:rFonts w:cstheme="minorHAnsi"/>
          <w:sz w:val="24"/>
          <w:szCs w:val="24"/>
        </w:rPr>
        <w:t>V</w:t>
      </w:r>
      <w:r w:rsidRPr="00ED7C30">
        <w:rPr>
          <w:rFonts w:cstheme="minorHAnsi"/>
          <w:sz w:val="24"/>
          <w:szCs w:val="24"/>
        </w:rPr>
        <w:t xml:space="preserve"> od roku 2011 třikrát měnilo ekonomický informační systém</w:t>
      </w:r>
      <w:r w:rsidR="00982202" w:rsidRPr="00ED7C30">
        <w:rPr>
          <w:rFonts w:cstheme="minorHAnsi"/>
          <w:sz w:val="24"/>
          <w:szCs w:val="24"/>
        </w:rPr>
        <w:t xml:space="preserve"> (dále také „EKIS“)</w:t>
      </w:r>
      <w:r w:rsidR="00E74F15" w:rsidRPr="00ED7C30">
        <w:rPr>
          <w:rFonts w:cstheme="minorHAnsi"/>
          <w:sz w:val="24"/>
          <w:szCs w:val="24"/>
        </w:rPr>
        <w:t>, jehož součástí je i systém pro vedení účetnictví</w:t>
      </w:r>
      <w:r w:rsidRPr="00ED7C30">
        <w:rPr>
          <w:rFonts w:cstheme="minorHAnsi"/>
          <w:sz w:val="24"/>
          <w:szCs w:val="24"/>
        </w:rPr>
        <w:t xml:space="preserve">. </w:t>
      </w:r>
      <w:r w:rsidRPr="00ED7C30">
        <w:rPr>
          <w:rFonts w:cstheme="minorHAnsi"/>
          <w:sz w:val="24"/>
          <w:szCs w:val="24"/>
          <w:lang w:eastAsia="cs-CZ"/>
        </w:rPr>
        <w:t xml:space="preserve">V roce 2016 došlo na MPSV k zatím poslední změně v EKIS. Od 1. 1. 2016 došlo k přechodu na EKIS SAP, který však od počátku nebyl řádně nastaven. </w:t>
      </w:r>
      <w:r w:rsidRPr="00ED7C30">
        <w:rPr>
          <w:rFonts w:cstheme="minorHAnsi"/>
          <w:sz w:val="24"/>
          <w:szCs w:val="24"/>
        </w:rPr>
        <w:t xml:space="preserve">Z předložených inventurních soupisů dále vyplývá, že součástí </w:t>
      </w:r>
      <w:r w:rsidR="007677FA" w:rsidRPr="00ED7C30">
        <w:rPr>
          <w:rFonts w:cstheme="minorHAnsi"/>
          <w:sz w:val="24"/>
          <w:szCs w:val="24"/>
        </w:rPr>
        <w:t xml:space="preserve">zůstatků účtů </w:t>
      </w:r>
      <w:r w:rsidRPr="00ED7C30">
        <w:rPr>
          <w:rFonts w:cstheme="minorHAnsi"/>
          <w:sz w:val="24"/>
          <w:szCs w:val="24"/>
        </w:rPr>
        <w:lastRenderedPageBreak/>
        <w:t xml:space="preserve">k 31. 12. 2016 jsou i přenesené počáteční stavy pohledávek a závazků z minulých let, </w:t>
      </w:r>
      <w:r w:rsidR="00F531E0">
        <w:rPr>
          <w:rFonts w:cstheme="minorHAnsi"/>
          <w:sz w:val="24"/>
          <w:szCs w:val="24"/>
        </w:rPr>
        <w:t xml:space="preserve">a to </w:t>
      </w:r>
      <w:r w:rsidRPr="00ED7C30">
        <w:rPr>
          <w:rFonts w:cstheme="minorHAnsi"/>
          <w:sz w:val="24"/>
          <w:szCs w:val="24"/>
        </w:rPr>
        <w:t>bez jejich bližší identifikace.</w:t>
      </w:r>
      <w:r w:rsidRPr="00ED7C30">
        <w:rPr>
          <w:rFonts w:cstheme="minorHAnsi"/>
          <w:sz w:val="24"/>
          <w:szCs w:val="24"/>
          <w:lang w:eastAsia="cs-CZ"/>
        </w:rPr>
        <w:t xml:space="preserve"> </w:t>
      </w:r>
      <w:r w:rsidRPr="00ED7C30">
        <w:rPr>
          <w:rFonts w:cstheme="minorHAnsi"/>
          <w:sz w:val="24"/>
          <w:szCs w:val="24"/>
        </w:rPr>
        <w:t xml:space="preserve">Z předložených inventurních soupisů ani z jiné dokumentace vytvořené v rámci inventarizace však nevyplývá, jaké konkrétní pohledávky a závazky, tj. části inventarizační položky dle </w:t>
      </w:r>
      <w:r w:rsidR="007C4423" w:rsidRPr="00ED7C30">
        <w:rPr>
          <w:rFonts w:cstheme="minorHAnsi"/>
          <w:sz w:val="24"/>
          <w:szCs w:val="24"/>
        </w:rPr>
        <w:t xml:space="preserve">ustanovení </w:t>
      </w:r>
      <w:r w:rsidRPr="00ED7C30">
        <w:rPr>
          <w:rFonts w:cstheme="minorHAnsi"/>
          <w:sz w:val="24"/>
          <w:szCs w:val="24"/>
        </w:rPr>
        <w:t>§ 2 písm. i) vyhlášky č. 270/2010 Sb.</w:t>
      </w:r>
      <w:r w:rsidR="005D2FB2" w:rsidRPr="00ED7C30">
        <w:rPr>
          <w:rFonts w:cstheme="minorHAnsi"/>
          <w:bCs/>
          <w:sz w:val="24"/>
          <w:szCs w:val="24"/>
        </w:rPr>
        <w:t>,</w:t>
      </w:r>
      <w:r w:rsidR="005D2FB2" w:rsidRPr="00AB7AAA">
        <w:rPr>
          <w:rFonts w:cstheme="minorHAnsi"/>
          <w:bCs/>
          <w:sz w:val="24"/>
          <w:szCs w:val="24"/>
        </w:rPr>
        <w:t xml:space="preserve"> </w:t>
      </w:r>
      <w:r w:rsidR="005D2FB2" w:rsidRPr="00ED7C30">
        <w:rPr>
          <w:rFonts w:cstheme="minorHAnsi"/>
          <w:bCs/>
          <w:sz w:val="24"/>
          <w:szCs w:val="24"/>
        </w:rPr>
        <w:t>o inventarizaci majetku a závazků</w:t>
      </w:r>
      <w:r w:rsidRPr="00ED7C30">
        <w:rPr>
          <w:rFonts w:cstheme="minorHAnsi"/>
          <w:sz w:val="24"/>
          <w:szCs w:val="24"/>
        </w:rPr>
        <w:t xml:space="preserve">, zůstatky jednotlivých účtů k 31. 12. 2016 obsahují, tedy k jakým konkrétním pohledávkám/závazkům se vztahují. </w:t>
      </w:r>
      <w:r w:rsidRPr="00ED7C30">
        <w:rPr>
          <w:rFonts w:cstheme="minorHAnsi"/>
          <w:iCs/>
          <w:sz w:val="24"/>
          <w:szCs w:val="24"/>
        </w:rPr>
        <w:t xml:space="preserve">MPSV </w:t>
      </w:r>
      <w:r w:rsidR="008677A2" w:rsidRPr="00ED7C30">
        <w:rPr>
          <w:rFonts w:cstheme="minorHAnsi"/>
          <w:iCs/>
          <w:sz w:val="24"/>
          <w:szCs w:val="24"/>
        </w:rPr>
        <w:t xml:space="preserve">si </w:t>
      </w:r>
      <w:r w:rsidR="008D48F1" w:rsidRPr="00ED7C30">
        <w:rPr>
          <w:rFonts w:cstheme="minorHAnsi"/>
          <w:iCs/>
          <w:sz w:val="24"/>
          <w:szCs w:val="24"/>
        </w:rPr>
        <w:t xml:space="preserve">je </w:t>
      </w:r>
      <w:r w:rsidR="0004613E" w:rsidRPr="00ED7C30">
        <w:rPr>
          <w:rFonts w:cstheme="minorHAnsi"/>
          <w:iCs/>
          <w:sz w:val="24"/>
          <w:szCs w:val="24"/>
        </w:rPr>
        <w:t>problém</w:t>
      </w:r>
      <w:r w:rsidR="008677A2" w:rsidRPr="00ED7C30">
        <w:rPr>
          <w:rFonts w:cstheme="minorHAnsi"/>
          <w:iCs/>
          <w:sz w:val="24"/>
          <w:szCs w:val="24"/>
        </w:rPr>
        <w:t>ů</w:t>
      </w:r>
      <w:r w:rsidRPr="00ED7C30">
        <w:rPr>
          <w:rFonts w:cstheme="minorHAnsi"/>
          <w:iCs/>
          <w:sz w:val="24"/>
          <w:szCs w:val="24"/>
        </w:rPr>
        <w:t xml:space="preserve"> v nastavení počátečních zůstatků </w:t>
      </w:r>
      <w:r w:rsidR="008677A2" w:rsidRPr="00ED7C30">
        <w:rPr>
          <w:rFonts w:cstheme="minorHAnsi"/>
          <w:iCs/>
          <w:sz w:val="24"/>
          <w:szCs w:val="24"/>
        </w:rPr>
        <w:t>vědomo</w:t>
      </w:r>
      <w:r w:rsidR="00761DA9" w:rsidRPr="00ED7C30">
        <w:rPr>
          <w:rFonts w:cstheme="minorHAnsi"/>
          <w:iCs/>
          <w:sz w:val="24"/>
          <w:szCs w:val="24"/>
        </w:rPr>
        <w:t>.</w:t>
      </w:r>
    </w:p>
    <w:p w14:paraId="02E7FC1F" w14:textId="77777777" w:rsidR="0004613E" w:rsidRPr="00ED7C30" w:rsidRDefault="0004613E" w:rsidP="004D557D">
      <w:pPr>
        <w:spacing w:after="0"/>
        <w:jc w:val="both"/>
        <w:rPr>
          <w:rFonts w:cstheme="minorHAnsi"/>
          <w:iCs/>
          <w:sz w:val="24"/>
          <w:szCs w:val="24"/>
        </w:rPr>
      </w:pPr>
    </w:p>
    <w:p w14:paraId="109B50BB" w14:textId="76CECA38" w:rsidR="00E96CBB" w:rsidRPr="00ED7C30" w:rsidRDefault="00E96CBB" w:rsidP="00E96CBB">
      <w:pPr>
        <w:pStyle w:val="Nadpis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D7C30">
        <w:rPr>
          <w:rFonts w:asciiTheme="minorHAnsi" w:hAnsiTheme="minorHAnsi" w:cstheme="minorHAnsi"/>
          <w:b/>
          <w:color w:val="auto"/>
          <w:sz w:val="24"/>
          <w:szCs w:val="24"/>
        </w:rPr>
        <w:t>Přijatá opatření k</w:t>
      </w:r>
      <w:r w:rsidR="00CD5A37" w:rsidRPr="00ED7C30">
        <w:rPr>
          <w:rFonts w:asciiTheme="minorHAnsi" w:hAnsiTheme="minorHAnsi" w:cstheme="minorHAnsi"/>
          <w:b/>
          <w:color w:val="auto"/>
          <w:sz w:val="24"/>
          <w:szCs w:val="24"/>
        </w:rPr>
        <w:t> </w:t>
      </w:r>
      <w:r w:rsidRPr="00ED7C30">
        <w:rPr>
          <w:rFonts w:asciiTheme="minorHAnsi" w:hAnsiTheme="minorHAnsi" w:cstheme="minorHAnsi"/>
          <w:b/>
          <w:color w:val="auto"/>
          <w:sz w:val="24"/>
          <w:szCs w:val="24"/>
        </w:rPr>
        <w:t>nápravě</w:t>
      </w:r>
      <w:r w:rsidR="00CD5A37" w:rsidRPr="00ED7C3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nedostatků zjištěných</w:t>
      </w:r>
      <w:r w:rsidRPr="00ED7C3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CD5A37" w:rsidRPr="00ED7C30">
        <w:rPr>
          <w:rFonts w:asciiTheme="minorHAnsi" w:hAnsiTheme="minorHAnsi" w:cstheme="minorHAnsi"/>
          <w:b/>
          <w:color w:val="auto"/>
          <w:sz w:val="24"/>
          <w:szCs w:val="24"/>
        </w:rPr>
        <w:t>v</w:t>
      </w:r>
      <w:r w:rsidRPr="00ED7C30">
        <w:rPr>
          <w:rFonts w:asciiTheme="minorHAnsi" w:hAnsiTheme="minorHAnsi" w:cstheme="minorHAnsi"/>
          <w:b/>
          <w:color w:val="auto"/>
          <w:sz w:val="24"/>
          <w:szCs w:val="24"/>
        </w:rPr>
        <w:t xml:space="preserve"> KA č. 12/28 a </w:t>
      </w:r>
      <w:r w:rsidR="00475D98" w:rsidRPr="00ED7C30">
        <w:rPr>
          <w:rFonts w:asciiTheme="minorHAnsi" w:hAnsiTheme="minorHAnsi" w:cstheme="minorHAnsi"/>
          <w:b/>
          <w:color w:val="auto"/>
          <w:sz w:val="24"/>
          <w:szCs w:val="24"/>
        </w:rPr>
        <w:t xml:space="preserve">č. </w:t>
      </w:r>
      <w:r w:rsidRPr="00ED7C30">
        <w:rPr>
          <w:rFonts w:asciiTheme="minorHAnsi" w:hAnsiTheme="minorHAnsi" w:cstheme="minorHAnsi"/>
          <w:b/>
          <w:color w:val="auto"/>
          <w:sz w:val="24"/>
          <w:szCs w:val="24"/>
        </w:rPr>
        <w:t>15/34</w:t>
      </w:r>
    </w:p>
    <w:p w14:paraId="54442BB8" w14:textId="24BCF58F" w:rsidR="005B37E3" w:rsidRPr="00ED7C30" w:rsidRDefault="005B403C" w:rsidP="00F32427">
      <w:pPr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 xml:space="preserve">V rámci prověřování opatření </w:t>
      </w:r>
      <w:r w:rsidR="00E20810" w:rsidRPr="00ED7C30">
        <w:rPr>
          <w:rFonts w:cstheme="minorHAnsi"/>
          <w:sz w:val="24"/>
          <w:szCs w:val="24"/>
        </w:rPr>
        <w:t xml:space="preserve">přijatých </w:t>
      </w:r>
      <w:r w:rsidRPr="00ED7C30">
        <w:rPr>
          <w:rFonts w:cstheme="minorHAnsi"/>
          <w:sz w:val="24"/>
          <w:szCs w:val="24"/>
        </w:rPr>
        <w:t>k</w:t>
      </w:r>
      <w:r w:rsidR="00F15FF5" w:rsidRPr="00ED7C30">
        <w:rPr>
          <w:rFonts w:cstheme="minorHAnsi"/>
          <w:sz w:val="24"/>
          <w:szCs w:val="24"/>
        </w:rPr>
        <w:t xml:space="preserve"> odstranění </w:t>
      </w:r>
      <w:r w:rsidRPr="00ED7C30">
        <w:rPr>
          <w:rFonts w:cstheme="minorHAnsi"/>
          <w:sz w:val="24"/>
          <w:szCs w:val="24"/>
        </w:rPr>
        <w:t>nedostatk</w:t>
      </w:r>
      <w:r w:rsidR="00F15FF5" w:rsidRPr="00ED7C30">
        <w:rPr>
          <w:rFonts w:cstheme="minorHAnsi"/>
          <w:sz w:val="24"/>
          <w:szCs w:val="24"/>
        </w:rPr>
        <w:t>ů zjištěných</w:t>
      </w:r>
      <w:r w:rsidRPr="00ED7C30">
        <w:rPr>
          <w:rFonts w:cstheme="minorHAnsi"/>
          <w:sz w:val="24"/>
          <w:szCs w:val="24"/>
        </w:rPr>
        <w:t xml:space="preserve"> v kontrolní</w:t>
      </w:r>
      <w:r w:rsidR="00F531E0">
        <w:rPr>
          <w:rFonts w:cstheme="minorHAnsi"/>
          <w:sz w:val="24"/>
          <w:szCs w:val="24"/>
        </w:rPr>
        <w:t>ch</w:t>
      </w:r>
      <w:r w:rsidRPr="00ED7C30">
        <w:rPr>
          <w:rFonts w:cstheme="minorHAnsi"/>
          <w:sz w:val="24"/>
          <w:szCs w:val="24"/>
        </w:rPr>
        <w:t xml:space="preserve"> akc</w:t>
      </w:r>
      <w:r w:rsidR="00F531E0">
        <w:rPr>
          <w:rFonts w:cstheme="minorHAnsi"/>
          <w:sz w:val="24"/>
          <w:szCs w:val="24"/>
        </w:rPr>
        <w:t>ích</w:t>
      </w:r>
      <w:r w:rsidRPr="00ED7C30">
        <w:rPr>
          <w:rFonts w:cstheme="minorHAnsi"/>
          <w:sz w:val="24"/>
          <w:szCs w:val="24"/>
        </w:rPr>
        <w:t xml:space="preserve"> č.</w:t>
      </w:r>
      <w:r w:rsidR="003A2D21" w:rsidRPr="00ED7C30">
        <w:rPr>
          <w:rFonts w:cstheme="minorHAnsi"/>
          <w:sz w:val="24"/>
          <w:szCs w:val="24"/>
        </w:rPr>
        <w:t> </w:t>
      </w:r>
      <w:r w:rsidRPr="00ED7C30">
        <w:rPr>
          <w:rFonts w:cstheme="minorHAnsi"/>
          <w:sz w:val="24"/>
          <w:szCs w:val="24"/>
        </w:rPr>
        <w:t xml:space="preserve">12/28 a </w:t>
      </w:r>
      <w:r w:rsidR="00475D98" w:rsidRPr="00ED7C30">
        <w:rPr>
          <w:rFonts w:cstheme="minorHAnsi"/>
          <w:sz w:val="24"/>
          <w:szCs w:val="24"/>
        </w:rPr>
        <w:t xml:space="preserve">č. </w:t>
      </w:r>
      <w:r w:rsidRPr="00ED7C30">
        <w:rPr>
          <w:rFonts w:cstheme="minorHAnsi"/>
          <w:sz w:val="24"/>
          <w:szCs w:val="24"/>
        </w:rPr>
        <w:t>15/34</w:t>
      </w:r>
      <w:r w:rsidR="00252DCE" w:rsidRPr="00ED7C30">
        <w:rPr>
          <w:rFonts w:cstheme="minorHAnsi"/>
          <w:sz w:val="24"/>
          <w:szCs w:val="24"/>
        </w:rPr>
        <w:t xml:space="preserve"> </w:t>
      </w:r>
      <w:r w:rsidR="0082487B">
        <w:rPr>
          <w:rFonts w:cstheme="minorHAnsi"/>
          <w:sz w:val="24"/>
          <w:szCs w:val="24"/>
        </w:rPr>
        <w:t>a </w:t>
      </w:r>
      <w:r w:rsidR="00252DCE" w:rsidRPr="00ED7C30">
        <w:rPr>
          <w:rFonts w:cstheme="minorHAnsi"/>
          <w:sz w:val="24"/>
          <w:szCs w:val="24"/>
        </w:rPr>
        <w:t>uvedených v kontrolní</w:t>
      </w:r>
      <w:r w:rsidR="0082487B">
        <w:rPr>
          <w:rFonts w:cstheme="minorHAnsi"/>
          <w:sz w:val="24"/>
          <w:szCs w:val="24"/>
        </w:rPr>
        <w:t>ch</w:t>
      </w:r>
      <w:r w:rsidR="00252DCE" w:rsidRPr="00ED7C30">
        <w:rPr>
          <w:rFonts w:cstheme="minorHAnsi"/>
          <w:sz w:val="24"/>
          <w:szCs w:val="24"/>
        </w:rPr>
        <w:t xml:space="preserve"> závěr</w:t>
      </w:r>
      <w:r w:rsidR="0082487B">
        <w:rPr>
          <w:rFonts w:cstheme="minorHAnsi"/>
          <w:sz w:val="24"/>
          <w:szCs w:val="24"/>
        </w:rPr>
        <w:t>ech těchto</w:t>
      </w:r>
      <w:r w:rsidR="00252DCE" w:rsidRPr="00ED7C30">
        <w:rPr>
          <w:rFonts w:cstheme="minorHAnsi"/>
          <w:sz w:val="24"/>
          <w:szCs w:val="24"/>
        </w:rPr>
        <w:t xml:space="preserve"> kontrolní</w:t>
      </w:r>
      <w:r w:rsidR="0082487B">
        <w:rPr>
          <w:rFonts w:cstheme="minorHAnsi"/>
          <w:sz w:val="24"/>
          <w:szCs w:val="24"/>
        </w:rPr>
        <w:t>ch</w:t>
      </w:r>
      <w:r w:rsidR="00252DCE" w:rsidRPr="00ED7C30">
        <w:rPr>
          <w:rFonts w:cstheme="minorHAnsi"/>
          <w:sz w:val="24"/>
          <w:szCs w:val="24"/>
        </w:rPr>
        <w:t xml:space="preserve"> akc</w:t>
      </w:r>
      <w:r w:rsidR="0082487B">
        <w:rPr>
          <w:rFonts w:cstheme="minorHAnsi"/>
          <w:sz w:val="24"/>
          <w:szCs w:val="24"/>
        </w:rPr>
        <w:t>í</w:t>
      </w:r>
      <w:r w:rsidRPr="00ED7C30">
        <w:rPr>
          <w:rFonts w:cstheme="minorHAnsi"/>
          <w:sz w:val="24"/>
          <w:szCs w:val="24"/>
        </w:rPr>
        <w:t xml:space="preserve"> bylo zjištěno, že MPSV pouze ve dvou případech </w:t>
      </w:r>
      <w:r w:rsidR="00A67E14" w:rsidRPr="00ED7C30">
        <w:rPr>
          <w:rFonts w:cstheme="minorHAnsi"/>
          <w:sz w:val="24"/>
          <w:szCs w:val="24"/>
        </w:rPr>
        <w:t>přija</w:t>
      </w:r>
      <w:r w:rsidRPr="00ED7C30">
        <w:rPr>
          <w:rFonts w:cstheme="minorHAnsi"/>
          <w:sz w:val="24"/>
          <w:szCs w:val="24"/>
        </w:rPr>
        <w:t xml:space="preserve">lo opatření k nápravě, v pěti případech bylo zjištěno pouze částečné splnění opatření k nápravě, </w:t>
      </w:r>
      <w:r w:rsidR="00F15FF5" w:rsidRPr="00ED7C30">
        <w:rPr>
          <w:rFonts w:cstheme="minorHAnsi"/>
          <w:sz w:val="24"/>
          <w:szCs w:val="24"/>
        </w:rPr>
        <w:t>v de</w:t>
      </w:r>
      <w:r w:rsidR="000E7535" w:rsidRPr="00ED7C30">
        <w:rPr>
          <w:rFonts w:cstheme="minorHAnsi"/>
          <w:sz w:val="24"/>
          <w:szCs w:val="24"/>
        </w:rPr>
        <w:t>sí</w:t>
      </w:r>
      <w:r w:rsidR="00F15FF5" w:rsidRPr="00ED7C30">
        <w:rPr>
          <w:rFonts w:cstheme="minorHAnsi"/>
          <w:sz w:val="24"/>
          <w:szCs w:val="24"/>
        </w:rPr>
        <w:t>ti případech MPSV</w:t>
      </w:r>
      <w:r w:rsidR="00FF632B" w:rsidRPr="00ED7C30">
        <w:rPr>
          <w:rFonts w:cstheme="minorHAnsi"/>
          <w:sz w:val="24"/>
          <w:szCs w:val="24"/>
        </w:rPr>
        <w:t xml:space="preserve"> opatření k nápravě nepřijalo</w:t>
      </w:r>
      <w:r w:rsidR="00750C1D" w:rsidRPr="00ED7C30">
        <w:rPr>
          <w:rFonts w:cstheme="minorHAnsi"/>
          <w:sz w:val="24"/>
          <w:szCs w:val="24"/>
        </w:rPr>
        <w:t xml:space="preserve"> </w:t>
      </w:r>
      <w:r w:rsidR="00FF632B" w:rsidRPr="00ED7C30">
        <w:rPr>
          <w:rFonts w:cstheme="minorHAnsi"/>
          <w:sz w:val="24"/>
          <w:szCs w:val="24"/>
        </w:rPr>
        <w:t>a</w:t>
      </w:r>
      <w:r w:rsidR="00750C1D" w:rsidRPr="00ED7C30">
        <w:rPr>
          <w:rFonts w:cstheme="minorHAnsi"/>
          <w:sz w:val="24"/>
          <w:szCs w:val="24"/>
        </w:rPr>
        <w:t> </w:t>
      </w:r>
      <w:r w:rsidR="00F15FF5" w:rsidRPr="00ED7C30">
        <w:rPr>
          <w:rFonts w:cstheme="minorHAnsi"/>
          <w:sz w:val="24"/>
          <w:szCs w:val="24"/>
        </w:rPr>
        <w:t>u</w:t>
      </w:r>
      <w:r w:rsidR="00750C1D" w:rsidRPr="00ED7C30">
        <w:rPr>
          <w:rFonts w:cstheme="minorHAnsi"/>
          <w:sz w:val="24"/>
          <w:szCs w:val="24"/>
        </w:rPr>
        <w:t> </w:t>
      </w:r>
      <w:r w:rsidR="0082487B">
        <w:rPr>
          <w:rFonts w:cstheme="minorHAnsi"/>
          <w:sz w:val="24"/>
          <w:szCs w:val="24"/>
        </w:rPr>
        <w:t>tří</w:t>
      </w:r>
      <w:r w:rsidR="00F15FF5" w:rsidRPr="00ED7C30">
        <w:rPr>
          <w:rFonts w:cstheme="minorHAnsi"/>
          <w:sz w:val="24"/>
          <w:szCs w:val="24"/>
        </w:rPr>
        <w:t xml:space="preserve"> opatření k nápravě nelze současný stav vyhodnotit (například v oblasti dlouhodobého finančního majetku, který MPSV již pozbylo).</w:t>
      </w:r>
      <w:r w:rsidR="000E7535" w:rsidRPr="00ED7C30">
        <w:rPr>
          <w:rFonts w:cstheme="minorHAnsi"/>
          <w:sz w:val="24"/>
          <w:szCs w:val="24"/>
        </w:rPr>
        <w:t xml:space="preserve"> </w:t>
      </w:r>
    </w:p>
    <w:p w14:paraId="3D507FC9" w14:textId="77777777" w:rsidR="006A16B2" w:rsidRPr="00ED7C30" w:rsidRDefault="006A16B2" w:rsidP="00F32427">
      <w:pPr>
        <w:jc w:val="both"/>
        <w:rPr>
          <w:rFonts w:cstheme="minorHAnsi"/>
          <w:sz w:val="24"/>
          <w:szCs w:val="24"/>
        </w:rPr>
      </w:pPr>
    </w:p>
    <w:p w14:paraId="60DE1D62" w14:textId="2DD4B583" w:rsidR="004C66B3" w:rsidRPr="00A861C3" w:rsidRDefault="004C66B3" w:rsidP="000C6AE6">
      <w:pPr>
        <w:pStyle w:val="Nadpis1"/>
        <w:jc w:val="center"/>
        <w:rPr>
          <w:rFonts w:cstheme="minorHAnsi"/>
          <w:sz w:val="28"/>
        </w:rPr>
      </w:pPr>
      <w:r w:rsidRPr="00A861C3">
        <w:rPr>
          <w:rFonts w:cstheme="minorHAnsi"/>
          <w:sz w:val="28"/>
        </w:rPr>
        <w:t>III. Podrobné informace ke zjištěným skutečnostem</w:t>
      </w:r>
    </w:p>
    <w:p w14:paraId="441A22ED" w14:textId="77777777" w:rsidR="004C66B3" w:rsidRPr="00ED7C30" w:rsidRDefault="004C66B3">
      <w:pPr>
        <w:rPr>
          <w:rFonts w:cstheme="minorHAnsi"/>
        </w:rPr>
      </w:pPr>
    </w:p>
    <w:p w14:paraId="39BAAE46" w14:textId="77777777" w:rsidR="00FC4BBD" w:rsidRPr="00ED7C30" w:rsidRDefault="0008246B" w:rsidP="00DF6C93">
      <w:pPr>
        <w:pStyle w:val="Nadpis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D7C30">
        <w:rPr>
          <w:rFonts w:asciiTheme="minorHAnsi" w:hAnsiTheme="minorHAnsi" w:cstheme="minorHAnsi"/>
          <w:b/>
          <w:color w:val="auto"/>
          <w:sz w:val="24"/>
          <w:szCs w:val="24"/>
        </w:rPr>
        <w:t>Neprůkazn</w:t>
      </w:r>
      <w:r w:rsidR="00DF6C93" w:rsidRPr="00ED7C30">
        <w:rPr>
          <w:rFonts w:asciiTheme="minorHAnsi" w:hAnsiTheme="minorHAnsi" w:cstheme="minorHAnsi"/>
          <w:b/>
          <w:color w:val="auto"/>
          <w:sz w:val="24"/>
          <w:szCs w:val="24"/>
        </w:rPr>
        <w:t>é zůstatky účtů</w:t>
      </w:r>
    </w:p>
    <w:p w14:paraId="49BC748B" w14:textId="2835D974" w:rsidR="006A16B2" w:rsidRPr="00ED7C30" w:rsidRDefault="00A71046" w:rsidP="00825F5D">
      <w:pPr>
        <w:jc w:val="both"/>
        <w:rPr>
          <w:rFonts w:cstheme="minorHAnsi"/>
          <w:color w:val="000000"/>
          <w:sz w:val="24"/>
          <w:szCs w:val="24"/>
        </w:rPr>
      </w:pPr>
      <w:r w:rsidRPr="00ED7C30">
        <w:rPr>
          <w:rFonts w:cstheme="minorHAnsi"/>
          <w:color w:val="000000"/>
          <w:sz w:val="24"/>
          <w:szCs w:val="24"/>
        </w:rPr>
        <w:t>K</w:t>
      </w:r>
      <w:r w:rsidR="00216FEF" w:rsidRPr="00ED7C30">
        <w:rPr>
          <w:rFonts w:cstheme="minorHAnsi"/>
          <w:color w:val="000000"/>
          <w:sz w:val="24"/>
          <w:szCs w:val="24"/>
        </w:rPr>
        <w:t xml:space="preserve"> účtů</w:t>
      </w:r>
      <w:r w:rsidRPr="00ED7C30">
        <w:rPr>
          <w:rFonts w:cstheme="minorHAnsi"/>
          <w:color w:val="000000"/>
          <w:sz w:val="24"/>
          <w:szCs w:val="24"/>
        </w:rPr>
        <w:t>m</w:t>
      </w:r>
      <w:r w:rsidR="00157CDA" w:rsidRPr="00ED7C30">
        <w:rPr>
          <w:rFonts w:cstheme="minorHAnsi"/>
          <w:color w:val="000000"/>
          <w:sz w:val="24"/>
          <w:szCs w:val="24"/>
        </w:rPr>
        <w:t xml:space="preserve"> uvedený</w:t>
      </w:r>
      <w:r w:rsidRPr="00ED7C30">
        <w:rPr>
          <w:rFonts w:cstheme="minorHAnsi"/>
          <w:color w:val="000000"/>
          <w:sz w:val="24"/>
          <w:szCs w:val="24"/>
        </w:rPr>
        <w:t>m</w:t>
      </w:r>
      <w:r w:rsidR="00157CDA" w:rsidRPr="00ED7C30">
        <w:rPr>
          <w:rFonts w:cstheme="minorHAnsi"/>
          <w:color w:val="000000"/>
          <w:sz w:val="24"/>
          <w:szCs w:val="24"/>
        </w:rPr>
        <w:t xml:space="preserve"> níže</w:t>
      </w:r>
      <w:r w:rsidR="00216FEF" w:rsidRPr="00ED7C30">
        <w:rPr>
          <w:rFonts w:cstheme="minorHAnsi"/>
          <w:color w:val="000000"/>
          <w:sz w:val="24"/>
          <w:szCs w:val="24"/>
        </w:rPr>
        <w:t xml:space="preserve"> v tabulce </w:t>
      </w:r>
      <w:r w:rsidR="005D2FB2" w:rsidRPr="00ED7C30">
        <w:rPr>
          <w:rFonts w:cstheme="minorHAnsi"/>
          <w:color w:val="000000"/>
          <w:sz w:val="24"/>
          <w:szCs w:val="24"/>
        </w:rPr>
        <w:t xml:space="preserve">č. </w:t>
      </w:r>
      <w:r w:rsidR="00B85348" w:rsidRPr="00ED7C30">
        <w:rPr>
          <w:rFonts w:cstheme="minorHAnsi"/>
          <w:color w:val="000000"/>
          <w:sz w:val="24"/>
          <w:szCs w:val="24"/>
        </w:rPr>
        <w:t>5</w:t>
      </w:r>
      <w:r w:rsidR="005D2FB2" w:rsidRPr="00ED7C30">
        <w:rPr>
          <w:rFonts w:cstheme="minorHAnsi"/>
          <w:color w:val="000000"/>
          <w:sz w:val="24"/>
          <w:szCs w:val="24"/>
        </w:rPr>
        <w:t xml:space="preserve"> </w:t>
      </w:r>
      <w:r w:rsidR="00216FEF" w:rsidRPr="00ED7C30">
        <w:rPr>
          <w:rFonts w:cstheme="minorHAnsi"/>
          <w:color w:val="000000"/>
          <w:sz w:val="24"/>
          <w:szCs w:val="24"/>
        </w:rPr>
        <w:t>nebyly ze strany MPSV předloženy průkazné inventurní soupisy, které by položkově uváděly, za kým a v jaké výši má MPSV pohledávku/závazek.</w:t>
      </w:r>
      <w:r w:rsidR="000E7535" w:rsidRPr="00ED7C30">
        <w:rPr>
          <w:rFonts w:cstheme="minorHAnsi"/>
          <w:color w:val="000000"/>
          <w:sz w:val="24"/>
          <w:szCs w:val="24"/>
        </w:rPr>
        <w:t xml:space="preserve"> </w:t>
      </w:r>
      <w:r w:rsidR="00157CDA" w:rsidRPr="00ED7C30">
        <w:rPr>
          <w:rFonts w:cstheme="minorHAnsi"/>
          <w:color w:val="000000"/>
          <w:sz w:val="24"/>
          <w:szCs w:val="24"/>
        </w:rPr>
        <w:t>Z</w:t>
      </w:r>
      <w:r w:rsidR="000E7535" w:rsidRPr="00ED7C30">
        <w:rPr>
          <w:rFonts w:cstheme="minorHAnsi"/>
          <w:color w:val="000000"/>
          <w:sz w:val="24"/>
          <w:szCs w:val="24"/>
        </w:rPr>
        <w:t> </w:t>
      </w:r>
      <w:r w:rsidR="00216FEF" w:rsidRPr="00ED7C30">
        <w:rPr>
          <w:rFonts w:cstheme="minorHAnsi"/>
          <w:color w:val="000000"/>
          <w:sz w:val="24"/>
          <w:szCs w:val="24"/>
        </w:rPr>
        <w:t xml:space="preserve">provedené analýzy vývoje zůstatků </w:t>
      </w:r>
      <w:r w:rsidR="00157CDA" w:rsidRPr="00ED7C30">
        <w:rPr>
          <w:rFonts w:cstheme="minorHAnsi"/>
          <w:color w:val="000000"/>
          <w:sz w:val="24"/>
          <w:szCs w:val="24"/>
        </w:rPr>
        <w:t xml:space="preserve">těchto </w:t>
      </w:r>
      <w:r w:rsidR="00216FEF" w:rsidRPr="00ED7C30">
        <w:rPr>
          <w:rFonts w:cstheme="minorHAnsi"/>
          <w:color w:val="000000"/>
          <w:sz w:val="24"/>
          <w:szCs w:val="24"/>
        </w:rPr>
        <w:t xml:space="preserve">účtů od roku 2012 vyplývá, že v případě některých účtů (zejména 373 </w:t>
      </w:r>
      <w:r w:rsidR="00933119" w:rsidRPr="00ED7C30">
        <w:rPr>
          <w:rFonts w:cstheme="minorHAnsi"/>
          <w:i/>
          <w:color w:val="000000"/>
          <w:sz w:val="24"/>
          <w:szCs w:val="24"/>
        </w:rPr>
        <w:t>–</w:t>
      </w:r>
      <w:r w:rsidR="00216FEF" w:rsidRPr="00ED7C30">
        <w:rPr>
          <w:rFonts w:cstheme="minorHAnsi"/>
          <w:i/>
          <w:color w:val="000000"/>
          <w:sz w:val="24"/>
          <w:szCs w:val="24"/>
        </w:rPr>
        <w:t xml:space="preserve"> Krátkodobé poskytnuté zálohy na transfery</w:t>
      </w:r>
      <w:r w:rsidR="00216FEF" w:rsidRPr="00ED7C30">
        <w:rPr>
          <w:rFonts w:cstheme="minorHAnsi"/>
          <w:color w:val="000000"/>
          <w:sz w:val="24"/>
          <w:szCs w:val="24"/>
        </w:rPr>
        <w:t xml:space="preserve"> a 389 – </w:t>
      </w:r>
      <w:r w:rsidR="00216FEF" w:rsidRPr="00ED7C30">
        <w:rPr>
          <w:rFonts w:cstheme="minorHAnsi"/>
          <w:i/>
          <w:color w:val="000000"/>
          <w:sz w:val="24"/>
          <w:szCs w:val="24"/>
        </w:rPr>
        <w:t>Dohadné účty pasivní</w:t>
      </w:r>
      <w:r w:rsidR="00216FEF" w:rsidRPr="00ED7C30">
        <w:rPr>
          <w:rFonts w:cstheme="minorHAnsi"/>
          <w:color w:val="000000"/>
          <w:sz w:val="24"/>
          <w:szCs w:val="24"/>
        </w:rPr>
        <w:t xml:space="preserve">) docházelo v časové řadě k jejich výraznému nárůstu. </w:t>
      </w:r>
      <w:r w:rsidR="004B7F74" w:rsidRPr="00ED7C30">
        <w:rPr>
          <w:rFonts w:cstheme="minorHAnsi"/>
          <w:color w:val="000000"/>
          <w:sz w:val="24"/>
          <w:szCs w:val="24"/>
        </w:rPr>
        <w:t>Příčinou bylo</w:t>
      </w:r>
      <w:r w:rsidR="00216FEF" w:rsidRPr="00ED7C30">
        <w:rPr>
          <w:rFonts w:cstheme="minorHAnsi"/>
          <w:color w:val="000000"/>
          <w:sz w:val="24"/>
          <w:szCs w:val="24"/>
        </w:rPr>
        <w:t xml:space="preserve"> zejména kumulování neodúčtovaných počátečních stavů.</w:t>
      </w:r>
    </w:p>
    <w:p w14:paraId="34E3F9D4" w14:textId="77777777" w:rsidR="006A16B2" w:rsidRPr="00ED7C30" w:rsidRDefault="006A16B2">
      <w:pPr>
        <w:rPr>
          <w:rFonts w:cstheme="minorHAnsi"/>
          <w:color w:val="000000"/>
          <w:sz w:val="24"/>
          <w:szCs w:val="24"/>
        </w:rPr>
      </w:pPr>
      <w:r w:rsidRPr="00ED7C30">
        <w:rPr>
          <w:rFonts w:cstheme="minorHAnsi"/>
          <w:color w:val="000000"/>
          <w:sz w:val="24"/>
          <w:szCs w:val="24"/>
        </w:rPr>
        <w:br w:type="page"/>
      </w:r>
    </w:p>
    <w:p w14:paraId="5DCFCC6A" w14:textId="75F49DF1" w:rsidR="00825F5D" w:rsidRPr="00ED7C30" w:rsidRDefault="00825F5D" w:rsidP="00F531E0">
      <w:pPr>
        <w:tabs>
          <w:tab w:val="right" w:pos="9072"/>
        </w:tabs>
        <w:spacing w:after="40" w:line="240" w:lineRule="auto"/>
        <w:jc w:val="both"/>
        <w:rPr>
          <w:rFonts w:cstheme="minorHAnsi"/>
          <w:b/>
          <w:bCs/>
        </w:rPr>
      </w:pPr>
      <w:r w:rsidRPr="00ED7C30">
        <w:rPr>
          <w:rFonts w:cstheme="minorHAnsi"/>
          <w:b/>
          <w:color w:val="000000"/>
        </w:rPr>
        <w:lastRenderedPageBreak/>
        <w:t xml:space="preserve">Tabulka </w:t>
      </w:r>
      <w:r w:rsidR="00B85348" w:rsidRPr="00ED7C30">
        <w:rPr>
          <w:rFonts w:cstheme="minorHAnsi"/>
          <w:b/>
          <w:color w:val="000000"/>
        </w:rPr>
        <w:t>5</w:t>
      </w:r>
      <w:r w:rsidRPr="00ED7C30">
        <w:rPr>
          <w:rFonts w:cstheme="minorHAnsi"/>
          <w:b/>
          <w:color w:val="000000"/>
        </w:rPr>
        <w:t>:</w:t>
      </w:r>
      <w:r w:rsidRPr="00ED7C30">
        <w:rPr>
          <w:rFonts w:cstheme="minorHAnsi"/>
          <w:b/>
          <w:bCs/>
        </w:rPr>
        <w:t xml:space="preserve"> Přehled účtů </w:t>
      </w:r>
      <w:r w:rsidR="004B7F74" w:rsidRPr="00ED7C30">
        <w:rPr>
          <w:rFonts w:cstheme="minorHAnsi"/>
          <w:b/>
          <w:bCs/>
        </w:rPr>
        <w:t>s</w:t>
      </w:r>
      <w:r w:rsidRPr="00ED7C30">
        <w:rPr>
          <w:rFonts w:cstheme="minorHAnsi"/>
          <w:b/>
          <w:bCs/>
        </w:rPr>
        <w:t xml:space="preserve"> neprůkaznými zůstatky k 31. 12. 2016 </w:t>
      </w:r>
      <w:r w:rsidR="0082487B">
        <w:rPr>
          <w:rFonts w:cstheme="minorHAnsi"/>
          <w:b/>
          <w:bCs/>
        </w:rPr>
        <w:tab/>
      </w:r>
      <w:r w:rsidRPr="00ED7C30">
        <w:rPr>
          <w:rFonts w:cstheme="minorHAnsi"/>
          <w:b/>
          <w:bCs/>
        </w:rPr>
        <w:t>(v Kč)</w:t>
      </w:r>
    </w:p>
    <w:tbl>
      <w:tblPr>
        <w:tblW w:w="9131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170"/>
        <w:gridCol w:w="2976"/>
      </w:tblGrid>
      <w:tr w:rsidR="00825F5D" w:rsidRPr="00ED7C30" w14:paraId="4EBD2AC2" w14:textId="77777777" w:rsidTr="00F531E0">
        <w:trPr>
          <w:trHeight w:hRule="exact" w:val="284"/>
          <w:tblHeader/>
          <w:jc w:val="center"/>
        </w:trPr>
        <w:tc>
          <w:tcPr>
            <w:tcW w:w="1985" w:type="dxa"/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E1E922" w14:textId="77777777" w:rsidR="00825F5D" w:rsidRPr="00ED7C30" w:rsidRDefault="00825F5D" w:rsidP="0068278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4170" w:type="dxa"/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9830A" w14:textId="77777777" w:rsidR="00825F5D" w:rsidRPr="00ED7C30" w:rsidRDefault="00825F5D" w:rsidP="0068278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Název účtu</w:t>
            </w:r>
          </w:p>
        </w:tc>
        <w:tc>
          <w:tcPr>
            <w:tcW w:w="2976" w:type="dxa"/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E4C742" w14:textId="77777777" w:rsidR="00825F5D" w:rsidRPr="00ED7C30" w:rsidRDefault="00825F5D" w:rsidP="0068278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Stav k 31. 12. 2016</w:t>
            </w:r>
          </w:p>
        </w:tc>
      </w:tr>
      <w:tr w:rsidR="00825F5D" w:rsidRPr="00ED7C30" w14:paraId="0502F2A9" w14:textId="77777777" w:rsidTr="00F531E0">
        <w:trPr>
          <w:trHeight w:hRule="exact" w:val="284"/>
          <w:jc w:val="center"/>
        </w:trPr>
        <w:tc>
          <w:tcPr>
            <w:tcW w:w="9131" w:type="dxa"/>
            <w:gridSpan w:val="3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1E3C7A" w14:textId="77777777" w:rsidR="00825F5D" w:rsidRPr="00ED7C30" w:rsidRDefault="00825F5D" w:rsidP="0068278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Aktiva</w:t>
            </w:r>
          </w:p>
        </w:tc>
      </w:tr>
      <w:tr w:rsidR="00825F5D" w:rsidRPr="00ED7C30" w14:paraId="24DDB750" w14:textId="77777777" w:rsidTr="00F531E0">
        <w:trPr>
          <w:trHeight w:hRule="exact" w:val="284"/>
          <w:jc w:val="center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3E4CE" w14:textId="77777777" w:rsidR="00825F5D" w:rsidRPr="00ED7C30" w:rsidRDefault="00825F5D" w:rsidP="0068278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417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DA181" w14:textId="77777777" w:rsidR="00825F5D" w:rsidRPr="00ED7C30" w:rsidRDefault="00825F5D" w:rsidP="00682785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Odběratelé</w:t>
            </w:r>
          </w:p>
        </w:tc>
        <w:tc>
          <w:tcPr>
            <w:tcW w:w="2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F9B691" w14:textId="77777777" w:rsidR="00825F5D" w:rsidRPr="00ED7C30" w:rsidRDefault="00825F5D" w:rsidP="00682785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705 113,65</w:t>
            </w:r>
          </w:p>
        </w:tc>
      </w:tr>
      <w:tr w:rsidR="00825F5D" w:rsidRPr="00ED7C30" w14:paraId="06DC0015" w14:textId="77777777" w:rsidTr="00F531E0">
        <w:trPr>
          <w:trHeight w:hRule="exact" w:val="284"/>
          <w:jc w:val="center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E3B59" w14:textId="77777777" w:rsidR="00825F5D" w:rsidRPr="00ED7C30" w:rsidRDefault="00825F5D" w:rsidP="0068278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417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C7A384" w14:textId="77777777" w:rsidR="00825F5D" w:rsidRPr="00ED7C30" w:rsidRDefault="00825F5D" w:rsidP="00682785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Krátkodobé poskytnuté zálohy</w:t>
            </w:r>
          </w:p>
        </w:tc>
        <w:tc>
          <w:tcPr>
            <w:tcW w:w="2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8E527" w14:textId="77777777" w:rsidR="00825F5D" w:rsidRPr="00ED7C30" w:rsidRDefault="00825F5D" w:rsidP="00682785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4 169 426,82</w:t>
            </w:r>
          </w:p>
        </w:tc>
      </w:tr>
      <w:tr w:rsidR="00825F5D" w:rsidRPr="00ED7C30" w14:paraId="4F34DC80" w14:textId="77777777" w:rsidTr="00F531E0">
        <w:trPr>
          <w:trHeight w:hRule="exact" w:val="284"/>
          <w:jc w:val="center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BE338" w14:textId="77777777" w:rsidR="00825F5D" w:rsidRPr="00ED7C30" w:rsidRDefault="00825F5D" w:rsidP="0068278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315</w:t>
            </w:r>
          </w:p>
        </w:tc>
        <w:tc>
          <w:tcPr>
            <w:tcW w:w="417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48C106" w14:textId="77777777" w:rsidR="00825F5D" w:rsidRPr="00ED7C30" w:rsidRDefault="00825F5D" w:rsidP="00682785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Jiné pohledávky z hlavní činnosti</w:t>
            </w:r>
          </w:p>
        </w:tc>
        <w:tc>
          <w:tcPr>
            <w:tcW w:w="2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21C94F" w14:textId="77777777" w:rsidR="00825F5D" w:rsidRPr="00ED7C30" w:rsidRDefault="00825F5D" w:rsidP="00682785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825F5D" w:rsidRPr="00ED7C30" w14:paraId="5FA8D271" w14:textId="77777777" w:rsidTr="00F531E0">
        <w:trPr>
          <w:trHeight w:hRule="exact" w:val="583"/>
          <w:jc w:val="center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FBFDA1" w14:textId="77777777" w:rsidR="00825F5D" w:rsidRPr="00ED7C30" w:rsidRDefault="00825F5D" w:rsidP="0068278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344</w:t>
            </w:r>
          </w:p>
        </w:tc>
        <w:tc>
          <w:tcPr>
            <w:tcW w:w="417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3DEF3E" w14:textId="77777777" w:rsidR="00825F5D" w:rsidRPr="00ED7C30" w:rsidRDefault="00825F5D" w:rsidP="00682785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Pohledávky za osobami mimo vybrané vládní instituce</w:t>
            </w:r>
          </w:p>
        </w:tc>
        <w:tc>
          <w:tcPr>
            <w:tcW w:w="2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0FEAA0" w14:textId="77777777" w:rsidR="00825F5D" w:rsidRPr="00ED7C30" w:rsidRDefault="00825F5D" w:rsidP="00682785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492 812 446,61</w:t>
            </w:r>
          </w:p>
        </w:tc>
      </w:tr>
      <w:tr w:rsidR="00825F5D" w:rsidRPr="00ED7C30" w14:paraId="5219D402" w14:textId="77777777" w:rsidTr="00F531E0">
        <w:trPr>
          <w:trHeight w:hRule="exact" w:val="284"/>
          <w:jc w:val="center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9E1C7A" w14:textId="77777777" w:rsidR="00825F5D" w:rsidRPr="00ED7C30" w:rsidRDefault="00825F5D" w:rsidP="0068278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373</w:t>
            </w:r>
          </w:p>
        </w:tc>
        <w:tc>
          <w:tcPr>
            <w:tcW w:w="417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775F2" w14:textId="77777777" w:rsidR="00825F5D" w:rsidRPr="00ED7C30" w:rsidRDefault="00825F5D" w:rsidP="00682785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Krátkodobé poskytnuté zálohy na transfery</w:t>
            </w:r>
          </w:p>
        </w:tc>
        <w:tc>
          <w:tcPr>
            <w:tcW w:w="2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4A7E4" w14:textId="77777777" w:rsidR="00825F5D" w:rsidRPr="00ED7C30" w:rsidRDefault="00825F5D" w:rsidP="00682785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38 985 904 795,21</w:t>
            </w:r>
          </w:p>
        </w:tc>
      </w:tr>
      <w:tr w:rsidR="00825F5D" w:rsidRPr="00ED7C30" w14:paraId="5E928C44" w14:textId="77777777" w:rsidTr="00F531E0">
        <w:trPr>
          <w:trHeight w:hRule="exact" w:val="284"/>
          <w:jc w:val="center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72612" w14:textId="77777777" w:rsidR="00825F5D" w:rsidRPr="00ED7C30" w:rsidRDefault="00825F5D" w:rsidP="0068278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471</w:t>
            </w:r>
          </w:p>
        </w:tc>
        <w:tc>
          <w:tcPr>
            <w:tcW w:w="417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AC561C" w14:textId="77777777" w:rsidR="00825F5D" w:rsidRPr="00ED7C30" w:rsidRDefault="00825F5D" w:rsidP="00682785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Dlouhodobé poskytnuté zálohy na transfery</w:t>
            </w:r>
          </w:p>
        </w:tc>
        <w:tc>
          <w:tcPr>
            <w:tcW w:w="2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703449" w14:textId="77777777" w:rsidR="00825F5D" w:rsidRPr="00ED7C30" w:rsidRDefault="00825F5D" w:rsidP="00682785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825F5D" w:rsidRPr="00ED7C30" w14:paraId="2BDCE2EA" w14:textId="77777777" w:rsidTr="00F531E0">
        <w:trPr>
          <w:trHeight w:hRule="exact" w:val="284"/>
          <w:jc w:val="center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BEBF0" w14:textId="77777777" w:rsidR="00825F5D" w:rsidRPr="00ED7C30" w:rsidRDefault="00825F5D" w:rsidP="00682785">
            <w:pP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17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72ADB" w14:textId="77777777" w:rsidR="00825F5D" w:rsidRPr="00ED7C30" w:rsidRDefault="00825F5D" w:rsidP="00682785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3F723" w14:textId="77777777" w:rsidR="00825F5D" w:rsidRPr="00ED7C30" w:rsidRDefault="00825F5D" w:rsidP="00682785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39 483 591 782,29</w:t>
            </w:r>
          </w:p>
        </w:tc>
      </w:tr>
      <w:tr w:rsidR="00825F5D" w:rsidRPr="00ED7C30" w14:paraId="20479E46" w14:textId="77777777" w:rsidTr="00F531E0">
        <w:trPr>
          <w:trHeight w:hRule="exact" w:val="284"/>
          <w:jc w:val="center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A05BF" w14:textId="77777777" w:rsidR="00825F5D" w:rsidRPr="00ED7C30" w:rsidRDefault="00825F5D" w:rsidP="00682785">
            <w:pP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Aktiva celkem</w:t>
            </w:r>
          </w:p>
        </w:tc>
        <w:tc>
          <w:tcPr>
            <w:tcW w:w="417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BB48F4" w14:textId="77777777" w:rsidR="00825F5D" w:rsidRPr="00ED7C30" w:rsidRDefault="00825F5D" w:rsidP="00682785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EA86F0" w14:textId="77777777" w:rsidR="00825F5D" w:rsidRPr="00ED7C30" w:rsidRDefault="00825F5D" w:rsidP="00682785">
            <w:pPr>
              <w:jc w:val="right"/>
              <w:rPr>
                <w:rFonts w:cstheme="minorHAnsi"/>
                <w:b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color w:val="000000"/>
                <w:sz w:val="20"/>
                <w:szCs w:val="20"/>
                <w:lang w:eastAsia="cs-CZ"/>
              </w:rPr>
              <w:t>41 088 012 655,21</w:t>
            </w:r>
          </w:p>
        </w:tc>
      </w:tr>
      <w:tr w:rsidR="00825F5D" w:rsidRPr="00ED7C30" w14:paraId="17336507" w14:textId="77777777" w:rsidTr="00AB7AAA">
        <w:trPr>
          <w:trHeight w:hRule="exact" w:val="284"/>
          <w:jc w:val="center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FAB48" w14:textId="77777777" w:rsidR="00825F5D" w:rsidRPr="00ED7C30" w:rsidRDefault="00825F5D" w:rsidP="00682785">
            <w:pP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Podíl na aktivech</w:t>
            </w:r>
          </w:p>
        </w:tc>
        <w:tc>
          <w:tcPr>
            <w:tcW w:w="417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AF0C8" w14:textId="77777777" w:rsidR="00825F5D" w:rsidRPr="00ED7C30" w:rsidRDefault="00825F5D" w:rsidP="00682785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3D371" w14:textId="401BF55C" w:rsidR="00825F5D" w:rsidRPr="00ED7C30" w:rsidRDefault="00825F5D" w:rsidP="00AB7AAA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96,10</w:t>
            </w:r>
            <w:r w:rsidR="00E7533E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825F5D" w:rsidRPr="00ED7C30" w14:paraId="01C48CF6" w14:textId="77777777" w:rsidTr="00F531E0">
        <w:trPr>
          <w:trHeight w:hRule="exact" w:val="284"/>
          <w:jc w:val="center"/>
        </w:trPr>
        <w:tc>
          <w:tcPr>
            <w:tcW w:w="9131" w:type="dxa"/>
            <w:gridSpan w:val="3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78DB8" w14:textId="77777777" w:rsidR="00825F5D" w:rsidRPr="00ED7C30" w:rsidRDefault="00825F5D" w:rsidP="0068278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Pasiva</w:t>
            </w:r>
          </w:p>
        </w:tc>
      </w:tr>
      <w:tr w:rsidR="00825F5D" w:rsidRPr="00ED7C30" w14:paraId="1E05D41A" w14:textId="77777777" w:rsidTr="00F531E0">
        <w:trPr>
          <w:trHeight w:hRule="exact" w:val="284"/>
          <w:jc w:val="center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066EC" w14:textId="77777777" w:rsidR="00825F5D" w:rsidRPr="00ED7C30" w:rsidRDefault="00825F5D" w:rsidP="0068278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417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9565C" w14:textId="77777777" w:rsidR="00825F5D" w:rsidRPr="00ED7C30" w:rsidRDefault="00825F5D" w:rsidP="00682785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Dodavatelé</w:t>
            </w:r>
          </w:p>
        </w:tc>
        <w:tc>
          <w:tcPr>
            <w:tcW w:w="2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52E41D" w14:textId="77777777" w:rsidR="00825F5D" w:rsidRPr="00ED7C30" w:rsidRDefault="00825F5D" w:rsidP="00682785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6 909 807,46</w:t>
            </w:r>
          </w:p>
        </w:tc>
      </w:tr>
      <w:tr w:rsidR="00825F5D" w:rsidRPr="00ED7C30" w14:paraId="6AAC9EE8" w14:textId="77777777" w:rsidTr="00F531E0">
        <w:trPr>
          <w:trHeight w:hRule="exact" w:val="284"/>
          <w:jc w:val="center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69953" w14:textId="77777777" w:rsidR="00825F5D" w:rsidRPr="00ED7C30" w:rsidRDefault="00825F5D" w:rsidP="0068278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417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54F89D" w14:textId="77777777" w:rsidR="00825F5D" w:rsidRPr="00ED7C30" w:rsidRDefault="00825F5D" w:rsidP="00682785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Zaměstnanci</w:t>
            </w:r>
          </w:p>
        </w:tc>
        <w:tc>
          <w:tcPr>
            <w:tcW w:w="2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29BB7" w14:textId="77777777" w:rsidR="00825F5D" w:rsidRPr="00ED7C30" w:rsidRDefault="00825F5D" w:rsidP="00682785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28 992 001,50</w:t>
            </w:r>
          </w:p>
        </w:tc>
      </w:tr>
      <w:tr w:rsidR="00825F5D" w:rsidRPr="00ED7C30" w14:paraId="7AFCC3BE" w14:textId="77777777" w:rsidTr="00F531E0">
        <w:trPr>
          <w:trHeight w:hRule="exact" w:val="284"/>
          <w:jc w:val="center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92BE7" w14:textId="77777777" w:rsidR="00825F5D" w:rsidRPr="00ED7C30" w:rsidRDefault="00825F5D" w:rsidP="0068278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345</w:t>
            </w:r>
          </w:p>
        </w:tc>
        <w:tc>
          <w:tcPr>
            <w:tcW w:w="417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64643" w14:textId="77777777" w:rsidR="00825F5D" w:rsidRPr="00ED7C30" w:rsidRDefault="00825F5D" w:rsidP="00682785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Závazky k osobám mimo vybrané vládní instituce</w:t>
            </w:r>
          </w:p>
        </w:tc>
        <w:tc>
          <w:tcPr>
            <w:tcW w:w="2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F2503B" w14:textId="77777777" w:rsidR="00825F5D" w:rsidRPr="00ED7C30" w:rsidRDefault="00825F5D" w:rsidP="00682785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3 646 544 032,97</w:t>
            </w:r>
          </w:p>
        </w:tc>
      </w:tr>
      <w:tr w:rsidR="00825F5D" w:rsidRPr="00ED7C30" w14:paraId="5F336FEA" w14:textId="77777777" w:rsidTr="00F531E0">
        <w:trPr>
          <w:trHeight w:hRule="exact" w:val="558"/>
          <w:jc w:val="center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E47D5" w14:textId="77777777" w:rsidR="00825F5D" w:rsidRPr="00ED7C30" w:rsidRDefault="00825F5D" w:rsidP="0068278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347</w:t>
            </w:r>
          </w:p>
        </w:tc>
        <w:tc>
          <w:tcPr>
            <w:tcW w:w="417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6A14D" w14:textId="77777777" w:rsidR="00825F5D" w:rsidRPr="00ED7C30" w:rsidRDefault="00825F5D" w:rsidP="00682785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Závazky k vybraným ústředním vládním institucím</w:t>
            </w:r>
          </w:p>
        </w:tc>
        <w:tc>
          <w:tcPr>
            <w:tcW w:w="2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A6E888" w14:textId="77777777" w:rsidR="00825F5D" w:rsidRPr="00ED7C30" w:rsidRDefault="00825F5D" w:rsidP="00682785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3 010 390,67</w:t>
            </w:r>
          </w:p>
        </w:tc>
      </w:tr>
      <w:tr w:rsidR="00825F5D" w:rsidRPr="00ED7C30" w14:paraId="5477C0EE" w14:textId="77777777" w:rsidTr="00F531E0">
        <w:trPr>
          <w:trHeight w:hRule="exact" w:val="284"/>
          <w:jc w:val="center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93AEC" w14:textId="77777777" w:rsidR="00825F5D" w:rsidRPr="00ED7C30" w:rsidRDefault="00825F5D" w:rsidP="0068278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349</w:t>
            </w:r>
          </w:p>
        </w:tc>
        <w:tc>
          <w:tcPr>
            <w:tcW w:w="417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36648D" w14:textId="77777777" w:rsidR="00825F5D" w:rsidRPr="00ED7C30" w:rsidRDefault="00825F5D" w:rsidP="00682785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Závazky k vybraným místním vládním institucím</w:t>
            </w:r>
          </w:p>
        </w:tc>
        <w:tc>
          <w:tcPr>
            <w:tcW w:w="2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C2F84" w14:textId="77777777" w:rsidR="00825F5D" w:rsidRPr="00ED7C30" w:rsidRDefault="00825F5D" w:rsidP="00682785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17 958 818,35</w:t>
            </w:r>
          </w:p>
        </w:tc>
      </w:tr>
      <w:tr w:rsidR="00825F5D" w:rsidRPr="00ED7C30" w14:paraId="7874DF34" w14:textId="77777777" w:rsidTr="00F531E0">
        <w:trPr>
          <w:trHeight w:hRule="exact" w:val="284"/>
          <w:jc w:val="center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314C78" w14:textId="77777777" w:rsidR="00825F5D" w:rsidRPr="00ED7C30" w:rsidRDefault="00825F5D" w:rsidP="0068278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389</w:t>
            </w:r>
          </w:p>
        </w:tc>
        <w:tc>
          <w:tcPr>
            <w:tcW w:w="417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F618D" w14:textId="77777777" w:rsidR="00825F5D" w:rsidRPr="00ED7C30" w:rsidRDefault="00825F5D" w:rsidP="00682785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Dohadné účty pasivní</w:t>
            </w:r>
          </w:p>
        </w:tc>
        <w:tc>
          <w:tcPr>
            <w:tcW w:w="2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E1C6A" w14:textId="77777777" w:rsidR="00825F5D" w:rsidRPr="00ED7C30" w:rsidRDefault="00825F5D" w:rsidP="00682785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27 882 262 305,82</w:t>
            </w:r>
          </w:p>
        </w:tc>
      </w:tr>
      <w:tr w:rsidR="00825F5D" w:rsidRPr="00ED7C30" w14:paraId="683B2B57" w14:textId="77777777" w:rsidTr="00F531E0">
        <w:trPr>
          <w:trHeight w:hRule="exact" w:val="284"/>
          <w:jc w:val="center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3BFC8" w14:textId="77777777" w:rsidR="00825F5D" w:rsidRPr="00ED7C30" w:rsidRDefault="00825F5D" w:rsidP="0068278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417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13918" w14:textId="77777777" w:rsidR="00825F5D" w:rsidRPr="00ED7C30" w:rsidRDefault="00825F5D" w:rsidP="00682785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Ostatní krátkodobé závazky</w:t>
            </w:r>
          </w:p>
        </w:tc>
        <w:tc>
          <w:tcPr>
            <w:tcW w:w="2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F8149A" w14:textId="77777777" w:rsidR="00825F5D" w:rsidRPr="00ED7C30" w:rsidRDefault="00825F5D" w:rsidP="00682785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126 874 223,52</w:t>
            </w:r>
          </w:p>
        </w:tc>
      </w:tr>
      <w:tr w:rsidR="00825F5D" w:rsidRPr="00ED7C30" w14:paraId="45477910" w14:textId="77777777" w:rsidTr="00F531E0">
        <w:trPr>
          <w:trHeight w:hRule="exact" w:val="284"/>
          <w:jc w:val="center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FA88D0" w14:textId="77777777" w:rsidR="00825F5D" w:rsidRPr="00ED7C30" w:rsidRDefault="00825F5D" w:rsidP="00682785">
            <w:pP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1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5F7617" w14:textId="77777777" w:rsidR="00825F5D" w:rsidRPr="00ED7C30" w:rsidRDefault="00825F5D" w:rsidP="00682785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424B16" w14:textId="77777777" w:rsidR="00825F5D" w:rsidRPr="00ED7C30" w:rsidRDefault="00825F5D" w:rsidP="00682785">
            <w:pPr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31 712 551 580,29</w:t>
            </w:r>
          </w:p>
        </w:tc>
      </w:tr>
      <w:tr w:rsidR="00825F5D" w:rsidRPr="00ED7C30" w14:paraId="673EC96C" w14:textId="77777777" w:rsidTr="00F531E0">
        <w:trPr>
          <w:trHeight w:hRule="exact" w:val="284"/>
          <w:jc w:val="center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C2E35" w14:textId="77777777" w:rsidR="00825F5D" w:rsidRPr="00ED7C30" w:rsidRDefault="00825F5D" w:rsidP="00682785">
            <w:pP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Pasiva celkem</w:t>
            </w:r>
          </w:p>
        </w:tc>
        <w:tc>
          <w:tcPr>
            <w:tcW w:w="41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58777" w14:textId="77777777" w:rsidR="00825F5D" w:rsidRPr="00ED7C30" w:rsidRDefault="00825F5D" w:rsidP="00682785">
            <w:pP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A9C65" w14:textId="77777777" w:rsidR="00825F5D" w:rsidRPr="00ED7C30" w:rsidRDefault="00825F5D" w:rsidP="00682785">
            <w:pPr>
              <w:jc w:val="right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41 088 012 655,21</w:t>
            </w:r>
          </w:p>
        </w:tc>
      </w:tr>
      <w:tr w:rsidR="00825F5D" w:rsidRPr="00ED7C30" w14:paraId="19BA50DE" w14:textId="77777777" w:rsidTr="00AB7AAA">
        <w:trPr>
          <w:trHeight w:hRule="exact" w:val="284"/>
          <w:jc w:val="center"/>
        </w:trPr>
        <w:tc>
          <w:tcPr>
            <w:tcW w:w="1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22274" w14:textId="77777777" w:rsidR="00825F5D" w:rsidRPr="00ED7C30" w:rsidRDefault="00825F5D" w:rsidP="00682785">
            <w:pP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Podíl na pasivech</w:t>
            </w:r>
          </w:p>
        </w:tc>
        <w:tc>
          <w:tcPr>
            <w:tcW w:w="41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B09D66" w14:textId="77777777" w:rsidR="00825F5D" w:rsidRPr="00ED7C30" w:rsidRDefault="00825F5D" w:rsidP="00682785">
            <w:pP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932334" w14:textId="07F565B9" w:rsidR="00825F5D" w:rsidRPr="00ED7C30" w:rsidRDefault="00825F5D" w:rsidP="00AB7AAA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77,18</w:t>
            </w:r>
            <w:r w:rsidR="00E7533E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</w:tbl>
    <w:p w14:paraId="1BBD195C" w14:textId="72CBA19A" w:rsidR="00825F5D" w:rsidRPr="00AB7AAA" w:rsidRDefault="00825F5D" w:rsidP="00F531E0">
      <w:pPr>
        <w:spacing w:before="40"/>
        <w:jc w:val="both"/>
        <w:rPr>
          <w:rFonts w:cstheme="minorHAnsi"/>
          <w:sz w:val="20"/>
          <w:szCs w:val="20"/>
        </w:rPr>
      </w:pPr>
      <w:r w:rsidRPr="00AB7AAA">
        <w:rPr>
          <w:rFonts w:cstheme="minorHAnsi"/>
          <w:b/>
          <w:sz w:val="20"/>
          <w:szCs w:val="20"/>
        </w:rPr>
        <w:t>Zdroj:</w:t>
      </w:r>
      <w:r w:rsidRPr="00AB7AAA">
        <w:rPr>
          <w:rFonts w:cstheme="minorHAnsi"/>
          <w:sz w:val="20"/>
          <w:szCs w:val="20"/>
        </w:rPr>
        <w:t xml:space="preserve"> ÚZ MPSV k 31. 12. 2016, vlastní výpočty</w:t>
      </w:r>
      <w:r w:rsidR="00933119" w:rsidRPr="00AB7AAA">
        <w:rPr>
          <w:rFonts w:cstheme="minorHAnsi"/>
          <w:sz w:val="20"/>
          <w:szCs w:val="20"/>
        </w:rPr>
        <w:t>.</w:t>
      </w:r>
    </w:p>
    <w:p w14:paraId="4082A78D" w14:textId="002533BD" w:rsidR="00825F5D" w:rsidRPr="00ED7C30" w:rsidRDefault="00825F5D" w:rsidP="004D557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D7C30">
        <w:rPr>
          <w:rFonts w:cstheme="minorHAnsi"/>
          <w:b/>
          <w:bCs/>
          <w:sz w:val="24"/>
          <w:szCs w:val="24"/>
        </w:rPr>
        <w:t>MPSV u výše uvedených účtů pohledávek a závazků nezjis</w:t>
      </w:r>
      <w:r w:rsidR="00216FEF" w:rsidRPr="00ED7C30">
        <w:rPr>
          <w:rFonts w:cstheme="minorHAnsi"/>
          <w:b/>
          <w:bCs/>
          <w:sz w:val="24"/>
          <w:szCs w:val="24"/>
        </w:rPr>
        <w:t>tilo jejich skutečný stav</w:t>
      </w:r>
      <w:r w:rsidR="00B13B51" w:rsidRPr="00ED7C30">
        <w:rPr>
          <w:rFonts w:cstheme="minorHAnsi"/>
          <w:b/>
          <w:bCs/>
          <w:sz w:val="24"/>
          <w:szCs w:val="24"/>
        </w:rPr>
        <w:t>.</w:t>
      </w:r>
      <w:r w:rsidR="00B13B51" w:rsidRPr="00ED7C30" w:rsidDel="00B13B51">
        <w:rPr>
          <w:rFonts w:cstheme="minorHAnsi"/>
          <w:b/>
          <w:bCs/>
          <w:sz w:val="24"/>
          <w:szCs w:val="24"/>
        </w:rPr>
        <w:t xml:space="preserve"> </w:t>
      </w:r>
      <w:r w:rsidR="00B13B51" w:rsidRPr="00ED7C30">
        <w:rPr>
          <w:rFonts w:cstheme="minorHAnsi"/>
          <w:b/>
          <w:bCs/>
          <w:sz w:val="24"/>
          <w:szCs w:val="24"/>
        </w:rPr>
        <w:t>P</w:t>
      </w:r>
      <w:r w:rsidRPr="00ED7C30">
        <w:rPr>
          <w:rFonts w:cstheme="minorHAnsi"/>
          <w:b/>
          <w:bCs/>
          <w:sz w:val="24"/>
          <w:szCs w:val="24"/>
        </w:rPr>
        <w:t>ři přechodu na nov</w:t>
      </w:r>
      <w:r w:rsidR="0004613E" w:rsidRPr="00ED7C30">
        <w:rPr>
          <w:rFonts w:cstheme="minorHAnsi"/>
          <w:b/>
          <w:bCs/>
          <w:sz w:val="24"/>
          <w:szCs w:val="24"/>
        </w:rPr>
        <w:t>ý</w:t>
      </w:r>
      <w:r w:rsidRPr="00ED7C30">
        <w:rPr>
          <w:rFonts w:cstheme="minorHAnsi"/>
          <w:b/>
          <w:bCs/>
          <w:sz w:val="24"/>
          <w:szCs w:val="24"/>
        </w:rPr>
        <w:t xml:space="preserve"> EKIS v rámci jednotlivých roků nebylo schopné </w:t>
      </w:r>
      <w:r w:rsidR="00057E8C" w:rsidRPr="00ED7C30">
        <w:rPr>
          <w:rFonts w:cstheme="minorHAnsi"/>
          <w:b/>
          <w:bCs/>
          <w:sz w:val="24"/>
          <w:szCs w:val="24"/>
        </w:rPr>
        <w:t>určit</w:t>
      </w:r>
      <w:r w:rsidRPr="00ED7C30">
        <w:rPr>
          <w:rFonts w:cstheme="minorHAnsi"/>
          <w:b/>
          <w:bCs/>
          <w:sz w:val="24"/>
          <w:szCs w:val="24"/>
        </w:rPr>
        <w:t>, o jaké konkrétní pohledávky a závazky za jakými konkrétními subjekty se jedná, případně v rámci jakých účetních operací mají být tyto zůstatky</w:t>
      </w:r>
      <w:r w:rsidR="002335B7" w:rsidRPr="00ED7C30">
        <w:rPr>
          <w:rFonts w:cstheme="minorHAnsi"/>
          <w:b/>
          <w:bCs/>
          <w:sz w:val="24"/>
          <w:szCs w:val="24"/>
        </w:rPr>
        <w:t xml:space="preserve"> </w:t>
      </w:r>
      <w:r w:rsidR="00057E8C" w:rsidRPr="00ED7C30">
        <w:rPr>
          <w:rFonts w:cstheme="minorHAnsi"/>
          <w:b/>
          <w:bCs/>
          <w:sz w:val="24"/>
          <w:szCs w:val="24"/>
        </w:rPr>
        <w:t>zúčtovány. V důsledku toho pak</w:t>
      </w:r>
      <w:r w:rsidRPr="00ED7C30">
        <w:rPr>
          <w:rFonts w:cstheme="minorHAnsi"/>
          <w:b/>
          <w:bCs/>
          <w:sz w:val="24"/>
          <w:szCs w:val="24"/>
        </w:rPr>
        <w:t xml:space="preserve"> </w:t>
      </w:r>
      <w:r w:rsidR="00B13B51" w:rsidRPr="00ED7C30">
        <w:rPr>
          <w:rFonts w:cstheme="minorHAnsi"/>
          <w:b/>
          <w:bCs/>
          <w:sz w:val="24"/>
          <w:szCs w:val="24"/>
        </w:rPr>
        <w:t>nevytvořilo</w:t>
      </w:r>
      <w:r w:rsidRPr="00ED7C30">
        <w:rPr>
          <w:rFonts w:cstheme="minorHAnsi"/>
          <w:b/>
          <w:bCs/>
          <w:sz w:val="24"/>
          <w:szCs w:val="24"/>
        </w:rPr>
        <w:t xml:space="preserve"> průkazné inventurní soupisy dle zákona o účetnictví a vyhlášky č.</w:t>
      </w:r>
      <w:r w:rsidR="00B13B51" w:rsidRPr="00ED7C30">
        <w:rPr>
          <w:rFonts w:cstheme="minorHAnsi"/>
          <w:b/>
          <w:bCs/>
          <w:sz w:val="24"/>
          <w:szCs w:val="24"/>
        </w:rPr>
        <w:t> </w:t>
      </w:r>
      <w:r w:rsidRPr="00ED7C30">
        <w:rPr>
          <w:rFonts w:cstheme="minorHAnsi"/>
          <w:b/>
          <w:bCs/>
          <w:sz w:val="24"/>
          <w:szCs w:val="24"/>
        </w:rPr>
        <w:t>270/2010 Sb</w:t>
      </w:r>
      <w:r w:rsidR="005D2FB2" w:rsidRPr="00ED7C30">
        <w:rPr>
          <w:rFonts w:cstheme="minorHAnsi"/>
          <w:b/>
          <w:bCs/>
          <w:sz w:val="24"/>
          <w:szCs w:val="24"/>
        </w:rPr>
        <w:t>.</w:t>
      </w:r>
      <w:r w:rsidR="00933119" w:rsidRPr="00ED7C30">
        <w:rPr>
          <w:rFonts w:cstheme="minorHAnsi"/>
          <w:b/>
          <w:bCs/>
          <w:sz w:val="24"/>
          <w:szCs w:val="24"/>
        </w:rPr>
        <w:t>, o </w:t>
      </w:r>
      <w:r w:rsidR="005D2FB2" w:rsidRPr="00ED7C30">
        <w:rPr>
          <w:rFonts w:cstheme="minorHAnsi"/>
          <w:b/>
          <w:bCs/>
          <w:sz w:val="24"/>
          <w:szCs w:val="24"/>
        </w:rPr>
        <w:t>inventarizaci majetku a závazků</w:t>
      </w:r>
      <w:r w:rsidRPr="00ED7C30">
        <w:rPr>
          <w:rFonts w:cstheme="minorHAnsi"/>
          <w:b/>
          <w:bCs/>
          <w:sz w:val="24"/>
          <w:szCs w:val="24"/>
        </w:rPr>
        <w:t xml:space="preserve">. Zůstatky výše uvedených účtů pohledávek a závazků </w:t>
      </w:r>
      <w:r w:rsidR="00057E8C" w:rsidRPr="00ED7C30">
        <w:rPr>
          <w:rFonts w:cstheme="minorHAnsi"/>
          <w:b/>
          <w:bCs/>
          <w:sz w:val="24"/>
          <w:szCs w:val="24"/>
        </w:rPr>
        <w:t xml:space="preserve">k 31. 12. 2016 </w:t>
      </w:r>
      <w:r w:rsidRPr="00ED7C30">
        <w:rPr>
          <w:rFonts w:cstheme="minorHAnsi"/>
          <w:b/>
          <w:bCs/>
          <w:sz w:val="24"/>
          <w:szCs w:val="24"/>
        </w:rPr>
        <w:t xml:space="preserve">jsou proto neprůkazné.  </w:t>
      </w:r>
    </w:p>
    <w:p w14:paraId="01DB6350" w14:textId="77777777" w:rsidR="006A16B2" w:rsidRPr="00ED7C30" w:rsidRDefault="006A16B2" w:rsidP="004D557D">
      <w:pPr>
        <w:pStyle w:val="Nadpis2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82772DD" w14:textId="7FC69F54" w:rsidR="00825F5D" w:rsidRPr="00ED7C30" w:rsidRDefault="00825F5D" w:rsidP="00825F5D">
      <w:pPr>
        <w:pStyle w:val="Nadpis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D7C30">
        <w:rPr>
          <w:rFonts w:asciiTheme="minorHAnsi" w:hAnsiTheme="minorHAnsi" w:cstheme="minorHAnsi"/>
          <w:b/>
          <w:color w:val="auto"/>
          <w:sz w:val="24"/>
          <w:szCs w:val="24"/>
        </w:rPr>
        <w:t>Neprovedení inventarizace</w:t>
      </w:r>
    </w:p>
    <w:p w14:paraId="16DDFC3D" w14:textId="2E3E8366" w:rsidR="006A16B2" w:rsidRPr="00ED7C30" w:rsidRDefault="002335B7" w:rsidP="00DE7D4C">
      <w:pPr>
        <w:jc w:val="both"/>
        <w:rPr>
          <w:rFonts w:cstheme="minorHAnsi"/>
          <w:bCs/>
          <w:iCs/>
          <w:color w:val="000000"/>
          <w:sz w:val="24"/>
          <w:szCs w:val="24"/>
          <w:lang w:eastAsia="cs-CZ"/>
        </w:rPr>
      </w:pPr>
      <w:r w:rsidRPr="00ED7C30">
        <w:rPr>
          <w:rFonts w:cstheme="minorHAnsi"/>
          <w:iCs/>
          <w:sz w:val="24"/>
          <w:szCs w:val="24"/>
        </w:rPr>
        <w:t>MPSV provedlo i</w:t>
      </w:r>
      <w:r w:rsidR="00DE7D4C" w:rsidRPr="00ED7C30">
        <w:rPr>
          <w:rFonts w:cstheme="minorHAnsi"/>
          <w:iCs/>
          <w:sz w:val="24"/>
          <w:szCs w:val="24"/>
        </w:rPr>
        <w:t>nventarizac</w:t>
      </w:r>
      <w:r w:rsidRPr="00ED7C30">
        <w:rPr>
          <w:rFonts w:cstheme="minorHAnsi"/>
          <w:iCs/>
          <w:sz w:val="24"/>
          <w:szCs w:val="24"/>
        </w:rPr>
        <w:t>i</w:t>
      </w:r>
      <w:r w:rsidR="00DE7D4C" w:rsidRPr="00ED7C30">
        <w:rPr>
          <w:rFonts w:cstheme="minorHAnsi"/>
          <w:iCs/>
          <w:sz w:val="24"/>
          <w:szCs w:val="24"/>
        </w:rPr>
        <w:t xml:space="preserve"> v nesprávně stanoveném rozsahu syntetických účtů</w:t>
      </w:r>
      <w:r w:rsidRPr="00ED7C30">
        <w:rPr>
          <w:rFonts w:cstheme="minorHAnsi"/>
          <w:iCs/>
          <w:sz w:val="24"/>
          <w:szCs w:val="24"/>
        </w:rPr>
        <w:t xml:space="preserve"> v důsledku chybného</w:t>
      </w:r>
      <w:r w:rsidR="00DE7D4C" w:rsidRPr="00ED7C30">
        <w:rPr>
          <w:rFonts w:cstheme="minorHAnsi"/>
          <w:iCs/>
          <w:sz w:val="24"/>
          <w:szCs w:val="24"/>
        </w:rPr>
        <w:t xml:space="preserve"> vymezení vnitřní</w:t>
      </w:r>
      <w:r w:rsidRPr="00ED7C30">
        <w:rPr>
          <w:rFonts w:cstheme="minorHAnsi"/>
          <w:iCs/>
          <w:sz w:val="24"/>
          <w:szCs w:val="24"/>
        </w:rPr>
        <w:t>m</w:t>
      </w:r>
      <w:r w:rsidR="00DE7D4C" w:rsidRPr="00ED7C30">
        <w:rPr>
          <w:rFonts w:cstheme="minorHAnsi"/>
          <w:iCs/>
          <w:sz w:val="24"/>
          <w:szCs w:val="24"/>
        </w:rPr>
        <w:t xml:space="preserve"> předpis</w:t>
      </w:r>
      <w:r w:rsidRPr="00ED7C30">
        <w:rPr>
          <w:rFonts w:cstheme="minorHAnsi"/>
          <w:iCs/>
          <w:sz w:val="24"/>
          <w:szCs w:val="24"/>
        </w:rPr>
        <w:t>em</w:t>
      </w:r>
      <w:r w:rsidR="00DE7D4C" w:rsidRPr="00ED7C30">
        <w:rPr>
          <w:rFonts w:cstheme="minorHAnsi"/>
          <w:iCs/>
          <w:sz w:val="24"/>
          <w:szCs w:val="24"/>
        </w:rPr>
        <w:t>, který neobsahoval výčet veškerých účtů</w:t>
      </w:r>
      <w:r w:rsidRPr="00ED7C30">
        <w:rPr>
          <w:rFonts w:cstheme="minorHAnsi"/>
          <w:iCs/>
          <w:sz w:val="24"/>
          <w:szCs w:val="24"/>
        </w:rPr>
        <w:t xml:space="preserve"> </w:t>
      </w:r>
      <w:r w:rsidR="00E74F15" w:rsidRPr="00ED7C30">
        <w:rPr>
          <w:rFonts w:cstheme="minorHAnsi"/>
          <w:iCs/>
          <w:sz w:val="24"/>
          <w:szCs w:val="24"/>
        </w:rPr>
        <w:t>podléhajících inventarizaci</w:t>
      </w:r>
      <w:r w:rsidR="00DE7D4C" w:rsidRPr="00ED7C30">
        <w:rPr>
          <w:rFonts w:cstheme="minorHAnsi"/>
          <w:iCs/>
          <w:sz w:val="24"/>
          <w:szCs w:val="24"/>
        </w:rPr>
        <w:t xml:space="preserve">. </w:t>
      </w:r>
      <w:r w:rsidR="00DE7D4C" w:rsidRPr="00ED7C30">
        <w:rPr>
          <w:rFonts w:cstheme="minorHAnsi"/>
          <w:bCs/>
          <w:sz w:val="24"/>
          <w:szCs w:val="24"/>
        </w:rPr>
        <w:t xml:space="preserve">MPSV k 31. 12. 2016 neprovedlo dokladovou </w:t>
      </w:r>
      <w:r w:rsidRPr="00ED7C30">
        <w:rPr>
          <w:rFonts w:cstheme="minorHAnsi"/>
          <w:bCs/>
          <w:sz w:val="24"/>
          <w:szCs w:val="24"/>
        </w:rPr>
        <w:t xml:space="preserve">inventuru </w:t>
      </w:r>
      <w:r w:rsidR="00DE7D4C" w:rsidRPr="00ED7C30">
        <w:rPr>
          <w:rFonts w:cstheme="minorHAnsi"/>
          <w:bCs/>
          <w:sz w:val="24"/>
          <w:szCs w:val="24"/>
        </w:rPr>
        <w:t>účtů uvedený</w:t>
      </w:r>
      <w:r w:rsidRPr="00ED7C30">
        <w:rPr>
          <w:rFonts w:cstheme="minorHAnsi"/>
          <w:bCs/>
          <w:sz w:val="24"/>
          <w:szCs w:val="24"/>
        </w:rPr>
        <w:t>ch</w:t>
      </w:r>
      <w:r w:rsidR="00DE7D4C" w:rsidRPr="00ED7C30">
        <w:rPr>
          <w:rFonts w:cstheme="minorHAnsi"/>
          <w:bCs/>
          <w:sz w:val="24"/>
          <w:szCs w:val="24"/>
        </w:rPr>
        <w:t xml:space="preserve"> v tabulce č.</w:t>
      </w:r>
      <w:r w:rsidR="00B85348" w:rsidRPr="00ED7C30">
        <w:rPr>
          <w:rFonts w:cstheme="minorHAnsi"/>
          <w:bCs/>
          <w:sz w:val="24"/>
          <w:szCs w:val="24"/>
        </w:rPr>
        <w:t xml:space="preserve"> 6</w:t>
      </w:r>
      <w:r w:rsidR="00DE7D4C" w:rsidRPr="00ED7C30">
        <w:rPr>
          <w:rFonts w:cstheme="minorHAnsi"/>
          <w:bCs/>
          <w:iCs/>
          <w:color w:val="000000"/>
          <w:sz w:val="24"/>
          <w:szCs w:val="24"/>
          <w:lang w:eastAsia="cs-CZ"/>
        </w:rPr>
        <w:t>.</w:t>
      </w:r>
    </w:p>
    <w:p w14:paraId="11E7A1D3" w14:textId="77777777" w:rsidR="006A16B2" w:rsidRPr="00ED7C30" w:rsidRDefault="006A16B2">
      <w:pPr>
        <w:rPr>
          <w:rFonts w:cstheme="minorHAnsi"/>
          <w:bCs/>
          <w:iCs/>
          <w:color w:val="000000"/>
          <w:sz w:val="24"/>
          <w:szCs w:val="24"/>
          <w:lang w:eastAsia="cs-CZ"/>
        </w:rPr>
      </w:pPr>
      <w:r w:rsidRPr="00ED7C30">
        <w:rPr>
          <w:rFonts w:cstheme="minorHAnsi"/>
          <w:bCs/>
          <w:iCs/>
          <w:color w:val="000000"/>
          <w:sz w:val="24"/>
          <w:szCs w:val="24"/>
          <w:lang w:eastAsia="cs-CZ"/>
        </w:rPr>
        <w:br w:type="page"/>
      </w:r>
    </w:p>
    <w:p w14:paraId="5C6E4FD7" w14:textId="677DADA4" w:rsidR="00825F5D" w:rsidRPr="00ED7C30" w:rsidRDefault="00825F5D" w:rsidP="00E71466">
      <w:pPr>
        <w:spacing w:after="0"/>
        <w:jc w:val="both"/>
        <w:rPr>
          <w:rFonts w:cstheme="minorHAnsi"/>
          <w:b/>
        </w:rPr>
      </w:pPr>
      <w:r w:rsidRPr="00ED7C30">
        <w:rPr>
          <w:rFonts w:cstheme="minorHAnsi"/>
          <w:b/>
          <w:color w:val="000000"/>
        </w:rPr>
        <w:lastRenderedPageBreak/>
        <w:t xml:space="preserve">Tabulka </w:t>
      </w:r>
      <w:r w:rsidR="00B85348" w:rsidRPr="00ED7C30">
        <w:rPr>
          <w:rFonts w:cstheme="minorHAnsi"/>
          <w:b/>
          <w:color w:val="000000"/>
        </w:rPr>
        <w:t>6</w:t>
      </w:r>
      <w:r w:rsidRPr="00ED7C30">
        <w:rPr>
          <w:rFonts w:cstheme="minorHAnsi"/>
          <w:b/>
          <w:color w:val="000000"/>
        </w:rPr>
        <w:t>:</w:t>
      </w:r>
      <w:r w:rsidRPr="00ED7C30">
        <w:rPr>
          <w:rFonts w:cstheme="minorHAnsi"/>
          <w:b/>
        </w:rPr>
        <w:t xml:space="preserve"> Přehled účtů, u kterých MPSV neprovedlo inventarizaci k 31. 12. 2016</w:t>
      </w:r>
    </w:p>
    <w:tbl>
      <w:tblPr>
        <w:tblW w:w="4962" w:type="pct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5022"/>
        <w:gridCol w:w="3151"/>
      </w:tblGrid>
      <w:tr w:rsidR="00825F5D" w:rsidRPr="00ED7C30" w14:paraId="02A004CB" w14:textId="77777777" w:rsidTr="006606DF">
        <w:trPr>
          <w:trHeight w:hRule="exact" w:val="284"/>
          <w:tblHeader/>
          <w:jc w:val="center"/>
        </w:trPr>
        <w:tc>
          <w:tcPr>
            <w:tcW w:w="453" w:type="pct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F9D6DB" w14:textId="77777777" w:rsidR="00825F5D" w:rsidRPr="00ED7C30" w:rsidRDefault="00825F5D" w:rsidP="0068278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2794" w:type="pct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44AAE" w14:textId="77777777" w:rsidR="00825F5D" w:rsidRPr="00ED7C30" w:rsidRDefault="00825F5D" w:rsidP="0068278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Název účtu</w:t>
            </w:r>
          </w:p>
        </w:tc>
        <w:tc>
          <w:tcPr>
            <w:tcW w:w="1753" w:type="pct"/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1B4C1" w14:textId="6DA8F92F" w:rsidR="00825F5D" w:rsidRPr="00ED7C30" w:rsidRDefault="00825F5D" w:rsidP="00682785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Stav k</w:t>
            </w:r>
            <w:r w:rsidR="00050398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ED7C3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31</w:t>
            </w:r>
            <w:r w:rsidR="00050398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ED7C3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12</w:t>
            </w:r>
            <w:r w:rsidR="00050398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ED7C3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2016</w:t>
            </w:r>
          </w:p>
        </w:tc>
      </w:tr>
      <w:tr w:rsidR="002335B7" w:rsidRPr="00ED7C30" w14:paraId="328EBD16" w14:textId="77777777" w:rsidTr="006606DF">
        <w:trPr>
          <w:trHeight w:hRule="exact" w:val="284"/>
          <w:jc w:val="center"/>
        </w:trPr>
        <w:tc>
          <w:tcPr>
            <w:tcW w:w="45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AE5ED" w14:textId="77777777" w:rsidR="002335B7" w:rsidRPr="00ED7C30" w:rsidRDefault="002335B7" w:rsidP="005B403C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344</w:t>
            </w:r>
          </w:p>
        </w:tc>
        <w:tc>
          <w:tcPr>
            <w:tcW w:w="279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3613A" w14:textId="77777777" w:rsidR="002335B7" w:rsidRPr="00ED7C30" w:rsidRDefault="002335B7" w:rsidP="005B403C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Pohledávky za osobami mimo vybrané vládní instituce</w:t>
            </w:r>
          </w:p>
        </w:tc>
        <w:tc>
          <w:tcPr>
            <w:tcW w:w="175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5EDC1" w14:textId="77777777" w:rsidR="002335B7" w:rsidRPr="00ED7C30" w:rsidRDefault="002335B7" w:rsidP="005B403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492 812 446,61</w:t>
            </w:r>
          </w:p>
        </w:tc>
      </w:tr>
      <w:tr w:rsidR="002335B7" w:rsidRPr="00ED7C30" w14:paraId="51849AB7" w14:textId="77777777" w:rsidTr="006606DF">
        <w:trPr>
          <w:trHeight w:hRule="exact" w:val="284"/>
          <w:jc w:val="center"/>
        </w:trPr>
        <w:tc>
          <w:tcPr>
            <w:tcW w:w="3247" w:type="pct"/>
            <w:gridSpan w:val="2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F8C2C5" w14:textId="77777777" w:rsidR="002335B7" w:rsidRPr="00ED7C30" w:rsidRDefault="002335B7" w:rsidP="005B403C">
            <w:pP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753" w:type="pct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4C7DF" w14:textId="77777777" w:rsidR="002335B7" w:rsidRPr="00ED7C30" w:rsidRDefault="002335B7" w:rsidP="005B403C">
            <w:pPr>
              <w:jc w:val="right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492 812 446,61</w:t>
            </w:r>
          </w:p>
        </w:tc>
      </w:tr>
      <w:tr w:rsidR="002335B7" w:rsidRPr="00ED7C30" w14:paraId="250DC843" w14:textId="77777777" w:rsidTr="006606DF">
        <w:trPr>
          <w:trHeight w:hRule="exact" w:val="284"/>
          <w:jc w:val="center"/>
        </w:trPr>
        <w:tc>
          <w:tcPr>
            <w:tcW w:w="3247" w:type="pct"/>
            <w:gridSpan w:val="2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303D1D" w14:textId="77777777" w:rsidR="002335B7" w:rsidRPr="00ED7C30" w:rsidRDefault="002335B7" w:rsidP="005B403C">
            <w:pP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 aktiva</w:t>
            </w:r>
          </w:p>
        </w:tc>
        <w:tc>
          <w:tcPr>
            <w:tcW w:w="1753" w:type="pct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56B2F" w14:textId="77777777" w:rsidR="002335B7" w:rsidRPr="00ED7C30" w:rsidRDefault="002335B7" w:rsidP="005B403C">
            <w:pPr>
              <w:jc w:val="right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41 088 012 655,21</w:t>
            </w:r>
          </w:p>
        </w:tc>
      </w:tr>
      <w:tr w:rsidR="002335B7" w:rsidRPr="00ED7C30" w14:paraId="01A90AEF" w14:textId="77777777" w:rsidTr="00AB7AAA">
        <w:trPr>
          <w:trHeight w:hRule="exact" w:val="284"/>
          <w:jc w:val="center"/>
        </w:trPr>
        <w:tc>
          <w:tcPr>
            <w:tcW w:w="3247" w:type="pct"/>
            <w:gridSpan w:val="2"/>
            <w:shd w:val="clear" w:color="auto" w:fill="F2C6C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8722E" w14:textId="77777777" w:rsidR="002335B7" w:rsidRPr="00ED7C30" w:rsidRDefault="002335B7" w:rsidP="005B403C">
            <w:pPr>
              <w:rPr>
                <w:rFonts w:cstheme="minorHAnsi"/>
                <w:b/>
                <w:i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i/>
                <w:color w:val="000000"/>
                <w:sz w:val="20"/>
                <w:szCs w:val="20"/>
                <w:lang w:eastAsia="cs-CZ"/>
              </w:rPr>
              <w:t>Podíl na aktivech</w:t>
            </w:r>
          </w:p>
        </w:tc>
        <w:tc>
          <w:tcPr>
            <w:tcW w:w="1753" w:type="pct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11F42" w14:textId="411C87B2" w:rsidR="002335B7" w:rsidRPr="00ED7C30" w:rsidRDefault="002335B7" w:rsidP="00AB7AAA">
            <w:pPr>
              <w:jc w:val="center"/>
              <w:rPr>
                <w:rFonts w:cstheme="minorHAnsi"/>
                <w:b/>
                <w:i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1,20</w:t>
            </w:r>
            <w:r w:rsidR="0082487B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2335B7" w:rsidRPr="00ED7C30" w14:paraId="15CB6F5B" w14:textId="77777777" w:rsidTr="006606DF">
        <w:trPr>
          <w:trHeight w:hRule="exact" w:val="284"/>
          <w:jc w:val="center"/>
        </w:trPr>
        <w:tc>
          <w:tcPr>
            <w:tcW w:w="45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53223" w14:textId="77777777" w:rsidR="002335B7" w:rsidRPr="00ED7C30" w:rsidRDefault="002335B7" w:rsidP="005B403C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324</w:t>
            </w:r>
          </w:p>
        </w:tc>
        <w:tc>
          <w:tcPr>
            <w:tcW w:w="279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15536" w14:textId="77777777" w:rsidR="002335B7" w:rsidRPr="00ED7C30" w:rsidRDefault="002335B7" w:rsidP="005B403C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Krátkodobé přijaté zálohy</w:t>
            </w:r>
          </w:p>
        </w:tc>
        <w:tc>
          <w:tcPr>
            <w:tcW w:w="175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EDE86" w14:textId="77777777" w:rsidR="002335B7" w:rsidRPr="00ED7C30" w:rsidRDefault="002335B7" w:rsidP="005B403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5 000 000,00</w:t>
            </w:r>
          </w:p>
        </w:tc>
      </w:tr>
      <w:tr w:rsidR="002335B7" w:rsidRPr="00ED7C30" w14:paraId="47C8CB42" w14:textId="77777777" w:rsidTr="006606DF">
        <w:trPr>
          <w:trHeight w:hRule="exact" w:val="284"/>
          <w:jc w:val="center"/>
        </w:trPr>
        <w:tc>
          <w:tcPr>
            <w:tcW w:w="45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7BC422" w14:textId="77777777" w:rsidR="002335B7" w:rsidRPr="00ED7C30" w:rsidRDefault="002335B7" w:rsidP="005B403C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337</w:t>
            </w:r>
          </w:p>
        </w:tc>
        <w:tc>
          <w:tcPr>
            <w:tcW w:w="27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03087" w14:textId="77777777" w:rsidR="002335B7" w:rsidRPr="00ED7C30" w:rsidRDefault="002335B7" w:rsidP="005B403C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Zdravotní pojištění</w:t>
            </w:r>
          </w:p>
        </w:tc>
        <w:tc>
          <w:tcPr>
            <w:tcW w:w="175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F2A5A1" w14:textId="77777777" w:rsidR="002335B7" w:rsidRPr="00ED7C30" w:rsidRDefault="002335B7" w:rsidP="005B403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6 877 256,00</w:t>
            </w:r>
          </w:p>
        </w:tc>
      </w:tr>
      <w:tr w:rsidR="002335B7" w:rsidRPr="00ED7C30" w14:paraId="71A60837" w14:textId="77777777" w:rsidTr="006606DF">
        <w:trPr>
          <w:trHeight w:hRule="exact" w:val="572"/>
          <w:jc w:val="center"/>
        </w:trPr>
        <w:tc>
          <w:tcPr>
            <w:tcW w:w="45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A7E89" w14:textId="77777777" w:rsidR="002335B7" w:rsidRPr="00ED7C30" w:rsidRDefault="002335B7" w:rsidP="005B403C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404</w:t>
            </w:r>
          </w:p>
        </w:tc>
        <w:tc>
          <w:tcPr>
            <w:tcW w:w="279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454C9F" w14:textId="16E187EC" w:rsidR="002335B7" w:rsidRPr="00ED7C30" w:rsidRDefault="002335B7" w:rsidP="0004613E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Agregované příjmy a výdaj</w:t>
            </w:r>
            <w:r w:rsidR="0004613E"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e</w:t>
            </w: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4613E"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předcházejících účetních </w:t>
            </w: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období</w:t>
            </w:r>
          </w:p>
        </w:tc>
        <w:tc>
          <w:tcPr>
            <w:tcW w:w="175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95D89" w14:textId="77777777" w:rsidR="002335B7" w:rsidRPr="00ED7C30" w:rsidRDefault="002335B7" w:rsidP="005B403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106 766 561 932,59</w:t>
            </w:r>
          </w:p>
        </w:tc>
      </w:tr>
      <w:tr w:rsidR="002335B7" w:rsidRPr="00ED7C30" w14:paraId="11861F95" w14:textId="77777777" w:rsidTr="006606DF">
        <w:trPr>
          <w:trHeight w:hRule="exact" w:val="284"/>
          <w:jc w:val="center"/>
        </w:trPr>
        <w:tc>
          <w:tcPr>
            <w:tcW w:w="45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60FB5" w14:textId="77777777" w:rsidR="002335B7" w:rsidRPr="00ED7C30" w:rsidRDefault="002335B7" w:rsidP="005B403C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2794" w:type="pct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5519E" w14:textId="77777777" w:rsidR="002335B7" w:rsidRPr="00ED7C30" w:rsidRDefault="002335B7" w:rsidP="005B403C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Výsledek hospodaření předcházejících účetních období </w:t>
            </w:r>
          </w:p>
        </w:tc>
        <w:tc>
          <w:tcPr>
            <w:tcW w:w="175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90372" w14:textId="2F439A34" w:rsidR="002335B7" w:rsidRPr="00ED7C30" w:rsidRDefault="0082487B" w:rsidP="005B403C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cs-CZ"/>
              </w:rPr>
              <w:sym w:font="Symbol" w:char="F02D"/>
            </w:r>
            <w:r w:rsidR="002335B7"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101 680 321 040,05</w:t>
            </w:r>
          </w:p>
        </w:tc>
      </w:tr>
      <w:tr w:rsidR="002335B7" w:rsidRPr="00ED7C30" w14:paraId="71030767" w14:textId="77777777" w:rsidTr="006606DF">
        <w:trPr>
          <w:trHeight w:hRule="exact" w:val="284"/>
          <w:jc w:val="center"/>
        </w:trPr>
        <w:tc>
          <w:tcPr>
            <w:tcW w:w="3247" w:type="pct"/>
            <w:gridSpan w:val="2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765192" w14:textId="77777777" w:rsidR="002335B7" w:rsidRPr="00ED7C30" w:rsidRDefault="002335B7" w:rsidP="005B403C">
            <w:pPr>
              <w:rPr>
                <w:rFonts w:cstheme="minorHAnsi"/>
                <w:b/>
                <w:i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i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753" w:type="pct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2441F5" w14:textId="77777777" w:rsidR="002335B7" w:rsidRPr="00ED7C30" w:rsidRDefault="002335B7" w:rsidP="005B403C">
            <w:pPr>
              <w:jc w:val="right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5 098 118 148,54</w:t>
            </w:r>
          </w:p>
        </w:tc>
      </w:tr>
      <w:tr w:rsidR="002335B7" w:rsidRPr="00ED7C30" w14:paraId="542C08AB" w14:textId="77777777" w:rsidTr="006606DF">
        <w:trPr>
          <w:trHeight w:hRule="exact" w:val="284"/>
          <w:jc w:val="center"/>
        </w:trPr>
        <w:tc>
          <w:tcPr>
            <w:tcW w:w="3247" w:type="pct"/>
            <w:gridSpan w:val="2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3FEB7D" w14:textId="77777777" w:rsidR="002335B7" w:rsidRPr="00ED7C30" w:rsidRDefault="002335B7" w:rsidP="005B403C">
            <w:pPr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 pasiva</w:t>
            </w:r>
          </w:p>
        </w:tc>
        <w:tc>
          <w:tcPr>
            <w:tcW w:w="1753" w:type="pct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9D1A2" w14:textId="77777777" w:rsidR="002335B7" w:rsidRPr="00ED7C30" w:rsidRDefault="002335B7" w:rsidP="005B403C">
            <w:pPr>
              <w:jc w:val="right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41 088 012 655,21</w:t>
            </w:r>
          </w:p>
        </w:tc>
      </w:tr>
      <w:tr w:rsidR="002335B7" w:rsidRPr="00ED7C30" w14:paraId="1DA5CA79" w14:textId="77777777" w:rsidTr="00AB7AAA">
        <w:trPr>
          <w:trHeight w:hRule="exact" w:val="284"/>
          <w:jc w:val="center"/>
        </w:trPr>
        <w:tc>
          <w:tcPr>
            <w:tcW w:w="3247" w:type="pct"/>
            <w:gridSpan w:val="2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5579A3" w14:textId="77777777" w:rsidR="002335B7" w:rsidRPr="00ED7C30" w:rsidRDefault="002335B7" w:rsidP="005B403C">
            <w:pPr>
              <w:rPr>
                <w:rFonts w:cstheme="minorHAnsi"/>
                <w:b/>
                <w:i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i/>
                <w:color w:val="000000"/>
                <w:sz w:val="20"/>
                <w:szCs w:val="20"/>
                <w:lang w:eastAsia="cs-CZ"/>
              </w:rPr>
              <w:t>Podíl na pasivech</w:t>
            </w:r>
          </w:p>
        </w:tc>
        <w:tc>
          <w:tcPr>
            <w:tcW w:w="1753" w:type="pct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8432C" w14:textId="153C154E" w:rsidR="002335B7" w:rsidRPr="00ED7C30" w:rsidRDefault="002335B7" w:rsidP="00AB7AAA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12,41</w:t>
            </w:r>
            <w:r w:rsidR="0082487B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825F5D" w:rsidRPr="00ED7C30" w14:paraId="7A48EC2C" w14:textId="77777777" w:rsidTr="006606DF">
        <w:trPr>
          <w:trHeight w:hRule="exact" w:val="284"/>
          <w:jc w:val="center"/>
        </w:trPr>
        <w:tc>
          <w:tcPr>
            <w:tcW w:w="45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48775" w14:textId="77777777" w:rsidR="00825F5D" w:rsidRPr="00ED7C30" w:rsidRDefault="00825F5D" w:rsidP="0068278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905</w:t>
            </w:r>
          </w:p>
        </w:tc>
        <w:tc>
          <w:tcPr>
            <w:tcW w:w="279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2D77B0" w14:textId="77777777" w:rsidR="00825F5D" w:rsidRPr="00ED7C30" w:rsidRDefault="00825F5D" w:rsidP="00682785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Vyřazené pohledávky</w:t>
            </w:r>
          </w:p>
        </w:tc>
        <w:tc>
          <w:tcPr>
            <w:tcW w:w="175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55FCC" w14:textId="77777777" w:rsidR="00825F5D" w:rsidRPr="00ED7C30" w:rsidRDefault="00825F5D" w:rsidP="00682785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3 238 142,54</w:t>
            </w:r>
          </w:p>
        </w:tc>
      </w:tr>
      <w:tr w:rsidR="00825F5D" w:rsidRPr="00ED7C30" w14:paraId="66EA7152" w14:textId="77777777" w:rsidTr="006606DF">
        <w:trPr>
          <w:trHeight w:hRule="exact" w:val="572"/>
          <w:jc w:val="center"/>
        </w:trPr>
        <w:tc>
          <w:tcPr>
            <w:tcW w:w="45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956BC" w14:textId="77777777" w:rsidR="00825F5D" w:rsidRPr="00ED7C30" w:rsidRDefault="00825F5D" w:rsidP="00682785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951</w:t>
            </w:r>
          </w:p>
        </w:tc>
        <w:tc>
          <w:tcPr>
            <w:tcW w:w="279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A142C9" w14:textId="77777777" w:rsidR="00825F5D" w:rsidRPr="00ED7C30" w:rsidRDefault="00825F5D" w:rsidP="00682785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Dlouhodobé podmíněné pohledávky z předfinancování transferů</w:t>
            </w:r>
          </w:p>
        </w:tc>
        <w:tc>
          <w:tcPr>
            <w:tcW w:w="175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C06B8" w14:textId="77777777" w:rsidR="00825F5D" w:rsidRPr="00ED7C30" w:rsidRDefault="00825F5D" w:rsidP="00682785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385 096 402,42</w:t>
            </w:r>
          </w:p>
        </w:tc>
      </w:tr>
      <w:tr w:rsidR="00BC2314" w:rsidRPr="00ED7C30" w14:paraId="387D2C74" w14:textId="77777777" w:rsidTr="006606DF">
        <w:trPr>
          <w:trHeight w:hRule="exact" w:val="576"/>
          <w:jc w:val="center"/>
        </w:trPr>
        <w:tc>
          <w:tcPr>
            <w:tcW w:w="45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70C87" w14:textId="450B622D" w:rsidR="00BC2314" w:rsidRPr="00ED7C30" w:rsidRDefault="00BC2314" w:rsidP="00BC2314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953</w:t>
            </w:r>
          </w:p>
        </w:tc>
        <w:tc>
          <w:tcPr>
            <w:tcW w:w="279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85EFA" w14:textId="60C22945" w:rsidR="00BC2314" w:rsidRPr="00ED7C30" w:rsidRDefault="00BC2314" w:rsidP="00BC2314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Dlouhodobé podmíněné pohledávky ze zahraničních transferů</w:t>
            </w:r>
          </w:p>
        </w:tc>
        <w:tc>
          <w:tcPr>
            <w:tcW w:w="175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05EAE" w14:textId="13B61C81" w:rsidR="00BC2314" w:rsidRPr="00ED7C30" w:rsidRDefault="00BC2314" w:rsidP="00BC2314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2 851 950,90</w:t>
            </w:r>
          </w:p>
        </w:tc>
      </w:tr>
      <w:tr w:rsidR="00825F5D" w:rsidRPr="00ED7C30" w14:paraId="374B0918" w14:textId="77777777" w:rsidTr="006606DF">
        <w:trPr>
          <w:trHeight w:hRule="exact" w:val="284"/>
          <w:jc w:val="center"/>
        </w:trPr>
        <w:tc>
          <w:tcPr>
            <w:tcW w:w="3247" w:type="pct"/>
            <w:gridSpan w:val="2"/>
            <w:shd w:val="clear" w:color="auto" w:fill="F2C6C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A44A2" w14:textId="77777777" w:rsidR="00825F5D" w:rsidRPr="00ED7C30" w:rsidRDefault="00825F5D" w:rsidP="00682785">
            <w:pPr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753" w:type="pct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7DFA1" w14:textId="6528287F" w:rsidR="00825F5D" w:rsidRPr="00ED7C30" w:rsidRDefault="00BC2314" w:rsidP="00682785">
            <w:pPr>
              <w:jc w:val="right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color w:val="000000"/>
                <w:sz w:val="20"/>
                <w:szCs w:val="20"/>
              </w:rPr>
              <w:t>391 186 495,86</w:t>
            </w:r>
          </w:p>
        </w:tc>
      </w:tr>
      <w:tr w:rsidR="00825F5D" w:rsidRPr="00ED7C30" w14:paraId="4296FE13" w14:textId="77777777" w:rsidTr="006606DF">
        <w:trPr>
          <w:trHeight w:hRule="exact" w:val="284"/>
          <w:jc w:val="center"/>
        </w:trPr>
        <w:tc>
          <w:tcPr>
            <w:tcW w:w="3247" w:type="pct"/>
            <w:gridSpan w:val="2"/>
            <w:shd w:val="clear" w:color="auto" w:fill="F2C6C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89CE2" w14:textId="77777777" w:rsidR="00825F5D" w:rsidRPr="00ED7C30" w:rsidRDefault="00825F5D" w:rsidP="00682785">
            <w:pP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 podmíněné podrozvahové pohledávky</w:t>
            </w:r>
          </w:p>
        </w:tc>
        <w:tc>
          <w:tcPr>
            <w:tcW w:w="1753" w:type="pct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9768A9" w14:textId="77777777" w:rsidR="00825F5D" w:rsidRPr="00ED7C30" w:rsidRDefault="00825F5D" w:rsidP="00682785">
            <w:pPr>
              <w:jc w:val="right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639 548 766,59</w:t>
            </w:r>
          </w:p>
        </w:tc>
      </w:tr>
      <w:tr w:rsidR="00825F5D" w:rsidRPr="00ED7C30" w14:paraId="0857DDB4" w14:textId="77777777" w:rsidTr="00AB7AAA">
        <w:trPr>
          <w:trHeight w:hRule="exact" w:val="284"/>
          <w:jc w:val="center"/>
        </w:trPr>
        <w:tc>
          <w:tcPr>
            <w:tcW w:w="3247" w:type="pct"/>
            <w:gridSpan w:val="2"/>
            <w:shd w:val="clear" w:color="auto" w:fill="F2C6C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E0136" w14:textId="77777777" w:rsidR="00825F5D" w:rsidRPr="00ED7C30" w:rsidRDefault="00825F5D" w:rsidP="00682785">
            <w:pP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Podíl na podmíněných podrozvahových pohledávkách</w:t>
            </w:r>
          </w:p>
        </w:tc>
        <w:tc>
          <w:tcPr>
            <w:tcW w:w="1753" w:type="pct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13416" w14:textId="1E8C6758" w:rsidR="00825F5D" w:rsidRPr="00ED7C30" w:rsidRDefault="00825F5D" w:rsidP="00AB7AAA">
            <w:pPr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  <w:r w:rsidR="00BC2314"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="00BC2314"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17</w:t>
            </w:r>
            <w:r w:rsidR="00BC2314" w:rsidRPr="00ED7C30" w:rsidDel="00BC2314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6F4354" w:rsidRPr="00ED7C30" w14:paraId="1E04F476" w14:textId="77777777" w:rsidTr="006606DF">
        <w:trPr>
          <w:trHeight w:hRule="exact" w:val="284"/>
          <w:jc w:val="center"/>
        </w:trPr>
        <w:tc>
          <w:tcPr>
            <w:tcW w:w="45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938B4D" w14:textId="5E178CE6" w:rsidR="006F4354" w:rsidRPr="00ED7C30" w:rsidRDefault="006F4354" w:rsidP="006F4354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916</w:t>
            </w:r>
          </w:p>
        </w:tc>
        <w:tc>
          <w:tcPr>
            <w:tcW w:w="279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3F313" w14:textId="5C5E4E09" w:rsidR="006F4354" w:rsidRPr="00ED7C30" w:rsidRDefault="006F4354" w:rsidP="006F4354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Ostatní krátkodobé podmíněné závazky z transferů</w:t>
            </w:r>
          </w:p>
        </w:tc>
        <w:tc>
          <w:tcPr>
            <w:tcW w:w="175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0DB2D" w14:textId="7EAE0F2D" w:rsidR="006F4354" w:rsidRPr="00ED7C30" w:rsidRDefault="006F4354" w:rsidP="006F4354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1 455 207 186,00</w:t>
            </w:r>
          </w:p>
        </w:tc>
      </w:tr>
      <w:tr w:rsidR="006F4354" w:rsidRPr="00ED7C30" w14:paraId="2C3DE832" w14:textId="77777777" w:rsidTr="006606DF">
        <w:trPr>
          <w:trHeight w:hRule="exact" w:val="284"/>
          <w:jc w:val="center"/>
        </w:trPr>
        <w:tc>
          <w:tcPr>
            <w:tcW w:w="45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3D434" w14:textId="07C78A7C" w:rsidR="006F4354" w:rsidRPr="00ED7C30" w:rsidRDefault="006F4354" w:rsidP="006F4354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956</w:t>
            </w:r>
          </w:p>
        </w:tc>
        <w:tc>
          <w:tcPr>
            <w:tcW w:w="279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09CBF" w14:textId="0D1878B0" w:rsidR="006F4354" w:rsidRPr="00ED7C30" w:rsidRDefault="006F4354" w:rsidP="006F4354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Ostatní dlouhodobé podmíněné závazky z transferů</w:t>
            </w:r>
          </w:p>
        </w:tc>
        <w:tc>
          <w:tcPr>
            <w:tcW w:w="1753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9F44D" w14:textId="7EDAAFE8" w:rsidR="006F4354" w:rsidRPr="00ED7C30" w:rsidRDefault="006F4354" w:rsidP="006F4354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color w:val="000000"/>
                <w:sz w:val="20"/>
                <w:szCs w:val="20"/>
                <w:lang w:eastAsia="cs-CZ"/>
              </w:rPr>
              <w:t>8 549 883 136,55</w:t>
            </w:r>
          </w:p>
        </w:tc>
      </w:tr>
      <w:tr w:rsidR="00825F5D" w:rsidRPr="00ED7C30" w14:paraId="2EFFE767" w14:textId="77777777" w:rsidTr="006606DF">
        <w:trPr>
          <w:trHeight w:hRule="exact" w:val="284"/>
          <w:jc w:val="center"/>
        </w:trPr>
        <w:tc>
          <w:tcPr>
            <w:tcW w:w="3247" w:type="pct"/>
            <w:gridSpan w:val="2"/>
            <w:shd w:val="clear" w:color="auto" w:fill="F2C6C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98CC8" w14:textId="77777777" w:rsidR="00825F5D" w:rsidRPr="00ED7C30" w:rsidRDefault="00825F5D" w:rsidP="00682785">
            <w:pPr>
              <w:rPr>
                <w:rFonts w:cstheme="minorHAnsi"/>
                <w:b/>
                <w:i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i/>
                <w:color w:val="000000"/>
                <w:sz w:val="20"/>
                <w:szCs w:val="20"/>
                <w:lang w:eastAsia="cs-CZ"/>
              </w:rPr>
              <w:t xml:space="preserve">Celkem </w:t>
            </w:r>
          </w:p>
        </w:tc>
        <w:tc>
          <w:tcPr>
            <w:tcW w:w="1753" w:type="pct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AB35D" w14:textId="03A243BC" w:rsidR="00825F5D" w:rsidRPr="00ED7C30" w:rsidRDefault="00BC2314" w:rsidP="00682785">
            <w:pPr>
              <w:jc w:val="right"/>
              <w:rPr>
                <w:rFonts w:cstheme="minorHAnsi"/>
                <w:b/>
                <w:i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i/>
                <w:color w:val="000000"/>
                <w:sz w:val="20"/>
                <w:szCs w:val="20"/>
              </w:rPr>
              <w:t>10 005 090 322,5</w:t>
            </w:r>
            <w:r w:rsidR="006F4354" w:rsidRPr="00ED7C30">
              <w:rPr>
                <w:rFonts w:cstheme="minorHAnsi"/>
                <w:b/>
                <w:i/>
                <w:color w:val="000000"/>
                <w:sz w:val="20"/>
                <w:szCs w:val="20"/>
              </w:rPr>
              <w:t>5</w:t>
            </w:r>
          </w:p>
        </w:tc>
      </w:tr>
      <w:tr w:rsidR="00825F5D" w:rsidRPr="00ED7C30" w14:paraId="7AA88C5D" w14:textId="77777777" w:rsidTr="006606DF">
        <w:trPr>
          <w:trHeight w:hRule="exact" w:val="284"/>
          <w:jc w:val="center"/>
        </w:trPr>
        <w:tc>
          <w:tcPr>
            <w:tcW w:w="3247" w:type="pct"/>
            <w:gridSpan w:val="2"/>
            <w:shd w:val="clear" w:color="auto" w:fill="F2C6C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D347C" w14:textId="77777777" w:rsidR="00825F5D" w:rsidRPr="00ED7C30" w:rsidRDefault="00825F5D" w:rsidP="00682785">
            <w:pP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Celkem podmíněné podrozvahové závazky</w:t>
            </w:r>
          </w:p>
        </w:tc>
        <w:tc>
          <w:tcPr>
            <w:tcW w:w="1753" w:type="pct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B33942" w14:textId="77777777" w:rsidR="00825F5D" w:rsidRPr="00ED7C30" w:rsidRDefault="00825F5D" w:rsidP="00682785">
            <w:pPr>
              <w:jc w:val="right"/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10 007 942 273,45</w:t>
            </w:r>
          </w:p>
        </w:tc>
      </w:tr>
      <w:tr w:rsidR="00825F5D" w:rsidRPr="00ED7C30" w14:paraId="281776B3" w14:textId="77777777" w:rsidTr="00AB7AAA">
        <w:trPr>
          <w:trHeight w:hRule="exact" w:val="284"/>
          <w:jc w:val="center"/>
        </w:trPr>
        <w:tc>
          <w:tcPr>
            <w:tcW w:w="3247" w:type="pct"/>
            <w:gridSpan w:val="2"/>
            <w:shd w:val="clear" w:color="auto" w:fill="F2C6C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DC180" w14:textId="77777777" w:rsidR="00825F5D" w:rsidRPr="00ED7C30" w:rsidRDefault="00825F5D" w:rsidP="00682785">
            <w:pPr>
              <w:jc w:val="both"/>
              <w:rPr>
                <w:rFonts w:cstheme="minorHAnsi"/>
                <w:b/>
                <w:i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i/>
                <w:color w:val="000000"/>
                <w:sz w:val="20"/>
                <w:szCs w:val="20"/>
                <w:lang w:eastAsia="cs-CZ"/>
              </w:rPr>
              <w:t>Podíl na podmíněných podrozvahových závazcích</w:t>
            </w:r>
          </w:p>
        </w:tc>
        <w:tc>
          <w:tcPr>
            <w:tcW w:w="1753" w:type="pct"/>
            <w:shd w:val="clear" w:color="auto" w:fill="F2C6C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50CC4" w14:textId="3C6C97A7" w:rsidR="00825F5D" w:rsidRPr="00ED7C30" w:rsidRDefault="00825F5D" w:rsidP="00AB7AAA">
            <w:pPr>
              <w:jc w:val="center"/>
              <w:rPr>
                <w:rFonts w:cstheme="minorHAnsi"/>
                <w:b/>
                <w:i/>
                <w:color w:val="000000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i/>
                <w:color w:val="000000"/>
                <w:sz w:val="20"/>
                <w:szCs w:val="20"/>
              </w:rPr>
              <w:t>99,</w:t>
            </w:r>
            <w:r w:rsidR="008F0D73" w:rsidRPr="00ED7C30">
              <w:rPr>
                <w:rFonts w:cstheme="minorHAnsi"/>
                <w:b/>
                <w:i/>
                <w:color w:val="000000"/>
                <w:sz w:val="20"/>
                <w:szCs w:val="20"/>
              </w:rPr>
              <w:t>97</w:t>
            </w:r>
            <w:r w:rsidR="00BC2314" w:rsidRPr="00ED7C30" w:rsidDel="00BC2314">
              <w:rPr>
                <w:rFonts w:cstheme="minorHAns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D7C30">
              <w:rPr>
                <w:rFonts w:cstheme="minorHAnsi"/>
                <w:b/>
                <w:i/>
                <w:color w:val="000000"/>
                <w:sz w:val="20"/>
                <w:szCs w:val="20"/>
              </w:rPr>
              <w:t>%</w:t>
            </w:r>
          </w:p>
        </w:tc>
      </w:tr>
    </w:tbl>
    <w:p w14:paraId="0CBFB90A" w14:textId="4F7F7CF4" w:rsidR="00825F5D" w:rsidRPr="00AB7AAA" w:rsidRDefault="00825F5D" w:rsidP="006606DF">
      <w:pPr>
        <w:spacing w:before="40"/>
        <w:jc w:val="both"/>
        <w:rPr>
          <w:rFonts w:cstheme="minorHAnsi"/>
          <w:iCs/>
          <w:sz w:val="20"/>
          <w:szCs w:val="20"/>
        </w:rPr>
      </w:pPr>
      <w:r w:rsidRPr="00AB7AAA">
        <w:rPr>
          <w:rFonts w:cstheme="minorHAnsi"/>
          <w:b/>
          <w:iCs/>
          <w:sz w:val="20"/>
          <w:szCs w:val="20"/>
        </w:rPr>
        <w:t>Zdroj:</w:t>
      </w:r>
      <w:r w:rsidRPr="00AB7AAA">
        <w:rPr>
          <w:rFonts w:cstheme="minorHAnsi"/>
          <w:iCs/>
          <w:sz w:val="20"/>
          <w:szCs w:val="20"/>
        </w:rPr>
        <w:t xml:space="preserve"> </w:t>
      </w:r>
      <w:r w:rsidR="00E7533E">
        <w:rPr>
          <w:rFonts w:cstheme="minorHAnsi"/>
          <w:iCs/>
          <w:sz w:val="20"/>
          <w:szCs w:val="20"/>
        </w:rPr>
        <w:t>z</w:t>
      </w:r>
      <w:r w:rsidRPr="00AB7AAA">
        <w:rPr>
          <w:rFonts w:cstheme="minorHAnsi"/>
          <w:iCs/>
          <w:sz w:val="20"/>
          <w:szCs w:val="20"/>
        </w:rPr>
        <w:t>práva dílčí inventarizační komise (DIK2) ze dne 28. 2. 2017, vlastní výpočty</w:t>
      </w:r>
      <w:r w:rsidR="00933119" w:rsidRPr="00AB7AAA">
        <w:rPr>
          <w:rFonts w:cstheme="minorHAnsi"/>
          <w:iCs/>
          <w:sz w:val="20"/>
          <w:szCs w:val="20"/>
        </w:rPr>
        <w:t>.</w:t>
      </w:r>
    </w:p>
    <w:p w14:paraId="27942790" w14:textId="20E97B96" w:rsidR="005D2FB2" w:rsidRPr="00ED7C30" w:rsidRDefault="005D2FB2" w:rsidP="004D557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ED7C30">
        <w:rPr>
          <w:rFonts w:eastAsia="Times New Roman" w:cstheme="minorHAnsi"/>
          <w:b/>
          <w:bCs/>
          <w:sz w:val="24"/>
          <w:szCs w:val="24"/>
        </w:rPr>
        <w:t xml:space="preserve">MPSV </w:t>
      </w:r>
      <w:r w:rsidR="00E7533E">
        <w:rPr>
          <w:rFonts w:eastAsia="Times New Roman" w:cstheme="minorHAnsi"/>
          <w:b/>
          <w:bCs/>
          <w:sz w:val="24"/>
          <w:szCs w:val="24"/>
        </w:rPr>
        <w:t>tedy</w:t>
      </w:r>
      <w:r w:rsidR="00643A2E" w:rsidRPr="00ED7C3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ED7C30">
        <w:rPr>
          <w:rFonts w:eastAsia="Times New Roman" w:cstheme="minorHAnsi"/>
          <w:b/>
          <w:bCs/>
          <w:sz w:val="24"/>
          <w:szCs w:val="24"/>
        </w:rPr>
        <w:t>k</w:t>
      </w:r>
      <w:r w:rsidR="00933119" w:rsidRPr="00ED7C30">
        <w:rPr>
          <w:rFonts w:eastAsia="Times New Roman" w:cstheme="minorHAnsi"/>
          <w:b/>
          <w:bCs/>
          <w:sz w:val="24"/>
          <w:szCs w:val="24"/>
        </w:rPr>
        <w:t> 31. 12. </w:t>
      </w:r>
      <w:r w:rsidRPr="00ED7C30">
        <w:rPr>
          <w:rFonts w:eastAsia="Times New Roman" w:cstheme="minorHAnsi"/>
          <w:b/>
          <w:bCs/>
          <w:sz w:val="24"/>
          <w:szCs w:val="24"/>
        </w:rPr>
        <w:t xml:space="preserve">2016 neprovedlo inventarizaci podmíněných </w:t>
      </w:r>
      <w:r w:rsidR="00EC3B1D" w:rsidRPr="00ED7C30">
        <w:rPr>
          <w:rFonts w:eastAsia="Times New Roman" w:cstheme="minorHAnsi"/>
          <w:b/>
          <w:bCs/>
          <w:sz w:val="24"/>
          <w:szCs w:val="24"/>
        </w:rPr>
        <w:t xml:space="preserve">podrozvahových </w:t>
      </w:r>
      <w:r w:rsidRPr="00ED7C30">
        <w:rPr>
          <w:rFonts w:eastAsia="Times New Roman" w:cstheme="minorHAnsi"/>
          <w:b/>
          <w:bCs/>
          <w:sz w:val="24"/>
          <w:szCs w:val="24"/>
        </w:rPr>
        <w:t xml:space="preserve">pohledávek v souhrnné výši </w:t>
      </w:r>
      <w:r w:rsidR="00170D82" w:rsidRPr="00ED7C30">
        <w:rPr>
          <w:rFonts w:eastAsia="Times New Roman" w:cstheme="minorHAnsi"/>
          <w:b/>
          <w:bCs/>
          <w:iCs/>
          <w:color w:val="000000"/>
          <w:sz w:val="24"/>
          <w:szCs w:val="24"/>
          <w:lang w:eastAsia="cs-CZ"/>
        </w:rPr>
        <w:t>391 186 495,86</w:t>
      </w:r>
      <w:r w:rsidRPr="00ED7C30">
        <w:rPr>
          <w:rFonts w:eastAsia="Times New Roman" w:cstheme="minorHAnsi"/>
          <w:b/>
          <w:bCs/>
          <w:iCs/>
          <w:color w:val="000000"/>
          <w:sz w:val="24"/>
          <w:szCs w:val="24"/>
          <w:lang w:eastAsia="cs-CZ"/>
        </w:rPr>
        <w:t xml:space="preserve"> Kč, podmíněných </w:t>
      </w:r>
      <w:r w:rsidR="00EC3B1D" w:rsidRPr="00ED7C30">
        <w:rPr>
          <w:rFonts w:eastAsia="Times New Roman" w:cstheme="minorHAnsi"/>
          <w:b/>
          <w:bCs/>
          <w:iCs/>
          <w:color w:val="000000"/>
          <w:sz w:val="24"/>
          <w:szCs w:val="24"/>
          <w:lang w:eastAsia="cs-CZ"/>
        </w:rPr>
        <w:t xml:space="preserve">podrozvahových </w:t>
      </w:r>
      <w:r w:rsidRPr="00ED7C30">
        <w:rPr>
          <w:rFonts w:eastAsia="Times New Roman" w:cstheme="minorHAnsi"/>
          <w:b/>
          <w:bCs/>
          <w:iCs/>
          <w:color w:val="000000"/>
          <w:sz w:val="24"/>
          <w:szCs w:val="24"/>
          <w:lang w:eastAsia="cs-CZ"/>
        </w:rPr>
        <w:t>závazků v souhrnné výši</w:t>
      </w:r>
      <w:r w:rsidR="000B727E" w:rsidRPr="00ED7C30">
        <w:rPr>
          <w:rFonts w:eastAsia="Times New Roman" w:cstheme="minorHAnsi"/>
          <w:b/>
          <w:bCs/>
          <w:iCs/>
          <w:color w:val="000000"/>
          <w:sz w:val="24"/>
          <w:szCs w:val="24"/>
          <w:lang w:eastAsia="cs-CZ"/>
        </w:rPr>
        <w:t xml:space="preserve"> </w:t>
      </w:r>
      <w:r w:rsidR="00170D82" w:rsidRPr="00ED7C30">
        <w:rPr>
          <w:rFonts w:eastAsia="Times New Roman" w:cstheme="minorHAnsi"/>
          <w:b/>
          <w:bCs/>
          <w:iCs/>
          <w:color w:val="000000"/>
          <w:sz w:val="24"/>
          <w:szCs w:val="24"/>
          <w:lang w:eastAsia="cs-CZ"/>
        </w:rPr>
        <w:t>10</w:t>
      </w:r>
      <w:r w:rsidR="000B727E" w:rsidRPr="00ED7C30">
        <w:rPr>
          <w:rFonts w:eastAsia="Times New Roman" w:cstheme="minorHAnsi"/>
          <w:b/>
          <w:bCs/>
          <w:iCs/>
          <w:color w:val="000000"/>
          <w:sz w:val="24"/>
          <w:szCs w:val="24"/>
          <w:lang w:eastAsia="cs-CZ"/>
        </w:rPr>
        <w:t> </w:t>
      </w:r>
      <w:r w:rsidR="00170D82" w:rsidRPr="00ED7C30">
        <w:rPr>
          <w:rFonts w:eastAsia="Times New Roman" w:cstheme="minorHAnsi"/>
          <w:b/>
          <w:bCs/>
          <w:iCs/>
          <w:color w:val="000000"/>
          <w:sz w:val="24"/>
          <w:szCs w:val="24"/>
          <w:lang w:eastAsia="cs-CZ"/>
        </w:rPr>
        <w:t>005 090 322,5</w:t>
      </w:r>
      <w:r w:rsidR="006F4354" w:rsidRPr="00ED7C30">
        <w:rPr>
          <w:rFonts w:eastAsia="Times New Roman" w:cstheme="minorHAnsi"/>
          <w:b/>
          <w:bCs/>
          <w:iCs/>
          <w:color w:val="000000"/>
          <w:sz w:val="24"/>
          <w:szCs w:val="24"/>
          <w:lang w:eastAsia="cs-CZ"/>
        </w:rPr>
        <w:t>5</w:t>
      </w:r>
      <w:r w:rsidR="00170D82" w:rsidRPr="00ED7C30">
        <w:rPr>
          <w:rFonts w:eastAsia="Times New Roman" w:cstheme="minorHAnsi"/>
          <w:b/>
          <w:bCs/>
          <w:iCs/>
          <w:color w:val="000000"/>
          <w:sz w:val="24"/>
          <w:szCs w:val="24"/>
          <w:lang w:eastAsia="cs-CZ"/>
        </w:rPr>
        <w:t> Kč</w:t>
      </w:r>
      <w:r w:rsidRPr="00ED7C30">
        <w:rPr>
          <w:rFonts w:eastAsia="Times New Roman" w:cstheme="minorHAnsi"/>
          <w:b/>
          <w:bCs/>
          <w:iCs/>
          <w:color w:val="000000"/>
          <w:sz w:val="24"/>
          <w:szCs w:val="24"/>
          <w:lang w:eastAsia="cs-CZ"/>
        </w:rPr>
        <w:t>, aktiv v souhrnné výši 492 812 446,61 Kč a pasiv v souhrnné výši 5 098 118 148,54 Kč.</w:t>
      </w:r>
      <w:r w:rsidR="00170D82" w:rsidRPr="00ED7C30">
        <w:rPr>
          <w:rFonts w:eastAsia="Times New Roman" w:cstheme="minorHAnsi"/>
          <w:b/>
          <w:bCs/>
          <w:iCs/>
          <w:color w:val="000000"/>
          <w:sz w:val="24"/>
          <w:szCs w:val="24"/>
          <w:lang w:eastAsia="cs-CZ"/>
        </w:rPr>
        <w:t xml:space="preserve"> </w:t>
      </w:r>
      <w:r w:rsidR="00170D82" w:rsidRPr="00ED7C30">
        <w:rPr>
          <w:rFonts w:cstheme="minorHAnsi"/>
          <w:b/>
          <w:sz w:val="24"/>
          <w:szCs w:val="24"/>
        </w:rPr>
        <w:t xml:space="preserve">Zůstatky účtů 324 – </w:t>
      </w:r>
      <w:r w:rsidR="00170D82" w:rsidRPr="00ED7C30">
        <w:rPr>
          <w:rFonts w:cstheme="minorHAnsi"/>
          <w:b/>
          <w:i/>
          <w:sz w:val="24"/>
          <w:szCs w:val="24"/>
        </w:rPr>
        <w:t>Krátkodobé přijaté zálohy</w:t>
      </w:r>
      <w:r w:rsidR="00750C1D" w:rsidRPr="00ED7C30">
        <w:rPr>
          <w:rFonts w:cstheme="minorHAnsi"/>
          <w:b/>
          <w:i/>
          <w:sz w:val="24"/>
          <w:szCs w:val="24"/>
        </w:rPr>
        <w:t xml:space="preserve"> </w:t>
      </w:r>
      <w:r w:rsidR="008A468B">
        <w:rPr>
          <w:rFonts w:cstheme="minorHAnsi"/>
          <w:b/>
          <w:i/>
          <w:sz w:val="24"/>
          <w:szCs w:val="24"/>
        </w:rPr>
        <w:br/>
      </w:r>
      <w:r w:rsidR="00170D82" w:rsidRPr="00ED7C30">
        <w:rPr>
          <w:rFonts w:cstheme="minorHAnsi"/>
          <w:b/>
          <w:sz w:val="24"/>
          <w:szCs w:val="24"/>
        </w:rPr>
        <w:t xml:space="preserve">a 337 </w:t>
      </w:r>
      <w:r w:rsidR="009C59EC" w:rsidRPr="00ED7C30">
        <w:rPr>
          <w:rFonts w:cstheme="minorHAnsi"/>
          <w:b/>
          <w:sz w:val="24"/>
          <w:szCs w:val="24"/>
        </w:rPr>
        <w:t>–</w:t>
      </w:r>
      <w:r w:rsidR="00170D82" w:rsidRPr="00ED7C30">
        <w:rPr>
          <w:rFonts w:cstheme="minorHAnsi"/>
          <w:b/>
          <w:i/>
          <w:sz w:val="24"/>
          <w:szCs w:val="24"/>
        </w:rPr>
        <w:t xml:space="preserve"> Zdravotní pojištění </w:t>
      </w:r>
      <w:r w:rsidR="00170D82" w:rsidRPr="00ED7C30">
        <w:rPr>
          <w:rFonts w:cstheme="minorHAnsi"/>
          <w:b/>
          <w:sz w:val="24"/>
          <w:szCs w:val="24"/>
        </w:rPr>
        <w:t xml:space="preserve">byly </w:t>
      </w:r>
      <w:proofErr w:type="spellStart"/>
      <w:r w:rsidR="00170D82" w:rsidRPr="00ED7C30">
        <w:rPr>
          <w:rFonts w:cstheme="minorHAnsi"/>
          <w:b/>
          <w:sz w:val="24"/>
          <w:szCs w:val="24"/>
        </w:rPr>
        <w:t>zprůkazněny</w:t>
      </w:r>
      <w:proofErr w:type="spellEnd"/>
      <w:r w:rsidR="00170D82" w:rsidRPr="00ED7C30">
        <w:rPr>
          <w:rFonts w:cstheme="minorHAnsi"/>
          <w:b/>
          <w:i/>
          <w:sz w:val="24"/>
          <w:szCs w:val="24"/>
        </w:rPr>
        <w:t xml:space="preserve"> </w:t>
      </w:r>
      <w:r w:rsidR="00170D82" w:rsidRPr="00ED7C30">
        <w:rPr>
          <w:rFonts w:cstheme="minorHAnsi"/>
          <w:b/>
          <w:sz w:val="24"/>
          <w:szCs w:val="24"/>
        </w:rPr>
        <w:t>jiným způsobem.</w:t>
      </w:r>
    </w:p>
    <w:p w14:paraId="786DB223" w14:textId="77777777" w:rsidR="005D2FB2" w:rsidRPr="00ED7C30" w:rsidRDefault="005D2FB2" w:rsidP="004D557D">
      <w:pPr>
        <w:spacing w:after="0"/>
        <w:rPr>
          <w:rFonts w:cstheme="minorHAnsi"/>
        </w:rPr>
      </w:pPr>
    </w:p>
    <w:p w14:paraId="2A3A0321" w14:textId="14D2138B" w:rsidR="0008246B" w:rsidRPr="00ED7C30" w:rsidRDefault="0008246B" w:rsidP="00DF6C93">
      <w:pPr>
        <w:pStyle w:val="Nadpis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D7C30">
        <w:rPr>
          <w:rFonts w:asciiTheme="minorHAnsi" w:hAnsiTheme="minorHAnsi" w:cstheme="minorHAnsi"/>
          <w:b/>
          <w:color w:val="auto"/>
          <w:sz w:val="24"/>
          <w:szCs w:val="24"/>
        </w:rPr>
        <w:t xml:space="preserve">Nesprávnosti </w:t>
      </w:r>
      <w:r w:rsidR="00552D1F" w:rsidRPr="00ED7C30">
        <w:rPr>
          <w:rFonts w:asciiTheme="minorHAnsi" w:hAnsiTheme="minorHAnsi" w:cstheme="minorHAnsi"/>
          <w:b/>
          <w:color w:val="auto"/>
          <w:sz w:val="24"/>
          <w:szCs w:val="24"/>
        </w:rPr>
        <w:t xml:space="preserve">v </w:t>
      </w:r>
      <w:r w:rsidR="008004D9" w:rsidRPr="00ED7C30">
        <w:rPr>
          <w:rFonts w:asciiTheme="minorHAnsi" w:hAnsiTheme="minorHAnsi" w:cstheme="minorHAnsi"/>
          <w:b/>
          <w:color w:val="auto"/>
          <w:sz w:val="24"/>
          <w:szCs w:val="24"/>
        </w:rPr>
        <w:t>úč</w:t>
      </w:r>
      <w:r w:rsidR="00F73CA0" w:rsidRPr="00ED7C30">
        <w:rPr>
          <w:rFonts w:asciiTheme="minorHAnsi" w:hAnsiTheme="minorHAnsi" w:cstheme="minorHAnsi"/>
          <w:b/>
          <w:color w:val="auto"/>
          <w:sz w:val="24"/>
          <w:szCs w:val="24"/>
        </w:rPr>
        <w:t>etnictví</w:t>
      </w:r>
    </w:p>
    <w:p w14:paraId="0E96DF4F" w14:textId="15E3867E" w:rsidR="0044151D" w:rsidRPr="00ED7C30" w:rsidRDefault="0044151D" w:rsidP="0044151D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  <w:r w:rsidRPr="00ED7C30">
        <w:rPr>
          <w:rFonts w:asciiTheme="minorHAnsi" w:hAnsiTheme="minorHAnsi" w:cstheme="minorHAnsi"/>
          <w:spacing w:val="-2"/>
          <w:sz w:val="24"/>
        </w:rPr>
        <w:t>Kontrolou byly zjištěny nesprávnosti dle jednotlivých položek ÚZ v návaznosti na jejich obsahové</w:t>
      </w:r>
      <w:r w:rsidRPr="00ED7C30">
        <w:rPr>
          <w:rFonts w:asciiTheme="minorHAnsi" w:hAnsiTheme="minorHAnsi" w:cstheme="minorHAnsi"/>
          <w:sz w:val="24"/>
        </w:rPr>
        <w:t xml:space="preserve"> vymezení podle vyhlášky č. 410/2009 Sb., kterou se provád</w:t>
      </w:r>
      <w:r w:rsidR="00185A59" w:rsidRPr="00ED7C30">
        <w:rPr>
          <w:rFonts w:asciiTheme="minorHAnsi" w:hAnsiTheme="minorHAnsi" w:cstheme="minorHAnsi"/>
          <w:sz w:val="24"/>
        </w:rPr>
        <w:t>ějí některá ustanovení zákona o </w:t>
      </w:r>
      <w:r w:rsidRPr="00ED7C30">
        <w:rPr>
          <w:rFonts w:asciiTheme="minorHAnsi" w:hAnsiTheme="minorHAnsi" w:cstheme="minorHAnsi"/>
          <w:sz w:val="24"/>
        </w:rPr>
        <w:t xml:space="preserve">účetnictví, ve znění pozdějších předpisů, pro některé vybrané účetní jednotky. Tyto nesprávnosti vznikly nesprávnou aplikací účetních metod a nedodržením některých dalších podmínek stanovených pro vedení účetnictví právními předpisy. </w:t>
      </w:r>
    </w:p>
    <w:p w14:paraId="4D0196C4" w14:textId="77777777" w:rsidR="0044151D" w:rsidRPr="00ED7C30" w:rsidRDefault="0044151D" w:rsidP="0044151D">
      <w:pPr>
        <w:pStyle w:val="NormlnKZ"/>
        <w:spacing w:after="0"/>
        <w:ind w:firstLine="0"/>
        <w:rPr>
          <w:rFonts w:asciiTheme="minorHAnsi" w:hAnsiTheme="minorHAnsi" w:cstheme="minorHAnsi"/>
          <w:sz w:val="24"/>
        </w:rPr>
      </w:pPr>
    </w:p>
    <w:p w14:paraId="5101B877" w14:textId="4DDBEC4F" w:rsidR="0044151D" w:rsidRPr="00ED7C30" w:rsidRDefault="0044151D" w:rsidP="0044151D">
      <w:pPr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Nejvýznamnější nesprávnosti byly</w:t>
      </w:r>
      <w:r w:rsidR="001E0466" w:rsidRPr="00ED7C30">
        <w:rPr>
          <w:rFonts w:cstheme="minorHAnsi"/>
          <w:sz w:val="24"/>
          <w:szCs w:val="24"/>
        </w:rPr>
        <w:t xml:space="preserve"> zjištěny</w:t>
      </w:r>
      <w:r w:rsidRPr="00ED7C30">
        <w:rPr>
          <w:rFonts w:cstheme="minorHAnsi"/>
          <w:sz w:val="24"/>
          <w:szCs w:val="24"/>
        </w:rPr>
        <w:t xml:space="preserve"> v důsledku </w:t>
      </w:r>
      <w:r w:rsidR="00E7533E">
        <w:rPr>
          <w:rFonts w:cstheme="minorHAnsi"/>
          <w:sz w:val="24"/>
          <w:szCs w:val="24"/>
        </w:rPr>
        <w:t xml:space="preserve">následujících </w:t>
      </w:r>
      <w:r w:rsidRPr="00ED7C30">
        <w:rPr>
          <w:rFonts w:cstheme="minorHAnsi"/>
          <w:sz w:val="24"/>
          <w:szCs w:val="24"/>
        </w:rPr>
        <w:t>skutečnost</w:t>
      </w:r>
      <w:r w:rsidR="00A67E14" w:rsidRPr="00ED7C30">
        <w:rPr>
          <w:rFonts w:cstheme="minorHAnsi"/>
          <w:sz w:val="24"/>
          <w:szCs w:val="24"/>
        </w:rPr>
        <w:t>í</w:t>
      </w:r>
      <w:r w:rsidRPr="00ED7C30">
        <w:rPr>
          <w:rFonts w:cstheme="minorHAnsi"/>
          <w:sz w:val="24"/>
          <w:szCs w:val="24"/>
        </w:rPr>
        <w:t>:</w:t>
      </w:r>
    </w:p>
    <w:p w14:paraId="2BBF3F6F" w14:textId="31B9186F" w:rsidR="003B47F2" w:rsidRPr="00ED7C30" w:rsidRDefault="00E7533E" w:rsidP="00A54925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MPSV ú</w:t>
      </w:r>
      <w:r w:rsidR="00A54925" w:rsidRPr="00ED7C30">
        <w:rPr>
          <w:rFonts w:asciiTheme="minorHAnsi" w:hAnsiTheme="minorHAnsi" w:cstheme="minorHAnsi"/>
          <w:b/>
        </w:rPr>
        <w:t>čtovalo v roce 2016 o výnosech z</w:t>
      </w:r>
      <w:r w:rsidR="00543B15" w:rsidRPr="00ED7C30">
        <w:rPr>
          <w:rFonts w:asciiTheme="minorHAnsi" w:hAnsiTheme="minorHAnsi" w:cstheme="minorHAnsi"/>
          <w:b/>
        </w:rPr>
        <w:t> </w:t>
      </w:r>
      <w:r w:rsidR="00A54925" w:rsidRPr="00ED7C30">
        <w:rPr>
          <w:rFonts w:asciiTheme="minorHAnsi" w:hAnsiTheme="minorHAnsi" w:cstheme="minorHAnsi"/>
          <w:b/>
        </w:rPr>
        <w:t>předfinancování</w:t>
      </w:r>
      <w:r w:rsidR="00543B15" w:rsidRPr="00ED7C30">
        <w:rPr>
          <w:rFonts w:asciiTheme="minorHAnsi" w:hAnsiTheme="minorHAnsi" w:cstheme="minorHAnsi"/>
          <w:b/>
        </w:rPr>
        <w:t xml:space="preserve"> </w:t>
      </w:r>
      <w:r w:rsidR="008853F1" w:rsidRPr="00ED7C30">
        <w:rPr>
          <w:rFonts w:asciiTheme="minorHAnsi" w:hAnsiTheme="minorHAnsi" w:cstheme="minorHAnsi"/>
          <w:b/>
        </w:rPr>
        <w:t>projektů</w:t>
      </w:r>
      <w:r w:rsidR="00B00716" w:rsidRPr="00ED7C3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o</w:t>
      </w:r>
      <w:r w:rsidR="00B00716" w:rsidRPr="00ED7C30">
        <w:rPr>
          <w:rFonts w:asciiTheme="minorHAnsi" w:hAnsiTheme="minorHAnsi" w:cstheme="minorHAnsi"/>
          <w:b/>
        </w:rPr>
        <w:t>peračního program</w:t>
      </w:r>
      <w:r>
        <w:rPr>
          <w:rFonts w:asciiTheme="minorHAnsi" w:hAnsiTheme="minorHAnsi" w:cstheme="minorHAnsi"/>
          <w:b/>
        </w:rPr>
        <w:t>u</w:t>
      </w:r>
      <w:r w:rsidR="00B00716" w:rsidRPr="00ED7C30">
        <w:rPr>
          <w:rFonts w:asciiTheme="minorHAnsi" w:hAnsiTheme="minorHAnsi" w:cstheme="minorHAnsi"/>
          <w:b/>
        </w:rPr>
        <w:t xml:space="preserve"> </w:t>
      </w:r>
      <w:r w:rsidR="00B00716" w:rsidRPr="00AB7AAA">
        <w:rPr>
          <w:rFonts w:asciiTheme="minorHAnsi" w:hAnsiTheme="minorHAnsi" w:cstheme="minorHAnsi"/>
          <w:b/>
          <w:i/>
        </w:rPr>
        <w:t>L</w:t>
      </w:r>
      <w:r w:rsidR="00C95401" w:rsidRPr="00AB7AAA">
        <w:rPr>
          <w:rFonts w:asciiTheme="minorHAnsi" w:hAnsiTheme="minorHAnsi" w:cstheme="minorHAnsi"/>
          <w:b/>
          <w:i/>
        </w:rPr>
        <w:t xml:space="preserve">idské zdroje a zaměstnanost </w:t>
      </w:r>
      <w:r w:rsidR="00C95401" w:rsidRPr="00ED7C30">
        <w:rPr>
          <w:rFonts w:asciiTheme="minorHAnsi" w:hAnsiTheme="minorHAnsi" w:cstheme="minorHAnsi"/>
        </w:rPr>
        <w:t>(dále také</w:t>
      </w:r>
      <w:r w:rsidR="008853F1" w:rsidRPr="00ED7C30">
        <w:rPr>
          <w:rFonts w:asciiTheme="minorHAnsi" w:hAnsiTheme="minorHAnsi" w:cstheme="minorHAnsi"/>
        </w:rPr>
        <w:t xml:space="preserve"> </w:t>
      </w:r>
      <w:r w:rsidR="00C95401" w:rsidRPr="00ED7C30">
        <w:rPr>
          <w:rFonts w:asciiTheme="minorHAnsi" w:hAnsiTheme="minorHAnsi" w:cstheme="minorHAnsi"/>
        </w:rPr>
        <w:t>„</w:t>
      </w:r>
      <w:r w:rsidR="008853F1" w:rsidRPr="00ED7C30">
        <w:rPr>
          <w:rFonts w:asciiTheme="minorHAnsi" w:hAnsiTheme="minorHAnsi" w:cstheme="minorHAnsi"/>
        </w:rPr>
        <w:t>OP LZZ</w:t>
      </w:r>
      <w:r w:rsidR="00C95401" w:rsidRPr="00ED7C30">
        <w:rPr>
          <w:rFonts w:asciiTheme="minorHAnsi" w:hAnsiTheme="minorHAnsi" w:cstheme="minorHAnsi"/>
        </w:rPr>
        <w:t>“)</w:t>
      </w:r>
      <w:r w:rsidR="00A54925" w:rsidRPr="00ED7C30">
        <w:rPr>
          <w:rFonts w:asciiTheme="minorHAnsi" w:hAnsiTheme="minorHAnsi" w:cstheme="minorHAnsi"/>
          <w:b/>
        </w:rPr>
        <w:t>, které prostřednictvím souhrnných žádostí nárokovalo</w:t>
      </w:r>
      <w:r w:rsidR="00FB3F63" w:rsidRPr="00ED7C30">
        <w:rPr>
          <w:rFonts w:asciiTheme="minorHAnsi" w:hAnsiTheme="minorHAnsi" w:cstheme="minorHAnsi"/>
          <w:b/>
        </w:rPr>
        <w:t xml:space="preserve"> již</w:t>
      </w:r>
      <w:r w:rsidR="00A54925" w:rsidRPr="00ED7C30">
        <w:rPr>
          <w:rFonts w:asciiTheme="minorHAnsi" w:hAnsiTheme="minorHAnsi" w:cstheme="minorHAnsi"/>
          <w:b/>
        </w:rPr>
        <w:t xml:space="preserve"> v roce </w:t>
      </w:r>
      <w:r w:rsidR="000F2729" w:rsidRPr="00ED7C30">
        <w:rPr>
          <w:rFonts w:asciiTheme="minorHAnsi" w:hAnsiTheme="minorHAnsi" w:cstheme="minorHAnsi"/>
          <w:b/>
        </w:rPr>
        <w:t>2015.</w:t>
      </w:r>
      <w:r w:rsidR="00A54925" w:rsidRPr="00ED7C30">
        <w:rPr>
          <w:rFonts w:asciiTheme="minorHAnsi" w:hAnsiTheme="minorHAnsi" w:cstheme="minorHAnsi"/>
        </w:rPr>
        <w:t xml:space="preserve"> </w:t>
      </w:r>
      <w:r w:rsidR="000F2729" w:rsidRPr="00ED7C30">
        <w:rPr>
          <w:rFonts w:asciiTheme="minorHAnsi" w:hAnsiTheme="minorHAnsi" w:cstheme="minorHAnsi"/>
        </w:rPr>
        <w:t>V</w:t>
      </w:r>
      <w:r w:rsidR="00A54925" w:rsidRPr="00ED7C30">
        <w:rPr>
          <w:rFonts w:asciiTheme="minorHAnsi" w:hAnsiTheme="minorHAnsi" w:cstheme="minorHAnsi"/>
        </w:rPr>
        <w:t xml:space="preserve"> případě projektů realizovaných v rámci technické asistence </w:t>
      </w:r>
      <w:r w:rsidR="000F2729" w:rsidRPr="00ED7C30">
        <w:rPr>
          <w:rFonts w:asciiTheme="minorHAnsi" w:hAnsiTheme="minorHAnsi" w:cstheme="minorHAnsi"/>
        </w:rPr>
        <w:t>se jedn</w:t>
      </w:r>
      <w:r w:rsidR="002644B6" w:rsidRPr="00ED7C30">
        <w:rPr>
          <w:rFonts w:asciiTheme="minorHAnsi" w:hAnsiTheme="minorHAnsi" w:cstheme="minorHAnsi"/>
        </w:rPr>
        <w:t>alo</w:t>
      </w:r>
      <w:r w:rsidR="000F2729" w:rsidRPr="00ED7C30">
        <w:rPr>
          <w:rFonts w:asciiTheme="minorHAnsi" w:hAnsiTheme="minorHAnsi" w:cstheme="minorHAnsi"/>
        </w:rPr>
        <w:t xml:space="preserve"> o částku </w:t>
      </w:r>
      <w:r w:rsidR="00A54925" w:rsidRPr="00ED7C30">
        <w:rPr>
          <w:rFonts w:asciiTheme="minorHAnsi" w:hAnsiTheme="minorHAnsi" w:cstheme="minorHAnsi"/>
        </w:rPr>
        <w:t>ve výši 104 554 733,08 Kč</w:t>
      </w:r>
      <w:r w:rsidR="000F2729" w:rsidRPr="00ED7C30">
        <w:rPr>
          <w:rFonts w:asciiTheme="minorHAnsi" w:hAnsiTheme="minorHAnsi" w:cstheme="minorHAnsi"/>
        </w:rPr>
        <w:t xml:space="preserve">, která byla </w:t>
      </w:r>
      <w:r w:rsidR="000F2729" w:rsidRPr="00ED7C30">
        <w:rPr>
          <w:rFonts w:asciiTheme="minorHAnsi" w:hAnsiTheme="minorHAnsi" w:cstheme="minorHAnsi"/>
        </w:rPr>
        <w:lastRenderedPageBreak/>
        <w:t>zaúčtována</w:t>
      </w:r>
      <w:r w:rsidR="00A54925" w:rsidRPr="00ED7C30">
        <w:rPr>
          <w:rFonts w:asciiTheme="minorHAnsi" w:hAnsiTheme="minorHAnsi" w:cstheme="minorHAnsi"/>
        </w:rPr>
        <w:t xml:space="preserve"> na účtu 671 – </w:t>
      </w:r>
      <w:r w:rsidR="00A54925" w:rsidRPr="00ED7C30">
        <w:rPr>
          <w:rFonts w:asciiTheme="minorHAnsi" w:hAnsiTheme="minorHAnsi" w:cstheme="minorHAnsi"/>
          <w:i/>
        </w:rPr>
        <w:t>Výnosy vybraných ústředních vládních institucí z</w:t>
      </w:r>
      <w:r w:rsidR="00643A2E" w:rsidRPr="00ED7C30">
        <w:rPr>
          <w:rFonts w:asciiTheme="minorHAnsi" w:hAnsiTheme="minorHAnsi" w:cstheme="minorHAnsi"/>
          <w:i/>
        </w:rPr>
        <w:t> </w:t>
      </w:r>
      <w:r w:rsidR="00A54925" w:rsidRPr="00ED7C30">
        <w:rPr>
          <w:rFonts w:asciiTheme="minorHAnsi" w:hAnsiTheme="minorHAnsi" w:cstheme="minorHAnsi"/>
          <w:i/>
        </w:rPr>
        <w:t>transferů</w:t>
      </w:r>
      <w:r w:rsidR="00643A2E" w:rsidRPr="00ED7C30"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</w:rPr>
        <w:t xml:space="preserve"> </w:t>
      </w:r>
      <w:r w:rsidR="00643A2E" w:rsidRPr="00ED7C30">
        <w:rPr>
          <w:rFonts w:asciiTheme="minorHAnsi" w:hAnsiTheme="minorHAnsi" w:cstheme="minorHAnsi"/>
        </w:rPr>
        <w:t>V</w:t>
      </w:r>
      <w:r w:rsidR="00A54925" w:rsidRPr="00ED7C30">
        <w:rPr>
          <w:rFonts w:asciiTheme="minorHAnsi" w:hAnsiTheme="minorHAnsi" w:cstheme="minorHAnsi"/>
        </w:rPr>
        <w:t xml:space="preserve"> případě projektů realizovaných jinými subjekty </w:t>
      </w:r>
      <w:r w:rsidR="000F2729" w:rsidRPr="00ED7C30">
        <w:rPr>
          <w:rFonts w:asciiTheme="minorHAnsi" w:hAnsiTheme="minorHAnsi" w:cstheme="minorHAnsi"/>
        </w:rPr>
        <w:t>se jedn</w:t>
      </w:r>
      <w:r w:rsidR="002644B6" w:rsidRPr="00ED7C30">
        <w:rPr>
          <w:rFonts w:asciiTheme="minorHAnsi" w:hAnsiTheme="minorHAnsi" w:cstheme="minorHAnsi"/>
        </w:rPr>
        <w:t>alo</w:t>
      </w:r>
      <w:r w:rsidR="000F2729" w:rsidRPr="00ED7C30">
        <w:rPr>
          <w:rFonts w:asciiTheme="minorHAnsi" w:hAnsiTheme="minorHAnsi" w:cstheme="minorHAnsi"/>
        </w:rPr>
        <w:t xml:space="preserve"> o částku </w:t>
      </w:r>
      <w:r w:rsidR="00A54925" w:rsidRPr="00ED7C30">
        <w:rPr>
          <w:rFonts w:asciiTheme="minorHAnsi" w:hAnsiTheme="minorHAnsi" w:cstheme="minorHAnsi"/>
        </w:rPr>
        <w:t>ve výši 3 938 234 204,93 Kč</w:t>
      </w:r>
      <w:r w:rsidR="000F2729" w:rsidRPr="00ED7C30">
        <w:rPr>
          <w:rFonts w:asciiTheme="minorHAnsi" w:hAnsiTheme="minorHAnsi" w:cstheme="minorHAnsi"/>
        </w:rPr>
        <w:t>, která byla zaúčtována</w:t>
      </w:r>
      <w:r w:rsidR="00A54925" w:rsidRPr="00ED7C30">
        <w:rPr>
          <w:rFonts w:asciiTheme="minorHAnsi" w:hAnsiTheme="minorHAnsi" w:cstheme="minorHAnsi"/>
        </w:rPr>
        <w:t xml:space="preserve"> na účtu 675 – </w:t>
      </w:r>
      <w:r w:rsidR="00A54925" w:rsidRPr="00ED7C30">
        <w:rPr>
          <w:rFonts w:asciiTheme="minorHAnsi" w:hAnsiTheme="minorHAnsi" w:cstheme="minorHAnsi"/>
          <w:i/>
        </w:rPr>
        <w:t>Výnosy vybraných ústředních vládních institucí z </w:t>
      </w:r>
      <w:r w:rsidR="00C95401" w:rsidRPr="00ED7C30">
        <w:rPr>
          <w:rFonts w:asciiTheme="minorHAnsi" w:hAnsiTheme="minorHAnsi" w:cstheme="minorHAnsi"/>
          <w:i/>
        </w:rPr>
        <w:t xml:space="preserve">předfinancování </w:t>
      </w:r>
      <w:r w:rsidR="00A54925" w:rsidRPr="00ED7C30">
        <w:rPr>
          <w:rFonts w:asciiTheme="minorHAnsi" w:hAnsiTheme="minorHAnsi" w:cstheme="minorHAnsi"/>
          <w:i/>
        </w:rPr>
        <w:t>transferů.</w:t>
      </w:r>
      <w:r w:rsidR="00A54925" w:rsidRPr="00ED7C30">
        <w:rPr>
          <w:rFonts w:asciiTheme="minorHAnsi" w:hAnsiTheme="minorHAnsi" w:cstheme="minorHAnsi"/>
        </w:rPr>
        <w:t xml:space="preserve"> Vzhledem k tomu, že </w:t>
      </w:r>
      <w:r w:rsidR="00A54925" w:rsidRPr="00ED7C30">
        <w:rPr>
          <w:rFonts w:asciiTheme="minorHAnsi" w:hAnsiTheme="minorHAnsi" w:cstheme="minorHAnsi"/>
          <w:b/>
        </w:rPr>
        <w:t xml:space="preserve">výnosy z předfinancování v rámci OP LZZ zaúčtované v roce 2016 na </w:t>
      </w:r>
      <w:r w:rsidR="000F2729" w:rsidRPr="00ED7C30">
        <w:rPr>
          <w:rFonts w:asciiTheme="minorHAnsi" w:hAnsiTheme="minorHAnsi" w:cstheme="minorHAnsi"/>
          <w:b/>
        </w:rPr>
        <w:t xml:space="preserve">výnosových </w:t>
      </w:r>
      <w:r w:rsidR="00A54925" w:rsidRPr="00ED7C30">
        <w:rPr>
          <w:rFonts w:asciiTheme="minorHAnsi" w:hAnsiTheme="minorHAnsi" w:cstheme="minorHAnsi"/>
          <w:b/>
        </w:rPr>
        <w:t xml:space="preserve">účtech </w:t>
      </w:r>
      <w:r w:rsidR="000F2729" w:rsidRPr="00ED7C30">
        <w:rPr>
          <w:rFonts w:asciiTheme="minorHAnsi" w:hAnsiTheme="minorHAnsi" w:cstheme="minorHAnsi"/>
          <w:b/>
        </w:rPr>
        <w:t>v</w:t>
      </w:r>
      <w:r>
        <w:rPr>
          <w:rFonts w:asciiTheme="minorHAnsi" w:hAnsiTheme="minorHAnsi" w:cstheme="minorHAnsi"/>
          <w:b/>
        </w:rPr>
        <w:t> </w:t>
      </w:r>
      <w:r w:rsidR="00A54925" w:rsidRPr="00ED7C30">
        <w:rPr>
          <w:rFonts w:asciiTheme="minorHAnsi" w:hAnsiTheme="minorHAnsi" w:cstheme="minorHAnsi"/>
          <w:b/>
        </w:rPr>
        <w:t xml:space="preserve">celkové </w:t>
      </w:r>
      <w:r w:rsidR="00CF13F7" w:rsidRPr="00ED7C30">
        <w:rPr>
          <w:rFonts w:asciiTheme="minorHAnsi" w:hAnsiTheme="minorHAnsi" w:cstheme="minorHAnsi"/>
          <w:b/>
        </w:rPr>
        <w:t>výši 4</w:t>
      </w:r>
      <w:r w:rsidR="00ED4C56" w:rsidRPr="00ED7C30">
        <w:rPr>
          <w:rFonts w:asciiTheme="minorHAnsi" w:hAnsiTheme="minorHAnsi" w:cstheme="minorHAnsi"/>
          <w:b/>
        </w:rPr>
        <w:t> 042 </w:t>
      </w:r>
      <w:r w:rsidR="00A54925" w:rsidRPr="00ED7C30">
        <w:rPr>
          <w:rFonts w:asciiTheme="minorHAnsi" w:hAnsiTheme="minorHAnsi" w:cstheme="minorHAnsi"/>
          <w:b/>
        </w:rPr>
        <w:t>788 938,01 Kč měly být zaúčtovány již v roce 2015</w:t>
      </w:r>
      <w:r w:rsidR="00A54925" w:rsidRPr="00AB7AAA">
        <w:rPr>
          <w:rFonts w:asciiTheme="minorHAnsi" w:hAnsiTheme="minorHAnsi" w:cstheme="minorHAnsi"/>
          <w:b/>
        </w:rPr>
        <w:t xml:space="preserve">, </w:t>
      </w:r>
      <w:r w:rsidR="00A54925" w:rsidRPr="00ED7C30">
        <w:rPr>
          <w:rFonts w:asciiTheme="minorHAnsi" w:hAnsiTheme="minorHAnsi" w:cstheme="minorHAnsi"/>
        </w:rPr>
        <w:t>mělo MPSV o</w:t>
      </w:r>
      <w:r w:rsidR="002C72AD">
        <w:rPr>
          <w:rFonts w:asciiTheme="minorHAnsi" w:hAnsiTheme="minorHAnsi" w:cstheme="minorHAnsi"/>
        </w:rPr>
        <w:t> </w:t>
      </w:r>
      <w:r w:rsidR="00A54925" w:rsidRPr="00ED7C30">
        <w:rPr>
          <w:rFonts w:asciiTheme="minorHAnsi" w:hAnsiTheme="minorHAnsi" w:cstheme="minorHAnsi"/>
        </w:rPr>
        <w:t xml:space="preserve">těchto výnosech účtovat dle bodu 3.5.6 ČÚS č. 709 </w:t>
      </w:r>
      <w:r w:rsidR="002644B6" w:rsidRPr="00ED7C30">
        <w:rPr>
          <w:rFonts w:asciiTheme="minorHAnsi" w:hAnsiTheme="minorHAnsi" w:cstheme="minorHAnsi"/>
        </w:rPr>
        <w:t xml:space="preserve">prostřednictvím účtu </w:t>
      </w:r>
      <w:r w:rsidR="008A468B">
        <w:rPr>
          <w:rFonts w:asciiTheme="minorHAnsi" w:hAnsiTheme="minorHAnsi" w:cstheme="minorHAnsi"/>
        </w:rPr>
        <w:br/>
      </w:r>
      <w:r w:rsidR="00A54925" w:rsidRPr="00ED7C30">
        <w:rPr>
          <w:rFonts w:asciiTheme="minorHAnsi" w:hAnsiTheme="minorHAnsi" w:cstheme="minorHAnsi"/>
        </w:rPr>
        <w:t xml:space="preserve">408 – </w:t>
      </w:r>
      <w:r w:rsidR="00A54925" w:rsidRPr="00ED7C30">
        <w:rPr>
          <w:rFonts w:asciiTheme="minorHAnsi" w:hAnsiTheme="minorHAnsi" w:cstheme="minorHAnsi"/>
          <w:i/>
        </w:rPr>
        <w:t>Opravy předcházejících účetních období</w:t>
      </w:r>
      <w:r w:rsidR="00A54925" w:rsidRPr="00ED7C30">
        <w:rPr>
          <w:rFonts w:asciiTheme="minorHAnsi" w:hAnsiTheme="minorHAnsi" w:cstheme="minorHAnsi"/>
        </w:rPr>
        <w:t>.</w:t>
      </w:r>
      <w:r w:rsidR="00ED4C56" w:rsidRPr="00ED7C30">
        <w:rPr>
          <w:rFonts w:asciiTheme="minorHAnsi" w:hAnsiTheme="minorHAnsi" w:cstheme="minorHAnsi"/>
        </w:rPr>
        <w:t xml:space="preserve"> Nesprávnost byla vyčíslena na dokladech vybraných k testování. </w:t>
      </w:r>
      <w:r w:rsidR="00ED4C56" w:rsidRPr="00ED7C30">
        <w:rPr>
          <w:rFonts w:asciiTheme="minorHAnsi" w:hAnsiTheme="minorHAnsi" w:cstheme="minorHAnsi"/>
          <w:b/>
        </w:rPr>
        <w:t>Jedná se o systémový nedostatek</w:t>
      </w:r>
      <w:r w:rsidR="00ED4C56" w:rsidRPr="00AB7AAA">
        <w:rPr>
          <w:rFonts w:asciiTheme="minorHAnsi" w:hAnsiTheme="minorHAnsi" w:cstheme="minorHAnsi"/>
          <w:b/>
        </w:rPr>
        <w:t>,</w:t>
      </w:r>
      <w:r w:rsidR="00ED4C56" w:rsidRPr="00ED7C30">
        <w:rPr>
          <w:rFonts w:asciiTheme="minorHAnsi" w:hAnsiTheme="minorHAnsi" w:cstheme="minorHAnsi"/>
        </w:rPr>
        <w:t xml:space="preserve"> </w:t>
      </w:r>
      <w:r w:rsidR="00E76C5C">
        <w:rPr>
          <w:rFonts w:asciiTheme="minorHAnsi" w:hAnsiTheme="minorHAnsi" w:cstheme="minorHAnsi"/>
        </w:rPr>
        <w:t>a </w:t>
      </w:r>
      <w:r>
        <w:rPr>
          <w:rFonts w:asciiTheme="minorHAnsi" w:hAnsiTheme="minorHAnsi" w:cstheme="minorHAnsi"/>
        </w:rPr>
        <w:t>t</w:t>
      </w:r>
      <w:r w:rsidR="00E76C5C">
        <w:rPr>
          <w:rFonts w:asciiTheme="minorHAnsi" w:hAnsiTheme="minorHAnsi" w:cstheme="minorHAnsi"/>
        </w:rPr>
        <w:t>edy</w:t>
      </w:r>
      <w:r w:rsidR="00ED4C56" w:rsidRPr="00ED7C30">
        <w:rPr>
          <w:rFonts w:asciiTheme="minorHAnsi" w:hAnsiTheme="minorHAnsi" w:cstheme="minorHAnsi"/>
        </w:rPr>
        <w:t xml:space="preserve"> nesprávnost na výše uvedených účtech může být i vyšší.</w:t>
      </w:r>
    </w:p>
    <w:p w14:paraId="388551B7" w14:textId="77777777" w:rsidR="00FB3F63" w:rsidRPr="00ED7C30" w:rsidRDefault="00FB3F63" w:rsidP="00FB3F63">
      <w:pPr>
        <w:pStyle w:val="Odstavecseseznamem"/>
        <w:jc w:val="both"/>
        <w:rPr>
          <w:rFonts w:asciiTheme="minorHAnsi" w:hAnsiTheme="minorHAnsi" w:cstheme="minorHAnsi"/>
        </w:rPr>
      </w:pPr>
    </w:p>
    <w:p w14:paraId="326F7569" w14:textId="1C809B5F" w:rsidR="008853F1" w:rsidRPr="00ED7C30" w:rsidRDefault="00E7533E" w:rsidP="007048BD">
      <w:pPr>
        <w:pStyle w:val="Odstavecseseznamem"/>
        <w:numPr>
          <w:ilvl w:val="0"/>
          <w:numId w:val="4"/>
        </w:numPr>
        <w:ind w:left="714" w:hanging="357"/>
        <w:contextualSpacing w:val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>MPSV n</w:t>
      </w:r>
      <w:r w:rsidR="003B2CD6" w:rsidRPr="00ED7C30">
        <w:rPr>
          <w:rFonts w:asciiTheme="minorHAnsi" w:hAnsiTheme="minorHAnsi" w:cstheme="minorHAnsi"/>
          <w:b/>
        </w:rPr>
        <w:t>eúčtovalo o</w:t>
      </w:r>
      <w:r w:rsidR="00C95401" w:rsidRPr="00ED7C30">
        <w:rPr>
          <w:rFonts w:asciiTheme="minorHAnsi" w:hAnsiTheme="minorHAnsi" w:cstheme="minorHAnsi"/>
          <w:b/>
        </w:rPr>
        <w:t xml:space="preserve"> bezúplatné</w:t>
      </w:r>
      <w:r w:rsidR="003B2CD6" w:rsidRPr="00ED7C30">
        <w:rPr>
          <w:rFonts w:asciiTheme="minorHAnsi" w:hAnsiTheme="minorHAnsi" w:cstheme="minorHAnsi"/>
          <w:b/>
        </w:rPr>
        <w:t xml:space="preserve"> změně příslušnosti hos</w:t>
      </w:r>
      <w:r w:rsidR="00185A59" w:rsidRPr="00ED7C30">
        <w:rPr>
          <w:rFonts w:asciiTheme="minorHAnsi" w:hAnsiTheme="minorHAnsi" w:cstheme="minorHAnsi"/>
          <w:b/>
        </w:rPr>
        <w:t>podařit s majetkem státu jako o </w:t>
      </w:r>
      <w:r w:rsidR="003B2CD6" w:rsidRPr="00ED7C30">
        <w:rPr>
          <w:rFonts w:asciiTheme="minorHAnsi" w:hAnsiTheme="minorHAnsi" w:cstheme="minorHAnsi"/>
          <w:b/>
        </w:rPr>
        <w:t>bezúplatném pozbytí, ale jako by šlo o majetek určený k prodeji. Dále v roce 2010</w:t>
      </w:r>
      <w:r w:rsidR="002E35D2" w:rsidRPr="00ED7C30">
        <w:rPr>
          <w:rFonts w:asciiTheme="minorHAnsi" w:hAnsiTheme="minorHAnsi" w:cstheme="minorHAnsi"/>
          <w:b/>
        </w:rPr>
        <w:t xml:space="preserve"> chybně účtovalo</w:t>
      </w:r>
      <w:r w:rsidR="003B2CD6" w:rsidRPr="00ED7C30">
        <w:rPr>
          <w:rFonts w:asciiTheme="minorHAnsi" w:hAnsiTheme="minorHAnsi" w:cstheme="minorHAnsi"/>
          <w:b/>
        </w:rPr>
        <w:t xml:space="preserve"> o oceňovacích rozdíl</w:t>
      </w:r>
      <w:r w:rsidR="002E35D2" w:rsidRPr="00ED7C30">
        <w:rPr>
          <w:rFonts w:asciiTheme="minorHAnsi" w:hAnsiTheme="minorHAnsi" w:cstheme="minorHAnsi"/>
          <w:b/>
        </w:rPr>
        <w:t>ech</w:t>
      </w:r>
      <w:r w:rsidR="003B2CD6" w:rsidRPr="00ED7C30">
        <w:rPr>
          <w:rFonts w:asciiTheme="minorHAnsi" w:hAnsiTheme="minorHAnsi" w:cstheme="minorHAnsi"/>
          <w:b/>
        </w:rPr>
        <w:t xml:space="preserve"> u cenných papírů a též neúčtovalo ve správný okamžik </w:t>
      </w:r>
      <w:r w:rsidR="002E35D2" w:rsidRPr="00ED7C30">
        <w:rPr>
          <w:rFonts w:asciiTheme="minorHAnsi" w:hAnsiTheme="minorHAnsi" w:cstheme="minorHAnsi"/>
          <w:b/>
        </w:rPr>
        <w:t>po</w:t>
      </w:r>
      <w:r w:rsidR="003B2CD6" w:rsidRPr="00ED7C30">
        <w:rPr>
          <w:rFonts w:asciiTheme="minorHAnsi" w:hAnsiTheme="minorHAnsi" w:cstheme="minorHAnsi"/>
          <w:b/>
        </w:rPr>
        <w:t>dle ČÚS č. 701.</w:t>
      </w:r>
      <w:r w:rsidR="003B2CD6" w:rsidRPr="00ED7C30">
        <w:rPr>
          <w:rFonts w:asciiTheme="minorHAnsi" w:hAnsiTheme="minorHAnsi" w:cstheme="minorHAnsi"/>
        </w:rPr>
        <w:t xml:space="preserve"> </w:t>
      </w:r>
      <w:r w:rsidR="002E35D2" w:rsidRPr="00ED7C30">
        <w:rPr>
          <w:rFonts w:asciiTheme="minorHAnsi" w:hAnsiTheme="minorHAnsi" w:cstheme="minorHAnsi"/>
        </w:rPr>
        <w:t xml:space="preserve">V důsledku toho </w:t>
      </w:r>
      <w:r w:rsidR="003B2CD6" w:rsidRPr="00ED7C30">
        <w:rPr>
          <w:rFonts w:asciiTheme="minorHAnsi" w:hAnsiTheme="minorHAnsi" w:cstheme="minorHAnsi"/>
        </w:rPr>
        <w:t>došlo v účetní závěrce k 31.</w:t>
      </w:r>
      <w:r w:rsidR="00EB5465" w:rsidRPr="00ED7C30">
        <w:rPr>
          <w:rFonts w:asciiTheme="minorHAnsi" w:hAnsiTheme="minorHAnsi" w:cstheme="minorHAnsi"/>
        </w:rPr>
        <w:t> </w:t>
      </w:r>
      <w:r w:rsidR="003B2CD6" w:rsidRPr="00ED7C30">
        <w:rPr>
          <w:rFonts w:asciiTheme="minorHAnsi" w:hAnsiTheme="minorHAnsi" w:cstheme="minorHAnsi"/>
        </w:rPr>
        <w:t>12.</w:t>
      </w:r>
      <w:r w:rsidR="00526216" w:rsidRPr="00ED7C30">
        <w:rPr>
          <w:rFonts w:asciiTheme="minorHAnsi" w:hAnsiTheme="minorHAnsi" w:cstheme="minorHAnsi"/>
        </w:rPr>
        <w:t> </w:t>
      </w:r>
      <w:r w:rsidR="003B2CD6" w:rsidRPr="00ED7C30">
        <w:rPr>
          <w:rFonts w:asciiTheme="minorHAnsi" w:hAnsiTheme="minorHAnsi" w:cstheme="minorHAnsi"/>
        </w:rPr>
        <w:t>2016 k</w:t>
      </w:r>
      <w:r w:rsidR="00183B61" w:rsidRPr="00ED7C30">
        <w:rPr>
          <w:rFonts w:asciiTheme="minorHAnsi" w:hAnsiTheme="minorHAnsi" w:cstheme="minorHAnsi"/>
        </w:rPr>
        <w:t> </w:t>
      </w:r>
      <w:r w:rsidR="003B2CD6" w:rsidRPr="00ED7C30">
        <w:rPr>
          <w:rFonts w:asciiTheme="minorHAnsi" w:hAnsiTheme="minorHAnsi" w:cstheme="minorHAnsi"/>
          <w:b/>
        </w:rPr>
        <w:t>nadhodnocení</w:t>
      </w:r>
      <w:r w:rsidR="00183B61" w:rsidRPr="00ED7C30">
        <w:rPr>
          <w:rFonts w:asciiTheme="minorHAnsi" w:hAnsiTheme="minorHAnsi" w:cstheme="minorHAnsi"/>
          <w:b/>
        </w:rPr>
        <w:t xml:space="preserve"> zůstatků</w:t>
      </w:r>
      <w:r w:rsidR="003B2CD6" w:rsidRPr="00ED7C30">
        <w:rPr>
          <w:rFonts w:asciiTheme="minorHAnsi" w:hAnsiTheme="minorHAnsi" w:cstheme="minorHAnsi"/>
          <w:b/>
        </w:rPr>
        <w:t xml:space="preserve"> účtů 401 – </w:t>
      </w:r>
      <w:r w:rsidR="003B2CD6" w:rsidRPr="00ED7C30">
        <w:rPr>
          <w:rFonts w:asciiTheme="minorHAnsi" w:hAnsiTheme="minorHAnsi" w:cstheme="minorHAnsi"/>
          <w:b/>
          <w:i/>
        </w:rPr>
        <w:t>Jmění účetní jednotky</w:t>
      </w:r>
      <w:r w:rsidR="00436C03" w:rsidRPr="00ED7C30">
        <w:rPr>
          <w:rFonts w:asciiTheme="minorHAnsi" w:hAnsiTheme="minorHAnsi" w:cstheme="minorHAnsi"/>
          <w:b/>
        </w:rPr>
        <w:t xml:space="preserve"> o </w:t>
      </w:r>
      <w:r w:rsidR="003B2CD6" w:rsidRPr="00ED7C30">
        <w:rPr>
          <w:rFonts w:asciiTheme="minorHAnsi" w:hAnsiTheme="minorHAnsi" w:cstheme="minorHAnsi"/>
          <w:b/>
        </w:rPr>
        <w:t xml:space="preserve">1 706 140 355,04 Kč, 406 </w:t>
      </w:r>
      <w:r w:rsidR="003B2CD6" w:rsidRPr="00ED7C30">
        <w:rPr>
          <w:rFonts w:asciiTheme="minorHAnsi" w:hAnsiTheme="minorHAnsi" w:cstheme="minorHAnsi"/>
          <w:b/>
          <w:i/>
        </w:rPr>
        <w:t>–</w:t>
      </w:r>
      <w:r w:rsidR="003B2CD6" w:rsidRPr="00ED7C30">
        <w:rPr>
          <w:rFonts w:asciiTheme="minorHAnsi" w:hAnsiTheme="minorHAnsi" w:cstheme="minorHAnsi"/>
          <w:b/>
        </w:rPr>
        <w:t xml:space="preserve"> </w:t>
      </w:r>
      <w:r w:rsidR="003B2CD6" w:rsidRPr="00ED7C30">
        <w:rPr>
          <w:rFonts w:asciiTheme="minorHAnsi" w:hAnsiTheme="minorHAnsi" w:cstheme="minorHAnsi"/>
          <w:b/>
          <w:i/>
        </w:rPr>
        <w:t>Oceňovací rozdíly při prvotním použití metody</w:t>
      </w:r>
      <w:r>
        <w:rPr>
          <w:rFonts w:asciiTheme="minorHAnsi" w:hAnsiTheme="minorHAnsi" w:cstheme="minorHAnsi"/>
          <w:b/>
        </w:rPr>
        <w:t xml:space="preserve"> </w:t>
      </w:r>
      <w:r w:rsidR="00436C03" w:rsidRPr="00ED7C30">
        <w:rPr>
          <w:rFonts w:asciiTheme="minorHAnsi" w:hAnsiTheme="minorHAnsi" w:cstheme="minorHAnsi"/>
          <w:b/>
        </w:rPr>
        <w:t>o </w:t>
      </w:r>
      <w:r w:rsidR="00482886" w:rsidRPr="00ED7C30">
        <w:rPr>
          <w:rFonts w:asciiTheme="minorHAnsi" w:hAnsiTheme="minorHAnsi" w:cstheme="minorHAnsi"/>
          <w:b/>
        </w:rPr>
        <w:t>943 838 161,63</w:t>
      </w:r>
      <w:r w:rsidR="00050398">
        <w:rPr>
          <w:rFonts w:asciiTheme="minorHAnsi" w:hAnsiTheme="minorHAnsi" w:cstheme="minorHAnsi"/>
          <w:b/>
        </w:rPr>
        <w:t> </w:t>
      </w:r>
      <w:r w:rsidR="00482886" w:rsidRPr="00ED7C30">
        <w:rPr>
          <w:rFonts w:asciiTheme="minorHAnsi" w:hAnsiTheme="minorHAnsi" w:cstheme="minorHAnsi"/>
          <w:b/>
        </w:rPr>
        <w:t>Kč, 408</w:t>
      </w:r>
      <w:r w:rsidR="00050398">
        <w:rPr>
          <w:rFonts w:asciiTheme="minorHAnsi" w:hAnsiTheme="minorHAnsi" w:cstheme="minorHAnsi"/>
          <w:b/>
        </w:rPr>
        <w:t xml:space="preserve"> </w:t>
      </w:r>
      <w:r w:rsidR="00482886" w:rsidRPr="00ED7C30">
        <w:rPr>
          <w:rFonts w:asciiTheme="minorHAnsi" w:hAnsiTheme="minorHAnsi" w:cstheme="minorHAnsi"/>
          <w:b/>
          <w:i/>
        </w:rPr>
        <w:t>–</w:t>
      </w:r>
      <w:r w:rsidR="00050398">
        <w:rPr>
          <w:rFonts w:asciiTheme="minorHAnsi" w:hAnsiTheme="minorHAnsi" w:cstheme="minorHAnsi"/>
          <w:b/>
          <w:i/>
        </w:rPr>
        <w:t xml:space="preserve"> </w:t>
      </w:r>
      <w:r w:rsidR="003B2CD6" w:rsidRPr="00ED7C30">
        <w:rPr>
          <w:rFonts w:asciiTheme="minorHAnsi" w:hAnsiTheme="minorHAnsi" w:cstheme="minorHAnsi"/>
          <w:b/>
          <w:i/>
        </w:rPr>
        <w:t>Opravy předcházejících účetních období</w:t>
      </w:r>
      <w:r w:rsidR="00436C03" w:rsidRPr="00ED7C30">
        <w:rPr>
          <w:rFonts w:asciiTheme="minorHAnsi" w:hAnsiTheme="minorHAnsi" w:cstheme="minorHAnsi"/>
          <w:b/>
        </w:rPr>
        <w:t xml:space="preserve"> o </w:t>
      </w:r>
      <w:r w:rsidR="003B2CD6" w:rsidRPr="00ED7C30">
        <w:rPr>
          <w:rFonts w:asciiTheme="minorHAnsi" w:hAnsiTheme="minorHAnsi" w:cstheme="minorHAnsi"/>
          <w:b/>
        </w:rPr>
        <w:t>55 572 902,85 Kč a podhodno</w:t>
      </w:r>
      <w:r w:rsidR="00EB5E83" w:rsidRPr="00ED7C30">
        <w:rPr>
          <w:rFonts w:asciiTheme="minorHAnsi" w:hAnsiTheme="minorHAnsi" w:cstheme="minorHAnsi"/>
          <w:b/>
        </w:rPr>
        <w:t>cení</w:t>
      </w:r>
      <w:r w:rsidR="003B2CD6" w:rsidRPr="00ED7C30">
        <w:rPr>
          <w:rFonts w:asciiTheme="minorHAnsi" w:hAnsiTheme="minorHAnsi" w:cstheme="minorHAnsi"/>
          <w:b/>
        </w:rPr>
        <w:t xml:space="preserve"> zůstatk</w:t>
      </w:r>
      <w:r w:rsidR="00EB5E83" w:rsidRPr="00ED7C30">
        <w:rPr>
          <w:rFonts w:asciiTheme="minorHAnsi" w:hAnsiTheme="minorHAnsi" w:cstheme="minorHAnsi"/>
          <w:b/>
        </w:rPr>
        <w:t>u</w:t>
      </w:r>
      <w:r w:rsidR="003B2CD6" w:rsidRPr="00ED7C30">
        <w:rPr>
          <w:rFonts w:asciiTheme="minorHAnsi" w:hAnsiTheme="minorHAnsi" w:cstheme="minorHAnsi"/>
          <w:b/>
        </w:rPr>
        <w:t xml:space="preserve"> účtu 432 </w:t>
      </w:r>
      <w:r w:rsidR="00482886" w:rsidRPr="00ED7C30">
        <w:rPr>
          <w:rFonts w:asciiTheme="minorHAnsi" w:hAnsiTheme="minorHAnsi" w:cstheme="minorHAnsi"/>
          <w:b/>
        </w:rPr>
        <w:t>–</w:t>
      </w:r>
      <w:r w:rsidR="00482886" w:rsidRPr="00ED7C30">
        <w:rPr>
          <w:rFonts w:asciiTheme="minorHAnsi" w:hAnsiTheme="minorHAnsi" w:cstheme="minorHAnsi"/>
          <w:b/>
          <w:i/>
        </w:rPr>
        <w:t xml:space="preserve"> </w:t>
      </w:r>
      <w:r w:rsidR="003B2CD6" w:rsidRPr="00ED7C30">
        <w:rPr>
          <w:rFonts w:asciiTheme="minorHAnsi" w:hAnsiTheme="minorHAnsi" w:cstheme="minorHAnsi"/>
          <w:b/>
          <w:i/>
        </w:rPr>
        <w:t xml:space="preserve">Výsledek hospodaření přecházejících účetních období </w:t>
      </w:r>
      <w:r w:rsidR="003B2CD6" w:rsidRPr="00ED7C30">
        <w:rPr>
          <w:rFonts w:asciiTheme="minorHAnsi" w:hAnsiTheme="minorHAnsi" w:cstheme="minorHAnsi"/>
          <w:b/>
        </w:rPr>
        <w:t>o 2 705 551 419,52 Kč.</w:t>
      </w:r>
      <w:r w:rsidR="001623B7" w:rsidRPr="00ED7C30">
        <w:rPr>
          <w:rFonts w:asciiTheme="minorHAnsi" w:hAnsiTheme="minorHAnsi" w:cstheme="minorHAnsi"/>
        </w:rPr>
        <w:t xml:space="preserve"> </w:t>
      </w:r>
      <w:r w:rsidR="001623B7" w:rsidRPr="00ED7C30">
        <w:rPr>
          <w:rFonts w:asciiTheme="minorHAnsi" w:hAnsiTheme="minorHAnsi" w:cstheme="minorHAnsi"/>
          <w:b/>
        </w:rPr>
        <w:t>Uvedené nesprávnosti m</w:t>
      </w:r>
      <w:r w:rsidR="0083146E" w:rsidRPr="00ED7C30">
        <w:rPr>
          <w:rFonts w:asciiTheme="minorHAnsi" w:hAnsiTheme="minorHAnsi" w:cstheme="minorHAnsi"/>
          <w:b/>
        </w:rPr>
        <w:t>ěly</w:t>
      </w:r>
      <w:r w:rsidR="001623B7" w:rsidRPr="00ED7C30">
        <w:rPr>
          <w:rFonts w:asciiTheme="minorHAnsi" w:hAnsiTheme="minorHAnsi" w:cstheme="minorHAnsi"/>
          <w:b/>
        </w:rPr>
        <w:t xml:space="preserve"> významný dopad </w:t>
      </w:r>
      <w:r w:rsidR="006B21F2">
        <w:rPr>
          <w:rFonts w:asciiTheme="minorHAnsi" w:hAnsiTheme="minorHAnsi" w:cstheme="minorHAnsi"/>
          <w:b/>
        </w:rPr>
        <w:t>na</w:t>
      </w:r>
      <w:r w:rsidR="001623B7" w:rsidRPr="00ED7C30">
        <w:rPr>
          <w:rFonts w:asciiTheme="minorHAnsi" w:hAnsiTheme="minorHAnsi" w:cstheme="minorHAnsi"/>
          <w:b/>
        </w:rPr>
        <w:t xml:space="preserve"> výkaz </w:t>
      </w:r>
      <w:r w:rsidR="006A4D18">
        <w:rPr>
          <w:rFonts w:asciiTheme="minorHAnsi" w:hAnsiTheme="minorHAnsi" w:cstheme="minorHAnsi"/>
          <w:b/>
          <w:i/>
        </w:rPr>
        <w:t>p</w:t>
      </w:r>
      <w:r w:rsidR="001623B7" w:rsidRPr="00AB7AAA">
        <w:rPr>
          <w:rFonts w:asciiTheme="minorHAnsi" w:hAnsiTheme="minorHAnsi" w:cstheme="minorHAnsi"/>
          <w:b/>
          <w:i/>
        </w:rPr>
        <w:t>řehled o změnách vlastního kapitálu k 31. 12. 2016</w:t>
      </w:r>
      <w:r w:rsidR="001623B7" w:rsidRPr="00ED7C30">
        <w:rPr>
          <w:rFonts w:asciiTheme="minorHAnsi" w:hAnsiTheme="minorHAnsi" w:cstheme="minorHAnsi"/>
          <w:b/>
        </w:rPr>
        <w:t xml:space="preserve">, </w:t>
      </w:r>
      <w:r w:rsidR="001623B7" w:rsidRPr="00ED7C30">
        <w:rPr>
          <w:rFonts w:asciiTheme="minorHAnsi" w:hAnsiTheme="minorHAnsi" w:cstheme="minorHAnsi"/>
        </w:rPr>
        <w:t xml:space="preserve">zejména </w:t>
      </w:r>
      <w:r w:rsidR="002E35D2" w:rsidRPr="00ED7C30">
        <w:rPr>
          <w:rFonts w:asciiTheme="minorHAnsi" w:hAnsiTheme="minorHAnsi" w:cstheme="minorHAnsi"/>
        </w:rPr>
        <w:t>jimi</w:t>
      </w:r>
      <w:r w:rsidR="006B21F2" w:rsidRPr="006B21F2">
        <w:rPr>
          <w:rFonts w:asciiTheme="minorHAnsi" w:hAnsiTheme="minorHAnsi" w:cstheme="minorHAnsi"/>
        </w:rPr>
        <w:t xml:space="preserve"> </w:t>
      </w:r>
      <w:r w:rsidR="006B21F2" w:rsidRPr="00ED7C30">
        <w:rPr>
          <w:rFonts w:asciiTheme="minorHAnsi" w:hAnsiTheme="minorHAnsi" w:cstheme="minorHAnsi"/>
        </w:rPr>
        <w:t>byly</w:t>
      </w:r>
      <w:r w:rsidR="001623B7" w:rsidRPr="00ED7C30">
        <w:rPr>
          <w:rFonts w:asciiTheme="minorHAnsi" w:hAnsiTheme="minorHAnsi" w:cstheme="minorHAnsi"/>
        </w:rPr>
        <w:t xml:space="preserve"> ovlivněny počáteční a konečné stavy položek </w:t>
      </w:r>
      <w:proofErr w:type="gramStart"/>
      <w:r w:rsidR="001623B7" w:rsidRPr="00ED7C30">
        <w:rPr>
          <w:rFonts w:asciiTheme="minorHAnsi" w:hAnsiTheme="minorHAnsi" w:cstheme="minorHAnsi"/>
        </w:rPr>
        <w:t>A.I.</w:t>
      </w:r>
      <w:proofErr w:type="gramEnd"/>
      <w:r w:rsidR="001623B7" w:rsidRPr="00ED7C30">
        <w:rPr>
          <w:rFonts w:asciiTheme="minorHAnsi" w:hAnsiTheme="minorHAnsi" w:cstheme="minorHAnsi"/>
        </w:rPr>
        <w:t xml:space="preserve"> </w:t>
      </w:r>
      <w:r w:rsidR="001623B7" w:rsidRPr="00AB7AAA">
        <w:rPr>
          <w:rFonts w:asciiTheme="minorHAnsi" w:hAnsiTheme="minorHAnsi" w:cstheme="minorHAnsi"/>
          <w:i/>
        </w:rPr>
        <w:t>Jmění účetní jednotky</w:t>
      </w:r>
      <w:r w:rsidR="001623B7" w:rsidRPr="00ED7C30">
        <w:rPr>
          <w:rFonts w:asciiTheme="minorHAnsi" w:hAnsiTheme="minorHAnsi" w:cstheme="minorHAnsi"/>
        </w:rPr>
        <w:t xml:space="preserve">, </w:t>
      </w:r>
      <w:proofErr w:type="gramStart"/>
      <w:r w:rsidR="00526216" w:rsidRPr="00ED7C30">
        <w:rPr>
          <w:rFonts w:asciiTheme="minorHAnsi" w:hAnsiTheme="minorHAnsi" w:cstheme="minorHAnsi"/>
        </w:rPr>
        <w:t>A.</w:t>
      </w:r>
      <w:r w:rsidR="001623B7" w:rsidRPr="00ED7C30">
        <w:rPr>
          <w:rFonts w:asciiTheme="minorHAnsi" w:hAnsiTheme="minorHAnsi" w:cstheme="minorHAnsi"/>
        </w:rPr>
        <w:t>V.</w:t>
      </w:r>
      <w:proofErr w:type="gramEnd"/>
      <w:r w:rsidR="002E35D2" w:rsidRPr="00ED7C30">
        <w:rPr>
          <w:rFonts w:asciiTheme="minorHAnsi" w:hAnsiTheme="minorHAnsi" w:cstheme="minorHAnsi"/>
        </w:rPr>
        <w:t> </w:t>
      </w:r>
      <w:r w:rsidR="001623B7" w:rsidRPr="00AB7AAA">
        <w:rPr>
          <w:rFonts w:asciiTheme="minorHAnsi" w:hAnsiTheme="minorHAnsi" w:cstheme="minorHAnsi"/>
          <w:i/>
        </w:rPr>
        <w:t>Oceňovací rozdíly při prvotním použití metody</w:t>
      </w:r>
      <w:r w:rsidR="001623B7" w:rsidRPr="00ED7C30">
        <w:rPr>
          <w:rFonts w:asciiTheme="minorHAnsi" w:hAnsiTheme="minorHAnsi" w:cstheme="minorHAnsi"/>
        </w:rPr>
        <w:t xml:space="preserve">, </w:t>
      </w:r>
      <w:proofErr w:type="gramStart"/>
      <w:r w:rsidR="00526216" w:rsidRPr="00ED7C30">
        <w:rPr>
          <w:rFonts w:asciiTheme="minorHAnsi" w:hAnsiTheme="minorHAnsi" w:cstheme="minorHAnsi"/>
        </w:rPr>
        <w:t>A.</w:t>
      </w:r>
      <w:r w:rsidR="001623B7" w:rsidRPr="00ED7C30">
        <w:rPr>
          <w:rFonts w:asciiTheme="minorHAnsi" w:hAnsiTheme="minorHAnsi" w:cstheme="minorHAnsi"/>
        </w:rPr>
        <w:t>VI</w:t>
      </w:r>
      <w:proofErr w:type="gramEnd"/>
      <w:r w:rsidR="001623B7" w:rsidRPr="00ED7C30">
        <w:rPr>
          <w:rFonts w:asciiTheme="minorHAnsi" w:hAnsiTheme="minorHAnsi" w:cstheme="minorHAnsi"/>
        </w:rPr>
        <w:t xml:space="preserve">. </w:t>
      </w:r>
      <w:r w:rsidR="001623B7" w:rsidRPr="00AB7AAA">
        <w:rPr>
          <w:rFonts w:asciiTheme="minorHAnsi" w:hAnsiTheme="minorHAnsi" w:cstheme="minorHAnsi"/>
          <w:i/>
        </w:rPr>
        <w:t>Jiné oceňovací rozdíly</w:t>
      </w:r>
      <w:r w:rsidR="001623B7" w:rsidRPr="00ED7C30">
        <w:rPr>
          <w:rFonts w:asciiTheme="minorHAnsi" w:hAnsiTheme="minorHAnsi" w:cstheme="minorHAnsi"/>
        </w:rPr>
        <w:t xml:space="preserve">, </w:t>
      </w:r>
      <w:proofErr w:type="gramStart"/>
      <w:r w:rsidR="00526216" w:rsidRPr="00ED7C30">
        <w:rPr>
          <w:rFonts w:asciiTheme="minorHAnsi" w:hAnsiTheme="minorHAnsi" w:cstheme="minorHAnsi"/>
        </w:rPr>
        <w:t>A.</w:t>
      </w:r>
      <w:r w:rsidR="001623B7" w:rsidRPr="00ED7C30">
        <w:rPr>
          <w:rFonts w:asciiTheme="minorHAnsi" w:hAnsiTheme="minorHAnsi" w:cstheme="minorHAnsi"/>
        </w:rPr>
        <w:t>VII</w:t>
      </w:r>
      <w:proofErr w:type="gramEnd"/>
      <w:r w:rsidR="001623B7" w:rsidRPr="00ED7C30">
        <w:rPr>
          <w:rFonts w:asciiTheme="minorHAnsi" w:hAnsiTheme="minorHAnsi" w:cstheme="minorHAnsi"/>
        </w:rPr>
        <w:t xml:space="preserve">. </w:t>
      </w:r>
      <w:r w:rsidR="001623B7" w:rsidRPr="00AB7AAA">
        <w:rPr>
          <w:rFonts w:asciiTheme="minorHAnsi" w:hAnsiTheme="minorHAnsi" w:cstheme="minorHAnsi"/>
          <w:i/>
        </w:rPr>
        <w:t>Opravy předcházejících účetních období</w:t>
      </w:r>
      <w:r w:rsidR="00183B61" w:rsidRPr="00AB7AAA">
        <w:rPr>
          <w:rFonts w:asciiTheme="minorHAnsi" w:hAnsiTheme="minorHAnsi" w:cstheme="minorHAnsi"/>
          <w:i/>
        </w:rPr>
        <w:t xml:space="preserve"> </w:t>
      </w:r>
      <w:r w:rsidR="00183B61" w:rsidRPr="00ED7C30">
        <w:rPr>
          <w:rFonts w:asciiTheme="minorHAnsi" w:hAnsiTheme="minorHAnsi" w:cstheme="minorHAnsi"/>
        </w:rPr>
        <w:t>a</w:t>
      </w:r>
      <w:r w:rsidR="004374EE" w:rsidRPr="00ED7C30">
        <w:rPr>
          <w:rFonts w:asciiTheme="minorHAnsi" w:hAnsiTheme="minorHAnsi" w:cstheme="minorHAnsi"/>
        </w:rPr>
        <w:t> </w:t>
      </w:r>
      <w:r w:rsidR="001623B7" w:rsidRPr="00ED7C30">
        <w:rPr>
          <w:rFonts w:asciiTheme="minorHAnsi" w:hAnsiTheme="minorHAnsi" w:cstheme="minorHAnsi"/>
        </w:rPr>
        <w:t>C.</w:t>
      </w:r>
      <w:r w:rsidR="004374EE" w:rsidRPr="00ED7C30">
        <w:rPr>
          <w:rFonts w:asciiTheme="minorHAnsi" w:hAnsiTheme="minorHAnsi" w:cstheme="minorHAnsi"/>
        </w:rPr>
        <w:t> </w:t>
      </w:r>
      <w:r w:rsidR="001623B7" w:rsidRPr="00AB7AAA">
        <w:rPr>
          <w:rFonts w:asciiTheme="minorHAnsi" w:hAnsiTheme="minorHAnsi" w:cstheme="minorHAnsi"/>
          <w:i/>
        </w:rPr>
        <w:t>Výsledek hospodaření</w:t>
      </w:r>
      <w:r w:rsidR="001623B7" w:rsidRPr="00ED7C30">
        <w:rPr>
          <w:rFonts w:asciiTheme="minorHAnsi" w:hAnsiTheme="minorHAnsi" w:cstheme="minorHAnsi"/>
        </w:rPr>
        <w:t>.</w:t>
      </w:r>
    </w:p>
    <w:p w14:paraId="2C3B95DC" w14:textId="77777777" w:rsidR="00093AE7" w:rsidRPr="004D557D" w:rsidRDefault="00093AE7" w:rsidP="007048BD">
      <w:pPr>
        <w:spacing w:after="0"/>
        <w:jc w:val="both"/>
        <w:rPr>
          <w:rFonts w:cstheme="minorHAnsi"/>
          <w:sz w:val="24"/>
          <w:szCs w:val="24"/>
        </w:rPr>
      </w:pPr>
    </w:p>
    <w:p w14:paraId="61DFE3CC" w14:textId="6CF2352A" w:rsidR="00B52B0B" w:rsidRPr="00ED7C30" w:rsidRDefault="00E7533E" w:rsidP="00C33513">
      <w:pPr>
        <w:pStyle w:val="Odstavecseseznamem"/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MPSV n</w:t>
      </w:r>
      <w:r w:rsidR="0083146E" w:rsidRPr="00ED7C30">
        <w:rPr>
          <w:rFonts w:asciiTheme="minorHAnsi" w:hAnsiTheme="minorHAnsi" w:cstheme="minorHAnsi"/>
          <w:b/>
        </w:rPr>
        <w:t xml:space="preserve">eúčtovalo </w:t>
      </w:r>
      <w:r w:rsidR="00EB5E83" w:rsidRPr="00ED7C30">
        <w:rPr>
          <w:rFonts w:asciiTheme="minorHAnsi" w:hAnsiTheme="minorHAnsi" w:cstheme="minorHAnsi"/>
          <w:b/>
        </w:rPr>
        <w:t xml:space="preserve">ke správnému okamžiku o pozbytí majetkové účasti ve </w:t>
      </w:r>
      <w:proofErr w:type="gramStart"/>
      <w:r w:rsidR="00EB5E83" w:rsidRPr="00ED7C30">
        <w:rPr>
          <w:rFonts w:asciiTheme="minorHAnsi" w:hAnsiTheme="minorHAnsi" w:cstheme="minorHAnsi"/>
          <w:b/>
        </w:rPr>
        <w:t>společnosti E.ON</w:t>
      </w:r>
      <w:proofErr w:type="gramEnd"/>
      <w:r w:rsidR="00EB5E83" w:rsidRPr="00ED7C30">
        <w:rPr>
          <w:rFonts w:asciiTheme="minorHAnsi" w:hAnsiTheme="minorHAnsi" w:cstheme="minorHAnsi"/>
          <w:b/>
        </w:rPr>
        <w:t xml:space="preserve"> SE v roce 2016</w:t>
      </w:r>
      <w:r w:rsidR="0083146E" w:rsidRPr="00ED7C30">
        <w:rPr>
          <w:rFonts w:asciiTheme="minorHAnsi" w:hAnsiTheme="minorHAnsi" w:cstheme="minorHAnsi"/>
          <w:b/>
        </w:rPr>
        <w:t>, což</w:t>
      </w:r>
      <w:r w:rsidR="00EB5E83" w:rsidRPr="00ED7C30">
        <w:rPr>
          <w:rFonts w:asciiTheme="minorHAnsi" w:hAnsiTheme="minorHAnsi" w:cstheme="minorHAnsi"/>
          <w:b/>
        </w:rPr>
        <w:t xml:space="preserve"> mělo vliv</w:t>
      </w:r>
      <w:r w:rsidR="0083146E" w:rsidRPr="00ED7C30">
        <w:rPr>
          <w:rFonts w:asciiTheme="minorHAnsi" w:hAnsiTheme="minorHAnsi" w:cstheme="minorHAnsi"/>
          <w:b/>
        </w:rPr>
        <w:t xml:space="preserve"> i</w:t>
      </w:r>
      <w:r w:rsidR="00EB5E83" w:rsidRPr="00ED7C30">
        <w:rPr>
          <w:rFonts w:asciiTheme="minorHAnsi" w:hAnsiTheme="minorHAnsi" w:cstheme="minorHAnsi"/>
          <w:b/>
        </w:rPr>
        <w:t xml:space="preserve"> na účetní závěrku sestavenou k 31. 12. 2015.</w:t>
      </w:r>
      <w:r w:rsidR="00EB5E83" w:rsidRPr="00ED7C30">
        <w:rPr>
          <w:rFonts w:asciiTheme="minorHAnsi" w:hAnsiTheme="minorHAnsi" w:cstheme="minorHAnsi"/>
        </w:rPr>
        <w:t xml:space="preserve"> Majetková účast ve </w:t>
      </w:r>
      <w:proofErr w:type="gramStart"/>
      <w:r w:rsidR="00EB5E83" w:rsidRPr="00ED7C30">
        <w:rPr>
          <w:rFonts w:asciiTheme="minorHAnsi" w:hAnsiTheme="minorHAnsi" w:cstheme="minorHAnsi"/>
        </w:rPr>
        <w:t>společnosti E.ON</w:t>
      </w:r>
      <w:proofErr w:type="gramEnd"/>
      <w:r w:rsidR="00EB5E83" w:rsidRPr="00ED7C30">
        <w:rPr>
          <w:rFonts w:asciiTheme="minorHAnsi" w:hAnsiTheme="minorHAnsi" w:cstheme="minorHAnsi"/>
        </w:rPr>
        <w:t xml:space="preserve"> SE byla z účetnictví MPSV </w:t>
      </w:r>
      <w:r w:rsidR="0083146E" w:rsidRPr="00ED7C30">
        <w:rPr>
          <w:rFonts w:asciiTheme="minorHAnsi" w:hAnsiTheme="minorHAnsi" w:cstheme="minorHAnsi"/>
        </w:rPr>
        <w:t xml:space="preserve">nesprávně </w:t>
      </w:r>
      <w:r w:rsidR="00EB5E83" w:rsidRPr="00ED7C30">
        <w:rPr>
          <w:rFonts w:asciiTheme="minorHAnsi" w:hAnsiTheme="minorHAnsi" w:cstheme="minorHAnsi"/>
        </w:rPr>
        <w:t xml:space="preserve">vyřazena </w:t>
      </w:r>
      <w:r w:rsidR="0083146E" w:rsidRPr="00ED7C30">
        <w:rPr>
          <w:rFonts w:asciiTheme="minorHAnsi" w:hAnsiTheme="minorHAnsi" w:cstheme="minorHAnsi"/>
        </w:rPr>
        <w:t xml:space="preserve">již </w:t>
      </w:r>
      <w:r w:rsidR="00EB5E83" w:rsidRPr="00ED7C30">
        <w:rPr>
          <w:rFonts w:asciiTheme="minorHAnsi" w:hAnsiTheme="minorHAnsi" w:cstheme="minorHAnsi"/>
        </w:rPr>
        <w:t xml:space="preserve">v roce 2015, </w:t>
      </w:r>
      <w:r w:rsidR="00C95401" w:rsidRPr="00ED7C30">
        <w:rPr>
          <w:rFonts w:asciiTheme="minorHAnsi" w:hAnsiTheme="minorHAnsi" w:cstheme="minorHAnsi"/>
        </w:rPr>
        <w:t>což mohlo mít významný vliv na účetní výkazy za Českou republiku</w:t>
      </w:r>
      <w:r w:rsidR="00450EBA" w:rsidRPr="00ED7C30">
        <w:rPr>
          <w:rFonts w:asciiTheme="minorHAnsi" w:hAnsiTheme="minorHAnsi" w:cstheme="minorHAnsi"/>
        </w:rPr>
        <w:t xml:space="preserve"> za rok</w:t>
      </w:r>
      <w:r w:rsidR="00526216" w:rsidRPr="00ED7C30">
        <w:rPr>
          <w:rFonts w:asciiTheme="minorHAnsi" w:hAnsiTheme="minorHAnsi" w:cstheme="minorHAnsi"/>
        </w:rPr>
        <w:t> </w:t>
      </w:r>
      <w:r w:rsidR="00450EBA" w:rsidRPr="00ED7C30">
        <w:rPr>
          <w:rFonts w:asciiTheme="minorHAnsi" w:hAnsiTheme="minorHAnsi" w:cstheme="minorHAnsi"/>
        </w:rPr>
        <w:t>2015</w:t>
      </w:r>
      <w:r w:rsidR="00C95401" w:rsidRPr="00ED7C30">
        <w:rPr>
          <w:rFonts w:asciiTheme="minorHAnsi" w:hAnsiTheme="minorHAnsi" w:cstheme="minorHAnsi"/>
        </w:rPr>
        <w:t xml:space="preserve">. </w:t>
      </w:r>
      <w:r w:rsidR="00643A2E" w:rsidRPr="00ED7C30">
        <w:rPr>
          <w:rFonts w:asciiTheme="minorHAnsi" w:hAnsiTheme="minorHAnsi" w:cstheme="minorHAnsi"/>
          <w:b/>
        </w:rPr>
        <w:t>Hodnota nezah</w:t>
      </w:r>
      <w:r w:rsidR="00A507DF" w:rsidRPr="00ED7C30">
        <w:rPr>
          <w:rFonts w:asciiTheme="minorHAnsi" w:hAnsiTheme="minorHAnsi" w:cstheme="minorHAnsi"/>
          <w:b/>
        </w:rPr>
        <w:t xml:space="preserve">rnuté majetkové účasti </w:t>
      </w:r>
      <w:r w:rsidR="002E35D2" w:rsidRPr="00ED7C30">
        <w:rPr>
          <w:rFonts w:asciiTheme="minorHAnsi" w:hAnsiTheme="minorHAnsi" w:cstheme="minorHAnsi"/>
          <w:b/>
        </w:rPr>
        <w:t xml:space="preserve">ve </w:t>
      </w:r>
      <w:proofErr w:type="gramStart"/>
      <w:r w:rsidR="002E35D2" w:rsidRPr="00ED7C30">
        <w:rPr>
          <w:rFonts w:asciiTheme="minorHAnsi" w:hAnsiTheme="minorHAnsi" w:cstheme="minorHAnsi"/>
          <w:b/>
        </w:rPr>
        <w:t>společnosti E.ON</w:t>
      </w:r>
      <w:proofErr w:type="gramEnd"/>
      <w:r w:rsidR="002E35D2" w:rsidRPr="00ED7C30">
        <w:rPr>
          <w:rFonts w:asciiTheme="minorHAnsi" w:hAnsiTheme="minorHAnsi" w:cstheme="minorHAnsi"/>
          <w:b/>
        </w:rPr>
        <w:t xml:space="preserve"> SE </w:t>
      </w:r>
      <w:r w:rsidR="00C95401" w:rsidRPr="00ED7C30">
        <w:rPr>
          <w:rFonts w:asciiTheme="minorHAnsi" w:hAnsiTheme="minorHAnsi" w:cstheme="minorHAnsi"/>
          <w:b/>
        </w:rPr>
        <w:t>měla být</w:t>
      </w:r>
      <w:r w:rsidR="002E35D2" w:rsidRPr="00ED7C30">
        <w:rPr>
          <w:rFonts w:asciiTheme="minorHAnsi" w:hAnsiTheme="minorHAnsi" w:cstheme="minorHAnsi"/>
          <w:b/>
        </w:rPr>
        <w:t xml:space="preserve"> k 31. 12. 2015 ve výši 890 313 128,56 Kč</w:t>
      </w:r>
      <w:r w:rsidR="002E35D2" w:rsidRPr="00ED7C30">
        <w:rPr>
          <w:rStyle w:val="Znakapoznpodarou"/>
          <w:rFonts w:asciiTheme="minorHAnsi" w:hAnsiTheme="minorHAnsi" w:cstheme="minorHAnsi"/>
          <w:b/>
        </w:rPr>
        <w:footnoteReference w:id="16"/>
      </w:r>
      <w:r w:rsidR="00643A2E" w:rsidRPr="00ED7C30">
        <w:rPr>
          <w:rFonts w:asciiTheme="minorHAnsi" w:hAnsiTheme="minorHAnsi" w:cstheme="minorHAnsi"/>
          <w:b/>
        </w:rPr>
        <w:t xml:space="preserve">, </w:t>
      </w:r>
      <w:r w:rsidR="00A507DF" w:rsidRPr="00ED7C30">
        <w:rPr>
          <w:rFonts w:asciiTheme="minorHAnsi" w:hAnsiTheme="minorHAnsi" w:cstheme="minorHAnsi"/>
          <w:b/>
        </w:rPr>
        <w:t>oceňovací rozdíl z</w:t>
      </w:r>
      <w:r w:rsidR="00896C1F" w:rsidRPr="00ED7C30">
        <w:rPr>
          <w:rFonts w:asciiTheme="minorHAnsi" w:hAnsiTheme="minorHAnsi" w:cstheme="minorHAnsi"/>
          <w:b/>
        </w:rPr>
        <w:t> </w:t>
      </w:r>
      <w:r w:rsidR="00A507DF" w:rsidRPr="00ED7C30">
        <w:rPr>
          <w:rFonts w:asciiTheme="minorHAnsi" w:hAnsiTheme="minorHAnsi" w:cstheme="minorHAnsi"/>
          <w:b/>
        </w:rPr>
        <w:t>přecenění</w:t>
      </w:r>
      <w:r w:rsidR="00896C1F" w:rsidRPr="00ED7C30">
        <w:rPr>
          <w:rFonts w:asciiTheme="minorHAnsi" w:hAnsiTheme="minorHAnsi" w:cstheme="minorHAnsi"/>
          <w:b/>
        </w:rPr>
        <w:t xml:space="preserve"> na reálnou hodnotu</w:t>
      </w:r>
      <w:r w:rsidR="00A507DF" w:rsidRPr="00ED7C30">
        <w:rPr>
          <w:rFonts w:asciiTheme="minorHAnsi" w:hAnsiTheme="minorHAnsi" w:cstheme="minorHAnsi"/>
          <w:b/>
        </w:rPr>
        <w:t xml:space="preserve"> </w:t>
      </w:r>
      <w:r w:rsidR="00C95401" w:rsidRPr="00ED7C30">
        <w:rPr>
          <w:rFonts w:asciiTheme="minorHAnsi" w:hAnsiTheme="minorHAnsi" w:cstheme="minorHAnsi"/>
          <w:b/>
        </w:rPr>
        <w:t xml:space="preserve">měl </w:t>
      </w:r>
      <w:r w:rsidR="00A507DF" w:rsidRPr="00ED7C30">
        <w:rPr>
          <w:rFonts w:asciiTheme="minorHAnsi" w:hAnsiTheme="minorHAnsi" w:cstheme="minorHAnsi"/>
          <w:b/>
        </w:rPr>
        <w:t>představova</w:t>
      </w:r>
      <w:r w:rsidR="00C95401" w:rsidRPr="00ED7C30">
        <w:rPr>
          <w:rFonts w:asciiTheme="minorHAnsi" w:hAnsiTheme="minorHAnsi" w:cstheme="minorHAnsi"/>
          <w:b/>
        </w:rPr>
        <w:t>t</w:t>
      </w:r>
      <w:r w:rsidR="00A507DF" w:rsidRPr="00ED7C30">
        <w:rPr>
          <w:rFonts w:asciiTheme="minorHAnsi" w:hAnsiTheme="minorHAnsi" w:cstheme="minorHAnsi"/>
          <w:b/>
        </w:rPr>
        <w:t xml:space="preserve"> </w:t>
      </w:r>
      <w:r w:rsidR="002E35D2" w:rsidRPr="00ED7C30">
        <w:rPr>
          <w:rFonts w:asciiTheme="minorHAnsi" w:hAnsiTheme="minorHAnsi" w:cstheme="minorHAnsi"/>
          <w:b/>
        </w:rPr>
        <w:t>částku ve výši 1 311 924 039,92 Kč</w:t>
      </w:r>
      <w:r w:rsidR="002E35D2" w:rsidRPr="00ED7C30">
        <w:rPr>
          <w:rStyle w:val="Znakapoznpodarou"/>
          <w:rFonts w:asciiTheme="minorHAnsi" w:hAnsiTheme="minorHAnsi" w:cstheme="minorHAnsi"/>
          <w:b/>
        </w:rPr>
        <w:footnoteReference w:id="17"/>
      </w:r>
      <w:r w:rsidR="00A507DF" w:rsidRPr="00ED7C30">
        <w:rPr>
          <w:rFonts w:asciiTheme="minorHAnsi" w:hAnsiTheme="minorHAnsi" w:cstheme="minorHAnsi"/>
          <w:b/>
        </w:rPr>
        <w:t>.</w:t>
      </w:r>
    </w:p>
    <w:p w14:paraId="78F81B40" w14:textId="77777777" w:rsidR="00ED4C56" w:rsidRPr="00ED7C30" w:rsidRDefault="00ED4C56" w:rsidP="004D557D">
      <w:pPr>
        <w:spacing w:after="0"/>
        <w:rPr>
          <w:rFonts w:cstheme="minorHAnsi"/>
          <w:sz w:val="24"/>
          <w:szCs w:val="24"/>
        </w:rPr>
      </w:pPr>
    </w:p>
    <w:p w14:paraId="19483894" w14:textId="7938298A" w:rsidR="00E83D97" w:rsidRDefault="00E76C5C" w:rsidP="00E83D97">
      <w:pPr>
        <w:numPr>
          <w:ilvl w:val="0"/>
          <w:numId w:val="2"/>
        </w:numPr>
        <w:spacing w:after="12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</w:rPr>
        <w:t xml:space="preserve">MPSV </w:t>
      </w:r>
      <w:r>
        <w:rPr>
          <w:rFonts w:cstheme="minorHAnsi"/>
          <w:sz w:val="24"/>
          <w:szCs w:val="24"/>
        </w:rPr>
        <w:t>n</w:t>
      </w:r>
      <w:r w:rsidR="00E83D97" w:rsidRPr="00ED7C30">
        <w:rPr>
          <w:rFonts w:cstheme="minorHAnsi"/>
          <w:sz w:val="24"/>
          <w:szCs w:val="24"/>
        </w:rPr>
        <w:t>eúčtovalo o </w:t>
      </w:r>
      <w:r w:rsidR="00E83D97" w:rsidRPr="00ED7C30">
        <w:rPr>
          <w:rFonts w:cstheme="minorHAnsi"/>
          <w:b/>
          <w:sz w:val="24"/>
          <w:szCs w:val="24"/>
        </w:rPr>
        <w:t>dlouhodobých</w:t>
      </w:r>
      <w:r w:rsidR="00E83D97" w:rsidRPr="00ED7C30">
        <w:rPr>
          <w:rFonts w:cstheme="minorHAnsi"/>
          <w:sz w:val="24"/>
          <w:szCs w:val="24"/>
        </w:rPr>
        <w:t xml:space="preserve"> </w:t>
      </w:r>
      <w:r w:rsidR="00E83D97" w:rsidRPr="00ED7C30">
        <w:rPr>
          <w:rFonts w:cstheme="minorHAnsi"/>
          <w:b/>
          <w:sz w:val="24"/>
          <w:szCs w:val="24"/>
        </w:rPr>
        <w:t>podmíněných závazcích z uzavřených smluv</w:t>
      </w:r>
      <w:r w:rsidR="00E83D97" w:rsidRPr="00AB7AAA">
        <w:rPr>
          <w:rFonts w:cstheme="minorHAnsi"/>
          <w:b/>
          <w:sz w:val="24"/>
          <w:szCs w:val="24"/>
        </w:rPr>
        <w:t xml:space="preserve">. </w:t>
      </w:r>
      <w:r w:rsidR="00E83D97" w:rsidRPr="00ED7C30">
        <w:rPr>
          <w:rFonts w:cstheme="minorHAnsi"/>
          <w:b/>
          <w:sz w:val="24"/>
          <w:szCs w:val="24"/>
        </w:rPr>
        <w:t>Jedná se o</w:t>
      </w:r>
      <w:r w:rsidR="00CA4BD5" w:rsidRPr="00ED7C30">
        <w:rPr>
          <w:rFonts w:cstheme="minorHAnsi"/>
          <w:b/>
          <w:sz w:val="24"/>
          <w:szCs w:val="24"/>
        </w:rPr>
        <w:t> </w:t>
      </w:r>
      <w:r w:rsidR="00E83D97" w:rsidRPr="00ED7C30">
        <w:rPr>
          <w:rFonts w:cstheme="minorHAnsi"/>
          <w:b/>
          <w:sz w:val="24"/>
          <w:szCs w:val="24"/>
        </w:rPr>
        <w:t>systémový nedostatek.</w:t>
      </w:r>
      <w:r w:rsidR="00E83D97" w:rsidRPr="00ED7C30">
        <w:rPr>
          <w:rFonts w:cstheme="minorHAnsi"/>
          <w:sz w:val="24"/>
          <w:szCs w:val="24"/>
        </w:rPr>
        <w:t xml:space="preserve"> Při kontrole vybraných operací byla vyčíslena </w:t>
      </w:r>
      <w:r w:rsidR="00E83D97" w:rsidRPr="00ED7C30">
        <w:rPr>
          <w:rFonts w:cstheme="minorHAnsi"/>
          <w:b/>
          <w:sz w:val="24"/>
          <w:szCs w:val="24"/>
        </w:rPr>
        <w:t xml:space="preserve">nesprávnost, která měla dopad na vykázané zůstatky </w:t>
      </w:r>
      <w:r w:rsidR="00C95401" w:rsidRPr="00ED7C30">
        <w:rPr>
          <w:rFonts w:cstheme="minorHAnsi"/>
          <w:b/>
          <w:sz w:val="24"/>
          <w:szCs w:val="24"/>
        </w:rPr>
        <w:t xml:space="preserve">podrozvahových </w:t>
      </w:r>
      <w:r w:rsidR="00E83D97" w:rsidRPr="00ED7C30">
        <w:rPr>
          <w:rFonts w:cstheme="minorHAnsi"/>
          <w:b/>
          <w:sz w:val="24"/>
          <w:szCs w:val="24"/>
        </w:rPr>
        <w:t xml:space="preserve">účtů </w:t>
      </w:r>
      <w:r w:rsidR="00450EBA" w:rsidRPr="00ED7C30">
        <w:rPr>
          <w:rFonts w:cstheme="minorHAnsi"/>
          <w:b/>
          <w:sz w:val="24"/>
          <w:szCs w:val="24"/>
        </w:rPr>
        <w:t xml:space="preserve">v </w:t>
      </w:r>
      <w:r w:rsidR="00E83D97" w:rsidRPr="00ED7C30">
        <w:rPr>
          <w:rFonts w:cstheme="minorHAnsi"/>
          <w:b/>
          <w:sz w:val="24"/>
          <w:szCs w:val="24"/>
        </w:rPr>
        <w:t>přílo</w:t>
      </w:r>
      <w:r w:rsidR="00450EBA" w:rsidRPr="00ED7C30">
        <w:rPr>
          <w:rFonts w:cstheme="minorHAnsi"/>
          <w:b/>
          <w:sz w:val="24"/>
          <w:szCs w:val="24"/>
        </w:rPr>
        <w:t>ze</w:t>
      </w:r>
      <w:r w:rsidR="0083146E" w:rsidRPr="00ED7C30">
        <w:rPr>
          <w:rFonts w:cstheme="minorHAnsi"/>
          <w:b/>
          <w:sz w:val="24"/>
          <w:szCs w:val="24"/>
        </w:rPr>
        <w:t xml:space="preserve"> ÚZ k 31. 12. 2016</w:t>
      </w:r>
      <w:r w:rsidR="00E83D97" w:rsidRPr="00ED7C30">
        <w:rPr>
          <w:rFonts w:cstheme="minorHAnsi"/>
          <w:b/>
          <w:sz w:val="24"/>
          <w:szCs w:val="24"/>
        </w:rPr>
        <w:t>,</w:t>
      </w:r>
      <w:r w:rsidR="00C95401" w:rsidRPr="00ED7C30">
        <w:rPr>
          <w:rFonts w:cstheme="minorHAnsi"/>
          <w:b/>
          <w:sz w:val="24"/>
          <w:szCs w:val="24"/>
        </w:rPr>
        <w:t xml:space="preserve"> a to na</w:t>
      </w:r>
      <w:r>
        <w:rPr>
          <w:rFonts w:cstheme="minorHAnsi"/>
          <w:b/>
          <w:sz w:val="24"/>
          <w:szCs w:val="24"/>
        </w:rPr>
        <w:t xml:space="preserve"> </w:t>
      </w:r>
      <w:r w:rsidR="00E83D97" w:rsidRPr="00ED7C30">
        <w:rPr>
          <w:rFonts w:cstheme="minorHAnsi"/>
          <w:b/>
          <w:sz w:val="24"/>
          <w:szCs w:val="24"/>
        </w:rPr>
        <w:t xml:space="preserve">podhodnocení zůstatku účtů 974 – </w:t>
      </w:r>
      <w:r w:rsidR="00E83D97" w:rsidRPr="00ED7C30">
        <w:rPr>
          <w:rFonts w:cstheme="minorHAnsi"/>
          <w:b/>
          <w:i/>
          <w:sz w:val="24"/>
          <w:szCs w:val="24"/>
        </w:rPr>
        <w:t>Dlouhodobé podmíněné závazky z jiných smluv</w:t>
      </w:r>
      <w:r w:rsidR="00E83D97" w:rsidRPr="00ED7C30">
        <w:rPr>
          <w:rFonts w:cstheme="minorHAnsi"/>
          <w:b/>
          <w:sz w:val="24"/>
          <w:szCs w:val="24"/>
        </w:rPr>
        <w:t xml:space="preserve"> minimálně o 62</w:t>
      </w:r>
      <w:r w:rsidR="00C95401" w:rsidRPr="00ED7C30">
        <w:rPr>
          <w:rFonts w:cstheme="minorHAnsi"/>
          <w:b/>
          <w:sz w:val="24"/>
          <w:szCs w:val="24"/>
        </w:rPr>
        <w:t>7</w:t>
      </w:r>
      <w:r w:rsidR="00450EBA" w:rsidRPr="00ED7C30">
        <w:rPr>
          <w:rFonts w:cstheme="minorHAnsi"/>
          <w:b/>
          <w:sz w:val="24"/>
          <w:szCs w:val="24"/>
        </w:rPr>
        <w:t>,604</w:t>
      </w:r>
      <w:r w:rsidR="00E83D97" w:rsidRPr="00ED7C30">
        <w:rPr>
          <w:rFonts w:cstheme="minorHAnsi"/>
          <w:b/>
          <w:sz w:val="24"/>
          <w:szCs w:val="24"/>
        </w:rPr>
        <w:t xml:space="preserve"> mil. Kč. </w:t>
      </w:r>
      <w:r w:rsidR="00E83D97" w:rsidRPr="00ED7C30">
        <w:rPr>
          <w:rFonts w:cstheme="minorHAnsi"/>
          <w:sz w:val="24"/>
          <w:szCs w:val="24"/>
        </w:rPr>
        <w:t>Vykázáním nesprávných konečných zůstatků účtů podmíněných závazků je</w:t>
      </w:r>
      <w:r w:rsidR="00D008CC" w:rsidRPr="00ED7C30">
        <w:rPr>
          <w:rFonts w:cstheme="minorHAnsi"/>
          <w:sz w:val="24"/>
          <w:szCs w:val="24"/>
        </w:rPr>
        <w:t xml:space="preserve"> podávána nesprávná informace o </w:t>
      </w:r>
      <w:r w:rsidR="00E83D97" w:rsidRPr="00ED7C30">
        <w:rPr>
          <w:rFonts w:cstheme="minorHAnsi"/>
          <w:sz w:val="24"/>
          <w:szCs w:val="24"/>
        </w:rPr>
        <w:t>nárocích na budoucí rozpočty</w:t>
      </w:r>
      <w:r w:rsidR="004A2EBE" w:rsidRPr="00ED7C30">
        <w:rPr>
          <w:rStyle w:val="Znakapoznpodarou"/>
          <w:rFonts w:cstheme="minorHAnsi"/>
          <w:sz w:val="24"/>
          <w:szCs w:val="24"/>
        </w:rPr>
        <w:footnoteReference w:id="18"/>
      </w:r>
      <w:r w:rsidR="004A2EBE" w:rsidRPr="00ED7C30">
        <w:rPr>
          <w:rFonts w:cstheme="minorHAnsi"/>
          <w:sz w:val="24"/>
          <w:szCs w:val="24"/>
        </w:rPr>
        <w:t>.</w:t>
      </w:r>
      <w:r w:rsidR="00E83D97" w:rsidRPr="00ED7C30">
        <w:rPr>
          <w:rFonts w:cstheme="minorHAnsi"/>
          <w:sz w:val="24"/>
          <w:szCs w:val="24"/>
        </w:rPr>
        <w:t xml:space="preserve"> Kontrolami NKÚ jsou v této oblasti opakovaně zjišťovány významné nedostatky</w:t>
      </w:r>
      <w:r w:rsidR="00B52B0B" w:rsidRPr="00ED7C30">
        <w:rPr>
          <w:rFonts w:cstheme="minorHAnsi"/>
          <w:sz w:val="24"/>
          <w:szCs w:val="24"/>
        </w:rPr>
        <w:t>.</w:t>
      </w:r>
      <w:r w:rsidR="00E83D97" w:rsidRPr="00ED7C30">
        <w:rPr>
          <w:rFonts w:cstheme="minorHAnsi"/>
          <w:sz w:val="24"/>
          <w:szCs w:val="24"/>
        </w:rPr>
        <w:t xml:space="preserve"> </w:t>
      </w:r>
    </w:p>
    <w:p w14:paraId="2F7D3FCA" w14:textId="77777777" w:rsidR="00C33513" w:rsidRPr="00ED7C30" w:rsidRDefault="00C33513" w:rsidP="00C33513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424735D1" w14:textId="7A9E9222" w:rsidR="00FB3F63" w:rsidRPr="00ED7C30" w:rsidRDefault="00E76C5C" w:rsidP="00FB3F63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MPSV </w:t>
      </w:r>
      <w:r>
        <w:rPr>
          <w:rFonts w:asciiTheme="minorHAnsi" w:hAnsiTheme="minorHAnsi" w:cstheme="minorHAnsi"/>
          <w:bCs/>
        </w:rPr>
        <w:t>p</w:t>
      </w:r>
      <w:r w:rsidR="00C875CA" w:rsidRPr="00ED7C30">
        <w:rPr>
          <w:rFonts w:asciiTheme="minorHAnsi" w:hAnsiTheme="minorHAnsi" w:cstheme="minorHAnsi"/>
          <w:bCs/>
        </w:rPr>
        <w:t xml:space="preserve">rovedlo </w:t>
      </w:r>
      <w:r w:rsidR="006046A5" w:rsidRPr="00ED7C30">
        <w:rPr>
          <w:rFonts w:asciiTheme="minorHAnsi" w:hAnsiTheme="minorHAnsi" w:cstheme="minorHAnsi"/>
          <w:bCs/>
        </w:rPr>
        <w:t xml:space="preserve">předfinancování transferů spolufinancovaných z rozpočtu EU formou </w:t>
      </w:r>
      <w:r w:rsidR="00C875CA" w:rsidRPr="00ED7C30">
        <w:rPr>
          <w:rFonts w:asciiTheme="minorHAnsi" w:hAnsiTheme="minorHAnsi" w:cstheme="minorHAnsi"/>
          <w:bCs/>
        </w:rPr>
        <w:t>poskytnutí</w:t>
      </w:r>
      <w:r w:rsidR="002B42C6" w:rsidRPr="00ED7C30">
        <w:rPr>
          <w:rFonts w:asciiTheme="minorHAnsi" w:hAnsiTheme="minorHAnsi" w:cstheme="minorHAnsi"/>
          <w:bCs/>
        </w:rPr>
        <w:t xml:space="preserve"> </w:t>
      </w:r>
      <w:r w:rsidR="006046A5" w:rsidRPr="00ED7C30">
        <w:rPr>
          <w:rFonts w:asciiTheme="minorHAnsi" w:hAnsiTheme="minorHAnsi" w:cstheme="minorHAnsi"/>
          <w:bCs/>
        </w:rPr>
        <w:t xml:space="preserve">zálohy, avšak o podmíněné pohledávce na účtu </w:t>
      </w:r>
      <w:r w:rsidR="006046A5" w:rsidRPr="00ED7C30">
        <w:rPr>
          <w:rFonts w:asciiTheme="minorHAnsi" w:hAnsiTheme="minorHAnsi" w:cstheme="minorHAnsi"/>
          <w:bCs/>
          <w:iCs/>
        </w:rPr>
        <w:t>951 –</w:t>
      </w:r>
      <w:r w:rsidR="006046A5" w:rsidRPr="00ED7C30">
        <w:rPr>
          <w:rFonts w:asciiTheme="minorHAnsi" w:hAnsiTheme="minorHAnsi" w:cstheme="minorHAnsi"/>
          <w:bCs/>
          <w:i/>
          <w:iCs/>
        </w:rPr>
        <w:t xml:space="preserve"> Dlouhodobé podmíněné pohledávky z předfinancování transferů</w:t>
      </w:r>
      <w:r w:rsidR="006046A5" w:rsidRPr="00ED7C30">
        <w:rPr>
          <w:rFonts w:asciiTheme="minorHAnsi" w:hAnsiTheme="minorHAnsi" w:cstheme="minorHAnsi"/>
        </w:rPr>
        <w:t xml:space="preserve"> </w:t>
      </w:r>
      <w:r w:rsidR="006046A5" w:rsidRPr="00ED7C30">
        <w:rPr>
          <w:rFonts w:asciiTheme="minorHAnsi" w:hAnsiTheme="minorHAnsi" w:cstheme="minorHAnsi"/>
          <w:bCs/>
        </w:rPr>
        <w:t>v rozporu s bodem 4.15. písm. a) ČÚS č. 703</w:t>
      </w:r>
      <w:r w:rsidR="006046A5" w:rsidRPr="00ED7C30">
        <w:rPr>
          <w:rFonts w:asciiTheme="minorHAnsi" w:hAnsiTheme="minorHAnsi" w:cstheme="minorHAnsi"/>
        </w:rPr>
        <w:t xml:space="preserve"> </w:t>
      </w:r>
      <w:r w:rsidR="006046A5" w:rsidRPr="00ED7C30">
        <w:rPr>
          <w:rFonts w:asciiTheme="minorHAnsi" w:hAnsiTheme="minorHAnsi" w:cstheme="minorHAnsi"/>
          <w:bCs/>
        </w:rPr>
        <w:t>neúčtovalo. MPSV tím v </w:t>
      </w:r>
      <w:r w:rsidR="00C95401" w:rsidRPr="00ED7C30">
        <w:rPr>
          <w:rFonts w:asciiTheme="minorHAnsi" w:hAnsiTheme="minorHAnsi" w:cstheme="minorHAnsi"/>
          <w:bCs/>
        </w:rPr>
        <w:t>p</w:t>
      </w:r>
      <w:r w:rsidR="006046A5" w:rsidRPr="00ED7C30">
        <w:rPr>
          <w:rFonts w:asciiTheme="minorHAnsi" w:hAnsiTheme="minorHAnsi" w:cstheme="minorHAnsi"/>
          <w:bCs/>
        </w:rPr>
        <w:t xml:space="preserve">říloze ÚZ k 31. 12. 2016 v údajích za běžné účetní období </w:t>
      </w:r>
      <w:r w:rsidR="006046A5" w:rsidRPr="00ED7C30">
        <w:rPr>
          <w:rFonts w:asciiTheme="minorHAnsi" w:hAnsiTheme="minorHAnsi" w:cstheme="minorHAnsi"/>
          <w:b/>
          <w:bCs/>
        </w:rPr>
        <w:t xml:space="preserve">podhodnotilo zůstatek účtu </w:t>
      </w:r>
      <w:r w:rsidR="006046A5" w:rsidRPr="00ED7C30">
        <w:rPr>
          <w:rFonts w:asciiTheme="minorHAnsi" w:hAnsiTheme="minorHAnsi" w:cstheme="minorHAnsi"/>
          <w:b/>
          <w:bCs/>
          <w:iCs/>
        </w:rPr>
        <w:t>951</w:t>
      </w:r>
      <w:r w:rsidR="006046A5" w:rsidRPr="00ED7C30">
        <w:rPr>
          <w:rFonts w:asciiTheme="minorHAnsi" w:hAnsiTheme="minorHAnsi" w:cstheme="minorHAnsi"/>
          <w:b/>
          <w:bCs/>
          <w:i/>
          <w:iCs/>
        </w:rPr>
        <w:t xml:space="preserve"> – Dlouhodobé podmíněné pohledávky z předfinancování transferů</w:t>
      </w:r>
      <w:r w:rsidR="00FB3F63" w:rsidRPr="00ED7C30">
        <w:rPr>
          <w:rFonts w:asciiTheme="minorHAnsi" w:hAnsiTheme="minorHAnsi" w:cstheme="minorHAnsi"/>
          <w:b/>
          <w:bCs/>
        </w:rPr>
        <w:t xml:space="preserve"> o částku 404 848 098,19 Kč.</w:t>
      </w:r>
    </w:p>
    <w:p w14:paraId="7DF639B7" w14:textId="77777777" w:rsidR="00FB3F63" w:rsidRPr="00ED7C30" w:rsidRDefault="00FB3F63" w:rsidP="00C33513">
      <w:pPr>
        <w:spacing w:after="0" w:line="240" w:lineRule="auto"/>
        <w:jc w:val="both"/>
        <w:rPr>
          <w:rFonts w:cstheme="minorHAnsi"/>
        </w:rPr>
      </w:pPr>
    </w:p>
    <w:p w14:paraId="7D46BFF8" w14:textId="53381880" w:rsidR="004025F2" w:rsidRPr="00ED7C30" w:rsidRDefault="0059758A" w:rsidP="00C3351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</w:rPr>
        <w:t xml:space="preserve">MPSV </w:t>
      </w:r>
      <w:r>
        <w:rPr>
          <w:rFonts w:asciiTheme="minorHAnsi" w:hAnsiTheme="minorHAnsi" w:cstheme="minorHAnsi"/>
          <w:b/>
          <w:bCs/>
          <w:iCs/>
        </w:rPr>
        <w:t>n</w:t>
      </w:r>
      <w:r w:rsidR="004025F2" w:rsidRPr="00ED7C30">
        <w:rPr>
          <w:rFonts w:asciiTheme="minorHAnsi" w:hAnsiTheme="minorHAnsi" w:cstheme="minorHAnsi"/>
          <w:b/>
          <w:bCs/>
          <w:iCs/>
        </w:rPr>
        <w:t xml:space="preserve">eúčtovalo </w:t>
      </w:r>
      <w:r w:rsidR="00C95401" w:rsidRPr="00ED7C30">
        <w:rPr>
          <w:rFonts w:asciiTheme="minorHAnsi" w:hAnsiTheme="minorHAnsi" w:cstheme="minorHAnsi"/>
          <w:b/>
          <w:bCs/>
          <w:iCs/>
        </w:rPr>
        <w:t xml:space="preserve">jednotně </w:t>
      </w:r>
      <w:r w:rsidR="004025F2" w:rsidRPr="00ED7C30">
        <w:rPr>
          <w:rFonts w:asciiTheme="minorHAnsi" w:hAnsiTheme="minorHAnsi" w:cstheme="minorHAnsi"/>
          <w:b/>
          <w:bCs/>
          <w:iCs/>
        </w:rPr>
        <w:t xml:space="preserve">o </w:t>
      </w:r>
      <w:r w:rsidR="00602AAF" w:rsidRPr="00ED7C30">
        <w:rPr>
          <w:rFonts w:asciiTheme="minorHAnsi" w:hAnsiTheme="minorHAnsi" w:cstheme="minorHAnsi"/>
          <w:b/>
          <w:bCs/>
          <w:iCs/>
        </w:rPr>
        <w:t xml:space="preserve">některých </w:t>
      </w:r>
      <w:r w:rsidR="004025F2" w:rsidRPr="00ED7C30">
        <w:rPr>
          <w:rFonts w:asciiTheme="minorHAnsi" w:hAnsiTheme="minorHAnsi" w:cstheme="minorHAnsi"/>
          <w:b/>
          <w:bCs/>
          <w:iCs/>
        </w:rPr>
        <w:t xml:space="preserve">nákladech vyplývajících ze smlouvy </w:t>
      </w:r>
      <w:r w:rsidR="004025F2" w:rsidRPr="00ED7C30">
        <w:rPr>
          <w:rFonts w:asciiTheme="minorHAnsi" w:hAnsiTheme="minorHAnsi" w:cstheme="minorHAnsi"/>
          <w:bCs/>
          <w:iCs/>
        </w:rPr>
        <w:t>o</w:t>
      </w:r>
      <w:r>
        <w:rPr>
          <w:rFonts w:asciiTheme="minorHAnsi" w:hAnsiTheme="minorHAnsi" w:cstheme="minorHAnsi"/>
          <w:bCs/>
          <w:iCs/>
        </w:rPr>
        <w:t> </w:t>
      </w:r>
      <w:r w:rsidR="004025F2" w:rsidRPr="00ED7C30">
        <w:rPr>
          <w:rFonts w:asciiTheme="minorHAnsi" w:hAnsiTheme="minorHAnsi" w:cstheme="minorHAnsi"/>
          <w:bCs/>
          <w:iCs/>
        </w:rPr>
        <w:t xml:space="preserve">zajištění provozu komunikační a systémové infrastruktury na účtu 518 – </w:t>
      </w:r>
      <w:r w:rsidR="004025F2" w:rsidRPr="00ED7C30">
        <w:rPr>
          <w:rFonts w:asciiTheme="minorHAnsi" w:hAnsiTheme="minorHAnsi" w:cstheme="minorHAnsi"/>
          <w:bCs/>
          <w:i/>
          <w:iCs/>
        </w:rPr>
        <w:t>Ostatní služby</w:t>
      </w:r>
      <w:r w:rsidR="004025F2" w:rsidRPr="00ED7C30">
        <w:rPr>
          <w:rFonts w:asciiTheme="minorHAnsi" w:hAnsiTheme="minorHAnsi" w:cstheme="minorHAnsi"/>
          <w:bCs/>
          <w:iCs/>
        </w:rPr>
        <w:t xml:space="preserve">, ale na účtu 511 – </w:t>
      </w:r>
      <w:r w:rsidR="004025F2" w:rsidRPr="00ED7C30">
        <w:rPr>
          <w:rFonts w:asciiTheme="minorHAnsi" w:hAnsiTheme="minorHAnsi" w:cstheme="minorHAnsi"/>
          <w:bCs/>
          <w:i/>
          <w:iCs/>
        </w:rPr>
        <w:t>Opravy a udržování</w:t>
      </w:r>
      <w:r w:rsidR="004025F2" w:rsidRPr="00ED7C30">
        <w:rPr>
          <w:rFonts w:asciiTheme="minorHAnsi" w:hAnsiTheme="minorHAnsi" w:cstheme="minorHAnsi"/>
          <w:bCs/>
          <w:iCs/>
        </w:rPr>
        <w:t xml:space="preserve">. </w:t>
      </w:r>
      <w:r w:rsidR="004025F2" w:rsidRPr="00ED7C30">
        <w:rPr>
          <w:rFonts w:asciiTheme="minorHAnsi" w:hAnsiTheme="minorHAnsi" w:cstheme="minorHAnsi"/>
          <w:b/>
          <w:bCs/>
          <w:iCs/>
        </w:rPr>
        <w:t xml:space="preserve">Tím došlo k nadhodnocení zůstatku účtu 511 – </w:t>
      </w:r>
      <w:r w:rsidR="003C3304" w:rsidRPr="00ED7C30">
        <w:rPr>
          <w:rFonts w:asciiTheme="minorHAnsi" w:hAnsiTheme="minorHAnsi" w:cstheme="minorHAnsi"/>
          <w:b/>
          <w:bCs/>
          <w:i/>
          <w:iCs/>
        </w:rPr>
        <w:t>Opravy a </w:t>
      </w:r>
      <w:r w:rsidR="004025F2" w:rsidRPr="00ED7C30">
        <w:rPr>
          <w:rFonts w:asciiTheme="minorHAnsi" w:hAnsiTheme="minorHAnsi" w:cstheme="minorHAnsi"/>
          <w:b/>
          <w:bCs/>
          <w:iCs/>
        </w:rPr>
        <w:t xml:space="preserve">udržování o 34 530 980,00 Kč a podhodnocení zůstatku účtu </w:t>
      </w:r>
      <w:r w:rsidR="008A468B">
        <w:rPr>
          <w:rFonts w:asciiTheme="minorHAnsi" w:hAnsiTheme="minorHAnsi" w:cstheme="minorHAnsi"/>
          <w:b/>
          <w:bCs/>
          <w:iCs/>
        </w:rPr>
        <w:br/>
      </w:r>
      <w:r w:rsidR="004025F2" w:rsidRPr="00ED7C30">
        <w:rPr>
          <w:rFonts w:asciiTheme="minorHAnsi" w:hAnsiTheme="minorHAnsi" w:cstheme="minorHAnsi"/>
          <w:b/>
          <w:bCs/>
          <w:iCs/>
        </w:rPr>
        <w:t xml:space="preserve">518 </w:t>
      </w:r>
      <w:r w:rsidR="004025F2" w:rsidRPr="00ED7C30">
        <w:rPr>
          <w:rFonts w:asciiTheme="minorHAnsi" w:hAnsiTheme="minorHAnsi" w:cstheme="minorHAnsi"/>
          <w:b/>
          <w:bCs/>
          <w:i/>
          <w:iCs/>
        </w:rPr>
        <w:t xml:space="preserve">– Ostatní služby </w:t>
      </w:r>
      <w:r w:rsidR="004025F2" w:rsidRPr="00ED7C30">
        <w:rPr>
          <w:rFonts w:asciiTheme="minorHAnsi" w:hAnsiTheme="minorHAnsi" w:cstheme="minorHAnsi"/>
          <w:b/>
          <w:bCs/>
          <w:iCs/>
        </w:rPr>
        <w:t xml:space="preserve">o 34 530 980,00 Kč. </w:t>
      </w:r>
      <w:r w:rsidR="004025F2" w:rsidRPr="00ED7C30">
        <w:rPr>
          <w:rFonts w:asciiTheme="minorHAnsi" w:hAnsiTheme="minorHAnsi" w:cstheme="minorHAnsi"/>
          <w:bCs/>
          <w:iCs/>
        </w:rPr>
        <w:t>D</w:t>
      </w:r>
      <w:r w:rsidR="004025F2" w:rsidRPr="00ED7C30">
        <w:rPr>
          <w:rFonts w:asciiTheme="minorHAnsi" w:hAnsiTheme="minorHAnsi" w:cstheme="minorHAnsi"/>
          <w:bCs/>
        </w:rPr>
        <w:t>ále tím, že v</w:t>
      </w:r>
      <w:r w:rsidR="004025F2" w:rsidRPr="00ED7C30">
        <w:rPr>
          <w:rFonts w:asciiTheme="minorHAnsi" w:hAnsiTheme="minorHAnsi" w:cstheme="minorHAnsi"/>
        </w:rPr>
        <w:t xml:space="preserve">ýdaje za </w:t>
      </w:r>
      <w:r w:rsidR="004025F2" w:rsidRPr="00ED7C30">
        <w:rPr>
          <w:rFonts w:asciiTheme="minorHAnsi" w:hAnsiTheme="minorHAnsi" w:cstheme="minorHAnsi"/>
          <w:bCs/>
          <w:iCs/>
        </w:rPr>
        <w:t>odbornou podporu v souvislosti se zajištěním provozu komunikační a systémové infrastruktury</w:t>
      </w:r>
      <w:r w:rsidR="004025F2" w:rsidRPr="00ED7C30">
        <w:rPr>
          <w:rFonts w:asciiTheme="minorHAnsi" w:hAnsiTheme="minorHAnsi" w:cstheme="minorHAnsi"/>
        </w:rPr>
        <w:t xml:space="preserve"> </w:t>
      </w:r>
      <w:r w:rsidR="00C95401" w:rsidRPr="00ED7C30">
        <w:rPr>
          <w:rFonts w:asciiTheme="minorHAnsi" w:hAnsiTheme="minorHAnsi" w:cstheme="minorHAnsi"/>
        </w:rPr>
        <w:t xml:space="preserve">zatřídilo </w:t>
      </w:r>
      <w:r>
        <w:rPr>
          <w:rFonts w:asciiTheme="minorHAnsi" w:hAnsiTheme="minorHAnsi" w:cstheme="minorHAnsi"/>
        </w:rPr>
        <w:t xml:space="preserve">na </w:t>
      </w:r>
      <w:r w:rsidR="004025F2" w:rsidRPr="00ED7C30">
        <w:rPr>
          <w:rFonts w:asciiTheme="minorHAnsi" w:hAnsiTheme="minorHAnsi" w:cstheme="minorHAnsi"/>
        </w:rPr>
        <w:t xml:space="preserve">položku rozpočtové skladby 5171 – </w:t>
      </w:r>
      <w:r w:rsidR="004025F2" w:rsidRPr="00ED7C30">
        <w:rPr>
          <w:rFonts w:asciiTheme="minorHAnsi" w:hAnsiTheme="minorHAnsi" w:cstheme="minorHAnsi"/>
          <w:i/>
        </w:rPr>
        <w:t>Opravy a udržování</w:t>
      </w:r>
      <w:r w:rsidR="004025F2" w:rsidRPr="00ED7C30">
        <w:rPr>
          <w:rFonts w:asciiTheme="minorHAnsi" w:hAnsiTheme="minorHAnsi" w:cstheme="minorHAnsi"/>
          <w:bCs/>
          <w:iCs/>
        </w:rPr>
        <w:t xml:space="preserve">, přestože pro tento druh výdaje je určena položka rozpočtové skladby 5168 – </w:t>
      </w:r>
      <w:r w:rsidR="004025F2" w:rsidRPr="00ED7C30">
        <w:rPr>
          <w:rFonts w:asciiTheme="minorHAnsi" w:hAnsiTheme="minorHAnsi" w:cstheme="minorHAnsi"/>
          <w:bCs/>
          <w:i/>
          <w:iCs/>
        </w:rPr>
        <w:t>Zpracování dat a služby související s informačními a komunikačními technologiemi</w:t>
      </w:r>
      <w:r w:rsidR="004025F2" w:rsidRPr="00ED7C30">
        <w:rPr>
          <w:rFonts w:asciiTheme="minorHAnsi" w:hAnsiTheme="minorHAnsi" w:cstheme="minorHAnsi"/>
          <w:bCs/>
        </w:rPr>
        <w:t xml:space="preserve">, postupovalo v rozporu s ustanovením </w:t>
      </w:r>
      <w:r w:rsidR="0092330B" w:rsidRPr="00ED7C30">
        <w:rPr>
          <w:rFonts w:asciiTheme="minorHAnsi" w:hAnsiTheme="minorHAnsi" w:cstheme="minorHAnsi"/>
          <w:bCs/>
        </w:rPr>
        <w:t>p</w:t>
      </w:r>
      <w:r w:rsidR="004025F2" w:rsidRPr="00ED7C30">
        <w:rPr>
          <w:rFonts w:asciiTheme="minorHAnsi" w:hAnsiTheme="minorHAnsi" w:cstheme="minorHAnsi"/>
          <w:bCs/>
        </w:rPr>
        <w:t>řílohy části B. </w:t>
      </w:r>
      <w:r w:rsidR="004025F2" w:rsidRPr="00AB7AAA">
        <w:rPr>
          <w:rFonts w:asciiTheme="minorHAnsi" w:hAnsiTheme="minorHAnsi" w:cstheme="minorHAnsi"/>
          <w:bCs/>
          <w:i/>
        </w:rPr>
        <w:t>Druhové třídění rozpočtové skladby</w:t>
      </w:r>
      <w:r w:rsidR="004025F2" w:rsidRPr="00ED7C30">
        <w:rPr>
          <w:rFonts w:asciiTheme="minorHAnsi" w:hAnsiTheme="minorHAnsi" w:cstheme="minorHAnsi"/>
          <w:bCs/>
        </w:rPr>
        <w:t xml:space="preserve"> vyhlášky č. 323/2002 Sb. </w:t>
      </w:r>
      <w:r w:rsidR="0083146E" w:rsidRPr="00ED7C30">
        <w:rPr>
          <w:rFonts w:asciiTheme="minorHAnsi" w:hAnsiTheme="minorHAnsi" w:cstheme="minorHAnsi"/>
          <w:bCs/>
        </w:rPr>
        <w:t>MPSV tak</w:t>
      </w:r>
      <w:r w:rsidR="004025F2" w:rsidRPr="00ED7C30">
        <w:rPr>
          <w:rFonts w:asciiTheme="minorHAnsi" w:hAnsiTheme="minorHAnsi" w:cstheme="minorHAnsi"/>
          <w:bCs/>
        </w:rPr>
        <w:t xml:space="preserve"> nepředložilo správné údaje potřebné pro průběžné hodnocení státního rozpočtu do rozpočtového systému.</w:t>
      </w:r>
      <w:r w:rsidR="00F3610C" w:rsidRPr="00ED7C30">
        <w:rPr>
          <w:rFonts w:asciiTheme="minorHAnsi" w:hAnsiTheme="minorHAnsi" w:cstheme="minorHAnsi"/>
          <w:b/>
          <w:bCs/>
        </w:rPr>
        <w:t xml:space="preserve"> T</w:t>
      </w:r>
      <w:r w:rsidR="004025F2" w:rsidRPr="00ED7C30">
        <w:rPr>
          <w:rFonts w:asciiTheme="minorHAnsi" w:hAnsiTheme="minorHAnsi" w:cstheme="minorHAnsi"/>
          <w:b/>
          <w:bCs/>
        </w:rPr>
        <w:t xml:space="preserve">ím </w:t>
      </w:r>
      <w:r w:rsidR="00F3610C" w:rsidRPr="00ED7C30">
        <w:rPr>
          <w:rFonts w:asciiTheme="minorHAnsi" w:hAnsiTheme="minorHAnsi" w:cstheme="minorHAnsi"/>
          <w:b/>
          <w:bCs/>
        </w:rPr>
        <w:t xml:space="preserve">došlo </w:t>
      </w:r>
      <w:r w:rsidR="004025F2" w:rsidRPr="00ED7C30">
        <w:rPr>
          <w:rFonts w:asciiTheme="minorHAnsi" w:hAnsiTheme="minorHAnsi" w:cstheme="minorHAnsi"/>
          <w:b/>
          <w:bCs/>
        </w:rPr>
        <w:t>v údajích předkládaných pro hodnocení plnění státního rozpočtu k 31.</w:t>
      </w:r>
      <w:r w:rsidR="00F3610C" w:rsidRPr="00ED7C30">
        <w:rPr>
          <w:rFonts w:asciiTheme="minorHAnsi" w:hAnsiTheme="minorHAnsi" w:cstheme="minorHAnsi"/>
          <w:b/>
          <w:bCs/>
        </w:rPr>
        <w:t> </w:t>
      </w:r>
      <w:r w:rsidR="004025F2" w:rsidRPr="00ED7C30">
        <w:rPr>
          <w:rFonts w:asciiTheme="minorHAnsi" w:hAnsiTheme="minorHAnsi" w:cstheme="minorHAnsi"/>
          <w:b/>
          <w:bCs/>
        </w:rPr>
        <w:t>12.</w:t>
      </w:r>
      <w:r w:rsidR="00F3610C" w:rsidRPr="00ED7C30">
        <w:rPr>
          <w:rFonts w:asciiTheme="minorHAnsi" w:hAnsiTheme="minorHAnsi" w:cstheme="minorHAnsi"/>
          <w:b/>
          <w:bCs/>
        </w:rPr>
        <w:t> </w:t>
      </w:r>
      <w:r w:rsidR="004025F2" w:rsidRPr="00ED7C30">
        <w:rPr>
          <w:rFonts w:asciiTheme="minorHAnsi" w:hAnsiTheme="minorHAnsi" w:cstheme="minorHAnsi"/>
          <w:b/>
          <w:bCs/>
        </w:rPr>
        <w:t>2016</w:t>
      </w:r>
      <w:r w:rsidR="00F3610C" w:rsidRPr="00ED7C30">
        <w:rPr>
          <w:rFonts w:asciiTheme="minorHAnsi" w:hAnsiTheme="minorHAnsi" w:cstheme="minorHAnsi"/>
          <w:b/>
          <w:bCs/>
        </w:rPr>
        <w:t xml:space="preserve"> k nadhodnocení rozpočtové položky </w:t>
      </w:r>
      <w:r w:rsidR="004025F2" w:rsidRPr="00ED7C30">
        <w:rPr>
          <w:rFonts w:asciiTheme="minorHAnsi" w:hAnsiTheme="minorHAnsi" w:cstheme="minorHAnsi"/>
          <w:b/>
          <w:bCs/>
          <w:iCs/>
        </w:rPr>
        <w:t xml:space="preserve">5171 – </w:t>
      </w:r>
      <w:r w:rsidR="004025F2" w:rsidRPr="00ED7C30">
        <w:rPr>
          <w:rFonts w:asciiTheme="minorHAnsi" w:hAnsiTheme="minorHAnsi" w:cstheme="minorHAnsi"/>
          <w:b/>
          <w:bCs/>
          <w:i/>
          <w:iCs/>
        </w:rPr>
        <w:t>Opravy a udržování</w:t>
      </w:r>
      <w:r w:rsidR="00650E4A" w:rsidRPr="00ED7C30">
        <w:rPr>
          <w:rFonts w:asciiTheme="minorHAnsi" w:hAnsiTheme="minorHAnsi" w:cstheme="minorHAnsi"/>
          <w:b/>
          <w:bCs/>
          <w:iCs/>
        </w:rPr>
        <w:t xml:space="preserve"> o </w:t>
      </w:r>
      <w:r w:rsidR="00F3610C" w:rsidRPr="00ED7C30">
        <w:rPr>
          <w:rFonts w:asciiTheme="minorHAnsi" w:hAnsiTheme="minorHAnsi" w:cstheme="minorHAnsi"/>
          <w:b/>
          <w:bCs/>
          <w:iCs/>
        </w:rPr>
        <w:t>82 874 352,00 Kč a podhodnocení rozpočtové položky</w:t>
      </w:r>
      <w:r w:rsidR="004025F2" w:rsidRPr="00ED7C30">
        <w:rPr>
          <w:rFonts w:asciiTheme="minorHAnsi" w:hAnsiTheme="minorHAnsi" w:cstheme="minorHAnsi"/>
          <w:b/>
          <w:bCs/>
          <w:iCs/>
        </w:rPr>
        <w:t xml:space="preserve"> </w:t>
      </w:r>
      <w:r w:rsidR="008A468B">
        <w:rPr>
          <w:rFonts w:asciiTheme="minorHAnsi" w:hAnsiTheme="minorHAnsi" w:cstheme="minorHAnsi"/>
          <w:b/>
          <w:bCs/>
          <w:iCs/>
        </w:rPr>
        <w:br/>
      </w:r>
      <w:r w:rsidR="004025F2" w:rsidRPr="00ED7C30">
        <w:rPr>
          <w:rFonts w:asciiTheme="minorHAnsi" w:hAnsiTheme="minorHAnsi" w:cstheme="minorHAnsi"/>
          <w:b/>
          <w:bCs/>
          <w:iCs/>
        </w:rPr>
        <w:t>5168 –</w:t>
      </w:r>
      <w:r w:rsidR="004025F2" w:rsidRPr="00ED7C30">
        <w:rPr>
          <w:rFonts w:asciiTheme="minorHAnsi" w:hAnsiTheme="minorHAnsi" w:cstheme="minorHAnsi"/>
          <w:b/>
          <w:bCs/>
          <w:i/>
          <w:iCs/>
        </w:rPr>
        <w:t xml:space="preserve"> Zpracování dat a</w:t>
      </w:r>
      <w:r w:rsidR="002B42C6" w:rsidRPr="00ED7C30">
        <w:rPr>
          <w:rFonts w:asciiTheme="minorHAnsi" w:hAnsiTheme="minorHAnsi" w:cstheme="minorHAnsi"/>
          <w:b/>
          <w:bCs/>
          <w:i/>
          <w:iCs/>
        </w:rPr>
        <w:t> </w:t>
      </w:r>
      <w:r w:rsidR="004025F2" w:rsidRPr="00ED7C30">
        <w:rPr>
          <w:rFonts w:asciiTheme="minorHAnsi" w:hAnsiTheme="minorHAnsi" w:cstheme="minorHAnsi"/>
          <w:b/>
          <w:bCs/>
          <w:i/>
          <w:iCs/>
        </w:rPr>
        <w:t xml:space="preserve">služby související s informačními a komunikačními technologiemi </w:t>
      </w:r>
      <w:r w:rsidR="004025F2" w:rsidRPr="00ED7C30">
        <w:rPr>
          <w:rFonts w:asciiTheme="minorHAnsi" w:hAnsiTheme="minorHAnsi" w:cstheme="minorHAnsi"/>
          <w:b/>
          <w:bCs/>
          <w:iCs/>
        </w:rPr>
        <w:t>o</w:t>
      </w:r>
      <w:r w:rsidR="002B42C6" w:rsidRPr="00ED7C30">
        <w:rPr>
          <w:rFonts w:asciiTheme="minorHAnsi" w:hAnsiTheme="minorHAnsi" w:cstheme="minorHAnsi"/>
          <w:b/>
          <w:bCs/>
          <w:iCs/>
        </w:rPr>
        <w:t> </w:t>
      </w:r>
      <w:r w:rsidR="004025F2" w:rsidRPr="00ED7C30">
        <w:rPr>
          <w:rFonts w:asciiTheme="minorHAnsi" w:hAnsiTheme="minorHAnsi" w:cstheme="minorHAnsi"/>
          <w:b/>
          <w:bCs/>
          <w:iCs/>
        </w:rPr>
        <w:t>82 874 352,00</w:t>
      </w:r>
      <w:r w:rsidR="002B42C6" w:rsidRPr="00ED7C30">
        <w:rPr>
          <w:rFonts w:asciiTheme="minorHAnsi" w:hAnsiTheme="minorHAnsi" w:cstheme="minorHAnsi"/>
          <w:b/>
          <w:bCs/>
          <w:iCs/>
        </w:rPr>
        <w:t> </w:t>
      </w:r>
      <w:r w:rsidR="004025F2" w:rsidRPr="00ED7C30">
        <w:rPr>
          <w:rFonts w:asciiTheme="minorHAnsi" w:hAnsiTheme="minorHAnsi" w:cstheme="minorHAnsi"/>
          <w:b/>
          <w:bCs/>
          <w:iCs/>
        </w:rPr>
        <w:t>Kč.</w:t>
      </w:r>
    </w:p>
    <w:p w14:paraId="1E3F8FFF" w14:textId="77777777" w:rsidR="00F3610C" w:rsidRPr="00ED7C30" w:rsidRDefault="00F3610C" w:rsidP="00C33513">
      <w:pPr>
        <w:spacing w:after="0"/>
        <w:rPr>
          <w:rFonts w:cstheme="minorHAnsi"/>
          <w:sz w:val="24"/>
          <w:szCs w:val="24"/>
        </w:rPr>
      </w:pPr>
    </w:p>
    <w:p w14:paraId="6AA95D7A" w14:textId="4576E82C" w:rsidR="00D96074" w:rsidRPr="00ED7C30" w:rsidRDefault="0059758A" w:rsidP="00C33513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</w:rPr>
        <w:t xml:space="preserve">MPSV </w:t>
      </w:r>
      <w:r w:rsidRPr="00ED7C30">
        <w:rPr>
          <w:rFonts w:cstheme="minorHAnsi"/>
          <w:b/>
          <w:bCs/>
          <w:iCs/>
          <w:sz w:val="24"/>
          <w:szCs w:val="24"/>
        </w:rPr>
        <w:t xml:space="preserve">časově nerozlišilo </w:t>
      </w:r>
      <w:r>
        <w:rPr>
          <w:rFonts w:cstheme="minorHAnsi"/>
          <w:b/>
          <w:bCs/>
          <w:iCs/>
          <w:sz w:val="24"/>
          <w:szCs w:val="24"/>
        </w:rPr>
        <w:t>n</w:t>
      </w:r>
      <w:r w:rsidR="00650E4A" w:rsidRPr="00ED7C30">
        <w:rPr>
          <w:rFonts w:cstheme="minorHAnsi"/>
          <w:b/>
          <w:bCs/>
          <w:iCs/>
          <w:sz w:val="24"/>
          <w:szCs w:val="24"/>
        </w:rPr>
        <w:t>áklady související s rokem 2015 a</w:t>
      </w:r>
      <w:r>
        <w:rPr>
          <w:rFonts w:cstheme="minorHAnsi"/>
          <w:b/>
          <w:bCs/>
          <w:iCs/>
          <w:sz w:val="24"/>
          <w:szCs w:val="24"/>
        </w:rPr>
        <w:t> </w:t>
      </w:r>
      <w:r w:rsidR="00650E4A" w:rsidRPr="00ED7C30">
        <w:rPr>
          <w:rFonts w:cstheme="minorHAnsi"/>
          <w:b/>
          <w:bCs/>
          <w:iCs/>
          <w:sz w:val="24"/>
          <w:szCs w:val="24"/>
        </w:rPr>
        <w:t>fakturovan</w:t>
      </w:r>
      <w:r w:rsidR="00D96074" w:rsidRPr="00ED7C30">
        <w:rPr>
          <w:rFonts w:cstheme="minorHAnsi"/>
          <w:b/>
          <w:bCs/>
          <w:iCs/>
          <w:sz w:val="24"/>
          <w:szCs w:val="24"/>
        </w:rPr>
        <w:t>é</w:t>
      </w:r>
      <w:r w:rsidR="00650E4A" w:rsidRPr="00ED7C30">
        <w:rPr>
          <w:rFonts w:cstheme="minorHAnsi"/>
          <w:b/>
          <w:bCs/>
          <w:iCs/>
          <w:sz w:val="24"/>
          <w:szCs w:val="24"/>
        </w:rPr>
        <w:t xml:space="preserve"> částk</w:t>
      </w:r>
      <w:r w:rsidR="00D96074" w:rsidRPr="00ED7C30">
        <w:rPr>
          <w:rFonts w:cstheme="minorHAnsi"/>
          <w:b/>
          <w:bCs/>
          <w:iCs/>
          <w:sz w:val="24"/>
          <w:szCs w:val="24"/>
        </w:rPr>
        <w:t>y</w:t>
      </w:r>
      <w:r w:rsidR="00650E4A" w:rsidRPr="00ED7C30">
        <w:rPr>
          <w:rFonts w:cstheme="minorHAnsi"/>
          <w:b/>
          <w:bCs/>
          <w:iCs/>
          <w:sz w:val="24"/>
          <w:szCs w:val="24"/>
        </w:rPr>
        <w:t xml:space="preserve"> zaúčtovalo do </w:t>
      </w:r>
      <w:r w:rsidR="00D96074" w:rsidRPr="00ED7C30">
        <w:rPr>
          <w:rFonts w:cstheme="minorHAnsi"/>
          <w:b/>
          <w:bCs/>
          <w:iCs/>
          <w:sz w:val="24"/>
          <w:szCs w:val="24"/>
        </w:rPr>
        <w:t>n</w:t>
      </w:r>
      <w:r w:rsidR="00650E4A" w:rsidRPr="00ED7C30">
        <w:rPr>
          <w:rFonts w:cstheme="minorHAnsi"/>
          <w:b/>
          <w:bCs/>
          <w:iCs/>
          <w:sz w:val="24"/>
          <w:szCs w:val="24"/>
        </w:rPr>
        <w:t>ákladů roku 2016.</w:t>
      </w:r>
      <w:r w:rsidR="00D96074" w:rsidRPr="00ED7C30">
        <w:rPr>
          <w:rFonts w:cstheme="minorHAnsi"/>
          <w:sz w:val="24"/>
          <w:szCs w:val="24"/>
        </w:rPr>
        <w:t xml:space="preserve"> Tím došlo </w:t>
      </w:r>
      <w:r w:rsidR="00EB5465" w:rsidRPr="00ED7C30">
        <w:rPr>
          <w:rFonts w:cstheme="minorHAnsi"/>
          <w:sz w:val="24"/>
          <w:szCs w:val="24"/>
        </w:rPr>
        <w:t>k</w:t>
      </w:r>
      <w:r w:rsidR="00D96074" w:rsidRPr="00ED7C30">
        <w:rPr>
          <w:rFonts w:cstheme="minorHAnsi"/>
          <w:sz w:val="24"/>
          <w:szCs w:val="24"/>
        </w:rPr>
        <w:t xml:space="preserve"> nadhodnocení zůstatku účtu </w:t>
      </w:r>
      <w:r w:rsidR="008A468B">
        <w:rPr>
          <w:rFonts w:cstheme="minorHAnsi"/>
          <w:sz w:val="24"/>
          <w:szCs w:val="24"/>
        </w:rPr>
        <w:br/>
      </w:r>
      <w:r w:rsidR="00D96074" w:rsidRPr="00ED7C30">
        <w:rPr>
          <w:rFonts w:cstheme="minorHAnsi"/>
          <w:sz w:val="24"/>
          <w:szCs w:val="24"/>
        </w:rPr>
        <w:t xml:space="preserve">432 – </w:t>
      </w:r>
      <w:r w:rsidR="00D96074" w:rsidRPr="00ED7C30">
        <w:rPr>
          <w:rFonts w:cstheme="minorHAnsi"/>
          <w:i/>
          <w:sz w:val="24"/>
          <w:szCs w:val="24"/>
        </w:rPr>
        <w:t xml:space="preserve">Výsledek hospodaření předcházejících účetních období </w:t>
      </w:r>
      <w:r w:rsidR="00D96074" w:rsidRPr="00ED7C30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 </w:t>
      </w:r>
      <w:r w:rsidR="00D96074" w:rsidRPr="00ED7C30">
        <w:rPr>
          <w:rFonts w:cstheme="minorHAnsi"/>
          <w:sz w:val="24"/>
          <w:szCs w:val="24"/>
        </w:rPr>
        <w:t xml:space="preserve">25 063 601,67 Kč, podhodnocení zůstatku účtu 493 – </w:t>
      </w:r>
      <w:r w:rsidR="00D96074" w:rsidRPr="00ED7C30">
        <w:rPr>
          <w:rFonts w:cstheme="minorHAnsi"/>
          <w:i/>
          <w:sz w:val="24"/>
          <w:szCs w:val="24"/>
        </w:rPr>
        <w:t>Výsledek hospodaření běžného účetního období</w:t>
      </w:r>
      <w:r w:rsidR="00D96074" w:rsidRPr="00ED7C30">
        <w:rPr>
          <w:rFonts w:cstheme="minorHAnsi"/>
          <w:sz w:val="24"/>
          <w:szCs w:val="24"/>
        </w:rPr>
        <w:t xml:space="preserve"> o 25 063 601,67 Kč a </w:t>
      </w:r>
      <w:r w:rsidR="00DD5C2F" w:rsidRPr="00ED7C30">
        <w:rPr>
          <w:rFonts w:cstheme="minorHAnsi"/>
          <w:sz w:val="24"/>
          <w:szCs w:val="24"/>
        </w:rPr>
        <w:t xml:space="preserve">k </w:t>
      </w:r>
      <w:r w:rsidR="00D96074" w:rsidRPr="00ED7C30">
        <w:rPr>
          <w:rFonts w:cstheme="minorHAnsi"/>
          <w:sz w:val="24"/>
          <w:szCs w:val="24"/>
        </w:rPr>
        <w:t xml:space="preserve">nadhodnocení zůstatku účtu 518 – </w:t>
      </w:r>
      <w:r w:rsidR="00D96074" w:rsidRPr="00ED7C30">
        <w:rPr>
          <w:rFonts w:cstheme="minorHAnsi"/>
          <w:i/>
          <w:sz w:val="24"/>
          <w:szCs w:val="24"/>
        </w:rPr>
        <w:t xml:space="preserve">Ostatní služby </w:t>
      </w:r>
      <w:r w:rsidR="00D96074" w:rsidRPr="00ED7C30">
        <w:rPr>
          <w:rFonts w:cstheme="minorHAnsi"/>
          <w:sz w:val="24"/>
          <w:szCs w:val="24"/>
        </w:rPr>
        <w:t>o</w:t>
      </w:r>
      <w:r w:rsidR="002C72AD">
        <w:rPr>
          <w:rFonts w:cstheme="minorHAnsi"/>
          <w:sz w:val="24"/>
          <w:szCs w:val="24"/>
        </w:rPr>
        <w:t> </w:t>
      </w:r>
      <w:r w:rsidR="00D96074" w:rsidRPr="00ED7C30">
        <w:rPr>
          <w:rFonts w:cstheme="minorHAnsi"/>
          <w:sz w:val="24"/>
          <w:szCs w:val="24"/>
        </w:rPr>
        <w:t>25 063 601,67 Kč.</w:t>
      </w:r>
    </w:p>
    <w:p w14:paraId="7E740F45" w14:textId="77777777" w:rsidR="00D96074" w:rsidRPr="00ED7C30" w:rsidRDefault="00D96074" w:rsidP="00C33513">
      <w:pPr>
        <w:spacing w:after="0"/>
        <w:rPr>
          <w:rFonts w:cstheme="minorHAnsi"/>
          <w:b/>
          <w:bCs/>
          <w:iCs/>
          <w:u w:val="single"/>
        </w:rPr>
      </w:pPr>
    </w:p>
    <w:p w14:paraId="02EFEC8E" w14:textId="55E920C8" w:rsidR="00B52B0B" w:rsidRPr="00ED7C30" w:rsidRDefault="0059758A" w:rsidP="00C33513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</w:rPr>
        <w:t xml:space="preserve">MPSV </w:t>
      </w:r>
      <w:r w:rsidRPr="00ED7C30">
        <w:rPr>
          <w:rFonts w:cstheme="minorHAnsi"/>
          <w:b/>
          <w:bCs/>
          <w:iCs/>
          <w:sz w:val="24"/>
          <w:szCs w:val="24"/>
        </w:rPr>
        <w:t xml:space="preserve">časově nerozlišilo </w:t>
      </w:r>
      <w:r>
        <w:rPr>
          <w:rFonts w:cstheme="minorHAnsi"/>
          <w:b/>
          <w:bCs/>
          <w:iCs/>
          <w:sz w:val="24"/>
          <w:szCs w:val="24"/>
        </w:rPr>
        <w:t>n</w:t>
      </w:r>
      <w:r w:rsidR="00795E7B" w:rsidRPr="00ED7C30">
        <w:rPr>
          <w:rFonts w:cstheme="minorHAnsi"/>
          <w:b/>
          <w:bCs/>
          <w:iCs/>
          <w:sz w:val="24"/>
          <w:szCs w:val="24"/>
        </w:rPr>
        <w:t>áklady za poskytnutí práv užití programových prostředků za období od 1. 1. 2016 do 30. 6. 2016</w:t>
      </w:r>
      <w:r w:rsidR="00DD5C2F" w:rsidRPr="00ED7C30">
        <w:rPr>
          <w:rFonts w:cstheme="minorHAnsi"/>
          <w:b/>
          <w:bCs/>
          <w:iCs/>
          <w:sz w:val="24"/>
          <w:szCs w:val="24"/>
        </w:rPr>
        <w:t>,</w:t>
      </w:r>
      <w:r w:rsidR="00795E7B" w:rsidRPr="00ED7C30">
        <w:rPr>
          <w:rFonts w:cstheme="minorHAnsi"/>
          <w:bCs/>
          <w:iCs/>
          <w:sz w:val="24"/>
          <w:szCs w:val="24"/>
        </w:rPr>
        <w:t xml:space="preserve"> a tím podhodnotilo zůstatek účtu 518 – </w:t>
      </w:r>
      <w:r w:rsidR="00795E7B" w:rsidRPr="00ED7C30">
        <w:rPr>
          <w:rFonts w:cstheme="minorHAnsi"/>
          <w:bCs/>
          <w:i/>
          <w:iCs/>
          <w:sz w:val="24"/>
          <w:szCs w:val="24"/>
        </w:rPr>
        <w:t>Ostatní služby</w:t>
      </w:r>
      <w:r w:rsidR="00F65CD5" w:rsidRPr="00ED7C30">
        <w:rPr>
          <w:rFonts w:cstheme="minorHAnsi"/>
          <w:bCs/>
          <w:iCs/>
          <w:sz w:val="24"/>
          <w:szCs w:val="24"/>
        </w:rPr>
        <w:t xml:space="preserve"> a</w:t>
      </w:r>
      <w:r w:rsidR="00795E7B" w:rsidRPr="00ED7C30">
        <w:rPr>
          <w:rFonts w:cstheme="minorHAnsi"/>
          <w:bCs/>
          <w:iCs/>
          <w:sz w:val="24"/>
          <w:szCs w:val="24"/>
        </w:rPr>
        <w:t xml:space="preserve"> zůstatek účtu 432 – </w:t>
      </w:r>
      <w:r w:rsidR="00795E7B" w:rsidRPr="00ED7C30">
        <w:rPr>
          <w:rFonts w:cstheme="minorHAnsi"/>
          <w:bCs/>
          <w:i/>
          <w:iCs/>
          <w:sz w:val="24"/>
          <w:szCs w:val="24"/>
        </w:rPr>
        <w:t>Výsledek hospodaření předcházejících účetních období</w:t>
      </w:r>
      <w:r w:rsidR="00795E7B" w:rsidRPr="00ED7C30">
        <w:rPr>
          <w:rFonts w:cstheme="minorHAnsi"/>
          <w:bCs/>
          <w:iCs/>
          <w:sz w:val="24"/>
          <w:szCs w:val="24"/>
        </w:rPr>
        <w:t xml:space="preserve"> </w:t>
      </w:r>
      <w:r w:rsidR="00065299" w:rsidRPr="00ED7C30">
        <w:rPr>
          <w:rFonts w:cstheme="minorHAnsi"/>
          <w:bCs/>
          <w:iCs/>
          <w:sz w:val="24"/>
          <w:szCs w:val="24"/>
        </w:rPr>
        <w:t>o </w:t>
      </w:r>
      <w:r w:rsidR="00C34C16" w:rsidRPr="00ED7C30">
        <w:rPr>
          <w:rFonts w:cstheme="minorHAnsi"/>
          <w:bCs/>
          <w:iCs/>
          <w:sz w:val="24"/>
          <w:szCs w:val="24"/>
        </w:rPr>
        <w:t>53 238 802,27 Kč</w:t>
      </w:r>
      <w:r w:rsidR="00C34C16" w:rsidRPr="00ED7C30" w:rsidDel="00C34C16">
        <w:rPr>
          <w:rFonts w:cstheme="minorHAnsi"/>
          <w:bCs/>
          <w:iCs/>
          <w:sz w:val="24"/>
          <w:szCs w:val="24"/>
        </w:rPr>
        <w:t xml:space="preserve"> </w:t>
      </w:r>
      <w:r w:rsidR="00795E7B" w:rsidRPr="00ED7C30">
        <w:rPr>
          <w:rFonts w:cstheme="minorHAnsi"/>
          <w:bCs/>
          <w:iCs/>
          <w:sz w:val="24"/>
          <w:szCs w:val="24"/>
        </w:rPr>
        <w:t xml:space="preserve">a nadhodnotilo zůstatek účtu 493 – </w:t>
      </w:r>
      <w:r w:rsidR="00795E7B" w:rsidRPr="00ED7C30">
        <w:rPr>
          <w:rFonts w:cstheme="minorHAnsi"/>
          <w:bCs/>
          <w:i/>
          <w:iCs/>
          <w:sz w:val="24"/>
          <w:szCs w:val="24"/>
        </w:rPr>
        <w:t>Výsledek hospodaření běžného účetního období</w:t>
      </w:r>
      <w:r w:rsidR="00795E7B" w:rsidRPr="00ED7C30">
        <w:rPr>
          <w:rFonts w:cstheme="minorHAnsi"/>
          <w:bCs/>
          <w:iCs/>
          <w:sz w:val="24"/>
          <w:szCs w:val="24"/>
        </w:rPr>
        <w:t xml:space="preserve"> o </w:t>
      </w:r>
      <w:r w:rsidR="00C34C16" w:rsidRPr="00ED7C30">
        <w:rPr>
          <w:rFonts w:cstheme="minorHAnsi"/>
          <w:bCs/>
          <w:iCs/>
          <w:sz w:val="24"/>
          <w:szCs w:val="24"/>
        </w:rPr>
        <w:t>stejnou částku</w:t>
      </w:r>
      <w:r w:rsidR="00795E7B" w:rsidRPr="00ED7C30">
        <w:rPr>
          <w:rFonts w:cstheme="minorHAnsi"/>
          <w:bCs/>
          <w:iCs/>
          <w:sz w:val="24"/>
          <w:szCs w:val="24"/>
        </w:rPr>
        <w:t xml:space="preserve">. </w:t>
      </w:r>
    </w:p>
    <w:p w14:paraId="2CA93E3D" w14:textId="77777777" w:rsidR="00795E7B" w:rsidRPr="00ED7C30" w:rsidRDefault="00795E7B" w:rsidP="00C33513">
      <w:pPr>
        <w:spacing w:after="0" w:line="240" w:lineRule="auto"/>
        <w:ind w:left="720"/>
        <w:jc w:val="both"/>
        <w:rPr>
          <w:rFonts w:cstheme="minorHAnsi"/>
          <w:bCs/>
          <w:iCs/>
          <w:sz w:val="24"/>
          <w:szCs w:val="24"/>
        </w:rPr>
      </w:pPr>
    </w:p>
    <w:p w14:paraId="4081F647" w14:textId="4722312F" w:rsidR="00936DDE" w:rsidRPr="00ED7C30" w:rsidRDefault="00CB1399" w:rsidP="00C33513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MPSV n</w:t>
      </w:r>
      <w:r w:rsidR="00896F3B" w:rsidRPr="00ED7C30">
        <w:rPr>
          <w:rFonts w:asciiTheme="minorHAnsi" w:hAnsiTheme="minorHAnsi" w:cstheme="minorHAnsi"/>
          <w:b/>
        </w:rPr>
        <w:t>eúčtovalo o zálohách</w:t>
      </w:r>
      <w:r w:rsidR="00BD5EFD" w:rsidRPr="00ED7C30">
        <w:rPr>
          <w:rFonts w:asciiTheme="minorHAnsi" w:hAnsiTheme="minorHAnsi" w:cstheme="minorHAnsi"/>
          <w:b/>
        </w:rPr>
        <w:t xml:space="preserve"> poskytnutých komerčním pojišťovnám</w:t>
      </w:r>
      <w:r w:rsidR="00896F3B" w:rsidRPr="00ED7C30">
        <w:rPr>
          <w:rFonts w:asciiTheme="minorHAnsi" w:hAnsiTheme="minorHAnsi" w:cstheme="minorHAnsi"/>
          <w:b/>
        </w:rPr>
        <w:t xml:space="preserve"> vyplývajících ze smluv</w:t>
      </w:r>
      <w:r w:rsidR="00936DDE" w:rsidRPr="00ED7C30">
        <w:rPr>
          <w:rFonts w:asciiTheme="minorHAnsi" w:hAnsiTheme="minorHAnsi" w:cstheme="minorHAnsi"/>
          <w:b/>
          <w:color w:val="000000" w:themeColor="text1"/>
        </w:rPr>
        <w:t xml:space="preserve"> o vedení agendy a uspokojování nároků poškozených pracovníků za škody na zdraví vzniklých v pracovněprávním vztahu v případech, kdy tuto povinnost přejímá stát za zaměstnavatele, který zanikl bez právního nástupce.</w:t>
      </w:r>
      <w:r w:rsidR="00936DDE" w:rsidRPr="00ED7C30">
        <w:rPr>
          <w:rFonts w:asciiTheme="minorHAnsi" w:hAnsiTheme="minorHAnsi" w:cstheme="minorHAnsi"/>
          <w:color w:val="000000" w:themeColor="text1"/>
        </w:rPr>
        <w:t xml:space="preserve"> </w:t>
      </w:r>
      <w:r w:rsidR="00896F3B" w:rsidRPr="00ED7C30">
        <w:rPr>
          <w:rFonts w:asciiTheme="minorHAnsi" w:hAnsiTheme="minorHAnsi" w:cstheme="minorHAnsi"/>
          <w:color w:val="000000" w:themeColor="text1"/>
        </w:rPr>
        <w:t>Dále bylo</w:t>
      </w:r>
      <w:r w:rsidR="00BD5EFD" w:rsidRPr="00ED7C30">
        <w:rPr>
          <w:rFonts w:asciiTheme="minorHAnsi" w:hAnsiTheme="minorHAnsi" w:cstheme="minorHAnsi"/>
          <w:color w:val="000000" w:themeColor="text1"/>
        </w:rPr>
        <w:t xml:space="preserve"> </w:t>
      </w:r>
      <w:r w:rsidR="00EB5465" w:rsidRPr="00ED7C30">
        <w:rPr>
          <w:rFonts w:asciiTheme="minorHAnsi" w:hAnsiTheme="minorHAnsi" w:cstheme="minorHAnsi"/>
          <w:color w:val="000000" w:themeColor="text1"/>
        </w:rPr>
        <w:t>o</w:t>
      </w:r>
      <w:r>
        <w:rPr>
          <w:rFonts w:asciiTheme="minorHAnsi" w:hAnsiTheme="minorHAnsi" w:cstheme="minorHAnsi"/>
          <w:color w:val="000000" w:themeColor="text1"/>
        </w:rPr>
        <w:t> </w:t>
      </w:r>
      <w:r w:rsidR="00EB5465" w:rsidRPr="00ED7C30">
        <w:rPr>
          <w:rFonts w:asciiTheme="minorHAnsi" w:hAnsiTheme="minorHAnsi" w:cstheme="minorHAnsi"/>
          <w:color w:val="000000" w:themeColor="text1"/>
        </w:rPr>
        <w:t xml:space="preserve">tomto </w:t>
      </w:r>
      <w:r w:rsidR="00BD5EFD" w:rsidRPr="00ED7C30">
        <w:rPr>
          <w:rFonts w:asciiTheme="minorHAnsi" w:hAnsiTheme="minorHAnsi" w:cstheme="minorHAnsi"/>
          <w:color w:val="000000" w:themeColor="text1"/>
        </w:rPr>
        <w:t>nesprávně</w:t>
      </w:r>
      <w:r w:rsidR="00896F3B" w:rsidRPr="00ED7C30">
        <w:rPr>
          <w:rFonts w:asciiTheme="minorHAnsi" w:hAnsiTheme="minorHAnsi" w:cstheme="minorHAnsi"/>
          <w:color w:val="000000" w:themeColor="text1"/>
        </w:rPr>
        <w:t xml:space="preserve"> účtováno </w:t>
      </w:r>
      <w:r w:rsidR="00BD5EFD" w:rsidRPr="00ED7C30">
        <w:rPr>
          <w:rFonts w:asciiTheme="minorHAnsi" w:hAnsiTheme="minorHAnsi" w:cstheme="minorHAnsi"/>
          <w:color w:val="000000" w:themeColor="text1"/>
        </w:rPr>
        <w:t xml:space="preserve">v průběhu roku </w:t>
      </w:r>
      <w:r w:rsidR="00896F3B" w:rsidRPr="00ED7C30">
        <w:rPr>
          <w:rFonts w:asciiTheme="minorHAnsi" w:hAnsiTheme="minorHAnsi" w:cstheme="minorHAnsi"/>
          <w:color w:val="000000" w:themeColor="text1"/>
        </w:rPr>
        <w:t xml:space="preserve">na </w:t>
      </w:r>
      <w:r w:rsidR="00BD5EFD" w:rsidRPr="00ED7C30">
        <w:rPr>
          <w:rFonts w:asciiTheme="minorHAnsi" w:hAnsiTheme="minorHAnsi" w:cstheme="minorHAnsi"/>
          <w:color w:val="000000" w:themeColor="text1"/>
        </w:rPr>
        <w:t>různé druhy nákladových</w:t>
      </w:r>
      <w:r w:rsidR="00896F3B" w:rsidRPr="00ED7C30">
        <w:rPr>
          <w:rFonts w:asciiTheme="minorHAnsi" w:hAnsiTheme="minorHAnsi" w:cstheme="minorHAnsi"/>
          <w:color w:val="000000" w:themeColor="text1"/>
        </w:rPr>
        <w:t xml:space="preserve"> účt</w:t>
      </w:r>
      <w:r w:rsidR="00BD5EFD" w:rsidRPr="00ED7C30">
        <w:rPr>
          <w:rFonts w:asciiTheme="minorHAnsi" w:hAnsiTheme="minorHAnsi" w:cstheme="minorHAnsi"/>
          <w:color w:val="000000" w:themeColor="text1"/>
        </w:rPr>
        <w:t>ů.</w:t>
      </w:r>
      <w:r w:rsidR="00896F3B" w:rsidRPr="00ED7C30">
        <w:rPr>
          <w:rFonts w:asciiTheme="minorHAnsi" w:hAnsiTheme="minorHAnsi" w:cstheme="minorHAnsi"/>
          <w:color w:val="000000" w:themeColor="text1"/>
        </w:rPr>
        <w:t xml:space="preserve"> </w:t>
      </w:r>
      <w:r w:rsidR="00936DDE" w:rsidRPr="00ED7C30">
        <w:rPr>
          <w:rFonts w:asciiTheme="minorHAnsi" w:hAnsiTheme="minorHAnsi" w:cstheme="minorHAnsi"/>
          <w:bCs/>
          <w:color w:val="000000" w:themeColor="text1"/>
        </w:rPr>
        <w:t>MPSV tyto výdaje klasifikovalo</w:t>
      </w:r>
      <w:r w:rsidR="00896F3B" w:rsidRPr="00ED7C30">
        <w:rPr>
          <w:rFonts w:asciiTheme="minorHAnsi" w:hAnsiTheme="minorHAnsi" w:cstheme="minorHAnsi"/>
          <w:bCs/>
          <w:color w:val="000000" w:themeColor="text1"/>
        </w:rPr>
        <w:t xml:space="preserve"> nesprávnou</w:t>
      </w:r>
      <w:r w:rsidR="00936DDE" w:rsidRPr="00ED7C30">
        <w:rPr>
          <w:rFonts w:asciiTheme="minorHAnsi" w:hAnsiTheme="minorHAnsi" w:cstheme="minorHAnsi"/>
          <w:bCs/>
          <w:color w:val="000000" w:themeColor="text1"/>
        </w:rPr>
        <w:t xml:space="preserve"> položkou rozpočtové skladby 5199</w:t>
      </w:r>
      <w:r w:rsidR="00F65CD5" w:rsidRPr="00ED7C30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0E33DD" w:rsidRPr="00ED7C30">
        <w:rPr>
          <w:rFonts w:asciiTheme="minorHAnsi" w:hAnsiTheme="minorHAnsi" w:cstheme="minorHAnsi"/>
          <w:bCs/>
          <w:color w:val="000000" w:themeColor="text1"/>
        </w:rPr>
        <w:t xml:space="preserve">– </w:t>
      </w:r>
      <w:r w:rsidR="00936DDE" w:rsidRPr="00ED7C30">
        <w:rPr>
          <w:rFonts w:asciiTheme="minorHAnsi" w:hAnsiTheme="minorHAnsi" w:cstheme="minorHAnsi"/>
          <w:bCs/>
          <w:i/>
          <w:color w:val="000000" w:themeColor="text1"/>
        </w:rPr>
        <w:t>Ostatní výdaje související s neinvestičními nákupy</w:t>
      </w:r>
      <w:r w:rsidR="00896F3B" w:rsidRPr="00ED7C30">
        <w:rPr>
          <w:rFonts w:asciiTheme="minorHAnsi" w:hAnsiTheme="minorHAnsi" w:cstheme="minorHAnsi"/>
          <w:bCs/>
          <w:color w:val="000000" w:themeColor="text1"/>
        </w:rPr>
        <w:t>, namísto rozpočtové položky 5421</w:t>
      </w:r>
      <w:r w:rsidR="00F65CD5" w:rsidRPr="00ED7C30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0E33DD" w:rsidRPr="00ED7C30">
        <w:rPr>
          <w:rFonts w:asciiTheme="minorHAnsi" w:hAnsiTheme="minorHAnsi" w:cstheme="minorHAnsi"/>
          <w:bCs/>
          <w:color w:val="000000" w:themeColor="text1"/>
        </w:rPr>
        <w:t>–</w:t>
      </w:r>
      <w:r w:rsidR="00896F3B" w:rsidRPr="00ED7C30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896F3B" w:rsidRPr="00ED7C30">
        <w:rPr>
          <w:rFonts w:asciiTheme="minorHAnsi" w:hAnsiTheme="minorHAnsi" w:cstheme="minorHAnsi"/>
          <w:bCs/>
          <w:i/>
          <w:color w:val="000000" w:themeColor="text1"/>
        </w:rPr>
        <w:t>Náhrady z úrazov</w:t>
      </w:r>
      <w:r w:rsidR="004A6394" w:rsidRPr="00ED7C30">
        <w:rPr>
          <w:rFonts w:asciiTheme="minorHAnsi" w:hAnsiTheme="minorHAnsi" w:cstheme="minorHAnsi"/>
          <w:bCs/>
          <w:i/>
          <w:color w:val="000000" w:themeColor="text1"/>
        </w:rPr>
        <w:t>ého pojištění</w:t>
      </w:r>
      <w:r w:rsidR="004A6394" w:rsidRPr="00ED7C30">
        <w:rPr>
          <w:rFonts w:asciiTheme="minorHAnsi" w:hAnsiTheme="minorHAnsi" w:cstheme="minorHAnsi"/>
          <w:bCs/>
          <w:color w:val="000000" w:themeColor="text1"/>
        </w:rPr>
        <w:t>, která zahrnuje i </w:t>
      </w:r>
      <w:r w:rsidR="00896F3B" w:rsidRPr="00ED7C30">
        <w:rPr>
          <w:rFonts w:asciiTheme="minorHAnsi" w:hAnsiTheme="minorHAnsi" w:cstheme="minorHAnsi"/>
          <w:bCs/>
          <w:color w:val="000000" w:themeColor="text1"/>
        </w:rPr>
        <w:t>spoluúčast z pojištění odpovědnosti za pracovní úraz nebo nemoc z</w:t>
      </w:r>
      <w:r w:rsidR="00BD5EFD" w:rsidRPr="00ED7C30">
        <w:rPr>
          <w:rFonts w:asciiTheme="minorHAnsi" w:hAnsiTheme="minorHAnsi" w:cstheme="minorHAnsi"/>
          <w:bCs/>
          <w:color w:val="000000" w:themeColor="text1"/>
        </w:rPr>
        <w:t> </w:t>
      </w:r>
      <w:r w:rsidR="00896F3B" w:rsidRPr="00ED7C30">
        <w:rPr>
          <w:rFonts w:asciiTheme="minorHAnsi" w:hAnsiTheme="minorHAnsi" w:cstheme="minorHAnsi"/>
          <w:bCs/>
          <w:color w:val="000000" w:themeColor="text1"/>
        </w:rPr>
        <w:t>povolání.</w:t>
      </w:r>
      <w:r w:rsidR="00065299" w:rsidRPr="00ED7C30">
        <w:rPr>
          <w:rFonts w:asciiTheme="minorHAnsi" w:hAnsiTheme="minorHAnsi" w:cstheme="minorHAnsi"/>
          <w:bCs/>
          <w:color w:val="000000" w:themeColor="text1"/>
        </w:rPr>
        <w:t xml:space="preserve"> V důsledku této skutečnosti došlo k nadhodnocení </w:t>
      </w:r>
      <w:r w:rsidR="00065299" w:rsidRPr="00ED7C30">
        <w:rPr>
          <w:rFonts w:asciiTheme="minorHAnsi" w:hAnsiTheme="minorHAnsi" w:cstheme="minorHAnsi"/>
          <w:bCs/>
          <w:color w:val="000000" w:themeColor="text1"/>
        </w:rPr>
        <w:lastRenderedPageBreak/>
        <w:t xml:space="preserve">položky rozpočtové skladby 5199 – </w:t>
      </w:r>
      <w:r w:rsidR="00065299" w:rsidRPr="00ED7C30">
        <w:rPr>
          <w:rFonts w:asciiTheme="minorHAnsi" w:hAnsiTheme="minorHAnsi" w:cstheme="minorHAnsi"/>
          <w:bCs/>
          <w:i/>
          <w:color w:val="000000" w:themeColor="text1"/>
        </w:rPr>
        <w:t>Ostatní výdaje související s neinvestičními nákupy</w:t>
      </w:r>
      <w:r w:rsidR="00065299" w:rsidRPr="00ED7C30">
        <w:rPr>
          <w:rFonts w:asciiTheme="minorHAnsi" w:hAnsiTheme="minorHAnsi" w:cstheme="minorHAnsi"/>
          <w:bCs/>
          <w:color w:val="000000" w:themeColor="text1"/>
        </w:rPr>
        <w:t xml:space="preserve"> a k podhodnocení položky rozpočtové skladby 5421 – </w:t>
      </w:r>
      <w:r w:rsidR="00065299" w:rsidRPr="00ED7C30">
        <w:rPr>
          <w:rFonts w:asciiTheme="minorHAnsi" w:hAnsiTheme="minorHAnsi" w:cstheme="minorHAnsi"/>
          <w:bCs/>
          <w:i/>
          <w:color w:val="000000" w:themeColor="text1"/>
        </w:rPr>
        <w:t>Náhrady z úrazového pojištění</w:t>
      </w:r>
      <w:r w:rsidR="00065299" w:rsidRPr="00ED7C30">
        <w:rPr>
          <w:rFonts w:asciiTheme="minorHAnsi" w:hAnsiTheme="minorHAnsi" w:cstheme="minorHAnsi"/>
          <w:bCs/>
          <w:color w:val="000000" w:themeColor="text1"/>
        </w:rPr>
        <w:t xml:space="preserve"> o 29 524 900,00 Kč.</w:t>
      </w:r>
      <w:r w:rsidR="00936DDE" w:rsidRPr="00ED7C30">
        <w:rPr>
          <w:rFonts w:asciiTheme="minorHAnsi" w:hAnsiTheme="minorHAnsi" w:cstheme="minorHAnsi"/>
          <w:bCs/>
        </w:rPr>
        <w:t xml:space="preserve"> </w:t>
      </w:r>
    </w:p>
    <w:p w14:paraId="4952A767" w14:textId="77777777" w:rsidR="00B52B0B" w:rsidRPr="00ED7C30" w:rsidRDefault="00B52B0B" w:rsidP="00C33513">
      <w:pPr>
        <w:spacing w:after="0"/>
        <w:rPr>
          <w:rFonts w:cstheme="minorHAnsi"/>
          <w:sz w:val="24"/>
          <w:szCs w:val="24"/>
        </w:rPr>
      </w:pPr>
    </w:p>
    <w:p w14:paraId="66A0C6D3" w14:textId="580868AA" w:rsidR="003476FE" w:rsidRPr="00ED7C30" w:rsidRDefault="003476FE" w:rsidP="00C33513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ED7C30">
        <w:rPr>
          <w:rFonts w:cstheme="minorHAnsi"/>
          <w:b/>
          <w:bCs/>
          <w:iCs/>
          <w:sz w:val="24"/>
          <w:szCs w:val="24"/>
        </w:rPr>
        <w:t>U některých testovaných majetkových položek došlo k jednorázovému odpisu technických zhodnocení, ačkoliv dlouhodobý majetek vč</w:t>
      </w:r>
      <w:r w:rsidR="00E643C3" w:rsidRPr="00ED7C30">
        <w:rPr>
          <w:rFonts w:cstheme="minorHAnsi"/>
          <w:b/>
          <w:bCs/>
          <w:iCs/>
          <w:sz w:val="24"/>
          <w:szCs w:val="24"/>
        </w:rPr>
        <w:t>etně technického zhodnocení měl</w:t>
      </w:r>
      <w:r w:rsidRPr="00ED7C30">
        <w:rPr>
          <w:rFonts w:cstheme="minorHAnsi"/>
          <w:b/>
          <w:bCs/>
          <w:iCs/>
          <w:sz w:val="24"/>
          <w:szCs w:val="24"/>
        </w:rPr>
        <w:t xml:space="preserve"> být odpisován postupně v průběhu jeho používání.</w:t>
      </w:r>
      <w:r w:rsidRPr="00ED7C30">
        <w:rPr>
          <w:rFonts w:cstheme="minorHAnsi"/>
          <w:bCs/>
          <w:iCs/>
          <w:sz w:val="24"/>
          <w:szCs w:val="24"/>
        </w:rPr>
        <w:t xml:space="preserve"> Tato skutečnost měla vliv na výši odpisů v roce 2016. V roce 2016 tak došlo k nadhodnocení zůstatku účtu 551 – </w:t>
      </w:r>
      <w:r w:rsidRPr="00ED7C30">
        <w:rPr>
          <w:rFonts w:cstheme="minorHAnsi"/>
          <w:bCs/>
          <w:i/>
          <w:iCs/>
          <w:sz w:val="24"/>
          <w:szCs w:val="24"/>
        </w:rPr>
        <w:t>Odpisy dlouhodobého majetku</w:t>
      </w:r>
      <w:r w:rsidRPr="00ED7C30">
        <w:rPr>
          <w:rFonts w:cstheme="minorHAnsi"/>
          <w:bCs/>
          <w:iCs/>
          <w:sz w:val="24"/>
          <w:szCs w:val="24"/>
        </w:rPr>
        <w:t xml:space="preserve"> o částku 17 954 569,00 Kč, podhodnocení zůstatku účtu 013 – </w:t>
      </w:r>
      <w:r w:rsidRPr="00ED7C30">
        <w:rPr>
          <w:rFonts w:cstheme="minorHAnsi"/>
          <w:bCs/>
          <w:i/>
          <w:iCs/>
          <w:sz w:val="24"/>
          <w:szCs w:val="24"/>
        </w:rPr>
        <w:t>Software</w:t>
      </w:r>
      <w:r w:rsidRPr="00ED7C30">
        <w:rPr>
          <w:rFonts w:cstheme="minorHAnsi"/>
          <w:bCs/>
          <w:iCs/>
          <w:sz w:val="24"/>
          <w:szCs w:val="24"/>
        </w:rPr>
        <w:t xml:space="preserve"> ve sloupci NE</w:t>
      </w:r>
      <w:r w:rsidR="002159CD" w:rsidRPr="00ED7C30">
        <w:rPr>
          <w:rFonts w:cstheme="minorHAnsi"/>
          <w:bCs/>
          <w:iCs/>
          <w:sz w:val="24"/>
          <w:szCs w:val="24"/>
        </w:rPr>
        <w:t>TTO o částku 17 954 569,00 Kč a </w:t>
      </w:r>
      <w:r w:rsidRPr="00ED7C30">
        <w:rPr>
          <w:rFonts w:cstheme="minorHAnsi"/>
          <w:bCs/>
          <w:iCs/>
          <w:sz w:val="24"/>
          <w:szCs w:val="24"/>
        </w:rPr>
        <w:t xml:space="preserve">nadhodnocení zůstatku účtu 073 – </w:t>
      </w:r>
      <w:r w:rsidRPr="00ED7C30">
        <w:rPr>
          <w:rFonts w:cstheme="minorHAnsi"/>
          <w:bCs/>
          <w:i/>
          <w:iCs/>
          <w:sz w:val="24"/>
          <w:szCs w:val="24"/>
        </w:rPr>
        <w:t>Opráv</w:t>
      </w:r>
      <w:r w:rsidR="009D3F89" w:rsidRPr="00ED7C30">
        <w:rPr>
          <w:rFonts w:cstheme="minorHAnsi"/>
          <w:bCs/>
          <w:i/>
          <w:iCs/>
          <w:sz w:val="24"/>
          <w:szCs w:val="24"/>
        </w:rPr>
        <w:t>k</w:t>
      </w:r>
      <w:r w:rsidRPr="00ED7C30">
        <w:rPr>
          <w:rFonts w:cstheme="minorHAnsi"/>
          <w:bCs/>
          <w:i/>
          <w:iCs/>
          <w:sz w:val="24"/>
          <w:szCs w:val="24"/>
        </w:rPr>
        <w:t>y k software</w:t>
      </w:r>
      <w:r w:rsidRPr="00ED7C30">
        <w:rPr>
          <w:rFonts w:cstheme="minorHAnsi"/>
          <w:bCs/>
          <w:iCs/>
          <w:sz w:val="24"/>
          <w:szCs w:val="24"/>
        </w:rPr>
        <w:t xml:space="preserve"> o stejnou částku. Dále byl podhodnocen výsledek hospodaření běžného účetního období o 17 954 569,00 Kč.</w:t>
      </w:r>
    </w:p>
    <w:p w14:paraId="61D77F8E" w14:textId="77777777" w:rsidR="003476FE" w:rsidRPr="00ED7C30" w:rsidRDefault="003476FE" w:rsidP="00C33513">
      <w:pPr>
        <w:spacing w:after="0" w:line="240" w:lineRule="auto"/>
        <w:ind w:left="720"/>
        <w:jc w:val="both"/>
        <w:rPr>
          <w:rFonts w:cstheme="minorHAnsi"/>
          <w:bCs/>
          <w:iCs/>
          <w:sz w:val="24"/>
          <w:szCs w:val="24"/>
        </w:rPr>
      </w:pPr>
    </w:p>
    <w:p w14:paraId="2FAA31C2" w14:textId="6838A2E8" w:rsidR="002173F9" w:rsidRPr="00ED7C30" w:rsidRDefault="00CB1399" w:rsidP="00C33513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</w:rPr>
        <w:t xml:space="preserve">MPSV </w:t>
      </w:r>
      <w:r>
        <w:rPr>
          <w:rFonts w:cstheme="minorHAnsi"/>
          <w:b/>
          <w:bCs/>
          <w:iCs/>
          <w:sz w:val="24"/>
          <w:szCs w:val="24"/>
        </w:rPr>
        <w:t>z</w:t>
      </w:r>
      <w:r w:rsidR="002173F9" w:rsidRPr="00ED7C30">
        <w:rPr>
          <w:rFonts w:cstheme="minorHAnsi"/>
          <w:b/>
          <w:bCs/>
          <w:iCs/>
          <w:sz w:val="24"/>
          <w:szCs w:val="24"/>
        </w:rPr>
        <w:t xml:space="preserve">aúčtovalo v rozporu s bodem 4.9 ČÚS č. 703 náklady z předfinancování transferů poskytnutých z rozpočtu EU na účtu 571 </w:t>
      </w:r>
      <w:r w:rsidR="002173F9" w:rsidRPr="00ED7C30">
        <w:rPr>
          <w:rFonts w:cstheme="minorHAnsi"/>
          <w:b/>
          <w:bCs/>
          <w:i/>
          <w:iCs/>
          <w:sz w:val="24"/>
          <w:szCs w:val="24"/>
        </w:rPr>
        <w:t>– Náklady vybraných ústředních vládních institucí z transferů</w:t>
      </w:r>
      <w:r w:rsidR="002173F9" w:rsidRPr="00ED7C30">
        <w:rPr>
          <w:rFonts w:cstheme="minorHAnsi"/>
          <w:b/>
          <w:bCs/>
          <w:iCs/>
          <w:sz w:val="24"/>
          <w:szCs w:val="24"/>
        </w:rPr>
        <w:t xml:space="preserve">, ačkoli tyto náklady mělo zaúčtovat na účtu </w:t>
      </w:r>
      <w:r w:rsidR="008A468B">
        <w:rPr>
          <w:rFonts w:cstheme="minorHAnsi"/>
          <w:b/>
          <w:bCs/>
          <w:iCs/>
          <w:sz w:val="24"/>
          <w:szCs w:val="24"/>
        </w:rPr>
        <w:br/>
      </w:r>
      <w:r w:rsidR="002173F9" w:rsidRPr="00ED7C30">
        <w:rPr>
          <w:rFonts w:cstheme="minorHAnsi"/>
          <w:b/>
          <w:bCs/>
          <w:iCs/>
          <w:sz w:val="24"/>
          <w:szCs w:val="24"/>
        </w:rPr>
        <w:t xml:space="preserve">575 – </w:t>
      </w:r>
      <w:r w:rsidR="002173F9" w:rsidRPr="00ED7C30">
        <w:rPr>
          <w:rFonts w:cstheme="minorHAnsi"/>
          <w:b/>
          <w:bCs/>
          <w:i/>
          <w:iCs/>
          <w:sz w:val="24"/>
          <w:szCs w:val="24"/>
        </w:rPr>
        <w:t>Náklady vybraných ústředních vládních institucí na předfinanc</w:t>
      </w:r>
      <w:r w:rsidR="00A85555" w:rsidRPr="00ED7C30">
        <w:rPr>
          <w:rFonts w:cstheme="minorHAnsi"/>
          <w:b/>
          <w:bCs/>
          <w:i/>
          <w:iCs/>
          <w:sz w:val="24"/>
          <w:szCs w:val="24"/>
        </w:rPr>
        <w:t>ování transferů</w:t>
      </w:r>
      <w:r w:rsidR="00A85555" w:rsidRPr="00ED7C30">
        <w:rPr>
          <w:rFonts w:cstheme="minorHAnsi"/>
          <w:b/>
          <w:bCs/>
          <w:iCs/>
          <w:sz w:val="24"/>
          <w:szCs w:val="24"/>
        </w:rPr>
        <w:t>.</w:t>
      </w:r>
      <w:r w:rsidR="00A85555" w:rsidRPr="00ED7C30">
        <w:rPr>
          <w:rFonts w:cstheme="minorHAnsi"/>
          <w:bCs/>
          <w:iCs/>
          <w:sz w:val="24"/>
          <w:szCs w:val="24"/>
        </w:rPr>
        <w:t xml:space="preserve"> </w:t>
      </w:r>
      <w:r w:rsidR="00E908A4" w:rsidRPr="00ED7C30">
        <w:rPr>
          <w:rFonts w:cstheme="minorHAnsi"/>
          <w:bCs/>
          <w:iCs/>
          <w:sz w:val="24"/>
          <w:szCs w:val="24"/>
        </w:rPr>
        <w:t xml:space="preserve">V důsledku této skutečnosti došlo k nadhodnocení </w:t>
      </w:r>
      <w:r w:rsidR="002173F9" w:rsidRPr="00ED7C30">
        <w:rPr>
          <w:rFonts w:cstheme="minorHAnsi"/>
          <w:bCs/>
          <w:iCs/>
          <w:sz w:val="24"/>
          <w:szCs w:val="24"/>
        </w:rPr>
        <w:t>zůstatk</w:t>
      </w:r>
      <w:r w:rsidR="00E908A4" w:rsidRPr="00ED7C30">
        <w:rPr>
          <w:rFonts w:cstheme="minorHAnsi"/>
          <w:bCs/>
          <w:iCs/>
          <w:sz w:val="24"/>
          <w:szCs w:val="24"/>
        </w:rPr>
        <w:t>u</w:t>
      </w:r>
      <w:r w:rsidR="002173F9" w:rsidRPr="00ED7C30">
        <w:rPr>
          <w:rFonts w:cstheme="minorHAnsi"/>
          <w:bCs/>
          <w:iCs/>
          <w:sz w:val="24"/>
          <w:szCs w:val="24"/>
        </w:rPr>
        <w:t xml:space="preserve"> účtu 571 – </w:t>
      </w:r>
      <w:r w:rsidR="002173F9" w:rsidRPr="00ED7C30">
        <w:rPr>
          <w:rFonts w:cstheme="minorHAnsi"/>
          <w:bCs/>
          <w:i/>
          <w:iCs/>
          <w:sz w:val="24"/>
          <w:szCs w:val="24"/>
        </w:rPr>
        <w:t xml:space="preserve">Náklady vybraných ústředních vládních institucí z transferů </w:t>
      </w:r>
      <w:r w:rsidR="002173F9" w:rsidRPr="00ED7C30">
        <w:rPr>
          <w:rFonts w:cstheme="minorHAnsi"/>
          <w:bCs/>
          <w:iCs/>
          <w:sz w:val="24"/>
          <w:szCs w:val="24"/>
        </w:rPr>
        <w:t>a</w:t>
      </w:r>
      <w:r w:rsidR="00254F06" w:rsidRPr="00ED7C30">
        <w:rPr>
          <w:rFonts w:cstheme="minorHAnsi"/>
          <w:bCs/>
          <w:iCs/>
          <w:sz w:val="24"/>
          <w:szCs w:val="24"/>
        </w:rPr>
        <w:t xml:space="preserve"> k</w:t>
      </w:r>
      <w:r w:rsidR="002173F9" w:rsidRPr="00ED7C30">
        <w:rPr>
          <w:rFonts w:cstheme="minorHAnsi"/>
          <w:bCs/>
          <w:iCs/>
          <w:sz w:val="24"/>
          <w:szCs w:val="24"/>
        </w:rPr>
        <w:t xml:space="preserve"> </w:t>
      </w:r>
      <w:r w:rsidR="00E908A4" w:rsidRPr="00ED7C30">
        <w:rPr>
          <w:rFonts w:cstheme="minorHAnsi"/>
          <w:bCs/>
          <w:iCs/>
          <w:sz w:val="24"/>
          <w:szCs w:val="24"/>
        </w:rPr>
        <w:t xml:space="preserve">podhodnocení </w:t>
      </w:r>
      <w:r w:rsidR="002173F9" w:rsidRPr="00ED7C30">
        <w:rPr>
          <w:rFonts w:cstheme="minorHAnsi"/>
          <w:bCs/>
          <w:iCs/>
          <w:sz w:val="24"/>
          <w:szCs w:val="24"/>
        </w:rPr>
        <w:t>zůstatk</w:t>
      </w:r>
      <w:r w:rsidR="00E908A4" w:rsidRPr="00ED7C30">
        <w:rPr>
          <w:rFonts w:cstheme="minorHAnsi"/>
          <w:bCs/>
          <w:iCs/>
          <w:sz w:val="24"/>
          <w:szCs w:val="24"/>
        </w:rPr>
        <w:t>u</w:t>
      </w:r>
      <w:r w:rsidR="002173F9" w:rsidRPr="00ED7C30">
        <w:rPr>
          <w:rFonts w:cstheme="minorHAnsi"/>
          <w:bCs/>
          <w:iCs/>
          <w:sz w:val="24"/>
          <w:szCs w:val="24"/>
        </w:rPr>
        <w:t xml:space="preserve"> účtu </w:t>
      </w:r>
      <w:r>
        <w:rPr>
          <w:rFonts w:cstheme="minorHAnsi"/>
          <w:bCs/>
          <w:iCs/>
          <w:sz w:val="24"/>
          <w:szCs w:val="24"/>
        </w:rPr>
        <w:br/>
      </w:r>
      <w:r w:rsidR="002173F9" w:rsidRPr="00ED7C30">
        <w:rPr>
          <w:rFonts w:cstheme="minorHAnsi"/>
          <w:bCs/>
          <w:iCs/>
          <w:sz w:val="24"/>
          <w:szCs w:val="24"/>
        </w:rPr>
        <w:t xml:space="preserve">575 – </w:t>
      </w:r>
      <w:r w:rsidR="002173F9" w:rsidRPr="00ED7C30">
        <w:rPr>
          <w:rFonts w:cstheme="minorHAnsi"/>
          <w:bCs/>
          <w:i/>
          <w:iCs/>
          <w:sz w:val="24"/>
          <w:szCs w:val="24"/>
        </w:rPr>
        <w:t>Náklady vybraných ústředních vládních institucí na předfinancování transferů</w:t>
      </w:r>
      <w:r w:rsidR="00E908A4" w:rsidRPr="00ED7C30">
        <w:rPr>
          <w:rFonts w:cstheme="minorHAnsi"/>
          <w:bCs/>
          <w:iCs/>
          <w:sz w:val="24"/>
          <w:szCs w:val="24"/>
        </w:rPr>
        <w:t xml:space="preserve"> o</w:t>
      </w:r>
      <w:r>
        <w:rPr>
          <w:rFonts w:cstheme="minorHAnsi"/>
          <w:bCs/>
          <w:iCs/>
          <w:sz w:val="24"/>
          <w:szCs w:val="24"/>
        </w:rPr>
        <w:t> </w:t>
      </w:r>
      <w:r w:rsidR="00E908A4" w:rsidRPr="00ED7C30">
        <w:rPr>
          <w:rFonts w:cstheme="minorHAnsi"/>
          <w:bCs/>
          <w:iCs/>
          <w:sz w:val="24"/>
          <w:szCs w:val="24"/>
        </w:rPr>
        <w:t>částku 40 283 718,30 Kč</w:t>
      </w:r>
      <w:r w:rsidR="002173F9" w:rsidRPr="00ED7C30">
        <w:rPr>
          <w:rFonts w:cstheme="minorHAnsi"/>
          <w:bCs/>
          <w:iCs/>
          <w:sz w:val="24"/>
          <w:szCs w:val="24"/>
        </w:rPr>
        <w:t xml:space="preserve">. </w:t>
      </w:r>
      <w:r w:rsidR="002173F9" w:rsidRPr="00ED7C30">
        <w:rPr>
          <w:rFonts w:cstheme="minorHAnsi"/>
          <w:b/>
          <w:bCs/>
          <w:iCs/>
          <w:sz w:val="24"/>
          <w:szCs w:val="24"/>
        </w:rPr>
        <w:t>Uvedená nesprávnost neměla vliv na výsledek hospodaření běžného období.</w:t>
      </w:r>
    </w:p>
    <w:p w14:paraId="2C35F3A6" w14:textId="77777777" w:rsidR="002173F9" w:rsidRPr="00ED7C30" w:rsidRDefault="002173F9" w:rsidP="00C33513">
      <w:pPr>
        <w:spacing w:after="0"/>
        <w:rPr>
          <w:rFonts w:cstheme="minorHAnsi"/>
          <w:sz w:val="24"/>
          <w:szCs w:val="24"/>
        </w:rPr>
      </w:pPr>
    </w:p>
    <w:p w14:paraId="02ECED85" w14:textId="64E5E26A" w:rsidR="00B52B0B" w:rsidRPr="00ED7C30" w:rsidRDefault="00CB1399" w:rsidP="00C33513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MPSV </w:t>
      </w:r>
      <w:r>
        <w:rPr>
          <w:rFonts w:asciiTheme="minorHAnsi" w:hAnsiTheme="minorHAnsi" w:cstheme="minorHAnsi"/>
          <w:b/>
          <w:bCs/>
          <w:iCs/>
        </w:rPr>
        <w:t>ú</w:t>
      </w:r>
      <w:r w:rsidR="00A85555" w:rsidRPr="00ED7C30">
        <w:rPr>
          <w:rFonts w:asciiTheme="minorHAnsi" w:hAnsiTheme="minorHAnsi" w:cstheme="minorHAnsi"/>
          <w:b/>
          <w:bCs/>
          <w:iCs/>
        </w:rPr>
        <w:t>čtovalo o příjmu stravenek jako o příjmu peněžní hotovosti do pokladny a o následném výdeji stravenek zaměstnancům účtovalo jako o výdeji pokladní hotovosti, nikoli jako o příjmu a výdeji cenin.</w:t>
      </w:r>
      <w:r w:rsidR="00A85555" w:rsidRPr="00ED7C30">
        <w:rPr>
          <w:rFonts w:asciiTheme="minorHAnsi" w:hAnsiTheme="minorHAnsi" w:cstheme="minorHAnsi"/>
          <w:bCs/>
          <w:iCs/>
        </w:rPr>
        <w:t xml:space="preserve"> </w:t>
      </w:r>
      <w:r w:rsidR="00D212AD" w:rsidRPr="00ED7C30">
        <w:rPr>
          <w:rFonts w:asciiTheme="minorHAnsi" w:hAnsiTheme="minorHAnsi" w:cstheme="minorHAnsi"/>
          <w:bCs/>
          <w:iCs/>
        </w:rPr>
        <w:t>D</w:t>
      </w:r>
      <w:r w:rsidR="00A85555" w:rsidRPr="00ED7C30">
        <w:rPr>
          <w:rFonts w:asciiTheme="minorHAnsi" w:hAnsiTheme="minorHAnsi" w:cstheme="minorHAnsi"/>
          <w:bCs/>
          <w:iCs/>
        </w:rPr>
        <w:t xml:space="preserve">ále </w:t>
      </w:r>
      <w:r w:rsidR="00A85555" w:rsidRPr="00ED7C30">
        <w:rPr>
          <w:rFonts w:asciiTheme="minorHAnsi" w:hAnsiTheme="minorHAnsi" w:cstheme="minorHAnsi"/>
          <w:b/>
          <w:bCs/>
          <w:iCs/>
        </w:rPr>
        <w:t xml:space="preserve">neúčtovalo </w:t>
      </w:r>
      <w:r w:rsidR="00D212AD" w:rsidRPr="00ED7C30">
        <w:rPr>
          <w:rFonts w:asciiTheme="minorHAnsi" w:hAnsiTheme="minorHAnsi" w:cstheme="minorHAnsi"/>
          <w:b/>
          <w:bCs/>
          <w:iCs/>
        </w:rPr>
        <w:t>o </w:t>
      </w:r>
      <w:r w:rsidR="00A85555" w:rsidRPr="00ED7C30">
        <w:rPr>
          <w:rFonts w:asciiTheme="minorHAnsi" w:hAnsiTheme="minorHAnsi" w:cstheme="minorHAnsi"/>
          <w:b/>
          <w:bCs/>
          <w:iCs/>
        </w:rPr>
        <w:t xml:space="preserve">všech pořízených stravenkách v jejich </w:t>
      </w:r>
      <w:r w:rsidR="00C50947">
        <w:rPr>
          <w:rFonts w:asciiTheme="minorHAnsi" w:hAnsiTheme="minorHAnsi" w:cstheme="minorHAnsi"/>
          <w:b/>
          <w:bCs/>
          <w:iCs/>
        </w:rPr>
        <w:t xml:space="preserve">celkové </w:t>
      </w:r>
      <w:r w:rsidR="00A85555" w:rsidRPr="00ED7C30">
        <w:rPr>
          <w:rFonts w:asciiTheme="minorHAnsi" w:hAnsiTheme="minorHAnsi" w:cstheme="minorHAnsi"/>
          <w:b/>
          <w:bCs/>
          <w:iCs/>
        </w:rPr>
        <w:t>hodnotě</w:t>
      </w:r>
      <w:r w:rsidR="00D212AD" w:rsidRPr="00AB7AAA">
        <w:rPr>
          <w:rFonts w:asciiTheme="minorHAnsi" w:hAnsiTheme="minorHAnsi" w:cstheme="minorHAnsi"/>
          <w:b/>
          <w:bCs/>
          <w:iCs/>
        </w:rPr>
        <w:t>,</w:t>
      </w:r>
      <w:r w:rsidR="00D212AD" w:rsidRPr="00ED7C30">
        <w:rPr>
          <w:rFonts w:asciiTheme="minorHAnsi" w:hAnsiTheme="minorHAnsi" w:cstheme="minorHAnsi"/>
          <w:bCs/>
          <w:iCs/>
        </w:rPr>
        <w:t xml:space="preserve"> ale účtovalo pouze o </w:t>
      </w:r>
      <w:r w:rsidR="00A85555" w:rsidRPr="00ED7C30">
        <w:rPr>
          <w:rFonts w:asciiTheme="minorHAnsi" w:hAnsiTheme="minorHAnsi" w:cstheme="minorHAnsi"/>
          <w:bCs/>
          <w:iCs/>
        </w:rPr>
        <w:t xml:space="preserve">stravenkách určených zaměstnancům MPSV v Praze 2. </w:t>
      </w:r>
      <w:r w:rsidR="00A85555" w:rsidRPr="00ED7C30">
        <w:rPr>
          <w:rFonts w:asciiTheme="minorHAnsi" w:hAnsiTheme="minorHAnsi" w:cstheme="minorHAnsi"/>
          <w:b/>
          <w:bCs/>
          <w:iCs/>
        </w:rPr>
        <w:t>Skutečnost,</w:t>
      </w:r>
      <w:r w:rsidR="00A85555" w:rsidRPr="00ED7C30">
        <w:rPr>
          <w:rFonts w:asciiTheme="minorHAnsi" w:hAnsiTheme="minorHAnsi" w:cstheme="minorHAnsi"/>
          <w:bCs/>
          <w:iCs/>
        </w:rPr>
        <w:t xml:space="preserve"> že MPSV </w:t>
      </w:r>
      <w:r w:rsidR="00E44BDC" w:rsidRPr="00ED7C30">
        <w:rPr>
          <w:rFonts w:asciiTheme="minorHAnsi" w:hAnsiTheme="minorHAnsi" w:cstheme="minorHAnsi"/>
          <w:bCs/>
          <w:iCs/>
        </w:rPr>
        <w:t xml:space="preserve">neúčtovalo </w:t>
      </w:r>
      <w:r w:rsidR="00A85555" w:rsidRPr="00ED7C30">
        <w:rPr>
          <w:rFonts w:asciiTheme="minorHAnsi" w:hAnsiTheme="minorHAnsi" w:cstheme="minorHAnsi"/>
          <w:bCs/>
          <w:iCs/>
        </w:rPr>
        <w:t xml:space="preserve">o všech nakoupených stravenkách, </w:t>
      </w:r>
      <w:r w:rsidR="00A85555" w:rsidRPr="00ED7C30">
        <w:rPr>
          <w:rFonts w:asciiTheme="minorHAnsi" w:hAnsiTheme="minorHAnsi" w:cstheme="minorHAnsi"/>
          <w:b/>
          <w:bCs/>
          <w:iCs/>
        </w:rPr>
        <w:t>byla zjištěna již při předchozí</w:t>
      </w:r>
      <w:r w:rsidR="00D212AD" w:rsidRPr="00ED7C30">
        <w:rPr>
          <w:rFonts w:asciiTheme="minorHAnsi" w:hAnsiTheme="minorHAnsi" w:cstheme="minorHAnsi"/>
          <w:b/>
          <w:bCs/>
          <w:iCs/>
        </w:rPr>
        <w:t>ch</w:t>
      </w:r>
      <w:r w:rsidR="00A85555" w:rsidRPr="00ED7C30">
        <w:rPr>
          <w:rFonts w:asciiTheme="minorHAnsi" w:hAnsiTheme="minorHAnsi" w:cstheme="minorHAnsi"/>
          <w:b/>
          <w:bCs/>
          <w:iCs/>
        </w:rPr>
        <w:t xml:space="preserve"> kontrolní</w:t>
      </w:r>
      <w:r w:rsidR="00D212AD" w:rsidRPr="00ED7C30">
        <w:rPr>
          <w:rFonts w:asciiTheme="minorHAnsi" w:hAnsiTheme="minorHAnsi" w:cstheme="minorHAnsi"/>
          <w:b/>
          <w:bCs/>
          <w:iCs/>
        </w:rPr>
        <w:t>ch</w:t>
      </w:r>
      <w:r w:rsidR="00A85555" w:rsidRPr="00ED7C30">
        <w:rPr>
          <w:rFonts w:asciiTheme="minorHAnsi" w:hAnsiTheme="minorHAnsi" w:cstheme="minorHAnsi"/>
          <w:b/>
          <w:bCs/>
          <w:iCs/>
        </w:rPr>
        <w:t xml:space="preserve"> akc</w:t>
      </w:r>
      <w:r w:rsidR="00D212AD" w:rsidRPr="00ED7C30">
        <w:rPr>
          <w:rFonts w:asciiTheme="minorHAnsi" w:hAnsiTheme="minorHAnsi" w:cstheme="minorHAnsi"/>
          <w:b/>
          <w:bCs/>
          <w:iCs/>
        </w:rPr>
        <w:t>ích</w:t>
      </w:r>
      <w:r w:rsidR="00A85555" w:rsidRPr="00ED7C30">
        <w:rPr>
          <w:rFonts w:asciiTheme="minorHAnsi" w:hAnsiTheme="minorHAnsi" w:cstheme="minorHAnsi"/>
          <w:b/>
          <w:bCs/>
          <w:iCs/>
        </w:rPr>
        <w:t xml:space="preserve"> č.</w:t>
      </w:r>
      <w:r w:rsidR="00E11497" w:rsidRPr="00ED7C30">
        <w:rPr>
          <w:rFonts w:asciiTheme="minorHAnsi" w:hAnsiTheme="minorHAnsi" w:cstheme="minorHAnsi"/>
          <w:b/>
          <w:bCs/>
          <w:iCs/>
        </w:rPr>
        <w:t> </w:t>
      </w:r>
      <w:r w:rsidR="00D212AD" w:rsidRPr="00ED7C30">
        <w:rPr>
          <w:rFonts w:asciiTheme="minorHAnsi" w:hAnsiTheme="minorHAnsi" w:cstheme="minorHAnsi"/>
          <w:b/>
          <w:bCs/>
          <w:iCs/>
        </w:rPr>
        <w:t xml:space="preserve">12/28 a </w:t>
      </w:r>
      <w:r w:rsidR="00E11497" w:rsidRPr="00ED7C30">
        <w:rPr>
          <w:rFonts w:asciiTheme="minorHAnsi" w:hAnsiTheme="minorHAnsi" w:cstheme="minorHAnsi"/>
          <w:b/>
          <w:bCs/>
          <w:iCs/>
        </w:rPr>
        <w:t xml:space="preserve">č. </w:t>
      </w:r>
      <w:r w:rsidR="00A85555" w:rsidRPr="00ED7C30">
        <w:rPr>
          <w:rFonts w:asciiTheme="minorHAnsi" w:hAnsiTheme="minorHAnsi" w:cstheme="minorHAnsi"/>
          <w:b/>
          <w:bCs/>
          <w:iCs/>
        </w:rPr>
        <w:t>11/36.</w:t>
      </w:r>
      <w:r w:rsidR="00A85555" w:rsidRPr="00ED7C30">
        <w:rPr>
          <w:rFonts w:asciiTheme="minorHAnsi" w:hAnsiTheme="minorHAnsi" w:cstheme="minorHAnsi"/>
          <w:bCs/>
          <w:iCs/>
        </w:rPr>
        <w:t xml:space="preserve"> MPSV rovněž v okamžiku přijetí nevyfakturovaných stravenek neúčtovalo prostřednictvím účtu 389</w:t>
      </w:r>
      <w:r w:rsidR="00A85555" w:rsidRPr="00ED7C30">
        <w:rPr>
          <w:rFonts w:asciiTheme="minorHAnsi" w:hAnsiTheme="minorHAnsi" w:cstheme="minorHAnsi"/>
          <w:bCs/>
          <w:i/>
          <w:iCs/>
        </w:rPr>
        <w:t xml:space="preserve"> – Dohadné účty pasivní</w:t>
      </w:r>
      <w:r w:rsidR="00A85555" w:rsidRPr="00ED7C30">
        <w:rPr>
          <w:rFonts w:asciiTheme="minorHAnsi" w:hAnsiTheme="minorHAnsi" w:cstheme="minorHAnsi"/>
          <w:bCs/>
          <w:iCs/>
        </w:rPr>
        <w:t xml:space="preserve"> a </w:t>
      </w:r>
      <w:r w:rsidR="00D212AD" w:rsidRPr="00ED7C30">
        <w:rPr>
          <w:rFonts w:asciiTheme="minorHAnsi" w:hAnsiTheme="minorHAnsi" w:cstheme="minorHAnsi"/>
        </w:rPr>
        <w:t>neúčtovalo o pohledávkách za zaměstnanci z titulu úhrady stravenek prostřednictvím účtu</w:t>
      </w:r>
      <w:r w:rsidR="00ED7C30" w:rsidRPr="00ED7C30">
        <w:rPr>
          <w:rFonts w:asciiTheme="minorHAnsi" w:hAnsiTheme="minorHAnsi" w:cstheme="minorHAnsi"/>
        </w:rPr>
        <w:t xml:space="preserve"> </w:t>
      </w:r>
      <w:r w:rsidR="008A468B">
        <w:rPr>
          <w:rFonts w:asciiTheme="minorHAnsi" w:hAnsiTheme="minorHAnsi" w:cstheme="minorHAnsi"/>
        </w:rPr>
        <w:br/>
      </w:r>
      <w:r w:rsidR="00D212AD" w:rsidRPr="00ED7C30">
        <w:rPr>
          <w:rFonts w:asciiTheme="minorHAnsi" w:hAnsiTheme="minorHAnsi" w:cstheme="minorHAnsi"/>
        </w:rPr>
        <w:t xml:space="preserve">335 – </w:t>
      </w:r>
      <w:r w:rsidR="00D212AD" w:rsidRPr="00ED7C30">
        <w:rPr>
          <w:rFonts w:asciiTheme="minorHAnsi" w:hAnsiTheme="minorHAnsi" w:cstheme="minorHAnsi"/>
          <w:i/>
        </w:rPr>
        <w:t>Pohledávky za zaměstnanci</w:t>
      </w:r>
      <w:r w:rsidR="00E11497" w:rsidRPr="00ED7C30">
        <w:rPr>
          <w:rFonts w:asciiTheme="minorHAnsi" w:hAnsiTheme="minorHAnsi" w:cstheme="minorHAnsi"/>
        </w:rPr>
        <w:t>. Dále pak</w:t>
      </w:r>
      <w:r w:rsidR="00D212AD" w:rsidRPr="00ED7C30">
        <w:rPr>
          <w:rFonts w:asciiTheme="minorHAnsi" w:hAnsiTheme="minorHAnsi" w:cstheme="minorHAnsi"/>
          <w:bCs/>
          <w:iCs/>
        </w:rPr>
        <w:t xml:space="preserve"> neúčtovalo o nákladech </w:t>
      </w:r>
      <w:r w:rsidR="004406AF" w:rsidRPr="00ED7C30">
        <w:rPr>
          <w:rFonts w:asciiTheme="minorHAnsi" w:hAnsiTheme="minorHAnsi" w:cstheme="minorHAnsi"/>
          <w:bCs/>
          <w:iCs/>
        </w:rPr>
        <w:t xml:space="preserve">souvisejících </w:t>
      </w:r>
      <w:r w:rsidR="00D212AD" w:rsidRPr="00ED7C30">
        <w:rPr>
          <w:rFonts w:asciiTheme="minorHAnsi" w:hAnsiTheme="minorHAnsi" w:cstheme="minorHAnsi"/>
          <w:bCs/>
          <w:iCs/>
        </w:rPr>
        <w:t>s pořízení</w:t>
      </w:r>
      <w:r w:rsidR="004406AF" w:rsidRPr="00ED7C30">
        <w:rPr>
          <w:rFonts w:asciiTheme="minorHAnsi" w:hAnsiTheme="minorHAnsi" w:cstheme="minorHAnsi"/>
          <w:bCs/>
          <w:iCs/>
        </w:rPr>
        <w:t>m</w:t>
      </w:r>
      <w:r w:rsidR="00D212AD" w:rsidRPr="00ED7C30">
        <w:rPr>
          <w:rFonts w:asciiTheme="minorHAnsi" w:hAnsiTheme="minorHAnsi" w:cstheme="minorHAnsi"/>
          <w:bCs/>
          <w:iCs/>
        </w:rPr>
        <w:t xml:space="preserve"> stravenek do správného účetního období</w:t>
      </w:r>
      <w:r w:rsidR="00D008CC" w:rsidRPr="00ED7C30">
        <w:rPr>
          <w:rFonts w:asciiTheme="minorHAnsi" w:hAnsiTheme="minorHAnsi" w:cstheme="minorHAnsi"/>
          <w:bCs/>
          <w:iCs/>
        </w:rPr>
        <w:t xml:space="preserve"> a nesprávně účtovalo o </w:t>
      </w:r>
      <w:r w:rsidR="005A5613" w:rsidRPr="00ED7C30">
        <w:rPr>
          <w:rFonts w:asciiTheme="minorHAnsi" w:hAnsiTheme="minorHAnsi" w:cstheme="minorHAnsi"/>
          <w:bCs/>
          <w:iCs/>
        </w:rPr>
        <w:t>nákladech za poštovné a balné</w:t>
      </w:r>
      <w:r w:rsidR="00A85555" w:rsidRPr="00ED7C30">
        <w:rPr>
          <w:rFonts w:asciiTheme="minorHAnsi" w:hAnsiTheme="minorHAnsi" w:cstheme="minorHAnsi"/>
          <w:bCs/>
          <w:iCs/>
        </w:rPr>
        <w:t>.</w:t>
      </w:r>
    </w:p>
    <w:p w14:paraId="3BEDA35D" w14:textId="77777777" w:rsidR="007056E1" w:rsidRPr="00ED7C30" w:rsidRDefault="007056E1" w:rsidP="00C33513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7807B3B4" w14:textId="295D2A86" w:rsidR="00E100B9" w:rsidRPr="00ED7C30" w:rsidRDefault="00B7035F" w:rsidP="00C33513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</w:rPr>
        <w:t xml:space="preserve">MPSV </w:t>
      </w:r>
      <w:r>
        <w:rPr>
          <w:rFonts w:cstheme="minorHAnsi"/>
          <w:b/>
          <w:sz w:val="24"/>
          <w:szCs w:val="24"/>
        </w:rPr>
        <w:t>ú</w:t>
      </w:r>
      <w:r w:rsidR="00077987" w:rsidRPr="00ED7C30">
        <w:rPr>
          <w:rFonts w:cstheme="minorHAnsi"/>
          <w:b/>
          <w:sz w:val="24"/>
          <w:szCs w:val="24"/>
        </w:rPr>
        <w:t>čtovalo nesprávně</w:t>
      </w:r>
      <w:r w:rsidR="00077987" w:rsidRPr="00ED7C30">
        <w:rPr>
          <w:rFonts w:cstheme="minorHAnsi"/>
          <w:sz w:val="24"/>
          <w:szCs w:val="24"/>
        </w:rPr>
        <w:t xml:space="preserve"> </w:t>
      </w:r>
      <w:r w:rsidR="00077987" w:rsidRPr="00ED7C30">
        <w:rPr>
          <w:rFonts w:cstheme="minorHAnsi"/>
          <w:b/>
          <w:bCs/>
          <w:sz w:val="24"/>
          <w:szCs w:val="24"/>
        </w:rPr>
        <w:t>o prostředcích poskytnutých zřízeným příspěvkovým organizacím na pořízení dlouhodobého majetku, které byly financovány z národních zdrojů.</w:t>
      </w:r>
      <w:r w:rsidR="00077987" w:rsidRPr="00ED7C30">
        <w:rPr>
          <w:rFonts w:cstheme="minorHAnsi"/>
          <w:sz w:val="24"/>
          <w:szCs w:val="24"/>
        </w:rPr>
        <w:t xml:space="preserve"> Tyto prostředky nejsou dle ČÚS č. 703 – </w:t>
      </w:r>
      <w:r w:rsidR="00077987" w:rsidRPr="00AB7AAA">
        <w:rPr>
          <w:rFonts w:cstheme="minorHAnsi"/>
          <w:i/>
          <w:sz w:val="24"/>
          <w:szCs w:val="24"/>
        </w:rPr>
        <w:t>Transfery</w:t>
      </w:r>
      <w:r w:rsidR="00077987" w:rsidRPr="00ED7C30">
        <w:rPr>
          <w:rFonts w:cstheme="minorHAnsi"/>
          <w:sz w:val="24"/>
          <w:szCs w:val="24"/>
        </w:rPr>
        <w:t xml:space="preserve"> považovány za transfer a</w:t>
      </w:r>
      <w:r w:rsidR="003F2468" w:rsidRPr="00ED7C30">
        <w:rPr>
          <w:rFonts w:cstheme="minorHAnsi"/>
          <w:sz w:val="24"/>
          <w:szCs w:val="24"/>
        </w:rPr>
        <w:t> </w:t>
      </w:r>
      <w:r w:rsidR="00077987" w:rsidRPr="00ED7C30">
        <w:rPr>
          <w:rFonts w:cstheme="minorHAnsi"/>
          <w:sz w:val="24"/>
          <w:szCs w:val="24"/>
        </w:rPr>
        <w:t>vybraná účetní jednotka o nich účtuje</w:t>
      </w:r>
      <w:r>
        <w:rPr>
          <w:rFonts w:cstheme="minorHAnsi"/>
          <w:sz w:val="24"/>
          <w:szCs w:val="24"/>
        </w:rPr>
        <w:t xml:space="preserve"> </w:t>
      </w:r>
      <w:r w:rsidR="00077987" w:rsidRPr="00ED7C30">
        <w:rPr>
          <w:rFonts w:cstheme="minorHAnsi"/>
          <w:sz w:val="24"/>
          <w:szCs w:val="24"/>
        </w:rPr>
        <w:t xml:space="preserve">dle ČÚS č. 709 – </w:t>
      </w:r>
      <w:r w:rsidR="00077987" w:rsidRPr="00AB7AAA">
        <w:rPr>
          <w:rFonts w:cstheme="minorHAnsi"/>
          <w:i/>
          <w:sz w:val="24"/>
          <w:szCs w:val="24"/>
        </w:rPr>
        <w:t xml:space="preserve">Vlastní zdroje </w:t>
      </w:r>
      <w:r w:rsidR="00077987" w:rsidRPr="00ED7C30">
        <w:rPr>
          <w:rFonts w:cstheme="minorHAnsi"/>
          <w:sz w:val="24"/>
          <w:szCs w:val="24"/>
        </w:rPr>
        <w:t xml:space="preserve">prostřednictvím účtu 401 – </w:t>
      </w:r>
      <w:r w:rsidR="00077987" w:rsidRPr="00ED7C30">
        <w:rPr>
          <w:rFonts w:cstheme="minorHAnsi"/>
          <w:i/>
          <w:sz w:val="24"/>
          <w:szCs w:val="24"/>
        </w:rPr>
        <w:t>Jmění účetní jednotky</w:t>
      </w:r>
      <w:r w:rsidR="00077987" w:rsidRPr="00ED7C30">
        <w:rPr>
          <w:rFonts w:cstheme="minorHAnsi"/>
          <w:sz w:val="24"/>
          <w:szCs w:val="24"/>
        </w:rPr>
        <w:t xml:space="preserve">. Byla vyčíslena </w:t>
      </w:r>
      <w:r w:rsidR="00077987" w:rsidRPr="00ED7C30">
        <w:rPr>
          <w:rFonts w:cstheme="minorHAnsi"/>
          <w:b/>
          <w:bCs/>
          <w:sz w:val="24"/>
          <w:szCs w:val="24"/>
        </w:rPr>
        <w:t>nesprávnost, která měla dopad na vykázané zůstatky účtů</w:t>
      </w:r>
      <w:r w:rsidR="00450EBA" w:rsidRPr="00ED7C30">
        <w:rPr>
          <w:rFonts w:cstheme="minorHAnsi"/>
          <w:b/>
          <w:bCs/>
          <w:sz w:val="24"/>
          <w:szCs w:val="24"/>
        </w:rPr>
        <w:t xml:space="preserve"> k 31. 12. 2016.</w:t>
      </w:r>
      <w:r w:rsidR="00AF5110" w:rsidRPr="00ED7C30">
        <w:rPr>
          <w:rFonts w:cstheme="minorHAnsi"/>
          <w:b/>
          <w:bCs/>
          <w:sz w:val="24"/>
          <w:szCs w:val="24"/>
        </w:rPr>
        <w:t xml:space="preserve"> </w:t>
      </w:r>
      <w:r w:rsidR="00450EBA" w:rsidRPr="00ED7C30">
        <w:rPr>
          <w:rFonts w:cstheme="minorHAnsi"/>
          <w:b/>
          <w:bCs/>
          <w:sz w:val="24"/>
          <w:szCs w:val="24"/>
        </w:rPr>
        <w:t>D</w:t>
      </w:r>
      <w:r w:rsidR="003F2468" w:rsidRPr="00ED7C30">
        <w:rPr>
          <w:rFonts w:cstheme="minorHAnsi"/>
          <w:b/>
          <w:bCs/>
          <w:sz w:val="24"/>
          <w:szCs w:val="24"/>
        </w:rPr>
        <w:t>ošlo k</w:t>
      </w:r>
      <w:r w:rsidR="00077987" w:rsidRPr="00ED7C30">
        <w:rPr>
          <w:rFonts w:cstheme="minorHAnsi"/>
          <w:b/>
          <w:bCs/>
          <w:sz w:val="24"/>
          <w:szCs w:val="24"/>
        </w:rPr>
        <w:t xml:space="preserve"> nadhodnocení zůstatku účtu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8A468B">
        <w:rPr>
          <w:rFonts w:cstheme="minorHAnsi"/>
          <w:b/>
          <w:bCs/>
          <w:sz w:val="24"/>
          <w:szCs w:val="24"/>
        </w:rPr>
        <w:br/>
      </w:r>
      <w:r w:rsidR="00077987" w:rsidRPr="00AB7AAA">
        <w:rPr>
          <w:rFonts w:cstheme="minorHAnsi"/>
          <w:b/>
          <w:bCs/>
          <w:iCs/>
          <w:sz w:val="24"/>
          <w:szCs w:val="24"/>
        </w:rPr>
        <w:t xml:space="preserve">571 – </w:t>
      </w:r>
      <w:r w:rsidR="00077987" w:rsidRPr="00ED7C30">
        <w:rPr>
          <w:rFonts w:cstheme="minorHAnsi"/>
          <w:b/>
          <w:bCs/>
          <w:i/>
          <w:iCs/>
          <w:sz w:val="24"/>
          <w:szCs w:val="24"/>
        </w:rPr>
        <w:t>Náklady vybraných ústředních institucí na transfery</w:t>
      </w:r>
      <w:r w:rsidR="00077987" w:rsidRPr="00ED7C30">
        <w:rPr>
          <w:rFonts w:cstheme="minorHAnsi"/>
          <w:b/>
          <w:bCs/>
          <w:sz w:val="24"/>
          <w:szCs w:val="24"/>
        </w:rPr>
        <w:t xml:space="preserve"> </w:t>
      </w:r>
      <w:r w:rsidR="003F2468" w:rsidRPr="00ED7C30">
        <w:rPr>
          <w:rFonts w:cstheme="minorHAnsi"/>
          <w:b/>
          <w:bCs/>
          <w:sz w:val="24"/>
          <w:szCs w:val="24"/>
        </w:rPr>
        <w:t xml:space="preserve">o částku 6 380 714,94 Kč </w:t>
      </w:r>
      <w:r w:rsidR="00AF5110" w:rsidRPr="00ED7C30">
        <w:rPr>
          <w:rFonts w:cstheme="minorHAnsi"/>
          <w:b/>
          <w:bCs/>
          <w:sz w:val="24"/>
          <w:szCs w:val="24"/>
        </w:rPr>
        <w:t>a </w:t>
      </w:r>
      <w:r w:rsidR="003F2468" w:rsidRPr="00ED7C30">
        <w:rPr>
          <w:rFonts w:cstheme="minorHAnsi"/>
          <w:b/>
          <w:bCs/>
          <w:sz w:val="24"/>
          <w:szCs w:val="24"/>
        </w:rPr>
        <w:t>k</w:t>
      </w:r>
      <w:r w:rsidR="002D0CC3" w:rsidRPr="00ED7C30">
        <w:rPr>
          <w:rFonts w:cstheme="minorHAnsi"/>
          <w:b/>
          <w:bCs/>
          <w:sz w:val="24"/>
          <w:szCs w:val="24"/>
        </w:rPr>
        <w:t> </w:t>
      </w:r>
      <w:r w:rsidR="00077987" w:rsidRPr="00ED7C30">
        <w:rPr>
          <w:rFonts w:cstheme="minorHAnsi"/>
          <w:b/>
          <w:bCs/>
          <w:sz w:val="24"/>
          <w:szCs w:val="24"/>
        </w:rPr>
        <w:t xml:space="preserve">nadhodnocení zůstatku účtu </w:t>
      </w:r>
      <w:r w:rsidR="00077987" w:rsidRPr="00AB7AAA">
        <w:rPr>
          <w:rFonts w:cstheme="minorHAnsi"/>
          <w:b/>
          <w:bCs/>
          <w:iCs/>
          <w:sz w:val="24"/>
          <w:szCs w:val="24"/>
        </w:rPr>
        <w:t xml:space="preserve">401 – </w:t>
      </w:r>
      <w:r w:rsidR="00077987" w:rsidRPr="00ED7C30">
        <w:rPr>
          <w:rFonts w:cstheme="minorHAnsi"/>
          <w:b/>
          <w:bCs/>
          <w:i/>
          <w:iCs/>
          <w:sz w:val="24"/>
          <w:szCs w:val="24"/>
        </w:rPr>
        <w:t>Jmění účetní jednotky</w:t>
      </w:r>
      <w:r w:rsidR="00BD5EFD" w:rsidRPr="00ED7C30">
        <w:rPr>
          <w:rFonts w:cstheme="minorHAnsi"/>
          <w:b/>
          <w:bCs/>
          <w:sz w:val="24"/>
          <w:szCs w:val="24"/>
        </w:rPr>
        <w:t xml:space="preserve"> o </w:t>
      </w:r>
      <w:r w:rsidR="003F2468" w:rsidRPr="00ED7C30">
        <w:rPr>
          <w:rFonts w:cstheme="minorHAnsi"/>
          <w:b/>
          <w:bCs/>
          <w:sz w:val="24"/>
          <w:szCs w:val="24"/>
        </w:rPr>
        <w:t>stejnou částku</w:t>
      </w:r>
      <w:r w:rsidR="00077987" w:rsidRPr="00ED7C30">
        <w:rPr>
          <w:rFonts w:cstheme="minorHAnsi"/>
          <w:b/>
          <w:bCs/>
          <w:sz w:val="24"/>
          <w:szCs w:val="24"/>
        </w:rPr>
        <w:t>. Uvedená nesprávnost měla vliv na výsledek hospodaření běžného účetního období.</w:t>
      </w:r>
    </w:p>
    <w:p w14:paraId="56B935EB" w14:textId="77777777" w:rsidR="00B52B0B" w:rsidRPr="00ED7C30" w:rsidRDefault="00B52B0B" w:rsidP="001703D6">
      <w:pPr>
        <w:spacing w:after="120"/>
        <w:rPr>
          <w:rFonts w:cstheme="minorHAnsi"/>
          <w:sz w:val="24"/>
          <w:szCs w:val="24"/>
        </w:rPr>
      </w:pPr>
    </w:p>
    <w:p w14:paraId="5EB27CEB" w14:textId="6F895DC5" w:rsidR="000A0750" w:rsidRPr="00ED7C30" w:rsidRDefault="00B7035F" w:rsidP="00C33513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MPSV n</w:t>
      </w:r>
      <w:r w:rsidR="00077987" w:rsidRPr="00ED7C30">
        <w:rPr>
          <w:rFonts w:asciiTheme="minorHAnsi" w:hAnsiTheme="minorHAnsi" w:cstheme="minorHAnsi"/>
          <w:b/>
        </w:rPr>
        <w:t xml:space="preserve">esprávně účtovalo o pohybech na bankovním účtu vedeném u </w:t>
      </w:r>
      <w:proofErr w:type="spellStart"/>
      <w:r w:rsidR="00077987" w:rsidRPr="00ED7C30">
        <w:rPr>
          <w:rFonts w:asciiTheme="minorHAnsi" w:hAnsiTheme="minorHAnsi" w:cstheme="minorHAnsi"/>
          <w:b/>
        </w:rPr>
        <w:t>UniCredit</w:t>
      </w:r>
      <w:proofErr w:type="spellEnd"/>
      <w:r w:rsidR="00077987" w:rsidRPr="00ED7C30">
        <w:rPr>
          <w:rFonts w:asciiTheme="minorHAnsi" w:hAnsiTheme="minorHAnsi" w:cstheme="minorHAnsi"/>
          <w:b/>
        </w:rPr>
        <w:t xml:space="preserve"> Bank</w:t>
      </w:r>
      <w:r w:rsidR="00077987" w:rsidRPr="00AB7AAA">
        <w:rPr>
          <w:rFonts w:asciiTheme="minorHAnsi" w:hAnsiTheme="minorHAnsi" w:cstheme="minorHAnsi"/>
          <w:b/>
        </w:rPr>
        <w:t>,</w:t>
      </w:r>
      <w:r w:rsidR="00077987" w:rsidRPr="00ED7C30">
        <w:rPr>
          <w:rFonts w:asciiTheme="minorHAnsi" w:hAnsiTheme="minorHAnsi" w:cstheme="minorHAnsi"/>
        </w:rPr>
        <w:t xml:space="preserve"> ze kterého prostřednictvím platebních karet uskutečňovalo zejména výdaje související s pracovními cestami. Převod peněžních prostředků z výdajového účtu na účet v </w:t>
      </w:r>
      <w:proofErr w:type="spellStart"/>
      <w:r w:rsidR="00077987" w:rsidRPr="00ED7C30">
        <w:rPr>
          <w:rFonts w:asciiTheme="minorHAnsi" w:hAnsiTheme="minorHAnsi" w:cstheme="minorHAnsi"/>
        </w:rPr>
        <w:t>UniCredit</w:t>
      </w:r>
      <w:proofErr w:type="spellEnd"/>
      <w:r w:rsidR="00077987" w:rsidRPr="00ED7C30">
        <w:rPr>
          <w:rFonts w:asciiTheme="minorHAnsi" w:hAnsiTheme="minorHAnsi" w:cstheme="minorHAnsi"/>
        </w:rPr>
        <w:t xml:space="preserve"> Bank byl v roce 2015 jednorázově zaúčtován do nákladů prostřednictvím účtu 569 –</w:t>
      </w:r>
      <w:r w:rsidR="00077987" w:rsidRPr="00ED7C30">
        <w:rPr>
          <w:rFonts w:asciiTheme="minorHAnsi" w:hAnsiTheme="minorHAnsi" w:cstheme="minorHAnsi"/>
          <w:i/>
        </w:rPr>
        <w:t xml:space="preserve"> Ostatní finanční náklady</w:t>
      </w:r>
      <w:r w:rsidR="00077987" w:rsidRPr="00ED7C30">
        <w:rPr>
          <w:rFonts w:asciiTheme="minorHAnsi" w:hAnsiTheme="minorHAnsi" w:cstheme="minorHAnsi"/>
        </w:rPr>
        <w:t xml:space="preserve">, i když se jednalo pouze o převod mezi </w:t>
      </w:r>
      <w:r w:rsidR="002A49BE" w:rsidRPr="00ED7C30">
        <w:rPr>
          <w:rFonts w:asciiTheme="minorHAnsi" w:hAnsiTheme="minorHAnsi" w:cstheme="minorHAnsi"/>
        </w:rPr>
        <w:t>dvěma</w:t>
      </w:r>
      <w:r w:rsidR="00077987" w:rsidRPr="00ED7C30">
        <w:rPr>
          <w:rFonts w:asciiTheme="minorHAnsi" w:hAnsiTheme="minorHAnsi" w:cstheme="minorHAnsi"/>
        </w:rPr>
        <w:t xml:space="preserve"> bankovními účty. MPSV dále o pohybech na tomto bankovním účtu v průběhu let 2015 a 2016 účtovalo nesprávně jako o závazku prostřednictvím účtu 321 –</w:t>
      </w:r>
      <w:r w:rsidR="00077987" w:rsidRPr="00ED7C30">
        <w:rPr>
          <w:rFonts w:asciiTheme="minorHAnsi" w:hAnsiTheme="minorHAnsi" w:cstheme="minorHAnsi"/>
          <w:i/>
        </w:rPr>
        <w:t xml:space="preserve"> Dodavatelé </w:t>
      </w:r>
      <w:r w:rsidR="00077987" w:rsidRPr="00ED7C30">
        <w:rPr>
          <w:rFonts w:asciiTheme="minorHAnsi" w:hAnsiTheme="minorHAnsi" w:cstheme="minorHAnsi"/>
        </w:rPr>
        <w:t>namísto účtu</w:t>
      </w:r>
      <w:r w:rsidR="00077987" w:rsidRPr="00ED7C30">
        <w:rPr>
          <w:rFonts w:asciiTheme="minorHAnsi" w:hAnsiTheme="minorHAnsi" w:cstheme="minorHAnsi"/>
          <w:i/>
        </w:rPr>
        <w:t xml:space="preserve"> </w:t>
      </w:r>
      <w:r w:rsidR="00077987" w:rsidRPr="00ED7C30">
        <w:rPr>
          <w:rFonts w:asciiTheme="minorHAnsi" w:hAnsiTheme="minorHAnsi" w:cstheme="minorHAnsi"/>
        </w:rPr>
        <w:t xml:space="preserve">241 – </w:t>
      </w:r>
      <w:r w:rsidR="00077987" w:rsidRPr="00ED7C30">
        <w:rPr>
          <w:rFonts w:asciiTheme="minorHAnsi" w:hAnsiTheme="minorHAnsi" w:cstheme="minorHAnsi"/>
          <w:i/>
        </w:rPr>
        <w:t>Běžný účet</w:t>
      </w:r>
      <w:r w:rsidR="00077987" w:rsidRPr="00ED7C30">
        <w:rPr>
          <w:rFonts w:asciiTheme="minorHAnsi" w:hAnsiTheme="minorHAnsi" w:cstheme="minorHAnsi"/>
        </w:rPr>
        <w:t>. Opravu chybného účtování nákladů v roce 2015 MPSV rovněž provedlo nesprávně</w:t>
      </w:r>
      <w:r w:rsidR="002A49BE" w:rsidRPr="00ED7C30">
        <w:rPr>
          <w:rFonts w:asciiTheme="minorHAnsi" w:hAnsiTheme="minorHAnsi" w:cstheme="minorHAnsi"/>
        </w:rPr>
        <w:t>,</w:t>
      </w:r>
      <w:r w:rsidR="00077987" w:rsidRPr="00ED7C30">
        <w:rPr>
          <w:rFonts w:asciiTheme="minorHAnsi" w:hAnsiTheme="minorHAnsi" w:cstheme="minorHAnsi"/>
        </w:rPr>
        <w:t xml:space="preserve"> a to prostřednictvím účtu</w:t>
      </w:r>
      <w:r w:rsidR="00ED7C30" w:rsidRPr="00ED7C30">
        <w:rPr>
          <w:rFonts w:asciiTheme="minorHAnsi" w:hAnsiTheme="minorHAnsi" w:cstheme="minorHAnsi"/>
        </w:rPr>
        <w:t xml:space="preserve"> </w:t>
      </w:r>
      <w:r w:rsidR="008A468B">
        <w:rPr>
          <w:rFonts w:asciiTheme="minorHAnsi" w:hAnsiTheme="minorHAnsi" w:cstheme="minorHAnsi"/>
        </w:rPr>
        <w:br/>
      </w:r>
      <w:r w:rsidR="00077987" w:rsidRPr="00ED7C30">
        <w:rPr>
          <w:rFonts w:asciiTheme="minorHAnsi" w:hAnsiTheme="minorHAnsi" w:cstheme="minorHAnsi"/>
        </w:rPr>
        <w:t>321 –</w:t>
      </w:r>
      <w:r w:rsidR="00077987" w:rsidRPr="00ED7C30">
        <w:rPr>
          <w:rFonts w:asciiTheme="minorHAnsi" w:hAnsiTheme="minorHAnsi" w:cstheme="minorHAnsi"/>
          <w:i/>
        </w:rPr>
        <w:t xml:space="preserve"> Dodavatelé</w:t>
      </w:r>
      <w:r w:rsidR="00077987" w:rsidRPr="00ED7C30">
        <w:rPr>
          <w:rFonts w:asciiTheme="minorHAnsi" w:hAnsiTheme="minorHAnsi" w:cstheme="minorHAnsi"/>
        </w:rPr>
        <w:t xml:space="preserve">. </w:t>
      </w:r>
    </w:p>
    <w:p w14:paraId="006F1E7D" w14:textId="77777777" w:rsidR="000A0750" w:rsidRPr="00ED7C30" w:rsidRDefault="000A0750" w:rsidP="00C33513">
      <w:pPr>
        <w:spacing w:after="0"/>
        <w:jc w:val="both"/>
        <w:rPr>
          <w:rFonts w:cstheme="minorHAnsi"/>
        </w:rPr>
      </w:pPr>
    </w:p>
    <w:p w14:paraId="4E08E54D" w14:textId="2AC11DCB" w:rsidR="00D26105" w:rsidRPr="00ED7C30" w:rsidRDefault="00B7035F" w:rsidP="00C33513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MPSV n</w:t>
      </w:r>
      <w:r w:rsidR="004C59E6" w:rsidRPr="00ED7C30">
        <w:rPr>
          <w:rFonts w:asciiTheme="minorHAnsi" w:hAnsiTheme="minorHAnsi" w:cstheme="minorHAnsi"/>
          <w:b/>
        </w:rPr>
        <w:t xml:space="preserve">eúčtovalo o pořízených </w:t>
      </w:r>
      <w:r>
        <w:rPr>
          <w:rFonts w:asciiTheme="minorHAnsi" w:hAnsiTheme="minorHAnsi" w:cstheme="minorHAnsi"/>
          <w:b/>
        </w:rPr>
        <w:t>softwarových</w:t>
      </w:r>
      <w:r w:rsidR="004C59E6" w:rsidRPr="00ED7C30">
        <w:rPr>
          <w:rFonts w:asciiTheme="minorHAnsi" w:hAnsiTheme="minorHAnsi" w:cstheme="minorHAnsi"/>
          <w:b/>
        </w:rPr>
        <w:t xml:space="preserve"> licencí</w:t>
      </w:r>
      <w:r w:rsidR="00EB5465" w:rsidRPr="00ED7C30">
        <w:rPr>
          <w:rFonts w:asciiTheme="minorHAnsi" w:hAnsiTheme="minorHAnsi" w:cstheme="minorHAnsi"/>
          <w:b/>
        </w:rPr>
        <w:t>ch</w:t>
      </w:r>
      <w:r w:rsidR="004C59E6" w:rsidRPr="00ED7C30">
        <w:rPr>
          <w:rFonts w:asciiTheme="minorHAnsi" w:hAnsiTheme="minorHAnsi" w:cstheme="minorHAnsi"/>
          <w:b/>
        </w:rPr>
        <w:t xml:space="preserve"> na účtu 013 – </w:t>
      </w:r>
      <w:r w:rsidR="004C59E6" w:rsidRPr="00ED7C30">
        <w:rPr>
          <w:rFonts w:asciiTheme="minorHAnsi" w:hAnsiTheme="minorHAnsi" w:cstheme="minorHAnsi"/>
          <w:b/>
          <w:i/>
        </w:rPr>
        <w:t>Software</w:t>
      </w:r>
      <w:r w:rsidR="004C59E6" w:rsidRPr="00ED7C30">
        <w:rPr>
          <w:rFonts w:asciiTheme="minorHAnsi" w:hAnsiTheme="minorHAnsi" w:cstheme="minorHAnsi"/>
          <w:b/>
        </w:rPr>
        <w:t>, ale na účtu</w:t>
      </w:r>
      <w:r w:rsidR="00ED7C30" w:rsidRPr="00ED7C30">
        <w:rPr>
          <w:rFonts w:asciiTheme="minorHAnsi" w:hAnsiTheme="minorHAnsi" w:cstheme="minorHAnsi"/>
          <w:b/>
        </w:rPr>
        <w:t xml:space="preserve"> </w:t>
      </w:r>
      <w:r w:rsidR="004C59E6" w:rsidRPr="00ED7C30">
        <w:rPr>
          <w:rFonts w:asciiTheme="minorHAnsi" w:hAnsiTheme="minorHAnsi" w:cstheme="minorHAnsi"/>
          <w:b/>
        </w:rPr>
        <w:t>014</w:t>
      </w:r>
      <w:r w:rsidR="004C59E6" w:rsidRPr="00ED7C30">
        <w:rPr>
          <w:rFonts w:asciiTheme="minorHAnsi" w:hAnsiTheme="minorHAnsi" w:cstheme="minorHAnsi"/>
          <w:b/>
          <w:i/>
        </w:rPr>
        <w:t xml:space="preserve"> – Ocenitelná práva</w:t>
      </w:r>
      <w:r w:rsidR="002A49BE" w:rsidRPr="00ED7C30">
        <w:rPr>
          <w:rFonts w:asciiTheme="minorHAnsi" w:hAnsiTheme="minorHAnsi" w:cstheme="minorHAnsi"/>
          <w:b/>
        </w:rPr>
        <w:t>,</w:t>
      </w:r>
      <w:r w:rsidR="004C59E6" w:rsidRPr="00ED7C30">
        <w:rPr>
          <w:rFonts w:asciiTheme="minorHAnsi" w:hAnsiTheme="minorHAnsi" w:cstheme="minorHAnsi"/>
          <w:b/>
        </w:rPr>
        <w:t xml:space="preserve"> a stanovilo dobu používání </w:t>
      </w:r>
      <w:r>
        <w:rPr>
          <w:rFonts w:asciiTheme="minorHAnsi" w:hAnsiTheme="minorHAnsi" w:cstheme="minorHAnsi"/>
          <w:b/>
        </w:rPr>
        <w:t>softwarových</w:t>
      </w:r>
      <w:r w:rsidR="004C59E6" w:rsidRPr="00ED7C30">
        <w:rPr>
          <w:rFonts w:asciiTheme="minorHAnsi" w:hAnsiTheme="minorHAnsi" w:cstheme="minorHAnsi"/>
          <w:b/>
        </w:rPr>
        <w:t xml:space="preserve"> licencí v rozporu s uzavřenou smlouvou a dodavatelskou fakturou. </w:t>
      </w:r>
      <w:r w:rsidR="004C59E6" w:rsidRPr="00ED7C30">
        <w:rPr>
          <w:rFonts w:asciiTheme="minorHAnsi" w:hAnsiTheme="minorHAnsi" w:cstheme="minorHAnsi"/>
        </w:rPr>
        <w:t>Tím došlo k nadhodnocení zůstatku účtu</w:t>
      </w:r>
      <w:r w:rsidR="00ED7C30" w:rsidRPr="00ED7C30">
        <w:rPr>
          <w:rFonts w:asciiTheme="minorHAnsi" w:hAnsiTheme="minorHAnsi" w:cstheme="minorHAnsi"/>
        </w:rPr>
        <w:t xml:space="preserve"> </w:t>
      </w:r>
      <w:r w:rsidR="004C59E6" w:rsidRPr="00ED7C30">
        <w:rPr>
          <w:rFonts w:asciiTheme="minorHAnsi" w:hAnsiTheme="minorHAnsi" w:cstheme="minorHAnsi"/>
        </w:rPr>
        <w:t xml:space="preserve">014 </w:t>
      </w:r>
      <w:r w:rsidR="004C59E6" w:rsidRPr="00ED7C30">
        <w:rPr>
          <w:rFonts w:asciiTheme="minorHAnsi" w:hAnsiTheme="minorHAnsi" w:cstheme="minorHAnsi"/>
          <w:i/>
        </w:rPr>
        <w:t>– Ocenitelná práva</w:t>
      </w:r>
      <w:r w:rsidR="004C59E6" w:rsidRPr="00ED7C30">
        <w:rPr>
          <w:rFonts w:asciiTheme="minorHAnsi" w:hAnsiTheme="minorHAnsi" w:cstheme="minorHAnsi"/>
        </w:rPr>
        <w:t xml:space="preserve"> ve sloupci BRUTTO o</w:t>
      </w:r>
      <w:r>
        <w:rPr>
          <w:rFonts w:asciiTheme="minorHAnsi" w:hAnsiTheme="minorHAnsi" w:cstheme="minorHAnsi"/>
        </w:rPr>
        <w:t> </w:t>
      </w:r>
      <w:r w:rsidR="004C59E6" w:rsidRPr="00ED7C30">
        <w:rPr>
          <w:rFonts w:asciiTheme="minorHAnsi" w:hAnsiTheme="minorHAnsi" w:cstheme="minorHAnsi"/>
        </w:rPr>
        <w:t>24 156 660,</w:t>
      </w:r>
      <w:r w:rsidR="00B012BC" w:rsidRPr="00ED7C30">
        <w:rPr>
          <w:rFonts w:asciiTheme="minorHAnsi" w:hAnsiTheme="minorHAnsi" w:cstheme="minorHAnsi"/>
        </w:rPr>
        <w:t>00 Kč,</w:t>
      </w:r>
      <w:r w:rsidR="0031604A" w:rsidRPr="00ED7C30">
        <w:rPr>
          <w:rFonts w:asciiTheme="minorHAnsi" w:hAnsiTheme="minorHAnsi" w:cstheme="minorHAnsi"/>
        </w:rPr>
        <w:t xml:space="preserve"> ve sloupci NETTO o </w:t>
      </w:r>
      <w:r w:rsidR="004C59E6" w:rsidRPr="00ED7C30">
        <w:rPr>
          <w:rFonts w:asciiTheme="minorHAnsi" w:hAnsiTheme="minorHAnsi" w:cstheme="minorHAnsi"/>
        </w:rPr>
        <w:t>20 130 516,00 Kč</w:t>
      </w:r>
      <w:r w:rsidR="00B012BC" w:rsidRPr="00ED7C30">
        <w:rPr>
          <w:rFonts w:asciiTheme="minorHAnsi" w:hAnsiTheme="minorHAnsi" w:cstheme="minorHAnsi"/>
        </w:rPr>
        <w:t>,</w:t>
      </w:r>
      <w:r w:rsidR="002A49BE" w:rsidRPr="00ED7C30">
        <w:rPr>
          <w:rFonts w:asciiTheme="minorHAnsi" w:hAnsiTheme="minorHAnsi" w:cstheme="minorHAnsi"/>
        </w:rPr>
        <w:t xml:space="preserve"> k</w:t>
      </w:r>
      <w:r w:rsidR="00B012BC" w:rsidRPr="00ED7C30">
        <w:rPr>
          <w:rFonts w:asciiTheme="minorHAnsi" w:hAnsiTheme="minorHAnsi" w:cstheme="minorHAnsi"/>
        </w:rPr>
        <w:t xml:space="preserve"> nadhodnocení zůstatku účtu 074 – </w:t>
      </w:r>
      <w:r w:rsidR="00B012BC" w:rsidRPr="00ED7C30">
        <w:rPr>
          <w:rFonts w:asciiTheme="minorHAnsi" w:hAnsiTheme="minorHAnsi" w:cstheme="minorHAnsi"/>
          <w:i/>
        </w:rPr>
        <w:t>Oprávky k ocenitelným právům</w:t>
      </w:r>
      <w:r w:rsidR="00B012BC" w:rsidRPr="00ED7C30">
        <w:rPr>
          <w:rFonts w:asciiTheme="minorHAnsi" w:hAnsiTheme="minorHAnsi" w:cstheme="minorHAnsi"/>
        </w:rPr>
        <w:t xml:space="preserve"> ve sloupci KOREKCE o 4 0</w:t>
      </w:r>
      <w:r w:rsidR="00FB3F63" w:rsidRPr="00ED7C30">
        <w:rPr>
          <w:rFonts w:asciiTheme="minorHAnsi" w:hAnsiTheme="minorHAnsi" w:cstheme="minorHAnsi"/>
        </w:rPr>
        <w:t>26</w:t>
      </w:r>
      <w:r w:rsidR="00B012BC" w:rsidRPr="00ED7C30">
        <w:rPr>
          <w:rFonts w:asciiTheme="minorHAnsi" w:hAnsiTheme="minorHAnsi" w:cstheme="minorHAnsi"/>
        </w:rPr>
        <w:t> 144,00 Kč a</w:t>
      </w:r>
      <w:r>
        <w:rPr>
          <w:rFonts w:asciiTheme="minorHAnsi" w:hAnsiTheme="minorHAnsi" w:cstheme="minorHAnsi"/>
        </w:rPr>
        <w:t> </w:t>
      </w:r>
      <w:r w:rsidR="002A49BE" w:rsidRPr="00ED7C30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 </w:t>
      </w:r>
      <w:r w:rsidR="00B012BC" w:rsidRPr="00ED7C30">
        <w:rPr>
          <w:rFonts w:asciiTheme="minorHAnsi" w:hAnsiTheme="minorHAnsi" w:cstheme="minorHAnsi"/>
        </w:rPr>
        <w:t>podhodnocení zůstatku účtu</w:t>
      </w:r>
      <w:r w:rsidR="00ED7C30" w:rsidRPr="00ED7C30">
        <w:rPr>
          <w:rFonts w:asciiTheme="minorHAnsi" w:hAnsiTheme="minorHAnsi" w:cstheme="minorHAnsi"/>
        </w:rPr>
        <w:t xml:space="preserve"> </w:t>
      </w:r>
      <w:r w:rsidR="00B012BC" w:rsidRPr="00ED7C30">
        <w:rPr>
          <w:rFonts w:asciiTheme="minorHAnsi" w:hAnsiTheme="minorHAnsi" w:cstheme="minorHAnsi"/>
        </w:rPr>
        <w:t xml:space="preserve">013 – </w:t>
      </w:r>
      <w:r w:rsidR="00B012BC" w:rsidRPr="00ED7C30">
        <w:rPr>
          <w:rFonts w:asciiTheme="minorHAnsi" w:hAnsiTheme="minorHAnsi" w:cstheme="minorHAnsi"/>
          <w:i/>
        </w:rPr>
        <w:t xml:space="preserve">Software </w:t>
      </w:r>
      <w:r w:rsidR="00B012BC" w:rsidRPr="00ED7C30">
        <w:rPr>
          <w:rFonts w:asciiTheme="minorHAnsi" w:hAnsiTheme="minorHAnsi" w:cstheme="minorHAnsi"/>
        </w:rPr>
        <w:t>ve sloupci BRUTTO o</w:t>
      </w:r>
      <w:r>
        <w:rPr>
          <w:rFonts w:asciiTheme="minorHAnsi" w:hAnsiTheme="minorHAnsi" w:cstheme="minorHAnsi"/>
        </w:rPr>
        <w:t> </w:t>
      </w:r>
      <w:r w:rsidR="00B012BC" w:rsidRPr="00ED7C30">
        <w:rPr>
          <w:rFonts w:asciiTheme="minorHAnsi" w:hAnsiTheme="minorHAnsi" w:cstheme="minorHAnsi"/>
        </w:rPr>
        <w:t>24 15</w:t>
      </w:r>
      <w:r w:rsidR="00492638" w:rsidRPr="00ED7C30">
        <w:rPr>
          <w:rFonts w:asciiTheme="minorHAnsi" w:hAnsiTheme="minorHAnsi" w:cstheme="minorHAnsi"/>
        </w:rPr>
        <w:t>6 660,00 Kč, ve sloupci NETTO o </w:t>
      </w:r>
      <w:r w:rsidR="00B012BC" w:rsidRPr="00ED7C30">
        <w:rPr>
          <w:rFonts w:asciiTheme="minorHAnsi" w:hAnsiTheme="minorHAnsi" w:cstheme="minorHAnsi"/>
        </w:rPr>
        <w:t>18 117 444,00 Kč</w:t>
      </w:r>
      <w:r w:rsidR="00AD280F" w:rsidRPr="00ED7C30">
        <w:rPr>
          <w:rFonts w:asciiTheme="minorHAnsi" w:hAnsiTheme="minorHAnsi" w:cstheme="minorHAnsi"/>
        </w:rPr>
        <w:t xml:space="preserve"> a k </w:t>
      </w:r>
      <w:r w:rsidR="00B012BC" w:rsidRPr="00ED7C30">
        <w:rPr>
          <w:rFonts w:asciiTheme="minorHAnsi" w:hAnsiTheme="minorHAnsi" w:cstheme="minorHAnsi"/>
        </w:rPr>
        <w:t xml:space="preserve">podhodnocení zůstatku účtu 073 – </w:t>
      </w:r>
      <w:r w:rsidR="00B012BC" w:rsidRPr="00ED7C30">
        <w:rPr>
          <w:rFonts w:asciiTheme="minorHAnsi" w:hAnsiTheme="minorHAnsi" w:cstheme="minorHAnsi"/>
          <w:i/>
        </w:rPr>
        <w:t>Oprávky k software</w:t>
      </w:r>
      <w:r w:rsidR="0031604A" w:rsidRPr="00ED7C30">
        <w:rPr>
          <w:rFonts w:asciiTheme="minorHAnsi" w:hAnsiTheme="minorHAnsi" w:cstheme="minorHAnsi"/>
        </w:rPr>
        <w:t xml:space="preserve"> ve sloupci KOREKCE o </w:t>
      </w:r>
      <w:r w:rsidR="00B012BC" w:rsidRPr="00ED7C30">
        <w:rPr>
          <w:rFonts w:asciiTheme="minorHAnsi" w:hAnsiTheme="minorHAnsi" w:cstheme="minorHAnsi"/>
        </w:rPr>
        <w:t xml:space="preserve">6 039 216,00 Kč. Dále byl nadhodnocen </w:t>
      </w:r>
      <w:r w:rsidR="00AD280F" w:rsidRPr="00ED7C30">
        <w:rPr>
          <w:rFonts w:asciiTheme="minorHAnsi" w:hAnsiTheme="minorHAnsi" w:cstheme="minorHAnsi"/>
        </w:rPr>
        <w:t>zůstatek účtu</w:t>
      </w:r>
      <w:r w:rsidR="00ED7C30" w:rsidRPr="00ED7C30">
        <w:rPr>
          <w:rFonts w:asciiTheme="minorHAnsi" w:hAnsiTheme="minorHAnsi" w:cstheme="minorHAnsi"/>
        </w:rPr>
        <w:t xml:space="preserve"> </w:t>
      </w:r>
      <w:r w:rsidR="00AD280F" w:rsidRPr="00ED7C30">
        <w:rPr>
          <w:rFonts w:asciiTheme="minorHAnsi" w:hAnsiTheme="minorHAnsi" w:cstheme="minorHAnsi"/>
        </w:rPr>
        <w:t xml:space="preserve">493 </w:t>
      </w:r>
      <w:r w:rsidR="0031604A" w:rsidRPr="00ED7C30">
        <w:rPr>
          <w:rFonts w:asciiTheme="minorHAnsi" w:hAnsiTheme="minorHAnsi" w:cstheme="minorHAnsi"/>
        </w:rPr>
        <w:t>–</w:t>
      </w:r>
      <w:r w:rsidR="00AD280F" w:rsidRPr="00ED7C30">
        <w:rPr>
          <w:rFonts w:asciiTheme="minorHAnsi" w:hAnsiTheme="minorHAnsi" w:cstheme="minorHAnsi"/>
        </w:rPr>
        <w:t xml:space="preserve"> </w:t>
      </w:r>
      <w:r w:rsidR="00AD280F" w:rsidRPr="00ED7C30">
        <w:rPr>
          <w:rFonts w:asciiTheme="minorHAnsi" w:hAnsiTheme="minorHAnsi" w:cstheme="minorHAnsi"/>
          <w:i/>
        </w:rPr>
        <w:t>V</w:t>
      </w:r>
      <w:r w:rsidR="00B012BC" w:rsidRPr="00ED7C30">
        <w:rPr>
          <w:rFonts w:asciiTheme="minorHAnsi" w:hAnsiTheme="minorHAnsi" w:cstheme="minorHAnsi"/>
          <w:i/>
        </w:rPr>
        <w:t>ýsledek hospodaření běžného účetního období</w:t>
      </w:r>
      <w:r w:rsidR="00B012BC" w:rsidRPr="00ED7C30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> </w:t>
      </w:r>
      <w:r w:rsidR="00B012BC" w:rsidRPr="00ED7C30">
        <w:rPr>
          <w:rFonts w:asciiTheme="minorHAnsi" w:hAnsiTheme="minorHAnsi" w:cstheme="minorHAnsi"/>
        </w:rPr>
        <w:t>2 013 072,00 Kč a</w:t>
      </w:r>
      <w:r w:rsidR="00492638" w:rsidRPr="00ED7C30">
        <w:rPr>
          <w:rFonts w:asciiTheme="minorHAnsi" w:hAnsiTheme="minorHAnsi" w:cstheme="minorHAnsi"/>
        </w:rPr>
        <w:t> </w:t>
      </w:r>
      <w:r w:rsidR="00B012BC" w:rsidRPr="00ED7C30">
        <w:rPr>
          <w:rFonts w:asciiTheme="minorHAnsi" w:hAnsiTheme="minorHAnsi" w:cstheme="minorHAnsi"/>
        </w:rPr>
        <w:t xml:space="preserve">podhodnocen zůstatek účtu 551 </w:t>
      </w:r>
      <w:r w:rsidR="00B012BC" w:rsidRPr="00ED7C30">
        <w:rPr>
          <w:rFonts w:asciiTheme="minorHAnsi" w:hAnsiTheme="minorHAnsi" w:cstheme="minorHAnsi"/>
          <w:i/>
        </w:rPr>
        <w:t>– Odpisy dlouhodobého majetku</w:t>
      </w:r>
      <w:r w:rsidR="00B012BC" w:rsidRPr="00ED7C30">
        <w:rPr>
          <w:rFonts w:asciiTheme="minorHAnsi" w:hAnsiTheme="minorHAnsi" w:cstheme="minorHAnsi"/>
        </w:rPr>
        <w:t xml:space="preserve"> o </w:t>
      </w:r>
      <w:r w:rsidR="00AD280F" w:rsidRPr="00ED7C30">
        <w:rPr>
          <w:rFonts w:asciiTheme="minorHAnsi" w:hAnsiTheme="minorHAnsi" w:cstheme="minorHAnsi"/>
        </w:rPr>
        <w:t>stejnou částku</w:t>
      </w:r>
      <w:r w:rsidR="00B012BC" w:rsidRPr="00ED7C30">
        <w:rPr>
          <w:rFonts w:asciiTheme="minorHAnsi" w:hAnsiTheme="minorHAnsi" w:cstheme="minorHAnsi"/>
        </w:rPr>
        <w:t>.</w:t>
      </w:r>
      <w:r w:rsidR="00AD280F" w:rsidRPr="00ED7C30">
        <w:rPr>
          <w:rFonts w:asciiTheme="minorHAnsi" w:hAnsiTheme="minorHAnsi" w:cstheme="minorHAnsi"/>
        </w:rPr>
        <w:t xml:space="preserve"> </w:t>
      </w:r>
      <w:r w:rsidR="00AD280F" w:rsidRPr="00ED7C30">
        <w:rPr>
          <w:rFonts w:asciiTheme="minorHAnsi" w:hAnsiTheme="minorHAnsi" w:cstheme="minorHAnsi"/>
          <w:b/>
          <w:bCs/>
        </w:rPr>
        <w:t>Uvedená nesprávnost měla vliv na výsledek hospodaření běžného účetního období.</w:t>
      </w:r>
    </w:p>
    <w:p w14:paraId="6C1DFF55" w14:textId="77777777" w:rsidR="004C59E6" w:rsidRPr="00ED7C30" w:rsidRDefault="004C59E6" w:rsidP="00C33513">
      <w:pPr>
        <w:spacing w:after="0"/>
        <w:rPr>
          <w:rFonts w:cstheme="minorHAnsi"/>
          <w:sz w:val="24"/>
          <w:szCs w:val="24"/>
        </w:rPr>
      </w:pPr>
    </w:p>
    <w:p w14:paraId="1707D69D" w14:textId="41858980" w:rsidR="004A07B8" w:rsidRPr="00ED7C30" w:rsidRDefault="00B7035F" w:rsidP="00C33513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</w:rPr>
        <w:t>MPSV n</w:t>
      </w:r>
      <w:r w:rsidR="004A07B8" w:rsidRPr="00ED7C30">
        <w:rPr>
          <w:rFonts w:asciiTheme="minorHAnsi" w:hAnsiTheme="minorHAnsi" w:cstheme="minorHAnsi"/>
          <w:b/>
        </w:rPr>
        <w:t xml:space="preserve">eúčtovalo </w:t>
      </w:r>
      <w:r w:rsidR="009D7225" w:rsidRPr="00ED7C30">
        <w:rPr>
          <w:rFonts w:asciiTheme="minorHAnsi" w:hAnsiTheme="minorHAnsi" w:cstheme="minorHAnsi"/>
          <w:b/>
        </w:rPr>
        <w:t xml:space="preserve">v průběhu let </w:t>
      </w:r>
      <w:r w:rsidR="004A07B8" w:rsidRPr="00ED7C30">
        <w:rPr>
          <w:rFonts w:asciiTheme="minorHAnsi" w:hAnsiTheme="minorHAnsi" w:cstheme="minorHAnsi"/>
          <w:b/>
        </w:rPr>
        <w:t>o žádných rezervách.</w:t>
      </w:r>
      <w:r w:rsidR="004A07B8" w:rsidRPr="00ED7C30">
        <w:rPr>
          <w:rFonts w:asciiTheme="minorHAnsi" w:hAnsiTheme="minorHAnsi" w:cstheme="minorHAnsi"/>
        </w:rPr>
        <w:t xml:space="preserve"> </w:t>
      </w:r>
      <w:r w:rsidR="009C5186" w:rsidRPr="00ED7C30">
        <w:rPr>
          <w:rFonts w:asciiTheme="minorHAnsi" w:hAnsiTheme="minorHAnsi" w:cstheme="minorHAnsi"/>
        </w:rPr>
        <w:t>Rezerva představuje odhad</w:t>
      </w:r>
      <w:r w:rsidR="0062376A">
        <w:rPr>
          <w:rFonts w:asciiTheme="minorHAnsi" w:hAnsiTheme="minorHAnsi" w:cstheme="minorHAnsi"/>
        </w:rPr>
        <w:t>,</w:t>
      </w:r>
      <w:r w:rsidR="009C5186" w:rsidRPr="00ED7C30">
        <w:rPr>
          <w:rFonts w:asciiTheme="minorHAnsi" w:hAnsiTheme="minorHAnsi" w:cstheme="minorHAnsi"/>
        </w:rPr>
        <w:t xml:space="preserve"> </w:t>
      </w:r>
      <w:r w:rsidR="0062376A">
        <w:rPr>
          <w:rFonts w:asciiTheme="minorHAnsi" w:hAnsiTheme="minorHAnsi" w:cstheme="minorHAnsi"/>
        </w:rPr>
        <w:t>j</w:t>
      </w:r>
      <w:r w:rsidR="009C5186" w:rsidRPr="00ED7C30">
        <w:rPr>
          <w:rFonts w:asciiTheme="minorHAnsi" w:hAnsiTheme="minorHAnsi" w:cstheme="minorHAnsi"/>
        </w:rPr>
        <w:t xml:space="preserve">e proto spojena s nejistotou, nejedná se </w:t>
      </w:r>
      <w:r w:rsidR="00C50947">
        <w:rPr>
          <w:rFonts w:asciiTheme="minorHAnsi" w:hAnsiTheme="minorHAnsi" w:cstheme="minorHAnsi"/>
        </w:rPr>
        <w:t xml:space="preserve">tedy </w:t>
      </w:r>
      <w:r w:rsidR="009C5186" w:rsidRPr="00ED7C30">
        <w:rPr>
          <w:rFonts w:asciiTheme="minorHAnsi" w:hAnsiTheme="minorHAnsi" w:cstheme="minorHAnsi"/>
        </w:rPr>
        <w:t xml:space="preserve">o běžný v účetnictví zachycovaný závazek (dluh). Přesto je vykazována v rozvaze. Existence určité míry nejistoty není důvodem pro neúčtování o rezervách; naopak je předpokládána. </w:t>
      </w:r>
      <w:r w:rsidR="004A07B8" w:rsidRPr="00ED7C30">
        <w:rPr>
          <w:rFonts w:asciiTheme="minorHAnsi" w:hAnsiTheme="minorHAnsi" w:cstheme="minorHAnsi"/>
          <w:b/>
        </w:rPr>
        <w:t xml:space="preserve">MPSV si vnitřním předpisem stanovilo hladinu významnosti </w:t>
      </w:r>
      <w:r w:rsidR="004A07B8" w:rsidRPr="00ED7C30">
        <w:rPr>
          <w:rFonts w:asciiTheme="minorHAnsi" w:hAnsiTheme="minorHAnsi" w:cstheme="minorHAnsi"/>
        </w:rPr>
        <w:t xml:space="preserve">pro účtování o rezervách dle ČÚS č. 705 </w:t>
      </w:r>
      <w:r w:rsidR="004A07B8" w:rsidRPr="00ED7C30">
        <w:rPr>
          <w:rFonts w:asciiTheme="minorHAnsi" w:hAnsiTheme="minorHAnsi" w:cstheme="minorHAnsi"/>
          <w:b/>
        </w:rPr>
        <w:t>na 15 % z celkové hodnoty aktiv brutto</w:t>
      </w:r>
      <w:r w:rsidR="004A07B8" w:rsidRPr="00ED7C30">
        <w:rPr>
          <w:rFonts w:asciiTheme="minorHAnsi" w:hAnsiTheme="minorHAnsi" w:cstheme="minorHAnsi"/>
        </w:rPr>
        <w:t xml:space="preserve"> za předchozí účetní období. Hladina významnosti byla tedy stanovena pro rok 2016 ve výši</w:t>
      </w:r>
      <w:r w:rsidR="004A07B8" w:rsidRPr="00ED7C30">
        <w:rPr>
          <w:rFonts w:asciiTheme="minorHAnsi" w:hAnsiTheme="minorHAnsi" w:cstheme="minorHAnsi"/>
          <w:b/>
        </w:rPr>
        <w:t xml:space="preserve"> 4,9 mld. Kč</w:t>
      </w:r>
      <w:r w:rsidR="004A07B8" w:rsidRPr="00ED7C30">
        <w:rPr>
          <w:rFonts w:asciiTheme="minorHAnsi" w:hAnsiTheme="minorHAnsi" w:cstheme="minorHAnsi"/>
          <w:vertAlign w:val="superscript"/>
        </w:rPr>
        <w:footnoteReference w:id="19"/>
      </w:r>
      <w:r w:rsidR="004A07B8" w:rsidRPr="00ED7C30">
        <w:rPr>
          <w:rFonts w:asciiTheme="minorHAnsi" w:hAnsiTheme="minorHAnsi" w:cstheme="minorHAnsi"/>
          <w:b/>
        </w:rPr>
        <w:t xml:space="preserve"> </w:t>
      </w:r>
      <w:r w:rsidR="004A07B8" w:rsidRPr="00ED7C30">
        <w:rPr>
          <w:rFonts w:asciiTheme="minorHAnsi" w:hAnsiTheme="minorHAnsi" w:cstheme="minorHAnsi"/>
        </w:rPr>
        <w:t xml:space="preserve">(pro rok 2015 ve výši </w:t>
      </w:r>
      <w:r w:rsidR="004A07B8" w:rsidRPr="00ED7C30">
        <w:rPr>
          <w:rFonts w:asciiTheme="minorHAnsi" w:hAnsiTheme="minorHAnsi" w:cstheme="minorHAnsi"/>
          <w:b/>
        </w:rPr>
        <w:t>4,57</w:t>
      </w:r>
      <w:r w:rsidR="00C50947">
        <w:rPr>
          <w:rFonts w:asciiTheme="minorHAnsi" w:hAnsiTheme="minorHAnsi" w:cstheme="minorHAnsi"/>
          <w:b/>
        </w:rPr>
        <w:t> </w:t>
      </w:r>
      <w:r w:rsidR="004A07B8" w:rsidRPr="00ED7C30">
        <w:rPr>
          <w:rFonts w:asciiTheme="minorHAnsi" w:hAnsiTheme="minorHAnsi" w:cstheme="minorHAnsi"/>
          <w:b/>
        </w:rPr>
        <w:t>mld.</w:t>
      </w:r>
      <w:r w:rsidR="00C50947">
        <w:rPr>
          <w:rFonts w:asciiTheme="minorHAnsi" w:hAnsiTheme="minorHAnsi" w:cstheme="minorHAnsi"/>
          <w:b/>
        </w:rPr>
        <w:t> </w:t>
      </w:r>
      <w:r w:rsidR="004A07B8" w:rsidRPr="00ED7C30">
        <w:rPr>
          <w:rFonts w:asciiTheme="minorHAnsi" w:hAnsiTheme="minorHAnsi" w:cstheme="minorHAnsi"/>
          <w:b/>
        </w:rPr>
        <w:t>Kč</w:t>
      </w:r>
      <w:r w:rsidR="004A07B8" w:rsidRPr="00ED7C30">
        <w:rPr>
          <w:rFonts w:asciiTheme="minorHAnsi" w:hAnsiTheme="minorHAnsi" w:cstheme="minorHAnsi"/>
          <w:vertAlign w:val="superscript"/>
        </w:rPr>
        <w:footnoteReference w:id="20"/>
      </w:r>
      <w:r w:rsidR="004A07B8" w:rsidRPr="00ED7C30">
        <w:rPr>
          <w:rFonts w:asciiTheme="minorHAnsi" w:hAnsiTheme="minorHAnsi" w:cstheme="minorHAnsi"/>
        </w:rPr>
        <w:t>). Tvorba rezerv je z hlediska účetnictví OSS důležitá, neboť v souladu se zásadou opatrnosti a věrného a poctivého zobrazení předmětu účetnictví vede dle ČÚS č. 705 „</w:t>
      </w:r>
      <w:r w:rsidR="004A07B8" w:rsidRPr="00ED7C30">
        <w:rPr>
          <w:rFonts w:asciiTheme="minorHAnsi" w:hAnsiTheme="minorHAnsi" w:cstheme="minorHAnsi"/>
          <w:i/>
        </w:rPr>
        <w:t>ke snížení výsledku hospodaření běžného účetního období</w:t>
      </w:r>
      <w:r w:rsidR="004A07B8" w:rsidRPr="00ED7C30">
        <w:rPr>
          <w:rFonts w:asciiTheme="minorHAnsi" w:hAnsiTheme="minorHAnsi" w:cstheme="minorHAnsi"/>
          <w:b/>
          <w:i/>
        </w:rPr>
        <w:t xml:space="preserve"> při předpokládaném snížení dopadu do výsledku hospodaření budoucích účetních období.</w:t>
      </w:r>
      <w:r w:rsidR="004A07B8" w:rsidRPr="00ED7C30">
        <w:rPr>
          <w:rFonts w:asciiTheme="minorHAnsi" w:hAnsiTheme="minorHAnsi" w:cstheme="minorHAnsi"/>
          <w:b/>
        </w:rPr>
        <w:t>“</w:t>
      </w:r>
      <w:r w:rsidR="004A07B8" w:rsidRPr="00ED7C30">
        <w:rPr>
          <w:rFonts w:asciiTheme="minorHAnsi" w:hAnsiTheme="minorHAnsi" w:cstheme="minorHAnsi"/>
          <w:b/>
          <w:i/>
        </w:rPr>
        <w:t xml:space="preserve"> </w:t>
      </w:r>
      <w:r w:rsidR="006A3105" w:rsidRPr="00ED7C30">
        <w:rPr>
          <w:rFonts w:asciiTheme="minorHAnsi" w:hAnsiTheme="minorHAnsi" w:cstheme="minorHAnsi"/>
          <w:b/>
        </w:rPr>
        <w:t>Přístup MPSV ke stanovení hladiny významnosti nelze považovat za vhodný, neboť stanovená hladina významnosti je natolik vysoká, že eliminuje dle názoru NKÚ možné významné tituly pro tvorbu rezerv.</w:t>
      </w:r>
      <w:r w:rsidR="006A3105" w:rsidRPr="00ED7C30">
        <w:rPr>
          <w:rFonts w:asciiTheme="minorHAnsi" w:hAnsiTheme="minorHAnsi" w:cstheme="minorHAnsi"/>
        </w:rPr>
        <w:t xml:space="preserve"> D</w:t>
      </w:r>
      <w:r w:rsidR="004A07B8" w:rsidRPr="00ED7C30">
        <w:rPr>
          <w:rFonts w:asciiTheme="minorHAnsi" w:hAnsiTheme="minorHAnsi" w:cstheme="minorHAnsi"/>
        </w:rPr>
        <w:t xml:space="preserve">le bodu 3.7 ČÚS č. 705 </w:t>
      </w:r>
      <w:r w:rsidR="004A07B8" w:rsidRPr="00AB7AAA">
        <w:rPr>
          <w:rFonts w:asciiTheme="minorHAnsi" w:hAnsiTheme="minorHAnsi" w:cstheme="minorHAnsi"/>
        </w:rPr>
        <w:t>„</w:t>
      </w:r>
      <w:r w:rsidR="004A07B8" w:rsidRPr="00ED7C30">
        <w:rPr>
          <w:rFonts w:asciiTheme="minorHAnsi" w:hAnsiTheme="minorHAnsi" w:cstheme="minorHAnsi"/>
          <w:i/>
        </w:rPr>
        <w:t xml:space="preserve">účetní jednotka zajišťuje naplnění ustanovení § 8 odst. 4 zákona zejména vnitřním předpisem upravujícím především... </w:t>
      </w:r>
      <w:r w:rsidR="004A07B8" w:rsidRPr="00ED7C30">
        <w:rPr>
          <w:rFonts w:asciiTheme="minorHAnsi" w:hAnsiTheme="minorHAnsi" w:cstheme="minorHAnsi"/>
          <w:b/>
          <w:i/>
        </w:rPr>
        <w:t xml:space="preserve">tituly pro tvorbu rezerv, </w:t>
      </w:r>
      <w:r w:rsidR="004A07B8" w:rsidRPr="00ED7C30">
        <w:rPr>
          <w:rFonts w:asciiTheme="minorHAnsi" w:hAnsiTheme="minorHAnsi" w:cstheme="minorHAnsi"/>
          <w:i/>
        </w:rPr>
        <w:t>zejména soudní spory, provádění a neuzavřené kontroly v účetní jednotce nebo sanace ekologických zátěží</w:t>
      </w:r>
      <w:r w:rsidR="004A07B8" w:rsidRPr="00AB7AAA">
        <w:rPr>
          <w:rFonts w:asciiTheme="minorHAnsi" w:hAnsiTheme="minorHAnsi" w:cstheme="minorHAnsi"/>
        </w:rPr>
        <w:t>“.</w:t>
      </w:r>
      <w:r w:rsidR="009C5186" w:rsidRPr="00ED7C30">
        <w:rPr>
          <w:rFonts w:asciiTheme="minorHAnsi" w:hAnsiTheme="minorHAnsi" w:cstheme="minorHAnsi"/>
          <w:i/>
        </w:rPr>
        <w:t xml:space="preserve"> </w:t>
      </w:r>
      <w:r w:rsidR="004A07B8" w:rsidRPr="00ED7C30">
        <w:rPr>
          <w:rFonts w:asciiTheme="minorHAnsi" w:hAnsiTheme="minorHAnsi" w:cstheme="minorHAnsi"/>
        </w:rPr>
        <w:t xml:space="preserve">Soudní spory, ve kterých MPSV vystupuje jako strana žalovaná, jsou </w:t>
      </w:r>
      <w:r w:rsidR="009C5186" w:rsidRPr="00ED7C30">
        <w:rPr>
          <w:rFonts w:asciiTheme="minorHAnsi" w:hAnsiTheme="minorHAnsi" w:cstheme="minorHAnsi"/>
        </w:rPr>
        <w:t>vedeny v</w:t>
      </w:r>
      <w:r w:rsidR="001B6A75" w:rsidRPr="00ED7C30">
        <w:rPr>
          <w:rFonts w:asciiTheme="minorHAnsi" w:hAnsiTheme="minorHAnsi" w:cstheme="minorHAnsi"/>
        </w:rPr>
        <w:t xml:space="preserve"> souhrnné </w:t>
      </w:r>
      <w:r w:rsidR="00EB5465" w:rsidRPr="00ED7C30">
        <w:rPr>
          <w:rFonts w:asciiTheme="minorHAnsi" w:hAnsiTheme="minorHAnsi" w:cstheme="minorHAnsi"/>
        </w:rPr>
        <w:t>částce ve</w:t>
      </w:r>
      <w:r w:rsidR="009C5186" w:rsidRPr="00ED7C30">
        <w:rPr>
          <w:rFonts w:asciiTheme="minorHAnsi" w:hAnsiTheme="minorHAnsi" w:cstheme="minorHAnsi"/>
        </w:rPr>
        <w:t xml:space="preserve"> výši 104</w:t>
      </w:r>
      <w:r w:rsidR="003665FE" w:rsidRPr="00ED7C30">
        <w:rPr>
          <w:rFonts w:asciiTheme="minorHAnsi" w:hAnsiTheme="minorHAnsi" w:cstheme="minorHAnsi"/>
        </w:rPr>
        <w:t> 589 585,64 </w:t>
      </w:r>
      <w:r w:rsidR="004A07B8" w:rsidRPr="00ED7C30">
        <w:rPr>
          <w:rFonts w:asciiTheme="minorHAnsi" w:hAnsiTheme="minorHAnsi" w:cstheme="minorHAnsi"/>
        </w:rPr>
        <w:t xml:space="preserve">Kč. </w:t>
      </w:r>
      <w:r w:rsidR="004A07B8" w:rsidRPr="00ED7C30">
        <w:rPr>
          <w:rFonts w:asciiTheme="minorHAnsi" w:hAnsiTheme="minorHAnsi" w:cstheme="minorHAnsi"/>
          <w:iCs/>
        </w:rPr>
        <w:t xml:space="preserve">Hladina významnosti by tedy měla být stanovena i s ohledem na skutečnost, že pouze v případě 4 soudních sporů z celkového počtu 62 vedených </w:t>
      </w:r>
      <w:r w:rsidR="004A07B8" w:rsidRPr="00ED7C30">
        <w:rPr>
          <w:rFonts w:asciiTheme="minorHAnsi" w:hAnsiTheme="minorHAnsi" w:cstheme="minorHAnsi"/>
          <w:iCs/>
        </w:rPr>
        <w:lastRenderedPageBreak/>
        <w:t xml:space="preserve">soudních sporů k 31. 12. 2016 přesahuje hranice žalované částky hodnotu 5 mil. Kč. </w:t>
      </w:r>
      <w:r w:rsidR="004A07B8" w:rsidRPr="00ED7C30">
        <w:rPr>
          <w:rFonts w:asciiTheme="minorHAnsi" w:hAnsiTheme="minorHAnsi" w:cstheme="minorHAnsi"/>
          <w:b/>
          <w:iCs/>
        </w:rPr>
        <w:t>K</w:t>
      </w:r>
      <w:r w:rsidR="0092330B" w:rsidRPr="00ED7C30">
        <w:rPr>
          <w:rFonts w:asciiTheme="minorHAnsi" w:hAnsiTheme="minorHAnsi" w:cstheme="minorHAnsi"/>
          <w:b/>
          <w:iCs/>
        </w:rPr>
        <w:t xml:space="preserve"> finančně </w:t>
      </w:r>
      <w:r w:rsidR="009C5186" w:rsidRPr="00ED7C30">
        <w:rPr>
          <w:rFonts w:asciiTheme="minorHAnsi" w:hAnsiTheme="minorHAnsi" w:cstheme="minorHAnsi"/>
          <w:b/>
          <w:iCs/>
        </w:rPr>
        <w:t>n</w:t>
      </w:r>
      <w:r w:rsidR="004A07B8" w:rsidRPr="00ED7C30">
        <w:rPr>
          <w:rFonts w:asciiTheme="minorHAnsi" w:hAnsiTheme="minorHAnsi" w:cstheme="minorHAnsi"/>
          <w:b/>
          <w:iCs/>
        </w:rPr>
        <w:t>ejvýznamnějšímu soudnímu sporu, který MPSV vedlo</w:t>
      </w:r>
      <w:r w:rsidR="00EB5465" w:rsidRPr="00ED7C30">
        <w:rPr>
          <w:rFonts w:asciiTheme="minorHAnsi" w:hAnsiTheme="minorHAnsi" w:cstheme="minorHAnsi"/>
          <w:b/>
          <w:iCs/>
        </w:rPr>
        <w:t xml:space="preserve"> a</w:t>
      </w:r>
      <w:r w:rsidR="004A07B8" w:rsidRPr="00ED7C30">
        <w:rPr>
          <w:rFonts w:asciiTheme="minorHAnsi" w:hAnsiTheme="minorHAnsi" w:cstheme="minorHAnsi"/>
          <w:b/>
          <w:iCs/>
        </w:rPr>
        <w:t xml:space="preserve"> </w:t>
      </w:r>
      <w:r w:rsidR="009D7225" w:rsidRPr="00ED7C30">
        <w:rPr>
          <w:rFonts w:asciiTheme="minorHAnsi" w:hAnsiTheme="minorHAnsi" w:cstheme="minorHAnsi"/>
          <w:b/>
          <w:iCs/>
        </w:rPr>
        <w:t>u</w:t>
      </w:r>
      <w:r w:rsidR="00862515" w:rsidRPr="00ED7C30">
        <w:rPr>
          <w:rFonts w:asciiTheme="minorHAnsi" w:hAnsiTheme="minorHAnsi" w:cstheme="minorHAnsi"/>
          <w:b/>
          <w:iCs/>
        </w:rPr>
        <w:t> </w:t>
      </w:r>
      <w:r w:rsidR="009D7225" w:rsidRPr="00ED7C30">
        <w:rPr>
          <w:rFonts w:asciiTheme="minorHAnsi" w:hAnsiTheme="minorHAnsi" w:cstheme="minorHAnsi"/>
          <w:b/>
          <w:iCs/>
        </w:rPr>
        <w:t xml:space="preserve">kterého soud </w:t>
      </w:r>
      <w:r w:rsidR="00ED7329" w:rsidRPr="00ED7C30">
        <w:rPr>
          <w:rFonts w:asciiTheme="minorHAnsi" w:hAnsiTheme="minorHAnsi" w:cstheme="minorHAnsi"/>
          <w:b/>
          <w:iCs/>
        </w:rPr>
        <w:t xml:space="preserve">již v roce </w:t>
      </w:r>
      <w:r w:rsidR="009D7225" w:rsidRPr="00ED7C30">
        <w:rPr>
          <w:rFonts w:asciiTheme="minorHAnsi" w:hAnsiTheme="minorHAnsi" w:cstheme="minorHAnsi"/>
          <w:b/>
          <w:iCs/>
        </w:rPr>
        <w:t>2014 na základě svého rozsudku uznal právo žalobce na náhradu škody ve výši 29 822 697,30 Kč,</w:t>
      </w:r>
      <w:r w:rsidR="004A07B8" w:rsidRPr="00ED7C30">
        <w:rPr>
          <w:rFonts w:asciiTheme="minorHAnsi" w:hAnsiTheme="minorHAnsi" w:cstheme="minorHAnsi"/>
          <w:b/>
          <w:iCs/>
        </w:rPr>
        <w:t xml:space="preserve"> nebyl</w:t>
      </w:r>
      <w:r w:rsidR="009C5186" w:rsidRPr="00ED7C30">
        <w:rPr>
          <w:rFonts w:asciiTheme="minorHAnsi" w:hAnsiTheme="minorHAnsi" w:cstheme="minorHAnsi"/>
          <w:b/>
          <w:iCs/>
        </w:rPr>
        <w:t>o</w:t>
      </w:r>
      <w:r w:rsidR="004A07B8" w:rsidRPr="00ED7C30">
        <w:rPr>
          <w:rFonts w:asciiTheme="minorHAnsi" w:hAnsiTheme="minorHAnsi" w:cstheme="minorHAnsi"/>
          <w:b/>
          <w:iCs/>
        </w:rPr>
        <w:t xml:space="preserve"> vzhledem k nastavené výši významnosti pro účtování o rezervách</w:t>
      </w:r>
      <w:r w:rsidR="00ED7329" w:rsidRPr="00ED7C30">
        <w:rPr>
          <w:rFonts w:asciiTheme="minorHAnsi" w:hAnsiTheme="minorHAnsi" w:cstheme="minorHAnsi"/>
          <w:b/>
          <w:iCs/>
        </w:rPr>
        <w:t xml:space="preserve"> ani v minulosti, ani v roce 2016</w:t>
      </w:r>
      <w:r w:rsidR="00862515" w:rsidRPr="00ED7C30">
        <w:rPr>
          <w:rFonts w:asciiTheme="minorHAnsi" w:hAnsiTheme="minorHAnsi" w:cstheme="minorHAnsi"/>
          <w:b/>
          <w:iCs/>
        </w:rPr>
        <w:t xml:space="preserve"> o </w:t>
      </w:r>
      <w:r w:rsidR="00AD280F" w:rsidRPr="00ED7C30">
        <w:rPr>
          <w:rFonts w:asciiTheme="minorHAnsi" w:hAnsiTheme="minorHAnsi" w:cstheme="minorHAnsi"/>
          <w:b/>
          <w:iCs/>
        </w:rPr>
        <w:t xml:space="preserve">tvorbě rezerv </w:t>
      </w:r>
      <w:r w:rsidR="004A07B8" w:rsidRPr="00ED7C30">
        <w:rPr>
          <w:rFonts w:asciiTheme="minorHAnsi" w:hAnsiTheme="minorHAnsi" w:cstheme="minorHAnsi"/>
          <w:b/>
          <w:iCs/>
        </w:rPr>
        <w:t>účtov</w:t>
      </w:r>
      <w:r w:rsidR="009C5186" w:rsidRPr="00ED7C30">
        <w:rPr>
          <w:rFonts w:asciiTheme="minorHAnsi" w:hAnsiTheme="minorHAnsi" w:cstheme="minorHAnsi"/>
          <w:b/>
          <w:iCs/>
        </w:rPr>
        <w:t>áno</w:t>
      </w:r>
      <w:r w:rsidR="004A07B8" w:rsidRPr="00ED7C30">
        <w:rPr>
          <w:rFonts w:asciiTheme="minorHAnsi" w:hAnsiTheme="minorHAnsi" w:cstheme="minorHAnsi"/>
          <w:b/>
          <w:iCs/>
        </w:rPr>
        <w:t>.</w:t>
      </w:r>
    </w:p>
    <w:p w14:paraId="491C0705" w14:textId="77777777" w:rsidR="009C5186" w:rsidRPr="00ED7C30" w:rsidRDefault="009C5186" w:rsidP="00C33513">
      <w:pPr>
        <w:spacing w:after="0" w:line="240" w:lineRule="auto"/>
        <w:jc w:val="both"/>
        <w:rPr>
          <w:rFonts w:eastAsia="Times New Roman" w:cstheme="minorHAnsi"/>
          <w:sz w:val="24"/>
        </w:rPr>
      </w:pPr>
    </w:p>
    <w:p w14:paraId="47C13DFA" w14:textId="1B1FE558" w:rsidR="00BF0737" w:rsidRPr="00AB7AAA" w:rsidRDefault="006A4D18" w:rsidP="00B954D2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MPSV n</w:t>
      </w:r>
      <w:r w:rsidR="009A3A81" w:rsidRPr="00ED7C30">
        <w:rPr>
          <w:rFonts w:asciiTheme="minorHAnsi" w:hAnsiTheme="minorHAnsi" w:cstheme="minorHAnsi"/>
          <w:b/>
        </w:rPr>
        <w:t xml:space="preserve">esprávně naplnilo některé položky výkazu </w:t>
      </w:r>
      <w:r>
        <w:rPr>
          <w:rFonts w:asciiTheme="minorHAnsi" w:hAnsiTheme="minorHAnsi" w:cstheme="minorHAnsi"/>
          <w:b/>
          <w:i/>
        </w:rPr>
        <w:t>p</w:t>
      </w:r>
      <w:r w:rsidR="009A3A81" w:rsidRPr="00AB7AAA">
        <w:rPr>
          <w:rFonts w:asciiTheme="minorHAnsi" w:hAnsiTheme="minorHAnsi" w:cstheme="minorHAnsi"/>
          <w:b/>
          <w:i/>
        </w:rPr>
        <w:t>řehled o peněžních tocích</w:t>
      </w:r>
      <w:r w:rsidR="009A3A81" w:rsidRPr="00ED7C30">
        <w:rPr>
          <w:rFonts w:asciiTheme="minorHAnsi" w:hAnsiTheme="minorHAnsi" w:cstheme="minorHAnsi"/>
          <w:b/>
        </w:rPr>
        <w:t xml:space="preserve">. </w:t>
      </w:r>
      <w:r w:rsidR="001B6A75" w:rsidRPr="00ED7C30">
        <w:rPr>
          <w:rFonts w:asciiTheme="minorHAnsi" w:hAnsiTheme="minorHAnsi" w:cstheme="minorHAnsi"/>
          <w:b/>
        </w:rPr>
        <w:t xml:space="preserve">Nesprávnosti byly zjištěny zejména v souvislosti s </w:t>
      </w:r>
      <w:r w:rsidR="009A3A81" w:rsidRPr="00ED7C30">
        <w:rPr>
          <w:rFonts w:asciiTheme="minorHAnsi" w:hAnsiTheme="minorHAnsi" w:cstheme="minorHAnsi"/>
          <w:b/>
        </w:rPr>
        <w:t>použití</w:t>
      </w:r>
      <w:r w:rsidR="001B6A75" w:rsidRPr="00ED7C30">
        <w:rPr>
          <w:rFonts w:asciiTheme="minorHAnsi" w:hAnsiTheme="minorHAnsi" w:cstheme="minorHAnsi"/>
          <w:b/>
        </w:rPr>
        <w:t>m</w:t>
      </w:r>
      <w:r w:rsidR="009A3A81" w:rsidRPr="00ED7C30">
        <w:rPr>
          <w:rFonts w:asciiTheme="minorHAnsi" w:hAnsiTheme="minorHAnsi" w:cstheme="minorHAnsi"/>
          <w:b/>
        </w:rPr>
        <w:t xml:space="preserve"> dopočtu</w:t>
      </w:r>
      <w:r w:rsidR="00E97C65" w:rsidRPr="00ED7C30">
        <w:rPr>
          <w:rFonts w:asciiTheme="minorHAnsi" w:hAnsiTheme="minorHAnsi" w:cstheme="minorHAnsi"/>
          <w:b/>
        </w:rPr>
        <w:t xml:space="preserve"> položky</w:t>
      </w:r>
      <w:r w:rsidR="00ED7C30" w:rsidRPr="00ED7C30">
        <w:rPr>
          <w:rFonts w:asciiTheme="minorHAnsi" w:hAnsiTheme="minorHAnsi" w:cstheme="minorHAnsi"/>
          <w:b/>
        </w:rPr>
        <w:t xml:space="preserve"> </w:t>
      </w:r>
      <w:proofErr w:type="gramStart"/>
      <w:r w:rsidR="00E97C65" w:rsidRPr="00ED7C30">
        <w:rPr>
          <w:rFonts w:asciiTheme="minorHAnsi" w:hAnsiTheme="minorHAnsi" w:cstheme="minorHAnsi"/>
          <w:b/>
        </w:rPr>
        <w:t>A.I.6.</w:t>
      </w:r>
      <w:proofErr w:type="gramEnd"/>
      <w:r>
        <w:rPr>
          <w:rFonts w:asciiTheme="minorHAnsi" w:hAnsiTheme="minorHAnsi" w:cstheme="minorHAnsi"/>
          <w:b/>
        </w:rPr>
        <w:t> </w:t>
      </w:r>
      <w:r w:rsidR="001B6A75" w:rsidRPr="00ED7C30">
        <w:rPr>
          <w:rFonts w:asciiTheme="minorHAnsi" w:hAnsiTheme="minorHAnsi" w:cstheme="minorHAnsi"/>
          <w:b/>
          <w:i/>
        </w:rPr>
        <w:t>Ostatní úpravy o nepeněžní operace</w:t>
      </w:r>
      <w:r w:rsidR="00D66BD2" w:rsidRPr="00ED7C30">
        <w:rPr>
          <w:rFonts w:asciiTheme="minorHAnsi" w:hAnsiTheme="minorHAnsi" w:cstheme="minorHAnsi"/>
          <w:b/>
        </w:rPr>
        <w:t>.</w:t>
      </w:r>
      <w:r w:rsidR="009A3A81" w:rsidRPr="00ED7C30">
        <w:rPr>
          <w:rFonts w:asciiTheme="minorHAnsi" w:hAnsiTheme="minorHAnsi" w:cstheme="minorHAnsi"/>
        </w:rPr>
        <w:t xml:space="preserve"> </w:t>
      </w:r>
      <w:r w:rsidR="00D66BD2" w:rsidRPr="00ED7C30">
        <w:rPr>
          <w:rFonts w:asciiTheme="minorHAnsi" w:hAnsiTheme="minorHAnsi" w:cstheme="minorHAnsi"/>
        </w:rPr>
        <w:t>D</w:t>
      </w:r>
      <w:r w:rsidR="001B6A75" w:rsidRPr="00ED7C30">
        <w:rPr>
          <w:rFonts w:asciiTheme="minorHAnsi" w:hAnsiTheme="minorHAnsi" w:cstheme="minorHAnsi"/>
        </w:rPr>
        <w:t>ále byla</w:t>
      </w:r>
      <w:r w:rsidR="009A3A81" w:rsidRPr="00ED7C30">
        <w:rPr>
          <w:rFonts w:asciiTheme="minorHAnsi" w:hAnsiTheme="minorHAnsi" w:cstheme="minorHAnsi"/>
        </w:rPr>
        <w:t xml:space="preserve"> </w:t>
      </w:r>
      <w:r w:rsidR="001B6A75" w:rsidRPr="00ED7C30">
        <w:rPr>
          <w:rFonts w:asciiTheme="minorHAnsi" w:hAnsiTheme="minorHAnsi" w:cstheme="minorHAnsi"/>
        </w:rPr>
        <w:t xml:space="preserve">nesprávně </w:t>
      </w:r>
      <w:r w:rsidR="009A3A81" w:rsidRPr="00ED7C30">
        <w:rPr>
          <w:rFonts w:asciiTheme="minorHAnsi" w:hAnsiTheme="minorHAnsi" w:cstheme="minorHAnsi"/>
        </w:rPr>
        <w:t>vykázán</w:t>
      </w:r>
      <w:r w:rsidR="001B6A75" w:rsidRPr="00ED7C30">
        <w:rPr>
          <w:rFonts w:asciiTheme="minorHAnsi" w:hAnsiTheme="minorHAnsi" w:cstheme="minorHAnsi"/>
        </w:rPr>
        <w:t>a</w:t>
      </w:r>
      <w:r w:rsidR="009A3A81" w:rsidRPr="00ED7C30">
        <w:rPr>
          <w:rFonts w:asciiTheme="minorHAnsi" w:hAnsiTheme="minorHAnsi" w:cstheme="minorHAnsi"/>
        </w:rPr>
        <w:t xml:space="preserve"> změn</w:t>
      </w:r>
      <w:r w:rsidR="001B6A75" w:rsidRPr="00ED7C30">
        <w:rPr>
          <w:rFonts w:asciiTheme="minorHAnsi" w:hAnsiTheme="minorHAnsi" w:cstheme="minorHAnsi"/>
        </w:rPr>
        <w:t>a</w:t>
      </w:r>
      <w:r w:rsidR="009A3A81" w:rsidRPr="00ED7C30">
        <w:rPr>
          <w:rFonts w:asciiTheme="minorHAnsi" w:hAnsiTheme="minorHAnsi" w:cstheme="minorHAnsi"/>
        </w:rPr>
        <w:t xml:space="preserve"> stavu krátkodobých pohledávek, výdajů na pořízení dlouhodobých aktiv a peněžních toků vyplývajících ze změn vlastního kapitálu</w:t>
      </w:r>
      <w:r w:rsidR="00E66380" w:rsidRPr="00AB7AAA">
        <w:rPr>
          <w:rFonts w:asciiTheme="minorHAnsi" w:hAnsiTheme="minorHAnsi" w:cstheme="minorHAnsi"/>
        </w:rPr>
        <w:t>.</w:t>
      </w:r>
    </w:p>
    <w:p w14:paraId="165B0465" w14:textId="465A18DC" w:rsidR="00C17679" w:rsidRPr="00ED7C30" w:rsidRDefault="00C17679" w:rsidP="00546FC8">
      <w:pPr>
        <w:spacing w:after="0"/>
        <w:rPr>
          <w:rFonts w:cstheme="minorHAnsi"/>
        </w:rPr>
      </w:pPr>
    </w:p>
    <w:p w14:paraId="5A4FC8B7" w14:textId="239A4AE4" w:rsidR="00C17679" w:rsidRPr="00ED7C30" w:rsidRDefault="004E2D33" w:rsidP="002624CD">
      <w:pPr>
        <w:pStyle w:val="Nadpis2"/>
        <w:spacing w:before="0" w:after="160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ED7C30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Vstupní údaje v rozpočtovém systému a finanční výkazy jako podklad pro závěrečný účet</w:t>
      </w:r>
    </w:p>
    <w:p w14:paraId="231B982F" w14:textId="31AE289A" w:rsidR="00C17679" w:rsidRPr="00ED7C30" w:rsidRDefault="00C17679" w:rsidP="00C17679">
      <w:pPr>
        <w:spacing w:after="120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 xml:space="preserve">V rámci vstupních údajů v rozpočtovém systému a finančních výkazů sestavených za rok 2016, které byly podkladem pro závěrečný účet kapitoly 313 za rok 2016, byly zjištěny nesprávnosti ve výši 143 399 065,27 Kč, z čehož 79 % tvoří nesprávně vykázané výdaje na zpracování dat a služby související s informačními a komunikačními technologiemi. Tyto výdaje měly být zatříděny </w:t>
      </w:r>
      <w:r w:rsidR="00410AEE">
        <w:rPr>
          <w:rFonts w:cstheme="minorHAnsi"/>
          <w:sz w:val="24"/>
          <w:szCs w:val="24"/>
        </w:rPr>
        <w:t xml:space="preserve">na </w:t>
      </w:r>
      <w:r w:rsidRPr="00ED7C30">
        <w:rPr>
          <w:rFonts w:cstheme="minorHAnsi"/>
          <w:sz w:val="24"/>
          <w:szCs w:val="24"/>
        </w:rPr>
        <w:t>položku</w:t>
      </w:r>
      <w:r w:rsidR="00AE247E" w:rsidRPr="00ED7C30">
        <w:rPr>
          <w:rFonts w:cstheme="minorHAnsi"/>
          <w:sz w:val="24"/>
          <w:szCs w:val="24"/>
        </w:rPr>
        <w:t xml:space="preserve"> rozpočtové skladby 5168 – </w:t>
      </w:r>
      <w:r w:rsidRPr="00ED7C30">
        <w:rPr>
          <w:rFonts w:cstheme="minorHAnsi"/>
          <w:i/>
          <w:iCs/>
          <w:sz w:val="24"/>
          <w:szCs w:val="24"/>
        </w:rPr>
        <w:t>Zpracování dat a služby související s informačními a komunikačními technologiemi</w:t>
      </w:r>
      <w:r w:rsidRPr="00ED7C30">
        <w:rPr>
          <w:rFonts w:cstheme="minorHAnsi"/>
          <w:sz w:val="24"/>
          <w:szCs w:val="24"/>
        </w:rPr>
        <w:t>, která byla v důsledku nesprávného vykázání podhodnocena o </w:t>
      </w:r>
      <w:r w:rsidRPr="00ED7C30">
        <w:rPr>
          <w:rFonts w:cstheme="minorHAnsi"/>
          <w:color w:val="000000"/>
          <w:sz w:val="24"/>
          <w:szCs w:val="24"/>
          <w:lang w:eastAsia="cs-CZ"/>
        </w:rPr>
        <w:t>113 667 061,67</w:t>
      </w:r>
      <w:r w:rsidRPr="00ED7C30">
        <w:rPr>
          <w:rFonts w:cstheme="minorHAnsi"/>
          <w:sz w:val="24"/>
          <w:szCs w:val="24"/>
        </w:rPr>
        <w:t xml:space="preserve"> Kč.</w:t>
      </w:r>
    </w:p>
    <w:p w14:paraId="74AA01DC" w14:textId="77777777" w:rsidR="00C17679" w:rsidRPr="00ED7C30" w:rsidRDefault="00C17679" w:rsidP="00546FC8">
      <w:pPr>
        <w:spacing w:after="0"/>
        <w:jc w:val="both"/>
        <w:rPr>
          <w:rFonts w:cstheme="minorHAnsi"/>
          <w:sz w:val="24"/>
          <w:szCs w:val="24"/>
          <w:lang w:eastAsia="cs-CZ"/>
        </w:rPr>
      </w:pPr>
      <w:r w:rsidRPr="00ED7C30">
        <w:rPr>
          <w:rFonts w:cstheme="minorHAnsi"/>
          <w:sz w:val="24"/>
          <w:szCs w:val="24"/>
        </w:rPr>
        <w:t>Rozpočtová položka 5168 – </w:t>
      </w:r>
      <w:r w:rsidRPr="00ED7C30">
        <w:rPr>
          <w:rFonts w:cstheme="minorHAnsi"/>
          <w:i/>
          <w:iCs/>
          <w:sz w:val="24"/>
          <w:szCs w:val="24"/>
        </w:rPr>
        <w:t>Zpracování dat a služby související s informačními a komunikačními technologiemi</w:t>
      </w:r>
      <w:r w:rsidRPr="00ED7C30">
        <w:rPr>
          <w:rFonts w:cstheme="minorHAnsi"/>
          <w:sz w:val="24"/>
          <w:szCs w:val="24"/>
        </w:rPr>
        <w:t xml:space="preserve"> je ve výkazu pro hodnocení plnění rozpočtu vykázána v celkové výši 354 491 796,75 Kč. Zjištěná nesprávnost ve výši </w:t>
      </w:r>
      <w:r w:rsidRPr="00ED7C30">
        <w:rPr>
          <w:rFonts w:cstheme="minorHAnsi"/>
          <w:sz w:val="24"/>
          <w:szCs w:val="24"/>
          <w:lang w:eastAsia="cs-CZ"/>
        </w:rPr>
        <w:t>113 667 061,67 Kč představuje 32 % vykazované hodnoty k 31. 12. 2016, přičemž byla zjištěna na vybraném vzorku, a může tedy být vyšší.</w:t>
      </w:r>
    </w:p>
    <w:p w14:paraId="471DBB44" w14:textId="77777777" w:rsidR="00A363D5" w:rsidRPr="00ED7C30" w:rsidRDefault="00A363D5" w:rsidP="00546FC8">
      <w:pPr>
        <w:spacing w:after="0"/>
        <w:rPr>
          <w:rFonts w:cstheme="minorHAnsi"/>
          <w:sz w:val="24"/>
          <w:szCs w:val="24"/>
        </w:rPr>
      </w:pPr>
    </w:p>
    <w:p w14:paraId="5AA60B39" w14:textId="77777777" w:rsidR="00A363D5" w:rsidRPr="00ED7C30" w:rsidRDefault="00A363D5" w:rsidP="00E45394">
      <w:pPr>
        <w:pStyle w:val="Nadpis2"/>
        <w:spacing w:after="240" w:line="24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D7C30">
        <w:rPr>
          <w:rFonts w:asciiTheme="minorHAnsi" w:hAnsiTheme="minorHAnsi" w:cstheme="minorHAnsi"/>
          <w:b/>
          <w:color w:val="auto"/>
          <w:sz w:val="24"/>
          <w:szCs w:val="24"/>
        </w:rPr>
        <w:t>Závěrečný účet za rok 2016</w:t>
      </w:r>
    </w:p>
    <w:p w14:paraId="04628144" w14:textId="621B71B4" w:rsidR="00A363D5" w:rsidRPr="00ED7C30" w:rsidRDefault="00A363D5" w:rsidP="00E4539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Průvodní zpráva ZÚ 2016 neobsahovala v rozporu s ustanoveními vyhlášky č. 419/2001 Sb. informace</w:t>
      </w:r>
      <w:r w:rsidR="000A32FA" w:rsidRPr="00ED7C30">
        <w:rPr>
          <w:rFonts w:cstheme="minorHAnsi"/>
          <w:sz w:val="24"/>
          <w:szCs w:val="24"/>
        </w:rPr>
        <w:t xml:space="preserve"> o</w:t>
      </w:r>
      <w:r w:rsidRPr="00ED7C30">
        <w:rPr>
          <w:rFonts w:cstheme="minorHAnsi"/>
          <w:sz w:val="24"/>
          <w:szCs w:val="24"/>
        </w:rPr>
        <w:t xml:space="preserve"> hodnocení hospodárnosti, efektivnosti a účelnosti vynakládání výdajů kapitoly. V tabulkové části ZÚ 2016 byly zjištěny drobné rozdíly od závazného vzoru.</w:t>
      </w:r>
    </w:p>
    <w:p w14:paraId="5205BC9C" w14:textId="0158684D" w:rsidR="00A363D5" w:rsidRPr="00ED7C30" w:rsidRDefault="00A363D5" w:rsidP="00E4539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  <w:lang w:eastAsia="cs-CZ"/>
        </w:rPr>
        <w:t>V průvodní zprávě ZÚ 2016 byla zjištěna číselná nesprávnost uvedená v </w:t>
      </w:r>
      <w:r w:rsidRPr="00ED7C30">
        <w:rPr>
          <w:rFonts w:cstheme="minorHAnsi"/>
          <w:sz w:val="24"/>
          <w:szCs w:val="24"/>
        </w:rPr>
        <w:t xml:space="preserve">kapitole 3.3 </w:t>
      </w:r>
      <w:r w:rsidRPr="00AB7AAA">
        <w:rPr>
          <w:rFonts w:cstheme="minorHAnsi"/>
          <w:i/>
          <w:sz w:val="24"/>
          <w:szCs w:val="24"/>
        </w:rPr>
        <w:t>Běžné výdaje</w:t>
      </w:r>
      <w:r w:rsidRPr="00ED7C30">
        <w:rPr>
          <w:rFonts w:cstheme="minorHAnsi"/>
          <w:sz w:val="24"/>
          <w:szCs w:val="24"/>
        </w:rPr>
        <w:t xml:space="preserve">. MPSV zde uvádí: </w:t>
      </w:r>
    </w:p>
    <w:p w14:paraId="41219244" w14:textId="77777777" w:rsidR="00A363D5" w:rsidRPr="00410AEE" w:rsidRDefault="00A363D5" w:rsidP="00E4539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B7AAA">
        <w:rPr>
          <w:rFonts w:cstheme="minorHAnsi"/>
          <w:iCs/>
          <w:sz w:val="24"/>
          <w:szCs w:val="24"/>
        </w:rPr>
        <w:t>„</w:t>
      </w:r>
      <w:r w:rsidRPr="00ED7C30">
        <w:rPr>
          <w:rFonts w:cstheme="minorHAnsi"/>
          <w:i/>
          <w:iCs/>
          <w:sz w:val="24"/>
          <w:szCs w:val="24"/>
        </w:rPr>
        <w:t xml:space="preserve">Rozpočet po změnách celkových běžných výdajů kapitoly ve výši </w:t>
      </w:r>
      <w:r w:rsidRPr="00ED7C30">
        <w:rPr>
          <w:rFonts w:cstheme="minorHAnsi"/>
          <w:b/>
          <w:bCs/>
          <w:i/>
          <w:iCs/>
          <w:sz w:val="24"/>
          <w:szCs w:val="24"/>
        </w:rPr>
        <w:t>543 293 364 tis. Kč</w:t>
      </w:r>
      <w:r w:rsidRPr="00ED7C30">
        <w:rPr>
          <w:rFonts w:cstheme="minorHAnsi"/>
          <w:i/>
          <w:iCs/>
          <w:sz w:val="24"/>
          <w:szCs w:val="24"/>
        </w:rPr>
        <w:t xml:space="preserve"> byl částkou </w:t>
      </w:r>
      <w:r w:rsidRPr="00ED7C30">
        <w:rPr>
          <w:rFonts w:cstheme="minorHAnsi"/>
          <w:b/>
          <w:bCs/>
          <w:i/>
          <w:iCs/>
          <w:sz w:val="24"/>
          <w:szCs w:val="24"/>
        </w:rPr>
        <w:t>537 833 191 tis. Kč</w:t>
      </w:r>
      <w:r w:rsidRPr="00ED7C30">
        <w:rPr>
          <w:rFonts w:cstheme="minorHAnsi"/>
          <w:i/>
          <w:iCs/>
          <w:sz w:val="24"/>
          <w:szCs w:val="24"/>
        </w:rPr>
        <w:t xml:space="preserve"> čerpán na 98,99 %.</w:t>
      </w:r>
      <w:r w:rsidRPr="00AB7AAA">
        <w:rPr>
          <w:rFonts w:cstheme="minorHAnsi"/>
          <w:iCs/>
          <w:sz w:val="24"/>
          <w:szCs w:val="24"/>
        </w:rPr>
        <w:t>“</w:t>
      </w:r>
    </w:p>
    <w:p w14:paraId="3FF510F2" w14:textId="37A608F9" w:rsidR="00A363D5" w:rsidRPr="00ED7C30" w:rsidRDefault="00A363D5" w:rsidP="00E4539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Skutečná hodnota ukazatele „</w:t>
      </w:r>
      <w:r w:rsidR="000E3E05">
        <w:rPr>
          <w:rFonts w:cstheme="minorHAnsi"/>
          <w:sz w:val="24"/>
          <w:szCs w:val="24"/>
        </w:rPr>
        <w:t>b</w:t>
      </w:r>
      <w:r w:rsidRPr="00ED7C30">
        <w:rPr>
          <w:rFonts w:cstheme="minorHAnsi"/>
          <w:sz w:val="24"/>
          <w:szCs w:val="24"/>
        </w:rPr>
        <w:t>ěžné výdaje“ je uvedena v následující tabulce.</w:t>
      </w:r>
    </w:p>
    <w:p w14:paraId="2DC1BF67" w14:textId="77777777" w:rsidR="00C5278E" w:rsidRDefault="00C5278E">
      <w:pPr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br w:type="page"/>
      </w:r>
    </w:p>
    <w:p w14:paraId="7B9359D0" w14:textId="77B2F85E" w:rsidR="006711AA" w:rsidRPr="00ED7C30" w:rsidRDefault="00A363D5" w:rsidP="00C06043">
      <w:pPr>
        <w:tabs>
          <w:tab w:val="right" w:pos="9072"/>
        </w:tabs>
        <w:spacing w:after="0" w:line="240" w:lineRule="auto"/>
        <w:jc w:val="both"/>
        <w:rPr>
          <w:rFonts w:cstheme="minorHAnsi"/>
          <w:b/>
          <w:bCs/>
        </w:rPr>
      </w:pPr>
      <w:r w:rsidRPr="00ED7C30">
        <w:rPr>
          <w:rFonts w:cstheme="minorHAnsi"/>
          <w:b/>
          <w:color w:val="000000"/>
        </w:rPr>
        <w:lastRenderedPageBreak/>
        <w:t xml:space="preserve">Tabulka </w:t>
      </w:r>
      <w:r w:rsidR="00B85348" w:rsidRPr="00ED7C30">
        <w:rPr>
          <w:rFonts w:cstheme="minorHAnsi"/>
          <w:b/>
          <w:color w:val="000000"/>
        </w:rPr>
        <w:t>7</w:t>
      </w:r>
      <w:r w:rsidRPr="00ED7C30">
        <w:rPr>
          <w:rFonts w:cstheme="minorHAnsi"/>
          <w:b/>
          <w:color w:val="000000"/>
        </w:rPr>
        <w:t>:</w:t>
      </w:r>
      <w:r w:rsidRPr="00ED7C30">
        <w:rPr>
          <w:rFonts w:cstheme="minorHAnsi"/>
          <w:b/>
          <w:bCs/>
        </w:rPr>
        <w:t xml:space="preserve"> Hodnota ukazatele </w:t>
      </w:r>
      <w:r w:rsidR="000E3E05">
        <w:rPr>
          <w:rFonts w:cstheme="minorHAnsi"/>
          <w:b/>
          <w:bCs/>
        </w:rPr>
        <w:t>„b</w:t>
      </w:r>
      <w:r w:rsidRPr="00ED7C30">
        <w:rPr>
          <w:rFonts w:cstheme="minorHAnsi"/>
          <w:b/>
          <w:bCs/>
        </w:rPr>
        <w:t>ěžné výdaje</w:t>
      </w:r>
      <w:r w:rsidR="000E3E05">
        <w:rPr>
          <w:rFonts w:cstheme="minorHAnsi"/>
          <w:b/>
          <w:bCs/>
        </w:rPr>
        <w:t>“</w:t>
      </w:r>
      <w:r w:rsidR="006711AA" w:rsidRPr="00ED7C30">
        <w:rPr>
          <w:rFonts w:cstheme="minorHAnsi"/>
          <w:b/>
          <w:bCs/>
        </w:rPr>
        <w:t xml:space="preserve"> </w:t>
      </w:r>
      <w:r w:rsidR="00C06043">
        <w:rPr>
          <w:rFonts w:cstheme="minorHAnsi"/>
          <w:b/>
          <w:bCs/>
        </w:rPr>
        <w:tab/>
      </w:r>
      <w:r w:rsidR="00A531A5" w:rsidRPr="00ED7C30">
        <w:rPr>
          <w:rFonts w:cstheme="minorHAnsi"/>
          <w:b/>
          <w:bCs/>
        </w:rPr>
        <w:t>(v tis. Kč)</w:t>
      </w:r>
    </w:p>
    <w:tbl>
      <w:tblPr>
        <w:tblW w:w="497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1418"/>
        <w:gridCol w:w="1701"/>
        <w:gridCol w:w="1701"/>
        <w:gridCol w:w="1474"/>
        <w:gridCol w:w="661"/>
      </w:tblGrid>
      <w:tr w:rsidR="00A363D5" w:rsidRPr="00ED7C30" w14:paraId="5869E18C" w14:textId="77777777" w:rsidTr="000347F0">
        <w:trPr>
          <w:trHeight w:hRule="exact" w:val="578"/>
          <w:jc w:val="center"/>
        </w:trPr>
        <w:tc>
          <w:tcPr>
            <w:tcW w:w="1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ED7242" w14:textId="77777777" w:rsidR="00A363D5" w:rsidRPr="00ED7C30" w:rsidRDefault="00A363D5" w:rsidP="00DE284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U K A Z A T E L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453095" w14:textId="77777777" w:rsidR="00A363D5" w:rsidRPr="00ED7C30" w:rsidRDefault="00A363D5" w:rsidP="00DE284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Skutečnost k 31. 12. 2015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659F78" w14:textId="77777777" w:rsidR="00A363D5" w:rsidRPr="00ED7C30" w:rsidRDefault="00A363D5" w:rsidP="00DE284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Schválený rozpočet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A3822E" w14:textId="77777777" w:rsidR="00A363D5" w:rsidRPr="00ED7C30" w:rsidRDefault="00A363D5" w:rsidP="00DE284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Rozpočet po změnách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C5F267" w14:textId="77777777" w:rsidR="00A363D5" w:rsidRPr="00ED7C30" w:rsidRDefault="00A363D5" w:rsidP="00DE284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Skutečnost k 31. 12. 2016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F15580" w14:textId="4A20058A" w:rsidR="00A363D5" w:rsidRPr="00ED7C30" w:rsidRDefault="00A363D5" w:rsidP="00DE284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Plnění</w:t>
            </w:r>
            <w:r w:rsidR="00410AEE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br/>
              <w:t>(v %)</w:t>
            </w:r>
          </w:p>
        </w:tc>
      </w:tr>
      <w:tr w:rsidR="00A363D5" w:rsidRPr="00ED7C30" w14:paraId="6FB1121C" w14:textId="77777777" w:rsidTr="000347F0">
        <w:trPr>
          <w:trHeight w:hRule="exact" w:val="284"/>
          <w:jc w:val="center"/>
        </w:trPr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E8DB9" w14:textId="77777777" w:rsidR="00A363D5" w:rsidRPr="00ED7C30" w:rsidRDefault="00A363D5" w:rsidP="00DE2841">
            <w:pPr>
              <w:rPr>
                <w:rFonts w:cstheme="minorHAnsi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sz w:val="20"/>
                <w:szCs w:val="20"/>
                <w:lang w:eastAsia="cs-CZ"/>
              </w:rPr>
              <w:t>BĚŽNÉ VÝDAJE CELKEM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8FF88D" w14:textId="77777777" w:rsidR="00A363D5" w:rsidRPr="00ED7C30" w:rsidRDefault="00A363D5" w:rsidP="00DE2841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sz w:val="20"/>
                <w:szCs w:val="20"/>
                <w:lang w:eastAsia="cs-CZ"/>
              </w:rPr>
              <w:t>531 759 040,55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3F2D49" w14:textId="77777777" w:rsidR="00A363D5" w:rsidRPr="00ED7C30" w:rsidRDefault="00A363D5" w:rsidP="00DE2841">
            <w:pPr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sz w:val="20"/>
                <w:szCs w:val="20"/>
                <w:lang w:eastAsia="cs-CZ"/>
              </w:rPr>
              <w:t>543 175 478,35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9314C" w14:textId="77777777" w:rsidR="00A363D5" w:rsidRPr="00ED7C30" w:rsidRDefault="00A363D5" w:rsidP="00DE284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543 293 390,09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4FA0A" w14:textId="77777777" w:rsidR="00A363D5" w:rsidRPr="00ED7C30" w:rsidRDefault="00A363D5" w:rsidP="00DE284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537 864 656,85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92BC5" w14:textId="77777777" w:rsidR="00A363D5" w:rsidRPr="00ED7C30" w:rsidRDefault="00A363D5" w:rsidP="00DE284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ED7C30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99,00</w:t>
            </w:r>
          </w:p>
        </w:tc>
      </w:tr>
    </w:tbl>
    <w:p w14:paraId="7710AB70" w14:textId="1F30B4AB" w:rsidR="00A363D5" w:rsidRPr="00AB7AAA" w:rsidRDefault="00A363D5" w:rsidP="000E3E05">
      <w:pPr>
        <w:spacing w:before="40"/>
        <w:jc w:val="both"/>
        <w:rPr>
          <w:rFonts w:cstheme="minorHAnsi"/>
          <w:iCs/>
          <w:sz w:val="20"/>
          <w:szCs w:val="20"/>
        </w:rPr>
      </w:pPr>
      <w:r w:rsidRPr="00AB7AAA">
        <w:rPr>
          <w:rFonts w:cstheme="minorHAnsi"/>
          <w:b/>
          <w:iCs/>
          <w:sz w:val="20"/>
          <w:szCs w:val="20"/>
        </w:rPr>
        <w:t>Zdroj:</w:t>
      </w:r>
      <w:r w:rsidRPr="00AB7AAA">
        <w:rPr>
          <w:rFonts w:cstheme="minorHAnsi"/>
          <w:iCs/>
          <w:sz w:val="20"/>
          <w:szCs w:val="20"/>
        </w:rPr>
        <w:t xml:space="preserve"> </w:t>
      </w:r>
      <w:r w:rsidR="00410AEE">
        <w:rPr>
          <w:rFonts w:cstheme="minorHAnsi"/>
          <w:iCs/>
          <w:sz w:val="20"/>
          <w:szCs w:val="20"/>
        </w:rPr>
        <w:t>b</w:t>
      </w:r>
      <w:r w:rsidRPr="00AB7AAA">
        <w:rPr>
          <w:rFonts w:cstheme="minorHAnsi"/>
          <w:iCs/>
          <w:sz w:val="20"/>
          <w:szCs w:val="20"/>
        </w:rPr>
        <w:t>ilance příjmů a výdajů státního rozpočtu v druhovém členění rozpočtové skladby za kapitolu 313</w:t>
      </w:r>
      <w:r w:rsidR="00C06043">
        <w:rPr>
          <w:rFonts w:cstheme="minorHAnsi"/>
          <w:iCs/>
          <w:sz w:val="20"/>
          <w:szCs w:val="20"/>
        </w:rPr>
        <w:t xml:space="preserve"> MPSV</w:t>
      </w:r>
      <w:r w:rsidR="00367E0D" w:rsidRPr="00AB7AAA">
        <w:rPr>
          <w:rFonts w:cstheme="minorHAnsi"/>
          <w:iCs/>
          <w:sz w:val="20"/>
          <w:szCs w:val="20"/>
        </w:rPr>
        <w:t>.</w:t>
      </w:r>
    </w:p>
    <w:p w14:paraId="558DDDD9" w14:textId="2A8FBA12" w:rsidR="00A363D5" w:rsidRPr="00ED7C30" w:rsidRDefault="00A363D5" w:rsidP="00443EB2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b/>
          <w:bCs/>
          <w:sz w:val="24"/>
          <w:szCs w:val="24"/>
        </w:rPr>
        <w:t>MPSV v průvodní zprávě závěrečného účtu kapitoly 313</w:t>
      </w:r>
      <w:r w:rsidR="00410AEE">
        <w:rPr>
          <w:rFonts w:cstheme="minorHAnsi"/>
          <w:b/>
          <w:bCs/>
          <w:sz w:val="24"/>
          <w:szCs w:val="24"/>
        </w:rPr>
        <w:t xml:space="preserve"> MPSV</w:t>
      </w:r>
      <w:r w:rsidRPr="00ED7C30">
        <w:rPr>
          <w:rFonts w:cstheme="minorHAnsi"/>
          <w:b/>
          <w:bCs/>
          <w:sz w:val="24"/>
          <w:szCs w:val="24"/>
        </w:rPr>
        <w:t xml:space="preserve"> za rok 2016</w:t>
      </w:r>
      <w:r w:rsidRPr="00ED7C30">
        <w:rPr>
          <w:rFonts w:cstheme="minorHAnsi"/>
          <w:sz w:val="24"/>
          <w:szCs w:val="24"/>
        </w:rPr>
        <w:t xml:space="preserve"> </w:t>
      </w:r>
      <w:r w:rsidRPr="00ED7C30">
        <w:rPr>
          <w:rFonts w:cstheme="minorHAnsi"/>
          <w:b/>
          <w:bCs/>
          <w:sz w:val="24"/>
          <w:szCs w:val="24"/>
        </w:rPr>
        <w:t xml:space="preserve">uvedlo nesprávný údaj ukazatele </w:t>
      </w:r>
      <w:r w:rsidR="00C06043" w:rsidRPr="00C06043">
        <w:rPr>
          <w:rFonts w:cstheme="minorHAnsi"/>
          <w:b/>
          <w:bCs/>
          <w:sz w:val="24"/>
          <w:szCs w:val="24"/>
        </w:rPr>
        <w:t>„</w:t>
      </w:r>
      <w:r w:rsidR="00C06043" w:rsidRPr="00AB7AAA">
        <w:rPr>
          <w:rFonts w:cstheme="minorHAnsi"/>
          <w:b/>
          <w:bCs/>
          <w:sz w:val="24"/>
          <w:szCs w:val="24"/>
        </w:rPr>
        <w:t>b</w:t>
      </w:r>
      <w:r w:rsidRPr="00C06043">
        <w:rPr>
          <w:rFonts w:cstheme="minorHAnsi"/>
          <w:b/>
          <w:bCs/>
          <w:sz w:val="24"/>
          <w:szCs w:val="24"/>
        </w:rPr>
        <w:t>ěžné výdaje</w:t>
      </w:r>
      <w:r w:rsidR="00C06043" w:rsidRPr="00AB7AAA">
        <w:rPr>
          <w:rFonts w:cstheme="minorHAnsi"/>
          <w:b/>
          <w:bCs/>
          <w:sz w:val="24"/>
          <w:szCs w:val="24"/>
        </w:rPr>
        <w:t>“</w:t>
      </w:r>
      <w:r w:rsidRPr="00ED7C30">
        <w:rPr>
          <w:rFonts w:cstheme="minorHAnsi"/>
          <w:b/>
          <w:bCs/>
          <w:sz w:val="24"/>
          <w:szCs w:val="24"/>
        </w:rPr>
        <w:t>.</w:t>
      </w:r>
    </w:p>
    <w:p w14:paraId="3CD037EE" w14:textId="77777777" w:rsidR="00C17679" w:rsidRPr="00ED7C30" w:rsidRDefault="00C17679" w:rsidP="00DC276F">
      <w:pPr>
        <w:spacing w:after="0"/>
        <w:rPr>
          <w:rFonts w:cstheme="minorHAnsi"/>
          <w:sz w:val="24"/>
          <w:szCs w:val="24"/>
        </w:rPr>
      </w:pPr>
    </w:p>
    <w:p w14:paraId="6334D3E7" w14:textId="77777777" w:rsidR="00C17679" w:rsidRPr="00ED7C30" w:rsidRDefault="00C17679" w:rsidP="00C17679">
      <w:pPr>
        <w:pStyle w:val="Nadpis2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ED7C30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Kontrola opatření přijatých k nápravě nedostatků zjištěných při kontrolní akci č. 12/28</w:t>
      </w:r>
    </w:p>
    <w:p w14:paraId="7CB22E6A" w14:textId="77777777" w:rsidR="00C17679" w:rsidRPr="00ED7C30" w:rsidRDefault="00C17679" w:rsidP="00C1767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AAB8F1E" w14:textId="66E215FC" w:rsidR="00C17679" w:rsidRPr="00ED7C30" w:rsidRDefault="00C17679" w:rsidP="00C1767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D7C30">
        <w:rPr>
          <w:rFonts w:eastAsia="Times New Roman" w:cstheme="minorHAnsi"/>
          <w:sz w:val="24"/>
          <w:szCs w:val="24"/>
        </w:rPr>
        <w:t xml:space="preserve">V návaznosti na zjištění z kontrolní akce NKÚ č. 12/28 byla provedena kontrola opatření přijatých MPSV k odstranění zjištěných nedostatků. Některé zjištěné nedostatky MPSV odstranilo a některé odstranilo pouze částečně. V některých případech nedostatky i nadále přetrvávají, například v oblasti pozdního zařazení majetku do užívání, nesprávného účtování o stravenkách, neúčtování o podmíněných závazcích z uzavřených smluv, sestavení výkazu </w:t>
      </w:r>
      <w:r w:rsidR="00410AEE">
        <w:rPr>
          <w:rFonts w:eastAsia="Times New Roman" w:cstheme="minorHAnsi"/>
          <w:i/>
          <w:sz w:val="24"/>
          <w:szCs w:val="24"/>
        </w:rPr>
        <w:t>p</w:t>
      </w:r>
      <w:r w:rsidRPr="00AB7AAA">
        <w:rPr>
          <w:rFonts w:eastAsia="Times New Roman" w:cstheme="minorHAnsi"/>
          <w:i/>
          <w:sz w:val="24"/>
          <w:szCs w:val="24"/>
        </w:rPr>
        <w:t>řehled o peněžních tocích</w:t>
      </w:r>
      <w:r w:rsidRPr="00ED7C30">
        <w:rPr>
          <w:rFonts w:eastAsia="Times New Roman" w:cstheme="minorHAnsi"/>
          <w:sz w:val="24"/>
          <w:szCs w:val="24"/>
        </w:rPr>
        <w:t>, v oblasti inventarizace a postupu řešení inventarizačních rozdílů. V případě některých nedostatků byl vytvořen vnitřní předpis, ale k nápravě v oblasti účtování nedošlo.</w:t>
      </w:r>
    </w:p>
    <w:p w14:paraId="3ACEE4C0" w14:textId="4941ED22" w:rsidR="00F36E7F" w:rsidRPr="00ED7C30" w:rsidRDefault="00F36E7F">
      <w:pPr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br w:type="page"/>
      </w:r>
    </w:p>
    <w:p w14:paraId="2E2A6E6C" w14:textId="5E5CB047" w:rsidR="00F36E7F" w:rsidRPr="00ED7C30" w:rsidRDefault="00C06043" w:rsidP="00F36E7F">
      <w:pPr>
        <w:spacing w:before="40"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Seznam zkratek</w:t>
      </w:r>
    </w:p>
    <w:p w14:paraId="2CDAE274" w14:textId="1E871684" w:rsidR="00F36E7F" w:rsidRPr="00ED7C30" w:rsidRDefault="00F36E7F" w:rsidP="001D3CDC">
      <w:pPr>
        <w:ind w:left="2268" w:hanging="2268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ČÚS</w:t>
      </w:r>
      <w:r w:rsidRPr="00ED7C30">
        <w:rPr>
          <w:rFonts w:cstheme="minorHAnsi"/>
          <w:sz w:val="24"/>
          <w:szCs w:val="24"/>
        </w:rPr>
        <w:tab/>
        <w:t>české účetní standardy pro některé vybrané účetní jednotky</w:t>
      </w:r>
    </w:p>
    <w:p w14:paraId="60A0DC26" w14:textId="2199FFBF" w:rsidR="005B37E3" w:rsidRPr="00ED7C30" w:rsidRDefault="005B37E3" w:rsidP="001D3CDC">
      <w:pPr>
        <w:ind w:left="2268" w:hanging="2268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 xml:space="preserve">EON. </w:t>
      </w:r>
      <w:proofErr w:type="gramStart"/>
      <w:r w:rsidRPr="00ED7C30">
        <w:rPr>
          <w:rFonts w:cstheme="minorHAnsi"/>
          <w:sz w:val="24"/>
          <w:szCs w:val="24"/>
        </w:rPr>
        <w:t>SE</w:t>
      </w:r>
      <w:r w:rsidRPr="00ED7C30">
        <w:rPr>
          <w:rFonts w:cstheme="minorHAnsi"/>
          <w:sz w:val="24"/>
          <w:szCs w:val="24"/>
        </w:rPr>
        <w:tab/>
        <w:t>E.ON</w:t>
      </w:r>
      <w:proofErr w:type="gramEnd"/>
      <w:r w:rsidRPr="00ED7C30">
        <w:rPr>
          <w:rFonts w:cstheme="minorHAnsi"/>
          <w:sz w:val="24"/>
          <w:szCs w:val="24"/>
        </w:rPr>
        <w:t xml:space="preserve"> </w:t>
      </w:r>
      <w:proofErr w:type="spellStart"/>
      <w:r w:rsidRPr="00ED7C30">
        <w:rPr>
          <w:rFonts w:cstheme="minorHAnsi"/>
          <w:sz w:val="24"/>
          <w:szCs w:val="24"/>
        </w:rPr>
        <w:t>Societas</w:t>
      </w:r>
      <w:proofErr w:type="spellEnd"/>
      <w:r w:rsidRPr="00ED7C30">
        <w:rPr>
          <w:rFonts w:cstheme="minorHAnsi"/>
          <w:sz w:val="24"/>
          <w:szCs w:val="24"/>
        </w:rPr>
        <w:t xml:space="preserve"> </w:t>
      </w:r>
      <w:proofErr w:type="spellStart"/>
      <w:r w:rsidRPr="00ED7C30">
        <w:rPr>
          <w:rFonts w:cstheme="minorHAnsi"/>
          <w:sz w:val="24"/>
          <w:szCs w:val="24"/>
        </w:rPr>
        <w:t>Europaea</w:t>
      </w:r>
      <w:proofErr w:type="spellEnd"/>
    </w:p>
    <w:p w14:paraId="564E1679" w14:textId="22728FCD" w:rsidR="005B37E3" w:rsidRPr="00ED7C30" w:rsidRDefault="005B37E3" w:rsidP="001D3CDC">
      <w:pPr>
        <w:ind w:left="2268" w:hanging="2268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EKIS</w:t>
      </w:r>
      <w:r w:rsidRPr="00ED7C30">
        <w:rPr>
          <w:rFonts w:cstheme="minorHAnsi"/>
          <w:sz w:val="24"/>
          <w:szCs w:val="24"/>
        </w:rPr>
        <w:tab/>
        <w:t>ekonomický informační systém</w:t>
      </w:r>
    </w:p>
    <w:p w14:paraId="3208F0FD" w14:textId="718D55E5" w:rsidR="00E841EE" w:rsidRDefault="00E841EE" w:rsidP="001D3CDC">
      <w:pPr>
        <w:ind w:left="2268" w:hanging="22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</w:t>
      </w:r>
      <w:r>
        <w:rPr>
          <w:rFonts w:cstheme="minorHAnsi"/>
          <w:sz w:val="24"/>
          <w:szCs w:val="24"/>
        </w:rPr>
        <w:tab/>
        <w:t>kontrolní akce</w:t>
      </w:r>
    </w:p>
    <w:p w14:paraId="642E3EFA" w14:textId="24E384C9" w:rsidR="00F36E7F" w:rsidRPr="00AB7AAA" w:rsidRDefault="00E841EE" w:rsidP="001D3CDC">
      <w:pPr>
        <w:ind w:left="2268" w:hanging="2268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F36E7F" w:rsidRPr="00ED7C30">
        <w:rPr>
          <w:rFonts w:cstheme="minorHAnsi"/>
          <w:sz w:val="24"/>
          <w:szCs w:val="24"/>
        </w:rPr>
        <w:t xml:space="preserve">apitola 313 MPSV </w:t>
      </w:r>
      <w:r w:rsidR="00F36E7F" w:rsidRPr="00ED7C30">
        <w:rPr>
          <w:rFonts w:cstheme="minorHAnsi"/>
          <w:sz w:val="24"/>
          <w:szCs w:val="24"/>
        </w:rPr>
        <w:tab/>
        <w:t>rozpočtová kapitola 313</w:t>
      </w:r>
      <w:r>
        <w:rPr>
          <w:rFonts w:cstheme="minorHAnsi"/>
          <w:sz w:val="24"/>
          <w:szCs w:val="24"/>
        </w:rPr>
        <w:t xml:space="preserve"> –</w:t>
      </w:r>
      <w:r w:rsidR="00F36E7F" w:rsidRPr="00ED7C30">
        <w:rPr>
          <w:rFonts w:cstheme="minorHAnsi"/>
          <w:sz w:val="24"/>
          <w:szCs w:val="24"/>
        </w:rPr>
        <w:t xml:space="preserve"> </w:t>
      </w:r>
      <w:r w:rsidR="00F36E7F" w:rsidRPr="00AB7AAA">
        <w:rPr>
          <w:rFonts w:cstheme="minorHAnsi"/>
          <w:i/>
          <w:sz w:val="24"/>
          <w:szCs w:val="24"/>
        </w:rPr>
        <w:t>Ministerstvo práce a sociálních věcí</w:t>
      </w:r>
    </w:p>
    <w:p w14:paraId="5D32D78F" w14:textId="789E6BC2" w:rsidR="00F36E7F" w:rsidRPr="00ED7C30" w:rsidRDefault="00F36E7F" w:rsidP="001D3CDC">
      <w:pPr>
        <w:ind w:left="2268" w:hanging="2268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MPSV</w:t>
      </w:r>
      <w:r w:rsidRPr="00ED7C30">
        <w:rPr>
          <w:rFonts w:cstheme="minorHAnsi"/>
          <w:sz w:val="24"/>
          <w:szCs w:val="24"/>
        </w:rPr>
        <w:tab/>
        <w:t>Ministerstvo práce a sociálních věcí</w:t>
      </w:r>
    </w:p>
    <w:p w14:paraId="02846185" w14:textId="3B921E86" w:rsidR="00F36E7F" w:rsidRPr="00ED7C30" w:rsidRDefault="00F36E7F" w:rsidP="001D3CDC">
      <w:pPr>
        <w:ind w:left="2268" w:hanging="2268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NKÚ</w:t>
      </w:r>
      <w:r w:rsidRPr="00ED7C30">
        <w:rPr>
          <w:rFonts w:cstheme="minorHAnsi"/>
          <w:sz w:val="24"/>
          <w:szCs w:val="24"/>
        </w:rPr>
        <w:tab/>
        <w:t>Nejvyšší kontrolní úřad</w:t>
      </w:r>
    </w:p>
    <w:p w14:paraId="2B9DD341" w14:textId="4769E990" w:rsidR="005516D4" w:rsidRPr="00ED7C30" w:rsidRDefault="005516D4" w:rsidP="001D3CDC">
      <w:pPr>
        <w:ind w:left="2268" w:hanging="2268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OP LZZ</w:t>
      </w:r>
      <w:r w:rsidR="009E0CBA" w:rsidRPr="00ED7C30">
        <w:rPr>
          <w:rFonts w:cstheme="minorHAnsi"/>
          <w:sz w:val="24"/>
          <w:szCs w:val="24"/>
        </w:rPr>
        <w:tab/>
      </w:r>
      <w:r w:rsidR="00E841EE">
        <w:rPr>
          <w:rFonts w:cstheme="minorHAnsi"/>
          <w:sz w:val="24"/>
          <w:szCs w:val="24"/>
        </w:rPr>
        <w:t>o</w:t>
      </w:r>
      <w:r w:rsidR="00850B22" w:rsidRPr="00ED7C30">
        <w:rPr>
          <w:rFonts w:cstheme="minorHAnsi"/>
          <w:sz w:val="24"/>
          <w:szCs w:val="24"/>
        </w:rPr>
        <w:t xml:space="preserve">perační program </w:t>
      </w:r>
      <w:r w:rsidR="00850B22" w:rsidRPr="00AB7AAA">
        <w:rPr>
          <w:rFonts w:cstheme="minorHAnsi"/>
          <w:i/>
          <w:sz w:val="24"/>
          <w:szCs w:val="24"/>
        </w:rPr>
        <w:t>Lidské zdroje a zaměstnanost</w:t>
      </w:r>
    </w:p>
    <w:p w14:paraId="60BE3756" w14:textId="4BD0FBC4" w:rsidR="00F36E7F" w:rsidRPr="00ED7C30" w:rsidRDefault="00F36E7F" w:rsidP="001D3CDC">
      <w:pPr>
        <w:ind w:left="2268" w:hanging="2268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OSS</w:t>
      </w:r>
      <w:r w:rsidRPr="00ED7C30">
        <w:rPr>
          <w:rFonts w:cstheme="minorHAnsi"/>
          <w:sz w:val="24"/>
          <w:szCs w:val="24"/>
        </w:rPr>
        <w:tab/>
        <w:t>organizační složka státu</w:t>
      </w:r>
    </w:p>
    <w:p w14:paraId="07B827BD" w14:textId="45320B49" w:rsidR="004C59E6" w:rsidRPr="00ED7C30" w:rsidRDefault="004C59E6" w:rsidP="001D3CDC">
      <w:pPr>
        <w:ind w:left="2268" w:hanging="2268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SW</w:t>
      </w:r>
      <w:r w:rsidRPr="00ED7C30">
        <w:rPr>
          <w:rFonts w:cstheme="minorHAnsi"/>
          <w:sz w:val="24"/>
          <w:szCs w:val="24"/>
        </w:rPr>
        <w:tab/>
      </w:r>
      <w:r w:rsidR="00E841EE">
        <w:rPr>
          <w:rFonts w:cstheme="minorHAnsi"/>
          <w:sz w:val="24"/>
          <w:szCs w:val="24"/>
        </w:rPr>
        <w:t>s</w:t>
      </w:r>
      <w:r w:rsidRPr="00ED7C30">
        <w:rPr>
          <w:rFonts w:cstheme="minorHAnsi"/>
          <w:sz w:val="24"/>
          <w:szCs w:val="24"/>
        </w:rPr>
        <w:t>oftware</w:t>
      </w:r>
    </w:p>
    <w:p w14:paraId="7C5DBD19" w14:textId="7F54A756" w:rsidR="00F36E7F" w:rsidRPr="00ED7C30" w:rsidRDefault="00F36E7F" w:rsidP="001D3CDC">
      <w:pPr>
        <w:ind w:left="2268" w:hanging="2268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>ÚZ</w:t>
      </w:r>
      <w:r w:rsidRPr="00ED7C30">
        <w:rPr>
          <w:rFonts w:cstheme="minorHAnsi"/>
          <w:sz w:val="24"/>
          <w:szCs w:val="24"/>
        </w:rPr>
        <w:tab/>
        <w:t xml:space="preserve">účetní závěrka MPSV sestavená k 31. </w:t>
      </w:r>
      <w:r w:rsidR="00E418C1" w:rsidRPr="00ED7C30">
        <w:rPr>
          <w:rFonts w:cstheme="minorHAnsi"/>
          <w:sz w:val="24"/>
          <w:szCs w:val="24"/>
        </w:rPr>
        <w:t xml:space="preserve">12. </w:t>
      </w:r>
      <w:r w:rsidRPr="00ED7C30">
        <w:rPr>
          <w:rFonts w:cstheme="minorHAnsi"/>
          <w:sz w:val="24"/>
          <w:szCs w:val="24"/>
        </w:rPr>
        <w:t>2016</w:t>
      </w:r>
    </w:p>
    <w:p w14:paraId="0E1D1978" w14:textId="5C5846BD" w:rsidR="00F36E7F" w:rsidRPr="00ED7C30" w:rsidRDefault="00F36E7F" w:rsidP="001D3CDC">
      <w:pPr>
        <w:ind w:left="2268" w:hanging="2268"/>
        <w:jc w:val="both"/>
        <w:rPr>
          <w:rFonts w:cstheme="minorHAnsi"/>
          <w:sz w:val="24"/>
          <w:szCs w:val="24"/>
        </w:rPr>
      </w:pPr>
      <w:r w:rsidRPr="00ED7C30">
        <w:rPr>
          <w:rFonts w:cstheme="minorHAnsi"/>
          <w:sz w:val="24"/>
          <w:szCs w:val="24"/>
        </w:rPr>
        <w:t xml:space="preserve">ZÚ </w:t>
      </w:r>
      <w:r w:rsidRPr="00ED7C30">
        <w:rPr>
          <w:rFonts w:cstheme="minorHAnsi"/>
          <w:sz w:val="24"/>
          <w:szCs w:val="24"/>
        </w:rPr>
        <w:tab/>
        <w:t>závěrečný účet</w:t>
      </w:r>
    </w:p>
    <w:sectPr w:rsidR="00F36E7F" w:rsidRPr="00ED7C30" w:rsidSect="000807FA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8A6D0" w14:textId="77777777" w:rsidR="00AB7AAA" w:rsidRDefault="00AB7AAA" w:rsidP="00FA08D9">
      <w:pPr>
        <w:spacing w:after="0" w:line="240" w:lineRule="auto"/>
      </w:pPr>
      <w:r>
        <w:separator/>
      </w:r>
    </w:p>
  </w:endnote>
  <w:endnote w:type="continuationSeparator" w:id="0">
    <w:p w14:paraId="0A0F09A9" w14:textId="77777777" w:rsidR="00AB7AAA" w:rsidRDefault="00AB7AAA" w:rsidP="00FA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493609"/>
      <w:docPartObj>
        <w:docPartGallery w:val="Page Numbers (Bottom of Page)"/>
        <w:docPartUnique/>
      </w:docPartObj>
    </w:sdtPr>
    <w:sdtEndPr/>
    <w:sdtContent>
      <w:p w14:paraId="27424F84" w14:textId="3CFA8EAD" w:rsidR="00AB7AAA" w:rsidRDefault="00AB7A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C94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9F47E" w14:textId="77777777" w:rsidR="00AB7AAA" w:rsidRDefault="00AB7AAA" w:rsidP="00FA08D9">
      <w:pPr>
        <w:spacing w:after="0" w:line="240" w:lineRule="auto"/>
      </w:pPr>
      <w:r>
        <w:separator/>
      </w:r>
    </w:p>
  </w:footnote>
  <w:footnote w:type="continuationSeparator" w:id="0">
    <w:p w14:paraId="4896FFDD" w14:textId="77777777" w:rsidR="00AB7AAA" w:rsidRDefault="00AB7AAA" w:rsidP="00FA08D9">
      <w:pPr>
        <w:spacing w:after="0" w:line="240" w:lineRule="auto"/>
      </w:pPr>
      <w:r>
        <w:continuationSeparator/>
      </w:r>
    </w:p>
  </w:footnote>
  <w:footnote w:id="1">
    <w:p w14:paraId="471D2F46" w14:textId="2BE7BE6C" w:rsidR="00AB7AAA" w:rsidRPr="00804BB8" w:rsidRDefault="00AB7AAA" w:rsidP="00606569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804BB8">
        <w:rPr>
          <w:rStyle w:val="Znakapoznpodarou"/>
          <w:rFonts w:ascii="Calibri" w:hAnsi="Calibri" w:cs="Calibri"/>
        </w:rPr>
        <w:footnoteRef/>
      </w:r>
      <w:r w:rsidRPr="00804BB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Ustanovení § </w:t>
      </w:r>
      <w:r w:rsidRPr="00804BB8">
        <w:rPr>
          <w:rFonts w:ascii="Calibri" w:hAnsi="Calibri" w:cs="Calibri"/>
        </w:rPr>
        <w:t>3 písm. o) zákona č. 218/2000 Sb., o rozpočtových pravidlech a o změně některých souvisejících zákonů (rozpočtová pravidla).</w:t>
      </w:r>
    </w:p>
  </w:footnote>
  <w:footnote w:id="2">
    <w:p w14:paraId="46427F3E" w14:textId="11F62E13" w:rsidR="00AB7AAA" w:rsidRPr="005C4C48" w:rsidRDefault="00AB7AAA" w:rsidP="00606569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C4C48">
        <w:rPr>
          <w:rStyle w:val="Znakapoznpodarou"/>
          <w:rFonts w:asciiTheme="minorHAnsi" w:hAnsiTheme="minorHAnsi" w:cstheme="minorHAnsi"/>
        </w:rPr>
        <w:footnoteRef/>
      </w:r>
      <w:r w:rsidRPr="005C4C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Např.</w:t>
      </w:r>
      <w:r w:rsidRPr="005C4C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</w:t>
      </w:r>
      <w:r w:rsidRPr="005C4C48">
        <w:rPr>
          <w:rFonts w:asciiTheme="minorHAnsi" w:hAnsiTheme="minorHAnsi" w:cstheme="minorHAnsi"/>
        </w:rPr>
        <w:t>ýroční zprávy za roky 2013</w:t>
      </w:r>
      <w:r>
        <w:rPr>
          <w:rFonts w:asciiTheme="minorHAnsi" w:hAnsiTheme="minorHAnsi" w:cstheme="minorHAnsi"/>
        </w:rPr>
        <w:t xml:space="preserve"> až </w:t>
      </w:r>
      <w:r w:rsidRPr="005C4C48">
        <w:rPr>
          <w:rFonts w:asciiTheme="minorHAnsi" w:hAnsiTheme="minorHAnsi" w:cstheme="minorHAnsi"/>
        </w:rPr>
        <w:t>2016</w:t>
      </w:r>
      <w:r>
        <w:rPr>
          <w:rFonts w:asciiTheme="minorHAnsi" w:hAnsiTheme="minorHAnsi" w:cstheme="minorHAnsi"/>
        </w:rPr>
        <w:t>, KA č. 13/39 a KA č. 16/03</w:t>
      </w:r>
      <w:r w:rsidRPr="005C4C48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>t</w:t>
      </w:r>
      <w:r w:rsidRPr="005C4C48">
        <w:rPr>
          <w:rFonts w:asciiTheme="minorHAnsi" w:hAnsiTheme="minorHAnsi" w:cstheme="minorHAnsi"/>
        </w:rPr>
        <w:t>d.</w:t>
      </w:r>
    </w:p>
  </w:footnote>
  <w:footnote w:id="3">
    <w:p w14:paraId="001840FF" w14:textId="43ED9FE6" w:rsidR="00AB7AAA" w:rsidRPr="00FD0CCF" w:rsidRDefault="00AB7AAA" w:rsidP="00606569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FD0CCF">
        <w:rPr>
          <w:rStyle w:val="Znakapoznpodarou"/>
          <w:rFonts w:asciiTheme="minorHAnsi" w:hAnsiTheme="minorHAnsi" w:cstheme="minorHAnsi"/>
        </w:rPr>
        <w:footnoteRef/>
      </w:r>
      <w:r w:rsidRPr="00FD0CC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Příloha č. 1 k usnesení vlády ČR č. 561 ze dne 23. května 2007.</w:t>
      </w:r>
    </w:p>
  </w:footnote>
  <w:footnote w:id="4">
    <w:p w14:paraId="5DCAB735" w14:textId="174D30BB" w:rsidR="00AB7AAA" w:rsidRPr="006A25C2" w:rsidRDefault="00AB7AAA" w:rsidP="00606569">
      <w:pPr>
        <w:pStyle w:val="Textpoznpodarou"/>
        <w:ind w:left="284" w:hanging="284"/>
        <w:jc w:val="both"/>
        <w:rPr>
          <w:rFonts w:ascii="Calibri" w:hAnsi="Calibri" w:cstheme="minorHAnsi"/>
        </w:rPr>
      </w:pPr>
      <w:r w:rsidRPr="006A25C2">
        <w:rPr>
          <w:rStyle w:val="Znakapoznpodarou"/>
          <w:rFonts w:asciiTheme="minorHAnsi" w:hAnsiTheme="minorHAnsi" w:cstheme="minorHAnsi"/>
        </w:rPr>
        <w:footnoteRef/>
      </w:r>
      <w:r w:rsidRPr="006A25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A25C2">
        <w:rPr>
          <w:rFonts w:ascii="Calibri" w:hAnsi="Calibri" w:cstheme="minorHAnsi"/>
        </w:rPr>
        <w:t xml:space="preserve">Povinnost </w:t>
      </w:r>
      <w:r>
        <w:rPr>
          <w:rFonts w:ascii="Calibri" w:hAnsi="Calibri" w:cstheme="minorHAnsi"/>
        </w:rPr>
        <w:t>sestavit</w:t>
      </w:r>
      <w:r w:rsidRPr="006A25C2">
        <w:rPr>
          <w:rFonts w:ascii="Calibri" w:hAnsi="Calibri" w:cstheme="minorHAnsi"/>
        </w:rPr>
        <w:t xml:space="preserve"> účetní výkaz</w:t>
      </w:r>
      <w:r>
        <w:rPr>
          <w:rFonts w:ascii="Calibri" w:hAnsi="Calibri" w:cstheme="minorHAnsi"/>
        </w:rPr>
        <w:t>y</w:t>
      </w:r>
      <w:r w:rsidRPr="006A25C2">
        <w:rPr>
          <w:rFonts w:ascii="Calibri" w:hAnsi="Calibri" w:cstheme="minorHAnsi"/>
        </w:rPr>
        <w:t xml:space="preserve"> za Českou republiku je stanovena</w:t>
      </w:r>
      <w:r>
        <w:rPr>
          <w:rFonts w:ascii="Calibri" w:hAnsi="Calibri" w:cstheme="minorHAnsi"/>
        </w:rPr>
        <w:t xml:space="preserve"> v §23b zákona o účetnictví. Podmínky jejich sestavení upravuje</w:t>
      </w:r>
      <w:r w:rsidRPr="006A25C2">
        <w:rPr>
          <w:rFonts w:ascii="Calibri" w:hAnsi="Calibri" w:cstheme="minorHAnsi"/>
        </w:rPr>
        <w:t xml:space="preserve"> vyhlášk</w:t>
      </w:r>
      <w:r>
        <w:rPr>
          <w:rFonts w:ascii="Calibri" w:hAnsi="Calibri" w:cstheme="minorHAnsi"/>
        </w:rPr>
        <w:t>a</w:t>
      </w:r>
      <w:r w:rsidRPr="006A25C2">
        <w:rPr>
          <w:rFonts w:ascii="Calibri" w:hAnsi="Calibri" w:cstheme="minorHAnsi"/>
        </w:rPr>
        <w:t xml:space="preserve"> č. 312/2014 Sb., o podmínkách sestavení účetních výkazů za Českou republiku (konsolidační vyhláška státu). První výkazy byly </w:t>
      </w:r>
      <w:r>
        <w:rPr>
          <w:rFonts w:ascii="Calibri" w:hAnsi="Calibri" w:cstheme="minorHAnsi"/>
        </w:rPr>
        <w:t xml:space="preserve">takto </w:t>
      </w:r>
      <w:r w:rsidRPr="006A25C2">
        <w:rPr>
          <w:rFonts w:ascii="Calibri" w:hAnsi="Calibri" w:cstheme="minorHAnsi"/>
        </w:rPr>
        <w:t>sestaveny za rok 2015.</w:t>
      </w:r>
    </w:p>
  </w:footnote>
  <w:footnote w:id="5">
    <w:p w14:paraId="44E3638A" w14:textId="39DAADA2" w:rsidR="00AB7AAA" w:rsidRPr="006A25C2" w:rsidRDefault="00AB7AAA" w:rsidP="00606569">
      <w:pPr>
        <w:pStyle w:val="Textpoznpodarou"/>
        <w:ind w:left="284" w:hanging="284"/>
        <w:jc w:val="both"/>
        <w:rPr>
          <w:rFonts w:ascii="Calibri" w:hAnsi="Calibri" w:cstheme="minorHAnsi"/>
        </w:rPr>
      </w:pPr>
      <w:r w:rsidRPr="006A25C2">
        <w:rPr>
          <w:rStyle w:val="Znakapoznpodarou"/>
          <w:rFonts w:ascii="Calibri" w:hAnsi="Calibri" w:cstheme="minorHAnsi"/>
        </w:rPr>
        <w:footnoteRef/>
      </w:r>
      <w:r w:rsidRPr="006A25C2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ab/>
      </w:r>
      <w:r w:rsidRPr="006A25C2">
        <w:rPr>
          <w:rFonts w:ascii="Calibri" w:hAnsi="Calibri" w:cstheme="minorHAnsi"/>
        </w:rPr>
        <w:t>Viz ustanovení § 20 vyhlášky č. 312/2014 Sb.</w:t>
      </w:r>
    </w:p>
  </w:footnote>
  <w:footnote w:id="6">
    <w:p w14:paraId="626E8590" w14:textId="1CCA2E6C" w:rsidR="00AB7AAA" w:rsidRPr="006A25C2" w:rsidRDefault="00AB7AAA" w:rsidP="00606569">
      <w:pPr>
        <w:spacing w:after="0"/>
        <w:ind w:left="284" w:hanging="284"/>
        <w:jc w:val="both"/>
        <w:rPr>
          <w:rFonts w:ascii="Calibri" w:hAnsi="Calibri"/>
          <w:sz w:val="20"/>
          <w:szCs w:val="20"/>
        </w:rPr>
      </w:pPr>
      <w:r w:rsidRPr="006A25C2">
        <w:rPr>
          <w:rStyle w:val="Znakapoznpodarou"/>
          <w:rFonts w:ascii="Calibri" w:hAnsi="Calibri"/>
          <w:sz w:val="20"/>
          <w:szCs w:val="20"/>
        </w:rPr>
        <w:footnoteRef/>
      </w:r>
      <w:r w:rsidRPr="006A25C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 w:rsidRPr="006A25C2">
        <w:rPr>
          <w:rFonts w:ascii="Calibri" w:hAnsi="Calibri"/>
          <w:sz w:val="20"/>
          <w:szCs w:val="20"/>
        </w:rPr>
        <w:t>Kontrolní závěr z kontrolní akce č. 12/28</w:t>
      </w:r>
      <w:r>
        <w:rPr>
          <w:rFonts w:ascii="Calibri" w:hAnsi="Calibri"/>
          <w:sz w:val="20"/>
          <w:szCs w:val="20"/>
        </w:rPr>
        <w:t xml:space="preserve"> byl</w:t>
      </w:r>
      <w:r w:rsidRPr="006A25C2">
        <w:rPr>
          <w:rFonts w:ascii="Calibri" w:hAnsi="Calibri"/>
          <w:sz w:val="20"/>
          <w:szCs w:val="20"/>
        </w:rPr>
        <w:t xml:space="preserve"> zveřejněn v částce 3/2013 </w:t>
      </w:r>
      <w:r w:rsidRPr="006A25C2">
        <w:rPr>
          <w:rFonts w:ascii="Calibri" w:hAnsi="Calibri"/>
          <w:i/>
          <w:sz w:val="20"/>
          <w:szCs w:val="20"/>
        </w:rPr>
        <w:t xml:space="preserve">Věstníku NKÚ. </w:t>
      </w:r>
    </w:p>
  </w:footnote>
  <w:footnote w:id="7">
    <w:p w14:paraId="4506DCC0" w14:textId="70D4B98B" w:rsidR="00AB7AAA" w:rsidRPr="006A25C2" w:rsidRDefault="00AB7AAA" w:rsidP="00606569">
      <w:pPr>
        <w:spacing w:after="0"/>
        <w:ind w:left="284" w:hanging="284"/>
        <w:rPr>
          <w:rFonts w:ascii="Calibri" w:hAnsi="Calibri"/>
          <w:sz w:val="20"/>
          <w:szCs w:val="20"/>
        </w:rPr>
      </w:pPr>
      <w:r w:rsidRPr="006A25C2">
        <w:rPr>
          <w:rStyle w:val="Znakapoznpodarou"/>
          <w:rFonts w:ascii="Calibri" w:hAnsi="Calibri"/>
          <w:sz w:val="20"/>
          <w:szCs w:val="20"/>
        </w:rPr>
        <w:footnoteRef/>
      </w:r>
      <w:r w:rsidRPr="006A25C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 w:rsidRPr="006A25C2">
        <w:rPr>
          <w:rFonts w:ascii="Calibri" w:hAnsi="Calibri"/>
          <w:sz w:val="20"/>
          <w:szCs w:val="20"/>
        </w:rPr>
        <w:t>Kontrolní závěr z kontrolní akce č. 15/34</w:t>
      </w:r>
      <w:r>
        <w:rPr>
          <w:rFonts w:ascii="Calibri" w:hAnsi="Calibri"/>
          <w:sz w:val="20"/>
          <w:szCs w:val="20"/>
        </w:rPr>
        <w:t xml:space="preserve"> byl</w:t>
      </w:r>
      <w:r w:rsidRPr="006A25C2">
        <w:rPr>
          <w:rFonts w:ascii="Calibri" w:hAnsi="Calibri"/>
          <w:sz w:val="20"/>
          <w:szCs w:val="20"/>
        </w:rPr>
        <w:t xml:space="preserve"> zveřejněn v částce 4/2016 </w:t>
      </w:r>
      <w:r w:rsidRPr="006A25C2">
        <w:rPr>
          <w:rFonts w:ascii="Calibri" w:hAnsi="Calibri"/>
          <w:i/>
          <w:sz w:val="20"/>
          <w:szCs w:val="20"/>
        </w:rPr>
        <w:t>Věstníku NKÚ</w:t>
      </w:r>
      <w:r w:rsidRPr="006A25C2">
        <w:rPr>
          <w:rFonts w:ascii="Calibri" w:hAnsi="Calibri"/>
          <w:sz w:val="20"/>
          <w:szCs w:val="20"/>
        </w:rPr>
        <w:t>.</w:t>
      </w:r>
    </w:p>
  </w:footnote>
  <w:footnote w:id="8">
    <w:p w14:paraId="334F79C2" w14:textId="41EF0B63" w:rsidR="00AB7AAA" w:rsidRPr="006A25C2" w:rsidRDefault="00AB7AAA" w:rsidP="00606569">
      <w:pPr>
        <w:pStyle w:val="Textpoznpodarou"/>
        <w:ind w:left="284" w:hanging="284"/>
        <w:jc w:val="both"/>
        <w:rPr>
          <w:rFonts w:ascii="Calibri" w:hAnsi="Calibri" w:cstheme="minorHAnsi"/>
        </w:rPr>
      </w:pPr>
      <w:r w:rsidRPr="006A25C2">
        <w:rPr>
          <w:rStyle w:val="Znakapoznpodarou"/>
          <w:rFonts w:ascii="Calibri" w:hAnsi="Calibri"/>
        </w:rPr>
        <w:footnoteRef/>
      </w:r>
      <w:r w:rsidRPr="006A25C2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A25C2">
        <w:rPr>
          <w:rFonts w:ascii="Calibri" w:hAnsi="Calibri" w:cstheme="minorHAnsi"/>
        </w:rPr>
        <w:t>Viz ustanovení § 14 odst. 2 zákona č. 219/2000 Sb.</w:t>
      </w:r>
    </w:p>
  </w:footnote>
  <w:footnote w:id="9">
    <w:p w14:paraId="0AFED04F" w14:textId="7C5B5288" w:rsidR="00AB7AAA" w:rsidRPr="00DD2042" w:rsidRDefault="00AB7AAA" w:rsidP="00606569">
      <w:pPr>
        <w:pStyle w:val="Textpoznpodarou"/>
        <w:ind w:left="284" w:hanging="284"/>
        <w:jc w:val="both"/>
        <w:rPr>
          <w:rFonts w:ascii="Calibri" w:hAnsi="Calibri" w:cstheme="minorHAnsi"/>
        </w:rPr>
      </w:pPr>
      <w:r w:rsidRPr="006A25C2">
        <w:rPr>
          <w:rStyle w:val="Znakapoznpodarou"/>
          <w:rFonts w:ascii="Calibri" w:hAnsi="Calibri" w:cstheme="minorHAnsi"/>
        </w:rPr>
        <w:footnoteRef/>
      </w:r>
      <w:r w:rsidRPr="006A25C2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ab/>
      </w:r>
      <w:r w:rsidRPr="006A25C2">
        <w:rPr>
          <w:rFonts w:ascii="Calibri" w:hAnsi="Calibri" w:cstheme="minorHAnsi"/>
        </w:rPr>
        <w:t xml:space="preserve">V souladu s ustanovením § 21a odst. 5 zákona o účetnictví organizační složky státu zveřejňují účetní závěrku </w:t>
      </w:r>
      <w:r w:rsidRPr="00DD2042">
        <w:rPr>
          <w:rFonts w:ascii="Calibri" w:hAnsi="Calibri" w:cstheme="minorHAnsi"/>
        </w:rPr>
        <w:t>prostřednictvím Ministerstva financí způsobem umožňujícím dálkový přístup.</w:t>
      </w:r>
    </w:p>
  </w:footnote>
  <w:footnote w:id="10">
    <w:p w14:paraId="6C8A2F74" w14:textId="0CB02185" w:rsidR="00AB7AAA" w:rsidRPr="00606569" w:rsidRDefault="00AB7AAA" w:rsidP="00606569">
      <w:pPr>
        <w:pStyle w:val="Textpoznpodarou"/>
        <w:ind w:left="284" w:hanging="284"/>
        <w:jc w:val="both"/>
        <w:rPr>
          <w:rFonts w:asciiTheme="minorHAnsi" w:hAnsiTheme="minorHAnsi" w:cstheme="minorHAnsi"/>
          <w:highlight w:val="cyan"/>
        </w:rPr>
      </w:pPr>
      <w:r w:rsidRPr="00606569">
        <w:rPr>
          <w:rStyle w:val="Znakapoznpodarou"/>
          <w:rFonts w:asciiTheme="minorHAnsi" w:hAnsiTheme="minorHAnsi" w:cstheme="minorHAnsi"/>
        </w:rPr>
        <w:footnoteRef/>
      </w:r>
      <w:r w:rsidRPr="006065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06569">
        <w:rPr>
          <w:rFonts w:asciiTheme="minorHAnsi" w:hAnsiTheme="minorHAnsi" w:cstheme="minorHAnsi"/>
        </w:rPr>
        <w:t xml:space="preserve">Usnesení vlády České republiky ze dne 14. července 2014 č. 585, </w:t>
      </w:r>
      <w:r w:rsidRPr="00AB7AAA">
        <w:rPr>
          <w:rFonts w:asciiTheme="minorHAnsi" w:hAnsiTheme="minorHAnsi" w:cstheme="minorHAnsi"/>
          <w:i/>
        </w:rPr>
        <w:t>k postupu při procesním modelování agend a tvorby standardů agend veřejné správy pro jednotný a finančně měřitelný výkon veřejné správy</w:t>
      </w:r>
      <w:r w:rsidRPr="00606569">
        <w:rPr>
          <w:rFonts w:asciiTheme="minorHAnsi" w:hAnsiTheme="minorHAnsi" w:cstheme="minorHAnsi"/>
        </w:rPr>
        <w:t>.</w:t>
      </w:r>
    </w:p>
  </w:footnote>
  <w:footnote w:id="11">
    <w:p w14:paraId="4246CC4E" w14:textId="6D251720" w:rsidR="00AB7AAA" w:rsidRPr="00606569" w:rsidRDefault="00AB7AAA" w:rsidP="00606569">
      <w:pPr>
        <w:pStyle w:val="Textpoznpodarou"/>
        <w:ind w:left="284" w:hanging="284"/>
        <w:rPr>
          <w:rFonts w:asciiTheme="minorHAnsi" w:hAnsiTheme="minorHAnsi" w:cstheme="minorHAnsi"/>
        </w:rPr>
      </w:pPr>
      <w:r w:rsidRPr="00606569">
        <w:rPr>
          <w:rStyle w:val="Znakapoznpodarou"/>
          <w:rFonts w:asciiTheme="minorHAnsi" w:hAnsiTheme="minorHAnsi" w:cstheme="minorHAnsi"/>
        </w:rPr>
        <w:footnoteRef/>
      </w:r>
      <w:r w:rsidRPr="006065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06569">
        <w:rPr>
          <w:rFonts w:asciiTheme="minorHAnsi" w:hAnsiTheme="minorHAnsi" w:cstheme="minorHAnsi"/>
        </w:rPr>
        <w:t>Související např. s transfery, dlouhodobým majetkem aj.</w:t>
      </w:r>
    </w:p>
  </w:footnote>
  <w:footnote w:id="12">
    <w:p w14:paraId="31189FCF" w14:textId="371137F9" w:rsidR="00AB7AAA" w:rsidRPr="005C4811" w:rsidRDefault="00AB7AAA" w:rsidP="00606569">
      <w:pPr>
        <w:pStyle w:val="Textpoznpodarou"/>
        <w:ind w:left="284" w:hanging="284"/>
        <w:rPr>
          <w:rFonts w:asciiTheme="minorHAnsi" w:hAnsiTheme="minorHAnsi" w:cstheme="minorHAnsi"/>
        </w:rPr>
      </w:pPr>
      <w:r w:rsidRPr="00606569">
        <w:rPr>
          <w:rStyle w:val="Znakapoznpodarou"/>
          <w:rFonts w:asciiTheme="minorHAnsi" w:hAnsiTheme="minorHAnsi" w:cstheme="minorHAnsi"/>
        </w:rPr>
        <w:footnoteRef/>
      </w:r>
      <w:r w:rsidRPr="006065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06569">
        <w:rPr>
          <w:rFonts w:asciiTheme="minorHAnsi" w:hAnsiTheme="minorHAnsi" w:cstheme="minorHAnsi"/>
        </w:rPr>
        <w:t>Tj. ve</w:t>
      </w:r>
      <w:r w:rsidRPr="005C4811">
        <w:rPr>
          <w:rFonts w:asciiTheme="minorHAnsi" w:hAnsiTheme="minorHAnsi" w:cstheme="minorHAnsi"/>
        </w:rPr>
        <w:t xml:space="preserve"> výši 2 % z celkových nákladů vykázaných</w:t>
      </w:r>
      <w:r>
        <w:rPr>
          <w:rFonts w:asciiTheme="minorHAnsi" w:hAnsiTheme="minorHAnsi" w:cstheme="minorHAnsi"/>
        </w:rPr>
        <w:t xml:space="preserve"> v ÚZ</w:t>
      </w:r>
      <w:r w:rsidRPr="005C4811">
        <w:rPr>
          <w:rFonts w:asciiTheme="minorHAnsi" w:hAnsiTheme="minorHAnsi" w:cstheme="minorHAnsi"/>
        </w:rPr>
        <w:t xml:space="preserve"> k 31. </w:t>
      </w:r>
      <w:r>
        <w:rPr>
          <w:rFonts w:asciiTheme="minorHAnsi" w:hAnsiTheme="minorHAnsi" w:cstheme="minorHAnsi"/>
        </w:rPr>
        <w:t>12.</w:t>
      </w:r>
      <w:r w:rsidRPr="005C4811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6</w:t>
      </w:r>
      <w:r w:rsidRPr="005C4811">
        <w:rPr>
          <w:rFonts w:asciiTheme="minorHAnsi" w:hAnsiTheme="minorHAnsi" w:cstheme="minorHAnsi"/>
        </w:rPr>
        <w:t>.</w:t>
      </w:r>
    </w:p>
  </w:footnote>
  <w:footnote w:id="13">
    <w:p w14:paraId="18B78904" w14:textId="23B54A1C" w:rsidR="00AB7AAA" w:rsidRPr="00380805" w:rsidRDefault="00AB7AAA" w:rsidP="006A16B2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80805">
        <w:rPr>
          <w:rStyle w:val="Znakapoznpodarou"/>
          <w:rFonts w:asciiTheme="minorHAnsi" w:hAnsiTheme="minorHAnsi" w:cstheme="minorHAnsi"/>
        </w:rPr>
        <w:footnoteRef/>
      </w:r>
      <w:r w:rsidRPr="003808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80805">
        <w:rPr>
          <w:rFonts w:asciiTheme="minorHAnsi" w:hAnsiTheme="minorHAnsi" w:cstheme="minorHAnsi"/>
        </w:rPr>
        <w:t xml:space="preserve">Viz </w:t>
      </w:r>
      <w:r>
        <w:rPr>
          <w:rFonts w:asciiTheme="minorHAnsi" w:hAnsiTheme="minorHAnsi" w:cstheme="minorHAnsi"/>
        </w:rPr>
        <w:t>p</w:t>
      </w:r>
      <w:r w:rsidRPr="00380805">
        <w:rPr>
          <w:rFonts w:asciiTheme="minorHAnsi" w:hAnsiTheme="minorHAnsi" w:cstheme="minorHAnsi"/>
        </w:rPr>
        <w:t xml:space="preserve">říloha č. 1 k vyhlášce č. 5/2014 Sb., o způsobu, termínech a rozsahu údajů předkládaných pro hodnocení plnění státního rozpočtu, rozpočtu státních fondů, rozpočtů územních samosprávných celků, rozpočtů dobrovolných svazků obcí a rozpočtů </w:t>
      </w:r>
      <w:r>
        <w:rPr>
          <w:rFonts w:asciiTheme="minorHAnsi" w:hAnsiTheme="minorHAnsi" w:cstheme="minorHAnsi"/>
        </w:rPr>
        <w:t>r</w:t>
      </w:r>
      <w:r w:rsidRPr="00380805">
        <w:rPr>
          <w:rFonts w:asciiTheme="minorHAnsi" w:hAnsiTheme="minorHAnsi" w:cstheme="minorHAnsi"/>
        </w:rPr>
        <w:t>egionálních rad regionů soudržnosti.</w:t>
      </w:r>
    </w:p>
  </w:footnote>
  <w:footnote w:id="14">
    <w:p w14:paraId="54101680" w14:textId="6B672F1F" w:rsidR="00AB7AAA" w:rsidRPr="00380805" w:rsidRDefault="00AB7AAA" w:rsidP="006A16B2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80805">
        <w:rPr>
          <w:rStyle w:val="Znakapoznpodarou"/>
          <w:rFonts w:asciiTheme="minorHAnsi" w:hAnsiTheme="minorHAnsi"/>
        </w:rPr>
        <w:footnoteRef/>
      </w:r>
      <w:r w:rsidRPr="00380805">
        <w:rPr>
          <w:rFonts w:asciiTheme="minorHAnsi" w:hAnsiTheme="minorHAnsi"/>
        </w:rPr>
        <w:t> </w:t>
      </w:r>
      <w:r>
        <w:rPr>
          <w:rFonts w:asciiTheme="minorHAnsi" w:hAnsiTheme="minorHAnsi"/>
        </w:rPr>
        <w:tab/>
      </w:r>
      <w:r w:rsidRPr="00380805">
        <w:rPr>
          <w:rFonts w:asciiTheme="minorHAnsi" w:hAnsiTheme="minorHAnsi" w:cstheme="minorHAnsi"/>
        </w:rPr>
        <w:t>V souladu s ustanovením § 30 rozpočtových pravidel sestavují správci kapitol o výsledcích rozpočtového hospodaření minulého roku návrh závěrečného účtu své kapitoly, projednávají je v příslušných výborech Poslanecké sněmovny a po tomto projednání jej uveřejní v elektronické podobě způsobem umožňujícím dálkový a nepřetržitý přístup.</w:t>
      </w:r>
    </w:p>
  </w:footnote>
  <w:footnote w:id="15">
    <w:p w14:paraId="083C013F" w14:textId="1F732A8E" w:rsidR="00AB7AAA" w:rsidRPr="00380805" w:rsidRDefault="00AB7AAA" w:rsidP="006A16B2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80805">
        <w:rPr>
          <w:rStyle w:val="Znakapoznpodarou"/>
          <w:rFonts w:asciiTheme="minorHAnsi" w:hAnsiTheme="minorHAnsi"/>
        </w:rPr>
        <w:footnoteRef/>
      </w:r>
      <w:r w:rsidRPr="00380805">
        <w:rPr>
          <w:rFonts w:asciiTheme="minorHAnsi" w:hAnsiTheme="minorHAnsi"/>
        </w:rPr>
        <w:t> </w:t>
      </w:r>
      <w:r>
        <w:rPr>
          <w:rFonts w:asciiTheme="minorHAnsi" w:hAnsiTheme="minorHAnsi"/>
        </w:rPr>
        <w:tab/>
      </w:r>
      <w:r w:rsidRPr="00380805">
        <w:rPr>
          <w:rFonts w:asciiTheme="minorHAnsi" w:hAnsiTheme="minorHAnsi" w:cstheme="minorHAnsi"/>
        </w:rPr>
        <w:t>Vyhláška č. 419/2001 Sb., o rozsahu, struktuře a termínech údajů předkládaných pro vypracování návrhu státního závěrečného účtu a o rozsahu a termínech sestavení návrhů závěrečných účtů kapitol státního rozpočtu.</w:t>
      </w:r>
    </w:p>
  </w:footnote>
  <w:footnote w:id="16">
    <w:p w14:paraId="0A0766C6" w14:textId="7CE8C89E" w:rsidR="00AB7AAA" w:rsidRPr="00A861C3" w:rsidRDefault="00AB7AAA" w:rsidP="006A16B2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A861C3">
        <w:rPr>
          <w:rStyle w:val="Znakapoznpodarou"/>
          <w:rFonts w:ascii="Calibri" w:hAnsi="Calibri" w:cs="Calibri"/>
        </w:rPr>
        <w:footnoteRef/>
      </w:r>
      <w:r w:rsidRPr="00A861C3">
        <w:rPr>
          <w:rFonts w:ascii="Calibri" w:hAnsi="Calibri" w:cs="Calibri"/>
        </w:rPr>
        <w:t xml:space="preserve"> </w:t>
      </w:r>
      <w:r w:rsidRPr="00A861C3">
        <w:rPr>
          <w:rFonts w:ascii="Calibri" w:hAnsi="Calibri" w:cs="Calibri"/>
        </w:rPr>
        <w:tab/>
        <w:t xml:space="preserve">Pro přepočet byl použit kurz k 30. 12. 2015 uveřejněný na následujících stránkách </w:t>
      </w:r>
      <w:hyperlink r:id="rId1" w:history="1">
        <w:r w:rsidRPr="00A861C3">
          <w:rPr>
            <w:rStyle w:val="Hypertextovodkaz"/>
            <w:rFonts w:ascii="Calibri" w:hAnsi="Calibri" w:cs="Calibri"/>
          </w:rPr>
          <w:t>http://www.akcie.cz/kurzy-svet/akcie-71495-e-on-ag-na/</w:t>
        </w:r>
      </w:hyperlink>
      <w:r w:rsidRPr="00A861C3">
        <w:rPr>
          <w:rFonts w:ascii="Calibri" w:hAnsi="Calibri" w:cs="Calibri"/>
        </w:rPr>
        <w:t xml:space="preserve">; následující zveřejněný kurz je až k datu 5. 1. 2016 a denní kurz EUR/CZK </w:t>
      </w:r>
      <w:r>
        <w:rPr>
          <w:rFonts w:ascii="Calibri" w:hAnsi="Calibri" w:cs="Calibri"/>
        </w:rPr>
        <w:t xml:space="preserve">byl </w:t>
      </w:r>
      <w:r w:rsidRPr="00A861C3">
        <w:rPr>
          <w:rFonts w:ascii="Calibri" w:hAnsi="Calibri" w:cs="Calibri"/>
        </w:rPr>
        <w:t>stanoven ČNB v hodnotě 27,025.</w:t>
      </w:r>
    </w:p>
  </w:footnote>
  <w:footnote w:id="17">
    <w:p w14:paraId="3391D4D5" w14:textId="096D5B83" w:rsidR="00AB7AAA" w:rsidRPr="00A861C3" w:rsidRDefault="00AB7AAA" w:rsidP="006A16B2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A861C3">
        <w:rPr>
          <w:rStyle w:val="Znakapoznpodarou"/>
          <w:rFonts w:ascii="Calibri" w:hAnsi="Calibri" w:cs="Calibri"/>
        </w:rPr>
        <w:footnoteRef/>
      </w:r>
      <w:r w:rsidRPr="00A861C3">
        <w:rPr>
          <w:rFonts w:ascii="Calibri" w:hAnsi="Calibri" w:cs="Calibri"/>
        </w:rPr>
        <w:t> </w:t>
      </w:r>
      <w:r w:rsidRPr="00A861C3">
        <w:rPr>
          <w:rFonts w:ascii="Calibri" w:hAnsi="Calibri" w:cs="Calibri"/>
        </w:rPr>
        <w:tab/>
        <w:t xml:space="preserve">Hodnota majetkové účasti ve </w:t>
      </w:r>
      <w:proofErr w:type="gramStart"/>
      <w:r w:rsidRPr="00A861C3">
        <w:rPr>
          <w:rFonts w:ascii="Calibri" w:hAnsi="Calibri" w:cs="Calibri"/>
        </w:rPr>
        <w:t>společnosti E.ON</w:t>
      </w:r>
      <w:proofErr w:type="gramEnd"/>
      <w:r w:rsidRPr="00A861C3">
        <w:rPr>
          <w:rFonts w:ascii="Calibri" w:hAnsi="Calibri" w:cs="Calibri"/>
        </w:rPr>
        <w:t xml:space="preserve"> SE před zahájením přeceňování na reálnou hodnotu, tj. k 31. 12. 2009 byla vykázána v účetnictví ve výši 2 202 237 168,48 Kč.</w:t>
      </w:r>
    </w:p>
  </w:footnote>
  <w:footnote w:id="18">
    <w:p w14:paraId="3F3B30D4" w14:textId="1DF3C5B5" w:rsidR="00AB7AAA" w:rsidRPr="00A861C3" w:rsidRDefault="00AB7AAA" w:rsidP="006A16B2">
      <w:pPr>
        <w:pStyle w:val="Textpoznpodarou"/>
        <w:ind w:left="284" w:hanging="284"/>
        <w:rPr>
          <w:rFonts w:ascii="Calibri" w:hAnsi="Calibri" w:cs="Calibri"/>
        </w:rPr>
      </w:pPr>
      <w:r w:rsidRPr="00A861C3">
        <w:rPr>
          <w:rStyle w:val="Znakapoznpodarou"/>
          <w:rFonts w:ascii="Calibri" w:hAnsi="Calibri" w:cs="Calibri"/>
        </w:rPr>
        <w:footnoteRef/>
      </w:r>
      <w:r w:rsidRPr="00A861C3">
        <w:rPr>
          <w:rFonts w:ascii="Calibri" w:hAnsi="Calibri" w:cs="Calibri"/>
        </w:rPr>
        <w:t xml:space="preserve"> </w:t>
      </w:r>
      <w:r w:rsidRPr="00A861C3">
        <w:rPr>
          <w:rFonts w:ascii="Calibri" w:hAnsi="Calibri" w:cs="Calibri"/>
        </w:rPr>
        <w:tab/>
        <w:t>Viz ustanovení § 7 zákona č. 23/2017 Sb., o pravidlech rozpočtové odpovědnosti.</w:t>
      </w:r>
    </w:p>
  </w:footnote>
  <w:footnote w:id="19">
    <w:p w14:paraId="2277AA0D" w14:textId="10811610" w:rsidR="00AB7AAA" w:rsidRPr="00A861C3" w:rsidRDefault="00AB7AAA" w:rsidP="00A861C3">
      <w:pPr>
        <w:pStyle w:val="Textpoznpodarou"/>
        <w:ind w:left="284" w:hanging="284"/>
        <w:rPr>
          <w:rFonts w:ascii="Calibri" w:hAnsi="Calibri" w:cs="Calibri"/>
        </w:rPr>
      </w:pPr>
      <w:r w:rsidRPr="00A861C3">
        <w:rPr>
          <w:rStyle w:val="Znakapoznpodarou"/>
          <w:rFonts w:ascii="Calibri" w:eastAsiaTheme="majorEastAsia" w:hAnsi="Calibri" w:cs="Calibri"/>
        </w:rPr>
        <w:footnoteRef/>
      </w:r>
      <w:r w:rsidRPr="00A861C3">
        <w:rPr>
          <w:rFonts w:ascii="Calibri" w:hAnsi="Calibri" w:cs="Calibri"/>
        </w:rPr>
        <w:tab/>
        <w:t>Brutto hodnota aktiv k 31. 12. 2015 byla vykázána ve výši 33 101 214 821,00 Kč.</w:t>
      </w:r>
    </w:p>
  </w:footnote>
  <w:footnote w:id="20">
    <w:p w14:paraId="5BD74ECF" w14:textId="5F5F6141" w:rsidR="00AB7AAA" w:rsidRPr="00A861C3" w:rsidRDefault="00AB7AAA" w:rsidP="00A861C3">
      <w:pPr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A861C3">
        <w:rPr>
          <w:rStyle w:val="Znakapoznpodarou"/>
          <w:rFonts w:ascii="Calibri" w:hAnsi="Calibri" w:cs="Calibri"/>
          <w:sz w:val="20"/>
          <w:szCs w:val="20"/>
        </w:rPr>
        <w:footnoteRef/>
      </w:r>
      <w:r w:rsidRPr="00A861C3">
        <w:rPr>
          <w:rFonts w:ascii="Calibri" w:hAnsi="Calibri" w:cs="Calibri"/>
          <w:sz w:val="20"/>
          <w:szCs w:val="20"/>
        </w:rPr>
        <w:t xml:space="preserve"> </w:t>
      </w:r>
      <w:r w:rsidRPr="00A861C3">
        <w:rPr>
          <w:rFonts w:ascii="Calibri" w:hAnsi="Calibri" w:cs="Calibri"/>
          <w:sz w:val="20"/>
          <w:szCs w:val="20"/>
        </w:rPr>
        <w:tab/>
        <w:t>Brutto hodnota aktiv k 31. 12. 2014 byla vykázána ve výši 30 462 428 354,00 Kč.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B51"/>
    <w:multiLevelType w:val="hybridMultilevel"/>
    <w:tmpl w:val="59267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2F95"/>
    <w:multiLevelType w:val="hybridMultilevel"/>
    <w:tmpl w:val="B194F0C6"/>
    <w:lvl w:ilvl="0" w:tplc="04050001">
      <w:start w:val="1"/>
      <w:numFmt w:val="bullet"/>
      <w:lvlText w:val=""/>
      <w:lvlJc w:val="left"/>
      <w:pPr>
        <w:tabs>
          <w:tab w:val="num" w:pos="1104"/>
        </w:tabs>
        <w:ind w:left="1104" w:hanging="684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99F4573"/>
    <w:multiLevelType w:val="hybridMultilevel"/>
    <w:tmpl w:val="04405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6403C"/>
    <w:multiLevelType w:val="hybridMultilevel"/>
    <w:tmpl w:val="321A7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A77D8"/>
    <w:multiLevelType w:val="hybridMultilevel"/>
    <w:tmpl w:val="D722E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166D9"/>
    <w:multiLevelType w:val="hybridMultilevel"/>
    <w:tmpl w:val="6AF23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A35CB"/>
    <w:multiLevelType w:val="hybridMultilevel"/>
    <w:tmpl w:val="D0947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6463A"/>
    <w:multiLevelType w:val="hybridMultilevel"/>
    <w:tmpl w:val="9F82C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67961"/>
    <w:multiLevelType w:val="hybridMultilevel"/>
    <w:tmpl w:val="C8863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F5418"/>
    <w:multiLevelType w:val="hybridMultilevel"/>
    <w:tmpl w:val="C3D09D48"/>
    <w:lvl w:ilvl="0" w:tplc="0405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C6243C3"/>
    <w:multiLevelType w:val="hybridMultilevel"/>
    <w:tmpl w:val="A62C6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A418F"/>
    <w:multiLevelType w:val="hybridMultilevel"/>
    <w:tmpl w:val="9A3EC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D6AD6"/>
    <w:multiLevelType w:val="hybridMultilevel"/>
    <w:tmpl w:val="27AEAB8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6C53B1"/>
    <w:multiLevelType w:val="hybridMultilevel"/>
    <w:tmpl w:val="FD2E8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D3F2B"/>
    <w:multiLevelType w:val="hybridMultilevel"/>
    <w:tmpl w:val="3C502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15931"/>
    <w:multiLevelType w:val="hybridMultilevel"/>
    <w:tmpl w:val="F962D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15"/>
  </w:num>
  <w:num w:numId="11">
    <w:abstractNumId w:val="11"/>
  </w:num>
  <w:num w:numId="12">
    <w:abstractNumId w:val="2"/>
  </w:num>
  <w:num w:numId="13">
    <w:abstractNumId w:val="0"/>
  </w:num>
  <w:num w:numId="14">
    <w:abstractNumId w:val="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02"/>
    <w:rsid w:val="0001161A"/>
    <w:rsid w:val="000204EB"/>
    <w:rsid w:val="00026D84"/>
    <w:rsid w:val="000347F0"/>
    <w:rsid w:val="0003585B"/>
    <w:rsid w:val="00036166"/>
    <w:rsid w:val="0004510D"/>
    <w:rsid w:val="0004613E"/>
    <w:rsid w:val="00046AD6"/>
    <w:rsid w:val="00050398"/>
    <w:rsid w:val="00057E8C"/>
    <w:rsid w:val="00060ED2"/>
    <w:rsid w:val="00062431"/>
    <w:rsid w:val="00064162"/>
    <w:rsid w:val="00065299"/>
    <w:rsid w:val="0007185F"/>
    <w:rsid w:val="0007340F"/>
    <w:rsid w:val="0007571F"/>
    <w:rsid w:val="00077987"/>
    <w:rsid w:val="000807FA"/>
    <w:rsid w:val="0008246B"/>
    <w:rsid w:val="00084BED"/>
    <w:rsid w:val="0009386D"/>
    <w:rsid w:val="00093AE7"/>
    <w:rsid w:val="00097C80"/>
    <w:rsid w:val="000A0750"/>
    <w:rsid w:val="000A2A21"/>
    <w:rsid w:val="000A32FA"/>
    <w:rsid w:val="000B727E"/>
    <w:rsid w:val="000C107C"/>
    <w:rsid w:val="000C28DE"/>
    <w:rsid w:val="000C6AE6"/>
    <w:rsid w:val="000E33DD"/>
    <w:rsid w:val="000E3E05"/>
    <w:rsid w:val="000E7535"/>
    <w:rsid w:val="000F2729"/>
    <w:rsid w:val="000F743E"/>
    <w:rsid w:val="0011518F"/>
    <w:rsid w:val="00115967"/>
    <w:rsid w:val="0012412B"/>
    <w:rsid w:val="00125916"/>
    <w:rsid w:val="00130905"/>
    <w:rsid w:val="00135063"/>
    <w:rsid w:val="001432AE"/>
    <w:rsid w:val="00157938"/>
    <w:rsid w:val="00157CDA"/>
    <w:rsid w:val="001623B7"/>
    <w:rsid w:val="001703D6"/>
    <w:rsid w:val="00170D82"/>
    <w:rsid w:val="001715B8"/>
    <w:rsid w:val="001726B6"/>
    <w:rsid w:val="00183B61"/>
    <w:rsid w:val="00185A59"/>
    <w:rsid w:val="00186452"/>
    <w:rsid w:val="001A7A2C"/>
    <w:rsid w:val="001B2311"/>
    <w:rsid w:val="001B259E"/>
    <w:rsid w:val="001B6A75"/>
    <w:rsid w:val="001D0960"/>
    <w:rsid w:val="001D3CDC"/>
    <w:rsid w:val="001D6C37"/>
    <w:rsid w:val="001E0466"/>
    <w:rsid w:val="001E3651"/>
    <w:rsid w:val="001E50C0"/>
    <w:rsid w:val="00205B7E"/>
    <w:rsid w:val="00206021"/>
    <w:rsid w:val="0021328D"/>
    <w:rsid w:val="002159CD"/>
    <w:rsid w:val="00216FEF"/>
    <w:rsid w:val="002173F9"/>
    <w:rsid w:val="002335B7"/>
    <w:rsid w:val="00245A0B"/>
    <w:rsid w:val="00252DCE"/>
    <w:rsid w:val="00254F06"/>
    <w:rsid w:val="002624CD"/>
    <w:rsid w:val="002644B6"/>
    <w:rsid w:val="00270223"/>
    <w:rsid w:val="00293033"/>
    <w:rsid w:val="002A0D3D"/>
    <w:rsid w:val="002A49BE"/>
    <w:rsid w:val="002A64EE"/>
    <w:rsid w:val="002B3325"/>
    <w:rsid w:val="002B42C6"/>
    <w:rsid w:val="002B5066"/>
    <w:rsid w:val="002C4A04"/>
    <w:rsid w:val="002C72AD"/>
    <w:rsid w:val="002D0CC3"/>
    <w:rsid w:val="002D2EA0"/>
    <w:rsid w:val="002D4ED4"/>
    <w:rsid w:val="002E15B2"/>
    <w:rsid w:val="002E35D2"/>
    <w:rsid w:val="002F7E1D"/>
    <w:rsid w:val="0031604A"/>
    <w:rsid w:val="00323BCC"/>
    <w:rsid w:val="003258F1"/>
    <w:rsid w:val="0034145E"/>
    <w:rsid w:val="00345EBE"/>
    <w:rsid w:val="0034756C"/>
    <w:rsid w:val="003476FE"/>
    <w:rsid w:val="0035556D"/>
    <w:rsid w:val="003602B2"/>
    <w:rsid w:val="00361847"/>
    <w:rsid w:val="00364C41"/>
    <w:rsid w:val="00365096"/>
    <w:rsid w:val="003665FE"/>
    <w:rsid w:val="00367E0D"/>
    <w:rsid w:val="00371ECD"/>
    <w:rsid w:val="00377D8B"/>
    <w:rsid w:val="00380805"/>
    <w:rsid w:val="003A2D21"/>
    <w:rsid w:val="003B2CD6"/>
    <w:rsid w:val="003B47F2"/>
    <w:rsid w:val="003C3304"/>
    <w:rsid w:val="003D1EBD"/>
    <w:rsid w:val="003D1F3D"/>
    <w:rsid w:val="003D477E"/>
    <w:rsid w:val="003E4822"/>
    <w:rsid w:val="003F2468"/>
    <w:rsid w:val="003F25ED"/>
    <w:rsid w:val="004025F2"/>
    <w:rsid w:val="00404430"/>
    <w:rsid w:val="00410AEE"/>
    <w:rsid w:val="00436C03"/>
    <w:rsid w:val="0043723D"/>
    <w:rsid w:val="004374EE"/>
    <w:rsid w:val="004406AF"/>
    <w:rsid w:val="0044151D"/>
    <w:rsid w:val="00443EB2"/>
    <w:rsid w:val="00450EBA"/>
    <w:rsid w:val="00452527"/>
    <w:rsid w:val="00454508"/>
    <w:rsid w:val="00456FB9"/>
    <w:rsid w:val="00472A08"/>
    <w:rsid w:val="00475D98"/>
    <w:rsid w:val="00482886"/>
    <w:rsid w:val="004859D4"/>
    <w:rsid w:val="00492638"/>
    <w:rsid w:val="00496324"/>
    <w:rsid w:val="004A07B8"/>
    <w:rsid w:val="004A2EBE"/>
    <w:rsid w:val="004A6394"/>
    <w:rsid w:val="004B14A0"/>
    <w:rsid w:val="004B1ECB"/>
    <w:rsid w:val="004B3DA0"/>
    <w:rsid w:val="004B424E"/>
    <w:rsid w:val="004B7F74"/>
    <w:rsid w:val="004C52E9"/>
    <w:rsid w:val="004C59E6"/>
    <w:rsid w:val="004C66B3"/>
    <w:rsid w:val="004D43A2"/>
    <w:rsid w:val="004D557D"/>
    <w:rsid w:val="004E2D33"/>
    <w:rsid w:val="004F7BF0"/>
    <w:rsid w:val="00523137"/>
    <w:rsid w:val="00526216"/>
    <w:rsid w:val="00526316"/>
    <w:rsid w:val="0053010E"/>
    <w:rsid w:val="00543B15"/>
    <w:rsid w:val="0054662C"/>
    <w:rsid w:val="0054686D"/>
    <w:rsid w:val="00546ADE"/>
    <w:rsid w:val="00546FC8"/>
    <w:rsid w:val="00547AA0"/>
    <w:rsid w:val="005516D4"/>
    <w:rsid w:val="00552D1F"/>
    <w:rsid w:val="005577AE"/>
    <w:rsid w:val="005636EE"/>
    <w:rsid w:val="0056470D"/>
    <w:rsid w:val="0056643A"/>
    <w:rsid w:val="00567F26"/>
    <w:rsid w:val="005867F1"/>
    <w:rsid w:val="00590171"/>
    <w:rsid w:val="00590CE9"/>
    <w:rsid w:val="00590D3B"/>
    <w:rsid w:val="00590F73"/>
    <w:rsid w:val="005947E8"/>
    <w:rsid w:val="0059758A"/>
    <w:rsid w:val="005A5613"/>
    <w:rsid w:val="005B37E3"/>
    <w:rsid w:val="005B403C"/>
    <w:rsid w:val="005B7C38"/>
    <w:rsid w:val="005C319B"/>
    <w:rsid w:val="005D2FB2"/>
    <w:rsid w:val="005E103C"/>
    <w:rsid w:val="005F1191"/>
    <w:rsid w:val="005F3E2F"/>
    <w:rsid w:val="006007B5"/>
    <w:rsid w:val="00601CB9"/>
    <w:rsid w:val="00602AAF"/>
    <w:rsid w:val="00603179"/>
    <w:rsid w:val="006042A1"/>
    <w:rsid w:val="006046A5"/>
    <w:rsid w:val="00606569"/>
    <w:rsid w:val="00620A28"/>
    <w:rsid w:val="0062376A"/>
    <w:rsid w:val="00625219"/>
    <w:rsid w:val="00643A2E"/>
    <w:rsid w:val="00650E4A"/>
    <w:rsid w:val="006517CB"/>
    <w:rsid w:val="006606DF"/>
    <w:rsid w:val="006711AA"/>
    <w:rsid w:val="00682785"/>
    <w:rsid w:val="00686078"/>
    <w:rsid w:val="00691336"/>
    <w:rsid w:val="006A16B2"/>
    <w:rsid w:val="006A25C2"/>
    <w:rsid w:val="006A3105"/>
    <w:rsid w:val="006A4D18"/>
    <w:rsid w:val="006B21F2"/>
    <w:rsid w:val="006C03EC"/>
    <w:rsid w:val="006C2B75"/>
    <w:rsid w:val="006C3288"/>
    <w:rsid w:val="006D12D4"/>
    <w:rsid w:val="006D35AA"/>
    <w:rsid w:val="006E0C0F"/>
    <w:rsid w:val="006F4354"/>
    <w:rsid w:val="007048BD"/>
    <w:rsid w:val="007056E1"/>
    <w:rsid w:val="0071407A"/>
    <w:rsid w:val="0073216B"/>
    <w:rsid w:val="007364AD"/>
    <w:rsid w:val="007507D3"/>
    <w:rsid w:val="00750C1D"/>
    <w:rsid w:val="00761DA9"/>
    <w:rsid w:val="007620D5"/>
    <w:rsid w:val="007677FA"/>
    <w:rsid w:val="00783090"/>
    <w:rsid w:val="00795E7B"/>
    <w:rsid w:val="00796A4F"/>
    <w:rsid w:val="007A2EB1"/>
    <w:rsid w:val="007A5146"/>
    <w:rsid w:val="007A7E10"/>
    <w:rsid w:val="007B7A3C"/>
    <w:rsid w:val="007C4240"/>
    <w:rsid w:val="007C4423"/>
    <w:rsid w:val="007E2838"/>
    <w:rsid w:val="007E3467"/>
    <w:rsid w:val="007F38A6"/>
    <w:rsid w:val="008004D9"/>
    <w:rsid w:val="00817DCD"/>
    <w:rsid w:val="0082487B"/>
    <w:rsid w:val="00825B28"/>
    <w:rsid w:val="00825F5D"/>
    <w:rsid w:val="00826851"/>
    <w:rsid w:val="0083146E"/>
    <w:rsid w:val="00832F86"/>
    <w:rsid w:val="008368C9"/>
    <w:rsid w:val="00840714"/>
    <w:rsid w:val="008501A9"/>
    <w:rsid w:val="00850B22"/>
    <w:rsid w:val="00851DEC"/>
    <w:rsid w:val="00854831"/>
    <w:rsid w:val="008614D8"/>
    <w:rsid w:val="00862515"/>
    <w:rsid w:val="00863793"/>
    <w:rsid w:val="00865D03"/>
    <w:rsid w:val="008677A2"/>
    <w:rsid w:val="008713A9"/>
    <w:rsid w:val="008754FD"/>
    <w:rsid w:val="00875B26"/>
    <w:rsid w:val="00877F4E"/>
    <w:rsid w:val="00884B78"/>
    <w:rsid w:val="008853F1"/>
    <w:rsid w:val="00886F5A"/>
    <w:rsid w:val="008940DA"/>
    <w:rsid w:val="00894FBA"/>
    <w:rsid w:val="00896C1F"/>
    <w:rsid w:val="00896F3B"/>
    <w:rsid w:val="00897F21"/>
    <w:rsid w:val="008A05CA"/>
    <w:rsid w:val="008A33DD"/>
    <w:rsid w:val="008A468B"/>
    <w:rsid w:val="008C5195"/>
    <w:rsid w:val="008C5565"/>
    <w:rsid w:val="008D48F1"/>
    <w:rsid w:val="008D4AA3"/>
    <w:rsid w:val="008D6ABC"/>
    <w:rsid w:val="008F0D73"/>
    <w:rsid w:val="008F4546"/>
    <w:rsid w:val="0092330B"/>
    <w:rsid w:val="00925267"/>
    <w:rsid w:val="00932B43"/>
    <w:rsid w:val="00933119"/>
    <w:rsid w:val="00936DDE"/>
    <w:rsid w:val="009370A9"/>
    <w:rsid w:val="009412FB"/>
    <w:rsid w:val="00971177"/>
    <w:rsid w:val="00982202"/>
    <w:rsid w:val="00990297"/>
    <w:rsid w:val="009A0916"/>
    <w:rsid w:val="009A3A81"/>
    <w:rsid w:val="009B5262"/>
    <w:rsid w:val="009C2E63"/>
    <w:rsid w:val="009C5186"/>
    <w:rsid w:val="009C59EC"/>
    <w:rsid w:val="009D3F89"/>
    <w:rsid w:val="009D7225"/>
    <w:rsid w:val="009E0AE5"/>
    <w:rsid w:val="009E0CBA"/>
    <w:rsid w:val="009E6583"/>
    <w:rsid w:val="009F631A"/>
    <w:rsid w:val="00A02E67"/>
    <w:rsid w:val="00A17D93"/>
    <w:rsid w:val="00A2234F"/>
    <w:rsid w:val="00A34C1C"/>
    <w:rsid w:val="00A363D5"/>
    <w:rsid w:val="00A507DF"/>
    <w:rsid w:val="00A513F1"/>
    <w:rsid w:val="00A531A5"/>
    <w:rsid w:val="00A54925"/>
    <w:rsid w:val="00A60BA3"/>
    <w:rsid w:val="00A67E14"/>
    <w:rsid w:val="00A71046"/>
    <w:rsid w:val="00A85555"/>
    <w:rsid w:val="00A861C3"/>
    <w:rsid w:val="00A93076"/>
    <w:rsid w:val="00A9325E"/>
    <w:rsid w:val="00AB0B42"/>
    <w:rsid w:val="00AB3026"/>
    <w:rsid w:val="00AB4A8C"/>
    <w:rsid w:val="00AB7350"/>
    <w:rsid w:val="00AB7AAA"/>
    <w:rsid w:val="00AD280F"/>
    <w:rsid w:val="00AD66C7"/>
    <w:rsid w:val="00AE247E"/>
    <w:rsid w:val="00AE6821"/>
    <w:rsid w:val="00AF5110"/>
    <w:rsid w:val="00B00716"/>
    <w:rsid w:val="00B012BC"/>
    <w:rsid w:val="00B01BB6"/>
    <w:rsid w:val="00B046CA"/>
    <w:rsid w:val="00B13B51"/>
    <w:rsid w:val="00B1525F"/>
    <w:rsid w:val="00B16902"/>
    <w:rsid w:val="00B17DA1"/>
    <w:rsid w:val="00B240B6"/>
    <w:rsid w:val="00B36637"/>
    <w:rsid w:val="00B4569D"/>
    <w:rsid w:val="00B52B0B"/>
    <w:rsid w:val="00B6443D"/>
    <w:rsid w:val="00B7035F"/>
    <w:rsid w:val="00B81EF4"/>
    <w:rsid w:val="00B85348"/>
    <w:rsid w:val="00B94C5A"/>
    <w:rsid w:val="00B954D2"/>
    <w:rsid w:val="00B97055"/>
    <w:rsid w:val="00BB6DC3"/>
    <w:rsid w:val="00BC2314"/>
    <w:rsid w:val="00BC66E8"/>
    <w:rsid w:val="00BD057D"/>
    <w:rsid w:val="00BD1D8C"/>
    <w:rsid w:val="00BD5EFD"/>
    <w:rsid w:val="00BF0737"/>
    <w:rsid w:val="00BF5F81"/>
    <w:rsid w:val="00C01BEE"/>
    <w:rsid w:val="00C044D2"/>
    <w:rsid w:val="00C06043"/>
    <w:rsid w:val="00C16AE9"/>
    <w:rsid w:val="00C17679"/>
    <w:rsid w:val="00C239CF"/>
    <w:rsid w:val="00C31896"/>
    <w:rsid w:val="00C32309"/>
    <w:rsid w:val="00C33513"/>
    <w:rsid w:val="00C34C16"/>
    <w:rsid w:val="00C44218"/>
    <w:rsid w:val="00C50947"/>
    <w:rsid w:val="00C5278E"/>
    <w:rsid w:val="00C63C94"/>
    <w:rsid w:val="00C66872"/>
    <w:rsid w:val="00C77724"/>
    <w:rsid w:val="00C85CF3"/>
    <w:rsid w:val="00C875CA"/>
    <w:rsid w:val="00C928AA"/>
    <w:rsid w:val="00C95401"/>
    <w:rsid w:val="00CA4BD5"/>
    <w:rsid w:val="00CB1399"/>
    <w:rsid w:val="00CB24B3"/>
    <w:rsid w:val="00CD5A37"/>
    <w:rsid w:val="00CE143A"/>
    <w:rsid w:val="00CF13F7"/>
    <w:rsid w:val="00CF14FC"/>
    <w:rsid w:val="00D008CC"/>
    <w:rsid w:val="00D1693E"/>
    <w:rsid w:val="00D212AD"/>
    <w:rsid w:val="00D26105"/>
    <w:rsid w:val="00D36530"/>
    <w:rsid w:val="00D37306"/>
    <w:rsid w:val="00D51252"/>
    <w:rsid w:val="00D65144"/>
    <w:rsid w:val="00D66BD2"/>
    <w:rsid w:val="00D7048E"/>
    <w:rsid w:val="00D70DAD"/>
    <w:rsid w:val="00D861AC"/>
    <w:rsid w:val="00D96074"/>
    <w:rsid w:val="00D96EAD"/>
    <w:rsid w:val="00DA521D"/>
    <w:rsid w:val="00DA5640"/>
    <w:rsid w:val="00DB3FC6"/>
    <w:rsid w:val="00DC276F"/>
    <w:rsid w:val="00DD2042"/>
    <w:rsid w:val="00DD5C2F"/>
    <w:rsid w:val="00DE2841"/>
    <w:rsid w:val="00DE7B31"/>
    <w:rsid w:val="00DE7D4C"/>
    <w:rsid w:val="00DF6C93"/>
    <w:rsid w:val="00E100B9"/>
    <w:rsid w:val="00E10B79"/>
    <w:rsid w:val="00E11497"/>
    <w:rsid w:val="00E128EF"/>
    <w:rsid w:val="00E15141"/>
    <w:rsid w:val="00E200DF"/>
    <w:rsid w:val="00E20810"/>
    <w:rsid w:val="00E3617E"/>
    <w:rsid w:val="00E418C1"/>
    <w:rsid w:val="00E41BCF"/>
    <w:rsid w:val="00E445CA"/>
    <w:rsid w:val="00E44BDC"/>
    <w:rsid w:val="00E45394"/>
    <w:rsid w:val="00E63F7C"/>
    <w:rsid w:val="00E643C3"/>
    <w:rsid w:val="00E64F78"/>
    <w:rsid w:val="00E66380"/>
    <w:rsid w:val="00E71466"/>
    <w:rsid w:val="00E74F15"/>
    <w:rsid w:val="00E7533E"/>
    <w:rsid w:val="00E75C16"/>
    <w:rsid w:val="00E762E5"/>
    <w:rsid w:val="00E76C5C"/>
    <w:rsid w:val="00E83D97"/>
    <w:rsid w:val="00E841EE"/>
    <w:rsid w:val="00E908A4"/>
    <w:rsid w:val="00E94963"/>
    <w:rsid w:val="00E96CBB"/>
    <w:rsid w:val="00E97C65"/>
    <w:rsid w:val="00EB25AC"/>
    <w:rsid w:val="00EB5465"/>
    <w:rsid w:val="00EB5B1E"/>
    <w:rsid w:val="00EB5E83"/>
    <w:rsid w:val="00EC3B1D"/>
    <w:rsid w:val="00ED4C56"/>
    <w:rsid w:val="00ED7329"/>
    <w:rsid w:val="00ED7C30"/>
    <w:rsid w:val="00EE4F3F"/>
    <w:rsid w:val="00EE5534"/>
    <w:rsid w:val="00EE5633"/>
    <w:rsid w:val="00F0471C"/>
    <w:rsid w:val="00F15FF5"/>
    <w:rsid w:val="00F233C2"/>
    <w:rsid w:val="00F239F2"/>
    <w:rsid w:val="00F32427"/>
    <w:rsid w:val="00F3385A"/>
    <w:rsid w:val="00F35D30"/>
    <w:rsid w:val="00F3610C"/>
    <w:rsid w:val="00F36E7F"/>
    <w:rsid w:val="00F530E4"/>
    <w:rsid w:val="00F531E0"/>
    <w:rsid w:val="00F56CA2"/>
    <w:rsid w:val="00F57D83"/>
    <w:rsid w:val="00F61784"/>
    <w:rsid w:val="00F65CD5"/>
    <w:rsid w:val="00F7053F"/>
    <w:rsid w:val="00F73CA0"/>
    <w:rsid w:val="00F74C58"/>
    <w:rsid w:val="00F80A27"/>
    <w:rsid w:val="00F920E5"/>
    <w:rsid w:val="00FA08D9"/>
    <w:rsid w:val="00FA1FCF"/>
    <w:rsid w:val="00FA20E5"/>
    <w:rsid w:val="00FA4380"/>
    <w:rsid w:val="00FA6BCD"/>
    <w:rsid w:val="00FB3F63"/>
    <w:rsid w:val="00FC4BBD"/>
    <w:rsid w:val="00FD0CCF"/>
    <w:rsid w:val="00FE31AC"/>
    <w:rsid w:val="00FE5D3D"/>
    <w:rsid w:val="00FF3554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3980"/>
  <w15:chartTrackingRefBased/>
  <w15:docId w15:val="{8EA9C4A7-15DC-4297-9C17-E167E479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8D9"/>
  </w:style>
  <w:style w:type="paragraph" w:styleId="Nadpis1">
    <w:name w:val="heading 1"/>
    <w:basedOn w:val="Normln"/>
    <w:next w:val="Normln"/>
    <w:link w:val="Nadpis1Char"/>
    <w:uiPriority w:val="9"/>
    <w:qFormat/>
    <w:rsid w:val="0004510D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7F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0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8D9"/>
  </w:style>
  <w:style w:type="paragraph" w:styleId="Zpat">
    <w:name w:val="footer"/>
    <w:basedOn w:val="Normln"/>
    <w:link w:val="ZpatChar"/>
    <w:uiPriority w:val="99"/>
    <w:unhideWhenUsed/>
    <w:rsid w:val="00FA0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8D9"/>
  </w:style>
  <w:style w:type="character" w:styleId="Znakapoznpodarou">
    <w:name w:val="footnote reference"/>
    <w:aliases w:val="number,PGI Fußnote Ziffer + Times New Roman,12 b.,Zúžené o ...,PGI Fußnote Ziffer"/>
    <w:basedOn w:val="Standardnpsmoodstavce"/>
    <w:uiPriority w:val="99"/>
    <w:rsid w:val="00FA08D9"/>
    <w:rPr>
      <w:vertAlign w:val="superscript"/>
    </w:rPr>
  </w:style>
  <w:style w:type="paragraph" w:styleId="Textpoznpodarou">
    <w:name w:val="footnote text"/>
    <w:aliases w:val="pozn. pod čarou,Schriftart: 9 pt,Schriftart: 10 pt,Schriftart: 8 pt,Podrozdział,Footnote,Podrozdzia3,Text pozn. pod čarou times,Text poznámky pod čiarou 007,Fußnotentextf,Geneva 9,Font: Geneva 9,Boston 10,f"/>
    <w:basedOn w:val="Normln"/>
    <w:link w:val="TextpoznpodarouChar"/>
    <w:uiPriority w:val="99"/>
    <w:qFormat/>
    <w:rsid w:val="00FA0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. pod čarou times Char,Text poznámky pod čiarou 007 Char,Fußnotentextf Char,f Char"/>
    <w:basedOn w:val="Standardnpsmoodstavce"/>
    <w:link w:val="Textpoznpodarou"/>
    <w:uiPriority w:val="99"/>
    <w:rsid w:val="00FA08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pis pro KZ,Odstavec_muj,Nad"/>
    <w:basedOn w:val="Normln"/>
    <w:link w:val="OdstavecseseznamemChar"/>
    <w:uiPriority w:val="34"/>
    <w:qFormat/>
    <w:rsid w:val="00FA08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aliases w:val="Nadpis pro KZ Char,Odstavec_muj Char,Nad Char"/>
    <w:link w:val="Odstavecseseznamem"/>
    <w:uiPriority w:val="34"/>
    <w:locked/>
    <w:rsid w:val="00FA08D9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link w:val="TitulekChar"/>
    <w:autoRedefine/>
    <w:uiPriority w:val="35"/>
    <w:unhideWhenUsed/>
    <w:qFormat/>
    <w:rsid w:val="00F531E0"/>
    <w:pPr>
      <w:keepNext/>
      <w:tabs>
        <w:tab w:val="right" w:pos="9072"/>
      </w:tabs>
      <w:spacing w:before="120" w:after="40" w:line="240" w:lineRule="auto"/>
      <w:jc w:val="both"/>
    </w:pPr>
    <w:rPr>
      <w:rFonts w:ascii="Calibri" w:eastAsia="Times New Roman" w:hAnsi="Calibri" w:cs="Times New Roman"/>
      <w:b/>
      <w:bCs/>
      <w:sz w:val="24"/>
      <w:szCs w:val="18"/>
    </w:rPr>
  </w:style>
  <w:style w:type="paragraph" w:customStyle="1" w:styleId="zdroj">
    <w:name w:val="zdroj"/>
    <w:basedOn w:val="Titulek"/>
    <w:link w:val="zdrojChar"/>
    <w:qFormat/>
    <w:rsid w:val="00DE7B31"/>
    <w:rPr>
      <w:rFonts w:ascii="Arial" w:hAnsi="Arial" w:cs="Arial"/>
      <w:b w:val="0"/>
      <w:i/>
      <w:lang w:val="en-US"/>
    </w:rPr>
  </w:style>
  <w:style w:type="character" w:customStyle="1" w:styleId="zdrojChar">
    <w:name w:val="zdroj Char"/>
    <w:basedOn w:val="Standardnpsmoodstavce"/>
    <w:link w:val="zdroj"/>
    <w:rsid w:val="00DE7B31"/>
    <w:rPr>
      <w:rFonts w:ascii="Arial" w:eastAsia="Times New Roman" w:hAnsi="Arial" w:cs="Arial"/>
      <w:bCs/>
      <w:i/>
      <w:sz w:val="24"/>
      <w:szCs w:val="18"/>
      <w:lang w:val="en-US"/>
    </w:rPr>
  </w:style>
  <w:style w:type="character" w:customStyle="1" w:styleId="TitulekChar">
    <w:name w:val="Titulek Char"/>
    <w:basedOn w:val="Standardnpsmoodstavce"/>
    <w:link w:val="Titulek"/>
    <w:uiPriority w:val="35"/>
    <w:locked/>
    <w:rsid w:val="00F531E0"/>
    <w:rPr>
      <w:rFonts w:ascii="Calibri" w:eastAsia="Times New Roman" w:hAnsi="Calibri" w:cs="Times New Roman"/>
      <w:b/>
      <w:bCs/>
      <w:sz w:val="24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4510D"/>
    <w:rPr>
      <w:rFonts w:eastAsia="Times New Roman" w:cs="Arial"/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AE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AE6"/>
    <w:rPr>
      <w:rFonts w:ascii="Calibri" w:hAnsi="Calibri"/>
      <w:sz w:val="18"/>
      <w:szCs w:val="18"/>
    </w:rPr>
  </w:style>
  <w:style w:type="character" w:styleId="Hypertextovodkaz">
    <w:name w:val="Hyperlink"/>
    <w:basedOn w:val="Standardnpsmoodstavce"/>
    <w:uiPriority w:val="99"/>
    <w:rsid w:val="00B4569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77F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lnKZ">
    <w:name w:val="Normální KZ"/>
    <w:basedOn w:val="Normln"/>
    <w:rsid w:val="0044151D"/>
    <w:pPr>
      <w:spacing w:after="120" w:line="240" w:lineRule="auto"/>
      <w:ind w:firstLine="425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04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04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04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4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048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E2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cie.cz/kurzy-svet/akcie-71495-e-on-ag-n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F2910-6295-498F-B2B8-6A862FA6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F2136180.dotm</Template>
  <TotalTime>2</TotalTime>
  <Pages>17</Pages>
  <Words>5447</Words>
  <Characters>32141</Characters>
  <Application>Microsoft Office Word</Application>
  <DocSecurity>4</DocSecurity>
  <Lines>267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16/29 - Závěrečný účet kapitoly státního rozpočtu Ministerstvo práce a sociálních věcí za rok 2016, účetní závěrka Ministerstva práce a sociálních věcí za rok 2016 a údaje předkládané Ministerstvem práce a sociálních věcí pro hodnocení plnění státního rozpočtu za rok 2016</dc:title>
  <dc:subject/>
  <dc:creator>Nejvyšší kontroní úřad</dc:creator>
  <cp:keywords>kontrolní závěr;účetnictví;mpsv;ministerstvo práce a sociálních věcí</cp:keywords>
  <dc:description/>
  <cp:lastModifiedBy>KOKRDA Daniel</cp:lastModifiedBy>
  <cp:revision>2</cp:revision>
  <cp:lastPrinted>2017-10-11T13:35:00Z</cp:lastPrinted>
  <dcterms:created xsi:type="dcterms:W3CDTF">2017-10-16T07:45:00Z</dcterms:created>
  <dcterms:modified xsi:type="dcterms:W3CDTF">2017-10-16T07:45:00Z</dcterms:modified>
</cp:coreProperties>
</file>