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6B" w:rsidRPr="00EA5F4B" w:rsidRDefault="00B5686B" w:rsidP="00611CE1">
      <w:pPr>
        <w:pStyle w:val="Nadpis9"/>
        <w:spacing w:before="0" w:after="0" w:line="280" w:lineRule="atLeast"/>
        <w:jc w:val="both"/>
        <w:rPr>
          <w:rFonts w:asciiTheme="minorHAnsi" w:hAnsiTheme="minorHAnsi" w:cs="Arial"/>
          <w:b/>
          <w:sz w:val="24"/>
          <w:szCs w:val="24"/>
          <w:lang w:val="en-GB"/>
        </w:rPr>
      </w:pPr>
    </w:p>
    <w:p w:rsidR="00B5686B" w:rsidRPr="00EA5F4B" w:rsidRDefault="00956402" w:rsidP="00611CE1">
      <w:pPr>
        <w:pStyle w:val="Nadpis9"/>
        <w:spacing w:before="0" w:after="0" w:line="280" w:lineRule="atLeast"/>
        <w:jc w:val="both"/>
        <w:rPr>
          <w:rFonts w:asciiTheme="minorHAnsi" w:hAnsiTheme="minorHAnsi" w:cs="Arial"/>
          <w:b/>
          <w:sz w:val="24"/>
          <w:szCs w:val="24"/>
          <w:lang w:val="en-GB"/>
        </w:rPr>
      </w:pPr>
      <w:r w:rsidRPr="00EA5F4B">
        <w:rPr>
          <w:rFonts w:asciiTheme="minorHAnsi" w:hAnsiTheme="minorHAnsi"/>
          <w:noProof/>
          <w:sz w:val="24"/>
          <w:szCs w:val="24"/>
        </w:rPr>
        <w:drawing>
          <wp:anchor distT="0" distB="0" distL="114300" distR="114300" simplePos="0" relativeHeight="251657216" behindDoc="0" locked="0" layoutInCell="1" allowOverlap="1">
            <wp:simplePos x="0" y="0"/>
            <wp:positionH relativeFrom="column">
              <wp:align>center</wp:align>
            </wp:positionH>
            <wp:positionV relativeFrom="paragraph">
              <wp:posOffset>-162560</wp:posOffset>
            </wp:positionV>
            <wp:extent cx="791210" cy="559435"/>
            <wp:effectExtent l="0" t="0" r="8890" b="0"/>
            <wp:wrapSquare wrapText="bothSides"/>
            <wp:docPr id="2"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KU_LOGO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559435"/>
                    </a:xfrm>
                    <a:prstGeom prst="rect">
                      <a:avLst/>
                    </a:prstGeom>
                    <a:noFill/>
                  </pic:spPr>
                </pic:pic>
              </a:graphicData>
            </a:graphic>
          </wp:anchor>
        </w:drawing>
      </w:r>
    </w:p>
    <w:p w:rsidR="00B5686B" w:rsidRPr="00EA5F4B" w:rsidRDefault="00B5686B" w:rsidP="00611CE1">
      <w:pPr>
        <w:pStyle w:val="Nadpis9"/>
        <w:spacing w:before="0" w:after="0" w:line="280" w:lineRule="atLeast"/>
        <w:jc w:val="both"/>
        <w:rPr>
          <w:rFonts w:asciiTheme="minorHAnsi" w:hAnsiTheme="minorHAnsi" w:cs="Arial"/>
          <w:b/>
          <w:sz w:val="24"/>
          <w:szCs w:val="24"/>
          <w:lang w:val="en-GB"/>
        </w:rPr>
      </w:pPr>
    </w:p>
    <w:p w:rsidR="00B5686B" w:rsidRPr="00EA5F4B" w:rsidRDefault="00B5686B" w:rsidP="00611CE1">
      <w:pPr>
        <w:pStyle w:val="Nadpis9"/>
        <w:spacing w:before="0" w:after="0" w:line="280" w:lineRule="atLeast"/>
        <w:jc w:val="both"/>
        <w:rPr>
          <w:rFonts w:asciiTheme="minorHAnsi" w:hAnsiTheme="minorHAnsi" w:cs="Arial"/>
          <w:b/>
          <w:sz w:val="24"/>
          <w:szCs w:val="24"/>
          <w:lang w:val="en-GB"/>
        </w:rPr>
      </w:pPr>
    </w:p>
    <w:p w:rsidR="00B5686B" w:rsidRPr="00EA5F4B" w:rsidRDefault="00B5686B" w:rsidP="00611CE1">
      <w:pPr>
        <w:pStyle w:val="Nadpis9"/>
        <w:spacing w:before="0" w:after="0" w:line="280" w:lineRule="atLeast"/>
        <w:jc w:val="both"/>
        <w:rPr>
          <w:rFonts w:asciiTheme="minorHAnsi" w:hAnsiTheme="minorHAnsi" w:cs="Arial"/>
          <w:b/>
          <w:sz w:val="24"/>
          <w:szCs w:val="24"/>
          <w:lang w:val="en-GB"/>
        </w:rPr>
      </w:pPr>
    </w:p>
    <w:p w:rsidR="00412B6B" w:rsidRPr="00EA5F4B" w:rsidRDefault="00412B6B" w:rsidP="00611CE1">
      <w:pPr>
        <w:spacing w:line="280" w:lineRule="atLeast"/>
        <w:rPr>
          <w:lang w:val="en-GB"/>
        </w:rPr>
      </w:pPr>
    </w:p>
    <w:p w:rsidR="00B5686B" w:rsidRPr="00EA5F4B" w:rsidRDefault="00095AF6" w:rsidP="00611CE1">
      <w:pPr>
        <w:pStyle w:val="Nadpis9"/>
        <w:spacing w:before="0" w:after="0" w:line="280" w:lineRule="atLeast"/>
        <w:jc w:val="center"/>
        <w:rPr>
          <w:rFonts w:asciiTheme="minorHAnsi" w:hAnsiTheme="minorHAnsi" w:cs="Arial"/>
          <w:b/>
          <w:sz w:val="28"/>
          <w:szCs w:val="28"/>
          <w:lang w:val="en-GB"/>
        </w:rPr>
      </w:pPr>
      <w:bookmarkStart w:id="0" w:name="_GoBack"/>
      <w:r w:rsidRPr="00EA5F4B">
        <w:rPr>
          <w:rFonts w:asciiTheme="minorHAnsi" w:hAnsiTheme="minorHAnsi" w:cs="Arial"/>
          <w:b/>
          <w:sz w:val="28"/>
          <w:szCs w:val="28"/>
          <w:lang w:val="en-GB"/>
        </w:rPr>
        <w:t>Audit report from Audit No.</w:t>
      </w:r>
    </w:p>
    <w:p w:rsidR="00B5686B" w:rsidRPr="00EA5F4B" w:rsidRDefault="00B5686B" w:rsidP="00611CE1">
      <w:pPr>
        <w:spacing w:line="280" w:lineRule="atLeast"/>
        <w:jc w:val="center"/>
        <w:rPr>
          <w:rFonts w:asciiTheme="minorHAnsi" w:hAnsiTheme="minorHAnsi"/>
          <w:sz w:val="28"/>
          <w:szCs w:val="28"/>
          <w:lang w:val="en-GB"/>
        </w:rPr>
      </w:pPr>
    </w:p>
    <w:p w:rsidR="005C015A" w:rsidRPr="00EA5F4B" w:rsidRDefault="00B5686B" w:rsidP="00611CE1">
      <w:pPr>
        <w:spacing w:line="280" w:lineRule="atLeast"/>
        <w:ind w:right="68"/>
        <w:jc w:val="center"/>
        <w:rPr>
          <w:rFonts w:asciiTheme="minorHAnsi" w:hAnsiTheme="minorHAnsi" w:cs="Arial"/>
          <w:b/>
          <w:bCs/>
          <w:sz w:val="28"/>
          <w:szCs w:val="28"/>
          <w:lang w:val="en-GB"/>
        </w:rPr>
      </w:pPr>
      <w:r w:rsidRPr="00EA5F4B">
        <w:rPr>
          <w:rFonts w:asciiTheme="minorHAnsi" w:hAnsiTheme="minorHAnsi" w:cs="Arial"/>
          <w:b/>
          <w:bCs/>
          <w:sz w:val="28"/>
          <w:szCs w:val="28"/>
          <w:lang w:val="en-GB"/>
        </w:rPr>
        <w:t>1</w:t>
      </w:r>
      <w:r w:rsidR="004572FA" w:rsidRPr="00EA5F4B">
        <w:rPr>
          <w:rFonts w:asciiTheme="minorHAnsi" w:hAnsiTheme="minorHAnsi" w:cs="Arial"/>
          <w:b/>
          <w:bCs/>
          <w:sz w:val="28"/>
          <w:szCs w:val="28"/>
          <w:lang w:val="en-GB"/>
        </w:rPr>
        <w:t>6</w:t>
      </w:r>
      <w:r w:rsidRPr="00EA5F4B">
        <w:rPr>
          <w:rFonts w:asciiTheme="minorHAnsi" w:hAnsiTheme="minorHAnsi" w:cs="Arial"/>
          <w:b/>
          <w:bCs/>
          <w:sz w:val="28"/>
          <w:szCs w:val="28"/>
          <w:lang w:val="en-GB"/>
        </w:rPr>
        <w:t>/</w:t>
      </w:r>
      <w:r w:rsidR="004572FA" w:rsidRPr="00EA5F4B">
        <w:rPr>
          <w:rFonts w:asciiTheme="minorHAnsi" w:hAnsiTheme="minorHAnsi" w:cs="Arial"/>
          <w:b/>
          <w:bCs/>
          <w:sz w:val="28"/>
          <w:szCs w:val="28"/>
          <w:lang w:val="en-GB"/>
        </w:rPr>
        <w:t>23</w:t>
      </w:r>
    </w:p>
    <w:p w:rsidR="00412B6B" w:rsidRPr="00EA5F4B" w:rsidRDefault="00412B6B" w:rsidP="00611CE1">
      <w:pPr>
        <w:spacing w:line="280" w:lineRule="atLeast"/>
        <w:jc w:val="center"/>
        <w:rPr>
          <w:rFonts w:asciiTheme="minorHAnsi" w:hAnsiTheme="minorHAnsi" w:cs="Arial"/>
          <w:bCs/>
          <w:sz w:val="28"/>
          <w:szCs w:val="28"/>
          <w:lang w:val="en-GB"/>
        </w:rPr>
      </w:pPr>
    </w:p>
    <w:p w:rsidR="00095AF6" w:rsidRPr="00EA5F4B" w:rsidRDefault="00095AF6" w:rsidP="00095AF6">
      <w:pPr>
        <w:spacing w:line="280" w:lineRule="atLeast"/>
        <w:jc w:val="center"/>
        <w:rPr>
          <w:rFonts w:asciiTheme="minorHAnsi" w:hAnsiTheme="minorHAnsi" w:cs="Arial"/>
          <w:b/>
          <w:sz w:val="28"/>
          <w:szCs w:val="28"/>
          <w:lang w:val="en-GB"/>
        </w:rPr>
      </w:pPr>
      <w:r w:rsidRPr="00EA5F4B">
        <w:rPr>
          <w:rFonts w:asciiTheme="minorHAnsi" w:hAnsiTheme="minorHAnsi" w:cs="Arial"/>
          <w:b/>
          <w:sz w:val="28"/>
          <w:szCs w:val="28"/>
          <w:lang w:val="en-GB"/>
        </w:rPr>
        <w:t>Funds earmarked for implementation of</w:t>
      </w:r>
    </w:p>
    <w:p w:rsidR="00095AF6" w:rsidRPr="00EA5F4B" w:rsidRDefault="00095AF6" w:rsidP="00095AF6">
      <w:pPr>
        <w:spacing w:line="280" w:lineRule="atLeast"/>
        <w:jc w:val="center"/>
        <w:rPr>
          <w:rFonts w:asciiTheme="minorHAnsi" w:hAnsiTheme="minorHAnsi" w:cs="Arial"/>
          <w:b/>
          <w:sz w:val="28"/>
          <w:szCs w:val="28"/>
          <w:lang w:val="en-GB"/>
        </w:rPr>
      </w:pPr>
      <w:r w:rsidRPr="00EA5F4B">
        <w:rPr>
          <w:rFonts w:asciiTheme="minorHAnsi" w:hAnsiTheme="minorHAnsi" w:cs="Arial"/>
          <w:b/>
          <w:sz w:val="28"/>
          <w:szCs w:val="28"/>
          <w:lang w:val="en-GB"/>
        </w:rPr>
        <w:t xml:space="preserve"> measures related to waste management</w:t>
      </w:r>
    </w:p>
    <w:bookmarkEnd w:id="0"/>
    <w:p w:rsidR="00B5686B" w:rsidRPr="00EA5F4B" w:rsidRDefault="00B5686B" w:rsidP="002F5010">
      <w:pPr>
        <w:spacing w:line="280" w:lineRule="atLeast"/>
        <w:jc w:val="center"/>
        <w:rPr>
          <w:rFonts w:asciiTheme="minorHAnsi" w:hAnsiTheme="minorHAnsi" w:cs="Arial"/>
          <w:b/>
          <w:sz w:val="28"/>
          <w:szCs w:val="28"/>
          <w:lang w:val="en-GB"/>
        </w:rPr>
      </w:pPr>
    </w:p>
    <w:p w:rsidR="002F5010" w:rsidRPr="00EA5F4B" w:rsidRDefault="002F5010" w:rsidP="002F5010">
      <w:pPr>
        <w:spacing w:line="280" w:lineRule="atLeast"/>
        <w:rPr>
          <w:rFonts w:asciiTheme="minorHAnsi" w:hAnsiTheme="minorHAnsi" w:cs="Arial"/>
          <w:lang w:val="en-GB"/>
        </w:rPr>
      </w:pPr>
    </w:p>
    <w:p w:rsidR="00D21109" w:rsidRPr="00EA5F4B" w:rsidRDefault="00D21109" w:rsidP="00611CE1">
      <w:pPr>
        <w:pStyle w:val="Zkladn"/>
        <w:spacing w:before="0" w:line="280" w:lineRule="atLeast"/>
        <w:contextualSpacing/>
        <w:rPr>
          <w:rFonts w:asciiTheme="minorHAnsi" w:hAnsiTheme="minorHAnsi" w:cs="Arial"/>
          <w:lang w:val="en-GB"/>
        </w:rPr>
      </w:pPr>
    </w:p>
    <w:p w:rsidR="00B5686B" w:rsidRPr="00EA5F4B" w:rsidRDefault="00257E1B" w:rsidP="001C4172">
      <w:pPr>
        <w:pStyle w:val="Zkladn"/>
        <w:spacing w:before="0" w:line="280" w:lineRule="atLeast"/>
        <w:contextualSpacing/>
        <w:rPr>
          <w:rFonts w:asciiTheme="minorHAnsi" w:hAnsiTheme="minorHAnsi" w:cs="Arial"/>
          <w:lang w:val="en-GB"/>
        </w:rPr>
      </w:pPr>
      <w:r w:rsidRPr="00EA5F4B">
        <w:rPr>
          <w:rFonts w:asciiTheme="minorHAnsi" w:hAnsiTheme="minorHAnsi" w:cs="Arial"/>
          <w:lang w:val="en-GB"/>
        </w:rPr>
        <w:t xml:space="preserve">The audit was included in </w:t>
      </w:r>
      <w:r w:rsidR="00F97082">
        <w:rPr>
          <w:rFonts w:asciiTheme="minorHAnsi" w:hAnsiTheme="minorHAnsi" w:cs="Arial"/>
          <w:lang w:val="en-GB"/>
        </w:rPr>
        <w:t>the A</w:t>
      </w:r>
      <w:r w:rsidR="001C4172" w:rsidRPr="00EA5F4B">
        <w:rPr>
          <w:rFonts w:asciiTheme="minorHAnsi" w:hAnsiTheme="minorHAnsi" w:cs="Arial"/>
          <w:lang w:val="en-GB"/>
        </w:rPr>
        <w:t xml:space="preserve">udit </w:t>
      </w:r>
      <w:r w:rsidR="00F97082">
        <w:rPr>
          <w:rFonts w:asciiTheme="minorHAnsi" w:hAnsiTheme="minorHAnsi" w:cs="Arial"/>
          <w:lang w:val="en-GB"/>
        </w:rPr>
        <w:t>P</w:t>
      </w:r>
      <w:r w:rsidR="001C4172" w:rsidRPr="00EA5F4B">
        <w:rPr>
          <w:rFonts w:asciiTheme="minorHAnsi" w:hAnsiTheme="minorHAnsi" w:cs="Arial"/>
          <w:lang w:val="en-GB"/>
        </w:rPr>
        <w:t xml:space="preserve">lan of the Supreme Audit Office ("SAO") for 2016 under number 16/23. The audit was managed and audit </w:t>
      </w:r>
      <w:r w:rsidR="003A283E">
        <w:rPr>
          <w:rFonts w:asciiTheme="minorHAnsi" w:hAnsiTheme="minorHAnsi" w:cs="Arial"/>
          <w:lang w:val="en-GB"/>
        </w:rPr>
        <w:t>conclusion</w:t>
      </w:r>
      <w:r w:rsidR="001C4172" w:rsidRPr="00EA5F4B">
        <w:rPr>
          <w:rFonts w:asciiTheme="minorHAnsi" w:hAnsiTheme="minorHAnsi" w:cs="Arial"/>
          <w:lang w:val="en-GB"/>
        </w:rPr>
        <w:t xml:space="preserve"> drawn up by </w:t>
      </w:r>
      <w:r w:rsidR="00C979BC">
        <w:rPr>
          <w:rFonts w:asciiTheme="minorHAnsi" w:hAnsiTheme="minorHAnsi" w:cs="Arial"/>
          <w:lang w:val="en-GB"/>
        </w:rPr>
        <w:t xml:space="preserve">the </w:t>
      </w:r>
      <w:r w:rsidR="001C4172" w:rsidRPr="00EA5F4B">
        <w:rPr>
          <w:rFonts w:asciiTheme="minorHAnsi" w:hAnsiTheme="minorHAnsi" w:cs="Arial"/>
          <w:lang w:val="en-GB"/>
        </w:rPr>
        <w:t xml:space="preserve">SAO </w:t>
      </w:r>
      <w:r w:rsidR="00F97082">
        <w:rPr>
          <w:rFonts w:asciiTheme="minorHAnsi" w:hAnsiTheme="minorHAnsi" w:cs="Arial"/>
          <w:lang w:val="en-GB"/>
        </w:rPr>
        <w:t>M</w:t>
      </w:r>
      <w:r w:rsidR="001C4172" w:rsidRPr="00EA5F4B">
        <w:rPr>
          <w:rFonts w:asciiTheme="minorHAnsi" w:hAnsiTheme="minorHAnsi" w:cs="Arial"/>
          <w:lang w:val="en-GB"/>
        </w:rPr>
        <w:t xml:space="preserve">ember Pavel </w:t>
      </w:r>
      <w:proofErr w:type="spellStart"/>
      <w:r w:rsidR="001C4172" w:rsidRPr="00EA5F4B">
        <w:rPr>
          <w:rFonts w:asciiTheme="minorHAnsi" w:hAnsiTheme="minorHAnsi" w:cs="Arial"/>
          <w:lang w:val="en-GB"/>
        </w:rPr>
        <w:t>Hrnčíř</w:t>
      </w:r>
      <w:proofErr w:type="spellEnd"/>
      <w:r w:rsidR="001C4172" w:rsidRPr="00EA5F4B">
        <w:rPr>
          <w:rFonts w:asciiTheme="minorHAnsi" w:hAnsiTheme="minorHAnsi" w:cs="Arial"/>
          <w:lang w:val="en-GB"/>
        </w:rPr>
        <w:t>.</w:t>
      </w:r>
    </w:p>
    <w:p w:rsidR="00B5686B" w:rsidRPr="00EA5F4B" w:rsidRDefault="00B5686B" w:rsidP="00611CE1">
      <w:pPr>
        <w:pStyle w:val="Zkladn"/>
        <w:spacing w:before="0" w:line="280" w:lineRule="atLeast"/>
        <w:contextualSpacing/>
        <w:rPr>
          <w:rFonts w:asciiTheme="minorHAnsi" w:hAnsiTheme="minorHAnsi" w:cs="Arial"/>
          <w:lang w:val="en-GB"/>
        </w:rPr>
      </w:pPr>
    </w:p>
    <w:p w:rsidR="00B5686B" w:rsidRPr="00EA5F4B" w:rsidRDefault="001C4172" w:rsidP="001C4172">
      <w:pPr>
        <w:pStyle w:val="Zkladntextodsazen"/>
        <w:spacing w:after="0" w:line="280" w:lineRule="atLeast"/>
        <w:ind w:left="0"/>
        <w:contextualSpacing/>
        <w:jc w:val="both"/>
        <w:rPr>
          <w:rFonts w:asciiTheme="minorHAnsi" w:hAnsiTheme="minorHAnsi" w:cs="Arial"/>
          <w:lang w:val="en-GB"/>
        </w:rPr>
      </w:pPr>
      <w:r w:rsidRPr="00EA5F4B">
        <w:rPr>
          <w:rFonts w:asciiTheme="minorHAnsi" w:hAnsiTheme="minorHAnsi" w:cs="Arial"/>
          <w:b/>
          <w:lang w:val="en-GB"/>
        </w:rPr>
        <w:t xml:space="preserve">The </w:t>
      </w:r>
      <w:r w:rsidR="003A283E">
        <w:rPr>
          <w:rFonts w:asciiTheme="minorHAnsi" w:hAnsiTheme="minorHAnsi" w:cs="Arial"/>
          <w:b/>
          <w:lang w:val="en-GB"/>
        </w:rPr>
        <w:t>aim</w:t>
      </w:r>
      <w:r w:rsidRPr="00EA5F4B">
        <w:rPr>
          <w:rFonts w:asciiTheme="minorHAnsi" w:hAnsiTheme="minorHAnsi" w:cs="Arial"/>
          <w:b/>
          <w:lang w:val="en-GB"/>
        </w:rPr>
        <w:t xml:space="preserve"> of the audit</w:t>
      </w:r>
      <w:r w:rsidR="00B5686B" w:rsidRPr="00EA5F4B">
        <w:rPr>
          <w:rFonts w:asciiTheme="minorHAnsi" w:hAnsiTheme="minorHAnsi" w:cs="Arial"/>
          <w:lang w:val="en-GB"/>
        </w:rPr>
        <w:t xml:space="preserve"> </w:t>
      </w:r>
      <w:r w:rsidRPr="00EA5F4B">
        <w:rPr>
          <w:rFonts w:asciiTheme="minorHAnsi" w:hAnsiTheme="minorHAnsi" w:cs="Arial"/>
          <w:lang w:val="en-GB"/>
        </w:rPr>
        <w:t xml:space="preserve">was to </w:t>
      </w:r>
      <w:r w:rsidR="003A283E">
        <w:rPr>
          <w:rFonts w:asciiTheme="minorHAnsi" w:hAnsiTheme="minorHAnsi" w:cs="Arial"/>
          <w:lang w:val="en-GB"/>
        </w:rPr>
        <w:t>scrutinise</w:t>
      </w:r>
      <w:r w:rsidRPr="00EA5F4B">
        <w:rPr>
          <w:rFonts w:asciiTheme="minorHAnsi" w:hAnsiTheme="minorHAnsi" w:cs="Arial"/>
          <w:lang w:val="en-GB"/>
        </w:rPr>
        <w:t xml:space="preserve"> the provision, drawing</w:t>
      </w:r>
      <w:r w:rsidR="00E6250E">
        <w:rPr>
          <w:rFonts w:asciiTheme="minorHAnsi" w:hAnsiTheme="minorHAnsi" w:cs="Arial"/>
          <w:lang w:val="en-GB"/>
        </w:rPr>
        <w:t>,</w:t>
      </w:r>
      <w:r w:rsidRPr="00EA5F4B">
        <w:rPr>
          <w:rFonts w:asciiTheme="minorHAnsi" w:hAnsiTheme="minorHAnsi" w:cs="Arial"/>
          <w:lang w:val="en-GB"/>
        </w:rPr>
        <w:t xml:space="preserve"> and use of funds earmarked for the implementation of measures related to waste management.</w:t>
      </w:r>
    </w:p>
    <w:p w:rsidR="00B5686B" w:rsidRPr="00EA5F4B" w:rsidRDefault="00B5686B" w:rsidP="00611CE1">
      <w:pPr>
        <w:pStyle w:val="Zkladntextodsazen"/>
        <w:spacing w:after="0" w:line="280" w:lineRule="atLeast"/>
        <w:ind w:left="0"/>
        <w:contextualSpacing/>
        <w:jc w:val="both"/>
        <w:rPr>
          <w:rFonts w:asciiTheme="minorHAnsi" w:hAnsiTheme="minorHAnsi" w:cs="Arial"/>
          <w:lang w:val="en-GB"/>
        </w:rPr>
      </w:pPr>
    </w:p>
    <w:p w:rsidR="0025470A" w:rsidRPr="00EA5F4B" w:rsidRDefault="00D954FA" w:rsidP="00D954FA">
      <w:pPr>
        <w:spacing w:line="280" w:lineRule="atLeast"/>
        <w:contextualSpacing/>
        <w:jc w:val="both"/>
        <w:rPr>
          <w:rFonts w:asciiTheme="minorHAnsi" w:hAnsiTheme="minorHAnsi" w:cs="Arial"/>
          <w:lang w:val="en-GB"/>
        </w:rPr>
      </w:pPr>
      <w:r w:rsidRPr="00EA5F4B">
        <w:rPr>
          <w:rFonts w:asciiTheme="minorHAnsi" w:hAnsiTheme="minorHAnsi" w:cs="Arial"/>
          <w:lang w:val="en-GB"/>
        </w:rPr>
        <w:t>The period audited was 2012 to 2016</w:t>
      </w:r>
      <w:r w:rsidR="003A283E">
        <w:rPr>
          <w:rFonts w:asciiTheme="minorHAnsi" w:hAnsiTheme="minorHAnsi" w:cs="Arial"/>
          <w:lang w:val="en-GB"/>
        </w:rPr>
        <w:t xml:space="preserve"> and,</w:t>
      </w:r>
      <w:r w:rsidRPr="00EA5F4B">
        <w:rPr>
          <w:rFonts w:asciiTheme="minorHAnsi" w:hAnsiTheme="minorHAnsi" w:cs="Arial"/>
          <w:lang w:val="en-GB"/>
        </w:rPr>
        <w:t xml:space="preserve"> where relevant, the period preceding this and the period up to completion of the audit.</w:t>
      </w:r>
      <w:r w:rsidR="003A283E">
        <w:rPr>
          <w:rFonts w:asciiTheme="minorHAnsi" w:hAnsiTheme="minorHAnsi" w:cs="Arial"/>
          <w:lang w:val="en-GB"/>
        </w:rPr>
        <w:t xml:space="preserve"> </w:t>
      </w:r>
      <w:r w:rsidRPr="00EA5F4B">
        <w:rPr>
          <w:rFonts w:asciiTheme="minorHAnsi" w:hAnsiTheme="minorHAnsi" w:cs="Arial"/>
          <w:lang w:val="en-GB"/>
        </w:rPr>
        <w:t xml:space="preserve">The audit was conducted at the </w:t>
      </w:r>
      <w:r w:rsidR="00E6250E">
        <w:rPr>
          <w:rFonts w:asciiTheme="minorHAnsi" w:hAnsiTheme="minorHAnsi" w:cs="Arial"/>
          <w:lang w:val="en-GB"/>
        </w:rPr>
        <w:t>audite</w:t>
      </w:r>
      <w:r w:rsidRPr="00EA5F4B">
        <w:rPr>
          <w:rFonts w:asciiTheme="minorHAnsi" w:hAnsiTheme="minorHAnsi" w:cs="Arial"/>
          <w:lang w:val="en-GB"/>
        </w:rPr>
        <w:t>es from August 2016 until January 2017</w:t>
      </w:r>
      <w:r w:rsidR="0025470A" w:rsidRPr="00EA5F4B">
        <w:rPr>
          <w:rFonts w:asciiTheme="minorHAnsi" w:hAnsiTheme="minorHAnsi" w:cs="Arial"/>
          <w:lang w:val="en-GB"/>
        </w:rPr>
        <w:t>.</w:t>
      </w:r>
    </w:p>
    <w:p w:rsidR="00B5686B" w:rsidRPr="00EA5F4B" w:rsidRDefault="00B5686B" w:rsidP="00611CE1">
      <w:pPr>
        <w:spacing w:line="280" w:lineRule="atLeast"/>
        <w:contextualSpacing/>
        <w:jc w:val="both"/>
        <w:rPr>
          <w:rFonts w:asciiTheme="minorHAnsi" w:hAnsiTheme="minorHAnsi" w:cs="Arial"/>
          <w:lang w:val="en-GB"/>
        </w:rPr>
      </w:pPr>
    </w:p>
    <w:p w:rsidR="00B5686B" w:rsidRPr="00EA5F4B" w:rsidRDefault="009A723D" w:rsidP="00611CE1">
      <w:pPr>
        <w:pStyle w:val="Zkladn"/>
        <w:spacing w:before="0" w:line="280" w:lineRule="atLeast"/>
        <w:contextualSpacing/>
        <w:rPr>
          <w:rFonts w:asciiTheme="minorHAnsi" w:hAnsiTheme="minorHAnsi" w:cs="Arial"/>
          <w:b/>
          <w:lang w:val="en-GB"/>
        </w:rPr>
      </w:pPr>
      <w:r w:rsidRPr="00EA5F4B">
        <w:rPr>
          <w:rFonts w:asciiTheme="minorHAnsi" w:hAnsiTheme="minorHAnsi" w:cs="Arial"/>
          <w:b/>
          <w:lang w:val="en-GB"/>
        </w:rPr>
        <w:t>Audited entities</w:t>
      </w:r>
      <w:r w:rsidR="00B5686B" w:rsidRPr="00EA5F4B">
        <w:rPr>
          <w:rFonts w:asciiTheme="minorHAnsi" w:hAnsiTheme="minorHAnsi" w:cs="Arial"/>
          <w:b/>
          <w:lang w:val="en-GB"/>
        </w:rPr>
        <w:t>:</w:t>
      </w:r>
    </w:p>
    <w:p w:rsidR="007D260D" w:rsidRPr="00EA5F4B" w:rsidRDefault="009A723D" w:rsidP="009A723D">
      <w:pPr>
        <w:pStyle w:val="Zkladn"/>
        <w:spacing w:before="0" w:line="280" w:lineRule="atLeast"/>
        <w:contextualSpacing/>
        <w:rPr>
          <w:rFonts w:asciiTheme="minorHAnsi" w:hAnsiTheme="minorHAnsi" w:cs="Arial"/>
          <w:lang w:val="en-GB"/>
        </w:rPr>
      </w:pPr>
      <w:r w:rsidRPr="00EA5F4B">
        <w:rPr>
          <w:rFonts w:asciiTheme="minorHAnsi" w:hAnsiTheme="minorHAnsi" w:cs="Arial"/>
          <w:lang w:val="en-GB"/>
        </w:rPr>
        <w:t xml:space="preserve">Ministry of the Environment; State Environmental Fund of the Czech Republic; </w:t>
      </w:r>
      <w:r w:rsidR="00676CD0" w:rsidRPr="00EA5F4B">
        <w:rPr>
          <w:rFonts w:asciiTheme="minorHAnsi" w:hAnsiTheme="minorHAnsi" w:cs="Arial"/>
          <w:lang w:val="en-GB"/>
        </w:rPr>
        <w:t xml:space="preserve">AZS 98, </w:t>
      </w:r>
      <w:proofErr w:type="spellStart"/>
      <w:r w:rsidR="00676CD0" w:rsidRPr="00EA5F4B">
        <w:rPr>
          <w:rFonts w:asciiTheme="minorHAnsi" w:hAnsiTheme="minorHAnsi" w:cs="Arial"/>
          <w:lang w:val="en-GB"/>
        </w:rPr>
        <w:t>s.r.o</w:t>
      </w:r>
      <w:proofErr w:type="spellEnd"/>
      <w:r w:rsidR="00676CD0" w:rsidRPr="00EA5F4B">
        <w:rPr>
          <w:rFonts w:asciiTheme="minorHAnsi" w:hAnsiTheme="minorHAnsi" w:cs="Arial"/>
          <w:lang w:val="en-GB"/>
        </w:rPr>
        <w:t>.</w:t>
      </w:r>
      <w:r w:rsidR="00495BFA" w:rsidRPr="00EA5F4B">
        <w:rPr>
          <w:rFonts w:asciiTheme="minorHAnsi" w:hAnsiTheme="minorHAnsi" w:cs="Arial"/>
          <w:lang w:val="en-GB"/>
        </w:rPr>
        <w:t xml:space="preserve">, </w:t>
      </w:r>
      <w:proofErr w:type="spellStart"/>
      <w:r w:rsidR="00495BFA" w:rsidRPr="00EA5F4B">
        <w:rPr>
          <w:rFonts w:asciiTheme="minorHAnsi" w:hAnsiTheme="minorHAnsi" w:cs="Arial"/>
          <w:lang w:val="en-GB"/>
        </w:rPr>
        <w:t>Plzeň</w:t>
      </w:r>
      <w:proofErr w:type="spellEnd"/>
      <w:r w:rsidR="00676CD0" w:rsidRPr="00EA5F4B">
        <w:rPr>
          <w:rFonts w:asciiTheme="minorHAnsi" w:hAnsiTheme="minorHAnsi" w:cs="Arial"/>
          <w:lang w:val="en-GB"/>
        </w:rPr>
        <w:t>;</w:t>
      </w:r>
      <w:r w:rsidR="003C1FC0" w:rsidRPr="00EA5F4B">
        <w:rPr>
          <w:rFonts w:asciiTheme="minorHAnsi" w:hAnsiTheme="minorHAnsi" w:cs="Arial"/>
          <w:lang w:val="en-GB"/>
        </w:rPr>
        <w:t xml:space="preserve"> </w:t>
      </w:r>
      <w:r w:rsidR="00676CD0" w:rsidRPr="00EA5F4B">
        <w:rPr>
          <w:rFonts w:asciiTheme="minorHAnsi" w:hAnsiTheme="minorHAnsi" w:cs="Arial"/>
          <w:lang w:val="en-GB"/>
        </w:rPr>
        <w:t xml:space="preserve">Petr </w:t>
      </w:r>
      <w:proofErr w:type="spellStart"/>
      <w:r w:rsidR="00676CD0" w:rsidRPr="00EA5F4B">
        <w:rPr>
          <w:rFonts w:asciiTheme="minorHAnsi" w:hAnsiTheme="minorHAnsi" w:cs="Arial"/>
          <w:lang w:val="en-GB"/>
        </w:rPr>
        <w:t>Beneš</w:t>
      </w:r>
      <w:proofErr w:type="spellEnd"/>
      <w:r w:rsidR="00495BFA" w:rsidRPr="00EA5F4B">
        <w:rPr>
          <w:rFonts w:asciiTheme="minorHAnsi" w:hAnsiTheme="minorHAnsi" w:cs="Arial"/>
          <w:lang w:val="en-GB"/>
        </w:rPr>
        <w:t xml:space="preserve">, </w:t>
      </w:r>
      <w:proofErr w:type="spellStart"/>
      <w:r w:rsidR="00495BFA" w:rsidRPr="00EA5F4B">
        <w:rPr>
          <w:rFonts w:asciiTheme="minorHAnsi" w:hAnsiTheme="minorHAnsi" w:cs="Arial"/>
          <w:lang w:val="en-GB"/>
        </w:rPr>
        <w:t>Klenčí</w:t>
      </w:r>
      <w:proofErr w:type="spellEnd"/>
      <w:r w:rsidR="00495BFA" w:rsidRPr="00EA5F4B">
        <w:rPr>
          <w:rFonts w:asciiTheme="minorHAnsi" w:hAnsiTheme="minorHAnsi" w:cs="Arial"/>
          <w:lang w:val="en-GB"/>
        </w:rPr>
        <w:t xml:space="preserve"> pod </w:t>
      </w:r>
      <w:proofErr w:type="spellStart"/>
      <w:r w:rsidR="00495BFA" w:rsidRPr="00EA5F4B">
        <w:rPr>
          <w:rFonts w:asciiTheme="minorHAnsi" w:hAnsiTheme="minorHAnsi" w:cs="Arial"/>
          <w:lang w:val="en-GB"/>
        </w:rPr>
        <w:t>Če</w:t>
      </w:r>
      <w:r w:rsidR="00320C7B" w:rsidRPr="00EA5F4B">
        <w:rPr>
          <w:rFonts w:asciiTheme="minorHAnsi" w:hAnsiTheme="minorHAnsi" w:cs="Arial"/>
          <w:lang w:val="en-GB"/>
        </w:rPr>
        <w:t>rchovem</w:t>
      </w:r>
      <w:proofErr w:type="spellEnd"/>
      <w:r w:rsidR="00320C7B" w:rsidRPr="00EA5F4B">
        <w:rPr>
          <w:rFonts w:asciiTheme="minorHAnsi" w:hAnsiTheme="minorHAnsi" w:cs="Arial"/>
          <w:lang w:val="en-GB"/>
        </w:rPr>
        <w:t xml:space="preserve"> </w:t>
      </w:r>
      <w:r w:rsidRPr="00EA5F4B">
        <w:rPr>
          <w:rFonts w:asciiTheme="minorHAnsi" w:hAnsiTheme="minorHAnsi" w:cs="Arial"/>
          <w:lang w:val="en-GB"/>
        </w:rPr>
        <w:t>no.</w:t>
      </w:r>
      <w:r w:rsidR="00320C7B" w:rsidRPr="00EA5F4B">
        <w:rPr>
          <w:rFonts w:asciiTheme="minorHAnsi" w:hAnsiTheme="minorHAnsi" w:cs="Arial"/>
          <w:lang w:val="en-GB"/>
        </w:rPr>
        <w:t> </w:t>
      </w:r>
      <w:r w:rsidR="00495BFA" w:rsidRPr="00EA5F4B">
        <w:rPr>
          <w:rFonts w:asciiTheme="minorHAnsi" w:hAnsiTheme="minorHAnsi" w:cs="Arial"/>
          <w:lang w:val="en-GB"/>
        </w:rPr>
        <w:t>255</w:t>
      </w:r>
      <w:r w:rsidR="00676CD0" w:rsidRPr="00EA5F4B">
        <w:rPr>
          <w:rFonts w:asciiTheme="minorHAnsi" w:hAnsiTheme="minorHAnsi" w:cs="Arial"/>
          <w:lang w:val="en-GB"/>
        </w:rPr>
        <w:t>;</w:t>
      </w:r>
      <w:r w:rsidR="003C1FC0" w:rsidRPr="00EA5F4B">
        <w:rPr>
          <w:rFonts w:asciiTheme="minorHAnsi" w:hAnsiTheme="minorHAnsi" w:cs="Arial"/>
          <w:lang w:val="en-GB"/>
        </w:rPr>
        <w:t xml:space="preserve"> </w:t>
      </w:r>
      <w:r w:rsidRPr="00EA5F4B">
        <w:rPr>
          <w:rFonts w:asciiTheme="minorHAnsi" w:hAnsiTheme="minorHAnsi" w:cs="Arial"/>
          <w:lang w:val="en-GB"/>
        </w:rPr>
        <w:t>City of</w:t>
      </w:r>
      <w:r w:rsidR="00676CD0" w:rsidRPr="00EA5F4B">
        <w:rPr>
          <w:rFonts w:asciiTheme="minorHAnsi" w:hAnsiTheme="minorHAnsi" w:cs="Arial"/>
          <w:lang w:val="en-GB"/>
        </w:rPr>
        <w:t xml:space="preserve"> </w:t>
      </w:r>
      <w:proofErr w:type="spellStart"/>
      <w:r w:rsidR="00676CD0" w:rsidRPr="00EA5F4B">
        <w:rPr>
          <w:rFonts w:asciiTheme="minorHAnsi" w:hAnsiTheme="minorHAnsi" w:cs="Arial"/>
          <w:lang w:val="en-GB"/>
        </w:rPr>
        <w:t>Klatovy</w:t>
      </w:r>
      <w:proofErr w:type="spellEnd"/>
      <w:r w:rsidR="00676CD0" w:rsidRPr="00EA5F4B">
        <w:rPr>
          <w:rFonts w:asciiTheme="minorHAnsi" w:hAnsiTheme="minorHAnsi" w:cs="Arial"/>
          <w:lang w:val="en-GB"/>
        </w:rPr>
        <w:t>;</w:t>
      </w:r>
      <w:r w:rsidR="003C1FC0" w:rsidRPr="00EA5F4B">
        <w:rPr>
          <w:rFonts w:asciiTheme="minorHAnsi" w:hAnsiTheme="minorHAnsi" w:cs="Arial"/>
          <w:lang w:val="en-GB"/>
        </w:rPr>
        <w:t xml:space="preserve"> </w:t>
      </w:r>
      <w:r w:rsidRPr="00EA5F4B">
        <w:rPr>
          <w:rFonts w:asciiTheme="minorHAnsi" w:hAnsiTheme="minorHAnsi" w:cs="Arial"/>
          <w:lang w:val="en-GB"/>
        </w:rPr>
        <w:t>City of</w:t>
      </w:r>
      <w:r w:rsidR="00676CD0" w:rsidRPr="00EA5F4B">
        <w:rPr>
          <w:rFonts w:asciiTheme="minorHAnsi" w:hAnsiTheme="minorHAnsi" w:cs="Arial"/>
          <w:lang w:val="en-GB"/>
        </w:rPr>
        <w:t xml:space="preserve"> </w:t>
      </w:r>
      <w:proofErr w:type="spellStart"/>
      <w:r w:rsidR="00676CD0" w:rsidRPr="00EA5F4B">
        <w:rPr>
          <w:rFonts w:asciiTheme="minorHAnsi" w:hAnsiTheme="minorHAnsi" w:cs="Arial"/>
          <w:lang w:val="en-GB"/>
        </w:rPr>
        <w:t>Humpolec</w:t>
      </w:r>
      <w:proofErr w:type="spellEnd"/>
      <w:r w:rsidR="00676CD0" w:rsidRPr="00EA5F4B">
        <w:rPr>
          <w:rFonts w:asciiTheme="minorHAnsi" w:hAnsiTheme="minorHAnsi" w:cs="Arial"/>
          <w:lang w:val="en-GB"/>
        </w:rPr>
        <w:t>;</w:t>
      </w:r>
      <w:r w:rsidR="003C1FC0" w:rsidRPr="00EA5F4B">
        <w:rPr>
          <w:rFonts w:asciiTheme="minorHAnsi" w:hAnsiTheme="minorHAnsi" w:cs="Arial"/>
          <w:lang w:val="en-GB"/>
        </w:rPr>
        <w:t xml:space="preserve"> </w:t>
      </w:r>
      <w:r w:rsidR="00676CD0" w:rsidRPr="00EA5F4B">
        <w:rPr>
          <w:rFonts w:asciiTheme="minorHAnsi" w:hAnsiTheme="minorHAnsi" w:cs="Arial"/>
          <w:lang w:val="en-GB"/>
        </w:rPr>
        <w:t>OVO</w:t>
      </w:r>
      <w:r w:rsidR="00FE1FA7" w:rsidRPr="00EA5F4B">
        <w:rPr>
          <w:rFonts w:asciiTheme="minorHAnsi" w:hAnsiTheme="minorHAnsi" w:cs="Arial"/>
          <w:lang w:val="en-GB"/>
        </w:rPr>
        <w:t> </w:t>
      </w:r>
      <w:r w:rsidR="00676CD0" w:rsidRPr="00EA5F4B">
        <w:rPr>
          <w:rFonts w:asciiTheme="minorHAnsi" w:hAnsiTheme="minorHAnsi" w:cs="Arial"/>
          <w:lang w:val="en-GB"/>
        </w:rPr>
        <w:t>-</w:t>
      </w:r>
      <w:r w:rsidR="00FE1FA7" w:rsidRPr="00EA5F4B">
        <w:rPr>
          <w:rFonts w:asciiTheme="minorHAnsi" w:hAnsiTheme="minorHAnsi" w:cs="Arial"/>
          <w:lang w:val="en-GB"/>
        </w:rPr>
        <w:t> </w:t>
      </w:r>
      <w:r w:rsidR="00676CD0" w:rsidRPr="00EA5F4B">
        <w:rPr>
          <w:rFonts w:asciiTheme="minorHAnsi" w:hAnsiTheme="minorHAnsi" w:cs="Arial"/>
          <w:lang w:val="en-GB"/>
        </w:rPr>
        <w:t xml:space="preserve">IMONT </w:t>
      </w:r>
      <w:proofErr w:type="spellStart"/>
      <w:r w:rsidR="00676CD0" w:rsidRPr="00EA5F4B">
        <w:rPr>
          <w:rFonts w:asciiTheme="minorHAnsi" w:hAnsiTheme="minorHAnsi" w:cs="Arial"/>
          <w:lang w:val="en-GB"/>
        </w:rPr>
        <w:t>Třebíč</w:t>
      </w:r>
      <w:proofErr w:type="spellEnd"/>
      <w:r w:rsidR="00676CD0" w:rsidRPr="00EA5F4B">
        <w:rPr>
          <w:rFonts w:asciiTheme="minorHAnsi" w:hAnsiTheme="minorHAnsi" w:cs="Arial"/>
          <w:lang w:val="en-GB"/>
        </w:rPr>
        <w:t xml:space="preserve">, </w:t>
      </w:r>
      <w:proofErr w:type="spellStart"/>
      <w:r w:rsidR="00676CD0" w:rsidRPr="00EA5F4B">
        <w:rPr>
          <w:rFonts w:asciiTheme="minorHAnsi" w:hAnsiTheme="minorHAnsi" w:cs="Arial"/>
          <w:lang w:val="en-GB"/>
        </w:rPr>
        <w:t>spol</w:t>
      </w:r>
      <w:proofErr w:type="spellEnd"/>
      <w:r w:rsidR="00676CD0" w:rsidRPr="00EA5F4B">
        <w:rPr>
          <w:rFonts w:asciiTheme="minorHAnsi" w:hAnsiTheme="minorHAnsi" w:cs="Arial"/>
          <w:lang w:val="en-GB"/>
        </w:rPr>
        <w:t>. s r.</w:t>
      </w:r>
      <w:r w:rsidR="00E6250E">
        <w:rPr>
          <w:rFonts w:asciiTheme="minorHAnsi" w:hAnsiTheme="minorHAnsi" w:cs="Arial"/>
          <w:lang w:val="en-GB"/>
        </w:rPr>
        <w:t xml:space="preserve"> </w:t>
      </w:r>
      <w:r w:rsidR="00676CD0" w:rsidRPr="00EA5F4B">
        <w:rPr>
          <w:rFonts w:asciiTheme="minorHAnsi" w:hAnsiTheme="minorHAnsi" w:cs="Arial"/>
          <w:lang w:val="en-GB"/>
        </w:rPr>
        <w:t>o.</w:t>
      </w:r>
      <w:r w:rsidR="00495BFA" w:rsidRPr="00EA5F4B">
        <w:rPr>
          <w:rFonts w:asciiTheme="minorHAnsi" w:hAnsiTheme="minorHAnsi" w:cs="Arial"/>
          <w:lang w:val="en-GB"/>
        </w:rPr>
        <w:t xml:space="preserve">, </w:t>
      </w:r>
      <w:proofErr w:type="spellStart"/>
      <w:r w:rsidR="00495BFA" w:rsidRPr="00EA5F4B">
        <w:rPr>
          <w:rFonts w:asciiTheme="minorHAnsi" w:hAnsiTheme="minorHAnsi" w:cs="Arial"/>
          <w:lang w:val="en-GB"/>
        </w:rPr>
        <w:t>Kožichovice</w:t>
      </w:r>
      <w:proofErr w:type="spellEnd"/>
      <w:r w:rsidR="00676CD0" w:rsidRPr="00EA5F4B">
        <w:rPr>
          <w:rFonts w:asciiTheme="minorHAnsi" w:hAnsiTheme="minorHAnsi" w:cs="Arial"/>
          <w:lang w:val="en-GB"/>
        </w:rPr>
        <w:t>;</w:t>
      </w:r>
      <w:r w:rsidR="003C1FC0" w:rsidRPr="00EA5F4B">
        <w:rPr>
          <w:rFonts w:asciiTheme="minorHAnsi" w:hAnsiTheme="minorHAnsi" w:cs="Arial"/>
          <w:lang w:val="en-GB"/>
        </w:rPr>
        <w:t xml:space="preserve"> </w:t>
      </w:r>
      <w:r w:rsidR="00676CD0" w:rsidRPr="00EA5F4B">
        <w:rPr>
          <w:rFonts w:asciiTheme="minorHAnsi" w:hAnsiTheme="minorHAnsi" w:cs="Arial"/>
          <w:lang w:val="en-GB"/>
        </w:rPr>
        <w:t>ODAS ODPADY s.</w:t>
      </w:r>
      <w:r w:rsidR="00E6250E">
        <w:rPr>
          <w:rFonts w:asciiTheme="minorHAnsi" w:hAnsiTheme="minorHAnsi" w:cs="Arial"/>
          <w:lang w:val="en-GB"/>
        </w:rPr>
        <w:t xml:space="preserve"> </w:t>
      </w:r>
      <w:r w:rsidR="00676CD0" w:rsidRPr="00EA5F4B">
        <w:rPr>
          <w:rFonts w:asciiTheme="minorHAnsi" w:hAnsiTheme="minorHAnsi" w:cs="Arial"/>
          <w:lang w:val="en-GB"/>
        </w:rPr>
        <w:t>r.</w:t>
      </w:r>
      <w:r w:rsidR="00E6250E">
        <w:rPr>
          <w:rFonts w:asciiTheme="minorHAnsi" w:hAnsiTheme="minorHAnsi" w:cs="Arial"/>
          <w:lang w:val="en-GB"/>
        </w:rPr>
        <w:t xml:space="preserve"> </w:t>
      </w:r>
      <w:r w:rsidR="00676CD0" w:rsidRPr="00EA5F4B">
        <w:rPr>
          <w:rFonts w:asciiTheme="minorHAnsi" w:hAnsiTheme="minorHAnsi" w:cs="Arial"/>
          <w:lang w:val="en-GB"/>
        </w:rPr>
        <w:t>o.</w:t>
      </w:r>
      <w:r w:rsidR="00495BFA" w:rsidRPr="00EA5F4B">
        <w:rPr>
          <w:rFonts w:asciiTheme="minorHAnsi" w:hAnsiTheme="minorHAnsi" w:cs="Arial"/>
          <w:lang w:val="en-GB"/>
        </w:rPr>
        <w:t xml:space="preserve">, </w:t>
      </w:r>
      <w:proofErr w:type="spellStart"/>
      <w:r w:rsidR="00495BFA" w:rsidRPr="00EA5F4B">
        <w:rPr>
          <w:rFonts w:asciiTheme="minorHAnsi" w:hAnsiTheme="minorHAnsi" w:cs="Arial"/>
          <w:lang w:val="en-GB"/>
        </w:rPr>
        <w:t>Žďár</w:t>
      </w:r>
      <w:proofErr w:type="spellEnd"/>
      <w:r w:rsidR="00495BFA" w:rsidRPr="00EA5F4B">
        <w:rPr>
          <w:rFonts w:asciiTheme="minorHAnsi" w:hAnsiTheme="minorHAnsi" w:cs="Arial"/>
          <w:lang w:val="en-GB"/>
        </w:rPr>
        <w:t xml:space="preserve"> </w:t>
      </w:r>
      <w:proofErr w:type="spellStart"/>
      <w:r w:rsidR="00495BFA" w:rsidRPr="00EA5F4B">
        <w:rPr>
          <w:rFonts w:asciiTheme="minorHAnsi" w:hAnsiTheme="minorHAnsi" w:cs="Arial"/>
          <w:lang w:val="en-GB"/>
        </w:rPr>
        <w:t>nad</w:t>
      </w:r>
      <w:proofErr w:type="spellEnd"/>
      <w:r w:rsidR="00495BFA" w:rsidRPr="00EA5F4B">
        <w:rPr>
          <w:rFonts w:asciiTheme="minorHAnsi" w:hAnsiTheme="minorHAnsi" w:cs="Arial"/>
          <w:lang w:val="en-GB"/>
        </w:rPr>
        <w:t xml:space="preserve"> </w:t>
      </w:r>
      <w:proofErr w:type="spellStart"/>
      <w:r w:rsidR="00495BFA" w:rsidRPr="00EA5F4B">
        <w:rPr>
          <w:rFonts w:asciiTheme="minorHAnsi" w:hAnsiTheme="minorHAnsi" w:cs="Arial"/>
          <w:lang w:val="en-GB"/>
        </w:rPr>
        <w:t>Sázavou</w:t>
      </w:r>
      <w:proofErr w:type="spellEnd"/>
      <w:r w:rsidR="00676CD0" w:rsidRPr="00EA5F4B">
        <w:rPr>
          <w:rFonts w:asciiTheme="minorHAnsi" w:hAnsiTheme="minorHAnsi" w:cs="Arial"/>
          <w:lang w:val="en-GB"/>
        </w:rPr>
        <w:t>;</w:t>
      </w:r>
      <w:r w:rsidR="003C1FC0" w:rsidRPr="00EA5F4B">
        <w:rPr>
          <w:rFonts w:asciiTheme="minorHAnsi" w:hAnsiTheme="minorHAnsi" w:cs="Arial"/>
          <w:lang w:val="en-GB"/>
        </w:rPr>
        <w:t xml:space="preserve"> </w:t>
      </w:r>
      <w:r w:rsidR="00676CD0" w:rsidRPr="00EA5F4B">
        <w:rPr>
          <w:rFonts w:asciiTheme="minorHAnsi" w:hAnsiTheme="minorHAnsi" w:cs="Arial"/>
          <w:lang w:val="en-GB"/>
        </w:rPr>
        <w:t>TRANSFORM a.</w:t>
      </w:r>
      <w:r w:rsidR="00E6250E">
        <w:rPr>
          <w:rFonts w:asciiTheme="minorHAnsi" w:hAnsiTheme="minorHAnsi" w:cs="Arial"/>
          <w:lang w:val="en-GB"/>
        </w:rPr>
        <w:t xml:space="preserve"> </w:t>
      </w:r>
      <w:r w:rsidR="00676CD0" w:rsidRPr="00EA5F4B">
        <w:rPr>
          <w:rFonts w:asciiTheme="minorHAnsi" w:hAnsiTheme="minorHAnsi" w:cs="Arial"/>
          <w:lang w:val="en-GB"/>
        </w:rPr>
        <w:t xml:space="preserve">s. </w:t>
      </w:r>
      <w:proofErr w:type="spellStart"/>
      <w:r w:rsidR="00676CD0" w:rsidRPr="00EA5F4B">
        <w:rPr>
          <w:rFonts w:asciiTheme="minorHAnsi" w:hAnsiTheme="minorHAnsi" w:cs="Arial"/>
          <w:lang w:val="en-GB"/>
        </w:rPr>
        <w:t>Lázně</w:t>
      </w:r>
      <w:proofErr w:type="spellEnd"/>
      <w:r w:rsidR="00676CD0" w:rsidRPr="00EA5F4B">
        <w:rPr>
          <w:rFonts w:asciiTheme="minorHAnsi" w:hAnsiTheme="minorHAnsi" w:cs="Arial"/>
          <w:lang w:val="en-GB"/>
        </w:rPr>
        <w:t xml:space="preserve"> </w:t>
      </w:r>
      <w:proofErr w:type="spellStart"/>
      <w:r w:rsidR="00676CD0" w:rsidRPr="00EA5F4B">
        <w:rPr>
          <w:rFonts w:asciiTheme="minorHAnsi" w:hAnsiTheme="minorHAnsi" w:cs="Arial"/>
          <w:lang w:val="en-GB"/>
        </w:rPr>
        <w:t>Bohdaneč</w:t>
      </w:r>
      <w:proofErr w:type="spellEnd"/>
      <w:r w:rsidR="00676CD0" w:rsidRPr="00EA5F4B">
        <w:rPr>
          <w:rFonts w:asciiTheme="minorHAnsi" w:hAnsiTheme="minorHAnsi" w:cs="Arial"/>
          <w:lang w:val="en-GB"/>
        </w:rPr>
        <w:t>;</w:t>
      </w:r>
      <w:r w:rsidR="003C1FC0" w:rsidRPr="00EA5F4B">
        <w:rPr>
          <w:rFonts w:asciiTheme="minorHAnsi" w:hAnsiTheme="minorHAnsi" w:cs="Arial"/>
          <w:lang w:val="en-GB"/>
        </w:rPr>
        <w:t xml:space="preserve"> </w:t>
      </w:r>
      <w:r w:rsidR="00676CD0" w:rsidRPr="00EA5F4B">
        <w:rPr>
          <w:rFonts w:asciiTheme="minorHAnsi" w:hAnsiTheme="minorHAnsi" w:cs="Arial"/>
          <w:lang w:val="en-GB"/>
        </w:rPr>
        <w:t>AGRO CS a.</w:t>
      </w:r>
      <w:r w:rsidR="00E6250E">
        <w:rPr>
          <w:rFonts w:asciiTheme="minorHAnsi" w:hAnsiTheme="minorHAnsi" w:cs="Arial"/>
          <w:lang w:val="en-GB"/>
        </w:rPr>
        <w:t xml:space="preserve"> </w:t>
      </w:r>
      <w:r w:rsidR="00676CD0" w:rsidRPr="00EA5F4B">
        <w:rPr>
          <w:rFonts w:asciiTheme="minorHAnsi" w:hAnsiTheme="minorHAnsi" w:cs="Arial"/>
          <w:lang w:val="en-GB"/>
        </w:rPr>
        <w:t>s.</w:t>
      </w:r>
      <w:r w:rsidR="00495BFA" w:rsidRPr="00EA5F4B">
        <w:rPr>
          <w:rFonts w:asciiTheme="minorHAnsi" w:hAnsiTheme="minorHAnsi" w:cs="Arial"/>
          <w:lang w:val="en-GB"/>
        </w:rPr>
        <w:t xml:space="preserve">, </w:t>
      </w:r>
      <w:proofErr w:type="spellStart"/>
      <w:r w:rsidR="00495BFA" w:rsidRPr="00EA5F4B">
        <w:rPr>
          <w:rFonts w:asciiTheme="minorHAnsi" w:hAnsiTheme="minorHAnsi" w:cs="Arial"/>
          <w:lang w:val="en-GB"/>
        </w:rPr>
        <w:t>Říkov</w:t>
      </w:r>
      <w:proofErr w:type="spellEnd"/>
      <w:r w:rsidR="00676CD0" w:rsidRPr="00EA5F4B">
        <w:rPr>
          <w:rFonts w:asciiTheme="minorHAnsi" w:hAnsiTheme="minorHAnsi" w:cs="Arial"/>
          <w:lang w:val="en-GB"/>
        </w:rPr>
        <w:t>;</w:t>
      </w:r>
      <w:r w:rsidR="003C1FC0" w:rsidRPr="00EA5F4B">
        <w:rPr>
          <w:rFonts w:asciiTheme="minorHAnsi" w:hAnsiTheme="minorHAnsi" w:cs="Arial"/>
          <w:lang w:val="en-GB"/>
        </w:rPr>
        <w:t xml:space="preserve"> </w:t>
      </w:r>
      <w:r w:rsidR="00676CD0" w:rsidRPr="00EA5F4B">
        <w:rPr>
          <w:rFonts w:asciiTheme="minorHAnsi" w:hAnsiTheme="minorHAnsi" w:cs="Arial"/>
          <w:lang w:val="en-GB"/>
        </w:rPr>
        <w:t>MIROS MAJETKOVÁ a.</w:t>
      </w:r>
      <w:r w:rsidR="00E6250E">
        <w:rPr>
          <w:rFonts w:asciiTheme="minorHAnsi" w:hAnsiTheme="minorHAnsi" w:cs="Arial"/>
          <w:lang w:val="en-GB"/>
        </w:rPr>
        <w:t xml:space="preserve"> </w:t>
      </w:r>
      <w:r w:rsidR="00676CD0" w:rsidRPr="00EA5F4B">
        <w:rPr>
          <w:rFonts w:asciiTheme="minorHAnsi" w:hAnsiTheme="minorHAnsi" w:cs="Arial"/>
          <w:lang w:val="en-GB"/>
        </w:rPr>
        <w:t>s.</w:t>
      </w:r>
      <w:r w:rsidR="00495BFA" w:rsidRPr="00EA5F4B">
        <w:rPr>
          <w:rFonts w:asciiTheme="minorHAnsi" w:hAnsiTheme="minorHAnsi" w:cs="Arial"/>
          <w:lang w:val="en-GB"/>
        </w:rPr>
        <w:t>,</w:t>
      </w:r>
      <w:r w:rsidR="00036BDA" w:rsidRPr="00EA5F4B">
        <w:rPr>
          <w:rFonts w:asciiTheme="minorHAnsi" w:hAnsiTheme="minorHAnsi" w:cs="Arial"/>
          <w:lang w:val="en-GB"/>
        </w:rPr>
        <w:t xml:space="preserve"> </w:t>
      </w:r>
      <w:r w:rsidR="00495BFA" w:rsidRPr="00EA5F4B">
        <w:rPr>
          <w:rFonts w:asciiTheme="minorHAnsi" w:hAnsiTheme="minorHAnsi" w:cs="Arial"/>
          <w:lang w:val="en-GB"/>
        </w:rPr>
        <w:t>Pardubice</w:t>
      </w:r>
      <w:r w:rsidR="00676CD0" w:rsidRPr="00EA5F4B">
        <w:rPr>
          <w:rFonts w:asciiTheme="minorHAnsi" w:hAnsiTheme="minorHAnsi" w:cs="Arial"/>
          <w:lang w:val="en-GB"/>
        </w:rPr>
        <w:t>;</w:t>
      </w:r>
      <w:r w:rsidR="003C1FC0" w:rsidRPr="00EA5F4B">
        <w:rPr>
          <w:rFonts w:asciiTheme="minorHAnsi" w:hAnsiTheme="minorHAnsi" w:cs="Arial"/>
          <w:lang w:val="en-GB"/>
        </w:rPr>
        <w:t xml:space="preserve"> </w:t>
      </w:r>
      <w:r w:rsidRPr="00EA5F4B">
        <w:rPr>
          <w:rFonts w:asciiTheme="minorHAnsi" w:hAnsiTheme="minorHAnsi" w:cs="Arial"/>
          <w:lang w:val="en-GB"/>
        </w:rPr>
        <w:t>City of</w:t>
      </w:r>
      <w:r w:rsidR="00676CD0" w:rsidRPr="00EA5F4B">
        <w:rPr>
          <w:rFonts w:asciiTheme="minorHAnsi" w:hAnsiTheme="minorHAnsi" w:cs="Arial"/>
          <w:lang w:val="en-GB"/>
        </w:rPr>
        <w:t xml:space="preserve"> </w:t>
      </w:r>
      <w:proofErr w:type="spellStart"/>
      <w:r w:rsidR="00676CD0" w:rsidRPr="00EA5F4B">
        <w:rPr>
          <w:rFonts w:asciiTheme="minorHAnsi" w:hAnsiTheme="minorHAnsi" w:cs="Arial"/>
          <w:lang w:val="en-GB"/>
        </w:rPr>
        <w:t>Vimperk</w:t>
      </w:r>
      <w:proofErr w:type="spellEnd"/>
      <w:r w:rsidR="00676CD0" w:rsidRPr="00EA5F4B">
        <w:rPr>
          <w:rFonts w:asciiTheme="minorHAnsi" w:hAnsiTheme="minorHAnsi" w:cs="Arial"/>
          <w:lang w:val="en-GB"/>
        </w:rPr>
        <w:t>;</w:t>
      </w:r>
      <w:r w:rsidR="003C1FC0" w:rsidRPr="00EA5F4B">
        <w:rPr>
          <w:rFonts w:asciiTheme="minorHAnsi" w:hAnsiTheme="minorHAnsi" w:cs="Arial"/>
          <w:lang w:val="en-GB"/>
        </w:rPr>
        <w:t xml:space="preserve"> </w:t>
      </w:r>
      <w:r w:rsidR="00676CD0" w:rsidRPr="00EA5F4B">
        <w:rPr>
          <w:rFonts w:asciiTheme="minorHAnsi" w:hAnsiTheme="minorHAnsi" w:cs="Arial"/>
          <w:lang w:val="en-GB"/>
        </w:rPr>
        <w:t>KAPEX s.</w:t>
      </w:r>
      <w:r w:rsidR="00E6250E">
        <w:rPr>
          <w:rFonts w:asciiTheme="minorHAnsi" w:hAnsiTheme="minorHAnsi" w:cs="Arial"/>
          <w:lang w:val="en-GB"/>
        </w:rPr>
        <w:t xml:space="preserve"> </w:t>
      </w:r>
      <w:r w:rsidR="00676CD0" w:rsidRPr="00EA5F4B">
        <w:rPr>
          <w:rFonts w:asciiTheme="minorHAnsi" w:hAnsiTheme="minorHAnsi" w:cs="Arial"/>
          <w:lang w:val="en-GB"/>
        </w:rPr>
        <w:t>r.</w:t>
      </w:r>
      <w:r w:rsidR="00E6250E">
        <w:rPr>
          <w:rFonts w:asciiTheme="minorHAnsi" w:hAnsiTheme="minorHAnsi" w:cs="Arial"/>
          <w:lang w:val="en-GB"/>
        </w:rPr>
        <w:t xml:space="preserve"> </w:t>
      </w:r>
      <w:r w:rsidR="00676CD0" w:rsidRPr="00EA5F4B">
        <w:rPr>
          <w:rFonts w:asciiTheme="minorHAnsi" w:hAnsiTheme="minorHAnsi" w:cs="Arial"/>
          <w:lang w:val="en-GB"/>
        </w:rPr>
        <w:t>o.</w:t>
      </w:r>
      <w:r w:rsidR="00495BFA" w:rsidRPr="00EA5F4B">
        <w:rPr>
          <w:rFonts w:asciiTheme="minorHAnsi" w:hAnsiTheme="minorHAnsi" w:cs="Arial"/>
          <w:lang w:val="en-GB"/>
        </w:rPr>
        <w:t xml:space="preserve">, </w:t>
      </w:r>
      <w:proofErr w:type="spellStart"/>
      <w:r w:rsidR="00495BFA" w:rsidRPr="00EA5F4B">
        <w:rPr>
          <w:rFonts w:asciiTheme="minorHAnsi" w:hAnsiTheme="minorHAnsi" w:cs="Arial"/>
          <w:lang w:val="en-GB"/>
        </w:rPr>
        <w:t>České</w:t>
      </w:r>
      <w:proofErr w:type="spellEnd"/>
      <w:r w:rsidR="00495BFA" w:rsidRPr="00EA5F4B">
        <w:rPr>
          <w:rFonts w:asciiTheme="minorHAnsi" w:hAnsiTheme="minorHAnsi" w:cs="Arial"/>
          <w:lang w:val="en-GB"/>
        </w:rPr>
        <w:t xml:space="preserve"> </w:t>
      </w:r>
      <w:proofErr w:type="spellStart"/>
      <w:r w:rsidR="00495BFA" w:rsidRPr="00EA5F4B">
        <w:rPr>
          <w:rFonts w:asciiTheme="minorHAnsi" w:hAnsiTheme="minorHAnsi" w:cs="Arial"/>
          <w:lang w:val="en-GB"/>
        </w:rPr>
        <w:t>Budějovice</w:t>
      </w:r>
      <w:proofErr w:type="spellEnd"/>
      <w:r w:rsidR="00676CD0" w:rsidRPr="00EA5F4B">
        <w:rPr>
          <w:rFonts w:asciiTheme="minorHAnsi" w:hAnsiTheme="minorHAnsi" w:cs="Arial"/>
          <w:lang w:val="en-GB"/>
        </w:rPr>
        <w:t>;</w:t>
      </w:r>
      <w:r w:rsidR="003C1FC0" w:rsidRPr="00EA5F4B">
        <w:rPr>
          <w:rFonts w:asciiTheme="minorHAnsi" w:hAnsiTheme="minorHAnsi" w:cs="Arial"/>
          <w:lang w:val="en-GB"/>
        </w:rPr>
        <w:t xml:space="preserve"> </w:t>
      </w:r>
      <w:r w:rsidR="00676CD0" w:rsidRPr="00EA5F4B">
        <w:rPr>
          <w:rFonts w:asciiTheme="minorHAnsi" w:hAnsiTheme="minorHAnsi" w:cs="Arial"/>
          <w:lang w:val="en-GB"/>
        </w:rPr>
        <w:t xml:space="preserve">RUMPOLD 01 - </w:t>
      </w:r>
      <w:proofErr w:type="spellStart"/>
      <w:r w:rsidR="00676CD0" w:rsidRPr="00EA5F4B">
        <w:rPr>
          <w:rFonts w:asciiTheme="minorHAnsi" w:hAnsiTheme="minorHAnsi" w:cs="Arial"/>
          <w:lang w:val="en-GB"/>
        </w:rPr>
        <w:t>Vodňany</w:t>
      </w:r>
      <w:proofErr w:type="spellEnd"/>
      <w:r w:rsidR="00676CD0" w:rsidRPr="00EA5F4B">
        <w:rPr>
          <w:rFonts w:asciiTheme="minorHAnsi" w:hAnsiTheme="minorHAnsi" w:cs="Arial"/>
          <w:lang w:val="en-GB"/>
        </w:rPr>
        <w:t xml:space="preserve"> s.</w:t>
      </w:r>
      <w:r w:rsidR="00E6250E">
        <w:rPr>
          <w:rFonts w:asciiTheme="minorHAnsi" w:hAnsiTheme="minorHAnsi" w:cs="Arial"/>
          <w:lang w:val="en-GB"/>
        </w:rPr>
        <w:t xml:space="preserve"> </w:t>
      </w:r>
      <w:r w:rsidR="00676CD0" w:rsidRPr="00EA5F4B">
        <w:rPr>
          <w:rFonts w:asciiTheme="minorHAnsi" w:hAnsiTheme="minorHAnsi" w:cs="Arial"/>
          <w:lang w:val="en-GB"/>
        </w:rPr>
        <w:t>r.</w:t>
      </w:r>
      <w:r w:rsidR="00E6250E">
        <w:rPr>
          <w:rFonts w:asciiTheme="minorHAnsi" w:hAnsiTheme="minorHAnsi" w:cs="Arial"/>
          <w:lang w:val="en-GB"/>
        </w:rPr>
        <w:t xml:space="preserve"> </w:t>
      </w:r>
      <w:r w:rsidR="00676CD0" w:rsidRPr="00EA5F4B">
        <w:rPr>
          <w:rFonts w:asciiTheme="minorHAnsi" w:hAnsiTheme="minorHAnsi" w:cs="Arial"/>
          <w:lang w:val="en-GB"/>
        </w:rPr>
        <w:t>o.</w:t>
      </w:r>
    </w:p>
    <w:p w:rsidR="00B5686B" w:rsidRPr="00EA5F4B" w:rsidRDefault="00B5686B" w:rsidP="00611CE1">
      <w:pPr>
        <w:pStyle w:val="Zkladn"/>
        <w:spacing w:before="0" w:line="280" w:lineRule="atLeast"/>
        <w:contextualSpacing/>
        <w:rPr>
          <w:rFonts w:asciiTheme="minorHAnsi" w:hAnsiTheme="minorHAnsi" w:cs="Arial"/>
          <w:lang w:val="en-GB"/>
        </w:rPr>
      </w:pPr>
    </w:p>
    <w:p w:rsidR="007D260D" w:rsidRPr="00EA5F4B" w:rsidRDefault="009A723D" w:rsidP="009A723D">
      <w:pPr>
        <w:spacing w:line="280" w:lineRule="atLeast"/>
        <w:jc w:val="both"/>
        <w:rPr>
          <w:rFonts w:asciiTheme="minorHAnsi" w:hAnsiTheme="minorHAnsi" w:cs="Calibri"/>
          <w:lang w:val="en-GB"/>
        </w:rPr>
      </w:pPr>
      <w:r w:rsidRPr="00EA5F4B">
        <w:rPr>
          <w:rFonts w:asciiTheme="minorHAnsi" w:hAnsiTheme="minorHAnsi" w:cs="Calibri"/>
          <w:lang w:val="en-GB"/>
        </w:rPr>
        <w:t>Objections against the audit report were submitted by the Ministry of the Environment and were addressed by the head of the audit group with a Decision on Objections.</w:t>
      </w:r>
    </w:p>
    <w:p w:rsidR="008D0032" w:rsidRPr="00EA5F4B" w:rsidRDefault="008D0032" w:rsidP="00611CE1">
      <w:pPr>
        <w:spacing w:line="280" w:lineRule="atLeast"/>
        <w:ind w:right="70"/>
        <w:contextualSpacing/>
        <w:jc w:val="both"/>
        <w:rPr>
          <w:rFonts w:asciiTheme="minorHAnsi" w:hAnsiTheme="minorHAnsi" w:cs="Arial"/>
          <w:lang w:val="en-GB"/>
        </w:rPr>
      </w:pPr>
    </w:p>
    <w:p w:rsidR="00676CD0" w:rsidRPr="00EA5F4B" w:rsidRDefault="00676CD0" w:rsidP="00611CE1">
      <w:pPr>
        <w:spacing w:line="280" w:lineRule="atLeast"/>
        <w:ind w:right="70"/>
        <w:contextualSpacing/>
        <w:jc w:val="both"/>
        <w:rPr>
          <w:rFonts w:asciiTheme="minorHAnsi" w:hAnsiTheme="minorHAnsi" w:cs="Arial"/>
          <w:lang w:val="en-GB"/>
        </w:rPr>
      </w:pPr>
    </w:p>
    <w:p w:rsidR="00676CD0" w:rsidRPr="00EA5F4B" w:rsidRDefault="00676CD0" w:rsidP="00611CE1">
      <w:pPr>
        <w:spacing w:line="280" w:lineRule="atLeast"/>
        <w:ind w:right="70"/>
        <w:contextualSpacing/>
        <w:jc w:val="both"/>
        <w:rPr>
          <w:rFonts w:asciiTheme="minorHAnsi" w:hAnsiTheme="minorHAnsi" w:cs="Arial"/>
          <w:lang w:val="en-GB"/>
        </w:rPr>
      </w:pPr>
    </w:p>
    <w:p w:rsidR="00B5686B" w:rsidRPr="00EA5F4B" w:rsidRDefault="00EA5F4B" w:rsidP="00525EFD">
      <w:pPr>
        <w:spacing w:line="280" w:lineRule="atLeast"/>
        <w:ind w:right="70"/>
        <w:contextualSpacing/>
        <w:jc w:val="both"/>
        <w:rPr>
          <w:rFonts w:asciiTheme="minorHAnsi" w:hAnsiTheme="minorHAnsi" w:cs="Arial"/>
          <w:lang w:val="en-GB"/>
        </w:rPr>
      </w:pPr>
      <w:r>
        <w:rPr>
          <w:rFonts w:asciiTheme="minorHAnsi" w:hAnsiTheme="minorHAnsi" w:cs="Arial"/>
          <w:b/>
          <w:bCs/>
          <w:i/>
          <w:iCs/>
          <w:lang w:val="en-GB"/>
        </w:rPr>
        <w:t>S A O   B o a r d</w:t>
      </w:r>
      <w:r w:rsidR="00B5686B" w:rsidRPr="00EA5F4B">
        <w:rPr>
          <w:rFonts w:asciiTheme="minorHAnsi" w:hAnsiTheme="minorHAnsi" w:cs="Arial"/>
          <w:b/>
          <w:bCs/>
          <w:i/>
          <w:iCs/>
          <w:lang w:val="en-GB"/>
        </w:rPr>
        <w:t xml:space="preserve">  </w:t>
      </w:r>
      <w:r w:rsidR="00B5686B" w:rsidRPr="00EA5F4B">
        <w:rPr>
          <w:rFonts w:asciiTheme="minorHAnsi" w:hAnsiTheme="minorHAnsi" w:cs="Arial"/>
          <w:b/>
          <w:bCs/>
          <w:iCs/>
          <w:lang w:val="en-GB"/>
        </w:rPr>
        <w:t xml:space="preserve"> </w:t>
      </w:r>
      <w:r>
        <w:rPr>
          <w:rFonts w:asciiTheme="minorHAnsi" w:hAnsiTheme="minorHAnsi" w:cs="Arial"/>
          <w:lang w:val="en-GB"/>
        </w:rPr>
        <w:t>at its 7</w:t>
      </w:r>
      <w:r w:rsidRPr="00EA5F4B">
        <w:rPr>
          <w:rFonts w:asciiTheme="minorHAnsi" w:hAnsiTheme="minorHAnsi" w:cs="Arial"/>
          <w:vertAlign w:val="superscript"/>
          <w:lang w:val="en-GB"/>
        </w:rPr>
        <w:t>th</w:t>
      </w:r>
      <w:r>
        <w:rPr>
          <w:rFonts w:asciiTheme="minorHAnsi" w:hAnsiTheme="minorHAnsi" w:cs="Arial"/>
          <w:lang w:val="en-GB"/>
        </w:rPr>
        <w:t xml:space="preserve"> session, which took place 25 April 2017</w:t>
      </w:r>
      <w:r w:rsidR="00525EFD" w:rsidRPr="00EA5F4B">
        <w:rPr>
          <w:rFonts w:asciiTheme="minorHAnsi" w:hAnsiTheme="minorHAnsi" w:cstheme="minorHAnsi"/>
          <w:lang w:val="en-GB"/>
        </w:rPr>
        <w:t>,</w:t>
      </w:r>
    </w:p>
    <w:p w:rsidR="00B5686B" w:rsidRPr="00EA5F4B" w:rsidRDefault="00EA5F4B" w:rsidP="00611CE1">
      <w:pPr>
        <w:spacing w:line="280" w:lineRule="atLeast"/>
        <w:ind w:right="70"/>
        <w:contextualSpacing/>
        <w:jc w:val="both"/>
        <w:rPr>
          <w:rFonts w:asciiTheme="minorHAnsi" w:hAnsiTheme="minorHAnsi" w:cs="Arial"/>
          <w:lang w:val="en-GB"/>
        </w:rPr>
      </w:pPr>
      <w:r>
        <w:rPr>
          <w:rFonts w:asciiTheme="minorHAnsi" w:hAnsiTheme="minorHAnsi" w:cs="Arial"/>
          <w:b/>
          <w:bCs/>
          <w:i/>
          <w:iCs/>
          <w:lang w:val="en-GB"/>
        </w:rPr>
        <w:t xml:space="preserve">a p </w:t>
      </w:r>
      <w:proofErr w:type="spellStart"/>
      <w:r>
        <w:rPr>
          <w:rFonts w:asciiTheme="minorHAnsi" w:hAnsiTheme="minorHAnsi" w:cs="Arial"/>
          <w:b/>
          <w:bCs/>
          <w:i/>
          <w:iCs/>
          <w:lang w:val="en-GB"/>
        </w:rPr>
        <w:t>p</w:t>
      </w:r>
      <w:proofErr w:type="spellEnd"/>
      <w:r>
        <w:rPr>
          <w:rFonts w:asciiTheme="minorHAnsi" w:hAnsiTheme="minorHAnsi" w:cs="Arial"/>
          <w:b/>
          <w:bCs/>
          <w:i/>
          <w:iCs/>
          <w:lang w:val="en-GB"/>
        </w:rPr>
        <w:t xml:space="preserve"> r o v e d</w:t>
      </w:r>
      <w:r w:rsidR="00B5686B" w:rsidRPr="00EA5F4B">
        <w:rPr>
          <w:rFonts w:asciiTheme="minorHAnsi" w:hAnsiTheme="minorHAnsi" w:cs="Arial"/>
          <w:lang w:val="en-GB"/>
        </w:rPr>
        <w:t xml:space="preserve">   </w:t>
      </w:r>
      <w:r>
        <w:rPr>
          <w:rFonts w:asciiTheme="minorHAnsi" w:hAnsiTheme="minorHAnsi" w:cs="Arial"/>
          <w:lang w:val="en-GB"/>
        </w:rPr>
        <w:t>by Resolution No.</w:t>
      </w:r>
      <w:r w:rsidR="00B5686B" w:rsidRPr="00EA5F4B">
        <w:rPr>
          <w:rFonts w:asciiTheme="minorHAnsi" w:hAnsiTheme="minorHAnsi" w:cs="Arial"/>
          <w:lang w:val="en-GB"/>
        </w:rPr>
        <w:t xml:space="preserve"> </w:t>
      </w:r>
      <w:r w:rsidR="00775FB2" w:rsidRPr="00EA5F4B">
        <w:rPr>
          <w:rFonts w:asciiTheme="minorHAnsi" w:hAnsiTheme="minorHAnsi" w:cs="Arial"/>
          <w:lang w:val="en-GB"/>
        </w:rPr>
        <w:t>10</w:t>
      </w:r>
      <w:r w:rsidR="00B5686B" w:rsidRPr="00EA5F4B">
        <w:rPr>
          <w:rFonts w:asciiTheme="minorHAnsi" w:hAnsiTheme="minorHAnsi" w:cs="Arial"/>
          <w:lang w:val="en-GB"/>
        </w:rPr>
        <w:t>/</w:t>
      </w:r>
      <w:r w:rsidR="00525EFD" w:rsidRPr="00EA5F4B">
        <w:rPr>
          <w:rFonts w:asciiTheme="minorHAnsi" w:hAnsiTheme="minorHAnsi" w:cs="Arial"/>
          <w:lang w:val="en-GB"/>
        </w:rPr>
        <w:t>VII</w:t>
      </w:r>
      <w:r w:rsidR="00B5686B" w:rsidRPr="00EA5F4B">
        <w:rPr>
          <w:rFonts w:asciiTheme="minorHAnsi" w:hAnsiTheme="minorHAnsi" w:cs="Arial"/>
          <w:lang w:val="en-GB"/>
        </w:rPr>
        <w:t>/201</w:t>
      </w:r>
      <w:r w:rsidR="002A2067" w:rsidRPr="00EA5F4B">
        <w:rPr>
          <w:rFonts w:asciiTheme="minorHAnsi" w:hAnsiTheme="minorHAnsi" w:cs="Arial"/>
          <w:lang w:val="en-GB"/>
        </w:rPr>
        <w:t>7</w:t>
      </w:r>
    </w:p>
    <w:p w:rsidR="00B5686B" w:rsidRPr="00EA5F4B" w:rsidRDefault="003A283E" w:rsidP="00611CE1">
      <w:pPr>
        <w:spacing w:line="280" w:lineRule="atLeast"/>
        <w:ind w:right="70"/>
        <w:contextualSpacing/>
        <w:jc w:val="both"/>
        <w:rPr>
          <w:rFonts w:asciiTheme="minorHAnsi" w:hAnsiTheme="minorHAnsi" w:cs="Arial"/>
          <w:lang w:val="en-GB"/>
        </w:rPr>
      </w:pPr>
      <w:r>
        <w:rPr>
          <w:rFonts w:asciiTheme="minorHAnsi" w:hAnsiTheme="minorHAnsi" w:cs="Arial"/>
          <w:b/>
          <w:bCs/>
          <w:i/>
          <w:iCs/>
          <w:spacing w:val="60"/>
          <w:lang w:val="en-GB"/>
        </w:rPr>
        <w:t>the audit conclusion</w:t>
      </w:r>
      <w:r w:rsidR="00B5686B" w:rsidRPr="00EA5F4B">
        <w:rPr>
          <w:rFonts w:asciiTheme="minorHAnsi" w:hAnsiTheme="minorHAnsi" w:cs="Arial"/>
          <w:lang w:val="en-GB"/>
        </w:rPr>
        <w:t xml:space="preserve">   </w:t>
      </w:r>
      <w:r>
        <w:rPr>
          <w:rFonts w:asciiTheme="minorHAnsi" w:hAnsiTheme="minorHAnsi" w:cs="Arial"/>
          <w:lang w:val="en-GB"/>
        </w:rPr>
        <w:t>worded as follows</w:t>
      </w:r>
      <w:r w:rsidR="00B5686B" w:rsidRPr="00EA5F4B">
        <w:rPr>
          <w:rFonts w:asciiTheme="minorHAnsi" w:hAnsiTheme="minorHAnsi" w:cs="Arial"/>
          <w:lang w:val="en-GB"/>
        </w:rPr>
        <w:t>:</w:t>
      </w:r>
    </w:p>
    <w:p w:rsidR="008D0032" w:rsidRPr="00EA5F4B" w:rsidRDefault="008D0032">
      <w:pPr>
        <w:rPr>
          <w:rFonts w:asciiTheme="minorHAnsi" w:hAnsiTheme="minorHAnsi" w:cs="Calibri"/>
          <w:color w:val="000000"/>
          <w:highlight w:val="yellow"/>
          <w:lang w:val="en-GB" w:eastAsia="en-US"/>
        </w:rPr>
      </w:pPr>
    </w:p>
    <w:p w:rsidR="00264D24" w:rsidRPr="00EA5F4B" w:rsidRDefault="00DC1354" w:rsidP="00B60C34">
      <w:pPr>
        <w:rPr>
          <w:rFonts w:asciiTheme="minorHAnsi" w:hAnsiTheme="minorHAnsi" w:cs="Calibri"/>
          <w:b/>
          <w:color w:val="000000"/>
          <w:highlight w:val="yellow"/>
          <w:lang w:val="en-GB" w:eastAsia="en-US"/>
        </w:rPr>
      </w:pPr>
      <w:r w:rsidRPr="00EA5F4B">
        <w:rPr>
          <w:rFonts w:asciiTheme="minorHAnsi" w:hAnsiTheme="minorHAnsi" w:cs="Calibri"/>
          <w:b/>
          <w:color w:val="000000"/>
          <w:highlight w:val="yellow"/>
          <w:lang w:val="en-GB" w:eastAsia="en-US"/>
        </w:rPr>
        <w:br w:type="page"/>
      </w:r>
    </w:p>
    <w:p w:rsidR="0005489D" w:rsidRPr="00EA5F4B" w:rsidRDefault="00DD49DD" w:rsidP="00D7415A">
      <w:pPr>
        <w:pStyle w:val="Odstavecseseznamem"/>
        <w:spacing w:line="280" w:lineRule="atLeast"/>
        <w:ind w:left="0"/>
        <w:jc w:val="center"/>
        <w:rPr>
          <w:rFonts w:asciiTheme="minorHAnsi" w:hAnsiTheme="minorHAnsi" w:cs="Calibri"/>
          <w:b/>
          <w:sz w:val="28"/>
          <w:lang w:val="en-GB" w:eastAsia="en-US"/>
        </w:rPr>
      </w:pPr>
      <w:r w:rsidRPr="00EA5F4B">
        <w:rPr>
          <w:rFonts w:asciiTheme="minorHAnsi" w:hAnsiTheme="minorHAnsi" w:cs="Calibri"/>
          <w:b/>
          <w:sz w:val="28"/>
          <w:lang w:val="en-GB" w:eastAsia="en-US"/>
        </w:rPr>
        <w:lastRenderedPageBreak/>
        <w:t xml:space="preserve">I. </w:t>
      </w:r>
      <w:r w:rsidR="00A0712E" w:rsidRPr="00EA5F4B">
        <w:rPr>
          <w:rFonts w:asciiTheme="minorHAnsi" w:hAnsiTheme="minorHAnsi" w:cs="Calibri"/>
          <w:b/>
          <w:sz w:val="28"/>
          <w:lang w:val="en-GB" w:eastAsia="en-US"/>
        </w:rPr>
        <w:t>Introduction to audited issue</w:t>
      </w:r>
    </w:p>
    <w:p w:rsidR="00B64CF7" w:rsidRPr="00EA5F4B" w:rsidRDefault="00B64CF7" w:rsidP="00E41664">
      <w:pPr>
        <w:spacing w:line="280" w:lineRule="atLeast"/>
        <w:jc w:val="both"/>
        <w:rPr>
          <w:rFonts w:asciiTheme="minorHAnsi" w:hAnsiTheme="minorHAnsi" w:cstheme="minorHAnsi"/>
          <w:lang w:val="en-GB"/>
        </w:rPr>
      </w:pPr>
    </w:p>
    <w:p w:rsidR="00F83A4F" w:rsidRPr="00EA5F4B" w:rsidRDefault="00A0712E" w:rsidP="00A0712E">
      <w:pPr>
        <w:spacing w:line="280" w:lineRule="atLeast"/>
        <w:jc w:val="both"/>
        <w:rPr>
          <w:rFonts w:ascii="Calibri" w:hAnsi="Calibri" w:cs="Calibri"/>
          <w:b/>
          <w:bCs/>
          <w:lang w:val="en-GB"/>
        </w:rPr>
      </w:pPr>
      <w:r w:rsidRPr="00EA5F4B">
        <w:rPr>
          <w:rStyle w:val="Siln"/>
          <w:rFonts w:asciiTheme="minorHAnsi" w:hAnsiTheme="minorHAnsi" w:cstheme="minorHAnsi"/>
          <w:b w:val="0"/>
          <w:lang w:val="en-GB"/>
        </w:rPr>
        <w:t>The</w:t>
      </w:r>
      <w:r w:rsidRPr="00EA5F4B">
        <w:rPr>
          <w:rStyle w:val="Siln"/>
          <w:rFonts w:asciiTheme="minorHAnsi" w:hAnsiTheme="minorHAnsi" w:cstheme="minorHAnsi"/>
          <w:lang w:val="en-GB"/>
        </w:rPr>
        <w:t xml:space="preserve"> Ministry of the Environment</w:t>
      </w:r>
      <w:r w:rsidR="00F83A4F" w:rsidRPr="00EA5F4B">
        <w:rPr>
          <w:rStyle w:val="Siln"/>
          <w:rFonts w:asciiTheme="minorHAnsi" w:hAnsiTheme="minorHAnsi" w:cstheme="minorHAnsi"/>
          <w:b w:val="0"/>
          <w:lang w:val="en-GB"/>
        </w:rPr>
        <w:t xml:space="preserve"> </w:t>
      </w:r>
      <w:r w:rsidR="003A283E">
        <w:rPr>
          <w:rStyle w:val="Siln"/>
          <w:rFonts w:asciiTheme="minorHAnsi" w:hAnsiTheme="minorHAnsi" w:cstheme="minorHAnsi"/>
          <w:b w:val="0"/>
          <w:lang w:val="en-GB"/>
        </w:rPr>
        <w:t>("</w:t>
      </w:r>
      <w:proofErr w:type="spellStart"/>
      <w:r w:rsidR="003A283E">
        <w:rPr>
          <w:rStyle w:val="Siln"/>
          <w:rFonts w:asciiTheme="minorHAnsi" w:hAnsiTheme="minorHAnsi" w:cstheme="minorHAnsi"/>
          <w:b w:val="0"/>
          <w:lang w:val="en-GB"/>
        </w:rPr>
        <w:t>MoE</w:t>
      </w:r>
      <w:proofErr w:type="spellEnd"/>
      <w:r w:rsidR="003A283E">
        <w:rPr>
          <w:rStyle w:val="Siln"/>
          <w:rFonts w:asciiTheme="minorHAnsi" w:hAnsiTheme="minorHAnsi" w:cstheme="minorHAnsi"/>
          <w:b w:val="0"/>
          <w:lang w:val="en-GB"/>
        </w:rPr>
        <w:t xml:space="preserve">") </w:t>
      </w:r>
      <w:r w:rsidRPr="00EA5F4B">
        <w:rPr>
          <w:rStyle w:val="Siln"/>
          <w:rFonts w:asciiTheme="minorHAnsi" w:hAnsiTheme="minorHAnsi" w:cstheme="minorHAnsi"/>
          <w:b w:val="0"/>
          <w:lang w:val="en-GB"/>
        </w:rPr>
        <w:t>is, according to</w:t>
      </w:r>
      <w:r w:rsidR="00F83A4F" w:rsidRPr="00EA5F4B">
        <w:rPr>
          <w:rStyle w:val="Siln"/>
          <w:rFonts w:asciiTheme="minorHAnsi" w:hAnsiTheme="minorHAnsi" w:cstheme="minorHAnsi"/>
          <w:b w:val="0"/>
          <w:lang w:val="en-GB"/>
        </w:rPr>
        <w:t xml:space="preserve"> </w:t>
      </w:r>
      <w:r w:rsidRPr="00EA5F4B">
        <w:rPr>
          <w:rStyle w:val="Siln"/>
          <w:rFonts w:asciiTheme="minorHAnsi" w:hAnsiTheme="minorHAnsi" w:cstheme="minorHAnsi"/>
          <w:b w:val="0"/>
          <w:lang w:val="en-GB"/>
        </w:rPr>
        <w:t>Act No.</w:t>
      </w:r>
      <w:r w:rsidR="00F83A4F" w:rsidRPr="00EA5F4B">
        <w:rPr>
          <w:rStyle w:val="Siln"/>
          <w:rFonts w:asciiTheme="minorHAnsi" w:hAnsiTheme="minorHAnsi" w:cstheme="minorHAnsi"/>
          <w:b w:val="0"/>
          <w:lang w:val="en-GB"/>
        </w:rPr>
        <w:t xml:space="preserve"> 2/1969 </w:t>
      </w:r>
      <w:r w:rsidRPr="00EA5F4B">
        <w:rPr>
          <w:rStyle w:val="Siln"/>
          <w:rFonts w:asciiTheme="minorHAnsi" w:hAnsiTheme="minorHAnsi" w:cstheme="minorHAnsi"/>
          <w:b w:val="0"/>
          <w:lang w:val="en-GB"/>
        </w:rPr>
        <w:t>Coll</w:t>
      </w:r>
      <w:r w:rsidR="00F83A4F" w:rsidRPr="00EA5F4B">
        <w:rPr>
          <w:rStyle w:val="Siln"/>
          <w:rFonts w:asciiTheme="minorHAnsi" w:hAnsiTheme="minorHAnsi" w:cstheme="minorHAnsi"/>
          <w:b w:val="0"/>
          <w:lang w:val="en-GB"/>
        </w:rPr>
        <w:t>.</w:t>
      </w:r>
      <w:r w:rsidR="00F12F18" w:rsidRPr="00EA5F4B">
        <w:rPr>
          <w:rStyle w:val="Znakapoznpodarou"/>
          <w:rFonts w:asciiTheme="minorHAnsi" w:hAnsiTheme="minorHAnsi"/>
          <w:bCs/>
          <w:lang w:val="en-GB"/>
        </w:rPr>
        <w:footnoteReference w:id="2"/>
      </w:r>
      <w:r w:rsidRPr="00EA5F4B">
        <w:rPr>
          <w:rStyle w:val="Siln"/>
          <w:rFonts w:asciiTheme="minorHAnsi" w:hAnsiTheme="minorHAnsi" w:cstheme="minorHAnsi"/>
          <w:b w:val="0"/>
          <w:lang w:val="en-GB"/>
        </w:rPr>
        <w:t>,</w:t>
      </w:r>
      <w:r w:rsidR="00F12F18" w:rsidRPr="00EA5F4B">
        <w:rPr>
          <w:rStyle w:val="Siln"/>
          <w:rFonts w:asciiTheme="minorHAnsi" w:hAnsiTheme="minorHAnsi" w:cstheme="minorHAnsi"/>
          <w:b w:val="0"/>
          <w:lang w:val="en-GB"/>
        </w:rPr>
        <w:t xml:space="preserve"> </w:t>
      </w:r>
      <w:r w:rsidRPr="00EA5F4B">
        <w:rPr>
          <w:rStyle w:val="Siln"/>
          <w:rFonts w:asciiTheme="minorHAnsi" w:hAnsiTheme="minorHAnsi" w:cstheme="minorHAnsi"/>
          <w:b w:val="0"/>
          <w:lang w:val="en-GB"/>
        </w:rPr>
        <w:t xml:space="preserve">the supreme supervisory authority for environmental matters and the central authority of state administration for, inter alia, waste management. </w:t>
      </w:r>
      <w:r w:rsidR="003A283E">
        <w:rPr>
          <w:rStyle w:val="Siln"/>
          <w:rFonts w:asciiTheme="minorHAnsi" w:hAnsiTheme="minorHAnsi" w:cstheme="minorHAnsi"/>
          <w:b w:val="0"/>
          <w:lang w:val="en-GB"/>
        </w:rPr>
        <w:t xml:space="preserve">The </w:t>
      </w:r>
      <w:proofErr w:type="spellStart"/>
      <w:r w:rsidRPr="00EA5F4B">
        <w:rPr>
          <w:rStyle w:val="Siln"/>
          <w:rFonts w:asciiTheme="minorHAnsi" w:hAnsiTheme="minorHAnsi" w:cstheme="minorHAnsi"/>
          <w:b w:val="0"/>
          <w:lang w:val="en-GB"/>
        </w:rPr>
        <w:t>M</w:t>
      </w:r>
      <w:r w:rsidR="00253CE3" w:rsidRPr="00EA5F4B">
        <w:rPr>
          <w:rStyle w:val="Siln"/>
          <w:rFonts w:asciiTheme="minorHAnsi" w:hAnsiTheme="minorHAnsi" w:cstheme="minorHAnsi"/>
          <w:b w:val="0"/>
          <w:lang w:val="en-GB"/>
        </w:rPr>
        <w:t>o</w:t>
      </w:r>
      <w:r w:rsidRPr="00EA5F4B">
        <w:rPr>
          <w:rStyle w:val="Siln"/>
          <w:rFonts w:asciiTheme="minorHAnsi" w:hAnsiTheme="minorHAnsi" w:cstheme="minorHAnsi"/>
          <w:b w:val="0"/>
          <w:lang w:val="en-GB"/>
        </w:rPr>
        <w:t>E</w:t>
      </w:r>
      <w:proofErr w:type="spellEnd"/>
      <w:r w:rsidRPr="00EA5F4B">
        <w:rPr>
          <w:rStyle w:val="Siln"/>
          <w:rFonts w:asciiTheme="minorHAnsi" w:hAnsiTheme="minorHAnsi" w:cstheme="minorHAnsi"/>
          <w:b w:val="0"/>
          <w:lang w:val="en-GB"/>
        </w:rPr>
        <w:t xml:space="preserve"> draws up the Waste Management Plans of the Czech Republic ("WMP CR") in the scope laid down by the Waste Act</w:t>
      </w:r>
      <w:r w:rsidR="00065DA8" w:rsidRPr="00EA5F4B">
        <w:rPr>
          <w:rStyle w:val="Znakapoznpodarou"/>
          <w:rFonts w:asciiTheme="minorHAnsi" w:hAnsiTheme="minorHAnsi"/>
          <w:bCs/>
          <w:lang w:val="en-GB"/>
        </w:rPr>
        <w:footnoteReference w:id="3"/>
      </w:r>
      <w:r w:rsidR="00F83A4F" w:rsidRPr="00EA5F4B">
        <w:rPr>
          <w:rStyle w:val="Siln"/>
          <w:rFonts w:asciiTheme="minorHAnsi" w:hAnsiTheme="minorHAnsi" w:cstheme="minorHAnsi"/>
          <w:b w:val="0"/>
          <w:lang w:val="en-GB"/>
        </w:rPr>
        <w:t xml:space="preserve">. </w:t>
      </w:r>
      <w:r w:rsidRPr="00EA5F4B">
        <w:rPr>
          <w:rStyle w:val="Siln"/>
          <w:rFonts w:asciiTheme="minorHAnsi" w:hAnsiTheme="minorHAnsi" w:cstheme="minorHAnsi"/>
          <w:b w:val="0"/>
          <w:lang w:val="en-GB"/>
        </w:rPr>
        <w:t>For the Operational Programme</w:t>
      </w:r>
      <w:r w:rsidR="00F83A4F" w:rsidRPr="00EA5F4B">
        <w:rPr>
          <w:rStyle w:val="Siln"/>
          <w:rFonts w:asciiTheme="minorHAnsi" w:hAnsiTheme="minorHAnsi" w:cstheme="minorHAnsi"/>
          <w:b w:val="0"/>
          <w:lang w:val="en-GB"/>
        </w:rPr>
        <w:t xml:space="preserve"> </w:t>
      </w:r>
      <w:r w:rsidRPr="00EA5F4B">
        <w:rPr>
          <w:rStyle w:val="Siln"/>
          <w:rFonts w:asciiTheme="minorHAnsi" w:hAnsiTheme="minorHAnsi" w:cstheme="minorHAnsi"/>
          <w:b w:val="0"/>
          <w:i/>
          <w:lang w:val="en-GB"/>
        </w:rPr>
        <w:t xml:space="preserve">Environment </w:t>
      </w:r>
      <w:r w:rsidR="00F83A4F" w:rsidRPr="00EA5F4B">
        <w:rPr>
          <w:rStyle w:val="Siln"/>
          <w:rFonts w:asciiTheme="minorHAnsi" w:hAnsiTheme="minorHAnsi" w:cstheme="minorHAnsi"/>
          <w:b w:val="0"/>
          <w:i/>
          <w:lang w:val="en-GB"/>
        </w:rPr>
        <w:t>2007</w:t>
      </w:r>
      <w:r w:rsidR="00C1434D" w:rsidRPr="00EA5F4B">
        <w:rPr>
          <w:rStyle w:val="Siln"/>
          <w:rFonts w:asciiTheme="minorHAnsi" w:hAnsiTheme="minorHAnsi" w:cstheme="minorHAnsi"/>
          <w:b w:val="0"/>
          <w:i/>
          <w:lang w:val="en-GB"/>
        </w:rPr>
        <w:t>–</w:t>
      </w:r>
      <w:r w:rsidR="00F83A4F" w:rsidRPr="00EA5F4B">
        <w:rPr>
          <w:rStyle w:val="Siln"/>
          <w:rFonts w:asciiTheme="minorHAnsi" w:hAnsiTheme="minorHAnsi" w:cstheme="minorHAnsi"/>
          <w:b w:val="0"/>
          <w:i/>
          <w:lang w:val="en-GB"/>
        </w:rPr>
        <w:t>2013</w:t>
      </w:r>
      <w:r w:rsidR="00F83A4F" w:rsidRPr="00EA5F4B">
        <w:rPr>
          <w:rStyle w:val="Siln"/>
          <w:rFonts w:asciiTheme="minorHAnsi" w:hAnsiTheme="minorHAnsi" w:cstheme="minorHAnsi"/>
          <w:b w:val="0"/>
          <w:lang w:val="en-GB"/>
        </w:rPr>
        <w:t xml:space="preserve"> (</w:t>
      </w:r>
      <w:r w:rsidRPr="00EA5F4B">
        <w:rPr>
          <w:rStyle w:val="Siln"/>
          <w:rFonts w:asciiTheme="minorHAnsi" w:hAnsiTheme="minorHAnsi" w:cstheme="minorHAnsi"/>
          <w:b w:val="0"/>
          <w:lang w:val="en-GB"/>
        </w:rPr>
        <w:t>"</w:t>
      </w:r>
      <w:r w:rsidR="00F83A4F" w:rsidRPr="00EA5F4B">
        <w:rPr>
          <w:rStyle w:val="Siln"/>
          <w:rFonts w:asciiTheme="minorHAnsi" w:hAnsiTheme="minorHAnsi" w:cstheme="minorHAnsi"/>
          <w:b w:val="0"/>
          <w:lang w:val="en-GB"/>
        </w:rPr>
        <w:t>OP</w:t>
      </w:r>
      <w:r w:rsidRPr="00EA5F4B">
        <w:rPr>
          <w:rStyle w:val="Siln"/>
          <w:rFonts w:asciiTheme="minorHAnsi" w:hAnsiTheme="minorHAnsi" w:cstheme="minorHAnsi"/>
          <w:b w:val="0"/>
          <w:lang w:val="en-GB"/>
        </w:rPr>
        <w:t>E</w:t>
      </w:r>
      <w:r w:rsidR="00F83A4F" w:rsidRPr="00EA5F4B">
        <w:rPr>
          <w:rStyle w:val="Siln"/>
          <w:rFonts w:asciiTheme="minorHAnsi" w:hAnsiTheme="minorHAnsi" w:cstheme="minorHAnsi"/>
          <w:b w:val="0"/>
          <w:lang w:val="en-GB"/>
        </w:rPr>
        <w:t xml:space="preserve"> 2007</w:t>
      </w:r>
      <w:r w:rsidR="00C1434D" w:rsidRPr="00EA5F4B">
        <w:rPr>
          <w:rStyle w:val="Siln"/>
          <w:rFonts w:asciiTheme="minorHAnsi" w:hAnsiTheme="minorHAnsi" w:cstheme="minorHAnsi"/>
          <w:b w:val="0"/>
          <w:lang w:val="en-GB"/>
        </w:rPr>
        <w:t>–</w:t>
      </w:r>
      <w:r w:rsidR="00F83A4F" w:rsidRPr="00EA5F4B">
        <w:rPr>
          <w:rStyle w:val="Siln"/>
          <w:rFonts w:asciiTheme="minorHAnsi" w:hAnsiTheme="minorHAnsi" w:cstheme="minorHAnsi"/>
          <w:b w:val="0"/>
          <w:lang w:val="en-GB"/>
        </w:rPr>
        <w:t>2013</w:t>
      </w:r>
      <w:r w:rsidRPr="00EA5F4B">
        <w:rPr>
          <w:rStyle w:val="Siln"/>
          <w:rFonts w:asciiTheme="minorHAnsi" w:hAnsiTheme="minorHAnsi" w:cstheme="minorHAnsi"/>
          <w:b w:val="0"/>
          <w:lang w:val="en-GB"/>
        </w:rPr>
        <w:t>"</w:t>
      </w:r>
      <w:r w:rsidR="00F83A4F" w:rsidRPr="00EA5F4B">
        <w:rPr>
          <w:rStyle w:val="Siln"/>
          <w:rFonts w:asciiTheme="minorHAnsi" w:hAnsiTheme="minorHAnsi" w:cstheme="minorHAnsi"/>
          <w:b w:val="0"/>
          <w:lang w:val="en-GB"/>
        </w:rPr>
        <w:t>) a</w:t>
      </w:r>
      <w:r w:rsidRPr="00EA5F4B">
        <w:rPr>
          <w:rStyle w:val="Siln"/>
          <w:rFonts w:asciiTheme="minorHAnsi" w:hAnsiTheme="minorHAnsi" w:cstheme="minorHAnsi"/>
          <w:b w:val="0"/>
          <w:lang w:val="en-GB"/>
        </w:rPr>
        <w:t>nd the Operational Programme</w:t>
      </w:r>
      <w:r w:rsidR="00C1434D" w:rsidRPr="00EA5F4B">
        <w:rPr>
          <w:rStyle w:val="Siln"/>
          <w:rFonts w:asciiTheme="minorHAnsi" w:hAnsiTheme="minorHAnsi" w:cstheme="minorHAnsi"/>
          <w:b w:val="0"/>
          <w:lang w:val="en-GB"/>
        </w:rPr>
        <w:t xml:space="preserve"> </w:t>
      </w:r>
      <w:r w:rsidRPr="00EA5F4B">
        <w:rPr>
          <w:rStyle w:val="Siln"/>
          <w:rFonts w:asciiTheme="minorHAnsi" w:hAnsiTheme="minorHAnsi" w:cstheme="minorHAnsi"/>
          <w:b w:val="0"/>
          <w:i/>
          <w:lang w:val="en-GB"/>
        </w:rPr>
        <w:t>Environment</w:t>
      </w:r>
      <w:r w:rsidR="00C1434D" w:rsidRPr="00EA5F4B">
        <w:rPr>
          <w:rStyle w:val="Siln"/>
          <w:rFonts w:asciiTheme="minorHAnsi" w:hAnsiTheme="minorHAnsi" w:cstheme="minorHAnsi"/>
          <w:b w:val="0"/>
          <w:i/>
          <w:lang w:val="en-GB"/>
        </w:rPr>
        <w:t xml:space="preserve"> 2014–</w:t>
      </w:r>
      <w:r w:rsidR="00F83A4F" w:rsidRPr="00EA5F4B">
        <w:rPr>
          <w:rStyle w:val="Siln"/>
          <w:rFonts w:asciiTheme="minorHAnsi" w:hAnsiTheme="minorHAnsi" w:cstheme="minorHAnsi"/>
          <w:b w:val="0"/>
          <w:i/>
          <w:lang w:val="en-GB"/>
        </w:rPr>
        <w:t>2020</w:t>
      </w:r>
      <w:r w:rsidR="00F83A4F" w:rsidRPr="00EA5F4B">
        <w:rPr>
          <w:rStyle w:val="Siln"/>
          <w:rFonts w:asciiTheme="minorHAnsi" w:hAnsiTheme="minorHAnsi" w:cstheme="minorHAnsi"/>
          <w:b w:val="0"/>
          <w:lang w:val="en-GB"/>
        </w:rPr>
        <w:t xml:space="preserve"> (</w:t>
      </w:r>
      <w:r w:rsidRPr="00EA5F4B">
        <w:rPr>
          <w:rStyle w:val="Siln"/>
          <w:rFonts w:asciiTheme="minorHAnsi" w:hAnsiTheme="minorHAnsi" w:cstheme="minorHAnsi"/>
          <w:b w:val="0"/>
          <w:lang w:val="en-GB"/>
        </w:rPr>
        <w:t xml:space="preserve">"OPE </w:t>
      </w:r>
      <w:r w:rsidR="00F83A4F" w:rsidRPr="00EA5F4B">
        <w:rPr>
          <w:rStyle w:val="Siln"/>
          <w:rFonts w:asciiTheme="minorHAnsi" w:hAnsiTheme="minorHAnsi" w:cstheme="minorHAnsi"/>
          <w:b w:val="0"/>
          <w:lang w:val="en-GB"/>
        </w:rPr>
        <w:t>2014</w:t>
      </w:r>
      <w:r w:rsidR="00C1434D" w:rsidRPr="00EA5F4B">
        <w:rPr>
          <w:rStyle w:val="Siln"/>
          <w:rFonts w:asciiTheme="minorHAnsi" w:hAnsiTheme="minorHAnsi" w:cstheme="minorHAnsi"/>
          <w:b w:val="0"/>
          <w:lang w:val="en-GB"/>
        </w:rPr>
        <w:t>–</w:t>
      </w:r>
      <w:r w:rsidR="00F83A4F" w:rsidRPr="00EA5F4B">
        <w:rPr>
          <w:rStyle w:val="Siln"/>
          <w:rFonts w:asciiTheme="minorHAnsi" w:hAnsiTheme="minorHAnsi" w:cstheme="minorHAnsi"/>
          <w:b w:val="0"/>
          <w:lang w:val="en-GB"/>
        </w:rPr>
        <w:t>2020</w:t>
      </w:r>
      <w:r w:rsidRPr="00EA5F4B">
        <w:rPr>
          <w:rStyle w:val="Siln"/>
          <w:rFonts w:asciiTheme="minorHAnsi" w:hAnsiTheme="minorHAnsi" w:cstheme="minorHAnsi"/>
          <w:b w:val="0"/>
          <w:lang w:val="en-GB"/>
        </w:rPr>
        <w:t>"</w:t>
      </w:r>
      <w:r w:rsidR="00F83A4F" w:rsidRPr="00EA5F4B">
        <w:rPr>
          <w:rStyle w:val="Siln"/>
          <w:rFonts w:asciiTheme="minorHAnsi" w:hAnsiTheme="minorHAnsi" w:cstheme="minorHAnsi"/>
          <w:b w:val="0"/>
          <w:lang w:val="en-GB"/>
        </w:rPr>
        <w:t>)</w:t>
      </w:r>
      <w:r w:rsidRPr="00EA5F4B">
        <w:rPr>
          <w:rStyle w:val="Siln"/>
          <w:rFonts w:asciiTheme="minorHAnsi" w:hAnsiTheme="minorHAnsi" w:cstheme="minorHAnsi"/>
          <w:b w:val="0"/>
          <w:lang w:val="en-GB"/>
        </w:rPr>
        <w:t xml:space="preserve">, the </w:t>
      </w:r>
      <w:proofErr w:type="spellStart"/>
      <w:r w:rsidRPr="00EA5F4B">
        <w:rPr>
          <w:rStyle w:val="Siln"/>
          <w:rFonts w:asciiTheme="minorHAnsi" w:hAnsiTheme="minorHAnsi" w:cstheme="minorHAnsi"/>
          <w:b w:val="0"/>
          <w:lang w:val="en-GB"/>
        </w:rPr>
        <w:t>M</w:t>
      </w:r>
      <w:r w:rsidR="00253CE3" w:rsidRPr="00EA5F4B">
        <w:rPr>
          <w:rStyle w:val="Siln"/>
          <w:rFonts w:asciiTheme="minorHAnsi" w:hAnsiTheme="minorHAnsi" w:cstheme="minorHAnsi"/>
          <w:b w:val="0"/>
          <w:lang w:val="en-GB"/>
        </w:rPr>
        <w:t>o</w:t>
      </w:r>
      <w:r w:rsidRPr="00EA5F4B">
        <w:rPr>
          <w:rStyle w:val="Siln"/>
          <w:rFonts w:asciiTheme="minorHAnsi" w:hAnsiTheme="minorHAnsi" w:cstheme="minorHAnsi"/>
          <w:b w:val="0"/>
          <w:lang w:val="en-GB"/>
        </w:rPr>
        <w:t>E</w:t>
      </w:r>
      <w:proofErr w:type="spellEnd"/>
      <w:r w:rsidRPr="00EA5F4B">
        <w:rPr>
          <w:rStyle w:val="Siln"/>
          <w:rFonts w:asciiTheme="minorHAnsi" w:hAnsiTheme="minorHAnsi" w:cstheme="minorHAnsi"/>
          <w:b w:val="0"/>
          <w:lang w:val="en-GB"/>
        </w:rPr>
        <w:t xml:space="preserve"> is the managing authority responsible for its overall efficiency, proper management</w:t>
      </w:r>
      <w:r w:rsidR="00056424">
        <w:rPr>
          <w:rStyle w:val="Siln"/>
          <w:rFonts w:asciiTheme="minorHAnsi" w:hAnsiTheme="minorHAnsi" w:cstheme="minorHAnsi"/>
          <w:b w:val="0"/>
          <w:lang w:val="en-GB"/>
        </w:rPr>
        <w:t>,</w:t>
      </w:r>
      <w:r w:rsidRPr="00EA5F4B">
        <w:rPr>
          <w:rStyle w:val="Siln"/>
          <w:rFonts w:asciiTheme="minorHAnsi" w:hAnsiTheme="minorHAnsi" w:cstheme="minorHAnsi"/>
          <w:b w:val="0"/>
          <w:lang w:val="en-GB"/>
        </w:rPr>
        <w:t xml:space="preserve"> and implementation</w:t>
      </w:r>
      <w:r w:rsidR="00F83A4F" w:rsidRPr="00EA5F4B">
        <w:rPr>
          <w:rStyle w:val="Siln"/>
          <w:rFonts w:asciiTheme="minorHAnsi" w:hAnsiTheme="minorHAnsi" w:cstheme="minorHAnsi"/>
          <w:b w:val="0"/>
          <w:lang w:val="en-GB"/>
        </w:rPr>
        <w:t>.</w:t>
      </w:r>
    </w:p>
    <w:p w:rsidR="00F83A4F" w:rsidRPr="00EA5F4B" w:rsidRDefault="00F83A4F" w:rsidP="00E41664">
      <w:pPr>
        <w:autoSpaceDE w:val="0"/>
        <w:autoSpaceDN w:val="0"/>
        <w:spacing w:line="280" w:lineRule="atLeast"/>
        <w:jc w:val="both"/>
        <w:rPr>
          <w:rFonts w:ascii="Calibri" w:hAnsi="Calibri" w:cs="Calibri"/>
          <w:b/>
          <w:bCs/>
          <w:lang w:val="en-GB"/>
        </w:rPr>
      </w:pPr>
    </w:p>
    <w:p w:rsidR="00F83A4F" w:rsidRPr="00EA5F4B" w:rsidRDefault="00951E82" w:rsidP="00253CE3">
      <w:pPr>
        <w:autoSpaceDE w:val="0"/>
        <w:autoSpaceDN w:val="0"/>
        <w:spacing w:line="280" w:lineRule="atLeast"/>
        <w:jc w:val="both"/>
        <w:rPr>
          <w:rFonts w:ascii="Calibri" w:hAnsi="Calibri" w:cs="Calibri"/>
          <w:lang w:val="en-GB"/>
        </w:rPr>
      </w:pPr>
      <w:r w:rsidRPr="00EA5F4B">
        <w:rPr>
          <w:rFonts w:ascii="Calibri" w:hAnsi="Calibri" w:cs="Calibri"/>
          <w:bCs/>
          <w:lang w:val="en-GB"/>
        </w:rPr>
        <w:t>The</w:t>
      </w:r>
      <w:r w:rsidRPr="00EA5F4B">
        <w:rPr>
          <w:rFonts w:ascii="Calibri" w:hAnsi="Calibri" w:cs="Calibri"/>
          <w:b/>
          <w:bCs/>
          <w:lang w:val="en-GB"/>
        </w:rPr>
        <w:t xml:space="preserve"> State Environment Fund of the Czech Republic </w:t>
      </w:r>
      <w:r w:rsidR="00996F14" w:rsidRPr="00996F14">
        <w:rPr>
          <w:rFonts w:ascii="Calibri" w:hAnsi="Calibri" w:cs="Calibri"/>
          <w:bCs/>
          <w:lang w:val="en-GB"/>
        </w:rPr>
        <w:t>("SEF")</w:t>
      </w:r>
      <w:r w:rsidR="00996F14">
        <w:rPr>
          <w:rFonts w:ascii="Calibri" w:hAnsi="Calibri" w:cs="Calibri"/>
          <w:b/>
          <w:bCs/>
          <w:lang w:val="en-GB"/>
        </w:rPr>
        <w:t xml:space="preserve"> </w:t>
      </w:r>
      <w:r w:rsidRPr="00EA5F4B">
        <w:rPr>
          <w:rFonts w:ascii="Calibri" w:hAnsi="Calibri" w:cs="Calibri"/>
          <w:bCs/>
          <w:lang w:val="en-GB"/>
        </w:rPr>
        <w:t>was established by Act No. 388/1991 Coll.</w:t>
      </w:r>
      <w:r w:rsidR="00F12F18" w:rsidRPr="00EA5F4B">
        <w:rPr>
          <w:rStyle w:val="Znakapoznpodarou"/>
          <w:rFonts w:ascii="Calibri" w:hAnsi="Calibri"/>
          <w:lang w:val="en-GB"/>
        </w:rPr>
        <w:footnoteReference w:id="4"/>
      </w:r>
      <w:r w:rsidR="00F12F18" w:rsidRPr="00EA5F4B">
        <w:rPr>
          <w:rFonts w:ascii="Calibri" w:hAnsi="Calibri" w:cs="Calibri"/>
          <w:lang w:val="en-GB"/>
        </w:rPr>
        <w:t xml:space="preserve"> </w:t>
      </w:r>
      <w:r w:rsidRPr="00EA5F4B">
        <w:rPr>
          <w:rFonts w:ascii="Calibri" w:hAnsi="Calibri" w:cs="Calibri"/>
          <w:lang w:val="en-GB"/>
        </w:rPr>
        <w:t xml:space="preserve">Its administrator is the </w:t>
      </w:r>
      <w:proofErr w:type="spellStart"/>
      <w:r w:rsidRPr="00EA5F4B">
        <w:rPr>
          <w:rFonts w:ascii="Calibri" w:hAnsi="Calibri" w:cs="Calibri"/>
          <w:lang w:val="en-GB"/>
        </w:rPr>
        <w:t>M</w:t>
      </w:r>
      <w:r w:rsidR="00253CE3" w:rsidRPr="00EA5F4B">
        <w:rPr>
          <w:rFonts w:ascii="Calibri" w:hAnsi="Calibri" w:cs="Calibri"/>
          <w:lang w:val="en-GB"/>
        </w:rPr>
        <w:t>o</w:t>
      </w:r>
      <w:r w:rsidR="00056424">
        <w:rPr>
          <w:rFonts w:ascii="Calibri" w:hAnsi="Calibri" w:cs="Calibri"/>
          <w:lang w:val="en-GB"/>
        </w:rPr>
        <w:t>E</w:t>
      </w:r>
      <w:proofErr w:type="spellEnd"/>
      <w:r w:rsidR="00056424">
        <w:rPr>
          <w:rFonts w:ascii="Calibri" w:hAnsi="Calibri" w:cs="Calibri"/>
          <w:lang w:val="en-GB"/>
        </w:rPr>
        <w:t xml:space="preserve">. In </w:t>
      </w:r>
      <w:r w:rsidRPr="00EA5F4B">
        <w:rPr>
          <w:rFonts w:ascii="Calibri" w:hAnsi="Calibri" w:cs="Calibri"/>
          <w:lang w:val="en-GB"/>
        </w:rPr>
        <w:t xml:space="preserve">the field of waste management, </w:t>
      </w:r>
      <w:r w:rsidR="00056424">
        <w:rPr>
          <w:rFonts w:ascii="Calibri" w:hAnsi="Calibri" w:cs="Calibri"/>
          <w:lang w:val="en-GB"/>
        </w:rPr>
        <w:t xml:space="preserve">the </w:t>
      </w:r>
      <w:r w:rsidRPr="00EA5F4B">
        <w:rPr>
          <w:rFonts w:ascii="Calibri" w:hAnsi="Calibri" w:cs="Calibri"/>
          <w:lang w:val="en-GB"/>
        </w:rPr>
        <w:t xml:space="preserve">SEF ensures co-financing from national sources for programmes supported from EU funds. Under OPE </w:t>
      </w:r>
      <w:r w:rsidR="00F12F18" w:rsidRPr="00EA5F4B">
        <w:rPr>
          <w:rFonts w:ascii="Calibri" w:hAnsi="Calibri" w:cs="Calibri"/>
          <w:lang w:val="en-GB"/>
        </w:rPr>
        <w:t>2007</w:t>
      </w:r>
      <w:r w:rsidR="00111F43" w:rsidRPr="00EA5F4B">
        <w:rPr>
          <w:rFonts w:ascii="Calibri" w:hAnsi="Calibri" w:cs="Calibri"/>
          <w:lang w:val="en-GB"/>
        </w:rPr>
        <w:t>–</w:t>
      </w:r>
      <w:r w:rsidR="00A90300" w:rsidRPr="00EA5F4B">
        <w:rPr>
          <w:rFonts w:ascii="Calibri" w:hAnsi="Calibri" w:cs="Calibri"/>
          <w:lang w:val="en-GB"/>
        </w:rPr>
        <w:t>2013 a</w:t>
      </w:r>
      <w:r w:rsidR="004A2C1C" w:rsidRPr="00EA5F4B">
        <w:rPr>
          <w:rFonts w:ascii="Calibri" w:hAnsi="Calibri" w:cs="Calibri"/>
          <w:lang w:val="en-GB"/>
        </w:rPr>
        <w:t>nd OPE</w:t>
      </w:r>
      <w:r w:rsidR="00A90300" w:rsidRPr="00EA5F4B">
        <w:rPr>
          <w:rFonts w:ascii="Calibri" w:hAnsi="Calibri" w:cs="Calibri"/>
          <w:lang w:val="en-GB"/>
        </w:rPr>
        <w:t xml:space="preserve"> 2014</w:t>
      </w:r>
      <w:r w:rsidR="00111F43" w:rsidRPr="00EA5F4B">
        <w:rPr>
          <w:rFonts w:ascii="Calibri" w:hAnsi="Calibri" w:cs="Calibri"/>
          <w:lang w:val="en-GB"/>
        </w:rPr>
        <w:t>–</w:t>
      </w:r>
      <w:r w:rsidR="004A2C1C" w:rsidRPr="00EA5F4B">
        <w:rPr>
          <w:rFonts w:ascii="Calibri" w:hAnsi="Calibri" w:cs="Calibri"/>
          <w:lang w:val="en-GB"/>
        </w:rPr>
        <w:t xml:space="preserve">2020, it plays the role of </w:t>
      </w:r>
      <w:r w:rsidR="00056424">
        <w:rPr>
          <w:rFonts w:ascii="Calibri" w:hAnsi="Calibri" w:cs="Calibri"/>
          <w:lang w:val="en-GB"/>
        </w:rPr>
        <w:t xml:space="preserve">an </w:t>
      </w:r>
      <w:r w:rsidR="00CD16DD">
        <w:rPr>
          <w:rFonts w:ascii="Calibri" w:hAnsi="Calibri" w:cs="Calibri"/>
          <w:lang w:val="en-GB"/>
        </w:rPr>
        <w:t>Intermediate Body</w:t>
      </w:r>
      <w:r w:rsidR="004A2C1C" w:rsidRPr="00EA5F4B">
        <w:rPr>
          <w:rFonts w:ascii="Calibri" w:hAnsi="Calibri" w:cs="Calibri"/>
          <w:lang w:val="en-GB"/>
        </w:rPr>
        <w:t xml:space="preserve"> whose obligations have been l</w:t>
      </w:r>
      <w:r w:rsidR="00996F14">
        <w:rPr>
          <w:rFonts w:ascii="Calibri" w:hAnsi="Calibri" w:cs="Calibri"/>
          <w:lang w:val="en-GB"/>
        </w:rPr>
        <w:t>a</w:t>
      </w:r>
      <w:r w:rsidR="004A2C1C" w:rsidRPr="00EA5F4B">
        <w:rPr>
          <w:rFonts w:ascii="Calibri" w:hAnsi="Calibri" w:cs="Calibri"/>
          <w:lang w:val="en-GB"/>
        </w:rPr>
        <w:t>id down in the delegation agreements</w:t>
      </w:r>
      <w:r w:rsidR="00A90300" w:rsidRPr="00EA5F4B">
        <w:rPr>
          <w:rStyle w:val="Znakapoznpodarou"/>
          <w:rFonts w:ascii="Calibri" w:hAnsi="Calibri"/>
          <w:lang w:val="en-GB"/>
        </w:rPr>
        <w:footnoteReference w:id="5"/>
      </w:r>
      <w:r w:rsidR="00A90300" w:rsidRPr="00EA5F4B">
        <w:rPr>
          <w:rFonts w:ascii="Calibri" w:hAnsi="Calibri" w:cs="Calibri"/>
          <w:lang w:val="en-GB"/>
        </w:rPr>
        <w:t xml:space="preserve"> </w:t>
      </w:r>
      <w:r w:rsidR="00253CE3" w:rsidRPr="00EA5F4B">
        <w:rPr>
          <w:rFonts w:ascii="Calibri" w:hAnsi="Calibri" w:cs="Calibri"/>
          <w:lang w:val="en-GB"/>
        </w:rPr>
        <w:t xml:space="preserve">concluded between the </w:t>
      </w:r>
      <w:proofErr w:type="spellStart"/>
      <w:r w:rsidR="00253CE3" w:rsidRPr="00EA5F4B">
        <w:rPr>
          <w:rFonts w:ascii="Calibri" w:hAnsi="Calibri" w:cs="Calibri"/>
          <w:lang w:val="en-GB"/>
        </w:rPr>
        <w:t>MoE</w:t>
      </w:r>
      <w:proofErr w:type="spellEnd"/>
      <w:r w:rsidR="00253CE3" w:rsidRPr="00EA5F4B">
        <w:rPr>
          <w:rFonts w:ascii="Calibri" w:hAnsi="Calibri" w:cs="Calibri"/>
          <w:lang w:val="en-GB"/>
        </w:rPr>
        <w:t xml:space="preserve"> and </w:t>
      </w:r>
      <w:r w:rsidR="00764ED4">
        <w:rPr>
          <w:rFonts w:ascii="Calibri" w:hAnsi="Calibri" w:cs="Calibri"/>
          <w:lang w:val="en-GB"/>
        </w:rPr>
        <w:t xml:space="preserve">the </w:t>
      </w:r>
      <w:r w:rsidR="00253CE3" w:rsidRPr="00EA5F4B">
        <w:rPr>
          <w:rFonts w:ascii="Calibri" w:hAnsi="Calibri" w:cs="Calibri"/>
          <w:lang w:val="en-GB"/>
        </w:rPr>
        <w:t xml:space="preserve">SEF. </w:t>
      </w:r>
      <w:r w:rsidR="00764ED4">
        <w:rPr>
          <w:rFonts w:ascii="Calibri" w:hAnsi="Calibri" w:cs="Calibri"/>
          <w:lang w:val="en-GB"/>
        </w:rPr>
        <w:t xml:space="preserve">The </w:t>
      </w:r>
      <w:r w:rsidR="00253CE3" w:rsidRPr="00EA5F4B">
        <w:rPr>
          <w:rFonts w:ascii="Calibri" w:hAnsi="Calibri" w:cs="Calibri"/>
          <w:lang w:val="en-GB"/>
        </w:rPr>
        <w:t xml:space="preserve">SEF provides </w:t>
      </w:r>
      <w:r w:rsidR="00BF5922" w:rsidRPr="00EA5F4B">
        <w:rPr>
          <w:rFonts w:ascii="Calibri" w:hAnsi="Calibri" w:cs="Calibri"/>
          <w:lang w:val="en-GB"/>
        </w:rPr>
        <w:t>aid</w:t>
      </w:r>
      <w:r w:rsidR="00253CE3" w:rsidRPr="00EA5F4B">
        <w:rPr>
          <w:rFonts w:ascii="Calibri" w:hAnsi="Calibri" w:cs="Calibri"/>
          <w:lang w:val="en-GB"/>
        </w:rPr>
        <w:t xml:space="preserve"> from EU funds and chapter 315 – </w:t>
      </w:r>
      <w:proofErr w:type="spellStart"/>
      <w:r w:rsidR="00253CE3" w:rsidRPr="00EA5F4B">
        <w:rPr>
          <w:rFonts w:ascii="Calibri" w:hAnsi="Calibri" w:cs="Calibri"/>
          <w:lang w:val="en-GB"/>
        </w:rPr>
        <w:t>MoE</w:t>
      </w:r>
      <w:proofErr w:type="spellEnd"/>
      <w:r w:rsidR="00253CE3" w:rsidRPr="00EA5F4B">
        <w:rPr>
          <w:rFonts w:ascii="Calibri" w:hAnsi="Calibri" w:cs="Calibri"/>
          <w:lang w:val="en-GB"/>
        </w:rPr>
        <w:t xml:space="preserve"> based on an issued </w:t>
      </w:r>
      <w:r w:rsidR="00253CE3" w:rsidRPr="00EA5F4B">
        <w:rPr>
          <w:rFonts w:ascii="Calibri" w:hAnsi="Calibri" w:cs="Calibri"/>
          <w:i/>
          <w:lang w:val="en-GB"/>
        </w:rPr>
        <w:t xml:space="preserve">Decision on Provision of a Subsidy </w:t>
      </w:r>
      <w:r w:rsidR="00253CE3" w:rsidRPr="00EA5F4B">
        <w:rPr>
          <w:rFonts w:ascii="Calibri" w:hAnsi="Calibri" w:cs="Calibri"/>
          <w:lang w:val="en-GB"/>
        </w:rPr>
        <w:t xml:space="preserve">("DPS") and </w:t>
      </w:r>
      <w:r w:rsidR="00BF5922" w:rsidRPr="00EA5F4B">
        <w:rPr>
          <w:rFonts w:ascii="Calibri" w:hAnsi="Calibri" w:cs="Calibri"/>
          <w:lang w:val="en-GB"/>
        </w:rPr>
        <w:t>aid</w:t>
      </w:r>
      <w:r w:rsidR="00B33DB4">
        <w:rPr>
          <w:rFonts w:ascii="Calibri" w:hAnsi="Calibri" w:cs="Calibri"/>
          <w:lang w:val="en-GB"/>
        </w:rPr>
        <w:t xml:space="preserve"> from SEF</w:t>
      </w:r>
      <w:r w:rsidR="00253CE3" w:rsidRPr="00EA5F4B">
        <w:rPr>
          <w:rFonts w:ascii="Calibri" w:hAnsi="Calibri" w:cs="Calibri"/>
          <w:lang w:val="en-GB"/>
        </w:rPr>
        <w:t xml:space="preserve"> funds based on a concluded </w:t>
      </w:r>
      <w:r w:rsidR="00253CE3" w:rsidRPr="00EA5F4B">
        <w:rPr>
          <w:rFonts w:ascii="Calibri" w:hAnsi="Calibri" w:cs="Calibri"/>
          <w:i/>
          <w:lang w:val="en-GB"/>
        </w:rPr>
        <w:t xml:space="preserve">Agreement on Provision of </w:t>
      </w:r>
      <w:r w:rsidR="00BF5922" w:rsidRPr="00EA5F4B">
        <w:rPr>
          <w:rFonts w:ascii="Calibri" w:hAnsi="Calibri" w:cs="Calibri"/>
          <w:i/>
          <w:lang w:val="en-GB"/>
        </w:rPr>
        <w:t>Aid</w:t>
      </w:r>
      <w:r w:rsidR="00253CE3" w:rsidRPr="00EA5F4B">
        <w:rPr>
          <w:rFonts w:ascii="Calibri" w:hAnsi="Calibri" w:cs="Calibri"/>
          <w:i/>
          <w:lang w:val="en-GB"/>
        </w:rPr>
        <w:t xml:space="preserve"> </w:t>
      </w:r>
      <w:r w:rsidR="00253CE3" w:rsidRPr="00EA5F4B">
        <w:rPr>
          <w:rFonts w:ascii="Calibri" w:hAnsi="Calibri" w:cs="Calibri"/>
          <w:lang w:val="en-GB"/>
        </w:rPr>
        <w:t xml:space="preserve">(just for OPE </w:t>
      </w:r>
      <w:r w:rsidR="00A90300" w:rsidRPr="00EA5F4B">
        <w:rPr>
          <w:rFonts w:ascii="Calibri" w:hAnsi="Calibri" w:cs="Calibri"/>
          <w:lang w:val="en-GB"/>
        </w:rPr>
        <w:t>2007</w:t>
      </w:r>
      <w:r w:rsidR="00111F43" w:rsidRPr="00EA5F4B">
        <w:rPr>
          <w:rFonts w:ascii="Calibri" w:hAnsi="Calibri" w:cs="Calibri"/>
          <w:lang w:val="en-GB"/>
        </w:rPr>
        <w:t>–</w:t>
      </w:r>
      <w:r w:rsidR="00F83A4F" w:rsidRPr="00EA5F4B">
        <w:rPr>
          <w:rFonts w:ascii="Calibri" w:hAnsi="Calibri" w:cs="Calibri"/>
          <w:lang w:val="en-GB"/>
        </w:rPr>
        <w:t>2013).</w:t>
      </w:r>
    </w:p>
    <w:p w:rsidR="00964155" w:rsidRPr="00EA5F4B" w:rsidRDefault="00964155" w:rsidP="00E41664">
      <w:pPr>
        <w:spacing w:line="280" w:lineRule="atLeast"/>
        <w:jc w:val="both"/>
        <w:rPr>
          <w:rFonts w:asciiTheme="minorHAnsi" w:hAnsiTheme="minorHAnsi" w:cstheme="minorHAnsi"/>
          <w:lang w:val="en-GB"/>
        </w:rPr>
      </w:pPr>
    </w:p>
    <w:p w:rsidR="00F83A4F" w:rsidRPr="00EA5F4B" w:rsidRDefault="00BF5922" w:rsidP="00BF5922">
      <w:pPr>
        <w:spacing w:line="280" w:lineRule="atLeast"/>
        <w:jc w:val="both"/>
        <w:rPr>
          <w:rFonts w:asciiTheme="minorHAnsi" w:hAnsiTheme="minorHAnsi" w:cstheme="minorHAnsi"/>
          <w:lang w:val="en-GB"/>
        </w:rPr>
      </w:pPr>
      <w:r w:rsidRPr="00EA5F4B">
        <w:rPr>
          <w:rFonts w:asciiTheme="minorHAnsi" w:hAnsiTheme="minorHAnsi" w:cstheme="minorHAnsi"/>
          <w:lang w:val="en-GB"/>
        </w:rPr>
        <w:t>The</w:t>
      </w:r>
      <w:r w:rsidRPr="00EA5F4B">
        <w:rPr>
          <w:rFonts w:asciiTheme="minorHAnsi" w:hAnsiTheme="minorHAnsi" w:cstheme="minorHAnsi"/>
          <w:b/>
          <w:lang w:val="en-GB"/>
        </w:rPr>
        <w:t xml:space="preserve"> beneficiaries</w:t>
      </w:r>
      <w:r w:rsidR="00F83A4F" w:rsidRPr="00EA5F4B">
        <w:rPr>
          <w:rFonts w:asciiTheme="minorHAnsi" w:hAnsiTheme="minorHAnsi" w:cstheme="minorHAnsi"/>
          <w:lang w:val="en-GB"/>
        </w:rPr>
        <w:t xml:space="preserve"> </w:t>
      </w:r>
      <w:r w:rsidRPr="00EA5F4B">
        <w:rPr>
          <w:rFonts w:asciiTheme="minorHAnsi" w:hAnsiTheme="minorHAnsi" w:cstheme="minorHAnsi"/>
          <w:lang w:val="en-GB"/>
        </w:rPr>
        <w:t>are public or private entities responsible for the commencement, implementation</w:t>
      </w:r>
      <w:r w:rsidR="00B33DB4">
        <w:rPr>
          <w:rFonts w:asciiTheme="minorHAnsi" w:hAnsiTheme="minorHAnsi" w:cstheme="minorHAnsi"/>
          <w:lang w:val="en-GB"/>
        </w:rPr>
        <w:t>,</w:t>
      </w:r>
      <w:r w:rsidRPr="00EA5F4B">
        <w:rPr>
          <w:rFonts w:asciiTheme="minorHAnsi" w:hAnsiTheme="minorHAnsi" w:cstheme="minorHAnsi"/>
          <w:lang w:val="en-GB"/>
        </w:rPr>
        <w:t xml:space="preserve"> or maintenance of operations co-financed from EU funds who, on the basis of a legal act on provision/transfer of financial aid (DPS) and fulfilment of the conditions laid down therein, submit a request for payment and receive the claimed funding from public budgets.</w:t>
      </w:r>
    </w:p>
    <w:p w:rsidR="0023753C" w:rsidRPr="00EA5F4B" w:rsidRDefault="0023753C" w:rsidP="00E41664">
      <w:pPr>
        <w:spacing w:line="280" w:lineRule="atLeast"/>
        <w:jc w:val="both"/>
        <w:rPr>
          <w:rFonts w:asciiTheme="minorHAnsi" w:hAnsiTheme="minorHAnsi" w:cstheme="minorHAnsi"/>
          <w:b/>
          <w:lang w:val="en-GB"/>
        </w:rPr>
      </w:pPr>
    </w:p>
    <w:p w:rsidR="00A90300" w:rsidRPr="00EA5F4B" w:rsidRDefault="00A90300" w:rsidP="00E41664">
      <w:pPr>
        <w:spacing w:line="280" w:lineRule="atLeast"/>
        <w:jc w:val="both"/>
        <w:rPr>
          <w:rFonts w:asciiTheme="minorHAnsi" w:hAnsiTheme="minorHAnsi" w:cstheme="minorHAnsi"/>
          <w:b/>
          <w:lang w:val="en-GB"/>
        </w:rPr>
      </w:pPr>
    </w:p>
    <w:p w:rsidR="009F6188" w:rsidRPr="00EA5F4B" w:rsidRDefault="009F6188" w:rsidP="00E41664">
      <w:pPr>
        <w:spacing w:line="280" w:lineRule="atLeast"/>
        <w:jc w:val="both"/>
        <w:rPr>
          <w:rFonts w:asciiTheme="minorHAnsi" w:hAnsiTheme="minorHAnsi" w:cstheme="minorHAnsi"/>
          <w:b/>
          <w:lang w:val="en-GB"/>
        </w:rPr>
      </w:pPr>
      <w:r w:rsidRPr="00EA5F4B">
        <w:rPr>
          <w:rFonts w:asciiTheme="minorHAnsi" w:hAnsiTheme="minorHAnsi" w:cstheme="minorHAnsi"/>
          <w:b/>
          <w:lang w:val="en-GB"/>
        </w:rPr>
        <w:t xml:space="preserve">A. </w:t>
      </w:r>
      <w:r w:rsidR="00996F14">
        <w:rPr>
          <w:rFonts w:asciiTheme="minorHAnsi" w:hAnsiTheme="minorHAnsi" w:cstheme="minorHAnsi"/>
          <w:b/>
          <w:lang w:val="en-GB"/>
        </w:rPr>
        <w:t>Conceptual activity in the field of waste management</w:t>
      </w:r>
    </w:p>
    <w:p w:rsidR="009F6188" w:rsidRPr="00EA5F4B" w:rsidRDefault="009F6188" w:rsidP="00E41664">
      <w:pPr>
        <w:spacing w:line="280" w:lineRule="atLeast"/>
        <w:jc w:val="both"/>
        <w:rPr>
          <w:rFonts w:asciiTheme="minorHAnsi" w:hAnsiTheme="minorHAnsi" w:cstheme="minorHAnsi"/>
          <w:lang w:val="en-GB"/>
        </w:rPr>
      </w:pPr>
    </w:p>
    <w:p w:rsidR="009F6188" w:rsidRPr="00EA5F4B" w:rsidRDefault="00313EDE" w:rsidP="00BA1C7E">
      <w:pPr>
        <w:spacing w:line="280" w:lineRule="atLeast"/>
        <w:jc w:val="both"/>
        <w:rPr>
          <w:rFonts w:asciiTheme="minorHAnsi" w:hAnsiTheme="minorHAnsi" w:cstheme="minorHAnsi"/>
          <w:bCs/>
          <w:lang w:val="en-GB"/>
        </w:rPr>
      </w:pPr>
      <w:r w:rsidRPr="00EA5F4B">
        <w:rPr>
          <w:rFonts w:asciiTheme="minorHAnsi" w:hAnsiTheme="minorHAnsi" w:cstheme="minorHAnsi"/>
          <w:lang w:val="en-GB"/>
        </w:rPr>
        <w:t>The basic conceptual material is the WMP CR, which is an instrument for waste management in the Czech Republic and for implementing the long-term waste management strategy. The validity of WMP CR for the period 2003–2013 was extended until the end of 2014, and since 2015</w:t>
      </w:r>
      <w:r w:rsidR="00B33DB4">
        <w:rPr>
          <w:rFonts w:asciiTheme="minorHAnsi" w:hAnsiTheme="minorHAnsi" w:cstheme="minorHAnsi"/>
          <w:lang w:val="en-GB"/>
        </w:rPr>
        <w:t>,</w:t>
      </w:r>
      <w:r w:rsidRPr="00EA5F4B">
        <w:rPr>
          <w:rFonts w:asciiTheme="minorHAnsi" w:hAnsiTheme="minorHAnsi" w:cstheme="minorHAnsi"/>
          <w:lang w:val="en-GB"/>
        </w:rPr>
        <w:t xml:space="preserve"> a WMP CR has been in place for the period 2015–2024. The main objectives of </w:t>
      </w:r>
      <w:r w:rsidR="00BA1C7E" w:rsidRPr="00EA5F4B">
        <w:rPr>
          <w:rFonts w:asciiTheme="minorHAnsi" w:hAnsiTheme="minorHAnsi" w:cstheme="minorHAnsi"/>
          <w:lang w:val="en-GB"/>
        </w:rPr>
        <w:t>WMP CR 2015–2024 are waste prevention and reducing specific waste production, minimising the adverse effects of waste generation and managing their impact on human health and the environment, sustainable development of society, moving towards a European "recycling society", maximum utilisation of waste as a replacement for primary resources</w:t>
      </w:r>
      <w:r w:rsidR="00B33DB4">
        <w:rPr>
          <w:rFonts w:asciiTheme="minorHAnsi" w:hAnsiTheme="minorHAnsi" w:cstheme="minorHAnsi"/>
          <w:lang w:val="en-GB"/>
        </w:rPr>
        <w:t>,</w:t>
      </w:r>
      <w:r w:rsidR="00BA1C7E" w:rsidRPr="00EA5F4B">
        <w:rPr>
          <w:rFonts w:asciiTheme="minorHAnsi" w:hAnsiTheme="minorHAnsi" w:cstheme="minorHAnsi"/>
          <w:lang w:val="en-GB"/>
        </w:rPr>
        <w:t xml:space="preserve"> and transition to a circular economy. One component of the WMP CR 2015–2024 is the </w:t>
      </w:r>
      <w:r w:rsidR="00BA1C7E" w:rsidRPr="00EA5F4B">
        <w:rPr>
          <w:rFonts w:asciiTheme="minorHAnsi" w:hAnsiTheme="minorHAnsi" w:cstheme="minorHAnsi"/>
          <w:i/>
          <w:lang w:val="en-GB"/>
        </w:rPr>
        <w:t xml:space="preserve">Waste </w:t>
      </w:r>
      <w:r w:rsidR="00BA1C7E" w:rsidRPr="00EA5F4B">
        <w:rPr>
          <w:rFonts w:asciiTheme="minorHAnsi" w:hAnsiTheme="minorHAnsi" w:cstheme="minorHAnsi"/>
          <w:i/>
          <w:lang w:val="en-GB"/>
        </w:rPr>
        <w:lastRenderedPageBreak/>
        <w:t>Prevention Programme</w:t>
      </w:r>
      <w:r w:rsidR="00BA1C7E" w:rsidRPr="00EA5F4B">
        <w:rPr>
          <w:rFonts w:asciiTheme="minorHAnsi" w:hAnsiTheme="minorHAnsi" w:cstheme="minorHAnsi"/>
          <w:lang w:val="en-GB"/>
        </w:rPr>
        <w:t>, which focuses on prioritising forms of waste management based on the EU-wide waste hierarchy and meeting EU targets in all areas of waste management.</w:t>
      </w:r>
    </w:p>
    <w:p w:rsidR="00497F44" w:rsidRPr="00EA5F4B" w:rsidRDefault="00497F44" w:rsidP="00E41664">
      <w:pPr>
        <w:spacing w:line="280" w:lineRule="atLeast"/>
        <w:jc w:val="both"/>
        <w:rPr>
          <w:rFonts w:asciiTheme="minorHAnsi" w:hAnsiTheme="minorHAnsi" w:cstheme="minorHAnsi"/>
          <w:b/>
          <w:lang w:val="en-GB"/>
        </w:rPr>
      </w:pPr>
    </w:p>
    <w:p w:rsidR="009F6188" w:rsidRPr="00EA5F4B" w:rsidRDefault="009F6188" w:rsidP="00E41664">
      <w:pPr>
        <w:spacing w:line="280" w:lineRule="atLeast"/>
        <w:jc w:val="both"/>
        <w:rPr>
          <w:rFonts w:asciiTheme="minorHAnsi" w:hAnsiTheme="minorHAnsi" w:cstheme="minorHAnsi"/>
          <w:b/>
          <w:lang w:val="en-GB"/>
        </w:rPr>
      </w:pPr>
      <w:r w:rsidRPr="00EA5F4B">
        <w:rPr>
          <w:rFonts w:asciiTheme="minorHAnsi" w:hAnsiTheme="minorHAnsi" w:cstheme="minorHAnsi"/>
          <w:b/>
          <w:lang w:val="en-GB"/>
        </w:rPr>
        <w:t xml:space="preserve">B. </w:t>
      </w:r>
      <w:r w:rsidR="00BA1C7E" w:rsidRPr="00EA5F4B">
        <w:rPr>
          <w:rFonts w:asciiTheme="minorHAnsi" w:hAnsiTheme="minorHAnsi" w:cstheme="minorHAnsi"/>
          <w:b/>
          <w:lang w:val="en-GB"/>
        </w:rPr>
        <w:t>Funding provided for waste management</w:t>
      </w:r>
    </w:p>
    <w:p w:rsidR="009F6188" w:rsidRPr="00EA5F4B" w:rsidRDefault="009F6188" w:rsidP="00E41664">
      <w:pPr>
        <w:spacing w:line="280" w:lineRule="atLeast"/>
        <w:jc w:val="both"/>
        <w:rPr>
          <w:rFonts w:asciiTheme="minorHAnsi" w:hAnsiTheme="minorHAnsi" w:cstheme="minorHAnsi"/>
          <w:lang w:val="en-GB"/>
        </w:rPr>
      </w:pPr>
    </w:p>
    <w:p w:rsidR="00BD6741" w:rsidRPr="00EA5F4B" w:rsidRDefault="00E41B0F" w:rsidP="00E41B0F">
      <w:pPr>
        <w:spacing w:line="280" w:lineRule="atLeast"/>
        <w:jc w:val="both"/>
        <w:rPr>
          <w:rStyle w:val="Siln"/>
          <w:rFonts w:asciiTheme="minorHAnsi" w:hAnsiTheme="minorHAnsi" w:cstheme="minorHAnsi"/>
          <w:b w:val="0"/>
          <w:lang w:val="en-GB"/>
        </w:rPr>
      </w:pPr>
      <w:r w:rsidRPr="00EA5F4B">
        <w:rPr>
          <w:rFonts w:asciiTheme="minorHAnsi" w:hAnsiTheme="minorHAnsi" w:cstheme="minorHAnsi"/>
          <w:lang w:val="en-GB"/>
        </w:rPr>
        <w:t xml:space="preserve">Funding for implementation of measures related to waste management was also provided from the </w:t>
      </w:r>
      <w:r w:rsidRPr="00EA5F4B">
        <w:rPr>
          <w:rFonts w:asciiTheme="minorHAnsi" w:hAnsiTheme="minorHAnsi" w:cstheme="minorHAnsi"/>
          <w:i/>
          <w:lang w:val="en-GB"/>
        </w:rPr>
        <w:t>Cohesion Fund</w:t>
      </w:r>
      <w:r w:rsidRPr="00EA5F4B">
        <w:rPr>
          <w:rFonts w:asciiTheme="minorHAnsi" w:hAnsiTheme="minorHAnsi" w:cstheme="minorHAnsi"/>
          <w:lang w:val="en-GB"/>
        </w:rPr>
        <w:t xml:space="preserve"> ("CF") via OPE </w:t>
      </w:r>
      <w:r w:rsidR="009F6188" w:rsidRPr="00EA5F4B">
        <w:rPr>
          <w:rStyle w:val="Siln"/>
          <w:rFonts w:asciiTheme="minorHAnsi" w:hAnsiTheme="minorHAnsi" w:cstheme="minorHAnsi"/>
          <w:b w:val="0"/>
          <w:lang w:val="en-GB"/>
        </w:rPr>
        <w:t>2007</w:t>
      </w:r>
      <w:r w:rsidR="007D55D5" w:rsidRPr="00EA5F4B">
        <w:rPr>
          <w:rStyle w:val="Siln"/>
          <w:rFonts w:asciiTheme="minorHAnsi" w:hAnsiTheme="minorHAnsi" w:cstheme="minorHAnsi"/>
          <w:b w:val="0"/>
          <w:lang w:val="en-GB"/>
        </w:rPr>
        <w:t>–</w:t>
      </w:r>
      <w:r w:rsidR="009F6188" w:rsidRPr="00EA5F4B">
        <w:rPr>
          <w:rStyle w:val="Siln"/>
          <w:rFonts w:asciiTheme="minorHAnsi" w:hAnsiTheme="minorHAnsi" w:cstheme="minorHAnsi"/>
          <w:b w:val="0"/>
          <w:lang w:val="en-GB"/>
        </w:rPr>
        <w:t>2013</w:t>
      </w:r>
      <w:r w:rsidR="00F83A4F" w:rsidRPr="00EA5F4B">
        <w:rPr>
          <w:rStyle w:val="Siln"/>
          <w:rFonts w:asciiTheme="minorHAnsi" w:hAnsiTheme="minorHAnsi" w:cstheme="minorHAnsi"/>
          <w:b w:val="0"/>
          <w:lang w:val="en-GB"/>
        </w:rPr>
        <w:t xml:space="preserve"> a</w:t>
      </w:r>
      <w:r w:rsidRPr="00EA5F4B">
        <w:rPr>
          <w:rStyle w:val="Siln"/>
          <w:rFonts w:asciiTheme="minorHAnsi" w:hAnsiTheme="minorHAnsi" w:cstheme="minorHAnsi"/>
          <w:b w:val="0"/>
          <w:lang w:val="en-GB"/>
        </w:rPr>
        <w:t>nd</w:t>
      </w:r>
      <w:r w:rsidR="00F87DA4" w:rsidRPr="00EA5F4B">
        <w:rPr>
          <w:rStyle w:val="Siln"/>
          <w:rFonts w:asciiTheme="minorHAnsi" w:hAnsiTheme="minorHAnsi" w:cstheme="minorHAnsi"/>
          <w:b w:val="0"/>
          <w:lang w:val="en-GB"/>
        </w:rPr>
        <w:t> </w:t>
      </w:r>
      <w:r w:rsidR="009F6188" w:rsidRPr="00EA5F4B">
        <w:rPr>
          <w:rStyle w:val="Siln"/>
          <w:rFonts w:asciiTheme="minorHAnsi" w:hAnsiTheme="minorHAnsi" w:cstheme="minorHAnsi"/>
          <w:b w:val="0"/>
          <w:lang w:val="en-GB"/>
        </w:rPr>
        <w:t>OP</w:t>
      </w:r>
      <w:r w:rsidR="00353987">
        <w:rPr>
          <w:rStyle w:val="Siln"/>
          <w:rFonts w:asciiTheme="minorHAnsi" w:hAnsiTheme="minorHAnsi" w:cstheme="minorHAnsi"/>
          <w:b w:val="0"/>
          <w:lang w:val="en-GB"/>
        </w:rPr>
        <w:t>E</w:t>
      </w:r>
      <w:r w:rsidR="00F87DA4" w:rsidRPr="00EA5F4B">
        <w:rPr>
          <w:rStyle w:val="Siln"/>
          <w:rFonts w:asciiTheme="minorHAnsi" w:hAnsiTheme="minorHAnsi" w:cstheme="minorHAnsi"/>
          <w:b w:val="0"/>
          <w:lang w:val="en-GB"/>
        </w:rPr>
        <w:t> </w:t>
      </w:r>
      <w:r w:rsidR="009F6188" w:rsidRPr="00EA5F4B">
        <w:rPr>
          <w:rStyle w:val="Siln"/>
          <w:rFonts w:asciiTheme="minorHAnsi" w:hAnsiTheme="minorHAnsi" w:cstheme="minorHAnsi"/>
          <w:b w:val="0"/>
          <w:lang w:val="en-GB"/>
        </w:rPr>
        <w:t>2014</w:t>
      </w:r>
      <w:r w:rsidR="007D55D5" w:rsidRPr="00EA5F4B">
        <w:rPr>
          <w:rStyle w:val="Siln"/>
          <w:rFonts w:asciiTheme="minorHAnsi" w:hAnsiTheme="minorHAnsi" w:cstheme="minorHAnsi"/>
          <w:b w:val="0"/>
          <w:lang w:val="en-GB"/>
        </w:rPr>
        <w:t>–</w:t>
      </w:r>
      <w:r w:rsidR="00F83A4F" w:rsidRPr="00EA5F4B">
        <w:rPr>
          <w:rStyle w:val="Siln"/>
          <w:rFonts w:asciiTheme="minorHAnsi" w:hAnsiTheme="minorHAnsi" w:cstheme="minorHAnsi"/>
          <w:b w:val="0"/>
          <w:lang w:val="en-GB"/>
        </w:rPr>
        <w:t>2020</w:t>
      </w:r>
      <w:r w:rsidR="009F6188" w:rsidRPr="00EA5F4B">
        <w:rPr>
          <w:rStyle w:val="Siln"/>
          <w:rFonts w:asciiTheme="minorHAnsi" w:hAnsiTheme="minorHAnsi" w:cstheme="minorHAnsi"/>
          <w:b w:val="0"/>
          <w:lang w:val="en-GB"/>
        </w:rPr>
        <w:t>.</w:t>
      </w:r>
      <w:r w:rsidR="00BD6741" w:rsidRPr="00EA5F4B">
        <w:rPr>
          <w:rStyle w:val="Siln"/>
          <w:rFonts w:asciiTheme="minorHAnsi" w:hAnsiTheme="minorHAnsi" w:cstheme="minorHAnsi"/>
          <w:b w:val="0"/>
          <w:lang w:val="en-GB"/>
        </w:rPr>
        <w:t xml:space="preserve"> </w:t>
      </w:r>
      <w:r w:rsidRPr="00EA5F4B">
        <w:rPr>
          <w:rStyle w:val="Siln"/>
          <w:rFonts w:asciiTheme="minorHAnsi" w:hAnsiTheme="minorHAnsi" w:cstheme="minorHAnsi"/>
          <w:b w:val="0"/>
          <w:lang w:val="en-GB"/>
        </w:rPr>
        <w:t>Both operational programmes are instruments for implementing the goals of the WMP CR and the aims of activities supported by these programmes are in accord with the WMP CR.</w:t>
      </w:r>
    </w:p>
    <w:p w:rsidR="009F6188" w:rsidRPr="00EA5F4B" w:rsidRDefault="009F6188" w:rsidP="00E41664">
      <w:pPr>
        <w:spacing w:line="280" w:lineRule="atLeast"/>
        <w:jc w:val="both"/>
        <w:rPr>
          <w:rFonts w:asciiTheme="minorHAnsi" w:hAnsiTheme="minorHAnsi" w:cstheme="minorHAnsi"/>
          <w:lang w:val="en-GB"/>
        </w:rPr>
      </w:pPr>
    </w:p>
    <w:p w:rsidR="009F6188" w:rsidRPr="00EA5F4B" w:rsidRDefault="00E41B0F" w:rsidP="00CE1BE4">
      <w:pPr>
        <w:spacing w:line="280" w:lineRule="atLeast"/>
        <w:jc w:val="both"/>
        <w:rPr>
          <w:rFonts w:asciiTheme="minorHAnsi" w:hAnsiTheme="minorHAnsi" w:cstheme="minorHAnsi"/>
          <w:lang w:val="en-GB"/>
        </w:rPr>
      </w:pPr>
      <w:r w:rsidRPr="00EA5F4B">
        <w:rPr>
          <w:rFonts w:asciiTheme="minorHAnsi" w:hAnsiTheme="minorHAnsi" w:cstheme="minorHAnsi"/>
          <w:b/>
          <w:lang w:val="en-GB"/>
        </w:rPr>
        <w:t>Under OPE</w:t>
      </w:r>
      <w:r w:rsidR="009F6188" w:rsidRPr="00EA5F4B">
        <w:rPr>
          <w:rFonts w:asciiTheme="minorHAnsi" w:hAnsiTheme="minorHAnsi" w:cstheme="minorHAnsi"/>
          <w:b/>
          <w:lang w:val="en-GB"/>
        </w:rPr>
        <w:t xml:space="preserve"> 2007</w:t>
      </w:r>
      <w:r w:rsidR="007D55D5" w:rsidRPr="00EA5F4B">
        <w:rPr>
          <w:rFonts w:asciiTheme="minorHAnsi" w:hAnsiTheme="minorHAnsi" w:cstheme="minorHAnsi"/>
          <w:b/>
          <w:lang w:val="en-GB"/>
        </w:rPr>
        <w:t>–</w:t>
      </w:r>
      <w:r w:rsidR="009F6188" w:rsidRPr="00EA5F4B">
        <w:rPr>
          <w:rFonts w:asciiTheme="minorHAnsi" w:hAnsiTheme="minorHAnsi" w:cstheme="minorHAnsi"/>
          <w:b/>
          <w:lang w:val="en-GB"/>
        </w:rPr>
        <w:t>2013</w:t>
      </w:r>
      <w:r w:rsidR="002903DE">
        <w:rPr>
          <w:rFonts w:asciiTheme="minorHAnsi" w:hAnsiTheme="minorHAnsi" w:cstheme="minorHAnsi"/>
          <w:lang w:val="en-GB"/>
        </w:rPr>
        <w:t>,</w:t>
      </w:r>
      <w:r w:rsidR="009F6188" w:rsidRPr="00EA5F4B">
        <w:rPr>
          <w:rFonts w:asciiTheme="minorHAnsi" w:hAnsiTheme="minorHAnsi" w:cstheme="minorHAnsi"/>
          <w:lang w:val="en-GB"/>
        </w:rPr>
        <w:t xml:space="preserve"> </w:t>
      </w:r>
      <w:r w:rsidRPr="00EA5F4B">
        <w:rPr>
          <w:rFonts w:asciiTheme="minorHAnsi" w:hAnsiTheme="minorHAnsi" w:cstheme="minorHAnsi"/>
          <w:lang w:val="en-GB"/>
        </w:rPr>
        <w:t xml:space="preserve">the </w:t>
      </w:r>
      <w:proofErr w:type="spellStart"/>
      <w:r w:rsidRPr="00EA5F4B">
        <w:rPr>
          <w:rFonts w:asciiTheme="minorHAnsi" w:hAnsiTheme="minorHAnsi" w:cstheme="minorHAnsi"/>
          <w:lang w:val="en-GB"/>
        </w:rPr>
        <w:t>MoE</w:t>
      </w:r>
      <w:proofErr w:type="spellEnd"/>
      <w:r w:rsidRPr="00EA5F4B">
        <w:rPr>
          <w:rFonts w:asciiTheme="minorHAnsi" w:hAnsiTheme="minorHAnsi" w:cstheme="minorHAnsi"/>
          <w:lang w:val="en-GB"/>
        </w:rPr>
        <w:t xml:space="preserve"> provided funding for the implementation of waste management measures through Area of </w:t>
      </w:r>
      <w:r w:rsidR="002903DE">
        <w:rPr>
          <w:rFonts w:asciiTheme="minorHAnsi" w:hAnsiTheme="minorHAnsi" w:cstheme="minorHAnsi"/>
          <w:lang w:val="en-GB"/>
        </w:rPr>
        <w:t>Intervention</w:t>
      </w:r>
      <w:r w:rsidRPr="00EA5F4B">
        <w:rPr>
          <w:rFonts w:asciiTheme="minorHAnsi" w:hAnsiTheme="minorHAnsi" w:cstheme="minorHAnsi"/>
          <w:lang w:val="en-GB"/>
        </w:rPr>
        <w:t xml:space="preserve"> 4.1 – </w:t>
      </w:r>
      <w:r w:rsidR="002903DE" w:rsidRPr="002903DE">
        <w:rPr>
          <w:rFonts w:asciiTheme="minorHAnsi" w:hAnsiTheme="minorHAnsi" w:cstheme="minorHAnsi"/>
          <w:i/>
          <w:lang w:val="en-GB"/>
        </w:rPr>
        <w:t xml:space="preserve">The </w:t>
      </w:r>
      <w:r w:rsidRPr="00EA5F4B">
        <w:rPr>
          <w:rFonts w:asciiTheme="minorHAnsi" w:hAnsiTheme="minorHAnsi" w:cstheme="minorHAnsi"/>
          <w:i/>
          <w:lang w:val="en-GB"/>
        </w:rPr>
        <w:t>Improvement of Waste Management</w:t>
      </w:r>
      <w:r w:rsidRPr="00EA5F4B">
        <w:rPr>
          <w:rFonts w:asciiTheme="minorHAnsi" w:hAnsiTheme="minorHAnsi" w:cstheme="minorHAnsi"/>
          <w:lang w:val="en-GB"/>
        </w:rPr>
        <w:t>. In the 2007–2013 programming period, assistance went to projects for the construction, expansion, modernisation</w:t>
      </w:r>
      <w:r w:rsidR="00E0158F">
        <w:rPr>
          <w:rFonts w:asciiTheme="minorHAnsi" w:hAnsiTheme="minorHAnsi" w:cstheme="minorHAnsi"/>
          <w:lang w:val="en-GB"/>
        </w:rPr>
        <w:t>,</w:t>
      </w:r>
      <w:r w:rsidRPr="00EA5F4B">
        <w:rPr>
          <w:rFonts w:asciiTheme="minorHAnsi" w:hAnsiTheme="minorHAnsi" w:cstheme="minorHAnsi"/>
          <w:lang w:val="en-GB"/>
        </w:rPr>
        <w:t xml:space="preserve"> and retrofitting of systems for the separation and collection of waste, compostin</w:t>
      </w:r>
      <w:r w:rsidR="00CE1BE4" w:rsidRPr="00EA5F4B">
        <w:rPr>
          <w:rFonts w:asciiTheme="minorHAnsi" w:hAnsiTheme="minorHAnsi" w:cstheme="minorHAnsi"/>
          <w:lang w:val="en-GB"/>
        </w:rPr>
        <w:t>g plants, waste collection and transhipment yards, facilities for the sorting and treatment of waste and material and energy recovery thereof (i.e. sorting and recycling plants, biogas plants), as well as projects for rec</w:t>
      </w:r>
      <w:r w:rsidR="00353987">
        <w:rPr>
          <w:rFonts w:asciiTheme="minorHAnsi" w:hAnsiTheme="minorHAnsi" w:cstheme="minorHAnsi"/>
          <w:lang w:val="en-GB"/>
        </w:rPr>
        <w:t>laiming</w:t>
      </w:r>
      <w:r w:rsidR="00CE1BE4" w:rsidRPr="00EA5F4B">
        <w:rPr>
          <w:rFonts w:asciiTheme="minorHAnsi" w:hAnsiTheme="minorHAnsi" w:cstheme="minorHAnsi"/>
          <w:lang w:val="en-GB"/>
        </w:rPr>
        <w:t xml:space="preserve"> old landfills</w:t>
      </w:r>
      <w:r w:rsidR="00353987">
        <w:rPr>
          <w:rFonts w:asciiTheme="minorHAnsi" w:hAnsiTheme="minorHAnsi" w:cstheme="minorHAnsi"/>
          <w:lang w:val="en-GB"/>
        </w:rPr>
        <w:t xml:space="preserve"> and the elimination of illegal landfills</w:t>
      </w:r>
      <w:r w:rsidR="00CE1BE4" w:rsidRPr="00EA5F4B">
        <w:rPr>
          <w:rFonts w:asciiTheme="minorHAnsi" w:hAnsiTheme="minorHAnsi" w:cstheme="minorHAnsi"/>
          <w:lang w:val="en-GB"/>
        </w:rPr>
        <w:t>.</w:t>
      </w:r>
    </w:p>
    <w:p w:rsidR="009F6188" w:rsidRPr="00EA5F4B" w:rsidRDefault="009F6188" w:rsidP="00E41664">
      <w:pPr>
        <w:spacing w:line="280" w:lineRule="atLeast"/>
        <w:rPr>
          <w:rFonts w:asciiTheme="minorHAnsi" w:hAnsiTheme="minorHAnsi" w:cstheme="minorHAnsi"/>
          <w:sz w:val="22"/>
          <w:szCs w:val="22"/>
          <w:lang w:val="en-GB"/>
        </w:rPr>
      </w:pPr>
    </w:p>
    <w:p w:rsidR="009F6188" w:rsidRPr="00EA5F4B" w:rsidRDefault="00CE1BE4" w:rsidP="00AD2FBD">
      <w:pPr>
        <w:spacing w:line="280" w:lineRule="atLeast"/>
        <w:ind w:left="1304" w:hanging="1304"/>
        <w:jc w:val="both"/>
        <w:rPr>
          <w:rFonts w:asciiTheme="minorHAnsi" w:hAnsiTheme="minorHAnsi" w:cstheme="minorHAnsi"/>
          <w:b/>
          <w:lang w:val="en-GB"/>
        </w:rPr>
      </w:pPr>
      <w:r w:rsidRPr="00EA5F4B">
        <w:rPr>
          <w:rFonts w:asciiTheme="minorHAnsi" w:hAnsiTheme="minorHAnsi" w:cstheme="minorHAnsi"/>
          <w:b/>
          <w:lang w:val="en-GB"/>
        </w:rPr>
        <w:t>Table</w:t>
      </w:r>
      <w:r w:rsidR="00E41664" w:rsidRPr="00EA5F4B">
        <w:rPr>
          <w:rFonts w:asciiTheme="minorHAnsi" w:hAnsiTheme="minorHAnsi" w:cstheme="minorHAnsi"/>
          <w:b/>
          <w:lang w:val="en-GB"/>
        </w:rPr>
        <w:t xml:space="preserve"> </w:t>
      </w:r>
      <w:r w:rsidR="009F6188" w:rsidRPr="00EA5F4B">
        <w:rPr>
          <w:rFonts w:asciiTheme="minorHAnsi" w:hAnsiTheme="minorHAnsi" w:cstheme="minorHAnsi"/>
          <w:b/>
          <w:lang w:val="en-GB"/>
        </w:rPr>
        <w:t xml:space="preserve">1: </w:t>
      </w:r>
      <w:r w:rsidR="004D5DF5" w:rsidRPr="00EA5F4B">
        <w:rPr>
          <w:rFonts w:asciiTheme="minorHAnsi" w:hAnsiTheme="minorHAnsi" w:cstheme="minorHAnsi"/>
          <w:b/>
          <w:lang w:val="en-GB"/>
        </w:rPr>
        <w:tab/>
      </w:r>
      <w:r w:rsidR="00016128" w:rsidRPr="00EA5F4B">
        <w:rPr>
          <w:rFonts w:asciiTheme="minorHAnsi" w:hAnsiTheme="minorHAnsi" w:cstheme="minorHAnsi"/>
          <w:b/>
          <w:lang w:val="en-GB"/>
        </w:rPr>
        <w:t>Overview of funding drawn under OPE</w:t>
      </w:r>
      <w:r w:rsidR="009F6188" w:rsidRPr="00EA5F4B">
        <w:rPr>
          <w:rFonts w:ascii="Calibri" w:hAnsi="Calibri" w:cs="Calibri"/>
          <w:b/>
          <w:lang w:val="en-GB"/>
        </w:rPr>
        <w:t xml:space="preserve"> 2007</w:t>
      </w:r>
      <w:r w:rsidR="009B4E34" w:rsidRPr="00EA5F4B">
        <w:rPr>
          <w:rFonts w:ascii="Calibri" w:hAnsi="Calibri" w:cs="Calibri"/>
          <w:b/>
          <w:lang w:val="en-GB"/>
        </w:rPr>
        <w:t>–</w:t>
      </w:r>
      <w:r w:rsidR="009F6188" w:rsidRPr="00EA5F4B">
        <w:rPr>
          <w:rFonts w:ascii="Calibri" w:hAnsi="Calibri" w:cs="Calibri"/>
          <w:b/>
          <w:lang w:val="en-GB"/>
        </w:rPr>
        <w:t xml:space="preserve">2013 </w:t>
      </w:r>
      <w:r w:rsidR="00016128" w:rsidRPr="00EA5F4B">
        <w:rPr>
          <w:rFonts w:ascii="Calibri" w:hAnsi="Calibri" w:cs="Calibri"/>
          <w:b/>
          <w:lang w:val="en-GB"/>
        </w:rPr>
        <w:t>for waste management</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881"/>
        <w:gridCol w:w="1413"/>
        <w:gridCol w:w="1414"/>
        <w:gridCol w:w="1414"/>
        <w:gridCol w:w="1414"/>
      </w:tblGrid>
      <w:tr w:rsidR="00016128" w:rsidRPr="00EA5F4B" w:rsidTr="00ED1AD2">
        <w:tc>
          <w:tcPr>
            <w:tcW w:w="1506" w:type="dxa"/>
            <w:shd w:val="clear" w:color="auto" w:fill="E5F1FF"/>
            <w:vAlign w:val="center"/>
          </w:tcPr>
          <w:p w:rsidR="009F6188" w:rsidRPr="00EA5F4B" w:rsidRDefault="00016128" w:rsidP="00016128">
            <w:pPr>
              <w:spacing w:line="280" w:lineRule="atLeast"/>
              <w:jc w:val="center"/>
              <w:rPr>
                <w:rFonts w:asciiTheme="minorHAnsi" w:hAnsiTheme="minorHAnsi" w:cstheme="minorHAnsi"/>
                <w:b/>
                <w:sz w:val="20"/>
                <w:szCs w:val="20"/>
                <w:lang w:val="en-GB"/>
              </w:rPr>
            </w:pPr>
            <w:r w:rsidRPr="00EA5F4B">
              <w:rPr>
                <w:rFonts w:asciiTheme="minorHAnsi" w:hAnsiTheme="minorHAnsi" w:cstheme="minorHAnsi"/>
                <w:b/>
                <w:sz w:val="20"/>
                <w:szCs w:val="20"/>
                <w:lang w:val="en-GB"/>
              </w:rPr>
              <w:t>Allocation in millions of CZK</w:t>
            </w:r>
            <w:r w:rsidR="009F6188" w:rsidRPr="00EA5F4B">
              <w:rPr>
                <w:rFonts w:asciiTheme="minorHAnsi" w:hAnsiTheme="minorHAnsi" w:cstheme="minorHAnsi"/>
                <w:b/>
                <w:sz w:val="20"/>
                <w:szCs w:val="20"/>
                <w:lang w:val="en-GB"/>
              </w:rPr>
              <w:t>*</w:t>
            </w:r>
          </w:p>
        </w:tc>
        <w:tc>
          <w:tcPr>
            <w:tcW w:w="1881" w:type="dxa"/>
            <w:shd w:val="clear" w:color="auto" w:fill="E5F1FF"/>
            <w:vAlign w:val="center"/>
          </w:tcPr>
          <w:p w:rsidR="009F6188" w:rsidRPr="00EA5F4B" w:rsidRDefault="00016128" w:rsidP="00016128">
            <w:pPr>
              <w:spacing w:line="280" w:lineRule="atLeast"/>
              <w:jc w:val="center"/>
              <w:rPr>
                <w:rFonts w:asciiTheme="minorHAnsi" w:hAnsiTheme="minorHAnsi" w:cstheme="minorHAnsi"/>
                <w:b/>
                <w:sz w:val="20"/>
                <w:szCs w:val="20"/>
                <w:lang w:val="en-GB"/>
              </w:rPr>
            </w:pPr>
            <w:r w:rsidRPr="00EA5F4B">
              <w:rPr>
                <w:rFonts w:asciiTheme="minorHAnsi" w:hAnsiTheme="minorHAnsi" w:cstheme="minorHAnsi"/>
                <w:b/>
                <w:sz w:val="20"/>
                <w:szCs w:val="20"/>
                <w:lang w:val="en-GB"/>
              </w:rPr>
              <w:t>Number of projects supported with completed physical implementation</w:t>
            </w:r>
            <w:r w:rsidR="009F6188" w:rsidRPr="00EA5F4B">
              <w:rPr>
                <w:rFonts w:asciiTheme="minorHAnsi" w:hAnsiTheme="minorHAnsi" w:cstheme="minorHAnsi"/>
                <w:b/>
                <w:sz w:val="20"/>
                <w:szCs w:val="20"/>
                <w:lang w:val="en-GB"/>
              </w:rPr>
              <w:t>**</w:t>
            </w:r>
          </w:p>
        </w:tc>
        <w:tc>
          <w:tcPr>
            <w:tcW w:w="1413" w:type="dxa"/>
            <w:shd w:val="clear" w:color="auto" w:fill="E5F1FF"/>
            <w:vAlign w:val="center"/>
          </w:tcPr>
          <w:p w:rsidR="009F6188" w:rsidRPr="00EA5F4B" w:rsidRDefault="00016128" w:rsidP="00353987">
            <w:pPr>
              <w:spacing w:line="280" w:lineRule="atLeast"/>
              <w:jc w:val="center"/>
              <w:rPr>
                <w:rFonts w:asciiTheme="minorHAnsi" w:hAnsiTheme="minorHAnsi" w:cstheme="minorHAnsi"/>
                <w:b/>
                <w:sz w:val="20"/>
                <w:szCs w:val="20"/>
                <w:lang w:val="en-GB"/>
              </w:rPr>
            </w:pPr>
            <w:r w:rsidRPr="00EA5F4B">
              <w:rPr>
                <w:rFonts w:asciiTheme="minorHAnsi" w:hAnsiTheme="minorHAnsi" w:cstheme="minorHAnsi"/>
                <w:b/>
                <w:sz w:val="20"/>
                <w:szCs w:val="20"/>
                <w:lang w:val="en-GB"/>
              </w:rPr>
              <w:t xml:space="preserve">Total eligible </w:t>
            </w:r>
            <w:r w:rsidR="00353987">
              <w:rPr>
                <w:rFonts w:asciiTheme="minorHAnsi" w:hAnsiTheme="minorHAnsi" w:cstheme="minorHAnsi"/>
                <w:b/>
                <w:sz w:val="20"/>
                <w:szCs w:val="20"/>
                <w:lang w:val="en-GB"/>
              </w:rPr>
              <w:t>expenditures</w:t>
            </w:r>
            <w:r w:rsidRPr="00EA5F4B">
              <w:rPr>
                <w:rFonts w:asciiTheme="minorHAnsi" w:hAnsiTheme="minorHAnsi" w:cstheme="minorHAnsi"/>
                <w:b/>
                <w:sz w:val="20"/>
                <w:szCs w:val="20"/>
                <w:lang w:val="en-GB"/>
              </w:rPr>
              <w:t xml:space="preserve"> in millions of CZK</w:t>
            </w:r>
          </w:p>
        </w:tc>
        <w:tc>
          <w:tcPr>
            <w:tcW w:w="1414" w:type="dxa"/>
            <w:shd w:val="clear" w:color="auto" w:fill="E5F1FF"/>
            <w:vAlign w:val="center"/>
          </w:tcPr>
          <w:p w:rsidR="009F6188" w:rsidRPr="00EA5F4B" w:rsidRDefault="00353987" w:rsidP="000037EE">
            <w:pPr>
              <w:spacing w:line="280" w:lineRule="atLeast"/>
              <w:jc w:val="center"/>
              <w:rPr>
                <w:rFonts w:asciiTheme="minorHAnsi" w:hAnsiTheme="minorHAnsi" w:cstheme="minorHAnsi"/>
                <w:b/>
                <w:sz w:val="20"/>
                <w:szCs w:val="20"/>
                <w:lang w:val="en-GB"/>
              </w:rPr>
            </w:pPr>
            <w:r>
              <w:rPr>
                <w:rFonts w:asciiTheme="minorHAnsi" w:hAnsiTheme="minorHAnsi" w:cstheme="minorHAnsi"/>
                <w:b/>
                <w:sz w:val="20"/>
                <w:szCs w:val="20"/>
                <w:lang w:val="en-GB"/>
              </w:rPr>
              <w:t>Expenditures</w:t>
            </w:r>
            <w:r w:rsidR="000037EE" w:rsidRPr="00EA5F4B">
              <w:rPr>
                <w:rFonts w:asciiTheme="minorHAnsi" w:hAnsiTheme="minorHAnsi" w:cstheme="minorHAnsi"/>
                <w:b/>
                <w:sz w:val="20"/>
                <w:szCs w:val="20"/>
                <w:lang w:val="en-GB"/>
              </w:rPr>
              <w:t xml:space="preserve"> r</w:t>
            </w:r>
            <w:r w:rsidR="00016128" w:rsidRPr="00EA5F4B">
              <w:rPr>
                <w:rFonts w:asciiTheme="minorHAnsi" w:hAnsiTheme="minorHAnsi" w:cstheme="minorHAnsi"/>
                <w:b/>
                <w:sz w:val="20"/>
                <w:szCs w:val="20"/>
                <w:lang w:val="en-GB"/>
              </w:rPr>
              <w:t>eimbursed from CF in millions of CZK</w:t>
            </w:r>
          </w:p>
        </w:tc>
        <w:tc>
          <w:tcPr>
            <w:tcW w:w="1414" w:type="dxa"/>
            <w:shd w:val="clear" w:color="auto" w:fill="E5F1FF"/>
            <w:vAlign w:val="center"/>
          </w:tcPr>
          <w:p w:rsidR="009F6188" w:rsidRPr="00EA5F4B" w:rsidRDefault="00016128" w:rsidP="00353987">
            <w:pPr>
              <w:spacing w:line="280" w:lineRule="atLeast"/>
              <w:jc w:val="center"/>
              <w:rPr>
                <w:rFonts w:asciiTheme="minorHAnsi" w:hAnsiTheme="minorHAnsi" w:cstheme="minorHAnsi"/>
                <w:b/>
                <w:sz w:val="20"/>
                <w:szCs w:val="20"/>
                <w:lang w:val="en-GB"/>
              </w:rPr>
            </w:pPr>
            <w:r w:rsidRPr="00EA5F4B">
              <w:rPr>
                <w:rFonts w:asciiTheme="minorHAnsi" w:hAnsiTheme="minorHAnsi" w:cstheme="minorHAnsi"/>
                <w:b/>
                <w:sz w:val="20"/>
                <w:szCs w:val="20"/>
                <w:lang w:val="en-GB"/>
              </w:rPr>
              <w:t xml:space="preserve">Certified </w:t>
            </w:r>
            <w:r w:rsidR="00353987">
              <w:rPr>
                <w:rFonts w:asciiTheme="minorHAnsi" w:hAnsiTheme="minorHAnsi" w:cstheme="minorHAnsi"/>
                <w:b/>
                <w:sz w:val="20"/>
                <w:szCs w:val="20"/>
                <w:lang w:val="en-GB"/>
              </w:rPr>
              <w:t>expenditures</w:t>
            </w:r>
            <w:r w:rsidRPr="00EA5F4B">
              <w:rPr>
                <w:rFonts w:asciiTheme="minorHAnsi" w:hAnsiTheme="minorHAnsi" w:cstheme="minorHAnsi"/>
                <w:b/>
                <w:sz w:val="20"/>
                <w:szCs w:val="20"/>
                <w:lang w:val="en-GB"/>
              </w:rPr>
              <w:t xml:space="preserve"> from CF in millions of CZK</w:t>
            </w:r>
          </w:p>
        </w:tc>
        <w:tc>
          <w:tcPr>
            <w:tcW w:w="1414" w:type="dxa"/>
            <w:shd w:val="clear" w:color="auto" w:fill="E5F1FF"/>
            <w:vAlign w:val="center"/>
          </w:tcPr>
          <w:p w:rsidR="00016128" w:rsidRPr="00EA5F4B" w:rsidRDefault="00016128" w:rsidP="00016128">
            <w:pPr>
              <w:spacing w:line="280" w:lineRule="atLeast"/>
              <w:jc w:val="center"/>
              <w:rPr>
                <w:rFonts w:asciiTheme="minorHAnsi" w:hAnsiTheme="minorHAnsi" w:cstheme="minorHAnsi"/>
                <w:b/>
                <w:sz w:val="20"/>
                <w:szCs w:val="20"/>
                <w:lang w:val="en-GB"/>
              </w:rPr>
            </w:pPr>
            <w:r w:rsidRPr="00EA5F4B">
              <w:rPr>
                <w:rFonts w:asciiTheme="minorHAnsi" w:hAnsiTheme="minorHAnsi" w:cstheme="minorHAnsi"/>
                <w:b/>
                <w:sz w:val="20"/>
                <w:szCs w:val="20"/>
                <w:lang w:val="en-GB"/>
              </w:rPr>
              <w:t xml:space="preserve">National subsidy funds in millions of </w:t>
            </w:r>
            <w:proofErr w:type="gramStart"/>
            <w:r w:rsidRPr="00EA5F4B">
              <w:rPr>
                <w:rFonts w:asciiTheme="minorHAnsi" w:hAnsiTheme="minorHAnsi" w:cstheme="minorHAnsi"/>
                <w:b/>
                <w:sz w:val="20"/>
                <w:szCs w:val="20"/>
                <w:lang w:val="en-GB"/>
              </w:rPr>
              <w:t>CZK</w:t>
            </w:r>
            <w:proofErr w:type="gramEnd"/>
          </w:p>
          <w:p w:rsidR="009F6188" w:rsidRPr="00EA5F4B" w:rsidRDefault="009F6188" w:rsidP="00E41664">
            <w:pPr>
              <w:spacing w:line="280" w:lineRule="atLeast"/>
              <w:jc w:val="center"/>
              <w:rPr>
                <w:rFonts w:asciiTheme="minorHAnsi" w:hAnsiTheme="minorHAnsi" w:cstheme="minorHAnsi"/>
                <w:b/>
                <w:sz w:val="20"/>
                <w:szCs w:val="20"/>
                <w:lang w:val="en-GB"/>
              </w:rPr>
            </w:pPr>
          </w:p>
        </w:tc>
      </w:tr>
      <w:tr w:rsidR="00016128" w:rsidRPr="00EA5F4B" w:rsidTr="00ED1AD2">
        <w:trPr>
          <w:trHeight w:val="472"/>
        </w:trPr>
        <w:tc>
          <w:tcPr>
            <w:tcW w:w="1506" w:type="dxa"/>
            <w:vAlign w:val="center"/>
          </w:tcPr>
          <w:p w:rsidR="009F6188" w:rsidRPr="00EA5F4B" w:rsidRDefault="009F6188" w:rsidP="00E41664">
            <w:pPr>
              <w:spacing w:line="280" w:lineRule="atLeast"/>
              <w:jc w:val="center"/>
              <w:rPr>
                <w:rFonts w:asciiTheme="minorHAnsi" w:hAnsiTheme="minorHAnsi" w:cstheme="minorHAnsi"/>
                <w:sz w:val="20"/>
                <w:szCs w:val="20"/>
                <w:lang w:val="en-GB"/>
              </w:rPr>
            </w:pPr>
            <w:r w:rsidRPr="00EA5F4B">
              <w:rPr>
                <w:rFonts w:asciiTheme="minorHAnsi" w:hAnsiTheme="minorHAnsi" w:cstheme="minorHAnsi"/>
                <w:sz w:val="20"/>
                <w:szCs w:val="20"/>
                <w:lang w:val="en-GB"/>
              </w:rPr>
              <w:t>13 569</w:t>
            </w:r>
            <w:r w:rsidR="00016128" w:rsidRPr="00EA5F4B">
              <w:rPr>
                <w:rFonts w:asciiTheme="minorHAnsi" w:hAnsiTheme="minorHAnsi" w:cstheme="minorHAnsi"/>
                <w:sz w:val="20"/>
                <w:szCs w:val="20"/>
                <w:lang w:val="en-GB"/>
              </w:rPr>
              <w:t>.</w:t>
            </w:r>
            <w:r w:rsidRPr="00EA5F4B">
              <w:rPr>
                <w:rFonts w:asciiTheme="minorHAnsi" w:hAnsiTheme="minorHAnsi" w:cstheme="minorHAnsi"/>
                <w:sz w:val="20"/>
                <w:szCs w:val="20"/>
                <w:lang w:val="en-GB"/>
              </w:rPr>
              <w:t>660</w:t>
            </w:r>
          </w:p>
        </w:tc>
        <w:tc>
          <w:tcPr>
            <w:tcW w:w="1881" w:type="dxa"/>
            <w:vAlign w:val="center"/>
          </w:tcPr>
          <w:p w:rsidR="009F6188" w:rsidRPr="00EA5F4B" w:rsidRDefault="009F6188" w:rsidP="00E41664">
            <w:pPr>
              <w:spacing w:line="280" w:lineRule="atLeast"/>
              <w:jc w:val="center"/>
              <w:rPr>
                <w:rFonts w:asciiTheme="minorHAnsi" w:hAnsiTheme="minorHAnsi" w:cstheme="minorHAnsi"/>
                <w:sz w:val="20"/>
                <w:szCs w:val="20"/>
                <w:lang w:val="en-GB"/>
              </w:rPr>
            </w:pPr>
            <w:r w:rsidRPr="00EA5F4B">
              <w:rPr>
                <w:rFonts w:asciiTheme="minorHAnsi" w:hAnsiTheme="minorHAnsi" w:cstheme="minorHAnsi"/>
                <w:sz w:val="20"/>
                <w:szCs w:val="20"/>
                <w:lang w:val="en-GB"/>
              </w:rPr>
              <w:t>4 015</w:t>
            </w:r>
          </w:p>
        </w:tc>
        <w:tc>
          <w:tcPr>
            <w:tcW w:w="1413" w:type="dxa"/>
            <w:vAlign w:val="center"/>
          </w:tcPr>
          <w:p w:rsidR="009F6188" w:rsidRPr="00EA5F4B" w:rsidRDefault="009F6188" w:rsidP="00E41664">
            <w:pPr>
              <w:spacing w:line="280" w:lineRule="atLeast"/>
              <w:jc w:val="center"/>
              <w:rPr>
                <w:rFonts w:asciiTheme="minorHAnsi" w:hAnsiTheme="minorHAnsi" w:cstheme="minorHAnsi"/>
                <w:sz w:val="20"/>
                <w:szCs w:val="20"/>
                <w:lang w:val="en-GB"/>
              </w:rPr>
            </w:pPr>
            <w:r w:rsidRPr="00EA5F4B">
              <w:rPr>
                <w:rFonts w:asciiTheme="minorHAnsi" w:hAnsiTheme="minorHAnsi" w:cstheme="minorHAnsi"/>
                <w:sz w:val="20"/>
                <w:szCs w:val="20"/>
                <w:lang w:val="en-GB"/>
              </w:rPr>
              <w:t>18 751</w:t>
            </w:r>
            <w:r w:rsidR="00016128" w:rsidRPr="00EA5F4B">
              <w:rPr>
                <w:rFonts w:asciiTheme="minorHAnsi" w:hAnsiTheme="minorHAnsi" w:cstheme="minorHAnsi"/>
                <w:sz w:val="20"/>
                <w:szCs w:val="20"/>
                <w:lang w:val="en-GB"/>
              </w:rPr>
              <w:t>.</w:t>
            </w:r>
            <w:r w:rsidRPr="00EA5F4B">
              <w:rPr>
                <w:rFonts w:asciiTheme="minorHAnsi" w:hAnsiTheme="minorHAnsi" w:cstheme="minorHAnsi"/>
                <w:sz w:val="20"/>
                <w:szCs w:val="20"/>
                <w:lang w:val="en-GB"/>
              </w:rPr>
              <w:t>348</w:t>
            </w:r>
          </w:p>
        </w:tc>
        <w:tc>
          <w:tcPr>
            <w:tcW w:w="1414" w:type="dxa"/>
            <w:vAlign w:val="center"/>
          </w:tcPr>
          <w:p w:rsidR="009F6188" w:rsidRPr="00EA5F4B" w:rsidRDefault="009F6188" w:rsidP="00E41664">
            <w:pPr>
              <w:spacing w:line="280" w:lineRule="atLeast"/>
              <w:jc w:val="center"/>
              <w:rPr>
                <w:rFonts w:asciiTheme="minorHAnsi" w:hAnsiTheme="minorHAnsi" w:cstheme="minorHAnsi"/>
                <w:sz w:val="20"/>
                <w:szCs w:val="20"/>
                <w:lang w:val="en-GB"/>
              </w:rPr>
            </w:pPr>
            <w:r w:rsidRPr="00EA5F4B">
              <w:rPr>
                <w:rFonts w:asciiTheme="minorHAnsi" w:hAnsiTheme="minorHAnsi" w:cstheme="minorHAnsi"/>
                <w:sz w:val="20"/>
                <w:szCs w:val="20"/>
                <w:lang w:val="en-GB"/>
              </w:rPr>
              <w:t>13 975</w:t>
            </w:r>
            <w:r w:rsidR="00016128" w:rsidRPr="00EA5F4B">
              <w:rPr>
                <w:rFonts w:asciiTheme="minorHAnsi" w:hAnsiTheme="minorHAnsi" w:cstheme="minorHAnsi"/>
                <w:sz w:val="20"/>
                <w:szCs w:val="20"/>
                <w:lang w:val="en-GB"/>
              </w:rPr>
              <w:t>.</w:t>
            </w:r>
            <w:r w:rsidRPr="00EA5F4B">
              <w:rPr>
                <w:rFonts w:asciiTheme="minorHAnsi" w:hAnsiTheme="minorHAnsi" w:cstheme="minorHAnsi"/>
                <w:sz w:val="20"/>
                <w:szCs w:val="20"/>
                <w:lang w:val="en-GB"/>
              </w:rPr>
              <w:t>821</w:t>
            </w:r>
          </w:p>
        </w:tc>
        <w:tc>
          <w:tcPr>
            <w:tcW w:w="1414" w:type="dxa"/>
            <w:vAlign w:val="center"/>
          </w:tcPr>
          <w:p w:rsidR="009F6188" w:rsidRPr="00EA5F4B" w:rsidRDefault="009F6188" w:rsidP="00E41664">
            <w:pPr>
              <w:spacing w:line="280" w:lineRule="atLeast"/>
              <w:jc w:val="center"/>
              <w:rPr>
                <w:rFonts w:asciiTheme="minorHAnsi" w:hAnsiTheme="minorHAnsi" w:cstheme="minorHAnsi"/>
                <w:sz w:val="20"/>
                <w:szCs w:val="20"/>
                <w:lang w:val="en-GB"/>
              </w:rPr>
            </w:pPr>
            <w:r w:rsidRPr="00EA5F4B">
              <w:rPr>
                <w:rFonts w:asciiTheme="minorHAnsi" w:hAnsiTheme="minorHAnsi" w:cstheme="minorHAnsi"/>
                <w:sz w:val="20"/>
                <w:szCs w:val="20"/>
                <w:lang w:val="en-GB"/>
              </w:rPr>
              <w:t>13 970</w:t>
            </w:r>
            <w:r w:rsidR="00016128" w:rsidRPr="00EA5F4B">
              <w:rPr>
                <w:rFonts w:asciiTheme="minorHAnsi" w:hAnsiTheme="minorHAnsi" w:cstheme="minorHAnsi"/>
                <w:sz w:val="20"/>
                <w:szCs w:val="20"/>
                <w:lang w:val="en-GB"/>
              </w:rPr>
              <w:t>.</w:t>
            </w:r>
            <w:r w:rsidRPr="00EA5F4B">
              <w:rPr>
                <w:rFonts w:asciiTheme="minorHAnsi" w:hAnsiTheme="minorHAnsi" w:cstheme="minorHAnsi"/>
                <w:sz w:val="20"/>
                <w:szCs w:val="20"/>
                <w:lang w:val="en-GB"/>
              </w:rPr>
              <w:t>517</w:t>
            </w:r>
          </w:p>
        </w:tc>
        <w:tc>
          <w:tcPr>
            <w:tcW w:w="1414" w:type="dxa"/>
            <w:vAlign w:val="center"/>
          </w:tcPr>
          <w:p w:rsidR="009F6188" w:rsidRPr="00EA5F4B" w:rsidRDefault="009F6188" w:rsidP="00E41664">
            <w:pPr>
              <w:spacing w:line="280" w:lineRule="atLeast"/>
              <w:jc w:val="center"/>
              <w:rPr>
                <w:rFonts w:asciiTheme="minorHAnsi" w:hAnsiTheme="minorHAnsi" w:cstheme="minorHAnsi"/>
                <w:sz w:val="20"/>
                <w:szCs w:val="20"/>
                <w:lang w:val="en-GB"/>
              </w:rPr>
            </w:pPr>
            <w:r w:rsidRPr="00EA5F4B">
              <w:rPr>
                <w:rFonts w:asciiTheme="minorHAnsi" w:hAnsiTheme="minorHAnsi" w:cstheme="minorHAnsi"/>
                <w:sz w:val="20"/>
                <w:szCs w:val="20"/>
                <w:lang w:val="en-GB"/>
              </w:rPr>
              <w:t>1 108</w:t>
            </w:r>
            <w:r w:rsidR="00016128" w:rsidRPr="00EA5F4B">
              <w:rPr>
                <w:rFonts w:asciiTheme="minorHAnsi" w:hAnsiTheme="minorHAnsi" w:cstheme="minorHAnsi"/>
                <w:sz w:val="20"/>
                <w:szCs w:val="20"/>
                <w:lang w:val="en-GB"/>
              </w:rPr>
              <w:t>.</w:t>
            </w:r>
            <w:r w:rsidRPr="00EA5F4B">
              <w:rPr>
                <w:rFonts w:asciiTheme="minorHAnsi" w:hAnsiTheme="minorHAnsi" w:cstheme="minorHAnsi"/>
                <w:sz w:val="20"/>
                <w:szCs w:val="20"/>
                <w:lang w:val="en-GB"/>
              </w:rPr>
              <w:t>756</w:t>
            </w:r>
          </w:p>
        </w:tc>
      </w:tr>
    </w:tbl>
    <w:p w:rsidR="009F6188" w:rsidRPr="00EA5F4B" w:rsidRDefault="00016128" w:rsidP="004D5DF5">
      <w:pPr>
        <w:ind w:left="567" w:hanging="567"/>
        <w:contextualSpacing/>
        <w:jc w:val="both"/>
        <w:rPr>
          <w:rFonts w:asciiTheme="minorHAnsi" w:hAnsiTheme="minorHAnsi" w:cstheme="minorHAnsi"/>
          <w:sz w:val="20"/>
          <w:szCs w:val="20"/>
          <w:lang w:val="en-GB"/>
        </w:rPr>
      </w:pPr>
      <w:r w:rsidRPr="00EA5F4B">
        <w:rPr>
          <w:rFonts w:asciiTheme="minorHAnsi" w:hAnsiTheme="minorHAnsi" w:cstheme="minorHAnsi"/>
          <w:b/>
          <w:sz w:val="20"/>
          <w:szCs w:val="20"/>
          <w:lang w:val="en-GB"/>
        </w:rPr>
        <w:t>Source</w:t>
      </w:r>
      <w:r w:rsidR="009F6188" w:rsidRPr="00EA5F4B">
        <w:rPr>
          <w:rFonts w:asciiTheme="minorHAnsi" w:hAnsiTheme="minorHAnsi" w:cstheme="minorHAnsi"/>
          <w:b/>
          <w:sz w:val="20"/>
          <w:szCs w:val="20"/>
          <w:lang w:val="en-GB"/>
        </w:rPr>
        <w:t>:</w:t>
      </w:r>
      <w:r w:rsidR="004D5DF5" w:rsidRPr="00EA5F4B">
        <w:rPr>
          <w:rFonts w:asciiTheme="minorHAnsi" w:hAnsiTheme="minorHAnsi" w:cstheme="minorHAnsi"/>
          <w:b/>
          <w:sz w:val="20"/>
          <w:szCs w:val="20"/>
          <w:lang w:val="en-GB"/>
        </w:rPr>
        <w:t xml:space="preserve"> </w:t>
      </w:r>
      <w:r w:rsidR="004D5DF5" w:rsidRPr="00EA5F4B">
        <w:rPr>
          <w:rFonts w:asciiTheme="minorHAnsi" w:hAnsiTheme="minorHAnsi" w:cstheme="minorHAnsi"/>
          <w:b/>
          <w:sz w:val="20"/>
          <w:szCs w:val="20"/>
          <w:lang w:val="en-GB"/>
        </w:rPr>
        <w:tab/>
      </w:r>
      <w:proofErr w:type="spellStart"/>
      <w:r w:rsidRPr="00EA5F4B">
        <w:rPr>
          <w:rFonts w:asciiTheme="minorHAnsi" w:hAnsiTheme="minorHAnsi" w:cstheme="minorHAnsi"/>
          <w:sz w:val="20"/>
          <w:szCs w:val="20"/>
          <w:lang w:val="en-GB"/>
        </w:rPr>
        <w:t>MoE</w:t>
      </w:r>
      <w:proofErr w:type="spellEnd"/>
      <w:r w:rsidRPr="00EA5F4B">
        <w:rPr>
          <w:rFonts w:asciiTheme="minorHAnsi" w:hAnsiTheme="minorHAnsi" w:cstheme="minorHAnsi"/>
          <w:sz w:val="20"/>
          <w:szCs w:val="20"/>
          <w:lang w:val="en-GB"/>
        </w:rPr>
        <w:t xml:space="preserve"> information as of 30 January </w:t>
      </w:r>
      <w:r w:rsidR="009F6188" w:rsidRPr="00EA5F4B">
        <w:rPr>
          <w:rFonts w:asciiTheme="minorHAnsi" w:hAnsiTheme="minorHAnsi" w:cstheme="minorHAnsi"/>
          <w:sz w:val="20"/>
          <w:szCs w:val="20"/>
          <w:lang w:val="en-GB"/>
        </w:rPr>
        <w:t>2017.</w:t>
      </w:r>
    </w:p>
    <w:p w:rsidR="009F6188" w:rsidRPr="00EA5F4B" w:rsidRDefault="009F6188" w:rsidP="00BA71B1">
      <w:pPr>
        <w:ind w:left="284" w:hanging="284"/>
        <w:jc w:val="both"/>
        <w:rPr>
          <w:rFonts w:asciiTheme="minorHAnsi" w:hAnsiTheme="minorHAnsi" w:cs="Arial"/>
          <w:sz w:val="20"/>
          <w:szCs w:val="20"/>
          <w:lang w:val="en-GB"/>
        </w:rPr>
      </w:pPr>
      <w:r w:rsidRPr="00EA5F4B">
        <w:rPr>
          <w:rFonts w:asciiTheme="minorHAnsi" w:hAnsiTheme="minorHAnsi" w:cstheme="minorHAnsi"/>
          <w:bCs/>
          <w:sz w:val="20"/>
          <w:szCs w:val="20"/>
          <w:lang w:val="en-GB"/>
        </w:rPr>
        <w:t>*</w:t>
      </w:r>
      <w:r w:rsidRPr="00EA5F4B">
        <w:rPr>
          <w:rFonts w:asciiTheme="minorHAnsi" w:hAnsiTheme="minorHAnsi" w:cstheme="minorHAnsi"/>
          <w:bCs/>
          <w:sz w:val="20"/>
          <w:szCs w:val="20"/>
          <w:lang w:val="en-GB"/>
        </w:rPr>
        <w:tab/>
      </w:r>
      <w:r w:rsidR="004E21D7" w:rsidRPr="00EA5F4B">
        <w:rPr>
          <w:rFonts w:asciiTheme="minorHAnsi" w:hAnsiTheme="minorHAnsi" w:cstheme="minorHAnsi"/>
          <w:bCs/>
          <w:sz w:val="20"/>
          <w:szCs w:val="20"/>
          <w:lang w:val="en-GB"/>
        </w:rPr>
        <w:t xml:space="preserve">According to </w:t>
      </w:r>
      <w:proofErr w:type="spellStart"/>
      <w:r w:rsidR="004E21D7" w:rsidRPr="00EA5F4B">
        <w:rPr>
          <w:rFonts w:asciiTheme="minorHAnsi" w:hAnsiTheme="minorHAnsi" w:cstheme="minorHAnsi"/>
          <w:bCs/>
          <w:sz w:val="20"/>
          <w:szCs w:val="20"/>
          <w:lang w:val="en-GB"/>
        </w:rPr>
        <w:t>MoE</w:t>
      </w:r>
      <w:proofErr w:type="spellEnd"/>
      <w:r w:rsidR="004E21D7" w:rsidRPr="00EA5F4B">
        <w:rPr>
          <w:rFonts w:asciiTheme="minorHAnsi" w:hAnsiTheme="minorHAnsi" w:cstheme="minorHAnsi"/>
          <w:bCs/>
          <w:sz w:val="20"/>
          <w:szCs w:val="20"/>
          <w:lang w:val="en-GB"/>
        </w:rPr>
        <w:t xml:space="preserve"> information at the ECB exchange rate in January </w:t>
      </w:r>
      <w:r w:rsidRPr="00EA5F4B">
        <w:rPr>
          <w:rFonts w:asciiTheme="minorHAnsi" w:hAnsiTheme="minorHAnsi" w:cs="Arial"/>
          <w:sz w:val="20"/>
          <w:szCs w:val="20"/>
          <w:lang w:val="en-GB"/>
        </w:rPr>
        <w:t>2016 27</w:t>
      </w:r>
      <w:r w:rsidR="004E21D7" w:rsidRPr="00EA5F4B">
        <w:rPr>
          <w:rFonts w:asciiTheme="minorHAnsi" w:hAnsiTheme="minorHAnsi" w:cs="Arial"/>
          <w:sz w:val="20"/>
          <w:szCs w:val="20"/>
          <w:lang w:val="en-GB"/>
        </w:rPr>
        <w:t>.</w:t>
      </w:r>
      <w:r w:rsidRPr="00EA5F4B">
        <w:rPr>
          <w:rFonts w:asciiTheme="minorHAnsi" w:hAnsiTheme="minorHAnsi" w:cs="Arial"/>
          <w:sz w:val="20"/>
          <w:szCs w:val="20"/>
          <w:lang w:val="en-GB"/>
        </w:rPr>
        <w:t xml:space="preserve">029 </w:t>
      </w:r>
      <w:r w:rsidR="004E21D7" w:rsidRPr="00EA5F4B">
        <w:rPr>
          <w:rFonts w:asciiTheme="minorHAnsi" w:hAnsiTheme="minorHAnsi" w:cs="Arial"/>
          <w:sz w:val="20"/>
          <w:szCs w:val="20"/>
          <w:lang w:val="en-GB"/>
        </w:rPr>
        <w:t>CZK</w:t>
      </w:r>
      <w:r w:rsidRPr="00EA5F4B">
        <w:rPr>
          <w:rFonts w:asciiTheme="minorHAnsi" w:hAnsiTheme="minorHAnsi" w:cs="Arial"/>
          <w:sz w:val="20"/>
          <w:szCs w:val="20"/>
          <w:lang w:val="en-GB"/>
        </w:rPr>
        <w:t>/</w:t>
      </w:r>
      <w:r w:rsidR="004E21D7" w:rsidRPr="00EA5F4B">
        <w:rPr>
          <w:rFonts w:asciiTheme="minorHAnsi" w:hAnsiTheme="minorHAnsi" w:cs="Arial"/>
          <w:sz w:val="20"/>
          <w:szCs w:val="20"/>
          <w:lang w:val="en-GB"/>
        </w:rPr>
        <w:t>EUR</w:t>
      </w:r>
      <w:r w:rsidRPr="00EA5F4B">
        <w:rPr>
          <w:rFonts w:asciiTheme="minorHAnsi" w:hAnsiTheme="minorHAnsi" w:cs="Arial"/>
          <w:sz w:val="20"/>
          <w:szCs w:val="20"/>
          <w:lang w:val="en-GB"/>
        </w:rPr>
        <w:t>.</w:t>
      </w:r>
    </w:p>
    <w:p w:rsidR="00701E44" w:rsidRPr="00EA5F4B" w:rsidRDefault="009F6188" w:rsidP="00BA71B1">
      <w:pPr>
        <w:ind w:left="284" w:hanging="284"/>
        <w:jc w:val="both"/>
        <w:rPr>
          <w:rFonts w:asciiTheme="minorHAnsi" w:hAnsiTheme="minorHAnsi" w:cs="Arial"/>
          <w:sz w:val="20"/>
          <w:szCs w:val="20"/>
          <w:lang w:val="en-GB"/>
        </w:rPr>
      </w:pPr>
      <w:r w:rsidRPr="00EA5F4B">
        <w:rPr>
          <w:rFonts w:asciiTheme="minorHAnsi" w:hAnsiTheme="minorHAnsi" w:cs="Arial"/>
          <w:sz w:val="20"/>
          <w:szCs w:val="20"/>
          <w:lang w:val="en-GB"/>
        </w:rPr>
        <w:t>**</w:t>
      </w:r>
      <w:r w:rsidRPr="00EA5F4B">
        <w:rPr>
          <w:rFonts w:asciiTheme="minorHAnsi" w:hAnsiTheme="minorHAnsi" w:cs="Arial"/>
          <w:sz w:val="20"/>
          <w:szCs w:val="20"/>
          <w:lang w:val="en-GB"/>
        </w:rPr>
        <w:tab/>
        <w:t>Proje</w:t>
      </w:r>
      <w:r w:rsidR="004E21D7" w:rsidRPr="00EA5F4B">
        <w:rPr>
          <w:rFonts w:asciiTheme="minorHAnsi" w:hAnsiTheme="minorHAnsi" w:cs="Arial"/>
          <w:sz w:val="20"/>
          <w:szCs w:val="20"/>
          <w:lang w:val="en-GB"/>
        </w:rPr>
        <w:t>cts with implementation completed by 31 D</w:t>
      </w:r>
      <w:r w:rsidR="00353987">
        <w:rPr>
          <w:rFonts w:asciiTheme="minorHAnsi" w:hAnsiTheme="minorHAnsi" w:cs="Arial"/>
          <w:sz w:val="20"/>
          <w:szCs w:val="20"/>
          <w:lang w:val="en-GB"/>
        </w:rPr>
        <w:t>ecember 2015, i.e. by the end of</w:t>
      </w:r>
      <w:r w:rsidR="004E21D7" w:rsidRPr="00EA5F4B">
        <w:rPr>
          <w:rFonts w:asciiTheme="minorHAnsi" w:hAnsiTheme="minorHAnsi" w:cs="Arial"/>
          <w:sz w:val="20"/>
          <w:szCs w:val="20"/>
          <w:lang w:val="en-GB"/>
        </w:rPr>
        <w:t xml:space="preserve"> the eligibility period for expenses under OPE</w:t>
      </w:r>
      <w:r w:rsidR="00105938" w:rsidRPr="00EA5F4B">
        <w:rPr>
          <w:rFonts w:asciiTheme="minorHAnsi" w:hAnsiTheme="minorHAnsi" w:cs="Arial"/>
          <w:sz w:val="20"/>
          <w:szCs w:val="20"/>
          <w:lang w:val="en-GB"/>
        </w:rPr>
        <w:t xml:space="preserve"> 2007</w:t>
      </w:r>
      <w:r w:rsidR="00105938" w:rsidRPr="00EA5F4B">
        <w:rPr>
          <w:rFonts w:ascii="Calibri" w:hAnsi="Calibri" w:cs="Calibri"/>
          <w:sz w:val="20"/>
          <w:szCs w:val="20"/>
          <w:lang w:val="en-GB"/>
        </w:rPr>
        <w:t>–</w:t>
      </w:r>
      <w:r w:rsidR="00105938" w:rsidRPr="00EA5F4B">
        <w:rPr>
          <w:rFonts w:asciiTheme="minorHAnsi" w:hAnsiTheme="minorHAnsi" w:cs="Arial"/>
          <w:sz w:val="20"/>
          <w:szCs w:val="20"/>
          <w:lang w:val="en-GB"/>
        </w:rPr>
        <w:t>2013.</w:t>
      </w:r>
    </w:p>
    <w:p w:rsidR="009F6188" w:rsidRPr="00EA5F4B" w:rsidRDefault="009F6188" w:rsidP="00E41664">
      <w:pPr>
        <w:spacing w:line="280" w:lineRule="atLeast"/>
        <w:jc w:val="both"/>
        <w:rPr>
          <w:rFonts w:asciiTheme="minorHAnsi" w:hAnsiTheme="minorHAnsi" w:cstheme="minorHAnsi"/>
          <w:lang w:val="en-GB"/>
        </w:rPr>
      </w:pPr>
    </w:p>
    <w:p w:rsidR="003A19BC" w:rsidRPr="00EA5F4B" w:rsidRDefault="004E21D7" w:rsidP="004E21D7">
      <w:pPr>
        <w:spacing w:line="280" w:lineRule="atLeast"/>
        <w:jc w:val="both"/>
        <w:rPr>
          <w:rFonts w:asciiTheme="minorHAnsi" w:hAnsiTheme="minorHAnsi"/>
          <w:szCs w:val="22"/>
          <w:lang w:val="en-GB"/>
        </w:rPr>
      </w:pPr>
      <w:r w:rsidRPr="00EA5F4B">
        <w:rPr>
          <w:rFonts w:asciiTheme="minorHAnsi" w:hAnsiTheme="minorHAnsi" w:cstheme="minorHAnsi"/>
          <w:b/>
          <w:lang w:val="en-GB"/>
        </w:rPr>
        <w:t>Under OPE</w:t>
      </w:r>
      <w:r w:rsidR="003A19BC" w:rsidRPr="00EA5F4B">
        <w:rPr>
          <w:rFonts w:asciiTheme="minorHAnsi" w:hAnsiTheme="minorHAnsi" w:cstheme="minorHAnsi"/>
          <w:b/>
          <w:lang w:val="en-GB"/>
        </w:rPr>
        <w:t xml:space="preserve"> 2014</w:t>
      </w:r>
      <w:r w:rsidR="00971679" w:rsidRPr="00EA5F4B">
        <w:rPr>
          <w:rFonts w:asciiTheme="minorHAnsi" w:hAnsiTheme="minorHAnsi" w:cstheme="minorHAnsi"/>
          <w:b/>
          <w:lang w:val="en-GB"/>
        </w:rPr>
        <w:t>–</w:t>
      </w:r>
      <w:r w:rsidR="003A19BC" w:rsidRPr="00EA5F4B">
        <w:rPr>
          <w:rFonts w:asciiTheme="minorHAnsi" w:hAnsiTheme="minorHAnsi" w:cstheme="minorHAnsi"/>
          <w:b/>
          <w:lang w:val="en-GB"/>
        </w:rPr>
        <w:t>2020</w:t>
      </w:r>
      <w:r w:rsidR="003A19BC" w:rsidRPr="00EA5F4B">
        <w:rPr>
          <w:rFonts w:asciiTheme="minorHAnsi" w:hAnsiTheme="minorHAnsi" w:cstheme="minorHAnsi"/>
          <w:lang w:val="en-GB"/>
        </w:rPr>
        <w:t xml:space="preserve"> </w:t>
      </w:r>
      <w:r w:rsidRPr="00EA5F4B">
        <w:rPr>
          <w:rFonts w:asciiTheme="minorHAnsi" w:hAnsiTheme="minorHAnsi" w:cstheme="minorHAnsi"/>
          <w:lang w:val="en-GB"/>
        </w:rPr>
        <w:t xml:space="preserve">the </w:t>
      </w:r>
      <w:proofErr w:type="spellStart"/>
      <w:r w:rsidRPr="00EA5F4B">
        <w:rPr>
          <w:rFonts w:asciiTheme="minorHAnsi" w:hAnsiTheme="minorHAnsi" w:cstheme="minorHAnsi"/>
          <w:lang w:val="en-GB"/>
        </w:rPr>
        <w:t>MoE</w:t>
      </w:r>
      <w:proofErr w:type="spellEnd"/>
      <w:r w:rsidRPr="00EA5F4B">
        <w:rPr>
          <w:rFonts w:asciiTheme="minorHAnsi" w:hAnsiTheme="minorHAnsi" w:cstheme="minorHAnsi"/>
          <w:lang w:val="en-GB"/>
        </w:rPr>
        <w:t xml:space="preserve"> provides funding for the implementation of waste management measures through Priority Axis 3 – </w:t>
      </w:r>
      <w:r w:rsidRPr="00EA5F4B">
        <w:rPr>
          <w:rFonts w:asciiTheme="minorHAnsi" w:hAnsiTheme="minorHAnsi" w:cstheme="minorHAnsi"/>
          <w:i/>
          <w:lang w:val="en-GB"/>
        </w:rPr>
        <w:t>Waste and material flows, environmental burden</w:t>
      </w:r>
      <w:r w:rsidR="00E0158F">
        <w:rPr>
          <w:rFonts w:asciiTheme="minorHAnsi" w:hAnsiTheme="minorHAnsi" w:cstheme="minorHAnsi"/>
          <w:i/>
          <w:lang w:val="en-GB"/>
        </w:rPr>
        <w:t>s</w:t>
      </w:r>
      <w:r w:rsidRPr="00EA5F4B">
        <w:rPr>
          <w:rFonts w:asciiTheme="minorHAnsi" w:hAnsiTheme="minorHAnsi" w:cstheme="minorHAnsi"/>
          <w:i/>
          <w:lang w:val="en-GB"/>
        </w:rPr>
        <w:t xml:space="preserve"> and risks</w:t>
      </w:r>
      <w:r w:rsidRPr="00EA5F4B">
        <w:rPr>
          <w:rFonts w:asciiTheme="minorHAnsi" w:hAnsiTheme="minorHAnsi" w:cstheme="minorHAnsi"/>
          <w:lang w:val="en-GB"/>
        </w:rPr>
        <w:t xml:space="preserve"> and its Investment Priority 1, which comprises three specific objecti</w:t>
      </w:r>
      <w:r w:rsidR="00353987">
        <w:rPr>
          <w:rFonts w:asciiTheme="minorHAnsi" w:hAnsiTheme="minorHAnsi" w:cstheme="minorHAnsi"/>
          <w:lang w:val="en-GB"/>
        </w:rPr>
        <w:t>ves</w:t>
      </w:r>
      <w:r w:rsidRPr="00EA5F4B">
        <w:rPr>
          <w:rFonts w:asciiTheme="minorHAnsi" w:hAnsiTheme="minorHAnsi" w:cstheme="minorHAnsi"/>
          <w:lang w:val="en-GB"/>
        </w:rPr>
        <w:t>:</w:t>
      </w:r>
    </w:p>
    <w:p w:rsidR="003A19BC" w:rsidRPr="00EA5F4B" w:rsidRDefault="003A19BC" w:rsidP="003A19BC">
      <w:pPr>
        <w:pStyle w:val="Odstavecseseznamem"/>
        <w:numPr>
          <w:ilvl w:val="0"/>
          <w:numId w:val="34"/>
        </w:numPr>
        <w:spacing w:line="280" w:lineRule="atLeast"/>
        <w:jc w:val="both"/>
        <w:rPr>
          <w:rFonts w:asciiTheme="minorHAnsi" w:hAnsiTheme="minorHAnsi"/>
          <w:szCs w:val="22"/>
          <w:lang w:val="en-GB"/>
        </w:rPr>
      </w:pPr>
      <w:r w:rsidRPr="00EA5F4B">
        <w:rPr>
          <w:rFonts w:asciiTheme="minorHAnsi" w:hAnsiTheme="minorHAnsi"/>
          <w:lang w:val="en-GB"/>
        </w:rPr>
        <w:t xml:space="preserve">3.1 </w:t>
      </w:r>
      <w:r w:rsidR="00006D05" w:rsidRPr="00EA5F4B">
        <w:rPr>
          <w:rFonts w:asciiTheme="minorHAnsi" w:hAnsiTheme="minorHAnsi"/>
          <w:lang w:val="en-GB"/>
        </w:rPr>
        <w:t>–</w:t>
      </w:r>
      <w:r w:rsidRPr="00EA5F4B">
        <w:rPr>
          <w:rFonts w:asciiTheme="minorHAnsi" w:hAnsiTheme="minorHAnsi"/>
          <w:lang w:val="en-GB"/>
        </w:rPr>
        <w:t xml:space="preserve"> </w:t>
      </w:r>
      <w:r w:rsidR="004E21D7" w:rsidRPr="00EA5F4B">
        <w:rPr>
          <w:rFonts w:asciiTheme="minorHAnsi" w:hAnsiTheme="minorHAnsi"/>
          <w:i/>
          <w:lang w:val="en-GB"/>
        </w:rPr>
        <w:t>Waste prevention</w:t>
      </w:r>
    </w:p>
    <w:p w:rsidR="003A19BC" w:rsidRPr="00EA5F4B" w:rsidRDefault="009F6188" w:rsidP="003A19BC">
      <w:pPr>
        <w:pStyle w:val="Odstavecseseznamem"/>
        <w:numPr>
          <w:ilvl w:val="0"/>
          <w:numId w:val="34"/>
        </w:numPr>
        <w:spacing w:line="280" w:lineRule="atLeast"/>
        <w:jc w:val="both"/>
        <w:rPr>
          <w:rFonts w:asciiTheme="minorHAnsi" w:hAnsiTheme="minorHAnsi"/>
          <w:szCs w:val="22"/>
          <w:lang w:val="en-GB"/>
        </w:rPr>
      </w:pPr>
      <w:r w:rsidRPr="00EA5F4B">
        <w:rPr>
          <w:rFonts w:asciiTheme="minorHAnsi" w:hAnsiTheme="minorHAnsi"/>
          <w:lang w:val="en-GB"/>
        </w:rPr>
        <w:t xml:space="preserve">3.2 </w:t>
      </w:r>
      <w:r w:rsidR="00006D05" w:rsidRPr="00EA5F4B">
        <w:rPr>
          <w:rFonts w:asciiTheme="minorHAnsi" w:hAnsiTheme="minorHAnsi"/>
          <w:lang w:val="en-GB"/>
        </w:rPr>
        <w:t>–</w:t>
      </w:r>
      <w:r w:rsidRPr="00EA5F4B">
        <w:rPr>
          <w:rFonts w:asciiTheme="minorHAnsi" w:hAnsiTheme="minorHAnsi"/>
          <w:lang w:val="en-GB"/>
        </w:rPr>
        <w:t xml:space="preserve"> </w:t>
      </w:r>
      <w:r w:rsidR="004E21D7" w:rsidRPr="00EA5F4B">
        <w:rPr>
          <w:rFonts w:asciiTheme="minorHAnsi" w:hAnsiTheme="minorHAnsi"/>
          <w:i/>
          <w:lang w:val="en-GB"/>
        </w:rPr>
        <w:t>To increase the share of material and energy recovery of waste</w:t>
      </w:r>
    </w:p>
    <w:p w:rsidR="003A19BC" w:rsidRPr="00EA5F4B" w:rsidRDefault="009F6188" w:rsidP="003A19BC">
      <w:pPr>
        <w:pStyle w:val="Odstavecseseznamem"/>
        <w:numPr>
          <w:ilvl w:val="0"/>
          <w:numId w:val="34"/>
        </w:numPr>
        <w:spacing w:line="280" w:lineRule="atLeast"/>
        <w:jc w:val="both"/>
        <w:rPr>
          <w:rFonts w:asciiTheme="minorHAnsi" w:hAnsiTheme="minorHAnsi"/>
          <w:szCs w:val="22"/>
          <w:lang w:val="en-GB"/>
        </w:rPr>
      </w:pPr>
      <w:r w:rsidRPr="00EA5F4B">
        <w:rPr>
          <w:rFonts w:asciiTheme="minorHAnsi" w:hAnsiTheme="minorHAnsi"/>
          <w:lang w:val="en-GB"/>
        </w:rPr>
        <w:t xml:space="preserve">3.3 </w:t>
      </w:r>
      <w:r w:rsidR="00006D05" w:rsidRPr="00EA5F4B">
        <w:rPr>
          <w:rFonts w:asciiTheme="minorHAnsi" w:hAnsiTheme="minorHAnsi"/>
          <w:lang w:val="en-GB"/>
        </w:rPr>
        <w:t>–</w:t>
      </w:r>
      <w:r w:rsidRPr="00EA5F4B">
        <w:rPr>
          <w:rFonts w:asciiTheme="minorHAnsi" w:hAnsiTheme="minorHAnsi"/>
          <w:lang w:val="en-GB"/>
        </w:rPr>
        <w:t xml:space="preserve"> </w:t>
      </w:r>
      <w:r w:rsidR="004E21D7" w:rsidRPr="00EA5F4B">
        <w:rPr>
          <w:rFonts w:asciiTheme="minorHAnsi" w:hAnsiTheme="minorHAnsi"/>
          <w:i/>
          <w:lang w:val="en-GB"/>
        </w:rPr>
        <w:t>To re</w:t>
      </w:r>
      <w:r w:rsidR="00353987">
        <w:rPr>
          <w:rFonts w:asciiTheme="minorHAnsi" w:hAnsiTheme="minorHAnsi"/>
          <w:i/>
          <w:lang w:val="en-GB"/>
        </w:rPr>
        <w:t>medy</w:t>
      </w:r>
      <w:r w:rsidR="004E21D7" w:rsidRPr="00EA5F4B">
        <w:rPr>
          <w:rFonts w:asciiTheme="minorHAnsi" w:hAnsiTheme="minorHAnsi"/>
          <w:i/>
          <w:lang w:val="en-GB"/>
        </w:rPr>
        <w:t xml:space="preserve"> old landfills</w:t>
      </w:r>
    </w:p>
    <w:p w:rsidR="003A19BC" w:rsidRPr="00EA5F4B" w:rsidRDefault="003A19BC" w:rsidP="003A19BC">
      <w:pPr>
        <w:spacing w:line="280" w:lineRule="atLeast"/>
        <w:jc w:val="both"/>
        <w:rPr>
          <w:rFonts w:asciiTheme="minorHAnsi" w:hAnsiTheme="minorHAnsi"/>
          <w:szCs w:val="22"/>
          <w:lang w:val="en-GB"/>
        </w:rPr>
      </w:pPr>
    </w:p>
    <w:p w:rsidR="009F6188" w:rsidRPr="00EA5F4B" w:rsidRDefault="00C63625" w:rsidP="00C63625">
      <w:pPr>
        <w:spacing w:line="280" w:lineRule="atLeast"/>
        <w:jc w:val="both"/>
        <w:rPr>
          <w:rFonts w:asciiTheme="minorHAnsi" w:hAnsiTheme="minorHAnsi"/>
          <w:szCs w:val="22"/>
          <w:lang w:val="en-GB"/>
        </w:rPr>
      </w:pPr>
      <w:r w:rsidRPr="00EA5F4B">
        <w:rPr>
          <w:rFonts w:asciiTheme="minorHAnsi" w:hAnsiTheme="minorHAnsi"/>
          <w:lang w:val="en-GB"/>
        </w:rPr>
        <w:t xml:space="preserve">Up until the end of the audit, the </w:t>
      </w:r>
      <w:proofErr w:type="spellStart"/>
      <w:r w:rsidRPr="00EA5F4B">
        <w:rPr>
          <w:rFonts w:asciiTheme="minorHAnsi" w:hAnsiTheme="minorHAnsi"/>
          <w:lang w:val="en-GB"/>
        </w:rPr>
        <w:t>MoE</w:t>
      </w:r>
      <w:proofErr w:type="spellEnd"/>
      <w:r w:rsidRPr="00EA5F4B">
        <w:rPr>
          <w:rFonts w:asciiTheme="minorHAnsi" w:hAnsiTheme="minorHAnsi"/>
          <w:lang w:val="en-GB"/>
        </w:rPr>
        <w:t xml:space="preserve"> had announced a total of 5 calls, supporting projects such as home compost bins, networks of drop-off containers for textile and clothing waste, reuse</w:t>
      </w:r>
      <w:r w:rsidR="00353987">
        <w:rPr>
          <w:rFonts w:asciiTheme="minorHAnsi" w:hAnsiTheme="minorHAnsi"/>
          <w:lang w:val="en-GB"/>
        </w:rPr>
        <w:t xml:space="preserve"> centres</w:t>
      </w:r>
      <w:r w:rsidRPr="00EA5F4B">
        <w:rPr>
          <w:rFonts w:asciiTheme="minorHAnsi" w:hAnsiTheme="minorHAnsi"/>
          <w:lang w:val="en-GB"/>
        </w:rPr>
        <w:t xml:space="preserve"> or reuse systems connected to the municipality, systems for separation of plastic, paper, glass, metal, textiles, drink cartons and biodegradable waste from non-agricultural activity, collection yards, composting plants, biogas stations, sorting and resorting lines for municipal waste, equipment for handling hazardous waste, and </w:t>
      </w:r>
      <w:r w:rsidR="00353987">
        <w:rPr>
          <w:rFonts w:asciiTheme="minorHAnsi" w:hAnsiTheme="minorHAnsi"/>
          <w:lang w:val="en-GB"/>
        </w:rPr>
        <w:t>reclamation</w:t>
      </w:r>
      <w:r w:rsidRPr="00EA5F4B">
        <w:rPr>
          <w:rFonts w:asciiTheme="minorHAnsi" w:hAnsiTheme="minorHAnsi"/>
          <w:lang w:val="en-GB"/>
        </w:rPr>
        <w:t xml:space="preserve"> of old technically unsecured landfills. The actual financial volume of the declared calls totalled CZK 4.109 billion, i.e. 46.77 % of the total allocation for Investment Priority 1 of Priority Axis 3. Up until the completion of the audit, no project was being </w:t>
      </w:r>
      <w:r w:rsidRPr="00EA5F4B">
        <w:rPr>
          <w:rFonts w:asciiTheme="minorHAnsi" w:hAnsiTheme="minorHAnsi"/>
          <w:lang w:val="en-GB"/>
        </w:rPr>
        <w:lastRenderedPageBreak/>
        <w:t>implemented under specific objective 3.1, under specific objectives 3.2 and 3.3 there were 60 projects in implementation and expenditures of CZK 141.183 million had been reimbursed, i.e. 1.61 % of the total allocation for Investment Priority 1 of Priority Axis 3.</w:t>
      </w:r>
    </w:p>
    <w:p w:rsidR="003A19BC" w:rsidRPr="00EA5F4B" w:rsidRDefault="003A19BC" w:rsidP="003A19BC">
      <w:pPr>
        <w:spacing w:line="280" w:lineRule="atLeast"/>
        <w:jc w:val="both"/>
        <w:rPr>
          <w:rFonts w:asciiTheme="minorHAnsi" w:hAnsiTheme="minorHAnsi"/>
          <w:lang w:val="en-GB"/>
        </w:rPr>
      </w:pPr>
    </w:p>
    <w:p w:rsidR="009F6188" w:rsidRPr="00EA5F4B" w:rsidRDefault="00E41664" w:rsidP="00AD2FBD">
      <w:pPr>
        <w:spacing w:line="280" w:lineRule="atLeast"/>
        <w:ind w:left="1304" w:hanging="1304"/>
        <w:jc w:val="both"/>
        <w:rPr>
          <w:rFonts w:asciiTheme="minorHAnsi" w:hAnsiTheme="minorHAnsi" w:cstheme="minorHAnsi"/>
          <w:b/>
          <w:lang w:val="en-GB"/>
        </w:rPr>
      </w:pPr>
      <w:r w:rsidRPr="00EA5F4B">
        <w:rPr>
          <w:rFonts w:asciiTheme="minorHAnsi" w:hAnsiTheme="minorHAnsi" w:cstheme="minorHAnsi"/>
          <w:b/>
          <w:lang w:val="en-GB"/>
        </w:rPr>
        <w:t>Tabl</w:t>
      </w:r>
      <w:r w:rsidR="00C63625" w:rsidRPr="00EA5F4B">
        <w:rPr>
          <w:rFonts w:asciiTheme="minorHAnsi" w:hAnsiTheme="minorHAnsi" w:cstheme="minorHAnsi"/>
          <w:b/>
          <w:lang w:val="en-GB"/>
        </w:rPr>
        <w:t>e</w:t>
      </w:r>
      <w:r w:rsidR="009F6188" w:rsidRPr="00EA5F4B">
        <w:rPr>
          <w:rFonts w:asciiTheme="minorHAnsi" w:hAnsiTheme="minorHAnsi" w:cstheme="minorHAnsi"/>
          <w:b/>
          <w:lang w:val="en-GB"/>
        </w:rPr>
        <w:t xml:space="preserve"> 2: </w:t>
      </w:r>
      <w:r w:rsidR="00E22478" w:rsidRPr="00EA5F4B">
        <w:rPr>
          <w:rFonts w:asciiTheme="minorHAnsi" w:hAnsiTheme="minorHAnsi" w:cstheme="minorHAnsi"/>
          <w:b/>
          <w:lang w:val="en-GB"/>
        </w:rPr>
        <w:tab/>
      </w:r>
      <w:r w:rsidR="00C63625" w:rsidRPr="00EA5F4B">
        <w:rPr>
          <w:rFonts w:asciiTheme="minorHAnsi" w:hAnsiTheme="minorHAnsi" w:cstheme="minorHAnsi"/>
          <w:b/>
          <w:lang w:val="en-GB"/>
        </w:rPr>
        <w:t xml:space="preserve">Overview </w:t>
      </w:r>
      <w:r w:rsidR="000037EE" w:rsidRPr="00EA5F4B">
        <w:rPr>
          <w:rFonts w:asciiTheme="minorHAnsi" w:hAnsiTheme="minorHAnsi" w:cstheme="minorHAnsi"/>
          <w:b/>
          <w:lang w:val="en-GB"/>
        </w:rPr>
        <w:t>of funding drawn under OPE</w:t>
      </w:r>
      <w:r w:rsidR="009F6188" w:rsidRPr="00EA5F4B">
        <w:rPr>
          <w:rFonts w:ascii="Calibri" w:hAnsi="Calibri" w:cs="Calibri"/>
          <w:b/>
          <w:lang w:val="en-GB"/>
        </w:rPr>
        <w:t xml:space="preserve"> 2014</w:t>
      </w:r>
      <w:r w:rsidR="00D71805" w:rsidRPr="00EA5F4B">
        <w:rPr>
          <w:rFonts w:asciiTheme="minorHAnsi" w:hAnsiTheme="minorHAnsi" w:cstheme="minorHAnsi"/>
          <w:b/>
          <w:lang w:val="en-GB"/>
        </w:rPr>
        <w:t>–</w:t>
      </w:r>
      <w:r w:rsidR="009F6188" w:rsidRPr="00EA5F4B">
        <w:rPr>
          <w:rFonts w:ascii="Calibri" w:hAnsi="Calibri" w:cs="Calibri"/>
          <w:b/>
          <w:lang w:val="en-GB"/>
        </w:rPr>
        <w:t xml:space="preserve">2020 </w:t>
      </w:r>
      <w:r w:rsidR="000037EE" w:rsidRPr="00EA5F4B">
        <w:rPr>
          <w:rFonts w:ascii="Calibri" w:hAnsi="Calibri" w:cs="Calibri"/>
          <w:b/>
          <w:lang w:val="en-GB"/>
        </w:rPr>
        <w:t>for waste management</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09"/>
        <w:gridCol w:w="1510"/>
        <w:gridCol w:w="1509"/>
        <w:gridCol w:w="1509"/>
        <w:gridCol w:w="1510"/>
      </w:tblGrid>
      <w:tr w:rsidR="000037EE" w:rsidRPr="00EA5F4B" w:rsidTr="00ED1AD2">
        <w:tc>
          <w:tcPr>
            <w:tcW w:w="1509" w:type="dxa"/>
            <w:shd w:val="clear" w:color="auto" w:fill="E5F1FF"/>
            <w:vAlign w:val="center"/>
          </w:tcPr>
          <w:p w:rsidR="009F6188" w:rsidRPr="00EA5F4B" w:rsidRDefault="000037EE" w:rsidP="000037EE">
            <w:pPr>
              <w:spacing w:line="280" w:lineRule="atLeast"/>
              <w:jc w:val="center"/>
              <w:rPr>
                <w:rFonts w:ascii="Calibri" w:eastAsiaTheme="minorHAnsi" w:hAnsi="Calibri" w:cstheme="minorBidi"/>
                <w:b/>
                <w:bCs/>
                <w:color w:val="000000"/>
                <w:sz w:val="20"/>
                <w:szCs w:val="20"/>
                <w:lang w:val="en-GB" w:eastAsia="en-US"/>
              </w:rPr>
            </w:pPr>
            <w:r w:rsidRPr="00EA5F4B">
              <w:rPr>
                <w:rFonts w:ascii="Calibri" w:eastAsiaTheme="minorHAnsi" w:hAnsi="Calibri" w:cstheme="minorBidi"/>
                <w:b/>
                <w:bCs/>
                <w:color w:val="000000"/>
                <w:sz w:val="20"/>
                <w:szCs w:val="20"/>
                <w:lang w:val="en-GB" w:eastAsia="en-US"/>
              </w:rPr>
              <w:t>Allocation in millions of CZK</w:t>
            </w:r>
          </w:p>
        </w:tc>
        <w:tc>
          <w:tcPr>
            <w:tcW w:w="1509" w:type="dxa"/>
            <w:shd w:val="clear" w:color="auto" w:fill="E5F1FF"/>
            <w:vAlign w:val="center"/>
          </w:tcPr>
          <w:p w:rsidR="009F6188" w:rsidRPr="00EA5F4B" w:rsidRDefault="000037EE" w:rsidP="000037EE">
            <w:pPr>
              <w:spacing w:line="280" w:lineRule="atLeast"/>
              <w:jc w:val="center"/>
              <w:rPr>
                <w:rFonts w:ascii="Calibri" w:eastAsiaTheme="minorHAnsi" w:hAnsi="Calibri" w:cstheme="minorBidi"/>
                <w:b/>
                <w:bCs/>
                <w:color w:val="000000"/>
                <w:sz w:val="20"/>
                <w:szCs w:val="20"/>
                <w:lang w:val="en-GB" w:eastAsia="en-US"/>
              </w:rPr>
            </w:pPr>
            <w:r w:rsidRPr="00EA5F4B">
              <w:rPr>
                <w:rFonts w:ascii="Calibri" w:eastAsiaTheme="minorHAnsi" w:hAnsi="Calibri" w:cstheme="minorBidi"/>
                <w:b/>
                <w:bCs/>
                <w:color w:val="000000"/>
                <w:sz w:val="20"/>
                <w:szCs w:val="20"/>
                <w:lang w:val="en-GB" w:eastAsia="en-US"/>
              </w:rPr>
              <w:t>Number of approved projects</w:t>
            </w:r>
          </w:p>
        </w:tc>
        <w:tc>
          <w:tcPr>
            <w:tcW w:w="1510" w:type="dxa"/>
            <w:shd w:val="clear" w:color="auto" w:fill="E5F1FF"/>
            <w:vAlign w:val="center"/>
          </w:tcPr>
          <w:p w:rsidR="009F6188" w:rsidRPr="00EA5F4B" w:rsidRDefault="000037EE" w:rsidP="000037EE">
            <w:pPr>
              <w:spacing w:line="280" w:lineRule="atLeast"/>
              <w:jc w:val="center"/>
              <w:rPr>
                <w:rFonts w:ascii="Calibri" w:eastAsiaTheme="minorHAnsi" w:hAnsi="Calibri" w:cstheme="minorBidi"/>
                <w:b/>
                <w:bCs/>
                <w:color w:val="000000"/>
                <w:sz w:val="20"/>
                <w:szCs w:val="20"/>
                <w:lang w:val="en-GB" w:eastAsia="en-US"/>
              </w:rPr>
            </w:pPr>
            <w:r w:rsidRPr="00EA5F4B">
              <w:rPr>
                <w:rFonts w:ascii="Calibri" w:eastAsiaTheme="minorHAnsi" w:hAnsi="Calibri" w:cstheme="minorBidi"/>
                <w:b/>
                <w:bCs/>
                <w:color w:val="000000"/>
                <w:sz w:val="20"/>
                <w:szCs w:val="20"/>
                <w:lang w:val="en-GB" w:eastAsia="en-US"/>
              </w:rPr>
              <w:t xml:space="preserve">Total eligible </w:t>
            </w:r>
            <w:r w:rsidR="00353987">
              <w:rPr>
                <w:rFonts w:ascii="Calibri" w:eastAsiaTheme="minorHAnsi" w:hAnsi="Calibri" w:cstheme="minorBidi"/>
                <w:b/>
                <w:bCs/>
                <w:color w:val="000000"/>
                <w:sz w:val="20"/>
                <w:szCs w:val="20"/>
                <w:lang w:val="en-GB" w:eastAsia="en-US"/>
              </w:rPr>
              <w:t>expenditures</w:t>
            </w:r>
            <w:r w:rsidRPr="00EA5F4B">
              <w:rPr>
                <w:rFonts w:ascii="Calibri" w:eastAsiaTheme="minorHAnsi" w:hAnsi="Calibri" w:cstheme="minorBidi"/>
                <w:b/>
                <w:bCs/>
                <w:color w:val="000000"/>
                <w:sz w:val="20"/>
                <w:szCs w:val="20"/>
                <w:lang w:val="en-GB" w:eastAsia="en-US"/>
              </w:rPr>
              <w:t xml:space="preserve"> in millions of CZK</w:t>
            </w:r>
          </w:p>
        </w:tc>
        <w:tc>
          <w:tcPr>
            <w:tcW w:w="1509" w:type="dxa"/>
            <w:shd w:val="clear" w:color="auto" w:fill="E5F1FF"/>
            <w:vAlign w:val="center"/>
          </w:tcPr>
          <w:p w:rsidR="009F6188" w:rsidRPr="00EA5F4B" w:rsidRDefault="000037EE" w:rsidP="000037EE">
            <w:pPr>
              <w:spacing w:line="280" w:lineRule="atLeast"/>
              <w:jc w:val="center"/>
              <w:rPr>
                <w:rFonts w:ascii="Calibri" w:eastAsiaTheme="minorHAnsi" w:hAnsi="Calibri" w:cstheme="minorBidi"/>
                <w:b/>
                <w:bCs/>
                <w:color w:val="000000"/>
                <w:sz w:val="20"/>
                <w:szCs w:val="20"/>
                <w:lang w:val="en-GB" w:eastAsia="en-US"/>
              </w:rPr>
            </w:pPr>
            <w:r w:rsidRPr="00EA5F4B">
              <w:rPr>
                <w:rFonts w:ascii="Calibri" w:eastAsiaTheme="minorHAnsi" w:hAnsi="Calibri" w:cstheme="minorBidi"/>
                <w:b/>
                <w:bCs/>
                <w:color w:val="000000"/>
                <w:sz w:val="20"/>
                <w:szCs w:val="20"/>
                <w:lang w:val="en-GB" w:eastAsia="en-US"/>
              </w:rPr>
              <w:t>Contribution from CF in millions of CZK</w:t>
            </w:r>
          </w:p>
        </w:tc>
        <w:tc>
          <w:tcPr>
            <w:tcW w:w="1509" w:type="dxa"/>
            <w:shd w:val="clear" w:color="auto" w:fill="E5F1FF"/>
            <w:vAlign w:val="center"/>
          </w:tcPr>
          <w:p w:rsidR="009F6188" w:rsidRPr="00EA5F4B" w:rsidRDefault="00353987" w:rsidP="000037EE">
            <w:pPr>
              <w:spacing w:line="280" w:lineRule="atLeast"/>
              <w:jc w:val="center"/>
              <w:rPr>
                <w:rFonts w:ascii="Calibri" w:eastAsiaTheme="minorHAnsi" w:hAnsi="Calibri" w:cstheme="minorBidi"/>
                <w:b/>
                <w:bCs/>
                <w:color w:val="000000"/>
                <w:sz w:val="20"/>
                <w:szCs w:val="20"/>
                <w:lang w:val="en-GB" w:eastAsia="en-US"/>
              </w:rPr>
            </w:pPr>
            <w:r>
              <w:rPr>
                <w:rFonts w:ascii="Calibri" w:eastAsiaTheme="minorHAnsi" w:hAnsi="Calibri" w:cstheme="minorBidi"/>
                <w:b/>
                <w:bCs/>
                <w:color w:val="000000"/>
                <w:sz w:val="20"/>
                <w:szCs w:val="20"/>
                <w:lang w:val="en-GB" w:eastAsia="en-US"/>
              </w:rPr>
              <w:t>Expenditures</w:t>
            </w:r>
            <w:r w:rsidR="000037EE" w:rsidRPr="00EA5F4B">
              <w:rPr>
                <w:rFonts w:ascii="Calibri" w:eastAsiaTheme="minorHAnsi" w:hAnsi="Calibri" w:cstheme="minorBidi"/>
                <w:b/>
                <w:bCs/>
                <w:color w:val="000000"/>
                <w:sz w:val="20"/>
                <w:szCs w:val="20"/>
                <w:lang w:val="en-GB" w:eastAsia="en-US"/>
              </w:rPr>
              <w:t xml:space="preserve"> reimbursed from CF in millions of CZK</w:t>
            </w:r>
          </w:p>
        </w:tc>
        <w:tc>
          <w:tcPr>
            <w:tcW w:w="1510" w:type="dxa"/>
            <w:shd w:val="clear" w:color="auto" w:fill="E5F1FF"/>
            <w:vAlign w:val="center"/>
          </w:tcPr>
          <w:p w:rsidR="009F6188" w:rsidRPr="00EA5F4B" w:rsidRDefault="000037EE" w:rsidP="000037EE">
            <w:pPr>
              <w:spacing w:line="280" w:lineRule="atLeast"/>
              <w:jc w:val="center"/>
              <w:rPr>
                <w:rFonts w:ascii="Calibri" w:eastAsiaTheme="minorHAnsi" w:hAnsi="Calibri" w:cstheme="minorBidi"/>
                <w:b/>
                <w:bCs/>
                <w:color w:val="000000"/>
                <w:sz w:val="20"/>
                <w:szCs w:val="20"/>
                <w:lang w:val="en-GB" w:eastAsia="en-US"/>
              </w:rPr>
            </w:pPr>
            <w:r w:rsidRPr="00EA5F4B">
              <w:rPr>
                <w:rFonts w:ascii="Calibri" w:eastAsiaTheme="minorHAnsi" w:hAnsi="Calibri" w:cstheme="minorBidi"/>
                <w:b/>
                <w:bCs/>
                <w:color w:val="000000"/>
                <w:sz w:val="20"/>
                <w:szCs w:val="20"/>
                <w:lang w:val="en-GB" w:eastAsia="en-US"/>
              </w:rPr>
              <w:t xml:space="preserve">Certified </w:t>
            </w:r>
            <w:r w:rsidR="00353987">
              <w:rPr>
                <w:rFonts w:ascii="Calibri" w:eastAsiaTheme="minorHAnsi" w:hAnsi="Calibri" w:cstheme="minorBidi"/>
                <w:b/>
                <w:bCs/>
                <w:color w:val="000000"/>
                <w:sz w:val="20"/>
                <w:szCs w:val="20"/>
                <w:lang w:val="en-GB" w:eastAsia="en-US"/>
              </w:rPr>
              <w:t>expenditures</w:t>
            </w:r>
            <w:r w:rsidRPr="00EA5F4B">
              <w:rPr>
                <w:rFonts w:ascii="Calibri" w:eastAsiaTheme="minorHAnsi" w:hAnsi="Calibri" w:cstheme="minorBidi"/>
                <w:b/>
                <w:bCs/>
                <w:color w:val="000000"/>
                <w:sz w:val="20"/>
                <w:szCs w:val="20"/>
                <w:lang w:val="en-GB" w:eastAsia="en-US"/>
              </w:rPr>
              <w:t xml:space="preserve"> from CF in millions of CZK</w:t>
            </w:r>
          </w:p>
        </w:tc>
      </w:tr>
      <w:tr w:rsidR="000037EE" w:rsidRPr="00EA5F4B" w:rsidTr="00ED1AD2">
        <w:trPr>
          <w:trHeight w:val="385"/>
        </w:trPr>
        <w:tc>
          <w:tcPr>
            <w:tcW w:w="1509" w:type="dxa"/>
            <w:vAlign w:val="center"/>
          </w:tcPr>
          <w:p w:rsidR="009F6188" w:rsidRPr="00EA5F4B" w:rsidRDefault="00C41D63" w:rsidP="00E41664">
            <w:pPr>
              <w:spacing w:line="280" w:lineRule="atLeast"/>
              <w:jc w:val="center"/>
              <w:rPr>
                <w:rFonts w:asciiTheme="minorHAnsi" w:hAnsiTheme="minorHAnsi" w:cstheme="minorHAnsi"/>
                <w:sz w:val="20"/>
                <w:szCs w:val="20"/>
                <w:lang w:val="en-GB"/>
              </w:rPr>
            </w:pPr>
            <w:r>
              <w:rPr>
                <w:rFonts w:asciiTheme="minorHAnsi" w:hAnsiTheme="minorHAnsi" w:cstheme="minorHAnsi"/>
                <w:sz w:val="20"/>
                <w:szCs w:val="20"/>
                <w:lang w:val="en-GB"/>
              </w:rPr>
              <w:t>8,</w:t>
            </w:r>
            <w:r w:rsidR="009F6188" w:rsidRPr="00EA5F4B">
              <w:rPr>
                <w:rFonts w:asciiTheme="minorHAnsi" w:hAnsiTheme="minorHAnsi" w:cstheme="minorHAnsi"/>
                <w:sz w:val="20"/>
                <w:szCs w:val="20"/>
                <w:lang w:val="en-GB"/>
              </w:rPr>
              <w:t>784</w:t>
            </w:r>
            <w:r w:rsidR="000037EE" w:rsidRPr="00EA5F4B">
              <w:rPr>
                <w:rFonts w:asciiTheme="minorHAnsi" w:hAnsiTheme="minorHAnsi" w:cstheme="minorHAnsi"/>
                <w:sz w:val="20"/>
                <w:szCs w:val="20"/>
                <w:lang w:val="en-GB"/>
              </w:rPr>
              <w:t>.</w:t>
            </w:r>
            <w:r w:rsidR="009F6188" w:rsidRPr="00EA5F4B">
              <w:rPr>
                <w:rFonts w:asciiTheme="minorHAnsi" w:hAnsiTheme="minorHAnsi" w:cstheme="minorHAnsi"/>
                <w:sz w:val="20"/>
                <w:szCs w:val="20"/>
                <w:lang w:val="en-GB"/>
              </w:rPr>
              <w:t>795 *</w:t>
            </w:r>
          </w:p>
        </w:tc>
        <w:tc>
          <w:tcPr>
            <w:tcW w:w="1509" w:type="dxa"/>
            <w:vAlign w:val="center"/>
          </w:tcPr>
          <w:p w:rsidR="009F6188" w:rsidRPr="00EA5F4B" w:rsidRDefault="009F6188" w:rsidP="00E41664">
            <w:pPr>
              <w:spacing w:line="280" w:lineRule="atLeast"/>
              <w:jc w:val="center"/>
              <w:rPr>
                <w:rFonts w:asciiTheme="minorHAnsi" w:hAnsiTheme="minorHAnsi" w:cstheme="minorHAnsi"/>
                <w:sz w:val="20"/>
                <w:szCs w:val="20"/>
                <w:lang w:val="en-GB"/>
              </w:rPr>
            </w:pPr>
            <w:r w:rsidRPr="00EA5F4B">
              <w:rPr>
                <w:rFonts w:asciiTheme="minorHAnsi" w:hAnsiTheme="minorHAnsi" w:cstheme="minorHAnsi"/>
                <w:sz w:val="20"/>
                <w:szCs w:val="20"/>
                <w:lang w:val="en-GB"/>
              </w:rPr>
              <w:t>231</w:t>
            </w:r>
          </w:p>
        </w:tc>
        <w:tc>
          <w:tcPr>
            <w:tcW w:w="1510" w:type="dxa"/>
            <w:vAlign w:val="center"/>
          </w:tcPr>
          <w:p w:rsidR="009F6188" w:rsidRPr="00EA5F4B" w:rsidRDefault="00C41D63" w:rsidP="00E41664">
            <w:pPr>
              <w:spacing w:line="280" w:lineRule="atLeast"/>
              <w:jc w:val="center"/>
              <w:rPr>
                <w:rFonts w:asciiTheme="minorHAnsi" w:hAnsiTheme="minorHAnsi" w:cstheme="minorHAnsi"/>
                <w:sz w:val="20"/>
                <w:szCs w:val="20"/>
                <w:lang w:val="en-GB"/>
              </w:rPr>
            </w:pPr>
            <w:r>
              <w:rPr>
                <w:rFonts w:asciiTheme="minorHAnsi" w:hAnsiTheme="minorHAnsi" w:cstheme="minorHAnsi"/>
                <w:sz w:val="20"/>
                <w:szCs w:val="20"/>
                <w:lang w:val="en-GB"/>
              </w:rPr>
              <w:t>1,</w:t>
            </w:r>
            <w:r w:rsidR="009F6188" w:rsidRPr="00EA5F4B">
              <w:rPr>
                <w:rFonts w:asciiTheme="minorHAnsi" w:hAnsiTheme="minorHAnsi" w:cstheme="minorHAnsi"/>
                <w:sz w:val="20"/>
                <w:szCs w:val="20"/>
                <w:lang w:val="en-GB"/>
              </w:rPr>
              <w:t>050</w:t>
            </w:r>
            <w:r w:rsidR="000037EE" w:rsidRPr="00EA5F4B">
              <w:rPr>
                <w:rFonts w:asciiTheme="minorHAnsi" w:hAnsiTheme="minorHAnsi" w:cstheme="minorHAnsi"/>
                <w:sz w:val="20"/>
                <w:szCs w:val="20"/>
                <w:lang w:val="en-GB"/>
              </w:rPr>
              <w:t>.</w:t>
            </w:r>
            <w:r w:rsidR="009F6188" w:rsidRPr="00EA5F4B">
              <w:rPr>
                <w:rFonts w:asciiTheme="minorHAnsi" w:hAnsiTheme="minorHAnsi" w:cstheme="minorHAnsi"/>
                <w:sz w:val="20"/>
                <w:szCs w:val="20"/>
                <w:lang w:val="en-GB"/>
              </w:rPr>
              <w:t>410</w:t>
            </w:r>
          </w:p>
        </w:tc>
        <w:tc>
          <w:tcPr>
            <w:tcW w:w="1509" w:type="dxa"/>
            <w:vAlign w:val="center"/>
          </w:tcPr>
          <w:p w:rsidR="009F6188" w:rsidRPr="00EA5F4B" w:rsidRDefault="009F6188" w:rsidP="00E41664">
            <w:pPr>
              <w:spacing w:line="280" w:lineRule="atLeast"/>
              <w:jc w:val="center"/>
              <w:rPr>
                <w:rFonts w:asciiTheme="minorHAnsi" w:hAnsiTheme="minorHAnsi" w:cstheme="minorHAnsi"/>
                <w:sz w:val="20"/>
                <w:szCs w:val="20"/>
                <w:lang w:val="en-GB"/>
              </w:rPr>
            </w:pPr>
            <w:r w:rsidRPr="00EA5F4B">
              <w:rPr>
                <w:rFonts w:asciiTheme="minorHAnsi" w:hAnsiTheme="minorHAnsi" w:cstheme="minorHAnsi"/>
                <w:sz w:val="20"/>
                <w:szCs w:val="20"/>
                <w:lang w:val="en-GB"/>
              </w:rPr>
              <w:t>887</w:t>
            </w:r>
            <w:r w:rsidR="000037EE" w:rsidRPr="00EA5F4B">
              <w:rPr>
                <w:rFonts w:asciiTheme="minorHAnsi" w:hAnsiTheme="minorHAnsi" w:cstheme="minorHAnsi"/>
                <w:sz w:val="20"/>
                <w:szCs w:val="20"/>
                <w:lang w:val="en-GB"/>
              </w:rPr>
              <w:t>.</w:t>
            </w:r>
            <w:r w:rsidRPr="00EA5F4B">
              <w:rPr>
                <w:rFonts w:asciiTheme="minorHAnsi" w:hAnsiTheme="minorHAnsi" w:cstheme="minorHAnsi"/>
                <w:sz w:val="20"/>
                <w:szCs w:val="20"/>
                <w:lang w:val="en-GB"/>
              </w:rPr>
              <w:t>828</w:t>
            </w:r>
          </w:p>
        </w:tc>
        <w:tc>
          <w:tcPr>
            <w:tcW w:w="1509" w:type="dxa"/>
            <w:vAlign w:val="center"/>
          </w:tcPr>
          <w:p w:rsidR="009F6188" w:rsidRPr="00EA5F4B" w:rsidRDefault="009F6188" w:rsidP="00E41664">
            <w:pPr>
              <w:spacing w:line="280" w:lineRule="atLeast"/>
              <w:jc w:val="center"/>
              <w:rPr>
                <w:rFonts w:asciiTheme="minorHAnsi" w:hAnsiTheme="minorHAnsi" w:cstheme="minorHAnsi"/>
                <w:sz w:val="20"/>
                <w:szCs w:val="20"/>
                <w:lang w:val="en-GB"/>
              </w:rPr>
            </w:pPr>
            <w:r w:rsidRPr="00EA5F4B">
              <w:rPr>
                <w:rFonts w:asciiTheme="minorHAnsi" w:hAnsiTheme="minorHAnsi" w:cstheme="minorHAnsi"/>
                <w:sz w:val="20"/>
                <w:szCs w:val="20"/>
                <w:lang w:val="en-GB"/>
              </w:rPr>
              <w:t>141</w:t>
            </w:r>
            <w:r w:rsidR="000037EE" w:rsidRPr="00EA5F4B">
              <w:rPr>
                <w:rFonts w:asciiTheme="minorHAnsi" w:hAnsiTheme="minorHAnsi" w:cstheme="minorHAnsi"/>
                <w:sz w:val="20"/>
                <w:szCs w:val="20"/>
                <w:lang w:val="en-GB"/>
              </w:rPr>
              <w:t>.</w:t>
            </w:r>
            <w:r w:rsidRPr="00EA5F4B">
              <w:rPr>
                <w:rFonts w:asciiTheme="minorHAnsi" w:hAnsiTheme="minorHAnsi" w:cstheme="minorHAnsi"/>
                <w:sz w:val="20"/>
                <w:szCs w:val="20"/>
                <w:lang w:val="en-GB"/>
              </w:rPr>
              <w:t>183</w:t>
            </w:r>
          </w:p>
        </w:tc>
        <w:tc>
          <w:tcPr>
            <w:tcW w:w="1510" w:type="dxa"/>
            <w:vAlign w:val="center"/>
          </w:tcPr>
          <w:p w:rsidR="009F6188" w:rsidRPr="00EA5F4B" w:rsidRDefault="009F6188" w:rsidP="00E41664">
            <w:pPr>
              <w:spacing w:line="280" w:lineRule="atLeast"/>
              <w:jc w:val="center"/>
              <w:rPr>
                <w:rFonts w:asciiTheme="minorHAnsi" w:hAnsiTheme="minorHAnsi" w:cstheme="minorHAnsi"/>
                <w:sz w:val="20"/>
                <w:szCs w:val="20"/>
                <w:lang w:val="en-GB"/>
              </w:rPr>
            </w:pPr>
            <w:r w:rsidRPr="00EA5F4B">
              <w:rPr>
                <w:rFonts w:asciiTheme="minorHAnsi" w:hAnsiTheme="minorHAnsi" w:cstheme="minorHAnsi"/>
                <w:sz w:val="20"/>
                <w:szCs w:val="20"/>
                <w:lang w:val="en-GB"/>
              </w:rPr>
              <w:t>0</w:t>
            </w:r>
          </w:p>
        </w:tc>
      </w:tr>
    </w:tbl>
    <w:p w:rsidR="009F6188" w:rsidRPr="00EA5F4B" w:rsidRDefault="000037EE" w:rsidP="00E22478">
      <w:pPr>
        <w:ind w:left="567" w:hanging="567"/>
        <w:contextualSpacing/>
        <w:jc w:val="both"/>
        <w:rPr>
          <w:rFonts w:asciiTheme="minorHAnsi" w:hAnsiTheme="minorHAnsi" w:cstheme="minorHAnsi"/>
          <w:sz w:val="20"/>
          <w:szCs w:val="20"/>
          <w:lang w:val="en-GB"/>
        </w:rPr>
      </w:pPr>
      <w:r w:rsidRPr="00EA5F4B">
        <w:rPr>
          <w:rFonts w:asciiTheme="minorHAnsi" w:hAnsiTheme="minorHAnsi" w:cstheme="minorHAnsi"/>
          <w:b/>
          <w:sz w:val="20"/>
          <w:szCs w:val="20"/>
          <w:lang w:val="en-GB"/>
        </w:rPr>
        <w:t>Source</w:t>
      </w:r>
      <w:r w:rsidR="009F6188" w:rsidRPr="00EA5F4B">
        <w:rPr>
          <w:rFonts w:asciiTheme="minorHAnsi" w:hAnsiTheme="minorHAnsi" w:cstheme="minorHAnsi"/>
          <w:b/>
          <w:sz w:val="20"/>
          <w:szCs w:val="20"/>
          <w:lang w:val="en-GB"/>
        </w:rPr>
        <w:t>:</w:t>
      </w:r>
      <w:r w:rsidR="009F6188" w:rsidRPr="00EA5F4B">
        <w:rPr>
          <w:rFonts w:asciiTheme="minorHAnsi" w:hAnsiTheme="minorHAnsi" w:cstheme="minorHAnsi"/>
          <w:sz w:val="20"/>
          <w:szCs w:val="20"/>
          <w:lang w:val="en-GB"/>
        </w:rPr>
        <w:tab/>
      </w:r>
      <w:proofErr w:type="spellStart"/>
      <w:r w:rsidRPr="00EA5F4B">
        <w:rPr>
          <w:rFonts w:asciiTheme="minorHAnsi" w:hAnsiTheme="minorHAnsi" w:cstheme="minorHAnsi"/>
          <w:sz w:val="20"/>
          <w:szCs w:val="20"/>
          <w:lang w:val="en-GB"/>
        </w:rPr>
        <w:t>MoE</w:t>
      </w:r>
      <w:proofErr w:type="spellEnd"/>
      <w:r w:rsidRPr="00EA5F4B">
        <w:rPr>
          <w:rFonts w:asciiTheme="minorHAnsi" w:hAnsiTheme="minorHAnsi" w:cstheme="minorHAnsi"/>
          <w:sz w:val="20"/>
          <w:szCs w:val="20"/>
          <w:lang w:val="en-GB"/>
        </w:rPr>
        <w:t xml:space="preserve"> information as of 7 January 2017</w:t>
      </w:r>
      <w:r w:rsidR="009F6188" w:rsidRPr="00EA5F4B">
        <w:rPr>
          <w:rFonts w:asciiTheme="minorHAnsi" w:hAnsiTheme="minorHAnsi" w:cstheme="minorHAnsi"/>
          <w:sz w:val="20"/>
          <w:szCs w:val="20"/>
          <w:lang w:val="en-GB"/>
        </w:rPr>
        <w:t>.</w:t>
      </w:r>
    </w:p>
    <w:p w:rsidR="009F6188" w:rsidRPr="00EA5F4B" w:rsidRDefault="009F6188" w:rsidP="00E22478">
      <w:pPr>
        <w:ind w:left="284" w:hanging="284"/>
        <w:jc w:val="both"/>
        <w:rPr>
          <w:rFonts w:asciiTheme="minorHAnsi" w:hAnsiTheme="minorHAnsi" w:cstheme="minorHAnsi"/>
          <w:bCs/>
          <w:sz w:val="20"/>
          <w:szCs w:val="20"/>
          <w:lang w:val="en-GB"/>
        </w:rPr>
      </w:pPr>
      <w:r w:rsidRPr="00EA5F4B">
        <w:rPr>
          <w:rFonts w:asciiTheme="minorHAnsi" w:hAnsiTheme="minorHAnsi" w:cstheme="minorHAnsi"/>
          <w:bCs/>
          <w:sz w:val="20"/>
          <w:szCs w:val="20"/>
          <w:lang w:val="en-GB"/>
        </w:rPr>
        <w:t>*</w:t>
      </w:r>
      <w:r w:rsidRPr="00EA5F4B">
        <w:rPr>
          <w:rFonts w:asciiTheme="minorHAnsi" w:hAnsiTheme="minorHAnsi" w:cstheme="minorHAnsi"/>
          <w:bCs/>
          <w:sz w:val="20"/>
          <w:szCs w:val="20"/>
          <w:lang w:val="en-GB"/>
        </w:rPr>
        <w:tab/>
      </w:r>
      <w:r w:rsidR="000037EE" w:rsidRPr="00EA5F4B">
        <w:rPr>
          <w:rFonts w:asciiTheme="minorHAnsi" w:hAnsiTheme="minorHAnsi" w:cstheme="minorHAnsi"/>
          <w:bCs/>
          <w:sz w:val="20"/>
          <w:szCs w:val="20"/>
          <w:lang w:val="en-GB"/>
        </w:rPr>
        <w:t xml:space="preserve">CNB </w:t>
      </w:r>
      <w:r w:rsidR="00353987" w:rsidRPr="00EA5F4B">
        <w:rPr>
          <w:rFonts w:asciiTheme="minorHAnsi" w:hAnsiTheme="minorHAnsi" w:cstheme="minorHAnsi"/>
          <w:bCs/>
          <w:sz w:val="20"/>
          <w:szCs w:val="20"/>
          <w:lang w:val="en-GB"/>
        </w:rPr>
        <w:t>exchange</w:t>
      </w:r>
      <w:r w:rsidR="000037EE" w:rsidRPr="00EA5F4B">
        <w:rPr>
          <w:rFonts w:asciiTheme="minorHAnsi" w:hAnsiTheme="minorHAnsi" w:cstheme="minorHAnsi"/>
          <w:bCs/>
          <w:sz w:val="20"/>
          <w:szCs w:val="20"/>
          <w:lang w:val="en-GB"/>
        </w:rPr>
        <w:t xml:space="preserve"> rate of 27.43 CZK/EUR valid as of 30 April 2015 used for conversion</w:t>
      </w:r>
      <w:r w:rsidRPr="00EA5F4B">
        <w:rPr>
          <w:rFonts w:asciiTheme="minorHAnsi" w:hAnsiTheme="minorHAnsi" w:cs="Arial"/>
          <w:sz w:val="20"/>
          <w:szCs w:val="20"/>
          <w:lang w:val="en-GB"/>
        </w:rPr>
        <w:t>.</w:t>
      </w:r>
    </w:p>
    <w:p w:rsidR="00516535" w:rsidRPr="00EA5F4B" w:rsidRDefault="00516535" w:rsidP="00E41664">
      <w:pPr>
        <w:spacing w:line="280" w:lineRule="atLeast"/>
        <w:jc w:val="both"/>
        <w:rPr>
          <w:rFonts w:asciiTheme="minorHAnsi" w:hAnsiTheme="minorHAnsi" w:cstheme="minorHAnsi"/>
          <w:lang w:val="en-GB"/>
        </w:rPr>
      </w:pPr>
    </w:p>
    <w:p w:rsidR="00A90300" w:rsidRPr="00EA5F4B" w:rsidRDefault="00A90300" w:rsidP="00E41664">
      <w:pPr>
        <w:spacing w:line="280" w:lineRule="atLeast"/>
        <w:jc w:val="both"/>
        <w:rPr>
          <w:rFonts w:asciiTheme="minorHAnsi" w:hAnsiTheme="minorHAnsi" w:cstheme="minorHAnsi"/>
          <w:lang w:val="en-GB"/>
        </w:rPr>
      </w:pPr>
    </w:p>
    <w:p w:rsidR="009F6188" w:rsidRPr="00EA5F4B" w:rsidRDefault="000F24AA" w:rsidP="00E41664">
      <w:pPr>
        <w:spacing w:line="280" w:lineRule="atLeast"/>
        <w:jc w:val="both"/>
        <w:rPr>
          <w:rFonts w:asciiTheme="minorHAnsi" w:hAnsiTheme="minorHAnsi" w:cstheme="minorHAnsi"/>
          <w:b/>
          <w:lang w:val="en-GB"/>
        </w:rPr>
      </w:pPr>
      <w:r w:rsidRPr="00EA5F4B">
        <w:rPr>
          <w:rFonts w:asciiTheme="minorHAnsi" w:hAnsiTheme="minorHAnsi" w:cstheme="minorHAnsi"/>
          <w:b/>
          <w:lang w:val="en-GB"/>
        </w:rPr>
        <w:t xml:space="preserve">C. </w:t>
      </w:r>
      <w:r w:rsidR="000037EE" w:rsidRPr="00EA5F4B">
        <w:rPr>
          <w:rFonts w:asciiTheme="minorHAnsi" w:hAnsiTheme="minorHAnsi" w:cstheme="minorHAnsi"/>
          <w:b/>
          <w:lang w:val="en-GB"/>
        </w:rPr>
        <w:t>Focus of audit</w:t>
      </w:r>
    </w:p>
    <w:p w:rsidR="009F6188" w:rsidRPr="00EA5F4B" w:rsidRDefault="009F6188" w:rsidP="00E41664">
      <w:pPr>
        <w:spacing w:line="280" w:lineRule="atLeast"/>
        <w:jc w:val="both"/>
        <w:rPr>
          <w:rFonts w:asciiTheme="minorHAnsi" w:hAnsiTheme="minorHAnsi" w:cstheme="minorHAnsi"/>
          <w:lang w:val="en-GB"/>
        </w:rPr>
      </w:pPr>
    </w:p>
    <w:p w:rsidR="00CF7DAE" w:rsidRPr="00EA5F4B" w:rsidRDefault="000037EE" w:rsidP="000037EE">
      <w:pPr>
        <w:spacing w:line="280" w:lineRule="atLeast"/>
        <w:jc w:val="both"/>
        <w:rPr>
          <w:rFonts w:asciiTheme="minorHAnsi" w:hAnsiTheme="minorHAnsi" w:cstheme="minorHAnsi"/>
          <w:bCs/>
          <w:lang w:val="en-GB"/>
        </w:rPr>
      </w:pPr>
      <w:r w:rsidRPr="00EA5F4B">
        <w:rPr>
          <w:rFonts w:asciiTheme="minorHAnsi" w:hAnsiTheme="minorHAnsi" w:cstheme="minorHAnsi"/>
          <w:bCs/>
          <w:lang w:val="en-GB"/>
        </w:rPr>
        <w:t xml:space="preserve">The audit checked whether the funds provided for waste management brought about the expected results and whether the </w:t>
      </w:r>
      <w:proofErr w:type="spellStart"/>
      <w:r w:rsidRPr="00EA5F4B">
        <w:rPr>
          <w:rFonts w:asciiTheme="minorHAnsi" w:hAnsiTheme="minorHAnsi" w:cstheme="minorHAnsi"/>
          <w:bCs/>
          <w:lang w:val="en-GB"/>
        </w:rPr>
        <w:t>MoE</w:t>
      </w:r>
      <w:proofErr w:type="spellEnd"/>
      <w:r w:rsidRPr="00EA5F4B">
        <w:rPr>
          <w:rFonts w:asciiTheme="minorHAnsi" w:hAnsiTheme="minorHAnsi" w:cstheme="minorHAnsi"/>
          <w:bCs/>
          <w:lang w:val="en-GB"/>
        </w:rPr>
        <w:t xml:space="preserve"> monitored and evaluated the benefits of </w:t>
      </w:r>
      <w:r w:rsidR="00754DCE">
        <w:rPr>
          <w:rFonts w:asciiTheme="minorHAnsi" w:hAnsiTheme="minorHAnsi" w:cstheme="minorHAnsi"/>
          <w:bCs/>
          <w:lang w:val="en-GB"/>
        </w:rPr>
        <w:t>support</w:t>
      </w:r>
      <w:r w:rsidRPr="00EA5F4B">
        <w:rPr>
          <w:rFonts w:asciiTheme="minorHAnsi" w:hAnsiTheme="minorHAnsi" w:cstheme="minorHAnsi"/>
          <w:bCs/>
          <w:lang w:val="en-GB"/>
        </w:rPr>
        <w:t xml:space="preserve"> in relation to waste management in the Czech Republic. The audit also focused in particular on:</w:t>
      </w:r>
    </w:p>
    <w:p w:rsidR="00CF7DAE" w:rsidRPr="00EA5F4B" w:rsidRDefault="000037EE" w:rsidP="001C3C9E">
      <w:pPr>
        <w:pStyle w:val="Odstavecseseznamem"/>
        <w:numPr>
          <w:ilvl w:val="0"/>
          <w:numId w:val="22"/>
        </w:numPr>
        <w:spacing w:line="280" w:lineRule="atLeast"/>
        <w:jc w:val="both"/>
        <w:rPr>
          <w:rFonts w:asciiTheme="minorHAnsi" w:hAnsiTheme="minorHAnsi" w:cstheme="minorHAnsi"/>
          <w:bCs/>
          <w:lang w:val="en-GB"/>
        </w:rPr>
      </w:pPr>
      <w:proofErr w:type="spellStart"/>
      <w:r w:rsidRPr="00EA5F4B">
        <w:rPr>
          <w:rFonts w:asciiTheme="minorHAnsi" w:hAnsiTheme="minorHAnsi" w:cstheme="minorHAnsi"/>
          <w:bCs/>
          <w:lang w:val="en-GB"/>
        </w:rPr>
        <w:t>MoE</w:t>
      </w:r>
      <w:proofErr w:type="spellEnd"/>
      <w:r w:rsidRPr="00EA5F4B">
        <w:rPr>
          <w:rFonts w:asciiTheme="minorHAnsi" w:hAnsiTheme="minorHAnsi" w:cstheme="minorHAnsi"/>
          <w:bCs/>
          <w:lang w:val="en-GB"/>
        </w:rPr>
        <w:t xml:space="preserve"> activity in drawing up and evaluating the WMP CR and fulfilling the objectives</w:t>
      </w:r>
      <w:r w:rsidR="001C3C9E" w:rsidRPr="00EA5F4B">
        <w:rPr>
          <w:rFonts w:asciiTheme="minorHAnsi" w:hAnsiTheme="minorHAnsi" w:cstheme="minorHAnsi"/>
          <w:bCs/>
          <w:lang w:val="en-GB"/>
        </w:rPr>
        <w:t xml:space="preserve"> of the EU directives</w:t>
      </w:r>
      <w:r w:rsidR="00964155" w:rsidRPr="00EA5F4B">
        <w:rPr>
          <w:rStyle w:val="Znakapoznpodarou"/>
          <w:rFonts w:asciiTheme="minorHAnsi" w:hAnsiTheme="minorHAnsi"/>
          <w:bCs/>
          <w:lang w:val="en-GB"/>
        </w:rPr>
        <w:footnoteReference w:id="6"/>
      </w:r>
      <w:r w:rsidR="001877F1" w:rsidRPr="00EA5F4B">
        <w:rPr>
          <w:rFonts w:asciiTheme="minorHAnsi" w:hAnsiTheme="minorHAnsi" w:cstheme="minorHAnsi"/>
          <w:bCs/>
          <w:lang w:val="en-GB"/>
        </w:rPr>
        <w:t xml:space="preserve"> </w:t>
      </w:r>
      <w:r w:rsidR="001C3C9E" w:rsidRPr="00EA5F4B">
        <w:rPr>
          <w:rFonts w:asciiTheme="minorHAnsi" w:hAnsiTheme="minorHAnsi" w:cstheme="minorHAnsi"/>
          <w:bCs/>
          <w:lang w:val="en-GB"/>
        </w:rPr>
        <w:t>that relate to waste management</w:t>
      </w:r>
      <w:r w:rsidR="00CF7DAE" w:rsidRPr="00EA5F4B">
        <w:rPr>
          <w:rFonts w:asciiTheme="minorHAnsi" w:hAnsiTheme="minorHAnsi" w:cstheme="minorHAnsi"/>
          <w:bCs/>
          <w:lang w:val="en-GB"/>
        </w:rPr>
        <w:t>;</w:t>
      </w:r>
    </w:p>
    <w:p w:rsidR="00CF7DAE" w:rsidRPr="00EA5F4B" w:rsidRDefault="001C3C9E" w:rsidP="001C3C9E">
      <w:pPr>
        <w:pStyle w:val="Odstavecseseznamem"/>
        <w:numPr>
          <w:ilvl w:val="0"/>
          <w:numId w:val="22"/>
        </w:numPr>
        <w:spacing w:line="280" w:lineRule="atLeast"/>
        <w:jc w:val="both"/>
        <w:rPr>
          <w:rStyle w:val="Siln"/>
          <w:rFonts w:asciiTheme="minorHAnsi" w:hAnsiTheme="minorHAnsi" w:cstheme="minorHAnsi"/>
          <w:b w:val="0"/>
          <w:lang w:val="en-GB"/>
        </w:rPr>
      </w:pPr>
      <w:r w:rsidRPr="00EA5F4B">
        <w:rPr>
          <w:rFonts w:asciiTheme="minorHAnsi" w:hAnsiTheme="minorHAnsi" w:cstheme="minorHAnsi"/>
          <w:bCs/>
          <w:lang w:val="en-GB"/>
        </w:rPr>
        <w:t xml:space="preserve">the activity of the </w:t>
      </w:r>
      <w:proofErr w:type="spellStart"/>
      <w:r w:rsidRPr="00EA5F4B">
        <w:rPr>
          <w:rFonts w:asciiTheme="minorHAnsi" w:hAnsiTheme="minorHAnsi" w:cstheme="minorHAnsi"/>
          <w:bCs/>
          <w:lang w:val="en-GB"/>
        </w:rPr>
        <w:t>MoE</w:t>
      </w:r>
      <w:proofErr w:type="spellEnd"/>
      <w:r w:rsidRPr="00EA5F4B">
        <w:rPr>
          <w:rFonts w:asciiTheme="minorHAnsi" w:hAnsiTheme="minorHAnsi" w:cstheme="minorHAnsi"/>
          <w:bCs/>
          <w:lang w:val="en-GB"/>
        </w:rPr>
        <w:t xml:space="preserve"> as Managing Authority of OPE</w:t>
      </w:r>
      <w:r w:rsidR="009F6188" w:rsidRPr="00EA5F4B">
        <w:rPr>
          <w:rStyle w:val="Siln"/>
          <w:rFonts w:asciiTheme="minorHAnsi" w:hAnsiTheme="minorHAnsi" w:cstheme="minorHAnsi"/>
          <w:b w:val="0"/>
          <w:lang w:val="en-GB"/>
        </w:rPr>
        <w:t xml:space="preserve"> 2007</w:t>
      </w:r>
      <w:r w:rsidR="00B926E8" w:rsidRPr="00EA5F4B">
        <w:rPr>
          <w:rStyle w:val="Siln"/>
          <w:rFonts w:asciiTheme="minorHAnsi" w:hAnsiTheme="minorHAnsi" w:cstheme="minorHAnsi"/>
          <w:b w:val="0"/>
          <w:lang w:val="en-GB"/>
        </w:rPr>
        <w:t>–</w:t>
      </w:r>
      <w:r w:rsidR="009F6188" w:rsidRPr="00EA5F4B">
        <w:rPr>
          <w:rStyle w:val="Siln"/>
          <w:rFonts w:asciiTheme="minorHAnsi" w:hAnsiTheme="minorHAnsi" w:cstheme="minorHAnsi"/>
          <w:b w:val="0"/>
          <w:lang w:val="en-GB"/>
        </w:rPr>
        <w:t xml:space="preserve">2013 </w:t>
      </w:r>
      <w:r w:rsidR="001877F1" w:rsidRPr="00EA5F4B">
        <w:rPr>
          <w:rStyle w:val="Siln"/>
          <w:rFonts w:asciiTheme="minorHAnsi" w:hAnsiTheme="minorHAnsi" w:cstheme="minorHAnsi"/>
          <w:b w:val="0"/>
          <w:lang w:val="en-GB"/>
        </w:rPr>
        <w:t>a</w:t>
      </w:r>
      <w:r w:rsidRPr="00EA5F4B">
        <w:rPr>
          <w:rStyle w:val="Siln"/>
          <w:rFonts w:asciiTheme="minorHAnsi" w:hAnsiTheme="minorHAnsi" w:cstheme="minorHAnsi"/>
          <w:b w:val="0"/>
          <w:lang w:val="en-GB"/>
        </w:rPr>
        <w:t>nd</w:t>
      </w:r>
      <w:r w:rsidR="001877F1" w:rsidRPr="00EA5F4B">
        <w:rPr>
          <w:rStyle w:val="Siln"/>
          <w:rFonts w:asciiTheme="minorHAnsi" w:hAnsiTheme="minorHAnsi" w:cstheme="minorHAnsi"/>
          <w:b w:val="0"/>
          <w:lang w:val="en-GB"/>
        </w:rPr>
        <w:t> </w:t>
      </w:r>
      <w:r w:rsidR="009F6188" w:rsidRPr="00EA5F4B">
        <w:rPr>
          <w:rStyle w:val="Siln"/>
          <w:rFonts w:asciiTheme="minorHAnsi" w:hAnsiTheme="minorHAnsi" w:cstheme="minorHAnsi"/>
          <w:b w:val="0"/>
          <w:lang w:val="en-GB"/>
        </w:rPr>
        <w:t>OP</w:t>
      </w:r>
      <w:r w:rsidRPr="00EA5F4B">
        <w:rPr>
          <w:rStyle w:val="Siln"/>
          <w:rFonts w:asciiTheme="minorHAnsi" w:hAnsiTheme="minorHAnsi" w:cstheme="minorHAnsi"/>
          <w:b w:val="0"/>
          <w:lang w:val="en-GB"/>
        </w:rPr>
        <w:t>E</w:t>
      </w:r>
      <w:r w:rsidR="009F6188" w:rsidRPr="00EA5F4B">
        <w:rPr>
          <w:rStyle w:val="Siln"/>
          <w:rFonts w:asciiTheme="minorHAnsi" w:hAnsiTheme="minorHAnsi" w:cstheme="minorHAnsi"/>
          <w:b w:val="0"/>
          <w:lang w:val="en-GB"/>
        </w:rPr>
        <w:t xml:space="preserve"> 2014</w:t>
      </w:r>
      <w:r w:rsidR="00B926E8" w:rsidRPr="00EA5F4B">
        <w:rPr>
          <w:rStyle w:val="Siln"/>
          <w:rFonts w:asciiTheme="minorHAnsi" w:hAnsiTheme="minorHAnsi" w:cstheme="minorHAnsi"/>
          <w:b w:val="0"/>
          <w:lang w:val="en-GB"/>
        </w:rPr>
        <w:t>–</w:t>
      </w:r>
      <w:r w:rsidR="009F6188" w:rsidRPr="00EA5F4B">
        <w:rPr>
          <w:rStyle w:val="Siln"/>
          <w:rFonts w:asciiTheme="minorHAnsi" w:hAnsiTheme="minorHAnsi" w:cstheme="minorHAnsi"/>
          <w:b w:val="0"/>
          <w:lang w:val="en-GB"/>
        </w:rPr>
        <w:t>2020</w:t>
      </w:r>
      <w:r w:rsidR="00CF7DAE" w:rsidRPr="00EA5F4B">
        <w:rPr>
          <w:rStyle w:val="Siln"/>
          <w:rFonts w:asciiTheme="minorHAnsi" w:hAnsiTheme="minorHAnsi" w:cstheme="minorHAnsi"/>
          <w:b w:val="0"/>
          <w:lang w:val="en-GB"/>
        </w:rPr>
        <w:t>;</w:t>
      </w:r>
    </w:p>
    <w:p w:rsidR="00CF7DAE" w:rsidRPr="00EA5F4B" w:rsidRDefault="001C3C9E" w:rsidP="001C3C9E">
      <w:pPr>
        <w:pStyle w:val="Odstavecseseznamem"/>
        <w:numPr>
          <w:ilvl w:val="0"/>
          <w:numId w:val="22"/>
        </w:numPr>
        <w:spacing w:line="280" w:lineRule="atLeast"/>
        <w:jc w:val="both"/>
        <w:rPr>
          <w:rFonts w:asciiTheme="minorHAnsi" w:hAnsiTheme="minorHAnsi" w:cstheme="minorHAnsi"/>
          <w:bCs/>
          <w:lang w:val="en-GB"/>
        </w:rPr>
      </w:pPr>
      <w:r w:rsidRPr="00EA5F4B">
        <w:rPr>
          <w:rFonts w:asciiTheme="minorHAnsi" w:hAnsiTheme="minorHAnsi" w:cstheme="minorHAnsi"/>
          <w:bCs/>
          <w:lang w:val="en-GB"/>
        </w:rPr>
        <w:t xml:space="preserve">the activity of </w:t>
      </w:r>
      <w:r w:rsidR="00267B36">
        <w:rPr>
          <w:rFonts w:asciiTheme="minorHAnsi" w:hAnsiTheme="minorHAnsi" w:cstheme="minorHAnsi"/>
          <w:bCs/>
          <w:lang w:val="en-GB"/>
        </w:rPr>
        <w:t xml:space="preserve">the </w:t>
      </w:r>
      <w:r w:rsidRPr="00EA5F4B">
        <w:rPr>
          <w:rFonts w:asciiTheme="minorHAnsi" w:hAnsiTheme="minorHAnsi" w:cstheme="minorHAnsi"/>
          <w:bCs/>
          <w:lang w:val="en-GB"/>
        </w:rPr>
        <w:t xml:space="preserve">SEF as </w:t>
      </w:r>
      <w:r w:rsidR="00E06AD3">
        <w:rPr>
          <w:rFonts w:asciiTheme="minorHAnsi" w:hAnsiTheme="minorHAnsi" w:cstheme="minorHAnsi"/>
          <w:bCs/>
          <w:lang w:val="en-GB"/>
        </w:rPr>
        <w:t>I</w:t>
      </w:r>
      <w:r w:rsidR="00056424">
        <w:rPr>
          <w:rFonts w:asciiTheme="minorHAnsi" w:hAnsiTheme="minorHAnsi" w:cstheme="minorHAnsi"/>
          <w:bCs/>
          <w:lang w:val="en-GB"/>
        </w:rPr>
        <w:t xml:space="preserve">ntermediate </w:t>
      </w:r>
      <w:r w:rsidR="00E06AD3">
        <w:rPr>
          <w:rFonts w:asciiTheme="minorHAnsi" w:hAnsiTheme="minorHAnsi" w:cstheme="minorHAnsi"/>
          <w:bCs/>
          <w:lang w:val="en-GB"/>
        </w:rPr>
        <w:t>B</w:t>
      </w:r>
      <w:r w:rsidR="00056424">
        <w:rPr>
          <w:rFonts w:asciiTheme="minorHAnsi" w:hAnsiTheme="minorHAnsi" w:cstheme="minorHAnsi"/>
          <w:bCs/>
          <w:lang w:val="en-GB"/>
        </w:rPr>
        <w:t>ody</w:t>
      </w:r>
      <w:r w:rsidRPr="00EA5F4B">
        <w:rPr>
          <w:rFonts w:asciiTheme="minorHAnsi" w:hAnsiTheme="minorHAnsi" w:cstheme="minorHAnsi"/>
          <w:bCs/>
          <w:lang w:val="en-GB"/>
        </w:rPr>
        <w:t xml:space="preserve"> for both operational programmes in the provision and drawing of funding</w:t>
      </w:r>
      <w:r w:rsidR="00CF7DAE" w:rsidRPr="00EA5F4B">
        <w:rPr>
          <w:rFonts w:asciiTheme="minorHAnsi" w:hAnsiTheme="minorHAnsi" w:cstheme="minorHAnsi"/>
          <w:bCs/>
          <w:lang w:val="en-GB"/>
        </w:rPr>
        <w:t>;</w:t>
      </w:r>
    </w:p>
    <w:p w:rsidR="00CF7DAE" w:rsidRPr="00EA5F4B" w:rsidRDefault="001C3C9E" w:rsidP="001C3C9E">
      <w:pPr>
        <w:pStyle w:val="Odstavecseseznamem"/>
        <w:numPr>
          <w:ilvl w:val="0"/>
          <w:numId w:val="22"/>
        </w:numPr>
        <w:spacing w:line="280" w:lineRule="atLeast"/>
        <w:jc w:val="both"/>
        <w:rPr>
          <w:rFonts w:asciiTheme="minorHAnsi" w:hAnsiTheme="minorHAnsi" w:cstheme="minorHAnsi"/>
          <w:bCs/>
          <w:lang w:val="en-GB"/>
        </w:rPr>
      </w:pPr>
      <w:r w:rsidRPr="00EA5F4B">
        <w:rPr>
          <w:rFonts w:asciiTheme="minorHAnsi" w:hAnsiTheme="minorHAnsi" w:cstheme="minorHAnsi"/>
          <w:bCs/>
          <w:lang w:val="en-GB"/>
        </w:rPr>
        <w:t xml:space="preserve">fulfilment of the obligations of selected </w:t>
      </w:r>
      <w:r w:rsidR="00754DCE">
        <w:rPr>
          <w:rFonts w:asciiTheme="minorHAnsi" w:hAnsiTheme="minorHAnsi" w:cstheme="minorHAnsi"/>
          <w:bCs/>
          <w:lang w:val="en-GB"/>
        </w:rPr>
        <w:t>aid</w:t>
      </w:r>
      <w:r w:rsidRPr="00EA5F4B">
        <w:rPr>
          <w:rFonts w:asciiTheme="minorHAnsi" w:hAnsiTheme="minorHAnsi" w:cstheme="minorHAnsi"/>
          <w:bCs/>
          <w:lang w:val="en-GB"/>
        </w:rPr>
        <w:t xml:space="preserve"> beneficiaries under OPE</w:t>
      </w:r>
      <w:r w:rsidR="00CF7DAE" w:rsidRPr="00EA5F4B">
        <w:rPr>
          <w:rFonts w:asciiTheme="minorHAnsi" w:hAnsiTheme="minorHAnsi" w:cstheme="minorHAnsi"/>
          <w:bCs/>
          <w:lang w:val="en-GB"/>
        </w:rPr>
        <w:t xml:space="preserve"> 2007</w:t>
      </w:r>
      <w:r w:rsidR="00376FDE" w:rsidRPr="00EA5F4B">
        <w:rPr>
          <w:rFonts w:asciiTheme="minorHAnsi" w:hAnsiTheme="minorHAnsi" w:cstheme="minorHAnsi"/>
          <w:bCs/>
          <w:lang w:val="en-GB"/>
        </w:rPr>
        <w:t>–</w:t>
      </w:r>
      <w:r w:rsidR="00CF7DAE" w:rsidRPr="00EA5F4B">
        <w:rPr>
          <w:rFonts w:asciiTheme="minorHAnsi" w:hAnsiTheme="minorHAnsi" w:cstheme="minorHAnsi"/>
          <w:bCs/>
          <w:lang w:val="en-GB"/>
        </w:rPr>
        <w:t xml:space="preserve">2013 </w:t>
      </w:r>
      <w:r w:rsidRPr="00EA5F4B">
        <w:rPr>
          <w:rFonts w:asciiTheme="minorHAnsi" w:hAnsiTheme="minorHAnsi" w:cstheme="minorHAnsi"/>
          <w:bCs/>
          <w:lang w:val="en-GB"/>
        </w:rPr>
        <w:t>during the sustainability period of individual projects</w:t>
      </w:r>
      <w:r w:rsidR="00964155" w:rsidRPr="00EA5F4B">
        <w:rPr>
          <w:rFonts w:asciiTheme="minorHAnsi" w:hAnsiTheme="minorHAnsi" w:cstheme="minorHAnsi"/>
          <w:bCs/>
          <w:lang w:val="en-GB"/>
        </w:rPr>
        <w:t>;</w:t>
      </w:r>
    </w:p>
    <w:p w:rsidR="00964155" w:rsidRPr="00EA5F4B" w:rsidRDefault="001C3C9E" w:rsidP="001C3C9E">
      <w:pPr>
        <w:pStyle w:val="Odstavecseseznamem"/>
        <w:numPr>
          <w:ilvl w:val="0"/>
          <w:numId w:val="22"/>
        </w:numPr>
        <w:spacing w:line="280" w:lineRule="atLeast"/>
        <w:jc w:val="both"/>
        <w:rPr>
          <w:rFonts w:asciiTheme="minorHAnsi" w:hAnsiTheme="minorHAnsi" w:cstheme="minorHAnsi"/>
          <w:bCs/>
          <w:lang w:val="en-GB"/>
        </w:rPr>
      </w:pPr>
      <w:r w:rsidRPr="00EA5F4B">
        <w:rPr>
          <w:rFonts w:asciiTheme="minorHAnsi" w:hAnsiTheme="minorHAnsi" w:cstheme="minorHAnsi"/>
          <w:bCs/>
          <w:lang w:val="en-GB"/>
        </w:rPr>
        <w:t>verifying implementation of corrective measures adopted on the</w:t>
      </w:r>
      <w:r w:rsidR="00BF389E">
        <w:rPr>
          <w:rFonts w:asciiTheme="minorHAnsi" w:hAnsiTheme="minorHAnsi" w:cstheme="minorHAnsi"/>
          <w:bCs/>
          <w:lang w:val="en-GB"/>
        </w:rPr>
        <w:t xml:space="preserve"> basis of previous SAO Audit No</w:t>
      </w:r>
      <w:r w:rsidRPr="00EA5F4B">
        <w:rPr>
          <w:rFonts w:asciiTheme="minorHAnsi" w:hAnsiTheme="minorHAnsi" w:cstheme="minorHAnsi"/>
          <w:bCs/>
          <w:lang w:val="en-GB"/>
        </w:rPr>
        <w:t xml:space="preserve"> 10/14</w:t>
      </w:r>
      <w:r w:rsidR="00964155" w:rsidRPr="00EA5F4B">
        <w:rPr>
          <w:rStyle w:val="Znakapoznpodarou"/>
          <w:rFonts w:asciiTheme="minorHAnsi" w:hAnsiTheme="minorHAnsi"/>
          <w:bCs/>
          <w:lang w:val="en-GB"/>
        </w:rPr>
        <w:footnoteReference w:id="7"/>
      </w:r>
      <w:r w:rsidR="00964155" w:rsidRPr="00EA5F4B">
        <w:rPr>
          <w:rFonts w:asciiTheme="minorHAnsi" w:hAnsiTheme="minorHAnsi" w:cstheme="minorHAnsi"/>
          <w:bCs/>
          <w:lang w:val="en-GB"/>
        </w:rPr>
        <w:t>.</w:t>
      </w:r>
    </w:p>
    <w:p w:rsidR="00AA5BDA" w:rsidRPr="00EA5F4B" w:rsidRDefault="00AA5BDA" w:rsidP="00E41664">
      <w:pPr>
        <w:spacing w:line="280" w:lineRule="atLeast"/>
        <w:jc w:val="both"/>
        <w:rPr>
          <w:rFonts w:asciiTheme="minorHAnsi" w:hAnsiTheme="minorHAnsi" w:cstheme="minorHAnsi"/>
          <w:bCs/>
          <w:lang w:val="en-GB"/>
        </w:rPr>
      </w:pPr>
    </w:p>
    <w:p w:rsidR="00B60C34" w:rsidRPr="00EA5F4B" w:rsidRDefault="00A41D7E" w:rsidP="00A41D7E">
      <w:pPr>
        <w:spacing w:line="280" w:lineRule="atLeast"/>
        <w:jc w:val="both"/>
        <w:rPr>
          <w:rFonts w:asciiTheme="minorHAnsi" w:hAnsiTheme="minorHAnsi" w:cstheme="minorHAnsi"/>
          <w:bCs/>
          <w:lang w:val="en-GB"/>
        </w:rPr>
      </w:pPr>
      <w:r w:rsidRPr="00EA5F4B">
        <w:rPr>
          <w:rFonts w:asciiTheme="minorHAnsi" w:hAnsiTheme="minorHAnsi" w:cstheme="minorHAnsi"/>
          <w:bCs/>
          <w:lang w:val="en-GB"/>
        </w:rPr>
        <w:t>As part of the audit, 16 projects from OPE 2007–2013 were checked with total eligible expenditures of CZK 410.4 million. The audit was conducted primarily from the perspective of compliance with the obligations of beneficiaries during the sustainability period for the supported projects and monitoring of actual use of the supported projects.</w:t>
      </w:r>
    </w:p>
    <w:p w:rsidR="00065DA8" w:rsidRPr="00EA5F4B" w:rsidRDefault="00065DA8" w:rsidP="00065DA8">
      <w:pPr>
        <w:ind w:left="624" w:hanging="624"/>
        <w:jc w:val="both"/>
        <w:rPr>
          <w:rFonts w:asciiTheme="minorHAnsi" w:hAnsiTheme="minorHAnsi" w:cstheme="minorHAnsi"/>
          <w:b/>
          <w:lang w:val="en-GB"/>
        </w:rPr>
      </w:pPr>
    </w:p>
    <w:p w:rsidR="00065DA8" w:rsidRPr="00EA5F4B" w:rsidRDefault="00A41D7E" w:rsidP="00065DA8">
      <w:pPr>
        <w:ind w:left="624" w:hanging="624"/>
        <w:jc w:val="both"/>
        <w:rPr>
          <w:rFonts w:asciiTheme="minorHAnsi" w:hAnsiTheme="minorHAnsi" w:cstheme="minorHAnsi"/>
          <w:sz w:val="20"/>
          <w:szCs w:val="20"/>
          <w:lang w:val="en-GB"/>
        </w:rPr>
      </w:pPr>
      <w:r w:rsidRPr="00EA5F4B">
        <w:rPr>
          <w:rFonts w:asciiTheme="minorHAnsi" w:hAnsiTheme="minorHAnsi" w:cstheme="minorHAnsi"/>
          <w:b/>
          <w:sz w:val="20"/>
          <w:szCs w:val="20"/>
          <w:lang w:val="en-GB"/>
        </w:rPr>
        <w:t>Note</w:t>
      </w:r>
      <w:r w:rsidR="00065DA8" w:rsidRPr="00EA5F4B">
        <w:rPr>
          <w:rFonts w:asciiTheme="minorHAnsi" w:hAnsiTheme="minorHAnsi" w:cstheme="minorHAnsi"/>
          <w:b/>
          <w:sz w:val="20"/>
          <w:szCs w:val="20"/>
          <w:lang w:val="en-GB"/>
        </w:rPr>
        <w:t>:</w:t>
      </w:r>
      <w:r w:rsidR="00065DA8" w:rsidRPr="00EA5F4B">
        <w:rPr>
          <w:rFonts w:asciiTheme="minorHAnsi" w:hAnsiTheme="minorHAnsi" w:cstheme="minorHAnsi"/>
          <w:sz w:val="20"/>
          <w:szCs w:val="20"/>
          <w:lang w:val="en-GB"/>
        </w:rPr>
        <w:tab/>
      </w:r>
      <w:r w:rsidRPr="00EA5F4B">
        <w:rPr>
          <w:rFonts w:asciiTheme="minorHAnsi" w:hAnsiTheme="minorHAnsi" w:cstheme="minorHAnsi"/>
          <w:sz w:val="20"/>
          <w:szCs w:val="20"/>
          <w:lang w:val="en-GB"/>
        </w:rPr>
        <w:t>The legislation referred to in this audit report is applied in the wording in effect in the audited period</w:t>
      </w:r>
      <w:r w:rsidR="00065DA8" w:rsidRPr="00EA5F4B">
        <w:rPr>
          <w:rFonts w:asciiTheme="minorHAnsi" w:hAnsiTheme="minorHAnsi" w:cstheme="minorHAnsi"/>
          <w:sz w:val="20"/>
          <w:szCs w:val="20"/>
          <w:lang w:val="en-GB"/>
        </w:rPr>
        <w:t>.</w:t>
      </w:r>
    </w:p>
    <w:p w:rsidR="000F24AA" w:rsidRPr="00EA5F4B" w:rsidRDefault="000F24AA" w:rsidP="00E41664">
      <w:pPr>
        <w:spacing w:line="280" w:lineRule="atLeast"/>
        <w:jc w:val="both"/>
        <w:rPr>
          <w:rFonts w:asciiTheme="minorHAnsi" w:hAnsiTheme="minorHAnsi"/>
          <w:lang w:val="en-GB"/>
        </w:rPr>
      </w:pPr>
    </w:p>
    <w:p w:rsidR="00D23BBE" w:rsidRPr="00EA5F4B" w:rsidRDefault="00D23BBE" w:rsidP="00E41664">
      <w:pPr>
        <w:spacing w:line="280" w:lineRule="atLeast"/>
        <w:jc w:val="both"/>
        <w:rPr>
          <w:rFonts w:asciiTheme="minorHAnsi" w:hAnsiTheme="minorHAnsi"/>
          <w:lang w:val="en-GB"/>
        </w:rPr>
      </w:pPr>
    </w:p>
    <w:p w:rsidR="00EF536B" w:rsidRPr="00EA5F4B" w:rsidRDefault="00EF536B">
      <w:pPr>
        <w:rPr>
          <w:rFonts w:asciiTheme="minorHAnsi" w:hAnsiTheme="minorHAnsi" w:cs="Calibri"/>
          <w:b/>
          <w:sz w:val="28"/>
          <w:lang w:val="en-GB" w:eastAsia="en-US"/>
        </w:rPr>
      </w:pPr>
    </w:p>
    <w:p w:rsidR="005D7A75" w:rsidRPr="00EA5F4B" w:rsidRDefault="005D7A75" w:rsidP="00E41664">
      <w:pPr>
        <w:pStyle w:val="Odstavecseseznamem"/>
        <w:spacing w:line="280" w:lineRule="atLeast"/>
        <w:ind w:left="0"/>
        <w:jc w:val="center"/>
        <w:rPr>
          <w:rFonts w:asciiTheme="minorHAnsi" w:hAnsiTheme="minorHAnsi" w:cs="Calibri"/>
          <w:b/>
          <w:sz w:val="28"/>
          <w:lang w:val="en-GB" w:eastAsia="en-US"/>
        </w:rPr>
      </w:pPr>
      <w:r w:rsidRPr="00EA5F4B">
        <w:rPr>
          <w:rFonts w:asciiTheme="minorHAnsi" w:hAnsiTheme="minorHAnsi" w:cs="Calibri"/>
          <w:b/>
          <w:sz w:val="28"/>
          <w:lang w:val="en-GB" w:eastAsia="en-US"/>
        </w:rPr>
        <w:lastRenderedPageBreak/>
        <w:t xml:space="preserve">II. </w:t>
      </w:r>
      <w:r w:rsidR="009A61E3" w:rsidRPr="00EA5F4B">
        <w:rPr>
          <w:rFonts w:asciiTheme="minorHAnsi" w:hAnsiTheme="minorHAnsi" w:cs="Calibri"/>
          <w:b/>
          <w:sz w:val="28"/>
          <w:lang w:val="en-GB" w:eastAsia="en-US"/>
        </w:rPr>
        <w:t>Summary of findings</w:t>
      </w:r>
    </w:p>
    <w:p w:rsidR="00D87DE8" w:rsidRPr="00EA5F4B" w:rsidRDefault="00D87DE8" w:rsidP="00E41664">
      <w:pPr>
        <w:spacing w:line="280" w:lineRule="atLeast"/>
        <w:jc w:val="both"/>
        <w:rPr>
          <w:rFonts w:asciiTheme="minorHAnsi" w:hAnsiTheme="minorHAnsi"/>
          <w:color w:val="000000"/>
          <w:highlight w:val="yellow"/>
          <w:lang w:val="en-GB"/>
        </w:rPr>
      </w:pPr>
    </w:p>
    <w:p w:rsidR="0034267C" w:rsidRPr="00EA5F4B" w:rsidRDefault="006D6DB0" w:rsidP="008A7053">
      <w:pPr>
        <w:spacing w:line="280" w:lineRule="atLeast"/>
        <w:jc w:val="both"/>
        <w:rPr>
          <w:rFonts w:asciiTheme="minorHAnsi" w:hAnsiTheme="minorHAnsi" w:cstheme="minorHAnsi"/>
          <w:b/>
          <w:lang w:val="en-GB"/>
        </w:rPr>
      </w:pPr>
      <w:r w:rsidRPr="00EA5F4B">
        <w:rPr>
          <w:rFonts w:asciiTheme="minorHAnsi" w:hAnsiTheme="minorHAnsi"/>
          <w:b/>
          <w:color w:val="000000"/>
          <w:lang w:val="en-GB"/>
        </w:rPr>
        <w:t xml:space="preserve">Under OPE 2007–2013, the </w:t>
      </w:r>
      <w:proofErr w:type="spellStart"/>
      <w:r w:rsidRPr="00EA5F4B">
        <w:rPr>
          <w:rFonts w:asciiTheme="minorHAnsi" w:hAnsiTheme="minorHAnsi"/>
          <w:b/>
          <w:color w:val="000000"/>
          <w:lang w:val="en-GB"/>
        </w:rPr>
        <w:t>MoE</w:t>
      </w:r>
      <w:proofErr w:type="spellEnd"/>
      <w:r w:rsidRPr="00EA5F4B">
        <w:rPr>
          <w:rFonts w:asciiTheme="minorHAnsi" w:hAnsiTheme="minorHAnsi"/>
          <w:b/>
          <w:color w:val="000000"/>
          <w:lang w:val="en-GB"/>
        </w:rPr>
        <w:t xml:space="preserve"> realised a total of 4 015 </w:t>
      </w:r>
      <w:r w:rsidR="00754DCE">
        <w:rPr>
          <w:rFonts w:asciiTheme="minorHAnsi" w:hAnsiTheme="minorHAnsi"/>
          <w:b/>
          <w:color w:val="000000"/>
          <w:lang w:val="en-GB"/>
        </w:rPr>
        <w:t xml:space="preserve">projects </w:t>
      </w:r>
      <w:r w:rsidRPr="00EA5F4B">
        <w:rPr>
          <w:rFonts w:asciiTheme="minorHAnsi" w:hAnsiTheme="minorHAnsi"/>
          <w:b/>
          <w:color w:val="000000"/>
          <w:lang w:val="en-GB"/>
        </w:rPr>
        <w:t xml:space="preserve">in the area of waste management with total eligible expenditures of CZK 18.751 billion. </w:t>
      </w:r>
      <w:r w:rsidR="003F1F67" w:rsidRPr="00EA5F4B">
        <w:rPr>
          <w:rFonts w:asciiTheme="minorHAnsi" w:hAnsiTheme="minorHAnsi"/>
          <w:b/>
          <w:color w:val="000000"/>
          <w:lang w:val="en-GB"/>
        </w:rPr>
        <w:t>To date</w:t>
      </w:r>
      <w:r w:rsidR="00767929">
        <w:rPr>
          <w:rFonts w:asciiTheme="minorHAnsi" w:hAnsiTheme="minorHAnsi"/>
          <w:b/>
          <w:color w:val="000000"/>
          <w:lang w:val="en-GB"/>
        </w:rPr>
        <w:t>,</w:t>
      </w:r>
      <w:r w:rsidR="003F1F67" w:rsidRPr="00EA5F4B">
        <w:rPr>
          <w:rFonts w:asciiTheme="minorHAnsi" w:hAnsiTheme="minorHAnsi"/>
          <w:b/>
          <w:color w:val="000000"/>
          <w:lang w:val="en-GB"/>
        </w:rPr>
        <w:t xml:space="preserve"> however</w:t>
      </w:r>
      <w:r w:rsidR="00767929">
        <w:rPr>
          <w:rFonts w:asciiTheme="minorHAnsi" w:hAnsiTheme="minorHAnsi"/>
          <w:b/>
          <w:color w:val="000000"/>
          <w:lang w:val="en-GB"/>
        </w:rPr>
        <w:t>,</w:t>
      </w:r>
      <w:r w:rsidR="003F1F67" w:rsidRPr="00EA5F4B">
        <w:rPr>
          <w:rFonts w:asciiTheme="minorHAnsi" w:hAnsiTheme="minorHAnsi"/>
          <w:b/>
          <w:color w:val="000000"/>
          <w:lang w:val="en-GB"/>
        </w:rPr>
        <w:t xml:space="preserve"> the </w:t>
      </w:r>
      <w:proofErr w:type="spellStart"/>
      <w:r w:rsidR="003F1F67" w:rsidRPr="00EA5F4B">
        <w:rPr>
          <w:rFonts w:asciiTheme="minorHAnsi" w:hAnsiTheme="minorHAnsi"/>
          <w:b/>
          <w:color w:val="000000"/>
          <w:lang w:val="en-GB"/>
        </w:rPr>
        <w:t>MoE</w:t>
      </w:r>
      <w:proofErr w:type="spellEnd"/>
      <w:r w:rsidR="003F1F67" w:rsidRPr="00EA5F4B">
        <w:rPr>
          <w:rFonts w:asciiTheme="minorHAnsi" w:hAnsiTheme="minorHAnsi"/>
          <w:b/>
          <w:color w:val="000000"/>
          <w:lang w:val="en-GB"/>
        </w:rPr>
        <w:t xml:space="preserve"> has not evaluated what benefits have been achieved, and in light of the </w:t>
      </w:r>
      <w:r w:rsidR="00754DCE">
        <w:rPr>
          <w:rFonts w:asciiTheme="minorHAnsi" w:hAnsiTheme="minorHAnsi"/>
          <w:b/>
          <w:color w:val="000000"/>
          <w:lang w:val="en-GB"/>
        </w:rPr>
        <w:t>inappropriately</w:t>
      </w:r>
      <w:r w:rsidR="003F1F67" w:rsidRPr="00EA5F4B">
        <w:rPr>
          <w:rFonts w:asciiTheme="minorHAnsi" w:hAnsiTheme="minorHAnsi"/>
          <w:b/>
          <w:color w:val="000000"/>
          <w:lang w:val="en-GB"/>
        </w:rPr>
        <w:t xml:space="preserve"> configured system of monitoring indicators, such an evaluation will be difficult to conduct. In 2013</w:t>
      </w:r>
      <w:r w:rsidR="00767929">
        <w:rPr>
          <w:rFonts w:asciiTheme="minorHAnsi" w:hAnsiTheme="minorHAnsi"/>
          <w:b/>
          <w:color w:val="000000"/>
          <w:lang w:val="en-GB"/>
        </w:rPr>
        <w:t>,</w:t>
      </w:r>
      <w:r w:rsidR="003F1F67" w:rsidRPr="00EA5F4B">
        <w:rPr>
          <w:rFonts w:asciiTheme="minorHAnsi" w:hAnsiTheme="minorHAnsi"/>
          <w:b/>
          <w:color w:val="000000"/>
          <w:lang w:val="en-GB"/>
        </w:rPr>
        <w:t xml:space="preserve"> the </w:t>
      </w:r>
      <w:proofErr w:type="spellStart"/>
      <w:r w:rsidR="003F1F67" w:rsidRPr="00EA5F4B">
        <w:rPr>
          <w:rFonts w:asciiTheme="minorHAnsi" w:hAnsiTheme="minorHAnsi"/>
          <w:b/>
          <w:color w:val="000000"/>
          <w:lang w:val="en-GB"/>
        </w:rPr>
        <w:t>MoE</w:t>
      </w:r>
      <w:proofErr w:type="spellEnd"/>
      <w:r w:rsidR="003F1F67" w:rsidRPr="00EA5F4B">
        <w:rPr>
          <w:rFonts w:asciiTheme="minorHAnsi" w:hAnsiTheme="minorHAnsi"/>
          <w:b/>
          <w:color w:val="000000"/>
          <w:lang w:val="en-GB"/>
        </w:rPr>
        <w:t xml:space="preserve"> did not manage to meet the target of reducing the amount of biodegradable municipal waste landfilled to the level laid down by the Landfill Directive</w:t>
      </w:r>
      <w:r w:rsidR="00D23BBE" w:rsidRPr="00EA5F4B">
        <w:rPr>
          <w:rStyle w:val="Znakapoznpodarou"/>
          <w:rFonts w:asciiTheme="minorHAnsi" w:hAnsiTheme="minorHAnsi"/>
          <w:b/>
          <w:color w:val="000000"/>
          <w:lang w:val="en-GB"/>
        </w:rPr>
        <w:footnoteReference w:id="8"/>
      </w:r>
      <w:r w:rsidR="00AF13CD" w:rsidRPr="00EA5F4B">
        <w:rPr>
          <w:rFonts w:asciiTheme="minorHAnsi" w:hAnsiTheme="minorHAnsi"/>
          <w:b/>
          <w:color w:val="000000"/>
          <w:lang w:val="en-GB"/>
        </w:rPr>
        <w:t xml:space="preserve"> a</w:t>
      </w:r>
      <w:r w:rsidR="003F1F67" w:rsidRPr="00EA5F4B">
        <w:rPr>
          <w:rFonts w:asciiTheme="minorHAnsi" w:hAnsiTheme="minorHAnsi"/>
          <w:b/>
          <w:color w:val="000000"/>
          <w:lang w:val="en-GB"/>
        </w:rPr>
        <w:t xml:space="preserve">nd there is a risk that the target laid down by this directive will not even have been met in 2020. The </w:t>
      </w:r>
      <w:proofErr w:type="spellStart"/>
      <w:r w:rsidR="003F1F67" w:rsidRPr="00EA5F4B">
        <w:rPr>
          <w:rFonts w:asciiTheme="minorHAnsi" w:hAnsiTheme="minorHAnsi"/>
          <w:b/>
          <w:color w:val="000000"/>
          <w:lang w:val="en-GB"/>
        </w:rPr>
        <w:t>MoE</w:t>
      </w:r>
      <w:proofErr w:type="spellEnd"/>
      <w:r w:rsidR="003F1F67" w:rsidRPr="00EA5F4B">
        <w:rPr>
          <w:rFonts w:asciiTheme="minorHAnsi" w:hAnsiTheme="minorHAnsi"/>
          <w:b/>
          <w:color w:val="000000"/>
          <w:lang w:val="en-GB"/>
        </w:rPr>
        <w:t xml:space="preserve"> has no overview of the capacity of facilities and the amount of funds needed to ensure the targets of this directive are met. The drawing of funds under OPE 2014–2020 has been delayed. By the end of the audit, only 1.61 % of the total allocation for </w:t>
      </w:r>
      <w:r w:rsidR="00A7098C">
        <w:rPr>
          <w:rFonts w:asciiTheme="minorHAnsi" w:hAnsiTheme="minorHAnsi"/>
          <w:b/>
          <w:color w:val="000000"/>
          <w:lang w:val="en-GB"/>
        </w:rPr>
        <w:t xml:space="preserve">the </w:t>
      </w:r>
      <w:r w:rsidR="003F1F67" w:rsidRPr="00EA5F4B">
        <w:rPr>
          <w:rFonts w:asciiTheme="minorHAnsi" w:hAnsiTheme="minorHAnsi"/>
          <w:b/>
          <w:color w:val="000000"/>
          <w:lang w:val="en-GB"/>
        </w:rPr>
        <w:t xml:space="preserve">Investment Priority 1 of </w:t>
      </w:r>
      <w:r w:rsidR="00A7098C">
        <w:rPr>
          <w:rFonts w:asciiTheme="minorHAnsi" w:hAnsiTheme="minorHAnsi"/>
          <w:b/>
          <w:color w:val="000000"/>
          <w:lang w:val="en-GB"/>
        </w:rPr>
        <w:t xml:space="preserve">the </w:t>
      </w:r>
      <w:r w:rsidR="003F1F67" w:rsidRPr="00EA5F4B">
        <w:rPr>
          <w:rFonts w:asciiTheme="minorHAnsi" w:hAnsiTheme="minorHAnsi"/>
          <w:b/>
          <w:color w:val="000000"/>
          <w:lang w:val="en-GB"/>
        </w:rPr>
        <w:t xml:space="preserve">Priority Axis 3 of </w:t>
      </w:r>
      <w:r w:rsidR="00767929">
        <w:rPr>
          <w:rFonts w:asciiTheme="minorHAnsi" w:hAnsiTheme="minorHAnsi"/>
          <w:b/>
          <w:color w:val="000000"/>
          <w:lang w:val="en-GB"/>
        </w:rPr>
        <w:t xml:space="preserve">the </w:t>
      </w:r>
      <w:r w:rsidR="003F1F67" w:rsidRPr="00EA5F4B">
        <w:rPr>
          <w:rFonts w:asciiTheme="minorHAnsi" w:hAnsiTheme="minorHAnsi"/>
          <w:b/>
          <w:color w:val="000000"/>
          <w:lang w:val="en-GB"/>
        </w:rPr>
        <w:t xml:space="preserve">Operational Programme </w:t>
      </w:r>
      <w:r w:rsidR="003F1F67" w:rsidRPr="00EA5F4B">
        <w:rPr>
          <w:rFonts w:asciiTheme="minorHAnsi" w:hAnsiTheme="minorHAnsi"/>
          <w:b/>
          <w:i/>
          <w:color w:val="000000"/>
          <w:lang w:val="en-GB"/>
        </w:rPr>
        <w:t>Environment 2014–2020</w:t>
      </w:r>
      <w:r w:rsidR="003F1F67" w:rsidRPr="00EA5F4B">
        <w:rPr>
          <w:rFonts w:asciiTheme="minorHAnsi" w:hAnsiTheme="minorHAnsi"/>
          <w:b/>
          <w:color w:val="000000"/>
          <w:lang w:val="en-GB"/>
        </w:rPr>
        <w:t xml:space="preserve"> had been drawn. Delays took place at </w:t>
      </w:r>
      <w:r w:rsidR="00767929">
        <w:rPr>
          <w:rFonts w:asciiTheme="minorHAnsi" w:hAnsiTheme="minorHAnsi"/>
          <w:b/>
          <w:color w:val="000000"/>
          <w:lang w:val="en-GB"/>
        </w:rPr>
        <w:t xml:space="preserve">the </w:t>
      </w:r>
      <w:r w:rsidR="003F1F67" w:rsidRPr="00EA5F4B">
        <w:rPr>
          <w:rFonts w:asciiTheme="minorHAnsi" w:hAnsiTheme="minorHAnsi"/>
          <w:b/>
          <w:color w:val="000000"/>
          <w:lang w:val="en-GB"/>
        </w:rPr>
        <w:t xml:space="preserve">SEF in the process of approving final project evaluations. </w:t>
      </w:r>
      <w:r w:rsidR="008A7053" w:rsidRPr="00EA5F4B">
        <w:rPr>
          <w:rFonts w:asciiTheme="minorHAnsi" w:hAnsiTheme="minorHAnsi"/>
          <w:b/>
          <w:color w:val="000000"/>
          <w:lang w:val="en-GB"/>
        </w:rPr>
        <w:t>No fundamental shortcomings were identified at the subsidy beneficiaries.</w:t>
      </w:r>
    </w:p>
    <w:p w:rsidR="00ED1AD2" w:rsidRPr="00EA5F4B" w:rsidRDefault="00ED1AD2" w:rsidP="00E41664">
      <w:pPr>
        <w:spacing w:line="280" w:lineRule="atLeast"/>
        <w:jc w:val="both"/>
        <w:rPr>
          <w:rFonts w:asciiTheme="minorHAnsi" w:hAnsiTheme="minorHAnsi" w:cs="Calibri"/>
          <w:b/>
          <w:highlight w:val="yellow"/>
          <w:lang w:val="en-GB" w:eastAsia="en-US"/>
        </w:rPr>
      </w:pPr>
    </w:p>
    <w:p w:rsidR="00D23BBE" w:rsidRPr="00EA5F4B" w:rsidRDefault="00D23BBE" w:rsidP="00E41664">
      <w:pPr>
        <w:spacing w:line="280" w:lineRule="atLeast"/>
        <w:jc w:val="both"/>
        <w:rPr>
          <w:rFonts w:asciiTheme="minorHAnsi" w:hAnsiTheme="minorHAnsi" w:cs="Calibri"/>
          <w:b/>
          <w:highlight w:val="yellow"/>
          <w:lang w:val="en-GB" w:eastAsia="en-US"/>
        </w:rPr>
      </w:pPr>
    </w:p>
    <w:p w:rsidR="00D23BBE" w:rsidRPr="00EA5F4B" w:rsidRDefault="00D23BBE" w:rsidP="00D23BBE">
      <w:pPr>
        <w:pStyle w:val="Odstavecseseznamem"/>
        <w:spacing w:line="280" w:lineRule="atLeast"/>
        <w:ind w:left="0"/>
        <w:jc w:val="center"/>
        <w:rPr>
          <w:rFonts w:asciiTheme="minorHAnsi" w:hAnsiTheme="minorHAnsi" w:cs="Calibri"/>
          <w:b/>
          <w:sz w:val="28"/>
          <w:lang w:val="en-GB" w:eastAsia="en-US"/>
        </w:rPr>
      </w:pPr>
      <w:r w:rsidRPr="00EA5F4B">
        <w:rPr>
          <w:rFonts w:asciiTheme="minorHAnsi" w:hAnsiTheme="minorHAnsi" w:cs="Calibri"/>
          <w:b/>
          <w:sz w:val="28"/>
          <w:lang w:val="en-GB" w:eastAsia="en-US"/>
        </w:rPr>
        <w:t xml:space="preserve">III. </w:t>
      </w:r>
      <w:r w:rsidR="008A7053" w:rsidRPr="00EA5F4B">
        <w:rPr>
          <w:rFonts w:asciiTheme="minorHAnsi" w:hAnsiTheme="minorHAnsi" w:cs="Calibri"/>
          <w:b/>
          <w:sz w:val="28"/>
          <w:lang w:val="en-GB" w:eastAsia="en-US"/>
        </w:rPr>
        <w:t>Evaluation of findings</w:t>
      </w:r>
    </w:p>
    <w:p w:rsidR="00D23BBE" w:rsidRPr="00EA5F4B" w:rsidRDefault="00D23BBE" w:rsidP="00E41664">
      <w:pPr>
        <w:spacing w:line="280" w:lineRule="atLeast"/>
        <w:jc w:val="both"/>
        <w:rPr>
          <w:rFonts w:asciiTheme="minorHAnsi" w:hAnsiTheme="minorHAnsi" w:cs="Calibri"/>
          <w:highlight w:val="yellow"/>
          <w:lang w:val="en-GB" w:eastAsia="en-US"/>
        </w:rPr>
      </w:pPr>
    </w:p>
    <w:p w:rsidR="00452B25" w:rsidRPr="00EA5F4B" w:rsidRDefault="0041361F" w:rsidP="0041361F">
      <w:pPr>
        <w:pStyle w:val="Odstavecseseznamem"/>
        <w:numPr>
          <w:ilvl w:val="0"/>
          <w:numId w:val="5"/>
        </w:numPr>
        <w:spacing w:after="120" w:line="280" w:lineRule="atLeast"/>
        <w:ind w:left="425" w:hanging="425"/>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 xml:space="preserve">The </w:t>
      </w:r>
      <w:proofErr w:type="spellStart"/>
      <w:r w:rsidRPr="00EA5F4B">
        <w:rPr>
          <w:rFonts w:asciiTheme="minorHAnsi" w:hAnsiTheme="minorHAnsi" w:cs="Calibri"/>
          <w:color w:val="000000"/>
          <w:lang w:val="en-GB" w:eastAsia="en-US"/>
        </w:rPr>
        <w:t>MoE</w:t>
      </w:r>
      <w:proofErr w:type="spellEnd"/>
      <w:r w:rsidRPr="00EA5F4B">
        <w:rPr>
          <w:rFonts w:asciiTheme="minorHAnsi" w:hAnsiTheme="minorHAnsi" w:cs="Calibri"/>
          <w:color w:val="000000"/>
          <w:lang w:val="en-GB" w:eastAsia="en-US"/>
        </w:rPr>
        <w:t xml:space="preserve"> set up a system for evaluating the benefits of a</w:t>
      </w:r>
      <w:r w:rsidR="00754DCE">
        <w:rPr>
          <w:rFonts w:asciiTheme="minorHAnsi" w:hAnsiTheme="minorHAnsi" w:cs="Calibri"/>
          <w:color w:val="000000"/>
          <w:lang w:val="en-GB" w:eastAsia="en-US"/>
        </w:rPr>
        <w:t>id</w:t>
      </w:r>
      <w:r w:rsidRPr="00EA5F4B">
        <w:rPr>
          <w:rFonts w:asciiTheme="minorHAnsi" w:hAnsiTheme="minorHAnsi" w:cs="Calibri"/>
          <w:color w:val="000000"/>
          <w:lang w:val="en-GB" w:eastAsia="en-US"/>
        </w:rPr>
        <w:t xml:space="preserve"> provided from OPE 2007–2013 to improve waste management using indicators whose values are influenced by a number of different factors or which are partially or fully independent of the assi</w:t>
      </w:r>
      <w:r w:rsidR="00754DCE">
        <w:rPr>
          <w:rFonts w:asciiTheme="minorHAnsi" w:hAnsiTheme="minorHAnsi" w:cs="Calibri"/>
          <w:color w:val="000000"/>
          <w:lang w:val="en-GB" w:eastAsia="en-US"/>
        </w:rPr>
        <w:t>s</w:t>
      </w:r>
      <w:r w:rsidRPr="00EA5F4B">
        <w:rPr>
          <w:rFonts w:asciiTheme="minorHAnsi" w:hAnsiTheme="minorHAnsi" w:cs="Calibri"/>
          <w:color w:val="000000"/>
          <w:lang w:val="en-GB" w:eastAsia="en-US"/>
        </w:rPr>
        <w:t xml:space="preserve">tance. As a </w:t>
      </w:r>
      <w:r w:rsidR="00137D00" w:rsidRPr="00EA5F4B">
        <w:rPr>
          <w:rFonts w:asciiTheme="minorHAnsi" w:hAnsiTheme="minorHAnsi" w:cs="Calibri"/>
          <w:color w:val="000000"/>
          <w:lang w:val="en-GB" w:eastAsia="en-US"/>
        </w:rPr>
        <w:t>result,</w:t>
      </w:r>
      <w:r w:rsidRPr="00EA5F4B">
        <w:rPr>
          <w:rFonts w:asciiTheme="minorHAnsi" w:hAnsiTheme="minorHAnsi" w:cs="Calibri"/>
          <w:color w:val="000000"/>
          <w:lang w:val="en-GB" w:eastAsia="en-US"/>
        </w:rPr>
        <w:t xml:space="preserve"> it will be difficult to evaluate the benefits of a</w:t>
      </w:r>
      <w:r w:rsidR="00754DCE">
        <w:rPr>
          <w:rFonts w:asciiTheme="minorHAnsi" w:hAnsiTheme="minorHAnsi" w:cs="Calibri"/>
          <w:color w:val="000000"/>
          <w:lang w:val="en-GB" w:eastAsia="en-US"/>
        </w:rPr>
        <w:t>id</w:t>
      </w:r>
      <w:r w:rsidRPr="00EA5F4B">
        <w:rPr>
          <w:rFonts w:asciiTheme="minorHAnsi" w:hAnsiTheme="minorHAnsi" w:cs="Calibri"/>
          <w:color w:val="000000"/>
          <w:lang w:val="en-GB" w:eastAsia="en-US"/>
        </w:rPr>
        <w:t xml:space="preserve"> from OPE 2007–2013 for the state of waste management in the Czech Republic. Thus</w:t>
      </w:r>
      <w:r w:rsidR="00730EFC">
        <w:rPr>
          <w:rFonts w:asciiTheme="minorHAnsi" w:hAnsiTheme="minorHAnsi" w:cs="Calibri"/>
          <w:color w:val="000000"/>
          <w:lang w:val="en-GB" w:eastAsia="en-US"/>
        </w:rPr>
        <w:t>,</w:t>
      </w:r>
      <w:r w:rsidRPr="00EA5F4B">
        <w:rPr>
          <w:rFonts w:asciiTheme="minorHAnsi" w:hAnsiTheme="minorHAnsi" w:cs="Calibri"/>
          <w:color w:val="000000"/>
          <w:lang w:val="en-GB" w:eastAsia="en-US"/>
        </w:rPr>
        <w:t xml:space="preserve"> the shortcoming detected in the SAO audit in 2011 remains.</w:t>
      </w:r>
    </w:p>
    <w:p w:rsidR="0094526B" w:rsidRPr="00EA5F4B" w:rsidRDefault="0041361F" w:rsidP="0041361F">
      <w:pPr>
        <w:pStyle w:val="Odstavecseseznamem"/>
        <w:numPr>
          <w:ilvl w:val="0"/>
          <w:numId w:val="5"/>
        </w:numPr>
        <w:spacing w:after="120" w:line="280" w:lineRule="atLeast"/>
        <w:ind w:left="425" w:hanging="425"/>
        <w:jc w:val="both"/>
        <w:rPr>
          <w:rFonts w:asciiTheme="minorHAnsi" w:hAnsiTheme="minorHAnsi"/>
          <w:color w:val="000000"/>
          <w:lang w:val="en-GB"/>
        </w:rPr>
      </w:pPr>
      <w:r w:rsidRPr="00EA5F4B">
        <w:rPr>
          <w:rFonts w:asciiTheme="minorHAnsi" w:hAnsiTheme="minorHAnsi" w:cs="Calibri"/>
          <w:color w:val="000000"/>
          <w:lang w:val="en-GB" w:eastAsia="en-US"/>
        </w:rPr>
        <w:t xml:space="preserve">The </w:t>
      </w:r>
      <w:proofErr w:type="spellStart"/>
      <w:r w:rsidRPr="00EA5F4B">
        <w:rPr>
          <w:rFonts w:asciiTheme="minorHAnsi" w:hAnsiTheme="minorHAnsi" w:cs="Calibri"/>
          <w:color w:val="000000"/>
          <w:lang w:val="en-GB" w:eastAsia="en-US"/>
        </w:rPr>
        <w:t>MoE</w:t>
      </w:r>
      <w:proofErr w:type="spellEnd"/>
      <w:r w:rsidRPr="00EA5F4B">
        <w:rPr>
          <w:rFonts w:asciiTheme="minorHAnsi" w:hAnsiTheme="minorHAnsi" w:cs="Calibri"/>
          <w:color w:val="000000"/>
          <w:lang w:val="en-GB" w:eastAsia="en-US"/>
        </w:rPr>
        <w:t xml:space="preserve"> did not evaluate the benefits of projects </w:t>
      </w:r>
      <w:r w:rsidR="00730EFC">
        <w:rPr>
          <w:rFonts w:asciiTheme="minorHAnsi" w:hAnsiTheme="minorHAnsi" w:cs="Calibri"/>
          <w:color w:val="000000"/>
          <w:lang w:val="en-GB" w:eastAsia="en-US"/>
        </w:rPr>
        <w:t>supported from</w:t>
      </w:r>
      <w:r w:rsidRPr="00EA5F4B">
        <w:rPr>
          <w:rFonts w:asciiTheme="minorHAnsi" w:hAnsiTheme="minorHAnsi" w:cs="Calibri"/>
          <w:color w:val="000000"/>
          <w:lang w:val="en-GB" w:eastAsia="en-US"/>
        </w:rPr>
        <w:t xml:space="preserve"> OPE 2007–2013 in relation to meeting the goals of the WMP CR, yet it is supporting this area again under OPE 2014–2020. The </w:t>
      </w:r>
      <w:proofErr w:type="spellStart"/>
      <w:r w:rsidRPr="00EA5F4B">
        <w:rPr>
          <w:rFonts w:asciiTheme="minorHAnsi" w:hAnsiTheme="minorHAnsi" w:cs="Calibri"/>
          <w:color w:val="000000"/>
          <w:lang w:val="en-GB" w:eastAsia="en-US"/>
        </w:rPr>
        <w:t>MoE</w:t>
      </w:r>
      <w:proofErr w:type="spellEnd"/>
      <w:r w:rsidRPr="00EA5F4B">
        <w:rPr>
          <w:rFonts w:asciiTheme="minorHAnsi" w:hAnsiTheme="minorHAnsi" w:cs="Calibri"/>
          <w:color w:val="000000"/>
          <w:lang w:val="en-GB" w:eastAsia="en-US"/>
        </w:rPr>
        <w:t xml:space="preserve"> plans on evaluating the benefits by the end of 2018. The SAO considers such an evaluation to be out-of-date, considering that the new programming period is already halfway through implementation.</w:t>
      </w:r>
    </w:p>
    <w:p w:rsidR="00452B25" w:rsidRPr="00EA5F4B" w:rsidRDefault="0041361F" w:rsidP="0041361F">
      <w:pPr>
        <w:pStyle w:val="Odstavecseseznamem"/>
        <w:numPr>
          <w:ilvl w:val="0"/>
          <w:numId w:val="5"/>
        </w:numPr>
        <w:spacing w:after="120" w:line="280" w:lineRule="atLeast"/>
        <w:ind w:left="425" w:hanging="425"/>
        <w:jc w:val="both"/>
        <w:rPr>
          <w:rFonts w:asciiTheme="minorHAnsi" w:hAnsiTheme="minorHAnsi"/>
          <w:color w:val="000000"/>
          <w:lang w:val="en-GB"/>
        </w:rPr>
      </w:pPr>
      <w:r w:rsidRPr="00EA5F4B">
        <w:rPr>
          <w:rFonts w:asciiTheme="minorHAnsi" w:hAnsiTheme="minorHAnsi" w:cs="Calibri"/>
          <w:color w:val="000000"/>
          <w:lang w:val="en-GB" w:eastAsia="en-US"/>
        </w:rPr>
        <w:t xml:space="preserve">The Czech Republic does not meet the target of the Landfill </w:t>
      </w:r>
      <w:r w:rsidR="00754DCE">
        <w:rPr>
          <w:rFonts w:asciiTheme="minorHAnsi" w:hAnsiTheme="minorHAnsi" w:cs="Calibri"/>
          <w:color w:val="000000"/>
          <w:lang w:val="en-GB" w:eastAsia="en-US"/>
        </w:rPr>
        <w:t>Directive</w:t>
      </w:r>
      <w:r w:rsidRPr="00EA5F4B">
        <w:rPr>
          <w:rFonts w:asciiTheme="minorHAnsi" w:hAnsiTheme="minorHAnsi" w:cs="Calibri"/>
          <w:color w:val="000000"/>
          <w:lang w:val="en-GB" w:eastAsia="en-US"/>
        </w:rPr>
        <w:t xml:space="preserve"> for 2013, which is to landfill 50 % less biodegradable municipal waste than in 1995, and based on current development</w:t>
      </w:r>
      <w:r w:rsidR="00754DCE">
        <w:rPr>
          <w:rFonts w:asciiTheme="minorHAnsi" w:hAnsiTheme="minorHAnsi" w:cs="Calibri"/>
          <w:color w:val="000000"/>
          <w:lang w:val="en-GB" w:eastAsia="en-US"/>
        </w:rPr>
        <w:t>s</w:t>
      </w:r>
      <w:r w:rsidRPr="00EA5F4B">
        <w:rPr>
          <w:rFonts w:asciiTheme="minorHAnsi" w:hAnsiTheme="minorHAnsi" w:cs="Calibri"/>
          <w:color w:val="000000"/>
          <w:lang w:val="en-GB" w:eastAsia="en-US"/>
        </w:rPr>
        <w:t xml:space="preserve">, it is not sure to meet the next target laid down by this directive either, i.e. to be landfilling only 35 % of such waste in 2020. In addition, the </w:t>
      </w:r>
      <w:proofErr w:type="spellStart"/>
      <w:r w:rsidRPr="00EA5F4B">
        <w:rPr>
          <w:rFonts w:asciiTheme="minorHAnsi" w:hAnsiTheme="minorHAnsi" w:cs="Calibri"/>
          <w:color w:val="000000"/>
          <w:lang w:val="en-GB" w:eastAsia="en-US"/>
        </w:rPr>
        <w:t>MoE</w:t>
      </w:r>
      <w:proofErr w:type="spellEnd"/>
      <w:r w:rsidRPr="00EA5F4B">
        <w:rPr>
          <w:rFonts w:asciiTheme="minorHAnsi" w:hAnsiTheme="minorHAnsi" w:cs="Calibri"/>
          <w:color w:val="000000"/>
          <w:lang w:val="en-GB" w:eastAsia="en-US"/>
        </w:rPr>
        <w:t xml:space="preserve"> does not know what capacity of facilities is needed to ensure this target is met, nor the associated amount of funds required.</w:t>
      </w:r>
    </w:p>
    <w:p w:rsidR="00866021" w:rsidRPr="00EA5F4B" w:rsidRDefault="00866021" w:rsidP="00866021">
      <w:pPr>
        <w:pStyle w:val="Odstavecseseznamem"/>
        <w:numPr>
          <w:ilvl w:val="0"/>
          <w:numId w:val="5"/>
        </w:numPr>
        <w:spacing w:after="120" w:line="280" w:lineRule="atLeast"/>
        <w:ind w:left="425" w:hanging="425"/>
        <w:jc w:val="both"/>
        <w:rPr>
          <w:rFonts w:asciiTheme="minorHAnsi" w:hAnsiTheme="minorHAnsi"/>
          <w:color w:val="000000"/>
          <w:lang w:val="en-GB"/>
        </w:rPr>
      </w:pPr>
      <w:r w:rsidRPr="00EA5F4B">
        <w:rPr>
          <w:rFonts w:asciiTheme="minorHAnsi" w:hAnsiTheme="minorHAnsi"/>
          <w:color w:val="000000"/>
          <w:lang w:val="en-GB"/>
        </w:rPr>
        <w:t xml:space="preserve">In the period from September 2007 until July 2012, the </w:t>
      </w:r>
      <w:proofErr w:type="spellStart"/>
      <w:r w:rsidRPr="00EA5F4B">
        <w:rPr>
          <w:rFonts w:asciiTheme="minorHAnsi" w:hAnsiTheme="minorHAnsi"/>
          <w:color w:val="000000"/>
          <w:lang w:val="en-GB"/>
        </w:rPr>
        <w:t>MoE</w:t>
      </w:r>
      <w:proofErr w:type="spellEnd"/>
      <w:r w:rsidRPr="00EA5F4B">
        <w:rPr>
          <w:rFonts w:asciiTheme="minorHAnsi" w:hAnsiTheme="minorHAnsi"/>
          <w:color w:val="000000"/>
          <w:lang w:val="en-GB"/>
        </w:rPr>
        <w:t xml:space="preserve"> allowed projects to be implemented under OPE 2007–2013 on land in lien to third parties. This approach could have placed such projects at risk of not meeting their purpose and failing to comply with the condition of sustainability. Starting in August 2012, the </w:t>
      </w:r>
      <w:proofErr w:type="spellStart"/>
      <w:r w:rsidRPr="00EA5F4B">
        <w:rPr>
          <w:rFonts w:asciiTheme="minorHAnsi" w:hAnsiTheme="minorHAnsi"/>
          <w:color w:val="000000"/>
          <w:lang w:val="en-GB"/>
        </w:rPr>
        <w:t>MoE</w:t>
      </w:r>
      <w:proofErr w:type="spellEnd"/>
      <w:r w:rsidRPr="00EA5F4B">
        <w:rPr>
          <w:rFonts w:asciiTheme="minorHAnsi" w:hAnsiTheme="minorHAnsi"/>
          <w:color w:val="000000"/>
          <w:lang w:val="en-GB"/>
        </w:rPr>
        <w:t xml:space="preserve"> changed the rules to prohibit projects from being implemented on land in lien to third parties. Over the </w:t>
      </w:r>
      <w:r w:rsidRPr="00EA5F4B">
        <w:rPr>
          <w:rFonts w:asciiTheme="minorHAnsi" w:hAnsiTheme="minorHAnsi"/>
          <w:color w:val="000000"/>
          <w:lang w:val="en-GB"/>
        </w:rPr>
        <w:lastRenderedPageBreak/>
        <w:t>course of OPE 2007–2013</w:t>
      </w:r>
      <w:r w:rsidR="00C5282B">
        <w:rPr>
          <w:rFonts w:asciiTheme="minorHAnsi" w:hAnsiTheme="minorHAnsi"/>
          <w:color w:val="000000"/>
          <w:lang w:val="en-GB"/>
        </w:rPr>
        <w:t>,</w:t>
      </w:r>
      <w:r w:rsidRPr="00EA5F4B">
        <w:rPr>
          <w:rFonts w:asciiTheme="minorHAnsi" w:hAnsiTheme="minorHAnsi"/>
          <w:color w:val="000000"/>
          <w:lang w:val="en-GB"/>
        </w:rPr>
        <w:t xml:space="preserve"> the </w:t>
      </w:r>
      <w:proofErr w:type="spellStart"/>
      <w:r w:rsidRPr="00EA5F4B">
        <w:rPr>
          <w:rFonts w:asciiTheme="minorHAnsi" w:hAnsiTheme="minorHAnsi"/>
          <w:color w:val="000000"/>
          <w:lang w:val="en-GB"/>
        </w:rPr>
        <w:t>MoE</w:t>
      </w:r>
      <w:proofErr w:type="spellEnd"/>
      <w:r w:rsidRPr="00EA5F4B">
        <w:rPr>
          <w:rFonts w:asciiTheme="minorHAnsi" w:hAnsiTheme="minorHAnsi"/>
          <w:color w:val="000000"/>
          <w:lang w:val="en-GB"/>
        </w:rPr>
        <w:t xml:space="preserve"> thus applied </w:t>
      </w:r>
      <w:r w:rsidR="00754DCE">
        <w:rPr>
          <w:rFonts w:asciiTheme="minorHAnsi" w:hAnsiTheme="minorHAnsi"/>
          <w:color w:val="000000"/>
          <w:lang w:val="en-GB"/>
        </w:rPr>
        <w:t>an inconsistent</w:t>
      </w:r>
      <w:r w:rsidRPr="00EA5F4B">
        <w:rPr>
          <w:rFonts w:asciiTheme="minorHAnsi" w:hAnsiTheme="minorHAnsi"/>
          <w:color w:val="000000"/>
          <w:lang w:val="en-GB"/>
        </w:rPr>
        <w:t xml:space="preserve"> approach to </w:t>
      </w:r>
      <w:r w:rsidR="00C5282B">
        <w:rPr>
          <w:rFonts w:asciiTheme="minorHAnsi" w:hAnsiTheme="minorHAnsi"/>
          <w:color w:val="000000"/>
          <w:lang w:val="en-GB"/>
        </w:rPr>
        <w:t>support</w:t>
      </w:r>
      <w:r w:rsidR="00C5282B" w:rsidRPr="00C5282B">
        <w:rPr>
          <w:rFonts w:asciiTheme="minorHAnsi" w:hAnsiTheme="minorHAnsi"/>
          <w:color w:val="000000"/>
          <w:lang w:val="en-GB"/>
        </w:rPr>
        <w:t xml:space="preserve"> </w:t>
      </w:r>
      <w:r w:rsidR="00C5282B" w:rsidRPr="00EA5F4B">
        <w:rPr>
          <w:rFonts w:asciiTheme="minorHAnsi" w:hAnsiTheme="minorHAnsi"/>
          <w:color w:val="000000"/>
          <w:lang w:val="en-GB"/>
        </w:rPr>
        <w:t>beneficiaries</w:t>
      </w:r>
      <w:r w:rsidRPr="00EA5F4B">
        <w:rPr>
          <w:rFonts w:asciiTheme="minorHAnsi" w:hAnsiTheme="minorHAnsi"/>
          <w:color w:val="000000"/>
          <w:lang w:val="en-GB"/>
        </w:rPr>
        <w:t>.</w:t>
      </w:r>
    </w:p>
    <w:p w:rsidR="002242F4" w:rsidRPr="00EA5F4B" w:rsidRDefault="00364ABA" w:rsidP="00364ABA">
      <w:pPr>
        <w:pStyle w:val="Odstavecseseznamem"/>
        <w:numPr>
          <w:ilvl w:val="0"/>
          <w:numId w:val="5"/>
        </w:numPr>
        <w:spacing w:after="120" w:line="280" w:lineRule="atLeast"/>
        <w:ind w:left="425" w:hanging="425"/>
        <w:jc w:val="both"/>
        <w:rPr>
          <w:rFonts w:asciiTheme="minorHAnsi" w:hAnsiTheme="minorHAnsi"/>
          <w:color w:val="000000"/>
          <w:lang w:val="en-GB"/>
        </w:rPr>
      </w:pPr>
      <w:r w:rsidRPr="00EA5F4B">
        <w:rPr>
          <w:rFonts w:asciiTheme="minorHAnsi" w:hAnsiTheme="minorHAnsi"/>
          <w:color w:val="000000"/>
          <w:lang w:val="en-GB"/>
        </w:rPr>
        <w:t xml:space="preserve">The </w:t>
      </w:r>
      <w:proofErr w:type="spellStart"/>
      <w:r w:rsidRPr="00EA5F4B">
        <w:rPr>
          <w:rFonts w:asciiTheme="minorHAnsi" w:hAnsiTheme="minorHAnsi"/>
          <w:color w:val="000000"/>
          <w:lang w:val="en-GB"/>
        </w:rPr>
        <w:t>MoE</w:t>
      </w:r>
      <w:proofErr w:type="spellEnd"/>
      <w:r w:rsidRPr="00EA5F4B">
        <w:rPr>
          <w:rFonts w:asciiTheme="minorHAnsi" w:hAnsiTheme="minorHAnsi"/>
          <w:color w:val="000000"/>
          <w:lang w:val="en-GB"/>
        </w:rPr>
        <w:t xml:space="preserve"> has not yet figured out the issue of keeping track of statistical data on waste management, with the </w:t>
      </w:r>
      <w:proofErr w:type="spellStart"/>
      <w:r w:rsidRPr="00EA5F4B">
        <w:rPr>
          <w:rFonts w:asciiTheme="minorHAnsi" w:hAnsiTheme="minorHAnsi"/>
          <w:color w:val="000000"/>
          <w:lang w:val="en-GB"/>
        </w:rPr>
        <w:t>MoE</w:t>
      </w:r>
      <w:proofErr w:type="spellEnd"/>
      <w:r w:rsidRPr="00EA5F4B">
        <w:rPr>
          <w:rFonts w:asciiTheme="minorHAnsi" w:hAnsiTheme="minorHAnsi"/>
          <w:color w:val="000000"/>
          <w:lang w:val="en-GB"/>
        </w:rPr>
        <w:t xml:space="preserve"> reporting values for waste production in the Czech Republic using a different data source and different methodology than </w:t>
      </w:r>
      <w:r w:rsidR="00267B36">
        <w:rPr>
          <w:rFonts w:asciiTheme="minorHAnsi" w:hAnsiTheme="minorHAnsi"/>
          <w:color w:val="000000"/>
          <w:lang w:val="en-GB"/>
        </w:rPr>
        <w:t xml:space="preserve">the </w:t>
      </w:r>
      <w:r w:rsidRPr="00EA5F4B">
        <w:rPr>
          <w:rFonts w:asciiTheme="minorHAnsi" w:hAnsiTheme="minorHAnsi"/>
          <w:color w:val="000000"/>
          <w:lang w:val="en-GB"/>
        </w:rPr>
        <w:t xml:space="preserve">CSO. This fact is one of the reasons the European Commission refused to fund the construction of new major facilities for energy recovery </w:t>
      </w:r>
      <w:r w:rsidR="00A666B0">
        <w:rPr>
          <w:rFonts w:asciiTheme="minorHAnsi" w:hAnsiTheme="minorHAnsi"/>
          <w:color w:val="000000"/>
          <w:lang w:val="en-GB"/>
        </w:rPr>
        <w:t xml:space="preserve">from waste </w:t>
      </w:r>
      <w:r w:rsidRPr="00EA5F4B">
        <w:rPr>
          <w:rFonts w:asciiTheme="minorHAnsi" w:hAnsiTheme="minorHAnsi"/>
          <w:color w:val="000000"/>
          <w:lang w:val="en-GB"/>
        </w:rPr>
        <w:t>in the Czech Republic.</w:t>
      </w:r>
    </w:p>
    <w:p w:rsidR="00452B25" w:rsidRPr="00EA5F4B" w:rsidRDefault="00364ABA" w:rsidP="00701877">
      <w:pPr>
        <w:pStyle w:val="Odstavecseseznamem"/>
        <w:numPr>
          <w:ilvl w:val="0"/>
          <w:numId w:val="5"/>
        </w:numPr>
        <w:spacing w:after="120" w:line="280" w:lineRule="atLeast"/>
        <w:ind w:left="426" w:hanging="426"/>
        <w:contextualSpacing/>
        <w:jc w:val="both"/>
        <w:rPr>
          <w:rFonts w:asciiTheme="minorHAnsi" w:hAnsiTheme="minorHAnsi"/>
          <w:color w:val="000000"/>
          <w:lang w:val="en-GB"/>
        </w:rPr>
      </w:pPr>
      <w:r w:rsidRPr="00EA5F4B">
        <w:rPr>
          <w:rFonts w:asciiTheme="minorHAnsi" w:hAnsiTheme="minorHAnsi"/>
          <w:color w:val="000000"/>
          <w:lang w:val="en-GB"/>
        </w:rPr>
        <w:t xml:space="preserve">At the SEF, considerable delays were found in assessing the final project evaluations. For 14 checked projects </w:t>
      </w:r>
      <w:r w:rsidR="00461A47">
        <w:rPr>
          <w:rFonts w:asciiTheme="minorHAnsi" w:hAnsiTheme="minorHAnsi"/>
          <w:color w:val="000000"/>
          <w:lang w:val="en-GB"/>
        </w:rPr>
        <w:t>supported</w:t>
      </w:r>
      <w:r w:rsidRPr="00EA5F4B">
        <w:rPr>
          <w:rFonts w:asciiTheme="minorHAnsi" w:hAnsiTheme="minorHAnsi"/>
          <w:color w:val="000000"/>
          <w:lang w:val="en-GB"/>
        </w:rPr>
        <w:t xml:space="preserve"> </w:t>
      </w:r>
      <w:r w:rsidR="00461A47">
        <w:rPr>
          <w:rFonts w:asciiTheme="minorHAnsi" w:hAnsiTheme="minorHAnsi"/>
          <w:color w:val="000000"/>
          <w:lang w:val="en-GB"/>
        </w:rPr>
        <w:t>from</w:t>
      </w:r>
      <w:r w:rsidRPr="00EA5F4B">
        <w:rPr>
          <w:rFonts w:asciiTheme="minorHAnsi" w:hAnsiTheme="minorHAnsi"/>
          <w:color w:val="000000"/>
          <w:lang w:val="en-GB"/>
        </w:rPr>
        <w:t xml:space="preserve"> OPE 2007–2013, </w:t>
      </w:r>
      <w:r w:rsidR="00267B36">
        <w:rPr>
          <w:rFonts w:asciiTheme="minorHAnsi" w:hAnsiTheme="minorHAnsi"/>
          <w:color w:val="000000"/>
          <w:lang w:val="en-GB"/>
        </w:rPr>
        <w:t xml:space="preserve">the </w:t>
      </w:r>
      <w:r w:rsidRPr="00EA5F4B">
        <w:rPr>
          <w:rFonts w:asciiTheme="minorHAnsi" w:hAnsiTheme="minorHAnsi"/>
          <w:color w:val="000000"/>
          <w:lang w:val="en-GB"/>
        </w:rPr>
        <w:t xml:space="preserve">SEF has not yet completed </w:t>
      </w:r>
      <w:r w:rsidR="00701877" w:rsidRPr="00EA5F4B">
        <w:rPr>
          <w:rFonts w:asciiTheme="minorHAnsi" w:hAnsiTheme="minorHAnsi"/>
          <w:color w:val="000000"/>
          <w:lang w:val="en-GB"/>
        </w:rPr>
        <w:t>the final evaluations, despite the fact that for half of them the beneficiaries had submitted all the documents for their approval more than five years ago.</w:t>
      </w:r>
    </w:p>
    <w:p w:rsidR="00F57F46" w:rsidRPr="00EA5F4B" w:rsidRDefault="00F57F46" w:rsidP="00AD2FBD">
      <w:pPr>
        <w:pStyle w:val="Odstavecseseznamem"/>
        <w:spacing w:before="120" w:line="280" w:lineRule="atLeast"/>
        <w:ind w:left="0"/>
        <w:jc w:val="both"/>
        <w:rPr>
          <w:rFonts w:ascii="Calibri" w:hAnsi="Calibri" w:cs="Calibri"/>
          <w:b/>
          <w:lang w:val="en-GB"/>
        </w:rPr>
      </w:pPr>
    </w:p>
    <w:p w:rsidR="00994F5E" w:rsidRPr="00EA5F4B" w:rsidRDefault="00701877" w:rsidP="00E41664">
      <w:pPr>
        <w:pStyle w:val="Odstavecseseznamem"/>
        <w:spacing w:line="280" w:lineRule="atLeast"/>
        <w:ind w:left="0"/>
        <w:jc w:val="both"/>
        <w:rPr>
          <w:rFonts w:ascii="Calibri" w:hAnsi="Calibri" w:cs="Calibri"/>
          <w:b/>
          <w:lang w:val="en-GB"/>
        </w:rPr>
      </w:pPr>
      <w:r w:rsidRPr="00EA5F4B">
        <w:rPr>
          <w:rFonts w:ascii="Calibri" w:hAnsi="Calibri" w:cs="Calibri"/>
          <w:b/>
          <w:lang w:val="en-GB"/>
        </w:rPr>
        <w:t xml:space="preserve">Based on the findings, </w:t>
      </w:r>
      <w:r w:rsidR="007C2A08">
        <w:rPr>
          <w:rFonts w:ascii="Calibri" w:hAnsi="Calibri" w:cs="Calibri"/>
          <w:b/>
          <w:lang w:val="en-GB"/>
        </w:rPr>
        <w:t xml:space="preserve">the </w:t>
      </w:r>
      <w:r w:rsidRPr="00EA5F4B">
        <w:rPr>
          <w:rFonts w:ascii="Calibri" w:hAnsi="Calibri" w:cs="Calibri"/>
          <w:b/>
          <w:lang w:val="en-GB"/>
        </w:rPr>
        <w:t>SAO identified the following risks</w:t>
      </w:r>
      <w:r w:rsidR="00A40DDA" w:rsidRPr="00EA5F4B">
        <w:rPr>
          <w:rFonts w:ascii="Calibri" w:hAnsi="Calibri" w:cs="Calibri"/>
          <w:b/>
          <w:lang w:val="en-GB"/>
        </w:rPr>
        <w:t>:</w:t>
      </w:r>
    </w:p>
    <w:p w:rsidR="00994F5E" w:rsidRPr="00EA5F4B" w:rsidRDefault="00994F5E" w:rsidP="00E41664">
      <w:pPr>
        <w:pStyle w:val="Odstavecseseznamem"/>
        <w:spacing w:line="280" w:lineRule="atLeast"/>
        <w:ind w:left="0"/>
        <w:jc w:val="both"/>
        <w:rPr>
          <w:rFonts w:ascii="Calibri" w:hAnsi="Calibri" w:cs="Calibri"/>
          <w:lang w:val="en-GB"/>
        </w:rPr>
      </w:pPr>
    </w:p>
    <w:p w:rsidR="00B42465" w:rsidRPr="00EA5F4B" w:rsidRDefault="00701877" w:rsidP="00701877">
      <w:pPr>
        <w:pStyle w:val="Odstavecseseznamem"/>
        <w:numPr>
          <w:ilvl w:val="0"/>
          <w:numId w:val="33"/>
        </w:numPr>
        <w:spacing w:line="280" w:lineRule="atLeast"/>
        <w:jc w:val="both"/>
        <w:rPr>
          <w:rFonts w:asciiTheme="minorHAnsi" w:hAnsiTheme="minorHAnsi"/>
          <w:color w:val="000000"/>
          <w:lang w:val="en-GB"/>
        </w:rPr>
      </w:pPr>
      <w:r w:rsidRPr="00EA5F4B">
        <w:rPr>
          <w:rFonts w:asciiTheme="minorHAnsi" w:hAnsiTheme="minorHAnsi"/>
          <w:color w:val="000000"/>
          <w:lang w:val="en-GB"/>
        </w:rPr>
        <w:t>failure to meet the target laid down by the Landfill Directive for 2020 due to unfavourable development of the amount of biodegradable municipal waste deposited in landfills in the years 2014 and 2015 (see Graph 1);</w:t>
      </w:r>
    </w:p>
    <w:p w:rsidR="00A40DDA" w:rsidRPr="00EA5F4B" w:rsidRDefault="00701877" w:rsidP="00701877">
      <w:pPr>
        <w:pStyle w:val="Odstavecseseznamem"/>
        <w:numPr>
          <w:ilvl w:val="0"/>
          <w:numId w:val="33"/>
        </w:numPr>
        <w:spacing w:line="280" w:lineRule="atLeast"/>
        <w:jc w:val="both"/>
        <w:rPr>
          <w:rFonts w:asciiTheme="minorHAnsi" w:hAnsiTheme="minorHAnsi"/>
          <w:color w:val="000000"/>
          <w:lang w:val="en-GB"/>
        </w:rPr>
      </w:pPr>
      <w:r w:rsidRPr="00EA5F4B">
        <w:rPr>
          <w:rFonts w:asciiTheme="minorHAnsi" w:hAnsiTheme="minorHAnsi"/>
          <w:color w:val="000000"/>
          <w:lang w:val="en-GB"/>
        </w:rPr>
        <w:t xml:space="preserve">evaluation of the benefits of </w:t>
      </w:r>
      <w:r w:rsidR="007D1A11">
        <w:rPr>
          <w:rFonts w:asciiTheme="minorHAnsi" w:hAnsiTheme="minorHAnsi"/>
          <w:color w:val="000000"/>
          <w:lang w:val="en-GB"/>
        </w:rPr>
        <w:t>support</w:t>
      </w:r>
      <w:r w:rsidRPr="00EA5F4B">
        <w:rPr>
          <w:rFonts w:asciiTheme="minorHAnsi" w:hAnsiTheme="minorHAnsi"/>
          <w:color w:val="000000"/>
          <w:lang w:val="en-GB"/>
        </w:rPr>
        <w:t xml:space="preserve"> provided under </w:t>
      </w:r>
      <w:r w:rsidR="00A7098C">
        <w:rPr>
          <w:rFonts w:asciiTheme="minorHAnsi" w:hAnsiTheme="minorHAnsi"/>
          <w:color w:val="000000"/>
          <w:lang w:val="en-GB"/>
        </w:rPr>
        <w:t xml:space="preserve">the </w:t>
      </w:r>
      <w:r w:rsidRPr="00EA5F4B">
        <w:rPr>
          <w:rFonts w:asciiTheme="minorHAnsi" w:hAnsiTheme="minorHAnsi"/>
          <w:color w:val="000000"/>
          <w:lang w:val="en-GB"/>
        </w:rPr>
        <w:t xml:space="preserve">Area of </w:t>
      </w:r>
      <w:r w:rsidR="007C2A08">
        <w:rPr>
          <w:rFonts w:asciiTheme="minorHAnsi" w:hAnsiTheme="minorHAnsi"/>
          <w:color w:val="000000"/>
          <w:lang w:val="en-GB"/>
        </w:rPr>
        <w:t>Intervention</w:t>
      </w:r>
      <w:r w:rsidRPr="00EA5F4B">
        <w:rPr>
          <w:rFonts w:asciiTheme="minorHAnsi" w:hAnsiTheme="minorHAnsi"/>
          <w:color w:val="000000"/>
          <w:lang w:val="en-GB"/>
        </w:rPr>
        <w:t xml:space="preserve"> 4.1 of OPE 2007–2013 for the state of waste management in the Czech Republic will be difficult due to</w:t>
      </w:r>
      <w:r w:rsidR="007D1A11">
        <w:rPr>
          <w:rFonts w:asciiTheme="minorHAnsi" w:hAnsiTheme="minorHAnsi"/>
          <w:color w:val="000000"/>
          <w:lang w:val="en-GB"/>
        </w:rPr>
        <w:t xml:space="preserve"> </w:t>
      </w:r>
      <w:r w:rsidRPr="00EA5F4B">
        <w:rPr>
          <w:rFonts w:asciiTheme="minorHAnsi" w:hAnsiTheme="minorHAnsi"/>
          <w:color w:val="000000"/>
          <w:lang w:val="en-GB"/>
        </w:rPr>
        <w:t>the fact that the programme indicators and several projects indicators have been set poorly</w:t>
      </w:r>
      <w:r w:rsidR="00203F8E" w:rsidRPr="00EA5F4B">
        <w:rPr>
          <w:rFonts w:asciiTheme="minorHAnsi" w:hAnsiTheme="minorHAnsi"/>
          <w:color w:val="000000"/>
          <w:lang w:val="en-GB"/>
        </w:rPr>
        <w:t>;</w:t>
      </w:r>
    </w:p>
    <w:p w:rsidR="00935169" w:rsidRPr="00EA5F4B" w:rsidRDefault="00701877" w:rsidP="00701877">
      <w:pPr>
        <w:pStyle w:val="Odstavecseseznamem"/>
        <w:numPr>
          <w:ilvl w:val="0"/>
          <w:numId w:val="33"/>
        </w:numPr>
        <w:spacing w:line="280" w:lineRule="atLeast"/>
        <w:jc w:val="both"/>
        <w:rPr>
          <w:rFonts w:asciiTheme="minorHAnsi" w:hAnsiTheme="minorHAnsi"/>
          <w:color w:val="000000"/>
          <w:lang w:val="en-GB"/>
        </w:rPr>
      </w:pPr>
      <w:r w:rsidRPr="00EA5F4B">
        <w:rPr>
          <w:rFonts w:asciiTheme="minorHAnsi" w:hAnsiTheme="minorHAnsi"/>
          <w:color w:val="000000"/>
          <w:lang w:val="en-GB"/>
        </w:rPr>
        <w:t xml:space="preserve">the quantifiable and measurable indicators under </w:t>
      </w:r>
      <w:r w:rsidR="007C2A08">
        <w:rPr>
          <w:rFonts w:asciiTheme="minorHAnsi" w:hAnsiTheme="minorHAnsi"/>
          <w:color w:val="000000"/>
          <w:lang w:val="en-GB"/>
        </w:rPr>
        <w:t xml:space="preserve">the </w:t>
      </w:r>
      <w:r w:rsidRPr="00EA5F4B">
        <w:rPr>
          <w:rFonts w:asciiTheme="minorHAnsi" w:hAnsiTheme="minorHAnsi"/>
          <w:color w:val="000000"/>
          <w:lang w:val="en-GB"/>
        </w:rPr>
        <w:t xml:space="preserve">Investment Priority 1 of </w:t>
      </w:r>
      <w:r w:rsidR="007C2A08">
        <w:rPr>
          <w:rFonts w:asciiTheme="minorHAnsi" w:hAnsiTheme="minorHAnsi"/>
          <w:color w:val="000000"/>
          <w:lang w:val="en-GB"/>
        </w:rPr>
        <w:t xml:space="preserve">the </w:t>
      </w:r>
      <w:r w:rsidRPr="00EA5F4B">
        <w:rPr>
          <w:rFonts w:asciiTheme="minorHAnsi" w:hAnsiTheme="minorHAnsi"/>
          <w:color w:val="000000"/>
          <w:lang w:val="en-GB"/>
        </w:rPr>
        <w:t>Priority Axis 3 of OPE 2014–2020 do not allow continuous evaluation of the benefits of supported projects on the state of waste management in the Czech Republic</w:t>
      </w:r>
      <w:r w:rsidR="00203F8E" w:rsidRPr="00EA5F4B">
        <w:rPr>
          <w:rFonts w:asciiTheme="minorHAnsi" w:hAnsiTheme="minorHAnsi"/>
          <w:color w:val="000000"/>
          <w:lang w:val="en-GB"/>
        </w:rPr>
        <w:t>;</w:t>
      </w:r>
    </w:p>
    <w:p w:rsidR="00B044B2" w:rsidRPr="00EA5F4B" w:rsidRDefault="00701877" w:rsidP="00701877">
      <w:pPr>
        <w:pStyle w:val="Odstavecseseznamem"/>
        <w:numPr>
          <w:ilvl w:val="0"/>
          <w:numId w:val="33"/>
        </w:numPr>
        <w:spacing w:line="280" w:lineRule="atLeast"/>
        <w:jc w:val="both"/>
        <w:rPr>
          <w:rFonts w:asciiTheme="minorHAnsi" w:hAnsiTheme="minorHAnsi"/>
          <w:color w:val="000000"/>
          <w:lang w:val="en-GB"/>
        </w:rPr>
      </w:pPr>
      <w:r w:rsidRPr="00EA5F4B">
        <w:rPr>
          <w:rFonts w:asciiTheme="minorHAnsi" w:hAnsiTheme="minorHAnsi"/>
          <w:color w:val="000000"/>
          <w:lang w:val="en-GB"/>
        </w:rPr>
        <w:t xml:space="preserve">as a result of the low level of funds being drawn under </w:t>
      </w:r>
      <w:r w:rsidR="007C2A08">
        <w:rPr>
          <w:rFonts w:asciiTheme="minorHAnsi" w:hAnsiTheme="minorHAnsi"/>
          <w:color w:val="000000"/>
          <w:lang w:val="en-GB"/>
        </w:rPr>
        <w:t xml:space="preserve">the </w:t>
      </w:r>
      <w:r w:rsidRPr="00EA5F4B">
        <w:rPr>
          <w:rFonts w:asciiTheme="minorHAnsi" w:hAnsiTheme="minorHAnsi"/>
          <w:color w:val="000000"/>
          <w:lang w:val="en-GB"/>
        </w:rPr>
        <w:t xml:space="preserve">Investment Priority 1 of </w:t>
      </w:r>
      <w:r w:rsidR="007C2A08">
        <w:rPr>
          <w:rFonts w:asciiTheme="minorHAnsi" w:hAnsiTheme="minorHAnsi"/>
          <w:color w:val="000000"/>
          <w:lang w:val="en-GB"/>
        </w:rPr>
        <w:t xml:space="preserve">the </w:t>
      </w:r>
      <w:r w:rsidRPr="00EA5F4B">
        <w:rPr>
          <w:rFonts w:asciiTheme="minorHAnsi" w:hAnsiTheme="minorHAnsi"/>
          <w:color w:val="000000"/>
          <w:lang w:val="en-GB"/>
        </w:rPr>
        <w:t>Priority Axis 3 of OPE 2014–2020, subsequent attempts to accelerate the drawing of funds could lead to the selection and implementation of projects that do not meet the requirements for economy, effectiveness</w:t>
      </w:r>
      <w:r w:rsidR="005D1DB0">
        <w:rPr>
          <w:rFonts w:asciiTheme="minorHAnsi" w:hAnsiTheme="minorHAnsi"/>
          <w:color w:val="000000"/>
          <w:lang w:val="en-GB"/>
        </w:rPr>
        <w:t>,</w:t>
      </w:r>
      <w:r w:rsidRPr="00EA5F4B">
        <w:rPr>
          <w:rFonts w:asciiTheme="minorHAnsi" w:hAnsiTheme="minorHAnsi"/>
          <w:color w:val="000000"/>
          <w:lang w:val="en-GB"/>
        </w:rPr>
        <w:t xml:space="preserve"> and efficiency.</w:t>
      </w:r>
    </w:p>
    <w:p w:rsidR="00A40DDA" w:rsidRPr="00EA5F4B" w:rsidRDefault="00A40DDA" w:rsidP="00E41664">
      <w:pPr>
        <w:spacing w:line="280" w:lineRule="atLeast"/>
        <w:jc w:val="both"/>
        <w:rPr>
          <w:rFonts w:asciiTheme="minorHAnsi" w:hAnsiTheme="minorHAnsi"/>
          <w:color w:val="000000"/>
          <w:highlight w:val="yellow"/>
          <w:lang w:val="en-GB"/>
        </w:rPr>
      </w:pPr>
    </w:p>
    <w:p w:rsidR="00EF536B" w:rsidRPr="00EA5F4B" w:rsidRDefault="00EF536B" w:rsidP="00E41664">
      <w:pPr>
        <w:spacing w:line="280" w:lineRule="atLeast"/>
        <w:jc w:val="both"/>
        <w:rPr>
          <w:rFonts w:asciiTheme="minorHAnsi" w:hAnsiTheme="minorHAnsi"/>
          <w:color w:val="000000"/>
          <w:highlight w:val="yellow"/>
          <w:lang w:val="en-GB"/>
        </w:rPr>
      </w:pPr>
    </w:p>
    <w:p w:rsidR="005C015A" w:rsidRPr="00EA5F4B" w:rsidRDefault="005C015A" w:rsidP="00E41664">
      <w:pPr>
        <w:spacing w:line="280" w:lineRule="atLeast"/>
        <w:jc w:val="center"/>
        <w:rPr>
          <w:rFonts w:asciiTheme="minorHAnsi" w:hAnsiTheme="minorHAnsi" w:cs="Calibri"/>
          <w:b/>
          <w:color w:val="000000"/>
          <w:sz w:val="28"/>
          <w:szCs w:val="26"/>
          <w:lang w:val="en-GB" w:eastAsia="en-US"/>
        </w:rPr>
      </w:pPr>
      <w:r w:rsidRPr="00EA5F4B">
        <w:rPr>
          <w:rFonts w:asciiTheme="minorHAnsi" w:hAnsiTheme="minorHAnsi" w:cs="Calibri"/>
          <w:b/>
          <w:color w:val="000000"/>
          <w:sz w:val="28"/>
          <w:szCs w:val="26"/>
          <w:lang w:val="en-GB" w:eastAsia="en-US"/>
        </w:rPr>
        <w:t>I</w:t>
      </w:r>
      <w:r w:rsidR="00D23BBE" w:rsidRPr="00EA5F4B">
        <w:rPr>
          <w:rFonts w:asciiTheme="minorHAnsi" w:hAnsiTheme="minorHAnsi" w:cs="Calibri"/>
          <w:b/>
          <w:color w:val="000000"/>
          <w:sz w:val="28"/>
          <w:szCs w:val="26"/>
          <w:lang w:val="en-GB" w:eastAsia="en-US"/>
        </w:rPr>
        <w:t>V</w:t>
      </w:r>
      <w:r w:rsidRPr="00EA5F4B">
        <w:rPr>
          <w:rFonts w:asciiTheme="minorHAnsi" w:hAnsiTheme="minorHAnsi" w:cs="Calibri"/>
          <w:b/>
          <w:color w:val="000000"/>
          <w:sz w:val="28"/>
          <w:szCs w:val="26"/>
          <w:lang w:val="en-GB" w:eastAsia="en-US"/>
        </w:rPr>
        <w:t xml:space="preserve">. </w:t>
      </w:r>
      <w:r w:rsidR="00701877" w:rsidRPr="00EA5F4B">
        <w:rPr>
          <w:rFonts w:asciiTheme="minorHAnsi" w:hAnsiTheme="minorHAnsi" w:cs="Calibri"/>
          <w:b/>
          <w:color w:val="000000"/>
          <w:sz w:val="28"/>
          <w:szCs w:val="26"/>
          <w:lang w:val="en-GB" w:eastAsia="en-US"/>
        </w:rPr>
        <w:t>Details on findings</w:t>
      </w:r>
    </w:p>
    <w:p w:rsidR="00297A12" w:rsidRPr="00EA5F4B" w:rsidRDefault="00297A12" w:rsidP="00E41664">
      <w:pPr>
        <w:spacing w:line="280" w:lineRule="atLeast"/>
        <w:ind w:right="70"/>
        <w:contextualSpacing/>
        <w:jc w:val="both"/>
        <w:rPr>
          <w:rFonts w:asciiTheme="minorHAnsi" w:hAnsiTheme="minorHAnsi" w:cs="Arial"/>
          <w:lang w:val="en-GB"/>
        </w:rPr>
      </w:pPr>
    </w:p>
    <w:p w:rsidR="00452B25" w:rsidRPr="00EA5F4B" w:rsidRDefault="008B0E4A" w:rsidP="00452B25">
      <w:pPr>
        <w:pStyle w:val="Odstavecseseznamem"/>
        <w:numPr>
          <w:ilvl w:val="0"/>
          <w:numId w:val="36"/>
        </w:numPr>
        <w:spacing w:line="280" w:lineRule="atLeast"/>
        <w:jc w:val="both"/>
        <w:rPr>
          <w:rFonts w:asciiTheme="minorHAnsi" w:hAnsiTheme="minorHAnsi" w:cs="Arial"/>
          <w:b/>
          <w:lang w:val="en-GB"/>
        </w:rPr>
      </w:pPr>
      <w:r w:rsidRPr="00EA5F4B">
        <w:rPr>
          <w:rFonts w:asciiTheme="minorHAnsi" w:hAnsiTheme="minorHAnsi" w:cs="Arial"/>
          <w:b/>
          <w:lang w:val="en-GB"/>
        </w:rPr>
        <w:t>I</w:t>
      </w:r>
      <w:r w:rsidR="007D1A11">
        <w:rPr>
          <w:rFonts w:asciiTheme="minorHAnsi" w:hAnsiTheme="minorHAnsi" w:cs="Arial"/>
          <w:b/>
          <w:lang w:val="en-GB"/>
        </w:rPr>
        <w:t>nappropriately</w:t>
      </w:r>
      <w:r w:rsidRPr="00EA5F4B">
        <w:rPr>
          <w:rFonts w:asciiTheme="minorHAnsi" w:hAnsiTheme="minorHAnsi" w:cs="Arial"/>
          <w:b/>
          <w:lang w:val="en-GB"/>
        </w:rPr>
        <w:t xml:space="preserve"> configured set of monitoring indicators</w:t>
      </w:r>
    </w:p>
    <w:p w:rsidR="00452B25" w:rsidRPr="00EA5F4B" w:rsidRDefault="00452B25" w:rsidP="00452B25">
      <w:pPr>
        <w:spacing w:line="280" w:lineRule="atLeast"/>
        <w:ind w:right="70"/>
        <w:contextualSpacing/>
        <w:jc w:val="both"/>
        <w:rPr>
          <w:rFonts w:asciiTheme="minorHAnsi" w:hAnsiTheme="minorHAnsi"/>
          <w:highlight w:val="yellow"/>
          <w:lang w:val="en-GB"/>
        </w:rPr>
      </w:pPr>
    </w:p>
    <w:p w:rsidR="00452B25" w:rsidRPr="00EA5F4B" w:rsidRDefault="008B0E4A" w:rsidP="00293149">
      <w:pPr>
        <w:spacing w:line="280" w:lineRule="atLeast"/>
        <w:contextualSpacing/>
        <w:jc w:val="both"/>
        <w:rPr>
          <w:rFonts w:asciiTheme="minorHAnsi" w:hAnsiTheme="minorHAnsi"/>
          <w:lang w:val="en-GB"/>
        </w:rPr>
      </w:pPr>
      <w:r w:rsidRPr="00EA5F4B">
        <w:rPr>
          <w:rFonts w:asciiTheme="minorHAnsi" w:hAnsiTheme="minorHAnsi"/>
          <w:lang w:val="en-GB"/>
        </w:rPr>
        <w:t xml:space="preserve">For the </w:t>
      </w:r>
      <w:r w:rsidR="001851F6" w:rsidRPr="00EA5F4B">
        <w:rPr>
          <w:rFonts w:asciiTheme="minorHAnsi" w:hAnsiTheme="minorHAnsi"/>
          <w:lang w:val="en-GB"/>
        </w:rPr>
        <w:t xml:space="preserve">Area of </w:t>
      </w:r>
      <w:r w:rsidR="001851F6">
        <w:rPr>
          <w:rFonts w:asciiTheme="minorHAnsi" w:hAnsiTheme="minorHAnsi"/>
          <w:lang w:val="en-GB"/>
        </w:rPr>
        <w:t>Intervention</w:t>
      </w:r>
      <w:r w:rsidR="001851F6" w:rsidRPr="00EA5F4B">
        <w:rPr>
          <w:rFonts w:asciiTheme="minorHAnsi" w:hAnsiTheme="minorHAnsi"/>
          <w:lang w:val="en-GB"/>
        </w:rPr>
        <w:t xml:space="preserve"> 4.1</w:t>
      </w:r>
      <w:r w:rsidR="001851F6">
        <w:rPr>
          <w:rFonts w:asciiTheme="minorHAnsi" w:hAnsiTheme="minorHAnsi"/>
          <w:lang w:val="en-GB"/>
        </w:rPr>
        <w:t xml:space="preserve"> of the</w:t>
      </w:r>
      <w:r w:rsidR="001851F6" w:rsidRPr="00EA5F4B">
        <w:rPr>
          <w:rFonts w:asciiTheme="minorHAnsi" w:hAnsiTheme="minorHAnsi"/>
          <w:lang w:val="en-GB"/>
        </w:rPr>
        <w:t xml:space="preserve"> </w:t>
      </w:r>
      <w:r w:rsidRPr="00EA5F4B">
        <w:rPr>
          <w:rFonts w:asciiTheme="minorHAnsi" w:hAnsiTheme="minorHAnsi"/>
          <w:lang w:val="en-GB"/>
        </w:rPr>
        <w:t>OPE 2007–2013</w:t>
      </w:r>
      <w:r w:rsidR="001851F6">
        <w:rPr>
          <w:rFonts w:asciiTheme="minorHAnsi" w:hAnsiTheme="minorHAnsi"/>
          <w:lang w:val="en-GB"/>
        </w:rPr>
        <w:t>,</w:t>
      </w:r>
      <w:r w:rsidRPr="00EA5F4B">
        <w:rPr>
          <w:rFonts w:asciiTheme="minorHAnsi" w:hAnsiTheme="minorHAnsi"/>
          <w:lang w:val="en-GB"/>
        </w:rPr>
        <w:t xml:space="preserve"> the </w:t>
      </w:r>
      <w:proofErr w:type="spellStart"/>
      <w:r w:rsidRPr="00EA5F4B">
        <w:rPr>
          <w:rFonts w:asciiTheme="minorHAnsi" w:hAnsiTheme="minorHAnsi"/>
          <w:lang w:val="en-GB"/>
        </w:rPr>
        <w:t>MoE</w:t>
      </w:r>
      <w:proofErr w:type="spellEnd"/>
      <w:r w:rsidRPr="00EA5F4B">
        <w:rPr>
          <w:rFonts w:asciiTheme="minorHAnsi" w:hAnsiTheme="minorHAnsi"/>
          <w:lang w:val="en-GB"/>
        </w:rPr>
        <w:t xml:space="preserve"> set up a total of four programme indicators: percentage of recyclable waste, volume of municipal waste, percentage of recovered municipal waste</w:t>
      </w:r>
      <w:r w:rsidR="00A7098C">
        <w:rPr>
          <w:rFonts w:asciiTheme="minorHAnsi" w:hAnsiTheme="minorHAnsi"/>
          <w:lang w:val="en-GB"/>
        </w:rPr>
        <w:t>,</w:t>
      </w:r>
      <w:r w:rsidRPr="00EA5F4B">
        <w:rPr>
          <w:rFonts w:asciiTheme="minorHAnsi" w:hAnsiTheme="minorHAnsi"/>
          <w:lang w:val="en-GB"/>
        </w:rPr>
        <w:t xml:space="preserve"> and number of projects focused on waste management. None of these indicators allows for the evaluation of the benefit level of projects supported </w:t>
      </w:r>
      <w:r w:rsidR="0016219C">
        <w:rPr>
          <w:rFonts w:asciiTheme="minorHAnsi" w:hAnsiTheme="minorHAnsi"/>
          <w:lang w:val="en-GB"/>
        </w:rPr>
        <w:t>under</w:t>
      </w:r>
      <w:r w:rsidRPr="00EA5F4B">
        <w:rPr>
          <w:rFonts w:asciiTheme="minorHAnsi" w:hAnsiTheme="minorHAnsi"/>
          <w:lang w:val="en-GB"/>
        </w:rPr>
        <w:t xml:space="preserve"> OPE 2007–2013 in terms of improving the state of waste management in the Czech Republic. The first three indicators are merely statistical indicators monitored for the whole Czech Republic and do not express the level of benefit of projects </w:t>
      </w:r>
      <w:r w:rsidR="0036770B">
        <w:rPr>
          <w:rFonts w:asciiTheme="minorHAnsi" w:hAnsiTheme="minorHAnsi"/>
          <w:lang w:val="en-GB"/>
        </w:rPr>
        <w:t xml:space="preserve">supported </w:t>
      </w:r>
      <w:r w:rsidR="0016219C">
        <w:rPr>
          <w:rFonts w:asciiTheme="minorHAnsi" w:hAnsiTheme="minorHAnsi"/>
          <w:lang w:val="en-GB"/>
        </w:rPr>
        <w:t>under</w:t>
      </w:r>
      <w:r w:rsidRPr="00EA5F4B">
        <w:rPr>
          <w:rFonts w:asciiTheme="minorHAnsi" w:hAnsiTheme="minorHAnsi"/>
          <w:lang w:val="en-GB"/>
        </w:rPr>
        <w:t xml:space="preserve"> OPE 2007–2013. Their values are influenced by any number of other factors or are completely independent of a</w:t>
      </w:r>
      <w:r w:rsidR="007D1A11">
        <w:rPr>
          <w:rFonts w:asciiTheme="minorHAnsi" w:hAnsiTheme="minorHAnsi"/>
          <w:lang w:val="en-GB"/>
        </w:rPr>
        <w:t>id</w:t>
      </w:r>
      <w:r w:rsidRPr="00EA5F4B">
        <w:rPr>
          <w:rFonts w:asciiTheme="minorHAnsi" w:hAnsiTheme="minorHAnsi"/>
          <w:lang w:val="en-GB"/>
        </w:rPr>
        <w:t xml:space="preserve"> under OPE 2007–2013. The fourth programme indicator captures only the number of projects supported under OPE 2007–2013. The configuration of such indicators is completely inappropriate for monitoring the benefit level of projects assisted under OPE 2007–2013 for waste </w:t>
      </w:r>
      <w:r w:rsidR="007D1A11" w:rsidRPr="00EA5F4B">
        <w:rPr>
          <w:rFonts w:asciiTheme="minorHAnsi" w:hAnsiTheme="minorHAnsi"/>
          <w:lang w:val="en-GB"/>
        </w:rPr>
        <w:t>management</w:t>
      </w:r>
      <w:r w:rsidRPr="00EA5F4B">
        <w:rPr>
          <w:rFonts w:asciiTheme="minorHAnsi" w:hAnsiTheme="minorHAnsi"/>
          <w:lang w:val="en-GB"/>
        </w:rPr>
        <w:t xml:space="preserve"> in the Czech Republic. </w:t>
      </w:r>
      <w:r w:rsidRPr="00EA5F4B">
        <w:rPr>
          <w:rFonts w:asciiTheme="minorHAnsi" w:hAnsiTheme="minorHAnsi"/>
          <w:lang w:val="en-GB"/>
        </w:rPr>
        <w:lastRenderedPageBreak/>
        <w:t xml:space="preserve">SAO already pointed out this unsuitable configuration of programme indicators in its audit </w:t>
      </w:r>
      <w:r w:rsidR="007D1A11">
        <w:rPr>
          <w:rFonts w:asciiTheme="minorHAnsi" w:hAnsiTheme="minorHAnsi"/>
          <w:lang w:val="en-GB"/>
        </w:rPr>
        <w:t>conclusion</w:t>
      </w:r>
      <w:r w:rsidR="00FC0B5F">
        <w:rPr>
          <w:rFonts w:asciiTheme="minorHAnsi" w:hAnsiTheme="minorHAnsi"/>
          <w:lang w:val="en-GB"/>
        </w:rPr>
        <w:t xml:space="preserve"> for Audit No</w:t>
      </w:r>
      <w:r w:rsidRPr="00EA5F4B">
        <w:rPr>
          <w:rFonts w:asciiTheme="minorHAnsi" w:hAnsiTheme="minorHAnsi"/>
          <w:lang w:val="en-GB"/>
        </w:rPr>
        <w:t xml:space="preserve"> 10/14. The </w:t>
      </w:r>
      <w:proofErr w:type="spellStart"/>
      <w:r w:rsidRPr="00EA5F4B">
        <w:rPr>
          <w:rFonts w:asciiTheme="minorHAnsi" w:hAnsiTheme="minorHAnsi"/>
          <w:lang w:val="en-GB"/>
        </w:rPr>
        <w:t>MoE</w:t>
      </w:r>
      <w:proofErr w:type="spellEnd"/>
      <w:r w:rsidRPr="00EA5F4B">
        <w:rPr>
          <w:rFonts w:asciiTheme="minorHAnsi" w:hAnsiTheme="minorHAnsi"/>
          <w:lang w:val="en-GB"/>
        </w:rPr>
        <w:t xml:space="preserve"> did not alter the configuration of programme indicators for </w:t>
      </w:r>
      <w:r w:rsidR="00FC0B5F">
        <w:rPr>
          <w:rFonts w:asciiTheme="minorHAnsi" w:hAnsiTheme="minorHAnsi"/>
          <w:lang w:val="en-GB"/>
        </w:rPr>
        <w:t xml:space="preserve">the </w:t>
      </w:r>
      <w:r w:rsidRPr="00EA5F4B">
        <w:rPr>
          <w:rFonts w:asciiTheme="minorHAnsi" w:hAnsiTheme="minorHAnsi"/>
          <w:lang w:val="en-GB"/>
        </w:rPr>
        <w:t xml:space="preserve">Area of </w:t>
      </w:r>
      <w:r w:rsidR="00FC0B5F">
        <w:rPr>
          <w:rFonts w:asciiTheme="minorHAnsi" w:hAnsiTheme="minorHAnsi"/>
          <w:lang w:val="en-GB"/>
        </w:rPr>
        <w:t>Intervention</w:t>
      </w:r>
      <w:r w:rsidRPr="00EA5F4B">
        <w:rPr>
          <w:rFonts w:asciiTheme="minorHAnsi" w:hAnsiTheme="minorHAnsi"/>
          <w:lang w:val="en-GB"/>
        </w:rPr>
        <w:t xml:space="preserve"> 4.1 of OPE 2007–2013 as part of the corrective measures, despite the fact that the government ordered it to do so with a resolution</w:t>
      </w:r>
      <w:r w:rsidR="00452B25" w:rsidRPr="00EA5F4B">
        <w:rPr>
          <w:rStyle w:val="Znakapoznpodarou"/>
          <w:rFonts w:asciiTheme="minorHAnsi" w:hAnsiTheme="minorHAnsi"/>
          <w:lang w:val="en-GB"/>
        </w:rPr>
        <w:footnoteReference w:id="9"/>
      </w:r>
      <w:r w:rsidR="00452B25" w:rsidRPr="00EA5F4B">
        <w:rPr>
          <w:rFonts w:asciiTheme="minorHAnsi" w:hAnsiTheme="minorHAnsi"/>
          <w:lang w:val="en-GB"/>
        </w:rPr>
        <w:t xml:space="preserve">. </w:t>
      </w:r>
      <w:r w:rsidRPr="00EA5F4B">
        <w:rPr>
          <w:rFonts w:asciiTheme="minorHAnsi" w:hAnsiTheme="minorHAnsi"/>
          <w:lang w:val="en-GB"/>
        </w:rPr>
        <w:t xml:space="preserve">The </w:t>
      </w:r>
      <w:proofErr w:type="spellStart"/>
      <w:r w:rsidRPr="00EA5F4B">
        <w:rPr>
          <w:rFonts w:asciiTheme="minorHAnsi" w:hAnsiTheme="minorHAnsi"/>
          <w:lang w:val="en-GB"/>
        </w:rPr>
        <w:t>MoE</w:t>
      </w:r>
      <w:proofErr w:type="spellEnd"/>
      <w:r w:rsidRPr="00EA5F4B">
        <w:rPr>
          <w:rFonts w:asciiTheme="minorHAnsi" w:hAnsiTheme="minorHAnsi"/>
          <w:lang w:val="en-GB"/>
        </w:rPr>
        <w:t xml:space="preserve"> did not fulfil this demand</w:t>
      </w:r>
      <w:r w:rsidR="00293149" w:rsidRPr="00EA5F4B">
        <w:rPr>
          <w:rFonts w:asciiTheme="minorHAnsi" w:hAnsiTheme="minorHAnsi"/>
          <w:lang w:val="en-GB"/>
        </w:rPr>
        <w:t xml:space="preserve"> when implementing the government resolution and this shortcoming persists.</w:t>
      </w:r>
    </w:p>
    <w:p w:rsidR="00452B25" w:rsidRPr="00EA5F4B" w:rsidRDefault="00452B25" w:rsidP="00452B25">
      <w:pPr>
        <w:spacing w:line="280" w:lineRule="atLeast"/>
        <w:contextualSpacing/>
        <w:jc w:val="both"/>
        <w:rPr>
          <w:rFonts w:asciiTheme="minorHAnsi" w:hAnsiTheme="minorHAnsi"/>
          <w:lang w:val="en-GB"/>
        </w:rPr>
      </w:pPr>
    </w:p>
    <w:p w:rsidR="00452B25" w:rsidRPr="00EA5F4B" w:rsidRDefault="00293149" w:rsidP="00137D4E">
      <w:pPr>
        <w:autoSpaceDN w:val="0"/>
        <w:spacing w:line="280" w:lineRule="atLeast"/>
        <w:jc w:val="both"/>
        <w:rPr>
          <w:rFonts w:ascii="Calibri" w:hAnsi="Calibri" w:cs="Calibri"/>
          <w:lang w:val="en-GB" w:eastAsia="zh-CN"/>
        </w:rPr>
      </w:pPr>
      <w:r w:rsidRPr="00EA5F4B">
        <w:rPr>
          <w:rFonts w:ascii="Calibri" w:hAnsi="Calibri" w:cs="Calibri"/>
          <w:lang w:val="en-GB" w:eastAsia="zh-CN"/>
        </w:rPr>
        <w:t xml:space="preserve">At the project level, the </w:t>
      </w:r>
      <w:proofErr w:type="spellStart"/>
      <w:r w:rsidRPr="00EA5F4B">
        <w:rPr>
          <w:rFonts w:ascii="Calibri" w:hAnsi="Calibri" w:cs="Calibri"/>
          <w:lang w:val="en-GB" w:eastAsia="zh-CN"/>
        </w:rPr>
        <w:t>MoE</w:t>
      </w:r>
      <w:proofErr w:type="spellEnd"/>
      <w:r w:rsidRPr="00EA5F4B">
        <w:rPr>
          <w:rFonts w:ascii="Calibri" w:hAnsi="Calibri" w:cs="Calibri"/>
          <w:lang w:val="en-GB" w:eastAsia="zh-CN"/>
        </w:rPr>
        <w:t xml:space="preserve"> set up project indicators, i.e. binding parameters laid down in the DPS, in the form of capacity of facilities or waste management system. The value of the project indicators for the projects where the provided assistance went to expand existing facilities or waste management systems </w:t>
      </w:r>
      <w:r w:rsidR="00137D4E" w:rsidRPr="00EA5F4B">
        <w:rPr>
          <w:rFonts w:ascii="Calibri" w:hAnsi="Calibri" w:cs="Calibri"/>
          <w:lang w:val="en-GB" w:eastAsia="zh-CN"/>
        </w:rPr>
        <w:t>include the value of the capacity of such before assistance and data on the increase of capacity of such facilities after assistance placed toward expansion, modernisation</w:t>
      </w:r>
      <w:r w:rsidR="00FC0B5F">
        <w:rPr>
          <w:rFonts w:ascii="Calibri" w:hAnsi="Calibri" w:cs="Calibri"/>
          <w:lang w:val="en-GB" w:eastAsia="zh-CN"/>
        </w:rPr>
        <w:t>,</w:t>
      </w:r>
      <w:r w:rsidR="00137D4E" w:rsidRPr="00EA5F4B">
        <w:rPr>
          <w:rFonts w:ascii="Calibri" w:hAnsi="Calibri" w:cs="Calibri"/>
          <w:lang w:val="en-GB" w:eastAsia="zh-CN"/>
        </w:rPr>
        <w:t xml:space="preserve"> or retrofitting thereof. On the basis of these project indicators, in the period of monitoring of actual use of capacity in the sustainability period the </w:t>
      </w:r>
      <w:r w:rsidR="007D1A11" w:rsidRPr="00EA5F4B">
        <w:rPr>
          <w:rFonts w:ascii="Calibri" w:hAnsi="Calibri" w:cs="Calibri"/>
          <w:lang w:val="en-GB" w:eastAsia="zh-CN"/>
        </w:rPr>
        <w:t>beneficiaries</w:t>
      </w:r>
      <w:r w:rsidR="00137D4E" w:rsidRPr="00EA5F4B">
        <w:rPr>
          <w:rFonts w:ascii="Calibri" w:hAnsi="Calibri" w:cs="Calibri"/>
          <w:lang w:val="en-GB" w:eastAsia="zh-CN"/>
        </w:rPr>
        <w:t xml:space="preserve"> keep track of aggregate data on the actual use of capacity of the support facilities as a whole, not for the part that was built on the basis of the provided assistance.</w:t>
      </w:r>
    </w:p>
    <w:p w:rsidR="00452B25" w:rsidRPr="00EA5F4B" w:rsidRDefault="00452B25" w:rsidP="00452B25">
      <w:pPr>
        <w:autoSpaceDN w:val="0"/>
        <w:spacing w:line="280" w:lineRule="atLeast"/>
        <w:jc w:val="both"/>
        <w:rPr>
          <w:rFonts w:ascii="Calibri" w:hAnsi="Calibri" w:cs="Calibri"/>
          <w:lang w:val="en-GB" w:eastAsia="zh-CN"/>
        </w:rPr>
      </w:pPr>
    </w:p>
    <w:p w:rsidR="00452B25" w:rsidRPr="00EA5F4B" w:rsidRDefault="00137D4E" w:rsidP="003C6CFA">
      <w:pPr>
        <w:autoSpaceDN w:val="0"/>
        <w:spacing w:line="280" w:lineRule="atLeast"/>
        <w:jc w:val="both"/>
        <w:rPr>
          <w:rFonts w:ascii="Calibri" w:hAnsi="Calibri" w:cs="Calibri"/>
          <w:color w:val="000000"/>
          <w:lang w:val="en-GB" w:eastAsia="en-US"/>
        </w:rPr>
      </w:pPr>
      <w:r w:rsidRPr="00EA5F4B">
        <w:rPr>
          <w:rFonts w:ascii="Calibri" w:hAnsi="Calibri" w:cs="Calibri"/>
          <w:lang w:val="en-GB" w:eastAsia="zh-CN"/>
        </w:rPr>
        <w:t>As a result of the inappropriate configuration of the programme indicators and certain project indicators, it will be difficult to assess the benefit of support provided under OPE 2007–2013 in terms of improving the state of waste management in the Czech Republic</w:t>
      </w:r>
      <w:r w:rsidR="003C6CFA" w:rsidRPr="00EA5F4B">
        <w:rPr>
          <w:rFonts w:ascii="Calibri" w:hAnsi="Calibri" w:cs="Calibri"/>
          <w:lang w:val="en-GB" w:eastAsia="zh-CN"/>
        </w:rPr>
        <w:t xml:space="preserve"> as part of the planned evaluation of the benefit of projects assisted under </w:t>
      </w:r>
      <w:r w:rsidR="008712BF">
        <w:rPr>
          <w:rFonts w:ascii="Calibri" w:hAnsi="Calibri" w:cs="Calibri"/>
          <w:lang w:val="en-GB" w:eastAsia="zh-CN"/>
        </w:rPr>
        <w:t xml:space="preserve">the </w:t>
      </w:r>
      <w:r w:rsidR="003C6CFA" w:rsidRPr="00EA5F4B">
        <w:rPr>
          <w:rFonts w:ascii="Calibri" w:hAnsi="Calibri" w:cs="Calibri"/>
          <w:lang w:val="en-GB" w:eastAsia="zh-CN"/>
        </w:rPr>
        <w:t xml:space="preserve">Area of </w:t>
      </w:r>
      <w:r w:rsidR="008712BF">
        <w:rPr>
          <w:rFonts w:ascii="Calibri" w:hAnsi="Calibri" w:cs="Calibri"/>
          <w:lang w:val="en-GB" w:eastAsia="zh-CN"/>
        </w:rPr>
        <w:t>Intervention</w:t>
      </w:r>
      <w:r w:rsidR="003C6CFA" w:rsidRPr="00EA5F4B">
        <w:rPr>
          <w:rFonts w:ascii="Calibri" w:hAnsi="Calibri" w:cs="Calibri"/>
          <w:lang w:val="en-GB" w:eastAsia="zh-CN"/>
        </w:rPr>
        <w:t xml:space="preserve"> </w:t>
      </w:r>
      <w:r w:rsidR="0060111F">
        <w:rPr>
          <w:rFonts w:ascii="Calibri" w:hAnsi="Calibri" w:cs="Calibri"/>
          <w:lang w:val="en-GB" w:eastAsia="zh-CN"/>
        </w:rPr>
        <w:t>4</w:t>
      </w:r>
      <w:r w:rsidR="003C6CFA" w:rsidRPr="00EA5F4B">
        <w:rPr>
          <w:rFonts w:ascii="Calibri" w:hAnsi="Calibri" w:cs="Calibri"/>
          <w:lang w:val="en-GB" w:eastAsia="zh-CN"/>
        </w:rPr>
        <w:t>.</w:t>
      </w:r>
      <w:r w:rsidR="0060111F">
        <w:rPr>
          <w:rFonts w:ascii="Calibri" w:hAnsi="Calibri" w:cs="Calibri"/>
          <w:lang w:val="en-GB" w:eastAsia="zh-CN"/>
        </w:rPr>
        <w:t>1</w:t>
      </w:r>
      <w:r w:rsidR="003C6CFA" w:rsidRPr="00EA5F4B">
        <w:rPr>
          <w:rFonts w:ascii="Calibri" w:hAnsi="Calibri" w:cs="Calibri"/>
          <w:lang w:val="en-GB" w:eastAsia="zh-CN"/>
        </w:rPr>
        <w:t xml:space="preserve"> of OPE 2007–2013 for meeting the targets of the WMP CR 2003–2013</w:t>
      </w:r>
      <w:r w:rsidR="00452B25" w:rsidRPr="00EA5F4B">
        <w:rPr>
          <w:rFonts w:ascii="Calibri" w:hAnsi="Calibri" w:cs="Calibri"/>
          <w:color w:val="000000"/>
          <w:lang w:val="en-GB" w:eastAsia="en-US"/>
        </w:rPr>
        <w:t>.</w:t>
      </w:r>
    </w:p>
    <w:p w:rsidR="00452B25" w:rsidRPr="00EA5F4B" w:rsidRDefault="00452B25" w:rsidP="00452B25">
      <w:pPr>
        <w:spacing w:line="280" w:lineRule="atLeast"/>
        <w:rPr>
          <w:rFonts w:ascii="Calibri" w:hAnsi="Calibri" w:cs="Calibri"/>
          <w:sz w:val="22"/>
          <w:szCs w:val="22"/>
          <w:lang w:val="en-GB" w:eastAsia="en-US"/>
        </w:rPr>
      </w:pPr>
    </w:p>
    <w:p w:rsidR="00452B25" w:rsidRPr="00EA5F4B" w:rsidRDefault="003C6CFA" w:rsidP="00714004">
      <w:pPr>
        <w:spacing w:line="280" w:lineRule="atLeast"/>
        <w:contextualSpacing/>
        <w:jc w:val="both"/>
        <w:rPr>
          <w:rFonts w:asciiTheme="minorHAnsi" w:hAnsiTheme="minorHAnsi"/>
          <w:lang w:val="en-GB"/>
        </w:rPr>
      </w:pPr>
      <w:r w:rsidRPr="00EA5F4B">
        <w:rPr>
          <w:rFonts w:asciiTheme="minorHAnsi" w:hAnsiTheme="minorHAnsi"/>
          <w:lang w:val="en-GB"/>
        </w:rPr>
        <w:t>In contrast to the configuration of programme indicators for OPE 2007–2013, the set of binding indicators relevant for</w:t>
      </w:r>
      <w:r w:rsidR="008712BF">
        <w:rPr>
          <w:rFonts w:asciiTheme="minorHAnsi" w:hAnsiTheme="minorHAnsi"/>
          <w:lang w:val="en-GB"/>
        </w:rPr>
        <w:t xml:space="preserve"> the</w:t>
      </w:r>
      <w:r w:rsidRPr="00EA5F4B">
        <w:rPr>
          <w:rFonts w:asciiTheme="minorHAnsi" w:hAnsiTheme="minorHAnsi"/>
          <w:lang w:val="en-GB"/>
        </w:rPr>
        <w:t xml:space="preserve"> Investment Priority 1 of </w:t>
      </w:r>
      <w:r w:rsidR="008712BF">
        <w:rPr>
          <w:rFonts w:asciiTheme="minorHAnsi" w:hAnsiTheme="minorHAnsi"/>
          <w:lang w:val="en-GB"/>
        </w:rPr>
        <w:t xml:space="preserve">the </w:t>
      </w:r>
      <w:r w:rsidRPr="00EA5F4B">
        <w:rPr>
          <w:rFonts w:asciiTheme="minorHAnsi" w:hAnsiTheme="minorHAnsi"/>
          <w:lang w:val="en-GB"/>
        </w:rPr>
        <w:t xml:space="preserve">Priority Axis 3 of OPE 2014–2020 includes, in addition to statistical </w:t>
      </w:r>
      <w:r w:rsidR="0060111F" w:rsidRPr="00EA5F4B">
        <w:rPr>
          <w:rFonts w:asciiTheme="minorHAnsi" w:hAnsiTheme="minorHAnsi"/>
          <w:lang w:val="en-GB"/>
        </w:rPr>
        <w:t>indicators</w:t>
      </w:r>
      <w:r w:rsidRPr="00EA5F4B">
        <w:rPr>
          <w:rFonts w:asciiTheme="minorHAnsi" w:hAnsiTheme="minorHAnsi"/>
          <w:lang w:val="en-GB"/>
        </w:rPr>
        <w:t xml:space="preserve"> of the result, indicators of the output that express, in particular, the newly built capacity or additional capacity of the supported facilities, including the setting of target values. The source of data for the </w:t>
      </w:r>
      <w:r w:rsidR="0060111F">
        <w:rPr>
          <w:rFonts w:asciiTheme="minorHAnsi" w:hAnsiTheme="minorHAnsi"/>
          <w:lang w:val="en-GB"/>
        </w:rPr>
        <w:t>meeting of result indicators is</w:t>
      </w:r>
      <w:r w:rsidRPr="00EA5F4B">
        <w:rPr>
          <w:rFonts w:asciiTheme="minorHAnsi" w:hAnsiTheme="minorHAnsi"/>
          <w:lang w:val="en-GB"/>
        </w:rPr>
        <w:t xml:space="preserve"> statistical data applied to the whole Czech Republic, which are based on the </w:t>
      </w:r>
      <w:r w:rsidRPr="00EA5F4B">
        <w:rPr>
          <w:rFonts w:asciiTheme="minorHAnsi" w:hAnsiTheme="minorHAnsi"/>
          <w:i/>
          <w:lang w:val="en-GB"/>
        </w:rPr>
        <w:t xml:space="preserve">Waste Management Information System </w:t>
      </w:r>
      <w:r w:rsidRPr="00EA5F4B">
        <w:rPr>
          <w:rFonts w:asciiTheme="minorHAnsi" w:hAnsiTheme="minorHAnsi"/>
          <w:lang w:val="en-GB"/>
        </w:rPr>
        <w:t xml:space="preserve">("WMIS") and represent the actually reported waste management for the given year in the Czech Republic, the exception being two indicators where the source of data is the </w:t>
      </w:r>
      <w:proofErr w:type="spellStart"/>
      <w:r w:rsidRPr="00EA5F4B">
        <w:rPr>
          <w:rFonts w:asciiTheme="minorHAnsi" w:hAnsiTheme="minorHAnsi"/>
          <w:lang w:val="en-GB"/>
        </w:rPr>
        <w:t>MoE</w:t>
      </w:r>
      <w:proofErr w:type="spellEnd"/>
      <w:r w:rsidRPr="00EA5F4B">
        <w:rPr>
          <w:rFonts w:asciiTheme="minorHAnsi" w:hAnsiTheme="minorHAnsi"/>
          <w:lang w:val="en-GB"/>
        </w:rPr>
        <w:t xml:space="preserve">. The source of data for the values of </w:t>
      </w:r>
      <w:r w:rsidR="00714004" w:rsidRPr="00EA5F4B">
        <w:rPr>
          <w:rFonts w:asciiTheme="minorHAnsi" w:hAnsiTheme="minorHAnsi"/>
          <w:lang w:val="en-GB"/>
        </w:rPr>
        <w:t xml:space="preserve">the performance indicators </w:t>
      </w:r>
      <w:r w:rsidR="0060111F">
        <w:rPr>
          <w:rFonts w:asciiTheme="minorHAnsi" w:hAnsiTheme="minorHAnsi"/>
          <w:lang w:val="en-GB"/>
        </w:rPr>
        <w:t>is</w:t>
      </w:r>
      <w:r w:rsidR="00714004" w:rsidRPr="00EA5F4B">
        <w:rPr>
          <w:rFonts w:asciiTheme="minorHAnsi" w:hAnsiTheme="minorHAnsi"/>
          <w:lang w:val="en-GB"/>
        </w:rPr>
        <w:t xml:space="preserve"> the submitted project applications. The output indicators for </w:t>
      </w:r>
      <w:r w:rsidR="008712BF">
        <w:rPr>
          <w:rFonts w:asciiTheme="minorHAnsi" w:hAnsiTheme="minorHAnsi"/>
          <w:lang w:val="en-GB"/>
        </w:rPr>
        <w:t xml:space="preserve">the </w:t>
      </w:r>
      <w:r w:rsidR="00714004" w:rsidRPr="00EA5F4B">
        <w:rPr>
          <w:rFonts w:asciiTheme="minorHAnsi" w:hAnsiTheme="minorHAnsi"/>
          <w:lang w:val="en-GB"/>
        </w:rPr>
        <w:t xml:space="preserve">Investment Priority 1 of </w:t>
      </w:r>
      <w:r w:rsidR="008712BF">
        <w:rPr>
          <w:rFonts w:asciiTheme="minorHAnsi" w:hAnsiTheme="minorHAnsi"/>
          <w:lang w:val="en-GB"/>
        </w:rPr>
        <w:t xml:space="preserve">the </w:t>
      </w:r>
      <w:r w:rsidR="00714004" w:rsidRPr="00EA5F4B">
        <w:rPr>
          <w:rFonts w:asciiTheme="minorHAnsi" w:hAnsiTheme="minorHAnsi"/>
          <w:lang w:val="en-GB"/>
        </w:rPr>
        <w:t>OPE 2014–2020 Priority Axis 3 are not configured so as to allow ongoing evaluation of the benefit of supported projects.</w:t>
      </w:r>
    </w:p>
    <w:p w:rsidR="00A3079C" w:rsidRPr="00EA5F4B" w:rsidRDefault="00A3079C" w:rsidP="00434A68">
      <w:pPr>
        <w:rPr>
          <w:rFonts w:asciiTheme="minorHAnsi" w:hAnsiTheme="minorHAnsi" w:cs="Calibri"/>
          <w:color w:val="000000"/>
          <w:lang w:val="en-GB" w:eastAsia="en-US"/>
        </w:rPr>
      </w:pPr>
    </w:p>
    <w:p w:rsidR="00880F0D" w:rsidRPr="00EA5F4B" w:rsidRDefault="00880F0D" w:rsidP="00434A68">
      <w:pPr>
        <w:rPr>
          <w:rFonts w:asciiTheme="minorHAnsi" w:hAnsiTheme="minorHAnsi" w:cs="Calibri"/>
          <w:color w:val="000000"/>
          <w:lang w:val="en-GB" w:eastAsia="en-US"/>
        </w:rPr>
      </w:pPr>
    </w:p>
    <w:p w:rsidR="00A40DDA" w:rsidRPr="00EA5F4B" w:rsidRDefault="00714004" w:rsidP="00452B25">
      <w:pPr>
        <w:pStyle w:val="Odstavecseseznamem"/>
        <w:numPr>
          <w:ilvl w:val="0"/>
          <w:numId w:val="36"/>
        </w:numPr>
        <w:spacing w:line="280" w:lineRule="atLeast"/>
        <w:jc w:val="both"/>
        <w:rPr>
          <w:rFonts w:asciiTheme="minorHAnsi" w:hAnsiTheme="minorHAnsi" w:cs="Arial"/>
          <w:b/>
          <w:lang w:val="en-GB"/>
        </w:rPr>
      </w:pPr>
      <w:r w:rsidRPr="00EA5F4B">
        <w:rPr>
          <w:rFonts w:asciiTheme="minorHAnsi" w:hAnsiTheme="minorHAnsi" w:cs="Arial"/>
          <w:b/>
          <w:lang w:val="en-GB"/>
        </w:rPr>
        <w:t>Failure to evaluate the benefits of OPE 2007–2013 for fulfilment of WMP CR objective</w:t>
      </w:r>
    </w:p>
    <w:p w:rsidR="00840D65" w:rsidRPr="00EA5F4B" w:rsidRDefault="00840D65" w:rsidP="00E41664">
      <w:pPr>
        <w:spacing w:line="280" w:lineRule="atLeast"/>
        <w:contextualSpacing/>
        <w:jc w:val="both"/>
        <w:rPr>
          <w:rFonts w:asciiTheme="minorHAnsi" w:hAnsiTheme="minorHAnsi"/>
          <w:lang w:val="en-GB"/>
        </w:rPr>
      </w:pPr>
    </w:p>
    <w:p w:rsidR="00507A00" w:rsidRPr="00EA5F4B" w:rsidRDefault="009529FA" w:rsidP="009529FA">
      <w:pPr>
        <w:spacing w:line="280" w:lineRule="atLeast"/>
        <w:contextualSpacing/>
        <w:jc w:val="both"/>
        <w:rPr>
          <w:rFonts w:asciiTheme="minorHAnsi" w:hAnsiTheme="minorHAnsi"/>
          <w:lang w:val="en-GB"/>
        </w:rPr>
      </w:pPr>
      <w:r w:rsidRPr="00EA5F4B">
        <w:rPr>
          <w:rFonts w:asciiTheme="minorHAnsi" w:hAnsiTheme="minorHAnsi"/>
          <w:lang w:val="en-GB"/>
        </w:rPr>
        <w:t xml:space="preserve">As of the completion of the audit, the </w:t>
      </w:r>
      <w:proofErr w:type="spellStart"/>
      <w:r w:rsidRPr="00EA5F4B">
        <w:rPr>
          <w:rFonts w:asciiTheme="minorHAnsi" w:hAnsiTheme="minorHAnsi"/>
          <w:lang w:val="en-GB"/>
        </w:rPr>
        <w:t>MoE</w:t>
      </w:r>
      <w:proofErr w:type="spellEnd"/>
      <w:r w:rsidRPr="00EA5F4B">
        <w:rPr>
          <w:rFonts w:asciiTheme="minorHAnsi" w:hAnsiTheme="minorHAnsi"/>
          <w:lang w:val="en-GB"/>
        </w:rPr>
        <w:t xml:space="preserve"> had not evaluated the benefit of the projects assisted under Area of </w:t>
      </w:r>
      <w:r w:rsidR="00BA5B53">
        <w:rPr>
          <w:rFonts w:asciiTheme="minorHAnsi" w:hAnsiTheme="minorHAnsi"/>
          <w:lang w:val="en-GB"/>
        </w:rPr>
        <w:t>Intervention</w:t>
      </w:r>
      <w:r w:rsidRPr="00EA5F4B">
        <w:rPr>
          <w:rFonts w:asciiTheme="minorHAnsi" w:hAnsiTheme="minorHAnsi"/>
          <w:lang w:val="en-GB"/>
        </w:rPr>
        <w:t xml:space="preserve"> 4.1 of OPE 2007–2013 for the fulfilment of the objectives </w:t>
      </w:r>
      <w:r w:rsidRPr="00EA5F4B">
        <w:rPr>
          <w:rFonts w:asciiTheme="minorHAnsi" w:hAnsiTheme="minorHAnsi"/>
          <w:lang w:val="en-GB"/>
        </w:rPr>
        <w:lastRenderedPageBreak/>
        <w:t xml:space="preserve">of WMP CR 2003–2013 and WMP CR 2015–2024. The </w:t>
      </w:r>
      <w:proofErr w:type="spellStart"/>
      <w:r w:rsidRPr="00EA5F4B">
        <w:rPr>
          <w:rFonts w:asciiTheme="minorHAnsi" w:hAnsiTheme="minorHAnsi"/>
          <w:lang w:val="en-GB"/>
        </w:rPr>
        <w:t>MoE</w:t>
      </w:r>
      <w:proofErr w:type="spellEnd"/>
      <w:r w:rsidRPr="00EA5F4B">
        <w:rPr>
          <w:rFonts w:asciiTheme="minorHAnsi" w:hAnsiTheme="minorHAnsi"/>
          <w:lang w:val="en-GB"/>
        </w:rPr>
        <w:t xml:space="preserve"> plans on carrying out such an evaluation by the end of 2018, with the justification that it is necessary to wait for the completion of physical implementation of all supported projects. Implementation of projects assisted under </w:t>
      </w:r>
      <w:r w:rsidR="00572645">
        <w:rPr>
          <w:rFonts w:asciiTheme="minorHAnsi" w:hAnsiTheme="minorHAnsi"/>
          <w:lang w:val="en-GB"/>
        </w:rPr>
        <w:t xml:space="preserve">the </w:t>
      </w:r>
      <w:r w:rsidRPr="00EA5F4B">
        <w:rPr>
          <w:rFonts w:asciiTheme="minorHAnsi" w:hAnsiTheme="minorHAnsi"/>
          <w:lang w:val="en-GB"/>
        </w:rPr>
        <w:t xml:space="preserve">Area of </w:t>
      </w:r>
      <w:r w:rsidR="00572645">
        <w:rPr>
          <w:rFonts w:asciiTheme="minorHAnsi" w:hAnsiTheme="minorHAnsi"/>
          <w:lang w:val="en-GB"/>
        </w:rPr>
        <w:t>Intervention</w:t>
      </w:r>
      <w:r w:rsidRPr="00EA5F4B">
        <w:rPr>
          <w:rFonts w:asciiTheme="minorHAnsi" w:hAnsiTheme="minorHAnsi"/>
          <w:lang w:val="en-GB"/>
        </w:rPr>
        <w:t xml:space="preserve"> 4.1 of OPE 2007–2013 was to have been completed by 31 December 2015. The </w:t>
      </w:r>
      <w:proofErr w:type="spellStart"/>
      <w:r w:rsidRPr="00EA5F4B">
        <w:rPr>
          <w:rFonts w:asciiTheme="minorHAnsi" w:hAnsiTheme="minorHAnsi"/>
          <w:lang w:val="en-GB"/>
        </w:rPr>
        <w:t>MoE</w:t>
      </w:r>
      <w:proofErr w:type="spellEnd"/>
      <w:r w:rsidRPr="00EA5F4B">
        <w:rPr>
          <w:rFonts w:asciiTheme="minorHAnsi" w:hAnsiTheme="minorHAnsi"/>
          <w:lang w:val="en-GB"/>
        </w:rPr>
        <w:t xml:space="preserve"> currently has at its disposal a methodology drawn up for evaluating the level of benefit of the supported projects under </w:t>
      </w:r>
      <w:r w:rsidR="00572645">
        <w:rPr>
          <w:rFonts w:asciiTheme="minorHAnsi" w:hAnsiTheme="minorHAnsi"/>
          <w:lang w:val="en-GB"/>
        </w:rPr>
        <w:t xml:space="preserve">the </w:t>
      </w:r>
      <w:r w:rsidRPr="00EA5F4B">
        <w:rPr>
          <w:rFonts w:asciiTheme="minorHAnsi" w:hAnsiTheme="minorHAnsi"/>
          <w:lang w:val="en-GB"/>
        </w:rPr>
        <w:t xml:space="preserve">Area of </w:t>
      </w:r>
      <w:r w:rsidR="00572645">
        <w:rPr>
          <w:rFonts w:asciiTheme="minorHAnsi" w:hAnsiTheme="minorHAnsi"/>
          <w:lang w:val="en-GB"/>
        </w:rPr>
        <w:t>Intervention</w:t>
      </w:r>
      <w:r w:rsidRPr="00EA5F4B">
        <w:rPr>
          <w:rFonts w:asciiTheme="minorHAnsi" w:hAnsiTheme="minorHAnsi"/>
          <w:lang w:val="en-GB"/>
        </w:rPr>
        <w:t xml:space="preserve"> 4.1 in terms of fulfilling the objectives of WMP CR 2003–2013. No update of this methodology with regard to the objectives of WMP CR 2015–2024 had been drawn up as of the completion of the audit</w:t>
      </w:r>
      <w:r w:rsidR="00486C50" w:rsidRPr="00EA5F4B">
        <w:rPr>
          <w:rFonts w:asciiTheme="minorHAnsi" w:hAnsiTheme="minorHAnsi"/>
          <w:lang w:val="en-GB"/>
        </w:rPr>
        <w:t>.</w:t>
      </w:r>
    </w:p>
    <w:p w:rsidR="00872FA1" w:rsidRPr="00EA5F4B" w:rsidRDefault="00872FA1" w:rsidP="00E41664">
      <w:pPr>
        <w:widowControl w:val="0"/>
        <w:shd w:val="clear" w:color="auto" w:fill="FFFFFF"/>
        <w:tabs>
          <w:tab w:val="left" w:pos="1085"/>
        </w:tabs>
        <w:autoSpaceDE w:val="0"/>
        <w:autoSpaceDN w:val="0"/>
        <w:adjustRightInd w:val="0"/>
        <w:spacing w:line="280" w:lineRule="atLeast"/>
        <w:ind w:right="6"/>
        <w:jc w:val="both"/>
        <w:rPr>
          <w:rFonts w:asciiTheme="minorHAnsi" w:hAnsiTheme="minorHAnsi" w:cs="Arial"/>
          <w:lang w:val="en-GB"/>
        </w:rPr>
      </w:pPr>
    </w:p>
    <w:p w:rsidR="00452B25" w:rsidRPr="00EA5F4B" w:rsidRDefault="00452B25" w:rsidP="00E41664">
      <w:pPr>
        <w:widowControl w:val="0"/>
        <w:shd w:val="clear" w:color="auto" w:fill="FFFFFF"/>
        <w:tabs>
          <w:tab w:val="left" w:pos="1085"/>
        </w:tabs>
        <w:autoSpaceDE w:val="0"/>
        <w:autoSpaceDN w:val="0"/>
        <w:adjustRightInd w:val="0"/>
        <w:spacing w:line="280" w:lineRule="atLeast"/>
        <w:ind w:right="6"/>
        <w:jc w:val="both"/>
        <w:rPr>
          <w:rFonts w:asciiTheme="minorHAnsi" w:hAnsiTheme="minorHAnsi" w:cs="Arial"/>
          <w:lang w:val="en-GB"/>
        </w:rPr>
      </w:pPr>
    </w:p>
    <w:p w:rsidR="00452B25" w:rsidRPr="00EA5F4B" w:rsidRDefault="00E24F0C" w:rsidP="00AD2FBD">
      <w:pPr>
        <w:pStyle w:val="Odstavecseseznamem"/>
        <w:keepNext/>
        <w:numPr>
          <w:ilvl w:val="0"/>
          <w:numId w:val="36"/>
        </w:numPr>
        <w:spacing w:line="280" w:lineRule="atLeast"/>
        <w:jc w:val="both"/>
        <w:rPr>
          <w:rFonts w:asciiTheme="minorHAnsi" w:hAnsiTheme="minorHAnsi" w:cs="Arial"/>
          <w:b/>
          <w:lang w:val="en-GB"/>
        </w:rPr>
      </w:pPr>
      <w:r w:rsidRPr="00EA5F4B">
        <w:rPr>
          <w:rFonts w:asciiTheme="minorHAnsi" w:hAnsiTheme="minorHAnsi" w:cs="Arial"/>
          <w:b/>
          <w:lang w:val="en-GB"/>
        </w:rPr>
        <w:t>Failure to meet targets of Landfill Directive</w:t>
      </w:r>
    </w:p>
    <w:p w:rsidR="00452B25" w:rsidRPr="00EA5F4B" w:rsidRDefault="00452B25" w:rsidP="00AD2FBD">
      <w:pPr>
        <w:keepNext/>
        <w:spacing w:line="280" w:lineRule="atLeast"/>
        <w:contextualSpacing/>
        <w:jc w:val="both"/>
        <w:rPr>
          <w:rFonts w:asciiTheme="minorHAnsi" w:hAnsiTheme="minorHAnsi" w:cs="Calibri"/>
          <w:color w:val="000000"/>
          <w:lang w:val="en-GB" w:eastAsia="en-US"/>
        </w:rPr>
      </w:pPr>
    </w:p>
    <w:p w:rsidR="00452B25" w:rsidRPr="00EA5F4B" w:rsidRDefault="00E24F0C" w:rsidP="00E24F0C">
      <w:pPr>
        <w:spacing w:line="280" w:lineRule="atLeast"/>
        <w:ind w:right="68"/>
        <w:contextualSpacing/>
        <w:jc w:val="both"/>
        <w:rPr>
          <w:rFonts w:asciiTheme="minorHAnsi" w:hAnsiTheme="minorHAnsi" w:cstheme="minorHAnsi"/>
          <w:lang w:val="en-GB"/>
        </w:rPr>
      </w:pPr>
      <w:r w:rsidRPr="00EA5F4B">
        <w:rPr>
          <w:rFonts w:asciiTheme="minorHAnsi" w:hAnsiTheme="minorHAnsi" w:cs="Calibri"/>
          <w:color w:val="000000"/>
          <w:lang w:val="en-GB" w:eastAsia="en-US"/>
        </w:rPr>
        <w:t>In 2010</w:t>
      </w:r>
      <w:r w:rsidR="007C06F6">
        <w:rPr>
          <w:rFonts w:asciiTheme="minorHAnsi" w:hAnsiTheme="minorHAnsi" w:cs="Calibri"/>
          <w:color w:val="000000"/>
          <w:lang w:val="en-GB" w:eastAsia="en-US"/>
        </w:rPr>
        <w:t>,</w:t>
      </w:r>
      <w:r w:rsidRPr="00EA5F4B">
        <w:rPr>
          <w:rFonts w:asciiTheme="minorHAnsi" w:hAnsiTheme="minorHAnsi" w:cs="Calibri"/>
          <w:color w:val="000000"/>
          <w:lang w:val="en-GB" w:eastAsia="en-US"/>
        </w:rPr>
        <w:t xml:space="preserve"> the Czech Republic met the target of the Landfill Act to reduce the amount of biodegradable municipal waste ("BMW") deposited in landfills to the level of 75 % of the total amount of BMW produced in 1995. Despite the fact that the indicator </w:t>
      </w:r>
      <w:r w:rsidRPr="00EA5F4B">
        <w:rPr>
          <w:rFonts w:asciiTheme="minorHAnsi" w:hAnsiTheme="minorHAnsi" w:cs="Calibri"/>
          <w:i/>
          <w:color w:val="000000"/>
          <w:lang w:val="en-GB" w:eastAsia="en-US"/>
        </w:rPr>
        <w:t>"amount of BMW landfilled"</w:t>
      </w:r>
      <w:r w:rsidRPr="00EA5F4B">
        <w:rPr>
          <w:rFonts w:asciiTheme="minorHAnsi" w:hAnsiTheme="minorHAnsi" w:cs="Calibri"/>
          <w:color w:val="000000"/>
          <w:lang w:val="en-GB" w:eastAsia="en-US"/>
        </w:rPr>
        <w:t xml:space="preserve"> has shown a declining trend since 2010, the Czech Republic did not manage to meet the next target for reducing landfilled BMW to the level of 50 % by 16 July 2013. In 2013, 58.5 % of BMW was deposited in landfills compared to the total amount of BMW produced in 1995. In 2014</w:t>
      </w:r>
      <w:r w:rsidR="007C06F6">
        <w:rPr>
          <w:rFonts w:asciiTheme="minorHAnsi" w:hAnsiTheme="minorHAnsi" w:cs="Calibri"/>
          <w:color w:val="000000"/>
          <w:lang w:val="en-GB" w:eastAsia="en-US"/>
        </w:rPr>
        <w:t>,</w:t>
      </w:r>
      <w:r w:rsidRPr="00EA5F4B">
        <w:rPr>
          <w:rFonts w:asciiTheme="minorHAnsi" w:hAnsiTheme="minorHAnsi" w:cs="Calibri"/>
          <w:color w:val="000000"/>
          <w:lang w:val="en-GB" w:eastAsia="en-US"/>
        </w:rPr>
        <w:t xml:space="preserve"> the level of landfilled BMW totalled 54.1 % in relation to the total amount of BMW produced in 1995, or 4.1 percentage points above the limit stipulated for 2013 in the Landfill Directive. In 2015, the level of BMW deposited in landfills was 52.1 %, or 2.1 percentage points over the limit for 2013 (see Graph 1). </w:t>
      </w:r>
      <w:r w:rsidR="007C06F6">
        <w:rPr>
          <w:rFonts w:asciiTheme="minorHAnsi" w:hAnsiTheme="minorHAnsi" w:cs="Calibri"/>
          <w:color w:val="000000"/>
          <w:lang w:val="en-GB" w:eastAsia="en-US"/>
        </w:rPr>
        <w:t xml:space="preserve">The </w:t>
      </w:r>
      <w:r w:rsidRPr="00EA5F4B">
        <w:rPr>
          <w:rFonts w:asciiTheme="minorHAnsi" w:hAnsiTheme="minorHAnsi" w:cs="Calibri"/>
          <w:color w:val="000000"/>
          <w:lang w:val="en-GB" w:eastAsia="en-US"/>
        </w:rPr>
        <w:t>SAO points out the possible risk of not meeting the target of reducing the amount of BMW placed in landfills to a level of at most 35 % in 2020 in light of the development of landfilled BMW in 2014 and 2015.</w:t>
      </w:r>
    </w:p>
    <w:p w:rsidR="00452B25" w:rsidRPr="00EA5F4B" w:rsidRDefault="00452B25" w:rsidP="00452B25">
      <w:pPr>
        <w:spacing w:line="280" w:lineRule="atLeast"/>
        <w:ind w:right="68"/>
        <w:contextualSpacing/>
        <w:jc w:val="both"/>
        <w:rPr>
          <w:rFonts w:asciiTheme="minorHAnsi" w:hAnsiTheme="minorHAnsi" w:cs="Calibri"/>
          <w:b/>
          <w:color w:val="000000"/>
          <w:lang w:val="en-GB" w:eastAsia="en-US"/>
        </w:rPr>
      </w:pPr>
    </w:p>
    <w:p w:rsidR="00452B25" w:rsidRPr="00EA5F4B" w:rsidRDefault="00452B25" w:rsidP="00EF608D">
      <w:pPr>
        <w:spacing w:line="280" w:lineRule="atLeast"/>
        <w:ind w:left="993" w:right="68" w:hanging="993"/>
        <w:contextualSpacing/>
        <w:jc w:val="both"/>
        <w:rPr>
          <w:rFonts w:asciiTheme="minorHAnsi" w:hAnsiTheme="minorHAnsi" w:cs="Calibri"/>
          <w:b/>
          <w:color w:val="000000"/>
          <w:lang w:val="en-GB" w:eastAsia="en-US"/>
        </w:rPr>
      </w:pPr>
      <w:r w:rsidRPr="00EA5F4B">
        <w:rPr>
          <w:rFonts w:asciiTheme="minorHAnsi" w:hAnsiTheme="minorHAnsi" w:cs="Calibri"/>
          <w:b/>
          <w:color w:val="000000"/>
          <w:lang w:val="en-GB" w:eastAsia="en-US"/>
        </w:rPr>
        <w:t>Gra</w:t>
      </w:r>
      <w:r w:rsidR="00E24F0C" w:rsidRPr="00EA5F4B">
        <w:rPr>
          <w:rFonts w:asciiTheme="minorHAnsi" w:hAnsiTheme="minorHAnsi" w:cs="Calibri"/>
          <w:b/>
          <w:color w:val="000000"/>
          <w:lang w:val="en-GB" w:eastAsia="en-US"/>
        </w:rPr>
        <w:t>ph</w:t>
      </w:r>
      <w:r w:rsidRPr="00EA5F4B">
        <w:rPr>
          <w:rFonts w:asciiTheme="minorHAnsi" w:hAnsiTheme="minorHAnsi" w:cs="Calibri"/>
          <w:b/>
          <w:color w:val="000000"/>
          <w:lang w:val="en-GB" w:eastAsia="en-US"/>
        </w:rPr>
        <w:t xml:space="preserve"> 1: </w:t>
      </w:r>
      <w:r w:rsidR="00EF608D" w:rsidRPr="00EA5F4B">
        <w:rPr>
          <w:rFonts w:asciiTheme="minorHAnsi" w:hAnsiTheme="minorHAnsi" w:cs="Calibri"/>
          <w:b/>
          <w:color w:val="000000"/>
          <w:lang w:val="en-GB" w:eastAsia="en-US"/>
        </w:rPr>
        <w:tab/>
      </w:r>
      <w:r w:rsidR="006357B8" w:rsidRPr="00EA5F4B">
        <w:rPr>
          <w:rFonts w:asciiTheme="minorHAnsi" w:hAnsiTheme="minorHAnsi" w:cs="Calibri"/>
          <w:b/>
          <w:color w:val="000000"/>
          <w:lang w:val="en-GB" w:eastAsia="en-US"/>
        </w:rPr>
        <w:t xml:space="preserve">Summary of </w:t>
      </w:r>
      <w:r w:rsidR="007C06F6">
        <w:rPr>
          <w:rFonts w:asciiTheme="minorHAnsi" w:hAnsiTheme="minorHAnsi" w:cs="Calibri"/>
          <w:b/>
          <w:color w:val="000000"/>
          <w:lang w:val="en-GB" w:eastAsia="en-US"/>
        </w:rPr>
        <w:t xml:space="preserve">the </w:t>
      </w:r>
      <w:r w:rsidR="006357B8" w:rsidRPr="00EA5F4B">
        <w:rPr>
          <w:rFonts w:asciiTheme="minorHAnsi" w:hAnsiTheme="minorHAnsi" w:cs="Calibri"/>
          <w:b/>
          <w:color w:val="000000"/>
          <w:lang w:val="en-GB" w:eastAsia="en-US"/>
        </w:rPr>
        <w:t>development of amount of BMW deposited in landfills in the period</w:t>
      </w:r>
      <w:r w:rsidRPr="00EA5F4B">
        <w:rPr>
          <w:rFonts w:asciiTheme="minorHAnsi" w:hAnsiTheme="minorHAnsi" w:cs="Calibri"/>
          <w:b/>
          <w:color w:val="000000"/>
          <w:lang w:val="en-GB" w:eastAsia="en-US"/>
        </w:rPr>
        <w:t xml:space="preserve"> 2007–2015 </w:t>
      </w:r>
      <w:r w:rsidR="006357B8" w:rsidRPr="00EA5F4B">
        <w:rPr>
          <w:rFonts w:asciiTheme="minorHAnsi" w:hAnsiTheme="minorHAnsi" w:cs="Calibri"/>
          <w:b/>
          <w:color w:val="000000"/>
          <w:lang w:val="en-GB" w:eastAsia="en-US"/>
        </w:rPr>
        <w:t>in relation to amount of BMW produced in</w:t>
      </w:r>
      <w:r w:rsidRPr="00EA5F4B">
        <w:rPr>
          <w:rFonts w:asciiTheme="minorHAnsi" w:hAnsiTheme="minorHAnsi" w:cs="Calibri"/>
          <w:b/>
          <w:color w:val="000000"/>
          <w:lang w:val="en-GB" w:eastAsia="en-US"/>
        </w:rPr>
        <w:t xml:space="preserve"> 1995</w:t>
      </w:r>
      <w:r w:rsidR="00EF608D" w:rsidRPr="00EA5F4B">
        <w:rPr>
          <w:rFonts w:asciiTheme="minorHAnsi" w:hAnsiTheme="minorHAnsi" w:cs="Calibri"/>
          <w:b/>
          <w:color w:val="000000"/>
          <w:lang w:val="en-GB" w:eastAsia="en-US"/>
        </w:rPr>
        <w:t xml:space="preserve"> (v %)</w:t>
      </w:r>
    </w:p>
    <w:p w:rsidR="00452B25" w:rsidRPr="00EA5F4B" w:rsidRDefault="006A1D7A" w:rsidP="00452B25">
      <w:pPr>
        <w:spacing w:line="280" w:lineRule="atLeast"/>
        <w:contextualSpacing/>
        <w:jc w:val="center"/>
        <w:rPr>
          <w:rFonts w:asciiTheme="minorHAnsi" w:hAnsiTheme="minorHAnsi" w:cstheme="minorHAnsi"/>
          <w:lang w:val="en-GB"/>
        </w:rPr>
      </w:pPr>
      <w:r>
        <w:rPr>
          <w:noProof/>
          <w:lang w:val="en-GB" w:eastAsia="en-US"/>
        </w:rPr>
        <w:pict>
          <v:shapetype id="_x0000_t202" coordsize="21600,21600" o:spt="202" path="m,l,21600r21600,l21600,xe">
            <v:stroke joinstyle="miter"/>
            <v:path gradientshapeok="t" o:connecttype="rect"/>
          </v:shapetype>
          <v:shape id="_x0000_s1026" type="#_x0000_t202" style="position:absolute;left:0;text-align:left;margin-left:255.25pt;margin-top:18.85pt;width:178.6pt;height:59.55pt;z-index:251658240" stroked="f">
            <v:textbox inset="2mm,1mm,0,0">
              <w:txbxContent>
                <w:p w:rsidR="007D1A11" w:rsidRPr="006A1D7A" w:rsidRDefault="007D1A11">
                  <w:pPr>
                    <w:rPr>
                      <w:sz w:val="16"/>
                      <w:szCs w:val="16"/>
                      <w:lang w:val="en-GB"/>
                    </w:rPr>
                  </w:pPr>
                  <w:r w:rsidRPr="006A1D7A">
                    <w:rPr>
                      <w:sz w:val="16"/>
                      <w:szCs w:val="16"/>
                      <w:lang w:val="en-GB"/>
                    </w:rPr>
                    <w:t>Amount of BMW deposited in landfills in the period 2007–2015 in relation to amount of BMW produced in the Czech Republic in 1995</w:t>
                  </w:r>
                </w:p>
                <w:p w:rsidR="007D1A11" w:rsidRPr="006A1D7A" w:rsidRDefault="007D1A11">
                  <w:pPr>
                    <w:rPr>
                      <w:sz w:val="16"/>
                      <w:szCs w:val="18"/>
                      <w:lang w:val="en-GB"/>
                    </w:rPr>
                  </w:pPr>
                </w:p>
                <w:p w:rsidR="007D1A11" w:rsidRPr="006A1D7A" w:rsidRDefault="007D1A11">
                  <w:pPr>
                    <w:rPr>
                      <w:sz w:val="16"/>
                      <w:szCs w:val="18"/>
                      <w:lang w:val="en-GB"/>
                    </w:rPr>
                  </w:pPr>
                  <w:r w:rsidRPr="006A1D7A">
                    <w:rPr>
                      <w:sz w:val="16"/>
                      <w:szCs w:val="18"/>
                      <w:lang w:val="en-GB"/>
                    </w:rPr>
                    <w:t>Targets laid down by the Landfill Act for 2010, 2013 and 2020</w:t>
                  </w:r>
                </w:p>
              </w:txbxContent>
            </v:textbox>
          </v:shape>
        </w:pict>
      </w:r>
      <w:r w:rsidR="007D4CDC" w:rsidRPr="00EA5F4B">
        <w:rPr>
          <w:noProof/>
        </w:rPr>
        <w:drawing>
          <wp:inline distT="0" distB="0" distL="0" distR="0">
            <wp:extent cx="5760720" cy="2889250"/>
            <wp:effectExtent l="0" t="0" r="0" b="63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608D" w:rsidRPr="00EA5F4B" w:rsidRDefault="006357B8" w:rsidP="00452B25">
      <w:pPr>
        <w:spacing w:line="280" w:lineRule="atLeast"/>
        <w:contextualSpacing/>
        <w:jc w:val="both"/>
        <w:rPr>
          <w:rFonts w:asciiTheme="minorHAnsi" w:hAnsiTheme="minorHAnsi" w:cstheme="minorHAnsi"/>
          <w:sz w:val="20"/>
          <w:szCs w:val="20"/>
          <w:lang w:val="en-GB"/>
        </w:rPr>
      </w:pPr>
      <w:r w:rsidRPr="00EA5F4B">
        <w:rPr>
          <w:rFonts w:asciiTheme="minorHAnsi" w:hAnsiTheme="minorHAnsi" w:cstheme="minorHAnsi"/>
          <w:b/>
          <w:sz w:val="20"/>
          <w:szCs w:val="20"/>
          <w:lang w:val="en-GB"/>
        </w:rPr>
        <w:t>Source</w:t>
      </w:r>
      <w:r w:rsidR="00452B25" w:rsidRPr="00EA5F4B">
        <w:rPr>
          <w:rFonts w:asciiTheme="minorHAnsi" w:hAnsiTheme="minorHAnsi" w:cstheme="minorHAnsi"/>
          <w:b/>
          <w:sz w:val="20"/>
          <w:szCs w:val="20"/>
          <w:lang w:val="en-GB"/>
        </w:rPr>
        <w:t>:</w:t>
      </w:r>
      <w:r w:rsidR="00EF608D" w:rsidRPr="00EA5F4B">
        <w:rPr>
          <w:rFonts w:asciiTheme="minorHAnsi" w:hAnsiTheme="minorHAnsi" w:cstheme="minorHAnsi"/>
          <w:b/>
          <w:sz w:val="20"/>
          <w:szCs w:val="20"/>
          <w:lang w:val="en-GB"/>
        </w:rPr>
        <w:t xml:space="preserve"> </w:t>
      </w:r>
      <w:r w:rsidRPr="00EA5F4B">
        <w:rPr>
          <w:rFonts w:asciiTheme="minorHAnsi" w:hAnsiTheme="minorHAnsi" w:cstheme="minorHAnsi"/>
          <w:sz w:val="20"/>
          <w:szCs w:val="20"/>
          <w:lang w:val="en-GB"/>
        </w:rPr>
        <w:t>Ministry of the Environment</w:t>
      </w:r>
    </w:p>
    <w:p w:rsidR="00452B25" w:rsidRPr="00EA5F4B" w:rsidRDefault="006357B8" w:rsidP="00452B25">
      <w:pPr>
        <w:spacing w:line="280" w:lineRule="atLeast"/>
        <w:contextualSpacing/>
        <w:jc w:val="both"/>
        <w:rPr>
          <w:rFonts w:asciiTheme="minorHAnsi" w:hAnsiTheme="minorHAnsi" w:cstheme="minorHAnsi"/>
          <w:sz w:val="20"/>
          <w:szCs w:val="20"/>
          <w:lang w:val="en-GB"/>
        </w:rPr>
      </w:pPr>
      <w:r w:rsidRPr="00EA5F4B">
        <w:rPr>
          <w:rFonts w:asciiTheme="minorHAnsi" w:hAnsiTheme="minorHAnsi" w:cstheme="minorHAnsi"/>
          <w:b/>
          <w:sz w:val="20"/>
          <w:szCs w:val="20"/>
          <w:lang w:val="en-GB"/>
        </w:rPr>
        <w:t>Note</w:t>
      </w:r>
      <w:r w:rsidR="00EF608D" w:rsidRPr="00EA5F4B">
        <w:rPr>
          <w:rFonts w:asciiTheme="minorHAnsi" w:hAnsiTheme="minorHAnsi" w:cstheme="minorHAnsi"/>
          <w:b/>
          <w:sz w:val="20"/>
          <w:szCs w:val="20"/>
          <w:lang w:val="en-GB"/>
        </w:rPr>
        <w:t>:</w:t>
      </w:r>
      <w:r w:rsidR="00EF608D" w:rsidRPr="00EA5F4B">
        <w:rPr>
          <w:rFonts w:asciiTheme="minorHAnsi" w:hAnsiTheme="minorHAnsi" w:cstheme="minorHAnsi"/>
          <w:sz w:val="20"/>
          <w:szCs w:val="20"/>
          <w:lang w:val="en-GB"/>
        </w:rPr>
        <w:t xml:space="preserve"> D</w:t>
      </w:r>
      <w:r w:rsidR="00736367" w:rsidRPr="00EA5F4B">
        <w:rPr>
          <w:rFonts w:asciiTheme="minorHAnsi" w:hAnsiTheme="minorHAnsi" w:cstheme="minorHAnsi"/>
          <w:sz w:val="20"/>
          <w:szCs w:val="20"/>
          <w:lang w:val="en-GB"/>
        </w:rPr>
        <w:t xml:space="preserve">ata </w:t>
      </w:r>
      <w:r w:rsidRPr="00EA5F4B">
        <w:rPr>
          <w:rFonts w:asciiTheme="minorHAnsi" w:hAnsiTheme="minorHAnsi" w:cstheme="minorHAnsi"/>
          <w:sz w:val="20"/>
          <w:szCs w:val="20"/>
          <w:lang w:val="en-GB"/>
        </w:rPr>
        <w:t>for 2016 were not available as of the end of the audit</w:t>
      </w:r>
      <w:r w:rsidR="00736367" w:rsidRPr="00EA5F4B">
        <w:rPr>
          <w:rFonts w:asciiTheme="minorHAnsi" w:hAnsiTheme="minorHAnsi" w:cstheme="minorHAnsi"/>
          <w:sz w:val="20"/>
          <w:szCs w:val="20"/>
          <w:lang w:val="en-GB"/>
        </w:rPr>
        <w:t>.</w:t>
      </w:r>
    </w:p>
    <w:p w:rsidR="00452B25" w:rsidRPr="00EA5F4B" w:rsidRDefault="00452B25" w:rsidP="00452B25">
      <w:pPr>
        <w:spacing w:line="280" w:lineRule="atLeast"/>
        <w:ind w:right="70"/>
        <w:contextualSpacing/>
        <w:jc w:val="both"/>
        <w:rPr>
          <w:rFonts w:asciiTheme="minorHAnsi" w:hAnsiTheme="minorHAnsi" w:cs="Calibri"/>
          <w:color w:val="000000"/>
          <w:lang w:val="en-GB" w:eastAsia="en-US"/>
        </w:rPr>
      </w:pPr>
    </w:p>
    <w:p w:rsidR="00452B25" w:rsidRDefault="00425E62" w:rsidP="00425E62">
      <w:pPr>
        <w:spacing w:line="280" w:lineRule="atLeast"/>
        <w:ind w:right="70"/>
        <w:contextualSpacing/>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lastRenderedPageBreak/>
        <w:t xml:space="preserve">In order to meet the Landfill Directive targets for 2020, the </w:t>
      </w:r>
      <w:proofErr w:type="spellStart"/>
      <w:r w:rsidRPr="00EA5F4B">
        <w:rPr>
          <w:rFonts w:asciiTheme="minorHAnsi" w:hAnsiTheme="minorHAnsi" w:cs="Calibri"/>
          <w:color w:val="000000"/>
          <w:lang w:val="en-GB" w:eastAsia="en-US"/>
        </w:rPr>
        <w:t>MoE</w:t>
      </w:r>
      <w:proofErr w:type="spellEnd"/>
      <w:r w:rsidRPr="00EA5F4B">
        <w:rPr>
          <w:rFonts w:asciiTheme="minorHAnsi" w:hAnsiTheme="minorHAnsi" w:cs="Calibri"/>
          <w:color w:val="000000"/>
          <w:lang w:val="en-GB" w:eastAsia="en-US"/>
        </w:rPr>
        <w:t xml:space="preserve"> adopted a number of measures at the level of strategic, legislative</w:t>
      </w:r>
      <w:r w:rsidR="007C06F6">
        <w:rPr>
          <w:rFonts w:asciiTheme="minorHAnsi" w:hAnsiTheme="minorHAnsi" w:cs="Calibri"/>
          <w:color w:val="000000"/>
          <w:lang w:val="en-GB" w:eastAsia="en-US"/>
        </w:rPr>
        <w:t>,</w:t>
      </w:r>
      <w:r w:rsidRPr="00EA5F4B">
        <w:rPr>
          <w:rFonts w:asciiTheme="minorHAnsi" w:hAnsiTheme="minorHAnsi" w:cs="Calibri"/>
          <w:color w:val="000000"/>
          <w:lang w:val="en-GB" w:eastAsia="en-US"/>
        </w:rPr>
        <w:t xml:space="preserve"> and economic instruments. At the level of strategic measures, the </w:t>
      </w:r>
      <w:proofErr w:type="spellStart"/>
      <w:r w:rsidRPr="00EA5F4B">
        <w:rPr>
          <w:rFonts w:asciiTheme="minorHAnsi" w:hAnsiTheme="minorHAnsi" w:cs="Calibri"/>
          <w:color w:val="000000"/>
          <w:lang w:val="en-GB" w:eastAsia="en-US"/>
        </w:rPr>
        <w:t>MoE</w:t>
      </w:r>
      <w:proofErr w:type="spellEnd"/>
      <w:r w:rsidRPr="00EA5F4B">
        <w:rPr>
          <w:rFonts w:asciiTheme="minorHAnsi" w:hAnsiTheme="minorHAnsi" w:cs="Calibri"/>
          <w:color w:val="000000"/>
          <w:lang w:val="en-GB" w:eastAsia="en-US"/>
        </w:rPr>
        <w:t xml:space="preserve"> approved the WMP CR 2015–2024, the </w:t>
      </w:r>
      <w:r w:rsidRPr="00EA5F4B">
        <w:rPr>
          <w:rFonts w:asciiTheme="minorHAnsi" w:hAnsiTheme="minorHAnsi" w:cs="Calibri"/>
          <w:i/>
          <w:color w:val="000000"/>
          <w:lang w:val="en-GB" w:eastAsia="en-US"/>
        </w:rPr>
        <w:t>Waste Prevention Programme</w:t>
      </w:r>
      <w:r w:rsidRPr="00EA5F4B">
        <w:rPr>
          <w:rFonts w:asciiTheme="minorHAnsi" w:hAnsiTheme="minorHAnsi" w:cs="Calibri"/>
          <w:color w:val="000000"/>
          <w:lang w:val="en-GB" w:eastAsia="en-US"/>
        </w:rPr>
        <w:t>, the regional WMPs</w:t>
      </w:r>
      <w:r w:rsidR="007C06F6">
        <w:rPr>
          <w:rFonts w:asciiTheme="minorHAnsi" w:hAnsiTheme="minorHAnsi" w:cs="Calibri"/>
          <w:color w:val="000000"/>
          <w:lang w:val="en-GB" w:eastAsia="en-US"/>
        </w:rPr>
        <w:t>,</w:t>
      </w:r>
      <w:r w:rsidRPr="00EA5F4B">
        <w:rPr>
          <w:rFonts w:asciiTheme="minorHAnsi" w:hAnsiTheme="minorHAnsi" w:cs="Calibri"/>
          <w:color w:val="000000"/>
          <w:lang w:val="en-GB" w:eastAsia="en-US"/>
        </w:rPr>
        <w:t xml:space="preserve"> and OPE 2014–2020. At the level of legislative measures, the </w:t>
      </w:r>
      <w:proofErr w:type="spellStart"/>
      <w:r w:rsidRPr="00EA5F4B">
        <w:rPr>
          <w:rFonts w:asciiTheme="minorHAnsi" w:hAnsiTheme="minorHAnsi" w:cs="Calibri"/>
          <w:color w:val="000000"/>
          <w:lang w:val="en-GB" w:eastAsia="en-US"/>
        </w:rPr>
        <w:t>MoE</w:t>
      </w:r>
      <w:proofErr w:type="spellEnd"/>
      <w:r w:rsidRPr="00EA5F4B">
        <w:rPr>
          <w:rFonts w:asciiTheme="minorHAnsi" w:hAnsiTheme="minorHAnsi" w:cs="Calibri"/>
          <w:color w:val="000000"/>
          <w:lang w:val="en-GB" w:eastAsia="en-US"/>
        </w:rPr>
        <w:t xml:space="preserve"> introduced mandatory sorting of biological waste, prohibited the landfilling of recyclable and reusable waste starting in 2014</w:t>
      </w:r>
      <w:r w:rsidR="007C06F6">
        <w:rPr>
          <w:rFonts w:asciiTheme="minorHAnsi" w:hAnsiTheme="minorHAnsi" w:cs="Calibri"/>
          <w:color w:val="000000"/>
          <w:lang w:val="en-GB" w:eastAsia="en-US"/>
        </w:rPr>
        <w:t>,</w:t>
      </w:r>
      <w:r w:rsidRPr="00EA5F4B">
        <w:rPr>
          <w:rFonts w:asciiTheme="minorHAnsi" w:hAnsiTheme="minorHAnsi" w:cs="Calibri"/>
          <w:color w:val="000000"/>
          <w:lang w:val="en-GB" w:eastAsia="en-US"/>
        </w:rPr>
        <w:t xml:space="preserve"> and prepared a new Waste Act. At the level of economic ins</w:t>
      </w:r>
      <w:r w:rsidR="007C06F6">
        <w:rPr>
          <w:rFonts w:asciiTheme="minorHAnsi" w:hAnsiTheme="minorHAnsi" w:cs="Calibri"/>
          <w:color w:val="000000"/>
          <w:lang w:val="en-GB" w:eastAsia="en-US"/>
        </w:rPr>
        <w:t xml:space="preserve">truments, the </w:t>
      </w:r>
      <w:proofErr w:type="spellStart"/>
      <w:r w:rsidR="007C06F6">
        <w:rPr>
          <w:rFonts w:asciiTheme="minorHAnsi" w:hAnsiTheme="minorHAnsi" w:cs="Calibri"/>
          <w:color w:val="000000"/>
          <w:lang w:val="en-GB" w:eastAsia="en-US"/>
        </w:rPr>
        <w:t>MoE</w:t>
      </w:r>
      <w:proofErr w:type="spellEnd"/>
      <w:r w:rsidR="007C06F6">
        <w:rPr>
          <w:rFonts w:asciiTheme="minorHAnsi" w:hAnsiTheme="minorHAnsi" w:cs="Calibri"/>
          <w:color w:val="000000"/>
          <w:lang w:val="en-GB" w:eastAsia="en-US"/>
        </w:rPr>
        <w:t xml:space="preserve"> is making use</w:t>
      </w:r>
      <w:r w:rsidRPr="00EA5F4B">
        <w:rPr>
          <w:rFonts w:asciiTheme="minorHAnsi" w:hAnsiTheme="minorHAnsi" w:cs="Calibri"/>
          <w:color w:val="000000"/>
          <w:lang w:val="en-GB" w:eastAsia="en-US"/>
        </w:rPr>
        <w:t xml:space="preserve"> of the funds under OPE 2014–2020 and the national programme </w:t>
      </w:r>
      <w:r w:rsidRPr="00EA5F4B">
        <w:rPr>
          <w:rFonts w:asciiTheme="minorHAnsi" w:hAnsiTheme="minorHAnsi" w:cs="Calibri"/>
          <w:i/>
          <w:color w:val="000000"/>
          <w:lang w:val="en-GB" w:eastAsia="en-US"/>
        </w:rPr>
        <w:t>Environment</w:t>
      </w:r>
      <w:r w:rsidRPr="00EA5F4B">
        <w:rPr>
          <w:rFonts w:asciiTheme="minorHAnsi" w:hAnsiTheme="minorHAnsi" w:cs="Calibri"/>
          <w:color w:val="000000"/>
          <w:lang w:val="en-GB" w:eastAsia="en-US"/>
        </w:rPr>
        <w:t xml:space="preserve">. The </w:t>
      </w:r>
      <w:proofErr w:type="spellStart"/>
      <w:r w:rsidRPr="00EA5F4B">
        <w:rPr>
          <w:rFonts w:asciiTheme="minorHAnsi" w:hAnsiTheme="minorHAnsi" w:cs="Calibri"/>
          <w:color w:val="000000"/>
          <w:lang w:val="en-GB" w:eastAsia="en-US"/>
        </w:rPr>
        <w:t>MoE</w:t>
      </w:r>
      <w:proofErr w:type="spellEnd"/>
      <w:r w:rsidRPr="00EA5F4B">
        <w:rPr>
          <w:rFonts w:asciiTheme="minorHAnsi" w:hAnsiTheme="minorHAnsi" w:cs="Calibri"/>
          <w:color w:val="000000"/>
          <w:lang w:val="en-GB" w:eastAsia="en-US"/>
        </w:rPr>
        <w:t xml:space="preserve"> does not however have an overview of what the specific needs are for the capacity of facilities for processing BMW and thus nor</w:t>
      </w:r>
      <w:r w:rsidR="0064682E">
        <w:rPr>
          <w:rFonts w:asciiTheme="minorHAnsi" w:hAnsiTheme="minorHAnsi" w:cs="Calibri"/>
          <w:color w:val="000000"/>
          <w:lang w:val="en-GB" w:eastAsia="en-US"/>
        </w:rPr>
        <w:t xml:space="preserve"> of</w:t>
      </w:r>
      <w:r w:rsidRPr="00EA5F4B">
        <w:rPr>
          <w:rFonts w:asciiTheme="minorHAnsi" w:hAnsiTheme="minorHAnsi" w:cs="Calibri"/>
          <w:color w:val="000000"/>
          <w:lang w:val="en-GB" w:eastAsia="en-US"/>
        </w:rPr>
        <w:t xml:space="preserve"> the associated funding needs for the creation thereof so that the Czech Republic can meet the </w:t>
      </w:r>
      <w:r w:rsidRPr="00EA5F4B">
        <w:rPr>
          <w:rFonts w:asciiTheme="minorHAnsi" w:hAnsiTheme="minorHAnsi" w:cs="Calibri"/>
          <w:i/>
          <w:color w:val="000000"/>
          <w:lang w:val="en-GB" w:eastAsia="en-US"/>
        </w:rPr>
        <w:t>Landfill Directive</w:t>
      </w:r>
      <w:r w:rsidRPr="00EA5F4B">
        <w:rPr>
          <w:rFonts w:asciiTheme="minorHAnsi" w:hAnsiTheme="minorHAnsi" w:cs="Calibri"/>
          <w:color w:val="000000"/>
          <w:lang w:val="en-GB" w:eastAsia="en-US"/>
        </w:rPr>
        <w:t xml:space="preserve"> target set for 2020</w:t>
      </w:r>
      <w:r w:rsidR="00452B25" w:rsidRPr="00EA5F4B">
        <w:rPr>
          <w:rFonts w:asciiTheme="minorHAnsi" w:hAnsiTheme="minorHAnsi" w:cs="Calibri"/>
          <w:color w:val="000000"/>
          <w:lang w:val="en-GB" w:eastAsia="en-US"/>
        </w:rPr>
        <w:t>.</w:t>
      </w:r>
    </w:p>
    <w:p w:rsidR="007C06F6" w:rsidRDefault="007C06F6" w:rsidP="00425E62">
      <w:pPr>
        <w:spacing w:line="280" w:lineRule="atLeast"/>
        <w:ind w:right="70"/>
        <w:contextualSpacing/>
        <w:jc w:val="both"/>
        <w:rPr>
          <w:rFonts w:asciiTheme="minorHAnsi" w:hAnsiTheme="minorHAnsi" w:cs="Calibri"/>
          <w:color w:val="000000"/>
          <w:lang w:val="en-GB" w:eastAsia="en-US"/>
        </w:rPr>
      </w:pPr>
    </w:p>
    <w:p w:rsidR="007C06F6" w:rsidRPr="00EA5F4B" w:rsidRDefault="007C06F6" w:rsidP="00425E62">
      <w:pPr>
        <w:spacing w:line="280" w:lineRule="atLeast"/>
        <w:ind w:right="70"/>
        <w:contextualSpacing/>
        <w:jc w:val="both"/>
        <w:rPr>
          <w:rFonts w:asciiTheme="minorHAnsi" w:hAnsiTheme="minorHAnsi" w:cs="Calibri"/>
          <w:color w:val="000000"/>
          <w:lang w:val="en-GB" w:eastAsia="en-US"/>
        </w:rPr>
      </w:pPr>
    </w:p>
    <w:p w:rsidR="00A40DDA" w:rsidRPr="00EA5F4B" w:rsidRDefault="00424198" w:rsidP="00452B25">
      <w:pPr>
        <w:pStyle w:val="Odstavecseseznamem"/>
        <w:numPr>
          <w:ilvl w:val="0"/>
          <w:numId w:val="36"/>
        </w:numPr>
        <w:spacing w:line="280" w:lineRule="atLeast"/>
        <w:jc w:val="both"/>
        <w:rPr>
          <w:rFonts w:asciiTheme="minorHAnsi" w:hAnsiTheme="minorHAnsi" w:cs="Arial"/>
          <w:b/>
          <w:lang w:val="en-GB"/>
        </w:rPr>
      </w:pPr>
      <w:bookmarkStart w:id="1" w:name="HIA"/>
      <w:bookmarkEnd w:id="1"/>
      <w:r w:rsidRPr="00EA5F4B">
        <w:rPr>
          <w:rFonts w:asciiTheme="minorHAnsi" w:hAnsiTheme="minorHAnsi" w:cs="Arial"/>
          <w:b/>
          <w:lang w:val="en-GB"/>
        </w:rPr>
        <w:t xml:space="preserve">Inconsistent approach to </w:t>
      </w:r>
      <w:r w:rsidR="008E3F52">
        <w:rPr>
          <w:rFonts w:asciiTheme="minorHAnsi" w:hAnsiTheme="minorHAnsi" w:cs="Arial"/>
          <w:b/>
          <w:lang w:val="en-GB"/>
        </w:rPr>
        <w:t xml:space="preserve">support </w:t>
      </w:r>
      <w:r w:rsidRPr="00EA5F4B">
        <w:rPr>
          <w:rFonts w:asciiTheme="minorHAnsi" w:hAnsiTheme="minorHAnsi" w:cs="Arial"/>
          <w:b/>
          <w:lang w:val="en-GB"/>
        </w:rPr>
        <w:t xml:space="preserve">beneficiaries from OPE </w:t>
      </w:r>
      <w:r w:rsidR="00A40DDA" w:rsidRPr="00EA5F4B">
        <w:rPr>
          <w:rFonts w:asciiTheme="minorHAnsi" w:hAnsiTheme="minorHAnsi" w:cs="Arial"/>
          <w:b/>
          <w:lang w:val="en-GB"/>
        </w:rPr>
        <w:t>2007</w:t>
      </w:r>
      <w:r w:rsidR="00824AB6" w:rsidRPr="00EA5F4B">
        <w:rPr>
          <w:rFonts w:asciiTheme="minorHAnsi" w:hAnsiTheme="minorHAnsi" w:cs="Arial"/>
          <w:b/>
          <w:lang w:val="en-GB"/>
        </w:rPr>
        <w:t>–</w:t>
      </w:r>
      <w:r w:rsidR="00A40DDA" w:rsidRPr="00EA5F4B">
        <w:rPr>
          <w:rFonts w:asciiTheme="minorHAnsi" w:hAnsiTheme="minorHAnsi" w:cs="Arial"/>
          <w:b/>
          <w:lang w:val="en-GB"/>
        </w:rPr>
        <w:t>2013</w:t>
      </w:r>
    </w:p>
    <w:p w:rsidR="001D0705" w:rsidRPr="00EA5F4B" w:rsidRDefault="001D0705" w:rsidP="00E41664">
      <w:pPr>
        <w:widowControl w:val="0"/>
        <w:spacing w:line="280" w:lineRule="atLeast"/>
        <w:jc w:val="both"/>
        <w:rPr>
          <w:rFonts w:asciiTheme="minorHAnsi" w:hAnsiTheme="minorHAnsi" w:cstheme="minorHAnsi"/>
          <w:lang w:val="en-GB"/>
        </w:rPr>
      </w:pPr>
    </w:p>
    <w:p w:rsidR="00EC5552" w:rsidRPr="00EA5F4B" w:rsidRDefault="00424198" w:rsidP="004D0FEA">
      <w:pPr>
        <w:spacing w:line="280" w:lineRule="atLeast"/>
        <w:contextualSpacing/>
        <w:jc w:val="both"/>
        <w:rPr>
          <w:rFonts w:asciiTheme="minorHAnsi" w:hAnsiTheme="minorHAnsi"/>
          <w:color w:val="000000"/>
          <w:lang w:val="en-GB"/>
        </w:rPr>
      </w:pPr>
      <w:r w:rsidRPr="00EA5F4B">
        <w:rPr>
          <w:rFonts w:asciiTheme="minorHAnsi" w:hAnsiTheme="minorHAnsi" w:cstheme="minorHAnsi"/>
          <w:lang w:val="en-GB"/>
        </w:rPr>
        <w:t xml:space="preserve">The </w:t>
      </w:r>
      <w:proofErr w:type="spellStart"/>
      <w:r w:rsidRPr="00EA5F4B">
        <w:rPr>
          <w:rFonts w:asciiTheme="minorHAnsi" w:hAnsiTheme="minorHAnsi" w:cstheme="minorHAnsi"/>
          <w:lang w:val="en-GB"/>
        </w:rPr>
        <w:t>MoE</w:t>
      </w:r>
      <w:proofErr w:type="spellEnd"/>
      <w:r w:rsidRPr="00EA5F4B">
        <w:rPr>
          <w:rFonts w:asciiTheme="minorHAnsi" w:hAnsiTheme="minorHAnsi" w:cstheme="minorHAnsi"/>
          <w:lang w:val="en-GB"/>
        </w:rPr>
        <w:t xml:space="preserve"> rules for allocating </w:t>
      </w:r>
      <w:r w:rsidR="008E3F52">
        <w:rPr>
          <w:rFonts w:asciiTheme="minorHAnsi" w:hAnsiTheme="minorHAnsi" w:cstheme="minorHAnsi"/>
          <w:lang w:val="en-GB"/>
        </w:rPr>
        <w:t>subsidy</w:t>
      </w:r>
      <w:r w:rsidRPr="00EA5F4B">
        <w:rPr>
          <w:rFonts w:asciiTheme="minorHAnsi" w:hAnsiTheme="minorHAnsi" w:cstheme="minorHAnsi"/>
          <w:lang w:val="en-GB"/>
        </w:rPr>
        <w:t xml:space="preserve"> during the 2007–2013 programming period initially </w:t>
      </w:r>
      <w:r w:rsidR="004D0FEA" w:rsidRPr="00EA5F4B">
        <w:rPr>
          <w:rFonts w:asciiTheme="minorHAnsi" w:hAnsiTheme="minorHAnsi" w:cstheme="minorHAnsi"/>
          <w:lang w:val="en-GB"/>
        </w:rPr>
        <w:t xml:space="preserve">allowed the approval of projects where there existed a contractual lien in favour of a third party on the land for implementation thereof at the time the application was submitted. Starting in August 2012, the </w:t>
      </w:r>
      <w:proofErr w:type="spellStart"/>
      <w:r w:rsidR="004D0FEA" w:rsidRPr="00EA5F4B">
        <w:rPr>
          <w:rFonts w:asciiTheme="minorHAnsi" w:hAnsiTheme="minorHAnsi" w:cstheme="minorHAnsi"/>
          <w:lang w:val="en-GB"/>
        </w:rPr>
        <w:t>MoE</w:t>
      </w:r>
      <w:proofErr w:type="spellEnd"/>
      <w:r w:rsidR="004D0FEA" w:rsidRPr="00EA5F4B">
        <w:rPr>
          <w:rFonts w:asciiTheme="minorHAnsi" w:hAnsiTheme="minorHAnsi" w:cstheme="minorHAnsi"/>
          <w:lang w:val="en-GB"/>
        </w:rPr>
        <w:t xml:space="preserve"> altered the rules so as not to permit assistance for projects on land with a contractual lien in favour of a third party. Over the course of implementation of OPE 2007–2013</w:t>
      </w:r>
      <w:r w:rsidR="008E3F52">
        <w:rPr>
          <w:rFonts w:asciiTheme="minorHAnsi" w:hAnsiTheme="minorHAnsi" w:cstheme="minorHAnsi"/>
          <w:lang w:val="en-GB"/>
        </w:rPr>
        <w:t>,</w:t>
      </w:r>
      <w:r w:rsidR="004D0FEA" w:rsidRPr="00EA5F4B">
        <w:rPr>
          <w:rFonts w:asciiTheme="minorHAnsi" w:hAnsiTheme="minorHAnsi" w:cstheme="minorHAnsi"/>
          <w:lang w:val="en-GB"/>
        </w:rPr>
        <w:t xml:space="preserve"> the </w:t>
      </w:r>
      <w:proofErr w:type="spellStart"/>
      <w:r w:rsidR="004D0FEA" w:rsidRPr="00EA5F4B">
        <w:rPr>
          <w:rFonts w:asciiTheme="minorHAnsi" w:hAnsiTheme="minorHAnsi" w:cstheme="minorHAnsi"/>
          <w:lang w:val="en-GB"/>
        </w:rPr>
        <w:t>MoE</w:t>
      </w:r>
      <w:proofErr w:type="spellEnd"/>
      <w:r w:rsidR="004D0FEA" w:rsidRPr="00EA5F4B">
        <w:rPr>
          <w:rFonts w:asciiTheme="minorHAnsi" w:hAnsiTheme="minorHAnsi" w:cstheme="minorHAnsi"/>
          <w:lang w:val="en-GB"/>
        </w:rPr>
        <w:t xml:space="preserve"> thus did not apply a consistent approach to beneficiaries.</w:t>
      </w:r>
    </w:p>
    <w:p w:rsidR="003C52C7" w:rsidRPr="00EA5F4B" w:rsidRDefault="003C52C7" w:rsidP="00E41664">
      <w:pPr>
        <w:widowControl w:val="0"/>
        <w:spacing w:line="280" w:lineRule="atLeast"/>
        <w:jc w:val="both"/>
        <w:rPr>
          <w:rFonts w:asciiTheme="minorHAnsi" w:hAnsiTheme="minorHAnsi" w:cstheme="minorHAnsi"/>
          <w:lang w:val="en-GB"/>
        </w:rPr>
      </w:pPr>
    </w:p>
    <w:p w:rsidR="00772F0A" w:rsidRPr="00EA5F4B" w:rsidRDefault="004D0FEA" w:rsidP="004D0FEA">
      <w:pPr>
        <w:spacing w:line="280" w:lineRule="atLeast"/>
        <w:jc w:val="both"/>
        <w:rPr>
          <w:rFonts w:ascii="Calibri" w:hAnsi="Calibri" w:cs="Calibri"/>
          <w:lang w:val="en-GB"/>
        </w:rPr>
      </w:pPr>
      <w:r w:rsidRPr="00EA5F4B">
        <w:rPr>
          <w:rFonts w:asciiTheme="minorHAnsi" w:hAnsiTheme="minorHAnsi" w:cstheme="minorHAnsi"/>
          <w:lang w:val="en-GB"/>
        </w:rPr>
        <w:t xml:space="preserve">For example, for the project </w:t>
      </w:r>
      <w:r w:rsidRPr="00EA5F4B">
        <w:rPr>
          <w:rFonts w:asciiTheme="minorHAnsi" w:hAnsiTheme="minorHAnsi" w:cstheme="minorHAnsi"/>
          <w:i/>
          <w:lang w:val="en-GB"/>
        </w:rPr>
        <w:t xml:space="preserve">Expansion of treatment line for sorted plastic waste from municipal sources and increasing the capacity of production lines for the processing of plastic waste at Transform </w:t>
      </w:r>
      <w:proofErr w:type="spellStart"/>
      <w:r w:rsidRPr="00EA5F4B">
        <w:rPr>
          <w:rFonts w:asciiTheme="minorHAnsi" w:hAnsiTheme="minorHAnsi" w:cstheme="minorHAnsi"/>
          <w:i/>
          <w:lang w:val="en-GB"/>
        </w:rPr>
        <w:t>Lázně</w:t>
      </w:r>
      <w:proofErr w:type="spellEnd"/>
      <w:r w:rsidRPr="00EA5F4B">
        <w:rPr>
          <w:rFonts w:asciiTheme="minorHAnsi" w:hAnsiTheme="minorHAnsi" w:cstheme="minorHAnsi"/>
          <w:i/>
          <w:lang w:val="en-GB"/>
        </w:rPr>
        <w:t xml:space="preserve"> </w:t>
      </w:r>
      <w:proofErr w:type="spellStart"/>
      <w:r w:rsidRPr="00EA5F4B">
        <w:rPr>
          <w:rFonts w:asciiTheme="minorHAnsi" w:hAnsiTheme="minorHAnsi" w:cstheme="minorHAnsi"/>
          <w:i/>
          <w:lang w:val="en-GB"/>
        </w:rPr>
        <w:t>Bohdaneč</w:t>
      </w:r>
      <w:proofErr w:type="spellEnd"/>
      <w:r w:rsidRPr="00EA5F4B">
        <w:rPr>
          <w:rFonts w:asciiTheme="minorHAnsi" w:hAnsiTheme="minorHAnsi" w:cstheme="minorHAnsi"/>
          <w:lang w:val="en-GB"/>
        </w:rPr>
        <w:t>, the lands for implementation were burdened by a contractual lien in favour of a third party. In 2008</w:t>
      </w:r>
      <w:r w:rsidR="008E3F52">
        <w:rPr>
          <w:rFonts w:asciiTheme="minorHAnsi" w:hAnsiTheme="minorHAnsi" w:cstheme="minorHAnsi"/>
          <w:lang w:val="en-GB"/>
        </w:rPr>
        <w:t>,</w:t>
      </w:r>
      <w:r w:rsidRPr="00EA5F4B">
        <w:rPr>
          <w:rFonts w:asciiTheme="minorHAnsi" w:hAnsiTheme="minorHAnsi" w:cstheme="minorHAnsi"/>
          <w:lang w:val="en-GB"/>
        </w:rPr>
        <w:t xml:space="preserve"> a subsidy was provided to the beneficiary in accordance with the rules. Through this approach, the </w:t>
      </w:r>
      <w:proofErr w:type="spellStart"/>
      <w:r w:rsidRPr="00EA5F4B">
        <w:rPr>
          <w:rFonts w:asciiTheme="minorHAnsi" w:hAnsiTheme="minorHAnsi" w:cstheme="minorHAnsi"/>
          <w:lang w:val="en-GB"/>
        </w:rPr>
        <w:t>MoE</w:t>
      </w:r>
      <w:proofErr w:type="spellEnd"/>
      <w:r w:rsidRPr="00EA5F4B">
        <w:rPr>
          <w:rFonts w:asciiTheme="minorHAnsi" w:hAnsiTheme="minorHAnsi" w:cstheme="minorHAnsi"/>
          <w:lang w:val="en-GB"/>
        </w:rPr>
        <w:t xml:space="preserve"> exposed this project to the risk of not fulfilling its purpose and not meeting the condition of sustainability. This risk ended upon expiration of the sustainability period for the project on 14 October 2016. In contrast, for the project </w:t>
      </w:r>
      <w:proofErr w:type="spellStart"/>
      <w:r w:rsidRPr="00EA5F4B">
        <w:rPr>
          <w:rFonts w:asciiTheme="minorHAnsi" w:hAnsiTheme="minorHAnsi" w:cstheme="minorHAnsi"/>
          <w:i/>
          <w:lang w:val="en-GB"/>
        </w:rPr>
        <w:t>Kožichovice</w:t>
      </w:r>
      <w:proofErr w:type="spellEnd"/>
      <w:r w:rsidRPr="00EA5F4B">
        <w:rPr>
          <w:rFonts w:asciiTheme="minorHAnsi" w:hAnsiTheme="minorHAnsi" w:cstheme="minorHAnsi"/>
          <w:i/>
          <w:lang w:val="en-GB"/>
        </w:rPr>
        <w:t xml:space="preserve"> Collection Yard</w:t>
      </w:r>
      <w:r w:rsidRPr="00EA5F4B">
        <w:rPr>
          <w:rFonts w:asciiTheme="minorHAnsi" w:hAnsiTheme="minorHAnsi" w:cstheme="minorHAnsi"/>
          <w:lang w:val="en-GB"/>
        </w:rPr>
        <w:t xml:space="preserve">, the beneficiary submitted the background documents for issuing of a DPS in November 2012. Before the DPS was issued, a contractual lien in favour of a third party was registered in the Land Registry on the land for project implementation. The DPS was only issued by the </w:t>
      </w:r>
      <w:proofErr w:type="spellStart"/>
      <w:r w:rsidRPr="00EA5F4B">
        <w:rPr>
          <w:rFonts w:asciiTheme="minorHAnsi" w:hAnsiTheme="minorHAnsi" w:cstheme="minorHAnsi"/>
          <w:lang w:val="en-GB"/>
        </w:rPr>
        <w:t>MoE</w:t>
      </w:r>
      <w:proofErr w:type="spellEnd"/>
      <w:r w:rsidRPr="00EA5F4B">
        <w:rPr>
          <w:rFonts w:asciiTheme="minorHAnsi" w:hAnsiTheme="minorHAnsi" w:cstheme="minorHAnsi"/>
          <w:lang w:val="en-GB"/>
        </w:rPr>
        <w:t xml:space="preserve"> in August 2013 after the beneficiary provided evidence that the contractual lien on the property in question had been annulled.</w:t>
      </w:r>
    </w:p>
    <w:p w:rsidR="002242F4" w:rsidRPr="00EA5F4B" w:rsidRDefault="002242F4" w:rsidP="00E41664">
      <w:pPr>
        <w:widowControl w:val="0"/>
        <w:spacing w:line="280" w:lineRule="atLeast"/>
        <w:jc w:val="both"/>
        <w:rPr>
          <w:rFonts w:asciiTheme="minorHAnsi" w:hAnsiTheme="minorHAnsi" w:cstheme="minorHAnsi"/>
          <w:lang w:val="en-GB"/>
        </w:rPr>
      </w:pPr>
    </w:p>
    <w:p w:rsidR="00452B25" w:rsidRPr="00EA5F4B" w:rsidRDefault="00452B25" w:rsidP="00E41664">
      <w:pPr>
        <w:widowControl w:val="0"/>
        <w:spacing w:line="280" w:lineRule="atLeast"/>
        <w:jc w:val="both"/>
        <w:rPr>
          <w:rFonts w:asciiTheme="minorHAnsi" w:hAnsiTheme="minorHAnsi" w:cstheme="minorHAnsi"/>
          <w:lang w:val="en-GB"/>
        </w:rPr>
      </w:pPr>
    </w:p>
    <w:p w:rsidR="00A40DDA" w:rsidRPr="00EA5F4B" w:rsidRDefault="004D0FEA" w:rsidP="00452B25">
      <w:pPr>
        <w:pStyle w:val="Odstavecseseznamem"/>
        <w:numPr>
          <w:ilvl w:val="0"/>
          <w:numId w:val="36"/>
        </w:numPr>
        <w:spacing w:line="280" w:lineRule="atLeast"/>
        <w:jc w:val="both"/>
        <w:rPr>
          <w:rFonts w:asciiTheme="minorHAnsi" w:hAnsiTheme="minorHAnsi" w:cs="Arial"/>
          <w:b/>
          <w:lang w:val="en-GB"/>
        </w:rPr>
      </w:pPr>
      <w:r w:rsidRPr="00EA5F4B">
        <w:rPr>
          <w:rFonts w:asciiTheme="minorHAnsi" w:hAnsiTheme="minorHAnsi" w:cs="Arial"/>
          <w:b/>
          <w:lang w:val="en-GB"/>
        </w:rPr>
        <w:t>Differing</w:t>
      </w:r>
      <w:r w:rsidR="00963ECC" w:rsidRPr="00EA5F4B">
        <w:rPr>
          <w:rFonts w:asciiTheme="minorHAnsi" w:hAnsiTheme="minorHAnsi" w:cs="Arial"/>
          <w:b/>
          <w:lang w:val="en-GB"/>
        </w:rPr>
        <w:t xml:space="preserve"> values in reporting data on waste production in the Czech Republic</w:t>
      </w:r>
    </w:p>
    <w:p w:rsidR="002242F4" w:rsidRPr="00EA5F4B" w:rsidRDefault="002242F4" w:rsidP="00E41664">
      <w:pPr>
        <w:spacing w:line="280" w:lineRule="atLeast"/>
        <w:jc w:val="both"/>
        <w:rPr>
          <w:rFonts w:asciiTheme="minorHAnsi" w:hAnsiTheme="minorHAnsi" w:cs="Calibri"/>
          <w:lang w:val="en-GB"/>
        </w:rPr>
      </w:pPr>
    </w:p>
    <w:p w:rsidR="002B7BF6" w:rsidRPr="00EA5F4B" w:rsidRDefault="00963ECC" w:rsidP="00963ECC">
      <w:pPr>
        <w:spacing w:line="280" w:lineRule="atLeast"/>
        <w:jc w:val="both"/>
        <w:rPr>
          <w:rFonts w:asciiTheme="minorHAnsi" w:hAnsiTheme="minorHAnsi" w:cs="Calibri"/>
          <w:lang w:val="en-GB" w:eastAsia="en-US"/>
        </w:rPr>
      </w:pPr>
      <w:r w:rsidRPr="00EA5F4B">
        <w:rPr>
          <w:rFonts w:asciiTheme="minorHAnsi" w:hAnsiTheme="minorHAnsi" w:cs="Calibri"/>
          <w:lang w:val="en-GB" w:eastAsia="en-US"/>
        </w:rPr>
        <w:t xml:space="preserve">In the programming periods 2007–2013 and 2014–2020, the </w:t>
      </w:r>
      <w:proofErr w:type="spellStart"/>
      <w:r w:rsidRPr="00EA5F4B">
        <w:rPr>
          <w:rFonts w:asciiTheme="minorHAnsi" w:hAnsiTheme="minorHAnsi" w:cs="Calibri"/>
          <w:lang w:val="en-GB" w:eastAsia="en-US"/>
        </w:rPr>
        <w:t>MoE</w:t>
      </w:r>
      <w:proofErr w:type="spellEnd"/>
      <w:r w:rsidRPr="00EA5F4B">
        <w:rPr>
          <w:rFonts w:asciiTheme="minorHAnsi" w:hAnsiTheme="minorHAnsi" w:cs="Calibri"/>
          <w:lang w:val="en-GB" w:eastAsia="en-US"/>
        </w:rPr>
        <w:t xml:space="preserve"> endeavoured to provide assistance under OPE 2007–2013 and OPE 2014–2020 for projects to build new major </w:t>
      </w:r>
      <w:r w:rsidR="009D297B" w:rsidRPr="00EA5F4B">
        <w:rPr>
          <w:rFonts w:asciiTheme="minorHAnsi" w:hAnsiTheme="minorHAnsi" w:cs="Calibri"/>
          <w:lang w:val="en-GB" w:eastAsia="en-US"/>
        </w:rPr>
        <w:t>facilities</w:t>
      </w:r>
      <w:r w:rsidR="009D297B">
        <w:rPr>
          <w:rFonts w:asciiTheme="minorHAnsi" w:hAnsiTheme="minorHAnsi" w:cs="Calibri"/>
          <w:lang w:val="en-GB" w:eastAsia="en-US"/>
        </w:rPr>
        <w:t xml:space="preserve"> for </w:t>
      </w:r>
      <w:r w:rsidRPr="00EA5F4B">
        <w:rPr>
          <w:rFonts w:asciiTheme="minorHAnsi" w:hAnsiTheme="minorHAnsi" w:cs="Calibri"/>
          <w:lang w:val="en-GB" w:eastAsia="en-US"/>
        </w:rPr>
        <w:t xml:space="preserve">energy recovery </w:t>
      </w:r>
      <w:r w:rsidR="003421FA">
        <w:rPr>
          <w:rFonts w:asciiTheme="minorHAnsi" w:hAnsiTheme="minorHAnsi" w:cs="Calibri"/>
          <w:lang w:val="en-GB" w:eastAsia="en-US"/>
        </w:rPr>
        <w:t>from waste</w:t>
      </w:r>
      <w:r w:rsidRPr="00EA5F4B">
        <w:rPr>
          <w:rFonts w:asciiTheme="minorHAnsi" w:hAnsiTheme="minorHAnsi" w:cs="Calibri"/>
          <w:lang w:val="en-GB" w:eastAsia="en-US"/>
        </w:rPr>
        <w:t xml:space="preserve"> ("</w:t>
      </w:r>
      <w:r w:rsidR="009D297B">
        <w:rPr>
          <w:rFonts w:asciiTheme="minorHAnsi" w:hAnsiTheme="minorHAnsi" w:cs="Calibri"/>
          <w:lang w:val="en-GB" w:eastAsia="en-US"/>
        </w:rPr>
        <w:t>FER</w:t>
      </w:r>
      <w:r w:rsidR="003421FA">
        <w:rPr>
          <w:rFonts w:asciiTheme="minorHAnsi" w:hAnsiTheme="minorHAnsi" w:cs="Calibri"/>
          <w:lang w:val="en-GB" w:eastAsia="en-US"/>
        </w:rPr>
        <w:t>W</w:t>
      </w:r>
      <w:r w:rsidRPr="00EA5F4B">
        <w:rPr>
          <w:rFonts w:asciiTheme="minorHAnsi" w:hAnsiTheme="minorHAnsi" w:cs="Calibri"/>
          <w:lang w:val="en-GB" w:eastAsia="en-US"/>
        </w:rPr>
        <w:t xml:space="preserve">s"). The </w:t>
      </w:r>
      <w:proofErr w:type="spellStart"/>
      <w:r w:rsidRPr="00EA5F4B">
        <w:rPr>
          <w:rFonts w:asciiTheme="minorHAnsi" w:hAnsiTheme="minorHAnsi" w:cs="Calibri"/>
          <w:lang w:val="en-GB" w:eastAsia="en-US"/>
        </w:rPr>
        <w:t>MoE</w:t>
      </w:r>
      <w:proofErr w:type="spellEnd"/>
      <w:r w:rsidRPr="00EA5F4B">
        <w:rPr>
          <w:rFonts w:asciiTheme="minorHAnsi" w:hAnsiTheme="minorHAnsi" w:cs="Calibri"/>
          <w:lang w:val="en-GB" w:eastAsia="en-US"/>
        </w:rPr>
        <w:t xml:space="preserve"> did not however manage to demonstrate to the European Commission the need to increase the capacity of energy recovery from waste in the Czech Republic</w:t>
      </w:r>
      <w:r w:rsidR="002B7BF6" w:rsidRPr="00EA5F4B">
        <w:rPr>
          <w:rFonts w:asciiTheme="minorHAnsi" w:hAnsiTheme="minorHAnsi" w:cs="Calibri"/>
          <w:lang w:val="en-GB" w:eastAsia="en-US"/>
        </w:rPr>
        <w:t>.</w:t>
      </w:r>
    </w:p>
    <w:p w:rsidR="002B7BF6" w:rsidRPr="00EA5F4B" w:rsidRDefault="002B7BF6" w:rsidP="00E41664">
      <w:pPr>
        <w:spacing w:line="280" w:lineRule="atLeast"/>
        <w:jc w:val="both"/>
        <w:rPr>
          <w:rFonts w:asciiTheme="minorHAnsi" w:hAnsiTheme="minorHAnsi" w:cs="Calibri"/>
          <w:lang w:val="en-GB" w:eastAsia="en-US"/>
        </w:rPr>
      </w:pPr>
    </w:p>
    <w:p w:rsidR="002B7BF6" w:rsidRPr="00EA5F4B" w:rsidRDefault="00963ECC" w:rsidP="00963ECC">
      <w:pPr>
        <w:spacing w:line="280" w:lineRule="atLeast"/>
        <w:jc w:val="both"/>
        <w:rPr>
          <w:rFonts w:asciiTheme="minorHAnsi" w:hAnsiTheme="minorHAnsi" w:cs="Calibri"/>
          <w:lang w:val="en-GB" w:eastAsia="en-US"/>
        </w:rPr>
      </w:pPr>
      <w:r w:rsidRPr="00EA5F4B">
        <w:rPr>
          <w:rFonts w:asciiTheme="minorHAnsi" w:hAnsiTheme="minorHAnsi" w:cs="Calibri"/>
          <w:lang w:val="en-GB" w:eastAsia="en-US"/>
        </w:rPr>
        <w:t xml:space="preserve">At the end of the 2007–2013 programming period, there was a change in the position of the Commission on providing funding from EU funds for building new major </w:t>
      </w:r>
      <w:r w:rsidR="009D297B">
        <w:rPr>
          <w:rFonts w:asciiTheme="minorHAnsi" w:hAnsiTheme="minorHAnsi" w:cs="Calibri"/>
          <w:lang w:val="en-GB" w:eastAsia="en-US"/>
        </w:rPr>
        <w:t>FERW</w:t>
      </w:r>
      <w:r w:rsidRPr="00EA5F4B">
        <w:rPr>
          <w:rFonts w:asciiTheme="minorHAnsi" w:hAnsiTheme="minorHAnsi" w:cs="Calibri"/>
          <w:lang w:val="en-GB" w:eastAsia="en-US"/>
        </w:rPr>
        <w:t xml:space="preserve">s in EU </w:t>
      </w:r>
      <w:r w:rsidRPr="00EA5F4B">
        <w:rPr>
          <w:rFonts w:asciiTheme="minorHAnsi" w:hAnsiTheme="minorHAnsi" w:cs="Calibri"/>
          <w:lang w:val="en-GB" w:eastAsia="en-US"/>
        </w:rPr>
        <w:lastRenderedPageBreak/>
        <w:t>Member States. The Commission is bolstering the role of prevention, recycling</w:t>
      </w:r>
      <w:r w:rsidR="003421FA">
        <w:rPr>
          <w:rFonts w:asciiTheme="minorHAnsi" w:hAnsiTheme="minorHAnsi" w:cs="Calibri"/>
          <w:lang w:val="en-GB" w:eastAsia="en-US"/>
        </w:rPr>
        <w:t>,</w:t>
      </w:r>
      <w:r w:rsidRPr="00EA5F4B">
        <w:rPr>
          <w:rFonts w:asciiTheme="minorHAnsi" w:hAnsiTheme="minorHAnsi" w:cs="Calibri"/>
          <w:lang w:val="en-GB" w:eastAsia="en-US"/>
        </w:rPr>
        <w:t xml:space="preserve"> and reuse of waste, moving towards limiting the energy use of waste to non-recyclable materials and to gradually phasing out the landfilling of recyclable and reusable waste. At the same time</w:t>
      </w:r>
      <w:r w:rsidR="003421FA">
        <w:rPr>
          <w:rFonts w:asciiTheme="minorHAnsi" w:hAnsiTheme="minorHAnsi" w:cs="Calibri"/>
          <w:lang w:val="en-GB" w:eastAsia="en-US"/>
        </w:rPr>
        <w:t>,</w:t>
      </w:r>
      <w:r w:rsidRPr="00EA5F4B">
        <w:rPr>
          <w:rFonts w:asciiTheme="minorHAnsi" w:hAnsiTheme="minorHAnsi" w:cs="Calibri"/>
          <w:lang w:val="en-GB" w:eastAsia="en-US"/>
        </w:rPr>
        <w:t xml:space="preserve"> the Commission has restricted the provision of funding from EU funds for building new major </w:t>
      </w:r>
      <w:r w:rsidR="009D297B">
        <w:rPr>
          <w:rFonts w:asciiTheme="minorHAnsi" w:hAnsiTheme="minorHAnsi" w:cs="Calibri"/>
          <w:lang w:val="en-GB" w:eastAsia="en-US"/>
        </w:rPr>
        <w:t>FERW</w:t>
      </w:r>
      <w:r w:rsidRPr="00EA5F4B">
        <w:rPr>
          <w:rFonts w:asciiTheme="minorHAnsi" w:hAnsiTheme="minorHAnsi" w:cs="Calibri"/>
          <w:lang w:val="en-GB" w:eastAsia="en-US"/>
        </w:rPr>
        <w:t xml:space="preserve">s and only provides assistance in duly justified cases where there is no risk of excessive capacity and </w:t>
      </w:r>
      <w:r w:rsidR="0064682E">
        <w:rPr>
          <w:rFonts w:asciiTheme="minorHAnsi" w:hAnsiTheme="minorHAnsi" w:cs="Calibri"/>
          <w:lang w:val="en-GB" w:eastAsia="en-US"/>
        </w:rPr>
        <w:t xml:space="preserve">where </w:t>
      </w:r>
      <w:r w:rsidRPr="00EA5F4B">
        <w:rPr>
          <w:rFonts w:asciiTheme="minorHAnsi" w:hAnsiTheme="minorHAnsi" w:cs="Calibri"/>
          <w:lang w:val="en-GB" w:eastAsia="en-US"/>
        </w:rPr>
        <w:t xml:space="preserve">the goals of </w:t>
      </w:r>
      <w:r w:rsidR="0064682E">
        <w:rPr>
          <w:rFonts w:asciiTheme="minorHAnsi" w:hAnsiTheme="minorHAnsi" w:cs="Calibri"/>
          <w:lang w:val="en-GB" w:eastAsia="en-US"/>
        </w:rPr>
        <w:t xml:space="preserve">the </w:t>
      </w:r>
      <w:r w:rsidRPr="00EA5F4B">
        <w:rPr>
          <w:rFonts w:asciiTheme="minorHAnsi" w:hAnsiTheme="minorHAnsi" w:cs="Calibri"/>
          <w:lang w:val="en-GB" w:eastAsia="en-US"/>
        </w:rPr>
        <w:t>waste management hierarchy are fully respected</w:t>
      </w:r>
      <w:r w:rsidR="00F10062" w:rsidRPr="00EA5F4B">
        <w:rPr>
          <w:rFonts w:asciiTheme="minorHAnsi" w:hAnsiTheme="minorHAnsi" w:cs="Calibri"/>
          <w:lang w:val="en-GB" w:eastAsia="en-US"/>
        </w:rPr>
        <w:t>.</w:t>
      </w:r>
    </w:p>
    <w:p w:rsidR="002B7BF6" w:rsidRPr="00EA5F4B" w:rsidRDefault="002B7BF6" w:rsidP="00E41664">
      <w:pPr>
        <w:spacing w:line="280" w:lineRule="atLeast"/>
        <w:jc w:val="both"/>
        <w:rPr>
          <w:rFonts w:asciiTheme="minorHAnsi" w:hAnsiTheme="minorHAnsi" w:cs="Calibri"/>
          <w:lang w:val="en-GB" w:eastAsia="en-US"/>
        </w:rPr>
      </w:pPr>
    </w:p>
    <w:p w:rsidR="001D0705" w:rsidRPr="00EA5F4B" w:rsidRDefault="00963ECC" w:rsidP="00FD10FA">
      <w:pPr>
        <w:spacing w:line="280" w:lineRule="atLeast"/>
        <w:jc w:val="both"/>
        <w:rPr>
          <w:rFonts w:asciiTheme="minorHAnsi" w:hAnsiTheme="minorHAnsi"/>
          <w:lang w:val="en-GB"/>
        </w:rPr>
      </w:pPr>
      <w:r w:rsidRPr="00EA5F4B">
        <w:rPr>
          <w:rFonts w:asciiTheme="minorHAnsi" w:hAnsiTheme="minorHAnsi" w:cs="Calibri"/>
          <w:lang w:val="en-GB" w:eastAsia="en-US"/>
        </w:rPr>
        <w:t xml:space="preserve">One of the important factors that ultimately led to the </w:t>
      </w:r>
      <w:r w:rsidR="00FD10FA" w:rsidRPr="00EA5F4B">
        <w:rPr>
          <w:rFonts w:asciiTheme="minorHAnsi" w:hAnsiTheme="minorHAnsi" w:cs="Calibri"/>
          <w:lang w:val="en-GB" w:eastAsia="en-US"/>
        </w:rPr>
        <w:t xml:space="preserve">negative stance of the Commission on providing assistance for the construction of new major </w:t>
      </w:r>
      <w:r w:rsidR="009D297B">
        <w:rPr>
          <w:rFonts w:asciiTheme="minorHAnsi" w:hAnsiTheme="minorHAnsi" w:cs="Calibri"/>
          <w:lang w:val="en-GB" w:eastAsia="en-US"/>
        </w:rPr>
        <w:t>FERW</w:t>
      </w:r>
      <w:r w:rsidR="00FD10FA" w:rsidRPr="00EA5F4B">
        <w:rPr>
          <w:rFonts w:asciiTheme="minorHAnsi" w:hAnsiTheme="minorHAnsi" w:cs="Calibri"/>
          <w:lang w:val="en-GB" w:eastAsia="en-US"/>
        </w:rPr>
        <w:t xml:space="preserve">s in the Czech Republic is the fact that there are considerable differences in the Czech Republic between the values on waste production reported by </w:t>
      </w:r>
      <w:r w:rsidR="003421FA">
        <w:rPr>
          <w:rFonts w:asciiTheme="minorHAnsi" w:hAnsiTheme="minorHAnsi" w:cs="Calibri"/>
          <w:lang w:val="en-GB" w:eastAsia="en-US"/>
        </w:rPr>
        <w:t xml:space="preserve">the </w:t>
      </w:r>
      <w:r w:rsidR="00FD10FA" w:rsidRPr="00EA5F4B">
        <w:rPr>
          <w:rFonts w:asciiTheme="minorHAnsi" w:hAnsiTheme="minorHAnsi" w:cs="Calibri"/>
          <w:lang w:val="en-GB" w:eastAsia="en-US"/>
        </w:rPr>
        <w:t xml:space="preserve">CSO and those reported by the </w:t>
      </w:r>
      <w:proofErr w:type="spellStart"/>
      <w:r w:rsidR="00FD10FA" w:rsidRPr="00EA5F4B">
        <w:rPr>
          <w:rFonts w:asciiTheme="minorHAnsi" w:hAnsiTheme="minorHAnsi" w:cs="Calibri"/>
          <w:lang w:val="en-GB" w:eastAsia="en-US"/>
        </w:rPr>
        <w:t>MoE</w:t>
      </w:r>
      <w:proofErr w:type="spellEnd"/>
      <w:r w:rsidR="00FD10FA" w:rsidRPr="00EA5F4B">
        <w:rPr>
          <w:rFonts w:asciiTheme="minorHAnsi" w:hAnsiTheme="minorHAnsi" w:cs="Calibri"/>
          <w:lang w:val="en-GB" w:eastAsia="en-US"/>
        </w:rPr>
        <w:t xml:space="preserve">. </w:t>
      </w:r>
      <w:r w:rsidR="003421FA">
        <w:rPr>
          <w:rFonts w:asciiTheme="minorHAnsi" w:hAnsiTheme="minorHAnsi" w:cs="Calibri"/>
          <w:lang w:val="en-GB" w:eastAsia="en-US"/>
        </w:rPr>
        <w:t xml:space="preserve">The </w:t>
      </w:r>
      <w:r w:rsidR="00FD10FA" w:rsidRPr="00EA5F4B">
        <w:rPr>
          <w:rFonts w:asciiTheme="minorHAnsi" w:hAnsiTheme="minorHAnsi" w:cs="Calibri"/>
          <w:lang w:val="en-GB" w:eastAsia="en-US"/>
        </w:rPr>
        <w:t xml:space="preserve">CSO reports waste production values in accordance with the requirements of EU legislation and also provides them to Eurostat. </w:t>
      </w:r>
      <w:r w:rsidR="003421FA">
        <w:rPr>
          <w:rFonts w:asciiTheme="minorHAnsi" w:hAnsiTheme="minorHAnsi" w:cs="Calibri"/>
          <w:lang w:val="en-GB" w:eastAsia="en-US"/>
        </w:rPr>
        <w:t xml:space="preserve">The </w:t>
      </w:r>
      <w:proofErr w:type="spellStart"/>
      <w:r w:rsidR="00FD10FA" w:rsidRPr="00EA5F4B">
        <w:rPr>
          <w:rFonts w:asciiTheme="minorHAnsi" w:hAnsiTheme="minorHAnsi" w:cs="Calibri"/>
          <w:lang w:val="en-GB" w:eastAsia="en-US"/>
        </w:rPr>
        <w:t>MoE</w:t>
      </w:r>
      <w:proofErr w:type="spellEnd"/>
      <w:r w:rsidR="00FD10FA" w:rsidRPr="00EA5F4B">
        <w:rPr>
          <w:rFonts w:asciiTheme="minorHAnsi" w:hAnsiTheme="minorHAnsi" w:cs="Calibri"/>
          <w:lang w:val="en-GB" w:eastAsia="en-US"/>
        </w:rPr>
        <w:t xml:space="preserve"> draws on the WMIS, which keeps data on waste producers according to the requirements of national legislation. The volume of waste production, in particular municipal waste, is considerably higher according to </w:t>
      </w:r>
      <w:proofErr w:type="spellStart"/>
      <w:r w:rsidR="00FD10FA" w:rsidRPr="00EA5F4B">
        <w:rPr>
          <w:rFonts w:asciiTheme="minorHAnsi" w:hAnsiTheme="minorHAnsi" w:cs="Calibri"/>
          <w:lang w:val="en-GB" w:eastAsia="en-US"/>
        </w:rPr>
        <w:t>MoE</w:t>
      </w:r>
      <w:proofErr w:type="spellEnd"/>
      <w:r w:rsidR="00FD10FA" w:rsidRPr="00EA5F4B">
        <w:rPr>
          <w:rFonts w:asciiTheme="minorHAnsi" w:hAnsiTheme="minorHAnsi" w:cs="Calibri"/>
          <w:lang w:val="en-GB" w:eastAsia="en-US"/>
        </w:rPr>
        <w:t xml:space="preserve"> data. </w:t>
      </w:r>
      <w:proofErr w:type="spellStart"/>
      <w:r w:rsidR="00FD10FA" w:rsidRPr="00EA5F4B">
        <w:rPr>
          <w:rFonts w:asciiTheme="minorHAnsi" w:hAnsiTheme="minorHAnsi" w:cs="Calibri"/>
          <w:lang w:val="en-GB" w:eastAsia="en-US"/>
        </w:rPr>
        <w:t>MoE</w:t>
      </w:r>
      <w:proofErr w:type="spellEnd"/>
      <w:r w:rsidR="00FD10FA" w:rsidRPr="00EA5F4B">
        <w:rPr>
          <w:rFonts w:asciiTheme="minorHAnsi" w:hAnsiTheme="minorHAnsi" w:cs="Calibri"/>
          <w:lang w:val="en-GB" w:eastAsia="en-US"/>
        </w:rPr>
        <w:t xml:space="preserve"> data based on the WMIS is not however authoritative for the Commission. While the results of analyses based on </w:t>
      </w:r>
      <w:proofErr w:type="spellStart"/>
      <w:r w:rsidR="00FD10FA" w:rsidRPr="00EA5F4B">
        <w:rPr>
          <w:rFonts w:asciiTheme="minorHAnsi" w:hAnsiTheme="minorHAnsi" w:cs="Calibri"/>
          <w:lang w:val="en-GB" w:eastAsia="en-US"/>
        </w:rPr>
        <w:t>MoE</w:t>
      </w:r>
      <w:proofErr w:type="spellEnd"/>
      <w:r w:rsidR="00FD10FA" w:rsidRPr="00EA5F4B">
        <w:rPr>
          <w:rFonts w:asciiTheme="minorHAnsi" w:hAnsiTheme="minorHAnsi" w:cs="Calibri"/>
          <w:lang w:val="en-GB" w:eastAsia="en-US"/>
        </w:rPr>
        <w:t xml:space="preserve"> data predict the possibility of increasing the capacity of energy recovery from waste, the Commi</w:t>
      </w:r>
      <w:r w:rsidR="0064682E">
        <w:rPr>
          <w:rFonts w:asciiTheme="minorHAnsi" w:hAnsiTheme="minorHAnsi" w:cs="Calibri"/>
          <w:lang w:val="en-GB" w:eastAsia="en-US"/>
        </w:rPr>
        <w:t>s</w:t>
      </w:r>
      <w:r w:rsidR="00FD10FA" w:rsidRPr="00EA5F4B">
        <w:rPr>
          <w:rFonts w:asciiTheme="minorHAnsi" w:hAnsiTheme="minorHAnsi" w:cs="Calibri"/>
          <w:lang w:val="en-GB" w:eastAsia="en-US"/>
        </w:rPr>
        <w:t xml:space="preserve">sion, using Eurostat data, is of the opinion that construction of new major </w:t>
      </w:r>
      <w:r w:rsidR="009D297B">
        <w:rPr>
          <w:rFonts w:asciiTheme="minorHAnsi" w:hAnsiTheme="minorHAnsi" w:cs="Calibri"/>
          <w:lang w:val="en-GB" w:eastAsia="en-US"/>
        </w:rPr>
        <w:t>FERW</w:t>
      </w:r>
      <w:r w:rsidR="00FD10FA" w:rsidRPr="00EA5F4B">
        <w:rPr>
          <w:rFonts w:asciiTheme="minorHAnsi" w:hAnsiTheme="minorHAnsi" w:cs="Calibri"/>
          <w:lang w:val="en-GB" w:eastAsia="en-US"/>
        </w:rPr>
        <w:t xml:space="preserve">s could lead to excess capacity of energy recovery facilities and as a result act against increasing the level of reuse and recycling of waste. The </w:t>
      </w:r>
      <w:proofErr w:type="spellStart"/>
      <w:r w:rsidR="00FD10FA" w:rsidRPr="00EA5F4B">
        <w:rPr>
          <w:rFonts w:asciiTheme="minorHAnsi" w:hAnsiTheme="minorHAnsi" w:cs="Calibri"/>
          <w:lang w:val="en-GB" w:eastAsia="en-US"/>
        </w:rPr>
        <w:t>MoE</w:t>
      </w:r>
      <w:proofErr w:type="spellEnd"/>
      <w:r w:rsidR="00FD10FA" w:rsidRPr="00EA5F4B">
        <w:rPr>
          <w:rFonts w:asciiTheme="minorHAnsi" w:hAnsiTheme="minorHAnsi" w:cs="Calibri"/>
          <w:lang w:val="en-GB" w:eastAsia="en-US"/>
        </w:rPr>
        <w:t xml:space="preserve"> came to a consensual </w:t>
      </w:r>
      <w:r w:rsidR="0064682E">
        <w:rPr>
          <w:rFonts w:asciiTheme="minorHAnsi" w:hAnsiTheme="minorHAnsi" w:cs="Calibri"/>
          <w:lang w:val="en-GB" w:eastAsia="en-US"/>
        </w:rPr>
        <w:t>re</w:t>
      </w:r>
      <w:r w:rsidR="00FD10FA" w:rsidRPr="00EA5F4B">
        <w:rPr>
          <w:rFonts w:asciiTheme="minorHAnsi" w:hAnsiTheme="minorHAnsi" w:cs="Calibri"/>
          <w:lang w:val="en-GB" w:eastAsia="en-US"/>
        </w:rPr>
        <w:t xml:space="preserve">solution leading to harmonisation of statistical data on waste management in the Czech Republic during 2016. The </w:t>
      </w:r>
      <w:proofErr w:type="spellStart"/>
      <w:r w:rsidR="00FD10FA" w:rsidRPr="00EA5F4B">
        <w:rPr>
          <w:rFonts w:asciiTheme="minorHAnsi" w:hAnsiTheme="minorHAnsi" w:cs="Calibri"/>
          <w:lang w:val="en-GB" w:eastAsia="en-US"/>
        </w:rPr>
        <w:t>MoE</w:t>
      </w:r>
      <w:proofErr w:type="spellEnd"/>
      <w:r w:rsidR="00FD10FA" w:rsidRPr="00EA5F4B">
        <w:rPr>
          <w:rFonts w:asciiTheme="minorHAnsi" w:hAnsiTheme="minorHAnsi" w:cs="Calibri"/>
          <w:lang w:val="en-GB" w:eastAsia="en-US"/>
        </w:rPr>
        <w:t xml:space="preserve"> concluded an agreement with </w:t>
      </w:r>
      <w:r w:rsidR="003421FA">
        <w:rPr>
          <w:rFonts w:asciiTheme="minorHAnsi" w:hAnsiTheme="minorHAnsi" w:cs="Calibri"/>
          <w:lang w:val="en-GB" w:eastAsia="en-US"/>
        </w:rPr>
        <w:t xml:space="preserve">the </w:t>
      </w:r>
      <w:r w:rsidR="00FD10FA" w:rsidRPr="00EA5F4B">
        <w:rPr>
          <w:rFonts w:asciiTheme="minorHAnsi" w:hAnsiTheme="minorHAnsi" w:cs="Calibri"/>
          <w:lang w:val="en-GB" w:eastAsia="en-US"/>
        </w:rPr>
        <w:t xml:space="preserve">CSO and </w:t>
      </w:r>
      <w:r w:rsidR="003421FA">
        <w:rPr>
          <w:rFonts w:asciiTheme="minorHAnsi" w:hAnsiTheme="minorHAnsi" w:cs="Calibri"/>
          <w:lang w:val="en-GB" w:eastAsia="en-US"/>
        </w:rPr>
        <w:t xml:space="preserve">with </w:t>
      </w:r>
      <w:r w:rsidR="00FD10FA" w:rsidRPr="00EA5F4B">
        <w:rPr>
          <w:rFonts w:asciiTheme="minorHAnsi" w:hAnsiTheme="minorHAnsi" w:cs="Calibri"/>
          <w:lang w:val="en-GB" w:eastAsia="en-US"/>
        </w:rPr>
        <w:t xml:space="preserve">the Office of the Government in August 2016 that contains a plan on how to achieve gradual harmonisation of data on waste in the Czech Republic and ensure compliance with the demands of the European statistical system using data from the </w:t>
      </w:r>
      <w:proofErr w:type="spellStart"/>
      <w:r w:rsidR="00FD10FA" w:rsidRPr="00EA5F4B">
        <w:rPr>
          <w:rFonts w:asciiTheme="minorHAnsi" w:hAnsiTheme="minorHAnsi" w:cs="Calibri"/>
          <w:lang w:val="en-GB" w:eastAsia="en-US"/>
        </w:rPr>
        <w:t>MoE</w:t>
      </w:r>
      <w:proofErr w:type="spellEnd"/>
      <w:r w:rsidR="00FD10FA" w:rsidRPr="00EA5F4B">
        <w:rPr>
          <w:rFonts w:asciiTheme="minorHAnsi" w:hAnsiTheme="minorHAnsi" w:cs="Calibri"/>
          <w:lang w:val="en-GB" w:eastAsia="en-US"/>
        </w:rPr>
        <w:t xml:space="preserve"> information system within four years.</w:t>
      </w:r>
    </w:p>
    <w:p w:rsidR="00E41664" w:rsidRPr="00EA5F4B" w:rsidRDefault="00E41664" w:rsidP="00E41664">
      <w:pPr>
        <w:spacing w:line="280" w:lineRule="atLeast"/>
        <w:jc w:val="both"/>
        <w:rPr>
          <w:rFonts w:asciiTheme="minorHAnsi" w:hAnsiTheme="minorHAnsi" w:cs="Calibri"/>
          <w:color w:val="000000"/>
          <w:lang w:val="en-GB" w:eastAsia="en-US"/>
        </w:rPr>
      </w:pPr>
    </w:p>
    <w:p w:rsidR="00452B25" w:rsidRPr="00EA5F4B" w:rsidRDefault="00452B25" w:rsidP="00E41664">
      <w:pPr>
        <w:spacing w:line="280" w:lineRule="atLeast"/>
        <w:jc w:val="both"/>
        <w:rPr>
          <w:rFonts w:asciiTheme="minorHAnsi" w:hAnsiTheme="minorHAnsi" w:cs="Calibri"/>
          <w:color w:val="000000"/>
          <w:lang w:val="en-GB" w:eastAsia="en-US"/>
        </w:rPr>
      </w:pPr>
    </w:p>
    <w:p w:rsidR="00452B25" w:rsidRPr="00EA5F4B" w:rsidRDefault="00E474D1" w:rsidP="00452B25">
      <w:pPr>
        <w:pStyle w:val="Odstavecseseznamem"/>
        <w:numPr>
          <w:ilvl w:val="0"/>
          <w:numId w:val="36"/>
        </w:numPr>
        <w:spacing w:line="280" w:lineRule="atLeast"/>
        <w:jc w:val="both"/>
        <w:rPr>
          <w:rFonts w:asciiTheme="minorHAnsi" w:hAnsiTheme="minorHAnsi" w:cs="Arial"/>
          <w:b/>
          <w:lang w:val="en-GB"/>
        </w:rPr>
      </w:pPr>
      <w:r w:rsidRPr="00EA5F4B">
        <w:rPr>
          <w:rFonts w:asciiTheme="minorHAnsi" w:hAnsiTheme="minorHAnsi" w:cs="Arial"/>
          <w:b/>
          <w:lang w:val="en-GB"/>
        </w:rPr>
        <w:t>Delays in approval of final evaluations</w:t>
      </w:r>
    </w:p>
    <w:p w:rsidR="00452B25" w:rsidRPr="00EA5F4B" w:rsidRDefault="00452B25" w:rsidP="00452B25">
      <w:pPr>
        <w:widowControl w:val="0"/>
        <w:spacing w:line="280" w:lineRule="atLeast"/>
        <w:jc w:val="both"/>
        <w:rPr>
          <w:rFonts w:asciiTheme="minorHAnsi" w:hAnsiTheme="minorHAnsi" w:cstheme="minorHAnsi"/>
          <w:lang w:val="en-GB"/>
        </w:rPr>
      </w:pPr>
    </w:p>
    <w:p w:rsidR="00452B25" w:rsidRPr="00EA5F4B" w:rsidRDefault="009D297B" w:rsidP="00E474D1">
      <w:pPr>
        <w:widowControl w:val="0"/>
        <w:spacing w:line="280" w:lineRule="atLeast"/>
        <w:jc w:val="both"/>
        <w:rPr>
          <w:rFonts w:asciiTheme="minorHAnsi" w:hAnsiTheme="minorHAnsi" w:cstheme="minorHAnsi"/>
          <w:lang w:val="en-GB"/>
        </w:rPr>
      </w:pPr>
      <w:r>
        <w:rPr>
          <w:rFonts w:asciiTheme="minorHAnsi" w:hAnsiTheme="minorHAnsi" w:cs="Arial"/>
          <w:lang w:val="en-GB"/>
        </w:rPr>
        <w:t xml:space="preserve">The </w:t>
      </w:r>
      <w:r w:rsidR="00E474D1" w:rsidRPr="00EA5F4B">
        <w:rPr>
          <w:rFonts w:asciiTheme="minorHAnsi" w:hAnsiTheme="minorHAnsi" w:cs="Arial"/>
          <w:lang w:val="en-GB"/>
        </w:rPr>
        <w:t xml:space="preserve">SAO found delays at </w:t>
      </w:r>
      <w:r w:rsidR="00267B36">
        <w:rPr>
          <w:rFonts w:asciiTheme="minorHAnsi" w:hAnsiTheme="minorHAnsi" w:cs="Arial"/>
          <w:lang w:val="en-GB"/>
        </w:rPr>
        <w:t xml:space="preserve">the </w:t>
      </w:r>
      <w:r w:rsidR="00E474D1" w:rsidRPr="00EA5F4B">
        <w:rPr>
          <w:rFonts w:asciiTheme="minorHAnsi" w:hAnsiTheme="minorHAnsi" w:cs="Arial"/>
          <w:lang w:val="en-GB"/>
        </w:rPr>
        <w:t>SEF in the process of approving final evaluation of projects supported under OPE 2007–2013. In a control sample of 16 projects, by the end of the audit</w:t>
      </w:r>
      <w:r w:rsidR="00267B36">
        <w:rPr>
          <w:rFonts w:asciiTheme="minorHAnsi" w:hAnsiTheme="minorHAnsi" w:cs="Arial"/>
          <w:lang w:val="en-GB"/>
        </w:rPr>
        <w:t>,</w:t>
      </w:r>
      <w:r w:rsidR="00E474D1" w:rsidRPr="00EA5F4B">
        <w:rPr>
          <w:rFonts w:asciiTheme="minorHAnsi" w:hAnsiTheme="minorHAnsi" w:cs="Arial"/>
          <w:lang w:val="en-GB"/>
        </w:rPr>
        <w:t xml:space="preserve"> </w:t>
      </w:r>
      <w:r w:rsidR="00267B36">
        <w:rPr>
          <w:rFonts w:asciiTheme="minorHAnsi" w:hAnsiTheme="minorHAnsi" w:cs="Arial"/>
          <w:lang w:val="en-GB"/>
        </w:rPr>
        <w:t xml:space="preserve">the </w:t>
      </w:r>
      <w:r w:rsidR="00E474D1" w:rsidRPr="00EA5F4B">
        <w:rPr>
          <w:rFonts w:asciiTheme="minorHAnsi" w:hAnsiTheme="minorHAnsi" w:cs="Arial"/>
          <w:lang w:val="en-GB"/>
        </w:rPr>
        <w:t xml:space="preserve">SEF had approved a final project evaluation ("FPE") for only two of them. For example, for the project </w:t>
      </w:r>
      <w:r w:rsidR="00E474D1" w:rsidRPr="00EA5F4B">
        <w:rPr>
          <w:rFonts w:asciiTheme="minorHAnsi" w:hAnsiTheme="minorHAnsi" w:cs="Arial"/>
          <w:i/>
          <w:lang w:val="en-GB"/>
        </w:rPr>
        <w:t>Acquisition of modern technology for recycling construction waste</w:t>
      </w:r>
      <w:r w:rsidR="00E474D1" w:rsidRPr="00EA5F4B">
        <w:rPr>
          <w:rFonts w:asciiTheme="minorHAnsi" w:hAnsiTheme="minorHAnsi" w:cs="Arial"/>
          <w:lang w:val="en-GB"/>
        </w:rPr>
        <w:t xml:space="preserve">, the time between the deadline for the beneficiary to submit the background documentation for approval of the FPE and approval of the FPE by </w:t>
      </w:r>
      <w:r w:rsidR="00267B36">
        <w:rPr>
          <w:rFonts w:asciiTheme="minorHAnsi" w:hAnsiTheme="minorHAnsi" w:cs="Arial"/>
          <w:lang w:val="en-GB"/>
        </w:rPr>
        <w:t xml:space="preserve">the </w:t>
      </w:r>
      <w:r w:rsidR="00E474D1" w:rsidRPr="00EA5F4B">
        <w:rPr>
          <w:rFonts w:asciiTheme="minorHAnsi" w:hAnsiTheme="minorHAnsi" w:cs="Arial"/>
          <w:lang w:val="en-GB"/>
        </w:rPr>
        <w:t xml:space="preserve">SEF was 6 years and 3 months. In the case of the other 14 projects, the FPE had not been approved by </w:t>
      </w:r>
      <w:r>
        <w:rPr>
          <w:rFonts w:asciiTheme="minorHAnsi" w:hAnsiTheme="minorHAnsi" w:cs="Arial"/>
          <w:lang w:val="en-GB"/>
        </w:rPr>
        <w:t xml:space="preserve">the </w:t>
      </w:r>
      <w:r w:rsidR="00E474D1" w:rsidRPr="00EA5F4B">
        <w:rPr>
          <w:rFonts w:asciiTheme="minorHAnsi" w:hAnsiTheme="minorHAnsi" w:cs="Arial"/>
          <w:lang w:val="en-GB"/>
        </w:rPr>
        <w:t xml:space="preserve">SFE, yet in seven cases more than 5 years had passed since the aid beneficiary had submitted all documentation required for approving the FPE. For example, for the project </w:t>
      </w:r>
      <w:r w:rsidR="00E474D1" w:rsidRPr="00EA5F4B">
        <w:rPr>
          <w:rFonts w:asciiTheme="minorHAnsi" w:hAnsiTheme="minorHAnsi" w:cs="Arial"/>
          <w:i/>
          <w:lang w:val="en-GB"/>
        </w:rPr>
        <w:t>Equipment for collection and processing of construction and demolition waste</w:t>
      </w:r>
      <w:r w:rsidR="00E474D1" w:rsidRPr="00EA5F4B">
        <w:rPr>
          <w:rFonts w:asciiTheme="minorHAnsi" w:hAnsiTheme="minorHAnsi" w:cs="Arial"/>
          <w:lang w:val="en-GB"/>
        </w:rPr>
        <w:t xml:space="preserve">, the delay at the time the audit ended was 5 years and 8 months, and for the project </w:t>
      </w:r>
      <w:r w:rsidR="00E474D1" w:rsidRPr="00EA5F4B">
        <w:rPr>
          <w:rFonts w:asciiTheme="minorHAnsi" w:hAnsiTheme="minorHAnsi" w:cs="Arial"/>
          <w:i/>
          <w:lang w:val="en-GB"/>
        </w:rPr>
        <w:t>System for separation and mobile collection of organic waste</w:t>
      </w:r>
      <w:r w:rsidR="00E474D1" w:rsidRPr="00EA5F4B">
        <w:rPr>
          <w:rFonts w:asciiTheme="minorHAnsi" w:hAnsiTheme="minorHAnsi" w:cs="Arial"/>
          <w:lang w:val="en-GB"/>
        </w:rPr>
        <w:t xml:space="preserve"> it was 5 years and 6 months. </w:t>
      </w:r>
      <w:r w:rsidR="00267B36">
        <w:rPr>
          <w:rFonts w:asciiTheme="minorHAnsi" w:hAnsiTheme="minorHAnsi" w:cs="Arial"/>
          <w:lang w:val="en-GB"/>
        </w:rPr>
        <w:t xml:space="preserve">The </w:t>
      </w:r>
      <w:r w:rsidR="00E474D1" w:rsidRPr="00EA5F4B">
        <w:rPr>
          <w:rFonts w:asciiTheme="minorHAnsi" w:hAnsiTheme="minorHAnsi" w:cs="Arial"/>
          <w:lang w:val="en-GB"/>
        </w:rPr>
        <w:t>SEF only explained the delay in approving FPEs with the statement that for various technical, staffing</w:t>
      </w:r>
      <w:r>
        <w:rPr>
          <w:rFonts w:asciiTheme="minorHAnsi" w:hAnsiTheme="minorHAnsi" w:cs="Arial"/>
          <w:lang w:val="en-GB"/>
        </w:rPr>
        <w:t>,</w:t>
      </w:r>
      <w:r w:rsidR="00E474D1" w:rsidRPr="00EA5F4B">
        <w:rPr>
          <w:rFonts w:asciiTheme="minorHAnsi" w:hAnsiTheme="minorHAnsi" w:cs="Arial"/>
          <w:lang w:val="en-GB"/>
        </w:rPr>
        <w:t xml:space="preserve"> and methodological reasons the process of approving FPEs was late in being launched</w:t>
      </w:r>
      <w:r w:rsidR="00452B25" w:rsidRPr="00EA5F4B">
        <w:rPr>
          <w:rFonts w:asciiTheme="minorHAnsi" w:hAnsiTheme="minorHAnsi" w:cstheme="minorHAnsi"/>
          <w:lang w:val="en-GB"/>
        </w:rPr>
        <w:t>.</w:t>
      </w:r>
    </w:p>
    <w:p w:rsidR="00C25F73" w:rsidRPr="00EA5F4B" w:rsidRDefault="00C25F73" w:rsidP="00E41664">
      <w:pPr>
        <w:spacing w:line="280" w:lineRule="atLeast"/>
        <w:jc w:val="both"/>
        <w:rPr>
          <w:rFonts w:asciiTheme="minorHAnsi" w:hAnsiTheme="minorHAnsi" w:cs="Calibri"/>
          <w:color w:val="000000"/>
          <w:lang w:val="en-GB" w:eastAsia="en-US"/>
        </w:rPr>
      </w:pPr>
    </w:p>
    <w:p w:rsidR="00452B25" w:rsidRPr="00EA5F4B" w:rsidRDefault="00452B25" w:rsidP="00E41664">
      <w:pPr>
        <w:spacing w:line="280" w:lineRule="atLeast"/>
        <w:jc w:val="both"/>
        <w:rPr>
          <w:rFonts w:asciiTheme="minorHAnsi" w:hAnsiTheme="minorHAnsi" w:cs="Calibri"/>
          <w:color w:val="000000"/>
          <w:lang w:val="en-GB" w:eastAsia="en-US"/>
        </w:rPr>
      </w:pPr>
    </w:p>
    <w:p w:rsidR="00964155" w:rsidRPr="00EA5F4B" w:rsidRDefault="00964155" w:rsidP="00E41664">
      <w:pPr>
        <w:spacing w:line="280" w:lineRule="atLeast"/>
        <w:rPr>
          <w:rFonts w:asciiTheme="minorHAnsi" w:hAnsiTheme="minorHAnsi" w:cs="Arial"/>
          <w:b/>
          <w:lang w:val="en-GB"/>
        </w:rPr>
      </w:pPr>
      <w:r w:rsidRPr="00EA5F4B">
        <w:rPr>
          <w:rFonts w:asciiTheme="minorHAnsi" w:hAnsiTheme="minorHAnsi" w:cs="Arial"/>
          <w:b/>
          <w:lang w:val="en-GB"/>
        </w:rPr>
        <w:br w:type="page"/>
      </w:r>
    </w:p>
    <w:p w:rsidR="00964155" w:rsidRPr="00EA5F4B" w:rsidRDefault="00E474D1" w:rsidP="00E41664">
      <w:pPr>
        <w:spacing w:line="280" w:lineRule="atLeast"/>
        <w:jc w:val="both"/>
        <w:rPr>
          <w:rFonts w:asciiTheme="minorHAnsi" w:hAnsiTheme="minorHAnsi" w:cs="Calibri"/>
          <w:b/>
          <w:color w:val="000000"/>
          <w:sz w:val="28"/>
          <w:szCs w:val="28"/>
          <w:lang w:val="en-GB" w:eastAsia="en-US"/>
        </w:rPr>
      </w:pPr>
      <w:r w:rsidRPr="00EA5F4B">
        <w:rPr>
          <w:rFonts w:asciiTheme="minorHAnsi" w:hAnsiTheme="minorHAnsi" w:cs="Calibri"/>
          <w:b/>
          <w:color w:val="000000"/>
          <w:sz w:val="28"/>
          <w:szCs w:val="28"/>
          <w:lang w:val="en-GB" w:eastAsia="en-US"/>
        </w:rPr>
        <w:lastRenderedPageBreak/>
        <w:t>List of abbreviations</w:t>
      </w:r>
    </w:p>
    <w:p w:rsidR="00964155" w:rsidRPr="00EA5F4B" w:rsidRDefault="00964155" w:rsidP="00E41664">
      <w:pPr>
        <w:spacing w:line="280" w:lineRule="atLeast"/>
        <w:jc w:val="both"/>
        <w:rPr>
          <w:rFonts w:asciiTheme="minorHAnsi" w:hAnsiTheme="minorHAnsi" w:cs="Calibri"/>
          <w:color w:val="000000"/>
          <w:lang w:val="en-GB" w:eastAsia="en-US"/>
        </w:rPr>
      </w:pPr>
    </w:p>
    <w:p w:rsidR="00964155" w:rsidRPr="00EA5F4B" w:rsidRDefault="00964155" w:rsidP="00AD2FBD">
      <w:pPr>
        <w:spacing w:after="80" w:line="280" w:lineRule="atLeast"/>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B</w:t>
      </w:r>
      <w:r w:rsidR="00E474D1" w:rsidRPr="00EA5F4B">
        <w:rPr>
          <w:rFonts w:asciiTheme="minorHAnsi" w:hAnsiTheme="minorHAnsi" w:cs="Calibri"/>
          <w:color w:val="000000"/>
          <w:lang w:val="en-GB" w:eastAsia="en-US"/>
        </w:rPr>
        <w:t>MW</w:t>
      </w:r>
      <w:r w:rsidRPr="00EA5F4B">
        <w:rPr>
          <w:rFonts w:asciiTheme="minorHAnsi" w:hAnsiTheme="minorHAnsi" w:cs="Calibri"/>
          <w:color w:val="000000"/>
          <w:lang w:val="en-GB" w:eastAsia="en-US"/>
        </w:rPr>
        <w:tab/>
      </w:r>
      <w:r w:rsidRPr="00EA5F4B">
        <w:rPr>
          <w:rFonts w:asciiTheme="minorHAnsi" w:hAnsiTheme="minorHAnsi" w:cs="Calibri"/>
          <w:color w:val="000000"/>
          <w:lang w:val="en-GB" w:eastAsia="en-US"/>
        </w:rPr>
        <w:tab/>
      </w:r>
      <w:r w:rsidRPr="00EA5F4B">
        <w:rPr>
          <w:rFonts w:asciiTheme="minorHAnsi" w:hAnsiTheme="minorHAnsi" w:cs="Calibri"/>
          <w:color w:val="000000"/>
          <w:lang w:val="en-GB" w:eastAsia="en-US"/>
        </w:rPr>
        <w:tab/>
      </w:r>
      <w:r w:rsidR="00E474D1" w:rsidRPr="00EA5F4B">
        <w:rPr>
          <w:rFonts w:asciiTheme="minorHAnsi" w:hAnsiTheme="minorHAnsi" w:cs="Calibri"/>
          <w:color w:val="000000"/>
          <w:lang w:val="en-GB" w:eastAsia="en-US"/>
        </w:rPr>
        <w:t>biodegradable waste</w:t>
      </w:r>
    </w:p>
    <w:p w:rsidR="00964155" w:rsidRPr="00EA5F4B" w:rsidRDefault="00E474D1" w:rsidP="00AD2FBD">
      <w:pPr>
        <w:spacing w:after="80" w:line="280" w:lineRule="atLeast"/>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C</w:t>
      </w:r>
      <w:r w:rsidR="00964155" w:rsidRPr="00EA5F4B">
        <w:rPr>
          <w:rFonts w:asciiTheme="minorHAnsi" w:hAnsiTheme="minorHAnsi" w:cs="Calibri"/>
          <w:color w:val="000000"/>
          <w:lang w:val="en-GB" w:eastAsia="en-US"/>
        </w:rPr>
        <w:t>NB</w:t>
      </w:r>
      <w:r w:rsidR="00964155" w:rsidRPr="00EA5F4B">
        <w:rPr>
          <w:rFonts w:asciiTheme="minorHAnsi" w:hAnsiTheme="minorHAnsi" w:cs="Calibri"/>
          <w:color w:val="000000"/>
          <w:lang w:val="en-GB" w:eastAsia="en-US"/>
        </w:rPr>
        <w:tab/>
      </w:r>
      <w:r w:rsidR="00964155" w:rsidRPr="00EA5F4B">
        <w:rPr>
          <w:rFonts w:asciiTheme="minorHAnsi" w:hAnsiTheme="minorHAnsi" w:cs="Calibri"/>
          <w:color w:val="000000"/>
          <w:lang w:val="en-GB" w:eastAsia="en-US"/>
        </w:rPr>
        <w:tab/>
      </w:r>
      <w:r w:rsidR="00964155" w:rsidRPr="00EA5F4B">
        <w:rPr>
          <w:rFonts w:asciiTheme="minorHAnsi" w:hAnsiTheme="minorHAnsi" w:cs="Calibri"/>
          <w:color w:val="000000"/>
          <w:lang w:val="en-GB" w:eastAsia="en-US"/>
        </w:rPr>
        <w:tab/>
      </w:r>
      <w:r w:rsidRPr="00EA5F4B">
        <w:rPr>
          <w:rFonts w:asciiTheme="minorHAnsi" w:hAnsiTheme="minorHAnsi" w:cs="Calibri"/>
          <w:color w:val="000000"/>
          <w:lang w:val="en-GB" w:eastAsia="en-US"/>
        </w:rPr>
        <w:t>Czech National Bank</w:t>
      </w:r>
    </w:p>
    <w:p w:rsidR="00964155" w:rsidRPr="00EA5F4B" w:rsidRDefault="00E474D1" w:rsidP="00AD2FBD">
      <w:pPr>
        <w:spacing w:after="80" w:line="280" w:lineRule="atLeast"/>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C</w:t>
      </w:r>
      <w:r w:rsidR="00964155" w:rsidRPr="00EA5F4B">
        <w:rPr>
          <w:rFonts w:asciiTheme="minorHAnsi" w:hAnsiTheme="minorHAnsi" w:cs="Calibri"/>
          <w:color w:val="000000"/>
          <w:lang w:val="en-GB" w:eastAsia="en-US"/>
        </w:rPr>
        <w:t>R</w:t>
      </w:r>
      <w:r w:rsidR="00964155" w:rsidRPr="00EA5F4B">
        <w:rPr>
          <w:rFonts w:asciiTheme="minorHAnsi" w:hAnsiTheme="minorHAnsi" w:cs="Calibri"/>
          <w:color w:val="000000"/>
          <w:lang w:val="en-GB" w:eastAsia="en-US"/>
        </w:rPr>
        <w:tab/>
      </w:r>
      <w:r w:rsidR="00964155" w:rsidRPr="00EA5F4B">
        <w:rPr>
          <w:rFonts w:asciiTheme="minorHAnsi" w:hAnsiTheme="minorHAnsi" w:cs="Calibri"/>
          <w:color w:val="000000"/>
          <w:lang w:val="en-GB" w:eastAsia="en-US"/>
        </w:rPr>
        <w:tab/>
      </w:r>
      <w:r w:rsidR="00964155" w:rsidRPr="00EA5F4B">
        <w:rPr>
          <w:rFonts w:asciiTheme="minorHAnsi" w:hAnsiTheme="minorHAnsi" w:cs="Calibri"/>
          <w:color w:val="000000"/>
          <w:lang w:val="en-GB" w:eastAsia="en-US"/>
        </w:rPr>
        <w:tab/>
      </w:r>
      <w:r w:rsidRPr="00EA5F4B">
        <w:rPr>
          <w:rFonts w:asciiTheme="minorHAnsi" w:hAnsiTheme="minorHAnsi" w:cs="Calibri"/>
          <w:color w:val="000000"/>
          <w:lang w:val="en-GB" w:eastAsia="en-US"/>
        </w:rPr>
        <w:t xml:space="preserve">Czech Republic </w:t>
      </w:r>
    </w:p>
    <w:p w:rsidR="00964155" w:rsidRPr="00EA5F4B" w:rsidRDefault="00E474D1" w:rsidP="00AD2FBD">
      <w:pPr>
        <w:spacing w:after="80" w:line="280" w:lineRule="atLeast"/>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CSO</w:t>
      </w:r>
      <w:r w:rsidR="00964155" w:rsidRPr="00EA5F4B">
        <w:rPr>
          <w:rFonts w:asciiTheme="minorHAnsi" w:hAnsiTheme="minorHAnsi" w:cs="Calibri"/>
          <w:color w:val="000000"/>
          <w:lang w:val="en-GB" w:eastAsia="en-US"/>
        </w:rPr>
        <w:tab/>
      </w:r>
      <w:r w:rsidR="00964155" w:rsidRPr="00EA5F4B">
        <w:rPr>
          <w:rFonts w:asciiTheme="minorHAnsi" w:hAnsiTheme="minorHAnsi" w:cs="Calibri"/>
          <w:color w:val="000000"/>
          <w:lang w:val="en-GB" w:eastAsia="en-US"/>
        </w:rPr>
        <w:tab/>
      </w:r>
      <w:r w:rsidR="00964155" w:rsidRPr="00EA5F4B">
        <w:rPr>
          <w:rFonts w:asciiTheme="minorHAnsi" w:hAnsiTheme="minorHAnsi" w:cs="Calibri"/>
          <w:color w:val="000000"/>
          <w:lang w:val="en-GB" w:eastAsia="en-US"/>
        </w:rPr>
        <w:tab/>
      </w:r>
      <w:r w:rsidRPr="00EA5F4B">
        <w:rPr>
          <w:rFonts w:asciiTheme="minorHAnsi" w:hAnsiTheme="minorHAnsi" w:cs="Calibri"/>
          <w:color w:val="000000"/>
          <w:lang w:val="en-GB" w:eastAsia="en-US"/>
        </w:rPr>
        <w:t>Czech Statistical Office</w:t>
      </w:r>
    </w:p>
    <w:p w:rsidR="00964155" w:rsidRPr="00EA5F4B" w:rsidRDefault="00964155" w:rsidP="00AD2FBD">
      <w:pPr>
        <w:spacing w:after="80" w:line="280" w:lineRule="atLeast"/>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ECB</w:t>
      </w:r>
      <w:r w:rsidRPr="00EA5F4B">
        <w:rPr>
          <w:rFonts w:asciiTheme="minorHAnsi" w:hAnsiTheme="minorHAnsi" w:cs="Calibri"/>
          <w:color w:val="000000"/>
          <w:lang w:val="en-GB" w:eastAsia="en-US"/>
        </w:rPr>
        <w:tab/>
      </w:r>
      <w:r w:rsidRPr="00EA5F4B">
        <w:rPr>
          <w:rFonts w:asciiTheme="minorHAnsi" w:hAnsiTheme="minorHAnsi" w:cs="Calibri"/>
          <w:color w:val="000000"/>
          <w:lang w:val="en-GB" w:eastAsia="en-US"/>
        </w:rPr>
        <w:tab/>
      </w:r>
      <w:r w:rsidRPr="00EA5F4B">
        <w:rPr>
          <w:rFonts w:asciiTheme="minorHAnsi" w:hAnsiTheme="minorHAnsi" w:cs="Calibri"/>
          <w:color w:val="000000"/>
          <w:lang w:val="en-GB" w:eastAsia="en-US"/>
        </w:rPr>
        <w:tab/>
      </w:r>
      <w:r w:rsidR="00E474D1" w:rsidRPr="00EA5F4B">
        <w:rPr>
          <w:rFonts w:asciiTheme="minorHAnsi" w:hAnsiTheme="minorHAnsi" w:cs="Calibri"/>
          <w:color w:val="000000"/>
          <w:lang w:val="en-GB" w:eastAsia="en-US"/>
        </w:rPr>
        <w:t>European Central Bank</w:t>
      </w:r>
    </w:p>
    <w:p w:rsidR="009A0105" w:rsidRPr="00EA5F4B" w:rsidRDefault="009A0105" w:rsidP="00AD2FBD">
      <w:pPr>
        <w:spacing w:after="80" w:line="280" w:lineRule="atLeast"/>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EU</w:t>
      </w:r>
      <w:r w:rsidRPr="00EA5F4B">
        <w:rPr>
          <w:rFonts w:asciiTheme="minorHAnsi" w:hAnsiTheme="minorHAnsi" w:cs="Calibri"/>
          <w:color w:val="000000"/>
          <w:lang w:val="en-GB" w:eastAsia="en-US"/>
        </w:rPr>
        <w:tab/>
      </w:r>
      <w:r w:rsidRPr="00EA5F4B">
        <w:rPr>
          <w:rFonts w:asciiTheme="minorHAnsi" w:hAnsiTheme="minorHAnsi" w:cs="Calibri"/>
          <w:color w:val="000000"/>
          <w:lang w:val="en-GB" w:eastAsia="en-US"/>
        </w:rPr>
        <w:tab/>
      </w:r>
      <w:r w:rsidRPr="00EA5F4B">
        <w:rPr>
          <w:rFonts w:asciiTheme="minorHAnsi" w:hAnsiTheme="minorHAnsi" w:cs="Calibri"/>
          <w:color w:val="000000"/>
          <w:lang w:val="en-GB" w:eastAsia="en-US"/>
        </w:rPr>
        <w:tab/>
      </w:r>
      <w:r w:rsidR="00E474D1" w:rsidRPr="00EA5F4B">
        <w:rPr>
          <w:rFonts w:asciiTheme="minorHAnsi" w:hAnsiTheme="minorHAnsi" w:cs="Calibri"/>
          <w:color w:val="000000"/>
          <w:lang w:val="en-GB" w:eastAsia="en-US"/>
        </w:rPr>
        <w:t>European Union</w:t>
      </w:r>
    </w:p>
    <w:p w:rsidR="00964155" w:rsidRPr="00EA5F4B" w:rsidRDefault="00E474D1" w:rsidP="00AD2FBD">
      <w:pPr>
        <w:spacing w:after="80" w:line="280" w:lineRule="atLeast"/>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CF</w:t>
      </w:r>
      <w:r w:rsidR="00964155" w:rsidRPr="00EA5F4B">
        <w:rPr>
          <w:rFonts w:asciiTheme="minorHAnsi" w:hAnsiTheme="minorHAnsi" w:cs="Calibri"/>
          <w:color w:val="000000"/>
          <w:lang w:val="en-GB" w:eastAsia="en-US"/>
        </w:rPr>
        <w:tab/>
      </w:r>
      <w:r w:rsidR="00964155" w:rsidRPr="00EA5F4B">
        <w:rPr>
          <w:rFonts w:asciiTheme="minorHAnsi" w:hAnsiTheme="minorHAnsi" w:cs="Calibri"/>
          <w:color w:val="000000"/>
          <w:lang w:val="en-GB" w:eastAsia="en-US"/>
        </w:rPr>
        <w:tab/>
      </w:r>
      <w:r w:rsidR="00964155" w:rsidRPr="00EA5F4B">
        <w:rPr>
          <w:rFonts w:asciiTheme="minorHAnsi" w:hAnsiTheme="minorHAnsi" w:cs="Calibri"/>
          <w:color w:val="000000"/>
          <w:lang w:val="en-GB" w:eastAsia="en-US"/>
        </w:rPr>
        <w:tab/>
      </w:r>
      <w:r w:rsidRPr="00EA5F4B">
        <w:rPr>
          <w:rFonts w:asciiTheme="minorHAnsi" w:hAnsiTheme="minorHAnsi" w:cs="Calibri"/>
          <w:i/>
          <w:color w:val="000000"/>
          <w:lang w:val="en-GB" w:eastAsia="en-US"/>
        </w:rPr>
        <w:t>Cohesion Fund</w:t>
      </w:r>
    </w:p>
    <w:p w:rsidR="00964155" w:rsidRPr="00EA5F4B" w:rsidRDefault="00E474D1" w:rsidP="00AD2FBD">
      <w:pPr>
        <w:spacing w:after="80" w:line="280" w:lineRule="atLeast"/>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WMIS</w:t>
      </w:r>
      <w:r w:rsidR="00964155" w:rsidRPr="00EA5F4B">
        <w:rPr>
          <w:rFonts w:asciiTheme="minorHAnsi" w:hAnsiTheme="minorHAnsi" w:cs="Calibri"/>
          <w:color w:val="000000"/>
          <w:lang w:val="en-GB" w:eastAsia="en-US"/>
        </w:rPr>
        <w:tab/>
      </w:r>
      <w:r w:rsidR="00964155" w:rsidRPr="00EA5F4B">
        <w:rPr>
          <w:rFonts w:asciiTheme="minorHAnsi" w:hAnsiTheme="minorHAnsi" w:cs="Calibri"/>
          <w:color w:val="000000"/>
          <w:lang w:val="en-GB" w:eastAsia="en-US"/>
        </w:rPr>
        <w:tab/>
      </w:r>
      <w:r w:rsidR="00964155" w:rsidRPr="00EA5F4B">
        <w:rPr>
          <w:rFonts w:asciiTheme="minorHAnsi" w:hAnsiTheme="minorHAnsi" w:cs="Calibri"/>
          <w:color w:val="000000"/>
          <w:lang w:val="en-GB" w:eastAsia="en-US"/>
        </w:rPr>
        <w:tab/>
      </w:r>
      <w:r w:rsidRPr="00EA5F4B">
        <w:rPr>
          <w:rFonts w:asciiTheme="minorHAnsi" w:hAnsiTheme="minorHAnsi" w:cs="Calibri"/>
          <w:i/>
          <w:color w:val="000000"/>
          <w:lang w:val="en-GB" w:eastAsia="en-US"/>
        </w:rPr>
        <w:t>Waste Management Information System</w:t>
      </w:r>
    </w:p>
    <w:p w:rsidR="00964155" w:rsidRPr="00EA5F4B" w:rsidRDefault="00E474D1" w:rsidP="00AD2FBD">
      <w:pPr>
        <w:spacing w:after="80" w:line="280" w:lineRule="atLeast"/>
        <w:jc w:val="both"/>
        <w:rPr>
          <w:rFonts w:asciiTheme="minorHAnsi" w:hAnsiTheme="minorHAnsi" w:cs="Calibri"/>
          <w:color w:val="000000"/>
          <w:lang w:val="en-GB" w:eastAsia="en-US"/>
        </w:rPr>
      </w:pPr>
      <w:proofErr w:type="spellStart"/>
      <w:r w:rsidRPr="00EA5F4B">
        <w:rPr>
          <w:rFonts w:asciiTheme="minorHAnsi" w:hAnsiTheme="minorHAnsi" w:cs="Calibri"/>
          <w:color w:val="000000"/>
          <w:lang w:val="en-GB" w:eastAsia="en-US"/>
        </w:rPr>
        <w:t>MoE</w:t>
      </w:r>
      <w:proofErr w:type="spellEnd"/>
      <w:r w:rsidR="00964155" w:rsidRPr="00EA5F4B">
        <w:rPr>
          <w:rFonts w:asciiTheme="minorHAnsi" w:hAnsiTheme="minorHAnsi" w:cs="Calibri"/>
          <w:color w:val="000000"/>
          <w:lang w:val="en-GB" w:eastAsia="en-US"/>
        </w:rPr>
        <w:tab/>
      </w:r>
      <w:r w:rsidR="00964155" w:rsidRPr="00EA5F4B">
        <w:rPr>
          <w:rFonts w:asciiTheme="minorHAnsi" w:hAnsiTheme="minorHAnsi" w:cs="Calibri"/>
          <w:color w:val="000000"/>
          <w:lang w:val="en-GB" w:eastAsia="en-US"/>
        </w:rPr>
        <w:tab/>
      </w:r>
      <w:r w:rsidR="00964155" w:rsidRPr="00EA5F4B">
        <w:rPr>
          <w:rFonts w:asciiTheme="minorHAnsi" w:hAnsiTheme="minorHAnsi" w:cs="Calibri"/>
          <w:color w:val="000000"/>
          <w:lang w:val="en-GB" w:eastAsia="en-US"/>
        </w:rPr>
        <w:tab/>
      </w:r>
      <w:r w:rsidRPr="00EA5F4B">
        <w:rPr>
          <w:rFonts w:asciiTheme="minorHAnsi" w:hAnsiTheme="minorHAnsi" w:cs="Calibri"/>
          <w:color w:val="000000"/>
          <w:lang w:val="en-GB" w:eastAsia="en-US"/>
        </w:rPr>
        <w:t>Ministry of the Environment</w:t>
      </w:r>
    </w:p>
    <w:p w:rsidR="00964155" w:rsidRPr="00EA5F4B" w:rsidRDefault="00E474D1" w:rsidP="00AD2FBD">
      <w:pPr>
        <w:spacing w:after="80" w:line="280" w:lineRule="atLeast"/>
        <w:ind w:left="2127" w:hanging="2127"/>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SAO</w:t>
      </w:r>
      <w:r w:rsidR="00964155" w:rsidRPr="00EA5F4B">
        <w:rPr>
          <w:rFonts w:asciiTheme="minorHAnsi" w:hAnsiTheme="minorHAnsi" w:cs="Calibri"/>
          <w:color w:val="000000"/>
          <w:lang w:val="en-GB" w:eastAsia="en-US"/>
        </w:rPr>
        <w:tab/>
      </w:r>
      <w:r w:rsidRPr="00EA5F4B">
        <w:rPr>
          <w:rFonts w:asciiTheme="minorHAnsi" w:hAnsiTheme="minorHAnsi" w:cs="Calibri"/>
          <w:color w:val="000000"/>
          <w:lang w:val="en-GB" w:eastAsia="en-US"/>
        </w:rPr>
        <w:t>Supreme Audit Office</w:t>
      </w:r>
    </w:p>
    <w:p w:rsidR="009A0105" w:rsidRPr="00EA5F4B" w:rsidRDefault="009A0105" w:rsidP="00AD2FBD">
      <w:pPr>
        <w:spacing w:after="80" w:line="280" w:lineRule="atLeast"/>
        <w:ind w:left="2127" w:hanging="2127"/>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OP</w:t>
      </w:r>
      <w:r w:rsidR="00E474D1" w:rsidRPr="00EA5F4B">
        <w:rPr>
          <w:rFonts w:asciiTheme="minorHAnsi" w:hAnsiTheme="minorHAnsi" w:cs="Calibri"/>
          <w:color w:val="000000"/>
          <w:lang w:val="en-GB" w:eastAsia="en-US"/>
        </w:rPr>
        <w:t>E</w:t>
      </w:r>
      <w:r w:rsidRPr="00EA5F4B">
        <w:rPr>
          <w:rFonts w:asciiTheme="minorHAnsi" w:hAnsiTheme="minorHAnsi" w:cs="Calibri"/>
          <w:color w:val="000000"/>
          <w:lang w:val="en-GB" w:eastAsia="en-US"/>
        </w:rPr>
        <w:t xml:space="preserve"> 2007–2013</w:t>
      </w:r>
      <w:r w:rsidRPr="00EA5F4B">
        <w:rPr>
          <w:rFonts w:asciiTheme="minorHAnsi" w:hAnsiTheme="minorHAnsi" w:cs="Calibri"/>
          <w:color w:val="000000"/>
          <w:lang w:val="en-GB" w:eastAsia="en-US"/>
        </w:rPr>
        <w:tab/>
      </w:r>
      <w:r w:rsidR="00E474D1" w:rsidRPr="00EA5F4B">
        <w:rPr>
          <w:rFonts w:asciiTheme="minorHAnsi" w:hAnsiTheme="minorHAnsi" w:cs="Calibri"/>
          <w:color w:val="000000"/>
          <w:lang w:val="en-GB" w:eastAsia="en-US"/>
        </w:rPr>
        <w:t>Operational Programme</w:t>
      </w:r>
      <w:r w:rsidRPr="00EA5F4B">
        <w:rPr>
          <w:rStyle w:val="Siln"/>
          <w:rFonts w:asciiTheme="minorHAnsi" w:hAnsiTheme="minorHAnsi" w:cstheme="minorHAnsi"/>
          <w:b w:val="0"/>
          <w:lang w:val="en-GB"/>
        </w:rPr>
        <w:t xml:space="preserve"> </w:t>
      </w:r>
      <w:r w:rsidR="00E474D1" w:rsidRPr="00EA5F4B">
        <w:rPr>
          <w:rStyle w:val="Siln"/>
          <w:rFonts w:asciiTheme="minorHAnsi" w:hAnsiTheme="minorHAnsi" w:cstheme="minorHAnsi"/>
          <w:b w:val="0"/>
          <w:i/>
          <w:lang w:val="en-GB"/>
        </w:rPr>
        <w:t>Environment</w:t>
      </w:r>
      <w:r w:rsidRPr="00EA5F4B">
        <w:rPr>
          <w:rStyle w:val="Siln"/>
          <w:rFonts w:asciiTheme="minorHAnsi" w:hAnsiTheme="minorHAnsi" w:cstheme="minorHAnsi"/>
          <w:b w:val="0"/>
          <w:i/>
          <w:lang w:val="en-GB"/>
        </w:rPr>
        <w:t xml:space="preserve"> 2007–2013</w:t>
      </w:r>
    </w:p>
    <w:p w:rsidR="009A0105" w:rsidRPr="00EA5F4B" w:rsidRDefault="009A0105" w:rsidP="00AD2FBD">
      <w:pPr>
        <w:spacing w:after="80" w:line="280" w:lineRule="atLeast"/>
        <w:ind w:left="2127" w:hanging="2127"/>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OP</w:t>
      </w:r>
      <w:r w:rsidR="00E474D1" w:rsidRPr="00EA5F4B">
        <w:rPr>
          <w:rFonts w:asciiTheme="minorHAnsi" w:hAnsiTheme="minorHAnsi" w:cs="Calibri"/>
          <w:color w:val="000000"/>
          <w:lang w:val="en-GB" w:eastAsia="en-US"/>
        </w:rPr>
        <w:t>E</w:t>
      </w:r>
      <w:r w:rsidRPr="00EA5F4B">
        <w:rPr>
          <w:rFonts w:asciiTheme="minorHAnsi" w:hAnsiTheme="minorHAnsi" w:cs="Calibri"/>
          <w:color w:val="000000"/>
          <w:lang w:val="en-GB" w:eastAsia="en-US"/>
        </w:rPr>
        <w:t xml:space="preserve"> 2014–2020</w:t>
      </w:r>
      <w:r w:rsidRPr="00EA5F4B">
        <w:rPr>
          <w:rFonts w:asciiTheme="minorHAnsi" w:hAnsiTheme="minorHAnsi" w:cs="Calibri"/>
          <w:color w:val="000000"/>
          <w:lang w:val="en-GB" w:eastAsia="en-US"/>
        </w:rPr>
        <w:tab/>
      </w:r>
      <w:r w:rsidR="00E474D1" w:rsidRPr="00EA5F4B">
        <w:rPr>
          <w:rFonts w:asciiTheme="minorHAnsi" w:hAnsiTheme="minorHAnsi" w:cs="Calibri"/>
          <w:color w:val="000000"/>
          <w:lang w:val="en-GB" w:eastAsia="en-US"/>
        </w:rPr>
        <w:t>Operational Programme</w:t>
      </w:r>
      <w:r w:rsidRPr="00EA5F4B">
        <w:rPr>
          <w:rStyle w:val="Siln"/>
          <w:rFonts w:asciiTheme="minorHAnsi" w:hAnsiTheme="minorHAnsi" w:cstheme="minorHAnsi"/>
          <w:b w:val="0"/>
          <w:lang w:val="en-GB"/>
        </w:rPr>
        <w:t xml:space="preserve"> </w:t>
      </w:r>
      <w:r w:rsidR="00E474D1" w:rsidRPr="00EA5F4B">
        <w:rPr>
          <w:rStyle w:val="Siln"/>
          <w:rFonts w:asciiTheme="minorHAnsi" w:hAnsiTheme="minorHAnsi" w:cstheme="minorHAnsi"/>
          <w:b w:val="0"/>
          <w:i/>
          <w:lang w:val="en-GB"/>
        </w:rPr>
        <w:t>Environment</w:t>
      </w:r>
      <w:r w:rsidRPr="00EA5F4B">
        <w:rPr>
          <w:rStyle w:val="Siln"/>
          <w:rFonts w:asciiTheme="minorHAnsi" w:hAnsiTheme="minorHAnsi" w:cstheme="minorHAnsi"/>
          <w:b w:val="0"/>
          <w:i/>
          <w:lang w:val="en-GB"/>
        </w:rPr>
        <w:t xml:space="preserve"> 2014–2020</w:t>
      </w:r>
    </w:p>
    <w:p w:rsidR="00964155" w:rsidRPr="00EA5F4B" w:rsidRDefault="00E474D1" w:rsidP="00AD2FBD">
      <w:pPr>
        <w:spacing w:after="80" w:line="280" w:lineRule="atLeast"/>
        <w:ind w:left="2127" w:hanging="2127"/>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WMP CR</w:t>
      </w:r>
      <w:r w:rsidR="00964155" w:rsidRPr="00EA5F4B">
        <w:rPr>
          <w:rFonts w:asciiTheme="minorHAnsi" w:hAnsiTheme="minorHAnsi" w:cs="Calibri"/>
          <w:color w:val="000000"/>
          <w:lang w:val="en-GB" w:eastAsia="en-US"/>
        </w:rPr>
        <w:tab/>
      </w:r>
      <w:r w:rsidRPr="00EA5F4B">
        <w:rPr>
          <w:rFonts w:asciiTheme="minorHAnsi" w:hAnsiTheme="minorHAnsi" w:cs="Calibri"/>
          <w:color w:val="000000"/>
          <w:lang w:val="en-GB" w:eastAsia="en-US"/>
        </w:rPr>
        <w:t>Waste Management Plan of the Czech Republic</w:t>
      </w:r>
    </w:p>
    <w:p w:rsidR="00964155" w:rsidRPr="00EA5F4B" w:rsidRDefault="00E474D1" w:rsidP="00AD2FBD">
      <w:pPr>
        <w:spacing w:after="80" w:line="280" w:lineRule="atLeast"/>
        <w:ind w:left="2127" w:hanging="2127"/>
        <w:jc w:val="both"/>
        <w:rPr>
          <w:rFonts w:asciiTheme="minorHAnsi" w:hAnsiTheme="minorHAnsi" w:cs="Calibri"/>
          <w:color w:val="000000"/>
          <w:lang w:val="en-GB" w:eastAsia="en-US"/>
        </w:rPr>
      </w:pPr>
      <w:r w:rsidRPr="00EA5F4B">
        <w:rPr>
          <w:rFonts w:asciiTheme="minorHAnsi" w:hAnsiTheme="minorHAnsi" w:cs="Calibri"/>
          <w:color w:val="000000"/>
          <w:lang w:val="en-GB" w:eastAsia="en-US"/>
        </w:rPr>
        <w:t>DPS</w:t>
      </w:r>
      <w:r w:rsidR="00964155" w:rsidRPr="00EA5F4B">
        <w:rPr>
          <w:rFonts w:asciiTheme="minorHAnsi" w:hAnsiTheme="minorHAnsi" w:cs="Calibri"/>
          <w:color w:val="000000"/>
          <w:lang w:val="en-GB" w:eastAsia="en-US"/>
        </w:rPr>
        <w:tab/>
      </w:r>
      <w:r w:rsidRPr="00EA5F4B">
        <w:rPr>
          <w:rFonts w:asciiTheme="minorHAnsi" w:hAnsiTheme="minorHAnsi" w:cs="Calibri"/>
          <w:color w:val="000000"/>
          <w:lang w:val="en-GB" w:eastAsia="en-US"/>
        </w:rPr>
        <w:t>Decision on Provision of a Subsidy</w:t>
      </w:r>
    </w:p>
    <w:p w:rsidR="00964155" w:rsidRPr="00EA5F4B" w:rsidRDefault="00E474D1" w:rsidP="00AD2FBD">
      <w:pPr>
        <w:spacing w:after="80" w:line="280" w:lineRule="atLeast"/>
        <w:ind w:right="70"/>
        <w:contextualSpacing/>
        <w:jc w:val="both"/>
        <w:rPr>
          <w:rFonts w:asciiTheme="minorHAnsi" w:hAnsiTheme="minorHAnsi" w:cs="Arial"/>
          <w:lang w:val="en-GB"/>
        </w:rPr>
      </w:pPr>
      <w:r w:rsidRPr="00EA5F4B">
        <w:rPr>
          <w:rFonts w:asciiTheme="minorHAnsi" w:hAnsiTheme="minorHAnsi" w:cs="Arial"/>
          <w:lang w:val="en-GB"/>
        </w:rPr>
        <w:t>SEF</w:t>
      </w:r>
      <w:r w:rsidR="00964155" w:rsidRPr="00EA5F4B">
        <w:rPr>
          <w:rFonts w:asciiTheme="minorHAnsi" w:hAnsiTheme="minorHAnsi" w:cs="Arial"/>
          <w:lang w:val="en-GB"/>
        </w:rPr>
        <w:tab/>
      </w:r>
      <w:r w:rsidR="00964155" w:rsidRPr="00EA5F4B">
        <w:rPr>
          <w:rFonts w:asciiTheme="minorHAnsi" w:hAnsiTheme="minorHAnsi" w:cs="Arial"/>
          <w:lang w:val="en-GB"/>
        </w:rPr>
        <w:tab/>
      </w:r>
      <w:r w:rsidR="00964155" w:rsidRPr="00EA5F4B">
        <w:rPr>
          <w:rFonts w:asciiTheme="minorHAnsi" w:hAnsiTheme="minorHAnsi" w:cs="Arial"/>
          <w:lang w:val="en-GB"/>
        </w:rPr>
        <w:tab/>
      </w:r>
      <w:r w:rsidRPr="00EA5F4B">
        <w:rPr>
          <w:rFonts w:asciiTheme="minorHAnsi" w:hAnsiTheme="minorHAnsi" w:cs="Arial"/>
          <w:lang w:val="en-GB"/>
        </w:rPr>
        <w:t>State Environmental Fund of the Czech Republic</w:t>
      </w:r>
    </w:p>
    <w:p w:rsidR="00964155" w:rsidRPr="00EA5F4B" w:rsidRDefault="009D297B" w:rsidP="00AD2FBD">
      <w:pPr>
        <w:spacing w:after="80" w:line="280" w:lineRule="atLeast"/>
        <w:ind w:right="70"/>
        <w:contextualSpacing/>
        <w:jc w:val="both"/>
        <w:rPr>
          <w:rFonts w:asciiTheme="minorHAnsi" w:hAnsiTheme="minorHAnsi" w:cs="Arial"/>
          <w:lang w:val="en-GB"/>
        </w:rPr>
      </w:pPr>
      <w:r>
        <w:rPr>
          <w:rFonts w:asciiTheme="minorHAnsi" w:hAnsiTheme="minorHAnsi" w:cs="Arial"/>
          <w:lang w:val="en-GB"/>
        </w:rPr>
        <w:t>FERW</w:t>
      </w:r>
      <w:r w:rsidR="00964155" w:rsidRPr="00EA5F4B">
        <w:rPr>
          <w:rFonts w:asciiTheme="minorHAnsi" w:hAnsiTheme="minorHAnsi" w:cs="Arial"/>
          <w:lang w:val="en-GB"/>
        </w:rPr>
        <w:tab/>
      </w:r>
      <w:r w:rsidR="00964155" w:rsidRPr="00EA5F4B">
        <w:rPr>
          <w:rFonts w:asciiTheme="minorHAnsi" w:hAnsiTheme="minorHAnsi" w:cs="Arial"/>
          <w:lang w:val="en-GB"/>
        </w:rPr>
        <w:tab/>
      </w:r>
      <w:r w:rsidR="00964155" w:rsidRPr="00EA5F4B">
        <w:rPr>
          <w:rFonts w:asciiTheme="minorHAnsi" w:hAnsiTheme="minorHAnsi" w:cs="Arial"/>
          <w:lang w:val="en-GB"/>
        </w:rPr>
        <w:tab/>
      </w:r>
      <w:r w:rsidRPr="00EA5F4B">
        <w:rPr>
          <w:rFonts w:asciiTheme="minorHAnsi" w:hAnsiTheme="minorHAnsi" w:cs="Arial"/>
          <w:lang w:val="en-GB"/>
        </w:rPr>
        <w:t>facility</w:t>
      </w:r>
      <w:r>
        <w:rPr>
          <w:rFonts w:asciiTheme="minorHAnsi" w:hAnsiTheme="minorHAnsi" w:cs="Arial"/>
          <w:lang w:val="en-GB"/>
        </w:rPr>
        <w:t xml:space="preserve"> for </w:t>
      </w:r>
      <w:r w:rsidR="00E4535B" w:rsidRPr="00EA5F4B">
        <w:rPr>
          <w:rFonts w:asciiTheme="minorHAnsi" w:hAnsiTheme="minorHAnsi" w:cs="Arial"/>
          <w:lang w:val="en-GB"/>
        </w:rPr>
        <w:t xml:space="preserve">energy recovery </w:t>
      </w:r>
      <w:r>
        <w:rPr>
          <w:rFonts w:asciiTheme="minorHAnsi" w:hAnsiTheme="minorHAnsi" w:cs="Arial"/>
          <w:lang w:val="en-GB"/>
        </w:rPr>
        <w:t>from waste</w:t>
      </w:r>
    </w:p>
    <w:p w:rsidR="00964155" w:rsidRPr="00EA5F4B" w:rsidRDefault="00E4535B" w:rsidP="00AD2FBD">
      <w:pPr>
        <w:spacing w:after="80" w:line="280" w:lineRule="atLeast"/>
        <w:ind w:right="70"/>
        <w:contextualSpacing/>
        <w:jc w:val="both"/>
        <w:rPr>
          <w:rFonts w:asciiTheme="minorHAnsi" w:hAnsiTheme="minorHAnsi" w:cs="Arial"/>
          <w:lang w:val="en-GB"/>
        </w:rPr>
      </w:pPr>
      <w:r w:rsidRPr="00EA5F4B">
        <w:rPr>
          <w:rFonts w:asciiTheme="minorHAnsi" w:hAnsiTheme="minorHAnsi" w:cs="Arial"/>
          <w:lang w:val="en-GB"/>
        </w:rPr>
        <w:t>FPE</w:t>
      </w:r>
      <w:r w:rsidR="00964155" w:rsidRPr="00EA5F4B">
        <w:rPr>
          <w:rFonts w:asciiTheme="minorHAnsi" w:hAnsiTheme="minorHAnsi" w:cs="Arial"/>
          <w:lang w:val="en-GB"/>
        </w:rPr>
        <w:tab/>
      </w:r>
      <w:r w:rsidR="00964155" w:rsidRPr="00EA5F4B">
        <w:rPr>
          <w:rFonts w:asciiTheme="minorHAnsi" w:hAnsiTheme="minorHAnsi" w:cs="Arial"/>
          <w:lang w:val="en-GB"/>
        </w:rPr>
        <w:tab/>
      </w:r>
      <w:r w:rsidR="00964155" w:rsidRPr="00EA5F4B">
        <w:rPr>
          <w:rFonts w:asciiTheme="minorHAnsi" w:hAnsiTheme="minorHAnsi" w:cs="Arial"/>
          <w:lang w:val="en-GB"/>
        </w:rPr>
        <w:tab/>
      </w:r>
      <w:r w:rsidRPr="00EA5F4B">
        <w:rPr>
          <w:rFonts w:asciiTheme="minorHAnsi" w:hAnsiTheme="minorHAnsi" w:cs="Arial"/>
          <w:lang w:val="en-GB"/>
        </w:rPr>
        <w:t>final project evaluation</w:t>
      </w:r>
    </w:p>
    <w:p w:rsidR="00964155" w:rsidRPr="00EA5F4B" w:rsidRDefault="00964155" w:rsidP="00AD2FBD">
      <w:pPr>
        <w:spacing w:after="80" w:line="280" w:lineRule="atLeast"/>
        <w:ind w:right="70"/>
        <w:contextualSpacing/>
        <w:jc w:val="both"/>
        <w:rPr>
          <w:rFonts w:asciiTheme="minorHAnsi" w:hAnsiTheme="minorHAnsi" w:cs="Arial"/>
          <w:lang w:val="en-GB"/>
        </w:rPr>
      </w:pPr>
    </w:p>
    <w:p w:rsidR="00964155" w:rsidRPr="00EA5F4B" w:rsidRDefault="00964155" w:rsidP="001D0705">
      <w:pPr>
        <w:widowControl w:val="0"/>
        <w:shd w:val="clear" w:color="auto" w:fill="FFFFFF"/>
        <w:tabs>
          <w:tab w:val="left" w:pos="1085"/>
        </w:tabs>
        <w:autoSpaceDE w:val="0"/>
        <w:autoSpaceDN w:val="0"/>
        <w:adjustRightInd w:val="0"/>
        <w:spacing w:line="280" w:lineRule="atLeast"/>
        <w:ind w:right="6"/>
        <w:jc w:val="both"/>
        <w:rPr>
          <w:rFonts w:asciiTheme="minorHAnsi" w:hAnsiTheme="minorHAnsi" w:cs="Arial"/>
          <w:b/>
          <w:lang w:val="en-GB"/>
        </w:rPr>
      </w:pPr>
    </w:p>
    <w:p w:rsidR="00A602E7" w:rsidRPr="00EA5F4B" w:rsidRDefault="00A602E7" w:rsidP="001D0705">
      <w:pPr>
        <w:widowControl w:val="0"/>
        <w:shd w:val="clear" w:color="auto" w:fill="FFFFFF"/>
        <w:tabs>
          <w:tab w:val="left" w:pos="1085"/>
        </w:tabs>
        <w:autoSpaceDE w:val="0"/>
        <w:autoSpaceDN w:val="0"/>
        <w:adjustRightInd w:val="0"/>
        <w:spacing w:line="280" w:lineRule="atLeast"/>
        <w:ind w:right="6"/>
        <w:jc w:val="both"/>
        <w:rPr>
          <w:rFonts w:asciiTheme="minorHAnsi" w:hAnsiTheme="minorHAnsi" w:cs="Arial"/>
          <w:b/>
          <w:lang w:val="en-GB"/>
        </w:rPr>
      </w:pPr>
    </w:p>
    <w:p w:rsidR="00581447" w:rsidRPr="00EA5F4B" w:rsidRDefault="00581447" w:rsidP="00076E8D">
      <w:pPr>
        <w:spacing w:line="280" w:lineRule="atLeast"/>
        <w:ind w:right="70"/>
        <w:contextualSpacing/>
        <w:jc w:val="both"/>
        <w:rPr>
          <w:rFonts w:asciiTheme="minorHAnsi" w:hAnsiTheme="minorHAnsi" w:cs="Arial"/>
          <w:lang w:val="en-GB"/>
        </w:rPr>
        <w:sectPr w:rsidR="00581447" w:rsidRPr="00EA5F4B" w:rsidSect="0089650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454" w:gutter="0"/>
          <w:cols w:space="708"/>
          <w:titlePg/>
          <w:docGrid w:linePitch="360"/>
        </w:sectPr>
      </w:pPr>
    </w:p>
    <w:p w:rsidR="00581447" w:rsidRPr="00EA5F4B" w:rsidRDefault="00E4535B" w:rsidP="00BD368C">
      <w:pPr>
        <w:spacing w:line="280" w:lineRule="atLeast"/>
        <w:ind w:left="624" w:right="426" w:hanging="624"/>
        <w:jc w:val="right"/>
        <w:rPr>
          <w:rFonts w:asciiTheme="minorHAnsi" w:hAnsiTheme="minorHAnsi" w:cstheme="minorHAnsi"/>
          <w:b/>
          <w:lang w:val="en-GB"/>
        </w:rPr>
      </w:pPr>
      <w:r w:rsidRPr="00EA5F4B">
        <w:rPr>
          <w:rFonts w:asciiTheme="minorHAnsi" w:hAnsiTheme="minorHAnsi" w:cstheme="minorHAnsi"/>
          <w:b/>
          <w:lang w:val="en-GB"/>
        </w:rPr>
        <w:lastRenderedPageBreak/>
        <w:t>Annex 1</w:t>
      </w:r>
    </w:p>
    <w:p w:rsidR="00581447" w:rsidRPr="00EA5F4B" w:rsidRDefault="00E4535B" w:rsidP="002B1DAE">
      <w:pPr>
        <w:tabs>
          <w:tab w:val="left" w:pos="9072"/>
        </w:tabs>
        <w:spacing w:line="280" w:lineRule="atLeast"/>
        <w:jc w:val="center"/>
        <w:rPr>
          <w:rFonts w:asciiTheme="minorHAnsi" w:hAnsiTheme="minorHAnsi" w:cstheme="minorHAnsi"/>
          <w:sz w:val="28"/>
          <w:szCs w:val="28"/>
          <w:lang w:val="en-GB"/>
        </w:rPr>
      </w:pPr>
      <w:r w:rsidRPr="00EA5F4B">
        <w:rPr>
          <w:rFonts w:asciiTheme="minorHAnsi" w:hAnsiTheme="minorHAnsi" w:cstheme="minorHAnsi"/>
          <w:b/>
          <w:sz w:val="28"/>
          <w:szCs w:val="28"/>
          <w:lang w:val="en-GB"/>
        </w:rPr>
        <w:t>Audited projects supported under</w:t>
      </w:r>
      <w:r w:rsidR="005B2DE5" w:rsidRPr="00EA5F4B">
        <w:rPr>
          <w:rFonts w:asciiTheme="minorHAnsi" w:hAnsiTheme="minorHAnsi" w:cstheme="minorHAnsi"/>
          <w:b/>
          <w:sz w:val="28"/>
          <w:szCs w:val="28"/>
          <w:lang w:val="en-GB"/>
        </w:rPr>
        <w:t> OP</w:t>
      </w:r>
      <w:r w:rsidRPr="00EA5F4B">
        <w:rPr>
          <w:rFonts w:asciiTheme="minorHAnsi" w:hAnsiTheme="minorHAnsi" w:cstheme="minorHAnsi"/>
          <w:b/>
          <w:sz w:val="28"/>
          <w:szCs w:val="28"/>
          <w:lang w:val="en-GB"/>
        </w:rPr>
        <w:t>E</w:t>
      </w:r>
      <w:r w:rsidR="005B2DE5" w:rsidRPr="00EA5F4B">
        <w:rPr>
          <w:rFonts w:asciiTheme="minorHAnsi" w:hAnsiTheme="minorHAnsi" w:cstheme="minorHAnsi"/>
          <w:b/>
          <w:sz w:val="28"/>
          <w:szCs w:val="28"/>
          <w:lang w:val="en-GB"/>
        </w:rPr>
        <w:t xml:space="preserve"> 2007</w:t>
      </w:r>
      <w:r w:rsidR="00ED438A" w:rsidRPr="00EA5F4B">
        <w:rPr>
          <w:rFonts w:asciiTheme="minorHAnsi" w:hAnsiTheme="minorHAnsi" w:cstheme="minorHAnsi"/>
          <w:b/>
          <w:sz w:val="28"/>
          <w:szCs w:val="28"/>
          <w:lang w:val="en-GB"/>
        </w:rPr>
        <w:t>–</w:t>
      </w:r>
      <w:r w:rsidR="00FD5A38" w:rsidRPr="00EA5F4B">
        <w:rPr>
          <w:rFonts w:asciiTheme="minorHAnsi" w:hAnsiTheme="minorHAnsi" w:cstheme="minorHAnsi"/>
          <w:b/>
          <w:sz w:val="28"/>
          <w:szCs w:val="28"/>
          <w:lang w:val="en-GB"/>
        </w:rPr>
        <w:t>2013</w:t>
      </w:r>
    </w:p>
    <w:p w:rsidR="00BF3CC7" w:rsidRPr="00EA5F4B" w:rsidRDefault="002B1DAE" w:rsidP="00957290">
      <w:pPr>
        <w:spacing w:line="280" w:lineRule="atLeast"/>
        <w:ind w:right="-455"/>
        <w:contextualSpacing/>
        <w:jc w:val="right"/>
        <w:rPr>
          <w:rFonts w:asciiTheme="minorHAnsi" w:hAnsiTheme="minorHAnsi" w:cs="Arial"/>
          <w:b/>
          <w:lang w:val="en-GB"/>
        </w:rPr>
      </w:pPr>
      <w:r w:rsidRPr="00EA5F4B">
        <w:rPr>
          <w:rFonts w:asciiTheme="minorHAnsi" w:hAnsiTheme="minorHAnsi" w:cs="Arial"/>
          <w:b/>
          <w:lang w:val="en-GB"/>
        </w:rPr>
        <w:t>(</w:t>
      </w:r>
      <w:r w:rsidR="00E4535B" w:rsidRPr="00EA5F4B">
        <w:rPr>
          <w:rFonts w:asciiTheme="minorHAnsi" w:hAnsiTheme="minorHAnsi" w:cs="Arial"/>
          <w:b/>
          <w:lang w:val="en-GB"/>
        </w:rPr>
        <w:t>in millions of CZK</w:t>
      </w:r>
      <w:r w:rsidRPr="00EA5F4B">
        <w:rPr>
          <w:rFonts w:asciiTheme="minorHAnsi" w:hAnsiTheme="minorHAnsi" w:cs="Arial"/>
          <w:b/>
          <w:lang w:val="en-GB"/>
        </w:rPr>
        <w:t>)</w:t>
      </w:r>
    </w:p>
    <w:tbl>
      <w:tblPr>
        <w:tblW w:w="14828" w:type="dxa"/>
        <w:tblInd w:w="-2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979"/>
        <w:gridCol w:w="4785"/>
        <w:gridCol w:w="1554"/>
        <w:gridCol w:w="1290"/>
        <w:gridCol w:w="1291"/>
        <w:gridCol w:w="1291"/>
        <w:gridCol w:w="1347"/>
        <w:gridCol w:w="1291"/>
      </w:tblGrid>
      <w:tr w:rsidR="00EA5F4B" w:rsidRPr="00EA5F4B" w:rsidTr="000F5CE4">
        <w:trPr>
          <w:trHeight w:val="603"/>
        </w:trPr>
        <w:tc>
          <w:tcPr>
            <w:tcW w:w="1985" w:type="dxa"/>
            <w:tcBorders>
              <w:top w:val="single" w:sz="12" w:space="0" w:color="auto"/>
              <w:left w:val="single" w:sz="12" w:space="0" w:color="auto"/>
              <w:bottom w:val="single" w:sz="12" w:space="0" w:color="auto"/>
            </w:tcBorders>
            <w:shd w:val="clear" w:color="auto" w:fill="E5F1FF"/>
            <w:vAlign w:val="center"/>
            <w:hideMark/>
          </w:tcPr>
          <w:p w:rsidR="00266FEE" w:rsidRPr="00EA5F4B" w:rsidRDefault="00E4535B" w:rsidP="005271E1">
            <w:pPr>
              <w:jc w:val="center"/>
              <w:rPr>
                <w:rFonts w:asciiTheme="minorHAnsi" w:hAnsiTheme="minorHAnsi" w:cstheme="minorHAnsi"/>
                <w:b/>
                <w:bCs/>
                <w:sz w:val="18"/>
                <w:szCs w:val="18"/>
                <w:lang w:val="en-GB"/>
              </w:rPr>
            </w:pPr>
            <w:r w:rsidRPr="00EA5F4B">
              <w:rPr>
                <w:rFonts w:asciiTheme="minorHAnsi" w:hAnsiTheme="minorHAnsi" w:cstheme="minorHAnsi"/>
                <w:b/>
                <w:bCs/>
                <w:sz w:val="18"/>
                <w:szCs w:val="18"/>
                <w:lang w:val="en-GB"/>
              </w:rPr>
              <w:t>Project number</w:t>
            </w:r>
          </w:p>
        </w:tc>
        <w:tc>
          <w:tcPr>
            <w:tcW w:w="4820" w:type="dxa"/>
            <w:tcBorders>
              <w:top w:val="single" w:sz="12" w:space="0" w:color="auto"/>
              <w:bottom w:val="single" w:sz="12" w:space="0" w:color="auto"/>
            </w:tcBorders>
            <w:shd w:val="clear" w:color="auto" w:fill="E5F1FF"/>
            <w:vAlign w:val="center"/>
            <w:hideMark/>
          </w:tcPr>
          <w:p w:rsidR="00266FEE" w:rsidRPr="00EA5F4B" w:rsidRDefault="00E4535B" w:rsidP="005271E1">
            <w:pPr>
              <w:jc w:val="center"/>
              <w:rPr>
                <w:rFonts w:asciiTheme="minorHAnsi" w:hAnsiTheme="minorHAnsi" w:cstheme="minorHAnsi"/>
                <w:b/>
                <w:bCs/>
                <w:sz w:val="18"/>
                <w:szCs w:val="18"/>
                <w:lang w:val="en-GB"/>
              </w:rPr>
            </w:pPr>
            <w:r w:rsidRPr="00EA5F4B">
              <w:rPr>
                <w:rFonts w:asciiTheme="minorHAnsi" w:hAnsiTheme="minorHAnsi" w:cstheme="minorHAnsi"/>
                <w:b/>
                <w:bCs/>
                <w:sz w:val="18"/>
                <w:szCs w:val="18"/>
                <w:lang w:val="en-GB"/>
              </w:rPr>
              <w:t>Project title</w:t>
            </w:r>
          </w:p>
        </w:tc>
        <w:tc>
          <w:tcPr>
            <w:tcW w:w="1559" w:type="dxa"/>
            <w:tcBorders>
              <w:top w:val="single" w:sz="12" w:space="0" w:color="auto"/>
              <w:bottom w:val="single" w:sz="12" w:space="0" w:color="auto"/>
            </w:tcBorders>
            <w:shd w:val="clear" w:color="auto" w:fill="E5F1FF"/>
            <w:vAlign w:val="center"/>
            <w:hideMark/>
          </w:tcPr>
          <w:p w:rsidR="00266FEE" w:rsidRPr="00EA5F4B" w:rsidRDefault="00E4535B" w:rsidP="005271E1">
            <w:pPr>
              <w:jc w:val="center"/>
              <w:rPr>
                <w:rFonts w:asciiTheme="minorHAnsi" w:hAnsiTheme="minorHAnsi" w:cstheme="minorHAnsi"/>
                <w:b/>
                <w:bCs/>
                <w:sz w:val="18"/>
                <w:szCs w:val="18"/>
                <w:lang w:val="en-GB"/>
              </w:rPr>
            </w:pPr>
            <w:r w:rsidRPr="00EA5F4B">
              <w:rPr>
                <w:rFonts w:asciiTheme="minorHAnsi" w:hAnsiTheme="minorHAnsi" w:cstheme="minorHAnsi"/>
                <w:b/>
                <w:bCs/>
                <w:sz w:val="18"/>
                <w:szCs w:val="18"/>
                <w:lang w:val="en-GB"/>
              </w:rPr>
              <w:t>Beneficiary</w:t>
            </w:r>
          </w:p>
        </w:tc>
        <w:tc>
          <w:tcPr>
            <w:tcW w:w="1292" w:type="dxa"/>
            <w:tcBorders>
              <w:top w:val="single" w:sz="12" w:space="0" w:color="auto"/>
              <w:bottom w:val="single" w:sz="12" w:space="0" w:color="auto"/>
            </w:tcBorders>
            <w:shd w:val="clear" w:color="auto" w:fill="E5F1FF"/>
            <w:vAlign w:val="center"/>
            <w:hideMark/>
          </w:tcPr>
          <w:p w:rsidR="00266FEE" w:rsidRPr="00EA5F4B" w:rsidRDefault="00E4535B" w:rsidP="007A1816">
            <w:pPr>
              <w:jc w:val="center"/>
              <w:rPr>
                <w:rFonts w:asciiTheme="minorHAnsi" w:hAnsiTheme="minorHAnsi" w:cstheme="minorHAnsi"/>
                <w:b/>
                <w:bCs/>
                <w:sz w:val="18"/>
                <w:szCs w:val="18"/>
                <w:lang w:val="en-GB"/>
              </w:rPr>
            </w:pPr>
            <w:r w:rsidRPr="00EA5F4B">
              <w:rPr>
                <w:rFonts w:asciiTheme="minorHAnsi" w:hAnsiTheme="minorHAnsi" w:cstheme="minorHAnsi"/>
                <w:b/>
                <w:bCs/>
                <w:sz w:val="18"/>
                <w:szCs w:val="18"/>
                <w:lang w:val="en-GB"/>
              </w:rPr>
              <w:t>Total eligible expenditures</w:t>
            </w:r>
          </w:p>
        </w:tc>
        <w:tc>
          <w:tcPr>
            <w:tcW w:w="1293" w:type="dxa"/>
            <w:tcBorders>
              <w:top w:val="single" w:sz="12" w:space="0" w:color="auto"/>
              <w:bottom w:val="single" w:sz="12" w:space="0" w:color="auto"/>
            </w:tcBorders>
            <w:shd w:val="clear" w:color="auto" w:fill="E5F1FF"/>
            <w:vAlign w:val="center"/>
            <w:hideMark/>
          </w:tcPr>
          <w:p w:rsidR="00266FEE" w:rsidRPr="00EA5F4B" w:rsidRDefault="00E4535B" w:rsidP="005271E1">
            <w:pPr>
              <w:jc w:val="center"/>
              <w:rPr>
                <w:rFonts w:asciiTheme="minorHAnsi" w:hAnsiTheme="minorHAnsi" w:cstheme="minorHAnsi"/>
                <w:b/>
                <w:bCs/>
                <w:sz w:val="18"/>
                <w:szCs w:val="18"/>
                <w:lang w:val="en-GB"/>
              </w:rPr>
            </w:pPr>
            <w:r w:rsidRPr="00EA5F4B">
              <w:rPr>
                <w:rFonts w:asciiTheme="minorHAnsi" w:hAnsiTheme="minorHAnsi" w:cstheme="minorHAnsi"/>
                <w:b/>
                <w:bCs/>
                <w:sz w:val="18"/>
                <w:szCs w:val="18"/>
                <w:lang w:val="en-GB"/>
              </w:rPr>
              <w:t>CF contribution</w:t>
            </w:r>
          </w:p>
        </w:tc>
        <w:tc>
          <w:tcPr>
            <w:tcW w:w="1293" w:type="dxa"/>
            <w:tcBorders>
              <w:top w:val="single" w:sz="12" w:space="0" w:color="auto"/>
              <w:bottom w:val="single" w:sz="12" w:space="0" w:color="auto"/>
            </w:tcBorders>
            <w:shd w:val="clear" w:color="auto" w:fill="E5F1FF"/>
            <w:vAlign w:val="center"/>
            <w:hideMark/>
          </w:tcPr>
          <w:p w:rsidR="00266FEE" w:rsidRPr="00EA5F4B" w:rsidRDefault="00E4535B" w:rsidP="00E4535B">
            <w:pPr>
              <w:jc w:val="center"/>
              <w:rPr>
                <w:rFonts w:asciiTheme="minorHAnsi" w:hAnsiTheme="minorHAnsi" w:cstheme="minorHAnsi"/>
                <w:b/>
                <w:bCs/>
                <w:sz w:val="18"/>
                <w:szCs w:val="18"/>
                <w:lang w:val="en-GB"/>
              </w:rPr>
            </w:pPr>
            <w:r w:rsidRPr="00EA5F4B">
              <w:rPr>
                <w:rFonts w:asciiTheme="minorHAnsi" w:hAnsiTheme="minorHAnsi" w:cstheme="minorHAnsi"/>
                <w:b/>
                <w:bCs/>
                <w:sz w:val="18"/>
                <w:szCs w:val="18"/>
                <w:lang w:val="en-GB"/>
              </w:rPr>
              <w:t>State budget contribution</w:t>
            </w:r>
          </w:p>
        </w:tc>
        <w:tc>
          <w:tcPr>
            <w:tcW w:w="1293" w:type="dxa"/>
            <w:tcBorders>
              <w:top w:val="single" w:sz="12" w:space="0" w:color="auto"/>
              <w:bottom w:val="single" w:sz="12" w:space="0" w:color="auto"/>
            </w:tcBorders>
            <w:shd w:val="clear" w:color="auto" w:fill="E5F1FF"/>
            <w:vAlign w:val="center"/>
            <w:hideMark/>
          </w:tcPr>
          <w:p w:rsidR="00266FEE" w:rsidRPr="00EA5F4B" w:rsidRDefault="00E4535B" w:rsidP="005271E1">
            <w:pPr>
              <w:jc w:val="center"/>
              <w:rPr>
                <w:rFonts w:asciiTheme="minorHAnsi" w:hAnsiTheme="minorHAnsi" w:cstheme="minorHAnsi"/>
                <w:b/>
                <w:bCs/>
                <w:sz w:val="18"/>
                <w:szCs w:val="18"/>
                <w:lang w:val="en-GB"/>
              </w:rPr>
            </w:pPr>
            <w:r w:rsidRPr="00EA5F4B">
              <w:rPr>
                <w:rFonts w:asciiTheme="minorHAnsi" w:hAnsiTheme="minorHAnsi" w:cstheme="minorHAnsi"/>
                <w:b/>
                <w:bCs/>
                <w:sz w:val="18"/>
                <w:szCs w:val="18"/>
                <w:lang w:val="en-GB"/>
              </w:rPr>
              <w:t>Completion of project implementation</w:t>
            </w:r>
          </w:p>
        </w:tc>
        <w:tc>
          <w:tcPr>
            <w:tcW w:w="1293" w:type="dxa"/>
            <w:tcBorders>
              <w:top w:val="single" w:sz="12" w:space="0" w:color="auto"/>
              <w:bottom w:val="single" w:sz="12" w:space="0" w:color="auto"/>
            </w:tcBorders>
            <w:shd w:val="clear" w:color="auto" w:fill="E5F1FF"/>
            <w:vAlign w:val="center"/>
          </w:tcPr>
          <w:p w:rsidR="00266FEE" w:rsidRPr="00EA5F4B" w:rsidRDefault="00E4535B" w:rsidP="005271E1">
            <w:pPr>
              <w:jc w:val="center"/>
              <w:rPr>
                <w:rFonts w:asciiTheme="minorHAnsi" w:hAnsiTheme="minorHAnsi" w:cstheme="minorHAnsi"/>
                <w:b/>
                <w:bCs/>
                <w:sz w:val="18"/>
                <w:szCs w:val="18"/>
                <w:lang w:val="en-GB"/>
              </w:rPr>
            </w:pPr>
            <w:r w:rsidRPr="00EA5F4B">
              <w:rPr>
                <w:rFonts w:asciiTheme="minorHAnsi" w:hAnsiTheme="minorHAnsi" w:cstheme="minorHAnsi"/>
                <w:b/>
                <w:bCs/>
                <w:sz w:val="18"/>
                <w:szCs w:val="18"/>
                <w:lang w:val="en-GB"/>
              </w:rPr>
              <w:t>End of project sustainability period</w:t>
            </w:r>
          </w:p>
        </w:tc>
      </w:tr>
      <w:tr w:rsidR="00EA5F4B" w:rsidRPr="00EA5F4B" w:rsidTr="00AC5BA2">
        <w:trPr>
          <w:trHeight w:val="439"/>
        </w:trPr>
        <w:tc>
          <w:tcPr>
            <w:tcW w:w="1985" w:type="dxa"/>
            <w:tcBorders>
              <w:top w:val="single" w:sz="12" w:space="0" w:color="auto"/>
              <w:left w:val="single" w:sz="12"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bCs/>
                <w:sz w:val="18"/>
                <w:szCs w:val="18"/>
                <w:highlight w:val="yellow"/>
                <w:lang w:val="en-GB"/>
              </w:rPr>
            </w:pPr>
            <w:r w:rsidRPr="00EA5F4B">
              <w:rPr>
                <w:rFonts w:asciiTheme="minorHAnsi" w:hAnsiTheme="minorHAnsi"/>
                <w:sz w:val="18"/>
                <w:szCs w:val="18"/>
                <w:lang w:val="en-GB"/>
              </w:rPr>
              <w:t>115D242000014</w:t>
            </w:r>
          </w:p>
        </w:tc>
        <w:tc>
          <w:tcPr>
            <w:tcW w:w="4820" w:type="dxa"/>
            <w:tcBorders>
              <w:top w:val="single" w:sz="12" w:space="0" w:color="auto"/>
              <w:bottom w:val="single" w:sz="4" w:space="0" w:color="auto"/>
            </w:tcBorders>
            <w:shd w:val="clear" w:color="auto" w:fill="auto"/>
            <w:vAlign w:val="center"/>
          </w:tcPr>
          <w:p w:rsidR="00AC5BA2" w:rsidRPr="00EA5F4B" w:rsidRDefault="00EA5F4B" w:rsidP="00EA5F4B">
            <w:pPr>
              <w:rPr>
                <w:rFonts w:asciiTheme="minorHAnsi" w:hAnsiTheme="minorHAnsi" w:cstheme="minorHAnsi"/>
                <w:sz w:val="18"/>
                <w:szCs w:val="18"/>
                <w:lang w:val="en-GB"/>
              </w:rPr>
            </w:pPr>
            <w:r w:rsidRPr="00EA5F4B">
              <w:rPr>
                <w:rFonts w:asciiTheme="minorHAnsi" w:hAnsiTheme="minorHAnsi" w:cstheme="minorHAnsi"/>
                <w:sz w:val="18"/>
                <w:szCs w:val="18"/>
                <w:lang w:val="en-GB"/>
              </w:rPr>
              <w:t xml:space="preserve">Expansion of treatment line for sorted plastic waste from municipal sources and increasing the capacity of production lines for the processing of plastic waste at </w:t>
            </w:r>
            <w:proofErr w:type="spellStart"/>
            <w:r w:rsidRPr="00EA5F4B">
              <w:rPr>
                <w:rFonts w:asciiTheme="minorHAnsi" w:hAnsiTheme="minorHAnsi" w:cstheme="minorHAnsi"/>
                <w:sz w:val="18"/>
                <w:szCs w:val="18"/>
                <w:lang w:val="en-GB"/>
              </w:rPr>
              <w:t>a.s</w:t>
            </w:r>
            <w:proofErr w:type="spellEnd"/>
            <w:r w:rsidRPr="00EA5F4B">
              <w:rPr>
                <w:rFonts w:asciiTheme="minorHAnsi" w:hAnsiTheme="minorHAnsi" w:cstheme="minorHAnsi"/>
                <w:sz w:val="18"/>
                <w:szCs w:val="18"/>
                <w:lang w:val="en-GB"/>
              </w:rPr>
              <w:t xml:space="preserve">. Transform </w:t>
            </w:r>
            <w:proofErr w:type="spellStart"/>
            <w:r w:rsidRPr="00EA5F4B">
              <w:rPr>
                <w:rFonts w:asciiTheme="minorHAnsi" w:hAnsiTheme="minorHAnsi" w:cstheme="minorHAnsi"/>
                <w:sz w:val="18"/>
                <w:szCs w:val="18"/>
                <w:lang w:val="en-GB"/>
              </w:rPr>
              <w:t>Lázně</w:t>
            </w:r>
            <w:proofErr w:type="spellEnd"/>
            <w:r w:rsidRPr="00EA5F4B">
              <w:rPr>
                <w:rFonts w:asciiTheme="minorHAnsi" w:hAnsiTheme="minorHAnsi" w:cstheme="minorHAnsi"/>
                <w:sz w:val="18"/>
                <w:szCs w:val="18"/>
                <w:lang w:val="en-GB"/>
              </w:rPr>
              <w:t xml:space="preserve"> </w:t>
            </w:r>
            <w:proofErr w:type="spellStart"/>
            <w:r w:rsidRPr="00EA5F4B">
              <w:rPr>
                <w:rFonts w:asciiTheme="minorHAnsi" w:hAnsiTheme="minorHAnsi" w:cstheme="minorHAnsi"/>
                <w:sz w:val="18"/>
                <w:szCs w:val="18"/>
                <w:lang w:val="en-GB"/>
              </w:rPr>
              <w:t>Bohdaneč</w:t>
            </w:r>
            <w:proofErr w:type="spellEnd"/>
          </w:p>
        </w:tc>
        <w:tc>
          <w:tcPr>
            <w:tcW w:w="1559" w:type="dxa"/>
            <w:tcBorders>
              <w:top w:val="single" w:sz="12"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 xml:space="preserve">TRANSFORM </w:t>
            </w:r>
            <w:proofErr w:type="spellStart"/>
            <w:r w:rsidRPr="00EA5F4B">
              <w:rPr>
                <w:rFonts w:asciiTheme="minorHAnsi" w:hAnsiTheme="minorHAnsi" w:cstheme="minorHAnsi"/>
                <w:sz w:val="18"/>
                <w:szCs w:val="18"/>
                <w:lang w:val="en-GB"/>
              </w:rPr>
              <w:t>a.s</w:t>
            </w:r>
            <w:proofErr w:type="spellEnd"/>
            <w:r w:rsidRPr="00EA5F4B">
              <w:rPr>
                <w:rFonts w:asciiTheme="minorHAnsi" w:hAnsiTheme="minorHAnsi" w:cstheme="minorHAnsi"/>
                <w:sz w:val="18"/>
                <w:szCs w:val="18"/>
                <w:lang w:val="en-GB"/>
              </w:rPr>
              <w:t xml:space="preserve">. </w:t>
            </w:r>
            <w:proofErr w:type="spellStart"/>
            <w:r w:rsidRPr="00EA5F4B">
              <w:rPr>
                <w:rFonts w:asciiTheme="minorHAnsi" w:hAnsiTheme="minorHAnsi" w:cstheme="minorHAnsi"/>
                <w:sz w:val="18"/>
                <w:szCs w:val="18"/>
                <w:lang w:val="en-GB"/>
              </w:rPr>
              <w:t>Lázně</w:t>
            </w:r>
            <w:proofErr w:type="spellEnd"/>
            <w:r w:rsidRPr="00EA5F4B">
              <w:rPr>
                <w:rFonts w:asciiTheme="minorHAnsi" w:hAnsiTheme="minorHAnsi" w:cstheme="minorHAnsi"/>
                <w:sz w:val="18"/>
                <w:szCs w:val="18"/>
                <w:lang w:val="en-GB"/>
              </w:rPr>
              <w:t xml:space="preserve"> </w:t>
            </w:r>
            <w:proofErr w:type="spellStart"/>
            <w:r w:rsidRPr="00EA5F4B">
              <w:rPr>
                <w:rFonts w:asciiTheme="minorHAnsi" w:hAnsiTheme="minorHAnsi" w:cstheme="minorHAnsi"/>
                <w:sz w:val="18"/>
                <w:szCs w:val="18"/>
                <w:lang w:val="en-GB"/>
              </w:rPr>
              <w:t>Bohdaneč</w:t>
            </w:r>
            <w:proofErr w:type="spellEnd"/>
          </w:p>
        </w:tc>
        <w:tc>
          <w:tcPr>
            <w:tcW w:w="1292" w:type="dxa"/>
            <w:tcBorders>
              <w:top w:val="single" w:sz="12"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27</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198</w:t>
            </w:r>
          </w:p>
        </w:tc>
        <w:tc>
          <w:tcPr>
            <w:tcW w:w="1293" w:type="dxa"/>
            <w:tcBorders>
              <w:top w:val="single" w:sz="12"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11</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559</w:t>
            </w:r>
          </w:p>
        </w:tc>
        <w:tc>
          <w:tcPr>
            <w:tcW w:w="1293" w:type="dxa"/>
            <w:tcBorders>
              <w:top w:val="single" w:sz="12"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2</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040</w:t>
            </w:r>
          </w:p>
        </w:tc>
        <w:tc>
          <w:tcPr>
            <w:tcW w:w="1293" w:type="dxa"/>
            <w:tcBorders>
              <w:top w:val="single" w:sz="12"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Calibri"/>
                <w:sz w:val="18"/>
                <w:szCs w:val="18"/>
                <w:lang w:val="en-GB"/>
              </w:rPr>
              <w:t>14. 10. 2011</w:t>
            </w:r>
          </w:p>
        </w:tc>
        <w:tc>
          <w:tcPr>
            <w:tcW w:w="1293" w:type="dxa"/>
            <w:tcBorders>
              <w:top w:val="single" w:sz="12" w:space="0" w:color="auto"/>
              <w:bottom w:val="single" w:sz="4" w:space="0" w:color="auto"/>
              <w:right w:val="single" w:sz="12" w:space="0" w:color="auto"/>
            </w:tcBorders>
            <w:vAlign w:val="center"/>
          </w:tcPr>
          <w:p w:rsidR="00AC5BA2" w:rsidRPr="00EA5F4B" w:rsidRDefault="00AC5BA2" w:rsidP="00AC5BA2">
            <w:pPr>
              <w:jc w:val="center"/>
              <w:rPr>
                <w:rFonts w:asciiTheme="minorHAnsi" w:hAnsiTheme="minorHAnsi" w:cstheme="minorHAnsi"/>
                <w:bCs/>
                <w:sz w:val="18"/>
                <w:szCs w:val="18"/>
                <w:highlight w:val="yellow"/>
                <w:lang w:val="en-GB"/>
              </w:rPr>
            </w:pPr>
            <w:r w:rsidRPr="00EA5F4B">
              <w:rPr>
                <w:rFonts w:asciiTheme="minorHAnsi" w:hAnsiTheme="minorHAnsi" w:cs="Calibri"/>
                <w:sz w:val="18"/>
                <w:szCs w:val="18"/>
                <w:lang w:val="en-GB"/>
              </w:rPr>
              <w:t>14. 10. 2016</w:t>
            </w:r>
          </w:p>
        </w:tc>
      </w:tr>
      <w:tr w:rsidR="00EA5F4B" w:rsidRPr="00EA5F4B" w:rsidTr="00AC5BA2">
        <w:trPr>
          <w:trHeight w:val="439"/>
        </w:trPr>
        <w:tc>
          <w:tcPr>
            <w:tcW w:w="1985" w:type="dxa"/>
            <w:tcBorders>
              <w:top w:val="single" w:sz="4" w:space="0" w:color="auto"/>
              <w:left w:val="single" w:sz="12" w:space="0" w:color="auto"/>
            </w:tcBorders>
            <w:shd w:val="clear" w:color="auto" w:fill="auto"/>
            <w:vAlign w:val="center"/>
          </w:tcPr>
          <w:p w:rsidR="00AC5BA2" w:rsidRPr="00EA5F4B" w:rsidRDefault="00AC5BA2" w:rsidP="00AC5BA2">
            <w:pPr>
              <w:jc w:val="center"/>
              <w:rPr>
                <w:rFonts w:asciiTheme="minorHAnsi" w:hAnsiTheme="minorHAnsi" w:cstheme="minorHAnsi"/>
                <w:bCs/>
                <w:sz w:val="18"/>
                <w:szCs w:val="18"/>
                <w:highlight w:val="yellow"/>
                <w:lang w:val="en-GB"/>
              </w:rPr>
            </w:pPr>
            <w:r w:rsidRPr="00EA5F4B">
              <w:rPr>
                <w:rFonts w:asciiTheme="minorHAnsi" w:hAnsiTheme="minorHAnsi"/>
                <w:sz w:val="18"/>
                <w:szCs w:val="18"/>
                <w:lang w:val="en-GB"/>
              </w:rPr>
              <w:t>115D242000045</w:t>
            </w:r>
          </w:p>
        </w:tc>
        <w:tc>
          <w:tcPr>
            <w:tcW w:w="4820" w:type="dxa"/>
            <w:tcBorders>
              <w:top w:val="single" w:sz="4" w:space="0" w:color="auto"/>
            </w:tcBorders>
            <w:shd w:val="clear" w:color="auto" w:fill="auto"/>
            <w:vAlign w:val="center"/>
          </w:tcPr>
          <w:p w:rsidR="00AC5BA2" w:rsidRPr="00EA5F4B" w:rsidRDefault="00EA5F4B" w:rsidP="00EA5F4B">
            <w:pPr>
              <w:rPr>
                <w:rFonts w:asciiTheme="minorHAnsi" w:hAnsiTheme="minorHAnsi" w:cstheme="minorHAnsi"/>
                <w:sz w:val="18"/>
                <w:szCs w:val="18"/>
                <w:lang w:val="en-GB"/>
              </w:rPr>
            </w:pPr>
            <w:r w:rsidRPr="00EA5F4B">
              <w:rPr>
                <w:rFonts w:asciiTheme="minorHAnsi" w:hAnsiTheme="minorHAnsi" w:cstheme="minorHAnsi"/>
                <w:sz w:val="18"/>
                <w:szCs w:val="18"/>
                <w:lang w:val="en-GB"/>
              </w:rPr>
              <w:t>Acquisition of modern technology for recycling construction waste</w:t>
            </w:r>
          </w:p>
        </w:tc>
        <w:tc>
          <w:tcPr>
            <w:tcW w:w="1559" w:type="dxa"/>
            <w:tcBorders>
              <w:top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 xml:space="preserve">AZS 98, </w:t>
            </w:r>
            <w:proofErr w:type="spellStart"/>
            <w:r w:rsidRPr="00EA5F4B">
              <w:rPr>
                <w:rFonts w:asciiTheme="minorHAnsi" w:hAnsiTheme="minorHAnsi" w:cstheme="minorHAnsi"/>
                <w:sz w:val="18"/>
                <w:szCs w:val="18"/>
                <w:lang w:val="en-GB"/>
              </w:rPr>
              <w:t>s.r.o</w:t>
            </w:r>
            <w:proofErr w:type="spellEnd"/>
            <w:r w:rsidRPr="00EA5F4B">
              <w:rPr>
                <w:rFonts w:asciiTheme="minorHAnsi" w:hAnsiTheme="minorHAnsi" w:cstheme="minorHAnsi"/>
                <w:sz w:val="18"/>
                <w:szCs w:val="18"/>
                <w:lang w:val="en-GB"/>
              </w:rPr>
              <w:t>.</w:t>
            </w:r>
          </w:p>
        </w:tc>
        <w:tc>
          <w:tcPr>
            <w:tcW w:w="1292" w:type="dxa"/>
            <w:tcBorders>
              <w:top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18</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640</w:t>
            </w:r>
          </w:p>
        </w:tc>
        <w:tc>
          <w:tcPr>
            <w:tcW w:w="1293" w:type="dxa"/>
            <w:tcBorders>
              <w:top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7</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288</w:t>
            </w:r>
          </w:p>
        </w:tc>
        <w:tc>
          <w:tcPr>
            <w:tcW w:w="1293" w:type="dxa"/>
            <w:tcBorders>
              <w:top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286</w:t>
            </w:r>
          </w:p>
        </w:tc>
        <w:tc>
          <w:tcPr>
            <w:tcW w:w="1293" w:type="dxa"/>
            <w:tcBorders>
              <w:top w:val="single" w:sz="4" w:space="0" w:color="auto"/>
            </w:tcBorders>
            <w:shd w:val="clear" w:color="auto" w:fill="auto"/>
            <w:vAlign w:val="center"/>
          </w:tcPr>
          <w:p w:rsidR="00AC5BA2" w:rsidRPr="00EA5F4B" w:rsidRDefault="00466286" w:rsidP="00466286">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19</w:t>
            </w:r>
            <w:r w:rsidR="00AC5BA2" w:rsidRPr="00EA5F4B">
              <w:rPr>
                <w:rFonts w:asciiTheme="minorHAnsi" w:hAnsiTheme="minorHAnsi" w:cstheme="minorHAnsi"/>
                <w:sz w:val="18"/>
                <w:szCs w:val="18"/>
                <w:lang w:val="en-GB"/>
              </w:rPr>
              <w:t>. 12. 2008</w:t>
            </w:r>
          </w:p>
        </w:tc>
        <w:tc>
          <w:tcPr>
            <w:tcW w:w="1293" w:type="dxa"/>
            <w:tcBorders>
              <w:top w:val="single" w:sz="4" w:space="0" w:color="auto"/>
              <w:right w:val="single" w:sz="12" w:space="0" w:color="auto"/>
            </w:tcBorders>
            <w:vAlign w:val="center"/>
          </w:tcPr>
          <w:p w:rsidR="00AC5BA2" w:rsidRPr="00EA5F4B" w:rsidRDefault="00466286" w:rsidP="00466286">
            <w:pPr>
              <w:jc w:val="center"/>
              <w:rPr>
                <w:rFonts w:asciiTheme="minorHAnsi" w:hAnsiTheme="minorHAnsi" w:cstheme="minorHAnsi"/>
                <w:bCs/>
                <w:sz w:val="18"/>
                <w:szCs w:val="18"/>
                <w:highlight w:val="yellow"/>
                <w:lang w:val="en-GB"/>
              </w:rPr>
            </w:pPr>
            <w:r w:rsidRPr="00EA5F4B">
              <w:rPr>
                <w:rFonts w:asciiTheme="minorHAnsi" w:hAnsiTheme="minorHAnsi" w:cstheme="minorHAnsi"/>
                <w:bCs/>
                <w:sz w:val="18"/>
                <w:szCs w:val="18"/>
                <w:lang w:val="en-GB"/>
              </w:rPr>
              <w:t>19</w:t>
            </w:r>
            <w:r w:rsidR="00AC5BA2" w:rsidRPr="00EA5F4B">
              <w:rPr>
                <w:rFonts w:asciiTheme="minorHAnsi" w:hAnsiTheme="minorHAnsi" w:cstheme="minorHAnsi"/>
                <w:bCs/>
                <w:sz w:val="18"/>
                <w:szCs w:val="18"/>
                <w:lang w:val="en-GB"/>
              </w:rPr>
              <w:t>. 12. 2013</w:t>
            </w:r>
          </w:p>
        </w:tc>
      </w:tr>
      <w:tr w:rsidR="00EA5F4B" w:rsidRPr="00EA5F4B" w:rsidTr="00AC5BA2">
        <w:trPr>
          <w:trHeight w:val="440"/>
        </w:trPr>
        <w:tc>
          <w:tcPr>
            <w:tcW w:w="1985" w:type="dxa"/>
            <w:tcBorders>
              <w:left w:val="single" w:sz="12" w:space="0" w:color="auto"/>
              <w:bottom w:val="single" w:sz="6"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highlight w:val="yellow"/>
                <w:lang w:val="en-GB"/>
              </w:rPr>
            </w:pPr>
            <w:r w:rsidRPr="00EA5F4B">
              <w:rPr>
                <w:rFonts w:asciiTheme="minorHAnsi" w:hAnsiTheme="minorHAnsi" w:cstheme="minorHAnsi"/>
                <w:sz w:val="18"/>
                <w:szCs w:val="18"/>
                <w:lang w:val="en-GB"/>
              </w:rPr>
              <w:t>115D242000162</w:t>
            </w:r>
          </w:p>
        </w:tc>
        <w:tc>
          <w:tcPr>
            <w:tcW w:w="4820" w:type="dxa"/>
            <w:tcBorders>
              <w:bottom w:val="single" w:sz="6" w:space="0" w:color="auto"/>
            </w:tcBorders>
            <w:shd w:val="clear" w:color="auto" w:fill="auto"/>
            <w:vAlign w:val="center"/>
          </w:tcPr>
          <w:p w:rsidR="00AC5BA2" w:rsidRPr="00EA5F4B" w:rsidRDefault="00EA5F4B" w:rsidP="00EA5F4B">
            <w:pPr>
              <w:rPr>
                <w:rFonts w:asciiTheme="minorHAnsi" w:hAnsiTheme="minorHAnsi" w:cstheme="minorHAnsi"/>
                <w:sz w:val="18"/>
                <w:szCs w:val="18"/>
                <w:lang w:val="en-GB"/>
              </w:rPr>
            </w:pPr>
            <w:r w:rsidRPr="00EA5F4B">
              <w:rPr>
                <w:rFonts w:asciiTheme="minorHAnsi" w:hAnsiTheme="minorHAnsi" w:cstheme="minorHAnsi"/>
                <w:sz w:val="18"/>
                <w:szCs w:val="18"/>
                <w:lang w:val="en-GB"/>
              </w:rPr>
              <w:t>Expansion of service portfolio – processing and recycling of construction waste</w:t>
            </w:r>
          </w:p>
        </w:tc>
        <w:tc>
          <w:tcPr>
            <w:tcW w:w="1559" w:type="dxa"/>
            <w:tcBorders>
              <w:bottom w:val="single" w:sz="6"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 xml:space="preserve">OVO - IMONT </w:t>
            </w:r>
            <w:proofErr w:type="spellStart"/>
            <w:r w:rsidRPr="00EA5F4B">
              <w:rPr>
                <w:rFonts w:asciiTheme="minorHAnsi" w:hAnsiTheme="minorHAnsi" w:cstheme="minorHAnsi"/>
                <w:sz w:val="18"/>
                <w:szCs w:val="18"/>
                <w:lang w:val="en-GB"/>
              </w:rPr>
              <w:t>Třebíč</w:t>
            </w:r>
            <w:proofErr w:type="spellEnd"/>
            <w:r w:rsidRPr="00EA5F4B">
              <w:rPr>
                <w:rFonts w:asciiTheme="minorHAnsi" w:hAnsiTheme="minorHAnsi" w:cstheme="minorHAnsi"/>
                <w:sz w:val="18"/>
                <w:szCs w:val="18"/>
                <w:lang w:val="en-GB"/>
              </w:rPr>
              <w:t xml:space="preserve">, </w:t>
            </w:r>
            <w:proofErr w:type="spellStart"/>
            <w:r w:rsidRPr="00EA5F4B">
              <w:rPr>
                <w:rFonts w:asciiTheme="minorHAnsi" w:hAnsiTheme="minorHAnsi" w:cstheme="minorHAnsi"/>
                <w:sz w:val="18"/>
                <w:szCs w:val="18"/>
                <w:lang w:val="en-GB"/>
              </w:rPr>
              <w:t>spol</w:t>
            </w:r>
            <w:proofErr w:type="spellEnd"/>
            <w:r w:rsidRPr="00EA5F4B">
              <w:rPr>
                <w:rFonts w:asciiTheme="minorHAnsi" w:hAnsiTheme="minorHAnsi" w:cstheme="minorHAnsi"/>
                <w:sz w:val="18"/>
                <w:szCs w:val="18"/>
                <w:lang w:val="en-GB"/>
              </w:rPr>
              <w:t xml:space="preserve">. s </w:t>
            </w:r>
            <w:proofErr w:type="spellStart"/>
            <w:r w:rsidRPr="00EA5F4B">
              <w:rPr>
                <w:rFonts w:asciiTheme="minorHAnsi" w:hAnsiTheme="minorHAnsi" w:cstheme="minorHAnsi"/>
                <w:sz w:val="18"/>
                <w:szCs w:val="18"/>
                <w:lang w:val="en-GB"/>
              </w:rPr>
              <w:t>r.o</w:t>
            </w:r>
            <w:proofErr w:type="spellEnd"/>
            <w:r w:rsidRPr="00EA5F4B">
              <w:rPr>
                <w:rFonts w:asciiTheme="minorHAnsi" w:hAnsiTheme="minorHAnsi" w:cstheme="minorHAnsi"/>
                <w:sz w:val="18"/>
                <w:szCs w:val="18"/>
                <w:lang w:val="en-GB"/>
              </w:rPr>
              <w:t>.</w:t>
            </w:r>
          </w:p>
        </w:tc>
        <w:tc>
          <w:tcPr>
            <w:tcW w:w="1292" w:type="dxa"/>
            <w:tcBorders>
              <w:bottom w:val="single" w:sz="6"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18</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729</w:t>
            </w:r>
          </w:p>
        </w:tc>
        <w:tc>
          <w:tcPr>
            <w:tcW w:w="1293" w:type="dxa"/>
            <w:tcBorders>
              <w:bottom w:val="single" w:sz="6"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9</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552</w:t>
            </w:r>
          </w:p>
        </w:tc>
        <w:tc>
          <w:tcPr>
            <w:tcW w:w="1293" w:type="dxa"/>
            <w:tcBorders>
              <w:bottom w:val="single" w:sz="6"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686</w:t>
            </w:r>
          </w:p>
        </w:tc>
        <w:tc>
          <w:tcPr>
            <w:tcW w:w="1293" w:type="dxa"/>
            <w:tcBorders>
              <w:bottom w:val="single" w:sz="6"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sz w:val="18"/>
                <w:szCs w:val="18"/>
                <w:lang w:val="en-GB"/>
              </w:rPr>
              <w:t>30. 6. 2010</w:t>
            </w:r>
          </w:p>
        </w:tc>
        <w:tc>
          <w:tcPr>
            <w:tcW w:w="1293" w:type="dxa"/>
            <w:tcBorders>
              <w:bottom w:val="single" w:sz="6" w:space="0" w:color="auto"/>
              <w:right w:val="single" w:sz="12" w:space="0" w:color="auto"/>
            </w:tcBorders>
            <w:vAlign w:val="center"/>
          </w:tcPr>
          <w:p w:rsidR="00AC5BA2" w:rsidRPr="00EA5F4B" w:rsidRDefault="00AC5BA2" w:rsidP="00AC5BA2">
            <w:pPr>
              <w:jc w:val="center"/>
              <w:rPr>
                <w:rFonts w:asciiTheme="minorHAnsi" w:hAnsiTheme="minorHAnsi" w:cstheme="minorHAnsi"/>
                <w:bCs/>
                <w:sz w:val="18"/>
                <w:szCs w:val="18"/>
                <w:highlight w:val="yellow"/>
                <w:lang w:val="en-GB"/>
              </w:rPr>
            </w:pPr>
            <w:r w:rsidRPr="00EA5F4B">
              <w:rPr>
                <w:rFonts w:asciiTheme="minorHAnsi" w:hAnsiTheme="minorHAnsi" w:cstheme="minorHAnsi"/>
                <w:bCs/>
                <w:sz w:val="18"/>
                <w:szCs w:val="18"/>
                <w:lang w:val="en-GB"/>
              </w:rPr>
              <w:t>30. 6. 2015</w:t>
            </w:r>
          </w:p>
        </w:tc>
      </w:tr>
      <w:tr w:rsidR="00EA5F4B" w:rsidRPr="00EA5F4B" w:rsidTr="00AC5BA2">
        <w:trPr>
          <w:trHeight w:val="439"/>
        </w:trPr>
        <w:tc>
          <w:tcPr>
            <w:tcW w:w="1985" w:type="dxa"/>
            <w:tcBorders>
              <w:top w:val="single" w:sz="6" w:space="0" w:color="auto"/>
              <w:left w:val="single" w:sz="12"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bCs/>
                <w:sz w:val="18"/>
                <w:szCs w:val="18"/>
                <w:highlight w:val="yellow"/>
                <w:lang w:val="en-GB"/>
              </w:rPr>
            </w:pPr>
            <w:r w:rsidRPr="00EA5F4B">
              <w:rPr>
                <w:rFonts w:asciiTheme="minorHAnsi" w:hAnsiTheme="minorHAnsi" w:cstheme="minorHAnsi"/>
                <w:bCs/>
                <w:sz w:val="18"/>
                <w:szCs w:val="18"/>
                <w:lang w:val="en-GB"/>
              </w:rPr>
              <w:t>115D242000177</w:t>
            </w:r>
          </w:p>
        </w:tc>
        <w:tc>
          <w:tcPr>
            <w:tcW w:w="4820" w:type="dxa"/>
            <w:tcBorders>
              <w:top w:val="single" w:sz="6" w:space="0" w:color="auto"/>
              <w:bottom w:val="single" w:sz="4" w:space="0" w:color="auto"/>
            </w:tcBorders>
            <w:shd w:val="clear" w:color="auto" w:fill="auto"/>
            <w:vAlign w:val="center"/>
          </w:tcPr>
          <w:p w:rsidR="00AC5BA2" w:rsidRPr="00EA5F4B" w:rsidRDefault="00EA5F4B" w:rsidP="00EA5F4B">
            <w:pPr>
              <w:rPr>
                <w:rFonts w:asciiTheme="minorHAnsi" w:hAnsiTheme="minorHAnsi" w:cstheme="minorHAnsi"/>
                <w:sz w:val="18"/>
                <w:szCs w:val="18"/>
                <w:lang w:val="en-GB"/>
              </w:rPr>
            </w:pPr>
            <w:r w:rsidRPr="00EA5F4B">
              <w:rPr>
                <w:rFonts w:asciiTheme="minorHAnsi" w:hAnsiTheme="minorHAnsi" w:cstheme="minorHAnsi"/>
                <w:sz w:val="18"/>
                <w:szCs w:val="18"/>
                <w:lang w:val="en-GB"/>
              </w:rPr>
              <w:t>System for organic waste management</w:t>
            </w:r>
            <w:r w:rsidR="00AC5BA2" w:rsidRPr="00EA5F4B">
              <w:rPr>
                <w:rFonts w:asciiTheme="minorHAnsi" w:hAnsiTheme="minorHAnsi" w:cstheme="minorHAnsi"/>
                <w:sz w:val="18"/>
                <w:szCs w:val="18"/>
                <w:lang w:val="en-GB"/>
              </w:rPr>
              <w:t xml:space="preserve"> </w:t>
            </w:r>
            <w:proofErr w:type="spellStart"/>
            <w:r w:rsidR="00AC5BA2" w:rsidRPr="00EA5F4B">
              <w:rPr>
                <w:rFonts w:asciiTheme="minorHAnsi" w:hAnsiTheme="minorHAnsi" w:cstheme="minorHAnsi"/>
                <w:sz w:val="18"/>
                <w:szCs w:val="18"/>
                <w:lang w:val="en-GB"/>
              </w:rPr>
              <w:t>Vimperk</w:t>
            </w:r>
            <w:proofErr w:type="spellEnd"/>
          </w:p>
        </w:tc>
        <w:tc>
          <w:tcPr>
            <w:tcW w:w="1559" w:type="dxa"/>
            <w:tcBorders>
              <w:top w:val="single" w:sz="6" w:space="0" w:color="auto"/>
              <w:bottom w:val="single" w:sz="4" w:space="0" w:color="auto"/>
            </w:tcBorders>
            <w:shd w:val="clear" w:color="auto" w:fill="auto"/>
            <w:vAlign w:val="center"/>
          </w:tcPr>
          <w:p w:rsidR="00AC5BA2" w:rsidRPr="00EA5F4B" w:rsidRDefault="00EA5F4B"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City of</w:t>
            </w:r>
            <w:r w:rsidR="00AC5BA2" w:rsidRPr="00EA5F4B">
              <w:rPr>
                <w:rFonts w:asciiTheme="minorHAnsi" w:hAnsiTheme="minorHAnsi" w:cstheme="minorHAnsi"/>
                <w:sz w:val="18"/>
                <w:szCs w:val="18"/>
                <w:lang w:val="en-GB"/>
              </w:rPr>
              <w:t xml:space="preserve"> </w:t>
            </w:r>
            <w:proofErr w:type="spellStart"/>
            <w:r w:rsidR="00AC5BA2" w:rsidRPr="00EA5F4B">
              <w:rPr>
                <w:rFonts w:asciiTheme="minorHAnsi" w:hAnsiTheme="minorHAnsi" w:cstheme="minorHAnsi"/>
                <w:sz w:val="18"/>
                <w:szCs w:val="18"/>
                <w:lang w:val="en-GB"/>
              </w:rPr>
              <w:t>Vimperk</w:t>
            </w:r>
            <w:proofErr w:type="spellEnd"/>
          </w:p>
        </w:tc>
        <w:tc>
          <w:tcPr>
            <w:tcW w:w="1292" w:type="dxa"/>
            <w:tcBorders>
              <w:top w:val="single" w:sz="6"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31</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386</w:t>
            </w:r>
          </w:p>
        </w:tc>
        <w:tc>
          <w:tcPr>
            <w:tcW w:w="1293" w:type="dxa"/>
            <w:tcBorders>
              <w:top w:val="single" w:sz="6"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26</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678</w:t>
            </w:r>
          </w:p>
        </w:tc>
        <w:tc>
          <w:tcPr>
            <w:tcW w:w="1293" w:type="dxa"/>
            <w:tcBorders>
              <w:top w:val="single" w:sz="6"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569</w:t>
            </w:r>
          </w:p>
        </w:tc>
        <w:tc>
          <w:tcPr>
            <w:tcW w:w="1293" w:type="dxa"/>
            <w:tcBorders>
              <w:top w:val="single" w:sz="6" w:space="0" w:color="auto"/>
              <w:bottom w:val="single" w:sz="4" w:space="0" w:color="auto"/>
            </w:tcBorders>
            <w:shd w:val="clear" w:color="auto" w:fill="auto"/>
            <w:vAlign w:val="center"/>
          </w:tcPr>
          <w:p w:rsidR="00AC5BA2" w:rsidRPr="00EA5F4B" w:rsidRDefault="00AC5BA2" w:rsidP="00466286">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2</w:t>
            </w:r>
            <w:r w:rsidR="00466286" w:rsidRPr="00EA5F4B">
              <w:rPr>
                <w:rFonts w:asciiTheme="minorHAnsi" w:hAnsiTheme="minorHAnsi" w:cstheme="minorHAnsi"/>
                <w:sz w:val="18"/>
                <w:szCs w:val="18"/>
                <w:lang w:val="en-GB"/>
              </w:rPr>
              <w:t>6</w:t>
            </w:r>
            <w:r w:rsidRPr="00EA5F4B">
              <w:rPr>
                <w:rFonts w:asciiTheme="minorHAnsi" w:hAnsiTheme="minorHAnsi" w:cstheme="minorHAnsi"/>
                <w:sz w:val="18"/>
                <w:szCs w:val="18"/>
                <w:lang w:val="en-GB"/>
              </w:rPr>
              <w:t>. 7. 2011</w:t>
            </w:r>
          </w:p>
        </w:tc>
        <w:tc>
          <w:tcPr>
            <w:tcW w:w="1293" w:type="dxa"/>
            <w:tcBorders>
              <w:top w:val="single" w:sz="6" w:space="0" w:color="auto"/>
              <w:bottom w:val="single" w:sz="4" w:space="0" w:color="auto"/>
              <w:right w:val="single" w:sz="12" w:space="0" w:color="auto"/>
            </w:tcBorders>
            <w:vAlign w:val="center"/>
          </w:tcPr>
          <w:p w:rsidR="00AC5BA2" w:rsidRPr="00EA5F4B" w:rsidRDefault="00AC5BA2" w:rsidP="00466286">
            <w:pPr>
              <w:jc w:val="center"/>
              <w:rPr>
                <w:rFonts w:asciiTheme="minorHAnsi" w:hAnsiTheme="minorHAnsi" w:cstheme="minorHAnsi"/>
                <w:bCs/>
                <w:sz w:val="18"/>
                <w:szCs w:val="18"/>
                <w:highlight w:val="yellow"/>
                <w:lang w:val="en-GB"/>
              </w:rPr>
            </w:pPr>
            <w:r w:rsidRPr="00EA5F4B">
              <w:rPr>
                <w:rFonts w:asciiTheme="minorHAnsi" w:hAnsiTheme="minorHAnsi"/>
                <w:sz w:val="18"/>
                <w:szCs w:val="18"/>
                <w:lang w:val="en-GB"/>
              </w:rPr>
              <w:t>2</w:t>
            </w:r>
            <w:r w:rsidR="00466286" w:rsidRPr="00EA5F4B">
              <w:rPr>
                <w:rFonts w:asciiTheme="minorHAnsi" w:hAnsiTheme="minorHAnsi"/>
                <w:sz w:val="18"/>
                <w:szCs w:val="18"/>
                <w:lang w:val="en-GB"/>
              </w:rPr>
              <w:t>6</w:t>
            </w:r>
            <w:r w:rsidRPr="00EA5F4B">
              <w:rPr>
                <w:rFonts w:asciiTheme="minorHAnsi" w:hAnsiTheme="minorHAnsi"/>
                <w:sz w:val="18"/>
                <w:szCs w:val="18"/>
                <w:lang w:val="en-GB"/>
              </w:rPr>
              <w:t>. 7. 2016</w:t>
            </w:r>
          </w:p>
        </w:tc>
      </w:tr>
      <w:tr w:rsidR="00EA5F4B" w:rsidRPr="00EA5F4B" w:rsidTr="00AC5BA2">
        <w:trPr>
          <w:trHeight w:val="439"/>
        </w:trPr>
        <w:tc>
          <w:tcPr>
            <w:tcW w:w="1985" w:type="dxa"/>
            <w:tcBorders>
              <w:top w:val="single" w:sz="6" w:space="0" w:color="auto"/>
              <w:left w:val="single" w:sz="12"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bCs/>
                <w:sz w:val="18"/>
                <w:szCs w:val="18"/>
                <w:highlight w:val="yellow"/>
                <w:lang w:val="en-GB"/>
              </w:rPr>
            </w:pPr>
            <w:r w:rsidRPr="00EA5F4B">
              <w:rPr>
                <w:rFonts w:asciiTheme="minorHAnsi" w:hAnsiTheme="minorHAnsi" w:cs="Arial"/>
                <w:sz w:val="18"/>
                <w:szCs w:val="18"/>
                <w:lang w:val="en-GB"/>
              </w:rPr>
              <w:t>115D242000185</w:t>
            </w:r>
          </w:p>
        </w:tc>
        <w:tc>
          <w:tcPr>
            <w:tcW w:w="4820" w:type="dxa"/>
            <w:tcBorders>
              <w:top w:val="single" w:sz="6" w:space="0" w:color="auto"/>
              <w:bottom w:val="single" w:sz="4" w:space="0" w:color="auto"/>
            </w:tcBorders>
            <w:shd w:val="clear" w:color="auto" w:fill="auto"/>
            <w:vAlign w:val="center"/>
          </w:tcPr>
          <w:p w:rsidR="00AC5BA2" w:rsidRPr="00EA5F4B" w:rsidRDefault="00EA5F4B" w:rsidP="00EA5F4B">
            <w:pPr>
              <w:rPr>
                <w:rFonts w:asciiTheme="minorHAnsi" w:hAnsiTheme="minorHAnsi" w:cstheme="minorHAnsi"/>
                <w:sz w:val="18"/>
                <w:szCs w:val="18"/>
                <w:lang w:val="en-GB"/>
              </w:rPr>
            </w:pPr>
            <w:r w:rsidRPr="00EA5F4B">
              <w:rPr>
                <w:rFonts w:asciiTheme="minorHAnsi" w:hAnsiTheme="minorHAnsi" w:cstheme="minorHAnsi"/>
                <w:sz w:val="18"/>
                <w:szCs w:val="18"/>
                <w:lang w:val="en-GB"/>
              </w:rPr>
              <w:t>Biogas station for processing biodegradable waste</w:t>
            </w:r>
            <w:r w:rsidR="00AC5BA2" w:rsidRPr="00EA5F4B">
              <w:rPr>
                <w:rFonts w:asciiTheme="minorHAnsi" w:hAnsiTheme="minorHAnsi" w:cstheme="minorHAnsi"/>
                <w:sz w:val="18"/>
                <w:szCs w:val="18"/>
                <w:lang w:val="en-GB"/>
              </w:rPr>
              <w:t xml:space="preserve"> </w:t>
            </w:r>
            <w:proofErr w:type="spellStart"/>
            <w:r w:rsidR="00AC5BA2" w:rsidRPr="00EA5F4B">
              <w:rPr>
                <w:rFonts w:asciiTheme="minorHAnsi" w:hAnsiTheme="minorHAnsi" w:cstheme="minorHAnsi"/>
                <w:sz w:val="18"/>
                <w:szCs w:val="18"/>
                <w:lang w:val="en-GB"/>
              </w:rPr>
              <w:t>Žďár</w:t>
            </w:r>
            <w:proofErr w:type="spellEnd"/>
            <w:r w:rsidR="00AC5BA2" w:rsidRPr="00EA5F4B">
              <w:rPr>
                <w:rFonts w:asciiTheme="minorHAnsi" w:hAnsiTheme="minorHAnsi" w:cstheme="minorHAnsi"/>
                <w:sz w:val="18"/>
                <w:szCs w:val="18"/>
                <w:lang w:val="en-GB"/>
              </w:rPr>
              <w:t xml:space="preserve"> </w:t>
            </w:r>
            <w:proofErr w:type="spellStart"/>
            <w:r w:rsidR="00AC5BA2" w:rsidRPr="00EA5F4B">
              <w:rPr>
                <w:rFonts w:asciiTheme="minorHAnsi" w:hAnsiTheme="minorHAnsi" w:cstheme="minorHAnsi"/>
                <w:sz w:val="18"/>
                <w:szCs w:val="18"/>
                <w:lang w:val="en-GB"/>
              </w:rPr>
              <w:t>nad</w:t>
            </w:r>
            <w:proofErr w:type="spellEnd"/>
            <w:r w:rsidR="00AC5BA2" w:rsidRPr="00EA5F4B">
              <w:rPr>
                <w:rFonts w:asciiTheme="minorHAnsi" w:hAnsiTheme="minorHAnsi" w:cstheme="minorHAnsi"/>
                <w:sz w:val="18"/>
                <w:szCs w:val="18"/>
                <w:lang w:val="en-GB"/>
              </w:rPr>
              <w:t xml:space="preserve"> </w:t>
            </w:r>
            <w:proofErr w:type="spellStart"/>
            <w:r w:rsidR="00AC5BA2" w:rsidRPr="00EA5F4B">
              <w:rPr>
                <w:rFonts w:asciiTheme="minorHAnsi" w:hAnsiTheme="minorHAnsi" w:cstheme="minorHAnsi"/>
                <w:sz w:val="18"/>
                <w:szCs w:val="18"/>
                <w:lang w:val="en-GB"/>
              </w:rPr>
              <w:t>Sázavou</w:t>
            </w:r>
            <w:proofErr w:type="spellEnd"/>
          </w:p>
        </w:tc>
        <w:tc>
          <w:tcPr>
            <w:tcW w:w="1559" w:type="dxa"/>
            <w:tcBorders>
              <w:top w:val="single" w:sz="6"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 xml:space="preserve">ODAS ODPADY </w:t>
            </w:r>
            <w:proofErr w:type="spellStart"/>
            <w:r w:rsidRPr="00EA5F4B">
              <w:rPr>
                <w:rFonts w:asciiTheme="minorHAnsi" w:hAnsiTheme="minorHAnsi" w:cstheme="minorHAnsi"/>
                <w:sz w:val="18"/>
                <w:szCs w:val="18"/>
                <w:lang w:val="en-GB"/>
              </w:rPr>
              <w:t>s.r.o</w:t>
            </w:r>
            <w:proofErr w:type="spellEnd"/>
            <w:r w:rsidRPr="00EA5F4B">
              <w:rPr>
                <w:rFonts w:asciiTheme="minorHAnsi" w:hAnsiTheme="minorHAnsi" w:cstheme="minorHAnsi"/>
                <w:sz w:val="18"/>
                <w:szCs w:val="18"/>
                <w:lang w:val="en-GB"/>
              </w:rPr>
              <w:t>.</w:t>
            </w:r>
          </w:p>
        </w:tc>
        <w:tc>
          <w:tcPr>
            <w:tcW w:w="1292" w:type="dxa"/>
            <w:tcBorders>
              <w:top w:val="single" w:sz="6" w:space="0" w:color="auto"/>
              <w:bottom w:val="single" w:sz="4" w:space="0" w:color="auto"/>
            </w:tcBorders>
            <w:shd w:val="clear" w:color="auto" w:fill="auto"/>
            <w:vAlign w:val="center"/>
          </w:tcPr>
          <w:p w:rsidR="00AC5BA2" w:rsidRPr="00EA5F4B" w:rsidRDefault="00AC5BA2" w:rsidP="00AF5249">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102</w:t>
            </w:r>
            <w:r w:rsidR="00EA5F4B" w:rsidRPr="00EA5F4B">
              <w:rPr>
                <w:rFonts w:asciiTheme="minorHAnsi" w:hAnsiTheme="minorHAnsi" w:cstheme="minorHAnsi"/>
                <w:sz w:val="18"/>
                <w:szCs w:val="18"/>
                <w:lang w:val="en-GB"/>
              </w:rPr>
              <w:t>.</w:t>
            </w:r>
            <w:r w:rsidR="00AF5249" w:rsidRPr="00EA5F4B">
              <w:rPr>
                <w:rFonts w:asciiTheme="minorHAnsi" w:hAnsiTheme="minorHAnsi" w:cstheme="minorHAnsi"/>
                <w:sz w:val="18"/>
                <w:szCs w:val="18"/>
                <w:lang w:val="en-GB"/>
              </w:rPr>
              <w:t>577</w:t>
            </w:r>
          </w:p>
        </w:tc>
        <w:tc>
          <w:tcPr>
            <w:tcW w:w="1293" w:type="dxa"/>
            <w:tcBorders>
              <w:top w:val="single" w:sz="6"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35</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748</w:t>
            </w:r>
          </w:p>
        </w:tc>
        <w:tc>
          <w:tcPr>
            <w:tcW w:w="1293" w:type="dxa"/>
            <w:tcBorders>
              <w:top w:val="single" w:sz="6"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6</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309</w:t>
            </w:r>
          </w:p>
        </w:tc>
        <w:tc>
          <w:tcPr>
            <w:tcW w:w="1293" w:type="dxa"/>
            <w:tcBorders>
              <w:top w:val="single" w:sz="6" w:space="0" w:color="auto"/>
              <w:bottom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7. 10. 2011</w:t>
            </w:r>
          </w:p>
        </w:tc>
        <w:tc>
          <w:tcPr>
            <w:tcW w:w="1293" w:type="dxa"/>
            <w:tcBorders>
              <w:top w:val="single" w:sz="6" w:space="0" w:color="auto"/>
              <w:bottom w:val="single" w:sz="4" w:space="0" w:color="auto"/>
              <w:right w:val="single" w:sz="12" w:space="0" w:color="auto"/>
            </w:tcBorders>
            <w:vAlign w:val="center"/>
          </w:tcPr>
          <w:p w:rsidR="00AC5BA2" w:rsidRPr="00EA5F4B" w:rsidRDefault="00AC5BA2" w:rsidP="00AC5BA2">
            <w:pPr>
              <w:jc w:val="center"/>
              <w:rPr>
                <w:rFonts w:asciiTheme="minorHAnsi" w:hAnsiTheme="minorHAnsi" w:cstheme="minorHAnsi"/>
                <w:bCs/>
                <w:sz w:val="18"/>
                <w:szCs w:val="18"/>
                <w:highlight w:val="yellow"/>
                <w:lang w:val="en-GB"/>
              </w:rPr>
            </w:pPr>
            <w:r w:rsidRPr="00EA5F4B">
              <w:rPr>
                <w:rFonts w:asciiTheme="minorHAnsi" w:hAnsiTheme="minorHAnsi" w:cstheme="minorHAnsi"/>
                <w:bCs/>
                <w:sz w:val="18"/>
                <w:szCs w:val="18"/>
                <w:lang w:val="en-GB"/>
              </w:rPr>
              <w:t>7. 10. 2016</w:t>
            </w:r>
          </w:p>
        </w:tc>
      </w:tr>
      <w:tr w:rsidR="00EA5F4B" w:rsidRPr="00EA5F4B" w:rsidTr="00AC5BA2">
        <w:trPr>
          <w:trHeight w:val="439"/>
        </w:trPr>
        <w:tc>
          <w:tcPr>
            <w:tcW w:w="1985" w:type="dxa"/>
            <w:tcBorders>
              <w:top w:val="single" w:sz="4" w:space="0" w:color="auto"/>
              <w:left w:val="single" w:sz="12"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highlight w:val="yellow"/>
                <w:lang w:val="en-GB"/>
              </w:rPr>
            </w:pPr>
            <w:r w:rsidRPr="00EA5F4B">
              <w:rPr>
                <w:rFonts w:asciiTheme="minorHAnsi" w:hAnsiTheme="minorHAnsi"/>
                <w:sz w:val="18"/>
                <w:szCs w:val="18"/>
                <w:lang w:val="en-GB"/>
              </w:rPr>
              <w:t>115D242000272</w:t>
            </w:r>
          </w:p>
        </w:tc>
        <w:tc>
          <w:tcPr>
            <w:tcW w:w="4820" w:type="dxa"/>
            <w:tcBorders>
              <w:top w:val="single" w:sz="4" w:space="0" w:color="auto"/>
            </w:tcBorders>
            <w:shd w:val="clear" w:color="auto" w:fill="auto"/>
            <w:vAlign w:val="center"/>
          </w:tcPr>
          <w:p w:rsidR="00AC5BA2" w:rsidRPr="00EA5F4B" w:rsidRDefault="00AC5BA2" w:rsidP="00AC5BA2">
            <w:pPr>
              <w:rPr>
                <w:rFonts w:asciiTheme="minorHAnsi" w:hAnsiTheme="minorHAnsi" w:cstheme="minorHAnsi"/>
                <w:sz w:val="18"/>
                <w:szCs w:val="18"/>
                <w:lang w:val="en-GB"/>
              </w:rPr>
            </w:pPr>
            <w:proofErr w:type="spellStart"/>
            <w:r w:rsidRPr="00EA5F4B">
              <w:rPr>
                <w:rFonts w:asciiTheme="minorHAnsi" w:hAnsiTheme="minorHAnsi" w:cstheme="minorHAnsi"/>
                <w:sz w:val="18"/>
                <w:szCs w:val="18"/>
                <w:lang w:val="en-GB"/>
              </w:rPr>
              <w:t>Humpolec</w:t>
            </w:r>
            <w:proofErr w:type="spellEnd"/>
            <w:r w:rsidR="00EA5F4B" w:rsidRPr="00EA5F4B">
              <w:rPr>
                <w:rFonts w:asciiTheme="minorHAnsi" w:hAnsiTheme="minorHAnsi" w:cstheme="minorHAnsi"/>
                <w:sz w:val="18"/>
                <w:szCs w:val="18"/>
                <w:lang w:val="en-GB"/>
              </w:rPr>
              <w:t xml:space="preserve"> </w:t>
            </w:r>
            <w:r w:rsidR="0064682E" w:rsidRPr="00EA5F4B">
              <w:rPr>
                <w:rFonts w:asciiTheme="minorHAnsi" w:hAnsiTheme="minorHAnsi" w:cstheme="minorHAnsi"/>
                <w:sz w:val="18"/>
                <w:szCs w:val="18"/>
                <w:lang w:val="en-GB"/>
              </w:rPr>
              <w:t>composting</w:t>
            </w:r>
            <w:r w:rsidR="00EA5F4B" w:rsidRPr="00EA5F4B">
              <w:rPr>
                <w:rFonts w:asciiTheme="minorHAnsi" w:hAnsiTheme="minorHAnsi" w:cstheme="minorHAnsi"/>
                <w:sz w:val="18"/>
                <w:szCs w:val="18"/>
                <w:lang w:val="en-GB"/>
              </w:rPr>
              <w:t xml:space="preserve"> plant</w:t>
            </w:r>
          </w:p>
        </w:tc>
        <w:tc>
          <w:tcPr>
            <w:tcW w:w="1559" w:type="dxa"/>
            <w:tcBorders>
              <w:top w:val="single" w:sz="4" w:space="0" w:color="auto"/>
            </w:tcBorders>
            <w:shd w:val="clear" w:color="auto" w:fill="auto"/>
            <w:vAlign w:val="center"/>
          </w:tcPr>
          <w:p w:rsidR="00AC5BA2" w:rsidRPr="00EA5F4B" w:rsidRDefault="00EA5F4B"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City of</w:t>
            </w:r>
            <w:r w:rsidR="00AC5BA2" w:rsidRPr="00EA5F4B">
              <w:rPr>
                <w:rFonts w:asciiTheme="minorHAnsi" w:hAnsiTheme="minorHAnsi" w:cstheme="minorHAnsi"/>
                <w:sz w:val="18"/>
                <w:szCs w:val="18"/>
                <w:lang w:val="en-GB"/>
              </w:rPr>
              <w:t xml:space="preserve"> </w:t>
            </w:r>
            <w:proofErr w:type="spellStart"/>
            <w:r w:rsidR="00AC5BA2" w:rsidRPr="00EA5F4B">
              <w:rPr>
                <w:rFonts w:asciiTheme="minorHAnsi" w:hAnsiTheme="minorHAnsi" w:cstheme="minorHAnsi"/>
                <w:sz w:val="18"/>
                <w:szCs w:val="18"/>
                <w:lang w:val="en-GB"/>
              </w:rPr>
              <w:t>Humpolec</w:t>
            </w:r>
            <w:proofErr w:type="spellEnd"/>
          </w:p>
        </w:tc>
        <w:tc>
          <w:tcPr>
            <w:tcW w:w="1292" w:type="dxa"/>
            <w:tcBorders>
              <w:top w:val="single" w:sz="4" w:space="0" w:color="auto"/>
            </w:tcBorders>
            <w:shd w:val="clear" w:color="auto" w:fill="auto"/>
            <w:vAlign w:val="center"/>
          </w:tcPr>
          <w:p w:rsidR="00AC5BA2" w:rsidRPr="00EA5F4B" w:rsidRDefault="00AC5BA2" w:rsidP="00AF5249">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5</w:t>
            </w:r>
            <w:r w:rsidR="00AF5249" w:rsidRPr="00EA5F4B">
              <w:rPr>
                <w:rFonts w:asciiTheme="minorHAnsi" w:hAnsiTheme="minorHAnsi" w:cstheme="minorHAnsi"/>
                <w:sz w:val="18"/>
                <w:szCs w:val="18"/>
                <w:lang w:val="en-GB"/>
              </w:rPr>
              <w:t>4</w:t>
            </w:r>
            <w:r w:rsidR="00EA5F4B" w:rsidRPr="00EA5F4B">
              <w:rPr>
                <w:rFonts w:asciiTheme="minorHAnsi" w:hAnsiTheme="minorHAnsi" w:cstheme="minorHAnsi"/>
                <w:sz w:val="18"/>
                <w:szCs w:val="18"/>
                <w:lang w:val="en-GB"/>
              </w:rPr>
              <w:t>.</w:t>
            </w:r>
            <w:r w:rsidR="00AF5249" w:rsidRPr="00EA5F4B">
              <w:rPr>
                <w:rFonts w:asciiTheme="minorHAnsi" w:hAnsiTheme="minorHAnsi" w:cstheme="minorHAnsi"/>
                <w:sz w:val="18"/>
                <w:szCs w:val="18"/>
                <w:lang w:val="en-GB"/>
              </w:rPr>
              <w:t>319</w:t>
            </w:r>
          </w:p>
        </w:tc>
        <w:tc>
          <w:tcPr>
            <w:tcW w:w="1293" w:type="dxa"/>
            <w:tcBorders>
              <w:top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46</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171</w:t>
            </w:r>
          </w:p>
        </w:tc>
        <w:tc>
          <w:tcPr>
            <w:tcW w:w="1293" w:type="dxa"/>
            <w:tcBorders>
              <w:top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2</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716</w:t>
            </w:r>
          </w:p>
        </w:tc>
        <w:tc>
          <w:tcPr>
            <w:tcW w:w="1293" w:type="dxa"/>
            <w:tcBorders>
              <w:top w:val="single" w:sz="4"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2. 11. 2010</w:t>
            </w:r>
          </w:p>
        </w:tc>
        <w:tc>
          <w:tcPr>
            <w:tcW w:w="1293" w:type="dxa"/>
            <w:tcBorders>
              <w:top w:val="single" w:sz="4" w:space="0" w:color="auto"/>
              <w:right w:val="single" w:sz="12" w:space="0" w:color="auto"/>
            </w:tcBorders>
            <w:vAlign w:val="center"/>
          </w:tcPr>
          <w:p w:rsidR="00AC5BA2" w:rsidRPr="00EA5F4B" w:rsidRDefault="00AC5BA2" w:rsidP="00AC5BA2">
            <w:pPr>
              <w:jc w:val="center"/>
              <w:rPr>
                <w:rFonts w:asciiTheme="minorHAnsi" w:hAnsiTheme="minorHAnsi" w:cstheme="minorHAnsi"/>
                <w:sz w:val="18"/>
                <w:szCs w:val="18"/>
                <w:highlight w:val="yellow"/>
                <w:lang w:val="en-GB"/>
              </w:rPr>
            </w:pPr>
            <w:r w:rsidRPr="00EA5F4B">
              <w:rPr>
                <w:rFonts w:asciiTheme="minorHAnsi" w:hAnsiTheme="minorHAnsi" w:cstheme="minorHAnsi"/>
                <w:sz w:val="18"/>
                <w:szCs w:val="18"/>
                <w:lang w:val="en-GB"/>
              </w:rPr>
              <w:t>2. 11. 2015</w:t>
            </w:r>
          </w:p>
        </w:tc>
      </w:tr>
      <w:tr w:rsidR="00EA5F4B" w:rsidRPr="00EA5F4B" w:rsidTr="00AC5BA2">
        <w:trPr>
          <w:trHeight w:val="440"/>
        </w:trPr>
        <w:tc>
          <w:tcPr>
            <w:tcW w:w="1985" w:type="dxa"/>
            <w:tcBorders>
              <w:left w:val="single" w:sz="12" w:space="0" w:color="auto"/>
            </w:tcBorders>
            <w:shd w:val="clear" w:color="auto" w:fill="auto"/>
            <w:vAlign w:val="center"/>
          </w:tcPr>
          <w:p w:rsidR="00AC5BA2" w:rsidRPr="00EA5F4B" w:rsidRDefault="00AC5BA2" w:rsidP="00AC5BA2">
            <w:pPr>
              <w:jc w:val="center"/>
              <w:rPr>
                <w:rFonts w:asciiTheme="minorHAnsi" w:hAnsiTheme="minorHAnsi" w:cstheme="minorHAnsi"/>
                <w:bCs/>
                <w:sz w:val="18"/>
                <w:szCs w:val="18"/>
                <w:highlight w:val="yellow"/>
                <w:lang w:val="en-GB"/>
              </w:rPr>
            </w:pPr>
            <w:r w:rsidRPr="00EA5F4B">
              <w:rPr>
                <w:rFonts w:asciiTheme="minorHAnsi" w:hAnsiTheme="minorHAnsi" w:cs="Arial"/>
                <w:sz w:val="18"/>
                <w:szCs w:val="18"/>
                <w:lang w:val="en-GB"/>
              </w:rPr>
              <w:t>115D242000288</w:t>
            </w:r>
          </w:p>
        </w:tc>
        <w:tc>
          <w:tcPr>
            <w:tcW w:w="4820" w:type="dxa"/>
            <w:shd w:val="clear" w:color="auto" w:fill="auto"/>
            <w:vAlign w:val="center"/>
          </w:tcPr>
          <w:p w:rsidR="00AC5BA2" w:rsidRPr="00EA5F4B" w:rsidRDefault="00EA5F4B" w:rsidP="00EA5F4B">
            <w:pPr>
              <w:rPr>
                <w:rFonts w:asciiTheme="minorHAnsi" w:hAnsiTheme="minorHAnsi" w:cstheme="minorHAnsi"/>
                <w:sz w:val="18"/>
                <w:szCs w:val="18"/>
                <w:lang w:val="en-GB"/>
              </w:rPr>
            </w:pPr>
            <w:r w:rsidRPr="00EA5F4B">
              <w:rPr>
                <w:rFonts w:asciiTheme="minorHAnsi" w:hAnsiTheme="minorHAnsi" w:cstheme="minorHAnsi"/>
                <w:sz w:val="18"/>
                <w:szCs w:val="18"/>
                <w:lang w:val="en-GB"/>
              </w:rPr>
              <w:t xml:space="preserve">Expanding and improving waste </w:t>
            </w:r>
            <w:r w:rsidR="0064682E" w:rsidRPr="00EA5F4B">
              <w:rPr>
                <w:rFonts w:asciiTheme="minorHAnsi" w:hAnsiTheme="minorHAnsi" w:cstheme="minorHAnsi"/>
                <w:sz w:val="18"/>
                <w:szCs w:val="18"/>
                <w:lang w:val="en-GB"/>
              </w:rPr>
              <w:t>management</w:t>
            </w:r>
            <w:r w:rsidRPr="00EA5F4B">
              <w:rPr>
                <w:rFonts w:asciiTheme="minorHAnsi" w:hAnsiTheme="minorHAnsi" w:cstheme="minorHAnsi"/>
                <w:sz w:val="18"/>
                <w:szCs w:val="18"/>
                <w:lang w:val="en-GB"/>
              </w:rPr>
              <w:t xml:space="preserve"> at the biogas station in</w:t>
            </w:r>
            <w:r w:rsidR="00AC5BA2" w:rsidRPr="00EA5F4B">
              <w:rPr>
                <w:rFonts w:asciiTheme="minorHAnsi" w:hAnsiTheme="minorHAnsi" w:cstheme="minorHAnsi"/>
                <w:sz w:val="18"/>
                <w:szCs w:val="18"/>
                <w:lang w:val="en-GB"/>
              </w:rPr>
              <w:t> </w:t>
            </w:r>
            <w:proofErr w:type="spellStart"/>
            <w:r w:rsidR="00AC5BA2" w:rsidRPr="00EA5F4B">
              <w:rPr>
                <w:rFonts w:asciiTheme="minorHAnsi" w:hAnsiTheme="minorHAnsi" w:cstheme="minorHAnsi"/>
                <w:sz w:val="18"/>
                <w:szCs w:val="18"/>
                <w:lang w:val="en-GB"/>
              </w:rPr>
              <w:t>Jaroměř</w:t>
            </w:r>
            <w:proofErr w:type="spellEnd"/>
          </w:p>
        </w:tc>
        <w:tc>
          <w:tcPr>
            <w:tcW w:w="1559"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 xml:space="preserve">AGRO CS </w:t>
            </w:r>
            <w:proofErr w:type="spellStart"/>
            <w:r w:rsidRPr="00EA5F4B">
              <w:rPr>
                <w:rFonts w:asciiTheme="minorHAnsi" w:hAnsiTheme="minorHAnsi" w:cstheme="minorHAnsi"/>
                <w:sz w:val="18"/>
                <w:szCs w:val="18"/>
                <w:lang w:val="en-GB"/>
              </w:rPr>
              <w:t>a.s</w:t>
            </w:r>
            <w:proofErr w:type="spellEnd"/>
            <w:r w:rsidRPr="00EA5F4B">
              <w:rPr>
                <w:rFonts w:asciiTheme="minorHAnsi" w:hAnsiTheme="minorHAnsi" w:cstheme="minorHAnsi"/>
                <w:sz w:val="18"/>
                <w:szCs w:val="18"/>
                <w:lang w:val="en-GB"/>
              </w:rPr>
              <w:t>.</w:t>
            </w:r>
          </w:p>
        </w:tc>
        <w:tc>
          <w:tcPr>
            <w:tcW w:w="1292" w:type="dxa"/>
            <w:shd w:val="clear" w:color="auto" w:fill="auto"/>
            <w:vAlign w:val="center"/>
          </w:tcPr>
          <w:p w:rsidR="00AC5BA2" w:rsidRPr="00EA5F4B" w:rsidRDefault="00AC5BA2" w:rsidP="005C2388">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3</w:t>
            </w:r>
            <w:r w:rsidR="005C2388" w:rsidRPr="00EA5F4B">
              <w:rPr>
                <w:rFonts w:asciiTheme="minorHAnsi" w:hAnsiTheme="minorHAnsi" w:cstheme="minorHAnsi"/>
                <w:sz w:val="18"/>
                <w:szCs w:val="18"/>
                <w:lang w:val="en-GB"/>
              </w:rPr>
              <w:t>0</w:t>
            </w:r>
            <w:r w:rsidR="00EA5F4B" w:rsidRPr="00EA5F4B">
              <w:rPr>
                <w:rFonts w:asciiTheme="minorHAnsi" w:hAnsiTheme="minorHAnsi" w:cstheme="minorHAnsi"/>
                <w:sz w:val="18"/>
                <w:szCs w:val="18"/>
                <w:lang w:val="en-GB"/>
              </w:rPr>
              <w:t>.</w:t>
            </w:r>
            <w:r w:rsidR="005C2388" w:rsidRPr="00EA5F4B">
              <w:rPr>
                <w:rFonts w:asciiTheme="minorHAnsi" w:hAnsiTheme="minorHAnsi" w:cstheme="minorHAnsi"/>
                <w:sz w:val="18"/>
                <w:szCs w:val="18"/>
                <w:lang w:val="en-GB"/>
              </w:rPr>
              <w:t>844</w:t>
            </w:r>
          </w:p>
        </w:tc>
        <w:tc>
          <w:tcPr>
            <w:tcW w:w="1293"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10</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487</w:t>
            </w:r>
          </w:p>
        </w:tc>
        <w:tc>
          <w:tcPr>
            <w:tcW w:w="1293"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851</w:t>
            </w:r>
          </w:p>
        </w:tc>
        <w:tc>
          <w:tcPr>
            <w:tcW w:w="1293"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26. 9. 2011</w:t>
            </w:r>
          </w:p>
        </w:tc>
        <w:tc>
          <w:tcPr>
            <w:tcW w:w="1293" w:type="dxa"/>
            <w:tcBorders>
              <w:right w:val="single" w:sz="12" w:space="0" w:color="auto"/>
            </w:tcBorders>
            <w:vAlign w:val="center"/>
          </w:tcPr>
          <w:p w:rsidR="00AC5BA2" w:rsidRPr="00EA5F4B" w:rsidRDefault="00AC5BA2" w:rsidP="005C2388">
            <w:pPr>
              <w:jc w:val="center"/>
              <w:rPr>
                <w:rFonts w:asciiTheme="minorHAnsi" w:hAnsiTheme="minorHAnsi" w:cstheme="minorHAnsi"/>
                <w:bCs/>
                <w:sz w:val="18"/>
                <w:szCs w:val="18"/>
                <w:highlight w:val="yellow"/>
                <w:lang w:val="en-GB"/>
              </w:rPr>
            </w:pPr>
            <w:r w:rsidRPr="00EA5F4B">
              <w:rPr>
                <w:rFonts w:asciiTheme="minorHAnsi" w:hAnsiTheme="minorHAnsi" w:cstheme="minorHAnsi"/>
                <w:bCs/>
                <w:sz w:val="18"/>
                <w:szCs w:val="18"/>
                <w:lang w:val="en-GB"/>
              </w:rPr>
              <w:t>26. 9. 201</w:t>
            </w:r>
            <w:r w:rsidR="005C2388" w:rsidRPr="00EA5F4B">
              <w:rPr>
                <w:rFonts w:asciiTheme="minorHAnsi" w:hAnsiTheme="minorHAnsi" w:cstheme="minorHAnsi"/>
                <w:bCs/>
                <w:sz w:val="18"/>
                <w:szCs w:val="18"/>
                <w:lang w:val="en-GB"/>
              </w:rPr>
              <w:t>6</w:t>
            </w:r>
          </w:p>
        </w:tc>
      </w:tr>
      <w:tr w:rsidR="00EA5F4B" w:rsidRPr="00EA5F4B" w:rsidTr="00AC5BA2">
        <w:trPr>
          <w:trHeight w:val="440"/>
        </w:trPr>
        <w:tc>
          <w:tcPr>
            <w:tcW w:w="1985" w:type="dxa"/>
            <w:tcBorders>
              <w:left w:val="single" w:sz="12" w:space="0" w:color="auto"/>
            </w:tcBorders>
            <w:shd w:val="clear" w:color="auto" w:fill="auto"/>
            <w:vAlign w:val="center"/>
          </w:tcPr>
          <w:p w:rsidR="00AC5BA2" w:rsidRPr="00EA5F4B" w:rsidRDefault="00AC5BA2" w:rsidP="00AC5BA2">
            <w:pPr>
              <w:jc w:val="center"/>
              <w:rPr>
                <w:rFonts w:asciiTheme="minorHAnsi" w:hAnsiTheme="minorHAnsi" w:cstheme="minorHAnsi"/>
                <w:bCs/>
                <w:sz w:val="18"/>
                <w:szCs w:val="18"/>
                <w:highlight w:val="yellow"/>
                <w:lang w:val="en-GB"/>
              </w:rPr>
            </w:pPr>
            <w:r w:rsidRPr="00EA5F4B">
              <w:rPr>
                <w:rFonts w:asciiTheme="minorHAnsi" w:hAnsiTheme="minorHAnsi" w:cs="Arial"/>
                <w:sz w:val="18"/>
                <w:szCs w:val="18"/>
                <w:lang w:val="en-GB"/>
              </w:rPr>
              <w:t>115D242000369</w:t>
            </w:r>
          </w:p>
        </w:tc>
        <w:tc>
          <w:tcPr>
            <w:tcW w:w="4820" w:type="dxa"/>
            <w:shd w:val="clear" w:color="auto" w:fill="auto"/>
            <w:vAlign w:val="center"/>
          </w:tcPr>
          <w:p w:rsidR="00AC5BA2" w:rsidRPr="00EA5F4B" w:rsidRDefault="00EA5F4B" w:rsidP="00EA5F4B">
            <w:pPr>
              <w:rPr>
                <w:rFonts w:asciiTheme="minorHAnsi" w:hAnsiTheme="minorHAnsi" w:cstheme="minorHAnsi"/>
                <w:sz w:val="18"/>
                <w:szCs w:val="18"/>
                <w:lang w:val="en-GB"/>
              </w:rPr>
            </w:pPr>
            <w:r w:rsidRPr="00EA5F4B">
              <w:rPr>
                <w:rFonts w:asciiTheme="minorHAnsi" w:hAnsiTheme="minorHAnsi" w:cstheme="minorHAnsi"/>
                <w:sz w:val="18"/>
                <w:szCs w:val="18"/>
                <w:lang w:val="en-GB"/>
              </w:rPr>
              <w:t>Modernisation and expansion of composting plant in connection to biogas station in</w:t>
            </w:r>
            <w:r w:rsidR="00AC5BA2" w:rsidRPr="00EA5F4B">
              <w:rPr>
                <w:rFonts w:asciiTheme="minorHAnsi" w:hAnsiTheme="minorHAnsi" w:cstheme="minorHAnsi"/>
                <w:sz w:val="18"/>
                <w:szCs w:val="18"/>
                <w:lang w:val="en-GB"/>
              </w:rPr>
              <w:t> </w:t>
            </w:r>
            <w:proofErr w:type="spellStart"/>
            <w:r w:rsidR="00AC5BA2" w:rsidRPr="00EA5F4B">
              <w:rPr>
                <w:rFonts w:asciiTheme="minorHAnsi" w:hAnsiTheme="minorHAnsi" w:cstheme="minorHAnsi"/>
                <w:sz w:val="18"/>
                <w:szCs w:val="18"/>
                <w:lang w:val="en-GB"/>
              </w:rPr>
              <w:t>Jaroměř</w:t>
            </w:r>
            <w:proofErr w:type="spellEnd"/>
          </w:p>
        </w:tc>
        <w:tc>
          <w:tcPr>
            <w:tcW w:w="1559"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 xml:space="preserve">AGRO CS </w:t>
            </w:r>
            <w:proofErr w:type="spellStart"/>
            <w:r w:rsidRPr="00EA5F4B">
              <w:rPr>
                <w:rFonts w:asciiTheme="minorHAnsi" w:hAnsiTheme="minorHAnsi" w:cstheme="minorHAnsi"/>
                <w:sz w:val="18"/>
                <w:szCs w:val="18"/>
                <w:lang w:val="en-GB"/>
              </w:rPr>
              <w:t>a.s</w:t>
            </w:r>
            <w:proofErr w:type="spellEnd"/>
            <w:r w:rsidRPr="00EA5F4B">
              <w:rPr>
                <w:rFonts w:asciiTheme="minorHAnsi" w:hAnsiTheme="minorHAnsi" w:cstheme="minorHAnsi"/>
                <w:sz w:val="18"/>
                <w:szCs w:val="18"/>
                <w:lang w:val="en-GB"/>
              </w:rPr>
              <w:t>.</w:t>
            </w:r>
          </w:p>
        </w:tc>
        <w:tc>
          <w:tcPr>
            <w:tcW w:w="1292" w:type="dxa"/>
            <w:shd w:val="clear" w:color="auto" w:fill="auto"/>
            <w:vAlign w:val="center"/>
          </w:tcPr>
          <w:p w:rsidR="00AC5BA2" w:rsidRPr="00EA5F4B" w:rsidRDefault="00AC5BA2" w:rsidP="00AF5249">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4</w:t>
            </w:r>
            <w:r w:rsidR="00AF5249" w:rsidRPr="00EA5F4B">
              <w:rPr>
                <w:rFonts w:asciiTheme="minorHAnsi" w:hAnsiTheme="minorHAnsi" w:cstheme="minorHAnsi"/>
                <w:sz w:val="18"/>
                <w:szCs w:val="18"/>
                <w:lang w:val="en-GB"/>
              </w:rPr>
              <w:t>1</w:t>
            </w:r>
            <w:r w:rsidR="00EA5F4B" w:rsidRPr="00EA5F4B">
              <w:rPr>
                <w:rFonts w:asciiTheme="minorHAnsi" w:hAnsiTheme="minorHAnsi" w:cstheme="minorHAnsi"/>
                <w:sz w:val="18"/>
                <w:szCs w:val="18"/>
                <w:lang w:val="en-GB"/>
              </w:rPr>
              <w:t>.</w:t>
            </w:r>
            <w:r w:rsidR="00AF5249" w:rsidRPr="00EA5F4B">
              <w:rPr>
                <w:rFonts w:asciiTheme="minorHAnsi" w:hAnsiTheme="minorHAnsi" w:cstheme="minorHAnsi"/>
                <w:sz w:val="18"/>
                <w:szCs w:val="18"/>
                <w:lang w:val="en-GB"/>
              </w:rPr>
              <w:t>321</w:t>
            </w:r>
          </w:p>
        </w:tc>
        <w:tc>
          <w:tcPr>
            <w:tcW w:w="1293"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14</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049</w:t>
            </w:r>
          </w:p>
        </w:tc>
        <w:tc>
          <w:tcPr>
            <w:tcW w:w="1293"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2</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479</w:t>
            </w:r>
          </w:p>
        </w:tc>
        <w:tc>
          <w:tcPr>
            <w:tcW w:w="1293"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21. 9. 2011</w:t>
            </w:r>
          </w:p>
        </w:tc>
        <w:tc>
          <w:tcPr>
            <w:tcW w:w="1293" w:type="dxa"/>
            <w:tcBorders>
              <w:right w:val="single" w:sz="12" w:space="0" w:color="auto"/>
            </w:tcBorders>
            <w:vAlign w:val="center"/>
          </w:tcPr>
          <w:p w:rsidR="00AC5BA2" w:rsidRPr="00EA5F4B" w:rsidRDefault="00AC5BA2" w:rsidP="00AC5BA2">
            <w:pPr>
              <w:jc w:val="center"/>
              <w:rPr>
                <w:rFonts w:asciiTheme="minorHAnsi" w:hAnsiTheme="minorHAnsi" w:cstheme="minorHAnsi"/>
                <w:bCs/>
                <w:sz w:val="18"/>
                <w:szCs w:val="18"/>
                <w:highlight w:val="yellow"/>
                <w:lang w:val="en-GB"/>
              </w:rPr>
            </w:pPr>
            <w:r w:rsidRPr="00EA5F4B">
              <w:rPr>
                <w:rFonts w:asciiTheme="minorHAnsi" w:hAnsiTheme="minorHAnsi"/>
                <w:sz w:val="18"/>
                <w:szCs w:val="18"/>
                <w:lang w:val="en-GB"/>
              </w:rPr>
              <w:t>21. 9. 2016</w:t>
            </w:r>
          </w:p>
        </w:tc>
      </w:tr>
      <w:tr w:rsidR="00EA5F4B" w:rsidRPr="00EA5F4B" w:rsidTr="00AC5BA2">
        <w:trPr>
          <w:trHeight w:val="439"/>
        </w:trPr>
        <w:tc>
          <w:tcPr>
            <w:tcW w:w="1985" w:type="dxa"/>
            <w:tcBorders>
              <w:left w:val="single" w:sz="12"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highlight w:val="yellow"/>
                <w:lang w:val="en-GB"/>
              </w:rPr>
            </w:pPr>
            <w:r w:rsidRPr="00EA5F4B">
              <w:rPr>
                <w:rFonts w:asciiTheme="minorHAnsi" w:hAnsiTheme="minorHAnsi" w:cs="Arial"/>
                <w:sz w:val="18"/>
                <w:szCs w:val="18"/>
                <w:lang w:val="en-GB"/>
              </w:rPr>
              <w:t>115D242000502</w:t>
            </w:r>
          </w:p>
        </w:tc>
        <w:tc>
          <w:tcPr>
            <w:tcW w:w="4820" w:type="dxa"/>
            <w:shd w:val="clear" w:color="auto" w:fill="auto"/>
            <w:vAlign w:val="center"/>
          </w:tcPr>
          <w:p w:rsidR="00AC5BA2" w:rsidRPr="00EA5F4B" w:rsidRDefault="00EA5F4B" w:rsidP="00EA5F4B">
            <w:pPr>
              <w:rPr>
                <w:rFonts w:asciiTheme="minorHAnsi" w:hAnsiTheme="minorHAnsi" w:cstheme="minorHAnsi"/>
                <w:sz w:val="18"/>
                <w:szCs w:val="18"/>
                <w:lang w:val="en-GB"/>
              </w:rPr>
            </w:pPr>
            <w:r w:rsidRPr="00EA5F4B">
              <w:rPr>
                <w:rFonts w:asciiTheme="minorHAnsi" w:hAnsiTheme="minorHAnsi" w:cstheme="minorHAnsi"/>
                <w:sz w:val="18"/>
                <w:szCs w:val="18"/>
                <w:lang w:val="en-GB"/>
              </w:rPr>
              <w:t>Equipment for collection and processing of construction and demolition waste</w:t>
            </w:r>
          </w:p>
        </w:tc>
        <w:tc>
          <w:tcPr>
            <w:tcW w:w="1559"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 xml:space="preserve">MIROS MAJETKOVÁ </w:t>
            </w:r>
            <w:proofErr w:type="spellStart"/>
            <w:r w:rsidRPr="00EA5F4B">
              <w:rPr>
                <w:rFonts w:asciiTheme="minorHAnsi" w:hAnsiTheme="minorHAnsi" w:cstheme="minorHAnsi"/>
                <w:sz w:val="18"/>
                <w:szCs w:val="18"/>
                <w:lang w:val="en-GB"/>
              </w:rPr>
              <w:t>a.s</w:t>
            </w:r>
            <w:proofErr w:type="spellEnd"/>
            <w:r w:rsidRPr="00EA5F4B">
              <w:rPr>
                <w:rFonts w:asciiTheme="minorHAnsi" w:hAnsiTheme="minorHAnsi" w:cstheme="minorHAnsi"/>
                <w:sz w:val="18"/>
                <w:szCs w:val="18"/>
                <w:lang w:val="en-GB"/>
              </w:rPr>
              <w:t>.</w:t>
            </w:r>
          </w:p>
        </w:tc>
        <w:tc>
          <w:tcPr>
            <w:tcW w:w="1292"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14</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700</w:t>
            </w:r>
          </w:p>
        </w:tc>
        <w:tc>
          <w:tcPr>
            <w:tcW w:w="1293" w:type="dxa"/>
            <w:shd w:val="clear" w:color="auto" w:fill="auto"/>
            <w:vAlign w:val="center"/>
          </w:tcPr>
          <w:p w:rsidR="00AC5BA2" w:rsidRPr="00EA5F4B" w:rsidRDefault="00AC5BA2" w:rsidP="006668D9">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10</w:t>
            </w:r>
            <w:r w:rsidR="00EA5F4B" w:rsidRPr="00EA5F4B">
              <w:rPr>
                <w:rFonts w:asciiTheme="minorHAnsi" w:hAnsiTheme="minorHAnsi" w:cstheme="minorHAnsi"/>
                <w:sz w:val="18"/>
                <w:szCs w:val="18"/>
                <w:lang w:val="en-GB"/>
              </w:rPr>
              <w:t>.</w:t>
            </w:r>
            <w:r w:rsidR="006668D9" w:rsidRPr="00EA5F4B">
              <w:rPr>
                <w:rFonts w:asciiTheme="minorHAnsi" w:hAnsiTheme="minorHAnsi" w:cstheme="minorHAnsi"/>
                <w:sz w:val="18"/>
                <w:szCs w:val="18"/>
                <w:lang w:val="en-GB"/>
              </w:rPr>
              <w:t>172</w:t>
            </w:r>
          </w:p>
        </w:tc>
        <w:tc>
          <w:tcPr>
            <w:tcW w:w="1293" w:type="dxa"/>
            <w:shd w:val="clear" w:color="auto" w:fill="auto"/>
            <w:vAlign w:val="center"/>
          </w:tcPr>
          <w:p w:rsidR="00AC5BA2" w:rsidRPr="00EA5F4B" w:rsidRDefault="00AC5BA2" w:rsidP="006668D9">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w:t>
            </w:r>
            <w:r w:rsidR="00EA5F4B" w:rsidRPr="00EA5F4B">
              <w:rPr>
                <w:rFonts w:asciiTheme="minorHAnsi" w:hAnsiTheme="minorHAnsi" w:cstheme="minorHAnsi"/>
                <w:sz w:val="18"/>
                <w:szCs w:val="18"/>
                <w:lang w:val="en-GB"/>
              </w:rPr>
              <w:t>.</w:t>
            </w:r>
            <w:r w:rsidR="006668D9" w:rsidRPr="00EA5F4B">
              <w:rPr>
                <w:rFonts w:asciiTheme="minorHAnsi" w:hAnsiTheme="minorHAnsi" w:cstheme="minorHAnsi"/>
                <w:sz w:val="18"/>
                <w:szCs w:val="18"/>
                <w:lang w:val="en-GB"/>
              </w:rPr>
              <w:t>795</w:t>
            </w:r>
          </w:p>
        </w:tc>
        <w:tc>
          <w:tcPr>
            <w:tcW w:w="1293"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16. 11. 2010</w:t>
            </w:r>
          </w:p>
        </w:tc>
        <w:tc>
          <w:tcPr>
            <w:tcW w:w="1293" w:type="dxa"/>
            <w:tcBorders>
              <w:right w:val="single" w:sz="12" w:space="0" w:color="auto"/>
            </w:tcBorders>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16. 11. 2015</w:t>
            </w:r>
          </w:p>
        </w:tc>
      </w:tr>
      <w:tr w:rsidR="00EA5F4B" w:rsidRPr="00EA5F4B" w:rsidTr="00AC5BA2">
        <w:trPr>
          <w:trHeight w:val="439"/>
        </w:trPr>
        <w:tc>
          <w:tcPr>
            <w:tcW w:w="1985" w:type="dxa"/>
            <w:tcBorders>
              <w:left w:val="single" w:sz="12" w:space="0" w:color="auto"/>
            </w:tcBorders>
            <w:shd w:val="clear" w:color="auto" w:fill="auto"/>
            <w:vAlign w:val="center"/>
          </w:tcPr>
          <w:p w:rsidR="00AC5BA2" w:rsidRPr="00EA5F4B" w:rsidRDefault="00AC5BA2" w:rsidP="00AC5BA2">
            <w:pPr>
              <w:jc w:val="center"/>
              <w:rPr>
                <w:rFonts w:asciiTheme="minorHAnsi" w:hAnsiTheme="minorHAnsi" w:cs="Calibri"/>
                <w:bCs/>
                <w:sz w:val="18"/>
                <w:szCs w:val="18"/>
                <w:highlight w:val="yellow"/>
                <w:lang w:val="en-GB"/>
              </w:rPr>
            </w:pPr>
            <w:r w:rsidRPr="00EA5F4B">
              <w:rPr>
                <w:rFonts w:asciiTheme="minorHAnsi" w:hAnsiTheme="minorHAnsi" w:cs="Arial"/>
                <w:sz w:val="18"/>
                <w:szCs w:val="18"/>
                <w:lang w:val="en-GB"/>
              </w:rPr>
              <w:t>115D242 000573</w:t>
            </w:r>
          </w:p>
        </w:tc>
        <w:tc>
          <w:tcPr>
            <w:tcW w:w="4820" w:type="dxa"/>
            <w:shd w:val="clear" w:color="auto" w:fill="auto"/>
            <w:vAlign w:val="center"/>
          </w:tcPr>
          <w:p w:rsidR="00AC5BA2" w:rsidRPr="00EA5F4B" w:rsidRDefault="00EA5F4B" w:rsidP="00EA5F4B">
            <w:pPr>
              <w:rPr>
                <w:rFonts w:asciiTheme="minorHAnsi" w:hAnsiTheme="minorHAnsi" w:cs="Calibri"/>
                <w:sz w:val="18"/>
                <w:szCs w:val="18"/>
                <w:lang w:val="en-GB"/>
              </w:rPr>
            </w:pPr>
            <w:r w:rsidRPr="00EA5F4B">
              <w:rPr>
                <w:rFonts w:asciiTheme="minorHAnsi" w:hAnsiTheme="minorHAnsi" w:cs="Calibri"/>
                <w:sz w:val="18"/>
                <w:szCs w:val="18"/>
                <w:lang w:val="en-GB"/>
              </w:rPr>
              <w:t>System for separation and mobile collection of organic waste</w:t>
            </w:r>
          </w:p>
        </w:tc>
        <w:tc>
          <w:tcPr>
            <w:tcW w:w="1559"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 xml:space="preserve">KAPEX </w:t>
            </w:r>
            <w:proofErr w:type="spellStart"/>
            <w:r w:rsidRPr="00EA5F4B">
              <w:rPr>
                <w:rFonts w:asciiTheme="minorHAnsi" w:hAnsiTheme="minorHAnsi" w:cs="Calibri"/>
                <w:sz w:val="18"/>
                <w:szCs w:val="18"/>
                <w:lang w:val="en-GB"/>
              </w:rPr>
              <w:t>s.r.o</w:t>
            </w:r>
            <w:proofErr w:type="spellEnd"/>
            <w:r w:rsidRPr="00EA5F4B">
              <w:rPr>
                <w:rFonts w:asciiTheme="minorHAnsi" w:hAnsiTheme="minorHAnsi" w:cs="Calibri"/>
                <w:sz w:val="18"/>
                <w:szCs w:val="18"/>
                <w:lang w:val="en-GB"/>
              </w:rPr>
              <w:t>.</w:t>
            </w:r>
          </w:p>
        </w:tc>
        <w:tc>
          <w:tcPr>
            <w:tcW w:w="1292"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14</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600</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10</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468</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1</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847</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31. 3. 2011</w:t>
            </w:r>
          </w:p>
        </w:tc>
        <w:tc>
          <w:tcPr>
            <w:tcW w:w="1293" w:type="dxa"/>
            <w:tcBorders>
              <w:right w:val="single" w:sz="12" w:space="0" w:color="auto"/>
            </w:tcBorders>
            <w:vAlign w:val="center"/>
          </w:tcPr>
          <w:p w:rsidR="00AC5BA2" w:rsidRPr="00EA5F4B" w:rsidRDefault="00AC5BA2" w:rsidP="00AC5BA2">
            <w:pPr>
              <w:jc w:val="center"/>
              <w:rPr>
                <w:rFonts w:asciiTheme="minorHAnsi" w:hAnsiTheme="minorHAnsi" w:cs="Calibri"/>
                <w:bCs/>
                <w:sz w:val="18"/>
                <w:szCs w:val="18"/>
                <w:highlight w:val="yellow"/>
                <w:lang w:val="en-GB"/>
              </w:rPr>
            </w:pPr>
            <w:r w:rsidRPr="00EA5F4B">
              <w:rPr>
                <w:rFonts w:asciiTheme="minorHAnsi" w:hAnsiTheme="minorHAnsi" w:cs="Calibri"/>
                <w:sz w:val="18"/>
                <w:szCs w:val="18"/>
                <w:lang w:val="en-GB"/>
              </w:rPr>
              <w:t>31. 3. 2016</w:t>
            </w:r>
          </w:p>
        </w:tc>
      </w:tr>
      <w:tr w:rsidR="00EA5F4B" w:rsidRPr="00EA5F4B" w:rsidTr="00AC5BA2">
        <w:trPr>
          <w:trHeight w:val="440"/>
        </w:trPr>
        <w:tc>
          <w:tcPr>
            <w:tcW w:w="1985" w:type="dxa"/>
            <w:tcBorders>
              <w:left w:val="single" w:sz="12"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sz w:val="18"/>
                <w:szCs w:val="18"/>
                <w:lang w:val="en-GB"/>
              </w:rPr>
              <w:t>115D242000575</w:t>
            </w:r>
          </w:p>
        </w:tc>
        <w:tc>
          <w:tcPr>
            <w:tcW w:w="4820" w:type="dxa"/>
            <w:shd w:val="clear" w:color="auto" w:fill="auto"/>
            <w:vAlign w:val="center"/>
          </w:tcPr>
          <w:p w:rsidR="00AC5BA2" w:rsidRPr="00EA5F4B" w:rsidRDefault="00EA5F4B" w:rsidP="00EA5F4B">
            <w:pPr>
              <w:rPr>
                <w:rFonts w:asciiTheme="minorHAnsi" w:hAnsiTheme="minorHAnsi" w:cstheme="minorHAnsi"/>
                <w:sz w:val="18"/>
                <w:szCs w:val="18"/>
                <w:lang w:val="en-GB"/>
              </w:rPr>
            </w:pPr>
            <w:r w:rsidRPr="00EA5F4B">
              <w:rPr>
                <w:rFonts w:asciiTheme="minorHAnsi" w:hAnsiTheme="minorHAnsi" w:cstheme="minorHAnsi"/>
                <w:sz w:val="18"/>
                <w:szCs w:val="18"/>
                <w:lang w:val="en-GB"/>
              </w:rPr>
              <w:t>Mobile technology for recycling construction waste</w:t>
            </w:r>
            <w:r w:rsidR="00AC5BA2" w:rsidRPr="00EA5F4B">
              <w:rPr>
                <w:rFonts w:asciiTheme="minorHAnsi" w:hAnsiTheme="minorHAnsi" w:cstheme="minorHAnsi"/>
                <w:sz w:val="18"/>
                <w:szCs w:val="18"/>
                <w:lang w:val="en-GB"/>
              </w:rPr>
              <w:t xml:space="preserve"> </w:t>
            </w:r>
            <w:r w:rsidR="00BB1CCD" w:rsidRPr="00EA5F4B">
              <w:rPr>
                <w:rFonts w:asciiTheme="minorHAnsi" w:hAnsiTheme="minorHAnsi" w:cstheme="minorHAnsi"/>
                <w:sz w:val="18"/>
                <w:szCs w:val="18"/>
                <w:lang w:val="en-GB"/>
              </w:rPr>
              <w:t>–</w:t>
            </w:r>
            <w:r w:rsidR="00AC5BA2" w:rsidRPr="00EA5F4B">
              <w:rPr>
                <w:rFonts w:asciiTheme="minorHAnsi" w:hAnsiTheme="minorHAnsi" w:cstheme="minorHAnsi"/>
                <w:sz w:val="18"/>
                <w:szCs w:val="18"/>
                <w:lang w:val="en-GB"/>
              </w:rPr>
              <w:t xml:space="preserve"> Petr </w:t>
            </w:r>
            <w:proofErr w:type="spellStart"/>
            <w:r w:rsidR="00AC5BA2" w:rsidRPr="00EA5F4B">
              <w:rPr>
                <w:rFonts w:asciiTheme="minorHAnsi" w:hAnsiTheme="minorHAnsi" w:cstheme="minorHAnsi"/>
                <w:sz w:val="18"/>
                <w:szCs w:val="18"/>
                <w:lang w:val="en-GB"/>
              </w:rPr>
              <w:t>Beneš</w:t>
            </w:r>
            <w:proofErr w:type="spellEnd"/>
          </w:p>
        </w:tc>
        <w:tc>
          <w:tcPr>
            <w:tcW w:w="1559"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 xml:space="preserve">Petr </w:t>
            </w:r>
            <w:proofErr w:type="spellStart"/>
            <w:r w:rsidRPr="00EA5F4B">
              <w:rPr>
                <w:rFonts w:asciiTheme="minorHAnsi" w:hAnsiTheme="minorHAnsi" w:cs="Calibri"/>
                <w:sz w:val="18"/>
                <w:szCs w:val="18"/>
                <w:lang w:val="en-GB"/>
              </w:rPr>
              <w:t>Beneš</w:t>
            </w:r>
            <w:proofErr w:type="spellEnd"/>
          </w:p>
        </w:tc>
        <w:tc>
          <w:tcPr>
            <w:tcW w:w="1292"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17</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354</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10</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576</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1</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866</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7. 12. 2010</w:t>
            </w:r>
          </w:p>
        </w:tc>
        <w:tc>
          <w:tcPr>
            <w:tcW w:w="1293" w:type="dxa"/>
            <w:tcBorders>
              <w:right w:val="single" w:sz="12" w:space="0" w:color="auto"/>
            </w:tcBorders>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7. 12. 2015</w:t>
            </w:r>
          </w:p>
        </w:tc>
      </w:tr>
      <w:tr w:rsidR="00EA5F4B" w:rsidRPr="00EA5F4B" w:rsidTr="00AC5BA2">
        <w:trPr>
          <w:trHeight w:val="439"/>
        </w:trPr>
        <w:tc>
          <w:tcPr>
            <w:tcW w:w="1985" w:type="dxa"/>
            <w:tcBorders>
              <w:left w:val="single" w:sz="12"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sz w:val="18"/>
                <w:szCs w:val="18"/>
                <w:lang w:val="en-GB"/>
              </w:rPr>
              <w:t>115D242000641</w:t>
            </w:r>
          </w:p>
        </w:tc>
        <w:tc>
          <w:tcPr>
            <w:tcW w:w="4820" w:type="dxa"/>
            <w:shd w:val="clear" w:color="auto" w:fill="auto"/>
            <w:vAlign w:val="center"/>
          </w:tcPr>
          <w:p w:rsidR="00AC5BA2" w:rsidRPr="00EA5F4B" w:rsidRDefault="00EA5F4B" w:rsidP="00EA5F4B">
            <w:pPr>
              <w:rPr>
                <w:rFonts w:asciiTheme="minorHAnsi" w:hAnsiTheme="minorHAnsi" w:cs="Calibri"/>
                <w:sz w:val="18"/>
                <w:szCs w:val="18"/>
                <w:lang w:val="en-GB"/>
              </w:rPr>
            </w:pPr>
            <w:r w:rsidRPr="00EA5F4B">
              <w:rPr>
                <w:rFonts w:asciiTheme="minorHAnsi" w:hAnsiTheme="minorHAnsi" w:cs="Calibri"/>
                <w:sz w:val="18"/>
                <w:szCs w:val="18"/>
                <w:lang w:val="en-GB"/>
              </w:rPr>
              <w:t>Waste Management Centre</w:t>
            </w:r>
            <w:r w:rsidR="00AC5BA2" w:rsidRPr="00EA5F4B">
              <w:rPr>
                <w:rFonts w:asciiTheme="minorHAnsi" w:hAnsiTheme="minorHAnsi" w:cs="Calibri"/>
                <w:sz w:val="18"/>
                <w:szCs w:val="18"/>
                <w:lang w:val="en-GB"/>
              </w:rPr>
              <w:t xml:space="preserve"> </w:t>
            </w:r>
            <w:proofErr w:type="spellStart"/>
            <w:r w:rsidR="00AC5BA2" w:rsidRPr="00EA5F4B">
              <w:rPr>
                <w:rFonts w:asciiTheme="minorHAnsi" w:hAnsiTheme="minorHAnsi" w:cs="Calibri"/>
                <w:sz w:val="18"/>
                <w:szCs w:val="18"/>
                <w:lang w:val="en-GB"/>
              </w:rPr>
              <w:t>Klatovy</w:t>
            </w:r>
            <w:proofErr w:type="spellEnd"/>
            <w:r w:rsidR="00AC5BA2" w:rsidRPr="00EA5F4B">
              <w:rPr>
                <w:rFonts w:asciiTheme="minorHAnsi" w:hAnsiTheme="minorHAnsi" w:cs="Calibri"/>
                <w:sz w:val="18"/>
                <w:szCs w:val="18"/>
                <w:lang w:val="en-GB"/>
              </w:rPr>
              <w:t xml:space="preserve"> </w:t>
            </w:r>
            <w:r w:rsidR="00BB1CCD" w:rsidRPr="00EA5F4B">
              <w:rPr>
                <w:rFonts w:asciiTheme="minorHAnsi" w:hAnsiTheme="minorHAnsi" w:cs="Calibri"/>
                <w:sz w:val="18"/>
                <w:szCs w:val="18"/>
                <w:lang w:val="en-GB"/>
              </w:rPr>
              <w:t>–</w:t>
            </w:r>
            <w:r w:rsidR="00AC5BA2" w:rsidRPr="00EA5F4B">
              <w:rPr>
                <w:rFonts w:asciiTheme="minorHAnsi" w:hAnsiTheme="minorHAnsi" w:cs="Calibri"/>
                <w:sz w:val="18"/>
                <w:szCs w:val="18"/>
                <w:lang w:val="en-GB"/>
              </w:rPr>
              <w:t xml:space="preserve"> </w:t>
            </w:r>
            <w:r w:rsidRPr="00EA5F4B">
              <w:rPr>
                <w:rFonts w:asciiTheme="minorHAnsi" w:hAnsiTheme="minorHAnsi" w:cs="Calibri"/>
                <w:sz w:val="18"/>
                <w:szCs w:val="18"/>
                <w:lang w:val="en-GB"/>
              </w:rPr>
              <w:t xml:space="preserve">Phase </w:t>
            </w:r>
            <w:r w:rsidR="00AC5BA2" w:rsidRPr="00EA5F4B">
              <w:rPr>
                <w:rFonts w:asciiTheme="minorHAnsi" w:hAnsiTheme="minorHAnsi" w:cs="Calibri"/>
                <w:sz w:val="18"/>
                <w:szCs w:val="18"/>
                <w:lang w:val="en-GB"/>
              </w:rPr>
              <w:t>I</w:t>
            </w:r>
          </w:p>
        </w:tc>
        <w:tc>
          <w:tcPr>
            <w:tcW w:w="1559" w:type="dxa"/>
            <w:shd w:val="clear" w:color="auto" w:fill="auto"/>
            <w:vAlign w:val="center"/>
          </w:tcPr>
          <w:p w:rsidR="00AC5BA2" w:rsidRPr="00EA5F4B" w:rsidRDefault="00EA5F4B"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City of</w:t>
            </w:r>
            <w:r w:rsidR="00AC5BA2" w:rsidRPr="00EA5F4B">
              <w:rPr>
                <w:rFonts w:asciiTheme="minorHAnsi" w:hAnsiTheme="minorHAnsi" w:cs="Calibri"/>
                <w:sz w:val="18"/>
                <w:szCs w:val="18"/>
                <w:lang w:val="en-GB"/>
              </w:rPr>
              <w:t xml:space="preserve"> </w:t>
            </w:r>
            <w:proofErr w:type="spellStart"/>
            <w:r w:rsidR="00AC5BA2" w:rsidRPr="00EA5F4B">
              <w:rPr>
                <w:rFonts w:asciiTheme="minorHAnsi" w:hAnsiTheme="minorHAnsi" w:cs="Calibri"/>
                <w:sz w:val="18"/>
                <w:szCs w:val="18"/>
                <w:lang w:val="en-GB"/>
              </w:rPr>
              <w:t>Klatovy</w:t>
            </w:r>
            <w:proofErr w:type="spellEnd"/>
          </w:p>
        </w:tc>
        <w:tc>
          <w:tcPr>
            <w:tcW w:w="1292"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color w:val="000000"/>
                <w:sz w:val="18"/>
                <w:szCs w:val="18"/>
                <w:lang w:val="en-GB"/>
              </w:rPr>
              <w:t>16</w:t>
            </w:r>
            <w:r w:rsidR="00EA5F4B" w:rsidRPr="00EA5F4B">
              <w:rPr>
                <w:rFonts w:asciiTheme="minorHAnsi" w:hAnsiTheme="minorHAnsi" w:cs="Calibri"/>
                <w:color w:val="000000"/>
                <w:sz w:val="18"/>
                <w:szCs w:val="18"/>
                <w:lang w:val="en-GB"/>
              </w:rPr>
              <w:t>.</w:t>
            </w:r>
            <w:r w:rsidRPr="00EA5F4B">
              <w:rPr>
                <w:rFonts w:asciiTheme="minorHAnsi" w:hAnsiTheme="minorHAnsi" w:cs="Calibri"/>
                <w:color w:val="000000"/>
                <w:sz w:val="18"/>
                <w:szCs w:val="18"/>
                <w:lang w:val="en-GB"/>
              </w:rPr>
              <w:t>482</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13</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789</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0</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811</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bCs/>
                <w:color w:val="000000"/>
                <w:sz w:val="18"/>
                <w:szCs w:val="18"/>
                <w:lang w:val="en-GB"/>
              </w:rPr>
              <w:t>30. 4. 2013</w:t>
            </w:r>
          </w:p>
        </w:tc>
        <w:tc>
          <w:tcPr>
            <w:tcW w:w="1293" w:type="dxa"/>
            <w:tcBorders>
              <w:right w:val="single" w:sz="12" w:space="0" w:color="auto"/>
            </w:tcBorders>
            <w:vAlign w:val="center"/>
          </w:tcPr>
          <w:p w:rsidR="00AC5BA2" w:rsidRPr="00EA5F4B" w:rsidRDefault="00AC5BA2" w:rsidP="00AC5BA2">
            <w:pPr>
              <w:jc w:val="center"/>
              <w:rPr>
                <w:rFonts w:asciiTheme="minorHAnsi" w:hAnsiTheme="minorHAnsi" w:cs="Calibri"/>
                <w:bCs/>
                <w:sz w:val="18"/>
                <w:szCs w:val="18"/>
                <w:lang w:val="en-GB"/>
              </w:rPr>
            </w:pPr>
            <w:r w:rsidRPr="00EA5F4B">
              <w:rPr>
                <w:rFonts w:asciiTheme="minorHAnsi" w:hAnsiTheme="minorHAnsi" w:cs="Calibri"/>
                <w:bCs/>
                <w:color w:val="000000"/>
                <w:sz w:val="18"/>
                <w:szCs w:val="18"/>
                <w:lang w:val="en-GB"/>
              </w:rPr>
              <w:t>30. 4. 2018</w:t>
            </w:r>
          </w:p>
        </w:tc>
      </w:tr>
      <w:tr w:rsidR="00EA5F4B" w:rsidRPr="00EA5F4B" w:rsidTr="00AC5BA2">
        <w:trPr>
          <w:trHeight w:val="439"/>
        </w:trPr>
        <w:tc>
          <w:tcPr>
            <w:tcW w:w="1985" w:type="dxa"/>
            <w:tcBorders>
              <w:left w:val="single" w:sz="12"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Arial"/>
                <w:sz w:val="18"/>
                <w:szCs w:val="18"/>
                <w:lang w:val="en-GB"/>
              </w:rPr>
              <w:t>115D242 000811</w:t>
            </w:r>
          </w:p>
        </w:tc>
        <w:tc>
          <w:tcPr>
            <w:tcW w:w="4820" w:type="dxa"/>
            <w:shd w:val="clear" w:color="auto" w:fill="auto"/>
            <w:vAlign w:val="center"/>
          </w:tcPr>
          <w:p w:rsidR="00AC5BA2" w:rsidRPr="00EA5F4B" w:rsidRDefault="00AC5BA2" w:rsidP="00AC5BA2">
            <w:pPr>
              <w:rPr>
                <w:rFonts w:asciiTheme="minorHAnsi" w:hAnsiTheme="minorHAnsi" w:cs="Calibri"/>
                <w:sz w:val="18"/>
                <w:szCs w:val="18"/>
                <w:lang w:val="en-GB"/>
              </w:rPr>
            </w:pPr>
            <w:proofErr w:type="spellStart"/>
            <w:r w:rsidRPr="00EA5F4B">
              <w:rPr>
                <w:rFonts w:asciiTheme="minorHAnsi" w:hAnsiTheme="minorHAnsi" w:cs="Calibri"/>
                <w:sz w:val="18"/>
                <w:szCs w:val="18"/>
                <w:lang w:val="en-GB"/>
              </w:rPr>
              <w:t>Rumpold</w:t>
            </w:r>
            <w:proofErr w:type="spellEnd"/>
            <w:r w:rsidRPr="00EA5F4B">
              <w:rPr>
                <w:rFonts w:asciiTheme="minorHAnsi" w:hAnsiTheme="minorHAnsi" w:cs="Calibri"/>
                <w:sz w:val="18"/>
                <w:szCs w:val="18"/>
                <w:lang w:val="en-GB"/>
              </w:rPr>
              <w:t xml:space="preserve"> </w:t>
            </w:r>
            <w:proofErr w:type="spellStart"/>
            <w:r w:rsidRPr="00EA5F4B">
              <w:rPr>
                <w:rFonts w:asciiTheme="minorHAnsi" w:hAnsiTheme="minorHAnsi" w:cs="Calibri"/>
                <w:sz w:val="18"/>
                <w:szCs w:val="18"/>
                <w:lang w:val="en-GB"/>
              </w:rPr>
              <w:t>Vodňany</w:t>
            </w:r>
            <w:proofErr w:type="spellEnd"/>
            <w:r w:rsidR="00EA5F4B" w:rsidRPr="00EA5F4B">
              <w:rPr>
                <w:rFonts w:asciiTheme="minorHAnsi" w:hAnsiTheme="minorHAnsi" w:cs="Calibri"/>
                <w:sz w:val="18"/>
                <w:szCs w:val="18"/>
                <w:lang w:val="en-GB"/>
              </w:rPr>
              <w:t xml:space="preserve"> composting plant</w:t>
            </w:r>
          </w:p>
        </w:tc>
        <w:tc>
          <w:tcPr>
            <w:tcW w:w="1559"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 xml:space="preserve">RUMPOLD 01 - </w:t>
            </w:r>
            <w:proofErr w:type="spellStart"/>
            <w:r w:rsidRPr="00EA5F4B">
              <w:rPr>
                <w:rFonts w:asciiTheme="minorHAnsi" w:hAnsiTheme="minorHAnsi" w:cs="Calibri"/>
                <w:sz w:val="18"/>
                <w:szCs w:val="18"/>
                <w:lang w:val="en-GB"/>
              </w:rPr>
              <w:t>Vodňany</w:t>
            </w:r>
            <w:proofErr w:type="spellEnd"/>
            <w:r w:rsidR="00FF0A2B" w:rsidRPr="00EA5F4B">
              <w:rPr>
                <w:rFonts w:asciiTheme="minorHAnsi" w:hAnsiTheme="minorHAnsi" w:cs="Calibri"/>
                <w:sz w:val="18"/>
                <w:szCs w:val="18"/>
                <w:lang w:val="en-GB"/>
              </w:rPr>
              <w:t xml:space="preserve"> </w:t>
            </w:r>
            <w:proofErr w:type="spellStart"/>
            <w:r w:rsidR="00FF0A2B" w:rsidRPr="00EA5F4B">
              <w:rPr>
                <w:rFonts w:asciiTheme="minorHAnsi" w:hAnsiTheme="minorHAnsi" w:cs="Calibri"/>
                <w:sz w:val="18"/>
                <w:szCs w:val="18"/>
                <w:lang w:val="en-GB"/>
              </w:rPr>
              <w:t>s.r.o</w:t>
            </w:r>
            <w:proofErr w:type="spellEnd"/>
            <w:r w:rsidR="00FF0A2B" w:rsidRPr="00EA5F4B">
              <w:rPr>
                <w:rFonts w:asciiTheme="minorHAnsi" w:hAnsiTheme="minorHAnsi" w:cs="Calibri"/>
                <w:sz w:val="18"/>
                <w:szCs w:val="18"/>
                <w:lang w:val="en-GB"/>
              </w:rPr>
              <w:t>.</w:t>
            </w:r>
          </w:p>
        </w:tc>
        <w:tc>
          <w:tcPr>
            <w:tcW w:w="1292"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9</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948</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7</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610</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1</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343</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20. 10. 2011</w:t>
            </w:r>
          </w:p>
        </w:tc>
        <w:tc>
          <w:tcPr>
            <w:tcW w:w="1293" w:type="dxa"/>
            <w:tcBorders>
              <w:right w:val="single" w:sz="12" w:space="0" w:color="auto"/>
            </w:tcBorders>
            <w:vAlign w:val="center"/>
          </w:tcPr>
          <w:p w:rsidR="00AC5BA2" w:rsidRPr="00EA5F4B" w:rsidRDefault="00AC5BA2" w:rsidP="00AC5BA2">
            <w:pPr>
              <w:jc w:val="center"/>
              <w:rPr>
                <w:rFonts w:asciiTheme="minorHAnsi" w:hAnsiTheme="minorHAnsi" w:cs="Calibri"/>
                <w:bCs/>
                <w:sz w:val="18"/>
                <w:szCs w:val="18"/>
                <w:highlight w:val="yellow"/>
                <w:lang w:val="en-GB"/>
              </w:rPr>
            </w:pPr>
            <w:r w:rsidRPr="00EA5F4B">
              <w:rPr>
                <w:rFonts w:asciiTheme="minorHAnsi" w:hAnsiTheme="minorHAnsi" w:cs="Calibri"/>
                <w:sz w:val="18"/>
                <w:szCs w:val="18"/>
                <w:lang w:val="en-GB"/>
              </w:rPr>
              <w:t>20. 10. 2016</w:t>
            </w:r>
          </w:p>
        </w:tc>
      </w:tr>
      <w:tr w:rsidR="00EA5F4B" w:rsidRPr="00EA5F4B" w:rsidTr="00AC5BA2">
        <w:trPr>
          <w:trHeight w:val="440"/>
        </w:trPr>
        <w:tc>
          <w:tcPr>
            <w:tcW w:w="1985" w:type="dxa"/>
            <w:tcBorders>
              <w:left w:val="single" w:sz="12" w:space="0" w:color="auto"/>
            </w:tcBorders>
            <w:shd w:val="clear" w:color="auto" w:fill="auto"/>
            <w:vAlign w:val="center"/>
          </w:tcPr>
          <w:p w:rsidR="00AC5BA2" w:rsidRPr="00EA5F4B" w:rsidRDefault="00AC5BA2" w:rsidP="00AC5BA2">
            <w:pPr>
              <w:jc w:val="center"/>
              <w:rPr>
                <w:rFonts w:asciiTheme="minorHAnsi" w:hAnsiTheme="minorHAnsi" w:cstheme="minorHAnsi"/>
                <w:sz w:val="18"/>
                <w:szCs w:val="18"/>
                <w:highlight w:val="yellow"/>
                <w:lang w:val="en-GB"/>
              </w:rPr>
            </w:pPr>
            <w:r w:rsidRPr="00EA5F4B">
              <w:rPr>
                <w:rFonts w:asciiTheme="minorHAnsi" w:hAnsiTheme="minorHAnsi" w:cs="Arial"/>
                <w:sz w:val="18"/>
                <w:szCs w:val="18"/>
                <w:lang w:val="en-GB"/>
              </w:rPr>
              <w:t>115D242001152</w:t>
            </w:r>
          </w:p>
        </w:tc>
        <w:tc>
          <w:tcPr>
            <w:tcW w:w="4820" w:type="dxa"/>
            <w:shd w:val="clear" w:color="auto" w:fill="auto"/>
            <w:vAlign w:val="center"/>
          </w:tcPr>
          <w:p w:rsidR="00AC5BA2" w:rsidRPr="00EA5F4B" w:rsidRDefault="00AC5BA2" w:rsidP="00EA5F4B">
            <w:pPr>
              <w:rPr>
                <w:rFonts w:asciiTheme="minorHAnsi" w:hAnsiTheme="minorHAnsi" w:cstheme="minorHAnsi"/>
                <w:sz w:val="18"/>
                <w:szCs w:val="18"/>
                <w:lang w:val="en-GB"/>
              </w:rPr>
            </w:pPr>
            <w:proofErr w:type="spellStart"/>
            <w:r w:rsidRPr="00EA5F4B">
              <w:rPr>
                <w:rFonts w:asciiTheme="minorHAnsi" w:hAnsiTheme="minorHAnsi" w:cstheme="minorHAnsi"/>
                <w:sz w:val="18"/>
                <w:szCs w:val="18"/>
                <w:lang w:val="en-GB"/>
              </w:rPr>
              <w:t>Kožichovice</w:t>
            </w:r>
            <w:proofErr w:type="spellEnd"/>
            <w:r w:rsidR="00EA5F4B" w:rsidRPr="00EA5F4B">
              <w:rPr>
                <w:rFonts w:asciiTheme="minorHAnsi" w:hAnsiTheme="minorHAnsi" w:cstheme="minorHAnsi"/>
                <w:sz w:val="18"/>
                <w:szCs w:val="18"/>
                <w:lang w:val="en-GB"/>
              </w:rPr>
              <w:t xml:space="preserve"> Collection Yard</w:t>
            </w:r>
          </w:p>
        </w:tc>
        <w:tc>
          <w:tcPr>
            <w:tcW w:w="1559"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 xml:space="preserve">OVO - IMONT </w:t>
            </w:r>
            <w:proofErr w:type="spellStart"/>
            <w:r w:rsidRPr="00EA5F4B">
              <w:rPr>
                <w:rFonts w:asciiTheme="minorHAnsi" w:hAnsiTheme="minorHAnsi" w:cstheme="minorHAnsi"/>
                <w:sz w:val="18"/>
                <w:szCs w:val="18"/>
                <w:lang w:val="en-GB"/>
              </w:rPr>
              <w:t>Třebíč</w:t>
            </w:r>
            <w:proofErr w:type="spellEnd"/>
            <w:r w:rsidRPr="00EA5F4B">
              <w:rPr>
                <w:rFonts w:asciiTheme="minorHAnsi" w:hAnsiTheme="minorHAnsi" w:cstheme="minorHAnsi"/>
                <w:sz w:val="18"/>
                <w:szCs w:val="18"/>
                <w:lang w:val="en-GB"/>
              </w:rPr>
              <w:t xml:space="preserve">, </w:t>
            </w:r>
            <w:proofErr w:type="spellStart"/>
            <w:r w:rsidRPr="00EA5F4B">
              <w:rPr>
                <w:rFonts w:asciiTheme="minorHAnsi" w:hAnsiTheme="minorHAnsi" w:cstheme="minorHAnsi"/>
                <w:sz w:val="18"/>
                <w:szCs w:val="18"/>
                <w:lang w:val="en-GB"/>
              </w:rPr>
              <w:t>spol</w:t>
            </w:r>
            <w:proofErr w:type="spellEnd"/>
            <w:r w:rsidRPr="00EA5F4B">
              <w:rPr>
                <w:rFonts w:asciiTheme="minorHAnsi" w:hAnsiTheme="minorHAnsi" w:cstheme="minorHAnsi"/>
                <w:sz w:val="18"/>
                <w:szCs w:val="18"/>
                <w:lang w:val="en-GB"/>
              </w:rPr>
              <w:t xml:space="preserve">. s </w:t>
            </w:r>
            <w:proofErr w:type="spellStart"/>
            <w:r w:rsidRPr="00EA5F4B">
              <w:rPr>
                <w:rFonts w:asciiTheme="minorHAnsi" w:hAnsiTheme="minorHAnsi" w:cstheme="minorHAnsi"/>
                <w:sz w:val="18"/>
                <w:szCs w:val="18"/>
                <w:lang w:val="en-GB"/>
              </w:rPr>
              <w:t>r.o</w:t>
            </w:r>
            <w:proofErr w:type="spellEnd"/>
            <w:r w:rsidRPr="00EA5F4B">
              <w:rPr>
                <w:rFonts w:asciiTheme="minorHAnsi" w:hAnsiTheme="minorHAnsi" w:cstheme="minorHAnsi"/>
                <w:sz w:val="18"/>
                <w:szCs w:val="18"/>
                <w:lang w:val="en-GB"/>
              </w:rPr>
              <w:t>.</w:t>
            </w:r>
          </w:p>
        </w:tc>
        <w:tc>
          <w:tcPr>
            <w:tcW w:w="1292"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3</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570</w:t>
            </w:r>
          </w:p>
        </w:tc>
        <w:tc>
          <w:tcPr>
            <w:tcW w:w="1293"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2</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731</w:t>
            </w:r>
          </w:p>
        </w:tc>
        <w:tc>
          <w:tcPr>
            <w:tcW w:w="1293"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cstheme="minorHAnsi"/>
                <w:sz w:val="18"/>
                <w:szCs w:val="18"/>
                <w:lang w:val="en-GB"/>
              </w:rPr>
              <w:t>0</w:t>
            </w:r>
            <w:r w:rsidR="00EA5F4B" w:rsidRPr="00EA5F4B">
              <w:rPr>
                <w:rFonts w:asciiTheme="minorHAnsi" w:hAnsiTheme="minorHAnsi" w:cstheme="minorHAnsi"/>
                <w:sz w:val="18"/>
                <w:szCs w:val="18"/>
                <w:lang w:val="en-GB"/>
              </w:rPr>
              <w:t>.</w:t>
            </w:r>
            <w:r w:rsidRPr="00EA5F4B">
              <w:rPr>
                <w:rFonts w:asciiTheme="minorHAnsi" w:hAnsiTheme="minorHAnsi" w:cstheme="minorHAnsi"/>
                <w:sz w:val="18"/>
                <w:szCs w:val="18"/>
                <w:lang w:val="en-GB"/>
              </w:rPr>
              <w:t>482</w:t>
            </w:r>
          </w:p>
        </w:tc>
        <w:tc>
          <w:tcPr>
            <w:tcW w:w="1293" w:type="dxa"/>
            <w:shd w:val="clear" w:color="auto" w:fill="auto"/>
            <w:vAlign w:val="center"/>
          </w:tcPr>
          <w:p w:rsidR="00AC5BA2" w:rsidRPr="00EA5F4B" w:rsidRDefault="00AC5BA2" w:rsidP="00AC5BA2">
            <w:pPr>
              <w:jc w:val="center"/>
              <w:rPr>
                <w:rFonts w:asciiTheme="minorHAnsi" w:hAnsiTheme="minorHAnsi" w:cstheme="minorHAnsi"/>
                <w:sz w:val="18"/>
                <w:szCs w:val="18"/>
                <w:lang w:val="en-GB"/>
              </w:rPr>
            </w:pPr>
            <w:r w:rsidRPr="00EA5F4B">
              <w:rPr>
                <w:rFonts w:asciiTheme="minorHAnsi" w:hAnsiTheme="minorHAnsi"/>
                <w:sz w:val="18"/>
                <w:szCs w:val="18"/>
                <w:lang w:val="en-GB"/>
              </w:rPr>
              <w:t>31. 7. 2013</w:t>
            </w:r>
          </w:p>
        </w:tc>
        <w:tc>
          <w:tcPr>
            <w:tcW w:w="1293" w:type="dxa"/>
            <w:tcBorders>
              <w:right w:val="single" w:sz="12" w:space="0" w:color="auto"/>
            </w:tcBorders>
            <w:vAlign w:val="center"/>
          </w:tcPr>
          <w:p w:rsidR="00AC5BA2" w:rsidRPr="00EA5F4B" w:rsidRDefault="00AC5BA2" w:rsidP="00AC5BA2">
            <w:pPr>
              <w:jc w:val="center"/>
              <w:rPr>
                <w:rFonts w:asciiTheme="minorHAnsi" w:hAnsiTheme="minorHAnsi" w:cstheme="minorHAnsi"/>
                <w:bCs/>
                <w:sz w:val="18"/>
                <w:szCs w:val="18"/>
                <w:highlight w:val="yellow"/>
                <w:lang w:val="en-GB"/>
              </w:rPr>
            </w:pPr>
            <w:r w:rsidRPr="00EA5F4B">
              <w:rPr>
                <w:rFonts w:asciiTheme="minorHAnsi" w:hAnsiTheme="minorHAnsi" w:cstheme="minorHAnsi"/>
                <w:bCs/>
                <w:sz w:val="18"/>
                <w:szCs w:val="18"/>
                <w:lang w:val="en-GB"/>
              </w:rPr>
              <w:t>31. 7. 2018</w:t>
            </w:r>
          </w:p>
        </w:tc>
      </w:tr>
      <w:tr w:rsidR="00EA5F4B" w:rsidRPr="00EA5F4B" w:rsidTr="00AC5BA2">
        <w:trPr>
          <w:trHeight w:val="439"/>
        </w:trPr>
        <w:tc>
          <w:tcPr>
            <w:tcW w:w="1985" w:type="dxa"/>
            <w:tcBorders>
              <w:left w:val="single" w:sz="12" w:space="0" w:color="auto"/>
            </w:tcBorders>
            <w:shd w:val="clear" w:color="auto" w:fill="auto"/>
            <w:vAlign w:val="center"/>
          </w:tcPr>
          <w:p w:rsidR="00AC5BA2" w:rsidRPr="00EA5F4B" w:rsidRDefault="00AC5BA2" w:rsidP="00AC5BA2">
            <w:pPr>
              <w:jc w:val="center"/>
              <w:rPr>
                <w:rFonts w:asciiTheme="minorHAnsi" w:hAnsiTheme="minorHAnsi" w:cs="Calibri"/>
                <w:bCs/>
                <w:sz w:val="18"/>
                <w:szCs w:val="18"/>
                <w:highlight w:val="yellow"/>
                <w:lang w:val="en-GB"/>
              </w:rPr>
            </w:pPr>
            <w:r w:rsidRPr="00EA5F4B">
              <w:rPr>
                <w:rFonts w:asciiTheme="minorHAnsi" w:hAnsiTheme="minorHAnsi" w:cs="Arial"/>
                <w:sz w:val="18"/>
                <w:szCs w:val="18"/>
                <w:lang w:val="en-GB"/>
              </w:rPr>
              <w:t>115D242001830</w:t>
            </w:r>
          </w:p>
        </w:tc>
        <w:tc>
          <w:tcPr>
            <w:tcW w:w="4820" w:type="dxa"/>
            <w:shd w:val="clear" w:color="auto" w:fill="auto"/>
            <w:vAlign w:val="center"/>
          </w:tcPr>
          <w:p w:rsidR="00AC5BA2" w:rsidRPr="00EA5F4B" w:rsidRDefault="00AC5BA2" w:rsidP="00AC5BA2">
            <w:pPr>
              <w:rPr>
                <w:rFonts w:asciiTheme="minorHAnsi" w:hAnsiTheme="minorHAnsi" w:cs="Calibri"/>
                <w:sz w:val="18"/>
                <w:szCs w:val="18"/>
                <w:lang w:val="en-GB"/>
              </w:rPr>
            </w:pPr>
            <w:proofErr w:type="spellStart"/>
            <w:r w:rsidRPr="00EA5F4B">
              <w:rPr>
                <w:rFonts w:asciiTheme="minorHAnsi" w:hAnsiTheme="minorHAnsi" w:cs="Calibri"/>
                <w:sz w:val="18"/>
                <w:szCs w:val="18"/>
                <w:lang w:val="en-GB"/>
              </w:rPr>
              <w:t>Dolní</w:t>
            </w:r>
            <w:proofErr w:type="spellEnd"/>
            <w:r w:rsidRPr="00EA5F4B">
              <w:rPr>
                <w:rFonts w:asciiTheme="minorHAnsi" w:hAnsiTheme="minorHAnsi" w:cs="Calibri"/>
                <w:sz w:val="18"/>
                <w:szCs w:val="18"/>
                <w:lang w:val="en-GB"/>
              </w:rPr>
              <w:t xml:space="preserve"> </w:t>
            </w:r>
            <w:proofErr w:type="spellStart"/>
            <w:r w:rsidRPr="00EA5F4B">
              <w:rPr>
                <w:rFonts w:asciiTheme="minorHAnsi" w:hAnsiTheme="minorHAnsi" w:cs="Calibri"/>
                <w:sz w:val="18"/>
                <w:szCs w:val="18"/>
                <w:lang w:val="en-GB"/>
              </w:rPr>
              <w:t>Třebonín</w:t>
            </w:r>
            <w:proofErr w:type="spellEnd"/>
            <w:r w:rsidR="00EA5F4B" w:rsidRPr="00EA5F4B">
              <w:rPr>
                <w:rFonts w:asciiTheme="minorHAnsi" w:hAnsiTheme="minorHAnsi" w:cs="Calibri"/>
                <w:sz w:val="18"/>
                <w:szCs w:val="18"/>
                <w:lang w:val="en-GB"/>
              </w:rPr>
              <w:t xml:space="preserve"> Collection Yard</w:t>
            </w:r>
          </w:p>
        </w:tc>
        <w:tc>
          <w:tcPr>
            <w:tcW w:w="1559"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 xml:space="preserve">KAPEX </w:t>
            </w:r>
            <w:proofErr w:type="spellStart"/>
            <w:r w:rsidRPr="00EA5F4B">
              <w:rPr>
                <w:rFonts w:asciiTheme="minorHAnsi" w:hAnsiTheme="minorHAnsi" w:cs="Calibri"/>
                <w:sz w:val="18"/>
                <w:szCs w:val="18"/>
                <w:lang w:val="en-GB"/>
              </w:rPr>
              <w:t>s.r.o</w:t>
            </w:r>
            <w:proofErr w:type="spellEnd"/>
            <w:r w:rsidRPr="00EA5F4B">
              <w:rPr>
                <w:rFonts w:asciiTheme="minorHAnsi" w:hAnsiTheme="minorHAnsi" w:cs="Calibri"/>
                <w:sz w:val="18"/>
                <w:szCs w:val="18"/>
                <w:lang w:val="en-GB"/>
              </w:rPr>
              <w:t>.</w:t>
            </w:r>
          </w:p>
        </w:tc>
        <w:tc>
          <w:tcPr>
            <w:tcW w:w="1292"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5</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014</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3</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835</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0</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677</w:t>
            </w:r>
          </w:p>
        </w:tc>
        <w:tc>
          <w:tcPr>
            <w:tcW w:w="1293" w:type="dxa"/>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31. 12. 2013</w:t>
            </w:r>
          </w:p>
        </w:tc>
        <w:tc>
          <w:tcPr>
            <w:tcW w:w="1293" w:type="dxa"/>
            <w:tcBorders>
              <w:right w:val="single" w:sz="12" w:space="0" w:color="auto"/>
            </w:tcBorders>
            <w:vAlign w:val="center"/>
          </w:tcPr>
          <w:p w:rsidR="00AC5BA2" w:rsidRPr="00EA5F4B" w:rsidRDefault="00AC5BA2" w:rsidP="00AC5BA2">
            <w:pPr>
              <w:jc w:val="center"/>
              <w:rPr>
                <w:rFonts w:asciiTheme="minorHAnsi" w:hAnsiTheme="minorHAnsi" w:cs="Calibri"/>
                <w:bCs/>
                <w:sz w:val="18"/>
                <w:szCs w:val="18"/>
                <w:highlight w:val="yellow"/>
                <w:lang w:val="en-GB"/>
              </w:rPr>
            </w:pPr>
            <w:r w:rsidRPr="00EA5F4B">
              <w:rPr>
                <w:rFonts w:asciiTheme="minorHAnsi" w:hAnsiTheme="minorHAnsi" w:cs="Calibri"/>
                <w:sz w:val="18"/>
                <w:szCs w:val="18"/>
                <w:lang w:val="en-GB"/>
              </w:rPr>
              <w:t>31. 12. 2018</w:t>
            </w:r>
          </w:p>
        </w:tc>
      </w:tr>
      <w:tr w:rsidR="00EA5F4B" w:rsidRPr="00EA5F4B" w:rsidTr="00AC5BA2">
        <w:trPr>
          <w:trHeight w:val="440"/>
        </w:trPr>
        <w:tc>
          <w:tcPr>
            <w:tcW w:w="1985" w:type="dxa"/>
            <w:tcBorders>
              <w:left w:val="single" w:sz="12" w:space="0" w:color="auto"/>
              <w:bottom w:val="single" w:sz="12" w:space="0" w:color="auto"/>
            </w:tcBorders>
            <w:shd w:val="clear" w:color="auto" w:fill="auto"/>
            <w:vAlign w:val="center"/>
          </w:tcPr>
          <w:p w:rsidR="00AC5BA2" w:rsidRPr="00EA5F4B" w:rsidRDefault="00AC5BA2" w:rsidP="00AC5BA2">
            <w:pPr>
              <w:jc w:val="center"/>
              <w:rPr>
                <w:rFonts w:asciiTheme="minorHAnsi" w:hAnsiTheme="minorHAnsi" w:cs="Calibri"/>
                <w:sz w:val="18"/>
                <w:szCs w:val="18"/>
                <w:highlight w:val="yellow"/>
                <w:lang w:val="en-GB"/>
              </w:rPr>
            </w:pPr>
            <w:r w:rsidRPr="00EA5F4B">
              <w:rPr>
                <w:rFonts w:asciiTheme="minorHAnsi" w:hAnsiTheme="minorHAnsi"/>
                <w:sz w:val="18"/>
                <w:szCs w:val="18"/>
                <w:lang w:val="en-GB"/>
              </w:rPr>
              <w:t>115D242002066</w:t>
            </w:r>
          </w:p>
        </w:tc>
        <w:tc>
          <w:tcPr>
            <w:tcW w:w="4820" w:type="dxa"/>
            <w:tcBorders>
              <w:bottom w:val="single" w:sz="12" w:space="0" w:color="auto"/>
            </w:tcBorders>
            <w:shd w:val="clear" w:color="auto" w:fill="auto"/>
            <w:vAlign w:val="center"/>
          </w:tcPr>
          <w:p w:rsidR="00AC5BA2" w:rsidRPr="00EA5F4B" w:rsidRDefault="00EA5F4B" w:rsidP="00EA5F4B">
            <w:pPr>
              <w:rPr>
                <w:rFonts w:asciiTheme="minorHAnsi" w:hAnsiTheme="minorHAnsi" w:cs="Calibri"/>
                <w:sz w:val="18"/>
                <w:szCs w:val="18"/>
                <w:lang w:val="en-GB"/>
              </w:rPr>
            </w:pPr>
            <w:r w:rsidRPr="00EA5F4B">
              <w:rPr>
                <w:rFonts w:asciiTheme="minorHAnsi" w:hAnsiTheme="minorHAnsi" w:cs="Calibri"/>
                <w:sz w:val="18"/>
                <w:szCs w:val="18"/>
                <w:lang w:val="en-GB"/>
              </w:rPr>
              <w:t>Compost bins for households in the City of</w:t>
            </w:r>
            <w:r w:rsidR="00AC5BA2" w:rsidRPr="00EA5F4B">
              <w:rPr>
                <w:rFonts w:asciiTheme="minorHAnsi" w:hAnsiTheme="minorHAnsi" w:cs="Calibri"/>
                <w:sz w:val="18"/>
                <w:szCs w:val="18"/>
                <w:lang w:val="en-GB"/>
              </w:rPr>
              <w:t xml:space="preserve"> </w:t>
            </w:r>
            <w:proofErr w:type="spellStart"/>
            <w:r w:rsidR="00AC5BA2" w:rsidRPr="00EA5F4B">
              <w:rPr>
                <w:rFonts w:asciiTheme="minorHAnsi" w:hAnsiTheme="minorHAnsi" w:cs="Calibri"/>
                <w:sz w:val="18"/>
                <w:szCs w:val="18"/>
                <w:lang w:val="en-GB"/>
              </w:rPr>
              <w:t>Klatovy</w:t>
            </w:r>
            <w:proofErr w:type="spellEnd"/>
          </w:p>
        </w:tc>
        <w:tc>
          <w:tcPr>
            <w:tcW w:w="1559" w:type="dxa"/>
            <w:tcBorders>
              <w:bottom w:val="single" w:sz="12" w:space="0" w:color="auto"/>
            </w:tcBorders>
            <w:shd w:val="clear" w:color="auto" w:fill="auto"/>
            <w:vAlign w:val="center"/>
          </w:tcPr>
          <w:p w:rsidR="00AC5BA2" w:rsidRPr="00EA5F4B" w:rsidRDefault="00EA5F4B"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City of</w:t>
            </w:r>
            <w:r w:rsidR="00AC5BA2" w:rsidRPr="00EA5F4B">
              <w:rPr>
                <w:rFonts w:asciiTheme="minorHAnsi" w:hAnsiTheme="minorHAnsi" w:cs="Calibri"/>
                <w:sz w:val="18"/>
                <w:szCs w:val="18"/>
                <w:lang w:val="en-GB"/>
              </w:rPr>
              <w:t xml:space="preserve"> </w:t>
            </w:r>
            <w:proofErr w:type="spellStart"/>
            <w:r w:rsidR="00AC5BA2" w:rsidRPr="00EA5F4B">
              <w:rPr>
                <w:rFonts w:asciiTheme="minorHAnsi" w:hAnsiTheme="minorHAnsi" w:cs="Calibri"/>
                <w:sz w:val="18"/>
                <w:szCs w:val="18"/>
                <w:lang w:val="en-GB"/>
              </w:rPr>
              <w:t>Klatovy</w:t>
            </w:r>
            <w:proofErr w:type="spellEnd"/>
          </w:p>
        </w:tc>
        <w:tc>
          <w:tcPr>
            <w:tcW w:w="1292" w:type="dxa"/>
            <w:tcBorders>
              <w:bottom w:val="single" w:sz="12" w:space="0" w:color="auto"/>
            </w:tcBorders>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color w:val="000000"/>
                <w:sz w:val="18"/>
                <w:szCs w:val="18"/>
                <w:lang w:val="en-GB"/>
              </w:rPr>
              <w:t>3</w:t>
            </w:r>
            <w:r w:rsidR="00EA5F4B" w:rsidRPr="00EA5F4B">
              <w:rPr>
                <w:rFonts w:asciiTheme="minorHAnsi" w:hAnsiTheme="minorHAnsi" w:cs="Calibri"/>
                <w:color w:val="000000"/>
                <w:sz w:val="18"/>
                <w:szCs w:val="18"/>
                <w:lang w:val="en-GB"/>
              </w:rPr>
              <w:t>.</w:t>
            </w:r>
            <w:r w:rsidRPr="00EA5F4B">
              <w:rPr>
                <w:rFonts w:asciiTheme="minorHAnsi" w:hAnsiTheme="minorHAnsi" w:cs="Calibri"/>
                <w:color w:val="000000"/>
                <w:sz w:val="18"/>
                <w:szCs w:val="18"/>
                <w:lang w:val="en-GB"/>
              </w:rPr>
              <w:t>684</w:t>
            </w:r>
          </w:p>
        </w:tc>
        <w:tc>
          <w:tcPr>
            <w:tcW w:w="1293" w:type="dxa"/>
            <w:tcBorders>
              <w:bottom w:val="single" w:sz="12" w:space="0" w:color="auto"/>
            </w:tcBorders>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3</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 xml:space="preserve">132 </w:t>
            </w:r>
          </w:p>
        </w:tc>
        <w:tc>
          <w:tcPr>
            <w:tcW w:w="1293" w:type="dxa"/>
            <w:tcBorders>
              <w:bottom w:val="single" w:sz="12" w:space="0" w:color="auto"/>
            </w:tcBorders>
            <w:shd w:val="clear" w:color="auto" w:fill="auto"/>
            <w:vAlign w:val="center"/>
          </w:tcPr>
          <w:p w:rsidR="00AC5BA2" w:rsidRPr="00EA5F4B" w:rsidRDefault="00AC5BA2" w:rsidP="00AC5BA2">
            <w:pPr>
              <w:jc w:val="center"/>
              <w:rPr>
                <w:rFonts w:asciiTheme="minorHAnsi" w:hAnsiTheme="minorHAnsi" w:cs="Calibri"/>
                <w:sz w:val="18"/>
                <w:szCs w:val="18"/>
                <w:lang w:val="en-GB"/>
              </w:rPr>
            </w:pPr>
            <w:r w:rsidRPr="00EA5F4B">
              <w:rPr>
                <w:rFonts w:asciiTheme="minorHAnsi" w:hAnsiTheme="minorHAnsi" w:cs="Calibri"/>
                <w:sz w:val="18"/>
                <w:szCs w:val="18"/>
                <w:lang w:val="en-GB"/>
              </w:rPr>
              <w:t>0</w:t>
            </w:r>
            <w:r w:rsidR="00EA5F4B" w:rsidRPr="00EA5F4B">
              <w:rPr>
                <w:rFonts w:asciiTheme="minorHAnsi" w:hAnsiTheme="minorHAnsi" w:cs="Calibri"/>
                <w:sz w:val="18"/>
                <w:szCs w:val="18"/>
                <w:lang w:val="en-GB"/>
              </w:rPr>
              <w:t>.</w:t>
            </w:r>
            <w:r w:rsidRPr="00EA5F4B">
              <w:rPr>
                <w:rFonts w:asciiTheme="minorHAnsi" w:hAnsiTheme="minorHAnsi" w:cs="Calibri"/>
                <w:sz w:val="18"/>
                <w:szCs w:val="18"/>
                <w:lang w:val="en-GB"/>
              </w:rPr>
              <w:t>184</w:t>
            </w:r>
          </w:p>
        </w:tc>
        <w:tc>
          <w:tcPr>
            <w:tcW w:w="1293" w:type="dxa"/>
            <w:tcBorders>
              <w:bottom w:val="single" w:sz="12" w:space="0" w:color="auto"/>
            </w:tcBorders>
            <w:shd w:val="clear" w:color="auto" w:fill="auto"/>
            <w:vAlign w:val="center"/>
          </w:tcPr>
          <w:p w:rsidR="00AC5BA2" w:rsidRPr="00EA5F4B" w:rsidRDefault="00AC5BA2" w:rsidP="00AC5BA2">
            <w:pPr>
              <w:jc w:val="center"/>
              <w:rPr>
                <w:rFonts w:asciiTheme="minorHAnsi" w:hAnsiTheme="minorHAnsi" w:cs="Calibri"/>
                <w:bCs/>
                <w:sz w:val="18"/>
                <w:szCs w:val="18"/>
                <w:lang w:val="en-GB"/>
              </w:rPr>
            </w:pPr>
            <w:r w:rsidRPr="00EA5F4B">
              <w:rPr>
                <w:rFonts w:asciiTheme="minorHAnsi" w:hAnsiTheme="minorHAnsi" w:cs="Calibri"/>
                <w:color w:val="000000"/>
                <w:spacing w:val="-11"/>
                <w:sz w:val="18"/>
                <w:szCs w:val="18"/>
                <w:lang w:val="en-GB"/>
              </w:rPr>
              <w:t>20. 10. 2014</w:t>
            </w:r>
          </w:p>
        </w:tc>
        <w:tc>
          <w:tcPr>
            <w:tcW w:w="1293" w:type="dxa"/>
            <w:tcBorders>
              <w:bottom w:val="single" w:sz="12" w:space="0" w:color="auto"/>
              <w:right w:val="single" w:sz="12" w:space="0" w:color="auto"/>
            </w:tcBorders>
            <w:vAlign w:val="center"/>
          </w:tcPr>
          <w:p w:rsidR="00AC5BA2" w:rsidRPr="00EA5F4B" w:rsidRDefault="00AC5BA2" w:rsidP="00AC5BA2">
            <w:pPr>
              <w:jc w:val="center"/>
              <w:rPr>
                <w:rFonts w:asciiTheme="minorHAnsi" w:hAnsiTheme="minorHAnsi" w:cs="Calibri"/>
                <w:bCs/>
                <w:sz w:val="18"/>
                <w:szCs w:val="18"/>
                <w:lang w:val="en-GB"/>
              </w:rPr>
            </w:pPr>
            <w:r w:rsidRPr="00EA5F4B">
              <w:rPr>
                <w:rFonts w:asciiTheme="minorHAnsi" w:hAnsiTheme="minorHAnsi" w:cs="Calibri"/>
                <w:color w:val="000000"/>
                <w:spacing w:val="-9"/>
                <w:sz w:val="18"/>
                <w:szCs w:val="18"/>
                <w:lang w:val="en-GB"/>
              </w:rPr>
              <w:t>20. 10. 2019</w:t>
            </w:r>
          </w:p>
        </w:tc>
      </w:tr>
    </w:tbl>
    <w:p w:rsidR="00FD5A38" w:rsidRPr="00EA5F4B" w:rsidRDefault="00EA5F4B" w:rsidP="00964155">
      <w:pPr>
        <w:spacing w:line="280" w:lineRule="atLeast"/>
        <w:ind w:right="70"/>
        <w:contextualSpacing/>
        <w:jc w:val="both"/>
        <w:rPr>
          <w:rFonts w:asciiTheme="minorHAnsi" w:hAnsiTheme="minorHAnsi" w:cs="Arial"/>
          <w:sz w:val="20"/>
          <w:szCs w:val="20"/>
          <w:lang w:val="en-GB"/>
        </w:rPr>
      </w:pPr>
      <w:r w:rsidRPr="00EA5F4B">
        <w:rPr>
          <w:rFonts w:asciiTheme="minorHAnsi" w:hAnsiTheme="minorHAnsi" w:cstheme="minorHAnsi"/>
          <w:b/>
          <w:sz w:val="20"/>
          <w:szCs w:val="20"/>
          <w:lang w:val="en-GB"/>
        </w:rPr>
        <w:t>Source</w:t>
      </w:r>
      <w:r w:rsidR="00266FEE" w:rsidRPr="00EA5F4B">
        <w:rPr>
          <w:rFonts w:asciiTheme="minorHAnsi" w:hAnsiTheme="minorHAnsi" w:cstheme="minorHAnsi"/>
          <w:b/>
          <w:sz w:val="20"/>
          <w:szCs w:val="20"/>
          <w:lang w:val="en-GB"/>
        </w:rPr>
        <w:t>:</w:t>
      </w:r>
      <w:r w:rsidR="00FF0A2B" w:rsidRPr="00EA5F4B">
        <w:rPr>
          <w:rFonts w:asciiTheme="minorHAnsi" w:hAnsiTheme="minorHAnsi" w:cstheme="minorHAnsi"/>
          <w:sz w:val="20"/>
          <w:szCs w:val="20"/>
          <w:lang w:val="en-GB"/>
        </w:rPr>
        <w:t xml:space="preserve"> </w:t>
      </w:r>
      <w:r w:rsidRPr="00EA5F4B">
        <w:rPr>
          <w:rFonts w:asciiTheme="minorHAnsi" w:hAnsiTheme="minorHAnsi" w:cstheme="minorHAnsi"/>
          <w:sz w:val="20"/>
          <w:szCs w:val="20"/>
          <w:lang w:val="en-GB"/>
        </w:rPr>
        <w:t>audited decisions on provision of a subsidy; final monitoring reports for projects</w:t>
      </w:r>
      <w:r w:rsidR="00266FEE" w:rsidRPr="00EA5F4B">
        <w:rPr>
          <w:rFonts w:asciiTheme="minorHAnsi" w:hAnsiTheme="minorHAnsi" w:cstheme="minorHAnsi"/>
          <w:sz w:val="20"/>
          <w:szCs w:val="20"/>
          <w:lang w:val="en-GB"/>
        </w:rPr>
        <w:t>.</w:t>
      </w:r>
    </w:p>
    <w:sectPr w:rsidR="00FD5A38" w:rsidRPr="00EA5F4B" w:rsidSect="00964155">
      <w:pgSz w:w="16838" w:h="11906" w:orient="landscape"/>
      <w:pgMar w:top="993" w:right="1417" w:bottom="1134"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725" w:rsidRDefault="008F7725">
      <w:r>
        <w:separator/>
      </w:r>
    </w:p>
  </w:endnote>
  <w:endnote w:type="continuationSeparator" w:id="0">
    <w:p w:rsidR="008F7725" w:rsidRDefault="008F7725">
      <w:r>
        <w:continuationSeparator/>
      </w:r>
    </w:p>
  </w:endnote>
  <w:endnote w:type="continuationNotice" w:id="1">
    <w:p w:rsidR="008F7725" w:rsidRDefault="008F7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 New Roman Bold">
    <w:altName w:val="Times New Roman"/>
    <w:panose1 w:val="00000000000000000000"/>
    <w:charset w:val="00"/>
    <w:family w:val="roman"/>
    <w:notTrueType/>
    <w:pitch w:val="default"/>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11" w:rsidRDefault="007D1A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11" w:rsidRPr="00AD2FBD" w:rsidRDefault="0052727E" w:rsidP="002F2630">
    <w:pPr>
      <w:pStyle w:val="Zpat"/>
      <w:jc w:val="center"/>
      <w:rPr>
        <w:rFonts w:asciiTheme="minorHAnsi" w:hAnsiTheme="minorHAnsi" w:cstheme="minorHAnsi"/>
      </w:rPr>
    </w:pPr>
    <w:r w:rsidRPr="00AD2FBD">
      <w:rPr>
        <w:rFonts w:asciiTheme="minorHAnsi" w:hAnsiTheme="minorHAnsi" w:cstheme="minorHAnsi"/>
      </w:rPr>
      <w:fldChar w:fldCharType="begin"/>
    </w:r>
    <w:r w:rsidR="007D1A11" w:rsidRPr="00AD2FBD">
      <w:rPr>
        <w:rFonts w:asciiTheme="minorHAnsi" w:hAnsiTheme="minorHAnsi" w:cstheme="minorHAnsi"/>
      </w:rPr>
      <w:instrText xml:space="preserve"> PAGE   \* MERGEFORMAT </w:instrText>
    </w:r>
    <w:r w:rsidRPr="00AD2FBD">
      <w:rPr>
        <w:rFonts w:asciiTheme="minorHAnsi" w:hAnsiTheme="minorHAnsi" w:cstheme="minorHAnsi"/>
      </w:rPr>
      <w:fldChar w:fldCharType="separate"/>
    </w:r>
    <w:r w:rsidR="00FF25B8">
      <w:rPr>
        <w:rFonts w:asciiTheme="minorHAnsi" w:hAnsiTheme="minorHAnsi" w:cstheme="minorHAnsi"/>
        <w:noProof/>
      </w:rPr>
      <w:t>11</w:t>
    </w:r>
    <w:r w:rsidRPr="00AD2FBD">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11" w:rsidRDefault="007D1A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725" w:rsidRDefault="008F7725">
      <w:r>
        <w:separator/>
      </w:r>
    </w:p>
  </w:footnote>
  <w:footnote w:type="continuationSeparator" w:id="0">
    <w:p w:rsidR="008F7725" w:rsidRDefault="008F7725">
      <w:r>
        <w:continuationSeparator/>
      </w:r>
    </w:p>
  </w:footnote>
  <w:footnote w:type="continuationNotice" w:id="1">
    <w:p w:rsidR="008F7725" w:rsidRDefault="008F7725"/>
  </w:footnote>
  <w:footnote w:id="2">
    <w:p w:rsidR="007D1A11" w:rsidRPr="00EA5F4B" w:rsidRDefault="007D1A11" w:rsidP="00775FB2">
      <w:pPr>
        <w:pStyle w:val="Textpoznpodarou"/>
        <w:ind w:left="284" w:hanging="284"/>
        <w:rPr>
          <w:rFonts w:asciiTheme="minorHAnsi" w:hAnsiTheme="minorHAnsi" w:cstheme="minorHAnsi"/>
          <w:lang w:val="en-GB"/>
        </w:rPr>
      </w:pPr>
      <w:r w:rsidRPr="00EA5F4B">
        <w:rPr>
          <w:rStyle w:val="Znakapoznpodarou"/>
          <w:rFonts w:asciiTheme="minorHAnsi" w:hAnsiTheme="minorHAnsi" w:cstheme="minorHAnsi"/>
          <w:lang w:val="en-GB"/>
        </w:rPr>
        <w:footnoteRef/>
      </w:r>
      <w:r w:rsidRPr="00EA5F4B">
        <w:rPr>
          <w:rFonts w:asciiTheme="minorHAnsi" w:hAnsiTheme="minorHAnsi" w:cstheme="minorHAnsi"/>
          <w:lang w:val="en-GB"/>
        </w:rPr>
        <w:t xml:space="preserve"> </w:t>
      </w:r>
      <w:r w:rsidRPr="00EA5F4B">
        <w:rPr>
          <w:rFonts w:asciiTheme="minorHAnsi" w:hAnsiTheme="minorHAnsi" w:cstheme="minorHAnsi"/>
          <w:lang w:val="en-GB"/>
        </w:rPr>
        <w:tab/>
        <w:t>Czech National Council Act No. 2/1969 Coll., on the establishment of ministries and other central authorities of state administration of the Czech Republic.</w:t>
      </w:r>
    </w:p>
  </w:footnote>
  <w:footnote w:id="3">
    <w:p w:rsidR="007D1A11" w:rsidRPr="00EA5F4B" w:rsidRDefault="007D1A11" w:rsidP="00775FB2">
      <w:pPr>
        <w:pStyle w:val="Textpoznpodarou"/>
        <w:ind w:left="284" w:hanging="284"/>
        <w:rPr>
          <w:rFonts w:asciiTheme="minorHAnsi" w:hAnsiTheme="minorHAnsi" w:cstheme="minorHAnsi"/>
          <w:lang w:val="en-GB"/>
        </w:rPr>
      </w:pPr>
      <w:r w:rsidRPr="00EA5F4B">
        <w:rPr>
          <w:rStyle w:val="Znakapoznpodarou"/>
          <w:rFonts w:asciiTheme="minorHAnsi" w:hAnsiTheme="minorHAnsi" w:cstheme="minorHAnsi"/>
          <w:lang w:val="en-GB"/>
        </w:rPr>
        <w:footnoteRef/>
      </w:r>
      <w:r w:rsidRPr="00EA5F4B">
        <w:rPr>
          <w:rFonts w:asciiTheme="minorHAnsi" w:hAnsiTheme="minorHAnsi" w:cstheme="minorHAnsi"/>
          <w:lang w:val="en-GB"/>
        </w:rPr>
        <w:t xml:space="preserve"> </w:t>
      </w:r>
      <w:r w:rsidRPr="00EA5F4B">
        <w:rPr>
          <w:rFonts w:asciiTheme="minorHAnsi" w:hAnsiTheme="minorHAnsi" w:cstheme="minorHAnsi"/>
          <w:lang w:val="en-GB"/>
        </w:rPr>
        <w:tab/>
        <w:t xml:space="preserve">Act No. 185/2001 Coll., on waste and on </w:t>
      </w:r>
      <w:r w:rsidR="00B33DB4">
        <w:rPr>
          <w:rFonts w:asciiTheme="minorHAnsi" w:hAnsiTheme="minorHAnsi" w:cstheme="minorHAnsi"/>
          <w:lang w:val="en-GB"/>
        </w:rPr>
        <w:t xml:space="preserve">an </w:t>
      </w:r>
      <w:r w:rsidRPr="00EA5F4B">
        <w:rPr>
          <w:rFonts w:asciiTheme="minorHAnsi" w:hAnsiTheme="minorHAnsi" w:cstheme="minorHAnsi"/>
          <w:lang w:val="en-GB"/>
        </w:rPr>
        <w:t>amendment to certain acts.</w:t>
      </w:r>
    </w:p>
  </w:footnote>
  <w:footnote w:id="4">
    <w:p w:rsidR="007D1A11" w:rsidRPr="00EA5F4B" w:rsidRDefault="007D1A11" w:rsidP="00775FB2">
      <w:pPr>
        <w:pStyle w:val="Textpoznpodarou"/>
        <w:ind w:left="284" w:hanging="284"/>
        <w:rPr>
          <w:rFonts w:asciiTheme="minorHAnsi" w:hAnsiTheme="minorHAnsi" w:cstheme="minorHAnsi"/>
          <w:lang w:val="en-GB"/>
        </w:rPr>
      </w:pPr>
      <w:r w:rsidRPr="00EA5F4B">
        <w:rPr>
          <w:rStyle w:val="Znakapoznpodarou"/>
          <w:rFonts w:asciiTheme="minorHAnsi" w:hAnsiTheme="minorHAnsi" w:cstheme="minorHAnsi"/>
          <w:lang w:val="en-GB"/>
        </w:rPr>
        <w:footnoteRef/>
      </w:r>
      <w:r w:rsidRPr="00EA5F4B">
        <w:rPr>
          <w:rFonts w:asciiTheme="minorHAnsi" w:hAnsiTheme="minorHAnsi" w:cstheme="minorHAnsi"/>
          <w:lang w:val="en-GB"/>
        </w:rPr>
        <w:t xml:space="preserve"> </w:t>
      </w:r>
      <w:r w:rsidRPr="00EA5F4B">
        <w:rPr>
          <w:rFonts w:asciiTheme="minorHAnsi" w:hAnsiTheme="minorHAnsi" w:cstheme="minorHAnsi"/>
          <w:lang w:val="en-GB"/>
        </w:rPr>
        <w:tab/>
        <w:t>Act No. 388/1991 Coll., on the State Environment Fund of the Czech Republic.</w:t>
      </w:r>
    </w:p>
  </w:footnote>
  <w:footnote w:id="5">
    <w:p w:rsidR="007D1A11" w:rsidRPr="00EA5F4B" w:rsidRDefault="007D1A11" w:rsidP="00253CE3">
      <w:pPr>
        <w:pStyle w:val="Textpoznpodarou"/>
        <w:ind w:left="284" w:hanging="284"/>
        <w:jc w:val="both"/>
        <w:rPr>
          <w:rFonts w:asciiTheme="minorHAnsi" w:hAnsiTheme="minorHAnsi" w:cstheme="minorHAnsi"/>
          <w:lang w:val="en-GB"/>
        </w:rPr>
      </w:pPr>
      <w:r w:rsidRPr="00EA5F4B">
        <w:rPr>
          <w:rStyle w:val="Znakapoznpodarou"/>
          <w:rFonts w:asciiTheme="minorHAnsi" w:hAnsiTheme="minorHAnsi" w:cstheme="minorHAnsi"/>
          <w:lang w:val="en-GB"/>
        </w:rPr>
        <w:footnoteRef/>
      </w:r>
      <w:r w:rsidRPr="00EA5F4B">
        <w:rPr>
          <w:rFonts w:asciiTheme="minorHAnsi" w:hAnsiTheme="minorHAnsi" w:cstheme="minorHAnsi"/>
          <w:lang w:val="en-GB"/>
        </w:rPr>
        <w:t xml:space="preserve"> </w:t>
      </w:r>
      <w:r w:rsidRPr="00EA5F4B">
        <w:rPr>
          <w:rFonts w:asciiTheme="minorHAnsi" w:hAnsiTheme="minorHAnsi" w:cstheme="minorHAnsi"/>
          <w:lang w:val="en-GB"/>
        </w:rPr>
        <w:tab/>
      </w:r>
      <w:r w:rsidRPr="00EA5F4B">
        <w:rPr>
          <w:rFonts w:asciiTheme="minorHAnsi" w:hAnsiTheme="minorHAnsi" w:cstheme="minorHAnsi"/>
          <w:i/>
          <w:lang w:val="en-GB"/>
        </w:rPr>
        <w:t>Agreement on the delegation of certain activities and powers of the Ministry of the Environment as Managing Authority of the Operational Programme Environment to the State Environmental Fund of the Czech Republic</w:t>
      </w:r>
      <w:r w:rsidRPr="00EA5F4B">
        <w:rPr>
          <w:rFonts w:asciiTheme="minorHAnsi" w:hAnsiTheme="minorHAnsi" w:cstheme="minorHAnsi"/>
          <w:lang w:val="en-GB"/>
        </w:rPr>
        <w:t xml:space="preserve"> of 4 December 2007 and the </w:t>
      </w:r>
      <w:r w:rsidRPr="00EA5F4B">
        <w:rPr>
          <w:rFonts w:asciiTheme="minorHAnsi" w:hAnsiTheme="minorHAnsi" w:cstheme="minorHAnsi"/>
          <w:i/>
          <w:lang w:val="en-GB"/>
        </w:rPr>
        <w:t xml:space="preserve">Agreement on the delegation of certain activities and powers of the Ministry of the Environment as the Managing Authority of the Operational Programme Environment in the period 2014–2020 to the State Environmental Fund of the Czech Republic </w:t>
      </w:r>
      <w:r w:rsidRPr="00EA5F4B">
        <w:rPr>
          <w:rFonts w:asciiTheme="minorHAnsi" w:hAnsiTheme="minorHAnsi" w:cstheme="minorHAnsi"/>
          <w:lang w:val="en-GB"/>
        </w:rPr>
        <w:t>of 17 June 2015.</w:t>
      </w:r>
    </w:p>
  </w:footnote>
  <w:footnote w:id="6">
    <w:p w:rsidR="007D1A11" w:rsidRPr="00EA5F4B" w:rsidRDefault="007D1A11" w:rsidP="001C3C9E">
      <w:pPr>
        <w:pStyle w:val="Textpoznpodarou"/>
        <w:ind w:left="284" w:hanging="284"/>
        <w:jc w:val="both"/>
        <w:rPr>
          <w:rFonts w:asciiTheme="minorHAnsi" w:hAnsiTheme="minorHAnsi"/>
          <w:lang w:val="en-GB"/>
        </w:rPr>
      </w:pPr>
      <w:r w:rsidRPr="00EA5F4B">
        <w:rPr>
          <w:rStyle w:val="Znakapoznpodarou"/>
          <w:rFonts w:asciiTheme="minorHAnsi" w:hAnsiTheme="minorHAnsi"/>
          <w:lang w:val="en-GB"/>
        </w:rPr>
        <w:footnoteRef/>
      </w:r>
      <w:r w:rsidRPr="00EA5F4B">
        <w:rPr>
          <w:rFonts w:asciiTheme="minorHAnsi" w:hAnsiTheme="minorHAnsi"/>
          <w:lang w:val="en-GB"/>
        </w:rPr>
        <w:t xml:space="preserve"> </w:t>
      </w:r>
      <w:r w:rsidRPr="00EA5F4B">
        <w:rPr>
          <w:rFonts w:asciiTheme="minorHAnsi" w:hAnsiTheme="minorHAnsi"/>
          <w:lang w:val="en-GB"/>
        </w:rPr>
        <w:tab/>
        <w:t>European Parliament and Council Directive 2008/98/EC, on waste and repealing certain Directives; Council Directive 1999/31/EC, on the landfill of waste; European Parliament and Council Directive 94/62/EC, on packaging and packaging waste; Directive 2012/19/EU of the European Parliament and of the Council, on waste electrical and electronic equipment (WEEE); Directive 2006/66/EC of the European Parliament and of the Council, on batteries and accumulators and waste batteries and accumulators and repealing Directive 91/157/EEC; Directive 2000/53/EC of the European Parliament and of the Council, on end-of-life vehicles.</w:t>
      </w:r>
    </w:p>
  </w:footnote>
  <w:footnote w:id="7">
    <w:p w:rsidR="007D1A11" w:rsidRPr="00EA5F4B" w:rsidRDefault="007D1A11" w:rsidP="00775FB2">
      <w:pPr>
        <w:ind w:left="284" w:hanging="284"/>
        <w:jc w:val="both"/>
        <w:rPr>
          <w:lang w:val="en-GB"/>
        </w:rPr>
      </w:pPr>
      <w:r w:rsidRPr="00EA5F4B">
        <w:rPr>
          <w:rStyle w:val="Znakapoznpodarou"/>
          <w:rFonts w:asciiTheme="minorHAnsi" w:hAnsiTheme="minorHAnsi"/>
          <w:sz w:val="20"/>
          <w:szCs w:val="20"/>
          <w:lang w:val="en-GB"/>
        </w:rPr>
        <w:footnoteRef/>
      </w:r>
      <w:r w:rsidR="00BF389E">
        <w:rPr>
          <w:rFonts w:asciiTheme="minorHAnsi" w:hAnsiTheme="minorHAnsi"/>
          <w:sz w:val="20"/>
          <w:szCs w:val="20"/>
          <w:lang w:val="en-GB"/>
        </w:rPr>
        <w:t xml:space="preserve"> </w:t>
      </w:r>
      <w:r w:rsidR="00BF389E">
        <w:rPr>
          <w:rFonts w:asciiTheme="minorHAnsi" w:hAnsiTheme="minorHAnsi"/>
          <w:sz w:val="20"/>
          <w:szCs w:val="20"/>
          <w:lang w:val="en-GB"/>
        </w:rPr>
        <w:tab/>
        <w:t>SAO Audit No</w:t>
      </w:r>
      <w:r w:rsidRPr="00EA5F4B">
        <w:rPr>
          <w:rFonts w:asciiTheme="minorHAnsi" w:hAnsiTheme="minorHAnsi"/>
          <w:sz w:val="20"/>
          <w:szCs w:val="20"/>
          <w:lang w:val="en-GB"/>
        </w:rPr>
        <w:t xml:space="preserve"> 10/14 – </w:t>
      </w:r>
      <w:r w:rsidRPr="00EA5F4B">
        <w:rPr>
          <w:rFonts w:asciiTheme="minorHAnsi" w:hAnsiTheme="minorHAnsi"/>
          <w:i/>
          <w:sz w:val="20"/>
          <w:szCs w:val="20"/>
          <w:lang w:val="en-GB"/>
        </w:rPr>
        <w:t xml:space="preserve">Funds earmarked for measures </w:t>
      </w:r>
      <w:r w:rsidR="00BF389E">
        <w:rPr>
          <w:rFonts w:asciiTheme="minorHAnsi" w:hAnsiTheme="minorHAnsi"/>
          <w:i/>
          <w:sz w:val="20"/>
          <w:szCs w:val="20"/>
          <w:lang w:val="en-GB"/>
        </w:rPr>
        <w:t>regarding the</w:t>
      </w:r>
      <w:r w:rsidRPr="00EA5F4B">
        <w:rPr>
          <w:rFonts w:asciiTheme="minorHAnsi" w:hAnsiTheme="minorHAnsi"/>
          <w:i/>
          <w:sz w:val="20"/>
          <w:szCs w:val="20"/>
          <w:lang w:val="en-GB"/>
        </w:rPr>
        <w:t xml:space="preserve"> waste </w:t>
      </w:r>
      <w:r w:rsidR="00BF389E">
        <w:rPr>
          <w:rFonts w:asciiTheme="minorHAnsi" w:hAnsiTheme="minorHAnsi"/>
          <w:i/>
          <w:sz w:val="20"/>
          <w:szCs w:val="20"/>
          <w:lang w:val="en-GB"/>
        </w:rPr>
        <w:t>disposal</w:t>
      </w:r>
      <w:r w:rsidRPr="00EA5F4B">
        <w:rPr>
          <w:rFonts w:asciiTheme="minorHAnsi" w:hAnsiTheme="minorHAnsi"/>
          <w:sz w:val="20"/>
          <w:szCs w:val="20"/>
          <w:lang w:val="en-GB"/>
        </w:rPr>
        <w:t xml:space="preserve">, the audit conclusion of this audit was approved 2 May 2011 and published in Volume 2/2011 of the </w:t>
      </w:r>
      <w:r w:rsidRPr="00EA5F4B">
        <w:rPr>
          <w:rFonts w:asciiTheme="minorHAnsi" w:hAnsiTheme="minorHAnsi"/>
          <w:i/>
          <w:sz w:val="20"/>
          <w:szCs w:val="20"/>
          <w:lang w:val="en-GB"/>
        </w:rPr>
        <w:t>SAO Bulletin</w:t>
      </w:r>
      <w:r w:rsidRPr="00EA5F4B">
        <w:rPr>
          <w:rFonts w:asciiTheme="minorHAnsi" w:hAnsiTheme="minorHAnsi"/>
          <w:sz w:val="20"/>
          <w:szCs w:val="20"/>
          <w:lang w:val="en-GB"/>
        </w:rPr>
        <w:t>.</w:t>
      </w:r>
    </w:p>
  </w:footnote>
  <w:footnote w:id="8">
    <w:p w:rsidR="007D1A11" w:rsidRPr="00EA5F4B" w:rsidRDefault="007D1A11" w:rsidP="00775FB2">
      <w:pPr>
        <w:pStyle w:val="Textpoznpodarou"/>
        <w:ind w:left="284" w:hanging="284"/>
        <w:rPr>
          <w:rFonts w:asciiTheme="minorHAnsi" w:hAnsiTheme="minorHAnsi" w:cstheme="minorHAnsi"/>
          <w:lang w:val="en-GB"/>
        </w:rPr>
      </w:pPr>
      <w:r w:rsidRPr="00EA5F4B">
        <w:rPr>
          <w:rStyle w:val="Znakapoznpodarou"/>
          <w:rFonts w:asciiTheme="minorHAnsi" w:hAnsiTheme="minorHAnsi" w:cstheme="minorHAnsi"/>
          <w:lang w:val="en-GB"/>
        </w:rPr>
        <w:footnoteRef/>
      </w:r>
      <w:r w:rsidRPr="00EA5F4B">
        <w:rPr>
          <w:rFonts w:asciiTheme="minorHAnsi" w:hAnsiTheme="minorHAnsi" w:cstheme="minorHAnsi"/>
          <w:lang w:val="en-GB"/>
        </w:rPr>
        <w:t xml:space="preserve"> </w:t>
      </w:r>
      <w:r w:rsidRPr="00EA5F4B">
        <w:rPr>
          <w:rFonts w:asciiTheme="minorHAnsi" w:hAnsiTheme="minorHAnsi" w:cstheme="minorHAnsi"/>
          <w:lang w:val="en-GB"/>
        </w:rPr>
        <w:tab/>
        <w:t>Council Directive 1999/31/EC, on the landfill of waste.</w:t>
      </w:r>
    </w:p>
  </w:footnote>
  <w:footnote w:id="9">
    <w:p w:rsidR="007D1A11" w:rsidRPr="00EA5F4B" w:rsidRDefault="007D1A11" w:rsidP="008B0E4A">
      <w:pPr>
        <w:pStyle w:val="Textpoznpodarou"/>
        <w:ind w:left="284" w:hanging="284"/>
        <w:jc w:val="both"/>
        <w:rPr>
          <w:lang w:val="en-GB"/>
        </w:rPr>
      </w:pPr>
      <w:r w:rsidRPr="00EA5F4B">
        <w:rPr>
          <w:rStyle w:val="Znakapoznpodarou"/>
          <w:rFonts w:asciiTheme="minorHAnsi" w:hAnsiTheme="minorHAnsi"/>
          <w:lang w:val="en-GB"/>
        </w:rPr>
        <w:footnoteRef/>
      </w:r>
      <w:r w:rsidRPr="00EA5F4B">
        <w:rPr>
          <w:rFonts w:asciiTheme="minorHAnsi" w:hAnsiTheme="minorHAnsi"/>
          <w:lang w:val="en-GB"/>
        </w:rPr>
        <w:t xml:space="preserve"> </w:t>
      </w:r>
      <w:r w:rsidRPr="00EA5F4B">
        <w:rPr>
          <w:rFonts w:asciiTheme="minorHAnsi" w:hAnsiTheme="minorHAnsi"/>
          <w:lang w:val="en-GB"/>
        </w:rPr>
        <w:tab/>
        <w:t xml:space="preserve">The Czech government, with its Resolution No. 188 of 21 March 2012, </w:t>
      </w:r>
      <w:r w:rsidRPr="00EA5F4B">
        <w:rPr>
          <w:rFonts w:asciiTheme="minorHAnsi" w:hAnsiTheme="minorHAnsi"/>
          <w:i/>
          <w:lang w:val="en-GB"/>
        </w:rPr>
        <w:t xml:space="preserve">on the Audit Conclusion of the Supreme Audit Office for Audit No 10/14 "Funds earmarked for </w:t>
      </w:r>
      <w:r w:rsidR="00BA5B53">
        <w:rPr>
          <w:rFonts w:asciiTheme="minorHAnsi" w:hAnsiTheme="minorHAnsi"/>
          <w:i/>
          <w:lang w:val="en-GB"/>
        </w:rPr>
        <w:t>measures</w:t>
      </w:r>
      <w:r w:rsidRPr="00EA5F4B">
        <w:rPr>
          <w:rFonts w:asciiTheme="minorHAnsi" w:hAnsiTheme="minorHAnsi"/>
          <w:i/>
          <w:lang w:val="en-GB"/>
        </w:rPr>
        <w:t xml:space="preserve"> </w:t>
      </w:r>
      <w:r w:rsidR="00BA5B53">
        <w:rPr>
          <w:rFonts w:asciiTheme="minorHAnsi" w:hAnsiTheme="minorHAnsi"/>
          <w:i/>
          <w:lang w:val="en-GB"/>
        </w:rPr>
        <w:t>regarding the</w:t>
      </w:r>
      <w:r w:rsidRPr="00EA5F4B">
        <w:rPr>
          <w:rFonts w:asciiTheme="minorHAnsi" w:hAnsiTheme="minorHAnsi"/>
          <w:i/>
          <w:lang w:val="en-GB"/>
        </w:rPr>
        <w:t xml:space="preserve"> waste </w:t>
      </w:r>
      <w:r w:rsidR="00BA5B53">
        <w:rPr>
          <w:rFonts w:asciiTheme="minorHAnsi" w:hAnsiTheme="minorHAnsi"/>
          <w:i/>
          <w:lang w:val="en-GB"/>
        </w:rPr>
        <w:t>disposal</w:t>
      </w:r>
      <w:r w:rsidRPr="00EA5F4B">
        <w:rPr>
          <w:rFonts w:asciiTheme="minorHAnsi" w:hAnsiTheme="minorHAnsi"/>
          <w:i/>
          <w:lang w:val="en-GB"/>
        </w:rPr>
        <w:t>"</w:t>
      </w:r>
      <w:r w:rsidRPr="00EA5F4B">
        <w:rPr>
          <w:rFonts w:asciiTheme="minorHAnsi" w:hAnsiTheme="minorHAnsi"/>
          <w:lang w:val="en-GB"/>
        </w:rPr>
        <w:t xml:space="preserve">, ordered the Environment Ministry to implement measures to remedy the identified shortcomings listed in the </w:t>
      </w:r>
      <w:proofErr w:type="spellStart"/>
      <w:r w:rsidRPr="00EA5F4B">
        <w:rPr>
          <w:rFonts w:asciiTheme="minorHAnsi" w:hAnsiTheme="minorHAnsi"/>
          <w:lang w:val="en-GB"/>
        </w:rPr>
        <w:t>MoE</w:t>
      </w:r>
      <w:proofErr w:type="spellEnd"/>
      <w:r w:rsidRPr="00EA5F4B">
        <w:rPr>
          <w:rFonts w:asciiTheme="minorHAnsi" w:hAnsiTheme="minorHAnsi"/>
          <w:lang w:val="en-GB"/>
        </w:rPr>
        <w:t xml:space="preserve"> opinion on th</w:t>
      </w:r>
      <w:r w:rsidR="00BA5B53">
        <w:rPr>
          <w:rFonts w:asciiTheme="minorHAnsi" w:hAnsiTheme="minorHAnsi"/>
          <w:lang w:val="en-GB"/>
        </w:rPr>
        <w:t>e audit conclusion for Audit No</w:t>
      </w:r>
      <w:r w:rsidRPr="00EA5F4B">
        <w:rPr>
          <w:rFonts w:asciiTheme="minorHAnsi" w:hAnsiTheme="minorHAnsi"/>
          <w:lang w:val="en-GB"/>
        </w:rPr>
        <w:t xml:space="preserve"> 10/14.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11" w:rsidRDefault="007D1A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11" w:rsidRDefault="007D1A1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11" w:rsidRDefault="007D1A1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5F0C59A"/>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00B72C42"/>
    <w:multiLevelType w:val="hybridMultilevel"/>
    <w:tmpl w:val="784673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BA78A1"/>
    <w:multiLevelType w:val="hybridMultilevel"/>
    <w:tmpl w:val="01020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8D29CA"/>
    <w:multiLevelType w:val="hybridMultilevel"/>
    <w:tmpl w:val="AD94A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9A3D48"/>
    <w:multiLevelType w:val="hybridMultilevel"/>
    <w:tmpl w:val="8B6E6EB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0F5C6DDF"/>
    <w:multiLevelType w:val="hybridMultilevel"/>
    <w:tmpl w:val="97845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10AC3"/>
    <w:multiLevelType w:val="hybridMultilevel"/>
    <w:tmpl w:val="CE6C864E"/>
    <w:lvl w:ilvl="0" w:tplc="FD321F4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2C7150F"/>
    <w:multiLevelType w:val="hybridMultilevel"/>
    <w:tmpl w:val="4BF8C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FB5AD9"/>
    <w:multiLevelType w:val="multilevel"/>
    <w:tmpl w:val="04050021"/>
    <w:styleLink w:val="Styl1"/>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16283071"/>
    <w:multiLevelType w:val="hybridMultilevel"/>
    <w:tmpl w:val="18B2AFAC"/>
    <w:lvl w:ilvl="0" w:tplc="8848BC8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835C14"/>
    <w:multiLevelType w:val="hybridMultilevel"/>
    <w:tmpl w:val="B0CAA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FF0E4E"/>
    <w:multiLevelType w:val="hybridMultilevel"/>
    <w:tmpl w:val="2794E6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090181"/>
    <w:multiLevelType w:val="hybridMultilevel"/>
    <w:tmpl w:val="B036912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2333520"/>
    <w:multiLevelType w:val="hybridMultilevel"/>
    <w:tmpl w:val="70223A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AA242A"/>
    <w:multiLevelType w:val="hybridMultilevel"/>
    <w:tmpl w:val="325A1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8349B4"/>
    <w:multiLevelType w:val="hybridMultilevel"/>
    <w:tmpl w:val="A83ED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69431B"/>
    <w:multiLevelType w:val="hybridMultilevel"/>
    <w:tmpl w:val="29169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490B2F"/>
    <w:multiLevelType w:val="hybridMultilevel"/>
    <w:tmpl w:val="97845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88063C"/>
    <w:multiLevelType w:val="hybridMultilevel"/>
    <w:tmpl w:val="54F0F0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327AA6"/>
    <w:multiLevelType w:val="hybridMultilevel"/>
    <w:tmpl w:val="F274E06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885142"/>
    <w:multiLevelType w:val="hybridMultilevel"/>
    <w:tmpl w:val="9F7E4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005C60"/>
    <w:multiLevelType w:val="hybridMultilevel"/>
    <w:tmpl w:val="AD22A5FA"/>
    <w:lvl w:ilvl="0" w:tplc="2FA89850">
      <w:start w:val="1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925C79"/>
    <w:multiLevelType w:val="hybridMultilevel"/>
    <w:tmpl w:val="DB3E52FE"/>
    <w:lvl w:ilvl="0" w:tplc="BDE0C5B2">
      <w:start w:val="4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980509"/>
    <w:multiLevelType w:val="hybridMultilevel"/>
    <w:tmpl w:val="22F0A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ED33EA"/>
    <w:multiLevelType w:val="hybridMultilevel"/>
    <w:tmpl w:val="A55C47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DA4EF4"/>
    <w:multiLevelType w:val="hybridMultilevel"/>
    <w:tmpl w:val="A3E65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A773C"/>
    <w:multiLevelType w:val="hybridMultilevel"/>
    <w:tmpl w:val="07E41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404BE1"/>
    <w:multiLevelType w:val="hybridMultilevel"/>
    <w:tmpl w:val="6756D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4C324C"/>
    <w:multiLevelType w:val="hybridMultilevel"/>
    <w:tmpl w:val="14FA34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E64266"/>
    <w:multiLevelType w:val="hybridMultilevel"/>
    <w:tmpl w:val="0890D3C4"/>
    <w:lvl w:ilvl="0" w:tplc="FD321F4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F4C772F"/>
    <w:multiLevelType w:val="hybridMultilevel"/>
    <w:tmpl w:val="1B421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760014C"/>
    <w:multiLevelType w:val="hybridMultilevel"/>
    <w:tmpl w:val="F6FA6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C4B14"/>
    <w:multiLevelType w:val="hybridMultilevel"/>
    <w:tmpl w:val="F856C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D82287"/>
    <w:multiLevelType w:val="hybridMultilevel"/>
    <w:tmpl w:val="7C3ED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A8345D4"/>
    <w:multiLevelType w:val="hybridMultilevel"/>
    <w:tmpl w:val="C6CE540A"/>
    <w:lvl w:ilvl="0" w:tplc="F1A60F72">
      <w:start w:val="2"/>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7BFD67B7"/>
    <w:multiLevelType w:val="hybridMultilevel"/>
    <w:tmpl w:val="1B7012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275F8B"/>
    <w:multiLevelType w:val="hybridMultilevel"/>
    <w:tmpl w:val="60A4C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9"/>
  </w:num>
  <w:num w:numId="5">
    <w:abstractNumId w:val="25"/>
  </w:num>
  <w:num w:numId="6">
    <w:abstractNumId w:val="1"/>
  </w:num>
  <w:num w:numId="7">
    <w:abstractNumId w:val="26"/>
  </w:num>
  <w:num w:numId="8">
    <w:abstractNumId w:val="14"/>
  </w:num>
  <w:num w:numId="9">
    <w:abstractNumId w:val="10"/>
  </w:num>
  <w:num w:numId="10">
    <w:abstractNumId w:val="34"/>
  </w:num>
  <w:num w:numId="11">
    <w:abstractNumId w:val="12"/>
  </w:num>
  <w:num w:numId="12">
    <w:abstractNumId w:val="21"/>
  </w:num>
  <w:num w:numId="13">
    <w:abstractNumId w:val="22"/>
  </w:num>
  <w:num w:numId="14">
    <w:abstractNumId w:val="16"/>
  </w:num>
  <w:num w:numId="15">
    <w:abstractNumId w:val="27"/>
  </w:num>
  <w:num w:numId="16">
    <w:abstractNumId w:val="29"/>
  </w:num>
  <w:num w:numId="17">
    <w:abstractNumId w:val="6"/>
  </w:num>
  <w:num w:numId="18">
    <w:abstractNumId w:val="30"/>
  </w:num>
  <w:num w:numId="19">
    <w:abstractNumId w:val="15"/>
  </w:num>
  <w:num w:numId="20">
    <w:abstractNumId w:val="9"/>
  </w:num>
  <w:num w:numId="21">
    <w:abstractNumId w:val="23"/>
  </w:num>
  <w:num w:numId="22">
    <w:abstractNumId w:val="31"/>
  </w:num>
  <w:num w:numId="23">
    <w:abstractNumId w:val="3"/>
  </w:num>
  <w:num w:numId="24">
    <w:abstractNumId w:val="4"/>
  </w:num>
  <w:num w:numId="25">
    <w:abstractNumId w:val="13"/>
  </w:num>
  <w:num w:numId="26">
    <w:abstractNumId w:val="33"/>
  </w:num>
  <w:num w:numId="27">
    <w:abstractNumId w:val="28"/>
  </w:num>
  <w:num w:numId="28">
    <w:abstractNumId w:val="5"/>
  </w:num>
  <w:num w:numId="29">
    <w:abstractNumId w:val="17"/>
  </w:num>
  <w:num w:numId="30">
    <w:abstractNumId w:val="24"/>
  </w:num>
  <w:num w:numId="31">
    <w:abstractNumId w:val="20"/>
  </w:num>
  <w:num w:numId="32">
    <w:abstractNumId w:val="11"/>
  </w:num>
  <w:num w:numId="33">
    <w:abstractNumId w:val="32"/>
  </w:num>
  <w:num w:numId="34">
    <w:abstractNumId w:val="7"/>
  </w:num>
  <w:num w:numId="35">
    <w:abstractNumId w:val="36"/>
  </w:num>
  <w:num w:numId="36">
    <w:abstractNumId w:val="35"/>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4097">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FE190B"/>
    <w:rsid w:val="000001E0"/>
    <w:rsid w:val="00000517"/>
    <w:rsid w:val="00000573"/>
    <w:rsid w:val="0000069C"/>
    <w:rsid w:val="00000932"/>
    <w:rsid w:val="00000F96"/>
    <w:rsid w:val="00001C80"/>
    <w:rsid w:val="00001F62"/>
    <w:rsid w:val="00002073"/>
    <w:rsid w:val="0000330E"/>
    <w:rsid w:val="0000337D"/>
    <w:rsid w:val="000033DB"/>
    <w:rsid w:val="000037EE"/>
    <w:rsid w:val="000038D1"/>
    <w:rsid w:val="00003D20"/>
    <w:rsid w:val="000044CF"/>
    <w:rsid w:val="00004DB0"/>
    <w:rsid w:val="00004ECD"/>
    <w:rsid w:val="00005220"/>
    <w:rsid w:val="0000580F"/>
    <w:rsid w:val="00005C47"/>
    <w:rsid w:val="00005C6C"/>
    <w:rsid w:val="000066B9"/>
    <w:rsid w:val="00006886"/>
    <w:rsid w:val="00006B02"/>
    <w:rsid w:val="00006D05"/>
    <w:rsid w:val="00007047"/>
    <w:rsid w:val="00007773"/>
    <w:rsid w:val="000112F9"/>
    <w:rsid w:val="00011846"/>
    <w:rsid w:val="00011C9C"/>
    <w:rsid w:val="00012067"/>
    <w:rsid w:val="00012880"/>
    <w:rsid w:val="00013006"/>
    <w:rsid w:val="000131C6"/>
    <w:rsid w:val="0001390C"/>
    <w:rsid w:val="00013B1B"/>
    <w:rsid w:val="000141ED"/>
    <w:rsid w:val="00014603"/>
    <w:rsid w:val="00014AE3"/>
    <w:rsid w:val="000152B0"/>
    <w:rsid w:val="0001567E"/>
    <w:rsid w:val="00015CCB"/>
    <w:rsid w:val="00015F28"/>
    <w:rsid w:val="00016128"/>
    <w:rsid w:val="000172AE"/>
    <w:rsid w:val="00020A05"/>
    <w:rsid w:val="00020EF3"/>
    <w:rsid w:val="00021026"/>
    <w:rsid w:val="000211D3"/>
    <w:rsid w:val="00022011"/>
    <w:rsid w:val="000225B8"/>
    <w:rsid w:val="00022B26"/>
    <w:rsid w:val="00022DF5"/>
    <w:rsid w:val="00023EA1"/>
    <w:rsid w:val="00024084"/>
    <w:rsid w:val="00024A45"/>
    <w:rsid w:val="00024CCF"/>
    <w:rsid w:val="00024E81"/>
    <w:rsid w:val="00026482"/>
    <w:rsid w:val="00026AFA"/>
    <w:rsid w:val="00030060"/>
    <w:rsid w:val="000307C5"/>
    <w:rsid w:val="0003087F"/>
    <w:rsid w:val="00030DD7"/>
    <w:rsid w:val="0003111A"/>
    <w:rsid w:val="000314CC"/>
    <w:rsid w:val="00031607"/>
    <w:rsid w:val="0003224D"/>
    <w:rsid w:val="00032482"/>
    <w:rsid w:val="000326DA"/>
    <w:rsid w:val="00033F04"/>
    <w:rsid w:val="000342ED"/>
    <w:rsid w:val="000342F8"/>
    <w:rsid w:val="000343CF"/>
    <w:rsid w:val="000343E1"/>
    <w:rsid w:val="00034844"/>
    <w:rsid w:val="00034852"/>
    <w:rsid w:val="000353C2"/>
    <w:rsid w:val="00035D61"/>
    <w:rsid w:val="00036287"/>
    <w:rsid w:val="00036BDA"/>
    <w:rsid w:val="00037363"/>
    <w:rsid w:val="000406B5"/>
    <w:rsid w:val="00040726"/>
    <w:rsid w:val="00041917"/>
    <w:rsid w:val="00041943"/>
    <w:rsid w:val="00041F40"/>
    <w:rsid w:val="00041F64"/>
    <w:rsid w:val="0004209A"/>
    <w:rsid w:val="00042138"/>
    <w:rsid w:val="0004223E"/>
    <w:rsid w:val="000423CF"/>
    <w:rsid w:val="000437B0"/>
    <w:rsid w:val="00043AE0"/>
    <w:rsid w:val="00043B34"/>
    <w:rsid w:val="000448D4"/>
    <w:rsid w:val="00044D63"/>
    <w:rsid w:val="00045836"/>
    <w:rsid w:val="00045E0B"/>
    <w:rsid w:val="00051C1A"/>
    <w:rsid w:val="000530F1"/>
    <w:rsid w:val="0005350B"/>
    <w:rsid w:val="00054517"/>
    <w:rsid w:val="0005489D"/>
    <w:rsid w:val="0005531F"/>
    <w:rsid w:val="000558EC"/>
    <w:rsid w:val="00055A17"/>
    <w:rsid w:val="00056424"/>
    <w:rsid w:val="000569A4"/>
    <w:rsid w:val="00057577"/>
    <w:rsid w:val="00057A70"/>
    <w:rsid w:val="000641DB"/>
    <w:rsid w:val="0006454E"/>
    <w:rsid w:val="00064771"/>
    <w:rsid w:val="00064BF1"/>
    <w:rsid w:val="00064DEF"/>
    <w:rsid w:val="00065ACF"/>
    <w:rsid w:val="00065DA8"/>
    <w:rsid w:val="00067C0E"/>
    <w:rsid w:val="00067D6A"/>
    <w:rsid w:val="0007064B"/>
    <w:rsid w:val="000706B4"/>
    <w:rsid w:val="000707DC"/>
    <w:rsid w:val="00071622"/>
    <w:rsid w:val="00071B68"/>
    <w:rsid w:val="00071FA4"/>
    <w:rsid w:val="00072445"/>
    <w:rsid w:val="00074A01"/>
    <w:rsid w:val="00074E9B"/>
    <w:rsid w:val="00076E8D"/>
    <w:rsid w:val="0008013B"/>
    <w:rsid w:val="000808E5"/>
    <w:rsid w:val="00080987"/>
    <w:rsid w:val="00080C12"/>
    <w:rsid w:val="00081221"/>
    <w:rsid w:val="00082210"/>
    <w:rsid w:val="000828E4"/>
    <w:rsid w:val="00082FB7"/>
    <w:rsid w:val="000839E5"/>
    <w:rsid w:val="00083C93"/>
    <w:rsid w:val="000843F6"/>
    <w:rsid w:val="00084727"/>
    <w:rsid w:val="00084EF4"/>
    <w:rsid w:val="000872FD"/>
    <w:rsid w:val="000875EC"/>
    <w:rsid w:val="00087655"/>
    <w:rsid w:val="00087672"/>
    <w:rsid w:val="00087884"/>
    <w:rsid w:val="00087A8A"/>
    <w:rsid w:val="000902DE"/>
    <w:rsid w:val="00091459"/>
    <w:rsid w:val="0009213A"/>
    <w:rsid w:val="000927F6"/>
    <w:rsid w:val="0009286D"/>
    <w:rsid w:val="00093E2F"/>
    <w:rsid w:val="00095329"/>
    <w:rsid w:val="00095AF6"/>
    <w:rsid w:val="00095C7A"/>
    <w:rsid w:val="0009660E"/>
    <w:rsid w:val="00096B13"/>
    <w:rsid w:val="00096B86"/>
    <w:rsid w:val="00096CD9"/>
    <w:rsid w:val="0009709F"/>
    <w:rsid w:val="000972AD"/>
    <w:rsid w:val="0009760D"/>
    <w:rsid w:val="00097E53"/>
    <w:rsid w:val="000A0A28"/>
    <w:rsid w:val="000A1E20"/>
    <w:rsid w:val="000A2538"/>
    <w:rsid w:val="000A25CD"/>
    <w:rsid w:val="000A315E"/>
    <w:rsid w:val="000A37C5"/>
    <w:rsid w:val="000A41A3"/>
    <w:rsid w:val="000A4D3D"/>
    <w:rsid w:val="000A53CA"/>
    <w:rsid w:val="000A53CC"/>
    <w:rsid w:val="000A58F6"/>
    <w:rsid w:val="000A6A50"/>
    <w:rsid w:val="000A6A9F"/>
    <w:rsid w:val="000A7392"/>
    <w:rsid w:val="000B04AA"/>
    <w:rsid w:val="000B079E"/>
    <w:rsid w:val="000B0F45"/>
    <w:rsid w:val="000B0FB2"/>
    <w:rsid w:val="000B1348"/>
    <w:rsid w:val="000B17BF"/>
    <w:rsid w:val="000B1C04"/>
    <w:rsid w:val="000B25C3"/>
    <w:rsid w:val="000B3145"/>
    <w:rsid w:val="000B3978"/>
    <w:rsid w:val="000B3FBA"/>
    <w:rsid w:val="000B5FE2"/>
    <w:rsid w:val="000B657B"/>
    <w:rsid w:val="000B66C5"/>
    <w:rsid w:val="000B7411"/>
    <w:rsid w:val="000C08FF"/>
    <w:rsid w:val="000C1234"/>
    <w:rsid w:val="000C17BC"/>
    <w:rsid w:val="000C1A45"/>
    <w:rsid w:val="000C28BB"/>
    <w:rsid w:val="000C2BB7"/>
    <w:rsid w:val="000C3758"/>
    <w:rsid w:val="000C3844"/>
    <w:rsid w:val="000C4C9A"/>
    <w:rsid w:val="000C527F"/>
    <w:rsid w:val="000C6DA4"/>
    <w:rsid w:val="000C72FA"/>
    <w:rsid w:val="000D0135"/>
    <w:rsid w:val="000D05D4"/>
    <w:rsid w:val="000D0ED6"/>
    <w:rsid w:val="000D1560"/>
    <w:rsid w:val="000D18F3"/>
    <w:rsid w:val="000D225C"/>
    <w:rsid w:val="000D225E"/>
    <w:rsid w:val="000D2D37"/>
    <w:rsid w:val="000D2E43"/>
    <w:rsid w:val="000D30B8"/>
    <w:rsid w:val="000D350B"/>
    <w:rsid w:val="000D35AB"/>
    <w:rsid w:val="000D365B"/>
    <w:rsid w:val="000D4DC9"/>
    <w:rsid w:val="000D6369"/>
    <w:rsid w:val="000D6EB0"/>
    <w:rsid w:val="000D7CA0"/>
    <w:rsid w:val="000D7D68"/>
    <w:rsid w:val="000D7FC1"/>
    <w:rsid w:val="000E0ABF"/>
    <w:rsid w:val="000E0BF1"/>
    <w:rsid w:val="000E1099"/>
    <w:rsid w:val="000E123D"/>
    <w:rsid w:val="000E196A"/>
    <w:rsid w:val="000E1E4B"/>
    <w:rsid w:val="000E23CC"/>
    <w:rsid w:val="000E23D6"/>
    <w:rsid w:val="000E3606"/>
    <w:rsid w:val="000E4219"/>
    <w:rsid w:val="000E5022"/>
    <w:rsid w:val="000E53AF"/>
    <w:rsid w:val="000E5629"/>
    <w:rsid w:val="000E5D02"/>
    <w:rsid w:val="000E650F"/>
    <w:rsid w:val="000F0462"/>
    <w:rsid w:val="000F0B0D"/>
    <w:rsid w:val="000F1517"/>
    <w:rsid w:val="000F1EEB"/>
    <w:rsid w:val="000F1FF6"/>
    <w:rsid w:val="000F24AA"/>
    <w:rsid w:val="000F272E"/>
    <w:rsid w:val="000F37A0"/>
    <w:rsid w:val="000F3957"/>
    <w:rsid w:val="000F3BC5"/>
    <w:rsid w:val="000F3D33"/>
    <w:rsid w:val="000F46BE"/>
    <w:rsid w:val="000F4E31"/>
    <w:rsid w:val="000F4E4E"/>
    <w:rsid w:val="000F57F0"/>
    <w:rsid w:val="000F5CE4"/>
    <w:rsid w:val="000F5FE2"/>
    <w:rsid w:val="000F5FF1"/>
    <w:rsid w:val="000F674C"/>
    <w:rsid w:val="000F6BF2"/>
    <w:rsid w:val="00100B04"/>
    <w:rsid w:val="0010159A"/>
    <w:rsid w:val="001019FC"/>
    <w:rsid w:val="001032BF"/>
    <w:rsid w:val="0010371F"/>
    <w:rsid w:val="0010441C"/>
    <w:rsid w:val="00104BDC"/>
    <w:rsid w:val="00105938"/>
    <w:rsid w:val="00105AD0"/>
    <w:rsid w:val="00106174"/>
    <w:rsid w:val="00110594"/>
    <w:rsid w:val="0011169E"/>
    <w:rsid w:val="00111EE4"/>
    <w:rsid w:val="00111F43"/>
    <w:rsid w:val="001121A9"/>
    <w:rsid w:val="001129ED"/>
    <w:rsid w:val="001139E0"/>
    <w:rsid w:val="00113B93"/>
    <w:rsid w:val="00113E54"/>
    <w:rsid w:val="001148ED"/>
    <w:rsid w:val="0011637B"/>
    <w:rsid w:val="00116572"/>
    <w:rsid w:val="00116982"/>
    <w:rsid w:val="00116D33"/>
    <w:rsid w:val="00120BB8"/>
    <w:rsid w:val="00120C44"/>
    <w:rsid w:val="0012116B"/>
    <w:rsid w:val="00121642"/>
    <w:rsid w:val="00121A70"/>
    <w:rsid w:val="0012225E"/>
    <w:rsid w:val="0012241D"/>
    <w:rsid w:val="00123518"/>
    <w:rsid w:val="00123D37"/>
    <w:rsid w:val="0012537C"/>
    <w:rsid w:val="00125413"/>
    <w:rsid w:val="00126303"/>
    <w:rsid w:val="001265E7"/>
    <w:rsid w:val="001271C2"/>
    <w:rsid w:val="001278CB"/>
    <w:rsid w:val="00127C6A"/>
    <w:rsid w:val="00127E65"/>
    <w:rsid w:val="00131313"/>
    <w:rsid w:val="00131355"/>
    <w:rsid w:val="001316BB"/>
    <w:rsid w:val="00131861"/>
    <w:rsid w:val="00131A68"/>
    <w:rsid w:val="00132193"/>
    <w:rsid w:val="001325AD"/>
    <w:rsid w:val="0013397D"/>
    <w:rsid w:val="00134C4E"/>
    <w:rsid w:val="00135722"/>
    <w:rsid w:val="0013587A"/>
    <w:rsid w:val="00135AA0"/>
    <w:rsid w:val="00135E06"/>
    <w:rsid w:val="001360A2"/>
    <w:rsid w:val="001368E7"/>
    <w:rsid w:val="00136B65"/>
    <w:rsid w:val="00137D00"/>
    <w:rsid w:val="00137D4E"/>
    <w:rsid w:val="00141355"/>
    <w:rsid w:val="001415FD"/>
    <w:rsid w:val="00141FDE"/>
    <w:rsid w:val="001425AD"/>
    <w:rsid w:val="00142B1D"/>
    <w:rsid w:val="001435B2"/>
    <w:rsid w:val="00143C9D"/>
    <w:rsid w:val="0014414B"/>
    <w:rsid w:val="00144332"/>
    <w:rsid w:val="00144916"/>
    <w:rsid w:val="0014548A"/>
    <w:rsid w:val="00145854"/>
    <w:rsid w:val="001468BA"/>
    <w:rsid w:val="00146D05"/>
    <w:rsid w:val="00147599"/>
    <w:rsid w:val="001503FE"/>
    <w:rsid w:val="0015059A"/>
    <w:rsid w:val="00152B55"/>
    <w:rsid w:val="001531E3"/>
    <w:rsid w:val="0015334F"/>
    <w:rsid w:val="001537A0"/>
    <w:rsid w:val="00153BF0"/>
    <w:rsid w:val="00154178"/>
    <w:rsid w:val="001550CC"/>
    <w:rsid w:val="0015511A"/>
    <w:rsid w:val="00155783"/>
    <w:rsid w:val="0015660B"/>
    <w:rsid w:val="00156C62"/>
    <w:rsid w:val="00157DAC"/>
    <w:rsid w:val="001602AF"/>
    <w:rsid w:val="00160429"/>
    <w:rsid w:val="00160D42"/>
    <w:rsid w:val="00160E9D"/>
    <w:rsid w:val="00161978"/>
    <w:rsid w:val="0016199E"/>
    <w:rsid w:val="00161AF0"/>
    <w:rsid w:val="0016219C"/>
    <w:rsid w:val="001625D9"/>
    <w:rsid w:val="00162A88"/>
    <w:rsid w:val="00162B1D"/>
    <w:rsid w:val="0016306B"/>
    <w:rsid w:val="00163406"/>
    <w:rsid w:val="00164335"/>
    <w:rsid w:val="001645EF"/>
    <w:rsid w:val="00167A96"/>
    <w:rsid w:val="001702DE"/>
    <w:rsid w:val="001704ED"/>
    <w:rsid w:val="00170A6D"/>
    <w:rsid w:val="00171086"/>
    <w:rsid w:val="00171371"/>
    <w:rsid w:val="0017150E"/>
    <w:rsid w:val="00171784"/>
    <w:rsid w:val="00171A28"/>
    <w:rsid w:val="001725CE"/>
    <w:rsid w:val="00172804"/>
    <w:rsid w:val="00173420"/>
    <w:rsid w:val="00173BFF"/>
    <w:rsid w:val="00173C2B"/>
    <w:rsid w:val="0017418E"/>
    <w:rsid w:val="00175F2C"/>
    <w:rsid w:val="00176033"/>
    <w:rsid w:val="001765BC"/>
    <w:rsid w:val="00177124"/>
    <w:rsid w:val="001779D4"/>
    <w:rsid w:val="00177D39"/>
    <w:rsid w:val="00177E1E"/>
    <w:rsid w:val="001807B0"/>
    <w:rsid w:val="00180B46"/>
    <w:rsid w:val="001826FC"/>
    <w:rsid w:val="00182F04"/>
    <w:rsid w:val="001831E2"/>
    <w:rsid w:val="00183BD2"/>
    <w:rsid w:val="001851F6"/>
    <w:rsid w:val="001861E6"/>
    <w:rsid w:val="0018620C"/>
    <w:rsid w:val="00186383"/>
    <w:rsid w:val="00187569"/>
    <w:rsid w:val="0018767F"/>
    <w:rsid w:val="001877F1"/>
    <w:rsid w:val="00187958"/>
    <w:rsid w:val="00187FC3"/>
    <w:rsid w:val="001922FC"/>
    <w:rsid w:val="00192ADE"/>
    <w:rsid w:val="00192BC2"/>
    <w:rsid w:val="00192BEA"/>
    <w:rsid w:val="001930A1"/>
    <w:rsid w:val="00193533"/>
    <w:rsid w:val="0019357D"/>
    <w:rsid w:val="00194005"/>
    <w:rsid w:val="00194298"/>
    <w:rsid w:val="001949B7"/>
    <w:rsid w:val="001951B2"/>
    <w:rsid w:val="0019536B"/>
    <w:rsid w:val="00195A5C"/>
    <w:rsid w:val="001962DF"/>
    <w:rsid w:val="0019670B"/>
    <w:rsid w:val="00196740"/>
    <w:rsid w:val="00196CCC"/>
    <w:rsid w:val="001A0E1F"/>
    <w:rsid w:val="001A0EAB"/>
    <w:rsid w:val="001A15D3"/>
    <w:rsid w:val="001A1C0A"/>
    <w:rsid w:val="001A1CBF"/>
    <w:rsid w:val="001A259F"/>
    <w:rsid w:val="001A2ADE"/>
    <w:rsid w:val="001A3388"/>
    <w:rsid w:val="001A37F7"/>
    <w:rsid w:val="001A4061"/>
    <w:rsid w:val="001A48BA"/>
    <w:rsid w:val="001A50E5"/>
    <w:rsid w:val="001A5D01"/>
    <w:rsid w:val="001A743C"/>
    <w:rsid w:val="001B1A8D"/>
    <w:rsid w:val="001B2A97"/>
    <w:rsid w:val="001B2B19"/>
    <w:rsid w:val="001B40BE"/>
    <w:rsid w:val="001B4703"/>
    <w:rsid w:val="001B5134"/>
    <w:rsid w:val="001B525A"/>
    <w:rsid w:val="001B537D"/>
    <w:rsid w:val="001B57E8"/>
    <w:rsid w:val="001B6395"/>
    <w:rsid w:val="001B686B"/>
    <w:rsid w:val="001B6DAD"/>
    <w:rsid w:val="001B7860"/>
    <w:rsid w:val="001C0754"/>
    <w:rsid w:val="001C1BE9"/>
    <w:rsid w:val="001C2E14"/>
    <w:rsid w:val="001C3C9E"/>
    <w:rsid w:val="001C4172"/>
    <w:rsid w:val="001C43C9"/>
    <w:rsid w:val="001C43FA"/>
    <w:rsid w:val="001C4863"/>
    <w:rsid w:val="001C4FC9"/>
    <w:rsid w:val="001C5277"/>
    <w:rsid w:val="001C561C"/>
    <w:rsid w:val="001C56CD"/>
    <w:rsid w:val="001C57CA"/>
    <w:rsid w:val="001C5EA7"/>
    <w:rsid w:val="001C6A88"/>
    <w:rsid w:val="001C6CBD"/>
    <w:rsid w:val="001C6EEF"/>
    <w:rsid w:val="001C7133"/>
    <w:rsid w:val="001D04AC"/>
    <w:rsid w:val="001D0705"/>
    <w:rsid w:val="001D0E63"/>
    <w:rsid w:val="001D14F9"/>
    <w:rsid w:val="001D44EC"/>
    <w:rsid w:val="001D4F1A"/>
    <w:rsid w:val="001D5B72"/>
    <w:rsid w:val="001D61A3"/>
    <w:rsid w:val="001D7EA7"/>
    <w:rsid w:val="001E086F"/>
    <w:rsid w:val="001E09D3"/>
    <w:rsid w:val="001E0DA7"/>
    <w:rsid w:val="001E1682"/>
    <w:rsid w:val="001E1BDA"/>
    <w:rsid w:val="001E2BA3"/>
    <w:rsid w:val="001E31FA"/>
    <w:rsid w:val="001E3B4C"/>
    <w:rsid w:val="001E3D57"/>
    <w:rsid w:val="001E3F30"/>
    <w:rsid w:val="001E5882"/>
    <w:rsid w:val="001E71A6"/>
    <w:rsid w:val="001E720D"/>
    <w:rsid w:val="001E7BB9"/>
    <w:rsid w:val="001E7FE9"/>
    <w:rsid w:val="001F230F"/>
    <w:rsid w:val="001F4F43"/>
    <w:rsid w:val="001F57C1"/>
    <w:rsid w:val="001F5F11"/>
    <w:rsid w:val="001F633D"/>
    <w:rsid w:val="001F6CE7"/>
    <w:rsid w:val="001F78A0"/>
    <w:rsid w:val="001F7B57"/>
    <w:rsid w:val="001F7FC6"/>
    <w:rsid w:val="0020047C"/>
    <w:rsid w:val="00201976"/>
    <w:rsid w:val="00201E5D"/>
    <w:rsid w:val="00202300"/>
    <w:rsid w:val="00202698"/>
    <w:rsid w:val="002031A2"/>
    <w:rsid w:val="00203DCE"/>
    <w:rsid w:val="00203F8E"/>
    <w:rsid w:val="00203FDA"/>
    <w:rsid w:val="0020444C"/>
    <w:rsid w:val="00204E26"/>
    <w:rsid w:val="002055CF"/>
    <w:rsid w:val="00205C95"/>
    <w:rsid w:val="00205D19"/>
    <w:rsid w:val="00206604"/>
    <w:rsid w:val="002066A0"/>
    <w:rsid w:val="00207FA7"/>
    <w:rsid w:val="002100F1"/>
    <w:rsid w:val="00210221"/>
    <w:rsid w:val="00210672"/>
    <w:rsid w:val="002109C0"/>
    <w:rsid w:val="002112BF"/>
    <w:rsid w:val="00211AB9"/>
    <w:rsid w:val="00211F27"/>
    <w:rsid w:val="002120C1"/>
    <w:rsid w:val="002125EB"/>
    <w:rsid w:val="00212868"/>
    <w:rsid w:val="00212B93"/>
    <w:rsid w:val="00212FBB"/>
    <w:rsid w:val="00213A72"/>
    <w:rsid w:val="00213D6B"/>
    <w:rsid w:val="00214748"/>
    <w:rsid w:val="00214946"/>
    <w:rsid w:val="00215E15"/>
    <w:rsid w:val="002178C3"/>
    <w:rsid w:val="00217F03"/>
    <w:rsid w:val="0022056F"/>
    <w:rsid w:val="0022067F"/>
    <w:rsid w:val="00220899"/>
    <w:rsid w:val="002231C0"/>
    <w:rsid w:val="00224022"/>
    <w:rsid w:val="002242F4"/>
    <w:rsid w:val="00224CAB"/>
    <w:rsid w:val="002257E8"/>
    <w:rsid w:val="00225AEE"/>
    <w:rsid w:val="00226524"/>
    <w:rsid w:val="002268E1"/>
    <w:rsid w:val="0022785B"/>
    <w:rsid w:val="002302F3"/>
    <w:rsid w:val="00230666"/>
    <w:rsid w:val="00230A28"/>
    <w:rsid w:val="00231275"/>
    <w:rsid w:val="002313A4"/>
    <w:rsid w:val="00232009"/>
    <w:rsid w:val="00233994"/>
    <w:rsid w:val="00233B2D"/>
    <w:rsid w:val="00235659"/>
    <w:rsid w:val="00235DB4"/>
    <w:rsid w:val="00236071"/>
    <w:rsid w:val="00236495"/>
    <w:rsid w:val="002364A9"/>
    <w:rsid w:val="0023655C"/>
    <w:rsid w:val="0023666E"/>
    <w:rsid w:val="00236DAD"/>
    <w:rsid w:val="00237234"/>
    <w:rsid w:val="0023753C"/>
    <w:rsid w:val="00237FA1"/>
    <w:rsid w:val="002404C4"/>
    <w:rsid w:val="0024071F"/>
    <w:rsid w:val="00241158"/>
    <w:rsid w:val="0024175C"/>
    <w:rsid w:val="00241F9C"/>
    <w:rsid w:val="00242A4C"/>
    <w:rsid w:val="00242CE6"/>
    <w:rsid w:val="00243183"/>
    <w:rsid w:val="002433C3"/>
    <w:rsid w:val="00243CBF"/>
    <w:rsid w:val="002443E2"/>
    <w:rsid w:val="00244A9F"/>
    <w:rsid w:val="00244C66"/>
    <w:rsid w:val="00245244"/>
    <w:rsid w:val="0024563D"/>
    <w:rsid w:val="00245B80"/>
    <w:rsid w:val="002460FB"/>
    <w:rsid w:val="002463D7"/>
    <w:rsid w:val="002479A3"/>
    <w:rsid w:val="00247D3F"/>
    <w:rsid w:val="00251041"/>
    <w:rsid w:val="002521DD"/>
    <w:rsid w:val="00252631"/>
    <w:rsid w:val="00252CFD"/>
    <w:rsid w:val="002530F5"/>
    <w:rsid w:val="002538C5"/>
    <w:rsid w:val="00253CE3"/>
    <w:rsid w:val="00254047"/>
    <w:rsid w:val="0025470A"/>
    <w:rsid w:val="00254B04"/>
    <w:rsid w:val="00255151"/>
    <w:rsid w:val="00255EB1"/>
    <w:rsid w:val="00256572"/>
    <w:rsid w:val="00256EFA"/>
    <w:rsid w:val="00256FB0"/>
    <w:rsid w:val="00257504"/>
    <w:rsid w:val="00257E1B"/>
    <w:rsid w:val="00257FBD"/>
    <w:rsid w:val="0026034D"/>
    <w:rsid w:val="002608C0"/>
    <w:rsid w:val="002610CC"/>
    <w:rsid w:val="002611AB"/>
    <w:rsid w:val="00261540"/>
    <w:rsid w:val="0026161E"/>
    <w:rsid w:val="0026274F"/>
    <w:rsid w:val="00262B21"/>
    <w:rsid w:val="00262DF8"/>
    <w:rsid w:val="00262E38"/>
    <w:rsid w:val="00263075"/>
    <w:rsid w:val="002634F2"/>
    <w:rsid w:val="00264AC9"/>
    <w:rsid w:val="00264D24"/>
    <w:rsid w:val="00264FB3"/>
    <w:rsid w:val="00265970"/>
    <w:rsid w:val="00265A50"/>
    <w:rsid w:val="00266517"/>
    <w:rsid w:val="00266BF7"/>
    <w:rsid w:val="00266FEE"/>
    <w:rsid w:val="0026712E"/>
    <w:rsid w:val="00267306"/>
    <w:rsid w:val="00267B36"/>
    <w:rsid w:val="00267D2B"/>
    <w:rsid w:val="002701B7"/>
    <w:rsid w:val="00270655"/>
    <w:rsid w:val="00270681"/>
    <w:rsid w:val="0027099B"/>
    <w:rsid w:val="00271D19"/>
    <w:rsid w:val="00272356"/>
    <w:rsid w:val="0027368D"/>
    <w:rsid w:val="002740E9"/>
    <w:rsid w:val="00274CA4"/>
    <w:rsid w:val="002752AF"/>
    <w:rsid w:val="00275621"/>
    <w:rsid w:val="0027596C"/>
    <w:rsid w:val="002759ED"/>
    <w:rsid w:val="00275C51"/>
    <w:rsid w:val="00276F6C"/>
    <w:rsid w:val="002779A4"/>
    <w:rsid w:val="00277B46"/>
    <w:rsid w:val="0028011C"/>
    <w:rsid w:val="00281931"/>
    <w:rsid w:val="00281932"/>
    <w:rsid w:val="00282169"/>
    <w:rsid w:val="0028216D"/>
    <w:rsid w:val="00283745"/>
    <w:rsid w:val="0028453B"/>
    <w:rsid w:val="002854D8"/>
    <w:rsid w:val="00285FA7"/>
    <w:rsid w:val="00286C01"/>
    <w:rsid w:val="00286C26"/>
    <w:rsid w:val="002873C1"/>
    <w:rsid w:val="002873F7"/>
    <w:rsid w:val="0028767F"/>
    <w:rsid w:val="00287824"/>
    <w:rsid w:val="00287C99"/>
    <w:rsid w:val="00287D23"/>
    <w:rsid w:val="002900A8"/>
    <w:rsid w:val="002903DE"/>
    <w:rsid w:val="00291685"/>
    <w:rsid w:val="00292390"/>
    <w:rsid w:val="00292459"/>
    <w:rsid w:val="00292EE5"/>
    <w:rsid w:val="00293149"/>
    <w:rsid w:val="00293C31"/>
    <w:rsid w:val="00295311"/>
    <w:rsid w:val="002955AB"/>
    <w:rsid w:val="00295758"/>
    <w:rsid w:val="00296193"/>
    <w:rsid w:val="00297590"/>
    <w:rsid w:val="002979E6"/>
    <w:rsid w:val="00297A12"/>
    <w:rsid w:val="002A0085"/>
    <w:rsid w:val="002A08E4"/>
    <w:rsid w:val="002A0A79"/>
    <w:rsid w:val="002A1207"/>
    <w:rsid w:val="002A2067"/>
    <w:rsid w:val="002A20C3"/>
    <w:rsid w:val="002A23C8"/>
    <w:rsid w:val="002A31B4"/>
    <w:rsid w:val="002A38AB"/>
    <w:rsid w:val="002A4588"/>
    <w:rsid w:val="002A4B86"/>
    <w:rsid w:val="002A5B71"/>
    <w:rsid w:val="002A62ED"/>
    <w:rsid w:val="002A7237"/>
    <w:rsid w:val="002A7DC1"/>
    <w:rsid w:val="002B1DAE"/>
    <w:rsid w:val="002B2B95"/>
    <w:rsid w:val="002B34E3"/>
    <w:rsid w:val="002B43C4"/>
    <w:rsid w:val="002B449A"/>
    <w:rsid w:val="002B5B65"/>
    <w:rsid w:val="002B6023"/>
    <w:rsid w:val="002B64F0"/>
    <w:rsid w:val="002B706F"/>
    <w:rsid w:val="002B79A6"/>
    <w:rsid w:val="002B7A3B"/>
    <w:rsid w:val="002B7BF6"/>
    <w:rsid w:val="002B7D05"/>
    <w:rsid w:val="002C0670"/>
    <w:rsid w:val="002C069F"/>
    <w:rsid w:val="002C1576"/>
    <w:rsid w:val="002C1910"/>
    <w:rsid w:val="002C1915"/>
    <w:rsid w:val="002C1E06"/>
    <w:rsid w:val="002C272C"/>
    <w:rsid w:val="002C2D97"/>
    <w:rsid w:val="002C3162"/>
    <w:rsid w:val="002C43D4"/>
    <w:rsid w:val="002C4CBB"/>
    <w:rsid w:val="002C4FB6"/>
    <w:rsid w:val="002C5128"/>
    <w:rsid w:val="002C5542"/>
    <w:rsid w:val="002C5723"/>
    <w:rsid w:val="002C5FF6"/>
    <w:rsid w:val="002C60C3"/>
    <w:rsid w:val="002C6584"/>
    <w:rsid w:val="002C69F1"/>
    <w:rsid w:val="002C6D58"/>
    <w:rsid w:val="002C7AB8"/>
    <w:rsid w:val="002C7CF0"/>
    <w:rsid w:val="002D0280"/>
    <w:rsid w:val="002D0929"/>
    <w:rsid w:val="002D0E06"/>
    <w:rsid w:val="002D15C9"/>
    <w:rsid w:val="002D2772"/>
    <w:rsid w:val="002D3474"/>
    <w:rsid w:val="002D3D5C"/>
    <w:rsid w:val="002D4626"/>
    <w:rsid w:val="002D47C8"/>
    <w:rsid w:val="002D5747"/>
    <w:rsid w:val="002D5DE7"/>
    <w:rsid w:val="002D5E76"/>
    <w:rsid w:val="002D5F4D"/>
    <w:rsid w:val="002D5FA5"/>
    <w:rsid w:val="002D7F4D"/>
    <w:rsid w:val="002E0186"/>
    <w:rsid w:val="002E06D2"/>
    <w:rsid w:val="002E15B2"/>
    <w:rsid w:val="002E2332"/>
    <w:rsid w:val="002E3346"/>
    <w:rsid w:val="002E3C7D"/>
    <w:rsid w:val="002E3D05"/>
    <w:rsid w:val="002E4661"/>
    <w:rsid w:val="002E51CB"/>
    <w:rsid w:val="002E51F0"/>
    <w:rsid w:val="002E5898"/>
    <w:rsid w:val="002E5B89"/>
    <w:rsid w:val="002E6283"/>
    <w:rsid w:val="002E65C7"/>
    <w:rsid w:val="002E6A1A"/>
    <w:rsid w:val="002E7555"/>
    <w:rsid w:val="002E7D26"/>
    <w:rsid w:val="002E7D5C"/>
    <w:rsid w:val="002F0581"/>
    <w:rsid w:val="002F0F7A"/>
    <w:rsid w:val="002F1B1C"/>
    <w:rsid w:val="002F2131"/>
    <w:rsid w:val="002F2630"/>
    <w:rsid w:val="002F36D7"/>
    <w:rsid w:val="002F375C"/>
    <w:rsid w:val="002F3D42"/>
    <w:rsid w:val="002F5010"/>
    <w:rsid w:val="002F5868"/>
    <w:rsid w:val="002F5957"/>
    <w:rsid w:val="002F61D6"/>
    <w:rsid w:val="002F68DF"/>
    <w:rsid w:val="002F6A37"/>
    <w:rsid w:val="002F71ED"/>
    <w:rsid w:val="002F723B"/>
    <w:rsid w:val="002F75E5"/>
    <w:rsid w:val="003002FF"/>
    <w:rsid w:val="00301A10"/>
    <w:rsid w:val="00301B3F"/>
    <w:rsid w:val="00301D7A"/>
    <w:rsid w:val="00302053"/>
    <w:rsid w:val="00304520"/>
    <w:rsid w:val="003056F6"/>
    <w:rsid w:val="00306F79"/>
    <w:rsid w:val="003073C5"/>
    <w:rsid w:val="003103F9"/>
    <w:rsid w:val="00310BDA"/>
    <w:rsid w:val="003110B8"/>
    <w:rsid w:val="0031110D"/>
    <w:rsid w:val="0031325B"/>
    <w:rsid w:val="003137B1"/>
    <w:rsid w:val="00313EDE"/>
    <w:rsid w:val="0031488A"/>
    <w:rsid w:val="00316A5B"/>
    <w:rsid w:val="00317254"/>
    <w:rsid w:val="00320241"/>
    <w:rsid w:val="00320724"/>
    <w:rsid w:val="00320B18"/>
    <w:rsid w:val="00320C7B"/>
    <w:rsid w:val="00320C8C"/>
    <w:rsid w:val="003214CE"/>
    <w:rsid w:val="0032152D"/>
    <w:rsid w:val="003217BE"/>
    <w:rsid w:val="0032182E"/>
    <w:rsid w:val="00321AF2"/>
    <w:rsid w:val="00321DCE"/>
    <w:rsid w:val="0032236E"/>
    <w:rsid w:val="003231B5"/>
    <w:rsid w:val="0032329B"/>
    <w:rsid w:val="00323A8F"/>
    <w:rsid w:val="00323F1A"/>
    <w:rsid w:val="00324080"/>
    <w:rsid w:val="003241F1"/>
    <w:rsid w:val="00325BC6"/>
    <w:rsid w:val="0032616D"/>
    <w:rsid w:val="003262A8"/>
    <w:rsid w:val="00326890"/>
    <w:rsid w:val="00326BB9"/>
    <w:rsid w:val="00330C08"/>
    <w:rsid w:val="00331225"/>
    <w:rsid w:val="00331F06"/>
    <w:rsid w:val="003325F1"/>
    <w:rsid w:val="003329C3"/>
    <w:rsid w:val="003340F0"/>
    <w:rsid w:val="00334643"/>
    <w:rsid w:val="003362D7"/>
    <w:rsid w:val="00337293"/>
    <w:rsid w:val="00337C49"/>
    <w:rsid w:val="003405F5"/>
    <w:rsid w:val="003409EE"/>
    <w:rsid w:val="00340C5D"/>
    <w:rsid w:val="00341798"/>
    <w:rsid w:val="00341CA7"/>
    <w:rsid w:val="003421FA"/>
    <w:rsid w:val="00342486"/>
    <w:rsid w:val="0034267C"/>
    <w:rsid w:val="00342701"/>
    <w:rsid w:val="003432FA"/>
    <w:rsid w:val="0034365F"/>
    <w:rsid w:val="00343F6F"/>
    <w:rsid w:val="0034446D"/>
    <w:rsid w:val="00344587"/>
    <w:rsid w:val="00344D8C"/>
    <w:rsid w:val="00345803"/>
    <w:rsid w:val="00345C6E"/>
    <w:rsid w:val="00346154"/>
    <w:rsid w:val="00346ED1"/>
    <w:rsid w:val="00347F22"/>
    <w:rsid w:val="00350C5A"/>
    <w:rsid w:val="003516A8"/>
    <w:rsid w:val="00351CCE"/>
    <w:rsid w:val="00352904"/>
    <w:rsid w:val="00352C9C"/>
    <w:rsid w:val="00352DBE"/>
    <w:rsid w:val="003530D9"/>
    <w:rsid w:val="00353987"/>
    <w:rsid w:val="00353B0A"/>
    <w:rsid w:val="00355DA5"/>
    <w:rsid w:val="00355E69"/>
    <w:rsid w:val="00356AAB"/>
    <w:rsid w:val="003576CD"/>
    <w:rsid w:val="00357791"/>
    <w:rsid w:val="00357D22"/>
    <w:rsid w:val="00360176"/>
    <w:rsid w:val="00360180"/>
    <w:rsid w:val="00360576"/>
    <w:rsid w:val="00361625"/>
    <w:rsid w:val="00361986"/>
    <w:rsid w:val="00361B3E"/>
    <w:rsid w:val="0036238B"/>
    <w:rsid w:val="00362472"/>
    <w:rsid w:val="00362975"/>
    <w:rsid w:val="003632BC"/>
    <w:rsid w:val="00363327"/>
    <w:rsid w:val="0036343D"/>
    <w:rsid w:val="00363DD0"/>
    <w:rsid w:val="00364ABA"/>
    <w:rsid w:val="00365217"/>
    <w:rsid w:val="003654BF"/>
    <w:rsid w:val="00365F37"/>
    <w:rsid w:val="00366147"/>
    <w:rsid w:val="00366A8E"/>
    <w:rsid w:val="0036770B"/>
    <w:rsid w:val="00367ED2"/>
    <w:rsid w:val="00367EF5"/>
    <w:rsid w:val="00370EEE"/>
    <w:rsid w:val="00370F52"/>
    <w:rsid w:val="0037139B"/>
    <w:rsid w:val="0037190D"/>
    <w:rsid w:val="00371957"/>
    <w:rsid w:val="00371A1A"/>
    <w:rsid w:val="00371AD0"/>
    <w:rsid w:val="00371B53"/>
    <w:rsid w:val="00371B6B"/>
    <w:rsid w:val="00371C32"/>
    <w:rsid w:val="00372011"/>
    <w:rsid w:val="0037210F"/>
    <w:rsid w:val="00372429"/>
    <w:rsid w:val="00372AAB"/>
    <w:rsid w:val="00373A42"/>
    <w:rsid w:val="00374DED"/>
    <w:rsid w:val="00374E61"/>
    <w:rsid w:val="0037548A"/>
    <w:rsid w:val="00375947"/>
    <w:rsid w:val="00375C61"/>
    <w:rsid w:val="00376FDE"/>
    <w:rsid w:val="00380C6A"/>
    <w:rsid w:val="00380E69"/>
    <w:rsid w:val="00380E77"/>
    <w:rsid w:val="00381031"/>
    <w:rsid w:val="00381165"/>
    <w:rsid w:val="00382324"/>
    <w:rsid w:val="00382C98"/>
    <w:rsid w:val="00382D65"/>
    <w:rsid w:val="00382FF4"/>
    <w:rsid w:val="00383DA1"/>
    <w:rsid w:val="00384119"/>
    <w:rsid w:val="003847F0"/>
    <w:rsid w:val="0038480F"/>
    <w:rsid w:val="00384A5A"/>
    <w:rsid w:val="00384B02"/>
    <w:rsid w:val="00385156"/>
    <w:rsid w:val="0038580D"/>
    <w:rsid w:val="003862DF"/>
    <w:rsid w:val="00386336"/>
    <w:rsid w:val="0038635C"/>
    <w:rsid w:val="00386617"/>
    <w:rsid w:val="00387A5A"/>
    <w:rsid w:val="00387EF0"/>
    <w:rsid w:val="00390646"/>
    <w:rsid w:val="00390BE6"/>
    <w:rsid w:val="00390D42"/>
    <w:rsid w:val="00391858"/>
    <w:rsid w:val="0039388A"/>
    <w:rsid w:val="00393B90"/>
    <w:rsid w:val="00394C80"/>
    <w:rsid w:val="003955B4"/>
    <w:rsid w:val="003955D1"/>
    <w:rsid w:val="00395E68"/>
    <w:rsid w:val="00396DA8"/>
    <w:rsid w:val="00397867"/>
    <w:rsid w:val="003978B3"/>
    <w:rsid w:val="0039799D"/>
    <w:rsid w:val="003A022D"/>
    <w:rsid w:val="003A0581"/>
    <w:rsid w:val="003A0F46"/>
    <w:rsid w:val="003A142D"/>
    <w:rsid w:val="003A174B"/>
    <w:rsid w:val="003A19BC"/>
    <w:rsid w:val="003A1A1E"/>
    <w:rsid w:val="003A26AC"/>
    <w:rsid w:val="003A283E"/>
    <w:rsid w:val="003A3392"/>
    <w:rsid w:val="003A3681"/>
    <w:rsid w:val="003A3EAE"/>
    <w:rsid w:val="003A4000"/>
    <w:rsid w:val="003A4B68"/>
    <w:rsid w:val="003A4D9F"/>
    <w:rsid w:val="003A6F58"/>
    <w:rsid w:val="003A7235"/>
    <w:rsid w:val="003A732C"/>
    <w:rsid w:val="003A7721"/>
    <w:rsid w:val="003B0047"/>
    <w:rsid w:val="003B0AE4"/>
    <w:rsid w:val="003B0FC5"/>
    <w:rsid w:val="003B1208"/>
    <w:rsid w:val="003B13B2"/>
    <w:rsid w:val="003B1653"/>
    <w:rsid w:val="003B1F73"/>
    <w:rsid w:val="003B247C"/>
    <w:rsid w:val="003B286B"/>
    <w:rsid w:val="003B287C"/>
    <w:rsid w:val="003B29E1"/>
    <w:rsid w:val="003B2BAB"/>
    <w:rsid w:val="003B3007"/>
    <w:rsid w:val="003B4908"/>
    <w:rsid w:val="003B490B"/>
    <w:rsid w:val="003B4D9D"/>
    <w:rsid w:val="003B509B"/>
    <w:rsid w:val="003B54B7"/>
    <w:rsid w:val="003B60D2"/>
    <w:rsid w:val="003B6B7F"/>
    <w:rsid w:val="003B6D0E"/>
    <w:rsid w:val="003B789C"/>
    <w:rsid w:val="003B7C0B"/>
    <w:rsid w:val="003B7C4C"/>
    <w:rsid w:val="003B7ED7"/>
    <w:rsid w:val="003C12E8"/>
    <w:rsid w:val="003C1713"/>
    <w:rsid w:val="003C1C3D"/>
    <w:rsid w:val="003C1FC0"/>
    <w:rsid w:val="003C231B"/>
    <w:rsid w:val="003C240E"/>
    <w:rsid w:val="003C2F6C"/>
    <w:rsid w:val="003C33D4"/>
    <w:rsid w:val="003C371D"/>
    <w:rsid w:val="003C52C7"/>
    <w:rsid w:val="003C5C52"/>
    <w:rsid w:val="003C6486"/>
    <w:rsid w:val="003C6CFA"/>
    <w:rsid w:val="003C75E1"/>
    <w:rsid w:val="003C7688"/>
    <w:rsid w:val="003C78D5"/>
    <w:rsid w:val="003D05C2"/>
    <w:rsid w:val="003D08F8"/>
    <w:rsid w:val="003D10B7"/>
    <w:rsid w:val="003D1391"/>
    <w:rsid w:val="003D2A3F"/>
    <w:rsid w:val="003D3AB7"/>
    <w:rsid w:val="003D4507"/>
    <w:rsid w:val="003D6B1C"/>
    <w:rsid w:val="003E0542"/>
    <w:rsid w:val="003E0F40"/>
    <w:rsid w:val="003E1CFD"/>
    <w:rsid w:val="003E1EF4"/>
    <w:rsid w:val="003E2576"/>
    <w:rsid w:val="003E2F16"/>
    <w:rsid w:val="003E32D4"/>
    <w:rsid w:val="003E37A1"/>
    <w:rsid w:val="003E436A"/>
    <w:rsid w:val="003E4602"/>
    <w:rsid w:val="003E60A1"/>
    <w:rsid w:val="003E6660"/>
    <w:rsid w:val="003E67F9"/>
    <w:rsid w:val="003E6F87"/>
    <w:rsid w:val="003F0277"/>
    <w:rsid w:val="003F046B"/>
    <w:rsid w:val="003F18CF"/>
    <w:rsid w:val="003F1F67"/>
    <w:rsid w:val="003F22E7"/>
    <w:rsid w:val="003F23B6"/>
    <w:rsid w:val="003F3594"/>
    <w:rsid w:val="003F38A8"/>
    <w:rsid w:val="003F46E0"/>
    <w:rsid w:val="003F4E50"/>
    <w:rsid w:val="003F4E96"/>
    <w:rsid w:val="003F56A0"/>
    <w:rsid w:val="003F6AB1"/>
    <w:rsid w:val="003F6B72"/>
    <w:rsid w:val="003F6CB9"/>
    <w:rsid w:val="003F6D07"/>
    <w:rsid w:val="003F7352"/>
    <w:rsid w:val="003F75C8"/>
    <w:rsid w:val="003F7B5D"/>
    <w:rsid w:val="003F7C6A"/>
    <w:rsid w:val="00400393"/>
    <w:rsid w:val="00401605"/>
    <w:rsid w:val="00401B82"/>
    <w:rsid w:val="00402504"/>
    <w:rsid w:val="00402D91"/>
    <w:rsid w:val="004036F4"/>
    <w:rsid w:val="0040374F"/>
    <w:rsid w:val="004047E4"/>
    <w:rsid w:val="00405A89"/>
    <w:rsid w:val="00405E6A"/>
    <w:rsid w:val="004064FE"/>
    <w:rsid w:val="004069E0"/>
    <w:rsid w:val="00406EEE"/>
    <w:rsid w:val="00407431"/>
    <w:rsid w:val="004074CD"/>
    <w:rsid w:val="00410437"/>
    <w:rsid w:val="004106A3"/>
    <w:rsid w:val="00411403"/>
    <w:rsid w:val="00411CB8"/>
    <w:rsid w:val="00411DDC"/>
    <w:rsid w:val="00412A45"/>
    <w:rsid w:val="00412B6B"/>
    <w:rsid w:val="00412D07"/>
    <w:rsid w:val="00412F81"/>
    <w:rsid w:val="0041361F"/>
    <w:rsid w:val="0041457A"/>
    <w:rsid w:val="00414A54"/>
    <w:rsid w:val="00414ABF"/>
    <w:rsid w:val="00414D3A"/>
    <w:rsid w:val="00415098"/>
    <w:rsid w:val="00415771"/>
    <w:rsid w:val="00415B7A"/>
    <w:rsid w:val="00416193"/>
    <w:rsid w:val="00416DCA"/>
    <w:rsid w:val="00417CC1"/>
    <w:rsid w:val="0042011A"/>
    <w:rsid w:val="00420BA9"/>
    <w:rsid w:val="00421E08"/>
    <w:rsid w:val="00423494"/>
    <w:rsid w:val="00423D11"/>
    <w:rsid w:val="00423FF0"/>
    <w:rsid w:val="00424198"/>
    <w:rsid w:val="00424682"/>
    <w:rsid w:val="00424C2D"/>
    <w:rsid w:val="004254AE"/>
    <w:rsid w:val="00425AB0"/>
    <w:rsid w:val="00425BAA"/>
    <w:rsid w:val="00425E62"/>
    <w:rsid w:val="00430222"/>
    <w:rsid w:val="00430278"/>
    <w:rsid w:val="00430608"/>
    <w:rsid w:val="00430AC2"/>
    <w:rsid w:val="00430F1D"/>
    <w:rsid w:val="00431190"/>
    <w:rsid w:val="0043146E"/>
    <w:rsid w:val="0043270E"/>
    <w:rsid w:val="00432AC9"/>
    <w:rsid w:val="00432BEE"/>
    <w:rsid w:val="004330BE"/>
    <w:rsid w:val="004337FA"/>
    <w:rsid w:val="0043385B"/>
    <w:rsid w:val="00433DA4"/>
    <w:rsid w:val="00434336"/>
    <w:rsid w:val="00434A68"/>
    <w:rsid w:val="00434E46"/>
    <w:rsid w:val="0043626E"/>
    <w:rsid w:val="00436C29"/>
    <w:rsid w:val="00436FE4"/>
    <w:rsid w:val="00437689"/>
    <w:rsid w:val="004379AD"/>
    <w:rsid w:val="00437B92"/>
    <w:rsid w:val="00440A71"/>
    <w:rsid w:val="00440E58"/>
    <w:rsid w:val="00440F42"/>
    <w:rsid w:val="00440F95"/>
    <w:rsid w:val="0044156E"/>
    <w:rsid w:val="00441F9F"/>
    <w:rsid w:val="00442B33"/>
    <w:rsid w:val="004437C6"/>
    <w:rsid w:val="00443949"/>
    <w:rsid w:val="00443C05"/>
    <w:rsid w:val="00443CA9"/>
    <w:rsid w:val="00444832"/>
    <w:rsid w:val="00445229"/>
    <w:rsid w:val="00446FF8"/>
    <w:rsid w:val="004475D6"/>
    <w:rsid w:val="004476A7"/>
    <w:rsid w:val="0044798F"/>
    <w:rsid w:val="004479C2"/>
    <w:rsid w:val="004502BA"/>
    <w:rsid w:val="004505F8"/>
    <w:rsid w:val="004510C6"/>
    <w:rsid w:val="004512AB"/>
    <w:rsid w:val="004523E3"/>
    <w:rsid w:val="00452559"/>
    <w:rsid w:val="00452B25"/>
    <w:rsid w:val="00453835"/>
    <w:rsid w:val="00453897"/>
    <w:rsid w:val="00453B39"/>
    <w:rsid w:val="00455A18"/>
    <w:rsid w:val="00456000"/>
    <w:rsid w:val="0045639B"/>
    <w:rsid w:val="004572FA"/>
    <w:rsid w:val="004577E8"/>
    <w:rsid w:val="00457C80"/>
    <w:rsid w:val="00457E45"/>
    <w:rsid w:val="00457E68"/>
    <w:rsid w:val="00460B68"/>
    <w:rsid w:val="00460F33"/>
    <w:rsid w:val="004617F4"/>
    <w:rsid w:val="00461A47"/>
    <w:rsid w:val="00461BC3"/>
    <w:rsid w:val="00461FD5"/>
    <w:rsid w:val="004621FE"/>
    <w:rsid w:val="00462B4A"/>
    <w:rsid w:val="0046306C"/>
    <w:rsid w:val="0046326E"/>
    <w:rsid w:val="00463836"/>
    <w:rsid w:val="0046403D"/>
    <w:rsid w:val="0046417E"/>
    <w:rsid w:val="00464E56"/>
    <w:rsid w:val="00466286"/>
    <w:rsid w:val="00467C75"/>
    <w:rsid w:val="0047020D"/>
    <w:rsid w:val="00470A1F"/>
    <w:rsid w:val="00470ADE"/>
    <w:rsid w:val="004710D9"/>
    <w:rsid w:val="004717AB"/>
    <w:rsid w:val="0047280B"/>
    <w:rsid w:val="00472AA7"/>
    <w:rsid w:val="00472B4B"/>
    <w:rsid w:val="0047546A"/>
    <w:rsid w:val="00475654"/>
    <w:rsid w:val="00475876"/>
    <w:rsid w:val="00477441"/>
    <w:rsid w:val="00477B72"/>
    <w:rsid w:val="00477FAA"/>
    <w:rsid w:val="0048021D"/>
    <w:rsid w:val="00480A9C"/>
    <w:rsid w:val="004826A3"/>
    <w:rsid w:val="004827C3"/>
    <w:rsid w:val="004837AA"/>
    <w:rsid w:val="00483E99"/>
    <w:rsid w:val="00483FCB"/>
    <w:rsid w:val="0048429E"/>
    <w:rsid w:val="004845F0"/>
    <w:rsid w:val="00484A81"/>
    <w:rsid w:val="00485CB1"/>
    <w:rsid w:val="00486C50"/>
    <w:rsid w:val="00487375"/>
    <w:rsid w:val="004879C7"/>
    <w:rsid w:val="004879EE"/>
    <w:rsid w:val="00487AA9"/>
    <w:rsid w:val="00487CB6"/>
    <w:rsid w:val="00490D8F"/>
    <w:rsid w:val="00491482"/>
    <w:rsid w:val="00491C48"/>
    <w:rsid w:val="004920A5"/>
    <w:rsid w:val="0049273E"/>
    <w:rsid w:val="00492869"/>
    <w:rsid w:val="00492930"/>
    <w:rsid w:val="00492B9C"/>
    <w:rsid w:val="004933C6"/>
    <w:rsid w:val="00493528"/>
    <w:rsid w:val="00494977"/>
    <w:rsid w:val="00494B16"/>
    <w:rsid w:val="00494CBB"/>
    <w:rsid w:val="00494FD7"/>
    <w:rsid w:val="004959F4"/>
    <w:rsid w:val="00495BFA"/>
    <w:rsid w:val="00497D13"/>
    <w:rsid w:val="00497D33"/>
    <w:rsid w:val="00497F44"/>
    <w:rsid w:val="004A0BE7"/>
    <w:rsid w:val="004A1078"/>
    <w:rsid w:val="004A1233"/>
    <w:rsid w:val="004A1725"/>
    <w:rsid w:val="004A1BA8"/>
    <w:rsid w:val="004A2046"/>
    <w:rsid w:val="004A2C1C"/>
    <w:rsid w:val="004A2CA9"/>
    <w:rsid w:val="004A2EBA"/>
    <w:rsid w:val="004A38B2"/>
    <w:rsid w:val="004A4673"/>
    <w:rsid w:val="004A4AF5"/>
    <w:rsid w:val="004A6B78"/>
    <w:rsid w:val="004A6E29"/>
    <w:rsid w:val="004A7482"/>
    <w:rsid w:val="004A7D52"/>
    <w:rsid w:val="004B0F26"/>
    <w:rsid w:val="004B136D"/>
    <w:rsid w:val="004B1923"/>
    <w:rsid w:val="004B1E35"/>
    <w:rsid w:val="004B3500"/>
    <w:rsid w:val="004B39B6"/>
    <w:rsid w:val="004B3E6A"/>
    <w:rsid w:val="004B5FDA"/>
    <w:rsid w:val="004B61A5"/>
    <w:rsid w:val="004B6E5E"/>
    <w:rsid w:val="004C076A"/>
    <w:rsid w:val="004C08A0"/>
    <w:rsid w:val="004C09D0"/>
    <w:rsid w:val="004C0AB6"/>
    <w:rsid w:val="004C0D43"/>
    <w:rsid w:val="004C1221"/>
    <w:rsid w:val="004C146D"/>
    <w:rsid w:val="004C2A9C"/>
    <w:rsid w:val="004C2BA4"/>
    <w:rsid w:val="004C2DA2"/>
    <w:rsid w:val="004C300B"/>
    <w:rsid w:val="004C3573"/>
    <w:rsid w:val="004C3B8C"/>
    <w:rsid w:val="004C3C77"/>
    <w:rsid w:val="004C40C7"/>
    <w:rsid w:val="004C4907"/>
    <w:rsid w:val="004C4C23"/>
    <w:rsid w:val="004C52C9"/>
    <w:rsid w:val="004C5379"/>
    <w:rsid w:val="004C557D"/>
    <w:rsid w:val="004C5EA3"/>
    <w:rsid w:val="004C6991"/>
    <w:rsid w:val="004C6B00"/>
    <w:rsid w:val="004C6BC7"/>
    <w:rsid w:val="004C759F"/>
    <w:rsid w:val="004C7B1A"/>
    <w:rsid w:val="004D0421"/>
    <w:rsid w:val="004D0443"/>
    <w:rsid w:val="004D0497"/>
    <w:rsid w:val="004D07E8"/>
    <w:rsid w:val="004D0B1B"/>
    <w:rsid w:val="004D0B8D"/>
    <w:rsid w:val="004D0FEA"/>
    <w:rsid w:val="004D2EB4"/>
    <w:rsid w:val="004D3193"/>
    <w:rsid w:val="004D562B"/>
    <w:rsid w:val="004D5D75"/>
    <w:rsid w:val="004D5DF5"/>
    <w:rsid w:val="004D697A"/>
    <w:rsid w:val="004D7B4A"/>
    <w:rsid w:val="004E07C4"/>
    <w:rsid w:val="004E1162"/>
    <w:rsid w:val="004E1577"/>
    <w:rsid w:val="004E1BEC"/>
    <w:rsid w:val="004E1DF2"/>
    <w:rsid w:val="004E21D7"/>
    <w:rsid w:val="004E2256"/>
    <w:rsid w:val="004E2588"/>
    <w:rsid w:val="004E2AF6"/>
    <w:rsid w:val="004E3F3F"/>
    <w:rsid w:val="004E474A"/>
    <w:rsid w:val="004E59B2"/>
    <w:rsid w:val="004E5B5E"/>
    <w:rsid w:val="004E5B8C"/>
    <w:rsid w:val="004E5FD0"/>
    <w:rsid w:val="004E613F"/>
    <w:rsid w:val="004E647E"/>
    <w:rsid w:val="004E6542"/>
    <w:rsid w:val="004E7035"/>
    <w:rsid w:val="004E71C3"/>
    <w:rsid w:val="004E779A"/>
    <w:rsid w:val="004F088C"/>
    <w:rsid w:val="004F0D80"/>
    <w:rsid w:val="004F14C3"/>
    <w:rsid w:val="004F1EDA"/>
    <w:rsid w:val="004F22E5"/>
    <w:rsid w:val="004F269E"/>
    <w:rsid w:val="004F298F"/>
    <w:rsid w:val="004F51CF"/>
    <w:rsid w:val="004F54B3"/>
    <w:rsid w:val="004F562A"/>
    <w:rsid w:val="004F566B"/>
    <w:rsid w:val="004F5F98"/>
    <w:rsid w:val="004F7855"/>
    <w:rsid w:val="004F7D98"/>
    <w:rsid w:val="00500C69"/>
    <w:rsid w:val="005014F5"/>
    <w:rsid w:val="0050184D"/>
    <w:rsid w:val="00502D63"/>
    <w:rsid w:val="00503447"/>
    <w:rsid w:val="00503941"/>
    <w:rsid w:val="00503D78"/>
    <w:rsid w:val="00503DCF"/>
    <w:rsid w:val="00504A6F"/>
    <w:rsid w:val="00504CBE"/>
    <w:rsid w:val="005056E4"/>
    <w:rsid w:val="00505B30"/>
    <w:rsid w:val="0050623D"/>
    <w:rsid w:val="0050734A"/>
    <w:rsid w:val="0050789C"/>
    <w:rsid w:val="00507A00"/>
    <w:rsid w:val="00510DF5"/>
    <w:rsid w:val="00511213"/>
    <w:rsid w:val="005113AD"/>
    <w:rsid w:val="00511B45"/>
    <w:rsid w:val="00511F8E"/>
    <w:rsid w:val="00512231"/>
    <w:rsid w:val="0051386E"/>
    <w:rsid w:val="0051468D"/>
    <w:rsid w:val="0051494D"/>
    <w:rsid w:val="00514CC2"/>
    <w:rsid w:val="00514EE5"/>
    <w:rsid w:val="0051518E"/>
    <w:rsid w:val="00515B25"/>
    <w:rsid w:val="00516535"/>
    <w:rsid w:val="005165D6"/>
    <w:rsid w:val="00517B13"/>
    <w:rsid w:val="005200B9"/>
    <w:rsid w:val="005207E0"/>
    <w:rsid w:val="00521127"/>
    <w:rsid w:val="005211B2"/>
    <w:rsid w:val="00521936"/>
    <w:rsid w:val="00525331"/>
    <w:rsid w:val="00525945"/>
    <w:rsid w:val="00525A4C"/>
    <w:rsid w:val="00525EFD"/>
    <w:rsid w:val="005260DE"/>
    <w:rsid w:val="005262A9"/>
    <w:rsid w:val="005262E4"/>
    <w:rsid w:val="005271E1"/>
    <w:rsid w:val="0052727E"/>
    <w:rsid w:val="00527595"/>
    <w:rsid w:val="005276F9"/>
    <w:rsid w:val="0053112F"/>
    <w:rsid w:val="00531385"/>
    <w:rsid w:val="00531815"/>
    <w:rsid w:val="00531952"/>
    <w:rsid w:val="00532930"/>
    <w:rsid w:val="00532984"/>
    <w:rsid w:val="00533B6C"/>
    <w:rsid w:val="00534BFA"/>
    <w:rsid w:val="00534D2A"/>
    <w:rsid w:val="005356ED"/>
    <w:rsid w:val="00536AE4"/>
    <w:rsid w:val="0053761C"/>
    <w:rsid w:val="005378B0"/>
    <w:rsid w:val="00537EFC"/>
    <w:rsid w:val="005402D7"/>
    <w:rsid w:val="00540573"/>
    <w:rsid w:val="00540ACD"/>
    <w:rsid w:val="00540E91"/>
    <w:rsid w:val="0054152B"/>
    <w:rsid w:val="00541CD8"/>
    <w:rsid w:val="00541E8A"/>
    <w:rsid w:val="005420B3"/>
    <w:rsid w:val="00542554"/>
    <w:rsid w:val="00542591"/>
    <w:rsid w:val="00542D05"/>
    <w:rsid w:val="00542DE1"/>
    <w:rsid w:val="00543159"/>
    <w:rsid w:val="0054426A"/>
    <w:rsid w:val="00544567"/>
    <w:rsid w:val="005446DE"/>
    <w:rsid w:val="00544765"/>
    <w:rsid w:val="0054518A"/>
    <w:rsid w:val="0054597B"/>
    <w:rsid w:val="00545EFB"/>
    <w:rsid w:val="0054695B"/>
    <w:rsid w:val="00546F15"/>
    <w:rsid w:val="005476C6"/>
    <w:rsid w:val="00550320"/>
    <w:rsid w:val="005504A5"/>
    <w:rsid w:val="00550CC3"/>
    <w:rsid w:val="00551243"/>
    <w:rsid w:val="0055159E"/>
    <w:rsid w:val="005519B7"/>
    <w:rsid w:val="00551C9A"/>
    <w:rsid w:val="00552022"/>
    <w:rsid w:val="00552302"/>
    <w:rsid w:val="0055235B"/>
    <w:rsid w:val="00553974"/>
    <w:rsid w:val="00554650"/>
    <w:rsid w:val="0055560D"/>
    <w:rsid w:val="005559E9"/>
    <w:rsid w:val="00555DFA"/>
    <w:rsid w:val="0055694C"/>
    <w:rsid w:val="005569BF"/>
    <w:rsid w:val="00556D75"/>
    <w:rsid w:val="00556DBB"/>
    <w:rsid w:val="00557D62"/>
    <w:rsid w:val="005605DD"/>
    <w:rsid w:val="0056105B"/>
    <w:rsid w:val="00561D09"/>
    <w:rsid w:val="0056296F"/>
    <w:rsid w:val="00562D96"/>
    <w:rsid w:val="005630ED"/>
    <w:rsid w:val="00563A4A"/>
    <w:rsid w:val="00563BDC"/>
    <w:rsid w:val="00563C5B"/>
    <w:rsid w:val="005642F4"/>
    <w:rsid w:val="00564978"/>
    <w:rsid w:val="0056497B"/>
    <w:rsid w:val="00564A3B"/>
    <w:rsid w:val="005654FD"/>
    <w:rsid w:val="005657A8"/>
    <w:rsid w:val="00565D6A"/>
    <w:rsid w:val="005668C9"/>
    <w:rsid w:val="00566A8C"/>
    <w:rsid w:val="00566C7E"/>
    <w:rsid w:val="0056717F"/>
    <w:rsid w:val="00570B82"/>
    <w:rsid w:val="00570E53"/>
    <w:rsid w:val="00571812"/>
    <w:rsid w:val="00571C5B"/>
    <w:rsid w:val="005720E6"/>
    <w:rsid w:val="005721B5"/>
    <w:rsid w:val="00572645"/>
    <w:rsid w:val="00572E79"/>
    <w:rsid w:val="00572E82"/>
    <w:rsid w:val="00572F77"/>
    <w:rsid w:val="0057353C"/>
    <w:rsid w:val="00573FD2"/>
    <w:rsid w:val="00574BB8"/>
    <w:rsid w:val="00574E80"/>
    <w:rsid w:val="005752E5"/>
    <w:rsid w:val="005753A1"/>
    <w:rsid w:val="005753C8"/>
    <w:rsid w:val="005754E6"/>
    <w:rsid w:val="00575590"/>
    <w:rsid w:val="005760AF"/>
    <w:rsid w:val="00576625"/>
    <w:rsid w:val="00576DDA"/>
    <w:rsid w:val="00576E1A"/>
    <w:rsid w:val="005774CE"/>
    <w:rsid w:val="00577659"/>
    <w:rsid w:val="005779A8"/>
    <w:rsid w:val="00577A7B"/>
    <w:rsid w:val="00581447"/>
    <w:rsid w:val="0058145C"/>
    <w:rsid w:val="00581C1F"/>
    <w:rsid w:val="00583329"/>
    <w:rsid w:val="005838B7"/>
    <w:rsid w:val="00583A41"/>
    <w:rsid w:val="00585028"/>
    <w:rsid w:val="00587679"/>
    <w:rsid w:val="00587C21"/>
    <w:rsid w:val="00587DF2"/>
    <w:rsid w:val="0059015E"/>
    <w:rsid w:val="00590661"/>
    <w:rsid w:val="00590E13"/>
    <w:rsid w:val="005911A5"/>
    <w:rsid w:val="005919CC"/>
    <w:rsid w:val="00591BD2"/>
    <w:rsid w:val="00591F37"/>
    <w:rsid w:val="005927B6"/>
    <w:rsid w:val="00592FDE"/>
    <w:rsid w:val="00592FE6"/>
    <w:rsid w:val="00593A13"/>
    <w:rsid w:val="005942AC"/>
    <w:rsid w:val="00594977"/>
    <w:rsid w:val="00594A1C"/>
    <w:rsid w:val="00596199"/>
    <w:rsid w:val="00596487"/>
    <w:rsid w:val="00596AD6"/>
    <w:rsid w:val="00597060"/>
    <w:rsid w:val="005972F4"/>
    <w:rsid w:val="005A0007"/>
    <w:rsid w:val="005A1441"/>
    <w:rsid w:val="005A21F2"/>
    <w:rsid w:val="005A2D77"/>
    <w:rsid w:val="005A38A2"/>
    <w:rsid w:val="005A3D43"/>
    <w:rsid w:val="005A453E"/>
    <w:rsid w:val="005A4963"/>
    <w:rsid w:val="005A564F"/>
    <w:rsid w:val="005A592D"/>
    <w:rsid w:val="005A7722"/>
    <w:rsid w:val="005A7E30"/>
    <w:rsid w:val="005B1BC4"/>
    <w:rsid w:val="005B2DE5"/>
    <w:rsid w:val="005B2F76"/>
    <w:rsid w:val="005B37CC"/>
    <w:rsid w:val="005B3DC3"/>
    <w:rsid w:val="005B3E46"/>
    <w:rsid w:val="005B4E81"/>
    <w:rsid w:val="005B5015"/>
    <w:rsid w:val="005B56E2"/>
    <w:rsid w:val="005B6E9D"/>
    <w:rsid w:val="005B7352"/>
    <w:rsid w:val="005B75CA"/>
    <w:rsid w:val="005C015A"/>
    <w:rsid w:val="005C105E"/>
    <w:rsid w:val="005C1082"/>
    <w:rsid w:val="005C1A66"/>
    <w:rsid w:val="005C1BA2"/>
    <w:rsid w:val="005C2388"/>
    <w:rsid w:val="005C2A50"/>
    <w:rsid w:val="005C2D6C"/>
    <w:rsid w:val="005C3BDA"/>
    <w:rsid w:val="005C4738"/>
    <w:rsid w:val="005C4F27"/>
    <w:rsid w:val="005C560C"/>
    <w:rsid w:val="005C5697"/>
    <w:rsid w:val="005C5ED7"/>
    <w:rsid w:val="005C6208"/>
    <w:rsid w:val="005C7158"/>
    <w:rsid w:val="005C75C9"/>
    <w:rsid w:val="005C7C00"/>
    <w:rsid w:val="005D013C"/>
    <w:rsid w:val="005D0527"/>
    <w:rsid w:val="005D09F2"/>
    <w:rsid w:val="005D0D84"/>
    <w:rsid w:val="005D0F49"/>
    <w:rsid w:val="005D0F61"/>
    <w:rsid w:val="005D1A73"/>
    <w:rsid w:val="005D1DB0"/>
    <w:rsid w:val="005D35A5"/>
    <w:rsid w:val="005D3F4B"/>
    <w:rsid w:val="005D6267"/>
    <w:rsid w:val="005D7091"/>
    <w:rsid w:val="005D7196"/>
    <w:rsid w:val="005D7A75"/>
    <w:rsid w:val="005E0230"/>
    <w:rsid w:val="005E05E5"/>
    <w:rsid w:val="005E0A06"/>
    <w:rsid w:val="005E199B"/>
    <w:rsid w:val="005E1DA9"/>
    <w:rsid w:val="005E1EAB"/>
    <w:rsid w:val="005E273B"/>
    <w:rsid w:val="005E30C8"/>
    <w:rsid w:val="005E336B"/>
    <w:rsid w:val="005E42DF"/>
    <w:rsid w:val="005E44FA"/>
    <w:rsid w:val="005E4BCB"/>
    <w:rsid w:val="005E510B"/>
    <w:rsid w:val="005E58B1"/>
    <w:rsid w:val="005E5966"/>
    <w:rsid w:val="005E72DD"/>
    <w:rsid w:val="005E7C04"/>
    <w:rsid w:val="005F00F2"/>
    <w:rsid w:val="005F061D"/>
    <w:rsid w:val="005F0CDE"/>
    <w:rsid w:val="005F0FFB"/>
    <w:rsid w:val="005F18D7"/>
    <w:rsid w:val="005F1F68"/>
    <w:rsid w:val="005F2181"/>
    <w:rsid w:val="005F2A54"/>
    <w:rsid w:val="005F2BB1"/>
    <w:rsid w:val="005F3299"/>
    <w:rsid w:val="005F37A5"/>
    <w:rsid w:val="005F3AE6"/>
    <w:rsid w:val="005F4C42"/>
    <w:rsid w:val="005F4CA5"/>
    <w:rsid w:val="005F4D95"/>
    <w:rsid w:val="005F5618"/>
    <w:rsid w:val="005F5DDC"/>
    <w:rsid w:val="005F5E17"/>
    <w:rsid w:val="005F63B8"/>
    <w:rsid w:val="005F6C7F"/>
    <w:rsid w:val="005F7203"/>
    <w:rsid w:val="005F72F3"/>
    <w:rsid w:val="00600463"/>
    <w:rsid w:val="006009F1"/>
    <w:rsid w:val="0060111F"/>
    <w:rsid w:val="00601777"/>
    <w:rsid w:val="00601BAE"/>
    <w:rsid w:val="00601E41"/>
    <w:rsid w:val="00602510"/>
    <w:rsid w:val="00602871"/>
    <w:rsid w:val="0060288A"/>
    <w:rsid w:val="006038CA"/>
    <w:rsid w:val="006045F7"/>
    <w:rsid w:val="00604C13"/>
    <w:rsid w:val="0060510F"/>
    <w:rsid w:val="00605650"/>
    <w:rsid w:val="006063A9"/>
    <w:rsid w:val="0060711D"/>
    <w:rsid w:val="00607473"/>
    <w:rsid w:val="00607D7B"/>
    <w:rsid w:val="00607F89"/>
    <w:rsid w:val="006116BC"/>
    <w:rsid w:val="00611CE1"/>
    <w:rsid w:val="00611CF5"/>
    <w:rsid w:val="00612F76"/>
    <w:rsid w:val="00613CC4"/>
    <w:rsid w:val="0061444E"/>
    <w:rsid w:val="00614EF9"/>
    <w:rsid w:val="006151C6"/>
    <w:rsid w:val="00615880"/>
    <w:rsid w:val="006169A0"/>
    <w:rsid w:val="00617CCB"/>
    <w:rsid w:val="00617E48"/>
    <w:rsid w:val="006203C9"/>
    <w:rsid w:val="00620728"/>
    <w:rsid w:val="0062143E"/>
    <w:rsid w:val="00621FE9"/>
    <w:rsid w:val="006229AA"/>
    <w:rsid w:val="00622ABD"/>
    <w:rsid w:val="00623A07"/>
    <w:rsid w:val="00624315"/>
    <w:rsid w:val="00624D07"/>
    <w:rsid w:val="006259B5"/>
    <w:rsid w:val="00625B88"/>
    <w:rsid w:val="0062622A"/>
    <w:rsid w:val="0063021F"/>
    <w:rsid w:val="00630BDC"/>
    <w:rsid w:val="00630EAA"/>
    <w:rsid w:val="0063110C"/>
    <w:rsid w:val="006312D5"/>
    <w:rsid w:val="0063143B"/>
    <w:rsid w:val="00631481"/>
    <w:rsid w:val="0063224C"/>
    <w:rsid w:val="00632C84"/>
    <w:rsid w:val="00632F91"/>
    <w:rsid w:val="00633E0D"/>
    <w:rsid w:val="00634124"/>
    <w:rsid w:val="0063422C"/>
    <w:rsid w:val="006343B7"/>
    <w:rsid w:val="0063452E"/>
    <w:rsid w:val="006348B6"/>
    <w:rsid w:val="00635241"/>
    <w:rsid w:val="006357B8"/>
    <w:rsid w:val="006358AE"/>
    <w:rsid w:val="00635A2D"/>
    <w:rsid w:val="0063668C"/>
    <w:rsid w:val="006368F7"/>
    <w:rsid w:val="00636B55"/>
    <w:rsid w:val="00637967"/>
    <w:rsid w:val="00637C39"/>
    <w:rsid w:val="00637E06"/>
    <w:rsid w:val="00642517"/>
    <w:rsid w:val="00642731"/>
    <w:rsid w:val="00642870"/>
    <w:rsid w:val="00643891"/>
    <w:rsid w:val="006439CA"/>
    <w:rsid w:val="00643A2A"/>
    <w:rsid w:val="006443AF"/>
    <w:rsid w:val="006446A2"/>
    <w:rsid w:val="00645026"/>
    <w:rsid w:val="0064559A"/>
    <w:rsid w:val="00645941"/>
    <w:rsid w:val="006459B8"/>
    <w:rsid w:val="0064682E"/>
    <w:rsid w:val="00646BD6"/>
    <w:rsid w:val="00650EAA"/>
    <w:rsid w:val="00650FA8"/>
    <w:rsid w:val="00651C20"/>
    <w:rsid w:val="00651DC0"/>
    <w:rsid w:val="006526E1"/>
    <w:rsid w:val="0065276A"/>
    <w:rsid w:val="00652998"/>
    <w:rsid w:val="00652AAF"/>
    <w:rsid w:val="00654441"/>
    <w:rsid w:val="00655A73"/>
    <w:rsid w:val="00655C7B"/>
    <w:rsid w:val="00655EA0"/>
    <w:rsid w:val="006567B4"/>
    <w:rsid w:val="006569B3"/>
    <w:rsid w:val="00660902"/>
    <w:rsid w:val="006609FE"/>
    <w:rsid w:val="0066146A"/>
    <w:rsid w:val="0066204A"/>
    <w:rsid w:val="0066205D"/>
    <w:rsid w:val="00663026"/>
    <w:rsid w:val="0066309E"/>
    <w:rsid w:val="00663112"/>
    <w:rsid w:val="0066402C"/>
    <w:rsid w:val="00664453"/>
    <w:rsid w:val="006655F7"/>
    <w:rsid w:val="006656B4"/>
    <w:rsid w:val="00665C19"/>
    <w:rsid w:val="006660AE"/>
    <w:rsid w:val="006668D9"/>
    <w:rsid w:val="00666A73"/>
    <w:rsid w:val="00666AF2"/>
    <w:rsid w:val="00666EC5"/>
    <w:rsid w:val="00666F3C"/>
    <w:rsid w:val="006673EA"/>
    <w:rsid w:val="00667772"/>
    <w:rsid w:val="00667DCB"/>
    <w:rsid w:val="00670CA2"/>
    <w:rsid w:val="00671655"/>
    <w:rsid w:val="006719F0"/>
    <w:rsid w:val="0067256F"/>
    <w:rsid w:val="0067261C"/>
    <w:rsid w:val="006734B0"/>
    <w:rsid w:val="0067366E"/>
    <w:rsid w:val="00673765"/>
    <w:rsid w:val="00674DEE"/>
    <w:rsid w:val="0067564A"/>
    <w:rsid w:val="00675E97"/>
    <w:rsid w:val="006762FB"/>
    <w:rsid w:val="006764CC"/>
    <w:rsid w:val="0067683C"/>
    <w:rsid w:val="00676869"/>
    <w:rsid w:val="00676CD0"/>
    <w:rsid w:val="0067766C"/>
    <w:rsid w:val="006776DC"/>
    <w:rsid w:val="00677F37"/>
    <w:rsid w:val="00680086"/>
    <w:rsid w:val="00680A9F"/>
    <w:rsid w:val="00681165"/>
    <w:rsid w:val="0068148F"/>
    <w:rsid w:val="0068158B"/>
    <w:rsid w:val="00681B0D"/>
    <w:rsid w:val="006823EA"/>
    <w:rsid w:val="006828F9"/>
    <w:rsid w:val="00682A8B"/>
    <w:rsid w:val="00682AAD"/>
    <w:rsid w:val="00682D13"/>
    <w:rsid w:val="006832E6"/>
    <w:rsid w:val="0068424C"/>
    <w:rsid w:val="006848A6"/>
    <w:rsid w:val="00684D59"/>
    <w:rsid w:val="006854B8"/>
    <w:rsid w:val="006854E7"/>
    <w:rsid w:val="00686B62"/>
    <w:rsid w:val="00686E48"/>
    <w:rsid w:val="00686E78"/>
    <w:rsid w:val="00687035"/>
    <w:rsid w:val="00687738"/>
    <w:rsid w:val="00687815"/>
    <w:rsid w:val="0069058A"/>
    <w:rsid w:val="00691301"/>
    <w:rsid w:val="00691AF7"/>
    <w:rsid w:val="00693393"/>
    <w:rsid w:val="00693917"/>
    <w:rsid w:val="00693C56"/>
    <w:rsid w:val="00694496"/>
    <w:rsid w:val="00694B7F"/>
    <w:rsid w:val="00695257"/>
    <w:rsid w:val="00695DC0"/>
    <w:rsid w:val="00697D2C"/>
    <w:rsid w:val="006A190C"/>
    <w:rsid w:val="006A1C18"/>
    <w:rsid w:val="006A1D7A"/>
    <w:rsid w:val="006A1E4B"/>
    <w:rsid w:val="006A2FFC"/>
    <w:rsid w:val="006A3862"/>
    <w:rsid w:val="006A3DA3"/>
    <w:rsid w:val="006A4050"/>
    <w:rsid w:val="006A4744"/>
    <w:rsid w:val="006A4F47"/>
    <w:rsid w:val="006A6054"/>
    <w:rsid w:val="006A67FB"/>
    <w:rsid w:val="006A6CF0"/>
    <w:rsid w:val="006A7430"/>
    <w:rsid w:val="006B0092"/>
    <w:rsid w:val="006B0F84"/>
    <w:rsid w:val="006B1019"/>
    <w:rsid w:val="006B123D"/>
    <w:rsid w:val="006B1452"/>
    <w:rsid w:val="006B1790"/>
    <w:rsid w:val="006B1791"/>
    <w:rsid w:val="006B1946"/>
    <w:rsid w:val="006B2308"/>
    <w:rsid w:val="006B3797"/>
    <w:rsid w:val="006B475E"/>
    <w:rsid w:val="006B4A0D"/>
    <w:rsid w:val="006B4BB0"/>
    <w:rsid w:val="006B545C"/>
    <w:rsid w:val="006B5CC1"/>
    <w:rsid w:val="006B5DE6"/>
    <w:rsid w:val="006B6A3E"/>
    <w:rsid w:val="006B6E06"/>
    <w:rsid w:val="006B6F29"/>
    <w:rsid w:val="006B7388"/>
    <w:rsid w:val="006B787F"/>
    <w:rsid w:val="006C0A55"/>
    <w:rsid w:val="006C107E"/>
    <w:rsid w:val="006C1436"/>
    <w:rsid w:val="006C155E"/>
    <w:rsid w:val="006C2094"/>
    <w:rsid w:val="006C2365"/>
    <w:rsid w:val="006C2486"/>
    <w:rsid w:val="006C2F3A"/>
    <w:rsid w:val="006C3398"/>
    <w:rsid w:val="006C4B12"/>
    <w:rsid w:val="006C51FE"/>
    <w:rsid w:val="006C5943"/>
    <w:rsid w:val="006C5B48"/>
    <w:rsid w:val="006C5F34"/>
    <w:rsid w:val="006C664B"/>
    <w:rsid w:val="006C6DF3"/>
    <w:rsid w:val="006C7E76"/>
    <w:rsid w:val="006D024A"/>
    <w:rsid w:val="006D07EA"/>
    <w:rsid w:val="006D0A26"/>
    <w:rsid w:val="006D0E1E"/>
    <w:rsid w:val="006D0EAC"/>
    <w:rsid w:val="006D17D9"/>
    <w:rsid w:val="006D1DA2"/>
    <w:rsid w:val="006D265A"/>
    <w:rsid w:val="006D3440"/>
    <w:rsid w:val="006D460E"/>
    <w:rsid w:val="006D47C3"/>
    <w:rsid w:val="006D6DB0"/>
    <w:rsid w:val="006D700C"/>
    <w:rsid w:val="006E0102"/>
    <w:rsid w:val="006E18E3"/>
    <w:rsid w:val="006E21E6"/>
    <w:rsid w:val="006E318F"/>
    <w:rsid w:val="006E3703"/>
    <w:rsid w:val="006E3D1E"/>
    <w:rsid w:val="006E512A"/>
    <w:rsid w:val="006E52AF"/>
    <w:rsid w:val="006E5D2E"/>
    <w:rsid w:val="006E6023"/>
    <w:rsid w:val="006E6B7E"/>
    <w:rsid w:val="006E6FEA"/>
    <w:rsid w:val="006E77F8"/>
    <w:rsid w:val="006F055A"/>
    <w:rsid w:val="006F0A85"/>
    <w:rsid w:val="006F1468"/>
    <w:rsid w:val="006F1605"/>
    <w:rsid w:val="006F2FFF"/>
    <w:rsid w:val="006F4786"/>
    <w:rsid w:val="006F4ACE"/>
    <w:rsid w:val="006F5F31"/>
    <w:rsid w:val="006F77E2"/>
    <w:rsid w:val="00700475"/>
    <w:rsid w:val="00700EC0"/>
    <w:rsid w:val="00700EC9"/>
    <w:rsid w:val="00701076"/>
    <w:rsid w:val="00701135"/>
    <w:rsid w:val="00701877"/>
    <w:rsid w:val="00701AF0"/>
    <w:rsid w:val="00701E44"/>
    <w:rsid w:val="007021F1"/>
    <w:rsid w:val="00703B76"/>
    <w:rsid w:val="00704509"/>
    <w:rsid w:val="00705F1E"/>
    <w:rsid w:val="00706B0D"/>
    <w:rsid w:val="00706EDD"/>
    <w:rsid w:val="0071110D"/>
    <w:rsid w:val="0071216B"/>
    <w:rsid w:val="00714004"/>
    <w:rsid w:val="00714812"/>
    <w:rsid w:val="00714EE0"/>
    <w:rsid w:val="00715CCF"/>
    <w:rsid w:val="00716166"/>
    <w:rsid w:val="007164A8"/>
    <w:rsid w:val="007164FB"/>
    <w:rsid w:val="00717B5E"/>
    <w:rsid w:val="007200C0"/>
    <w:rsid w:val="00720389"/>
    <w:rsid w:val="00720C60"/>
    <w:rsid w:val="00720E75"/>
    <w:rsid w:val="0072127D"/>
    <w:rsid w:val="00721EC6"/>
    <w:rsid w:val="00722439"/>
    <w:rsid w:val="00722DE9"/>
    <w:rsid w:val="00723983"/>
    <w:rsid w:val="007249AC"/>
    <w:rsid w:val="00725AB5"/>
    <w:rsid w:val="00726BAF"/>
    <w:rsid w:val="00727E4A"/>
    <w:rsid w:val="00730891"/>
    <w:rsid w:val="00730CF4"/>
    <w:rsid w:val="00730EFC"/>
    <w:rsid w:val="0073131D"/>
    <w:rsid w:val="00731536"/>
    <w:rsid w:val="0073196A"/>
    <w:rsid w:val="00731B0C"/>
    <w:rsid w:val="0073317A"/>
    <w:rsid w:val="00733B11"/>
    <w:rsid w:val="00734201"/>
    <w:rsid w:val="00734C2E"/>
    <w:rsid w:val="00736367"/>
    <w:rsid w:val="00736A41"/>
    <w:rsid w:val="007375F8"/>
    <w:rsid w:val="0074005B"/>
    <w:rsid w:val="0074053E"/>
    <w:rsid w:val="00740A31"/>
    <w:rsid w:val="00741395"/>
    <w:rsid w:val="007414A8"/>
    <w:rsid w:val="00741516"/>
    <w:rsid w:val="00741A23"/>
    <w:rsid w:val="00741D6F"/>
    <w:rsid w:val="00741DF1"/>
    <w:rsid w:val="007427F6"/>
    <w:rsid w:val="0074297F"/>
    <w:rsid w:val="00743007"/>
    <w:rsid w:val="00743A44"/>
    <w:rsid w:val="00743CCB"/>
    <w:rsid w:val="00744A21"/>
    <w:rsid w:val="00744ACB"/>
    <w:rsid w:val="00744D26"/>
    <w:rsid w:val="00744F00"/>
    <w:rsid w:val="007457F7"/>
    <w:rsid w:val="00745E63"/>
    <w:rsid w:val="0074618B"/>
    <w:rsid w:val="00746908"/>
    <w:rsid w:val="00746DF4"/>
    <w:rsid w:val="00747561"/>
    <w:rsid w:val="007477ED"/>
    <w:rsid w:val="00747C3F"/>
    <w:rsid w:val="007506FC"/>
    <w:rsid w:val="007508EA"/>
    <w:rsid w:val="00750CE3"/>
    <w:rsid w:val="007527B9"/>
    <w:rsid w:val="007530C6"/>
    <w:rsid w:val="00753D55"/>
    <w:rsid w:val="00754122"/>
    <w:rsid w:val="00754DCE"/>
    <w:rsid w:val="0075538F"/>
    <w:rsid w:val="00755756"/>
    <w:rsid w:val="007558B2"/>
    <w:rsid w:val="007564D1"/>
    <w:rsid w:val="00756562"/>
    <w:rsid w:val="00757034"/>
    <w:rsid w:val="00757716"/>
    <w:rsid w:val="007608BA"/>
    <w:rsid w:val="00760CDC"/>
    <w:rsid w:val="007613CD"/>
    <w:rsid w:val="0076172D"/>
    <w:rsid w:val="007620E1"/>
    <w:rsid w:val="00762D45"/>
    <w:rsid w:val="00762D7B"/>
    <w:rsid w:val="00762DF4"/>
    <w:rsid w:val="007631D2"/>
    <w:rsid w:val="007633F2"/>
    <w:rsid w:val="007637EC"/>
    <w:rsid w:val="00763852"/>
    <w:rsid w:val="00763EE7"/>
    <w:rsid w:val="007640A4"/>
    <w:rsid w:val="007645C4"/>
    <w:rsid w:val="00764685"/>
    <w:rsid w:val="00764A74"/>
    <w:rsid w:val="00764C4C"/>
    <w:rsid w:val="00764ED4"/>
    <w:rsid w:val="00765C74"/>
    <w:rsid w:val="00765E06"/>
    <w:rsid w:val="007664B6"/>
    <w:rsid w:val="007668F3"/>
    <w:rsid w:val="00766C04"/>
    <w:rsid w:val="00767929"/>
    <w:rsid w:val="00767971"/>
    <w:rsid w:val="00771595"/>
    <w:rsid w:val="00771C0F"/>
    <w:rsid w:val="00771D81"/>
    <w:rsid w:val="00772C73"/>
    <w:rsid w:val="00772F0A"/>
    <w:rsid w:val="00773168"/>
    <w:rsid w:val="0077397B"/>
    <w:rsid w:val="00773C8D"/>
    <w:rsid w:val="00774E80"/>
    <w:rsid w:val="00775205"/>
    <w:rsid w:val="00775A4B"/>
    <w:rsid w:val="00775FB2"/>
    <w:rsid w:val="00776040"/>
    <w:rsid w:val="00776E5B"/>
    <w:rsid w:val="00777806"/>
    <w:rsid w:val="00777E3B"/>
    <w:rsid w:val="00780745"/>
    <w:rsid w:val="00781014"/>
    <w:rsid w:val="007816A1"/>
    <w:rsid w:val="0078175A"/>
    <w:rsid w:val="00781AD5"/>
    <w:rsid w:val="00781D65"/>
    <w:rsid w:val="00782A06"/>
    <w:rsid w:val="00783509"/>
    <w:rsid w:val="007844D0"/>
    <w:rsid w:val="007847A7"/>
    <w:rsid w:val="007856E6"/>
    <w:rsid w:val="00785E9B"/>
    <w:rsid w:val="00787542"/>
    <w:rsid w:val="00790285"/>
    <w:rsid w:val="00790DA6"/>
    <w:rsid w:val="00790F3E"/>
    <w:rsid w:val="007930F8"/>
    <w:rsid w:val="0079312A"/>
    <w:rsid w:val="0079344E"/>
    <w:rsid w:val="007939F2"/>
    <w:rsid w:val="007956E7"/>
    <w:rsid w:val="00795A3F"/>
    <w:rsid w:val="0079674C"/>
    <w:rsid w:val="00797103"/>
    <w:rsid w:val="007979E0"/>
    <w:rsid w:val="007A1650"/>
    <w:rsid w:val="007A1816"/>
    <w:rsid w:val="007A23E6"/>
    <w:rsid w:val="007A2612"/>
    <w:rsid w:val="007A28B7"/>
    <w:rsid w:val="007A2E60"/>
    <w:rsid w:val="007A37AE"/>
    <w:rsid w:val="007A46B6"/>
    <w:rsid w:val="007A5108"/>
    <w:rsid w:val="007A5196"/>
    <w:rsid w:val="007A57ED"/>
    <w:rsid w:val="007A5CE0"/>
    <w:rsid w:val="007A656E"/>
    <w:rsid w:val="007A6634"/>
    <w:rsid w:val="007A67F8"/>
    <w:rsid w:val="007A75D2"/>
    <w:rsid w:val="007A78F7"/>
    <w:rsid w:val="007A7F4A"/>
    <w:rsid w:val="007B05B5"/>
    <w:rsid w:val="007B0C54"/>
    <w:rsid w:val="007B14D0"/>
    <w:rsid w:val="007B1BA3"/>
    <w:rsid w:val="007B1F9D"/>
    <w:rsid w:val="007B20E7"/>
    <w:rsid w:val="007B2294"/>
    <w:rsid w:val="007B2554"/>
    <w:rsid w:val="007B3D05"/>
    <w:rsid w:val="007B3F84"/>
    <w:rsid w:val="007B468E"/>
    <w:rsid w:val="007B498A"/>
    <w:rsid w:val="007B5803"/>
    <w:rsid w:val="007B601D"/>
    <w:rsid w:val="007B68CC"/>
    <w:rsid w:val="007B6CC8"/>
    <w:rsid w:val="007B7031"/>
    <w:rsid w:val="007B78BD"/>
    <w:rsid w:val="007C0203"/>
    <w:rsid w:val="007C06F6"/>
    <w:rsid w:val="007C23FF"/>
    <w:rsid w:val="007C2A01"/>
    <w:rsid w:val="007C2A08"/>
    <w:rsid w:val="007C3291"/>
    <w:rsid w:val="007C3BC8"/>
    <w:rsid w:val="007C4325"/>
    <w:rsid w:val="007C5AF5"/>
    <w:rsid w:val="007C7114"/>
    <w:rsid w:val="007D00E0"/>
    <w:rsid w:val="007D10FE"/>
    <w:rsid w:val="007D1A11"/>
    <w:rsid w:val="007D1C5F"/>
    <w:rsid w:val="007D24DA"/>
    <w:rsid w:val="007D260D"/>
    <w:rsid w:val="007D309B"/>
    <w:rsid w:val="007D427E"/>
    <w:rsid w:val="007D4CDC"/>
    <w:rsid w:val="007D55D5"/>
    <w:rsid w:val="007D562A"/>
    <w:rsid w:val="007D6722"/>
    <w:rsid w:val="007D6A4A"/>
    <w:rsid w:val="007D7508"/>
    <w:rsid w:val="007D7C50"/>
    <w:rsid w:val="007E01CF"/>
    <w:rsid w:val="007E0756"/>
    <w:rsid w:val="007E0FDA"/>
    <w:rsid w:val="007E1976"/>
    <w:rsid w:val="007E2EA7"/>
    <w:rsid w:val="007E3210"/>
    <w:rsid w:val="007E39B9"/>
    <w:rsid w:val="007E4515"/>
    <w:rsid w:val="007E681F"/>
    <w:rsid w:val="007E695C"/>
    <w:rsid w:val="007E7695"/>
    <w:rsid w:val="007F0283"/>
    <w:rsid w:val="007F084C"/>
    <w:rsid w:val="007F08E3"/>
    <w:rsid w:val="007F18C4"/>
    <w:rsid w:val="007F1C82"/>
    <w:rsid w:val="007F1ED9"/>
    <w:rsid w:val="007F28C0"/>
    <w:rsid w:val="007F4252"/>
    <w:rsid w:val="007F47F5"/>
    <w:rsid w:val="007F4EFE"/>
    <w:rsid w:val="007F5BCD"/>
    <w:rsid w:val="007F6110"/>
    <w:rsid w:val="007F7A8C"/>
    <w:rsid w:val="007F7E38"/>
    <w:rsid w:val="00800380"/>
    <w:rsid w:val="00800836"/>
    <w:rsid w:val="0080248B"/>
    <w:rsid w:val="00803A70"/>
    <w:rsid w:val="00803C2E"/>
    <w:rsid w:val="00803EB4"/>
    <w:rsid w:val="00804185"/>
    <w:rsid w:val="0080487E"/>
    <w:rsid w:val="0080513F"/>
    <w:rsid w:val="00805617"/>
    <w:rsid w:val="00805E18"/>
    <w:rsid w:val="00806E1B"/>
    <w:rsid w:val="008100EE"/>
    <w:rsid w:val="00810B35"/>
    <w:rsid w:val="00810B43"/>
    <w:rsid w:val="00810C83"/>
    <w:rsid w:val="008110F7"/>
    <w:rsid w:val="00811182"/>
    <w:rsid w:val="008116E5"/>
    <w:rsid w:val="008117AB"/>
    <w:rsid w:val="00811833"/>
    <w:rsid w:val="0081188F"/>
    <w:rsid w:val="0081222A"/>
    <w:rsid w:val="0081274B"/>
    <w:rsid w:val="00812E24"/>
    <w:rsid w:val="00813330"/>
    <w:rsid w:val="00813F25"/>
    <w:rsid w:val="00813F6F"/>
    <w:rsid w:val="0081614C"/>
    <w:rsid w:val="00816933"/>
    <w:rsid w:val="00817542"/>
    <w:rsid w:val="00817AE6"/>
    <w:rsid w:val="00817C59"/>
    <w:rsid w:val="00820060"/>
    <w:rsid w:val="00820503"/>
    <w:rsid w:val="008207B5"/>
    <w:rsid w:val="00820F12"/>
    <w:rsid w:val="0082126D"/>
    <w:rsid w:val="00822A97"/>
    <w:rsid w:val="00822BB3"/>
    <w:rsid w:val="0082462A"/>
    <w:rsid w:val="00824AB6"/>
    <w:rsid w:val="00824C79"/>
    <w:rsid w:val="00824EE4"/>
    <w:rsid w:val="00825727"/>
    <w:rsid w:val="00825D60"/>
    <w:rsid w:val="00825F29"/>
    <w:rsid w:val="00825FFE"/>
    <w:rsid w:val="00826999"/>
    <w:rsid w:val="00827934"/>
    <w:rsid w:val="0083072F"/>
    <w:rsid w:val="00830CA0"/>
    <w:rsid w:val="00831B70"/>
    <w:rsid w:val="00833F6D"/>
    <w:rsid w:val="008354D8"/>
    <w:rsid w:val="0083582D"/>
    <w:rsid w:val="00835B1F"/>
    <w:rsid w:val="00836298"/>
    <w:rsid w:val="00837499"/>
    <w:rsid w:val="0083753F"/>
    <w:rsid w:val="00837D4C"/>
    <w:rsid w:val="00840771"/>
    <w:rsid w:val="00840A0C"/>
    <w:rsid w:val="00840D65"/>
    <w:rsid w:val="0084142C"/>
    <w:rsid w:val="008425D8"/>
    <w:rsid w:val="008437A8"/>
    <w:rsid w:val="00843ADC"/>
    <w:rsid w:val="008441E4"/>
    <w:rsid w:val="008442E1"/>
    <w:rsid w:val="00844463"/>
    <w:rsid w:val="00844C99"/>
    <w:rsid w:val="008452B9"/>
    <w:rsid w:val="0084566E"/>
    <w:rsid w:val="00845EEE"/>
    <w:rsid w:val="0084686C"/>
    <w:rsid w:val="008501F9"/>
    <w:rsid w:val="008508DD"/>
    <w:rsid w:val="00851217"/>
    <w:rsid w:val="008515A9"/>
    <w:rsid w:val="00852643"/>
    <w:rsid w:val="00852A46"/>
    <w:rsid w:val="008534E4"/>
    <w:rsid w:val="00853A14"/>
    <w:rsid w:val="0085415B"/>
    <w:rsid w:val="0085517C"/>
    <w:rsid w:val="00855E12"/>
    <w:rsid w:val="00856D75"/>
    <w:rsid w:val="008578CD"/>
    <w:rsid w:val="00862C17"/>
    <w:rsid w:val="00862EDE"/>
    <w:rsid w:val="00863711"/>
    <w:rsid w:val="008638C3"/>
    <w:rsid w:val="00863B7A"/>
    <w:rsid w:val="008648DA"/>
    <w:rsid w:val="00864B39"/>
    <w:rsid w:val="00864DC3"/>
    <w:rsid w:val="00866021"/>
    <w:rsid w:val="00870774"/>
    <w:rsid w:val="00870D93"/>
    <w:rsid w:val="008712BF"/>
    <w:rsid w:val="008712C1"/>
    <w:rsid w:val="0087163A"/>
    <w:rsid w:val="008720B2"/>
    <w:rsid w:val="00872FA1"/>
    <w:rsid w:val="00873399"/>
    <w:rsid w:val="0087444C"/>
    <w:rsid w:val="00874C86"/>
    <w:rsid w:val="00874D2B"/>
    <w:rsid w:val="0087518E"/>
    <w:rsid w:val="00875327"/>
    <w:rsid w:val="008753ED"/>
    <w:rsid w:val="00875432"/>
    <w:rsid w:val="00875F44"/>
    <w:rsid w:val="00876278"/>
    <w:rsid w:val="0087692D"/>
    <w:rsid w:val="00876B7B"/>
    <w:rsid w:val="00877763"/>
    <w:rsid w:val="0087783C"/>
    <w:rsid w:val="00877DA1"/>
    <w:rsid w:val="00880F0D"/>
    <w:rsid w:val="00881899"/>
    <w:rsid w:val="00881AF1"/>
    <w:rsid w:val="00881F1D"/>
    <w:rsid w:val="00882518"/>
    <w:rsid w:val="008836D9"/>
    <w:rsid w:val="0088403B"/>
    <w:rsid w:val="0088422D"/>
    <w:rsid w:val="0088486D"/>
    <w:rsid w:val="00885045"/>
    <w:rsid w:val="00885946"/>
    <w:rsid w:val="00885E36"/>
    <w:rsid w:val="00886699"/>
    <w:rsid w:val="00886EE9"/>
    <w:rsid w:val="0088709D"/>
    <w:rsid w:val="00887962"/>
    <w:rsid w:val="00887E05"/>
    <w:rsid w:val="00890076"/>
    <w:rsid w:val="008905E0"/>
    <w:rsid w:val="00890E03"/>
    <w:rsid w:val="008911E4"/>
    <w:rsid w:val="0089213D"/>
    <w:rsid w:val="008926EE"/>
    <w:rsid w:val="00892967"/>
    <w:rsid w:val="00892CE0"/>
    <w:rsid w:val="00893184"/>
    <w:rsid w:val="00893535"/>
    <w:rsid w:val="0089444E"/>
    <w:rsid w:val="00894886"/>
    <w:rsid w:val="0089523A"/>
    <w:rsid w:val="0089568E"/>
    <w:rsid w:val="0089650D"/>
    <w:rsid w:val="00896A45"/>
    <w:rsid w:val="00897E99"/>
    <w:rsid w:val="008A0110"/>
    <w:rsid w:val="008A049C"/>
    <w:rsid w:val="008A0CC1"/>
    <w:rsid w:val="008A1059"/>
    <w:rsid w:val="008A1E94"/>
    <w:rsid w:val="008A2427"/>
    <w:rsid w:val="008A2595"/>
    <w:rsid w:val="008A26F1"/>
    <w:rsid w:val="008A30C2"/>
    <w:rsid w:val="008A318B"/>
    <w:rsid w:val="008A3269"/>
    <w:rsid w:val="008A400D"/>
    <w:rsid w:val="008A4B99"/>
    <w:rsid w:val="008A51EE"/>
    <w:rsid w:val="008A5B8E"/>
    <w:rsid w:val="008A644E"/>
    <w:rsid w:val="008A6D36"/>
    <w:rsid w:val="008A702A"/>
    <w:rsid w:val="008A7053"/>
    <w:rsid w:val="008B085A"/>
    <w:rsid w:val="008B0E4A"/>
    <w:rsid w:val="008B1AD1"/>
    <w:rsid w:val="008B25E0"/>
    <w:rsid w:val="008B29D2"/>
    <w:rsid w:val="008B2BEB"/>
    <w:rsid w:val="008B2F1E"/>
    <w:rsid w:val="008B2F36"/>
    <w:rsid w:val="008B3266"/>
    <w:rsid w:val="008B35D4"/>
    <w:rsid w:val="008B366B"/>
    <w:rsid w:val="008B38F0"/>
    <w:rsid w:val="008B391E"/>
    <w:rsid w:val="008B40C0"/>
    <w:rsid w:val="008B4684"/>
    <w:rsid w:val="008B5262"/>
    <w:rsid w:val="008B5E0D"/>
    <w:rsid w:val="008B611E"/>
    <w:rsid w:val="008B72CB"/>
    <w:rsid w:val="008B791C"/>
    <w:rsid w:val="008C0580"/>
    <w:rsid w:val="008C0685"/>
    <w:rsid w:val="008C1077"/>
    <w:rsid w:val="008C11F0"/>
    <w:rsid w:val="008C14DF"/>
    <w:rsid w:val="008C1D9F"/>
    <w:rsid w:val="008C2383"/>
    <w:rsid w:val="008C23B3"/>
    <w:rsid w:val="008C2D52"/>
    <w:rsid w:val="008C38B5"/>
    <w:rsid w:val="008C3DB8"/>
    <w:rsid w:val="008C4E4E"/>
    <w:rsid w:val="008C4F45"/>
    <w:rsid w:val="008C4FA8"/>
    <w:rsid w:val="008C55E2"/>
    <w:rsid w:val="008C5B03"/>
    <w:rsid w:val="008C6332"/>
    <w:rsid w:val="008C6733"/>
    <w:rsid w:val="008C71A2"/>
    <w:rsid w:val="008C76D1"/>
    <w:rsid w:val="008D0032"/>
    <w:rsid w:val="008D06D2"/>
    <w:rsid w:val="008D1889"/>
    <w:rsid w:val="008D2E31"/>
    <w:rsid w:val="008D2E5B"/>
    <w:rsid w:val="008D3C28"/>
    <w:rsid w:val="008D4821"/>
    <w:rsid w:val="008D484B"/>
    <w:rsid w:val="008D4EC5"/>
    <w:rsid w:val="008D505D"/>
    <w:rsid w:val="008D568F"/>
    <w:rsid w:val="008D5B84"/>
    <w:rsid w:val="008E02E9"/>
    <w:rsid w:val="008E1EE5"/>
    <w:rsid w:val="008E2793"/>
    <w:rsid w:val="008E2949"/>
    <w:rsid w:val="008E2BC9"/>
    <w:rsid w:val="008E32A3"/>
    <w:rsid w:val="008E3F52"/>
    <w:rsid w:val="008E4341"/>
    <w:rsid w:val="008E4541"/>
    <w:rsid w:val="008E5422"/>
    <w:rsid w:val="008E6536"/>
    <w:rsid w:val="008E75A3"/>
    <w:rsid w:val="008F0017"/>
    <w:rsid w:val="008F0C2C"/>
    <w:rsid w:val="008F2981"/>
    <w:rsid w:val="008F298B"/>
    <w:rsid w:val="008F2B10"/>
    <w:rsid w:val="008F2DEC"/>
    <w:rsid w:val="008F3212"/>
    <w:rsid w:val="008F3676"/>
    <w:rsid w:val="008F3757"/>
    <w:rsid w:val="008F3794"/>
    <w:rsid w:val="008F3D14"/>
    <w:rsid w:val="008F4A87"/>
    <w:rsid w:val="008F6B69"/>
    <w:rsid w:val="008F7725"/>
    <w:rsid w:val="008F7DC4"/>
    <w:rsid w:val="009004DB"/>
    <w:rsid w:val="0090093C"/>
    <w:rsid w:val="00900FA8"/>
    <w:rsid w:val="00901164"/>
    <w:rsid w:val="009013C1"/>
    <w:rsid w:val="00902843"/>
    <w:rsid w:val="00903D12"/>
    <w:rsid w:val="00905B1E"/>
    <w:rsid w:val="00905D9C"/>
    <w:rsid w:val="00906E55"/>
    <w:rsid w:val="0090746C"/>
    <w:rsid w:val="00907548"/>
    <w:rsid w:val="00907C47"/>
    <w:rsid w:val="00910FED"/>
    <w:rsid w:val="00911B42"/>
    <w:rsid w:val="00913104"/>
    <w:rsid w:val="00913152"/>
    <w:rsid w:val="009136EF"/>
    <w:rsid w:val="00913DA4"/>
    <w:rsid w:val="00914A08"/>
    <w:rsid w:val="00914B56"/>
    <w:rsid w:val="00914BF8"/>
    <w:rsid w:val="009151CF"/>
    <w:rsid w:val="0091543F"/>
    <w:rsid w:val="00915758"/>
    <w:rsid w:val="00915F86"/>
    <w:rsid w:val="0091678E"/>
    <w:rsid w:val="00917E99"/>
    <w:rsid w:val="00920574"/>
    <w:rsid w:val="0092090D"/>
    <w:rsid w:val="00920C5D"/>
    <w:rsid w:val="00920C9E"/>
    <w:rsid w:val="009216AB"/>
    <w:rsid w:val="00921B7E"/>
    <w:rsid w:val="00922431"/>
    <w:rsid w:val="00922983"/>
    <w:rsid w:val="00923283"/>
    <w:rsid w:val="0092344D"/>
    <w:rsid w:val="00923B9E"/>
    <w:rsid w:val="00924C13"/>
    <w:rsid w:val="00924EAF"/>
    <w:rsid w:val="00925B4B"/>
    <w:rsid w:val="009267D1"/>
    <w:rsid w:val="00926FBE"/>
    <w:rsid w:val="00927403"/>
    <w:rsid w:val="00927DD9"/>
    <w:rsid w:val="00930001"/>
    <w:rsid w:val="00930553"/>
    <w:rsid w:val="00930613"/>
    <w:rsid w:val="0093095E"/>
    <w:rsid w:val="00930C05"/>
    <w:rsid w:val="009319C5"/>
    <w:rsid w:val="00931D11"/>
    <w:rsid w:val="00932B25"/>
    <w:rsid w:val="00932D51"/>
    <w:rsid w:val="00933520"/>
    <w:rsid w:val="009341C2"/>
    <w:rsid w:val="0093472F"/>
    <w:rsid w:val="00934DE4"/>
    <w:rsid w:val="00934FB4"/>
    <w:rsid w:val="0093515B"/>
    <w:rsid w:val="00935169"/>
    <w:rsid w:val="00935502"/>
    <w:rsid w:val="009355AD"/>
    <w:rsid w:val="00935952"/>
    <w:rsid w:val="009362B5"/>
    <w:rsid w:val="00936A2C"/>
    <w:rsid w:val="00936E8A"/>
    <w:rsid w:val="009376FD"/>
    <w:rsid w:val="009416ED"/>
    <w:rsid w:val="0094175D"/>
    <w:rsid w:val="00941819"/>
    <w:rsid w:val="00941895"/>
    <w:rsid w:val="00942077"/>
    <w:rsid w:val="00942854"/>
    <w:rsid w:val="0094307C"/>
    <w:rsid w:val="009432B8"/>
    <w:rsid w:val="00944ECF"/>
    <w:rsid w:val="0094526B"/>
    <w:rsid w:val="00945AB1"/>
    <w:rsid w:val="00946218"/>
    <w:rsid w:val="00947143"/>
    <w:rsid w:val="0094716A"/>
    <w:rsid w:val="00947C43"/>
    <w:rsid w:val="00951E82"/>
    <w:rsid w:val="0095213B"/>
    <w:rsid w:val="009527A5"/>
    <w:rsid w:val="009529FA"/>
    <w:rsid w:val="009535BF"/>
    <w:rsid w:val="00953D0A"/>
    <w:rsid w:val="00953E42"/>
    <w:rsid w:val="0095401D"/>
    <w:rsid w:val="009540B0"/>
    <w:rsid w:val="00955281"/>
    <w:rsid w:val="00955AC3"/>
    <w:rsid w:val="00956402"/>
    <w:rsid w:val="0095693B"/>
    <w:rsid w:val="009569A7"/>
    <w:rsid w:val="00957290"/>
    <w:rsid w:val="0095777D"/>
    <w:rsid w:val="009600EB"/>
    <w:rsid w:val="00960242"/>
    <w:rsid w:val="0096043E"/>
    <w:rsid w:val="0096182C"/>
    <w:rsid w:val="00961E8D"/>
    <w:rsid w:val="00962057"/>
    <w:rsid w:val="009623B6"/>
    <w:rsid w:val="0096289B"/>
    <w:rsid w:val="00962AD5"/>
    <w:rsid w:val="00962E60"/>
    <w:rsid w:val="009632C5"/>
    <w:rsid w:val="009633AA"/>
    <w:rsid w:val="00963ECC"/>
    <w:rsid w:val="00964155"/>
    <w:rsid w:val="00964512"/>
    <w:rsid w:val="0096484B"/>
    <w:rsid w:val="00964D34"/>
    <w:rsid w:val="00964FA6"/>
    <w:rsid w:val="00965E3A"/>
    <w:rsid w:val="00966548"/>
    <w:rsid w:val="00966A17"/>
    <w:rsid w:val="009670AB"/>
    <w:rsid w:val="00967548"/>
    <w:rsid w:val="0096773B"/>
    <w:rsid w:val="0096774E"/>
    <w:rsid w:val="00970841"/>
    <w:rsid w:val="00970F28"/>
    <w:rsid w:val="00971679"/>
    <w:rsid w:val="00971964"/>
    <w:rsid w:val="00971AF8"/>
    <w:rsid w:val="0097213C"/>
    <w:rsid w:val="00972E84"/>
    <w:rsid w:val="00973081"/>
    <w:rsid w:val="00974D0A"/>
    <w:rsid w:val="00976C13"/>
    <w:rsid w:val="00976C34"/>
    <w:rsid w:val="00976DE3"/>
    <w:rsid w:val="0097745E"/>
    <w:rsid w:val="00977EDB"/>
    <w:rsid w:val="00977EE4"/>
    <w:rsid w:val="00980615"/>
    <w:rsid w:val="009808CA"/>
    <w:rsid w:val="00981547"/>
    <w:rsid w:val="009832E5"/>
    <w:rsid w:val="0098408C"/>
    <w:rsid w:val="009847DC"/>
    <w:rsid w:val="009849F5"/>
    <w:rsid w:val="00984AC1"/>
    <w:rsid w:val="00986728"/>
    <w:rsid w:val="0098792A"/>
    <w:rsid w:val="009910C0"/>
    <w:rsid w:val="00991168"/>
    <w:rsid w:val="009928A3"/>
    <w:rsid w:val="00992A4D"/>
    <w:rsid w:val="00993962"/>
    <w:rsid w:val="00994F5E"/>
    <w:rsid w:val="0099546D"/>
    <w:rsid w:val="009959D3"/>
    <w:rsid w:val="00995E6A"/>
    <w:rsid w:val="00995F6C"/>
    <w:rsid w:val="00996F13"/>
    <w:rsid w:val="00996F14"/>
    <w:rsid w:val="009976CE"/>
    <w:rsid w:val="00997866"/>
    <w:rsid w:val="00997BAA"/>
    <w:rsid w:val="009A00DD"/>
    <w:rsid w:val="009A0105"/>
    <w:rsid w:val="009A06F7"/>
    <w:rsid w:val="009A11D0"/>
    <w:rsid w:val="009A3C1F"/>
    <w:rsid w:val="009A4A40"/>
    <w:rsid w:val="009A50A5"/>
    <w:rsid w:val="009A5106"/>
    <w:rsid w:val="009A54F1"/>
    <w:rsid w:val="009A557B"/>
    <w:rsid w:val="009A61E3"/>
    <w:rsid w:val="009A6E81"/>
    <w:rsid w:val="009A723D"/>
    <w:rsid w:val="009B029C"/>
    <w:rsid w:val="009B03EE"/>
    <w:rsid w:val="009B0C82"/>
    <w:rsid w:val="009B0DE0"/>
    <w:rsid w:val="009B11D3"/>
    <w:rsid w:val="009B2541"/>
    <w:rsid w:val="009B2A5D"/>
    <w:rsid w:val="009B39E4"/>
    <w:rsid w:val="009B43CF"/>
    <w:rsid w:val="009B460F"/>
    <w:rsid w:val="009B4E34"/>
    <w:rsid w:val="009B5407"/>
    <w:rsid w:val="009B64DC"/>
    <w:rsid w:val="009B69D1"/>
    <w:rsid w:val="009B6DF3"/>
    <w:rsid w:val="009C0062"/>
    <w:rsid w:val="009C02D8"/>
    <w:rsid w:val="009C0323"/>
    <w:rsid w:val="009C0DAD"/>
    <w:rsid w:val="009C0FEE"/>
    <w:rsid w:val="009C1134"/>
    <w:rsid w:val="009C1291"/>
    <w:rsid w:val="009C14C1"/>
    <w:rsid w:val="009C1D01"/>
    <w:rsid w:val="009C1EFC"/>
    <w:rsid w:val="009C2BEC"/>
    <w:rsid w:val="009C3566"/>
    <w:rsid w:val="009C368F"/>
    <w:rsid w:val="009C3A28"/>
    <w:rsid w:val="009C3E12"/>
    <w:rsid w:val="009C4D72"/>
    <w:rsid w:val="009C4EE5"/>
    <w:rsid w:val="009C5448"/>
    <w:rsid w:val="009C65D3"/>
    <w:rsid w:val="009C6725"/>
    <w:rsid w:val="009C680D"/>
    <w:rsid w:val="009C6FF3"/>
    <w:rsid w:val="009C7D11"/>
    <w:rsid w:val="009D0382"/>
    <w:rsid w:val="009D0503"/>
    <w:rsid w:val="009D0B05"/>
    <w:rsid w:val="009D0F4C"/>
    <w:rsid w:val="009D13E9"/>
    <w:rsid w:val="009D14BC"/>
    <w:rsid w:val="009D17D3"/>
    <w:rsid w:val="009D23CF"/>
    <w:rsid w:val="009D292A"/>
    <w:rsid w:val="009D297B"/>
    <w:rsid w:val="009D3793"/>
    <w:rsid w:val="009D43AB"/>
    <w:rsid w:val="009D4E80"/>
    <w:rsid w:val="009D578A"/>
    <w:rsid w:val="009D57D5"/>
    <w:rsid w:val="009D596E"/>
    <w:rsid w:val="009D5A61"/>
    <w:rsid w:val="009D5A9F"/>
    <w:rsid w:val="009D5DFB"/>
    <w:rsid w:val="009D63E2"/>
    <w:rsid w:val="009D657E"/>
    <w:rsid w:val="009D68FB"/>
    <w:rsid w:val="009D7248"/>
    <w:rsid w:val="009D732B"/>
    <w:rsid w:val="009D7411"/>
    <w:rsid w:val="009D7E8B"/>
    <w:rsid w:val="009E1C69"/>
    <w:rsid w:val="009E1CB2"/>
    <w:rsid w:val="009E1F16"/>
    <w:rsid w:val="009E2096"/>
    <w:rsid w:val="009E2450"/>
    <w:rsid w:val="009E3186"/>
    <w:rsid w:val="009E3FE5"/>
    <w:rsid w:val="009E412D"/>
    <w:rsid w:val="009E5945"/>
    <w:rsid w:val="009E61EE"/>
    <w:rsid w:val="009E6893"/>
    <w:rsid w:val="009E71FE"/>
    <w:rsid w:val="009F04BC"/>
    <w:rsid w:val="009F0BE1"/>
    <w:rsid w:val="009F1549"/>
    <w:rsid w:val="009F1989"/>
    <w:rsid w:val="009F1CE5"/>
    <w:rsid w:val="009F2164"/>
    <w:rsid w:val="009F32E6"/>
    <w:rsid w:val="009F356F"/>
    <w:rsid w:val="009F36AD"/>
    <w:rsid w:val="009F3FFB"/>
    <w:rsid w:val="009F6188"/>
    <w:rsid w:val="009F62D9"/>
    <w:rsid w:val="009F669E"/>
    <w:rsid w:val="009F6942"/>
    <w:rsid w:val="009F7777"/>
    <w:rsid w:val="00A00905"/>
    <w:rsid w:val="00A01013"/>
    <w:rsid w:val="00A010FB"/>
    <w:rsid w:val="00A01278"/>
    <w:rsid w:val="00A01293"/>
    <w:rsid w:val="00A01409"/>
    <w:rsid w:val="00A01CC1"/>
    <w:rsid w:val="00A03D23"/>
    <w:rsid w:val="00A03DB5"/>
    <w:rsid w:val="00A04EA5"/>
    <w:rsid w:val="00A051A6"/>
    <w:rsid w:val="00A05450"/>
    <w:rsid w:val="00A05DB8"/>
    <w:rsid w:val="00A064EF"/>
    <w:rsid w:val="00A0712E"/>
    <w:rsid w:val="00A10054"/>
    <w:rsid w:val="00A10C16"/>
    <w:rsid w:val="00A11731"/>
    <w:rsid w:val="00A11898"/>
    <w:rsid w:val="00A13C71"/>
    <w:rsid w:val="00A13E50"/>
    <w:rsid w:val="00A140DA"/>
    <w:rsid w:val="00A142D1"/>
    <w:rsid w:val="00A148A0"/>
    <w:rsid w:val="00A14A48"/>
    <w:rsid w:val="00A14D9D"/>
    <w:rsid w:val="00A155BA"/>
    <w:rsid w:val="00A158CC"/>
    <w:rsid w:val="00A1592C"/>
    <w:rsid w:val="00A159C0"/>
    <w:rsid w:val="00A15A27"/>
    <w:rsid w:val="00A15C85"/>
    <w:rsid w:val="00A16242"/>
    <w:rsid w:val="00A1675E"/>
    <w:rsid w:val="00A16920"/>
    <w:rsid w:val="00A17321"/>
    <w:rsid w:val="00A17F05"/>
    <w:rsid w:val="00A201CB"/>
    <w:rsid w:val="00A204D8"/>
    <w:rsid w:val="00A20E96"/>
    <w:rsid w:val="00A2223B"/>
    <w:rsid w:val="00A22242"/>
    <w:rsid w:val="00A22264"/>
    <w:rsid w:val="00A22E51"/>
    <w:rsid w:val="00A23F99"/>
    <w:rsid w:val="00A24948"/>
    <w:rsid w:val="00A24C93"/>
    <w:rsid w:val="00A24D56"/>
    <w:rsid w:val="00A24DD4"/>
    <w:rsid w:val="00A2543F"/>
    <w:rsid w:val="00A25751"/>
    <w:rsid w:val="00A25E02"/>
    <w:rsid w:val="00A27E2E"/>
    <w:rsid w:val="00A3050D"/>
    <w:rsid w:val="00A3079C"/>
    <w:rsid w:val="00A308E2"/>
    <w:rsid w:val="00A30D12"/>
    <w:rsid w:val="00A30E44"/>
    <w:rsid w:val="00A32050"/>
    <w:rsid w:val="00A32209"/>
    <w:rsid w:val="00A3265F"/>
    <w:rsid w:val="00A33034"/>
    <w:rsid w:val="00A34E2C"/>
    <w:rsid w:val="00A34F96"/>
    <w:rsid w:val="00A35D1B"/>
    <w:rsid w:val="00A3616A"/>
    <w:rsid w:val="00A3741A"/>
    <w:rsid w:val="00A37955"/>
    <w:rsid w:val="00A37A25"/>
    <w:rsid w:val="00A37CAF"/>
    <w:rsid w:val="00A37D26"/>
    <w:rsid w:val="00A400CD"/>
    <w:rsid w:val="00A40DDA"/>
    <w:rsid w:val="00A410FB"/>
    <w:rsid w:val="00A411FB"/>
    <w:rsid w:val="00A413DE"/>
    <w:rsid w:val="00A41A09"/>
    <w:rsid w:val="00A41D7E"/>
    <w:rsid w:val="00A42431"/>
    <w:rsid w:val="00A427F9"/>
    <w:rsid w:val="00A42EFA"/>
    <w:rsid w:val="00A4301B"/>
    <w:rsid w:val="00A43068"/>
    <w:rsid w:val="00A43855"/>
    <w:rsid w:val="00A43D61"/>
    <w:rsid w:val="00A44378"/>
    <w:rsid w:val="00A4573E"/>
    <w:rsid w:val="00A45F66"/>
    <w:rsid w:val="00A460EB"/>
    <w:rsid w:val="00A46629"/>
    <w:rsid w:val="00A46921"/>
    <w:rsid w:val="00A47750"/>
    <w:rsid w:val="00A47E15"/>
    <w:rsid w:val="00A47EBA"/>
    <w:rsid w:val="00A47F89"/>
    <w:rsid w:val="00A47FFA"/>
    <w:rsid w:val="00A5135A"/>
    <w:rsid w:val="00A513B5"/>
    <w:rsid w:val="00A51932"/>
    <w:rsid w:val="00A51BD2"/>
    <w:rsid w:val="00A51EBD"/>
    <w:rsid w:val="00A524C8"/>
    <w:rsid w:val="00A52CD2"/>
    <w:rsid w:val="00A53583"/>
    <w:rsid w:val="00A53BD6"/>
    <w:rsid w:val="00A53D94"/>
    <w:rsid w:val="00A5428B"/>
    <w:rsid w:val="00A55123"/>
    <w:rsid w:val="00A551AC"/>
    <w:rsid w:val="00A552E4"/>
    <w:rsid w:val="00A55A29"/>
    <w:rsid w:val="00A55EF5"/>
    <w:rsid w:val="00A561CE"/>
    <w:rsid w:val="00A5633F"/>
    <w:rsid w:val="00A5641B"/>
    <w:rsid w:val="00A56468"/>
    <w:rsid w:val="00A56775"/>
    <w:rsid w:val="00A56A18"/>
    <w:rsid w:val="00A6023B"/>
    <w:rsid w:val="00A602E7"/>
    <w:rsid w:val="00A60CB4"/>
    <w:rsid w:val="00A61A4F"/>
    <w:rsid w:val="00A61A50"/>
    <w:rsid w:val="00A63536"/>
    <w:rsid w:val="00A6388A"/>
    <w:rsid w:val="00A6456A"/>
    <w:rsid w:val="00A64DA5"/>
    <w:rsid w:val="00A65689"/>
    <w:rsid w:val="00A662A3"/>
    <w:rsid w:val="00A66530"/>
    <w:rsid w:val="00A666B0"/>
    <w:rsid w:val="00A66842"/>
    <w:rsid w:val="00A67910"/>
    <w:rsid w:val="00A67EAE"/>
    <w:rsid w:val="00A7024A"/>
    <w:rsid w:val="00A7098C"/>
    <w:rsid w:val="00A70C39"/>
    <w:rsid w:val="00A71F05"/>
    <w:rsid w:val="00A7204C"/>
    <w:rsid w:val="00A7209C"/>
    <w:rsid w:val="00A729AF"/>
    <w:rsid w:val="00A729F7"/>
    <w:rsid w:val="00A7403F"/>
    <w:rsid w:val="00A741F2"/>
    <w:rsid w:val="00A7430D"/>
    <w:rsid w:val="00A743C6"/>
    <w:rsid w:val="00A74B17"/>
    <w:rsid w:val="00A7607E"/>
    <w:rsid w:val="00A76602"/>
    <w:rsid w:val="00A76A05"/>
    <w:rsid w:val="00A80ED8"/>
    <w:rsid w:val="00A81B3A"/>
    <w:rsid w:val="00A81D98"/>
    <w:rsid w:val="00A81E62"/>
    <w:rsid w:val="00A82174"/>
    <w:rsid w:val="00A829DC"/>
    <w:rsid w:val="00A82A76"/>
    <w:rsid w:val="00A82D0F"/>
    <w:rsid w:val="00A836DB"/>
    <w:rsid w:val="00A83B15"/>
    <w:rsid w:val="00A83DF8"/>
    <w:rsid w:val="00A8417D"/>
    <w:rsid w:val="00A842B7"/>
    <w:rsid w:val="00A84BC1"/>
    <w:rsid w:val="00A85157"/>
    <w:rsid w:val="00A853AB"/>
    <w:rsid w:val="00A861EC"/>
    <w:rsid w:val="00A86DF7"/>
    <w:rsid w:val="00A87AF6"/>
    <w:rsid w:val="00A90300"/>
    <w:rsid w:val="00A9032C"/>
    <w:rsid w:val="00A90AA9"/>
    <w:rsid w:val="00A9126B"/>
    <w:rsid w:val="00A91550"/>
    <w:rsid w:val="00A91873"/>
    <w:rsid w:val="00A91BB7"/>
    <w:rsid w:val="00A92204"/>
    <w:rsid w:val="00A927F1"/>
    <w:rsid w:val="00A92DC1"/>
    <w:rsid w:val="00A9375B"/>
    <w:rsid w:val="00A95018"/>
    <w:rsid w:val="00A9515E"/>
    <w:rsid w:val="00A95A75"/>
    <w:rsid w:val="00AA00CB"/>
    <w:rsid w:val="00AA023A"/>
    <w:rsid w:val="00AA0639"/>
    <w:rsid w:val="00AA0D62"/>
    <w:rsid w:val="00AA12FB"/>
    <w:rsid w:val="00AA26D8"/>
    <w:rsid w:val="00AA2F67"/>
    <w:rsid w:val="00AA367F"/>
    <w:rsid w:val="00AA3695"/>
    <w:rsid w:val="00AA3A1A"/>
    <w:rsid w:val="00AA3B5D"/>
    <w:rsid w:val="00AA3E2F"/>
    <w:rsid w:val="00AA4033"/>
    <w:rsid w:val="00AA4402"/>
    <w:rsid w:val="00AA48DE"/>
    <w:rsid w:val="00AA5329"/>
    <w:rsid w:val="00AA54DF"/>
    <w:rsid w:val="00AA5530"/>
    <w:rsid w:val="00AA5697"/>
    <w:rsid w:val="00AA5BDA"/>
    <w:rsid w:val="00AA5CC6"/>
    <w:rsid w:val="00AA7044"/>
    <w:rsid w:val="00AA7239"/>
    <w:rsid w:val="00AA756C"/>
    <w:rsid w:val="00AA7F82"/>
    <w:rsid w:val="00AB146A"/>
    <w:rsid w:val="00AB15C7"/>
    <w:rsid w:val="00AB1B88"/>
    <w:rsid w:val="00AB25D0"/>
    <w:rsid w:val="00AB300A"/>
    <w:rsid w:val="00AB379F"/>
    <w:rsid w:val="00AB3D63"/>
    <w:rsid w:val="00AB3ECD"/>
    <w:rsid w:val="00AB4D59"/>
    <w:rsid w:val="00AB5257"/>
    <w:rsid w:val="00AB5581"/>
    <w:rsid w:val="00AB5C23"/>
    <w:rsid w:val="00AB6614"/>
    <w:rsid w:val="00AB662B"/>
    <w:rsid w:val="00AB7D51"/>
    <w:rsid w:val="00AB7D98"/>
    <w:rsid w:val="00AC1136"/>
    <w:rsid w:val="00AC1281"/>
    <w:rsid w:val="00AC1513"/>
    <w:rsid w:val="00AC210A"/>
    <w:rsid w:val="00AC2BC3"/>
    <w:rsid w:val="00AC3133"/>
    <w:rsid w:val="00AC3338"/>
    <w:rsid w:val="00AC33D2"/>
    <w:rsid w:val="00AC3842"/>
    <w:rsid w:val="00AC3DEF"/>
    <w:rsid w:val="00AC47F7"/>
    <w:rsid w:val="00AC5803"/>
    <w:rsid w:val="00AC5BA2"/>
    <w:rsid w:val="00AC5C27"/>
    <w:rsid w:val="00AC602B"/>
    <w:rsid w:val="00AC7AE9"/>
    <w:rsid w:val="00AD0E3D"/>
    <w:rsid w:val="00AD2FBD"/>
    <w:rsid w:val="00AD4391"/>
    <w:rsid w:val="00AD47DD"/>
    <w:rsid w:val="00AD4B4E"/>
    <w:rsid w:val="00AD4B83"/>
    <w:rsid w:val="00AD5C37"/>
    <w:rsid w:val="00AD61C3"/>
    <w:rsid w:val="00AD698E"/>
    <w:rsid w:val="00AD6D45"/>
    <w:rsid w:val="00AD6E24"/>
    <w:rsid w:val="00AD7D89"/>
    <w:rsid w:val="00AE0506"/>
    <w:rsid w:val="00AE19E9"/>
    <w:rsid w:val="00AE1A97"/>
    <w:rsid w:val="00AE2095"/>
    <w:rsid w:val="00AE26A2"/>
    <w:rsid w:val="00AE28B1"/>
    <w:rsid w:val="00AE28EB"/>
    <w:rsid w:val="00AE2B16"/>
    <w:rsid w:val="00AE2F24"/>
    <w:rsid w:val="00AE31D1"/>
    <w:rsid w:val="00AE3C96"/>
    <w:rsid w:val="00AE45FC"/>
    <w:rsid w:val="00AE5682"/>
    <w:rsid w:val="00AE6348"/>
    <w:rsid w:val="00AE6432"/>
    <w:rsid w:val="00AE6818"/>
    <w:rsid w:val="00AE69DE"/>
    <w:rsid w:val="00AE7192"/>
    <w:rsid w:val="00AE756A"/>
    <w:rsid w:val="00AE789A"/>
    <w:rsid w:val="00AF040E"/>
    <w:rsid w:val="00AF1325"/>
    <w:rsid w:val="00AF13CD"/>
    <w:rsid w:val="00AF1B7F"/>
    <w:rsid w:val="00AF22E3"/>
    <w:rsid w:val="00AF258E"/>
    <w:rsid w:val="00AF2634"/>
    <w:rsid w:val="00AF3280"/>
    <w:rsid w:val="00AF3B03"/>
    <w:rsid w:val="00AF3BB9"/>
    <w:rsid w:val="00AF4B8B"/>
    <w:rsid w:val="00AF4E6F"/>
    <w:rsid w:val="00AF5249"/>
    <w:rsid w:val="00AF5D3E"/>
    <w:rsid w:val="00AF5D60"/>
    <w:rsid w:val="00AF6031"/>
    <w:rsid w:val="00AF623D"/>
    <w:rsid w:val="00AF69C0"/>
    <w:rsid w:val="00AF6C46"/>
    <w:rsid w:val="00AF6CB6"/>
    <w:rsid w:val="00AF6CF7"/>
    <w:rsid w:val="00AF7087"/>
    <w:rsid w:val="00B00891"/>
    <w:rsid w:val="00B00949"/>
    <w:rsid w:val="00B00D3C"/>
    <w:rsid w:val="00B0169E"/>
    <w:rsid w:val="00B01889"/>
    <w:rsid w:val="00B02275"/>
    <w:rsid w:val="00B03FD1"/>
    <w:rsid w:val="00B044B2"/>
    <w:rsid w:val="00B0484E"/>
    <w:rsid w:val="00B04FEC"/>
    <w:rsid w:val="00B06288"/>
    <w:rsid w:val="00B06538"/>
    <w:rsid w:val="00B07A42"/>
    <w:rsid w:val="00B104F1"/>
    <w:rsid w:val="00B10E04"/>
    <w:rsid w:val="00B116F9"/>
    <w:rsid w:val="00B119DA"/>
    <w:rsid w:val="00B12444"/>
    <w:rsid w:val="00B1278D"/>
    <w:rsid w:val="00B1299A"/>
    <w:rsid w:val="00B13230"/>
    <w:rsid w:val="00B1476B"/>
    <w:rsid w:val="00B14E69"/>
    <w:rsid w:val="00B15542"/>
    <w:rsid w:val="00B159DC"/>
    <w:rsid w:val="00B15C49"/>
    <w:rsid w:val="00B160C9"/>
    <w:rsid w:val="00B1646B"/>
    <w:rsid w:val="00B166AE"/>
    <w:rsid w:val="00B1694C"/>
    <w:rsid w:val="00B16D15"/>
    <w:rsid w:val="00B1705E"/>
    <w:rsid w:val="00B17DD0"/>
    <w:rsid w:val="00B20265"/>
    <w:rsid w:val="00B20B8A"/>
    <w:rsid w:val="00B21368"/>
    <w:rsid w:val="00B21ED4"/>
    <w:rsid w:val="00B22532"/>
    <w:rsid w:val="00B24337"/>
    <w:rsid w:val="00B24BDD"/>
    <w:rsid w:val="00B25757"/>
    <w:rsid w:val="00B25853"/>
    <w:rsid w:val="00B260BF"/>
    <w:rsid w:val="00B26AC2"/>
    <w:rsid w:val="00B273A2"/>
    <w:rsid w:val="00B27432"/>
    <w:rsid w:val="00B27862"/>
    <w:rsid w:val="00B278AA"/>
    <w:rsid w:val="00B27910"/>
    <w:rsid w:val="00B27B29"/>
    <w:rsid w:val="00B27B2D"/>
    <w:rsid w:val="00B27E77"/>
    <w:rsid w:val="00B3011F"/>
    <w:rsid w:val="00B30124"/>
    <w:rsid w:val="00B3037B"/>
    <w:rsid w:val="00B30CAC"/>
    <w:rsid w:val="00B315AF"/>
    <w:rsid w:val="00B332A6"/>
    <w:rsid w:val="00B3363C"/>
    <w:rsid w:val="00B33CD1"/>
    <w:rsid w:val="00B33DB4"/>
    <w:rsid w:val="00B34112"/>
    <w:rsid w:val="00B356C1"/>
    <w:rsid w:val="00B35884"/>
    <w:rsid w:val="00B3649D"/>
    <w:rsid w:val="00B36517"/>
    <w:rsid w:val="00B36868"/>
    <w:rsid w:val="00B36F71"/>
    <w:rsid w:val="00B372E5"/>
    <w:rsid w:val="00B374DF"/>
    <w:rsid w:val="00B3766B"/>
    <w:rsid w:val="00B402D2"/>
    <w:rsid w:val="00B404FF"/>
    <w:rsid w:val="00B40A1E"/>
    <w:rsid w:val="00B40CBB"/>
    <w:rsid w:val="00B410A2"/>
    <w:rsid w:val="00B41524"/>
    <w:rsid w:val="00B4203E"/>
    <w:rsid w:val="00B42083"/>
    <w:rsid w:val="00B4219E"/>
    <w:rsid w:val="00B42465"/>
    <w:rsid w:val="00B42FFA"/>
    <w:rsid w:val="00B43C85"/>
    <w:rsid w:val="00B442FD"/>
    <w:rsid w:val="00B44791"/>
    <w:rsid w:val="00B44B4E"/>
    <w:rsid w:val="00B44C6B"/>
    <w:rsid w:val="00B44F8C"/>
    <w:rsid w:val="00B450C6"/>
    <w:rsid w:val="00B460AE"/>
    <w:rsid w:val="00B46D2B"/>
    <w:rsid w:val="00B50A3B"/>
    <w:rsid w:val="00B5112E"/>
    <w:rsid w:val="00B516B6"/>
    <w:rsid w:val="00B51814"/>
    <w:rsid w:val="00B5222D"/>
    <w:rsid w:val="00B52C78"/>
    <w:rsid w:val="00B53DB0"/>
    <w:rsid w:val="00B547E8"/>
    <w:rsid w:val="00B54943"/>
    <w:rsid w:val="00B555D6"/>
    <w:rsid w:val="00B56798"/>
    <w:rsid w:val="00B5686B"/>
    <w:rsid w:val="00B56E90"/>
    <w:rsid w:val="00B57351"/>
    <w:rsid w:val="00B57AD4"/>
    <w:rsid w:val="00B57E47"/>
    <w:rsid w:val="00B57F3E"/>
    <w:rsid w:val="00B6033F"/>
    <w:rsid w:val="00B60B57"/>
    <w:rsid w:val="00B60C34"/>
    <w:rsid w:val="00B614E8"/>
    <w:rsid w:val="00B62253"/>
    <w:rsid w:val="00B6268E"/>
    <w:rsid w:val="00B62D3A"/>
    <w:rsid w:val="00B62D4B"/>
    <w:rsid w:val="00B639E6"/>
    <w:rsid w:val="00B63C59"/>
    <w:rsid w:val="00B6413C"/>
    <w:rsid w:val="00B64CF7"/>
    <w:rsid w:val="00B6517F"/>
    <w:rsid w:val="00B652ED"/>
    <w:rsid w:val="00B65500"/>
    <w:rsid w:val="00B666B6"/>
    <w:rsid w:val="00B667E8"/>
    <w:rsid w:val="00B6703F"/>
    <w:rsid w:val="00B71185"/>
    <w:rsid w:val="00B7209F"/>
    <w:rsid w:val="00B728CC"/>
    <w:rsid w:val="00B72B4E"/>
    <w:rsid w:val="00B72D73"/>
    <w:rsid w:val="00B73101"/>
    <w:rsid w:val="00B73132"/>
    <w:rsid w:val="00B740A4"/>
    <w:rsid w:val="00B74221"/>
    <w:rsid w:val="00B74D55"/>
    <w:rsid w:val="00B751FA"/>
    <w:rsid w:val="00B753F5"/>
    <w:rsid w:val="00B7569D"/>
    <w:rsid w:val="00B8086A"/>
    <w:rsid w:val="00B81DEB"/>
    <w:rsid w:val="00B82597"/>
    <w:rsid w:val="00B82C95"/>
    <w:rsid w:val="00B83A62"/>
    <w:rsid w:val="00B85246"/>
    <w:rsid w:val="00B85321"/>
    <w:rsid w:val="00B85440"/>
    <w:rsid w:val="00B85BEA"/>
    <w:rsid w:val="00B86499"/>
    <w:rsid w:val="00B867F7"/>
    <w:rsid w:val="00B86C4B"/>
    <w:rsid w:val="00B873D2"/>
    <w:rsid w:val="00B87CBD"/>
    <w:rsid w:val="00B900F8"/>
    <w:rsid w:val="00B907EE"/>
    <w:rsid w:val="00B90DB2"/>
    <w:rsid w:val="00B926E8"/>
    <w:rsid w:val="00B93524"/>
    <w:rsid w:val="00B93799"/>
    <w:rsid w:val="00B940D2"/>
    <w:rsid w:val="00B94668"/>
    <w:rsid w:val="00B95E24"/>
    <w:rsid w:val="00B962AB"/>
    <w:rsid w:val="00B96307"/>
    <w:rsid w:val="00B965AE"/>
    <w:rsid w:val="00B96FC3"/>
    <w:rsid w:val="00B9714F"/>
    <w:rsid w:val="00B9717E"/>
    <w:rsid w:val="00B974A2"/>
    <w:rsid w:val="00B97828"/>
    <w:rsid w:val="00B97CFC"/>
    <w:rsid w:val="00B97EC5"/>
    <w:rsid w:val="00BA03EE"/>
    <w:rsid w:val="00BA1C7E"/>
    <w:rsid w:val="00BA1E84"/>
    <w:rsid w:val="00BA2038"/>
    <w:rsid w:val="00BA2CC3"/>
    <w:rsid w:val="00BA30CE"/>
    <w:rsid w:val="00BA30F1"/>
    <w:rsid w:val="00BA4119"/>
    <w:rsid w:val="00BA4D6C"/>
    <w:rsid w:val="00BA5B53"/>
    <w:rsid w:val="00BA709C"/>
    <w:rsid w:val="00BA71B1"/>
    <w:rsid w:val="00BA7418"/>
    <w:rsid w:val="00BA762F"/>
    <w:rsid w:val="00BA7818"/>
    <w:rsid w:val="00BA7A53"/>
    <w:rsid w:val="00BA7A55"/>
    <w:rsid w:val="00BB006E"/>
    <w:rsid w:val="00BB0273"/>
    <w:rsid w:val="00BB0353"/>
    <w:rsid w:val="00BB054A"/>
    <w:rsid w:val="00BB0A13"/>
    <w:rsid w:val="00BB0DB8"/>
    <w:rsid w:val="00BB108D"/>
    <w:rsid w:val="00BB16CF"/>
    <w:rsid w:val="00BB1CCD"/>
    <w:rsid w:val="00BB1E3C"/>
    <w:rsid w:val="00BB2811"/>
    <w:rsid w:val="00BB2E72"/>
    <w:rsid w:val="00BB3056"/>
    <w:rsid w:val="00BB3DCA"/>
    <w:rsid w:val="00BB423A"/>
    <w:rsid w:val="00BB4257"/>
    <w:rsid w:val="00BB44B9"/>
    <w:rsid w:val="00BB4FCB"/>
    <w:rsid w:val="00BB618E"/>
    <w:rsid w:val="00BB674A"/>
    <w:rsid w:val="00BB6CE9"/>
    <w:rsid w:val="00BB6DBE"/>
    <w:rsid w:val="00BB70ED"/>
    <w:rsid w:val="00BB72D2"/>
    <w:rsid w:val="00BB789F"/>
    <w:rsid w:val="00BC08D3"/>
    <w:rsid w:val="00BC19AF"/>
    <w:rsid w:val="00BC1E7B"/>
    <w:rsid w:val="00BC296A"/>
    <w:rsid w:val="00BC33C7"/>
    <w:rsid w:val="00BC3CD5"/>
    <w:rsid w:val="00BC3FB1"/>
    <w:rsid w:val="00BC49D1"/>
    <w:rsid w:val="00BC4B0D"/>
    <w:rsid w:val="00BC4D84"/>
    <w:rsid w:val="00BC585A"/>
    <w:rsid w:val="00BC5B22"/>
    <w:rsid w:val="00BC5BBB"/>
    <w:rsid w:val="00BC6E7B"/>
    <w:rsid w:val="00BC7201"/>
    <w:rsid w:val="00BC723A"/>
    <w:rsid w:val="00BC7805"/>
    <w:rsid w:val="00BD0453"/>
    <w:rsid w:val="00BD080D"/>
    <w:rsid w:val="00BD0DBD"/>
    <w:rsid w:val="00BD1315"/>
    <w:rsid w:val="00BD1470"/>
    <w:rsid w:val="00BD3289"/>
    <w:rsid w:val="00BD368C"/>
    <w:rsid w:val="00BD3C9A"/>
    <w:rsid w:val="00BD3F2E"/>
    <w:rsid w:val="00BD45CA"/>
    <w:rsid w:val="00BD46E5"/>
    <w:rsid w:val="00BD4C23"/>
    <w:rsid w:val="00BD55CB"/>
    <w:rsid w:val="00BD5BDC"/>
    <w:rsid w:val="00BD5D56"/>
    <w:rsid w:val="00BD630D"/>
    <w:rsid w:val="00BD6741"/>
    <w:rsid w:val="00BD736B"/>
    <w:rsid w:val="00BD737D"/>
    <w:rsid w:val="00BD743C"/>
    <w:rsid w:val="00BE015B"/>
    <w:rsid w:val="00BE046B"/>
    <w:rsid w:val="00BE0E92"/>
    <w:rsid w:val="00BE0EF2"/>
    <w:rsid w:val="00BE195D"/>
    <w:rsid w:val="00BE217C"/>
    <w:rsid w:val="00BE23FF"/>
    <w:rsid w:val="00BE2612"/>
    <w:rsid w:val="00BE2AA4"/>
    <w:rsid w:val="00BE2FB2"/>
    <w:rsid w:val="00BE55C5"/>
    <w:rsid w:val="00BE5DC9"/>
    <w:rsid w:val="00BE67AB"/>
    <w:rsid w:val="00BE7C52"/>
    <w:rsid w:val="00BF031B"/>
    <w:rsid w:val="00BF05F3"/>
    <w:rsid w:val="00BF0F6B"/>
    <w:rsid w:val="00BF0FE9"/>
    <w:rsid w:val="00BF164F"/>
    <w:rsid w:val="00BF2130"/>
    <w:rsid w:val="00BF2374"/>
    <w:rsid w:val="00BF2FE2"/>
    <w:rsid w:val="00BF32F1"/>
    <w:rsid w:val="00BF389E"/>
    <w:rsid w:val="00BF3CC7"/>
    <w:rsid w:val="00BF3DB8"/>
    <w:rsid w:val="00BF4175"/>
    <w:rsid w:val="00BF42B7"/>
    <w:rsid w:val="00BF4808"/>
    <w:rsid w:val="00BF4996"/>
    <w:rsid w:val="00BF5922"/>
    <w:rsid w:val="00C00388"/>
    <w:rsid w:val="00C00405"/>
    <w:rsid w:val="00C01EA4"/>
    <w:rsid w:val="00C024D3"/>
    <w:rsid w:val="00C032A1"/>
    <w:rsid w:val="00C03BB8"/>
    <w:rsid w:val="00C03D84"/>
    <w:rsid w:val="00C04CD3"/>
    <w:rsid w:val="00C0546A"/>
    <w:rsid w:val="00C066D8"/>
    <w:rsid w:val="00C10ECE"/>
    <w:rsid w:val="00C10F5D"/>
    <w:rsid w:val="00C11055"/>
    <w:rsid w:val="00C1134F"/>
    <w:rsid w:val="00C11818"/>
    <w:rsid w:val="00C1294E"/>
    <w:rsid w:val="00C12CB7"/>
    <w:rsid w:val="00C1364F"/>
    <w:rsid w:val="00C13F75"/>
    <w:rsid w:val="00C1434D"/>
    <w:rsid w:val="00C1477D"/>
    <w:rsid w:val="00C14FAF"/>
    <w:rsid w:val="00C151B7"/>
    <w:rsid w:val="00C152B8"/>
    <w:rsid w:val="00C20BDA"/>
    <w:rsid w:val="00C21781"/>
    <w:rsid w:val="00C226BF"/>
    <w:rsid w:val="00C226D7"/>
    <w:rsid w:val="00C22AC8"/>
    <w:rsid w:val="00C2362E"/>
    <w:rsid w:val="00C23E01"/>
    <w:rsid w:val="00C2417B"/>
    <w:rsid w:val="00C2439C"/>
    <w:rsid w:val="00C25482"/>
    <w:rsid w:val="00C25A52"/>
    <w:rsid w:val="00C25F73"/>
    <w:rsid w:val="00C26537"/>
    <w:rsid w:val="00C26F99"/>
    <w:rsid w:val="00C27078"/>
    <w:rsid w:val="00C270C6"/>
    <w:rsid w:val="00C2790C"/>
    <w:rsid w:val="00C302C6"/>
    <w:rsid w:val="00C30B75"/>
    <w:rsid w:val="00C31006"/>
    <w:rsid w:val="00C310F9"/>
    <w:rsid w:val="00C31283"/>
    <w:rsid w:val="00C3323F"/>
    <w:rsid w:val="00C33387"/>
    <w:rsid w:val="00C34A52"/>
    <w:rsid w:val="00C3522D"/>
    <w:rsid w:val="00C35D93"/>
    <w:rsid w:val="00C36336"/>
    <w:rsid w:val="00C37AAF"/>
    <w:rsid w:val="00C37B67"/>
    <w:rsid w:val="00C40486"/>
    <w:rsid w:val="00C40A3F"/>
    <w:rsid w:val="00C417AA"/>
    <w:rsid w:val="00C41D2F"/>
    <w:rsid w:val="00C41D63"/>
    <w:rsid w:val="00C420B7"/>
    <w:rsid w:val="00C4244C"/>
    <w:rsid w:val="00C42A5D"/>
    <w:rsid w:val="00C42C95"/>
    <w:rsid w:val="00C430C9"/>
    <w:rsid w:val="00C43909"/>
    <w:rsid w:val="00C43D2B"/>
    <w:rsid w:val="00C44978"/>
    <w:rsid w:val="00C45C9F"/>
    <w:rsid w:val="00C465F9"/>
    <w:rsid w:val="00C466ED"/>
    <w:rsid w:val="00C47091"/>
    <w:rsid w:val="00C470F0"/>
    <w:rsid w:val="00C4774E"/>
    <w:rsid w:val="00C478A4"/>
    <w:rsid w:val="00C478D7"/>
    <w:rsid w:val="00C479A3"/>
    <w:rsid w:val="00C504D7"/>
    <w:rsid w:val="00C51C5D"/>
    <w:rsid w:val="00C52231"/>
    <w:rsid w:val="00C5282B"/>
    <w:rsid w:val="00C52898"/>
    <w:rsid w:val="00C52B3B"/>
    <w:rsid w:val="00C52F0D"/>
    <w:rsid w:val="00C53A93"/>
    <w:rsid w:val="00C54342"/>
    <w:rsid w:val="00C5505E"/>
    <w:rsid w:val="00C5575D"/>
    <w:rsid w:val="00C5592C"/>
    <w:rsid w:val="00C55E70"/>
    <w:rsid w:val="00C5602E"/>
    <w:rsid w:val="00C568EA"/>
    <w:rsid w:val="00C57425"/>
    <w:rsid w:val="00C57B19"/>
    <w:rsid w:val="00C57ECB"/>
    <w:rsid w:val="00C601E1"/>
    <w:rsid w:val="00C602FB"/>
    <w:rsid w:val="00C61166"/>
    <w:rsid w:val="00C62235"/>
    <w:rsid w:val="00C63352"/>
    <w:rsid w:val="00C63625"/>
    <w:rsid w:val="00C63A97"/>
    <w:rsid w:val="00C63CA7"/>
    <w:rsid w:val="00C642E9"/>
    <w:rsid w:val="00C64CB6"/>
    <w:rsid w:val="00C6513C"/>
    <w:rsid w:val="00C654ED"/>
    <w:rsid w:val="00C66F1F"/>
    <w:rsid w:val="00C66F6B"/>
    <w:rsid w:val="00C67484"/>
    <w:rsid w:val="00C67775"/>
    <w:rsid w:val="00C67A91"/>
    <w:rsid w:val="00C67BE1"/>
    <w:rsid w:val="00C70B3A"/>
    <w:rsid w:val="00C71265"/>
    <w:rsid w:val="00C71723"/>
    <w:rsid w:val="00C71CD7"/>
    <w:rsid w:val="00C7201B"/>
    <w:rsid w:val="00C730C6"/>
    <w:rsid w:val="00C738F8"/>
    <w:rsid w:val="00C73F00"/>
    <w:rsid w:val="00C740B1"/>
    <w:rsid w:val="00C75C46"/>
    <w:rsid w:val="00C76256"/>
    <w:rsid w:val="00C76537"/>
    <w:rsid w:val="00C7778D"/>
    <w:rsid w:val="00C77B0D"/>
    <w:rsid w:val="00C80F06"/>
    <w:rsid w:val="00C821C2"/>
    <w:rsid w:val="00C82621"/>
    <w:rsid w:val="00C831B6"/>
    <w:rsid w:val="00C83966"/>
    <w:rsid w:val="00C83F96"/>
    <w:rsid w:val="00C845F3"/>
    <w:rsid w:val="00C84E9A"/>
    <w:rsid w:val="00C85146"/>
    <w:rsid w:val="00C85617"/>
    <w:rsid w:val="00C85ABF"/>
    <w:rsid w:val="00C85FF3"/>
    <w:rsid w:val="00C8672F"/>
    <w:rsid w:val="00C86BF4"/>
    <w:rsid w:val="00C8708B"/>
    <w:rsid w:val="00C91216"/>
    <w:rsid w:val="00C91705"/>
    <w:rsid w:val="00C92307"/>
    <w:rsid w:val="00C925C2"/>
    <w:rsid w:val="00C93533"/>
    <w:rsid w:val="00C93CE7"/>
    <w:rsid w:val="00C9525E"/>
    <w:rsid w:val="00C96A43"/>
    <w:rsid w:val="00C96BDC"/>
    <w:rsid w:val="00C979BC"/>
    <w:rsid w:val="00C979D8"/>
    <w:rsid w:val="00C97A24"/>
    <w:rsid w:val="00CA131D"/>
    <w:rsid w:val="00CA18AC"/>
    <w:rsid w:val="00CA23B8"/>
    <w:rsid w:val="00CA2A3F"/>
    <w:rsid w:val="00CA2AA1"/>
    <w:rsid w:val="00CA2D27"/>
    <w:rsid w:val="00CA30D6"/>
    <w:rsid w:val="00CA3746"/>
    <w:rsid w:val="00CA49E3"/>
    <w:rsid w:val="00CA5420"/>
    <w:rsid w:val="00CA5B8B"/>
    <w:rsid w:val="00CA5E93"/>
    <w:rsid w:val="00CA6518"/>
    <w:rsid w:val="00CA6B5C"/>
    <w:rsid w:val="00CA6DB2"/>
    <w:rsid w:val="00CA7451"/>
    <w:rsid w:val="00CA787B"/>
    <w:rsid w:val="00CA7A5E"/>
    <w:rsid w:val="00CA7FE9"/>
    <w:rsid w:val="00CB04B2"/>
    <w:rsid w:val="00CB061C"/>
    <w:rsid w:val="00CB153D"/>
    <w:rsid w:val="00CB1BA1"/>
    <w:rsid w:val="00CB1DFC"/>
    <w:rsid w:val="00CB25DF"/>
    <w:rsid w:val="00CB2D83"/>
    <w:rsid w:val="00CB38CF"/>
    <w:rsid w:val="00CB3FA4"/>
    <w:rsid w:val="00CB4450"/>
    <w:rsid w:val="00CB5198"/>
    <w:rsid w:val="00CB54EF"/>
    <w:rsid w:val="00CB5EE5"/>
    <w:rsid w:val="00CB602C"/>
    <w:rsid w:val="00CB625C"/>
    <w:rsid w:val="00CB6902"/>
    <w:rsid w:val="00CB6F14"/>
    <w:rsid w:val="00CC07D6"/>
    <w:rsid w:val="00CC11E5"/>
    <w:rsid w:val="00CC161D"/>
    <w:rsid w:val="00CC17AE"/>
    <w:rsid w:val="00CC1D97"/>
    <w:rsid w:val="00CC2562"/>
    <w:rsid w:val="00CC2AEA"/>
    <w:rsid w:val="00CC319B"/>
    <w:rsid w:val="00CC392D"/>
    <w:rsid w:val="00CC437E"/>
    <w:rsid w:val="00CC45FB"/>
    <w:rsid w:val="00CC4753"/>
    <w:rsid w:val="00CC4810"/>
    <w:rsid w:val="00CC4CFF"/>
    <w:rsid w:val="00CC5678"/>
    <w:rsid w:val="00CC6969"/>
    <w:rsid w:val="00CC6C2B"/>
    <w:rsid w:val="00CC76A9"/>
    <w:rsid w:val="00CC7A76"/>
    <w:rsid w:val="00CC7EEA"/>
    <w:rsid w:val="00CD0075"/>
    <w:rsid w:val="00CD0FDF"/>
    <w:rsid w:val="00CD1357"/>
    <w:rsid w:val="00CD16DD"/>
    <w:rsid w:val="00CD17F8"/>
    <w:rsid w:val="00CD2295"/>
    <w:rsid w:val="00CD330C"/>
    <w:rsid w:val="00CD33F6"/>
    <w:rsid w:val="00CD38D3"/>
    <w:rsid w:val="00CD3938"/>
    <w:rsid w:val="00CD4DB8"/>
    <w:rsid w:val="00CD4F2A"/>
    <w:rsid w:val="00CD5388"/>
    <w:rsid w:val="00CD60B5"/>
    <w:rsid w:val="00CD6735"/>
    <w:rsid w:val="00CD787B"/>
    <w:rsid w:val="00CD7AD8"/>
    <w:rsid w:val="00CD7C8B"/>
    <w:rsid w:val="00CD7F4A"/>
    <w:rsid w:val="00CE026A"/>
    <w:rsid w:val="00CE0F39"/>
    <w:rsid w:val="00CE1192"/>
    <w:rsid w:val="00CE1BE4"/>
    <w:rsid w:val="00CE2900"/>
    <w:rsid w:val="00CE3288"/>
    <w:rsid w:val="00CE34CB"/>
    <w:rsid w:val="00CE3568"/>
    <w:rsid w:val="00CE4955"/>
    <w:rsid w:val="00CE4E1F"/>
    <w:rsid w:val="00CE561C"/>
    <w:rsid w:val="00CE6695"/>
    <w:rsid w:val="00CE764E"/>
    <w:rsid w:val="00CF0EE2"/>
    <w:rsid w:val="00CF1041"/>
    <w:rsid w:val="00CF1053"/>
    <w:rsid w:val="00CF1289"/>
    <w:rsid w:val="00CF1ACA"/>
    <w:rsid w:val="00CF1C0D"/>
    <w:rsid w:val="00CF1D57"/>
    <w:rsid w:val="00CF1F8E"/>
    <w:rsid w:val="00CF4560"/>
    <w:rsid w:val="00CF4930"/>
    <w:rsid w:val="00CF4B9E"/>
    <w:rsid w:val="00CF4DA2"/>
    <w:rsid w:val="00CF54EC"/>
    <w:rsid w:val="00CF68E0"/>
    <w:rsid w:val="00CF78BD"/>
    <w:rsid w:val="00CF7DAE"/>
    <w:rsid w:val="00D00317"/>
    <w:rsid w:val="00D00CE8"/>
    <w:rsid w:val="00D0132F"/>
    <w:rsid w:val="00D01FE3"/>
    <w:rsid w:val="00D039F9"/>
    <w:rsid w:val="00D0582E"/>
    <w:rsid w:val="00D07B9A"/>
    <w:rsid w:val="00D10AAD"/>
    <w:rsid w:val="00D10BDA"/>
    <w:rsid w:val="00D11351"/>
    <w:rsid w:val="00D1139F"/>
    <w:rsid w:val="00D115EB"/>
    <w:rsid w:val="00D11A18"/>
    <w:rsid w:val="00D124AF"/>
    <w:rsid w:val="00D12ECA"/>
    <w:rsid w:val="00D14196"/>
    <w:rsid w:val="00D14FB8"/>
    <w:rsid w:val="00D16452"/>
    <w:rsid w:val="00D16A5D"/>
    <w:rsid w:val="00D173D5"/>
    <w:rsid w:val="00D175FA"/>
    <w:rsid w:val="00D200A9"/>
    <w:rsid w:val="00D20CCC"/>
    <w:rsid w:val="00D21109"/>
    <w:rsid w:val="00D2118F"/>
    <w:rsid w:val="00D2145B"/>
    <w:rsid w:val="00D217CF"/>
    <w:rsid w:val="00D21AE8"/>
    <w:rsid w:val="00D23606"/>
    <w:rsid w:val="00D23B3C"/>
    <w:rsid w:val="00D23BBE"/>
    <w:rsid w:val="00D24480"/>
    <w:rsid w:val="00D248AC"/>
    <w:rsid w:val="00D24938"/>
    <w:rsid w:val="00D24CDC"/>
    <w:rsid w:val="00D25968"/>
    <w:rsid w:val="00D2616A"/>
    <w:rsid w:val="00D2681D"/>
    <w:rsid w:val="00D2691C"/>
    <w:rsid w:val="00D2697F"/>
    <w:rsid w:val="00D26C0E"/>
    <w:rsid w:val="00D270EC"/>
    <w:rsid w:val="00D30295"/>
    <w:rsid w:val="00D30A1A"/>
    <w:rsid w:val="00D3109E"/>
    <w:rsid w:val="00D31312"/>
    <w:rsid w:val="00D3152F"/>
    <w:rsid w:val="00D327E3"/>
    <w:rsid w:val="00D32ECF"/>
    <w:rsid w:val="00D332CC"/>
    <w:rsid w:val="00D33F7F"/>
    <w:rsid w:val="00D344B2"/>
    <w:rsid w:val="00D35484"/>
    <w:rsid w:val="00D35843"/>
    <w:rsid w:val="00D35AF7"/>
    <w:rsid w:val="00D35D12"/>
    <w:rsid w:val="00D35F35"/>
    <w:rsid w:val="00D364C8"/>
    <w:rsid w:val="00D36547"/>
    <w:rsid w:val="00D36FA6"/>
    <w:rsid w:val="00D37606"/>
    <w:rsid w:val="00D37C79"/>
    <w:rsid w:val="00D40C14"/>
    <w:rsid w:val="00D418E1"/>
    <w:rsid w:val="00D41E85"/>
    <w:rsid w:val="00D4214E"/>
    <w:rsid w:val="00D422B0"/>
    <w:rsid w:val="00D425B9"/>
    <w:rsid w:val="00D42DDB"/>
    <w:rsid w:val="00D43ABD"/>
    <w:rsid w:val="00D449FD"/>
    <w:rsid w:val="00D453C4"/>
    <w:rsid w:val="00D4548B"/>
    <w:rsid w:val="00D45997"/>
    <w:rsid w:val="00D45B76"/>
    <w:rsid w:val="00D462F2"/>
    <w:rsid w:val="00D465AA"/>
    <w:rsid w:val="00D4741B"/>
    <w:rsid w:val="00D50408"/>
    <w:rsid w:val="00D50902"/>
    <w:rsid w:val="00D5096A"/>
    <w:rsid w:val="00D50B15"/>
    <w:rsid w:val="00D51334"/>
    <w:rsid w:val="00D515F1"/>
    <w:rsid w:val="00D51952"/>
    <w:rsid w:val="00D52251"/>
    <w:rsid w:val="00D52D18"/>
    <w:rsid w:val="00D52F55"/>
    <w:rsid w:val="00D52FA1"/>
    <w:rsid w:val="00D535DB"/>
    <w:rsid w:val="00D5361E"/>
    <w:rsid w:val="00D53A27"/>
    <w:rsid w:val="00D53A7D"/>
    <w:rsid w:val="00D56080"/>
    <w:rsid w:val="00D6046F"/>
    <w:rsid w:val="00D60AFF"/>
    <w:rsid w:val="00D617FF"/>
    <w:rsid w:val="00D629EA"/>
    <w:rsid w:val="00D62B1F"/>
    <w:rsid w:val="00D6352C"/>
    <w:rsid w:val="00D64ECB"/>
    <w:rsid w:val="00D65D50"/>
    <w:rsid w:val="00D65EF1"/>
    <w:rsid w:val="00D660E8"/>
    <w:rsid w:val="00D66304"/>
    <w:rsid w:val="00D70313"/>
    <w:rsid w:val="00D711D8"/>
    <w:rsid w:val="00D7173B"/>
    <w:rsid w:val="00D71805"/>
    <w:rsid w:val="00D71984"/>
    <w:rsid w:val="00D7204E"/>
    <w:rsid w:val="00D720EF"/>
    <w:rsid w:val="00D722A4"/>
    <w:rsid w:val="00D728B8"/>
    <w:rsid w:val="00D729D5"/>
    <w:rsid w:val="00D73B0D"/>
    <w:rsid w:val="00D73F03"/>
    <w:rsid w:val="00D7415A"/>
    <w:rsid w:val="00D741C2"/>
    <w:rsid w:val="00D74B4A"/>
    <w:rsid w:val="00D75022"/>
    <w:rsid w:val="00D7520A"/>
    <w:rsid w:val="00D761EE"/>
    <w:rsid w:val="00D76B4E"/>
    <w:rsid w:val="00D76CB2"/>
    <w:rsid w:val="00D81EC8"/>
    <w:rsid w:val="00D84E21"/>
    <w:rsid w:val="00D8516E"/>
    <w:rsid w:val="00D86971"/>
    <w:rsid w:val="00D86C17"/>
    <w:rsid w:val="00D86D38"/>
    <w:rsid w:val="00D872D2"/>
    <w:rsid w:val="00D87B29"/>
    <w:rsid w:val="00D87BE5"/>
    <w:rsid w:val="00D87DE8"/>
    <w:rsid w:val="00D90608"/>
    <w:rsid w:val="00D90875"/>
    <w:rsid w:val="00D90A53"/>
    <w:rsid w:val="00D919B5"/>
    <w:rsid w:val="00D9248A"/>
    <w:rsid w:val="00D9375D"/>
    <w:rsid w:val="00D939F2"/>
    <w:rsid w:val="00D94131"/>
    <w:rsid w:val="00D94427"/>
    <w:rsid w:val="00D954FA"/>
    <w:rsid w:val="00D95CF6"/>
    <w:rsid w:val="00D95DD0"/>
    <w:rsid w:val="00D9629F"/>
    <w:rsid w:val="00D971E7"/>
    <w:rsid w:val="00D97542"/>
    <w:rsid w:val="00D97941"/>
    <w:rsid w:val="00DA0443"/>
    <w:rsid w:val="00DA05B3"/>
    <w:rsid w:val="00DA0BC8"/>
    <w:rsid w:val="00DA1819"/>
    <w:rsid w:val="00DA2306"/>
    <w:rsid w:val="00DA23FC"/>
    <w:rsid w:val="00DA2589"/>
    <w:rsid w:val="00DA2BEF"/>
    <w:rsid w:val="00DA401C"/>
    <w:rsid w:val="00DA427E"/>
    <w:rsid w:val="00DA42A9"/>
    <w:rsid w:val="00DA51D8"/>
    <w:rsid w:val="00DA52EA"/>
    <w:rsid w:val="00DA5E7B"/>
    <w:rsid w:val="00DA6A05"/>
    <w:rsid w:val="00DA6A4B"/>
    <w:rsid w:val="00DA718E"/>
    <w:rsid w:val="00DA7998"/>
    <w:rsid w:val="00DA7AF8"/>
    <w:rsid w:val="00DA7B97"/>
    <w:rsid w:val="00DB0142"/>
    <w:rsid w:val="00DB01EC"/>
    <w:rsid w:val="00DB063F"/>
    <w:rsid w:val="00DB08B2"/>
    <w:rsid w:val="00DB0A89"/>
    <w:rsid w:val="00DB0BBB"/>
    <w:rsid w:val="00DB0F62"/>
    <w:rsid w:val="00DB1696"/>
    <w:rsid w:val="00DB1AD5"/>
    <w:rsid w:val="00DB1D18"/>
    <w:rsid w:val="00DB1DB6"/>
    <w:rsid w:val="00DB23ED"/>
    <w:rsid w:val="00DB2515"/>
    <w:rsid w:val="00DB2BA1"/>
    <w:rsid w:val="00DB35FB"/>
    <w:rsid w:val="00DB3727"/>
    <w:rsid w:val="00DB3FB9"/>
    <w:rsid w:val="00DB44A6"/>
    <w:rsid w:val="00DB528D"/>
    <w:rsid w:val="00DB5B26"/>
    <w:rsid w:val="00DB6665"/>
    <w:rsid w:val="00DB67BB"/>
    <w:rsid w:val="00DC0769"/>
    <w:rsid w:val="00DC0B4E"/>
    <w:rsid w:val="00DC1354"/>
    <w:rsid w:val="00DC1775"/>
    <w:rsid w:val="00DC1901"/>
    <w:rsid w:val="00DC1C54"/>
    <w:rsid w:val="00DC272B"/>
    <w:rsid w:val="00DC33A4"/>
    <w:rsid w:val="00DC3B4E"/>
    <w:rsid w:val="00DC47C7"/>
    <w:rsid w:val="00DC4F13"/>
    <w:rsid w:val="00DC4FE8"/>
    <w:rsid w:val="00DC5309"/>
    <w:rsid w:val="00DC53AC"/>
    <w:rsid w:val="00DC5D44"/>
    <w:rsid w:val="00DC7DF7"/>
    <w:rsid w:val="00DD17EB"/>
    <w:rsid w:val="00DD18C9"/>
    <w:rsid w:val="00DD1F0E"/>
    <w:rsid w:val="00DD2BE6"/>
    <w:rsid w:val="00DD31A7"/>
    <w:rsid w:val="00DD376A"/>
    <w:rsid w:val="00DD4185"/>
    <w:rsid w:val="00DD49DD"/>
    <w:rsid w:val="00DD4C0D"/>
    <w:rsid w:val="00DD4C9B"/>
    <w:rsid w:val="00DD4D18"/>
    <w:rsid w:val="00DD563E"/>
    <w:rsid w:val="00DD5C29"/>
    <w:rsid w:val="00DD6BF9"/>
    <w:rsid w:val="00DE0470"/>
    <w:rsid w:val="00DE0AE6"/>
    <w:rsid w:val="00DE1471"/>
    <w:rsid w:val="00DE1753"/>
    <w:rsid w:val="00DE189A"/>
    <w:rsid w:val="00DE2194"/>
    <w:rsid w:val="00DE2251"/>
    <w:rsid w:val="00DE2AB6"/>
    <w:rsid w:val="00DE2FA2"/>
    <w:rsid w:val="00DE44F7"/>
    <w:rsid w:val="00DE4962"/>
    <w:rsid w:val="00DE5B80"/>
    <w:rsid w:val="00DE774A"/>
    <w:rsid w:val="00DF0E3D"/>
    <w:rsid w:val="00DF0F9F"/>
    <w:rsid w:val="00DF1A4B"/>
    <w:rsid w:val="00DF21A4"/>
    <w:rsid w:val="00DF2381"/>
    <w:rsid w:val="00DF2922"/>
    <w:rsid w:val="00DF2D06"/>
    <w:rsid w:val="00DF3B01"/>
    <w:rsid w:val="00DF3DC8"/>
    <w:rsid w:val="00DF402A"/>
    <w:rsid w:val="00DF458D"/>
    <w:rsid w:val="00DF4A4A"/>
    <w:rsid w:val="00DF4C63"/>
    <w:rsid w:val="00DF519A"/>
    <w:rsid w:val="00DF5FBE"/>
    <w:rsid w:val="00DF61D0"/>
    <w:rsid w:val="00DF6A97"/>
    <w:rsid w:val="00DF715D"/>
    <w:rsid w:val="00DF7DCC"/>
    <w:rsid w:val="00E0012D"/>
    <w:rsid w:val="00E00532"/>
    <w:rsid w:val="00E00B9C"/>
    <w:rsid w:val="00E00DF0"/>
    <w:rsid w:val="00E014C0"/>
    <w:rsid w:val="00E0152A"/>
    <w:rsid w:val="00E0158F"/>
    <w:rsid w:val="00E0192D"/>
    <w:rsid w:val="00E03637"/>
    <w:rsid w:val="00E03FB5"/>
    <w:rsid w:val="00E0496B"/>
    <w:rsid w:val="00E05016"/>
    <w:rsid w:val="00E06505"/>
    <w:rsid w:val="00E0680E"/>
    <w:rsid w:val="00E06933"/>
    <w:rsid w:val="00E06AD3"/>
    <w:rsid w:val="00E07F05"/>
    <w:rsid w:val="00E10EB5"/>
    <w:rsid w:val="00E11BE2"/>
    <w:rsid w:val="00E11CB0"/>
    <w:rsid w:val="00E11CB3"/>
    <w:rsid w:val="00E1223C"/>
    <w:rsid w:val="00E13A45"/>
    <w:rsid w:val="00E13CCF"/>
    <w:rsid w:val="00E14B66"/>
    <w:rsid w:val="00E14C79"/>
    <w:rsid w:val="00E1563F"/>
    <w:rsid w:val="00E16245"/>
    <w:rsid w:val="00E16312"/>
    <w:rsid w:val="00E16323"/>
    <w:rsid w:val="00E16B59"/>
    <w:rsid w:val="00E16FEC"/>
    <w:rsid w:val="00E17066"/>
    <w:rsid w:val="00E205DF"/>
    <w:rsid w:val="00E20656"/>
    <w:rsid w:val="00E20780"/>
    <w:rsid w:val="00E21A9E"/>
    <w:rsid w:val="00E21DBE"/>
    <w:rsid w:val="00E21FC3"/>
    <w:rsid w:val="00E22478"/>
    <w:rsid w:val="00E232AE"/>
    <w:rsid w:val="00E23372"/>
    <w:rsid w:val="00E23A2D"/>
    <w:rsid w:val="00E24014"/>
    <w:rsid w:val="00E24A16"/>
    <w:rsid w:val="00E24E58"/>
    <w:rsid w:val="00E24F0C"/>
    <w:rsid w:val="00E252F0"/>
    <w:rsid w:val="00E255D5"/>
    <w:rsid w:val="00E2588C"/>
    <w:rsid w:val="00E2664B"/>
    <w:rsid w:val="00E3003E"/>
    <w:rsid w:val="00E3022B"/>
    <w:rsid w:val="00E306DA"/>
    <w:rsid w:val="00E316D9"/>
    <w:rsid w:val="00E32E67"/>
    <w:rsid w:val="00E330C5"/>
    <w:rsid w:val="00E33AC9"/>
    <w:rsid w:val="00E3413B"/>
    <w:rsid w:val="00E344E6"/>
    <w:rsid w:val="00E353E9"/>
    <w:rsid w:val="00E35BEF"/>
    <w:rsid w:val="00E363E9"/>
    <w:rsid w:val="00E36EA9"/>
    <w:rsid w:val="00E373ED"/>
    <w:rsid w:val="00E409BF"/>
    <w:rsid w:val="00E40A37"/>
    <w:rsid w:val="00E414E2"/>
    <w:rsid w:val="00E41664"/>
    <w:rsid w:val="00E4168B"/>
    <w:rsid w:val="00E41B0F"/>
    <w:rsid w:val="00E4281D"/>
    <w:rsid w:val="00E43255"/>
    <w:rsid w:val="00E435BC"/>
    <w:rsid w:val="00E43879"/>
    <w:rsid w:val="00E44044"/>
    <w:rsid w:val="00E441BF"/>
    <w:rsid w:val="00E44E68"/>
    <w:rsid w:val="00E4535B"/>
    <w:rsid w:val="00E4592C"/>
    <w:rsid w:val="00E46222"/>
    <w:rsid w:val="00E46705"/>
    <w:rsid w:val="00E467DF"/>
    <w:rsid w:val="00E474D1"/>
    <w:rsid w:val="00E47864"/>
    <w:rsid w:val="00E47BD0"/>
    <w:rsid w:val="00E47DAC"/>
    <w:rsid w:val="00E501A6"/>
    <w:rsid w:val="00E501EB"/>
    <w:rsid w:val="00E503F5"/>
    <w:rsid w:val="00E5076A"/>
    <w:rsid w:val="00E50DBB"/>
    <w:rsid w:val="00E51309"/>
    <w:rsid w:val="00E5165A"/>
    <w:rsid w:val="00E51968"/>
    <w:rsid w:val="00E52403"/>
    <w:rsid w:val="00E53D32"/>
    <w:rsid w:val="00E53E39"/>
    <w:rsid w:val="00E540AF"/>
    <w:rsid w:val="00E55777"/>
    <w:rsid w:val="00E56196"/>
    <w:rsid w:val="00E565F0"/>
    <w:rsid w:val="00E56B33"/>
    <w:rsid w:val="00E56C37"/>
    <w:rsid w:val="00E57AB9"/>
    <w:rsid w:val="00E60272"/>
    <w:rsid w:val="00E60643"/>
    <w:rsid w:val="00E6250E"/>
    <w:rsid w:val="00E625B9"/>
    <w:rsid w:val="00E626D9"/>
    <w:rsid w:val="00E636AB"/>
    <w:rsid w:val="00E640B9"/>
    <w:rsid w:val="00E64C3E"/>
    <w:rsid w:val="00E65652"/>
    <w:rsid w:val="00E6576C"/>
    <w:rsid w:val="00E65B69"/>
    <w:rsid w:val="00E67A4B"/>
    <w:rsid w:val="00E70C20"/>
    <w:rsid w:val="00E70D73"/>
    <w:rsid w:val="00E711F0"/>
    <w:rsid w:val="00E733C4"/>
    <w:rsid w:val="00E73606"/>
    <w:rsid w:val="00E7374D"/>
    <w:rsid w:val="00E73D04"/>
    <w:rsid w:val="00E7461B"/>
    <w:rsid w:val="00E7484B"/>
    <w:rsid w:val="00E750A5"/>
    <w:rsid w:val="00E750AF"/>
    <w:rsid w:val="00E761A1"/>
    <w:rsid w:val="00E7658E"/>
    <w:rsid w:val="00E76BCC"/>
    <w:rsid w:val="00E7793F"/>
    <w:rsid w:val="00E80796"/>
    <w:rsid w:val="00E80B14"/>
    <w:rsid w:val="00E826FF"/>
    <w:rsid w:val="00E82BD9"/>
    <w:rsid w:val="00E83F55"/>
    <w:rsid w:val="00E84760"/>
    <w:rsid w:val="00E8476C"/>
    <w:rsid w:val="00E84CA7"/>
    <w:rsid w:val="00E84E31"/>
    <w:rsid w:val="00E856C5"/>
    <w:rsid w:val="00E85934"/>
    <w:rsid w:val="00E8613D"/>
    <w:rsid w:val="00E86509"/>
    <w:rsid w:val="00E86DD1"/>
    <w:rsid w:val="00E87AD4"/>
    <w:rsid w:val="00E91201"/>
    <w:rsid w:val="00E91207"/>
    <w:rsid w:val="00E91CC2"/>
    <w:rsid w:val="00E939C7"/>
    <w:rsid w:val="00E943CA"/>
    <w:rsid w:val="00E95A51"/>
    <w:rsid w:val="00E96D01"/>
    <w:rsid w:val="00E973CA"/>
    <w:rsid w:val="00EA04E4"/>
    <w:rsid w:val="00EA0C40"/>
    <w:rsid w:val="00EA0FC6"/>
    <w:rsid w:val="00EA1C34"/>
    <w:rsid w:val="00EA2978"/>
    <w:rsid w:val="00EA2F88"/>
    <w:rsid w:val="00EA3450"/>
    <w:rsid w:val="00EA437D"/>
    <w:rsid w:val="00EA5879"/>
    <w:rsid w:val="00EA5C4C"/>
    <w:rsid w:val="00EA5F4B"/>
    <w:rsid w:val="00EA6A04"/>
    <w:rsid w:val="00EA6ABD"/>
    <w:rsid w:val="00EA7622"/>
    <w:rsid w:val="00EA7A80"/>
    <w:rsid w:val="00EB06C3"/>
    <w:rsid w:val="00EB0B43"/>
    <w:rsid w:val="00EB1F2C"/>
    <w:rsid w:val="00EB24C1"/>
    <w:rsid w:val="00EB25A7"/>
    <w:rsid w:val="00EB29FE"/>
    <w:rsid w:val="00EB2A29"/>
    <w:rsid w:val="00EB3012"/>
    <w:rsid w:val="00EB3E72"/>
    <w:rsid w:val="00EB4193"/>
    <w:rsid w:val="00EB54FC"/>
    <w:rsid w:val="00EB5BFB"/>
    <w:rsid w:val="00EB718C"/>
    <w:rsid w:val="00EB7472"/>
    <w:rsid w:val="00EB7667"/>
    <w:rsid w:val="00EB7B44"/>
    <w:rsid w:val="00EC03AB"/>
    <w:rsid w:val="00EC0BF9"/>
    <w:rsid w:val="00EC0C20"/>
    <w:rsid w:val="00EC0C63"/>
    <w:rsid w:val="00EC21E4"/>
    <w:rsid w:val="00EC3531"/>
    <w:rsid w:val="00EC3911"/>
    <w:rsid w:val="00EC438F"/>
    <w:rsid w:val="00EC5552"/>
    <w:rsid w:val="00EC5A39"/>
    <w:rsid w:val="00EC60E0"/>
    <w:rsid w:val="00EC6B08"/>
    <w:rsid w:val="00EC6D5D"/>
    <w:rsid w:val="00EC71E5"/>
    <w:rsid w:val="00EC7ECE"/>
    <w:rsid w:val="00ED00EB"/>
    <w:rsid w:val="00ED0A9A"/>
    <w:rsid w:val="00ED13C7"/>
    <w:rsid w:val="00ED1A4B"/>
    <w:rsid w:val="00ED1AD2"/>
    <w:rsid w:val="00ED1C10"/>
    <w:rsid w:val="00ED1DAC"/>
    <w:rsid w:val="00ED2717"/>
    <w:rsid w:val="00ED2DAA"/>
    <w:rsid w:val="00ED32B8"/>
    <w:rsid w:val="00ED3581"/>
    <w:rsid w:val="00ED3718"/>
    <w:rsid w:val="00ED3A9B"/>
    <w:rsid w:val="00ED438A"/>
    <w:rsid w:val="00ED475F"/>
    <w:rsid w:val="00ED5886"/>
    <w:rsid w:val="00ED6065"/>
    <w:rsid w:val="00ED63EC"/>
    <w:rsid w:val="00ED6F68"/>
    <w:rsid w:val="00ED701C"/>
    <w:rsid w:val="00ED7692"/>
    <w:rsid w:val="00ED7815"/>
    <w:rsid w:val="00ED7E10"/>
    <w:rsid w:val="00EE05C0"/>
    <w:rsid w:val="00EE0737"/>
    <w:rsid w:val="00EE0CAD"/>
    <w:rsid w:val="00EE206D"/>
    <w:rsid w:val="00EE28AB"/>
    <w:rsid w:val="00EE4080"/>
    <w:rsid w:val="00EE51C2"/>
    <w:rsid w:val="00EE58F2"/>
    <w:rsid w:val="00EE5923"/>
    <w:rsid w:val="00EE5EFB"/>
    <w:rsid w:val="00EE62E5"/>
    <w:rsid w:val="00EE7633"/>
    <w:rsid w:val="00EF0149"/>
    <w:rsid w:val="00EF0507"/>
    <w:rsid w:val="00EF0741"/>
    <w:rsid w:val="00EF14EF"/>
    <w:rsid w:val="00EF22F0"/>
    <w:rsid w:val="00EF2CB6"/>
    <w:rsid w:val="00EF3064"/>
    <w:rsid w:val="00EF3356"/>
    <w:rsid w:val="00EF33BE"/>
    <w:rsid w:val="00EF34BD"/>
    <w:rsid w:val="00EF37FB"/>
    <w:rsid w:val="00EF3C4E"/>
    <w:rsid w:val="00EF3FDC"/>
    <w:rsid w:val="00EF40A5"/>
    <w:rsid w:val="00EF4214"/>
    <w:rsid w:val="00EF536B"/>
    <w:rsid w:val="00EF57CE"/>
    <w:rsid w:val="00EF5AB2"/>
    <w:rsid w:val="00EF5F58"/>
    <w:rsid w:val="00EF608D"/>
    <w:rsid w:val="00EF61AD"/>
    <w:rsid w:val="00EF658A"/>
    <w:rsid w:val="00EF73D4"/>
    <w:rsid w:val="00EF791F"/>
    <w:rsid w:val="00EF7998"/>
    <w:rsid w:val="00EF7A22"/>
    <w:rsid w:val="00EF7A6F"/>
    <w:rsid w:val="00EF7CC1"/>
    <w:rsid w:val="00F01E16"/>
    <w:rsid w:val="00F02CC1"/>
    <w:rsid w:val="00F0307C"/>
    <w:rsid w:val="00F037E7"/>
    <w:rsid w:val="00F03B1F"/>
    <w:rsid w:val="00F03BD3"/>
    <w:rsid w:val="00F03E4D"/>
    <w:rsid w:val="00F0404B"/>
    <w:rsid w:val="00F045AD"/>
    <w:rsid w:val="00F04602"/>
    <w:rsid w:val="00F05BAB"/>
    <w:rsid w:val="00F060B8"/>
    <w:rsid w:val="00F062AB"/>
    <w:rsid w:val="00F0674E"/>
    <w:rsid w:val="00F06C91"/>
    <w:rsid w:val="00F071EC"/>
    <w:rsid w:val="00F0739D"/>
    <w:rsid w:val="00F07528"/>
    <w:rsid w:val="00F07E79"/>
    <w:rsid w:val="00F10062"/>
    <w:rsid w:val="00F102AD"/>
    <w:rsid w:val="00F107C8"/>
    <w:rsid w:val="00F108B2"/>
    <w:rsid w:val="00F10B18"/>
    <w:rsid w:val="00F10C36"/>
    <w:rsid w:val="00F11CB2"/>
    <w:rsid w:val="00F126A3"/>
    <w:rsid w:val="00F12F18"/>
    <w:rsid w:val="00F1397A"/>
    <w:rsid w:val="00F13B49"/>
    <w:rsid w:val="00F13EB3"/>
    <w:rsid w:val="00F1402D"/>
    <w:rsid w:val="00F14678"/>
    <w:rsid w:val="00F148CC"/>
    <w:rsid w:val="00F14CF1"/>
    <w:rsid w:val="00F14F12"/>
    <w:rsid w:val="00F1578B"/>
    <w:rsid w:val="00F16D44"/>
    <w:rsid w:val="00F1721B"/>
    <w:rsid w:val="00F17389"/>
    <w:rsid w:val="00F1755B"/>
    <w:rsid w:val="00F175A8"/>
    <w:rsid w:val="00F176B1"/>
    <w:rsid w:val="00F20065"/>
    <w:rsid w:val="00F20438"/>
    <w:rsid w:val="00F205AF"/>
    <w:rsid w:val="00F20FEC"/>
    <w:rsid w:val="00F21C7E"/>
    <w:rsid w:val="00F2334B"/>
    <w:rsid w:val="00F23AEE"/>
    <w:rsid w:val="00F23E85"/>
    <w:rsid w:val="00F251A9"/>
    <w:rsid w:val="00F2523C"/>
    <w:rsid w:val="00F26123"/>
    <w:rsid w:val="00F26336"/>
    <w:rsid w:val="00F26767"/>
    <w:rsid w:val="00F268DE"/>
    <w:rsid w:val="00F2698F"/>
    <w:rsid w:val="00F26F3C"/>
    <w:rsid w:val="00F270F4"/>
    <w:rsid w:val="00F27232"/>
    <w:rsid w:val="00F27730"/>
    <w:rsid w:val="00F31384"/>
    <w:rsid w:val="00F3147B"/>
    <w:rsid w:val="00F326E3"/>
    <w:rsid w:val="00F32DA9"/>
    <w:rsid w:val="00F32FC5"/>
    <w:rsid w:val="00F33277"/>
    <w:rsid w:val="00F345CE"/>
    <w:rsid w:val="00F34C97"/>
    <w:rsid w:val="00F34CDE"/>
    <w:rsid w:val="00F3553A"/>
    <w:rsid w:val="00F36260"/>
    <w:rsid w:val="00F365CD"/>
    <w:rsid w:val="00F36743"/>
    <w:rsid w:val="00F37CF5"/>
    <w:rsid w:val="00F4058F"/>
    <w:rsid w:val="00F4099A"/>
    <w:rsid w:val="00F41268"/>
    <w:rsid w:val="00F4133E"/>
    <w:rsid w:val="00F41923"/>
    <w:rsid w:val="00F41A88"/>
    <w:rsid w:val="00F42070"/>
    <w:rsid w:val="00F43763"/>
    <w:rsid w:val="00F4399E"/>
    <w:rsid w:val="00F446FC"/>
    <w:rsid w:val="00F4481E"/>
    <w:rsid w:val="00F469B4"/>
    <w:rsid w:val="00F46B84"/>
    <w:rsid w:val="00F46B9A"/>
    <w:rsid w:val="00F47B42"/>
    <w:rsid w:val="00F47C42"/>
    <w:rsid w:val="00F50043"/>
    <w:rsid w:val="00F50573"/>
    <w:rsid w:val="00F510BE"/>
    <w:rsid w:val="00F511B9"/>
    <w:rsid w:val="00F52819"/>
    <w:rsid w:val="00F52A59"/>
    <w:rsid w:val="00F52D8B"/>
    <w:rsid w:val="00F53749"/>
    <w:rsid w:val="00F54B05"/>
    <w:rsid w:val="00F54BA5"/>
    <w:rsid w:val="00F557C3"/>
    <w:rsid w:val="00F559D1"/>
    <w:rsid w:val="00F5630D"/>
    <w:rsid w:val="00F56708"/>
    <w:rsid w:val="00F56712"/>
    <w:rsid w:val="00F56E15"/>
    <w:rsid w:val="00F56F50"/>
    <w:rsid w:val="00F576DA"/>
    <w:rsid w:val="00F57F46"/>
    <w:rsid w:val="00F6029F"/>
    <w:rsid w:val="00F609B8"/>
    <w:rsid w:val="00F61259"/>
    <w:rsid w:val="00F618C5"/>
    <w:rsid w:val="00F624AD"/>
    <w:rsid w:val="00F63232"/>
    <w:rsid w:val="00F641BE"/>
    <w:rsid w:val="00F64799"/>
    <w:rsid w:val="00F64E26"/>
    <w:rsid w:val="00F65031"/>
    <w:rsid w:val="00F65DB5"/>
    <w:rsid w:val="00F6615F"/>
    <w:rsid w:val="00F665A5"/>
    <w:rsid w:val="00F66D16"/>
    <w:rsid w:val="00F67157"/>
    <w:rsid w:val="00F673DA"/>
    <w:rsid w:val="00F67595"/>
    <w:rsid w:val="00F67B77"/>
    <w:rsid w:val="00F67FE9"/>
    <w:rsid w:val="00F71021"/>
    <w:rsid w:val="00F7124D"/>
    <w:rsid w:val="00F71757"/>
    <w:rsid w:val="00F72024"/>
    <w:rsid w:val="00F72A16"/>
    <w:rsid w:val="00F72B96"/>
    <w:rsid w:val="00F72E25"/>
    <w:rsid w:val="00F734B3"/>
    <w:rsid w:val="00F737AD"/>
    <w:rsid w:val="00F738AA"/>
    <w:rsid w:val="00F74494"/>
    <w:rsid w:val="00F745B5"/>
    <w:rsid w:val="00F750CE"/>
    <w:rsid w:val="00F762FA"/>
    <w:rsid w:val="00F768AD"/>
    <w:rsid w:val="00F771D5"/>
    <w:rsid w:val="00F7725C"/>
    <w:rsid w:val="00F77D1B"/>
    <w:rsid w:val="00F77D60"/>
    <w:rsid w:val="00F77F3D"/>
    <w:rsid w:val="00F803C0"/>
    <w:rsid w:val="00F82C47"/>
    <w:rsid w:val="00F83456"/>
    <w:rsid w:val="00F83628"/>
    <w:rsid w:val="00F83875"/>
    <w:rsid w:val="00F83A4F"/>
    <w:rsid w:val="00F83BDA"/>
    <w:rsid w:val="00F847A5"/>
    <w:rsid w:val="00F8486E"/>
    <w:rsid w:val="00F84D77"/>
    <w:rsid w:val="00F866AD"/>
    <w:rsid w:val="00F87171"/>
    <w:rsid w:val="00F87621"/>
    <w:rsid w:val="00F87DA4"/>
    <w:rsid w:val="00F87DAF"/>
    <w:rsid w:val="00F87E05"/>
    <w:rsid w:val="00F87EDB"/>
    <w:rsid w:val="00F92547"/>
    <w:rsid w:val="00F92643"/>
    <w:rsid w:val="00F9384D"/>
    <w:rsid w:val="00F93D1B"/>
    <w:rsid w:val="00F9493B"/>
    <w:rsid w:val="00F96874"/>
    <w:rsid w:val="00F9704E"/>
    <w:rsid w:val="00F97082"/>
    <w:rsid w:val="00F975DA"/>
    <w:rsid w:val="00F97A9B"/>
    <w:rsid w:val="00F97CD4"/>
    <w:rsid w:val="00FA023A"/>
    <w:rsid w:val="00FA07F3"/>
    <w:rsid w:val="00FA0DE0"/>
    <w:rsid w:val="00FA15FD"/>
    <w:rsid w:val="00FA1C9A"/>
    <w:rsid w:val="00FA34D5"/>
    <w:rsid w:val="00FA3896"/>
    <w:rsid w:val="00FA422E"/>
    <w:rsid w:val="00FA4994"/>
    <w:rsid w:val="00FA5199"/>
    <w:rsid w:val="00FA6BB1"/>
    <w:rsid w:val="00FA71D3"/>
    <w:rsid w:val="00FA7508"/>
    <w:rsid w:val="00FB0075"/>
    <w:rsid w:val="00FB1D47"/>
    <w:rsid w:val="00FB3456"/>
    <w:rsid w:val="00FB357A"/>
    <w:rsid w:val="00FB4131"/>
    <w:rsid w:val="00FB50FD"/>
    <w:rsid w:val="00FB5316"/>
    <w:rsid w:val="00FB6579"/>
    <w:rsid w:val="00FB6B8B"/>
    <w:rsid w:val="00FB6C55"/>
    <w:rsid w:val="00FB706D"/>
    <w:rsid w:val="00FB70B5"/>
    <w:rsid w:val="00FB74D5"/>
    <w:rsid w:val="00FC0B5F"/>
    <w:rsid w:val="00FC250E"/>
    <w:rsid w:val="00FC3759"/>
    <w:rsid w:val="00FC3EDF"/>
    <w:rsid w:val="00FC4453"/>
    <w:rsid w:val="00FC590B"/>
    <w:rsid w:val="00FC6AED"/>
    <w:rsid w:val="00FC79EF"/>
    <w:rsid w:val="00FC7FEB"/>
    <w:rsid w:val="00FD008B"/>
    <w:rsid w:val="00FD0362"/>
    <w:rsid w:val="00FD06AA"/>
    <w:rsid w:val="00FD10FA"/>
    <w:rsid w:val="00FD1110"/>
    <w:rsid w:val="00FD11F0"/>
    <w:rsid w:val="00FD140C"/>
    <w:rsid w:val="00FD3769"/>
    <w:rsid w:val="00FD39BE"/>
    <w:rsid w:val="00FD3D98"/>
    <w:rsid w:val="00FD50A4"/>
    <w:rsid w:val="00FD5A38"/>
    <w:rsid w:val="00FD6BE4"/>
    <w:rsid w:val="00FD6D5F"/>
    <w:rsid w:val="00FD74A7"/>
    <w:rsid w:val="00FD7D58"/>
    <w:rsid w:val="00FE015D"/>
    <w:rsid w:val="00FE0E7A"/>
    <w:rsid w:val="00FE190B"/>
    <w:rsid w:val="00FE1FA7"/>
    <w:rsid w:val="00FE2DDD"/>
    <w:rsid w:val="00FE3BD0"/>
    <w:rsid w:val="00FE3C3F"/>
    <w:rsid w:val="00FE420F"/>
    <w:rsid w:val="00FE457F"/>
    <w:rsid w:val="00FE4629"/>
    <w:rsid w:val="00FE490F"/>
    <w:rsid w:val="00FE52AC"/>
    <w:rsid w:val="00FE60B7"/>
    <w:rsid w:val="00FE6A6E"/>
    <w:rsid w:val="00FE6EFC"/>
    <w:rsid w:val="00FF0422"/>
    <w:rsid w:val="00FF0A2B"/>
    <w:rsid w:val="00FF0B51"/>
    <w:rsid w:val="00FF1E36"/>
    <w:rsid w:val="00FF25B8"/>
    <w:rsid w:val="00FF2988"/>
    <w:rsid w:val="00FF304E"/>
    <w:rsid w:val="00FF340F"/>
    <w:rsid w:val="00FF480E"/>
    <w:rsid w:val="00FF554B"/>
    <w:rsid w:val="00FF5E3B"/>
    <w:rsid w:val="00FF71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enu v:ext="edit" strokecolor="none"/>
    </o:shapedefaults>
    <o:shapelayout v:ext="edit">
      <o:idmap v:ext="edit" data="1"/>
    </o:shapelayout>
  </w:shapeDefaults>
  <w:decimalSymbol w:val=","/>
  <w:listSeparator w:val=";"/>
  <w15:docId w15:val="{44C979CF-370C-4C5A-8F5C-821E6C24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39E5"/>
    <w:rPr>
      <w:rFonts w:ascii="Arial" w:hAnsi="Arial"/>
      <w:sz w:val="24"/>
      <w:szCs w:val="24"/>
    </w:rPr>
  </w:style>
  <w:style w:type="paragraph" w:styleId="Nadpis1">
    <w:name w:val="heading 1"/>
    <w:basedOn w:val="Normln"/>
    <w:next w:val="Normln"/>
    <w:link w:val="Nadpis1Char1"/>
    <w:uiPriority w:val="99"/>
    <w:qFormat/>
    <w:rsid w:val="00074A01"/>
    <w:pPr>
      <w:keepNext/>
      <w:keepLines/>
      <w:suppressAutoHyphens/>
      <w:overflowPunct w:val="0"/>
      <w:autoSpaceDE w:val="0"/>
      <w:autoSpaceDN w:val="0"/>
      <w:adjustRightInd w:val="0"/>
      <w:spacing w:before="480" w:after="240"/>
      <w:textAlignment w:val="baseline"/>
      <w:outlineLvl w:val="0"/>
    </w:pPr>
    <w:rPr>
      <w:rFonts w:ascii="Arial Narrow" w:hAnsi="Arial Narrow"/>
      <w:b/>
      <w:kern w:val="36"/>
      <w:sz w:val="36"/>
      <w:szCs w:val="20"/>
    </w:rPr>
  </w:style>
  <w:style w:type="paragraph" w:styleId="Nadpis2">
    <w:name w:val="heading 2"/>
    <w:basedOn w:val="Normln"/>
    <w:next w:val="Normln"/>
    <w:link w:val="Nadpis2Char1"/>
    <w:uiPriority w:val="99"/>
    <w:qFormat/>
    <w:rsid w:val="00074A01"/>
    <w:pPr>
      <w:keepNext/>
      <w:spacing w:before="240" w:after="60"/>
      <w:outlineLvl w:val="1"/>
    </w:pPr>
    <w:rPr>
      <w:rFonts w:ascii="Cambria" w:hAnsi="Cambria"/>
      <w:b/>
      <w:bCs/>
      <w:i/>
      <w:iCs/>
      <w:sz w:val="28"/>
      <w:szCs w:val="28"/>
    </w:rPr>
  </w:style>
  <w:style w:type="paragraph" w:styleId="Nadpis3">
    <w:name w:val="heading 3"/>
    <w:basedOn w:val="Normln"/>
    <w:next w:val="Normln"/>
    <w:link w:val="Nadpis3Char1"/>
    <w:uiPriority w:val="99"/>
    <w:qFormat/>
    <w:rsid w:val="00074A01"/>
    <w:pPr>
      <w:keepNext/>
      <w:keepLines/>
      <w:spacing w:before="200"/>
      <w:outlineLvl w:val="2"/>
    </w:pPr>
    <w:rPr>
      <w:rFonts w:ascii="Cambria" w:hAnsi="Cambria"/>
      <w:b/>
      <w:bCs/>
      <w:color w:val="4F81BD"/>
    </w:rPr>
  </w:style>
  <w:style w:type="paragraph" w:styleId="Nadpis4">
    <w:name w:val="heading 4"/>
    <w:basedOn w:val="Normln"/>
    <w:next w:val="Normln"/>
    <w:link w:val="Nadpis4Char1"/>
    <w:uiPriority w:val="99"/>
    <w:qFormat/>
    <w:rsid w:val="00074A01"/>
    <w:pPr>
      <w:keepNext/>
      <w:spacing w:before="240" w:after="60"/>
      <w:outlineLvl w:val="3"/>
    </w:pPr>
    <w:rPr>
      <w:rFonts w:ascii="Calibri" w:hAnsi="Calibri"/>
      <w:b/>
      <w:bCs/>
      <w:sz w:val="28"/>
      <w:szCs w:val="28"/>
    </w:rPr>
  </w:style>
  <w:style w:type="paragraph" w:styleId="Nadpis5">
    <w:name w:val="heading 5"/>
    <w:basedOn w:val="Normln"/>
    <w:next w:val="Normln"/>
    <w:link w:val="Nadpis5Char1"/>
    <w:uiPriority w:val="99"/>
    <w:qFormat/>
    <w:rsid w:val="00074A01"/>
    <w:pPr>
      <w:spacing w:before="240" w:after="60"/>
      <w:outlineLvl w:val="4"/>
    </w:pPr>
    <w:rPr>
      <w:rFonts w:ascii="Calibri" w:hAnsi="Calibri"/>
      <w:b/>
      <w:bCs/>
      <w:i/>
      <w:iCs/>
      <w:sz w:val="26"/>
      <w:szCs w:val="26"/>
    </w:rPr>
  </w:style>
  <w:style w:type="paragraph" w:styleId="Nadpis9">
    <w:name w:val="heading 9"/>
    <w:basedOn w:val="Normln"/>
    <w:next w:val="Normln"/>
    <w:link w:val="Nadpis9Char1"/>
    <w:uiPriority w:val="99"/>
    <w:qFormat/>
    <w:rsid w:val="00074A0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9"/>
    <w:locked/>
    <w:rsid w:val="00DA718E"/>
    <w:rPr>
      <w:rFonts w:ascii="Cambria" w:hAnsi="Cambria" w:cs="Times New Roman"/>
      <w:b/>
      <w:bCs/>
      <w:kern w:val="32"/>
      <w:sz w:val="32"/>
      <w:szCs w:val="32"/>
    </w:rPr>
  </w:style>
  <w:style w:type="character" w:customStyle="1" w:styleId="Nadpis2Char1">
    <w:name w:val="Nadpis 2 Char1"/>
    <w:basedOn w:val="Standardnpsmoodstavce"/>
    <w:link w:val="Nadpis2"/>
    <w:uiPriority w:val="99"/>
    <w:semiHidden/>
    <w:locked/>
    <w:rsid w:val="00DA718E"/>
    <w:rPr>
      <w:rFonts w:ascii="Cambria" w:hAnsi="Cambria" w:cs="Times New Roman"/>
      <w:b/>
      <w:bCs/>
      <w:i/>
      <w:iCs/>
      <w:sz w:val="28"/>
      <w:szCs w:val="28"/>
    </w:rPr>
  </w:style>
  <w:style w:type="character" w:customStyle="1" w:styleId="Nadpis3Char1">
    <w:name w:val="Nadpis 3 Char1"/>
    <w:basedOn w:val="Standardnpsmoodstavce"/>
    <w:link w:val="Nadpis3"/>
    <w:uiPriority w:val="99"/>
    <w:semiHidden/>
    <w:locked/>
    <w:rsid w:val="00DA718E"/>
    <w:rPr>
      <w:rFonts w:ascii="Cambria" w:hAnsi="Cambria" w:cs="Times New Roman"/>
      <w:b/>
      <w:bCs/>
      <w:sz w:val="26"/>
      <w:szCs w:val="26"/>
    </w:rPr>
  </w:style>
  <w:style w:type="character" w:customStyle="1" w:styleId="Nadpis4Char1">
    <w:name w:val="Nadpis 4 Char1"/>
    <w:basedOn w:val="Standardnpsmoodstavce"/>
    <w:link w:val="Nadpis4"/>
    <w:uiPriority w:val="99"/>
    <w:semiHidden/>
    <w:locked/>
    <w:rsid w:val="00DA718E"/>
    <w:rPr>
      <w:rFonts w:ascii="Calibri" w:hAnsi="Calibri" w:cs="Times New Roman"/>
      <w:b/>
      <w:bCs/>
      <w:sz w:val="28"/>
      <w:szCs w:val="28"/>
    </w:rPr>
  </w:style>
  <w:style w:type="character" w:customStyle="1" w:styleId="Nadpis5Char1">
    <w:name w:val="Nadpis 5 Char1"/>
    <w:basedOn w:val="Standardnpsmoodstavce"/>
    <w:link w:val="Nadpis5"/>
    <w:uiPriority w:val="99"/>
    <w:semiHidden/>
    <w:locked/>
    <w:rsid w:val="00DA718E"/>
    <w:rPr>
      <w:rFonts w:ascii="Calibri" w:hAnsi="Calibri" w:cs="Times New Roman"/>
      <w:b/>
      <w:bCs/>
      <w:i/>
      <w:iCs/>
      <w:sz w:val="26"/>
      <w:szCs w:val="26"/>
    </w:rPr>
  </w:style>
  <w:style w:type="character" w:customStyle="1" w:styleId="Nadpis9Char1">
    <w:name w:val="Nadpis 9 Char1"/>
    <w:basedOn w:val="Standardnpsmoodstavce"/>
    <w:link w:val="Nadpis9"/>
    <w:uiPriority w:val="99"/>
    <w:semiHidden/>
    <w:locked/>
    <w:rsid w:val="00DA718E"/>
    <w:rPr>
      <w:rFonts w:ascii="Cambria" w:hAnsi="Cambria" w:cs="Times New Roman"/>
    </w:rPr>
  </w:style>
  <w:style w:type="character" w:customStyle="1" w:styleId="Nadpis1Char">
    <w:name w:val="Nadpis 1 Char"/>
    <w:basedOn w:val="Standardnpsmoodstavce"/>
    <w:uiPriority w:val="99"/>
    <w:rsid w:val="00074A01"/>
    <w:rPr>
      <w:rFonts w:ascii="Arial Narrow" w:hAnsi="Arial Narrow" w:cs="Times New Roman"/>
      <w:b/>
      <w:kern w:val="36"/>
      <w:sz w:val="36"/>
    </w:rPr>
  </w:style>
  <w:style w:type="character" w:customStyle="1" w:styleId="Nadpis2Char">
    <w:name w:val="Nadpis 2 Char"/>
    <w:basedOn w:val="Standardnpsmoodstavce"/>
    <w:uiPriority w:val="99"/>
    <w:rsid w:val="00074A01"/>
    <w:rPr>
      <w:rFonts w:ascii="Cambria" w:hAnsi="Cambria" w:cs="Times New Roman"/>
      <w:b/>
      <w:bCs/>
      <w:i/>
      <w:iCs/>
      <w:sz w:val="28"/>
      <w:szCs w:val="28"/>
    </w:rPr>
  </w:style>
  <w:style w:type="paragraph" w:styleId="Vrazncitt">
    <w:name w:val="Intense Quote"/>
    <w:basedOn w:val="Normln"/>
    <w:next w:val="Normln"/>
    <w:link w:val="VrazncittChar"/>
    <w:uiPriority w:val="99"/>
    <w:qFormat/>
    <w:rsid w:val="00074A01"/>
    <w:pPr>
      <w:pBdr>
        <w:bottom w:val="single" w:sz="4" w:space="4" w:color="4F81BD"/>
      </w:pBdr>
      <w:spacing w:before="200" w:after="280"/>
      <w:ind w:left="936" w:right="936"/>
    </w:pPr>
    <w:rPr>
      <w:b/>
      <w:bCs/>
      <w:i/>
      <w:iCs/>
      <w:color w:val="4F81BD"/>
    </w:rPr>
  </w:style>
  <w:style w:type="character" w:customStyle="1" w:styleId="VrazncittChar">
    <w:name w:val="Výrazný citát Char"/>
    <w:basedOn w:val="Standardnpsmoodstavce"/>
    <w:link w:val="Vrazncitt"/>
    <w:uiPriority w:val="99"/>
    <w:locked/>
    <w:rsid w:val="00DA718E"/>
    <w:rPr>
      <w:rFonts w:ascii="Arial" w:hAnsi="Arial" w:cs="Times New Roman"/>
      <w:b/>
      <w:bCs/>
      <w:i/>
      <w:iCs/>
      <w:color w:val="4F81BD"/>
      <w:sz w:val="24"/>
      <w:szCs w:val="24"/>
    </w:rPr>
  </w:style>
  <w:style w:type="character" w:customStyle="1" w:styleId="CitaceintenzivnChar">
    <w:name w:val="Citace – intenzivní Char"/>
    <w:basedOn w:val="Standardnpsmoodstavce"/>
    <w:uiPriority w:val="99"/>
    <w:rsid w:val="00074A01"/>
    <w:rPr>
      <w:rFonts w:cs="Times New Roman"/>
      <w:b/>
      <w:bCs/>
      <w:i/>
      <w:iCs/>
      <w:color w:val="4F81BD"/>
      <w:sz w:val="24"/>
      <w:szCs w:val="24"/>
    </w:rPr>
  </w:style>
  <w:style w:type="character" w:styleId="Zdraznnintenzivn">
    <w:name w:val="Intense Emphasis"/>
    <w:basedOn w:val="Standardnpsmoodstavce"/>
    <w:uiPriority w:val="99"/>
    <w:qFormat/>
    <w:rsid w:val="00074A01"/>
    <w:rPr>
      <w:rFonts w:cs="Times New Roman"/>
      <w:b/>
      <w:bCs/>
      <w:i/>
      <w:iCs/>
      <w:color w:val="4F81BD"/>
    </w:rPr>
  </w:style>
  <w:style w:type="paragraph" w:customStyle="1" w:styleId="Bn">
    <w:name w:val="Běžný"/>
    <w:basedOn w:val="Normln"/>
    <w:uiPriority w:val="99"/>
    <w:rsid w:val="00074A01"/>
    <w:pPr>
      <w:spacing w:before="40" w:line="276" w:lineRule="auto"/>
      <w:ind w:firstLine="284"/>
      <w:jc w:val="both"/>
    </w:pPr>
    <w:rPr>
      <w:rFonts w:ascii="Palatino Linotype" w:hAnsi="Palatino Linotype"/>
      <w:sz w:val="22"/>
      <w:szCs w:val="22"/>
    </w:rPr>
  </w:style>
  <w:style w:type="character" w:customStyle="1" w:styleId="Nadpis3Char">
    <w:name w:val="Nadpis 3 Char"/>
    <w:basedOn w:val="Standardnpsmoodstavce"/>
    <w:uiPriority w:val="99"/>
    <w:rsid w:val="00074A01"/>
    <w:rPr>
      <w:rFonts w:ascii="Cambria" w:hAnsi="Cambria" w:cs="Times New Roman"/>
      <w:b/>
      <w:bCs/>
      <w:color w:val="4F81BD"/>
      <w:sz w:val="24"/>
      <w:szCs w:val="24"/>
    </w:rPr>
  </w:style>
  <w:style w:type="paragraph" w:styleId="Zkladntext3">
    <w:name w:val="Body Text 3"/>
    <w:basedOn w:val="Normln"/>
    <w:link w:val="Zkladntext3Char1"/>
    <w:uiPriority w:val="99"/>
    <w:rsid w:val="00074A01"/>
    <w:pPr>
      <w:spacing w:after="120"/>
    </w:pPr>
    <w:rPr>
      <w:sz w:val="16"/>
      <w:szCs w:val="16"/>
      <w:lang w:eastAsia="en-US"/>
    </w:rPr>
  </w:style>
  <w:style w:type="character" w:customStyle="1" w:styleId="Zkladntext3Char1">
    <w:name w:val="Základní text 3 Char1"/>
    <w:basedOn w:val="Standardnpsmoodstavce"/>
    <w:link w:val="Zkladntext3"/>
    <w:uiPriority w:val="99"/>
    <w:semiHidden/>
    <w:locked/>
    <w:rsid w:val="00DA718E"/>
    <w:rPr>
      <w:rFonts w:ascii="Arial" w:hAnsi="Arial" w:cs="Times New Roman"/>
      <w:sz w:val="16"/>
      <w:szCs w:val="16"/>
    </w:rPr>
  </w:style>
  <w:style w:type="character" w:customStyle="1" w:styleId="Zkladntext3Char">
    <w:name w:val="Základní text 3 Char"/>
    <w:basedOn w:val="Standardnpsmoodstavce"/>
    <w:uiPriority w:val="99"/>
    <w:rsid w:val="00074A01"/>
    <w:rPr>
      <w:rFonts w:cs="Times New Roman"/>
      <w:sz w:val="16"/>
      <w:szCs w:val="16"/>
      <w:lang w:eastAsia="en-US"/>
    </w:rPr>
  </w:style>
  <w:style w:type="character" w:customStyle="1" w:styleId="Nadpis4Char">
    <w:name w:val="Nadpis 4 Char"/>
    <w:basedOn w:val="Standardnpsmoodstavce"/>
    <w:uiPriority w:val="99"/>
    <w:rsid w:val="00074A01"/>
    <w:rPr>
      <w:rFonts w:ascii="Calibri" w:hAnsi="Calibri" w:cs="Times New Roman"/>
      <w:b/>
      <w:bCs/>
      <w:sz w:val="28"/>
      <w:szCs w:val="28"/>
    </w:rPr>
  </w:style>
  <w:style w:type="character" w:customStyle="1" w:styleId="Nadpis5Char">
    <w:name w:val="Nadpis 5 Char"/>
    <w:basedOn w:val="Standardnpsmoodstavce"/>
    <w:uiPriority w:val="99"/>
    <w:semiHidden/>
    <w:rsid w:val="00074A01"/>
    <w:rPr>
      <w:rFonts w:ascii="Calibri" w:hAnsi="Calibri" w:cs="Times New Roman"/>
      <w:b/>
      <w:bCs/>
      <w:i/>
      <w:iCs/>
      <w:sz w:val="26"/>
      <w:szCs w:val="26"/>
    </w:rPr>
  </w:style>
  <w:style w:type="character" w:customStyle="1" w:styleId="Nadpis9Char">
    <w:name w:val="Nadpis 9 Char"/>
    <w:basedOn w:val="Standardnpsmoodstavce"/>
    <w:uiPriority w:val="99"/>
    <w:semiHidden/>
    <w:rsid w:val="00074A01"/>
    <w:rPr>
      <w:rFonts w:ascii="Cambria" w:hAnsi="Cambria" w:cs="Times New Roman"/>
      <w:sz w:val="22"/>
      <w:szCs w:val="22"/>
    </w:rPr>
  </w:style>
  <w:style w:type="paragraph" w:styleId="Zkladntextodsazen">
    <w:name w:val="Body Text Indent"/>
    <w:basedOn w:val="Normln"/>
    <w:link w:val="ZkladntextodsazenChar1"/>
    <w:uiPriority w:val="99"/>
    <w:rsid w:val="00074A01"/>
    <w:pPr>
      <w:spacing w:after="120"/>
      <w:ind w:left="283"/>
    </w:pPr>
  </w:style>
  <w:style w:type="character" w:customStyle="1" w:styleId="ZkladntextodsazenChar1">
    <w:name w:val="Základní text odsazený Char1"/>
    <w:basedOn w:val="Standardnpsmoodstavce"/>
    <w:link w:val="Zkladntextodsazen"/>
    <w:uiPriority w:val="99"/>
    <w:semiHidden/>
    <w:locked/>
    <w:rsid w:val="00DA718E"/>
    <w:rPr>
      <w:rFonts w:ascii="Arial" w:hAnsi="Arial" w:cs="Times New Roman"/>
      <w:sz w:val="24"/>
      <w:szCs w:val="24"/>
    </w:rPr>
  </w:style>
  <w:style w:type="character" w:customStyle="1" w:styleId="ZkladntextodsazenChar">
    <w:name w:val="Základní text odsazený Char"/>
    <w:basedOn w:val="Standardnpsmoodstavce"/>
    <w:uiPriority w:val="99"/>
    <w:semiHidden/>
    <w:rsid w:val="00074A01"/>
    <w:rPr>
      <w:rFonts w:cs="Times New Roman"/>
      <w:sz w:val="24"/>
      <w:szCs w:val="24"/>
    </w:rPr>
  </w:style>
  <w:style w:type="paragraph" w:customStyle="1" w:styleId="Zkladn">
    <w:name w:val="Základní"/>
    <w:basedOn w:val="Normln"/>
    <w:uiPriority w:val="99"/>
    <w:rsid w:val="00074A01"/>
    <w:pPr>
      <w:spacing w:before="120"/>
      <w:jc w:val="both"/>
    </w:pPr>
    <w:rPr>
      <w:lang w:eastAsia="en-US"/>
    </w:rPr>
  </w:style>
  <w:style w:type="paragraph" w:styleId="Textpoznpodarou">
    <w:name w:val="footnote text"/>
    <w:aliases w:val="fn,pozn. pod čarou,Schriftart: 9 pt,Schriftart: 10 pt,Schriftart: 8 pt,Podrozdział,Podrozdzia3"/>
    <w:basedOn w:val="Normln"/>
    <w:link w:val="TextpoznpodarouChar1"/>
    <w:uiPriority w:val="99"/>
    <w:rsid w:val="00074A01"/>
    <w:rPr>
      <w:sz w:val="20"/>
      <w:szCs w:val="20"/>
    </w:rPr>
  </w:style>
  <w:style w:type="character" w:customStyle="1" w:styleId="TextpoznpodarouChar1">
    <w:name w:val="Text pozn. pod čarou Char1"/>
    <w:aliases w:val="fn Char,pozn. pod čarou Char1,Schriftart: 9 pt Char1,Schriftart: 10 pt Char1,Schriftart: 8 pt Char1,Podrozdział Char1,Podrozdzia3 Char1"/>
    <w:basedOn w:val="Standardnpsmoodstavce"/>
    <w:link w:val="Textpoznpodarou"/>
    <w:uiPriority w:val="99"/>
    <w:semiHidden/>
    <w:locked/>
    <w:rsid w:val="00DA718E"/>
    <w:rPr>
      <w:rFonts w:ascii="Arial" w:hAnsi="Arial" w:cs="Times New Roman"/>
      <w:sz w:val="20"/>
      <w:szCs w:val="20"/>
    </w:rPr>
  </w:style>
  <w:style w:type="character" w:customStyle="1" w:styleId="TextpoznpodarouChar">
    <w:name w:val="Text pozn. pod čarou Char"/>
    <w:aliases w:val="fn Char1,pozn. pod čarou Char,Schriftart: 9 pt Char,Schriftart: 10 pt Char,Schriftart: 8 pt Char,Podrozdział Char,Footnote Char,Podrozdzia3 Char"/>
    <w:basedOn w:val="Standardnpsmoodstavce"/>
    <w:uiPriority w:val="99"/>
    <w:rsid w:val="00074A01"/>
    <w:rPr>
      <w:rFonts w:cs="Times New Roman"/>
    </w:rPr>
  </w:style>
  <w:style w:type="character" w:styleId="Znakapoznpodarou">
    <w:name w:val="footnote reference"/>
    <w:aliases w:val="Footnote,PGI Fußnote Ziffer + Times New Roman,12 b.,Zúžené o ...,PGI Fußnote Ziffer"/>
    <w:basedOn w:val="Standardnpsmoodstavce"/>
    <w:uiPriority w:val="99"/>
    <w:rsid w:val="00074A01"/>
    <w:rPr>
      <w:rFonts w:cs="Times New Roman"/>
      <w:vertAlign w:val="superscript"/>
    </w:rPr>
  </w:style>
  <w:style w:type="paragraph" w:styleId="Zhlav">
    <w:name w:val="header"/>
    <w:basedOn w:val="Normln"/>
    <w:link w:val="ZhlavChar1"/>
    <w:uiPriority w:val="99"/>
    <w:rsid w:val="00074A01"/>
    <w:pPr>
      <w:tabs>
        <w:tab w:val="center" w:pos="4536"/>
        <w:tab w:val="right" w:pos="9072"/>
      </w:tabs>
    </w:pPr>
  </w:style>
  <w:style w:type="character" w:customStyle="1" w:styleId="ZhlavChar1">
    <w:name w:val="Záhlaví Char1"/>
    <w:basedOn w:val="Standardnpsmoodstavce"/>
    <w:link w:val="Zhlav"/>
    <w:uiPriority w:val="99"/>
    <w:semiHidden/>
    <w:locked/>
    <w:rsid w:val="00DA718E"/>
    <w:rPr>
      <w:rFonts w:ascii="Arial" w:hAnsi="Arial" w:cs="Times New Roman"/>
      <w:sz w:val="24"/>
      <w:szCs w:val="24"/>
    </w:rPr>
  </w:style>
  <w:style w:type="character" w:customStyle="1" w:styleId="ZhlavChar">
    <w:name w:val="Záhlaví Char"/>
    <w:basedOn w:val="Standardnpsmoodstavce"/>
    <w:uiPriority w:val="99"/>
    <w:rsid w:val="00074A01"/>
    <w:rPr>
      <w:rFonts w:cs="Times New Roman"/>
      <w:sz w:val="24"/>
      <w:szCs w:val="24"/>
    </w:rPr>
  </w:style>
  <w:style w:type="paragraph" w:styleId="Zpat">
    <w:name w:val="footer"/>
    <w:basedOn w:val="Normln"/>
    <w:link w:val="ZpatChar1"/>
    <w:uiPriority w:val="99"/>
    <w:rsid w:val="00074A01"/>
    <w:pPr>
      <w:tabs>
        <w:tab w:val="center" w:pos="4536"/>
        <w:tab w:val="right" w:pos="9072"/>
      </w:tabs>
    </w:pPr>
  </w:style>
  <w:style w:type="character" w:customStyle="1" w:styleId="ZpatChar1">
    <w:name w:val="Zápatí Char1"/>
    <w:basedOn w:val="Standardnpsmoodstavce"/>
    <w:link w:val="Zpat"/>
    <w:uiPriority w:val="99"/>
    <w:semiHidden/>
    <w:locked/>
    <w:rsid w:val="00DA718E"/>
    <w:rPr>
      <w:rFonts w:ascii="Arial" w:hAnsi="Arial" w:cs="Times New Roman"/>
      <w:sz w:val="24"/>
      <w:szCs w:val="24"/>
    </w:rPr>
  </w:style>
  <w:style w:type="character" w:customStyle="1" w:styleId="ZpatChar">
    <w:name w:val="Zápatí Char"/>
    <w:basedOn w:val="Standardnpsmoodstavce"/>
    <w:uiPriority w:val="99"/>
    <w:rsid w:val="00074A01"/>
    <w:rPr>
      <w:rFonts w:cs="Times New Roman"/>
      <w:sz w:val="24"/>
      <w:szCs w:val="24"/>
    </w:rPr>
  </w:style>
  <w:style w:type="paragraph" w:styleId="Odstavecseseznamem">
    <w:name w:val="List Paragraph"/>
    <w:aliases w:val="odrážky,Nadpis pro KZ"/>
    <w:basedOn w:val="Normln"/>
    <w:link w:val="OdstavecseseznamemChar"/>
    <w:uiPriority w:val="34"/>
    <w:qFormat/>
    <w:rsid w:val="00BA709C"/>
    <w:pPr>
      <w:ind w:left="708"/>
    </w:pPr>
  </w:style>
  <w:style w:type="character" w:styleId="Odkaznakoment">
    <w:name w:val="annotation reference"/>
    <w:basedOn w:val="Standardnpsmoodstavce"/>
    <w:uiPriority w:val="99"/>
    <w:semiHidden/>
    <w:rsid w:val="00B667E8"/>
    <w:rPr>
      <w:rFonts w:cs="Times New Roman"/>
      <w:sz w:val="16"/>
      <w:szCs w:val="16"/>
    </w:rPr>
  </w:style>
  <w:style w:type="paragraph" w:styleId="Textkomente">
    <w:name w:val="annotation text"/>
    <w:basedOn w:val="Normln"/>
    <w:link w:val="TextkomenteChar"/>
    <w:uiPriority w:val="99"/>
    <w:semiHidden/>
    <w:rsid w:val="00B667E8"/>
    <w:rPr>
      <w:sz w:val="20"/>
      <w:szCs w:val="20"/>
    </w:rPr>
  </w:style>
  <w:style w:type="character" w:customStyle="1" w:styleId="TextkomenteChar">
    <w:name w:val="Text komentáře Char"/>
    <w:basedOn w:val="Standardnpsmoodstavce"/>
    <w:link w:val="Textkomente"/>
    <w:uiPriority w:val="99"/>
    <w:semiHidden/>
    <w:locked/>
    <w:rsid w:val="00B667E8"/>
    <w:rPr>
      <w:rFonts w:cs="Times New Roman"/>
    </w:rPr>
  </w:style>
  <w:style w:type="paragraph" w:styleId="Pedmtkomente">
    <w:name w:val="annotation subject"/>
    <w:basedOn w:val="Textkomente"/>
    <w:next w:val="Textkomente"/>
    <w:link w:val="PedmtkomenteChar"/>
    <w:uiPriority w:val="99"/>
    <w:semiHidden/>
    <w:rsid w:val="00B667E8"/>
    <w:rPr>
      <w:b/>
      <w:bCs/>
    </w:rPr>
  </w:style>
  <w:style w:type="character" w:customStyle="1" w:styleId="PedmtkomenteChar">
    <w:name w:val="Předmět komentáře Char"/>
    <w:basedOn w:val="TextkomenteChar"/>
    <w:link w:val="Pedmtkomente"/>
    <w:uiPriority w:val="99"/>
    <w:semiHidden/>
    <w:locked/>
    <w:rsid w:val="00B667E8"/>
    <w:rPr>
      <w:rFonts w:cs="Times New Roman"/>
      <w:b/>
      <w:bCs/>
    </w:rPr>
  </w:style>
  <w:style w:type="paragraph" w:styleId="Revize">
    <w:name w:val="Revision"/>
    <w:hidden/>
    <w:uiPriority w:val="99"/>
    <w:semiHidden/>
    <w:rsid w:val="00B667E8"/>
    <w:rPr>
      <w:sz w:val="24"/>
      <w:szCs w:val="24"/>
    </w:rPr>
  </w:style>
  <w:style w:type="paragraph" w:styleId="Textbubliny">
    <w:name w:val="Balloon Text"/>
    <w:basedOn w:val="Normln"/>
    <w:link w:val="TextbublinyChar"/>
    <w:uiPriority w:val="99"/>
    <w:semiHidden/>
    <w:rsid w:val="00B667E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667E8"/>
    <w:rPr>
      <w:rFonts w:ascii="Tahoma" w:hAnsi="Tahoma" w:cs="Tahoma"/>
      <w:sz w:val="16"/>
      <w:szCs w:val="16"/>
    </w:rPr>
  </w:style>
  <w:style w:type="table" w:styleId="Mkatabulky">
    <w:name w:val="Table Grid"/>
    <w:basedOn w:val="Normlntabulka"/>
    <w:uiPriority w:val="59"/>
    <w:rsid w:val="00803A70"/>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C41D2F"/>
    <w:pPr>
      <w:jc w:val="both"/>
    </w:pPr>
    <w:rPr>
      <w:rFonts w:cs="Arial"/>
      <w:i/>
      <w:sz w:val="22"/>
      <w:lang w:eastAsia="en-US"/>
    </w:rPr>
  </w:style>
  <w:style w:type="character" w:customStyle="1" w:styleId="ZkladntextChar">
    <w:name w:val="Základní text Char"/>
    <w:basedOn w:val="Standardnpsmoodstavce"/>
    <w:link w:val="Zkladntext"/>
    <w:uiPriority w:val="99"/>
    <w:locked/>
    <w:rsid w:val="00C41D2F"/>
    <w:rPr>
      <w:rFonts w:ascii="Arial" w:hAnsi="Arial" w:cs="Arial"/>
      <w:i/>
      <w:sz w:val="24"/>
      <w:szCs w:val="24"/>
      <w:lang w:eastAsia="en-US"/>
    </w:rPr>
  </w:style>
  <w:style w:type="paragraph" w:styleId="Prosttext">
    <w:name w:val="Plain Text"/>
    <w:basedOn w:val="Normln"/>
    <w:link w:val="ProsttextChar"/>
    <w:uiPriority w:val="99"/>
    <w:semiHidden/>
    <w:rsid w:val="00430278"/>
    <w:rPr>
      <w:rFonts w:ascii="Consolas" w:hAnsi="Consolas"/>
      <w:sz w:val="21"/>
      <w:szCs w:val="21"/>
      <w:lang w:eastAsia="en-US"/>
    </w:rPr>
  </w:style>
  <w:style w:type="character" w:customStyle="1" w:styleId="ProsttextChar">
    <w:name w:val="Prostý text Char"/>
    <w:basedOn w:val="Standardnpsmoodstavce"/>
    <w:link w:val="Prosttext"/>
    <w:uiPriority w:val="99"/>
    <w:semiHidden/>
    <w:locked/>
    <w:rsid w:val="00430278"/>
    <w:rPr>
      <w:rFonts w:ascii="Consolas" w:hAnsi="Consolas" w:cs="Times New Roman"/>
      <w:sz w:val="21"/>
      <w:szCs w:val="21"/>
      <w:lang w:eastAsia="en-US"/>
    </w:rPr>
  </w:style>
  <w:style w:type="paragraph" w:styleId="Zkladntextodsazen3">
    <w:name w:val="Body Text Indent 3"/>
    <w:basedOn w:val="Normln"/>
    <w:link w:val="Zkladntextodsazen3Char"/>
    <w:uiPriority w:val="99"/>
    <w:rsid w:val="00695D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95DC0"/>
    <w:rPr>
      <w:rFonts w:ascii="Arial" w:hAnsi="Arial" w:cs="Times New Roman"/>
      <w:sz w:val="16"/>
      <w:szCs w:val="16"/>
    </w:rPr>
  </w:style>
  <w:style w:type="paragraph" w:customStyle="1" w:styleId="NadpisKZ">
    <w:name w:val="Nadpis KZ"/>
    <w:basedOn w:val="Zkladntext2"/>
    <w:uiPriority w:val="99"/>
    <w:rsid w:val="004827C3"/>
  </w:style>
  <w:style w:type="paragraph" w:styleId="Zkladntext2">
    <w:name w:val="Body Text 2"/>
    <w:basedOn w:val="Normln"/>
    <w:link w:val="Zkladntext2Char"/>
    <w:uiPriority w:val="99"/>
    <w:semiHidden/>
    <w:rsid w:val="004827C3"/>
    <w:pPr>
      <w:spacing w:after="120" w:line="480" w:lineRule="auto"/>
    </w:pPr>
  </w:style>
  <w:style w:type="character" w:customStyle="1" w:styleId="Zkladntext2Char">
    <w:name w:val="Základní text 2 Char"/>
    <w:basedOn w:val="Standardnpsmoodstavce"/>
    <w:link w:val="Zkladntext2"/>
    <w:uiPriority w:val="99"/>
    <w:semiHidden/>
    <w:locked/>
    <w:rsid w:val="004827C3"/>
    <w:rPr>
      <w:rFonts w:ascii="Arial" w:hAnsi="Arial" w:cs="Times New Roman"/>
      <w:sz w:val="24"/>
      <w:szCs w:val="24"/>
    </w:rPr>
  </w:style>
  <w:style w:type="paragraph" w:customStyle="1" w:styleId="Char4CharCharCharCharCharCharCharCharChar">
    <w:name w:val="Char4 Char Char Char Char Char Char Char Char Char"/>
    <w:basedOn w:val="Normln"/>
    <w:uiPriority w:val="99"/>
    <w:rsid w:val="0010371F"/>
    <w:pPr>
      <w:spacing w:after="160" w:line="240" w:lineRule="exact"/>
    </w:pPr>
    <w:rPr>
      <w:rFonts w:ascii="Times New Roman Bold" w:hAnsi="Times New Roman Bold"/>
      <w:sz w:val="22"/>
      <w:szCs w:val="26"/>
      <w:lang w:val="sk-SK" w:eastAsia="en-US"/>
    </w:rPr>
  </w:style>
  <w:style w:type="paragraph" w:styleId="Seznamsodrkami3">
    <w:name w:val="List Bullet 3"/>
    <w:basedOn w:val="Normln"/>
    <w:uiPriority w:val="99"/>
    <w:semiHidden/>
    <w:rsid w:val="00175F2C"/>
    <w:pPr>
      <w:numPr>
        <w:numId w:val="1"/>
      </w:numPr>
      <w:spacing w:before="120" w:after="120"/>
      <w:jc w:val="both"/>
    </w:pPr>
    <w:rPr>
      <w:rFonts w:ascii="Times New Roman" w:hAnsi="Times New Roman"/>
    </w:rPr>
  </w:style>
  <w:style w:type="character" w:styleId="Siln">
    <w:name w:val="Strong"/>
    <w:basedOn w:val="Standardnpsmoodstavce"/>
    <w:uiPriority w:val="22"/>
    <w:qFormat/>
    <w:rsid w:val="007856E6"/>
    <w:rPr>
      <w:rFonts w:cs="Times New Roman"/>
      <w:b/>
      <w:bCs/>
    </w:rPr>
  </w:style>
  <w:style w:type="paragraph" w:customStyle="1" w:styleId="xl71">
    <w:name w:val="xl71"/>
    <w:basedOn w:val="Normln"/>
    <w:uiPriority w:val="99"/>
    <w:rsid w:val="005A49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character" w:customStyle="1" w:styleId="A1">
    <w:name w:val="A1"/>
    <w:uiPriority w:val="99"/>
    <w:rsid w:val="00C45C9F"/>
    <w:rPr>
      <w:color w:val="000000"/>
      <w:sz w:val="20"/>
    </w:rPr>
  </w:style>
  <w:style w:type="character" w:styleId="Hypertextovodkaz">
    <w:name w:val="Hyperlink"/>
    <w:basedOn w:val="Standardnpsmoodstavce"/>
    <w:uiPriority w:val="99"/>
    <w:rsid w:val="001E1682"/>
    <w:rPr>
      <w:rFonts w:cs="Times New Roman"/>
      <w:color w:val="0000FF"/>
      <w:u w:val="single"/>
    </w:rPr>
  </w:style>
  <w:style w:type="character" w:styleId="Zdraznn">
    <w:name w:val="Emphasis"/>
    <w:basedOn w:val="Standardnpsmoodstavce"/>
    <w:uiPriority w:val="99"/>
    <w:qFormat/>
    <w:rsid w:val="00F673DA"/>
    <w:rPr>
      <w:rFonts w:cs="Times New Roman"/>
      <w:i/>
      <w:iCs/>
    </w:rPr>
  </w:style>
  <w:style w:type="paragraph" w:customStyle="1" w:styleId="xl94">
    <w:name w:val="xl94"/>
    <w:basedOn w:val="Normln"/>
    <w:uiPriority w:val="99"/>
    <w:rsid w:val="00A7204C"/>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cs="Arial"/>
    </w:rPr>
  </w:style>
  <w:style w:type="paragraph" w:customStyle="1" w:styleId="Default">
    <w:name w:val="Default"/>
    <w:uiPriority w:val="99"/>
    <w:rsid w:val="00A52CD2"/>
    <w:pPr>
      <w:autoSpaceDE w:val="0"/>
      <w:autoSpaceDN w:val="0"/>
      <w:adjustRightInd w:val="0"/>
    </w:pPr>
    <w:rPr>
      <w:color w:val="000000"/>
      <w:sz w:val="24"/>
      <w:szCs w:val="24"/>
    </w:rPr>
  </w:style>
  <w:style w:type="character" w:customStyle="1" w:styleId="cizojazycne">
    <w:name w:val="cizojazycne"/>
    <w:basedOn w:val="Standardnpsmoodstavce"/>
    <w:uiPriority w:val="99"/>
    <w:rsid w:val="008B38F0"/>
    <w:rPr>
      <w:rFonts w:cs="Times New Roman"/>
    </w:rPr>
  </w:style>
  <w:style w:type="paragraph" w:styleId="Zkladntextodsazen2">
    <w:name w:val="Body Text Indent 2"/>
    <w:basedOn w:val="Normln"/>
    <w:link w:val="Zkladntextodsazen2Char"/>
    <w:uiPriority w:val="99"/>
    <w:rsid w:val="00E73606"/>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E73606"/>
    <w:rPr>
      <w:rFonts w:ascii="Arial" w:hAnsi="Arial" w:cs="Times New Roman"/>
      <w:sz w:val="24"/>
      <w:szCs w:val="24"/>
    </w:rPr>
  </w:style>
  <w:style w:type="paragraph" w:customStyle="1" w:styleId="Odstavecseseznamem2">
    <w:name w:val="Odstavec se seznamem2"/>
    <w:basedOn w:val="Normln"/>
    <w:uiPriority w:val="99"/>
    <w:rsid w:val="00B86C4B"/>
    <w:pPr>
      <w:spacing w:after="160" w:line="259" w:lineRule="auto"/>
      <w:ind w:left="720"/>
      <w:contextualSpacing/>
    </w:pPr>
    <w:rPr>
      <w:rFonts w:ascii="Calibri" w:hAnsi="Calibri"/>
      <w:sz w:val="22"/>
      <w:szCs w:val="22"/>
      <w:lang w:eastAsia="en-US"/>
    </w:rPr>
  </w:style>
  <w:style w:type="paragraph" w:customStyle="1" w:styleId="poznmkapodarou">
    <w:name w:val="poznámka pod čarou"/>
    <w:basedOn w:val="Normln"/>
    <w:uiPriority w:val="99"/>
    <w:rsid w:val="00C04CD3"/>
    <w:pPr>
      <w:ind w:left="284" w:hanging="284"/>
      <w:contextualSpacing/>
      <w:jc w:val="both"/>
    </w:pPr>
    <w:rPr>
      <w:rFonts w:cs="Arial"/>
      <w:sz w:val="20"/>
      <w:szCs w:val="20"/>
      <w:lang w:eastAsia="en-US"/>
    </w:rPr>
  </w:style>
  <w:style w:type="numbering" w:customStyle="1" w:styleId="Styl1">
    <w:name w:val="Styl1"/>
    <w:rsid w:val="00312056"/>
    <w:pPr>
      <w:numPr>
        <w:numId w:val="2"/>
      </w:numPr>
    </w:pPr>
  </w:style>
  <w:style w:type="paragraph" w:styleId="Textvysvtlivek">
    <w:name w:val="endnote text"/>
    <w:basedOn w:val="Normln"/>
    <w:link w:val="TextvysvtlivekChar"/>
    <w:uiPriority w:val="99"/>
    <w:semiHidden/>
    <w:unhideWhenUsed/>
    <w:locked/>
    <w:rsid w:val="00EB24C1"/>
    <w:rPr>
      <w:sz w:val="20"/>
      <w:szCs w:val="20"/>
    </w:rPr>
  </w:style>
  <w:style w:type="character" w:customStyle="1" w:styleId="TextvysvtlivekChar">
    <w:name w:val="Text vysvětlivek Char"/>
    <w:basedOn w:val="Standardnpsmoodstavce"/>
    <w:link w:val="Textvysvtlivek"/>
    <w:uiPriority w:val="99"/>
    <w:semiHidden/>
    <w:rsid w:val="00EB24C1"/>
    <w:rPr>
      <w:rFonts w:ascii="Arial" w:hAnsi="Arial"/>
      <w:sz w:val="20"/>
      <w:szCs w:val="20"/>
    </w:rPr>
  </w:style>
  <w:style w:type="character" w:styleId="Odkaznavysvtlivky">
    <w:name w:val="endnote reference"/>
    <w:basedOn w:val="Standardnpsmoodstavce"/>
    <w:uiPriority w:val="99"/>
    <w:semiHidden/>
    <w:unhideWhenUsed/>
    <w:locked/>
    <w:rsid w:val="00EB24C1"/>
    <w:rPr>
      <w:vertAlign w:val="superscript"/>
    </w:rPr>
  </w:style>
  <w:style w:type="paragraph" w:customStyle="1" w:styleId="NormlnKZ">
    <w:name w:val="Normální KZ"/>
    <w:basedOn w:val="Normln"/>
    <w:rsid w:val="005C015A"/>
    <w:pPr>
      <w:spacing w:after="120"/>
      <w:ind w:firstLine="425"/>
      <w:jc w:val="both"/>
    </w:pPr>
    <w:rPr>
      <w:rFonts w:ascii="Times New Roman" w:hAnsi="Times New Roman"/>
      <w:sz w:val="22"/>
      <w:szCs w:val="22"/>
    </w:rPr>
  </w:style>
  <w:style w:type="character" w:customStyle="1" w:styleId="OdstavecseseznamemChar">
    <w:name w:val="Odstavec se seznamem Char"/>
    <w:aliases w:val="odrážky Char,Nadpis pro KZ Char"/>
    <w:basedOn w:val="Standardnpsmoodstavce"/>
    <w:link w:val="Odstavecseseznamem"/>
    <w:uiPriority w:val="34"/>
    <w:locked/>
    <w:rsid w:val="007D260D"/>
    <w:rPr>
      <w:rFonts w:ascii="Arial" w:hAnsi="Arial"/>
      <w:sz w:val="24"/>
      <w:szCs w:val="24"/>
    </w:rPr>
  </w:style>
  <w:style w:type="character" w:customStyle="1" w:styleId="tsubjname">
    <w:name w:val="tsubjname"/>
    <w:basedOn w:val="Standardnpsmoodstavce"/>
    <w:rsid w:val="005F18D7"/>
  </w:style>
  <w:style w:type="character" w:customStyle="1" w:styleId="shorttext">
    <w:name w:val="short_text"/>
    <w:basedOn w:val="Standardnpsmoodstavce"/>
    <w:rsid w:val="00F23AEE"/>
  </w:style>
  <w:style w:type="character" w:customStyle="1" w:styleId="hps">
    <w:name w:val="hps"/>
    <w:rsid w:val="00734201"/>
  </w:style>
  <w:style w:type="paragraph" w:customStyle="1" w:styleId="Standard">
    <w:name w:val="Standard"/>
    <w:rsid w:val="00A66530"/>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74607">
      <w:marLeft w:val="0"/>
      <w:marRight w:val="0"/>
      <w:marTop w:val="0"/>
      <w:marBottom w:val="0"/>
      <w:divBdr>
        <w:top w:val="none" w:sz="0" w:space="0" w:color="auto"/>
        <w:left w:val="none" w:sz="0" w:space="0" w:color="auto"/>
        <w:bottom w:val="none" w:sz="0" w:space="0" w:color="auto"/>
        <w:right w:val="none" w:sz="0" w:space="0" w:color="auto"/>
      </w:divBdr>
    </w:div>
    <w:div w:id="683674608">
      <w:marLeft w:val="0"/>
      <w:marRight w:val="0"/>
      <w:marTop w:val="0"/>
      <w:marBottom w:val="0"/>
      <w:divBdr>
        <w:top w:val="none" w:sz="0" w:space="0" w:color="auto"/>
        <w:left w:val="none" w:sz="0" w:space="0" w:color="auto"/>
        <w:bottom w:val="none" w:sz="0" w:space="0" w:color="auto"/>
        <w:right w:val="none" w:sz="0" w:space="0" w:color="auto"/>
      </w:divBdr>
    </w:div>
    <w:div w:id="683674609">
      <w:marLeft w:val="0"/>
      <w:marRight w:val="0"/>
      <w:marTop w:val="0"/>
      <w:marBottom w:val="0"/>
      <w:divBdr>
        <w:top w:val="none" w:sz="0" w:space="0" w:color="auto"/>
        <w:left w:val="none" w:sz="0" w:space="0" w:color="auto"/>
        <w:bottom w:val="none" w:sz="0" w:space="0" w:color="auto"/>
        <w:right w:val="none" w:sz="0" w:space="0" w:color="auto"/>
      </w:divBdr>
    </w:div>
    <w:div w:id="683674610">
      <w:marLeft w:val="0"/>
      <w:marRight w:val="0"/>
      <w:marTop w:val="0"/>
      <w:marBottom w:val="0"/>
      <w:divBdr>
        <w:top w:val="none" w:sz="0" w:space="0" w:color="auto"/>
        <w:left w:val="none" w:sz="0" w:space="0" w:color="auto"/>
        <w:bottom w:val="none" w:sz="0" w:space="0" w:color="auto"/>
        <w:right w:val="none" w:sz="0" w:space="0" w:color="auto"/>
      </w:divBdr>
    </w:div>
    <w:div w:id="683674611">
      <w:marLeft w:val="0"/>
      <w:marRight w:val="0"/>
      <w:marTop w:val="0"/>
      <w:marBottom w:val="0"/>
      <w:divBdr>
        <w:top w:val="none" w:sz="0" w:space="0" w:color="auto"/>
        <w:left w:val="none" w:sz="0" w:space="0" w:color="auto"/>
        <w:bottom w:val="none" w:sz="0" w:space="0" w:color="auto"/>
        <w:right w:val="none" w:sz="0" w:space="0" w:color="auto"/>
      </w:divBdr>
    </w:div>
    <w:div w:id="683674612">
      <w:marLeft w:val="0"/>
      <w:marRight w:val="0"/>
      <w:marTop w:val="0"/>
      <w:marBottom w:val="0"/>
      <w:divBdr>
        <w:top w:val="none" w:sz="0" w:space="0" w:color="auto"/>
        <w:left w:val="none" w:sz="0" w:space="0" w:color="auto"/>
        <w:bottom w:val="none" w:sz="0" w:space="0" w:color="auto"/>
        <w:right w:val="none" w:sz="0" w:space="0" w:color="auto"/>
      </w:divBdr>
    </w:div>
    <w:div w:id="683674613">
      <w:marLeft w:val="0"/>
      <w:marRight w:val="0"/>
      <w:marTop w:val="0"/>
      <w:marBottom w:val="0"/>
      <w:divBdr>
        <w:top w:val="none" w:sz="0" w:space="0" w:color="auto"/>
        <w:left w:val="none" w:sz="0" w:space="0" w:color="auto"/>
        <w:bottom w:val="none" w:sz="0" w:space="0" w:color="auto"/>
        <w:right w:val="none" w:sz="0" w:space="0" w:color="auto"/>
      </w:divBdr>
    </w:div>
    <w:div w:id="683674614">
      <w:marLeft w:val="0"/>
      <w:marRight w:val="0"/>
      <w:marTop w:val="0"/>
      <w:marBottom w:val="0"/>
      <w:divBdr>
        <w:top w:val="none" w:sz="0" w:space="0" w:color="auto"/>
        <w:left w:val="none" w:sz="0" w:space="0" w:color="auto"/>
        <w:bottom w:val="none" w:sz="0" w:space="0" w:color="auto"/>
        <w:right w:val="none" w:sz="0" w:space="0" w:color="auto"/>
      </w:divBdr>
    </w:div>
    <w:div w:id="683674615">
      <w:marLeft w:val="0"/>
      <w:marRight w:val="0"/>
      <w:marTop w:val="0"/>
      <w:marBottom w:val="0"/>
      <w:divBdr>
        <w:top w:val="none" w:sz="0" w:space="0" w:color="auto"/>
        <w:left w:val="none" w:sz="0" w:space="0" w:color="auto"/>
        <w:bottom w:val="none" w:sz="0" w:space="0" w:color="auto"/>
        <w:right w:val="none" w:sz="0" w:space="0" w:color="auto"/>
      </w:divBdr>
    </w:div>
    <w:div w:id="683674616">
      <w:marLeft w:val="0"/>
      <w:marRight w:val="0"/>
      <w:marTop w:val="0"/>
      <w:marBottom w:val="0"/>
      <w:divBdr>
        <w:top w:val="none" w:sz="0" w:space="0" w:color="auto"/>
        <w:left w:val="none" w:sz="0" w:space="0" w:color="auto"/>
        <w:bottom w:val="none" w:sz="0" w:space="0" w:color="auto"/>
        <w:right w:val="none" w:sz="0" w:space="0" w:color="auto"/>
      </w:divBdr>
    </w:div>
    <w:div w:id="683674617">
      <w:marLeft w:val="0"/>
      <w:marRight w:val="0"/>
      <w:marTop w:val="0"/>
      <w:marBottom w:val="0"/>
      <w:divBdr>
        <w:top w:val="none" w:sz="0" w:space="0" w:color="auto"/>
        <w:left w:val="none" w:sz="0" w:space="0" w:color="auto"/>
        <w:bottom w:val="none" w:sz="0" w:space="0" w:color="auto"/>
        <w:right w:val="none" w:sz="0" w:space="0" w:color="auto"/>
      </w:divBdr>
    </w:div>
    <w:div w:id="683674618">
      <w:marLeft w:val="0"/>
      <w:marRight w:val="0"/>
      <w:marTop w:val="0"/>
      <w:marBottom w:val="0"/>
      <w:divBdr>
        <w:top w:val="none" w:sz="0" w:space="0" w:color="auto"/>
        <w:left w:val="none" w:sz="0" w:space="0" w:color="auto"/>
        <w:bottom w:val="none" w:sz="0" w:space="0" w:color="auto"/>
        <w:right w:val="none" w:sz="0" w:space="0" w:color="auto"/>
      </w:divBdr>
    </w:div>
    <w:div w:id="683674619">
      <w:marLeft w:val="0"/>
      <w:marRight w:val="0"/>
      <w:marTop w:val="0"/>
      <w:marBottom w:val="0"/>
      <w:divBdr>
        <w:top w:val="none" w:sz="0" w:space="0" w:color="auto"/>
        <w:left w:val="none" w:sz="0" w:space="0" w:color="auto"/>
        <w:bottom w:val="none" w:sz="0" w:space="0" w:color="auto"/>
        <w:right w:val="none" w:sz="0" w:space="0" w:color="auto"/>
      </w:divBdr>
    </w:div>
    <w:div w:id="683674620">
      <w:marLeft w:val="0"/>
      <w:marRight w:val="0"/>
      <w:marTop w:val="0"/>
      <w:marBottom w:val="0"/>
      <w:divBdr>
        <w:top w:val="none" w:sz="0" w:space="0" w:color="auto"/>
        <w:left w:val="none" w:sz="0" w:space="0" w:color="auto"/>
        <w:bottom w:val="none" w:sz="0" w:space="0" w:color="auto"/>
        <w:right w:val="none" w:sz="0" w:space="0" w:color="auto"/>
      </w:divBdr>
    </w:div>
    <w:div w:id="683674621">
      <w:marLeft w:val="0"/>
      <w:marRight w:val="0"/>
      <w:marTop w:val="0"/>
      <w:marBottom w:val="0"/>
      <w:divBdr>
        <w:top w:val="none" w:sz="0" w:space="0" w:color="auto"/>
        <w:left w:val="none" w:sz="0" w:space="0" w:color="auto"/>
        <w:bottom w:val="none" w:sz="0" w:space="0" w:color="auto"/>
        <w:right w:val="none" w:sz="0" w:space="0" w:color="auto"/>
      </w:divBdr>
    </w:div>
    <w:div w:id="683674622">
      <w:marLeft w:val="0"/>
      <w:marRight w:val="0"/>
      <w:marTop w:val="0"/>
      <w:marBottom w:val="0"/>
      <w:divBdr>
        <w:top w:val="none" w:sz="0" w:space="0" w:color="auto"/>
        <w:left w:val="none" w:sz="0" w:space="0" w:color="auto"/>
        <w:bottom w:val="none" w:sz="0" w:space="0" w:color="auto"/>
        <w:right w:val="none" w:sz="0" w:space="0" w:color="auto"/>
      </w:divBdr>
    </w:div>
    <w:div w:id="683674623">
      <w:marLeft w:val="0"/>
      <w:marRight w:val="0"/>
      <w:marTop w:val="0"/>
      <w:marBottom w:val="0"/>
      <w:divBdr>
        <w:top w:val="none" w:sz="0" w:space="0" w:color="auto"/>
        <w:left w:val="none" w:sz="0" w:space="0" w:color="auto"/>
        <w:bottom w:val="none" w:sz="0" w:space="0" w:color="auto"/>
        <w:right w:val="none" w:sz="0" w:space="0" w:color="auto"/>
      </w:divBdr>
    </w:div>
    <w:div w:id="683674624">
      <w:marLeft w:val="0"/>
      <w:marRight w:val="0"/>
      <w:marTop w:val="0"/>
      <w:marBottom w:val="0"/>
      <w:divBdr>
        <w:top w:val="none" w:sz="0" w:space="0" w:color="auto"/>
        <w:left w:val="none" w:sz="0" w:space="0" w:color="auto"/>
        <w:bottom w:val="none" w:sz="0" w:space="0" w:color="auto"/>
        <w:right w:val="none" w:sz="0" w:space="0" w:color="auto"/>
      </w:divBdr>
    </w:div>
    <w:div w:id="683674625">
      <w:marLeft w:val="0"/>
      <w:marRight w:val="0"/>
      <w:marTop w:val="0"/>
      <w:marBottom w:val="0"/>
      <w:divBdr>
        <w:top w:val="none" w:sz="0" w:space="0" w:color="auto"/>
        <w:left w:val="none" w:sz="0" w:space="0" w:color="auto"/>
        <w:bottom w:val="none" w:sz="0" w:space="0" w:color="auto"/>
        <w:right w:val="none" w:sz="0" w:space="0" w:color="auto"/>
      </w:divBdr>
    </w:div>
    <w:div w:id="683674626">
      <w:marLeft w:val="0"/>
      <w:marRight w:val="0"/>
      <w:marTop w:val="0"/>
      <w:marBottom w:val="0"/>
      <w:divBdr>
        <w:top w:val="none" w:sz="0" w:space="0" w:color="auto"/>
        <w:left w:val="none" w:sz="0" w:space="0" w:color="auto"/>
        <w:bottom w:val="none" w:sz="0" w:space="0" w:color="auto"/>
        <w:right w:val="none" w:sz="0" w:space="0" w:color="auto"/>
      </w:divBdr>
    </w:div>
    <w:div w:id="683674627">
      <w:marLeft w:val="0"/>
      <w:marRight w:val="0"/>
      <w:marTop w:val="0"/>
      <w:marBottom w:val="0"/>
      <w:divBdr>
        <w:top w:val="none" w:sz="0" w:space="0" w:color="auto"/>
        <w:left w:val="none" w:sz="0" w:space="0" w:color="auto"/>
        <w:bottom w:val="none" w:sz="0" w:space="0" w:color="auto"/>
        <w:right w:val="none" w:sz="0" w:space="0" w:color="auto"/>
      </w:divBdr>
    </w:div>
    <w:div w:id="683674628">
      <w:marLeft w:val="0"/>
      <w:marRight w:val="0"/>
      <w:marTop w:val="0"/>
      <w:marBottom w:val="0"/>
      <w:divBdr>
        <w:top w:val="none" w:sz="0" w:space="0" w:color="auto"/>
        <w:left w:val="none" w:sz="0" w:space="0" w:color="auto"/>
        <w:bottom w:val="none" w:sz="0" w:space="0" w:color="auto"/>
        <w:right w:val="none" w:sz="0" w:space="0" w:color="auto"/>
      </w:divBdr>
    </w:div>
    <w:div w:id="683674629">
      <w:marLeft w:val="0"/>
      <w:marRight w:val="0"/>
      <w:marTop w:val="0"/>
      <w:marBottom w:val="0"/>
      <w:divBdr>
        <w:top w:val="none" w:sz="0" w:space="0" w:color="auto"/>
        <w:left w:val="none" w:sz="0" w:space="0" w:color="auto"/>
        <w:bottom w:val="none" w:sz="0" w:space="0" w:color="auto"/>
        <w:right w:val="none" w:sz="0" w:space="0" w:color="auto"/>
      </w:divBdr>
    </w:div>
    <w:div w:id="683674630">
      <w:marLeft w:val="0"/>
      <w:marRight w:val="0"/>
      <w:marTop w:val="0"/>
      <w:marBottom w:val="0"/>
      <w:divBdr>
        <w:top w:val="none" w:sz="0" w:space="0" w:color="auto"/>
        <w:left w:val="none" w:sz="0" w:space="0" w:color="auto"/>
        <w:bottom w:val="none" w:sz="0" w:space="0" w:color="auto"/>
        <w:right w:val="none" w:sz="0" w:space="0" w:color="auto"/>
      </w:divBdr>
    </w:div>
    <w:div w:id="683674631">
      <w:marLeft w:val="0"/>
      <w:marRight w:val="0"/>
      <w:marTop w:val="0"/>
      <w:marBottom w:val="0"/>
      <w:divBdr>
        <w:top w:val="none" w:sz="0" w:space="0" w:color="auto"/>
        <w:left w:val="none" w:sz="0" w:space="0" w:color="auto"/>
        <w:bottom w:val="none" w:sz="0" w:space="0" w:color="auto"/>
        <w:right w:val="none" w:sz="0" w:space="0" w:color="auto"/>
      </w:divBdr>
    </w:div>
    <w:div w:id="683674632">
      <w:marLeft w:val="0"/>
      <w:marRight w:val="0"/>
      <w:marTop w:val="0"/>
      <w:marBottom w:val="0"/>
      <w:divBdr>
        <w:top w:val="none" w:sz="0" w:space="0" w:color="auto"/>
        <w:left w:val="none" w:sz="0" w:space="0" w:color="auto"/>
        <w:bottom w:val="none" w:sz="0" w:space="0" w:color="auto"/>
        <w:right w:val="none" w:sz="0" w:space="0" w:color="auto"/>
      </w:divBdr>
    </w:div>
    <w:div w:id="683674633">
      <w:marLeft w:val="0"/>
      <w:marRight w:val="0"/>
      <w:marTop w:val="0"/>
      <w:marBottom w:val="0"/>
      <w:divBdr>
        <w:top w:val="none" w:sz="0" w:space="0" w:color="auto"/>
        <w:left w:val="none" w:sz="0" w:space="0" w:color="auto"/>
        <w:bottom w:val="none" w:sz="0" w:space="0" w:color="auto"/>
        <w:right w:val="none" w:sz="0" w:space="0" w:color="auto"/>
      </w:divBdr>
    </w:div>
    <w:div w:id="683674634">
      <w:marLeft w:val="0"/>
      <w:marRight w:val="0"/>
      <w:marTop w:val="0"/>
      <w:marBottom w:val="0"/>
      <w:divBdr>
        <w:top w:val="none" w:sz="0" w:space="0" w:color="auto"/>
        <w:left w:val="none" w:sz="0" w:space="0" w:color="auto"/>
        <w:bottom w:val="none" w:sz="0" w:space="0" w:color="auto"/>
        <w:right w:val="none" w:sz="0" w:space="0" w:color="auto"/>
      </w:divBdr>
    </w:div>
    <w:div w:id="683674635">
      <w:marLeft w:val="0"/>
      <w:marRight w:val="0"/>
      <w:marTop w:val="0"/>
      <w:marBottom w:val="0"/>
      <w:divBdr>
        <w:top w:val="none" w:sz="0" w:space="0" w:color="auto"/>
        <w:left w:val="none" w:sz="0" w:space="0" w:color="auto"/>
        <w:bottom w:val="none" w:sz="0" w:space="0" w:color="auto"/>
        <w:right w:val="none" w:sz="0" w:space="0" w:color="auto"/>
      </w:divBdr>
    </w:div>
    <w:div w:id="683674636">
      <w:marLeft w:val="0"/>
      <w:marRight w:val="0"/>
      <w:marTop w:val="0"/>
      <w:marBottom w:val="0"/>
      <w:divBdr>
        <w:top w:val="none" w:sz="0" w:space="0" w:color="auto"/>
        <w:left w:val="none" w:sz="0" w:space="0" w:color="auto"/>
        <w:bottom w:val="none" w:sz="0" w:space="0" w:color="auto"/>
        <w:right w:val="none" w:sz="0" w:space="0" w:color="auto"/>
      </w:divBdr>
    </w:div>
    <w:div w:id="683674637">
      <w:marLeft w:val="0"/>
      <w:marRight w:val="0"/>
      <w:marTop w:val="0"/>
      <w:marBottom w:val="0"/>
      <w:divBdr>
        <w:top w:val="none" w:sz="0" w:space="0" w:color="auto"/>
        <w:left w:val="none" w:sz="0" w:space="0" w:color="auto"/>
        <w:bottom w:val="none" w:sz="0" w:space="0" w:color="auto"/>
        <w:right w:val="none" w:sz="0" w:space="0" w:color="auto"/>
      </w:divBdr>
    </w:div>
    <w:div w:id="683674638">
      <w:marLeft w:val="0"/>
      <w:marRight w:val="0"/>
      <w:marTop w:val="0"/>
      <w:marBottom w:val="0"/>
      <w:divBdr>
        <w:top w:val="none" w:sz="0" w:space="0" w:color="auto"/>
        <w:left w:val="none" w:sz="0" w:space="0" w:color="auto"/>
        <w:bottom w:val="none" w:sz="0" w:space="0" w:color="auto"/>
        <w:right w:val="none" w:sz="0" w:space="0" w:color="auto"/>
      </w:divBdr>
    </w:div>
    <w:div w:id="683674639">
      <w:marLeft w:val="0"/>
      <w:marRight w:val="0"/>
      <w:marTop w:val="0"/>
      <w:marBottom w:val="0"/>
      <w:divBdr>
        <w:top w:val="none" w:sz="0" w:space="0" w:color="auto"/>
        <w:left w:val="none" w:sz="0" w:space="0" w:color="auto"/>
        <w:bottom w:val="none" w:sz="0" w:space="0" w:color="auto"/>
        <w:right w:val="none" w:sz="0" w:space="0" w:color="auto"/>
      </w:divBdr>
    </w:div>
    <w:div w:id="683674640">
      <w:marLeft w:val="0"/>
      <w:marRight w:val="0"/>
      <w:marTop w:val="0"/>
      <w:marBottom w:val="0"/>
      <w:divBdr>
        <w:top w:val="none" w:sz="0" w:space="0" w:color="auto"/>
        <w:left w:val="none" w:sz="0" w:space="0" w:color="auto"/>
        <w:bottom w:val="none" w:sz="0" w:space="0" w:color="auto"/>
        <w:right w:val="none" w:sz="0" w:space="0" w:color="auto"/>
      </w:divBdr>
    </w:div>
    <w:div w:id="683674641">
      <w:marLeft w:val="0"/>
      <w:marRight w:val="0"/>
      <w:marTop w:val="0"/>
      <w:marBottom w:val="0"/>
      <w:divBdr>
        <w:top w:val="none" w:sz="0" w:space="0" w:color="auto"/>
        <w:left w:val="none" w:sz="0" w:space="0" w:color="auto"/>
        <w:bottom w:val="none" w:sz="0" w:space="0" w:color="auto"/>
        <w:right w:val="none" w:sz="0" w:space="0" w:color="auto"/>
      </w:divBdr>
    </w:div>
    <w:div w:id="683674642">
      <w:marLeft w:val="0"/>
      <w:marRight w:val="0"/>
      <w:marTop w:val="0"/>
      <w:marBottom w:val="0"/>
      <w:divBdr>
        <w:top w:val="none" w:sz="0" w:space="0" w:color="auto"/>
        <w:left w:val="none" w:sz="0" w:space="0" w:color="auto"/>
        <w:bottom w:val="none" w:sz="0" w:space="0" w:color="auto"/>
        <w:right w:val="none" w:sz="0" w:space="0" w:color="auto"/>
      </w:divBdr>
    </w:div>
    <w:div w:id="683674643">
      <w:marLeft w:val="0"/>
      <w:marRight w:val="0"/>
      <w:marTop w:val="0"/>
      <w:marBottom w:val="0"/>
      <w:divBdr>
        <w:top w:val="none" w:sz="0" w:space="0" w:color="auto"/>
        <w:left w:val="none" w:sz="0" w:space="0" w:color="auto"/>
        <w:bottom w:val="none" w:sz="0" w:space="0" w:color="auto"/>
        <w:right w:val="none" w:sz="0" w:space="0" w:color="auto"/>
      </w:divBdr>
    </w:div>
    <w:div w:id="683674644">
      <w:marLeft w:val="0"/>
      <w:marRight w:val="0"/>
      <w:marTop w:val="0"/>
      <w:marBottom w:val="0"/>
      <w:divBdr>
        <w:top w:val="none" w:sz="0" w:space="0" w:color="auto"/>
        <w:left w:val="none" w:sz="0" w:space="0" w:color="auto"/>
        <w:bottom w:val="none" w:sz="0" w:space="0" w:color="auto"/>
        <w:right w:val="none" w:sz="0" w:space="0" w:color="auto"/>
      </w:divBdr>
    </w:div>
    <w:div w:id="689993043">
      <w:bodyDiv w:val="1"/>
      <w:marLeft w:val="0"/>
      <w:marRight w:val="0"/>
      <w:marTop w:val="0"/>
      <w:marBottom w:val="0"/>
      <w:divBdr>
        <w:top w:val="none" w:sz="0" w:space="0" w:color="auto"/>
        <w:left w:val="none" w:sz="0" w:space="0" w:color="auto"/>
        <w:bottom w:val="none" w:sz="0" w:space="0" w:color="auto"/>
        <w:right w:val="none" w:sz="0" w:space="0" w:color="auto"/>
      </w:divBdr>
    </w:div>
    <w:div w:id="1001587876">
      <w:bodyDiv w:val="1"/>
      <w:marLeft w:val="0"/>
      <w:marRight w:val="0"/>
      <w:marTop w:val="0"/>
      <w:marBottom w:val="0"/>
      <w:divBdr>
        <w:top w:val="none" w:sz="0" w:space="0" w:color="auto"/>
        <w:left w:val="none" w:sz="0" w:space="0" w:color="auto"/>
        <w:bottom w:val="none" w:sz="0" w:space="0" w:color="auto"/>
        <w:right w:val="none" w:sz="0" w:space="0" w:color="auto"/>
      </w:divBdr>
      <w:divsChild>
        <w:div w:id="2033916104">
          <w:marLeft w:val="547"/>
          <w:marRight w:val="0"/>
          <w:marTop w:val="96"/>
          <w:marBottom w:val="0"/>
          <w:divBdr>
            <w:top w:val="none" w:sz="0" w:space="0" w:color="auto"/>
            <w:left w:val="none" w:sz="0" w:space="0" w:color="auto"/>
            <w:bottom w:val="none" w:sz="0" w:space="0" w:color="auto"/>
            <w:right w:val="none" w:sz="0" w:space="0" w:color="auto"/>
          </w:divBdr>
        </w:div>
        <w:div w:id="521557607">
          <w:marLeft w:val="1166"/>
          <w:marRight w:val="0"/>
          <w:marTop w:val="86"/>
          <w:marBottom w:val="0"/>
          <w:divBdr>
            <w:top w:val="none" w:sz="0" w:space="0" w:color="auto"/>
            <w:left w:val="none" w:sz="0" w:space="0" w:color="auto"/>
            <w:bottom w:val="none" w:sz="0" w:space="0" w:color="auto"/>
            <w:right w:val="none" w:sz="0" w:space="0" w:color="auto"/>
          </w:divBdr>
        </w:div>
        <w:div w:id="2000620563">
          <w:marLeft w:val="1166"/>
          <w:marRight w:val="0"/>
          <w:marTop w:val="86"/>
          <w:marBottom w:val="0"/>
          <w:divBdr>
            <w:top w:val="none" w:sz="0" w:space="0" w:color="auto"/>
            <w:left w:val="none" w:sz="0" w:space="0" w:color="auto"/>
            <w:bottom w:val="none" w:sz="0" w:space="0" w:color="auto"/>
            <w:right w:val="none" w:sz="0" w:space="0" w:color="auto"/>
          </w:divBdr>
        </w:div>
        <w:div w:id="2030333000">
          <w:marLeft w:val="1166"/>
          <w:marRight w:val="0"/>
          <w:marTop w:val="86"/>
          <w:marBottom w:val="0"/>
          <w:divBdr>
            <w:top w:val="none" w:sz="0" w:space="0" w:color="auto"/>
            <w:left w:val="none" w:sz="0" w:space="0" w:color="auto"/>
            <w:bottom w:val="none" w:sz="0" w:space="0" w:color="auto"/>
            <w:right w:val="none" w:sz="0" w:space="0" w:color="auto"/>
          </w:divBdr>
        </w:div>
      </w:divsChild>
    </w:div>
    <w:div w:id="1917472202">
      <w:bodyDiv w:val="1"/>
      <w:marLeft w:val="0"/>
      <w:marRight w:val="0"/>
      <w:marTop w:val="0"/>
      <w:marBottom w:val="0"/>
      <w:divBdr>
        <w:top w:val="none" w:sz="0" w:space="0" w:color="auto"/>
        <w:left w:val="none" w:sz="0" w:space="0" w:color="auto"/>
        <w:bottom w:val="none" w:sz="0" w:space="0" w:color="auto"/>
        <w:right w:val="none" w:sz="0" w:space="0" w:color="auto"/>
      </w:divBdr>
    </w:div>
    <w:div w:id="2002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Agendy\_KA16-23\KZ\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469816272965868E-2"/>
          <c:y val="7.4074074074074084E-2"/>
          <c:w val="0.89019685039370144"/>
          <c:h val="0.84167468649752186"/>
        </c:manualLayout>
      </c:layout>
      <c:lineChart>
        <c:grouping val="standard"/>
        <c:varyColors val="0"/>
        <c:ser>
          <c:idx val="0"/>
          <c:order val="0"/>
          <c:tx>
            <c:strRef>
              <c:f>'Graf 2'!$D$12</c:f>
              <c:strCache>
                <c:ptCount val="1"/>
                <c:pt idx="0">
                  <c:v>Množství BRKO uloženého na skládky v období 2007 až 2015 vztažené k množství BRKO vyprodukovaného v ČR v roce 1995</c:v>
                </c:pt>
              </c:strCache>
            </c:strRef>
          </c:tx>
          <c:spPr>
            <a:ln w="28575" cap="rnd">
              <a:solidFill>
                <a:srgbClr val="004595"/>
              </a:solidFill>
              <a:round/>
            </a:ln>
            <a:effectLst/>
          </c:spPr>
          <c:marker>
            <c:symbol val="circle"/>
            <c:size val="5"/>
            <c:spPr>
              <a:solidFill>
                <a:schemeClr val="tx1"/>
              </a:solidFill>
              <a:ln w="9525">
                <a:solidFill>
                  <a:schemeClr val="tx1"/>
                </a:solidFill>
              </a:ln>
              <a:effectLst/>
            </c:spPr>
          </c:marker>
          <c:dLbls>
            <c:dLbl>
              <c:idx val="0"/>
              <c:layout>
                <c:manualLayout>
                  <c:x val="7.1530758226037213E-3"/>
                  <c:y val="2.56684463156684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890-4C4A-8B91-D1937605CD53}"/>
                </c:ext>
              </c:extLst>
            </c:dLbl>
            <c:dLbl>
              <c:idx val="1"/>
              <c:layout>
                <c:manualLayout>
                  <c:x val="-2.8612303290415156E-3"/>
                  <c:y val="5.70409918125965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890-4C4A-8B91-D1937605CD53}"/>
                </c:ext>
              </c:extLst>
            </c:dLbl>
            <c:dLbl>
              <c:idx val="2"/>
              <c:layout>
                <c:manualLayout>
                  <c:x val="1.287553648068672E-2"/>
                  <c:y val="1.71122975437789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890-4C4A-8B91-D1937605CD53}"/>
                </c:ext>
              </c:extLst>
            </c:dLbl>
            <c:dLbl>
              <c:idx val="3"/>
              <c:layout>
                <c:manualLayout>
                  <c:x val="8.5836909871244739E-3"/>
                  <c:y val="-3.42245950875579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890-4C4A-8B91-D1937605CD53}"/>
                </c:ext>
              </c:extLst>
            </c:dLbl>
            <c:dLbl>
              <c:idx val="4"/>
              <c:layout>
                <c:manualLayout>
                  <c:x val="1.4306151645207465E-3"/>
                  <c:y val="-5.133689263133699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890-4C4A-8B91-D1937605CD53}"/>
                </c:ext>
              </c:extLst>
            </c:dLbl>
            <c:dLbl>
              <c:idx val="5"/>
              <c:layout>
                <c:manualLayout>
                  <c:x val="-5.2455283397850814E-17"/>
                  <c:y val="-4.84848430407070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890-4C4A-8B91-D1937605CD53}"/>
                </c:ext>
              </c:extLst>
            </c:dLbl>
            <c:dLbl>
              <c:idx val="6"/>
              <c:layout>
                <c:manualLayout>
                  <c:x val="0"/>
                  <c:y val="-5.41889422219666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890-4C4A-8B91-D1937605CD53}"/>
                </c:ext>
              </c:extLst>
            </c:dLbl>
            <c:dLbl>
              <c:idx val="7"/>
              <c:layout>
                <c:manualLayout>
                  <c:x val="0"/>
                  <c:y val="-4.56327934500772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890-4C4A-8B91-D1937605CD53}"/>
                </c:ext>
              </c:extLst>
            </c:dLbl>
            <c:dLbl>
              <c:idx val="8"/>
              <c:layout>
                <c:manualLayout>
                  <c:x val="-4.2918454935622422E-3"/>
                  <c:y val="-5.418894222196673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890-4C4A-8B91-D1937605CD5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numRef>
              <c:f>'Graf 2'!$B$1:$O$1</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'Graf 2'!$B$2:$J$2</c:f>
              <c:numCache>
                <c:formatCode>General</c:formatCode>
                <c:ptCount val="9"/>
                <c:pt idx="0">
                  <c:v>94.5</c:v>
                </c:pt>
                <c:pt idx="1">
                  <c:v>97.2</c:v>
                </c:pt>
                <c:pt idx="2">
                  <c:v>98.2</c:v>
                </c:pt>
                <c:pt idx="3">
                  <c:v>65.3</c:v>
                </c:pt>
                <c:pt idx="4">
                  <c:v>61.1</c:v>
                </c:pt>
                <c:pt idx="5">
                  <c:v>59.2</c:v>
                </c:pt>
                <c:pt idx="6">
                  <c:v>58.5</c:v>
                </c:pt>
                <c:pt idx="7">
                  <c:v>54.1</c:v>
                </c:pt>
                <c:pt idx="8">
                  <c:v>52.1</c:v>
                </c:pt>
              </c:numCache>
            </c:numRef>
          </c:val>
          <c:smooth val="0"/>
          <c:extLst>
            <c:ext xmlns:c16="http://schemas.microsoft.com/office/drawing/2014/chart" uri="{C3380CC4-5D6E-409C-BE32-E72D297353CC}">
              <c16:uniqueId val="{00000009-3890-4C4A-8B91-D1937605CD53}"/>
            </c:ext>
          </c:extLst>
        </c:ser>
        <c:ser>
          <c:idx val="2"/>
          <c:order val="1"/>
          <c:tx>
            <c:strRef>
              <c:f>'Graf 2'!$D$11</c:f>
              <c:strCache>
                <c:ptCount val="1"/>
                <c:pt idx="0">
                  <c:v>Cíle stanovené směrnicí o skládkách odpadů pro roky 2010, 2013 a 2020</c:v>
                </c:pt>
              </c:strCache>
            </c:strRef>
          </c:tx>
          <c:spPr>
            <a:ln w="28575" cap="rnd">
              <a:solidFill>
                <a:srgbClr val="BD2934"/>
              </a:solidFill>
              <a:prstDash val="dash"/>
              <a:round/>
            </a:ln>
            <a:effectLst/>
          </c:spPr>
          <c:marker>
            <c:symbol val="circle"/>
            <c:size val="5"/>
            <c:spPr>
              <a:solidFill>
                <a:schemeClr val="tx1"/>
              </a:solidFill>
              <a:ln w="9525">
                <a:solidFill>
                  <a:schemeClr val="tx1"/>
                </a:solidFill>
              </a:ln>
              <a:effectLst/>
            </c:spPr>
          </c:marker>
          <c:cat>
            <c:numRef>
              <c:f>'Graf 2'!$B$1:$O$1</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cat>
          <c:val>
            <c:numRef>
              <c:f>'Graf 2'!$B$7:$O$7</c:f>
              <c:numCache>
                <c:formatCode>General</c:formatCode>
                <c:ptCount val="14"/>
                <c:pt idx="0">
                  <c:v>75</c:v>
                </c:pt>
                <c:pt idx="1">
                  <c:v>75</c:v>
                </c:pt>
                <c:pt idx="2">
                  <c:v>75</c:v>
                </c:pt>
                <c:pt idx="3">
                  <c:v>75</c:v>
                </c:pt>
              </c:numCache>
            </c:numRef>
          </c:val>
          <c:smooth val="0"/>
          <c:extLst>
            <c:ext xmlns:c16="http://schemas.microsoft.com/office/drawing/2014/chart" uri="{C3380CC4-5D6E-409C-BE32-E72D297353CC}">
              <c16:uniqueId val="{0000000A-3890-4C4A-8B91-D1937605CD53}"/>
            </c:ext>
          </c:extLst>
        </c:ser>
        <c:ser>
          <c:idx val="1"/>
          <c:order val="2"/>
          <c:spPr>
            <a:ln w="28575" cap="rnd">
              <a:solidFill>
                <a:srgbClr val="C00000"/>
              </a:solidFill>
              <a:prstDash val="dash"/>
              <a:round/>
            </a:ln>
            <a:effectLst/>
          </c:spPr>
          <c:marker>
            <c:symbol val="circle"/>
            <c:size val="5"/>
            <c:spPr>
              <a:solidFill>
                <a:schemeClr val="tx1"/>
              </a:solidFill>
              <a:ln w="9525">
                <a:solidFill>
                  <a:schemeClr val="tx1"/>
                </a:solidFill>
              </a:ln>
              <a:effectLst/>
            </c:spPr>
          </c:marker>
          <c:val>
            <c:numRef>
              <c:f>'Graf 2'!$B$8:$O$8</c:f>
              <c:numCache>
                <c:formatCode>General</c:formatCode>
                <c:ptCount val="14"/>
                <c:pt idx="3">
                  <c:v>50</c:v>
                </c:pt>
                <c:pt idx="4">
                  <c:v>50</c:v>
                </c:pt>
                <c:pt idx="5">
                  <c:v>50</c:v>
                </c:pt>
                <c:pt idx="6">
                  <c:v>50</c:v>
                </c:pt>
              </c:numCache>
            </c:numRef>
          </c:val>
          <c:smooth val="0"/>
          <c:extLst>
            <c:ext xmlns:c16="http://schemas.microsoft.com/office/drawing/2014/chart" uri="{C3380CC4-5D6E-409C-BE32-E72D297353CC}">
              <c16:uniqueId val="{0000000B-3890-4C4A-8B91-D1937605CD53}"/>
            </c:ext>
          </c:extLst>
        </c:ser>
        <c:ser>
          <c:idx val="3"/>
          <c:order val="3"/>
          <c:spPr>
            <a:ln w="28575" cap="rnd">
              <a:solidFill>
                <a:srgbClr val="C00000"/>
              </a:solidFill>
              <a:prstDash val="dash"/>
              <a:round/>
            </a:ln>
            <a:effectLst/>
          </c:spPr>
          <c:marker>
            <c:symbol val="circle"/>
            <c:size val="5"/>
            <c:spPr>
              <a:solidFill>
                <a:schemeClr val="tx1"/>
              </a:solidFill>
              <a:ln w="9525">
                <a:solidFill>
                  <a:schemeClr val="tx1"/>
                </a:solidFill>
              </a:ln>
              <a:effectLst/>
            </c:spPr>
          </c:marker>
          <c:val>
            <c:numRef>
              <c:f>'Graf 2'!$B$9:$O$9</c:f>
              <c:numCache>
                <c:formatCode>General</c:formatCode>
                <c:ptCount val="14"/>
                <c:pt idx="6">
                  <c:v>35</c:v>
                </c:pt>
                <c:pt idx="7">
                  <c:v>35</c:v>
                </c:pt>
                <c:pt idx="8">
                  <c:v>35</c:v>
                </c:pt>
                <c:pt idx="9">
                  <c:v>35</c:v>
                </c:pt>
                <c:pt idx="10">
                  <c:v>35</c:v>
                </c:pt>
                <c:pt idx="11">
                  <c:v>35</c:v>
                </c:pt>
                <c:pt idx="12">
                  <c:v>35</c:v>
                </c:pt>
                <c:pt idx="13">
                  <c:v>35</c:v>
                </c:pt>
              </c:numCache>
            </c:numRef>
          </c:val>
          <c:smooth val="0"/>
          <c:extLst>
            <c:ext xmlns:c16="http://schemas.microsoft.com/office/drawing/2014/chart" uri="{C3380CC4-5D6E-409C-BE32-E72D297353CC}">
              <c16:uniqueId val="{0000000C-3890-4C4A-8B91-D1937605CD53}"/>
            </c:ext>
          </c:extLst>
        </c:ser>
        <c:dLbls>
          <c:showLegendKey val="0"/>
          <c:showVal val="0"/>
          <c:showCatName val="0"/>
          <c:showSerName val="0"/>
          <c:showPercent val="0"/>
          <c:showBubbleSize val="0"/>
        </c:dLbls>
        <c:marker val="1"/>
        <c:smooth val="0"/>
        <c:axId val="245086848"/>
        <c:axId val="245175040"/>
      </c:lineChart>
      <c:dateAx>
        <c:axId val="245086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5175040"/>
        <c:crosses val="autoZero"/>
        <c:auto val="0"/>
        <c:lblOffset val="100"/>
        <c:baseTimeUnit val="days"/>
      </c:dateAx>
      <c:valAx>
        <c:axId val="245175040"/>
        <c:scaling>
          <c:orientation val="minMax"/>
          <c:max val="100"/>
          <c:min val="25"/>
        </c:scaling>
        <c:delete val="0"/>
        <c:axPos val="l"/>
        <c:majorGridlines>
          <c:spPr>
            <a:ln w="9525" cap="flat" cmpd="sng" algn="ctr">
              <a:solidFill>
                <a:schemeClr val="tx1">
                  <a:lumMod val="15000"/>
                  <a:lumOff val="85000"/>
                </a:schemeClr>
              </a:solidFill>
              <a:round/>
            </a:ln>
            <a:effectLst/>
          </c:spPr>
        </c:majorGridlines>
        <c:numFmt formatCode="General\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5086848"/>
        <c:crossesAt val="1"/>
        <c:crossBetween val="midCat"/>
        <c:majorUnit val="5"/>
      </c:valAx>
      <c:spPr>
        <a:noFill/>
        <a:ln>
          <a:noFill/>
        </a:ln>
        <a:effectLst/>
      </c:spPr>
    </c:plotArea>
    <c:legend>
      <c:legendPos val="r"/>
      <c:layout>
        <c:manualLayout>
          <c:xMode val="edge"/>
          <c:yMode val="edge"/>
          <c:x val="0.49065116860392449"/>
          <c:y val="7.6474171497793536E-2"/>
          <c:w val="0.47199013317779731"/>
          <c:h val="0.3256983646274989"/>
        </c:manualLayout>
      </c:layout>
      <c:overlay val="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9F180-3626-4F49-BBF9-A2A041B66762}">
  <ds:schemaRefs>
    <ds:schemaRef ds:uri="http://schemas.openxmlformats.org/officeDocument/2006/bibliography"/>
  </ds:schemaRefs>
</ds:datastoreItem>
</file>

<file path=customXml/itemProps2.xml><?xml version="1.0" encoding="utf-8"?>
<ds:datastoreItem xmlns:ds="http://schemas.openxmlformats.org/officeDocument/2006/customXml" ds:itemID="{5826B8FD-2770-448C-9FC3-3AED66D4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4E88C31A.dotm</Template>
  <TotalTime>1590</TotalTime>
  <Pages>12</Pages>
  <Words>4386</Words>
  <Characters>25879</Characters>
  <Application>Microsoft Office Word</Application>
  <DocSecurity>0</DocSecurity>
  <Lines>215</Lines>
  <Paragraphs>60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Kontrolní závěr z kontrolní akce NKÚ č. 16/23 - Peněžní prostředky určené na realizaci opatření v oblasti nakládání s odpady</vt:lpstr>
      <vt:lpstr>Kontrolní závěr z kontrolní akce NKÚ č. 16/23 - Peněžní prostředky určené na realizaci opatření v oblasti nakládání s odpady</vt:lpstr>
    </vt:vector>
  </TitlesOfParts>
  <Company>Nejvyšší kontrolní úřad</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report from Audit No. 16/23 - Funds earmarked for implementation of measures related to waste management</dc:title>
  <dc:creator>Supreme Audit Office Czech Republic</dc:creator>
  <cp:keywords/>
  <cp:lastModifiedBy>KOKRDA Daniel</cp:lastModifiedBy>
  <cp:revision>44</cp:revision>
  <cp:lastPrinted>2017-06-02T07:25:00Z</cp:lastPrinted>
  <dcterms:created xsi:type="dcterms:W3CDTF">2017-05-26T07:33:00Z</dcterms:created>
  <dcterms:modified xsi:type="dcterms:W3CDTF">2017-06-02T07:27:00Z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160/14-NKU200/554/14</vt:lpwstr>
  </property>
  <property fmtid="{D5CDD505-2E9C-101B-9397-08002B2CF9AE}" pid="3" name="SZ_Spis_Pisemnost">
    <vt:lpwstr>160/14</vt:lpwstr>
  </property>
  <property fmtid="{D5CDD505-2E9C-101B-9397-08002B2CF9AE}" pid="4" name="DisplayName_SpisovyUzel_PoziceZodpo_Pisemnost">
    <vt:lpwstr>200</vt:lpwstr>
  </property>
  <property fmtid="{D5CDD505-2E9C-101B-9397-08002B2CF9AE}" pid="5" name="Zkratka_SpisovyUzel_PoziceZodpo_Pisemnost">
    <vt:lpwstr>200</vt:lpwstr>
  </property>
  <property fmtid="{D5CDD505-2E9C-101B-9397-08002B2CF9AE}" pid="6" name="Key_BarCode_Pisemnost">
    <vt:lpwstr>*B000214869*</vt:lpwstr>
  </property>
  <property fmtid="{D5CDD505-2E9C-101B-9397-08002B2CF9AE}" pid="7" name="DisplayName_CisloObalky_PostaOdes">
    <vt:lpwstr>{DisplayName_CisloObalky_PostaOdes}</vt:lpwstr>
  </property>
  <property fmtid="{D5CDD505-2E9C-101B-9397-08002B2CF9AE}" pid="8" name="EC_Pisemnost">
    <vt:lpwstr>14-12659</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ContentTypeId">
    <vt:lpwstr>0x010100BCD5090295CCF84F87C9AE4B32090897</vt:lpwstr>
  </property>
  <property fmtid="{D5CDD505-2E9C-101B-9397-08002B2CF9AE}" pid="13" name="UserName_PisemnostTypZpristupneniInformaciZOSZ_Pisemnost">
    <vt:lpwstr>ZOSZ_UserName</vt:lpwstr>
  </property>
  <property fmtid="{D5CDD505-2E9C-101B-9397-08002B2CF9AE}" pid="14" name="Password_PisemnostTypZpristupneniInformaciZOSZ_Pisemnost">
    <vt:lpwstr>ZOSZ_Password</vt:lpwstr>
  </property>
  <property fmtid="{D5CDD505-2E9C-101B-9397-08002B2CF9AE}" pid="15" name="DatumPlatnosti_PisemnostTypZpristupneniInformaciZOSZ_Pisemnost">
    <vt:lpwstr>ZOSZ_DatumPlatnosti</vt:lpwstr>
  </property>
  <property fmtid="{D5CDD505-2E9C-101B-9397-08002B2CF9AE}" pid="16" name="TEST">
    <vt:lpwstr>testovací pole</vt:lpwstr>
  </property>
  <property fmtid="{D5CDD505-2E9C-101B-9397-08002B2CF9AE}" pid="17" name="PocetListu_Pisemnost">
    <vt:lpwstr>1/0</vt:lpwstr>
  </property>
  <property fmtid="{D5CDD505-2E9C-101B-9397-08002B2CF9AE}" pid="18" name="Vec_Pisemnost">
    <vt:lpwstr>KZ 14/03 - připomínkové řízení</vt:lpwstr>
  </property>
  <property fmtid="{D5CDD505-2E9C-101B-9397-08002B2CF9AE}" pid="19" name="DatumPoriz_Pisemnost">
    <vt:lpwstr>10.9.2014</vt:lpwstr>
  </property>
  <property fmtid="{D5CDD505-2E9C-101B-9397-08002B2CF9AE}" pid="20" name="Contact_PostaOdes_All">
    <vt:lpwstr>ROZDĚLOVNÍK...</vt:lpwstr>
  </property>
  <property fmtid="{D5CDD505-2E9C-101B-9397-08002B2CF9AE}" pid="21" name="KRukam">
    <vt:lpwstr>{KRukam}</vt:lpwstr>
  </property>
  <property fmtid="{D5CDD505-2E9C-101B-9397-08002B2CF9AE}" pid="22" name="PocetListuDokumentu_Pisemnost">
    <vt:lpwstr>1</vt:lpwstr>
  </property>
  <property fmtid="{D5CDD505-2E9C-101B-9397-08002B2CF9AE}" pid="23" name="PocetPriloh_Pisemnost">
    <vt:lpwstr>0</vt:lpwstr>
  </property>
  <property fmtid="{D5CDD505-2E9C-101B-9397-08002B2CF9AE}" pid="24" name="TypPrilohy_Pisemnost">
    <vt:lpwstr>TYP PŘÍLOHY</vt:lpwstr>
  </property>
  <property fmtid="{D5CDD505-2E9C-101B-9397-08002B2CF9AE}" pid="25" name="DisplayName_UserPoriz_Pisemnost">
    <vt:lpwstr>Ivana Růžičková</vt:lpwstr>
  </property>
  <property fmtid="{D5CDD505-2E9C-101B-9397-08002B2CF9AE}" pid="26" name="Podpis">
    <vt:lpwstr/>
  </property>
  <property fmtid="{D5CDD505-2E9C-101B-9397-08002B2CF9AE}" pid="27" name="SmlouvaCislo">
    <vt:lpwstr>ČÍSLO SMLOUVY</vt:lpwstr>
  </property>
</Properties>
</file>