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46203" w14:textId="77777777" w:rsidR="00FE5C8F" w:rsidRPr="006921D7" w:rsidRDefault="00FE5C8F" w:rsidP="008E7D88">
      <w:pPr>
        <w:widowControl/>
        <w:jc w:val="center"/>
        <w:rPr>
          <w:rFonts w:cs="Calibri"/>
          <w:b/>
          <w:szCs w:val="24"/>
        </w:rPr>
      </w:pPr>
      <w:r>
        <w:rPr>
          <w:rFonts w:cs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0A62C2" wp14:editId="567B5E27">
            <wp:simplePos x="0" y="0"/>
            <wp:positionH relativeFrom="column">
              <wp:posOffset>2491105</wp:posOffset>
            </wp:positionH>
            <wp:positionV relativeFrom="paragraph">
              <wp:posOffset>64770</wp:posOffset>
            </wp:positionV>
            <wp:extent cx="787400" cy="5645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0CD3B" w14:textId="77777777" w:rsidR="00FE5C8F" w:rsidRPr="00CC4145" w:rsidRDefault="00FE5C8F" w:rsidP="008E7D88">
      <w:pPr>
        <w:widowControl/>
        <w:jc w:val="center"/>
        <w:rPr>
          <w:rFonts w:cs="Calibri"/>
          <w:bCs/>
          <w:color w:val="000000"/>
          <w:sz w:val="18"/>
          <w:szCs w:val="24"/>
        </w:rPr>
      </w:pPr>
    </w:p>
    <w:p w14:paraId="11A1B33F" w14:textId="77777777" w:rsidR="00FE5C8F" w:rsidRPr="006921D7" w:rsidRDefault="00FE5C8F" w:rsidP="008E7D88">
      <w:pPr>
        <w:widowControl/>
        <w:jc w:val="center"/>
        <w:rPr>
          <w:rFonts w:cs="Calibri"/>
          <w:b/>
          <w:bCs/>
          <w:color w:val="000000"/>
          <w:sz w:val="28"/>
          <w:szCs w:val="24"/>
        </w:rPr>
      </w:pPr>
      <w:bookmarkStart w:id="0" w:name="_GoBack"/>
      <w:r w:rsidRPr="006921D7">
        <w:rPr>
          <w:rFonts w:cs="Calibri"/>
          <w:b/>
          <w:bCs/>
          <w:color w:val="000000"/>
          <w:sz w:val="28"/>
          <w:szCs w:val="24"/>
        </w:rPr>
        <w:t>Kontrolní závěr z kontrolní akce</w:t>
      </w:r>
    </w:p>
    <w:p w14:paraId="036638B4" w14:textId="77777777" w:rsidR="00FE5C8F" w:rsidRPr="00CC4145" w:rsidRDefault="00FE5C8F" w:rsidP="008E7D88">
      <w:pPr>
        <w:widowControl/>
        <w:jc w:val="center"/>
        <w:rPr>
          <w:rFonts w:cs="Calibri"/>
          <w:sz w:val="20"/>
          <w:szCs w:val="24"/>
        </w:rPr>
      </w:pPr>
    </w:p>
    <w:p w14:paraId="039A0971" w14:textId="77777777" w:rsidR="00FE5C8F" w:rsidRPr="006921D7" w:rsidRDefault="00FE5C8F" w:rsidP="008E7D88">
      <w:pPr>
        <w:widowControl/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>16</w:t>
      </w:r>
      <w:r w:rsidRPr="006921D7">
        <w:rPr>
          <w:rFonts w:cs="Calibri"/>
          <w:b/>
          <w:bCs/>
          <w:color w:val="000000"/>
          <w:sz w:val="28"/>
          <w:szCs w:val="24"/>
        </w:rPr>
        <w:t>/</w:t>
      </w:r>
      <w:r>
        <w:rPr>
          <w:rFonts w:cs="Calibri"/>
          <w:b/>
          <w:bCs/>
          <w:color w:val="000000"/>
          <w:sz w:val="28"/>
          <w:szCs w:val="24"/>
        </w:rPr>
        <w:t>20</w:t>
      </w:r>
    </w:p>
    <w:p w14:paraId="4768E26E" w14:textId="77777777" w:rsidR="00FE5C8F" w:rsidRPr="002E1E8B" w:rsidRDefault="00FE5C8F" w:rsidP="008E7D88">
      <w:pPr>
        <w:widowControl/>
        <w:jc w:val="center"/>
        <w:rPr>
          <w:rFonts w:cs="Calibri"/>
          <w:bCs/>
          <w:color w:val="000000"/>
          <w:sz w:val="22"/>
          <w:szCs w:val="24"/>
        </w:rPr>
      </w:pPr>
    </w:p>
    <w:p w14:paraId="0140C7E5" w14:textId="77777777" w:rsidR="00AA3439" w:rsidRDefault="00FE5C8F" w:rsidP="008E7D88">
      <w:pPr>
        <w:widowControl/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 xml:space="preserve">Peněžní prostředky státu vynakládané Ministerstvem školství, mládeže a tělovýchovy na rozvoj </w:t>
      </w:r>
    </w:p>
    <w:p w14:paraId="1DC38083" w14:textId="2F4B9285" w:rsidR="00FE5C8F" w:rsidRPr="006921D7" w:rsidRDefault="00FE5C8F" w:rsidP="008E7D88">
      <w:pPr>
        <w:widowControl/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>a obnovu materiálně technické základny sportu a tělovýchovy</w:t>
      </w:r>
    </w:p>
    <w:bookmarkEnd w:id="0"/>
    <w:p w14:paraId="7025E04D" w14:textId="77777777" w:rsidR="00FE5C8F" w:rsidRPr="00CC4145" w:rsidRDefault="00FE5C8F" w:rsidP="008E7D88">
      <w:pPr>
        <w:widowControl/>
        <w:jc w:val="center"/>
        <w:rPr>
          <w:rFonts w:cs="Calibri"/>
          <w:sz w:val="20"/>
          <w:szCs w:val="24"/>
        </w:rPr>
      </w:pPr>
    </w:p>
    <w:p w14:paraId="781AEB72" w14:textId="77777777" w:rsidR="00FE5C8F" w:rsidRPr="00CC4145" w:rsidRDefault="00FE5C8F" w:rsidP="008E7D88">
      <w:pPr>
        <w:widowControl/>
        <w:rPr>
          <w:rFonts w:cs="Calibri"/>
          <w:sz w:val="20"/>
          <w:szCs w:val="24"/>
        </w:rPr>
      </w:pPr>
    </w:p>
    <w:p w14:paraId="3BC76FD2" w14:textId="77777777" w:rsidR="00FE5C8F" w:rsidRDefault="00FE5C8F" w:rsidP="008E7D88">
      <w:pPr>
        <w:widowControl/>
        <w:rPr>
          <w:rFonts w:cs="Calibri"/>
          <w:szCs w:val="24"/>
        </w:rPr>
      </w:pPr>
      <w:r w:rsidRPr="000B4501">
        <w:rPr>
          <w:rFonts w:cs="Calibri"/>
          <w:szCs w:val="24"/>
        </w:rPr>
        <w:t>Kontrolní akce byla zařazena do plánu kontrolní činnosti Nejvyššího kontrolního úřadu (dále jen „NKÚ“) na rok 201</w:t>
      </w:r>
      <w:r>
        <w:rPr>
          <w:rFonts w:cs="Calibri"/>
          <w:szCs w:val="24"/>
        </w:rPr>
        <w:t>6</w:t>
      </w:r>
      <w:r w:rsidRPr="000B4501">
        <w:rPr>
          <w:rFonts w:cs="Calibri"/>
          <w:szCs w:val="24"/>
        </w:rPr>
        <w:t xml:space="preserve"> pod číslem 1</w:t>
      </w:r>
      <w:r>
        <w:rPr>
          <w:rFonts w:cs="Calibri"/>
          <w:szCs w:val="24"/>
        </w:rPr>
        <w:t>6</w:t>
      </w:r>
      <w:r w:rsidRPr="000B4501">
        <w:rPr>
          <w:rFonts w:cs="Calibri"/>
          <w:szCs w:val="24"/>
        </w:rPr>
        <w:t>/</w:t>
      </w:r>
      <w:r>
        <w:rPr>
          <w:rFonts w:cs="Calibri"/>
          <w:szCs w:val="24"/>
        </w:rPr>
        <w:t>20</w:t>
      </w:r>
      <w:r w:rsidRPr="000B4501">
        <w:rPr>
          <w:rFonts w:cs="Calibri"/>
          <w:szCs w:val="24"/>
        </w:rPr>
        <w:t>. Kontrolní akci řídil a kontrolní závěr vypracoval člen NKÚ Ing. Jan Stárek.</w:t>
      </w:r>
    </w:p>
    <w:p w14:paraId="6D19AB6B" w14:textId="77777777" w:rsidR="00FE5C8F" w:rsidRPr="00CC4145" w:rsidRDefault="00FE5C8F" w:rsidP="008E7D88">
      <w:pPr>
        <w:widowControl/>
        <w:rPr>
          <w:rFonts w:cs="Calibri"/>
          <w:sz w:val="22"/>
          <w:szCs w:val="24"/>
        </w:rPr>
      </w:pPr>
    </w:p>
    <w:p w14:paraId="0CD229CD" w14:textId="67903A23" w:rsidR="00FE5C8F" w:rsidRDefault="00FE5C8F" w:rsidP="008E7D88">
      <w:pPr>
        <w:widowControl/>
        <w:rPr>
          <w:rFonts w:cs="Calibri"/>
          <w:szCs w:val="24"/>
        </w:rPr>
      </w:pPr>
      <w:r>
        <w:rPr>
          <w:rFonts w:cs="Calibri"/>
          <w:szCs w:val="24"/>
        </w:rPr>
        <w:t>Cílem kontroly bylo p</w:t>
      </w:r>
      <w:r w:rsidRPr="000C6F33">
        <w:rPr>
          <w:rFonts w:cs="Calibri"/>
          <w:szCs w:val="24"/>
        </w:rPr>
        <w:t>rověřit poskytování, čerpání a užití peněžních prostředků</w:t>
      </w:r>
      <w:r w:rsidR="00A26B8D">
        <w:rPr>
          <w:rFonts w:cs="Calibri"/>
          <w:szCs w:val="24"/>
        </w:rPr>
        <w:t xml:space="preserve"> státu</w:t>
      </w:r>
      <w:r w:rsidRPr="000C6F33">
        <w:rPr>
          <w:rFonts w:cs="Calibri"/>
          <w:szCs w:val="24"/>
        </w:rPr>
        <w:t xml:space="preserve"> vynakládaných Ministerstvem školství, mládeže a tělovýchovy na rozvoj a obnovu materiálně technické základny sportu a tělovýchovy.</w:t>
      </w:r>
    </w:p>
    <w:p w14:paraId="759A4FBF" w14:textId="77777777" w:rsidR="00FE5C8F" w:rsidRPr="00CC4145" w:rsidRDefault="00FE5C8F" w:rsidP="008E7D88">
      <w:pPr>
        <w:widowControl/>
        <w:rPr>
          <w:rFonts w:cs="Calibri"/>
          <w:sz w:val="22"/>
          <w:szCs w:val="24"/>
        </w:rPr>
      </w:pPr>
    </w:p>
    <w:p w14:paraId="3BF24E05" w14:textId="51DC3762" w:rsidR="00FE5C8F" w:rsidRPr="004C031F" w:rsidRDefault="00FE5C8F" w:rsidP="008E7D88">
      <w:pPr>
        <w:pStyle w:val="Zkladntextodsazen"/>
        <w:spacing w:after="0"/>
        <w:ind w:left="0"/>
        <w:rPr>
          <w:rFonts w:cs="Calibri"/>
        </w:rPr>
      </w:pPr>
      <w:r w:rsidRPr="004C031F">
        <w:rPr>
          <w:rFonts w:cs="Calibri"/>
        </w:rPr>
        <w:t>Kontrolováno bylo období</w:t>
      </w:r>
      <w:r>
        <w:rPr>
          <w:rFonts w:cs="Calibri"/>
        </w:rPr>
        <w:t xml:space="preserve"> let</w:t>
      </w:r>
      <w:r w:rsidRPr="004C031F">
        <w:rPr>
          <w:rFonts w:cs="Calibri"/>
        </w:rPr>
        <w:t xml:space="preserve"> 20</w:t>
      </w:r>
      <w:r>
        <w:rPr>
          <w:rFonts w:cs="Calibri"/>
        </w:rPr>
        <w:t>13</w:t>
      </w:r>
      <w:r w:rsidR="001E7809">
        <w:rPr>
          <w:rFonts w:cs="Calibri"/>
        </w:rPr>
        <w:t>–</w:t>
      </w:r>
      <w:r>
        <w:rPr>
          <w:rFonts w:cs="Calibri"/>
        </w:rPr>
        <w:t>2</w:t>
      </w:r>
      <w:r w:rsidRPr="004C031F">
        <w:rPr>
          <w:rFonts w:cs="Calibri"/>
        </w:rPr>
        <w:t>01</w:t>
      </w:r>
      <w:r>
        <w:rPr>
          <w:rFonts w:cs="Calibri"/>
        </w:rPr>
        <w:t>5</w:t>
      </w:r>
      <w:r w:rsidRPr="004C031F">
        <w:rPr>
          <w:rFonts w:cs="Calibri"/>
        </w:rPr>
        <w:t>,</w:t>
      </w:r>
      <w:r w:rsidRPr="004860A5">
        <w:rPr>
          <w:rFonts w:cs="Calibri"/>
          <w:sz w:val="22"/>
        </w:rPr>
        <w:t xml:space="preserve"> </w:t>
      </w:r>
      <w:r w:rsidRPr="004C031F">
        <w:rPr>
          <w:rFonts w:cs="Calibri"/>
        </w:rPr>
        <w:t xml:space="preserve">v případě věcných souvislostí i období </w:t>
      </w:r>
      <w:r>
        <w:rPr>
          <w:rFonts w:cs="Calibri"/>
        </w:rPr>
        <w:t>předcházející a </w:t>
      </w:r>
      <w:r w:rsidRPr="00D95701">
        <w:rPr>
          <w:rFonts w:cs="Calibri"/>
        </w:rPr>
        <w:t>následující</w:t>
      </w:r>
      <w:r w:rsidRPr="004C031F">
        <w:rPr>
          <w:rFonts w:cs="Calibri"/>
        </w:rPr>
        <w:t xml:space="preserve">. Kontrola byla prováděna u kontrolovaných osob od </w:t>
      </w:r>
      <w:r>
        <w:rPr>
          <w:rFonts w:cs="Calibri"/>
        </w:rPr>
        <w:t>června 2016</w:t>
      </w:r>
      <w:r w:rsidRPr="004C031F">
        <w:rPr>
          <w:rFonts w:cs="Calibri"/>
        </w:rPr>
        <w:t xml:space="preserve"> do </w:t>
      </w:r>
      <w:r>
        <w:rPr>
          <w:rFonts w:cs="Calibri"/>
        </w:rPr>
        <w:t>ledna 2017</w:t>
      </w:r>
      <w:r w:rsidRPr="004C031F">
        <w:rPr>
          <w:rFonts w:cs="Calibri"/>
        </w:rPr>
        <w:t>.</w:t>
      </w:r>
    </w:p>
    <w:p w14:paraId="59A7E491" w14:textId="77777777" w:rsidR="00FE5C8F" w:rsidRPr="00ED25F1" w:rsidRDefault="00FE5C8F" w:rsidP="008E7D88">
      <w:pPr>
        <w:widowControl/>
        <w:rPr>
          <w:rFonts w:cs="Calibri"/>
          <w:sz w:val="20"/>
          <w:szCs w:val="24"/>
        </w:rPr>
      </w:pPr>
    </w:p>
    <w:p w14:paraId="18F864D9" w14:textId="2391C831" w:rsidR="00FE5C8F" w:rsidRDefault="00FE5C8F" w:rsidP="008E7D88">
      <w:pPr>
        <w:widowControl/>
        <w:rPr>
          <w:rFonts w:cs="Calibri"/>
          <w:szCs w:val="24"/>
        </w:rPr>
      </w:pPr>
      <w:r w:rsidRPr="004E7726">
        <w:rPr>
          <w:rFonts w:cs="Calibri"/>
          <w:b/>
          <w:szCs w:val="24"/>
        </w:rPr>
        <w:t>Kontrolované osoby:</w:t>
      </w:r>
      <w:r w:rsidRPr="000B4501">
        <w:rPr>
          <w:rFonts w:cs="Calibri"/>
          <w:szCs w:val="24"/>
        </w:rPr>
        <w:t xml:space="preserve"> </w:t>
      </w:r>
    </w:p>
    <w:p w14:paraId="0C4187F7" w14:textId="4F7B5377" w:rsidR="00FE5C8F" w:rsidRPr="00AB0CB5" w:rsidRDefault="00FE5C8F" w:rsidP="008E7D88">
      <w:pPr>
        <w:widowControl/>
        <w:rPr>
          <w:rFonts w:cs="Calibri"/>
          <w:szCs w:val="24"/>
        </w:rPr>
      </w:pPr>
      <w:r w:rsidRPr="00AB0CB5">
        <w:rPr>
          <w:rFonts w:cs="Calibri"/>
          <w:szCs w:val="24"/>
        </w:rPr>
        <w:t>Ministerstvo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školství,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mládeže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a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tělovýchovy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(dále</w:t>
      </w:r>
      <w:r w:rsidRPr="00F408A8">
        <w:rPr>
          <w:rFonts w:cs="Calibri"/>
          <w:szCs w:val="24"/>
        </w:rPr>
        <w:t xml:space="preserve"> </w:t>
      </w:r>
      <w:r w:rsidR="001E4863" w:rsidRPr="00AB0CB5">
        <w:rPr>
          <w:rFonts w:cs="Calibri"/>
          <w:szCs w:val="24"/>
        </w:rPr>
        <w:t>jen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„MŠMT“);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Fotbalový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klub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mládeže</w:t>
      </w:r>
      <w:r w:rsidRPr="00F408A8">
        <w:rPr>
          <w:rFonts w:cs="Calibri"/>
          <w:szCs w:val="24"/>
        </w:rPr>
        <w:t xml:space="preserve"> </w:t>
      </w:r>
      <w:r w:rsidRPr="00AB0CB5">
        <w:rPr>
          <w:rFonts w:cs="Calibri"/>
          <w:szCs w:val="24"/>
        </w:rPr>
        <w:t>VYSOČINA</w:t>
      </w:r>
      <w:r w:rsidRPr="00F408A8">
        <w:rPr>
          <w:rFonts w:cs="Calibri"/>
          <w:szCs w:val="24"/>
        </w:rPr>
        <w:t xml:space="preserve"> </w:t>
      </w:r>
      <w:proofErr w:type="gramStart"/>
      <w:r w:rsidRPr="00AB0CB5">
        <w:rPr>
          <w:rFonts w:cs="Calibri"/>
          <w:szCs w:val="24"/>
        </w:rPr>
        <w:t>JIHLAVA,</w:t>
      </w:r>
      <w:r w:rsidRPr="00F408A8">
        <w:rPr>
          <w:rFonts w:cs="Calibri"/>
          <w:szCs w:val="24"/>
        </w:rPr>
        <w:t xml:space="preserve">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="00CC4145" w:rsidRPr="00AB0CB5">
        <w:rPr>
          <w:rFonts w:cs="Calibri"/>
          <w:szCs w:val="24"/>
        </w:rPr>
        <w:t>;</w:t>
      </w:r>
      <w:r w:rsidRPr="00AB0CB5">
        <w:rPr>
          <w:rFonts w:cs="Calibri"/>
          <w:szCs w:val="24"/>
        </w:rPr>
        <w:t xml:space="preserve"> Autoklub České republiky, Praha; Česká unie </w:t>
      </w:r>
      <w:proofErr w:type="gramStart"/>
      <w:r w:rsidRPr="00AB0CB5">
        <w:rPr>
          <w:rFonts w:cs="Calibri"/>
          <w:szCs w:val="24"/>
        </w:rPr>
        <w:t xml:space="preserve">sportu,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>, Praha</w:t>
      </w:r>
      <w:r w:rsidR="00CC4145" w:rsidRPr="00AB0CB5">
        <w:rPr>
          <w:rFonts w:cs="Calibri"/>
          <w:szCs w:val="24"/>
        </w:rPr>
        <w:t>;</w:t>
      </w:r>
      <w:r w:rsidRPr="00AB0CB5">
        <w:rPr>
          <w:rFonts w:cs="Calibri"/>
          <w:szCs w:val="24"/>
        </w:rPr>
        <w:t xml:space="preserve"> Habrůvka tradiční </w:t>
      </w:r>
      <w:proofErr w:type="gramStart"/>
      <w:r w:rsidRPr="00AB0CB5">
        <w:rPr>
          <w:rFonts w:cs="Calibri"/>
          <w:szCs w:val="24"/>
        </w:rPr>
        <w:t xml:space="preserve">vesnicí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HC Slavoj Český </w:t>
      </w:r>
      <w:proofErr w:type="gramStart"/>
      <w:r w:rsidRPr="00AB0CB5">
        <w:rPr>
          <w:rFonts w:cs="Calibri"/>
          <w:szCs w:val="24"/>
        </w:rPr>
        <w:t xml:space="preserve">Krumlov,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Jihomoravská </w:t>
      </w:r>
      <w:proofErr w:type="gramStart"/>
      <w:r w:rsidRPr="00AB0CB5">
        <w:rPr>
          <w:rFonts w:cs="Calibri"/>
          <w:szCs w:val="24"/>
        </w:rPr>
        <w:t xml:space="preserve">sportovní,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, Břeclav; Národní olympijské centrum vodních </w:t>
      </w:r>
      <w:proofErr w:type="gramStart"/>
      <w:r w:rsidRPr="00AB0CB5">
        <w:rPr>
          <w:rFonts w:cs="Calibri"/>
          <w:szCs w:val="24"/>
        </w:rPr>
        <w:t xml:space="preserve">sportů,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>, Praha</w:t>
      </w:r>
      <w:r w:rsidR="00CC4145" w:rsidRPr="00AB0CB5">
        <w:rPr>
          <w:rFonts w:cs="Calibri"/>
          <w:szCs w:val="24"/>
        </w:rPr>
        <w:t>;</w:t>
      </w:r>
      <w:r w:rsidRPr="00AB0CB5">
        <w:rPr>
          <w:rFonts w:cs="Calibri"/>
          <w:szCs w:val="24"/>
        </w:rPr>
        <w:t xml:space="preserve"> Sdružení sportovních svazů České </w:t>
      </w:r>
      <w:proofErr w:type="gramStart"/>
      <w:r w:rsidRPr="00AB0CB5">
        <w:rPr>
          <w:rFonts w:cs="Calibri"/>
          <w:szCs w:val="24"/>
        </w:rPr>
        <w:t xml:space="preserve">republiky,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, Praha; SK </w:t>
      </w:r>
      <w:proofErr w:type="gramStart"/>
      <w:r w:rsidRPr="00AB0CB5">
        <w:rPr>
          <w:rFonts w:cs="Calibri"/>
          <w:szCs w:val="24"/>
        </w:rPr>
        <w:t xml:space="preserve">ZLATANA,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, Břeclav; SPORTOVNÍ AREÁL PRAHA, spolek; SPORTOVNÍ KLUB NOVÉ MĚSTO NA </w:t>
      </w:r>
      <w:proofErr w:type="gramStart"/>
      <w:r w:rsidRPr="00AB0CB5">
        <w:rPr>
          <w:rFonts w:cs="Calibri"/>
          <w:szCs w:val="24"/>
        </w:rPr>
        <w:t xml:space="preserve">MORAVĚ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Sportovní klub </w:t>
      </w:r>
      <w:proofErr w:type="spellStart"/>
      <w:r w:rsidRPr="00AB0CB5">
        <w:rPr>
          <w:rFonts w:cs="Calibri"/>
          <w:szCs w:val="24"/>
        </w:rPr>
        <w:t>Véska</w:t>
      </w:r>
      <w:proofErr w:type="spellEnd"/>
      <w:r w:rsidRPr="00AB0CB5">
        <w:rPr>
          <w:rFonts w:cs="Calibri"/>
          <w:szCs w:val="24"/>
        </w:rPr>
        <w:t xml:space="preserve">, spolek; Tělovýchovná jednota Baník Stříbro, spolek; Tělovýchovná jednota BÍLÍ TYGŘI </w:t>
      </w:r>
      <w:proofErr w:type="gramStart"/>
      <w:r w:rsidRPr="00AB0CB5">
        <w:rPr>
          <w:rFonts w:cs="Calibri"/>
          <w:szCs w:val="24"/>
        </w:rPr>
        <w:t xml:space="preserve">LIBEREC,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Tělovýchovná jednota Malše </w:t>
      </w:r>
      <w:proofErr w:type="gramStart"/>
      <w:r w:rsidRPr="00AB0CB5">
        <w:rPr>
          <w:rFonts w:cs="Calibri"/>
          <w:szCs w:val="24"/>
        </w:rPr>
        <w:t xml:space="preserve">Roudné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Tenisový klub Prostějov, spolek; TJ Velké </w:t>
      </w:r>
      <w:proofErr w:type="gramStart"/>
      <w:r w:rsidRPr="00AB0CB5">
        <w:rPr>
          <w:rFonts w:cs="Calibri"/>
          <w:szCs w:val="24"/>
        </w:rPr>
        <w:t xml:space="preserve">Hamry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="007D6F7D" w:rsidRPr="00AB0CB5">
        <w:rPr>
          <w:rFonts w:cs="Calibri"/>
          <w:szCs w:val="24"/>
        </w:rPr>
        <w:t xml:space="preserve">; </w:t>
      </w:r>
      <w:r w:rsidRPr="00AB0CB5">
        <w:rPr>
          <w:rFonts w:cs="Calibri"/>
          <w:szCs w:val="24"/>
        </w:rPr>
        <w:t xml:space="preserve">TK Slavia </w:t>
      </w:r>
      <w:proofErr w:type="gramStart"/>
      <w:r w:rsidRPr="00AB0CB5">
        <w:rPr>
          <w:rFonts w:cs="Calibri"/>
          <w:szCs w:val="24"/>
        </w:rPr>
        <w:t>Plzeň</w:t>
      </w:r>
      <w:r w:rsidR="00C31F11" w:rsidRPr="00AB0CB5">
        <w:rPr>
          <w:rFonts w:cs="Calibri"/>
          <w:szCs w:val="24"/>
        </w:rPr>
        <w:t> 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  <w:r w:rsidRPr="00AB0CB5">
        <w:rPr>
          <w:rFonts w:cs="Calibri"/>
          <w:szCs w:val="24"/>
        </w:rPr>
        <w:t xml:space="preserve">; VIKTORIA PLZEŇ - </w:t>
      </w:r>
      <w:proofErr w:type="gramStart"/>
      <w:r w:rsidRPr="00AB0CB5">
        <w:rPr>
          <w:rFonts w:cs="Calibri"/>
          <w:szCs w:val="24"/>
        </w:rPr>
        <w:t xml:space="preserve">fotbal, </w:t>
      </w:r>
      <w:proofErr w:type="spellStart"/>
      <w:r w:rsidRPr="00AB0CB5">
        <w:rPr>
          <w:rFonts w:cs="Calibri"/>
          <w:szCs w:val="24"/>
        </w:rPr>
        <w:t>z.s</w:t>
      </w:r>
      <w:proofErr w:type="spellEnd"/>
      <w:r w:rsidRPr="00AB0CB5">
        <w:rPr>
          <w:rFonts w:cs="Calibri"/>
          <w:szCs w:val="24"/>
        </w:rPr>
        <w:t>.</w:t>
      </w:r>
      <w:proofErr w:type="gramEnd"/>
    </w:p>
    <w:p w14:paraId="4909CBDF" w14:textId="77777777" w:rsidR="00FE5C8F" w:rsidRPr="00ED25F1" w:rsidRDefault="00FE5C8F" w:rsidP="008E7D88">
      <w:pPr>
        <w:widowControl/>
        <w:rPr>
          <w:rFonts w:cs="Calibri"/>
          <w:sz w:val="20"/>
          <w:szCs w:val="24"/>
        </w:rPr>
      </w:pPr>
    </w:p>
    <w:p w14:paraId="17DF0C3F" w14:textId="36A4C9E6" w:rsidR="00FE5C8F" w:rsidRPr="00CE336D" w:rsidRDefault="00FE5C8F" w:rsidP="008E7D88">
      <w:pPr>
        <w:widowControl/>
        <w:rPr>
          <w:rFonts w:cs="Calibri"/>
          <w:szCs w:val="24"/>
        </w:rPr>
      </w:pPr>
      <w:r w:rsidRPr="00CE336D">
        <w:rPr>
          <w:rFonts w:cs="Calibri"/>
          <w:szCs w:val="24"/>
        </w:rPr>
        <w:t>Námitky proti kontrolnímu protokolu, které podal</w:t>
      </w:r>
      <w:r w:rsidR="00CE336D">
        <w:rPr>
          <w:rFonts w:cs="Calibri"/>
          <w:szCs w:val="24"/>
        </w:rPr>
        <w:t>y</w:t>
      </w:r>
      <w:r w:rsidRPr="00CE336D">
        <w:rPr>
          <w:rFonts w:cs="Calibri"/>
          <w:szCs w:val="24"/>
        </w:rPr>
        <w:t xml:space="preserve"> MŠMT, </w:t>
      </w:r>
      <w:r w:rsidR="00CC4145" w:rsidRPr="00CE336D">
        <w:rPr>
          <w:rFonts w:cs="Calibri"/>
          <w:szCs w:val="24"/>
        </w:rPr>
        <w:t xml:space="preserve">Fotbalový klub mládeže VYSOČINA </w:t>
      </w:r>
      <w:proofErr w:type="gramStart"/>
      <w:r w:rsidR="00CC4145" w:rsidRPr="00CE336D">
        <w:rPr>
          <w:rFonts w:cs="Calibri"/>
          <w:szCs w:val="24"/>
        </w:rPr>
        <w:t xml:space="preserve">JIHLAVA, </w:t>
      </w:r>
      <w:proofErr w:type="spellStart"/>
      <w:r w:rsidR="00CC4145" w:rsidRPr="00CE336D">
        <w:rPr>
          <w:rFonts w:cs="Calibri"/>
          <w:szCs w:val="24"/>
        </w:rPr>
        <w:t>z.s</w:t>
      </w:r>
      <w:proofErr w:type="spellEnd"/>
      <w:r w:rsidR="00CC4145" w:rsidRPr="00CE336D">
        <w:rPr>
          <w:rFonts w:cs="Calibri"/>
          <w:szCs w:val="24"/>
        </w:rPr>
        <w:t>.</w:t>
      </w:r>
      <w:proofErr w:type="gramEnd"/>
      <w:r w:rsidRPr="00B628B6">
        <w:rPr>
          <w:rFonts w:cs="Calibri"/>
          <w:szCs w:val="24"/>
        </w:rPr>
        <w:t xml:space="preserve">, </w:t>
      </w:r>
      <w:r w:rsidR="00CC4145" w:rsidRPr="00B628B6">
        <w:rPr>
          <w:rFonts w:cs="Calibri"/>
          <w:szCs w:val="24"/>
        </w:rPr>
        <w:t>Autoklub České republiky, Praha</w:t>
      </w:r>
      <w:r w:rsidRPr="00B628B6">
        <w:rPr>
          <w:rFonts w:cs="Calibri"/>
          <w:szCs w:val="24"/>
        </w:rPr>
        <w:t xml:space="preserve">, </w:t>
      </w:r>
      <w:r w:rsidR="00CC4145" w:rsidRPr="00B628B6">
        <w:rPr>
          <w:rFonts w:cs="Calibri"/>
          <w:szCs w:val="24"/>
        </w:rPr>
        <w:t xml:space="preserve">Česká unie sportu, </w:t>
      </w:r>
      <w:proofErr w:type="spellStart"/>
      <w:r w:rsidR="00CC4145" w:rsidRPr="00B628B6">
        <w:rPr>
          <w:rFonts w:cs="Calibri"/>
          <w:szCs w:val="24"/>
        </w:rPr>
        <w:t>z.s</w:t>
      </w:r>
      <w:proofErr w:type="spellEnd"/>
      <w:r w:rsidR="00CC4145" w:rsidRPr="00B628B6">
        <w:rPr>
          <w:rFonts w:cs="Calibri"/>
          <w:szCs w:val="24"/>
        </w:rPr>
        <w:t>., Praha</w:t>
      </w:r>
      <w:r w:rsidRPr="00B628B6">
        <w:rPr>
          <w:rFonts w:cs="Calibri"/>
          <w:szCs w:val="24"/>
        </w:rPr>
        <w:t xml:space="preserve">, </w:t>
      </w:r>
      <w:r w:rsidR="00CC4145" w:rsidRPr="00B628B6">
        <w:rPr>
          <w:rFonts w:cs="Calibri"/>
          <w:szCs w:val="24"/>
        </w:rPr>
        <w:t xml:space="preserve">HC Slavoj Český Krumlov, </w:t>
      </w:r>
      <w:proofErr w:type="spellStart"/>
      <w:r w:rsidR="00CC4145" w:rsidRPr="00B628B6">
        <w:rPr>
          <w:rFonts w:cs="Calibri"/>
          <w:szCs w:val="24"/>
        </w:rPr>
        <w:t>z.s</w:t>
      </w:r>
      <w:proofErr w:type="spellEnd"/>
      <w:r w:rsidR="00CC4145" w:rsidRPr="00B628B6">
        <w:rPr>
          <w:rFonts w:cs="Calibri"/>
          <w:szCs w:val="24"/>
        </w:rPr>
        <w:t>.</w:t>
      </w:r>
      <w:r w:rsidRPr="00CE336D">
        <w:rPr>
          <w:rFonts w:cs="Calibri"/>
          <w:szCs w:val="24"/>
        </w:rPr>
        <w:t xml:space="preserve">, </w:t>
      </w:r>
      <w:r w:rsidR="00CC4145" w:rsidRPr="00CE336D">
        <w:rPr>
          <w:rFonts w:cs="Calibri"/>
          <w:szCs w:val="24"/>
        </w:rPr>
        <w:t xml:space="preserve">Národní olympijské centrum vodních sportů, </w:t>
      </w:r>
      <w:proofErr w:type="spellStart"/>
      <w:r w:rsidR="00CC4145" w:rsidRPr="00CE336D">
        <w:rPr>
          <w:rFonts w:cs="Calibri"/>
          <w:szCs w:val="24"/>
        </w:rPr>
        <w:t>z.s</w:t>
      </w:r>
      <w:proofErr w:type="spellEnd"/>
      <w:r w:rsidR="00CC4145" w:rsidRPr="00CE336D">
        <w:rPr>
          <w:rFonts w:cs="Calibri"/>
          <w:szCs w:val="24"/>
        </w:rPr>
        <w:t>.</w:t>
      </w:r>
      <w:r w:rsidRPr="00CE336D">
        <w:rPr>
          <w:rFonts w:cs="Calibri"/>
          <w:szCs w:val="24"/>
        </w:rPr>
        <w:t>,</w:t>
      </w:r>
      <w:r w:rsidR="001E4863" w:rsidRPr="00CE336D">
        <w:rPr>
          <w:rFonts w:cs="Calibri"/>
          <w:szCs w:val="24"/>
        </w:rPr>
        <w:t xml:space="preserve"> Praha,</w:t>
      </w:r>
      <w:r w:rsidRPr="00CE336D">
        <w:rPr>
          <w:rFonts w:cs="Calibri"/>
          <w:szCs w:val="24"/>
        </w:rPr>
        <w:t xml:space="preserve"> </w:t>
      </w:r>
      <w:r w:rsidR="00CC4145" w:rsidRPr="00CE336D">
        <w:rPr>
          <w:rFonts w:cs="Calibri"/>
          <w:szCs w:val="24"/>
        </w:rPr>
        <w:t xml:space="preserve">Sportovní klub </w:t>
      </w:r>
      <w:proofErr w:type="spellStart"/>
      <w:r w:rsidR="00CC4145" w:rsidRPr="00CE336D">
        <w:rPr>
          <w:rFonts w:cs="Calibri"/>
          <w:szCs w:val="24"/>
        </w:rPr>
        <w:t>Véska</w:t>
      </w:r>
      <w:proofErr w:type="spellEnd"/>
      <w:r w:rsidR="00CC4145" w:rsidRPr="00CE336D">
        <w:rPr>
          <w:rFonts w:cs="Calibri"/>
          <w:szCs w:val="24"/>
        </w:rPr>
        <w:t>, spolek</w:t>
      </w:r>
      <w:r w:rsidRPr="00CE336D">
        <w:rPr>
          <w:rFonts w:cs="Calibri"/>
          <w:szCs w:val="24"/>
        </w:rPr>
        <w:t xml:space="preserve">, </w:t>
      </w:r>
      <w:r w:rsidR="00CC4145" w:rsidRPr="00CE336D">
        <w:rPr>
          <w:rFonts w:cs="Calibri"/>
          <w:szCs w:val="24"/>
        </w:rPr>
        <w:t xml:space="preserve">Tělovýchovná jednota BÍLÍ TYGŘI LIBEREC, </w:t>
      </w:r>
      <w:proofErr w:type="spellStart"/>
      <w:r w:rsidR="00CC4145" w:rsidRPr="00CE336D">
        <w:rPr>
          <w:rFonts w:cs="Calibri"/>
          <w:szCs w:val="24"/>
        </w:rPr>
        <w:t>z.s</w:t>
      </w:r>
      <w:proofErr w:type="spellEnd"/>
      <w:r w:rsidR="002E626E" w:rsidRPr="00CE336D">
        <w:rPr>
          <w:rFonts w:cs="Calibri"/>
          <w:szCs w:val="24"/>
        </w:rPr>
        <w:t>.,</w:t>
      </w:r>
      <w:r w:rsidR="00CC4145" w:rsidRPr="00CE336D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 xml:space="preserve">a </w:t>
      </w:r>
      <w:r w:rsidR="00CC4145" w:rsidRPr="00CE336D">
        <w:rPr>
          <w:rFonts w:cs="Calibri"/>
          <w:szCs w:val="24"/>
        </w:rPr>
        <w:t>Tenisový klub Prostějov, spolek</w:t>
      </w:r>
      <w:r w:rsidRPr="00CE336D">
        <w:rPr>
          <w:rFonts w:cs="Calibri"/>
          <w:szCs w:val="24"/>
        </w:rPr>
        <w:t>, vypořádali vedoucí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skupin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kontrolujících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rozhodnutími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o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námitkách.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Odvolání</w:t>
      </w:r>
      <w:r w:rsidR="00CE336D">
        <w:rPr>
          <w:rFonts w:cs="Calibri"/>
          <w:szCs w:val="24"/>
        </w:rPr>
        <w:t>, která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proti</w:t>
      </w:r>
      <w:r w:rsidRPr="00F408A8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rozhodnu</w:t>
      </w:r>
      <w:r w:rsidR="00CC4145" w:rsidRPr="00CE336D">
        <w:rPr>
          <w:rFonts w:cs="Calibri"/>
          <w:szCs w:val="24"/>
        </w:rPr>
        <w:t>tí</w:t>
      </w:r>
      <w:r w:rsidR="00CE336D">
        <w:rPr>
          <w:rFonts w:cs="Calibri"/>
          <w:szCs w:val="24"/>
        </w:rPr>
        <w:t>m</w:t>
      </w:r>
      <w:r w:rsidR="00CC4145" w:rsidRPr="00CE336D">
        <w:rPr>
          <w:rFonts w:cs="Calibri"/>
          <w:szCs w:val="24"/>
        </w:rPr>
        <w:t xml:space="preserve"> o</w:t>
      </w:r>
      <w:r w:rsidR="005331D7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 xml:space="preserve">námitkách </w:t>
      </w:r>
      <w:r w:rsidR="00CE336D">
        <w:rPr>
          <w:rFonts w:cs="Calibri"/>
          <w:szCs w:val="24"/>
        </w:rPr>
        <w:t xml:space="preserve">podaly </w:t>
      </w:r>
      <w:r w:rsidR="00CC4145" w:rsidRPr="00CE336D">
        <w:rPr>
          <w:rFonts w:cs="Calibri"/>
          <w:szCs w:val="24"/>
        </w:rPr>
        <w:t>Autoklub České republiky, Praha</w:t>
      </w:r>
      <w:r w:rsidRPr="00CE336D">
        <w:rPr>
          <w:rFonts w:cs="Calibri"/>
          <w:szCs w:val="24"/>
        </w:rPr>
        <w:t>,</w:t>
      </w:r>
      <w:r w:rsidRPr="00F408A8">
        <w:rPr>
          <w:rFonts w:cs="Calibri"/>
          <w:szCs w:val="24"/>
        </w:rPr>
        <w:t xml:space="preserve"> </w:t>
      </w:r>
      <w:r w:rsidR="00CC4145" w:rsidRPr="00CE336D">
        <w:rPr>
          <w:rFonts w:cs="Calibri"/>
          <w:szCs w:val="24"/>
        </w:rPr>
        <w:t xml:space="preserve">Česká unie </w:t>
      </w:r>
      <w:proofErr w:type="gramStart"/>
      <w:r w:rsidR="00CC4145" w:rsidRPr="00CE336D">
        <w:rPr>
          <w:rFonts w:cs="Calibri"/>
          <w:szCs w:val="24"/>
        </w:rPr>
        <w:t xml:space="preserve">sportu, </w:t>
      </w:r>
      <w:proofErr w:type="spellStart"/>
      <w:r w:rsidR="00CC4145" w:rsidRPr="00CE336D">
        <w:rPr>
          <w:rFonts w:cs="Calibri"/>
          <w:szCs w:val="24"/>
        </w:rPr>
        <w:t>z.s</w:t>
      </w:r>
      <w:proofErr w:type="spellEnd"/>
      <w:r w:rsidR="00CC4145" w:rsidRPr="00CE336D">
        <w:rPr>
          <w:rFonts w:cs="Calibri"/>
          <w:szCs w:val="24"/>
        </w:rPr>
        <w:t>.</w:t>
      </w:r>
      <w:proofErr w:type="gramEnd"/>
      <w:r w:rsidR="001E4863" w:rsidRPr="00CE336D">
        <w:rPr>
          <w:rFonts w:cs="Calibri"/>
          <w:szCs w:val="24"/>
        </w:rPr>
        <w:t>,</w:t>
      </w:r>
      <w:r w:rsidR="001E4863" w:rsidRPr="00F408A8">
        <w:rPr>
          <w:rFonts w:cs="Calibri"/>
          <w:szCs w:val="24"/>
        </w:rPr>
        <w:t xml:space="preserve"> </w:t>
      </w:r>
      <w:r w:rsidR="001E4863" w:rsidRPr="00CE336D">
        <w:rPr>
          <w:rFonts w:cs="Calibri"/>
          <w:szCs w:val="24"/>
        </w:rPr>
        <w:t>Praha</w:t>
      </w:r>
      <w:r w:rsidR="00CC4145" w:rsidRPr="00CE336D">
        <w:rPr>
          <w:rFonts w:cs="Calibri"/>
          <w:szCs w:val="24"/>
        </w:rPr>
        <w:t>,</w:t>
      </w:r>
      <w:r w:rsidR="0049135F" w:rsidRPr="00F408A8">
        <w:rPr>
          <w:rFonts w:cs="Calibri"/>
          <w:szCs w:val="24"/>
        </w:rPr>
        <w:t xml:space="preserve"> </w:t>
      </w:r>
      <w:r w:rsidR="00CC4145" w:rsidRPr="00CE336D">
        <w:rPr>
          <w:rFonts w:cs="Calibri"/>
          <w:szCs w:val="24"/>
        </w:rPr>
        <w:t>Sportovní klub</w:t>
      </w:r>
      <w:r w:rsidR="00CC4145" w:rsidRPr="00F408A8">
        <w:rPr>
          <w:rFonts w:cs="Calibri"/>
          <w:szCs w:val="24"/>
        </w:rPr>
        <w:t xml:space="preserve"> </w:t>
      </w:r>
      <w:proofErr w:type="spellStart"/>
      <w:r w:rsidR="00CC4145" w:rsidRPr="00CE336D">
        <w:rPr>
          <w:rFonts w:cs="Calibri"/>
          <w:szCs w:val="24"/>
        </w:rPr>
        <w:t>Véska</w:t>
      </w:r>
      <w:proofErr w:type="spellEnd"/>
      <w:r w:rsidR="00CC4145" w:rsidRPr="00CE336D">
        <w:rPr>
          <w:rFonts w:cs="Calibri"/>
          <w:szCs w:val="24"/>
        </w:rPr>
        <w:t>, spolek</w:t>
      </w:r>
      <w:r w:rsidR="00AD3C1B" w:rsidRPr="00CE336D">
        <w:rPr>
          <w:rFonts w:cs="Calibri"/>
          <w:szCs w:val="24"/>
        </w:rPr>
        <w:t>,</w:t>
      </w:r>
      <w:r w:rsidR="00CC4145" w:rsidRPr="00CE336D">
        <w:rPr>
          <w:rFonts w:cs="Calibri"/>
          <w:szCs w:val="24"/>
        </w:rPr>
        <w:t xml:space="preserve"> a</w:t>
      </w:r>
      <w:r w:rsidR="005331D7">
        <w:rPr>
          <w:rFonts w:cs="Calibri"/>
          <w:szCs w:val="24"/>
        </w:rPr>
        <w:t xml:space="preserve"> </w:t>
      </w:r>
      <w:r w:rsidR="00CC4145" w:rsidRPr="00CE336D">
        <w:rPr>
          <w:rFonts w:cs="Calibri"/>
          <w:szCs w:val="24"/>
        </w:rPr>
        <w:t>Tenisov</w:t>
      </w:r>
      <w:r w:rsidR="00CE336D">
        <w:rPr>
          <w:rFonts w:cs="Calibri"/>
          <w:szCs w:val="24"/>
        </w:rPr>
        <w:t>ý</w:t>
      </w:r>
      <w:r w:rsidR="00CC4145" w:rsidRPr="00CE336D">
        <w:rPr>
          <w:rFonts w:cs="Calibri"/>
          <w:szCs w:val="24"/>
        </w:rPr>
        <w:t xml:space="preserve"> klub Prostějov, spolek</w:t>
      </w:r>
      <w:r w:rsidR="00AD3C1B" w:rsidRPr="00CE336D">
        <w:rPr>
          <w:rFonts w:cs="Calibri"/>
          <w:szCs w:val="24"/>
        </w:rPr>
        <w:t>,</w:t>
      </w:r>
      <w:r w:rsidR="00CC4145" w:rsidRPr="00CE336D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vypo</w:t>
      </w:r>
      <w:r w:rsidR="00CC4145" w:rsidRPr="00CE336D">
        <w:rPr>
          <w:rFonts w:cs="Calibri"/>
          <w:szCs w:val="24"/>
        </w:rPr>
        <w:t>řádalo Kolegium NKÚ usnesením</w:t>
      </w:r>
      <w:r w:rsidR="00CE336D">
        <w:rPr>
          <w:rFonts w:cs="Calibri"/>
          <w:szCs w:val="24"/>
        </w:rPr>
        <w:t>i</w:t>
      </w:r>
      <w:r w:rsidR="00CC4145" w:rsidRPr="00CE336D">
        <w:rPr>
          <w:rFonts w:cs="Calibri"/>
          <w:szCs w:val="24"/>
        </w:rPr>
        <w:t xml:space="preserve"> o</w:t>
      </w:r>
      <w:r w:rsidR="005331D7">
        <w:rPr>
          <w:rFonts w:cs="Calibri"/>
          <w:szCs w:val="24"/>
        </w:rPr>
        <w:t xml:space="preserve"> </w:t>
      </w:r>
      <w:r w:rsidRPr="00CE336D">
        <w:rPr>
          <w:rFonts w:cs="Calibri"/>
          <w:szCs w:val="24"/>
        </w:rPr>
        <w:t>odvolání.</w:t>
      </w:r>
    </w:p>
    <w:p w14:paraId="62E58561" w14:textId="77777777" w:rsidR="00FE5C8F" w:rsidRPr="00ED25F1" w:rsidRDefault="00FE5C8F" w:rsidP="008E7D88">
      <w:pPr>
        <w:widowControl/>
        <w:rPr>
          <w:rFonts w:cs="Calibri"/>
          <w:sz w:val="20"/>
          <w:szCs w:val="24"/>
        </w:rPr>
      </w:pPr>
    </w:p>
    <w:p w14:paraId="1A3AD8CB" w14:textId="0328C72B" w:rsidR="00FE5C8F" w:rsidRPr="000216FB" w:rsidRDefault="00FE5C8F" w:rsidP="008E7D88">
      <w:pPr>
        <w:widowControl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 o l e g i u m   N K Ú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 xml:space="preserve">na </w:t>
      </w:r>
      <w:r w:rsidRPr="000216FB">
        <w:rPr>
          <w:rFonts w:cs="Calibri"/>
          <w:szCs w:val="24"/>
        </w:rPr>
        <w:t xml:space="preserve">svém </w:t>
      </w:r>
      <w:r w:rsidR="00D24202">
        <w:rPr>
          <w:rFonts w:cs="Calibri"/>
          <w:szCs w:val="24"/>
        </w:rPr>
        <w:t>VII</w:t>
      </w:r>
      <w:r w:rsidRPr="000216FB">
        <w:rPr>
          <w:rFonts w:cs="Calibri"/>
          <w:szCs w:val="24"/>
        </w:rPr>
        <w:t xml:space="preserve">. jednání, které se konalo dne </w:t>
      </w:r>
      <w:r w:rsidR="00D24202">
        <w:rPr>
          <w:rFonts w:cs="Calibri"/>
          <w:szCs w:val="24"/>
        </w:rPr>
        <w:t>25</w:t>
      </w:r>
      <w:r w:rsidRPr="000216FB">
        <w:rPr>
          <w:rFonts w:cs="Calibri"/>
          <w:szCs w:val="24"/>
        </w:rPr>
        <w:t xml:space="preserve">. </w:t>
      </w:r>
      <w:r w:rsidR="00B86AC6" w:rsidRPr="000216FB">
        <w:rPr>
          <w:rFonts w:cs="Calibri"/>
          <w:szCs w:val="24"/>
        </w:rPr>
        <w:t>dubna</w:t>
      </w:r>
      <w:r w:rsidRPr="000216FB">
        <w:rPr>
          <w:rFonts w:cs="Calibri"/>
          <w:szCs w:val="24"/>
        </w:rPr>
        <w:t xml:space="preserve"> 2017,</w:t>
      </w:r>
    </w:p>
    <w:p w14:paraId="5E9BB591" w14:textId="6EFAE9FC" w:rsidR="00FE5C8F" w:rsidRPr="000B4501" w:rsidRDefault="00FE5C8F" w:rsidP="008E7D88">
      <w:pPr>
        <w:widowControl/>
        <w:rPr>
          <w:rFonts w:cs="Calibri"/>
          <w:szCs w:val="24"/>
        </w:rPr>
      </w:pPr>
      <w:proofErr w:type="gramStart"/>
      <w:r w:rsidRPr="000216FB">
        <w:rPr>
          <w:rFonts w:cs="Calibri"/>
          <w:b/>
          <w:bCs/>
          <w:i/>
          <w:iCs/>
          <w:szCs w:val="24"/>
        </w:rPr>
        <w:t>s c h v á l i l o</w:t>
      </w:r>
      <w:r w:rsidRPr="000216FB">
        <w:rPr>
          <w:rFonts w:cs="Calibri"/>
          <w:b/>
          <w:bCs/>
          <w:iCs/>
          <w:szCs w:val="24"/>
        </w:rPr>
        <w:t xml:space="preserve">   </w:t>
      </w:r>
      <w:r w:rsidRPr="000216FB">
        <w:rPr>
          <w:rFonts w:cs="Calibri"/>
          <w:szCs w:val="24"/>
        </w:rPr>
        <w:t>usnesením č.</w:t>
      </w:r>
      <w:proofErr w:type="gramEnd"/>
      <w:r w:rsidRPr="000216FB">
        <w:rPr>
          <w:rFonts w:cs="Calibri"/>
          <w:szCs w:val="24"/>
        </w:rPr>
        <w:t xml:space="preserve"> </w:t>
      </w:r>
      <w:r w:rsidR="00AA3439">
        <w:rPr>
          <w:rFonts w:cs="Calibri"/>
          <w:szCs w:val="24"/>
        </w:rPr>
        <w:t>8</w:t>
      </w:r>
      <w:r w:rsidRPr="000216FB">
        <w:rPr>
          <w:rFonts w:cs="Calibri"/>
          <w:szCs w:val="24"/>
        </w:rPr>
        <w:t>/</w:t>
      </w:r>
      <w:r w:rsidR="00D24202">
        <w:rPr>
          <w:rFonts w:cs="Calibri"/>
          <w:szCs w:val="24"/>
        </w:rPr>
        <w:t>VII</w:t>
      </w:r>
      <w:r w:rsidRPr="000216FB">
        <w:rPr>
          <w:rFonts w:cs="Calibri"/>
          <w:szCs w:val="24"/>
        </w:rPr>
        <w:t>/2017</w:t>
      </w:r>
    </w:p>
    <w:p w14:paraId="16916301" w14:textId="77777777" w:rsidR="00FE5C8F" w:rsidRPr="000B4501" w:rsidRDefault="00FE5C8F" w:rsidP="008E7D88">
      <w:pPr>
        <w:widowControl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 o n t r o l n í   z á v ě r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>v tomto znění:</w:t>
      </w:r>
    </w:p>
    <w:p w14:paraId="628FE358" w14:textId="33F8EBCB" w:rsidR="00FE5C8F" w:rsidRPr="00894A95" w:rsidRDefault="00FE5C8F" w:rsidP="008E7D88">
      <w:pPr>
        <w:pStyle w:val="Nadpis1"/>
        <w:widowControl/>
      </w:pPr>
      <w:r w:rsidRPr="00894A95">
        <w:lastRenderedPageBreak/>
        <w:t>Úvod</w:t>
      </w:r>
    </w:p>
    <w:p w14:paraId="451199D5" w14:textId="1A146C90" w:rsidR="00FE5C8F" w:rsidRPr="00AF0DFA" w:rsidRDefault="00FE5C8F" w:rsidP="008E7D88">
      <w:pPr>
        <w:widowControl/>
        <w:rPr>
          <w:szCs w:val="22"/>
        </w:rPr>
      </w:pPr>
      <w:r w:rsidRPr="00940F6E">
        <w:rPr>
          <w:b/>
          <w:bCs/>
          <w:szCs w:val="22"/>
        </w:rPr>
        <w:t>MŠMT</w:t>
      </w:r>
      <w:r>
        <w:rPr>
          <w:bCs/>
          <w:szCs w:val="22"/>
        </w:rPr>
        <w:t xml:space="preserve"> </w:t>
      </w:r>
      <w:r w:rsidRPr="00E70DF3">
        <w:rPr>
          <w:szCs w:val="22"/>
        </w:rPr>
        <w:t xml:space="preserve">je </w:t>
      </w:r>
      <w:r w:rsidR="00AF0DFA">
        <w:rPr>
          <w:szCs w:val="22"/>
        </w:rPr>
        <w:t>ústředním orgánem státní správy</w:t>
      </w:r>
      <w:r>
        <w:rPr>
          <w:rStyle w:val="Znakapoznpodarou"/>
          <w:szCs w:val="22"/>
        </w:rPr>
        <w:footnoteReference w:id="1"/>
      </w:r>
      <w:r w:rsidR="002B60A2">
        <w:t xml:space="preserve"> mj</w:t>
      </w:r>
      <w:r w:rsidR="00B32A2A">
        <w:t>.</w:t>
      </w:r>
      <w:r w:rsidR="002B60A2">
        <w:t xml:space="preserve"> pro</w:t>
      </w:r>
      <w:r w:rsidR="00E430BA">
        <w:t xml:space="preserve"> </w:t>
      </w:r>
      <w:r w:rsidRPr="00F408A8">
        <w:t>státní péči o děti, mládež, tělesnou výchovu, sport, turistiku a sportovní reprezentaci státu</w:t>
      </w:r>
      <w:r w:rsidRPr="008728D3">
        <w:t>.</w:t>
      </w:r>
      <w:r>
        <w:t xml:space="preserve"> </w:t>
      </w:r>
      <w:r w:rsidRPr="00D029F5">
        <w:rPr>
          <w:rFonts w:cs="Calibri"/>
          <w:szCs w:val="24"/>
        </w:rPr>
        <w:t>MŠMT je správcem kapitoly státního rozpočtu 333</w:t>
      </w:r>
      <w:r w:rsidRPr="00D029F5">
        <w:rPr>
          <w:rFonts w:cs="Calibri"/>
          <w:i/>
          <w:szCs w:val="24"/>
        </w:rPr>
        <w:t xml:space="preserve"> – Ministerstvo školství, mládeže a</w:t>
      </w:r>
      <w:r w:rsidR="005331D7">
        <w:rPr>
          <w:rFonts w:cs="Calibri"/>
          <w:i/>
          <w:szCs w:val="24"/>
        </w:rPr>
        <w:t xml:space="preserve"> </w:t>
      </w:r>
      <w:r w:rsidRPr="00476310">
        <w:rPr>
          <w:rFonts w:cs="Calibri"/>
          <w:i/>
          <w:szCs w:val="24"/>
        </w:rPr>
        <w:t>tělovýchovy.</w:t>
      </w:r>
    </w:p>
    <w:p w14:paraId="4F476BAD" w14:textId="2F1BA009" w:rsidR="00FE5C8F" w:rsidRDefault="00FE5C8F" w:rsidP="008E7D88">
      <w:pPr>
        <w:widowControl/>
        <w:rPr>
          <w:szCs w:val="22"/>
        </w:rPr>
      </w:pPr>
    </w:p>
    <w:p w14:paraId="7768717B" w14:textId="7AC670CD" w:rsidR="00AF0DFA" w:rsidRDefault="00AF0DFA" w:rsidP="008E7D88">
      <w:pPr>
        <w:widowControl/>
        <w:rPr>
          <w:szCs w:val="22"/>
        </w:rPr>
      </w:pPr>
      <w:r>
        <w:rPr>
          <w:szCs w:val="22"/>
        </w:rPr>
        <w:t>Zákon o podpoře sportu</w:t>
      </w:r>
      <w:r w:rsidR="00FE5C8F">
        <w:rPr>
          <w:rStyle w:val="Znakapoznpodarou"/>
          <w:szCs w:val="22"/>
        </w:rPr>
        <w:footnoteReference w:id="2"/>
      </w:r>
      <w:r>
        <w:rPr>
          <w:szCs w:val="22"/>
        </w:rPr>
        <w:t xml:space="preserve"> </w:t>
      </w:r>
      <w:r w:rsidRPr="00AF0DFA">
        <w:rPr>
          <w:szCs w:val="22"/>
        </w:rPr>
        <w:t xml:space="preserve">vymezuje </w:t>
      </w:r>
      <w:r w:rsidRPr="00940F6E">
        <w:rPr>
          <w:b/>
          <w:szCs w:val="22"/>
        </w:rPr>
        <w:t>postavení sportu</w:t>
      </w:r>
      <w:r w:rsidRPr="00AF0DFA">
        <w:rPr>
          <w:szCs w:val="22"/>
        </w:rPr>
        <w:t xml:space="preserve"> ve společnosti jako veřejně prospěšné činnosti a stanoví úkoly ministerstev, jiných správních úřadů a působnost územních samosprávných celků při podpoře sportu</w:t>
      </w:r>
      <w:r w:rsidR="00C44FC6">
        <w:rPr>
          <w:szCs w:val="22"/>
        </w:rPr>
        <w:t xml:space="preserve">, přičemž </w:t>
      </w:r>
      <w:r>
        <w:rPr>
          <w:szCs w:val="22"/>
        </w:rPr>
        <w:t xml:space="preserve">pojem </w:t>
      </w:r>
      <w:r w:rsidRPr="00AF0DFA">
        <w:rPr>
          <w:szCs w:val="22"/>
        </w:rPr>
        <w:t>sport</w:t>
      </w:r>
      <w:r w:rsidR="00C44FC6">
        <w:rPr>
          <w:szCs w:val="22"/>
        </w:rPr>
        <w:t xml:space="preserve"> zde</w:t>
      </w:r>
      <w:r w:rsidRPr="00AF0DFA">
        <w:rPr>
          <w:szCs w:val="22"/>
        </w:rPr>
        <w:t xml:space="preserve"> představuje všechny formy tělesné činnosti, které </w:t>
      </w:r>
      <w:r w:rsidR="008728D3" w:rsidRPr="00AF0DFA">
        <w:rPr>
          <w:szCs w:val="22"/>
        </w:rPr>
        <w:t xml:space="preserve">si </w:t>
      </w:r>
      <w:r w:rsidRPr="00AF0DFA">
        <w:rPr>
          <w:szCs w:val="22"/>
        </w:rPr>
        <w:t>prostřednictvím organizované i neorganizované účasti kladou za cíl harmonický rozvoj tělesné i psychické kondice, upevňování zdraví a dosahování sportovních výkonů v soutěžích všech úrovní.</w:t>
      </w:r>
    </w:p>
    <w:p w14:paraId="538484C4" w14:textId="474E8AB0" w:rsidR="00AF0DFA" w:rsidRDefault="00AF0DFA" w:rsidP="008E7D88">
      <w:pPr>
        <w:widowControl/>
        <w:rPr>
          <w:szCs w:val="22"/>
        </w:rPr>
      </w:pPr>
    </w:p>
    <w:p w14:paraId="3F7C3294" w14:textId="1E0BAF13" w:rsidR="00AF0DFA" w:rsidRPr="00AF0DFA" w:rsidRDefault="00AF0DFA" w:rsidP="008E7D88">
      <w:pPr>
        <w:widowControl/>
        <w:rPr>
          <w:szCs w:val="22"/>
        </w:rPr>
      </w:pPr>
      <w:r w:rsidRPr="00940F6E">
        <w:rPr>
          <w:b/>
          <w:szCs w:val="22"/>
        </w:rPr>
        <w:t>Základními úkoly MŠMT</w:t>
      </w:r>
      <w:r>
        <w:rPr>
          <w:szCs w:val="22"/>
        </w:rPr>
        <w:t xml:space="preserve"> </w:t>
      </w:r>
      <w:r w:rsidR="00940F6E">
        <w:rPr>
          <w:szCs w:val="22"/>
        </w:rPr>
        <w:t xml:space="preserve">jsou </w:t>
      </w:r>
      <w:r>
        <w:rPr>
          <w:szCs w:val="22"/>
        </w:rPr>
        <w:t>podle zákona o</w:t>
      </w:r>
      <w:r w:rsidR="006E5C32">
        <w:rPr>
          <w:szCs w:val="22"/>
        </w:rPr>
        <w:t xml:space="preserve"> podpoře</w:t>
      </w:r>
      <w:r>
        <w:rPr>
          <w:szCs w:val="22"/>
        </w:rPr>
        <w:t xml:space="preserve"> sportu </w:t>
      </w:r>
      <w:r w:rsidR="00A94750">
        <w:rPr>
          <w:szCs w:val="22"/>
        </w:rPr>
        <w:t>mimo jiné vypracová</w:t>
      </w:r>
      <w:r w:rsidR="00C44FC6">
        <w:rPr>
          <w:szCs w:val="22"/>
        </w:rPr>
        <w:t>vá</w:t>
      </w:r>
      <w:r w:rsidR="00A94750">
        <w:rPr>
          <w:szCs w:val="22"/>
        </w:rPr>
        <w:t>ní návrh</w:t>
      </w:r>
      <w:r w:rsidR="008728D3">
        <w:rPr>
          <w:szCs w:val="22"/>
        </w:rPr>
        <w:t>ů</w:t>
      </w:r>
      <w:r w:rsidR="00A94750">
        <w:rPr>
          <w:szCs w:val="22"/>
        </w:rPr>
        <w:t xml:space="preserve"> koncepc</w:t>
      </w:r>
      <w:r w:rsidR="008728D3">
        <w:rPr>
          <w:szCs w:val="22"/>
        </w:rPr>
        <w:t>í</w:t>
      </w:r>
      <w:r w:rsidR="00A94750">
        <w:rPr>
          <w:szCs w:val="22"/>
        </w:rPr>
        <w:t xml:space="preserve"> státní politiky ve sportu a je</w:t>
      </w:r>
      <w:r w:rsidR="008728D3">
        <w:rPr>
          <w:szCs w:val="22"/>
        </w:rPr>
        <w:t>jich</w:t>
      </w:r>
      <w:r w:rsidR="00A94750">
        <w:rPr>
          <w:szCs w:val="22"/>
        </w:rPr>
        <w:t xml:space="preserve"> před</w:t>
      </w:r>
      <w:r w:rsidR="008728D3">
        <w:rPr>
          <w:szCs w:val="22"/>
        </w:rPr>
        <w:t>k</w:t>
      </w:r>
      <w:r w:rsidR="00A94750">
        <w:rPr>
          <w:szCs w:val="22"/>
        </w:rPr>
        <w:t>l</w:t>
      </w:r>
      <w:r w:rsidR="008728D3">
        <w:rPr>
          <w:szCs w:val="22"/>
        </w:rPr>
        <w:t>ádání</w:t>
      </w:r>
      <w:r w:rsidR="00A94750">
        <w:rPr>
          <w:szCs w:val="22"/>
        </w:rPr>
        <w:t xml:space="preserve"> vládě ke sch</w:t>
      </w:r>
      <w:r w:rsidR="00940F6E">
        <w:rPr>
          <w:szCs w:val="22"/>
        </w:rPr>
        <w:t xml:space="preserve">válení, koordinace uskutečňování vládou schválené koncepce, zabezpečování finanční podpory ze státního rozpočtu a </w:t>
      </w:r>
      <w:r w:rsidRPr="00AF0DFA">
        <w:rPr>
          <w:szCs w:val="22"/>
        </w:rPr>
        <w:t>vytvář</w:t>
      </w:r>
      <w:r w:rsidR="00940F6E">
        <w:rPr>
          <w:szCs w:val="22"/>
        </w:rPr>
        <w:t>ení</w:t>
      </w:r>
      <w:r w:rsidRPr="00AF0DFA">
        <w:rPr>
          <w:szCs w:val="22"/>
        </w:rPr>
        <w:t xml:space="preserve"> podmín</w:t>
      </w:r>
      <w:r w:rsidR="00940F6E">
        <w:rPr>
          <w:szCs w:val="22"/>
        </w:rPr>
        <w:t>e</w:t>
      </w:r>
      <w:r w:rsidRPr="00AF0DFA">
        <w:rPr>
          <w:szCs w:val="22"/>
        </w:rPr>
        <w:t>k pro stá</w:t>
      </w:r>
      <w:r w:rsidR="00940F6E">
        <w:rPr>
          <w:szCs w:val="22"/>
        </w:rPr>
        <w:t xml:space="preserve">tní sportovní reprezentaci, </w:t>
      </w:r>
      <w:r w:rsidRPr="00AF0DFA">
        <w:rPr>
          <w:szCs w:val="22"/>
        </w:rPr>
        <w:t xml:space="preserve">přípravu sportovních talentů, </w:t>
      </w:r>
      <w:r w:rsidR="00940F6E">
        <w:rPr>
          <w:szCs w:val="22"/>
        </w:rPr>
        <w:t>rozvoj sportu pro</w:t>
      </w:r>
      <w:r w:rsidR="00B628B6">
        <w:rPr>
          <w:szCs w:val="22"/>
        </w:rPr>
        <w:t xml:space="preserve"> </w:t>
      </w:r>
      <w:r w:rsidRPr="00AF0DFA">
        <w:rPr>
          <w:szCs w:val="22"/>
        </w:rPr>
        <w:t>všechny a pro sport zdravotně postižených občanů</w:t>
      </w:r>
      <w:r w:rsidR="002D38D6">
        <w:rPr>
          <w:szCs w:val="22"/>
        </w:rPr>
        <w:t>.</w:t>
      </w:r>
      <w:r w:rsidRPr="00AF0DFA">
        <w:rPr>
          <w:szCs w:val="22"/>
        </w:rPr>
        <w:t xml:space="preserve"> </w:t>
      </w:r>
    </w:p>
    <w:p w14:paraId="1AAD3F8B" w14:textId="77777777" w:rsidR="00AF0DFA" w:rsidRPr="00AF0DFA" w:rsidRDefault="00AF0DFA" w:rsidP="008E7D88">
      <w:pPr>
        <w:widowControl/>
        <w:rPr>
          <w:szCs w:val="22"/>
        </w:rPr>
      </w:pPr>
      <w:r w:rsidRPr="00AF0DFA">
        <w:rPr>
          <w:szCs w:val="22"/>
        </w:rPr>
        <w:t xml:space="preserve"> </w:t>
      </w:r>
    </w:p>
    <w:p w14:paraId="76CB207A" w14:textId="79EA8BF0" w:rsidR="00FE5C8F" w:rsidRDefault="00FE5C8F" w:rsidP="008E7D88">
      <w:pPr>
        <w:widowControl/>
        <w:rPr>
          <w:rFonts w:cs="Calibri"/>
          <w:szCs w:val="24"/>
        </w:rPr>
      </w:pPr>
      <w:r>
        <w:rPr>
          <w:rFonts w:cs="Calibri"/>
          <w:szCs w:val="24"/>
        </w:rPr>
        <w:t>Kontrola byla zaměřena na podporu rozvoje a obnovy materiá</w:t>
      </w:r>
      <w:r w:rsidR="007F717D">
        <w:rPr>
          <w:rFonts w:cs="Calibri"/>
          <w:szCs w:val="24"/>
        </w:rPr>
        <w:t>lně technické základny sportu a </w:t>
      </w:r>
      <w:r>
        <w:rPr>
          <w:rFonts w:cs="Calibri"/>
          <w:szCs w:val="24"/>
        </w:rPr>
        <w:t xml:space="preserve">tělovýchovy, kterou MŠMT poskytovalo prostřednictvím </w:t>
      </w:r>
      <w:r w:rsidRPr="00D029F5">
        <w:rPr>
          <w:rFonts w:cs="Calibri"/>
          <w:szCs w:val="24"/>
        </w:rPr>
        <w:t>programu</w:t>
      </w:r>
      <w:r>
        <w:rPr>
          <w:rFonts w:cs="Calibri"/>
          <w:szCs w:val="24"/>
        </w:rPr>
        <w:t xml:space="preserve"> </w:t>
      </w:r>
      <w:r w:rsidRPr="00D029F5">
        <w:rPr>
          <w:rFonts w:cs="Calibri"/>
          <w:szCs w:val="24"/>
        </w:rPr>
        <w:t xml:space="preserve">133510 – </w:t>
      </w:r>
      <w:r w:rsidRPr="00D029F5">
        <w:rPr>
          <w:rFonts w:cs="Calibri"/>
          <w:i/>
          <w:szCs w:val="24"/>
        </w:rPr>
        <w:t>Podpora materiálně technické základny sportu</w:t>
      </w:r>
      <w:r w:rsidR="00CC0B5F" w:rsidRPr="00CC0B5F">
        <w:rPr>
          <w:rStyle w:val="Znakapoznpodarou"/>
          <w:szCs w:val="24"/>
        </w:rPr>
        <w:footnoteReference w:id="3"/>
      </w:r>
      <w:r>
        <w:rPr>
          <w:rFonts w:cs="Calibri"/>
          <w:szCs w:val="24"/>
        </w:rPr>
        <w:t xml:space="preserve"> (dále také „Program 133510“).</w:t>
      </w:r>
    </w:p>
    <w:p w14:paraId="69A9D2DE" w14:textId="77777777" w:rsidR="00FE5C8F" w:rsidRDefault="00FE5C8F" w:rsidP="008E7D88">
      <w:pPr>
        <w:widowControl/>
        <w:rPr>
          <w:rFonts w:cs="Calibri"/>
          <w:szCs w:val="24"/>
        </w:rPr>
      </w:pPr>
    </w:p>
    <w:p w14:paraId="330B73E1" w14:textId="00D0F22E" w:rsidR="00FE5C8F" w:rsidRPr="00DA1271" w:rsidRDefault="00FE5C8F" w:rsidP="008E7D88">
      <w:pPr>
        <w:widowControl/>
        <w:rPr>
          <w:color w:val="000000"/>
        </w:rPr>
      </w:pPr>
      <w:r>
        <w:rPr>
          <w:rFonts w:cs="Calibri"/>
          <w:color w:val="000000"/>
        </w:rPr>
        <w:t xml:space="preserve">Hlavním cílem Programu 133510 </w:t>
      </w:r>
      <w:r w:rsidR="002B60A2">
        <w:rPr>
          <w:rFonts w:cs="Calibri"/>
          <w:color w:val="000000"/>
        </w:rPr>
        <w:t>bylo</w:t>
      </w:r>
      <w:r>
        <w:rPr>
          <w:rFonts w:cs="Calibri"/>
          <w:color w:val="000000"/>
        </w:rPr>
        <w:t xml:space="preserve"> vytvářet a zlepšovat technické podmínky k zabezpečení nekomerčních oblastí sportu pro všechny a pro přípravu státní sportovní reprezentace včetně talentované mládeže a současně zaji</w:t>
      </w:r>
      <w:r w:rsidR="008728D3">
        <w:rPr>
          <w:rFonts w:cs="Calibri"/>
          <w:color w:val="000000"/>
        </w:rPr>
        <w:t>stit</w:t>
      </w:r>
      <w:r>
        <w:rPr>
          <w:rFonts w:cs="Calibri"/>
          <w:color w:val="000000"/>
        </w:rPr>
        <w:t xml:space="preserve"> přístupnost sportovišť co největšímu počtu sportovců včetně zdravotně postižených občanů. Příjemci </w:t>
      </w:r>
      <w:r w:rsidR="003A3420">
        <w:rPr>
          <w:rFonts w:cs="Calibri"/>
          <w:color w:val="000000"/>
        </w:rPr>
        <w:t xml:space="preserve">podpory z Programu 133510 </w:t>
      </w:r>
      <w:r>
        <w:rPr>
          <w:rFonts w:cs="Calibri"/>
          <w:color w:val="000000"/>
        </w:rPr>
        <w:t>moh</w:t>
      </w:r>
      <w:r w:rsidR="00BA08BE">
        <w:rPr>
          <w:rFonts w:cs="Calibri"/>
          <w:color w:val="000000"/>
        </w:rPr>
        <w:t>ou</w:t>
      </w:r>
      <w:r>
        <w:rPr>
          <w:rFonts w:cs="Calibri"/>
          <w:color w:val="000000"/>
        </w:rPr>
        <w:t xml:space="preserve"> být nestátní neziskové organizace z oblasti sportu, re</w:t>
      </w:r>
      <w:r w:rsidR="008728D3">
        <w:rPr>
          <w:rFonts w:cs="Calibri"/>
          <w:color w:val="000000"/>
        </w:rPr>
        <w:t>s</w:t>
      </w:r>
      <w:r>
        <w:rPr>
          <w:rFonts w:cs="Calibri"/>
          <w:color w:val="000000"/>
        </w:rPr>
        <w:t>ortní sportovní centra a v některých případech také obce. Program 133510 se děl</w:t>
      </w:r>
      <w:r w:rsidR="002B60A2">
        <w:rPr>
          <w:rFonts w:cs="Calibri"/>
          <w:color w:val="000000"/>
        </w:rPr>
        <w:t>il</w:t>
      </w:r>
      <w:r>
        <w:rPr>
          <w:rFonts w:cs="Calibri"/>
          <w:color w:val="000000"/>
        </w:rPr>
        <w:t xml:space="preserve"> na dva </w:t>
      </w:r>
      <w:r w:rsidRPr="00DA1271">
        <w:rPr>
          <w:rFonts w:cs="Calibri"/>
          <w:color w:val="000000"/>
        </w:rPr>
        <w:t>podprogramy:</w:t>
      </w:r>
    </w:p>
    <w:p w14:paraId="5969416C" w14:textId="4BBFBC89" w:rsidR="00FE5C8F" w:rsidRPr="00DA1271" w:rsidRDefault="00FE5C8F" w:rsidP="008E7D8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A1271">
        <w:rPr>
          <w:sz w:val="24"/>
          <w:szCs w:val="24"/>
        </w:rPr>
        <w:t>133</w:t>
      </w:r>
      <w:r>
        <w:rPr>
          <w:sz w:val="24"/>
          <w:szCs w:val="24"/>
        </w:rPr>
        <w:t xml:space="preserve">512 </w:t>
      </w:r>
      <w:r w:rsidR="008728D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A1271">
        <w:rPr>
          <w:i/>
          <w:sz w:val="24"/>
          <w:szCs w:val="24"/>
        </w:rPr>
        <w:t>Podpora materiálně technické základny sportovních organizací</w:t>
      </w:r>
      <w:r w:rsidR="008728D3">
        <w:rPr>
          <w:sz w:val="24"/>
          <w:szCs w:val="24"/>
        </w:rPr>
        <w:t>,</w:t>
      </w:r>
    </w:p>
    <w:p w14:paraId="35FFBF66" w14:textId="15B0BCBF" w:rsidR="00FE5C8F" w:rsidRPr="00DA1271" w:rsidRDefault="00FE5C8F" w:rsidP="008E7D88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A1271">
        <w:rPr>
          <w:sz w:val="24"/>
          <w:szCs w:val="24"/>
        </w:rPr>
        <w:t xml:space="preserve">133513 </w:t>
      </w:r>
      <w:r w:rsidR="008728D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DA1271">
        <w:rPr>
          <w:i/>
          <w:sz w:val="24"/>
          <w:szCs w:val="24"/>
        </w:rPr>
        <w:t>Podpora materiálně technické základny sportovní reprezentace</w:t>
      </w:r>
      <w:r w:rsidRPr="00DA1271">
        <w:rPr>
          <w:sz w:val="24"/>
          <w:szCs w:val="24"/>
        </w:rPr>
        <w:t>.</w:t>
      </w:r>
    </w:p>
    <w:p w14:paraId="2F5E8CDD" w14:textId="6CA0F3AB" w:rsidR="00FE5C8F" w:rsidRDefault="00FE5C8F" w:rsidP="008E7D88">
      <w:pPr>
        <w:widowControl/>
        <w:rPr>
          <w:rFonts w:cs="Calibri"/>
        </w:rPr>
      </w:pPr>
    </w:p>
    <w:p w14:paraId="66549CDC" w14:textId="6E240986" w:rsidR="00F4778B" w:rsidRDefault="00DD41C4" w:rsidP="008E7D88">
      <w:pPr>
        <w:widowControl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Celková podpora </w:t>
      </w:r>
      <w:r w:rsidR="00940F6E">
        <w:rPr>
          <w:rFonts w:cs="Calibri"/>
          <w:color w:val="000000"/>
          <w:szCs w:val="24"/>
        </w:rPr>
        <w:t>sportu z</w:t>
      </w:r>
      <w:r w:rsidR="00000FFE">
        <w:rPr>
          <w:rFonts w:cs="Calibri"/>
          <w:color w:val="000000"/>
          <w:szCs w:val="24"/>
        </w:rPr>
        <w:t xml:space="preserve"> rozpočtu </w:t>
      </w:r>
      <w:r w:rsidR="00940F6E">
        <w:rPr>
          <w:rFonts w:cs="Calibri"/>
          <w:color w:val="000000"/>
          <w:szCs w:val="24"/>
        </w:rPr>
        <w:t>kapitoly MŠMT se v</w:t>
      </w:r>
      <w:r w:rsidR="001E4863">
        <w:rPr>
          <w:rFonts w:cs="Calibri"/>
          <w:color w:val="000000"/>
          <w:szCs w:val="24"/>
        </w:rPr>
        <w:t xml:space="preserve"> jednotlivých </w:t>
      </w:r>
      <w:r w:rsidR="00940F6E">
        <w:rPr>
          <w:rFonts w:cs="Calibri"/>
          <w:color w:val="000000"/>
          <w:szCs w:val="24"/>
        </w:rPr>
        <w:t xml:space="preserve">letech </w:t>
      </w:r>
      <w:r w:rsidR="008728D3">
        <w:rPr>
          <w:rFonts w:cs="Calibri"/>
          <w:color w:val="000000"/>
          <w:szCs w:val="24"/>
        </w:rPr>
        <w:t xml:space="preserve">období </w:t>
      </w:r>
      <w:r w:rsidR="00940F6E">
        <w:rPr>
          <w:rFonts w:cs="Calibri"/>
          <w:color w:val="000000"/>
          <w:szCs w:val="24"/>
        </w:rPr>
        <w:t>2013</w:t>
      </w:r>
      <w:r w:rsidR="00144BEF">
        <w:rPr>
          <w:rFonts w:cs="Calibri"/>
          <w:color w:val="000000"/>
          <w:szCs w:val="24"/>
        </w:rPr>
        <w:t>–</w:t>
      </w:r>
      <w:r w:rsidR="00000FFE">
        <w:rPr>
          <w:rFonts w:cs="Calibri"/>
          <w:color w:val="000000"/>
          <w:szCs w:val="24"/>
        </w:rPr>
        <w:t>2015 pohybovala okolo</w:t>
      </w:r>
      <w:r w:rsidR="00E4042D">
        <w:rPr>
          <w:rFonts w:cs="Calibri"/>
          <w:color w:val="000000"/>
          <w:szCs w:val="24"/>
        </w:rPr>
        <w:t xml:space="preserve"> </w:t>
      </w:r>
      <w:r w:rsidR="00000FFE">
        <w:rPr>
          <w:rFonts w:cs="Calibri"/>
          <w:color w:val="000000"/>
          <w:szCs w:val="24"/>
        </w:rPr>
        <w:t>3 </w:t>
      </w:r>
      <w:r w:rsidR="001E4863">
        <w:rPr>
          <w:rFonts w:cs="Calibri"/>
          <w:color w:val="000000"/>
          <w:szCs w:val="24"/>
        </w:rPr>
        <w:t>mld.</w:t>
      </w:r>
      <w:r w:rsidR="008728D3">
        <w:rPr>
          <w:rFonts w:cs="Calibri"/>
          <w:color w:val="000000"/>
          <w:szCs w:val="24"/>
        </w:rPr>
        <w:t> </w:t>
      </w:r>
      <w:r w:rsidR="001E4863">
        <w:rPr>
          <w:rFonts w:cs="Calibri"/>
          <w:color w:val="000000"/>
          <w:szCs w:val="24"/>
        </w:rPr>
        <w:t xml:space="preserve">Kč. Tyto výdaje byly realizovány prostřednictvím výdajového </w:t>
      </w:r>
      <w:r>
        <w:rPr>
          <w:rFonts w:cs="Calibri"/>
          <w:color w:val="000000"/>
          <w:szCs w:val="24"/>
        </w:rPr>
        <w:t>specifick</w:t>
      </w:r>
      <w:r w:rsidR="001E4863">
        <w:rPr>
          <w:rFonts w:cs="Calibri"/>
          <w:color w:val="000000"/>
          <w:szCs w:val="24"/>
        </w:rPr>
        <w:t>ého</w:t>
      </w:r>
      <w:r>
        <w:rPr>
          <w:rFonts w:cs="Calibri"/>
          <w:color w:val="000000"/>
          <w:szCs w:val="24"/>
        </w:rPr>
        <w:t xml:space="preserve"> ukazatel</w:t>
      </w:r>
      <w:r w:rsidR="001E4863">
        <w:rPr>
          <w:rFonts w:cs="Calibri"/>
          <w:color w:val="000000"/>
          <w:szCs w:val="24"/>
        </w:rPr>
        <w:t>e</w:t>
      </w:r>
      <w:r>
        <w:rPr>
          <w:rFonts w:cs="Calibri"/>
          <w:color w:val="000000"/>
          <w:szCs w:val="24"/>
        </w:rPr>
        <w:t xml:space="preserve"> </w:t>
      </w:r>
      <w:r w:rsidRPr="00DD41C4">
        <w:rPr>
          <w:rFonts w:cs="Calibri"/>
          <w:i/>
          <w:color w:val="000000"/>
          <w:szCs w:val="24"/>
        </w:rPr>
        <w:t>Podpora činnosti v oblasti sportu</w:t>
      </w:r>
      <w:r w:rsidR="00784D73">
        <w:rPr>
          <w:rFonts w:cs="Calibri"/>
          <w:color w:val="000000"/>
          <w:szCs w:val="24"/>
        </w:rPr>
        <w:t xml:space="preserve">, </w:t>
      </w:r>
      <w:r w:rsidR="008728D3">
        <w:rPr>
          <w:rFonts w:cs="Calibri"/>
          <w:color w:val="000000"/>
          <w:szCs w:val="24"/>
        </w:rPr>
        <w:t xml:space="preserve">který </w:t>
      </w:r>
      <w:r w:rsidR="00F4778B">
        <w:rPr>
          <w:rFonts w:cs="Calibri"/>
          <w:color w:val="000000"/>
          <w:szCs w:val="24"/>
        </w:rPr>
        <w:t xml:space="preserve">zahrnuje dvě oblasti – </w:t>
      </w:r>
      <w:r w:rsidR="00F4778B" w:rsidRPr="00F4778B">
        <w:rPr>
          <w:rFonts w:cs="Calibri"/>
          <w:i/>
          <w:color w:val="000000"/>
          <w:szCs w:val="24"/>
        </w:rPr>
        <w:t>Sportovní reprezentaci bez</w:t>
      </w:r>
      <w:r w:rsidR="00397385">
        <w:rPr>
          <w:rFonts w:cs="Calibri"/>
          <w:i/>
          <w:color w:val="000000"/>
          <w:szCs w:val="24"/>
        </w:rPr>
        <w:t xml:space="preserve"> </w:t>
      </w:r>
      <w:r w:rsidR="00F4778B" w:rsidRPr="00F4778B">
        <w:rPr>
          <w:rFonts w:cs="Calibri"/>
          <w:i/>
          <w:color w:val="000000"/>
          <w:szCs w:val="24"/>
        </w:rPr>
        <w:t>programu 133510</w:t>
      </w:r>
      <w:r w:rsidR="00F4778B">
        <w:rPr>
          <w:rFonts w:cs="Calibri"/>
          <w:color w:val="000000"/>
          <w:szCs w:val="24"/>
        </w:rPr>
        <w:t xml:space="preserve"> a </w:t>
      </w:r>
      <w:r w:rsidR="00F4778B" w:rsidRPr="00F4778B">
        <w:rPr>
          <w:rFonts w:cs="Calibri"/>
          <w:i/>
          <w:color w:val="000000"/>
          <w:szCs w:val="24"/>
        </w:rPr>
        <w:t>V</w:t>
      </w:r>
      <w:r w:rsidR="00000FFE">
        <w:rPr>
          <w:rFonts w:cs="Calibri"/>
          <w:i/>
          <w:color w:val="000000"/>
          <w:szCs w:val="24"/>
        </w:rPr>
        <w:t>šeobecnou sportovní činnost vč. </w:t>
      </w:r>
      <w:r w:rsidR="00F4778B" w:rsidRPr="00F4778B">
        <w:rPr>
          <w:rFonts w:cs="Calibri"/>
          <w:i/>
          <w:color w:val="000000"/>
          <w:szCs w:val="24"/>
        </w:rPr>
        <w:t>programu 133510</w:t>
      </w:r>
      <w:r w:rsidR="00F4778B">
        <w:rPr>
          <w:rFonts w:cs="Calibri"/>
          <w:color w:val="000000"/>
          <w:szCs w:val="24"/>
        </w:rPr>
        <w:t>.</w:t>
      </w:r>
      <w:r w:rsidR="00C42390">
        <w:rPr>
          <w:rFonts w:cs="Calibri"/>
          <w:color w:val="000000"/>
          <w:szCs w:val="24"/>
        </w:rPr>
        <w:t xml:space="preserve"> Podíl </w:t>
      </w:r>
      <w:r w:rsidR="00E414ED">
        <w:rPr>
          <w:rFonts w:cs="Calibri"/>
          <w:color w:val="000000"/>
          <w:szCs w:val="24"/>
        </w:rPr>
        <w:t xml:space="preserve">prostředků </w:t>
      </w:r>
      <w:r w:rsidR="00C42390">
        <w:rPr>
          <w:rFonts w:cs="Calibri"/>
          <w:color w:val="000000"/>
          <w:szCs w:val="24"/>
        </w:rPr>
        <w:t xml:space="preserve">kontrolovaného Programu 133510 na celkovém ukazateli </w:t>
      </w:r>
      <w:proofErr w:type="gramStart"/>
      <w:r w:rsidR="00E414ED">
        <w:rPr>
          <w:rFonts w:cs="Calibri"/>
          <w:color w:val="000000"/>
          <w:szCs w:val="24"/>
        </w:rPr>
        <w:t>se</w:t>
      </w:r>
      <w:proofErr w:type="gramEnd"/>
      <w:r w:rsidR="00E414ED">
        <w:rPr>
          <w:rFonts w:cs="Calibri"/>
          <w:color w:val="000000"/>
          <w:szCs w:val="24"/>
        </w:rPr>
        <w:t xml:space="preserve"> </w:t>
      </w:r>
      <w:r w:rsidR="00C44FC6">
        <w:rPr>
          <w:rFonts w:cs="Calibri"/>
          <w:color w:val="000000"/>
          <w:szCs w:val="24"/>
        </w:rPr>
        <w:t xml:space="preserve">v jednotlivých </w:t>
      </w:r>
      <w:proofErr w:type="gramStart"/>
      <w:r w:rsidR="00C44FC6">
        <w:rPr>
          <w:rFonts w:cs="Calibri"/>
          <w:color w:val="000000"/>
          <w:szCs w:val="24"/>
        </w:rPr>
        <w:t>letech</w:t>
      </w:r>
      <w:proofErr w:type="gramEnd"/>
      <w:r w:rsidR="00C44FC6">
        <w:rPr>
          <w:rFonts w:cs="Calibri"/>
          <w:color w:val="000000"/>
          <w:szCs w:val="24"/>
        </w:rPr>
        <w:t xml:space="preserve"> kontrolovaného období</w:t>
      </w:r>
      <w:r w:rsidR="00E414ED">
        <w:rPr>
          <w:rFonts w:cs="Calibri"/>
          <w:color w:val="000000"/>
          <w:szCs w:val="24"/>
        </w:rPr>
        <w:t xml:space="preserve"> pohyboval mezi</w:t>
      </w:r>
      <w:r w:rsidR="00000FFE">
        <w:rPr>
          <w:rFonts w:cs="Calibri"/>
          <w:color w:val="000000"/>
          <w:szCs w:val="24"/>
        </w:rPr>
        <w:t xml:space="preserve"> 19 % a </w:t>
      </w:r>
      <w:r w:rsidR="00C42390">
        <w:rPr>
          <w:rFonts w:cs="Calibri"/>
          <w:color w:val="000000"/>
          <w:szCs w:val="24"/>
        </w:rPr>
        <w:t>29 %.</w:t>
      </w:r>
    </w:p>
    <w:p w14:paraId="5E960DE1" w14:textId="3666A64D" w:rsidR="00784D73" w:rsidRDefault="00784D73" w:rsidP="008E7D88">
      <w:pPr>
        <w:widowControl/>
        <w:rPr>
          <w:rFonts w:cs="Calibri"/>
          <w:color w:val="000000"/>
          <w:szCs w:val="24"/>
        </w:rPr>
      </w:pPr>
    </w:p>
    <w:p w14:paraId="6618E3EE" w14:textId="1D2FC6A5" w:rsidR="00FE5C8F" w:rsidRPr="00E86BC3" w:rsidRDefault="008728D3" w:rsidP="00F408A8">
      <w:pPr>
        <w:pStyle w:val="Nzevtabulky"/>
        <w:numPr>
          <w:ilvl w:val="0"/>
          <w:numId w:val="0"/>
        </w:numPr>
        <w:ind w:left="1304" w:hanging="1304"/>
      </w:pPr>
      <w:r>
        <w:lastRenderedPageBreak/>
        <w:t xml:space="preserve">Tabulka č. 1: </w:t>
      </w:r>
      <w:r w:rsidR="00FE17C9">
        <w:tab/>
      </w:r>
      <w:r w:rsidR="00FE5C8F" w:rsidRPr="00E86BC3">
        <w:t xml:space="preserve">Rozdělení peněžních prostředků ukazatele </w:t>
      </w:r>
      <w:r w:rsidR="00FE5C8F" w:rsidRPr="00F408A8">
        <w:rPr>
          <w:i/>
        </w:rPr>
        <w:t>Podpora činnosti v oblasti sportu</w:t>
      </w:r>
      <w:r w:rsidR="00FE5C8F" w:rsidRPr="00E86BC3">
        <w:t xml:space="preserve"> v letech 2013–2015 </w:t>
      </w:r>
      <w:r w:rsidR="002B60A2">
        <w:t>(</w:t>
      </w:r>
      <w:r w:rsidR="00FE5C8F" w:rsidRPr="00E86BC3">
        <w:t>v tis. Kč</w:t>
      </w:r>
      <w:r w:rsidR="002B60A2">
        <w:t>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15"/>
        <w:gridCol w:w="1450"/>
        <w:gridCol w:w="1450"/>
        <w:gridCol w:w="1450"/>
      </w:tblGrid>
      <w:tr w:rsidR="00FE5C8F" w:rsidRPr="002B60A2" w14:paraId="1AD2ACA5" w14:textId="77777777" w:rsidTr="006E5C32">
        <w:tc>
          <w:tcPr>
            <w:tcW w:w="2600" w:type="pct"/>
            <w:vMerge w:val="restart"/>
            <w:shd w:val="clear" w:color="auto" w:fill="E5F1FF"/>
            <w:vAlign w:val="center"/>
          </w:tcPr>
          <w:p w14:paraId="63ECFEF8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Ukazatel</w:t>
            </w:r>
          </w:p>
        </w:tc>
        <w:tc>
          <w:tcPr>
            <w:tcW w:w="800" w:type="pct"/>
            <w:tcBorders>
              <w:right w:val="nil"/>
            </w:tcBorders>
            <w:shd w:val="clear" w:color="auto" w:fill="E5F1FF"/>
            <w:vAlign w:val="center"/>
          </w:tcPr>
          <w:p w14:paraId="15FE644F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00" w:type="pct"/>
            <w:tcBorders>
              <w:left w:val="nil"/>
              <w:right w:val="nil"/>
            </w:tcBorders>
            <w:shd w:val="clear" w:color="auto" w:fill="E5F1FF"/>
            <w:vAlign w:val="center"/>
          </w:tcPr>
          <w:p w14:paraId="5B5AF9F9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Skutečnost</w:t>
            </w:r>
          </w:p>
        </w:tc>
        <w:tc>
          <w:tcPr>
            <w:tcW w:w="800" w:type="pct"/>
            <w:tcBorders>
              <w:left w:val="nil"/>
            </w:tcBorders>
            <w:shd w:val="clear" w:color="auto" w:fill="E5F1FF"/>
            <w:vAlign w:val="center"/>
          </w:tcPr>
          <w:p w14:paraId="4C34A60A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</w:p>
        </w:tc>
      </w:tr>
      <w:tr w:rsidR="00FE5C8F" w:rsidRPr="002B60A2" w14:paraId="762EC470" w14:textId="77777777" w:rsidTr="006E5C32">
        <w:tc>
          <w:tcPr>
            <w:tcW w:w="2600" w:type="pct"/>
            <w:vMerge/>
            <w:shd w:val="clear" w:color="auto" w:fill="E5F1FF"/>
            <w:vAlign w:val="center"/>
          </w:tcPr>
          <w:p w14:paraId="1F35F5B5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800" w:type="pct"/>
            <w:shd w:val="clear" w:color="auto" w:fill="E5F1FF"/>
            <w:vAlign w:val="center"/>
          </w:tcPr>
          <w:p w14:paraId="741FEA55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2013</w:t>
            </w:r>
          </w:p>
        </w:tc>
        <w:tc>
          <w:tcPr>
            <w:tcW w:w="800" w:type="pct"/>
            <w:shd w:val="clear" w:color="auto" w:fill="E5F1FF"/>
            <w:vAlign w:val="center"/>
          </w:tcPr>
          <w:p w14:paraId="076DA6F5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2014</w:t>
            </w:r>
          </w:p>
        </w:tc>
        <w:tc>
          <w:tcPr>
            <w:tcW w:w="800" w:type="pct"/>
            <w:shd w:val="clear" w:color="auto" w:fill="E5F1FF"/>
            <w:vAlign w:val="center"/>
          </w:tcPr>
          <w:p w14:paraId="14AAC406" w14:textId="77777777" w:rsidR="00FE5C8F" w:rsidRPr="002B60A2" w:rsidRDefault="00FE5C8F" w:rsidP="008E7D88">
            <w:pPr>
              <w:pStyle w:val="tabulka"/>
              <w:jc w:val="center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2015</w:t>
            </w:r>
          </w:p>
        </w:tc>
      </w:tr>
      <w:tr w:rsidR="00FE5C8F" w:rsidRPr="002B60A2" w14:paraId="3E5B2E02" w14:textId="77777777" w:rsidTr="006E5C32">
        <w:tc>
          <w:tcPr>
            <w:tcW w:w="2600" w:type="pct"/>
            <w:tcBorders>
              <w:bottom w:val="single" w:sz="4" w:space="0" w:color="auto"/>
            </w:tcBorders>
            <w:vAlign w:val="center"/>
          </w:tcPr>
          <w:p w14:paraId="7B32E79B" w14:textId="77777777" w:rsidR="00FE5C8F" w:rsidRPr="002B60A2" w:rsidRDefault="00FE5C8F" w:rsidP="008E7D88">
            <w:pPr>
              <w:pStyle w:val="tabulka"/>
              <w:jc w:val="lef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Podpora činnosti v oblasti sportu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6AEC2D4D" w14:textId="1A9635EC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3 005 458,5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0192D6E4" w14:textId="7A36FF2C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3</w:t>
            </w:r>
            <w:r w:rsidR="00634DA8">
              <w:rPr>
                <w:sz w:val="20"/>
                <w:szCs w:val="22"/>
              </w:rPr>
              <w:t xml:space="preserve"> 116 074,</w:t>
            </w:r>
            <w:r w:rsidRPr="002B60A2">
              <w:rPr>
                <w:sz w:val="20"/>
                <w:szCs w:val="22"/>
              </w:rPr>
              <w:t>8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794A9C4D" w14:textId="1DD69CC8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2 753 338,2</w:t>
            </w:r>
          </w:p>
        </w:tc>
      </w:tr>
      <w:tr w:rsidR="00FE5C8F" w:rsidRPr="002B60A2" w14:paraId="7C661A8F" w14:textId="77777777" w:rsidTr="006E5C32"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0E7A8" w14:textId="4CE45BA4" w:rsidR="00FE5C8F" w:rsidRPr="002B60A2" w:rsidRDefault="00962D2F" w:rsidP="00962D2F">
            <w:pPr>
              <w:pStyle w:val="tabulka"/>
              <w:ind w:left="164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</w:t>
            </w:r>
            <w:r w:rsidR="00FE5C8F" w:rsidRPr="002B60A2">
              <w:rPr>
                <w:sz w:val="20"/>
                <w:szCs w:val="22"/>
              </w:rPr>
              <w:t xml:space="preserve"> tom: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3E534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CFF8B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3083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</w:tr>
      <w:tr w:rsidR="00FE5C8F" w:rsidRPr="002B60A2" w14:paraId="21B7EDBD" w14:textId="77777777" w:rsidTr="006E5C32">
        <w:tc>
          <w:tcPr>
            <w:tcW w:w="2600" w:type="pct"/>
            <w:tcBorders>
              <w:top w:val="single" w:sz="4" w:space="0" w:color="auto"/>
            </w:tcBorders>
            <w:vAlign w:val="center"/>
          </w:tcPr>
          <w:p w14:paraId="7415D25D" w14:textId="77777777" w:rsidR="00FE5C8F" w:rsidRPr="002B60A2" w:rsidRDefault="00FE5C8F" w:rsidP="00962D2F">
            <w:pPr>
              <w:pStyle w:val="tabulka"/>
              <w:ind w:left="164"/>
              <w:jc w:val="lef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Sportovní reprezentace bez programu 133510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043421B7" w14:textId="5C26724C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848 928,7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5EFE1A8F" w14:textId="65D8FBD4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805 222,1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</w:tcPr>
          <w:p w14:paraId="554DB8D0" w14:textId="6E13A7FF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7</w:t>
            </w:r>
            <w:r w:rsidR="00634DA8">
              <w:rPr>
                <w:sz w:val="20"/>
                <w:szCs w:val="22"/>
              </w:rPr>
              <w:t>49 396,1</w:t>
            </w:r>
          </w:p>
        </w:tc>
      </w:tr>
      <w:tr w:rsidR="00FE5C8F" w:rsidRPr="002B60A2" w14:paraId="65428AF6" w14:textId="77777777" w:rsidTr="006E5C32">
        <w:tc>
          <w:tcPr>
            <w:tcW w:w="2600" w:type="pct"/>
            <w:tcBorders>
              <w:bottom w:val="single" w:sz="4" w:space="0" w:color="auto"/>
            </w:tcBorders>
            <w:vAlign w:val="center"/>
          </w:tcPr>
          <w:p w14:paraId="28282DE6" w14:textId="77777777" w:rsidR="00FE5C8F" w:rsidRPr="002B60A2" w:rsidRDefault="00FE5C8F" w:rsidP="00962D2F">
            <w:pPr>
              <w:pStyle w:val="tabulka"/>
              <w:ind w:left="164"/>
              <w:jc w:val="lef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Všeobecná sportovní činnost vč. programu 133510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287599E9" w14:textId="7422E0AA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2 156 529,8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429E52D1" w14:textId="36C30769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2 310 852,7</w:t>
            </w:r>
          </w:p>
        </w:tc>
        <w:tc>
          <w:tcPr>
            <w:tcW w:w="800" w:type="pct"/>
            <w:tcBorders>
              <w:bottom w:val="single" w:sz="4" w:space="0" w:color="auto"/>
            </w:tcBorders>
            <w:vAlign w:val="center"/>
          </w:tcPr>
          <w:p w14:paraId="4EDBE73A" w14:textId="3FE3693A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2 003 942,1</w:t>
            </w:r>
          </w:p>
        </w:tc>
      </w:tr>
      <w:tr w:rsidR="00FE5C8F" w:rsidRPr="002B60A2" w14:paraId="301A8A5E" w14:textId="77777777" w:rsidTr="006E5C32">
        <w:tc>
          <w:tcPr>
            <w:tcW w:w="2600" w:type="pct"/>
            <w:tcBorders>
              <w:right w:val="nil"/>
            </w:tcBorders>
            <w:vAlign w:val="center"/>
          </w:tcPr>
          <w:p w14:paraId="44D9F8FA" w14:textId="6F9C8927" w:rsidR="00FE5C8F" w:rsidRPr="002B60A2" w:rsidRDefault="00962D2F" w:rsidP="00962D2F">
            <w:pPr>
              <w:pStyle w:val="tabulka"/>
              <w:ind w:left="306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</w:t>
            </w:r>
            <w:r w:rsidR="00FE5C8F" w:rsidRPr="002B60A2">
              <w:rPr>
                <w:sz w:val="20"/>
                <w:szCs w:val="22"/>
              </w:rPr>
              <w:t xml:space="preserve"> tom:</w:t>
            </w:r>
          </w:p>
        </w:tc>
        <w:tc>
          <w:tcPr>
            <w:tcW w:w="800" w:type="pct"/>
            <w:tcBorders>
              <w:left w:val="nil"/>
              <w:right w:val="nil"/>
            </w:tcBorders>
            <w:vAlign w:val="center"/>
          </w:tcPr>
          <w:p w14:paraId="79316117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  <w:tc>
          <w:tcPr>
            <w:tcW w:w="800" w:type="pct"/>
            <w:tcBorders>
              <w:left w:val="nil"/>
              <w:right w:val="nil"/>
            </w:tcBorders>
            <w:vAlign w:val="center"/>
          </w:tcPr>
          <w:p w14:paraId="76669A20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  <w:tc>
          <w:tcPr>
            <w:tcW w:w="800" w:type="pct"/>
            <w:tcBorders>
              <w:left w:val="nil"/>
            </w:tcBorders>
            <w:vAlign w:val="center"/>
          </w:tcPr>
          <w:p w14:paraId="5933B7AF" w14:textId="77777777" w:rsidR="00FE5C8F" w:rsidRPr="002B60A2" w:rsidRDefault="00FE5C8F" w:rsidP="008E7D88">
            <w:pPr>
              <w:pStyle w:val="tabulka"/>
              <w:jc w:val="right"/>
              <w:rPr>
                <w:sz w:val="20"/>
                <w:szCs w:val="22"/>
              </w:rPr>
            </w:pPr>
          </w:p>
        </w:tc>
      </w:tr>
      <w:tr w:rsidR="00FE5C8F" w:rsidRPr="002B60A2" w14:paraId="57018830" w14:textId="77777777" w:rsidTr="006E5C32">
        <w:tc>
          <w:tcPr>
            <w:tcW w:w="2600" w:type="pct"/>
            <w:vAlign w:val="center"/>
          </w:tcPr>
          <w:p w14:paraId="053B112B" w14:textId="77777777" w:rsidR="00FE5C8F" w:rsidRPr="002B60A2" w:rsidRDefault="00FE5C8F" w:rsidP="00F408A8">
            <w:pPr>
              <w:pStyle w:val="tabulka"/>
              <w:ind w:left="306"/>
              <w:jc w:val="left"/>
              <w:rPr>
                <w:b/>
                <w:sz w:val="20"/>
                <w:szCs w:val="22"/>
              </w:rPr>
            </w:pPr>
            <w:r w:rsidRPr="002B60A2">
              <w:rPr>
                <w:b/>
                <w:sz w:val="20"/>
                <w:szCs w:val="22"/>
              </w:rPr>
              <w:t>Program 133510</w:t>
            </w:r>
          </w:p>
        </w:tc>
        <w:tc>
          <w:tcPr>
            <w:tcW w:w="800" w:type="pct"/>
            <w:vAlign w:val="center"/>
          </w:tcPr>
          <w:p w14:paraId="460E4A01" w14:textId="5E163154" w:rsidR="00FE5C8F" w:rsidRPr="002B60A2" w:rsidRDefault="00634DA8" w:rsidP="008E7D88">
            <w:pPr>
              <w:pStyle w:val="tabulka"/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799 005,8</w:t>
            </w:r>
          </w:p>
        </w:tc>
        <w:tc>
          <w:tcPr>
            <w:tcW w:w="800" w:type="pct"/>
            <w:vAlign w:val="center"/>
          </w:tcPr>
          <w:p w14:paraId="2D39E8B9" w14:textId="35423CDA" w:rsidR="00FE5C8F" w:rsidRPr="002B60A2" w:rsidRDefault="00634DA8" w:rsidP="008E7D88">
            <w:pPr>
              <w:pStyle w:val="tabulka"/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896 426,8</w:t>
            </w:r>
          </w:p>
        </w:tc>
        <w:tc>
          <w:tcPr>
            <w:tcW w:w="800" w:type="pct"/>
            <w:vAlign w:val="center"/>
          </w:tcPr>
          <w:p w14:paraId="21A1CB50" w14:textId="36979F72" w:rsidR="00FE5C8F" w:rsidRPr="002B60A2" w:rsidRDefault="00634DA8" w:rsidP="008E7D88">
            <w:pPr>
              <w:pStyle w:val="tabulka"/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519 739,3</w:t>
            </w:r>
          </w:p>
        </w:tc>
      </w:tr>
      <w:tr w:rsidR="00FE5C8F" w:rsidRPr="002B60A2" w14:paraId="395E5FC3" w14:textId="77777777" w:rsidTr="006E5C32">
        <w:tc>
          <w:tcPr>
            <w:tcW w:w="2600" w:type="pct"/>
            <w:vAlign w:val="center"/>
          </w:tcPr>
          <w:p w14:paraId="70D28841" w14:textId="77777777" w:rsidR="00FE5C8F" w:rsidRPr="002B60A2" w:rsidRDefault="00FE5C8F" w:rsidP="00F408A8">
            <w:pPr>
              <w:pStyle w:val="tabulka"/>
              <w:ind w:left="306"/>
              <w:jc w:val="left"/>
              <w:rPr>
                <w:sz w:val="20"/>
                <w:szCs w:val="22"/>
              </w:rPr>
            </w:pPr>
            <w:r w:rsidRPr="002B60A2">
              <w:rPr>
                <w:sz w:val="20"/>
                <w:szCs w:val="22"/>
              </w:rPr>
              <w:t>Všeobecná sportovní činnost</w:t>
            </w:r>
          </w:p>
        </w:tc>
        <w:tc>
          <w:tcPr>
            <w:tcW w:w="800" w:type="pct"/>
            <w:vAlign w:val="center"/>
          </w:tcPr>
          <w:p w14:paraId="57C21841" w14:textId="59972321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1 357 524,0</w:t>
            </w:r>
          </w:p>
        </w:tc>
        <w:tc>
          <w:tcPr>
            <w:tcW w:w="800" w:type="pct"/>
            <w:vAlign w:val="center"/>
          </w:tcPr>
          <w:p w14:paraId="4C294C28" w14:textId="3F3E4341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1 414 425,9</w:t>
            </w:r>
          </w:p>
        </w:tc>
        <w:tc>
          <w:tcPr>
            <w:tcW w:w="800" w:type="pct"/>
            <w:vAlign w:val="center"/>
          </w:tcPr>
          <w:p w14:paraId="675B6C80" w14:textId="303B9A20" w:rsidR="00FE5C8F" w:rsidRPr="002B60A2" w:rsidRDefault="00634DA8" w:rsidP="008E7D88">
            <w:pPr>
              <w:pStyle w:val="tabulka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1 484 202,8</w:t>
            </w:r>
          </w:p>
        </w:tc>
      </w:tr>
    </w:tbl>
    <w:p w14:paraId="748C9FF1" w14:textId="25248D4D" w:rsidR="00FE5C8F" w:rsidRPr="00825BEE" w:rsidRDefault="00FE5C8F" w:rsidP="00407FB4">
      <w:pPr>
        <w:pStyle w:val="Poznmka"/>
      </w:pPr>
      <w:r w:rsidRPr="00825BEE">
        <w:rPr>
          <w:b/>
        </w:rPr>
        <w:t>Zdroj:</w:t>
      </w:r>
      <w:r>
        <w:t xml:space="preserve"> </w:t>
      </w:r>
      <w:r w:rsidR="00962D2F">
        <w:t>z</w:t>
      </w:r>
      <w:r w:rsidRPr="00825BEE">
        <w:t xml:space="preserve">ávěrečné účty kapitoly 333 </w:t>
      </w:r>
      <w:r w:rsidR="00962D2F">
        <w:t xml:space="preserve">– </w:t>
      </w:r>
      <w:r w:rsidR="00962D2F" w:rsidRPr="00F408A8">
        <w:rPr>
          <w:i/>
        </w:rPr>
        <w:t>Ministerstvo školství, mládeže a tělovýchovy</w:t>
      </w:r>
      <w:r w:rsidR="00962D2F">
        <w:t xml:space="preserve"> za roky 2013–2015</w:t>
      </w:r>
      <w:r w:rsidR="00FD11CA">
        <w:t>.</w:t>
      </w:r>
    </w:p>
    <w:p w14:paraId="51E0D42A" w14:textId="77777777" w:rsidR="00FE5C8F" w:rsidRDefault="00FE5C8F" w:rsidP="008E7D88">
      <w:pPr>
        <w:widowControl/>
        <w:rPr>
          <w:rFonts w:cs="Calibri"/>
          <w:szCs w:val="24"/>
        </w:rPr>
      </w:pPr>
    </w:p>
    <w:p w14:paraId="39383396" w14:textId="76166B75" w:rsidR="00FE5C8F" w:rsidRPr="00F408A8" w:rsidRDefault="00FE5C8F" w:rsidP="008E7D88">
      <w:pPr>
        <w:widowControl/>
        <w:rPr>
          <w:rFonts w:cs="Calibri"/>
          <w:i/>
          <w:color w:val="000000"/>
          <w:sz w:val="20"/>
          <w:szCs w:val="24"/>
        </w:rPr>
      </w:pPr>
      <w:r w:rsidRPr="00F408A8">
        <w:rPr>
          <w:rFonts w:cs="Calibri"/>
          <w:b/>
          <w:bCs/>
          <w:i/>
          <w:color w:val="000000"/>
          <w:sz w:val="20"/>
          <w:szCs w:val="24"/>
        </w:rPr>
        <w:t xml:space="preserve">Pozn.: </w:t>
      </w:r>
      <w:r w:rsidRPr="00F408A8">
        <w:rPr>
          <w:rFonts w:cs="Calibri"/>
          <w:i/>
          <w:color w:val="000000"/>
          <w:sz w:val="20"/>
          <w:szCs w:val="24"/>
        </w:rPr>
        <w:t>Právní předpisy jsou v tomto kontrolním závěru aplikovány ve znění účinném pro kontrolované období.</w:t>
      </w:r>
    </w:p>
    <w:p w14:paraId="55256083" w14:textId="4C440BCF" w:rsidR="00586319" w:rsidRDefault="00586319" w:rsidP="008E7D88">
      <w:pPr>
        <w:widowControl/>
        <w:rPr>
          <w:rFonts w:cs="Calibri"/>
          <w:color w:val="000000"/>
          <w:sz w:val="20"/>
          <w:szCs w:val="24"/>
        </w:rPr>
      </w:pPr>
    </w:p>
    <w:p w14:paraId="6985EE85" w14:textId="77777777" w:rsidR="00586319" w:rsidRPr="00E77085" w:rsidRDefault="00586319" w:rsidP="008E7D88">
      <w:pPr>
        <w:widowControl/>
        <w:rPr>
          <w:rFonts w:cs="Calibri"/>
          <w:color w:val="000000"/>
          <w:sz w:val="20"/>
          <w:szCs w:val="24"/>
        </w:rPr>
      </w:pPr>
    </w:p>
    <w:p w14:paraId="3C1FE3A6" w14:textId="0E6A3358" w:rsidR="00FE5C8F" w:rsidRPr="00825BEE" w:rsidRDefault="00FE5C8F" w:rsidP="008E7D88">
      <w:pPr>
        <w:pStyle w:val="Nadpis1"/>
        <w:widowControl/>
      </w:pPr>
      <w:r w:rsidRPr="00825BEE">
        <w:t>Shrnutí a vyhodnocení skutečností zjištěných při kontrole</w:t>
      </w:r>
    </w:p>
    <w:p w14:paraId="134615D0" w14:textId="064D842A" w:rsidR="006F2081" w:rsidRDefault="00A54AB2" w:rsidP="008E7D88">
      <w:pPr>
        <w:widowControl/>
        <w:tabs>
          <w:tab w:val="left" w:pos="284"/>
        </w:tabs>
        <w:rPr>
          <w:b/>
        </w:rPr>
      </w:pPr>
      <w:r w:rsidRPr="00326EB8">
        <w:rPr>
          <w:b/>
        </w:rPr>
        <w:t>1.</w:t>
      </w:r>
      <w:r w:rsidRPr="00326EB8">
        <w:rPr>
          <w:b/>
        </w:rPr>
        <w:tab/>
      </w:r>
      <w:r w:rsidR="006F2081" w:rsidRPr="00D7301B">
        <w:t xml:space="preserve">MŠMT v oblasti investic do sportu a sportovní infrastruktury neplnilo řadu úkolů stanovených </w:t>
      </w:r>
      <w:r w:rsidR="006F2081" w:rsidRPr="00AA483F">
        <w:rPr>
          <w:i/>
        </w:rPr>
        <w:t xml:space="preserve">Koncepcí </w:t>
      </w:r>
      <w:r w:rsidR="00962D2F">
        <w:rPr>
          <w:i/>
        </w:rPr>
        <w:t xml:space="preserve">státní </w:t>
      </w:r>
      <w:r w:rsidR="006F2081" w:rsidRPr="00AA483F">
        <w:rPr>
          <w:i/>
        </w:rPr>
        <w:t>podpory sportu v České republice</w:t>
      </w:r>
      <w:r w:rsidR="006F2081" w:rsidRPr="00D7301B">
        <w:t>, kterou vláda schválila v roce 2011.</w:t>
      </w:r>
      <w:r w:rsidR="006F2081">
        <w:rPr>
          <w:b/>
        </w:rPr>
        <w:t xml:space="preserve"> MŠMT se tak neřídilo zákonem o </w:t>
      </w:r>
      <w:r w:rsidR="006E5C32">
        <w:rPr>
          <w:b/>
        </w:rPr>
        <w:t xml:space="preserve">podpoře </w:t>
      </w:r>
      <w:r w:rsidR="006F2081">
        <w:rPr>
          <w:b/>
        </w:rPr>
        <w:t>sportu</w:t>
      </w:r>
      <w:r w:rsidR="006F2081">
        <w:rPr>
          <w:rStyle w:val="Znakapoznpodarou"/>
          <w:b/>
        </w:rPr>
        <w:footnoteReference w:id="4"/>
      </w:r>
      <w:r w:rsidR="006F2081">
        <w:rPr>
          <w:b/>
        </w:rPr>
        <w:t>, který mu ukládal koordinovat vládou schválenou koncepci, a</w:t>
      </w:r>
      <w:r w:rsidR="00962D2F">
        <w:rPr>
          <w:b/>
        </w:rPr>
        <w:t>ni</w:t>
      </w:r>
      <w:r w:rsidR="006F2081">
        <w:rPr>
          <w:b/>
        </w:rPr>
        <w:t xml:space="preserve"> usnesením</w:t>
      </w:r>
      <w:r w:rsidR="006F2081" w:rsidRPr="00D7301B">
        <w:rPr>
          <w:b/>
        </w:rPr>
        <w:t xml:space="preserve"> vlády</w:t>
      </w:r>
      <w:r w:rsidR="006F2081">
        <w:rPr>
          <w:rStyle w:val="Znakapoznpodarou"/>
          <w:b/>
        </w:rPr>
        <w:footnoteReference w:id="5"/>
      </w:r>
      <w:r w:rsidR="006F2081">
        <w:rPr>
          <w:b/>
        </w:rPr>
        <w:t>, jímž byla koncepce schválena</w:t>
      </w:r>
      <w:r w:rsidR="006F2081" w:rsidRPr="00D7301B">
        <w:rPr>
          <w:b/>
        </w:rPr>
        <w:t>.</w:t>
      </w:r>
      <w:r w:rsidR="006F2081">
        <w:rPr>
          <w:b/>
        </w:rPr>
        <w:t xml:space="preserve"> </w:t>
      </w:r>
    </w:p>
    <w:p w14:paraId="4756BF6A" w14:textId="77777777" w:rsidR="006F2081" w:rsidRPr="00326EB8" w:rsidRDefault="006F2081" w:rsidP="008E7D88">
      <w:pPr>
        <w:widowControl/>
        <w:tabs>
          <w:tab w:val="left" w:pos="284"/>
        </w:tabs>
        <w:rPr>
          <w:b/>
        </w:rPr>
      </w:pPr>
    </w:p>
    <w:p w14:paraId="14BC1B85" w14:textId="7D143C2F" w:rsidR="00155EBD" w:rsidRDefault="00FE5C8F" w:rsidP="008E7D88">
      <w:pPr>
        <w:widowControl/>
        <w:rPr>
          <w:b/>
        </w:rPr>
      </w:pPr>
      <w:r w:rsidRPr="00715C02">
        <w:rPr>
          <w:b/>
        </w:rPr>
        <w:t xml:space="preserve">Stanovené cíle a priority </w:t>
      </w:r>
      <w:r w:rsidR="00CC09E7" w:rsidRPr="00715C02">
        <w:rPr>
          <w:b/>
        </w:rPr>
        <w:t>P</w:t>
      </w:r>
      <w:r w:rsidR="008F05CC" w:rsidRPr="00715C02">
        <w:rPr>
          <w:b/>
        </w:rPr>
        <w:t xml:space="preserve">rogramu </w:t>
      </w:r>
      <w:r w:rsidR="00CC09E7" w:rsidRPr="00715C02">
        <w:rPr>
          <w:b/>
        </w:rPr>
        <w:t>133510</w:t>
      </w:r>
      <w:r w:rsidR="00715C02" w:rsidRPr="00715C02">
        <w:rPr>
          <w:b/>
        </w:rPr>
        <w:t xml:space="preserve"> </w:t>
      </w:r>
      <w:r w:rsidR="008F05CC" w:rsidRPr="00715C02">
        <w:rPr>
          <w:b/>
        </w:rPr>
        <w:t>postrádaly</w:t>
      </w:r>
      <w:r w:rsidRPr="00715C02">
        <w:rPr>
          <w:b/>
        </w:rPr>
        <w:t xml:space="preserve"> konkrét</w:t>
      </w:r>
      <w:r w:rsidR="00D7301B" w:rsidRPr="00715C02">
        <w:rPr>
          <w:b/>
        </w:rPr>
        <w:t xml:space="preserve">ní a měřitelné </w:t>
      </w:r>
      <w:r w:rsidR="007A7618">
        <w:rPr>
          <w:b/>
        </w:rPr>
        <w:t>indikátory a </w:t>
      </w:r>
      <w:r w:rsidR="00D7301B" w:rsidRPr="00715C02">
        <w:rPr>
          <w:b/>
        </w:rPr>
        <w:t>parametry</w:t>
      </w:r>
      <w:r w:rsidR="00032ED4" w:rsidRPr="00715C02">
        <w:rPr>
          <w:b/>
        </w:rPr>
        <w:t>, které</w:t>
      </w:r>
      <w:r w:rsidR="006D3E7C">
        <w:rPr>
          <w:b/>
        </w:rPr>
        <w:t xml:space="preserve"> </w:t>
      </w:r>
      <w:r w:rsidRPr="0082276C">
        <w:rPr>
          <w:b/>
        </w:rPr>
        <w:t xml:space="preserve">by umožňovaly vyhodnocení jejich naplňování. </w:t>
      </w:r>
      <w:r w:rsidR="00A011DB">
        <w:rPr>
          <w:b/>
        </w:rPr>
        <w:t xml:space="preserve">Program </w:t>
      </w:r>
      <w:r w:rsidR="0082276C" w:rsidRPr="0082276C">
        <w:rPr>
          <w:b/>
        </w:rPr>
        <w:t>tak</w:t>
      </w:r>
      <w:r w:rsidR="00A011DB">
        <w:rPr>
          <w:b/>
        </w:rPr>
        <w:t xml:space="preserve"> </w:t>
      </w:r>
      <w:r w:rsidR="00962D2F">
        <w:rPr>
          <w:b/>
        </w:rPr>
        <w:t>nenavazuje</w:t>
      </w:r>
      <w:r w:rsidR="004920DF">
        <w:rPr>
          <w:b/>
        </w:rPr>
        <w:t xml:space="preserve"> na</w:t>
      </w:r>
      <w:r w:rsidR="006D3E7C">
        <w:rPr>
          <w:b/>
        </w:rPr>
        <w:t xml:space="preserve"> </w:t>
      </w:r>
      <w:r w:rsidR="0082276C" w:rsidRPr="0082276C">
        <w:rPr>
          <w:b/>
        </w:rPr>
        <w:t>principy účasti státního rozpočtu na financování programů reprodukce majetku.</w:t>
      </w:r>
      <w:r w:rsidR="0082276C">
        <w:t xml:space="preserve"> </w:t>
      </w:r>
      <w:r w:rsidRPr="006B6E15">
        <w:t>MŠMT nesle</w:t>
      </w:r>
      <w:r w:rsidR="002C0D5F" w:rsidRPr="006B6E15">
        <w:t>duje průběžně naplňování cílů a </w:t>
      </w:r>
      <w:r w:rsidRPr="006B6E15">
        <w:t>priorit Programu 133510</w:t>
      </w:r>
      <w:r w:rsidR="00B679AA">
        <w:t>.</w:t>
      </w:r>
      <w:r w:rsidRPr="006B6E15">
        <w:t xml:space="preserve"> </w:t>
      </w:r>
      <w:r w:rsidR="00155EBD" w:rsidRPr="00204C5B">
        <w:rPr>
          <w:b/>
        </w:rPr>
        <w:t xml:space="preserve">MŠMT </w:t>
      </w:r>
      <w:r w:rsidR="007D5E53" w:rsidRPr="00204C5B">
        <w:rPr>
          <w:b/>
        </w:rPr>
        <w:t xml:space="preserve">tak do značné míry </w:t>
      </w:r>
      <w:r w:rsidR="00155EBD" w:rsidRPr="00204C5B">
        <w:rPr>
          <w:b/>
        </w:rPr>
        <w:t>pouze přerozdělovalo prostř</w:t>
      </w:r>
      <w:r w:rsidR="003F646A" w:rsidRPr="00204C5B">
        <w:rPr>
          <w:b/>
        </w:rPr>
        <w:t>edky státního rozpočtu</w:t>
      </w:r>
      <w:r w:rsidR="00155EBD" w:rsidRPr="00204C5B">
        <w:rPr>
          <w:b/>
        </w:rPr>
        <w:t> jednotlivým sportovním organizacím, resp. obcím.</w:t>
      </w:r>
    </w:p>
    <w:p w14:paraId="0F788015" w14:textId="5ABDE227" w:rsidR="00155EBD" w:rsidRDefault="00155EBD" w:rsidP="008E7D88">
      <w:pPr>
        <w:widowControl/>
        <w:rPr>
          <w:rFonts w:cs="Calibri"/>
          <w:szCs w:val="24"/>
        </w:rPr>
      </w:pPr>
    </w:p>
    <w:p w14:paraId="4199C8A3" w14:textId="07770780" w:rsidR="00B679AA" w:rsidRDefault="00B679AA" w:rsidP="008E7D88">
      <w:pPr>
        <w:widowControl/>
        <w:rPr>
          <w:rFonts w:cs="Calibri"/>
          <w:szCs w:val="24"/>
        </w:rPr>
      </w:pPr>
      <w:r>
        <w:rPr>
          <w:rFonts w:cs="Calibri"/>
          <w:szCs w:val="24"/>
        </w:rPr>
        <w:t>Závěrečné vyhodnocení Programu 133510 MŠMT dosud neprovedlo, a to vzhledem k opakovanému prodlužování termínu jeho ukončení. Aktuálně má Program 133510 trvat do roku 2018.</w:t>
      </w:r>
    </w:p>
    <w:p w14:paraId="07B462A3" w14:textId="77777777" w:rsidR="00B679AA" w:rsidRPr="006B6E15" w:rsidRDefault="00B679AA" w:rsidP="008E7D88">
      <w:pPr>
        <w:widowControl/>
        <w:rPr>
          <w:rFonts w:cs="Calibri"/>
          <w:szCs w:val="24"/>
        </w:rPr>
      </w:pPr>
    </w:p>
    <w:p w14:paraId="7909714F" w14:textId="15796B84" w:rsidR="00FE5C8F" w:rsidRDefault="00FE5C8F" w:rsidP="008E7D88">
      <w:pPr>
        <w:widowControl/>
      </w:pPr>
      <w:r w:rsidRPr="006B6E15">
        <w:t>MŠMT nedisponuje kompletním přehledem sportovních za</w:t>
      </w:r>
      <w:r w:rsidR="00D7301B">
        <w:t>řízení na území České republiky.</w:t>
      </w:r>
      <w:r w:rsidRPr="006B6E15">
        <w:t xml:space="preserve"> </w:t>
      </w:r>
      <w:r w:rsidR="00D7301B" w:rsidRPr="00D7301B">
        <w:rPr>
          <w:b/>
        </w:rPr>
        <w:t>To</w:t>
      </w:r>
      <w:r w:rsidRPr="00D7301B">
        <w:rPr>
          <w:b/>
        </w:rPr>
        <w:t xml:space="preserve"> mu </w:t>
      </w:r>
      <w:r w:rsidR="00EF2F8F">
        <w:rPr>
          <w:b/>
        </w:rPr>
        <w:t xml:space="preserve">znemožňuje </w:t>
      </w:r>
      <w:r w:rsidR="00634DA8">
        <w:rPr>
          <w:b/>
        </w:rPr>
        <w:t xml:space="preserve">činit </w:t>
      </w:r>
      <w:r w:rsidRPr="00D7301B">
        <w:rPr>
          <w:b/>
        </w:rPr>
        <w:t xml:space="preserve">účelné kroky při sledování cíle </w:t>
      </w:r>
      <w:r w:rsidR="00F63715">
        <w:rPr>
          <w:b/>
        </w:rPr>
        <w:t xml:space="preserve">Programu 133510 </w:t>
      </w:r>
      <w:r w:rsidRPr="00F408A8">
        <w:rPr>
          <w:b/>
        </w:rPr>
        <w:t>„</w:t>
      </w:r>
      <w:r w:rsidRPr="00D7301B">
        <w:rPr>
          <w:b/>
          <w:i/>
        </w:rPr>
        <w:t>doplňovat nabídku stávajícího počtu sportovních zařízení s cílem vyrovnávání regionálních deficitů</w:t>
      </w:r>
      <w:r w:rsidRPr="00F408A8">
        <w:rPr>
          <w:b/>
        </w:rPr>
        <w:t>“.</w:t>
      </w:r>
      <w:r w:rsidR="00AA483F">
        <w:rPr>
          <w:b/>
          <w:i/>
        </w:rPr>
        <w:t xml:space="preserve"> </w:t>
      </w:r>
      <w:r w:rsidR="00AA483F">
        <w:t xml:space="preserve">Neexistence systematického </w:t>
      </w:r>
      <w:r w:rsidR="00AA483F" w:rsidRPr="00AA483F">
        <w:t>celostátní</w:t>
      </w:r>
      <w:r w:rsidR="00AA483F">
        <w:t xml:space="preserve">ho </w:t>
      </w:r>
      <w:r w:rsidR="00AA483F" w:rsidRPr="00AA483F">
        <w:t>přehled</w:t>
      </w:r>
      <w:r w:rsidR="00AA483F">
        <w:t>u</w:t>
      </w:r>
      <w:r w:rsidR="00AA483F" w:rsidRPr="00AA483F">
        <w:t xml:space="preserve"> o počtu</w:t>
      </w:r>
      <w:r w:rsidR="00AA483F">
        <w:t xml:space="preserve"> a kvalitě sportovních zařízení byla jako problém identifikována již v</w:t>
      </w:r>
      <w:r w:rsidR="00241E74">
        <w:t> </w:t>
      </w:r>
      <w:r w:rsidR="00241E74" w:rsidRPr="006F2081">
        <w:rPr>
          <w:i/>
        </w:rPr>
        <w:t xml:space="preserve">Koncepci </w:t>
      </w:r>
      <w:r w:rsidR="00907D70">
        <w:rPr>
          <w:i/>
        </w:rPr>
        <w:t xml:space="preserve">státní </w:t>
      </w:r>
      <w:r w:rsidR="00241E74" w:rsidRPr="006F2081">
        <w:rPr>
          <w:i/>
        </w:rPr>
        <w:t xml:space="preserve">podpory sportu v České republice </w:t>
      </w:r>
      <w:r w:rsidR="00241E74">
        <w:t>v roce 2011, kdy</w:t>
      </w:r>
      <w:r w:rsidR="00DF690C">
        <w:t xml:space="preserve"> </w:t>
      </w:r>
      <w:r w:rsidR="00241E74">
        <w:t xml:space="preserve">byla konstatována nekoordinovanost </w:t>
      </w:r>
      <w:r w:rsidR="00CB542F">
        <w:t>výstavby sportovních zařízení a</w:t>
      </w:r>
      <w:r w:rsidR="00CD34CC">
        <w:t xml:space="preserve"> </w:t>
      </w:r>
      <w:r w:rsidR="00FB61B2">
        <w:t xml:space="preserve">realizace investic bez </w:t>
      </w:r>
      <w:r w:rsidR="00241E74">
        <w:t>prově</w:t>
      </w:r>
      <w:r w:rsidR="00AA483F" w:rsidRPr="00AA483F">
        <w:t>ření skutečných potřeb.</w:t>
      </w:r>
      <w:r w:rsidR="00155EBD">
        <w:t xml:space="preserve"> </w:t>
      </w:r>
      <w:r w:rsidR="00804764">
        <w:t xml:space="preserve">Novela zákona </w:t>
      </w:r>
      <w:r w:rsidR="006E5C32">
        <w:t>o podpoře sportu</w:t>
      </w:r>
      <w:r w:rsidR="00804764">
        <w:t xml:space="preserve"> účinná od 1. 1. 2017 mj. již stanovuje povinnost MŠMT zřídit rejstřík sportovních organizací, sportovců a sportovních zařízení, a to nejpozději do poloviny roku 2018.</w:t>
      </w:r>
    </w:p>
    <w:p w14:paraId="6ADCF67A" w14:textId="77777777" w:rsidR="00D901EB" w:rsidRPr="00AA483F" w:rsidRDefault="00D901EB" w:rsidP="008E7D88">
      <w:pPr>
        <w:widowControl/>
      </w:pPr>
    </w:p>
    <w:p w14:paraId="708B40C9" w14:textId="580427C8" w:rsidR="008F05CC" w:rsidRPr="006B6E15" w:rsidRDefault="00A54AB2" w:rsidP="008E7D88">
      <w:pPr>
        <w:widowControl/>
        <w:tabs>
          <w:tab w:val="left" w:pos="284"/>
        </w:tabs>
      </w:pPr>
      <w:r w:rsidRPr="00A54AB2">
        <w:rPr>
          <w:b/>
        </w:rPr>
        <w:t>2.</w:t>
      </w:r>
      <w:r>
        <w:tab/>
      </w:r>
      <w:r w:rsidR="003359F6">
        <w:t>Základní</w:t>
      </w:r>
      <w:r w:rsidR="00212165">
        <w:t xml:space="preserve"> </w:t>
      </w:r>
      <w:r w:rsidR="003359F6">
        <w:t>dokumenty</w:t>
      </w:r>
      <w:r w:rsidR="008F05CC" w:rsidRPr="006B6E15">
        <w:t xml:space="preserve"> Programu 133510 neobsahoval</w:t>
      </w:r>
      <w:r w:rsidR="003359F6">
        <w:t>y</w:t>
      </w:r>
      <w:r w:rsidR="008F05CC" w:rsidRPr="006B6E15">
        <w:t xml:space="preserve"> stejné informace v jednotlivých </w:t>
      </w:r>
      <w:r w:rsidR="00602673">
        <w:t>materiálech</w:t>
      </w:r>
      <w:r w:rsidR="008F05CC" w:rsidRPr="006B6E15">
        <w:t xml:space="preserve"> platných pro konkrétní roky kontrolovaného období. </w:t>
      </w:r>
      <w:r w:rsidR="008F05CC" w:rsidRPr="00032ED4">
        <w:rPr>
          <w:b/>
        </w:rPr>
        <w:t>Ne</w:t>
      </w:r>
      <w:r w:rsidR="00CD34CC">
        <w:rPr>
          <w:b/>
        </w:rPr>
        <w:t xml:space="preserve"> </w:t>
      </w:r>
      <w:r w:rsidR="008F05CC" w:rsidRPr="00032ED4">
        <w:rPr>
          <w:b/>
        </w:rPr>
        <w:t xml:space="preserve">zcela patrná hierarchie </w:t>
      </w:r>
      <w:r w:rsidR="008F05CC" w:rsidRPr="00032ED4">
        <w:rPr>
          <w:b/>
        </w:rPr>
        <w:lastRenderedPageBreak/>
        <w:t>dokumentů</w:t>
      </w:r>
      <w:r w:rsidR="00CE75EC" w:rsidRPr="00032ED4">
        <w:rPr>
          <w:b/>
        </w:rPr>
        <w:t>,</w:t>
      </w:r>
      <w:r w:rsidR="008F05CC" w:rsidRPr="00032ED4">
        <w:rPr>
          <w:b/>
        </w:rPr>
        <w:t xml:space="preserve"> odlišné pokyny a informace obsažené v</w:t>
      </w:r>
      <w:r w:rsidR="00CE75EC" w:rsidRPr="00032ED4">
        <w:rPr>
          <w:b/>
        </w:rPr>
        <w:t> jejich textech</w:t>
      </w:r>
      <w:r w:rsidR="008F05CC" w:rsidRPr="00032ED4">
        <w:rPr>
          <w:b/>
        </w:rPr>
        <w:t xml:space="preserve"> mohly působit zmatečně při</w:t>
      </w:r>
      <w:r w:rsidR="00FB61B2">
        <w:rPr>
          <w:b/>
        </w:rPr>
        <w:t xml:space="preserve"> </w:t>
      </w:r>
      <w:r w:rsidR="008F05CC" w:rsidRPr="00032ED4">
        <w:rPr>
          <w:b/>
        </w:rPr>
        <w:t>podávání žádostí a následně také při jejich vyhodnocování, čímž mohly vznikat nerovné podmínky</w:t>
      </w:r>
      <w:r w:rsidR="000F4867">
        <w:rPr>
          <w:b/>
        </w:rPr>
        <w:t xml:space="preserve"> pro žadatele</w:t>
      </w:r>
      <w:r w:rsidR="00E13E8F">
        <w:rPr>
          <w:b/>
        </w:rPr>
        <w:t xml:space="preserve"> o dotace</w:t>
      </w:r>
      <w:r w:rsidR="000F4867">
        <w:rPr>
          <w:b/>
        </w:rPr>
        <w:t xml:space="preserve">, resp. </w:t>
      </w:r>
      <w:r w:rsidR="00E13E8F">
        <w:rPr>
          <w:b/>
        </w:rPr>
        <w:t xml:space="preserve">jejich </w:t>
      </w:r>
      <w:r w:rsidR="000F4867">
        <w:rPr>
          <w:b/>
        </w:rPr>
        <w:t>příjemce</w:t>
      </w:r>
      <w:r w:rsidR="00CE75EC" w:rsidRPr="00032ED4">
        <w:rPr>
          <w:b/>
        </w:rPr>
        <w:t>.</w:t>
      </w:r>
    </w:p>
    <w:p w14:paraId="29415A47" w14:textId="77777777" w:rsidR="008F05CC" w:rsidRPr="006B6E15" w:rsidRDefault="008F05CC" w:rsidP="008E7D88">
      <w:pPr>
        <w:widowControl/>
      </w:pPr>
    </w:p>
    <w:p w14:paraId="4D6A0B56" w14:textId="350514A6" w:rsidR="00671458" w:rsidRPr="006B6E15" w:rsidRDefault="00A54AB2" w:rsidP="00F408A8">
      <w:pPr>
        <w:widowControl/>
        <w:tabs>
          <w:tab w:val="left" w:pos="284"/>
        </w:tabs>
      </w:pPr>
      <w:r w:rsidRPr="00A54AB2">
        <w:rPr>
          <w:b/>
          <w:szCs w:val="24"/>
        </w:rPr>
        <w:t>3.</w:t>
      </w:r>
      <w:r>
        <w:rPr>
          <w:szCs w:val="24"/>
        </w:rPr>
        <w:tab/>
      </w:r>
      <w:r w:rsidR="00671458">
        <w:rPr>
          <w:rFonts w:cs="Calibri"/>
          <w:szCs w:val="24"/>
        </w:rPr>
        <w:t>Při administraci</w:t>
      </w:r>
      <w:r w:rsidR="00671458" w:rsidRPr="006B6E15">
        <w:rPr>
          <w:rFonts w:cs="Calibri"/>
          <w:szCs w:val="24"/>
        </w:rPr>
        <w:t xml:space="preserve"> </w:t>
      </w:r>
      <w:r w:rsidR="00671458">
        <w:rPr>
          <w:rFonts w:cs="Calibri"/>
          <w:szCs w:val="24"/>
        </w:rPr>
        <w:t xml:space="preserve">žádostí </w:t>
      </w:r>
      <w:r w:rsidR="00671458" w:rsidRPr="006B6E15">
        <w:rPr>
          <w:rFonts w:cs="Calibri"/>
          <w:szCs w:val="24"/>
        </w:rPr>
        <w:t>a výběru akcí pro zařazení do Programu</w:t>
      </w:r>
      <w:r w:rsidR="00671458">
        <w:rPr>
          <w:rFonts w:cs="Calibri"/>
          <w:szCs w:val="24"/>
        </w:rPr>
        <w:t xml:space="preserve"> 133510 MŠMT</w:t>
      </w:r>
      <w:r w:rsidR="00DF690C">
        <w:rPr>
          <w:rFonts w:cs="Calibri"/>
          <w:szCs w:val="24"/>
        </w:rPr>
        <w:t xml:space="preserve"> </w:t>
      </w:r>
      <w:r w:rsidR="00671458" w:rsidRPr="006B6E15">
        <w:t>nevyřadilo žádosti, které byly pod</w:t>
      </w:r>
      <w:r w:rsidR="00DF690C">
        <w:t>ány</w:t>
      </w:r>
      <w:r w:rsidR="00671458" w:rsidRPr="006B6E15">
        <w:t xml:space="preserve"> po stanoveném termínu nebo nebyly kompletní</w:t>
      </w:r>
      <w:r w:rsidR="00DF690C">
        <w:t>. Následně MŠMT v některých případech:</w:t>
      </w:r>
    </w:p>
    <w:p w14:paraId="7841B3C3" w14:textId="77777777" w:rsidR="00671458" w:rsidRPr="006B6E15" w:rsidRDefault="00671458" w:rsidP="008E7D8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</w:rPr>
      </w:pPr>
      <w:r w:rsidRPr="006B6E15">
        <w:rPr>
          <w:sz w:val="24"/>
        </w:rPr>
        <w:t>poskytlo dotace žadatelům, kteří nesplňovali podmínky pro zařazení do programu;</w:t>
      </w:r>
    </w:p>
    <w:p w14:paraId="0B9A31A9" w14:textId="77777777" w:rsidR="00671458" w:rsidRDefault="00671458" w:rsidP="008E7D8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</w:rPr>
      </w:pPr>
      <w:r w:rsidRPr="006B6E15">
        <w:rPr>
          <w:sz w:val="24"/>
        </w:rPr>
        <w:t xml:space="preserve">poskytlo dotace na akce, jejichž účel byl v rozporu s cíli programu; </w:t>
      </w:r>
    </w:p>
    <w:p w14:paraId="356FD093" w14:textId="07CD1179" w:rsidR="00671458" w:rsidRPr="006B6E15" w:rsidRDefault="00671458" w:rsidP="008E7D88">
      <w:pPr>
        <w:pStyle w:val="Odstavecseseznamem"/>
        <w:numPr>
          <w:ilvl w:val="0"/>
          <w:numId w:val="21"/>
        </w:numPr>
        <w:spacing w:after="0" w:line="240" w:lineRule="auto"/>
        <w:rPr>
          <w:sz w:val="24"/>
        </w:rPr>
      </w:pPr>
      <w:r w:rsidRPr="006B6E15">
        <w:rPr>
          <w:sz w:val="24"/>
        </w:rPr>
        <w:t xml:space="preserve">poskytlo dotace odpovídající vyššímu podílu spolufinancování ze státního rozpočtu, než umožňovala pravidla </w:t>
      </w:r>
      <w:r w:rsidR="006F1AEC">
        <w:rPr>
          <w:sz w:val="24"/>
        </w:rPr>
        <w:t>programu.</w:t>
      </w:r>
    </w:p>
    <w:p w14:paraId="02B1E08A" w14:textId="77777777" w:rsidR="00E430BA" w:rsidRDefault="00E430BA" w:rsidP="008E7D88">
      <w:pPr>
        <w:widowControl/>
      </w:pPr>
    </w:p>
    <w:p w14:paraId="1DA16960" w14:textId="1EF5E75E" w:rsidR="00671458" w:rsidRDefault="006F1AEC" w:rsidP="00980F5E">
      <w:pPr>
        <w:widowControl/>
      </w:pPr>
      <w:r>
        <w:t xml:space="preserve">Při závěrečném vyhodnocení akcí MŠMT </w:t>
      </w:r>
      <w:r w:rsidR="00671458" w:rsidRPr="006F1AEC">
        <w:t>akceptovalo ne</w:t>
      </w:r>
      <w:r>
        <w:t>dodržení závazných podmínek, za</w:t>
      </w:r>
      <w:r w:rsidR="00DF690C">
        <w:t xml:space="preserve"> </w:t>
      </w:r>
      <w:r w:rsidR="00671458" w:rsidRPr="006F1AEC">
        <w:t>kterých byla dotace poskytnuta.</w:t>
      </w:r>
    </w:p>
    <w:p w14:paraId="0E0A8F50" w14:textId="77777777" w:rsidR="00980F5E" w:rsidRPr="006F1AEC" w:rsidRDefault="00980F5E" w:rsidP="00CB5E69">
      <w:pPr>
        <w:widowControl/>
      </w:pPr>
    </w:p>
    <w:p w14:paraId="545456C6" w14:textId="5AB9CA6D" w:rsidR="00671458" w:rsidRPr="00E35466" w:rsidRDefault="008407AD" w:rsidP="008E7D88">
      <w:pPr>
        <w:widowControl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MŠMT nepostupovalo v souladu se zásadami Programu 133510, které samo stanovilo. </w:t>
      </w:r>
      <w:r w:rsidR="00671458">
        <w:rPr>
          <w:rFonts w:cs="Calibri"/>
          <w:b/>
          <w:szCs w:val="24"/>
        </w:rPr>
        <w:t>Uvedenými pochybeními MŠMT v kontrolovaném období</w:t>
      </w:r>
      <w:r w:rsidR="00671458" w:rsidRPr="00E35466">
        <w:rPr>
          <w:rFonts w:cs="Calibri"/>
          <w:b/>
          <w:szCs w:val="24"/>
        </w:rPr>
        <w:t xml:space="preserve"> vytvářelo pro</w:t>
      </w:r>
      <w:r w:rsidR="00397385">
        <w:rPr>
          <w:rFonts w:cs="Calibri"/>
          <w:b/>
          <w:szCs w:val="24"/>
        </w:rPr>
        <w:t xml:space="preserve"> </w:t>
      </w:r>
      <w:r w:rsidR="00671458" w:rsidRPr="00E35466">
        <w:rPr>
          <w:rFonts w:cs="Calibri"/>
          <w:b/>
          <w:szCs w:val="24"/>
        </w:rPr>
        <w:t>žadatele</w:t>
      </w:r>
      <w:r w:rsidR="00E13E8F">
        <w:rPr>
          <w:rFonts w:cs="Calibri"/>
          <w:b/>
          <w:szCs w:val="24"/>
        </w:rPr>
        <w:t xml:space="preserve"> o dotace</w:t>
      </w:r>
      <w:r w:rsidR="00671458">
        <w:rPr>
          <w:rFonts w:cs="Calibri"/>
          <w:b/>
          <w:szCs w:val="24"/>
        </w:rPr>
        <w:t xml:space="preserve">, resp. </w:t>
      </w:r>
      <w:r w:rsidR="00E13E8F">
        <w:rPr>
          <w:rFonts w:cs="Calibri"/>
          <w:b/>
          <w:szCs w:val="24"/>
        </w:rPr>
        <w:t xml:space="preserve">jejich </w:t>
      </w:r>
      <w:r w:rsidR="00671458">
        <w:rPr>
          <w:rFonts w:cs="Calibri"/>
          <w:b/>
          <w:szCs w:val="24"/>
        </w:rPr>
        <w:t>příjemce</w:t>
      </w:r>
      <w:r w:rsidR="00671458" w:rsidRPr="00E35466">
        <w:rPr>
          <w:rFonts w:cs="Calibri"/>
          <w:b/>
          <w:szCs w:val="24"/>
        </w:rPr>
        <w:t xml:space="preserve"> nerovné podmínky.</w:t>
      </w:r>
    </w:p>
    <w:p w14:paraId="358F0860" w14:textId="77777777" w:rsidR="00671458" w:rsidRDefault="00671458" w:rsidP="008E7D88">
      <w:pPr>
        <w:widowControl/>
        <w:tabs>
          <w:tab w:val="left" w:pos="284"/>
        </w:tabs>
        <w:rPr>
          <w:szCs w:val="24"/>
        </w:rPr>
      </w:pPr>
    </w:p>
    <w:p w14:paraId="410102A5" w14:textId="2497AA2A" w:rsidR="00032ED4" w:rsidRPr="00032ED4" w:rsidRDefault="001E7DC9" w:rsidP="00F408A8">
      <w:pPr>
        <w:widowControl/>
        <w:tabs>
          <w:tab w:val="left" w:pos="284"/>
        </w:tabs>
        <w:rPr>
          <w:b/>
        </w:rPr>
      </w:pPr>
      <w:r w:rsidRPr="006B6E15">
        <w:t xml:space="preserve">Pro vyhodnocování žádostí o dotace MŠMT deklarovalo několik kritérií, která neměla </w:t>
      </w:r>
      <w:r w:rsidR="008407AD">
        <w:t>stanov</w:t>
      </w:r>
      <w:r w:rsidR="00212165">
        <w:t>eny váhy dle jejich významnosti</w:t>
      </w:r>
      <w:r w:rsidRPr="006B6E15">
        <w:t>. MŠMT</w:t>
      </w:r>
      <w:r w:rsidR="008407AD">
        <w:t xml:space="preserve"> NKÚ nedoložilo a nesdělilo, </w:t>
      </w:r>
      <w:r w:rsidRPr="006B6E15">
        <w:t>jakým</w:t>
      </w:r>
      <w:r w:rsidR="007A7618">
        <w:t xml:space="preserve"> způsobem a </w:t>
      </w:r>
      <w:r w:rsidR="002F22AA">
        <w:t>zda vůbec žádosti v </w:t>
      </w:r>
      <w:r w:rsidRPr="006B6E15">
        <w:t>kontrolovaném období podle těchto kritérií hodnotilo</w:t>
      </w:r>
      <w:r w:rsidR="00B65405">
        <w:t>.</w:t>
      </w:r>
      <w:r w:rsidR="00032ED4">
        <w:t xml:space="preserve"> </w:t>
      </w:r>
      <w:r w:rsidR="00435A86" w:rsidRPr="006B6E15">
        <w:t xml:space="preserve">MŠMT v letech 2013 a 2014 rozhodovalo o přidělení dotací </w:t>
      </w:r>
      <w:r w:rsidR="00FB643F" w:rsidRPr="006B6E15">
        <w:t>také</w:t>
      </w:r>
      <w:r w:rsidR="00B344D9" w:rsidRPr="006B6E15">
        <w:t xml:space="preserve"> v nesystémových a </w:t>
      </w:r>
      <w:r w:rsidR="00435A86" w:rsidRPr="006B6E15">
        <w:t>pravidly nezajištěných změnových řízeních</w:t>
      </w:r>
      <w:r w:rsidR="00B344D9" w:rsidRPr="006B6E15">
        <w:t>.</w:t>
      </w:r>
      <w:r w:rsidR="00DF690C">
        <w:t xml:space="preserve"> </w:t>
      </w:r>
      <w:r w:rsidR="00032ED4" w:rsidRPr="00032ED4">
        <w:rPr>
          <w:b/>
          <w:szCs w:val="24"/>
        </w:rPr>
        <w:t>Postup MŠMT při výběru akcí pro zařazení do Pro</w:t>
      </w:r>
      <w:r w:rsidR="00144BEF">
        <w:rPr>
          <w:b/>
          <w:szCs w:val="24"/>
        </w:rPr>
        <w:t>gramu 133510 byl v letech 2013–</w:t>
      </w:r>
      <w:r w:rsidR="00032ED4" w:rsidRPr="00032ED4">
        <w:rPr>
          <w:b/>
          <w:szCs w:val="24"/>
        </w:rPr>
        <w:t>2015 netransparentní a pro žadatele</w:t>
      </w:r>
      <w:r w:rsidR="00E13E8F">
        <w:rPr>
          <w:b/>
          <w:szCs w:val="24"/>
        </w:rPr>
        <w:t xml:space="preserve"> o dotace</w:t>
      </w:r>
      <w:r w:rsidR="00032ED4" w:rsidRPr="00032ED4">
        <w:rPr>
          <w:b/>
          <w:szCs w:val="24"/>
        </w:rPr>
        <w:t xml:space="preserve"> vytvářel nerovné podmínky.</w:t>
      </w:r>
    </w:p>
    <w:p w14:paraId="4F87AA64" w14:textId="77777777" w:rsidR="001E7DC9" w:rsidRPr="006B6E15" w:rsidRDefault="001E7DC9" w:rsidP="008E7D88">
      <w:pPr>
        <w:widowControl/>
        <w:rPr>
          <w:rFonts w:cs="Calibri"/>
          <w:szCs w:val="24"/>
        </w:rPr>
      </w:pPr>
    </w:p>
    <w:p w14:paraId="099088E4" w14:textId="037DD268" w:rsidR="00B86AC6" w:rsidRPr="00032ED4" w:rsidRDefault="00E13E8F" w:rsidP="008E7D88">
      <w:pPr>
        <w:widowControl/>
        <w:rPr>
          <w:b/>
        </w:rPr>
      </w:pPr>
      <w:r>
        <w:rPr>
          <w:b/>
        </w:rPr>
        <w:t>T</w:t>
      </w:r>
      <w:r w:rsidR="000F4867">
        <w:rPr>
          <w:b/>
        </w:rPr>
        <w:t>éměř 249 mil. Kč, tedy v</w:t>
      </w:r>
      <w:r w:rsidR="00D96144" w:rsidRPr="00032ED4">
        <w:rPr>
          <w:b/>
        </w:rPr>
        <w:t xml:space="preserve">íce než desetina veškerých prostředků Programu 133510 </w:t>
      </w:r>
      <w:r w:rsidR="00B86AC6" w:rsidRPr="00032ED4">
        <w:rPr>
          <w:b/>
        </w:rPr>
        <w:t>v</w:t>
      </w:r>
      <w:r w:rsidR="000F4867">
        <w:rPr>
          <w:b/>
        </w:rPr>
        <w:t> </w:t>
      </w:r>
      <w:r w:rsidR="00B86AC6" w:rsidRPr="00032ED4">
        <w:rPr>
          <w:b/>
        </w:rPr>
        <w:t>letech</w:t>
      </w:r>
      <w:r w:rsidR="000F4867">
        <w:rPr>
          <w:b/>
        </w:rPr>
        <w:t> </w:t>
      </w:r>
      <w:r w:rsidR="008D5700" w:rsidRPr="00032ED4">
        <w:rPr>
          <w:b/>
        </w:rPr>
        <w:t>2013</w:t>
      </w:r>
      <w:r w:rsidR="00144BEF">
        <w:rPr>
          <w:b/>
        </w:rPr>
        <w:t>–</w:t>
      </w:r>
      <w:r w:rsidR="008D5700" w:rsidRPr="00032ED4">
        <w:rPr>
          <w:b/>
        </w:rPr>
        <w:t>2015</w:t>
      </w:r>
      <w:r w:rsidR="00DF690C">
        <w:rPr>
          <w:b/>
        </w:rPr>
        <w:t>,</w:t>
      </w:r>
      <w:r w:rsidR="008D5700" w:rsidRPr="00032ED4">
        <w:rPr>
          <w:b/>
        </w:rPr>
        <w:t xml:space="preserve"> byl</w:t>
      </w:r>
      <w:r>
        <w:rPr>
          <w:b/>
        </w:rPr>
        <w:t>o</w:t>
      </w:r>
      <w:r w:rsidR="008D5700" w:rsidRPr="00032ED4">
        <w:rPr>
          <w:b/>
        </w:rPr>
        <w:t xml:space="preserve"> </w:t>
      </w:r>
      <w:r w:rsidR="000F4867">
        <w:rPr>
          <w:b/>
        </w:rPr>
        <w:t>poskytnut</w:t>
      </w:r>
      <w:r>
        <w:rPr>
          <w:b/>
        </w:rPr>
        <w:t>o</w:t>
      </w:r>
      <w:r w:rsidR="00B86AC6" w:rsidRPr="00032ED4">
        <w:rPr>
          <w:b/>
        </w:rPr>
        <w:t xml:space="preserve"> </w:t>
      </w:r>
      <w:r w:rsidR="00A610A0">
        <w:rPr>
          <w:b/>
        </w:rPr>
        <w:t xml:space="preserve">pouze </w:t>
      </w:r>
      <w:r w:rsidR="00B86AC6" w:rsidRPr="00032ED4">
        <w:rPr>
          <w:b/>
        </w:rPr>
        <w:t>jed</w:t>
      </w:r>
      <w:r w:rsidR="008D5700" w:rsidRPr="00032ED4">
        <w:rPr>
          <w:b/>
        </w:rPr>
        <w:t>i</w:t>
      </w:r>
      <w:r w:rsidR="00B86AC6" w:rsidRPr="00032ED4">
        <w:rPr>
          <w:b/>
        </w:rPr>
        <w:t>n</w:t>
      </w:r>
      <w:r w:rsidR="008D5700" w:rsidRPr="00032ED4">
        <w:rPr>
          <w:b/>
        </w:rPr>
        <w:t>é</w:t>
      </w:r>
      <w:r w:rsidR="00B86AC6" w:rsidRPr="00032ED4">
        <w:rPr>
          <w:b/>
        </w:rPr>
        <w:t>mu příjemci</w:t>
      </w:r>
      <w:r w:rsidR="00DC663F">
        <w:rPr>
          <w:b/>
        </w:rPr>
        <w:t xml:space="preserve"> z celkových téměř tří set podpořených.</w:t>
      </w:r>
    </w:p>
    <w:p w14:paraId="08E056B8" w14:textId="77777777" w:rsidR="00B86AC6" w:rsidRPr="006B6E15" w:rsidRDefault="00B86AC6" w:rsidP="008E7D88">
      <w:pPr>
        <w:widowControl/>
      </w:pPr>
    </w:p>
    <w:p w14:paraId="7DE790BC" w14:textId="5671F5B3" w:rsidR="00671458" w:rsidRPr="00671458" w:rsidRDefault="00671458" w:rsidP="008E7D88">
      <w:pPr>
        <w:widowControl/>
        <w:tabs>
          <w:tab w:val="left" w:pos="284"/>
        </w:tabs>
        <w:rPr>
          <w:rFonts w:cs="Calibri"/>
          <w:szCs w:val="24"/>
        </w:rPr>
      </w:pPr>
      <w:r w:rsidRPr="006B6E15">
        <w:t>Čerpání</w:t>
      </w:r>
      <w:r>
        <w:t xml:space="preserve"> prostředků dotací</w:t>
      </w:r>
      <w:r w:rsidRPr="006B6E15">
        <w:t xml:space="preserve"> bylo</w:t>
      </w:r>
      <w:r>
        <w:t xml:space="preserve"> příjemcům</w:t>
      </w:r>
      <w:r w:rsidRPr="006B6E15">
        <w:t xml:space="preserve"> určeno pro daný kalendářní rok. K zařazení akcí do Programu 133510 však</w:t>
      </w:r>
      <w:r>
        <w:t xml:space="preserve"> docházelo </w:t>
      </w:r>
      <w:r w:rsidRPr="006B6E15">
        <w:t>v polovině roku</w:t>
      </w:r>
      <w:r>
        <w:t xml:space="preserve"> (v roce 2015 až v srpnu)</w:t>
      </w:r>
      <w:r w:rsidRPr="006B6E15">
        <w:t>. Rozhodnutí o poskytnutí dotace byla v některých případech</w:t>
      </w:r>
      <w:r w:rsidRPr="006B6E15">
        <w:rPr>
          <w:sz w:val="20"/>
        </w:rPr>
        <w:t xml:space="preserve"> </w:t>
      </w:r>
      <w:r w:rsidRPr="006B6E15">
        <w:t>vydávána až v posledních měsících roku a jen několik dní před</w:t>
      </w:r>
      <w:r w:rsidR="00980F5E" w:rsidRPr="00F408A8">
        <w:rPr>
          <w:szCs w:val="24"/>
        </w:rPr>
        <w:t xml:space="preserve"> </w:t>
      </w:r>
      <w:r w:rsidR="00980F5E" w:rsidRPr="006B6E15">
        <w:t xml:space="preserve">termínem </w:t>
      </w:r>
      <w:r w:rsidRPr="006B6E15">
        <w:t>stanoveným pro</w:t>
      </w:r>
      <w:r w:rsidR="00980F5E">
        <w:t xml:space="preserve"> </w:t>
      </w:r>
      <w:r w:rsidRPr="006B6E15">
        <w:t>ukončení realizace akce.</w:t>
      </w:r>
      <w:r>
        <w:t xml:space="preserve"> </w:t>
      </w:r>
      <w:r w:rsidRPr="00E35466">
        <w:rPr>
          <w:b/>
        </w:rPr>
        <w:t xml:space="preserve">Nastavení termínů v procesu poskytování dotací bylo z hlediska </w:t>
      </w:r>
      <w:r>
        <w:rPr>
          <w:b/>
        </w:rPr>
        <w:t xml:space="preserve">časové náročnosti </w:t>
      </w:r>
      <w:r w:rsidRPr="00E35466">
        <w:rPr>
          <w:b/>
        </w:rPr>
        <w:t>realizace akcí problematické</w:t>
      </w:r>
      <w:r w:rsidR="005C51A3">
        <w:rPr>
          <w:b/>
        </w:rPr>
        <w:t>, zejména z důvodu pozdního rozhodování MŠMT o poskytnutí dotací.</w:t>
      </w:r>
      <w:r>
        <w:rPr>
          <w:b/>
        </w:rPr>
        <w:t xml:space="preserve"> Některým subjektům bez dostatečného finančního zázemí mohl takový postup MŠMT také působit překážky v přístupu k podpoře ze státního rozpočtu.</w:t>
      </w:r>
    </w:p>
    <w:p w14:paraId="55A4EFED" w14:textId="77777777" w:rsidR="00E35466" w:rsidRPr="006B6E15" w:rsidRDefault="00E35466" w:rsidP="008E7D88">
      <w:pPr>
        <w:widowControl/>
        <w:rPr>
          <w:rFonts w:cs="Calibri"/>
          <w:szCs w:val="24"/>
        </w:rPr>
      </w:pPr>
    </w:p>
    <w:p w14:paraId="0890740F" w14:textId="5BC3F525" w:rsidR="008A5248" w:rsidRPr="006B6E15" w:rsidRDefault="007F3027" w:rsidP="008E7D88">
      <w:pPr>
        <w:widowControl/>
        <w:tabs>
          <w:tab w:val="left" w:pos="284"/>
        </w:tabs>
      </w:pPr>
      <w:r w:rsidRPr="007F3027">
        <w:rPr>
          <w:b/>
        </w:rPr>
        <w:t>4.</w:t>
      </w:r>
      <w:r w:rsidRPr="007F3027">
        <w:rPr>
          <w:b/>
        </w:rPr>
        <w:tab/>
      </w:r>
      <w:r w:rsidR="00DC4A84" w:rsidRPr="006B6E15">
        <w:t>MŠMT v letech 2013</w:t>
      </w:r>
      <w:r w:rsidR="00111B81">
        <w:t>–</w:t>
      </w:r>
      <w:r w:rsidR="00DC4A84" w:rsidRPr="006B6E15">
        <w:t>2015 zkontr</w:t>
      </w:r>
      <w:r w:rsidR="00AC271A" w:rsidRPr="006B6E15">
        <w:t>o</w:t>
      </w:r>
      <w:r w:rsidR="00DC4A84" w:rsidRPr="006B6E15">
        <w:t>lovalo</w:t>
      </w:r>
      <w:r w:rsidR="00AC271A" w:rsidRPr="006B6E15">
        <w:t xml:space="preserve"> </w:t>
      </w:r>
      <w:r w:rsidR="000F4867">
        <w:t>poskytnuté dotace ve výši</w:t>
      </w:r>
      <w:r w:rsidR="00DC4A84" w:rsidRPr="006B6E15">
        <w:t xml:space="preserve"> </w:t>
      </w:r>
      <w:r w:rsidR="00212165" w:rsidRPr="006B6E15">
        <w:t xml:space="preserve">pouze </w:t>
      </w:r>
      <w:r w:rsidR="00DC4A84" w:rsidRPr="006B6E15">
        <w:t>2,</w:t>
      </w:r>
      <w:r w:rsidR="00F74D52">
        <w:t>4</w:t>
      </w:r>
      <w:r w:rsidR="00980F5E">
        <w:t> </w:t>
      </w:r>
      <w:r w:rsidR="00F74D52">
        <w:t>mil.</w:t>
      </w:r>
      <w:r w:rsidR="00980F5E">
        <w:t> </w:t>
      </w:r>
      <w:r w:rsidR="00F74D52">
        <w:t>Kč u </w:t>
      </w:r>
      <w:r w:rsidR="002F22AA">
        <w:t>jednoho příjemce</w:t>
      </w:r>
      <w:r w:rsidR="006E6BAC">
        <w:t>.</w:t>
      </w:r>
      <w:r w:rsidR="00A610A0">
        <w:t xml:space="preserve"> </w:t>
      </w:r>
      <w:r w:rsidR="003F646A">
        <w:rPr>
          <w:b/>
        </w:rPr>
        <w:t>Takový r</w:t>
      </w:r>
      <w:r w:rsidR="00A610A0" w:rsidRPr="00A610A0">
        <w:rPr>
          <w:b/>
        </w:rPr>
        <w:t>ozsah ko</w:t>
      </w:r>
      <w:r w:rsidR="00F74D52">
        <w:rPr>
          <w:b/>
        </w:rPr>
        <w:t xml:space="preserve">ntroly </w:t>
      </w:r>
      <w:r w:rsidR="00A610A0" w:rsidRPr="00A610A0">
        <w:rPr>
          <w:b/>
        </w:rPr>
        <w:t xml:space="preserve">považuje NKÚ </w:t>
      </w:r>
      <w:r w:rsidR="00A610A0">
        <w:rPr>
          <w:b/>
        </w:rPr>
        <w:t>za</w:t>
      </w:r>
      <w:r w:rsidR="00980F5E">
        <w:rPr>
          <w:b/>
        </w:rPr>
        <w:t xml:space="preserve"> </w:t>
      </w:r>
      <w:r w:rsidR="00A610A0" w:rsidRPr="00A610A0">
        <w:rPr>
          <w:b/>
        </w:rPr>
        <w:t>nedostatečný</w:t>
      </w:r>
      <w:r w:rsidR="00212165">
        <w:rPr>
          <w:b/>
        </w:rPr>
        <w:t xml:space="preserve"> vzhledem k tomu, </w:t>
      </w:r>
      <w:r w:rsidR="006E6BAC">
        <w:rPr>
          <w:b/>
        </w:rPr>
        <w:t>že</w:t>
      </w:r>
      <w:r w:rsidR="00980F5E">
        <w:t xml:space="preserve"> </w:t>
      </w:r>
      <w:r w:rsidR="006E6BAC" w:rsidRPr="006E6BAC">
        <w:rPr>
          <w:b/>
        </w:rPr>
        <w:t>ročně byly prostřednictvím Programu 133510 vydávány prostředky v řád</w:t>
      </w:r>
      <w:r w:rsidR="00980F5E">
        <w:rPr>
          <w:b/>
        </w:rPr>
        <w:t>u</w:t>
      </w:r>
      <w:r w:rsidR="006E6BAC" w:rsidRPr="006E6BAC">
        <w:rPr>
          <w:b/>
        </w:rPr>
        <w:t xml:space="preserve"> stovek milionů korun.</w:t>
      </w:r>
    </w:p>
    <w:p w14:paraId="661B5516" w14:textId="77777777" w:rsidR="000015CC" w:rsidRPr="006B6E15" w:rsidRDefault="000015CC" w:rsidP="008E7D88">
      <w:pPr>
        <w:widowControl/>
      </w:pPr>
    </w:p>
    <w:p w14:paraId="622EF443" w14:textId="1368C39F" w:rsidR="00794C09" w:rsidRDefault="007F3027" w:rsidP="008E7D88">
      <w:pPr>
        <w:widowControl/>
        <w:tabs>
          <w:tab w:val="left" w:pos="284"/>
        </w:tabs>
      </w:pPr>
      <w:r>
        <w:rPr>
          <w:b/>
        </w:rPr>
        <w:t>5</w:t>
      </w:r>
      <w:r w:rsidR="00A54AB2" w:rsidRPr="00A54AB2">
        <w:rPr>
          <w:b/>
        </w:rPr>
        <w:t>.</w:t>
      </w:r>
      <w:r w:rsidR="00A54AB2">
        <w:tab/>
      </w:r>
      <w:r w:rsidR="00AC271A" w:rsidRPr="006B6E15">
        <w:t>NKÚ kontrolou 35 akcí</w:t>
      </w:r>
      <w:r w:rsidR="00794C09">
        <w:t xml:space="preserve"> u příjemců dotací v některých případech zjistil, že se příjemci dop</w:t>
      </w:r>
      <w:r w:rsidR="000F4867">
        <w:t>ustili porušení</w:t>
      </w:r>
      <w:r w:rsidR="00794C09">
        <w:t xml:space="preserve"> závazných podmínek, za kterých jim byly prostředky státního rozpočtu poskytnuty.</w:t>
      </w:r>
    </w:p>
    <w:p w14:paraId="109A3C97" w14:textId="6B74A23A" w:rsidR="00820FCA" w:rsidRDefault="00820FCA" w:rsidP="008E7D88">
      <w:pPr>
        <w:widowControl/>
        <w:tabs>
          <w:tab w:val="left" w:pos="284"/>
        </w:tabs>
      </w:pPr>
    </w:p>
    <w:p w14:paraId="0162C17A" w14:textId="308BFDCD" w:rsidR="002C4768" w:rsidRDefault="00820FCA" w:rsidP="008E7D88">
      <w:pPr>
        <w:widowControl/>
        <w:tabs>
          <w:tab w:val="left" w:pos="284"/>
        </w:tabs>
      </w:pPr>
      <w:r>
        <w:t>Příjemci chybovali při výběru dodavatelů, když postupovali v rozporu se závaznými metodikami MŠMT</w:t>
      </w:r>
      <w:r w:rsidR="009A2EE8">
        <w:t xml:space="preserve"> a zákonem o veřejných zakázkách</w:t>
      </w:r>
      <w:r w:rsidR="000F4867">
        <w:rPr>
          <w:rStyle w:val="Znakapoznpodarou"/>
        </w:rPr>
        <w:footnoteReference w:id="6"/>
      </w:r>
      <w:r>
        <w:t>.</w:t>
      </w:r>
      <w:r w:rsidR="009A2EE8">
        <w:t xml:space="preserve"> Je</w:t>
      </w:r>
      <w:r w:rsidR="002F22AA">
        <w:t>dnalo se jak o pochybení, která</w:t>
      </w:r>
      <w:r w:rsidR="00980F5E">
        <w:t xml:space="preserve"> </w:t>
      </w:r>
      <w:r w:rsidR="009A2EE8">
        <w:t xml:space="preserve">neměla vliv na výběr </w:t>
      </w:r>
      <w:r w:rsidR="000F4867">
        <w:t>nejvhodnější</w:t>
      </w:r>
      <w:r w:rsidR="002C4768">
        <w:t xml:space="preserve"> </w:t>
      </w:r>
      <w:r w:rsidR="002F22AA">
        <w:t>nabídky</w:t>
      </w:r>
      <w:r w:rsidR="002C4768">
        <w:t xml:space="preserve">, tak o závažnější nedostatky. </w:t>
      </w:r>
    </w:p>
    <w:p w14:paraId="278CA5C1" w14:textId="77777777" w:rsidR="002C4768" w:rsidRDefault="002C4768" w:rsidP="008E7D88">
      <w:pPr>
        <w:widowControl/>
        <w:tabs>
          <w:tab w:val="left" w:pos="284"/>
        </w:tabs>
      </w:pPr>
    </w:p>
    <w:p w14:paraId="7285F43F" w14:textId="05947B3E" w:rsidR="009A2EE8" w:rsidRDefault="009A2EE8" w:rsidP="008E7D88">
      <w:pPr>
        <w:widowControl/>
        <w:tabs>
          <w:tab w:val="left" w:pos="284"/>
        </w:tabs>
      </w:pPr>
      <w:r>
        <w:t>Kontrolou NKÚ bylo také zjištěno nedodržení závazných</w:t>
      </w:r>
      <w:r w:rsidR="002C4768">
        <w:t xml:space="preserve"> technických</w:t>
      </w:r>
      <w:r>
        <w:t xml:space="preserve"> parametrů akcí stanovených v rozhodnutí o poskytnutí dotace</w:t>
      </w:r>
      <w:r w:rsidR="002F22AA">
        <w:t>,</w:t>
      </w:r>
      <w:r>
        <w:t xml:space="preserve"> překročení termínu pro ukončení akce</w:t>
      </w:r>
      <w:r w:rsidR="002C4768">
        <w:t>, nesplnění</w:t>
      </w:r>
      <w:r>
        <w:t xml:space="preserve"> minimální</w:t>
      </w:r>
      <w:r w:rsidR="002C4768">
        <w:t>ho</w:t>
      </w:r>
      <w:r>
        <w:t xml:space="preserve"> podíl</w:t>
      </w:r>
      <w:r w:rsidR="002C4768">
        <w:t>u</w:t>
      </w:r>
      <w:r>
        <w:t xml:space="preserve"> vlastních zdrojů</w:t>
      </w:r>
      <w:r w:rsidR="002C4768">
        <w:t xml:space="preserve"> na financování akce či</w:t>
      </w:r>
      <w:r>
        <w:t xml:space="preserve"> proplácení </w:t>
      </w:r>
      <w:r w:rsidR="002F22AA">
        <w:t>prací před</w:t>
      </w:r>
      <w:r w:rsidR="00980F5E">
        <w:t xml:space="preserve"> </w:t>
      </w:r>
      <w:r w:rsidR="002C4768">
        <w:t>jejich provedením.</w:t>
      </w:r>
    </w:p>
    <w:p w14:paraId="2AE120EC" w14:textId="1F2EC961" w:rsidR="00713E76" w:rsidRDefault="00713E76" w:rsidP="008E7D88">
      <w:pPr>
        <w:widowControl/>
        <w:tabs>
          <w:tab w:val="left" w:pos="284"/>
        </w:tabs>
      </w:pPr>
    </w:p>
    <w:p w14:paraId="33A07ABB" w14:textId="78DD04CB" w:rsidR="00713E76" w:rsidRPr="00212165" w:rsidRDefault="00713E76" w:rsidP="008E7D88">
      <w:pPr>
        <w:widowControl/>
        <w:rPr>
          <w:b/>
        </w:rPr>
      </w:pPr>
      <w:r w:rsidRPr="00212165">
        <w:rPr>
          <w:b/>
        </w:rPr>
        <w:t xml:space="preserve">U šesti příjemců </w:t>
      </w:r>
      <w:r w:rsidR="00980F5E" w:rsidRPr="00212165">
        <w:rPr>
          <w:b/>
        </w:rPr>
        <w:t xml:space="preserve">vyhodnotil </w:t>
      </w:r>
      <w:r w:rsidRPr="00212165">
        <w:rPr>
          <w:b/>
        </w:rPr>
        <w:t>NKÚ zjištěné nedostatky jako porušení rozpočtové kázně</w:t>
      </w:r>
      <w:r w:rsidRPr="00212165">
        <w:rPr>
          <w:rStyle w:val="Znakapoznpodarou"/>
          <w:b/>
        </w:rPr>
        <w:footnoteReference w:id="7"/>
      </w:r>
      <w:r w:rsidR="00212165">
        <w:rPr>
          <w:b/>
        </w:rPr>
        <w:t xml:space="preserve"> a </w:t>
      </w:r>
      <w:r w:rsidR="008F36A3">
        <w:rPr>
          <w:b/>
        </w:rPr>
        <w:t>předal</w:t>
      </w:r>
      <w:r w:rsidRPr="00212165">
        <w:rPr>
          <w:b/>
        </w:rPr>
        <w:t xml:space="preserve"> oznámení příslušnému správci daně.</w:t>
      </w:r>
    </w:p>
    <w:p w14:paraId="5BDF5C7C" w14:textId="77777777" w:rsidR="002C4768" w:rsidRDefault="002C4768" w:rsidP="008E7D88">
      <w:pPr>
        <w:widowControl/>
        <w:tabs>
          <w:tab w:val="left" w:pos="284"/>
        </w:tabs>
        <w:rPr>
          <w:b/>
        </w:rPr>
      </w:pPr>
    </w:p>
    <w:p w14:paraId="4F9D4934" w14:textId="75A1D117" w:rsidR="00820FCA" w:rsidRPr="00820FCA" w:rsidRDefault="00820FCA" w:rsidP="008E7D88">
      <w:pPr>
        <w:widowControl/>
        <w:tabs>
          <w:tab w:val="left" w:pos="284"/>
        </w:tabs>
        <w:rPr>
          <w:rFonts w:cs="Times New Roman"/>
          <w:b/>
          <w:szCs w:val="22"/>
        </w:rPr>
      </w:pPr>
      <w:r w:rsidRPr="00820FCA">
        <w:rPr>
          <w:b/>
        </w:rPr>
        <w:t>Některé problémy zjištěné u příjemců byly způsobeny i samotným MŠMT, a to jak nastavením systému poskytování dotací</w:t>
      </w:r>
      <w:r w:rsidR="009A2EE8">
        <w:rPr>
          <w:b/>
        </w:rPr>
        <w:t xml:space="preserve"> z Programu 133510</w:t>
      </w:r>
      <w:r w:rsidRPr="00820FCA">
        <w:rPr>
          <w:b/>
        </w:rPr>
        <w:t xml:space="preserve">, tak i dílčími pochybeními. </w:t>
      </w:r>
    </w:p>
    <w:p w14:paraId="1376A9D0" w14:textId="7DD3CCF6" w:rsidR="00FE5C8F" w:rsidRDefault="00FE5C8F" w:rsidP="008E7D88">
      <w:pPr>
        <w:pStyle w:val="Obrzek"/>
        <w:widowControl/>
        <w:numPr>
          <w:ilvl w:val="0"/>
          <w:numId w:val="0"/>
        </w:numPr>
        <w:ind w:left="720" w:hanging="360"/>
      </w:pPr>
    </w:p>
    <w:p w14:paraId="416B0197" w14:textId="77777777" w:rsidR="00586319" w:rsidRPr="00825BEE" w:rsidRDefault="00586319" w:rsidP="008E7D88">
      <w:pPr>
        <w:pStyle w:val="Obrzek"/>
        <w:widowControl/>
        <w:numPr>
          <w:ilvl w:val="0"/>
          <w:numId w:val="0"/>
        </w:numPr>
        <w:ind w:left="720" w:hanging="360"/>
      </w:pPr>
    </w:p>
    <w:p w14:paraId="0F206E30" w14:textId="6402039F" w:rsidR="00804C37" w:rsidRPr="00825BEE" w:rsidRDefault="00804C37" w:rsidP="008E7D88">
      <w:pPr>
        <w:pStyle w:val="Nadpis1"/>
        <w:widowControl/>
      </w:pPr>
      <w:r w:rsidRPr="00825BEE">
        <w:t>Podrobné informace ke skutečnostem zjištěným při kontrole</w:t>
      </w:r>
      <w:r w:rsidR="00A0600E">
        <w:t xml:space="preserve"> </w:t>
      </w:r>
    </w:p>
    <w:p w14:paraId="4A5D5F89" w14:textId="1B86F44E" w:rsidR="00FE5C8F" w:rsidRDefault="00B628B6" w:rsidP="00F408A8">
      <w:pPr>
        <w:pStyle w:val="Nadpis2"/>
        <w:widowControl/>
        <w:numPr>
          <w:ilvl w:val="0"/>
          <w:numId w:val="0"/>
        </w:numPr>
      </w:pPr>
      <w:r>
        <w:t xml:space="preserve">1. </w:t>
      </w:r>
      <w:r w:rsidR="00FE5C8F">
        <w:t xml:space="preserve">Koncepční rámec a cíle </w:t>
      </w:r>
      <w:r w:rsidR="006E6BAC">
        <w:t>P</w:t>
      </w:r>
      <w:r w:rsidR="00FE5C8F">
        <w:t>rogramu</w:t>
      </w:r>
      <w:r w:rsidR="006E6BAC">
        <w:t xml:space="preserve"> 133510</w:t>
      </w:r>
    </w:p>
    <w:p w14:paraId="7B26F5D7" w14:textId="00EB79B9" w:rsidR="00FE5C8F" w:rsidRPr="00771122" w:rsidRDefault="00B628B6" w:rsidP="00F408A8">
      <w:pPr>
        <w:pStyle w:val="Nadpis3"/>
        <w:widowControl/>
        <w:numPr>
          <w:ilvl w:val="0"/>
          <w:numId w:val="0"/>
        </w:numPr>
      </w:pPr>
      <w:r>
        <w:t xml:space="preserve">1.1 </w:t>
      </w:r>
      <w:r w:rsidR="00FE5C8F" w:rsidRPr="00771122">
        <w:t>Koncepce podpory sportu</w:t>
      </w:r>
    </w:p>
    <w:p w14:paraId="20B2289A" w14:textId="30E59690" w:rsidR="00FE5C8F" w:rsidRDefault="00FE5C8F" w:rsidP="008E7D88">
      <w:pPr>
        <w:widowControl/>
      </w:pPr>
      <w:r w:rsidRPr="009D0941">
        <w:t>Dle zákona</w:t>
      </w:r>
      <w:r>
        <w:t xml:space="preserve"> </w:t>
      </w:r>
      <w:r w:rsidR="006E5C32">
        <w:t>o podpoře sportu</w:t>
      </w:r>
      <w:r w:rsidRPr="009D0941">
        <w:t xml:space="preserve"> vypracovává MŠMT mj. návrh</w:t>
      </w:r>
      <w:r w:rsidR="00980F5E">
        <w:t>y</w:t>
      </w:r>
      <w:r w:rsidRPr="009D0941">
        <w:t xml:space="preserve"> koncepc</w:t>
      </w:r>
      <w:r w:rsidR="00980F5E">
        <w:t>í</w:t>
      </w:r>
      <w:r w:rsidRPr="009D0941">
        <w:t xml:space="preserve"> státní politiky ve sportu, koordinuje uskutečňování vládou schválené koncepce a zabezpe</w:t>
      </w:r>
      <w:r w:rsidR="00FB61B2">
        <w:t xml:space="preserve">čuje finanční podporu sportu ze </w:t>
      </w:r>
      <w:r w:rsidRPr="009D0941">
        <w:t>státního rozpočtu. Zodpovídá tedy za nastavení cílů a priorit s</w:t>
      </w:r>
      <w:r w:rsidR="002C0D5F">
        <w:t>tátní politiky v této oblasti a </w:t>
      </w:r>
      <w:r w:rsidRPr="009D0941">
        <w:t xml:space="preserve">zároveň zajišťuje prostředky k jejich realizaci. Vláda </w:t>
      </w:r>
      <w:r w:rsidR="00980F5E">
        <w:t xml:space="preserve">ČR </w:t>
      </w:r>
      <w:r>
        <w:t xml:space="preserve">schválila </w:t>
      </w:r>
      <w:r w:rsidR="00980F5E">
        <w:t xml:space="preserve">svým </w:t>
      </w:r>
      <w:r>
        <w:t>usnesením ze dne 9. </w:t>
      </w:r>
      <w:r w:rsidR="00BD153F">
        <w:t>3.</w:t>
      </w:r>
      <w:r w:rsidR="00980F5E">
        <w:t> </w:t>
      </w:r>
      <w:r w:rsidRPr="009D0941">
        <w:t>2011 č.</w:t>
      </w:r>
      <w:r w:rsidR="00BD153F">
        <w:t> </w:t>
      </w:r>
      <w:r w:rsidRPr="009D0941">
        <w:t xml:space="preserve">167 </w:t>
      </w:r>
      <w:r w:rsidRPr="00AC271A">
        <w:rPr>
          <w:i/>
        </w:rPr>
        <w:t>Koncepci státní podpory sportu v České republice</w:t>
      </w:r>
      <w:r>
        <w:t xml:space="preserve"> (dále také „Koncepce 2011“). </w:t>
      </w:r>
    </w:p>
    <w:p w14:paraId="6DCC5A35" w14:textId="77777777" w:rsidR="00FE5C8F" w:rsidRDefault="00FE5C8F" w:rsidP="008E7D88">
      <w:pPr>
        <w:widowControl/>
      </w:pPr>
    </w:p>
    <w:p w14:paraId="53ADA148" w14:textId="7CFCDD68" w:rsidR="00FE5C8F" w:rsidRPr="009D0941" w:rsidRDefault="00FE5C8F" w:rsidP="008E7D88">
      <w:pPr>
        <w:widowControl/>
      </w:pPr>
      <w:r>
        <w:t>Koncepce 2011 velmi obecně vymezovala</w:t>
      </w:r>
      <w:r w:rsidRPr="009D0941">
        <w:t xml:space="preserve"> deset</w:t>
      </w:r>
      <w:r>
        <w:t xml:space="preserve"> okruhů</w:t>
      </w:r>
      <w:r w:rsidRPr="009D0941">
        <w:t xml:space="preserve"> cílů a celkem čtyři</w:t>
      </w:r>
      <w:r>
        <w:t xml:space="preserve"> oblasti</w:t>
      </w:r>
      <w:r w:rsidRPr="009D0941">
        <w:t xml:space="preserve"> priorit. </w:t>
      </w:r>
      <w:r w:rsidR="00352859">
        <w:t>Zařazena byla mj. p</w:t>
      </w:r>
      <w:r w:rsidRPr="009D0941">
        <w:t>riorita</w:t>
      </w:r>
      <w:r w:rsidR="00352859">
        <w:t xml:space="preserve"> </w:t>
      </w:r>
      <w:r w:rsidRPr="00013C84">
        <w:t>„</w:t>
      </w:r>
      <w:r w:rsidRPr="0087019B">
        <w:rPr>
          <w:i/>
        </w:rPr>
        <w:t>Sportovní infrastruktura, systémová údržba, provoz a</w:t>
      </w:r>
      <w:r w:rsidR="00697B1D">
        <w:rPr>
          <w:i/>
        </w:rPr>
        <w:t xml:space="preserve"> </w:t>
      </w:r>
      <w:r w:rsidRPr="0087019B">
        <w:rPr>
          <w:i/>
        </w:rPr>
        <w:t>investiční podpora</w:t>
      </w:r>
      <w:r w:rsidRPr="00013C84">
        <w:t>“</w:t>
      </w:r>
      <w:r w:rsidR="008D12FD">
        <w:t xml:space="preserve">, která </w:t>
      </w:r>
      <w:r w:rsidR="00013C84">
        <w:t>zahrnovala</w:t>
      </w:r>
      <w:r w:rsidRPr="009D0941">
        <w:t xml:space="preserve"> </w:t>
      </w:r>
      <w:r w:rsidRPr="00013C84">
        <w:t>„</w:t>
      </w:r>
      <w:r w:rsidRPr="0087019B">
        <w:rPr>
          <w:i/>
        </w:rPr>
        <w:t>Investiční obnov</w:t>
      </w:r>
      <w:r w:rsidR="00013C84">
        <w:rPr>
          <w:i/>
        </w:rPr>
        <w:t>u</w:t>
      </w:r>
      <w:r w:rsidRPr="0087019B">
        <w:rPr>
          <w:i/>
        </w:rPr>
        <w:t xml:space="preserve"> a výstavb</w:t>
      </w:r>
      <w:r w:rsidR="00013C84">
        <w:rPr>
          <w:i/>
        </w:rPr>
        <w:t>u</w:t>
      </w:r>
      <w:r w:rsidRPr="0087019B">
        <w:rPr>
          <w:i/>
        </w:rPr>
        <w:t xml:space="preserve"> sportovních zařízení</w:t>
      </w:r>
      <w:r w:rsidRPr="00013C84">
        <w:t>“</w:t>
      </w:r>
      <w:r w:rsidR="008D12FD">
        <w:t>,</w:t>
      </w:r>
      <w:r w:rsidRPr="00013C84">
        <w:t xml:space="preserve"> a</w:t>
      </w:r>
      <w:r w:rsidR="00013C84">
        <w:t xml:space="preserve"> </w:t>
      </w:r>
      <w:r w:rsidR="00697B1D">
        <w:t xml:space="preserve">dále </w:t>
      </w:r>
      <w:r w:rsidR="00352859" w:rsidRPr="00013C84">
        <w:t xml:space="preserve">také priorita </w:t>
      </w:r>
      <w:r w:rsidRPr="00013C84">
        <w:t>„</w:t>
      </w:r>
      <w:r w:rsidRPr="0087019B">
        <w:rPr>
          <w:i/>
        </w:rPr>
        <w:t>Financování sportovního prostředí</w:t>
      </w:r>
      <w:r w:rsidRPr="00013C84">
        <w:t>“</w:t>
      </w:r>
      <w:r w:rsidRPr="00E430BA">
        <w:t>.</w:t>
      </w:r>
    </w:p>
    <w:p w14:paraId="47113513" w14:textId="77777777" w:rsidR="00FE5C8F" w:rsidRDefault="00FE5C8F" w:rsidP="008E7D88">
      <w:pPr>
        <w:widowControl/>
      </w:pPr>
    </w:p>
    <w:p w14:paraId="7A2E05A5" w14:textId="1F45BCF2" w:rsidR="00FE5C8F" w:rsidRPr="0052359E" w:rsidRDefault="00FE5C8F" w:rsidP="008E7D88">
      <w:pPr>
        <w:widowControl/>
      </w:pPr>
      <w:r>
        <w:rPr>
          <w:b/>
        </w:rPr>
        <w:t xml:space="preserve">Koncepce 2011 </w:t>
      </w:r>
      <w:r w:rsidRPr="0093066B">
        <w:rPr>
          <w:b/>
        </w:rPr>
        <w:t>neobsahovala žádný časový horizont ani parametry</w:t>
      </w:r>
      <w:r w:rsidRPr="00F408A8">
        <w:rPr>
          <w:b/>
        </w:rPr>
        <w:t>,</w:t>
      </w:r>
      <w:r w:rsidRPr="0052359E">
        <w:t xml:space="preserve"> podle kterých by bylo možné sledovat naplňování cílů či priorit</w:t>
      </w:r>
      <w:r w:rsidR="00352859">
        <w:t>,</w:t>
      </w:r>
      <w:r w:rsidR="006E6BAC">
        <w:t xml:space="preserve"> a</w:t>
      </w:r>
      <w:r w:rsidR="00352859">
        <w:t xml:space="preserve"> neobsahovala ani</w:t>
      </w:r>
      <w:r w:rsidRPr="0052359E">
        <w:t xml:space="preserve"> způsoby vyhodnocení. Materiál jen částečně stanovoval úkoly pro následující neurčené období, nebyla </w:t>
      </w:r>
      <w:r w:rsidR="00352859">
        <w:t xml:space="preserve">v něm </w:t>
      </w:r>
      <w:r w:rsidR="002C0D5F">
        <w:t>však vymezena odpovědnost za</w:t>
      </w:r>
      <w:r w:rsidR="00352859">
        <w:t xml:space="preserve"> </w:t>
      </w:r>
      <w:r w:rsidRPr="0052359E">
        <w:t>jejich plnění.</w:t>
      </w:r>
    </w:p>
    <w:p w14:paraId="529B92C9" w14:textId="77777777" w:rsidR="00FE5C8F" w:rsidRPr="00E60FC6" w:rsidRDefault="00FE5C8F" w:rsidP="008E7D88">
      <w:pPr>
        <w:widowControl/>
      </w:pPr>
    </w:p>
    <w:p w14:paraId="355B0EFF" w14:textId="5BCB16CC" w:rsidR="00AE0CAF" w:rsidRDefault="00FE5C8F" w:rsidP="008E7D88">
      <w:pPr>
        <w:widowControl/>
        <w:rPr>
          <w:b/>
        </w:rPr>
      </w:pPr>
      <w:r w:rsidRPr="007817BB">
        <w:t>Na Koncepci 2011 nena</w:t>
      </w:r>
      <w:r w:rsidR="007817BB">
        <w:t xml:space="preserve">vazoval žádný další dokument, </w:t>
      </w:r>
      <w:r w:rsidR="00BC638B">
        <w:t>ve kterém</w:t>
      </w:r>
      <w:r w:rsidRPr="007817BB">
        <w:t xml:space="preserve"> by </w:t>
      </w:r>
      <w:r w:rsidR="007817BB">
        <w:t xml:space="preserve">bylo </w:t>
      </w:r>
      <w:r w:rsidRPr="007817BB">
        <w:t>stanov</w:t>
      </w:r>
      <w:r w:rsidR="007817BB">
        <w:t>eno</w:t>
      </w:r>
      <w:r w:rsidRPr="007817BB">
        <w:t>, jak má být cílů a</w:t>
      </w:r>
      <w:r w:rsidR="00FB61B2">
        <w:t xml:space="preserve"> </w:t>
      </w:r>
      <w:r w:rsidRPr="007817BB">
        <w:t>priorit dosahováno.</w:t>
      </w:r>
      <w:r w:rsidRPr="0093066B">
        <w:rPr>
          <w:b/>
        </w:rPr>
        <w:t xml:space="preserve"> Cíle nebyly konkretizovány a dále rozpracovány do dílčích úkolů s definováním odpovědností za jejich plnění </w:t>
      </w:r>
      <w:r w:rsidR="00697B1D">
        <w:rPr>
          <w:b/>
        </w:rPr>
        <w:t xml:space="preserve">a stanovením </w:t>
      </w:r>
      <w:r w:rsidRPr="0093066B">
        <w:rPr>
          <w:b/>
        </w:rPr>
        <w:t>časového harmonogramu, parametrů plnění</w:t>
      </w:r>
      <w:r>
        <w:rPr>
          <w:b/>
        </w:rPr>
        <w:t xml:space="preserve"> a</w:t>
      </w:r>
      <w:r w:rsidR="00013C84">
        <w:rPr>
          <w:b/>
        </w:rPr>
        <w:t xml:space="preserve"> </w:t>
      </w:r>
      <w:r w:rsidR="008D12FD">
        <w:rPr>
          <w:b/>
        </w:rPr>
        <w:t xml:space="preserve">způsobu </w:t>
      </w:r>
      <w:r>
        <w:rPr>
          <w:b/>
        </w:rPr>
        <w:t>jejich ověřování</w:t>
      </w:r>
      <w:r w:rsidR="00AE0CAF">
        <w:rPr>
          <w:b/>
        </w:rPr>
        <w:t>.</w:t>
      </w:r>
    </w:p>
    <w:p w14:paraId="171D8B8E" w14:textId="6BC9B67F" w:rsidR="00713E76" w:rsidRDefault="00713E76" w:rsidP="008E7D88">
      <w:pPr>
        <w:widowControl/>
        <w:rPr>
          <w:b/>
        </w:rPr>
      </w:pPr>
    </w:p>
    <w:p w14:paraId="08074643" w14:textId="54692193" w:rsidR="00713E76" w:rsidRDefault="00713E76" w:rsidP="008E7D88">
      <w:pPr>
        <w:widowControl/>
        <w:rPr>
          <w:b/>
        </w:rPr>
      </w:pPr>
      <w:r>
        <w:rPr>
          <w:b/>
        </w:rPr>
        <w:lastRenderedPageBreak/>
        <w:t>MŠMT v oblasti investic do sportu a sportovní infrastruktury v kontrolovaném období n</w:t>
      </w:r>
      <w:r w:rsidRPr="00E156B7">
        <w:rPr>
          <w:b/>
        </w:rPr>
        <w:t xml:space="preserve">ekoordinovalo naplňování </w:t>
      </w:r>
      <w:r>
        <w:rPr>
          <w:b/>
        </w:rPr>
        <w:t>vládou schválené koncepce.</w:t>
      </w:r>
      <w:r w:rsidRPr="00066E28">
        <w:t xml:space="preserve"> MŠMT se tak neřídilo příslušnými ustanoveními zákona </w:t>
      </w:r>
      <w:r w:rsidR="006E5C32">
        <w:t>o podpoře sportu</w:t>
      </w:r>
      <w:r w:rsidRPr="00066E28">
        <w:rPr>
          <w:rStyle w:val="Znakapoznpodarou"/>
        </w:rPr>
        <w:footnoteReference w:id="8"/>
      </w:r>
      <w:r>
        <w:rPr>
          <w:b/>
        </w:rPr>
        <w:t xml:space="preserve"> </w:t>
      </w:r>
      <w:r w:rsidRPr="00066E28">
        <w:t>a</w:t>
      </w:r>
      <w:r w:rsidR="00EB6A50">
        <w:t>ni</w:t>
      </w:r>
      <w:r w:rsidRPr="00066E28">
        <w:t xml:space="preserve"> usnesení</w:t>
      </w:r>
      <w:r w:rsidR="006E6BAC">
        <w:t>m</w:t>
      </w:r>
      <w:r w:rsidRPr="00066E28">
        <w:t xml:space="preserve"> vlády </w:t>
      </w:r>
      <w:r w:rsidR="00EB6A50">
        <w:t xml:space="preserve">ČR </w:t>
      </w:r>
      <w:r w:rsidRPr="00066E28">
        <w:t xml:space="preserve">ze dne </w:t>
      </w:r>
      <w:r>
        <w:t>9. března 2011 č. 167, přestože</w:t>
      </w:r>
      <w:r w:rsidR="00505525">
        <w:t xml:space="preserve"> </w:t>
      </w:r>
      <w:r w:rsidRPr="00066E28">
        <w:t>mu to ukládá zákon</w:t>
      </w:r>
      <w:r w:rsidR="006E5C32">
        <w:t xml:space="preserve"> o zřízení ministerstev </w:t>
      </w:r>
      <w:r w:rsidR="006E5C32" w:rsidRPr="006E5C32">
        <w:t>a jiných ústředních orgánů státní správy České republiky</w:t>
      </w:r>
      <w:r w:rsidRPr="004920DF">
        <w:rPr>
          <w:rStyle w:val="Znakapoznpodarou"/>
        </w:rPr>
        <w:footnoteReference w:id="9"/>
      </w:r>
      <w:r w:rsidR="006E5C32" w:rsidRPr="004920DF">
        <w:t>.</w:t>
      </w:r>
      <w:r w:rsidRPr="004920DF">
        <w:t xml:space="preserve"> MŠMT</w:t>
      </w:r>
      <w:r w:rsidR="004920DF" w:rsidRPr="004920DF">
        <w:t xml:space="preserve"> tak do značné míry</w:t>
      </w:r>
      <w:r w:rsidRPr="004920DF">
        <w:t xml:space="preserve"> pouze přerozdělovalo prostředky státního rozpočtu</w:t>
      </w:r>
      <w:r w:rsidR="00505525">
        <w:t xml:space="preserve"> </w:t>
      </w:r>
      <w:r w:rsidRPr="004920DF">
        <w:t>jednotlivým sportovním organizacím, resp. obcím.</w:t>
      </w:r>
    </w:p>
    <w:p w14:paraId="015B2EA6" w14:textId="77777777" w:rsidR="00AE0CAF" w:rsidRDefault="00AE0CAF" w:rsidP="008E7D88">
      <w:pPr>
        <w:widowControl/>
        <w:rPr>
          <w:b/>
        </w:rPr>
      </w:pPr>
    </w:p>
    <w:p w14:paraId="221939E6" w14:textId="5B845C4F" w:rsidR="00AE0CAF" w:rsidRDefault="00AE0CAF" w:rsidP="008E7D88">
      <w:pPr>
        <w:widowControl/>
        <w:rPr>
          <w:b/>
        </w:rPr>
      </w:pPr>
      <w:r>
        <w:t>U</w:t>
      </w:r>
      <w:r w:rsidRPr="00B96EFC">
        <w:t xml:space="preserve">snesením </w:t>
      </w:r>
      <w:r w:rsidR="00E76D02">
        <w:t xml:space="preserve">vlády </w:t>
      </w:r>
      <w:r w:rsidR="00EB6A50">
        <w:t xml:space="preserve">ČR </w:t>
      </w:r>
      <w:r w:rsidRPr="00B96EFC">
        <w:t xml:space="preserve">ze dne 27. </w:t>
      </w:r>
      <w:r w:rsidR="001A7D02">
        <w:t>června</w:t>
      </w:r>
      <w:r w:rsidRPr="00B96EFC">
        <w:t xml:space="preserve"> 2016 č. 591 </w:t>
      </w:r>
      <w:r w:rsidR="00E76D02">
        <w:t>byla schválena nová</w:t>
      </w:r>
      <w:r w:rsidRPr="00B96EFC">
        <w:t xml:space="preserve"> </w:t>
      </w:r>
      <w:r w:rsidRPr="00AC271A">
        <w:rPr>
          <w:i/>
        </w:rPr>
        <w:t>Koncepc</w:t>
      </w:r>
      <w:r w:rsidR="00E76D02">
        <w:rPr>
          <w:i/>
        </w:rPr>
        <w:t>e</w:t>
      </w:r>
      <w:r w:rsidRPr="00AC271A">
        <w:rPr>
          <w:i/>
        </w:rPr>
        <w:t xml:space="preserve"> podpory sportu 2016</w:t>
      </w:r>
      <w:r w:rsidR="00EB6A50">
        <w:rPr>
          <w:i/>
        </w:rPr>
        <w:t>–</w:t>
      </w:r>
      <w:r w:rsidRPr="00AC271A">
        <w:rPr>
          <w:i/>
        </w:rPr>
        <w:t xml:space="preserve">2025 </w:t>
      </w:r>
      <w:r w:rsidR="00EB6A50">
        <w:rPr>
          <w:i/>
        </w:rPr>
        <w:t xml:space="preserve">– </w:t>
      </w:r>
      <w:r w:rsidRPr="00AC271A">
        <w:rPr>
          <w:i/>
        </w:rPr>
        <w:t>SPORT 2025</w:t>
      </w:r>
      <w:r w:rsidR="006E6BAC">
        <w:t xml:space="preserve"> </w:t>
      </w:r>
      <w:r w:rsidR="00EB6A50">
        <w:t>a zároveň</w:t>
      </w:r>
      <w:r w:rsidR="006E6BAC">
        <w:t xml:space="preserve"> </w:t>
      </w:r>
      <w:r w:rsidR="006E4DF8">
        <w:t xml:space="preserve">jím </w:t>
      </w:r>
      <w:r w:rsidR="006E6BAC">
        <w:t>bylo</w:t>
      </w:r>
      <w:r>
        <w:t xml:space="preserve"> </w:t>
      </w:r>
      <w:r w:rsidR="006E4DF8">
        <w:t xml:space="preserve">pro </w:t>
      </w:r>
      <w:r w:rsidRPr="00B96EFC">
        <w:t>MŠMT</w:t>
      </w:r>
      <w:r>
        <w:t xml:space="preserve"> </w:t>
      </w:r>
      <w:r w:rsidRPr="00B96EFC">
        <w:t>ulož</w:t>
      </w:r>
      <w:r w:rsidR="00E76D02">
        <w:t>eno</w:t>
      </w:r>
      <w:r w:rsidRPr="00B96EFC">
        <w:t>, aby vládě předk</w:t>
      </w:r>
      <w:r w:rsidR="008D1AC0">
        <w:t>ládalo dvouleté akční plány</w:t>
      </w:r>
      <w:r w:rsidR="00EB6A50">
        <w:t xml:space="preserve"> naplňující tuto koncepci</w:t>
      </w:r>
      <w:r w:rsidR="008D1AC0">
        <w:t>.</w:t>
      </w:r>
    </w:p>
    <w:p w14:paraId="3CCEEABF" w14:textId="77777777" w:rsidR="00FE5C8F" w:rsidRPr="00E60FC6" w:rsidRDefault="00FE5C8F" w:rsidP="008E7D88">
      <w:pPr>
        <w:widowControl/>
      </w:pPr>
    </w:p>
    <w:p w14:paraId="69107D95" w14:textId="7FD6308A" w:rsidR="00FE5C8F" w:rsidRPr="0083299F" w:rsidRDefault="00FE5C8F" w:rsidP="008E7D88">
      <w:pPr>
        <w:widowControl/>
      </w:pPr>
      <w:r w:rsidRPr="0083299F">
        <w:t xml:space="preserve">K posouzení naplnění Koncepce 2011 MŠMT vypracovalo </w:t>
      </w:r>
      <w:r w:rsidRPr="00AC271A">
        <w:rPr>
          <w:i/>
        </w:rPr>
        <w:t>Vyhodnocení realizace cílů státní politiky ve sportu České republiky</w:t>
      </w:r>
      <w:r w:rsidRPr="008E2DB5">
        <w:t>.</w:t>
      </w:r>
      <w:r w:rsidRPr="0083299F">
        <w:t xml:space="preserve"> MŠMT</w:t>
      </w:r>
      <w:r w:rsidR="00066E28">
        <w:t xml:space="preserve"> zde</w:t>
      </w:r>
      <w:r w:rsidR="00BA08BE">
        <w:t xml:space="preserve"> samo </w:t>
      </w:r>
      <w:r w:rsidR="00EB6A50">
        <w:t>konstatovalo</w:t>
      </w:r>
      <w:r w:rsidRPr="0083299F">
        <w:t>, že se nezasadilo o splnění stanovených úkolů v řa</w:t>
      </w:r>
      <w:r w:rsidR="00713E76">
        <w:t>dě oblastí.</w:t>
      </w:r>
    </w:p>
    <w:p w14:paraId="2ECDA133" w14:textId="77777777" w:rsidR="00FE5C8F" w:rsidRPr="00E60FC6" w:rsidRDefault="00FE5C8F" w:rsidP="008E7D88">
      <w:pPr>
        <w:widowControl/>
      </w:pPr>
    </w:p>
    <w:p w14:paraId="66941EE2" w14:textId="69912857" w:rsidR="00FE5C8F" w:rsidRDefault="00B628B6" w:rsidP="00F408A8">
      <w:pPr>
        <w:pStyle w:val="Nadpis3"/>
        <w:widowControl/>
        <w:numPr>
          <w:ilvl w:val="0"/>
          <w:numId w:val="0"/>
        </w:numPr>
        <w:spacing w:after="120"/>
      </w:pPr>
      <w:r>
        <w:t xml:space="preserve">1.2 </w:t>
      </w:r>
      <w:r w:rsidR="00FE5C8F">
        <w:t>Cíle Programu 133510</w:t>
      </w:r>
    </w:p>
    <w:p w14:paraId="5B71B325" w14:textId="4869481B" w:rsidR="00FE5C8F" w:rsidRDefault="005A7CC8" w:rsidP="008E7D88">
      <w:pPr>
        <w:widowControl/>
      </w:pPr>
      <w:r>
        <w:rPr>
          <w:rFonts w:cs="Calibri"/>
          <w:color w:val="000000"/>
        </w:rPr>
        <w:t>Kromě hlavního cíle Programu 133510 vytvářet a zlepšovat technické podmínky k zabezpečení nekomerčních oblastí sportu pro všechny, pro pří</w:t>
      </w:r>
      <w:r w:rsidR="0027391B">
        <w:rPr>
          <w:rFonts w:cs="Calibri"/>
          <w:color w:val="000000"/>
        </w:rPr>
        <w:t>pravu sportovní reprezentace včetně</w:t>
      </w:r>
      <w:r>
        <w:rPr>
          <w:rFonts w:cs="Calibri"/>
          <w:color w:val="000000"/>
        </w:rPr>
        <w:t xml:space="preserve"> talentované mládeže a zaji</w:t>
      </w:r>
      <w:r w:rsidR="006E4DF8">
        <w:rPr>
          <w:rFonts w:cs="Calibri"/>
          <w:color w:val="000000"/>
        </w:rPr>
        <w:t>stit</w:t>
      </w:r>
      <w:r>
        <w:rPr>
          <w:rFonts w:cs="Calibri"/>
          <w:color w:val="000000"/>
        </w:rPr>
        <w:t xml:space="preserve"> přístupnost sportovišť co největšímu počtu sportovců </w:t>
      </w:r>
      <w:r w:rsidR="00FE5C8F">
        <w:t>specifikuje dokumentace Programu 133510 pět věcných cílů:</w:t>
      </w:r>
    </w:p>
    <w:p w14:paraId="33F273A0" w14:textId="0A00204F" w:rsidR="00FE5C8F" w:rsidRPr="00771122" w:rsidRDefault="002C0D5F" w:rsidP="008E7D88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t</w:t>
      </w:r>
      <w:r w:rsidR="00FE5C8F" w:rsidRPr="00771122">
        <w:rPr>
          <w:sz w:val="24"/>
          <w:szCs w:val="24"/>
        </w:rPr>
        <w:t>echnické zhodnocení sportovních zařízení, které povede ke zlepšení jejich hygienické úrovně v souladu se</w:t>
      </w:r>
      <w:r w:rsidR="000A2998">
        <w:rPr>
          <w:sz w:val="24"/>
          <w:szCs w:val="24"/>
        </w:rPr>
        <w:t xml:space="preserve"> </w:t>
      </w:r>
      <w:r w:rsidR="00FE5C8F" w:rsidRPr="00771122">
        <w:rPr>
          <w:sz w:val="24"/>
          <w:szCs w:val="24"/>
        </w:rPr>
        <w:t>zájmy ochrany přírody</w:t>
      </w:r>
      <w:r>
        <w:rPr>
          <w:sz w:val="24"/>
          <w:szCs w:val="24"/>
        </w:rPr>
        <w:t>;</w:t>
      </w:r>
    </w:p>
    <w:p w14:paraId="774A8B27" w14:textId="41E42AC6" w:rsidR="00FE5C8F" w:rsidRPr="00771122" w:rsidRDefault="002C0D5F" w:rsidP="008E7D88">
      <w:pPr>
        <w:pStyle w:val="Odstavecseseznamem"/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FE5C8F" w:rsidRPr="00771122">
        <w:rPr>
          <w:sz w:val="24"/>
          <w:szCs w:val="24"/>
        </w:rPr>
        <w:t>ozvíjení sportovně technických parametrů sportovišť tak, aby splňovaly požadavky předepsané národními a mezinárodními sportovními federacemi a aby sportovní zařízení byla bezpečná pro sp</w:t>
      </w:r>
      <w:r>
        <w:rPr>
          <w:sz w:val="24"/>
          <w:szCs w:val="24"/>
        </w:rPr>
        <w:t>ortovce i pro ostatní veřejnost;</w:t>
      </w:r>
    </w:p>
    <w:p w14:paraId="01C942B2" w14:textId="77777777" w:rsidR="00FE5C8F" w:rsidRPr="00771122" w:rsidRDefault="002C0D5F" w:rsidP="008E7D88">
      <w:pPr>
        <w:pStyle w:val="Odstavecseseznamem"/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FE5C8F" w:rsidRPr="00771122">
        <w:rPr>
          <w:sz w:val="24"/>
          <w:szCs w:val="24"/>
        </w:rPr>
        <w:t>oplňování nabídky stávajícího počtu sportovních zařízení s cílem vy</w:t>
      </w:r>
      <w:r>
        <w:rPr>
          <w:sz w:val="24"/>
          <w:szCs w:val="24"/>
        </w:rPr>
        <w:t>rovnávání regionálních deficitů;</w:t>
      </w:r>
    </w:p>
    <w:p w14:paraId="21104CF4" w14:textId="77777777" w:rsidR="00FE5C8F" w:rsidRPr="00771122" w:rsidRDefault="002C0D5F" w:rsidP="008E7D88">
      <w:pPr>
        <w:pStyle w:val="Odstavecseseznamem"/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FE5C8F" w:rsidRPr="00771122">
        <w:rPr>
          <w:sz w:val="24"/>
          <w:szCs w:val="24"/>
        </w:rPr>
        <w:t>možnění rovného přístupu ke sportovištím co nejširšímu počtu zájemců o sportování, zejména s ohledem na handi</w:t>
      </w:r>
      <w:r>
        <w:rPr>
          <w:sz w:val="24"/>
          <w:szCs w:val="24"/>
        </w:rPr>
        <w:t>capované sportovce;</w:t>
      </w:r>
    </w:p>
    <w:p w14:paraId="0964FF84" w14:textId="6949D0FC" w:rsidR="00FE5C8F" w:rsidRPr="00771122" w:rsidRDefault="002C0D5F" w:rsidP="008E7D88">
      <w:pPr>
        <w:pStyle w:val="Odstavecseseznamem"/>
        <w:numPr>
          <w:ilvl w:val="0"/>
          <w:numId w:val="10"/>
        </w:num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FE5C8F" w:rsidRPr="00771122">
        <w:rPr>
          <w:sz w:val="24"/>
          <w:szCs w:val="24"/>
        </w:rPr>
        <w:t>ajištění dobudování sportovní infrastruktury pro významné sportovní akce pořádané na</w:t>
      </w:r>
      <w:r w:rsidR="00CB5E69">
        <w:rPr>
          <w:sz w:val="24"/>
          <w:szCs w:val="24"/>
        </w:rPr>
        <w:t xml:space="preserve"> </w:t>
      </w:r>
      <w:r w:rsidR="00FE5C8F" w:rsidRPr="00771122">
        <w:rPr>
          <w:sz w:val="24"/>
          <w:szCs w:val="24"/>
        </w:rPr>
        <w:t>území ČR.</w:t>
      </w:r>
    </w:p>
    <w:p w14:paraId="29A7F207" w14:textId="77777777" w:rsidR="00E430BA" w:rsidRDefault="00E430BA" w:rsidP="008E7D88">
      <w:pPr>
        <w:widowControl/>
      </w:pPr>
    </w:p>
    <w:p w14:paraId="7C9272E9" w14:textId="58DF40C2" w:rsidR="00FE5C8F" w:rsidRDefault="00E54F91" w:rsidP="008E7D88">
      <w:pPr>
        <w:widowControl/>
      </w:pPr>
      <w:r>
        <w:t>C</w:t>
      </w:r>
      <w:r w:rsidR="0036486B">
        <w:t>íle</w:t>
      </w:r>
      <w:r w:rsidR="00FE5C8F">
        <w:t xml:space="preserve"> Programu 133510 obsahovaly v obdobném znění také uveřejňované zásady Programu 133510</w:t>
      </w:r>
      <w:r w:rsidR="00FE5C8F">
        <w:rPr>
          <w:rStyle w:val="Znakapoznpodarou"/>
        </w:rPr>
        <w:footnoteReference w:id="10"/>
      </w:r>
      <w:r w:rsidR="00FE5C8F">
        <w:t xml:space="preserve">. </w:t>
      </w:r>
    </w:p>
    <w:p w14:paraId="194F4D95" w14:textId="77777777" w:rsidR="00FE5C8F" w:rsidRDefault="00FE5C8F" w:rsidP="008E7D88">
      <w:pPr>
        <w:widowControl/>
      </w:pPr>
    </w:p>
    <w:p w14:paraId="12601E21" w14:textId="4EA9047C" w:rsidR="00FE5C8F" w:rsidRPr="0052359E" w:rsidRDefault="00FE5C8F" w:rsidP="008E7D88">
      <w:pPr>
        <w:widowControl/>
      </w:pPr>
      <w:r w:rsidRPr="00C47239">
        <w:rPr>
          <w:b/>
        </w:rPr>
        <w:t>Stanovené cíle a priority programu postrádají konkrétní a měřitelné parametry</w:t>
      </w:r>
      <w:r w:rsidR="007A7618">
        <w:rPr>
          <w:b/>
        </w:rPr>
        <w:t>, kterých</w:t>
      </w:r>
      <w:r w:rsidR="00CB5E69">
        <w:rPr>
          <w:b/>
        </w:rPr>
        <w:t xml:space="preserve"> </w:t>
      </w:r>
      <w:r w:rsidR="00852899">
        <w:rPr>
          <w:b/>
        </w:rPr>
        <w:t>mělo být dosaženo</w:t>
      </w:r>
      <w:r w:rsidR="00852899" w:rsidRPr="00852899">
        <w:t xml:space="preserve"> a</w:t>
      </w:r>
      <w:r w:rsidRPr="00C47239">
        <w:rPr>
          <w:b/>
        </w:rPr>
        <w:t xml:space="preserve"> </w:t>
      </w:r>
      <w:r w:rsidRPr="0052359E">
        <w:t>k</w:t>
      </w:r>
      <w:r w:rsidR="00852899">
        <w:t>teré by umožňovaly vyhodnoc</w:t>
      </w:r>
      <w:r w:rsidR="00CB5E69">
        <w:t>ovat</w:t>
      </w:r>
      <w:r w:rsidR="00852899">
        <w:t xml:space="preserve"> </w:t>
      </w:r>
      <w:r w:rsidRPr="0052359E">
        <w:t>naplňování</w:t>
      </w:r>
      <w:r w:rsidR="00CB5E69">
        <w:t xml:space="preserve"> těchto cílů</w:t>
      </w:r>
      <w:r w:rsidRPr="0052359E">
        <w:t>.</w:t>
      </w:r>
      <w:r w:rsidR="00B344D9">
        <w:rPr>
          <w:rStyle w:val="Znakapoznpodarou"/>
        </w:rPr>
        <w:footnoteReference w:id="11"/>
      </w:r>
      <w:r w:rsidRPr="0052359E">
        <w:t xml:space="preserve"> Jedin</w:t>
      </w:r>
      <w:r w:rsidR="006E6BAC">
        <w:t>á</w:t>
      </w:r>
      <w:r w:rsidRPr="0052359E">
        <w:t xml:space="preserve"> </w:t>
      </w:r>
      <w:r w:rsidRPr="0052359E">
        <w:lastRenderedPageBreak/>
        <w:t>měřiteln</w:t>
      </w:r>
      <w:r w:rsidR="006E6BAC">
        <w:t>á kritéria</w:t>
      </w:r>
      <w:r w:rsidRPr="0052359E">
        <w:t xml:space="preserve"> </w:t>
      </w:r>
      <w:r w:rsidR="00CB5E69">
        <w:t xml:space="preserve">– stanovená jako závazná Ministerstvem financí – </w:t>
      </w:r>
      <w:r w:rsidRPr="0052359E">
        <w:t>jsou maximální podíly státního rozpočtu na</w:t>
      </w:r>
      <w:r w:rsidR="00C31F11">
        <w:t xml:space="preserve"> </w:t>
      </w:r>
      <w:r w:rsidRPr="0052359E">
        <w:t>celkových ná</w:t>
      </w:r>
      <w:r w:rsidR="006E6BAC">
        <w:t>klade</w:t>
      </w:r>
      <w:r w:rsidR="00BE1713">
        <w:t>ch podpořených akcí</w:t>
      </w:r>
      <w:r w:rsidRPr="0052359E">
        <w:t>. Takto nastavené parametry však neodpovídají cílům Programu 133510.</w:t>
      </w:r>
    </w:p>
    <w:p w14:paraId="0C709908" w14:textId="77777777" w:rsidR="00FE5C8F" w:rsidRDefault="00FE5C8F" w:rsidP="008E7D88">
      <w:pPr>
        <w:widowControl/>
      </w:pPr>
    </w:p>
    <w:p w14:paraId="56AB6E7E" w14:textId="6A8D101F" w:rsidR="00FE5C8F" w:rsidRDefault="00FE5C8F" w:rsidP="008E7D88">
      <w:pPr>
        <w:widowControl/>
        <w:rPr>
          <w:b/>
        </w:rPr>
      </w:pPr>
      <w:r w:rsidRPr="00C47239">
        <w:rPr>
          <w:b/>
        </w:rPr>
        <w:t xml:space="preserve">MŠMT </w:t>
      </w:r>
      <w:r w:rsidR="0066723A">
        <w:rPr>
          <w:b/>
        </w:rPr>
        <w:t>nesledovalo</w:t>
      </w:r>
      <w:r>
        <w:rPr>
          <w:b/>
        </w:rPr>
        <w:t xml:space="preserve"> </w:t>
      </w:r>
      <w:r w:rsidRPr="00C47239">
        <w:rPr>
          <w:b/>
        </w:rPr>
        <w:t xml:space="preserve">průběžně naplňování cílů a priorit Programu 133510 </w:t>
      </w:r>
      <w:r>
        <w:rPr>
          <w:b/>
        </w:rPr>
        <w:t xml:space="preserve">a vyhodnocení </w:t>
      </w:r>
      <w:r w:rsidR="00431B26">
        <w:rPr>
          <w:b/>
        </w:rPr>
        <w:t>dle</w:t>
      </w:r>
      <w:r w:rsidR="00F40EB1">
        <w:rPr>
          <w:b/>
        </w:rPr>
        <w:t xml:space="preserve"> svého</w:t>
      </w:r>
      <w:r w:rsidR="00852899">
        <w:rPr>
          <w:b/>
        </w:rPr>
        <w:t xml:space="preserve"> sdělení </w:t>
      </w:r>
      <w:r>
        <w:rPr>
          <w:b/>
        </w:rPr>
        <w:t>provede až po</w:t>
      </w:r>
      <w:r w:rsidR="00F40EB1">
        <w:rPr>
          <w:b/>
        </w:rPr>
        <w:t xml:space="preserve"> </w:t>
      </w:r>
      <w:r w:rsidRPr="00C47239">
        <w:rPr>
          <w:b/>
        </w:rPr>
        <w:t>ukon</w:t>
      </w:r>
      <w:r>
        <w:rPr>
          <w:b/>
        </w:rPr>
        <w:t xml:space="preserve">čení programu. </w:t>
      </w:r>
      <w:r w:rsidRPr="0052359E">
        <w:t>Tím se MŠMT dopustilo porušení</w:t>
      </w:r>
      <w:r w:rsidR="006E5C32">
        <w:t xml:space="preserve"> zákona o</w:t>
      </w:r>
      <w:r w:rsidR="002F41FF">
        <w:t> </w:t>
      </w:r>
      <w:r w:rsidR="006E5C32">
        <w:t>rozpočtových pravidlech</w:t>
      </w:r>
      <w:r w:rsidR="0066723A">
        <w:rPr>
          <w:rStyle w:val="Znakapoznpodarou"/>
        </w:rPr>
        <w:footnoteReference w:id="12"/>
      </w:r>
      <w:r w:rsidRPr="0052359E">
        <w:t>, kter</w:t>
      </w:r>
      <w:r w:rsidR="00952C53">
        <w:t>ý</w:t>
      </w:r>
      <w:r w:rsidRPr="0052359E">
        <w:t xml:space="preserve"> mu jako správci kapit</w:t>
      </w:r>
      <w:r>
        <w:t>oly ukládá soustavně sledovat a </w:t>
      </w:r>
      <w:r w:rsidRPr="0052359E">
        <w:t>vyhodnocovat hospodárnost, efektivnost a účelnost vynakládaných výdajů.</w:t>
      </w:r>
    </w:p>
    <w:p w14:paraId="09BAC685" w14:textId="77777777" w:rsidR="00FE5C8F" w:rsidRDefault="00FE5C8F" w:rsidP="008E7D88">
      <w:pPr>
        <w:widowControl/>
        <w:rPr>
          <w:b/>
        </w:rPr>
      </w:pPr>
    </w:p>
    <w:p w14:paraId="0EE3A79A" w14:textId="4C12EDDA" w:rsidR="00155EBD" w:rsidRDefault="00FE5C8F" w:rsidP="008E7D88">
      <w:pPr>
        <w:widowControl/>
      </w:pPr>
      <w:r>
        <w:rPr>
          <w:b/>
        </w:rPr>
        <w:t xml:space="preserve">MŠMT </w:t>
      </w:r>
      <w:r w:rsidRPr="00C47239">
        <w:rPr>
          <w:b/>
        </w:rPr>
        <w:t xml:space="preserve">nedisponuje kompletním přehledem sportovních zařízení </w:t>
      </w:r>
      <w:r w:rsidRPr="0052359E">
        <w:t xml:space="preserve">na území České republiky, což mu </w:t>
      </w:r>
      <w:r w:rsidR="00634DA8">
        <w:t xml:space="preserve">znemožňuje </w:t>
      </w:r>
      <w:r w:rsidRPr="0052359E">
        <w:t xml:space="preserve">činit účelné kroky při sledování cíle </w:t>
      </w:r>
      <w:r w:rsidRPr="00F408A8">
        <w:t>„</w:t>
      </w:r>
      <w:r w:rsidRPr="0087019B">
        <w:rPr>
          <w:i/>
        </w:rPr>
        <w:t>doplňovat nabídku stávajícího počtu sportovních zařízení s cílem vyrovnávání regionálních deficitů</w:t>
      </w:r>
      <w:r w:rsidRPr="00F408A8">
        <w:t>“</w:t>
      </w:r>
      <w:r w:rsidRPr="00F40EB1">
        <w:t>.</w:t>
      </w:r>
      <w:r w:rsidR="007016D7">
        <w:t xml:space="preserve"> Neexistence systematického </w:t>
      </w:r>
      <w:r w:rsidR="007016D7" w:rsidRPr="00AA483F">
        <w:t>celostátní</w:t>
      </w:r>
      <w:r w:rsidR="007016D7">
        <w:t xml:space="preserve">ho </w:t>
      </w:r>
      <w:r w:rsidR="007016D7" w:rsidRPr="00AA483F">
        <w:t>přehled</w:t>
      </w:r>
      <w:r w:rsidR="007016D7">
        <w:t>u</w:t>
      </w:r>
      <w:r w:rsidR="007016D7" w:rsidRPr="00AA483F">
        <w:t xml:space="preserve"> o počtu</w:t>
      </w:r>
      <w:r w:rsidR="007016D7">
        <w:t xml:space="preserve"> a kvalitě sportovních zařízení byla jako problém identifikována již v </w:t>
      </w:r>
      <w:r w:rsidR="00852899" w:rsidRPr="00852899">
        <w:t>Koncepci</w:t>
      </w:r>
      <w:r w:rsidR="007016D7">
        <w:t xml:space="preserve"> 2011, kdy</w:t>
      </w:r>
      <w:r w:rsidR="00505525">
        <w:t xml:space="preserve"> </w:t>
      </w:r>
      <w:r w:rsidR="007016D7">
        <w:t xml:space="preserve">byla konstatována nekoordinovanost </w:t>
      </w:r>
      <w:r w:rsidR="00487CF6">
        <w:t>výstavby sportovních zařízení a </w:t>
      </w:r>
      <w:r w:rsidR="007016D7">
        <w:t>realizace investic bez</w:t>
      </w:r>
      <w:r w:rsidR="00505525">
        <w:t xml:space="preserve"> </w:t>
      </w:r>
      <w:r w:rsidR="007016D7">
        <w:t>prově</w:t>
      </w:r>
      <w:r w:rsidR="007016D7" w:rsidRPr="00AA483F">
        <w:t>ření skutečných potřeb.</w:t>
      </w:r>
      <w:r w:rsidR="00155EBD">
        <w:t xml:space="preserve"> Novela zákona </w:t>
      </w:r>
      <w:r w:rsidR="006E5C32">
        <w:t>o podpoře sportu</w:t>
      </w:r>
      <w:r w:rsidR="00155EBD">
        <w:t xml:space="preserve"> účinná od 1. 1. 2017 mj. již</w:t>
      </w:r>
      <w:r w:rsidR="0051155E">
        <w:t xml:space="preserve"> stanov</w:t>
      </w:r>
      <w:r w:rsidR="00155EBD">
        <w:t>uje povinnost MŠMT zřídit rejstřík sportovních organizací, sportovců a sportovních zařízení, a to nejpozději do poloviny</w:t>
      </w:r>
      <w:r w:rsidR="0051155E">
        <w:t xml:space="preserve"> roku 2018.</w:t>
      </w:r>
    </w:p>
    <w:p w14:paraId="126B51A4" w14:textId="77777777" w:rsidR="00322CD9" w:rsidRDefault="00322CD9" w:rsidP="008E7D88">
      <w:pPr>
        <w:widowControl/>
      </w:pPr>
    </w:p>
    <w:p w14:paraId="3A27C43D" w14:textId="42C31599" w:rsidR="00322CD9" w:rsidRDefault="00322CD9" w:rsidP="008E7D88">
      <w:pPr>
        <w:widowControl/>
      </w:pPr>
      <w:r>
        <w:t xml:space="preserve">Následující obrázek </w:t>
      </w:r>
      <w:r w:rsidR="00852899">
        <w:t xml:space="preserve">znázorňuje rozdělení </w:t>
      </w:r>
      <w:r>
        <w:t>celkov</w:t>
      </w:r>
      <w:r w:rsidR="00852899">
        <w:t>é</w:t>
      </w:r>
      <w:r w:rsidR="00F24ABF">
        <w:t xml:space="preserve"> částk</w:t>
      </w:r>
      <w:r w:rsidR="00852899">
        <w:t>y</w:t>
      </w:r>
      <w:r w:rsidR="00F24ABF">
        <w:t xml:space="preserve"> podpory </w:t>
      </w:r>
      <w:r>
        <w:t>z Programu 133510 poskytnut</w:t>
      </w:r>
      <w:r w:rsidR="00852899">
        <w:t>é</w:t>
      </w:r>
      <w:r w:rsidR="00C31F11">
        <w:t xml:space="preserve"> v </w:t>
      </w:r>
      <w:r>
        <w:t>letech 2013</w:t>
      </w:r>
      <w:r w:rsidR="00487CF6">
        <w:t>–</w:t>
      </w:r>
      <w:r>
        <w:t>2015</w:t>
      </w:r>
      <w:r w:rsidR="00F24ABF">
        <w:t xml:space="preserve"> podle kraje, do kterého byla smě</w:t>
      </w:r>
      <w:r w:rsidR="00F40EB1">
        <w:t>r</w:t>
      </w:r>
      <w:r w:rsidR="00F24ABF">
        <w:t>ována</w:t>
      </w:r>
      <w:r w:rsidR="00E60948">
        <w:t>.</w:t>
      </w:r>
      <w:r w:rsidR="00F24ABF">
        <w:t xml:space="preserve"> </w:t>
      </w:r>
      <w:r w:rsidR="00E60948">
        <w:t>Graf č. 1 uvádí přep</w:t>
      </w:r>
      <w:r w:rsidR="00F24ABF">
        <w:t>očet této částky na jednoho obyvatele kraje.</w:t>
      </w:r>
    </w:p>
    <w:p w14:paraId="22A032D3" w14:textId="77777777" w:rsidR="00322CD9" w:rsidRDefault="00322CD9" w:rsidP="008E7D88">
      <w:pPr>
        <w:widowControl/>
      </w:pPr>
    </w:p>
    <w:p w14:paraId="76CA9A3F" w14:textId="58262221" w:rsidR="00322CD9" w:rsidRDefault="00CA5644" w:rsidP="008E7D88">
      <w:pPr>
        <w:widowControl/>
        <w:rPr>
          <w:noProof/>
        </w:rPr>
      </w:pPr>
      <w:r w:rsidRPr="00CA5644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A5644">
        <w:rPr>
          <w:noProof/>
        </w:rPr>
        <w:drawing>
          <wp:inline distT="0" distB="0" distL="0" distR="0" wp14:anchorId="6FBF8038" wp14:editId="66CB9A66">
            <wp:extent cx="5762625" cy="4056760"/>
            <wp:effectExtent l="0" t="0" r="0" b="1270"/>
            <wp:docPr id="8" name="Obrázek 8" descr="F:\Users\SYKORAP\AppData\Local\Microsoft\Windows\Temporary Internet Files\Content.Outlook\RVO4LCHY\Celek_a_korektu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Users\SYKORAP\AppData\Local\Microsoft\Windows\Temporary Internet Files\Content.Outlook\RVO4LCHY\Celek_a_korektur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4980" w14:textId="295D18EE" w:rsidR="000A791D" w:rsidRDefault="003B30B9" w:rsidP="00407FB4">
      <w:pPr>
        <w:pStyle w:val="Poznmka"/>
      </w:pPr>
      <w:r w:rsidRPr="003B30B9">
        <w:rPr>
          <w:b/>
        </w:rPr>
        <w:t>Zdroj:</w:t>
      </w:r>
      <w:r>
        <w:t xml:space="preserve"> </w:t>
      </w:r>
      <w:r w:rsidR="00013C84">
        <w:t>informace</w:t>
      </w:r>
      <w:r>
        <w:t xml:space="preserve"> MŠMT.</w:t>
      </w:r>
    </w:p>
    <w:p w14:paraId="24F5D8AC" w14:textId="610F990F" w:rsidR="00E54F91" w:rsidRPr="00492C17" w:rsidRDefault="00E54F91" w:rsidP="00407FB4">
      <w:pPr>
        <w:pStyle w:val="Poznmka"/>
        <w:rPr>
          <w:lang w:eastAsia="en-US"/>
        </w:rPr>
      </w:pPr>
    </w:p>
    <w:p w14:paraId="621F8EFC" w14:textId="512062E0" w:rsidR="00E76D02" w:rsidRDefault="00F316EC" w:rsidP="00F408A8">
      <w:pPr>
        <w:pStyle w:val="Graf"/>
        <w:widowControl/>
        <w:numPr>
          <w:ilvl w:val="0"/>
          <w:numId w:val="0"/>
        </w:numPr>
        <w:ind w:left="964" w:hanging="964"/>
      </w:pPr>
      <w:r>
        <w:lastRenderedPageBreak/>
        <w:t xml:space="preserve">Graf č. 1: </w:t>
      </w:r>
      <w:r w:rsidR="00C95E8A">
        <w:tab/>
      </w:r>
      <w:r w:rsidR="00E76D02">
        <w:t>Podpora z Programu 133510 celkem za roky 2013</w:t>
      </w:r>
      <w:r w:rsidR="003A04C5">
        <w:t>–</w:t>
      </w:r>
      <w:r w:rsidR="00E76D02">
        <w:t>2015 dle krajů v Kč na jednoho obyvatele</w:t>
      </w:r>
    </w:p>
    <w:p w14:paraId="1DAA14B3" w14:textId="795EE8B1" w:rsidR="00E76D02" w:rsidRDefault="00E76D02" w:rsidP="008E7D88">
      <w:pPr>
        <w:widowControl/>
      </w:pPr>
      <w:r>
        <w:rPr>
          <w:noProof/>
        </w:rPr>
        <w:drawing>
          <wp:inline distT="0" distB="0" distL="0" distR="0" wp14:anchorId="796BE143" wp14:editId="751AA038">
            <wp:extent cx="5486400" cy="3200400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5154C1A" w14:textId="5BF607D5" w:rsidR="003B30B9" w:rsidRDefault="003B30B9" w:rsidP="00407FB4">
      <w:pPr>
        <w:pStyle w:val="Poznmka"/>
      </w:pPr>
      <w:r w:rsidRPr="003B30B9">
        <w:rPr>
          <w:b/>
        </w:rPr>
        <w:t>Zdroj:</w:t>
      </w:r>
      <w:r>
        <w:rPr>
          <w:b/>
        </w:rPr>
        <w:tab/>
      </w:r>
      <w:r w:rsidR="00013C84" w:rsidRPr="00013C84">
        <w:t>informace</w:t>
      </w:r>
      <w:r>
        <w:t xml:space="preserve"> MŠMT. Pro přepočet na jednoho obyvatele byly použity údaje Českého statistického úřadu o</w:t>
      </w:r>
      <w:r w:rsidR="00013C84">
        <w:t> </w:t>
      </w:r>
      <w:r>
        <w:t>počtu obyvatel v jednotlivých krajích k 1. 1. 2015</w:t>
      </w:r>
      <w:r w:rsidR="00FD11CA">
        <w:t>.</w:t>
      </w:r>
    </w:p>
    <w:p w14:paraId="1C3CAA1B" w14:textId="77777777" w:rsidR="008E7D88" w:rsidRDefault="008E7D88" w:rsidP="00407FB4">
      <w:pPr>
        <w:pStyle w:val="Poznmka"/>
      </w:pPr>
    </w:p>
    <w:p w14:paraId="04A5A7D6" w14:textId="1D5C7FCE" w:rsidR="00FE5C8F" w:rsidRPr="0093066B" w:rsidRDefault="00B628B6" w:rsidP="00F408A8">
      <w:pPr>
        <w:pStyle w:val="Nadpis2"/>
        <w:widowControl/>
        <w:numPr>
          <w:ilvl w:val="0"/>
          <w:numId w:val="0"/>
        </w:numPr>
        <w:ind w:left="357" w:hanging="357"/>
      </w:pPr>
      <w:r>
        <w:t xml:space="preserve">2. </w:t>
      </w:r>
      <w:r w:rsidR="00FE5C8F">
        <w:t>Vyhlašo</w:t>
      </w:r>
      <w:r w:rsidR="0082276C">
        <w:t>vání programu</w:t>
      </w:r>
    </w:p>
    <w:p w14:paraId="622461C1" w14:textId="627E1279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  <w:r>
        <w:rPr>
          <w:rFonts w:cs="Calibri"/>
          <w:bCs/>
          <w:szCs w:val="24"/>
          <w:lang w:eastAsia="en-US"/>
        </w:rPr>
        <w:t xml:space="preserve">Metodický postup poskytování dotací upravovaly </w:t>
      </w:r>
      <w:r w:rsidR="000F36E1">
        <w:rPr>
          <w:rFonts w:cs="Calibri"/>
          <w:bCs/>
          <w:szCs w:val="24"/>
          <w:lang w:eastAsia="en-US"/>
        </w:rPr>
        <w:t>v jednotlivých letech</w:t>
      </w:r>
      <w:r>
        <w:rPr>
          <w:rFonts w:cs="Calibri"/>
          <w:bCs/>
          <w:szCs w:val="24"/>
          <w:lang w:eastAsia="en-US"/>
        </w:rPr>
        <w:t xml:space="preserve"> zásady Programu 133510 vydávané MŠMT (</w:t>
      </w:r>
      <w:r w:rsidR="00121197">
        <w:rPr>
          <w:rFonts w:cs="Calibri"/>
          <w:bCs/>
          <w:szCs w:val="24"/>
          <w:lang w:eastAsia="en-US"/>
        </w:rPr>
        <w:t xml:space="preserve">dále také </w:t>
      </w:r>
      <w:r>
        <w:rPr>
          <w:rFonts w:cs="Calibri"/>
          <w:bCs/>
          <w:szCs w:val="24"/>
          <w:lang w:eastAsia="en-US"/>
        </w:rPr>
        <w:t>„Zásady 2013</w:t>
      </w:r>
      <w:r w:rsidR="002316B3">
        <w:rPr>
          <w:rFonts w:cs="Calibri"/>
          <w:bCs/>
          <w:szCs w:val="24"/>
          <w:lang w:eastAsia="en-US"/>
        </w:rPr>
        <w:t>–</w:t>
      </w:r>
      <w:r>
        <w:rPr>
          <w:rFonts w:cs="Calibri"/>
          <w:bCs/>
          <w:szCs w:val="24"/>
          <w:lang w:eastAsia="en-US"/>
        </w:rPr>
        <w:t>2014“</w:t>
      </w:r>
      <w:r w:rsidR="00D45615">
        <w:rPr>
          <w:rFonts w:cs="Calibri"/>
          <w:bCs/>
          <w:szCs w:val="24"/>
          <w:lang w:eastAsia="en-US"/>
        </w:rPr>
        <w:t>, resp.</w:t>
      </w:r>
      <w:r>
        <w:rPr>
          <w:rFonts w:cs="Calibri"/>
          <w:bCs/>
          <w:szCs w:val="24"/>
          <w:lang w:eastAsia="en-US"/>
        </w:rPr>
        <w:t xml:space="preserve"> „Zásady 2015“</w:t>
      </w:r>
      <w:r w:rsidR="00121197">
        <w:rPr>
          <w:rFonts w:cs="Calibri"/>
          <w:bCs/>
          <w:szCs w:val="24"/>
          <w:lang w:eastAsia="en-US"/>
        </w:rPr>
        <w:t>)</w:t>
      </w:r>
      <w:r>
        <w:rPr>
          <w:rFonts w:cs="Calibri"/>
          <w:bCs/>
          <w:szCs w:val="24"/>
          <w:lang w:eastAsia="en-US"/>
        </w:rPr>
        <w:t xml:space="preserve">. Vyhlášení programu probíhalo na základě uveřejnění dokumentu </w:t>
      </w:r>
      <w:r w:rsidRPr="00F408A8">
        <w:rPr>
          <w:rFonts w:cs="Calibri"/>
          <w:bCs/>
          <w:i/>
          <w:szCs w:val="24"/>
          <w:lang w:eastAsia="en-US"/>
        </w:rPr>
        <w:t>Státní podpora sportu</w:t>
      </w:r>
      <w:r w:rsidR="00D45615">
        <w:rPr>
          <w:rFonts w:cs="Calibri"/>
          <w:bCs/>
          <w:szCs w:val="24"/>
          <w:lang w:eastAsia="en-US"/>
        </w:rPr>
        <w:t>, který je vydáván vždy</w:t>
      </w:r>
      <w:r>
        <w:rPr>
          <w:rFonts w:cs="Calibri"/>
          <w:bCs/>
          <w:szCs w:val="24"/>
          <w:lang w:eastAsia="en-US"/>
        </w:rPr>
        <w:t xml:space="preserve"> pro příslušný rok. V podané žádosti a následně i </w:t>
      </w:r>
      <w:r w:rsidR="00D45615">
        <w:rPr>
          <w:rFonts w:cs="Calibri"/>
          <w:bCs/>
          <w:szCs w:val="24"/>
          <w:lang w:eastAsia="en-US"/>
        </w:rPr>
        <w:t xml:space="preserve">v </w:t>
      </w:r>
      <w:r>
        <w:rPr>
          <w:rFonts w:cs="Calibri"/>
          <w:bCs/>
          <w:szCs w:val="24"/>
          <w:lang w:eastAsia="en-US"/>
        </w:rPr>
        <w:t xml:space="preserve">podmínkách, které byly součástí rozhodnutí </w:t>
      </w:r>
      <w:r w:rsidR="00E60948">
        <w:rPr>
          <w:rFonts w:cs="Calibri"/>
          <w:bCs/>
          <w:szCs w:val="24"/>
          <w:lang w:eastAsia="en-US"/>
        </w:rPr>
        <w:t xml:space="preserve">o </w:t>
      </w:r>
      <w:r>
        <w:rPr>
          <w:rFonts w:cs="Calibri"/>
          <w:bCs/>
          <w:szCs w:val="24"/>
          <w:lang w:eastAsia="en-US"/>
        </w:rPr>
        <w:t>poskytnutí dotace, se žadatelé, resp. příjemci zavazovali postupovat podle zásad Programu 133510.</w:t>
      </w:r>
    </w:p>
    <w:p w14:paraId="28C71EFA" w14:textId="77777777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</w:p>
    <w:p w14:paraId="79FC2BF1" w14:textId="656F2D7B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  <w:r w:rsidRPr="00273206">
        <w:rPr>
          <w:rFonts w:cs="Calibri"/>
          <w:b/>
          <w:bCs/>
          <w:szCs w:val="24"/>
          <w:lang w:eastAsia="en-US"/>
        </w:rPr>
        <w:t>V letech 2013 a 2014 dostali žadatelé rozdíl</w:t>
      </w:r>
      <w:r w:rsidR="00121197">
        <w:rPr>
          <w:rFonts w:cs="Calibri"/>
          <w:b/>
          <w:bCs/>
          <w:szCs w:val="24"/>
          <w:lang w:eastAsia="en-US"/>
        </w:rPr>
        <w:t>né informace</w:t>
      </w:r>
      <w:r w:rsidRPr="00273206">
        <w:rPr>
          <w:rFonts w:cs="Calibri"/>
          <w:b/>
          <w:bCs/>
          <w:szCs w:val="24"/>
          <w:lang w:eastAsia="en-US"/>
        </w:rPr>
        <w:t xml:space="preserve"> </w:t>
      </w:r>
      <w:r w:rsidR="000A791D">
        <w:rPr>
          <w:rFonts w:cs="Calibri"/>
          <w:b/>
          <w:bCs/>
          <w:szCs w:val="24"/>
          <w:lang w:eastAsia="en-US"/>
        </w:rPr>
        <w:t>týkající se</w:t>
      </w:r>
      <w:r w:rsidRPr="00273206">
        <w:rPr>
          <w:rFonts w:cs="Calibri"/>
          <w:b/>
          <w:bCs/>
          <w:szCs w:val="24"/>
          <w:lang w:eastAsia="en-US"/>
        </w:rPr>
        <w:t xml:space="preserve"> po</w:t>
      </w:r>
      <w:r w:rsidR="00121197">
        <w:rPr>
          <w:rFonts w:cs="Calibri"/>
          <w:b/>
          <w:bCs/>
          <w:szCs w:val="24"/>
          <w:lang w:eastAsia="en-US"/>
        </w:rPr>
        <w:t>žadavků na</w:t>
      </w:r>
      <w:r w:rsidR="00D45615">
        <w:rPr>
          <w:rFonts w:cs="Calibri"/>
          <w:b/>
          <w:bCs/>
          <w:szCs w:val="24"/>
          <w:lang w:eastAsia="en-US"/>
        </w:rPr>
        <w:t xml:space="preserve"> </w:t>
      </w:r>
      <w:r w:rsidR="00121197">
        <w:rPr>
          <w:rFonts w:cs="Calibri"/>
          <w:b/>
          <w:bCs/>
          <w:szCs w:val="24"/>
          <w:lang w:eastAsia="en-US"/>
        </w:rPr>
        <w:t>dokumenty</w:t>
      </w:r>
      <w:r w:rsidRPr="00273206">
        <w:rPr>
          <w:rFonts w:cs="Calibri"/>
          <w:b/>
          <w:bCs/>
          <w:szCs w:val="24"/>
          <w:lang w:eastAsia="en-US"/>
        </w:rPr>
        <w:t xml:space="preserve">, které měli </w:t>
      </w:r>
      <w:r w:rsidR="00D45615">
        <w:rPr>
          <w:rFonts w:cs="Calibri"/>
          <w:b/>
          <w:bCs/>
          <w:szCs w:val="24"/>
          <w:lang w:eastAsia="en-US"/>
        </w:rPr>
        <w:t>přiložit</w:t>
      </w:r>
      <w:r w:rsidRPr="00273206">
        <w:rPr>
          <w:rFonts w:cs="Calibri"/>
          <w:b/>
          <w:bCs/>
          <w:szCs w:val="24"/>
          <w:lang w:eastAsia="en-US"/>
        </w:rPr>
        <w:t xml:space="preserve"> </w:t>
      </w:r>
      <w:r w:rsidR="00D45615">
        <w:rPr>
          <w:rFonts w:cs="Calibri"/>
          <w:b/>
          <w:bCs/>
          <w:szCs w:val="24"/>
          <w:lang w:eastAsia="en-US"/>
        </w:rPr>
        <w:t>k</w:t>
      </w:r>
      <w:r w:rsidRPr="00273206">
        <w:rPr>
          <w:rFonts w:cs="Calibri"/>
          <w:b/>
          <w:bCs/>
          <w:szCs w:val="24"/>
          <w:lang w:eastAsia="en-US"/>
        </w:rPr>
        <w:t> žádosti</w:t>
      </w:r>
      <w:r w:rsidR="00121197" w:rsidRPr="00F408A8">
        <w:rPr>
          <w:rFonts w:cs="Calibri"/>
          <w:b/>
          <w:bCs/>
          <w:szCs w:val="24"/>
          <w:lang w:eastAsia="en-US"/>
        </w:rPr>
        <w:t>.</w:t>
      </w:r>
      <w:r w:rsidR="00121197">
        <w:rPr>
          <w:rFonts w:cs="Calibri"/>
          <w:bCs/>
          <w:szCs w:val="24"/>
          <w:lang w:eastAsia="en-US"/>
        </w:rPr>
        <w:t xml:space="preserve"> Zásady 2013</w:t>
      </w:r>
      <w:r w:rsidR="0049314F">
        <w:rPr>
          <w:rFonts w:cs="Calibri"/>
          <w:bCs/>
          <w:szCs w:val="24"/>
          <w:lang w:eastAsia="en-US"/>
        </w:rPr>
        <w:t>–</w:t>
      </w:r>
      <w:r w:rsidR="00121197">
        <w:rPr>
          <w:rFonts w:cs="Calibri"/>
          <w:bCs/>
          <w:szCs w:val="24"/>
          <w:lang w:eastAsia="en-US"/>
        </w:rPr>
        <w:t>2014 např. uváděly</w:t>
      </w:r>
      <w:r w:rsidR="000A791D">
        <w:rPr>
          <w:rFonts w:cs="Calibri"/>
          <w:bCs/>
          <w:szCs w:val="24"/>
          <w:lang w:eastAsia="en-US"/>
        </w:rPr>
        <w:t xml:space="preserve"> požadavek na</w:t>
      </w:r>
      <w:r w:rsidR="00D45615">
        <w:rPr>
          <w:rFonts w:cs="Calibri"/>
          <w:bCs/>
          <w:szCs w:val="24"/>
          <w:lang w:eastAsia="en-US"/>
        </w:rPr>
        <w:t xml:space="preserve"> </w:t>
      </w:r>
      <w:r>
        <w:rPr>
          <w:rFonts w:cs="Calibri"/>
          <w:bCs/>
          <w:szCs w:val="24"/>
          <w:lang w:eastAsia="en-US"/>
        </w:rPr>
        <w:t>prostou kopii smlouvy o zřízení běžného účtu, dokument</w:t>
      </w:r>
      <w:r w:rsidR="00D45615">
        <w:rPr>
          <w:rFonts w:cs="Calibri"/>
          <w:bCs/>
          <w:szCs w:val="24"/>
          <w:lang w:eastAsia="en-US"/>
        </w:rPr>
        <w:t>y</w:t>
      </w:r>
      <w:r>
        <w:rPr>
          <w:rFonts w:cs="Calibri"/>
          <w:bCs/>
          <w:szCs w:val="24"/>
          <w:lang w:eastAsia="en-US"/>
        </w:rPr>
        <w:t xml:space="preserve"> </w:t>
      </w:r>
      <w:r w:rsidRPr="00F408A8">
        <w:rPr>
          <w:rFonts w:cs="Calibri"/>
          <w:bCs/>
          <w:i/>
          <w:szCs w:val="24"/>
          <w:lang w:eastAsia="en-US"/>
        </w:rPr>
        <w:t>Státní podpora spo</w:t>
      </w:r>
      <w:r w:rsidR="000F36E1" w:rsidRPr="00F408A8">
        <w:rPr>
          <w:rFonts w:cs="Calibri"/>
          <w:bCs/>
          <w:i/>
          <w:szCs w:val="24"/>
          <w:lang w:eastAsia="en-US"/>
        </w:rPr>
        <w:t>r</w:t>
      </w:r>
      <w:r w:rsidRPr="00F408A8">
        <w:rPr>
          <w:rFonts w:cs="Calibri"/>
          <w:bCs/>
          <w:i/>
          <w:szCs w:val="24"/>
          <w:lang w:eastAsia="en-US"/>
        </w:rPr>
        <w:t xml:space="preserve">tu </w:t>
      </w:r>
      <w:r w:rsidR="00D45615" w:rsidRPr="00F408A8">
        <w:rPr>
          <w:rFonts w:cs="Calibri"/>
          <w:bCs/>
          <w:i/>
          <w:szCs w:val="24"/>
          <w:lang w:eastAsia="en-US"/>
        </w:rPr>
        <w:t xml:space="preserve">pro </w:t>
      </w:r>
      <w:r w:rsidRPr="00F408A8">
        <w:rPr>
          <w:rFonts w:cs="Calibri"/>
          <w:bCs/>
          <w:i/>
          <w:szCs w:val="24"/>
          <w:lang w:eastAsia="en-US"/>
        </w:rPr>
        <w:t>ro</w:t>
      </w:r>
      <w:r w:rsidR="00D45615" w:rsidRPr="00F408A8">
        <w:rPr>
          <w:rFonts w:cs="Calibri"/>
          <w:bCs/>
          <w:i/>
          <w:szCs w:val="24"/>
          <w:lang w:eastAsia="en-US"/>
        </w:rPr>
        <w:t>k</w:t>
      </w:r>
      <w:r w:rsidRPr="00F408A8">
        <w:rPr>
          <w:rFonts w:cs="Calibri"/>
          <w:bCs/>
          <w:i/>
          <w:szCs w:val="24"/>
          <w:lang w:eastAsia="en-US"/>
        </w:rPr>
        <w:t xml:space="preserve"> 2013</w:t>
      </w:r>
      <w:r>
        <w:rPr>
          <w:rFonts w:cs="Calibri"/>
          <w:bCs/>
          <w:szCs w:val="24"/>
          <w:lang w:eastAsia="en-US"/>
        </w:rPr>
        <w:t xml:space="preserve"> a </w:t>
      </w:r>
      <w:r w:rsidR="00D45615" w:rsidRPr="00F408A8">
        <w:rPr>
          <w:rFonts w:cs="Calibri"/>
          <w:bCs/>
          <w:i/>
          <w:szCs w:val="24"/>
          <w:lang w:eastAsia="en-US"/>
        </w:rPr>
        <w:t xml:space="preserve">Státní podpora sportu pro rok </w:t>
      </w:r>
      <w:r w:rsidRPr="00F408A8">
        <w:rPr>
          <w:rFonts w:cs="Calibri"/>
          <w:bCs/>
          <w:i/>
          <w:szCs w:val="24"/>
          <w:lang w:eastAsia="en-US"/>
        </w:rPr>
        <w:t>2014</w:t>
      </w:r>
      <w:r>
        <w:rPr>
          <w:rFonts w:cs="Calibri"/>
          <w:bCs/>
          <w:szCs w:val="24"/>
          <w:lang w:eastAsia="en-US"/>
        </w:rPr>
        <w:t xml:space="preserve"> pak </w:t>
      </w:r>
      <w:r w:rsidR="00D45615">
        <w:rPr>
          <w:rFonts w:cs="Calibri"/>
          <w:bCs/>
          <w:szCs w:val="24"/>
          <w:lang w:eastAsia="en-US"/>
        </w:rPr>
        <w:t xml:space="preserve">požadovaly </w:t>
      </w:r>
      <w:r>
        <w:rPr>
          <w:rFonts w:cs="Calibri"/>
          <w:bCs/>
          <w:szCs w:val="24"/>
          <w:lang w:eastAsia="en-US"/>
        </w:rPr>
        <w:t>kopii ověřenou. Zásady 2013</w:t>
      </w:r>
      <w:r w:rsidR="001C096D">
        <w:rPr>
          <w:rFonts w:cs="Calibri"/>
          <w:bCs/>
          <w:szCs w:val="24"/>
          <w:lang w:eastAsia="en-US"/>
        </w:rPr>
        <w:t>–</w:t>
      </w:r>
      <w:r>
        <w:rPr>
          <w:rFonts w:cs="Calibri"/>
          <w:bCs/>
          <w:szCs w:val="24"/>
          <w:lang w:eastAsia="en-US"/>
        </w:rPr>
        <w:t>2014 obsahovaly ně</w:t>
      </w:r>
      <w:r w:rsidR="000A791D">
        <w:rPr>
          <w:rFonts w:cs="Calibri"/>
          <w:bCs/>
          <w:szCs w:val="24"/>
          <w:lang w:eastAsia="en-US"/>
        </w:rPr>
        <w:t>které další požadavky, které</w:t>
      </w:r>
      <w:r w:rsidR="00D45615">
        <w:rPr>
          <w:rFonts w:cs="Calibri"/>
          <w:bCs/>
          <w:szCs w:val="24"/>
          <w:lang w:eastAsia="en-US"/>
        </w:rPr>
        <w:t xml:space="preserve"> </w:t>
      </w:r>
      <w:r w:rsidR="000A791D">
        <w:rPr>
          <w:rFonts w:cs="Calibri"/>
          <w:bCs/>
          <w:szCs w:val="24"/>
          <w:lang w:eastAsia="en-US"/>
        </w:rPr>
        <w:t>ve</w:t>
      </w:r>
      <w:r w:rsidR="00D45615">
        <w:rPr>
          <w:rFonts w:cs="Calibri"/>
          <w:bCs/>
          <w:szCs w:val="24"/>
          <w:lang w:eastAsia="en-US"/>
        </w:rPr>
        <w:t xml:space="preserve"> </w:t>
      </w:r>
      <w:r w:rsidRPr="00F408A8">
        <w:rPr>
          <w:rFonts w:cs="Calibri"/>
          <w:bCs/>
          <w:i/>
          <w:szCs w:val="24"/>
          <w:lang w:eastAsia="en-US"/>
        </w:rPr>
        <w:t>Státní podpoře spor</w:t>
      </w:r>
      <w:r w:rsidR="00E60948" w:rsidRPr="00F408A8">
        <w:rPr>
          <w:rFonts w:cs="Calibri"/>
          <w:bCs/>
          <w:i/>
          <w:szCs w:val="24"/>
          <w:lang w:eastAsia="en-US"/>
        </w:rPr>
        <w:t>t</w:t>
      </w:r>
      <w:r w:rsidRPr="00F408A8">
        <w:rPr>
          <w:rFonts w:cs="Calibri"/>
          <w:bCs/>
          <w:i/>
          <w:szCs w:val="24"/>
          <w:lang w:eastAsia="en-US"/>
        </w:rPr>
        <w:t>u pro rok 2013</w:t>
      </w:r>
      <w:r>
        <w:rPr>
          <w:rFonts w:cs="Calibri"/>
          <w:bCs/>
          <w:szCs w:val="24"/>
          <w:lang w:eastAsia="en-US"/>
        </w:rPr>
        <w:t xml:space="preserve"> a</w:t>
      </w:r>
      <w:r w:rsidR="00863D95">
        <w:rPr>
          <w:rFonts w:cs="Calibri"/>
          <w:bCs/>
          <w:szCs w:val="24"/>
          <w:lang w:eastAsia="en-US"/>
        </w:rPr>
        <w:t xml:space="preserve">ni ve </w:t>
      </w:r>
      <w:r w:rsidR="00863D95" w:rsidRPr="007E14D8">
        <w:rPr>
          <w:rFonts w:cs="Calibri"/>
          <w:bCs/>
          <w:i/>
          <w:szCs w:val="24"/>
          <w:lang w:eastAsia="en-US"/>
        </w:rPr>
        <w:t>Státní podpoře sportu</w:t>
      </w:r>
      <w:r w:rsidR="00863D95">
        <w:rPr>
          <w:rFonts w:cs="Calibri"/>
          <w:bCs/>
          <w:szCs w:val="24"/>
          <w:lang w:eastAsia="en-US"/>
        </w:rPr>
        <w:t xml:space="preserve"> </w:t>
      </w:r>
      <w:r w:rsidR="00863D95" w:rsidRPr="00F408A8">
        <w:rPr>
          <w:rFonts w:cs="Calibri"/>
          <w:bCs/>
          <w:i/>
          <w:szCs w:val="24"/>
          <w:lang w:eastAsia="en-US"/>
        </w:rPr>
        <w:t>pro rok</w:t>
      </w:r>
      <w:r w:rsidRPr="00F408A8">
        <w:rPr>
          <w:rFonts w:cs="Calibri"/>
          <w:bCs/>
          <w:i/>
          <w:szCs w:val="24"/>
          <w:lang w:eastAsia="en-US"/>
        </w:rPr>
        <w:t xml:space="preserve"> 2014</w:t>
      </w:r>
      <w:r>
        <w:rPr>
          <w:rFonts w:cs="Calibri"/>
          <w:bCs/>
          <w:szCs w:val="24"/>
          <w:lang w:eastAsia="en-US"/>
        </w:rPr>
        <w:t xml:space="preserve"> uvedeny nebyly. V Zásadách 2013</w:t>
      </w:r>
      <w:r w:rsidR="001C096D">
        <w:rPr>
          <w:rFonts w:cs="Calibri"/>
          <w:bCs/>
          <w:szCs w:val="24"/>
          <w:lang w:eastAsia="en-US"/>
        </w:rPr>
        <w:t>–</w:t>
      </w:r>
      <w:r>
        <w:rPr>
          <w:rFonts w:cs="Calibri"/>
          <w:bCs/>
          <w:szCs w:val="24"/>
          <w:lang w:eastAsia="en-US"/>
        </w:rPr>
        <w:t xml:space="preserve">2014 byla navíc chybně nastavena tabulka </w:t>
      </w:r>
      <w:r w:rsidR="00121197">
        <w:rPr>
          <w:rFonts w:cs="Calibri"/>
          <w:bCs/>
          <w:szCs w:val="24"/>
          <w:lang w:eastAsia="en-US"/>
        </w:rPr>
        <w:t>určující</w:t>
      </w:r>
      <w:r>
        <w:rPr>
          <w:rFonts w:cs="Calibri"/>
          <w:bCs/>
          <w:szCs w:val="24"/>
          <w:lang w:eastAsia="en-US"/>
        </w:rPr>
        <w:t xml:space="preserve"> maximální výši spolufinancování ze státního rozpočtu.</w:t>
      </w:r>
    </w:p>
    <w:p w14:paraId="5A2EB58F" w14:textId="77777777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</w:p>
    <w:p w14:paraId="4CF81646" w14:textId="7530B274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  <w:r w:rsidRPr="00273206">
        <w:rPr>
          <w:rFonts w:cs="Calibri"/>
          <w:b/>
          <w:bCs/>
          <w:szCs w:val="24"/>
          <w:lang w:eastAsia="en-US"/>
        </w:rPr>
        <w:t>Pro rok 2015 byly v Zásadách 2015 a</w:t>
      </w:r>
      <w:r w:rsidR="00121197">
        <w:rPr>
          <w:rFonts w:cs="Calibri"/>
          <w:b/>
          <w:bCs/>
          <w:szCs w:val="24"/>
          <w:lang w:eastAsia="en-US"/>
        </w:rPr>
        <w:t xml:space="preserve"> </w:t>
      </w:r>
      <w:r w:rsidR="00D45615">
        <w:rPr>
          <w:rFonts w:cs="Calibri"/>
          <w:b/>
          <w:bCs/>
          <w:szCs w:val="24"/>
          <w:lang w:eastAsia="en-US"/>
        </w:rPr>
        <w:t xml:space="preserve">v </w:t>
      </w:r>
      <w:r w:rsidR="00121197">
        <w:rPr>
          <w:rFonts w:cs="Calibri"/>
          <w:b/>
          <w:bCs/>
          <w:szCs w:val="24"/>
          <w:lang w:eastAsia="en-US"/>
        </w:rPr>
        <w:t>dokumentu</w:t>
      </w:r>
      <w:r w:rsidRPr="00273206">
        <w:rPr>
          <w:rFonts w:cs="Calibri"/>
          <w:b/>
          <w:bCs/>
          <w:szCs w:val="24"/>
          <w:lang w:eastAsia="en-US"/>
        </w:rPr>
        <w:t xml:space="preserve"> </w:t>
      </w:r>
      <w:r w:rsidRPr="00F408A8">
        <w:rPr>
          <w:rFonts w:cs="Calibri"/>
          <w:b/>
          <w:bCs/>
          <w:i/>
          <w:szCs w:val="24"/>
          <w:lang w:eastAsia="en-US"/>
        </w:rPr>
        <w:t>Státní podpora sportu pro rok 2015</w:t>
      </w:r>
      <w:r w:rsidRPr="00273206">
        <w:rPr>
          <w:rFonts w:cs="Calibri"/>
          <w:b/>
          <w:bCs/>
          <w:szCs w:val="24"/>
          <w:lang w:eastAsia="en-US"/>
        </w:rPr>
        <w:t xml:space="preserve"> uvedeny dvě různé sady kritérií, podle kterých měly být žádosti hodnoceny</w:t>
      </w:r>
      <w:r w:rsidRPr="00F408A8">
        <w:rPr>
          <w:rFonts w:cs="Calibri"/>
          <w:b/>
          <w:bCs/>
          <w:szCs w:val="24"/>
          <w:lang w:eastAsia="en-US"/>
        </w:rPr>
        <w:t>.</w:t>
      </w:r>
      <w:r>
        <w:rPr>
          <w:rFonts w:cs="Calibri"/>
          <w:bCs/>
          <w:szCs w:val="24"/>
          <w:lang w:eastAsia="en-US"/>
        </w:rPr>
        <w:t xml:space="preserve"> MŠMT </w:t>
      </w:r>
      <w:r w:rsidR="00E60948">
        <w:rPr>
          <w:rFonts w:cs="Calibri"/>
          <w:bCs/>
          <w:szCs w:val="24"/>
          <w:lang w:eastAsia="en-US"/>
        </w:rPr>
        <w:t xml:space="preserve">však </w:t>
      </w:r>
      <w:r>
        <w:rPr>
          <w:rFonts w:cs="Calibri"/>
          <w:bCs/>
          <w:szCs w:val="24"/>
          <w:lang w:eastAsia="en-US"/>
        </w:rPr>
        <w:t>nestanovilo, podle kterých bude postupovat.</w:t>
      </w:r>
    </w:p>
    <w:p w14:paraId="647B67C6" w14:textId="77777777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</w:p>
    <w:p w14:paraId="6D4909CB" w14:textId="71E40538" w:rsidR="00FE5C8F" w:rsidRDefault="00121197" w:rsidP="008E7D88">
      <w:pPr>
        <w:widowControl/>
        <w:rPr>
          <w:rFonts w:cs="Calibri"/>
          <w:bCs/>
          <w:szCs w:val="24"/>
          <w:lang w:eastAsia="en-US"/>
        </w:rPr>
      </w:pPr>
      <w:r>
        <w:rPr>
          <w:rFonts w:cs="Calibri"/>
          <w:b/>
          <w:bCs/>
          <w:szCs w:val="24"/>
          <w:lang w:eastAsia="en-US"/>
        </w:rPr>
        <w:t>Rozdíly</w:t>
      </w:r>
      <w:r w:rsidR="00FE5C8F" w:rsidRPr="00273206">
        <w:rPr>
          <w:rFonts w:cs="Calibri"/>
          <w:b/>
          <w:bCs/>
          <w:szCs w:val="24"/>
          <w:lang w:eastAsia="en-US"/>
        </w:rPr>
        <w:t xml:space="preserve"> nebyly pouze mezi příslušnými zásadami a </w:t>
      </w:r>
      <w:r w:rsidR="00FE5C8F" w:rsidRPr="00F408A8">
        <w:rPr>
          <w:rFonts w:cs="Calibri"/>
          <w:b/>
          <w:bCs/>
          <w:i/>
          <w:szCs w:val="24"/>
          <w:lang w:eastAsia="en-US"/>
        </w:rPr>
        <w:t>Státní podporou sportu</w:t>
      </w:r>
      <w:r w:rsidR="00FE5C8F" w:rsidRPr="00273206">
        <w:rPr>
          <w:rFonts w:cs="Calibri"/>
          <w:b/>
          <w:bCs/>
          <w:szCs w:val="24"/>
          <w:lang w:eastAsia="en-US"/>
        </w:rPr>
        <w:t>, ale nesoulad bylo možné najít i v rámci jednoho dokumentu</w:t>
      </w:r>
      <w:r w:rsidR="00FE5C8F">
        <w:rPr>
          <w:rFonts w:cs="Calibri"/>
          <w:bCs/>
          <w:szCs w:val="24"/>
          <w:lang w:eastAsia="en-US"/>
        </w:rPr>
        <w:t xml:space="preserve">. V textu </w:t>
      </w:r>
      <w:r w:rsidR="00FE5C8F" w:rsidRPr="00F408A8">
        <w:rPr>
          <w:rFonts w:cs="Calibri"/>
          <w:bCs/>
          <w:i/>
          <w:szCs w:val="24"/>
          <w:lang w:eastAsia="en-US"/>
        </w:rPr>
        <w:t>Státní podpor</w:t>
      </w:r>
      <w:r w:rsidRPr="00F408A8">
        <w:rPr>
          <w:rFonts w:cs="Calibri"/>
          <w:bCs/>
          <w:i/>
          <w:szCs w:val="24"/>
          <w:lang w:eastAsia="en-US"/>
        </w:rPr>
        <w:t>y</w:t>
      </w:r>
      <w:r w:rsidR="00FE5C8F" w:rsidRPr="00F408A8">
        <w:rPr>
          <w:rFonts w:cs="Calibri"/>
          <w:bCs/>
          <w:i/>
          <w:szCs w:val="24"/>
          <w:lang w:eastAsia="en-US"/>
        </w:rPr>
        <w:t xml:space="preserve"> sportu pro rok 2015</w:t>
      </w:r>
      <w:r w:rsidR="00FE5C8F">
        <w:rPr>
          <w:rFonts w:cs="Calibri"/>
          <w:bCs/>
          <w:szCs w:val="24"/>
          <w:lang w:eastAsia="en-US"/>
        </w:rPr>
        <w:t xml:space="preserve"> bylo např. uvedeno, že minimální spoluúčast žadatele na celkových nákladech musí být 30 %,</w:t>
      </w:r>
      <w:r w:rsidR="000F36E1">
        <w:rPr>
          <w:rFonts w:cs="Calibri"/>
          <w:bCs/>
          <w:szCs w:val="24"/>
          <w:lang w:eastAsia="en-US"/>
        </w:rPr>
        <w:t xml:space="preserve"> resp.</w:t>
      </w:r>
      <w:r w:rsidR="00FB61B2">
        <w:rPr>
          <w:rFonts w:cs="Calibri"/>
          <w:bCs/>
          <w:szCs w:val="24"/>
          <w:lang w:eastAsia="en-US"/>
        </w:rPr>
        <w:t> </w:t>
      </w:r>
      <w:r w:rsidR="000F36E1">
        <w:rPr>
          <w:rFonts w:cs="Calibri"/>
          <w:bCs/>
          <w:szCs w:val="24"/>
          <w:lang w:eastAsia="en-US"/>
        </w:rPr>
        <w:t>maximální podíl státního rozpočtu 70 %,</w:t>
      </w:r>
      <w:r w:rsidR="00FE5C8F">
        <w:rPr>
          <w:rFonts w:cs="Calibri"/>
          <w:bCs/>
          <w:szCs w:val="24"/>
          <w:lang w:eastAsia="en-US"/>
        </w:rPr>
        <w:t xml:space="preserve"> přičemž výjimky k jejímu snížení se neudělují. Stejný dokument pak v tabulkách vymezujících finanční spoluúčast státního rozpočtu určoval </w:t>
      </w:r>
      <w:r w:rsidR="00FE5C8F">
        <w:rPr>
          <w:rFonts w:cs="Calibri"/>
          <w:bCs/>
          <w:szCs w:val="24"/>
          <w:lang w:eastAsia="en-US"/>
        </w:rPr>
        <w:lastRenderedPageBreak/>
        <w:t>tento podí</w:t>
      </w:r>
      <w:r>
        <w:rPr>
          <w:rFonts w:cs="Calibri"/>
          <w:bCs/>
          <w:szCs w:val="24"/>
          <w:lang w:eastAsia="en-US"/>
        </w:rPr>
        <w:t xml:space="preserve">l pro podprogram 133512 </w:t>
      </w:r>
      <w:r w:rsidR="00863D95">
        <w:rPr>
          <w:rFonts w:cs="Calibri"/>
          <w:bCs/>
          <w:szCs w:val="24"/>
          <w:lang w:eastAsia="en-US"/>
        </w:rPr>
        <w:t xml:space="preserve">ve výši </w:t>
      </w:r>
      <w:r>
        <w:rPr>
          <w:rFonts w:cs="Calibri"/>
          <w:bCs/>
          <w:szCs w:val="24"/>
          <w:lang w:eastAsia="en-US"/>
        </w:rPr>
        <w:t>max. 85 </w:t>
      </w:r>
      <w:r w:rsidR="00FE5C8F">
        <w:rPr>
          <w:rFonts w:cs="Calibri"/>
          <w:bCs/>
          <w:szCs w:val="24"/>
          <w:lang w:eastAsia="en-US"/>
        </w:rPr>
        <w:t>% a pro podp</w:t>
      </w:r>
      <w:r w:rsidR="00C3301A">
        <w:rPr>
          <w:rFonts w:cs="Calibri"/>
          <w:bCs/>
          <w:szCs w:val="24"/>
          <w:lang w:eastAsia="en-US"/>
        </w:rPr>
        <w:t xml:space="preserve">rogram 133513 pak </w:t>
      </w:r>
      <w:r w:rsidR="00863D95">
        <w:rPr>
          <w:rFonts w:cs="Calibri"/>
          <w:bCs/>
          <w:szCs w:val="24"/>
          <w:lang w:eastAsia="en-US"/>
        </w:rPr>
        <w:t xml:space="preserve">ve výši </w:t>
      </w:r>
      <w:r w:rsidR="00C3301A">
        <w:rPr>
          <w:rFonts w:cs="Calibri"/>
          <w:bCs/>
          <w:szCs w:val="24"/>
          <w:lang w:eastAsia="en-US"/>
        </w:rPr>
        <w:t>až 100</w:t>
      </w:r>
      <w:r w:rsidR="00863D95">
        <w:rPr>
          <w:rFonts w:cs="Calibri"/>
          <w:bCs/>
          <w:szCs w:val="24"/>
          <w:lang w:eastAsia="en-US"/>
        </w:rPr>
        <w:t> </w:t>
      </w:r>
      <w:r w:rsidR="00C3301A">
        <w:rPr>
          <w:rFonts w:cs="Calibri"/>
          <w:bCs/>
          <w:szCs w:val="24"/>
          <w:lang w:eastAsia="en-US"/>
        </w:rPr>
        <w:t>%, což</w:t>
      </w:r>
      <w:r w:rsidR="00863D95">
        <w:rPr>
          <w:rFonts w:cs="Calibri"/>
          <w:bCs/>
          <w:szCs w:val="24"/>
          <w:lang w:eastAsia="en-US"/>
        </w:rPr>
        <w:t xml:space="preserve"> </w:t>
      </w:r>
      <w:r w:rsidR="00FE5C8F">
        <w:rPr>
          <w:rFonts w:cs="Calibri"/>
          <w:bCs/>
          <w:szCs w:val="24"/>
          <w:lang w:eastAsia="en-US"/>
        </w:rPr>
        <w:t>odporovalo předchozímu ustanovení.</w:t>
      </w:r>
    </w:p>
    <w:p w14:paraId="26099C0C" w14:textId="77777777" w:rsidR="00FE5C8F" w:rsidRDefault="00FE5C8F" w:rsidP="008E7D88">
      <w:pPr>
        <w:widowControl/>
        <w:rPr>
          <w:rFonts w:cs="Calibri"/>
          <w:bCs/>
          <w:szCs w:val="24"/>
          <w:lang w:eastAsia="en-US"/>
        </w:rPr>
      </w:pPr>
    </w:p>
    <w:p w14:paraId="59B43008" w14:textId="2E8E17C7" w:rsidR="00FE5C8F" w:rsidRDefault="005818DA" w:rsidP="008E7D88">
      <w:pPr>
        <w:widowControl/>
        <w:rPr>
          <w:b/>
        </w:rPr>
      </w:pPr>
      <w:r>
        <w:rPr>
          <w:b/>
        </w:rPr>
        <w:t>Program 133510 neobsahoval</w:t>
      </w:r>
      <w:r w:rsidR="00FE5C8F" w:rsidRPr="00A73437">
        <w:rPr>
          <w:b/>
        </w:rPr>
        <w:t xml:space="preserve"> v jednotlivých </w:t>
      </w:r>
      <w:r w:rsidR="00013C84">
        <w:rPr>
          <w:b/>
        </w:rPr>
        <w:t xml:space="preserve">základních dokumentech </w:t>
      </w:r>
      <w:r w:rsidR="00FE5C8F" w:rsidRPr="00A73437">
        <w:rPr>
          <w:b/>
        </w:rPr>
        <w:t>platných pro konkrétní roky kontrolovaného období</w:t>
      </w:r>
      <w:r w:rsidR="00017E9B" w:rsidRPr="00017E9B">
        <w:rPr>
          <w:b/>
        </w:rPr>
        <w:t xml:space="preserve"> </w:t>
      </w:r>
      <w:r w:rsidR="00017E9B" w:rsidRPr="00A73437">
        <w:rPr>
          <w:b/>
        </w:rPr>
        <w:t>stejné informace</w:t>
      </w:r>
      <w:r w:rsidR="00FE5C8F" w:rsidRPr="00A73437">
        <w:rPr>
          <w:b/>
        </w:rPr>
        <w:t>. Obsahové rozdíly byly</w:t>
      </w:r>
      <w:r w:rsidR="00017E9B">
        <w:rPr>
          <w:b/>
        </w:rPr>
        <w:t xml:space="preserve"> zjištěny jak</w:t>
      </w:r>
      <w:r w:rsidR="00FE5C8F" w:rsidRPr="00A73437">
        <w:rPr>
          <w:b/>
        </w:rPr>
        <w:t xml:space="preserve"> mezi jednotlivými </w:t>
      </w:r>
      <w:r w:rsidR="00121197">
        <w:rPr>
          <w:b/>
        </w:rPr>
        <w:t>texty</w:t>
      </w:r>
      <w:r w:rsidR="00017E9B">
        <w:rPr>
          <w:b/>
        </w:rPr>
        <w:t>, tak</w:t>
      </w:r>
      <w:r w:rsidR="00FE5C8F" w:rsidRPr="00A73437">
        <w:rPr>
          <w:b/>
        </w:rPr>
        <w:t xml:space="preserve"> </w:t>
      </w:r>
      <w:r w:rsidR="007C31FD">
        <w:rPr>
          <w:b/>
        </w:rPr>
        <w:t>uvnitř</w:t>
      </w:r>
      <w:r w:rsidR="00121197">
        <w:rPr>
          <w:b/>
        </w:rPr>
        <w:t xml:space="preserve"> jedno</w:t>
      </w:r>
      <w:r w:rsidR="007C31FD">
        <w:rPr>
          <w:b/>
        </w:rPr>
        <w:t>tlivých</w:t>
      </w:r>
      <w:r w:rsidR="00121197">
        <w:rPr>
          <w:b/>
        </w:rPr>
        <w:t xml:space="preserve"> dokument</w:t>
      </w:r>
      <w:r w:rsidR="007C31FD">
        <w:rPr>
          <w:b/>
        </w:rPr>
        <w:t>ů</w:t>
      </w:r>
      <w:r w:rsidR="00121197">
        <w:rPr>
          <w:b/>
        </w:rPr>
        <w:t>. Ne</w:t>
      </w:r>
      <w:r w:rsidR="00017E9B">
        <w:rPr>
          <w:b/>
        </w:rPr>
        <w:t xml:space="preserve"> </w:t>
      </w:r>
      <w:r w:rsidR="00FE5C8F" w:rsidRPr="00A73437">
        <w:rPr>
          <w:b/>
        </w:rPr>
        <w:t>zcela patrná hierarchie dokumentů a odlišné pokyny a informace obsažené v jejich textech, které jsou pro žadatele, resp. příjemce dotace záva</w:t>
      </w:r>
      <w:r w:rsidR="00361CEF">
        <w:rPr>
          <w:b/>
        </w:rPr>
        <w:t>zné, mohly působit zmatečně při</w:t>
      </w:r>
      <w:r w:rsidR="00017E9B">
        <w:rPr>
          <w:b/>
        </w:rPr>
        <w:t xml:space="preserve"> </w:t>
      </w:r>
      <w:r w:rsidR="00FE5C8F" w:rsidRPr="00A73437">
        <w:rPr>
          <w:b/>
        </w:rPr>
        <w:t>podávání žádostí a následně také při jejich vyhodnocování, čímž mohly vznikat nerovné podmínky pro jednotlivé žadatele, resp. příjemce dotace v rámci Programu 133510.</w:t>
      </w:r>
    </w:p>
    <w:p w14:paraId="70A37B2B" w14:textId="77777777" w:rsidR="00FE5C8F" w:rsidRDefault="00FE5C8F" w:rsidP="008E7D88">
      <w:pPr>
        <w:widowControl/>
        <w:rPr>
          <w:b/>
        </w:rPr>
      </w:pPr>
    </w:p>
    <w:p w14:paraId="4AB91FC6" w14:textId="76D88E60" w:rsidR="00FE5C8F" w:rsidRPr="0051324A" w:rsidRDefault="00FE5C8F" w:rsidP="008E7D88">
      <w:pPr>
        <w:widowControl/>
      </w:pPr>
      <w:r w:rsidRPr="0051324A">
        <w:t xml:space="preserve">Dokumenty také obsahovaly </w:t>
      </w:r>
      <w:r w:rsidRPr="0051324A">
        <w:rPr>
          <w:b/>
        </w:rPr>
        <w:t>nejednoznačná ustanovení a chybné odkazy</w:t>
      </w:r>
      <w:r w:rsidRPr="0051324A">
        <w:t xml:space="preserve"> na zásadní </w:t>
      </w:r>
      <w:r w:rsidR="003F646A">
        <w:t>metodik</w:t>
      </w:r>
      <w:r w:rsidRPr="0051324A">
        <w:t>y, kterými se měli příjemci řídit.</w:t>
      </w:r>
    </w:p>
    <w:p w14:paraId="3B04D236" w14:textId="77777777" w:rsidR="00FE5C8F" w:rsidRDefault="00FE5C8F" w:rsidP="008E7D88">
      <w:pPr>
        <w:widowControl/>
        <w:rPr>
          <w:b/>
        </w:rPr>
      </w:pPr>
    </w:p>
    <w:p w14:paraId="43012EF1" w14:textId="654539E2" w:rsidR="00FE5C8F" w:rsidRPr="0051324A" w:rsidRDefault="00FE5C8F" w:rsidP="008E7D88">
      <w:pPr>
        <w:widowControl/>
      </w:pPr>
      <w:r w:rsidRPr="0051324A">
        <w:t>V Zásadá</w:t>
      </w:r>
      <w:r w:rsidR="001C096D">
        <w:t>ch 2013–</w:t>
      </w:r>
      <w:r w:rsidRPr="0051324A">
        <w:t xml:space="preserve">2014 MŠMT uvádělo, že výše spoluúčasti žadatele </w:t>
      </w:r>
      <w:r w:rsidR="007C31FD">
        <w:t>je</w:t>
      </w:r>
      <w:r w:rsidRPr="0051324A">
        <w:t xml:space="preserve"> jedním z hlavních parametrů, a proto </w:t>
      </w:r>
      <w:r w:rsidR="007C31FD">
        <w:t>je</w:t>
      </w:r>
      <w:r w:rsidRPr="0051324A">
        <w:t xml:space="preserve"> též hodnot</w:t>
      </w:r>
      <w:r w:rsidR="007C31FD">
        <w:t>i</w:t>
      </w:r>
      <w:r w:rsidRPr="0051324A">
        <w:t xml:space="preserve">cím kritériem. Současně však MŠMT stanovilo, že toto kritérium nelze uplatňovat vždy. MŠMT schvalovalo výjimky z nutnosti dodržet stanovenou míru spolufinancování. MŠMT tímto postupem dávalo žadatelům, resp. příjemcům nejasné a zavádějící informace. </w:t>
      </w:r>
      <w:r w:rsidRPr="0051324A">
        <w:rPr>
          <w:b/>
        </w:rPr>
        <w:t>MŠMT nejasným nastavením podmínek pro</w:t>
      </w:r>
      <w:r w:rsidR="007C31FD">
        <w:rPr>
          <w:b/>
        </w:rPr>
        <w:t xml:space="preserve"> </w:t>
      </w:r>
      <w:r w:rsidRPr="0051324A">
        <w:rPr>
          <w:b/>
        </w:rPr>
        <w:t>spolufinancování a schvalování výjimek z dofinancování při poskytování dotací vytvářelo netransparentní prostředí a</w:t>
      </w:r>
      <w:r w:rsidR="00013C84">
        <w:rPr>
          <w:b/>
        </w:rPr>
        <w:t xml:space="preserve"> </w:t>
      </w:r>
      <w:r w:rsidRPr="0051324A">
        <w:rPr>
          <w:b/>
        </w:rPr>
        <w:t>nerovné podmínky pro žadatele o dotace.</w:t>
      </w:r>
    </w:p>
    <w:p w14:paraId="1F72BEC7" w14:textId="77777777" w:rsidR="00FE5C8F" w:rsidRPr="0051324A" w:rsidRDefault="00FE5C8F" w:rsidP="008E7D88">
      <w:pPr>
        <w:widowControl/>
      </w:pPr>
    </w:p>
    <w:p w14:paraId="100D8900" w14:textId="32233891" w:rsidR="00FE5C8F" w:rsidRDefault="00FE5C8F" w:rsidP="008E7D88">
      <w:pPr>
        <w:widowControl/>
        <w:rPr>
          <w:b/>
        </w:rPr>
      </w:pPr>
      <w:r>
        <w:t xml:space="preserve">Zásady Programu 133510 hovořily </w:t>
      </w:r>
      <w:r w:rsidR="008E0526">
        <w:t xml:space="preserve">také </w:t>
      </w:r>
      <w:r>
        <w:t>o tzv. mimořádných</w:t>
      </w:r>
      <w:r w:rsidR="00361CEF">
        <w:t xml:space="preserve"> záležitostech, v rámci kterých</w:t>
      </w:r>
      <w:r w:rsidR="008E0526">
        <w:t xml:space="preserve"> </w:t>
      </w:r>
      <w:r>
        <w:t>nemusely být uplatňovány některé stanovené podmínky. Tento pojem však nebyl nikde blíže vymezen. V letech 2013 a 2014 byla část žádostí schvalov</w:t>
      </w:r>
      <w:r w:rsidR="008E0526">
        <w:t>ána</w:t>
      </w:r>
      <w:r>
        <w:t xml:space="preserve"> k realizaci v tomto režimu.</w:t>
      </w:r>
      <w:r w:rsidR="00361CEF">
        <w:t xml:space="preserve"> </w:t>
      </w:r>
      <w:r w:rsidRPr="00BB2E67">
        <w:rPr>
          <w:b/>
        </w:rPr>
        <w:t>Postup</w:t>
      </w:r>
      <w:r w:rsidRPr="00F408A8">
        <w:rPr>
          <w:b/>
        </w:rPr>
        <w:t>,</w:t>
      </w:r>
      <w:r w:rsidRPr="00361CEF">
        <w:t xml:space="preserve"> kdy MŠMT přidělovalo dotace ze státního rozpočtu v neoficiálním a pravidly nezajištěném schvalovacím procesu, </w:t>
      </w:r>
      <w:r w:rsidRPr="00361CEF">
        <w:rPr>
          <w:b/>
        </w:rPr>
        <w:t xml:space="preserve">byl </w:t>
      </w:r>
      <w:r w:rsidRPr="00BB2E67">
        <w:rPr>
          <w:b/>
        </w:rPr>
        <w:t>nesystémový.</w:t>
      </w:r>
      <w:r>
        <w:rPr>
          <w:b/>
        </w:rPr>
        <w:t xml:space="preserve"> </w:t>
      </w:r>
      <w:r w:rsidRPr="00584FF4">
        <w:rPr>
          <w:b/>
        </w:rPr>
        <w:t>MŠMT poskytováním dotací v režimu tzv. mimořádných záležitostí</w:t>
      </w:r>
      <w:r>
        <w:rPr>
          <w:b/>
        </w:rPr>
        <w:t xml:space="preserve"> </w:t>
      </w:r>
      <w:r w:rsidRPr="00584FF4">
        <w:rPr>
          <w:b/>
        </w:rPr>
        <w:t>vytváře</w:t>
      </w:r>
      <w:r>
        <w:rPr>
          <w:b/>
        </w:rPr>
        <w:t>lo</w:t>
      </w:r>
      <w:r w:rsidRPr="00584FF4">
        <w:rPr>
          <w:b/>
        </w:rPr>
        <w:t xml:space="preserve"> netransparentní prostředí a nerovné podmínky pro</w:t>
      </w:r>
      <w:r w:rsidR="008E0526">
        <w:rPr>
          <w:b/>
        </w:rPr>
        <w:t xml:space="preserve"> </w:t>
      </w:r>
      <w:r w:rsidRPr="00584FF4">
        <w:rPr>
          <w:b/>
        </w:rPr>
        <w:t>žadatele o</w:t>
      </w:r>
      <w:r>
        <w:rPr>
          <w:b/>
        </w:rPr>
        <w:t> </w:t>
      </w:r>
      <w:r w:rsidRPr="00584FF4">
        <w:rPr>
          <w:b/>
        </w:rPr>
        <w:t>dotace.</w:t>
      </w:r>
    </w:p>
    <w:p w14:paraId="724D7B05" w14:textId="77777777" w:rsidR="00FE5C8F" w:rsidRDefault="00FE5C8F" w:rsidP="008E7D88">
      <w:pPr>
        <w:widowControl/>
        <w:rPr>
          <w:rFonts w:cs="Calibri"/>
          <w:lang w:eastAsia="en-US"/>
        </w:rPr>
      </w:pPr>
    </w:p>
    <w:p w14:paraId="21756D99" w14:textId="357E2614" w:rsidR="00FE5C8F" w:rsidRDefault="00B628B6" w:rsidP="00F408A8">
      <w:pPr>
        <w:pStyle w:val="Nadpis2"/>
        <w:widowControl/>
        <w:numPr>
          <w:ilvl w:val="0"/>
          <w:numId w:val="0"/>
        </w:numPr>
        <w:ind w:left="357" w:hanging="357"/>
        <w:rPr>
          <w:lang w:eastAsia="en-US"/>
        </w:rPr>
      </w:pPr>
      <w:r>
        <w:rPr>
          <w:lang w:eastAsia="en-US"/>
        </w:rPr>
        <w:t xml:space="preserve">3. </w:t>
      </w:r>
      <w:r w:rsidR="00FE5C8F">
        <w:rPr>
          <w:lang w:eastAsia="en-US"/>
        </w:rPr>
        <w:t>Rozhodování o podpoře</w:t>
      </w:r>
    </w:p>
    <w:p w14:paraId="053677FA" w14:textId="1F0F7EAD" w:rsidR="00A50A50" w:rsidRDefault="001C096D" w:rsidP="008E7D88">
      <w:pPr>
        <w:widowControl/>
        <w:rPr>
          <w:rFonts w:cs="Calibri"/>
          <w:lang w:eastAsia="en-US"/>
        </w:rPr>
      </w:pPr>
      <w:r>
        <w:rPr>
          <w:rFonts w:cs="Calibri"/>
          <w:lang w:eastAsia="en-US"/>
        </w:rPr>
        <w:t>Za roky 2013–</w:t>
      </w:r>
      <w:r w:rsidR="00A50A50">
        <w:rPr>
          <w:rFonts w:cs="Calibri"/>
          <w:lang w:eastAsia="en-US"/>
        </w:rPr>
        <w:t>2015 bylo v rámci Programu 133510 vyplaceno více než 2,2 mld. Kč. MŠMT příjemce každoročně vybíralo ze stovek žádostí.</w:t>
      </w:r>
    </w:p>
    <w:p w14:paraId="0867979F" w14:textId="77777777" w:rsidR="00944FB4" w:rsidRDefault="00944FB4" w:rsidP="008E7D88">
      <w:pPr>
        <w:widowControl/>
        <w:rPr>
          <w:rFonts w:cs="Calibri"/>
          <w:lang w:eastAsia="en-US"/>
        </w:rPr>
      </w:pPr>
    </w:p>
    <w:p w14:paraId="093055BA" w14:textId="16C250D9" w:rsidR="00944FB4" w:rsidRPr="000574AB" w:rsidRDefault="00EE79F7" w:rsidP="00F408A8">
      <w:pPr>
        <w:pStyle w:val="Graf"/>
        <w:widowControl/>
        <w:numPr>
          <w:ilvl w:val="0"/>
          <w:numId w:val="0"/>
        </w:numPr>
        <w:ind w:left="964" w:hanging="964"/>
      </w:pPr>
      <w:r>
        <w:t xml:space="preserve">Graf č. 2: </w:t>
      </w:r>
      <w:r>
        <w:tab/>
      </w:r>
      <w:r w:rsidR="00944FB4" w:rsidRPr="000574AB">
        <w:t>Poč</w:t>
      </w:r>
      <w:r>
        <w:t>ty</w:t>
      </w:r>
      <w:r w:rsidR="00944FB4" w:rsidRPr="000574AB">
        <w:t xml:space="preserve"> žádostí o podporu </w:t>
      </w:r>
      <w:r>
        <w:t>v letech</w:t>
      </w:r>
      <w:r w:rsidR="00944FB4" w:rsidRPr="000574AB">
        <w:t xml:space="preserve"> 2013</w:t>
      </w:r>
      <w:r>
        <w:t>–</w:t>
      </w:r>
      <w:r w:rsidR="00944FB4" w:rsidRPr="000574AB">
        <w:t>2015 a poč</w:t>
      </w:r>
      <w:r>
        <w:t>ty</w:t>
      </w:r>
      <w:r w:rsidR="00944FB4" w:rsidRPr="000574AB">
        <w:t xml:space="preserve"> akcí s výplatou </w:t>
      </w:r>
      <w:r>
        <w:t xml:space="preserve">podpory </w:t>
      </w:r>
      <w:r w:rsidR="00944FB4" w:rsidRPr="000574AB">
        <w:t>v</w:t>
      </w:r>
      <w:r>
        <w:t> </w:t>
      </w:r>
      <w:r w:rsidR="00944FB4" w:rsidRPr="000574AB">
        <w:t>daném</w:t>
      </w:r>
      <w:r>
        <w:t xml:space="preserve"> </w:t>
      </w:r>
      <w:r w:rsidR="00944FB4" w:rsidRPr="000574AB">
        <w:t xml:space="preserve">roce </w:t>
      </w:r>
    </w:p>
    <w:p w14:paraId="15A55FC1" w14:textId="5D7CEA24" w:rsidR="00A50A50" w:rsidRDefault="00A50A50" w:rsidP="008E7D88">
      <w:pPr>
        <w:widowControl/>
        <w:rPr>
          <w:rFonts w:cs="Calibri"/>
          <w:lang w:eastAsia="en-US"/>
        </w:rPr>
      </w:pPr>
      <w:r>
        <w:rPr>
          <w:rFonts w:cs="Calibri"/>
          <w:noProof/>
        </w:rPr>
        <w:drawing>
          <wp:inline distT="0" distB="0" distL="0" distR="0" wp14:anchorId="1C2F5E5E" wp14:editId="5DFA5C6A">
            <wp:extent cx="5486400" cy="18288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C808CE1" w14:textId="66DA65D2" w:rsidR="00FE5C8F" w:rsidRDefault="000574AB" w:rsidP="00407FB4">
      <w:pPr>
        <w:pStyle w:val="Poznmka"/>
      </w:pPr>
      <w:r w:rsidRPr="00825BEE">
        <w:rPr>
          <w:b/>
        </w:rPr>
        <w:t>Zdroj:</w:t>
      </w:r>
      <w:r>
        <w:t xml:space="preserve"> </w:t>
      </w:r>
      <w:r w:rsidR="00013C84">
        <w:t>informace</w:t>
      </w:r>
      <w:r>
        <w:t xml:space="preserve"> MŠMT.</w:t>
      </w:r>
    </w:p>
    <w:p w14:paraId="6813302B" w14:textId="77777777" w:rsidR="00EE79F7" w:rsidRDefault="00EE79F7" w:rsidP="00407FB4">
      <w:pPr>
        <w:pStyle w:val="Poznmka"/>
        <w:rPr>
          <w:lang w:eastAsia="en-US"/>
        </w:rPr>
      </w:pPr>
    </w:p>
    <w:p w14:paraId="3AA95AD9" w14:textId="36CF9558" w:rsidR="00510852" w:rsidRDefault="00EE79F7" w:rsidP="00EE79F7">
      <w:pPr>
        <w:pStyle w:val="Nzevtabulky"/>
        <w:numPr>
          <w:ilvl w:val="0"/>
          <w:numId w:val="0"/>
        </w:numPr>
      </w:pPr>
      <w:r>
        <w:t xml:space="preserve">Tabulka č. 2: </w:t>
      </w:r>
      <w:r w:rsidR="00355A1E">
        <w:t>Základní termíny dotačního řízení v letech 2013</w:t>
      </w:r>
      <w:r w:rsidR="003C3870">
        <w:t>–</w:t>
      </w:r>
      <w:r w:rsidR="00355A1E">
        <w:t>2015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95"/>
        <w:gridCol w:w="1994"/>
        <w:gridCol w:w="1994"/>
        <w:gridCol w:w="3082"/>
      </w:tblGrid>
      <w:tr w:rsidR="00FE5C8F" w:rsidRPr="006D6E9C" w14:paraId="736F8026" w14:textId="77777777" w:rsidTr="006D6E9C">
        <w:tc>
          <w:tcPr>
            <w:tcW w:w="1100" w:type="pct"/>
            <w:shd w:val="clear" w:color="auto" w:fill="E5F1FF"/>
            <w:vAlign w:val="center"/>
          </w:tcPr>
          <w:p w14:paraId="0E0EF8C6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6D6E9C">
              <w:rPr>
                <w:rFonts w:cs="Calibri"/>
                <w:b/>
                <w:sz w:val="20"/>
                <w:lang w:eastAsia="en-US"/>
              </w:rPr>
              <w:t>Rok</w:t>
            </w:r>
          </w:p>
        </w:tc>
        <w:tc>
          <w:tcPr>
            <w:tcW w:w="1100" w:type="pct"/>
            <w:shd w:val="clear" w:color="auto" w:fill="E5F1FF"/>
            <w:vAlign w:val="center"/>
          </w:tcPr>
          <w:p w14:paraId="6F6A7169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6D6E9C">
              <w:rPr>
                <w:rFonts w:cs="Calibri"/>
                <w:b/>
                <w:sz w:val="20"/>
                <w:lang w:eastAsia="en-US"/>
              </w:rPr>
              <w:t>Vyhlášení</w:t>
            </w:r>
          </w:p>
        </w:tc>
        <w:tc>
          <w:tcPr>
            <w:tcW w:w="1100" w:type="pct"/>
            <w:shd w:val="clear" w:color="auto" w:fill="E5F1FF"/>
            <w:vAlign w:val="center"/>
          </w:tcPr>
          <w:p w14:paraId="618DACCC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6D6E9C">
              <w:rPr>
                <w:rFonts w:cs="Calibri"/>
                <w:b/>
                <w:sz w:val="20"/>
                <w:lang w:eastAsia="en-US"/>
              </w:rPr>
              <w:t>Podávání žádostí</w:t>
            </w:r>
          </w:p>
        </w:tc>
        <w:tc>
          <w:tcPr>
            <w:tcW w:w="1700" w:type="pct"/>
            <w:shd w:val="clear" w:color="auto" w:fill="E5F1FF"/>
            <w:vAlign w:val="center"/>
          </w:tcPr>
          <w:p w14:paraId="132AFE6E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b/>
                <w:sz w:val="20"/>
                <w:lang w:eastAsia="en-US"/>
              </w:rPr>
            </w:pPr>
            <w:r w:rsidRPr="006D6E9C">
              <w:rPr>
                <w:rFonts w:cs="Calibri"/>
                <w:b/>
                <w:sz w:val="20"/>
                <w:lang w:eastAsia="en-US"/>
              </w:rPr>
              <w:t>Schválení rozdělení prostředků</w:t>
            </w:r>
          </w:p>
        </w:tc>
      </w:tr>
      <w:tr w:rsidR="00FE5C8F" w:rsidRPr="006D6E9C" w14:paraId="4C559D84" w14:textId="77777777" w:rsidTr="006D6E9C">
        <w:tc>
          <w:tcPr>
            <w:tcW w:w="1100" w:type="pct"/>
            <w:vAlign w:val="center"/>
          </w:tcPr>
          <w:p w14:paraId="179428DE" w14:textId="77777777" w:rsidR="00FE5C8F" w:rsidRPr="006D6E9C" w:rsidRDefault="00FE5C8F" w:rsidP="008E7D88">
            <w:pPr>
              <w:widowControl/>
              <w:jc w:val="left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2013</w:t>
            </w:r>
          </w:p>
        </w:tc>
        <w:tc>
          <w:tcPr>
            <w:tcW w:w="1100" w:type="pct"/>
            <w:vAlign w:val="center"/>
          </w:tcPr>
          <w:p w14:paraId="29F09841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13. 7. 2012</w:t>
            </w:r>
          </w:p>
        </w:tc>
        <w:tc>
          <w:tcPr>
            <w:tcW w:w="1100" w:type="pct"/>
            <w:vAlign w:val="center"/>
          </w:tcPr>
          <w:p w14:paraId="0E0DB3A8" w14:textId="54A1190D" w:rsidR="00FE5C8F" w:rsidRPr="006D6E9C" w:rsidRDefault="00FE5C8F" w:rsidP="008814F7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 xml:space="preserve">10. 9. </w:t>
            </w:r>
            <w:r w:rsidR="00EE79F7">
              <w:rPr>
                <w:rFonts w:cs="Calibri"/>
                <w:sz w:val="20"/>
                <w:lang w:eastAsia="en-US"/>
              </w:rPr>
              <w:t>–</w:t>
            </w:r>
            <w:r w:rsidRPr="006D6E9C">
              <w:rPr>
                <w:rFonts w:cs="Calibri"/>
                <w:sz w:val="20"/>
                <w:lang w:eastAsia="en-US"/>
              </w:rPr>
              <w:t xml:space="preserve"> 30. 9. 2012</w:t>
            </w:r>
          </w:p>
        </w:tc>
        <w:tc>
          <w:tcPr>
            <w:tcW w:w="1700" w:type="pct"/>
            <w:vAlign w:val="center"/>
          </w:tcPr>
          <w:p w14:paraId="3EB1F6CB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25. 6. 2013</w:t>
            </w:r>
          </w:p>
        </w:tc>
      </w:tr>
      <w:tr w:rsidR="00FE5C8F" w:rsidRPr="006D6E9C" w14:paraId="4A5F6373" w14:textId="77777777" w:rsidTr="006D6E9C">
        <w:tc>
          <w:tcPr>
            <w:tcW w:w="1100" w:type="pct"/>
            <w:vAlign w:val="center"/>
          </w:tcPr>
          <w:p w14:paraId="0B88ADA5" w14:textId="77777777" w:rsidR="00FE5C8F" w:rsidRPr="006D6E9C" w:rsidRDefault="00FE5C8F" w:rsidP="008E7D88">
            <w:pPr>
              <w:widowControl/>
              <w:jc w:val="left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2014</w:t>
            </w:r>
          </w:p>
        </w:tc>
        <w:tc>
          <w:tcPr>
            <w:tcW w:w="1100" w:type="pct"/>
            <w:vAlign w:val="center"/>
          </w:tcPr>
          <w:p w14:paraId="157A3A82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3. 7. 2013</w:t>
            </w:r>
          </w:p>
        </w:tc>
        <w:tc>
          <w:tcPr>
            <w:tcW w:w="1100" w:type="pct"/>
            <w:vAlign w:val="center"/>
          </w:tcPr>
          <w:p w14:paraId="0D233D1C" w14:textId="434AD785" w:rsidR="00FE5C8F" w:rsidRPr="006D6E9C" w:rsidRDefault="00FE5C8F" w:rsidP="008814F7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 xml:space="preserve">10. 9. </w:t>
            </w:r>
            <w:r w:rsidR="00EE79F7">
              <w:rPr>
                <w:rFonts w:cs="Calibri"/>
                <w:sz w:val="20"/>
                <w:lang w:eastAsia="en-US"/>
              </w:rPr>
              <w:t>–</w:t>
            </w:r>
            <w:r w:rsidRPr="006D6E9C">
              <w:rPr>
                <w:rFonts w:cs="Calibri"/>
                <w:sz w:val="20"/>
                <w:lang w:eastAsia="en-US"/>
              </w:rPr>
              <w:t xml:space="preserve"> 30. 9. 2013</w:t>
            </w:r>
          </w:p>
        </w:tc>
        <w:tc>
          <w:tcPr>
            <w:tcW w:w="1700" w:type="pct"/>
            <w:vAlign w:val="center"/>
          </w:tcPr>
          <w:p w14:paraId="1BEC1146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19. 5. 2014</w:t>
            </w:r>
          </w:p>
        </w:tc>
      </w:tr>
      <w:tr w:rsidR="00FE5C8F" w:rsidRPr="006D6E9C" w14:paraId="69DB9BDC" w14:textId="77777777" w:rsidTr="006D6E9C">
        <w:tc>
          <w:tcPr>
            <w:tcW w:w="1100" w:type="pct"/>
            <w:vAlign w:val="center"/>
          </w:tcPr>
          <w:p w14:paraId="48771562" w14:textId="77777777" w:rsidR="00FE5C8F" w:rsidRPr="006D6E9C" w:rsidRDefault="00FE5C8F" w:rsidP="008E7D88">
            <w:pPr>
              <w:widowControl/>
              <w:jc w:val="left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2015</w:t>
            </w:r>
          </w:p>
        </w:tc>
        <w:tc>
          <w:tcPr>
            <w:tcW w:w="1100" w:type="pct"/>
            <w:vAlign w:val="center"/>
          </w:tcPr>
          <w:p w14:paraId="1B7C2BF1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15. 12. 2014</w:t>
            </w:r>
          </w:p>
        </w:tc>
        <w:tc>
          <w:tcPr>
            <w:tcW w:w="1100" w:type="pct"/>
            <w:vAlign w:val="center"/>
          </w:tcPr>
          <w:p w14:paraId="05AE8024" w14:textId="293AF451" w:rsidR="00FE5C8F" w:rsidRPr="006D6E9C" w:rsidRDefault="00FE5C8F" w:rsidP="008814F7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 xml:space="preserve">5. 1. </w:t>
            </w:r>
            <w:r w:rsidR="00EE79F7">
              <w:rPr>
                <w:rFonts w:cs="Calibri"/>
                <w:sz w:val="20"/>
                <w:lang w:eastAsia="en-US"/>
              </w:rPr>
              <w:t>–</w:t>
            </w:r>
            <w:r w:rsidRPr="006D6E9C">
              <w:rPr>
                <w:rFonts w:cs="Calibri"/>
                <w:sz w:val="20"/>
                <w:lang w:eastAsia="en-US"/>
              </w:rPr>
              <w:t xml:space="preserve"> 31. 1. 2015</w:t>
            </w:r>
          </w:p>
        </w:tc>
        <w:tc>
          <w:tcPr>
            <w:tcW w:w="1700" w:type="pct"/>
            <w:vAlign w:val="center"/>
          </w:tcPr>
          <w:p w14:paraId="1276926A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11. 8. 2015</w:t>
            </w:r>
          </w:p>
        </w:tc>
      </w:tr>
      <w:tr w:rsidR="00FE5C8F" w:rsidRPr="006D6E9C" w14:paraId="527BC172" w14:textId="77777777" w:rsidTr="006D6E9C">
        <w:tc>
          <w:tcPr>
            <w:tcW w:w="1100" w:type="pct"/>
            <w:vAlign w:val="center"/>
          </w:tcPr>
          <w:p w14:paraId="28F73F55" w14:textId="77777777" w:rsidR="00FE5C8F" w:rsidRPr="006D6E9C" w:rsidRDefault="00FE5C8F" w:rsidP="008E7D88">
            <w:pPr>
              <w:widowControl/>
              <w:jc w:val="left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2015 – 2. kolo</w:t>
            </w:r>
          </w:p>
        </w:tc>
        <w:tc>
          <w:tcPr>
            <w:tcW w:w="1100" w:type="pct"/>
            <w:vAlign w:val="center"/>
          </w:tcPr>
          <w:p w14:paraId="304575BF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4. 11. 2015</w:t>
            </w:r>
          </w:p>
        </w:tc>
        <w:tc>
          <w:tcPr>
            <w:tcW w:w="1100" w:type="pct"/>
            <w:vAlign w:val="center"/>
          </w:tcPr>
          <w:p w14:paraId="73C3005E" w14:textId="55BB8996" w:rsidR="00FE5C8F" w:rsidRPr="006D6E9C" w:rsidRDefault="00FE5C8F" w:rsidP="008814F7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 xml:space="preserve">4. 11. </w:t>
            </w:r>
            <w:r w:rsidR="00EE79F7">
              <w:rPr>
                <w:rFonts w:cs="Calibri"/>
                <w:sz w:val="20"/>
                <w:lang w:eastAsia="en-US"/>
              </w:rPr>
              <w:t>–</w:t>
            </w:r>
            <w:r w:rsidRPr="006D6E9C">
              <w:rPr>
                <w:rFonts w:cs="Calibri"/>
                <w:sz w:val="20"/>
                <w:lang w:eastAsia="en-US"/>
              </w:rPr>
              <w:t xml:space="preserve"> 11. 11. 2015</w:t>
            </w:r>
          </w:p>
        </w:tc>
        <w:tc>
          <w:tcPr>
            <w:tcW w:w="1700" w:type="pct"/>
            <w:vAlign w:val="center"/>
          </w:tcPr>
          <w:p w14:paraId="1AF20A24" w14:textId="77777777" w:rsidR="00FE5C8F" w:rsidRPr="006D6E9C" w:rsidRDefault="00FE5C8F" w:rsidP="008E7D88">
            <w:pPr>
              <w:widowControl/>
              <w:jc w:val="center"/>
              <w:rPr>
                <w:rFonts w:cs="Calibri"/>
                <w:sz w:val="20"/>
                <w:lang w:eastAsia="en-US"/>
              </w:rPr>
            </w:pPr>
            <w:r w:rsidRPr="006D6E9C">
              <w:rPr>
                <w:rFonts w:cs="Calibri"/>
                <w:sz w:val="20"/>
                <w:lang w:eastAsia="en-US"/>
              </w:rPr>
              <w:t>24. 11. 2015</w:t>
            </w:r>
          </w:p>
        </w:tc>
      </w:tr>
    </w:tbl>
    <w:p w14:paraId="70B91F5B" w14:textId="169A283F" w:rsidR="00FE5C8F" w:rsidRPr="00825BEE" w:rsidRDefault="00FE5C8F" w:rsidP="00407FB4">
      <w:pPr>
        <w:pStyle w:val="Poznmka"/>
      </w:pPr>
      <w:r w:rsidRPr="00825BEE">
        <w:rPr>
          <w:b/>
        </w:rPr>
        <w:t>Zdroj:</w:t>
      </w:r>
      <w:r>
        <w:t xml:space="preserve"> </w:t>
      </w:r>
      <w:r w:rsidR="00EE79F7">
        <w:tab/>
      </w:r>
      <w:r w:rsidR="00013C84">
        <w:t>informace</w:t>
      </w:r>
      <w:r>
        <w:t xml:space="preserve"> MŠMT, </w:t>
      </w:r>
      <w:r w:rsidR="00EE79F7">
        <w:t xml:space="preserve">dokumenty </w:t>
      </w:r>
      <w:r w:rsidRPr="00F408A8">
        <w:rPr>
          <w:i/>
        </w:rPr>
        <w:t>Státní podpora sportu</w:t>
      </w:r>
      <w:r>
        <w:t xml:space="preserve"> pro </w:t>
      </w:r>
      <w:r w:rsidR="00EE79F7">
        <w:t>roky 2013–2015</w:t>
      </w:r>
      <w:r>
        <w:t xml:space="preserve">, materiály </w:t>
      </w:r>
      <w:r w:rsidR="00F408A8">
        <w:t>z jednání</w:t>
      </w:r>
      <w:r>
        <w:t xml:space="preserve"> porad</w:t>
      </w:r>
      <w:r w:rsidR="00F408A8">
        <w:t>y</w:t>
      </w:r>
      <w:r>
        <w:t xml:space="preserve"> vedení MŠMT</w:t>
      </w:r>
      <w:r w:rsidR="003C3870">
        <w:t>.</w:t>
      </w:r>
    </w:p>
    <w:p w14:paraId="08F4EA50" w14:textId="77777777" w:rsidR="00FE5C8F" w:rsidRPr="00F408A8" w:rsidRDefault="00FE5C8F" w:rsidP="008E7D88">
      <w:pPr>
        <w:widowControl/>
        <w:rPr>
          <w:rFonts w:cs="Calibri"/>
          <w:szCs w:val="24"/>
        </w:rPr>
      </w:pPr>
    </w:p>
    <w:p w14:paraId="36CDA31B" w14:textId="087B9A87" w:rsidR="00FE5C8F" w:rsidRDefault="00FE5C8F" w:rsidP="008E7D88">
      <w:pPr>
        <w:widowControl/>
        <w:rPr>
          <w:b/>
        </w:rPr>
      </w:pPr>
      <w:r>
        <w:rPr>
          <w:rFonts w:cs="Calibri"/>
          <w:szCs w:val="24"/>
        </w:rPr>
        <w:t xml:space="preserve">Kromě řádných </w:t>
      </w:r>
      <w:r w:rsidR="00361CEF">
        <w:rPr>
          <w:rFonts w:cs="Calibri"/>
          <w:szCs w:val="24"/>
        </w:rPr>
        <w:t>procesů přidělování dotací</w:t>
      </w:r>
      <w:r>
        <w:rPr>
          <w:rFonts w:cs="Calibri"/>
          <w:szCs w:val="24"/>
        </w:rPr>
        <w:t xml:space="preserve"> uvedených v tabulce proběhlo v letech 2013 a 2014 </w:t>
      </w:r>
      <w:r w:rsidR="00361CEF">
        <w:rPr>
          <w:rFonts w:cs="Calibri"/>
          <w:szCs w:val="24"/>
        </w:rPr>
        <w:t>i</w:t>
      </w:r>
      <w:r>
        <w:rPr>
          <w:rFonts w:cs="Calibri"/>
          <w:szCs w:val="24"/>
        </w:rPr>
        <w:t xml:space="preserve"> několik změnových řízení</w:t>
      </w:r>
      <w:r w:rsidR="008814F7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popř. jejich dodatků. Během nich byly schvalovány zm</w:t>
      </w:r>
      <w:r w:rsidR="00361CEF">
        <w:rPr>
          <w:rFonts w:cs="Calibri"/>
          <w:szCs w:val="24"/>
        </w:rPr>
        <w:t>ěny objemu poskytnuté podpory,</w:t>
      </w:r>
      <w:r>
        <w:rPr>
          <w:rFonts w:cs="Calibri"/>
          <w:szCs w:val="24"/>
        </w:rPr>
        <w:t xml:space="preserve"> rušení či zařazování nových</w:t>
      </w:r>
      <w:r w:rsidR="00C3301A">
        <w:rPr>
          <w:rFonts w:cs="Calibri"/>
          <w:szCs w:val="24"/>
        </w:rPr>
        <w:t xml:space="preserve"> akcí</w:t>
      </w:r>
      <w:r>
        <w:rPr>
          <w:rFonts w:cs="Calibri"/>
          <w:szCs w:val="24"/>
        </w:rPr>
        <w:t xml:space="preserve"> do Programu 133510, výjimky ze zásad apod. </w:t>
      </w:r>
      <w:r w:rsidRPr="00F8504C">
        <w:t>Z dokladů, které MŠMT předložilo skupině kontroluj</w:t>
      </w:r>
      <w:r w:rsidR="0027391B">
        <w:t>ících NKÚ, nebylo zřejmé, jakým </w:t>
      </w:r>
      <w:r w:rsidRPr="00F8504C">
        <w:t xml:space="preserve">způsobem docházelo v rámci změnových řízení v letech 2013 a 2014 k výběru akcí pro doplnění do Programu 133510. Vybírány byly jak akce, </w:t>
      </w:r>
      <w:r w:rsidR="008814F7">
        <w:t>u</w:t>
      </w:r>
      <w:r w:rsidRPr="00F8504C">
        <w:t xml:space="preserve"> kter</w:t>
      </w:r>
      <w:r w:rsidR="008814F7">
        <w:t>ých</w:t>
      </w:r>
      <w:r w:rsidRPr="00F8504C">
        <w:t xml:space="preserve"> byly podány žádosti spolu s ostatními v rámci řádného termínu v září příslušného roku, tak i akce, o jejichž</w:t>
      </w:r>
      <w:r w:rsidR="008814F7">
        <w:t xml:space="preserve"> </w:t>
      </w:r>
      <w:r w:rsidRPr="00F8504C">
        <w:t xml:space="preserve">podporu bylo </w:t>
      </w:r>
      <w:r w:rsidR="008814F7">
        <w:t>za</w:t>
      </w:r>
      <w:r w:rsidRPr="00F8504C">
        <w:t>žádáno mimo standardní řízení, tj. po datu řádného termínu.</w:t>
      </w:r>
      <w:r>
        <w:rPr>
          <w:b/>
        </w:rPr>
        <w:t xml:space="preserve"> Postup</w:t>
      </w:r>
      <w:r w:rsidR="0075571E">
        <w:rPr>
          <w:b/>
        </w:rPr>
        <w:t xml:space="preserve"> dodatečného zařazování akcí do</w:t>
      </w:r>
      <w:r w:rsidR="00B628B6">
        <w:rPr>
          <w:b/>
        </w:rPr>
        <w:t xml:space="preserve"> </w:t>
      </w:r>
      <w:r w:rsidRPr="00EB4F17">
        <w:rPr>
          <w:b/>
        </w:rPr>
        <w:t>Programu 133510, který MŠMT v </w:t>
      </w:r>
      <w:r w:rsidR="00C3301A">
        <w:rPr>
          <w:b/>
        </w:rPr>
        <w:t>letech 2013</w:t>
      </w:r>
      <w:r w:rsidR="00B322FC">
        <w:rPr>
          <w:b/>
        </w:rPr>
        <w:t xml:space="preserve"> a</w:t>
      </w:r>
      <w:r w:rsidR="00C3301A">
        <w:rPr>
          <w:b/>
        </w:rPr>
        <w:t xml:space="preserve"> 2014 uplatňovalo, </w:t>
      </w:r>
      <w:r w:rsidRPr="00EB4F17">
        <w:rPr>
          <w:b/>
        </w:rPr>
        <w:t xml:space="preserve">byl </w:t>
      </w:r>
      <w:r w:rsidR="00C3301A">
        <w:rPr>
          <w:b/>
        </w:rPr>
        <w:t>ne</w:t>
      </w:r>
      <w:r w:rsidRPr="00EB4F17">
        <w:rPr>
          <w:b/>
        </w:rPr>
        <w:t>transparentní.</w:t>
      </w:r>
    </w:p>
    <w:p w14:paraId="09F70473" w14:textId="77777777" w:rsidR="00FE5C8F" w:rsidRDefault="00FE5C8F" w:rsidP="008E7D88">
      <w:pPr>
        <w:widowControl/>
      </w:pPr>
    </w:p>
    <w:p w14:paraId="647267BF" w14:textId="5C4ABB1C" w:rsidR="00FE5C8F" w:rsidRDefault="00E0000C" w:rsidP="008E7D88">
      <w:pPr>
        <w:widowControl/>
      </w:pPr>
      <w:r>
        <w:rPr>
          <w:b/>
        </w:rPr>
        <w:t>P</w:t>
      </w:r>
      <w:r w:rsidR="0075571E">
        <w:rPr>
          <w:b/>
        </w:rPr>
        <w:t>oskytování dotací b</w:t>
      </w:r>
      <w:r w:rsidR="00C30734">
        <w:rPr>
          <w:b/>
        </w:rPr>
        <w:t>ylo z hlediska realizace akcí</w:t>
      </w:r>
      <w:r w:rsidR="008814F7">
        <w:rPr>
          <w:b/>
        </w:rPr>
        <w:t xml:space="preserve"> </w:t>
      </w:r>
      <w:r w:rsidR="0075571E">
        <w:rPr>
          <w:b/>
        </w:rPr>
        <w:t>problematické</w:t>
      </w:r>
      <w:r w:rsidR="00030595">
        <w:rPr>
          <w:b/>
        </w:rPr>
        <w:t xml:space="preserve"> zejména z důvodu pozdního rozhodování MŠMT o poskytnutí dotací. </w:t>
      </w:r>
      <w:r w:rsidR="00FE5C8F">
        <w:t>Zásady Programu 133510 stanovily, že čerpání poskytnuté dotace je určeno pro daný kalendářní rok a jeho přesun do roku dalšího nebude MŠMT zásadně projednávat. Za této podmínky může zařazení investičních akcí do Programu 133510 v polovině roku, jak tomu</w:t>
      </w:r>
      <w:r w:rsidR="0075571E">
        <w:t xml:space="preserve"> bylo</w:t>
      </w:r>
      <w:r w:rsidR="00FE5C8F">
        <w:t xml:space="preserve"> v kontrolovaném období, způsobit </w:t>
      </w:r>
      <w:r w:rsidR="0075571E">
        <w:t>žadatelům, resp.</w:t>
      </w:r>
      <w:r w:rsidR="00FB61B2">
        <w:t> </w:t>
      </w:r>
      <w:r w:rsidR="0075571E">
        <w:t xml:space="preserve">příjemcům </w:t>
      </w:r>
      <w:r w:rsidR="00FE5C8F">
        <w:t xml:space="preserve">problémy s časovým zabezpečením akcí. </w:t>
      </w:r>
      <w:r w:rsidR="00FE5C8F" w:rsidRPr="006A6A73">
        <w:t>Vzhledem</w:t>
      </w:r>
      <w:r w:rsidR="00FE5C8F">
        <w:t xml:space="preserve"> k</w:t>
      </w:r>
      <w:r w:rsidR="008814F7">
        <w:t> časové a</w:t>
      </w:r>
      <w:r w:rsidR="005D42C2">
        <w:t> </w:t>
      </w:r>
      <w:r w:rsidR="008814F7">
        <w:t>finanční</w:t>
      </w:r>
      <w:r w:rsidR="00FE5C8F">
        <w:t xml:space="preserve"> náročnosti </w:t>
      </w:r>
      <w:r w:rsidR="00C3301A">
        <w:t xml:space="preserve">některých </w:t>
      </w:r>
      <w:r w:rsidR="00FE5C8F">
        <w:t>investi</w:t>
      </w:r>
      <w:r w:rsidR="00C3301A">
        <w:t>čních akcí</w:t>
      </w:r>
      <w:r w:rsidR="00500BB4">
        <w:t xml:space="preserve"> začali někteří příjemci s realizací mnohem dříve, než jim byla přiznána dotace, což</w:t>
      </w:r>
      <w:r w:rsidR="008814F7">
        <w:t xml:space="preserve"> </w:t>
      </w:r>
      <w:r w:rsidR="00500BB4">
        <w:t xml:space="preserve">vyplynulo z dokumentace předložených akcí. </w:t>
      </w:r>
      <w:r w:rsidR="00FE5C8F" w:rsidRPr="006A6A73">
        <w:t>Vzhledem k charakteru většiny příjemců</w:t>
      </w:r>
      <w:r w:rsidR="008814F7">
        <w:t xml:space="preserve"> – </w:t>
      </w:r>
      <w:r w:rsidR="005D42C2">
        <w:t>jsou to většinou</w:t>
      </w:r>
      <w:r w:rsidR="008814F7">
        <w:t xml:space="preserve"> nestátní neziskové organizace –</w:t>
      </w:r>
      <w:r w:rsidR="00FE5C8F" w:rsidRPr="006A6A73">
        <w:t xml:space="preserve"> </w:t>
      </w:r>
      <w:r w:rsidR="00FE5C8F">
        <w:t xml:space="preserve">by </w:t>
      </w:r>
      <w:r w:rsidR="0075571E">
        <w:t xml:space="preserve">však </w:t>
      </w:r>
      <w:r w:rsidR="00FE5C8F" w:rsidRPr="0075571E">
        <w:rPr>
          <w:b/>
        </w:rPr>
        <w:t>mohl takový postup MŠMT některým subjektům bez dostatečného finančního zázemí působit překážky v přístupu k podpoře ze státního rozpočtu</w:t>
      </w:r>
      <w:r w:rsidR="00FE5C8F" w:rsidRPr="00F408A8">
        <w:rPr>
          <w:b/>
        </w:rPr>
        <w:t>.</w:t>
      </w:r>
    </w:p>
    <w:p w14:paraId="1402FE87" w14:textId="77777777" w:rsidR="00FE5C8F" w:rsidRDefault="00FE5C8F" w:rsidP="008E7D88">
      <w:pPr>
        <w:widowControl/>
      </w:pPr>
    </w:p>
    <w:p w14:paraId="51EB4959" w14:textId="5BBF80DA" w:rsidR="00FE5C8F" w:rsidRPr="004577CA" w:rsidRDefault="00FE5C8F" w:rsidP="008E7D88">
      <w:pPr>
        <w:widowControl/>
      </w:pPr>
      <w:r>
        <w:t xml:space="preserve">Některé </w:t>
      </w:r>
      <w:r w:rsidRPr="004577CA">
        <w:t xml:space="preserve">akce byly </w:t>
      </w:r>
      <w:r w:rsidR="005D42C2">
        <w:t>už</w:t>
      </w:r>
      <w:r w:rsidR="005D42C2" w:rsidRPr="004577CA">
        <w:t xml:space="preserve"> </w:t>
      </w:r>
      <w:r w:rsidRPr="004577CA">
        <w:t>před zařazením do Programu 133510 v </w:t>
      </w:r>
      <w:r w:rsidR="00C3301A">
        <w:t>pokročilé fázi realizace. Např.</w:t>
      </w:r>
      <w:r w:rsidR="00FB61B2">
        <w:t xml:space="preserve"> </w:t>
      </w:r>
      <w:r w:rsidRPr="004577CA">
        <w:t xml:space="preserve">na akci, jejímž předmětem byla rekonstrukce povrchu víceúčelového hřiště, resp. stavba hřiště nového, podal příjemce žádost dne 11. 11. 2015, </w:t>
      </w:r>
      <w:r>
        <w:t>zařazení do</w:t>
      </w:r>
      <w:r w:rsidR="005D42C2">
        <w:t xml:space="preserve"> </w:t>
      </w:r>
      <w:r>
        <w:t xml:space="preserve">Programu 133510 projednalo MŠMT </w:t>
      </w:r>
      <w:r w:rsidRPr="004577CA">
        <w:t>dne 24. 11. 2015</w:t>
      </w:r>
      <w:r>
        <w:t>. R</w:t>
      </w:r>
      <w:r w:rsidRPr="004577CA">
        <w:t xml:space="preserve">ozhodnutí </w:t>
      </w:r>
      <w:r>
        <w:t xml:space="preserve">o poskytnutí dotace ve výši 6,6 mil. Kč </w:t>
      </w:r>
      <w:r w:rsidRPr="004577CA">
        <w:t>bylo vydáno dne 10.</w:t>
      </w:r>
      <w:r w:rsidR="00FB61B2">
        <w:t> </w:t>
      </w:r>
      <w:r w:rsidRPr="004577CA">
        <w:t>12.</w:t>
      </w:r>
      <w:r w:rsidR="00FB61B2">
        <w:t> </w:t>
      </w:r>
      <w:r w:rsidRPr="004577CA">
        <w:t>2015 s termínem pro dokon</w:t>
      </w:r>
      <w:r>
        <w:t>čení realizace akce do 31. 12. </w:t>
      </w:r>
      <w:r w:rsidRPr="004577CA">
        <w:t>2015</w:t>
      </w:r>
      <w:r w:rsidR="00726E55">
        <w:t>, tj.</w:t>
      </w:r>
      <w:r w:rsidR="005D42C2">
        <w:t> </w:t>
      </w:r>
      <w:r w:rsidR="00726E55">
        <w:t>za</w:t>
      </w:r>
      <w:r w:rsidR="005D42C2">
        <w:t xml:space="preserve"> </w:t>
      </w:r>
      <w:r w:rsidR="00604AC4">
        <w:t>21 </w:t>
      </w:r>
      <w:r w:rsidR="00114029">
        <w:t>dní</w:t>
      </w:r>
      <w:r w:rsidRPr="004577CA">
        <w:t>.</w:t>
      </w:r>
      <w:r>
        <w:t xml:space="preserve"> O </w:t>
      </w:r>
      <w:r w:rsidRPr="004577CA">
        <w:t xml:space="preserve">zařazení </w:t>
      </w:r>
      <w:r>
        <w:t xml:space="preserve">jiné </w:t>
      </w:r>
      <w:r w:rsidRPr="004577CA">
        <w:t>akce</w:t>
      </w:r>
      <w:r w:rsidR="005D42C2" w:rsidRPr="005D42C2">
        <w:t xml:space="preserve"> </w:t>
      </w:r>
      <w:r w:rsidR="005D42C2" w:rsidRPr="004577CA">
        <w:t>s dotací 10</w:t>
      </w:r>
      <w:r w:rsidR="005D42C2">
        <w:t>,</w:t>
      </w:r>
      <w:r w:rsidR="005D42C2" w:rsidRPr="004577CA">
        <w:t>0</w:t>
      </w:r>
      <w:r w:rsidR="005D42C2">
        <w:t xml:space="preserve"> mil.</w:t>
      </w:r>
      <w:r w:rsidR="005D42C2" w:rsidRPr="004577CA">
        <w:t xml:space="preserve"> Kč</w:t>
      </w:r>
      <w:r w:rsidRPr="004577CA">
        <w:t xml:space="preserve">, jejímž předmětem byla rekonstrukce umělého povrchu fotbalového hřiště, bylo rozhodnuto dne 15. 10. 2013. Rozhodnutí </w:t>
      </w:r>
      <w:r w:rsidR="00604AC4">
        <w:t>o </w:t>
      </w:r>
      <w:r w:rsidR="0075571E">
        <w:t>poskytnutí dotace bylo vydáno dne 19. 11. </w:t>
      </w:r>
      <w:r w:rsidRPr="004577CA">
        <w:t>2013 s termínem pro dokončení 30.</w:t>
      </w:r>
      <w:r w:rsidR="005D42C2">
        <w:t> </w:t>
      </w:r>
      <w:r w:rsidRPr="004577CA">
        <w:t>11. 201</w:t>
      </w:r>
      <w:r>
        <w:t>3</w:t>
      </w:r>
      <w:r w:rsidR="00382755">
        <w:t>, tj. </w:t>
      </w:r>
      <w:r w:rsidR="00114029">
        <w:t>za 11 dní</w:t>
      </w:r>
      <w:r>
        <w:t>.</w:t>
      </w:r>
      <w:r w:rsidRPr="004577CA">
        <w:t xml:space="preserve"> </w:t>
      </w:r>
      <w:r>
        <w:t>Tento termín</w:t>
      </w:r>
      <w:r w:rsidRPr="004577CA">
        <w:t xml:space="preserve"> příjemce dodržel.</w:t>
      </w:r>
    </w:p>
    <w:p w14:paraId="4A69C009" w14:textId="77777777" w:rsidR="00FE5C8F" w:rsidRDefault="00FE5C8F" w:rsidP="008E7D88">
      <w:pPr>
        <w:widowControl/>
        <w:rPr>
          <w:rFonts w:cs="Calibri"/>
          <w:szCs w:val="24"/>
        </w:rPr>
      </w:pPr>
    </w:p>
    <w:p w14:paraId="55F8F7E7" w14:textId="379A4398" w:rsidR="00FE5C8F" w:rsidRDefault="00FE5C8F" w:rsidP="008E7D88">
      <w:pPr>
        <w:widowControl/>
      </w:pPr>
      <w:r w:rsidRPr="00B846E2">
        <w:t xml:space="preserve">MŠMT v zásadách Programu 133510, popř. v dokumentu </w:t>
      </w:r>
      <w:r w:rsidRPr="00F408A8">
        <w:rPr>
          <w:i/>
        </w:rPr>
        <w:t>Státní podpora sportu</w:t>
      </w:r>
      <w:r w:rsidR="005D42C2">
        <w:t>,</w:t>
      </w:r>
      <w:r w:rsidRPr="00B846E2">
        <w:t xml:space="preserve"> deklarovalo několik kritérií pro posuzování žádostí. Jednotlivá kritéria však neměla přiřazeny žádné váhy</w:t>
      </w:r>
      <w:r w:rsidR="009E2DCC">
        <w:t xml:space="preserve"> podle významnosti</w:t>
      </w:r>
      <w:r w:rsidRPr="00B846E2">
        <w:t xml:space="preserve">. </w:t>
      </w:r>
      <w:r w:rsidRPr="00B846E2">
        <w:rPr>
          <w:b/>
        </w:rPr>
        <w:t>Nebylo</w:t>
      </w:r>
      <w:r w:rsidRPr="00B846E2">
        <w:t xml:space="preserve"> tak</w:t>
      </w:r>
      <w:r w:rsidRPr="00B846E2">
        <w:rPr>
          <w:b/>
        </w:rPr>
        <w:t xml:space="preserve"> zřejmé, jakým způsobem bude pomocí </w:t>
      </w:r>
      <w:r w:rsidRPr="00B846E2">
        <w:t>těchto</w:t>
      </w:r>
      <w:r w:rsidRPr="00B846E2">
        <w:rPr>
          <w:b/>
        </w:rPr>
        <w:t xml:space="preserve"> kritérií</w:t>
      </w:r>
      <w:r>
        <w:rPr>
          <w:b/>
        </w:rPr>
        <w:t xml:space="preserve"> MŠMT </w:t>
      </w:r>
      <w:r w:rsidRPr="00B846E2">
        <w:rPr>
          <w:b/>
        </w:rPr>
        <w:t>žádosti hodnotit</w:t>
      </w:r>
      <w:r w:rsidRPr="00F408A8">
        <w:rPr>
          <w:b/>
        </w:rPr>
        <w:t>.</w:t>
      </w:r>
    </w:p>
    <w:p w14:paraId="4B4B4291" w14:textId="77777777" w:rsidR="00C95AFF" w:rsidRDefault="00C95AFF" w:rsidP="008E7D88">
      <w:pPr>
        <w:widowControl/>
      </w:pPr>
    </w:p>
    <w:p w14:paraId="214592DD" w14:textId="2C15E6AD" w:rsidR="00C95AFF" w:rsidRPr="009609E4" w:rsidRDefault="00C95AFF" w:rsidP="008E7D88">
      <w:pPr>
        <w:widowControl/>
      </w:pPr>
      <w:r>
        <w:lastRenderedPageBreak/>
        <w:t>V</w:t>
      </w:r>
      <w:r w:rsidRPr="008F05CC">
        <w:rPr>
          <w:sz w:val="20"/>
        </w:rPr>
        <w:t> </w:t>
      </w:r>
      <w:r>
        <w:t xml:space="preserve">dokumentu </w:t>
      </w:r>
      <w:r w:rsidRPr="00F408A8">
        <w:rPr>
          <w:i/>
        </w:rPr>
        <w:t xml:space="preserve">Státní </w:t>
      </w:r>
      <w:r w:rsidRPr="00F408A8">
        <w:rPr>
          <w:i/>
          <w:szCs w:val="24"/>
        </w:rPr>
        <w:t>podpora sportu pro rok 2016</w:t>
      </w:r>
      <w:r w:rsidRPr="00EE176B">
        <w:rPr>
          <w:szCs w:val="24"/>
        </w:rPr>
        <w:t xml:space="preserve"> a</w:t>
      </w:r>
      <w:r w:rsidR="008F05CC" w:rsidRPr="00F408A8">
        <w:rPr>
          <w:szCs w:val="24"/>
        </w:rPr>
        <w:t xml:space="preserve"> </w:t>
      </w:r>
      <w:r w:rsidR="008F05CC" w:rsidRPr="00EE176B">
        <w:rPr>
          <w:szCs w:val="24"/>
        </w:rPr>
        <w:t>v</w:t>
      </w:r>
      <w:r w:rsidR="008F05CC" w:rsidRPr="00F408A8">
        <w:rPr>
          <w:szCs w:val="24"/>
        </w:rPr>
        <w:t xml:space="preserve"> </w:t>
      </w:r>
      <w:r w:rsidRPr="00EE176B">
        <w:rPr>
          <w:szCs w:val="24"/>
        </w:rPr>
        <w:t>zásadách pro rok</w:t>
      </w:r>
      <w:r w:rsidRPr="00F408A8">
        <w:rPr>
          <w:szCs w:val="24"/>
        </w:rPr>
        <w:t xml:space="preserve"> </w:t>
      </w:r>
      <w:r w:rsidRPr="00EE176B">
        <w:rPr>
          <w:szCs w:val="24"/>
        </w:rPr>
        <w:t>2016</w:t>
      </w:r>
      <w:r>
        <w:t xml:space="preserve"> již</w:t>
      </w:r>
      <w:r w:rsidRPr="008F05CC">
        <w:rPr>
          <w:sz w:val="22"/>
        </w:rPr>
        <w:t xml:space="preserve"> </w:t>
      </w:r>
      <w:r>
        <w:t xml:space="preserve">MŠMT vymezilo, jakým způsobem bude podle kritérií, která stanovilo, </w:t>
      </w:r>
      <w:r w:rsidR="00C24A5B">
        <w:t xml:space="preserve">jednotlivé žádosti hodnotit </w:t>
      </w:r>
      <w:r w:rsidR="006275C4">
        <w:t>a </w:t>
      </w:r>
      <w:r>
        <w:t xml:space="preserve">jaké bodové ohodnocení lze </w:t>
      </w:r>
      <w:r w:rsidR="00EE176B">
        <w:t>u</w:t>
      </w:r>
      <w:r>
        <w:t xml:space="preserve"> každé</w:t>
      </w:r>
      <w:r w:rsidR="00EE176B">
        <w:t>ho</w:t>
      </w:r>
      <w:r>
        <w:t xml:space="preserve"> </w:t>
      </w:r>
      <w:r w:rsidR="00C24A5B">
        <w:t>kritéri</w:t>
      </w:r>
      <w:r w:rsidR="00EE176B">
        <w:t>a</w:t>
      </w:r>
      <w:r w:rsidR="00C24A5B">
        <w:t xml:space="preserve"> </w:t>
      </w:r>
      <w:r>
        <w:t>získat.</w:t>
      </w:r>
    </w:p>
    <w:p w14:paraId="051FE821" w14:textId="77777777" w:rsidR="00FE5C8F" w:rsidRDefault="00FE5C8F" w:rsidP="008E7D88">
      <w:pPr>
        <w:widowControl/>
        <w:rPr>
          <w:rFonts w:cs="Calibri"/>
          <w:szCs w:val="24"/>
        </w:rPr>
      </w:pPr>
    </w:p>
    <w:p w14:paraId="3418E42D" w14:textId="04481877" w:rsidR="00FE5C8F" w:rsidRPr="00F408A8" w:rsidRDefault="00FE5C8F" w:rsidP="008E7D88">
      <w:pPr>
        <w:widowControl/>
      </w:pPr>
      <w:r w:rsidRPr="00B846E2">
        <w:t>Zásady Programu 133510 uváděly, že výběr akcí k realizaci provede expertní komise. Z</w:t>
      </w:r>
      <w:r>
        <w:t> </w:t>
      </w:r>
      <w:r w:rsidRPr="00026B13">
        <w:t>předložených zápisů z jednání expertních komisí</w:t>
      </w:r>
      <w:r w:rsidR="00C3301A">
        <w:rPr>
          <w:rStyle w:val="Znakapoznpodarou"/>
        </w:rPr>
        <w:footnoteReference w:id="13"/>
      </w:r>
      <w:r w:rsidRPr="00026B13">
        <w:t>, popř. Národní rady pro sport</w:t>
      </w:r>
      <w:r w:rsidR="00C3301A">
        <w:rPr>
          <w:rStyle w:val="Znakapoznpodarou"/>
        </w:rPr>
        <w:footnoteReference w:id="14"/>
      </w:r>
      <w:r w:rsidR="00CB542F">
        <w:t xml:space="preserve"> a</w:t>
      </w:r>
      <w:r w:rsidR="00FB61B2">
        <w:t> </w:t>
      </w:r>
      <w:r w:rsidR="00EE176B">
        <w:t>z </w:t>
      </w:r>
      <w:r w:rsidRPr="00026B13">
        <w:t>podkladů pro porad</w:t>
      </w:r>
      <w:r w:rsidR="00EE176B">
        <w:t>u</w:t>
      </w:r>
      <w:r w:rsidRPr="00026B13">
        <w:t xml:space="preserve"> vedení </w:t>
      </w:r>
      <w:r w:rsidR="00EE176B">
        <w:t xml:space="preserve">MŠMT </w:t>
      </w:r>
      <w:r w:rsidRPr="00026B13">
        <w:t>vyplývá, že</w:t>
      </w:r>
      <w:r w:rsidR="00EE176B">
        <w:t xml:space="preserve"> </w:t>
      </w:r>
      <w:r w:rsidRPr="00026B13">
        <w:t>expertní</w:t>
      </w:r>
      <w:r w:rsidR="00CB542F">
        <w:t xml:space="preserve"> komise, resp. Národní rada pro</w:t>
      </w:r>
      <w:r w:rsidR="00EE176B">
        <w:t xml:space="preserve"> </w:t>
      </w:r>
      <w:r w:rsidRPr="00026B13">
        <w:t xml:space="preserve">sport projednávaly již připravené návrhy akcí k podpoře, které byly po případných drobných úpravách </w:t>
      </w:r>
      <w:r>
        <w:t>schvalovány</w:t>
      </w:r>
      <w:r w:rsidRPr="00026B13">
        <w:t>. K samotnému hodnocení podle kritérií a výběru akcí k</w:t>
      </w:r>
      <w:r>
        <w:t> </w:t>
      </w:r>
      <w:r w:rsidRPr="00026B13">
        <w:t>podpoře</w:t>
      </w:r>
      <w:r>
        <w:t xml:space="preserve"> komisí</w:t>
      </w:r>
      <w:r w:rsidRPr="00026B13">
        <w:t xml:space="preserve"> tak nedocházelo.</w:t>
      </w:r>
      <w:r w:rsidR="00114029">
        <w:t xml:space="preserve"> </w:t>
      </w:r>
      <w:r w:rsidR="003E6D5E">
        <w:t>MŠMT NKÚ nedoložilo a nesdělilo</w:t>
      </w:r>
      <w:r w:rsidR="00114029">
        <w:t>, kdo</w:t>
      </w:r>
      <w:r w:rsidR="00EE176B">
        <w:t xml:space="preserve"> </w:t>
      </w:r>
      <w:r w:rsidR="00114029">
        <w:t>a</w:t>
      </w:r>
      <w:r w:rsidR="00407FB4">
        <w:t xml:space="preserve"> </w:t>
      </w:r>
      <w:r w:rsidR="00114029">
        <w:t xml:space="preserve">jakým způsobem </w:t>
      </w:r>
      <w:r w:rsidR="008F3E76">
        <w:t>vy</w:t>
      </w:r>
      <w:r w:rsidR="00114029">
        <w:t>pracovával návrhy rozdělení prostředků, kter</w:t>
      </w:r>
      <w:r w:rsidR="008F3E76">
        <w:t>é</w:t>
      </w:r>
      <w:r w:rsidR="00EE176B">
        <w:t xml:space="preserve"> </w:t>
      </w:r>
      <w:r w:rsidR="00114029">
        <w:t xml:space="preserve">následně </w:t>
      </w:r>
      <w:r w:rsidR="008F3E76">
        <w:t>pro</w:t>
      </w:r>
      <w:r w:rsidR="00114029">
        <w:t>jedn</w:t>
      </w:r>
      <w:r w:rsidR="008F3E76">
        <w:t>ala</w:t>
      </w:r>
      <w:r w:rsidR="00114029">
        <w:t xml:space="preserve"> expertní komis</w:t>
      </w:r>
      <w:r w:rsidR="008F3E76">
        <w:t>e</w:t>
      </w:r>
      <w:r w:rsidR="00114029">
        <w:t xml:space="preserve"> či Národní rad</w:t>
      </w:r>
      <w:r w:rsidR="008F3E76">
        <w:t>a</w:t>
      </w:r>
      <w:r w:rsidR="00114029">
        <w:t xml:space="preserve"> pro sport</w:t>
      </w:r>
      <w:r w:rsidR="003E6D5E">
        <w:t>.</w:t>
      </w:r>
      <w:r w:rsidR="00114029">
        <w:rPr>
          <w:i/>
        </w:rPr>
        <w:t xml:space="preserve"> </w:t>
      </w:r>
      <w:r>
        <w:rPr>
          <w:b/>
        </w:rPr>
        <w:t>Není tak</w:t>
      </w:r>
      <w:r w:rsidR="0027391B">
        <w:rPr>
          <w:b/>
        </w:rPr>
        <w:t xml:space="preserve"> </w:t>
      </w:r>
      <w:r>
        <w:rPr>
          <w:b/>
        </w:rPr>
        <w:t xml:space="preserve">zřejmé, jakým způsobem </w:t>
      </w:r>
      <w:r w:rsidR="00C24A5B">
        <w:rPr>
          <w:b/>
        </w:rPr>
        <w:t xml:space="preserve">a zda vůbec </w:t>
      </w:r>
      <w:r>
        <w:rPr>
          <w:b/>
        </w:rPr>
        <w:t xml:space="preserve">byla deklarovaná kritéria </w:t>
      </w:r>
      <w:r w:rsidRPr="00E67BE1">
        <w:rPr>
          <w:b/>
        </w:rPr>
        <w:t>výběru</w:t>
      </w:r>
      <w:r>
        <w:rPr>
          <w:b/>
        </w:rPr>
        <w:t xml:space="preserve"> aplikována.</w:t>
      </w:r>
    </w:p>
    <w:p w14:paraId="39F64FF0" w14:textId="77777777" w:rsidR="00FE5C8F" w:rsidRDefault="00FE5C8F" w:rsidP="008E7D88">
      <w:pPr>
        <w:widowControl/>
        <w:rPr>
          <w:rFonts w:cs="Calibri"/>
          <w:szCs w:val="24"/>
        </w:rPr>
      </w:pPr>
    </w:p>
    <w:p w14:paraId="39658FDE" w14:textId="26E1615E" w:rsidR="00FE5C8F" w:rsidRPr="00E212C0" w:rsidRDefault="00FE5C8F" w:rsidP="008E7D88">
      <w:pPr>
        <w:widowControl/>
      </w:pPr>
      <w:r w:rsidRPr="00E212C0">
        <w:t xml:space="preserve">Vzhledem k uvedenému </w:t>
      </w:r>
      <w:r w:rsidR="00C95AFF">
        <w:t>se jeví</w:t>
      </w:r>
      <w:r w:rsidRPr="00E212C0">
        <w:t xml:space="preserve"> </w:t>
      </w:r>
      <w:r w:rsidRPr="00E212C0">
        <w:rPr>
          <w:b/>
        </w:rPr>
        <w:t>činnost expertních komisí</w:t>
      </w:r>
      <w:r w:rsidRPr="00F408A8">
        <w:rPr>
          <w:b/>
        </w:rPr>
        <w:t>,</w:t>
      </w:r>
      <w:r w:rsidRPr="00E212C0">
        <w:t xml:space="preserve"> resp. Národní rady pro sport v rámci procesu poskytování dotací pouze </w:t>
      </w:r>
      <w:r w:rsidR="0027391B">
        <w:t>jako</w:t>
      </w:r>
      <w:r w:rsidRPr="00E212C0">
        <w:t xml:space="preserve"> </w:t>
      </w:r>
      <w:r w:rsidRPr="00E212C0">
        <w:rPr>
          <w:b/>
        </w:rPr>
        <w:t xml:space="preserve">formální </w:t>
      </w:r>
      <w:r w:rsidRPr="00E212C0">
        <w:t>schvalování</w:t>
      </w:r>
      <w:r w:rsidR="0027391B">
        <w:t xml:space="preserve"> přehledů akcí k podpoře, které</w:t>
      </w:r>
      <w:r w:rsidR="008F3E76">
        <w:t xml:space="preserve"> </w:t>
      </w:r>
      <w:r w:rsidR="008036ED" w:rsidRPr="00E212C0">
        <w:t>byly</w:t>
      </w:r>
      <w:r w:rsidR="008036ED">
        <w:t xml:space="preserve"> </w:t>
      </w:r>
      <w:r w:rsidR="00407FB4">
        <w:t xml:space="preserve">dle vyjádření MŠMT </w:t>
      </w:r>
      <w:r w:rsidRPr="00E212C0">
        <w:t>sestaveny již dříve</w:t>
      </w:r>
      <w:r w:rsidR="009472D6">
        <w:t xml:space="preserve"> v sekci sportu</w:t>
      </w:r>
      <w:r w:rsidRPr="00E212C0">
        <w:t>.</w:t>
      </w:r>
    </w:p>
    <w:p w14:paraId="084CFDC9" w14:textId="77777777" w:rsidR="00FE5C8F" w:rsidRDefault="00FE5C8F" w:rsidP="008E7D88">
      <w:pPr>
        <w:widowControl/>
        <w:rPr>
          <w:rFonts w:cs="Calibri"/>
          <w:szCs w:val="24"/>
        </w:rPr>
      </w:pPr>
    </w:p>
    <w:p w14:paraId="0CB0BC19" w14:textId="03D6F457" w:rsidR="00FE5C8F" w:rsidRPr="00407FB4" w:rsidRDefault="00FE5C8F" w:rsidP="008E7D88">
      <w:pPr>
        <w:widowControl/>
        <w:rPr>
          <w:b/>
          <w:szCs w:val="24"/>
        </w:rPr>
      </w:pPr>
      <w:r w:rsidRPr="00407FB4">
        <w:rPr>
          <w:b/>
          <w:szCs w:val="24"/>
        </w:rPr>
        <w:t>Postup</w:t>
      </w:r>
      <w:r w:rsidRPr="00F408A8">
        <w:rPr>
          <w:b/>
          <w:szCs w:val="24"/>
        </w:rPr>
        <w:t xml:space="preserve"> </w:t>
      </w:r>
      <w:r w:rsidRPr="00407FB4">
        <w:rPr>
          <w:b/>
          <w:szCs w:val="24"/>
        </w:rPr>
        <w:t>výběru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akcí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pro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zařazení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do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Programu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133510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byl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v</w:t>
      </w:r>
      <w:r w:rsidRPr="00F408A8">
        <w:rPr>
          <w:szCs w:val="24"/>
        </w:rPr>
        <w:t> </w:t>
      </w:r>
      <w:r w:rsidRPr="00407FB4">
        <w:rPr>
          <w:b/>
          <w:szCs w:val="24"/>
        </w:rPr>
        <w:t>letech</w:t>
      </w:r>
      <w:r w:rsidRPr="00F408A8">
        <w:rPr>
          <w:szCs w:val="24"/>
        </w:rPr>
        <w:t xml:space="preserve"> </w:t>
      </w:r>
      <w:r w:rsidR="00382755" w:rsidRPr="00407FB4">
        <w:rPr>
          <w:b/>
          <w:szCs w:val="24"/>
        </w:rPr>
        <w:t>201</w:t>
      </w:r>
      <w:r w:rsidR="00A011DB" w:rsidRPr="00407FB4">
        <w:rPr>
          <w:b/>
          <w:szCs w:val="24"/>
        </w:rPr>
        <w:t>3</w:t>
      </w:r>
      <w:r w:rsidR="00382755" w:rsidRPr="00407FB4">
        <w:rPr>
          <w:b/>
          <w:szCs w:val="24"/>
        </w:rPr>
        <w:t>–</w:t>
      </w:r>
      <w:r w:rsidRPr="00407FB4">
        <w:rPr>
          <w:b/>
          <w:szCs w:val="24"/>
        </w:rPr>
        <w:t>2015</w:t>
      </w:r>
      <w:r w:rsidRPr="00F408A8">
        <w:rPr>
          <w:szCs w:val="24"/>
        </w:rPr>
        <w:t xml:space="preserve"> </w:t>
      </w:r>
      <w:r w:rsidRPr="00407FB4">
        <w:rPr>
          <w:b/>
          <w:szCs w:val="24"/>
        </w:rPr>
        <w:t>netransparentní.</w:t>
      </w:r>
    </w:p>
    <w:p w14:paraId="732CC7C5" w14:textId="77777777" w:rsidR="00FE5C8F" w:rsidRDefault="00FE5C8F" w:rsidP="008E7D88">
      <w:pPr>
        <w:widowControl/>
        <w:rPr>
          <w:rFonts w:cs="Calibri"/>
          <w:lang w:eastAsia="en-US"/>
        </w:rPr>
      </w:pPr>
    </w:p>
    <w:p w14:paraId="3CF8B0C8" w14:textId="54862005" w:rsidR="00B00AF2" w:rsidRDefault="000574AB" w:rsidP="008E7D88">
      <w:pPr>
        <w:widowControl/>
        <w:rPr>
          <w:rFonts w:cs="Calibri"/>
          <w:lang w:eastAsia="en-US"/>
        </w:rPr>
      </w:pPr>
      <w:r>
        <w:rPr>
          <w:rFonts w:cs="Calibri"/>
          <w:lang w:eastAsia="en-US"/>
        </w:rPr>
        <w:t>N</w:t>
      </w:r>
      <w:r w:rsidR="00B00AF2">
        <w:rPr>
          <w:rFonts w:cs="Calibri"/>
          <w:lang w:eastAsia="en-US"/>
        </w:rPr>
        <w:t xml:space="preserve">ásledující graf zobrazuje subjekty, které </w:t>
      </w:r>
      <w:r w:rsidR="00396B58">
        <w:rPr>
          <w:rFonts w:cs="Calibri"/>
          <w:lang w:eastAsia="en-US"/>
        </w:rPr>
        <w:t>z Programu 133510 v letech 2013–</w:t>
      </w:r>
      <w:r w:rsidR="00B00AF2">
        <w:rPr>
          <w:rFonts w:cs="Calibri"/>
          <w:lang w:eastAsia="en-US"/>
        </w:rPr>
        <w:t xml:space="preserve">2015 </w:t>
      </w:r>
      <w:r w:rsidR="00BA08BE">
        <w:rPr>
          <w:rFonts w:cs="Calibri"/>
          <w:lang w:eastAsia="en-US"/>
        </w:rPr>
        <w:t xml:space="preserve">získaly </w:t>
      </w:r>
      <w:r w:rsidR="00B00AF2">
        <w:rPr>
          <w:rFonts w:cs="Calibri"/>
          <w:lang w:eastAsia="en-US"/>
        </w:rPr>
        <w:t xml:space="preserve">v souhrnu </w:t>
      </w:r>
      <w:r w:rsidR="00BA08BE">
        <w:rPr>
          <w:rFonts w:cs="Calibri"/>
          <w:lang w:eastAsia="en-US"/>
        </w:rPr>
        <w:t>za</w:t>
      </w:r>
      <w:r w:rsidR="00407FB4">
        <w:rPr>
          <w:rFonts w:cs="Calibri"/>
          <w:lang w:eastAsia="en-US"/>
        </w:rPr>
        <w:t xml:space="preserve"> </w:t>
      </w:r>
      <w:r>
        <w:rPr>
          <w:rFonts w:cs="Calibri"/>
          <w:lang w:eastAsia="en-US"/>
        </w:rPr>
        <w:t>všechny podpořené akce</w:t>
      </w:r>
      <w:r w:rsidR="00BA08BE">
        <w:rPr>
          <w:rFonts w:cs="Calibri"/>
          <w:lang w:eastAsia="en-US"/>
        </w:rPr>
        <w:t xml:space="preserve"> </w:t>
      </w:r>
      <w:r>
        <w:rPr>
          <w:rFonts w:cs="Calibri"/>
          <w:lang w:eastAsia="en-US"/>
        </w:rPr>
        <w:t>20 mil. Kč a více.</w:t>
      </w:r>
    </w:p>
    <w:p w14:paraId="01768AEA" w14:textId="77777777" w:rsidR="000574AB" w:rsidRDefault="000574AB" w:rsidP="008E7D88">
      <w:pPr>
        <w:widowControl/>
        <w:rPr>
          <w:rFonts w:cs="Calibri"/>
          <w:lang w:eastAsia="en-US"/>
        </w:rPr>
      </w:pPr>
    </w:p>
    <w:p w14:paraId="64771534" w14:textId="38873888" w:rsidR="00E70493" w:rsidRDefault="00407FB4" w:rsidP="00F408A8">
      <w:pPr>
        <w:pStyle w:val="Graf"/>
        <w:widowControl/>
        <w:numPr>
          <w:ilvl w:val="0"/>
          <w:numId w:val="0"/>
        </w:numPr>
        <w:ind w:left="964" w:hanging="964"/>
      </w:pPr>
      <w:r>
        <w:t xml:space="preserve">Graf č. 3: </w:t>
      </w:r>
      <w:r>
        <w:tab/>
      </w:r>
      <w:r w:rsidR="005A330B">
        <w:t>Příjemci s ne</w:t>
      </w:r>
      <w:r w:rsidR="000574AB">
        <w:t>jvětší</w:t>
      </w:r>
      <w:r w:rsidR="005A330B">
        <w:t>m</w:t>
      </w:r>
      <w:r w:rsidR="000574AB">
        <w:t xml:space="preserve"> </w:t>
      </w:r>
      <w:r w:rsidR="005A330B">
        <w:t>objemem dotací poskytnutých</w:t>
      </w:r>
      <w:r w:rsidR="000574AB">
        <w:t xml:space="preserve"> z Programu 133510 v letech 2013</w:t>
      </w:r>
      <w:r w:rsidR="00382755">
        <w:t>–</w:t>
      </w:r>
      <w:r w:rsidR="000574AB">
        <w:t>2015</w:t>
      </w:r>
    </w:p>
    <w:p w14:paraId="68B8383B" w14:textId="08C89EEA" w:rsidR="000574AB" w:rsidRDefault="000574AB" w:rsidP="008E7D88">
      <w:pPr>
        <w:widowControl/>
        <w:rPr>
          <w:rFonts w:cs="Calibri"/>
          <w:lang w:eastAsia="en-US"/>
        </w:rPr>
      </w:pPr>
      <w:r>
        <w:rPr>
          <w:rFonts w:cs="Calibri"/>
          <w:noProof/>
        </w:rPr>
        <w:drawing>
          <wp:inline distT="0" distB="0" distL="0" distR="0" wp14:anchorId="1385362D" wp14:editId="590CF375">
            <wp:extent cx="5486400" cy="32004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4C9D17" w14:textId="369095A5" w:rsidR="00075DA8" w:rsidRDefault="00075DA8" w:rsidP="00407FB4">
      <w:pPr>
        <w:pStyle w:val="Poznmka"/>
      </w:pPr>
      <w:r w:rsidRPr="00825BEE">
        <w:rPr>
          <w:b/>
        </w:rPr>
        <w:t>Zdroj:</w:t>
      </w:r>
      <w:r>
        <w:t xml:space="preserve"> </w:t>
      </w:r>
      <w:r w:rsidR="00407FB4">
        <w:t>p</w:t>
      </w:r>
      <w:r>
        <w:t>řehledy poskytnutých dotací</w:t>
      </w:r>
      <w:r w:rsidR="00E01752">
        <w:t xml:space="preserve"> MŠMT</w:t>
      </w:r>
      <w:r w:rsidR="00075B4D">
        <w:t>.</w:t>
      </w:r>
    </w:p>
    <w:p w14:paraId="4C2DB53F" w14:textId="77777777" w:rsidR="00407FB4" w:rsidRDefault="00407FB4" w:rsidP="008E7D88">
      <w:pPr>
        <w:widowControl/>
      </w:pPr>
    </w:p>
    <w:p w14:paraId="02FB4863" w14:textId="0DE79E58" w:rsidR="006525AC" w:rsidRPr="00825BEE" w:rsidRDefault="00225000" w:rsidP="008E7D88">
      <w:pPr>
        <w:widowControl/>
      </w:pPr>
      <w:r>
        <w:lastRenderedPageBreak/>
        <w:t xml:space="preserve">Z hlediska objemu </w:t>
      </w:r>
      <w:r w:rsidR="005A330B">
        <w:t xml:space="preserve">získaných </w:t>
      </w:r>
      <w:r>
        <w:t>dotací ostatní</w:t>
      </w:r>
      <w:r w:rsidR="001E2EC0">
        <w:t xml:space="preserve"> příjemce</w:t>
      </w:r>
      <w:r>
        <w:t xml:space="preserve"> výrazně převyšuj</w:t>
      </w:r>
      <w:r w:rsidR="00B40BC6">
        <w:t>e S</w:t>
      </w:r>
      <w:r w:rsidR="005A330B">
        <w:t>PORTOVNÍ AREÁL PRAHA,</w:t>
      </w:r>
      <w:r w:rsidR="00B40BC6">
        <w:t xml:space="preserve"> spolek.</w:t>
      </w:r>
      <w:r>
        <w:t xml:space="preserve"> </w:t>
      </w:r>
      <w:r w:rsidR="00B40BC6">
        <w:t>V </w:t>
      </w:r>
      <w:r>
        <w:t>kontrolované</w:t>
      </w:r>
      <w:r w:rsidR="00B40BC6">
        <w:t>m</w:t>
      </w:r>
      <w:r>
        <w:t xml:space="preserve"> ob</w:t>
      </w:r>
      <w:r w:rsidR="001E2EC0">
        <w:t xml:space="preserve">dobí získal </w:t>
      </w:r>
      <w:r w:rsidR="00647A01">
        <w:t xml:space="preserve">na realizaci tří akcí </w:t>
      </w:r>
      <w:r w:rsidR="001E2EC0">
        <w:t>téměř 249 mil. Kč</w:t>
      </w:r>
      <w:r w:rsidR="00252898">
        <w:t>, což</w:t>
      </w:r>
      <w:r w:rsidR="00C31F11">
        <w:t xml:space="preserve"> </w:t>
      </w:r>
      <w:r w:rsidR="00647A01">
        <w:t>představuje více než</w:t>
      </w:r>
      <w:r w:rsidR="00407FB4">
        <w:t xml:space="preserve"> </w:t>
      </w:r>
      <w:r w:rsidR="001E2EC0">
        <w:t>11 % celkového objemu prostř</w:t>
      </w:r>
      <w:r w:rsidR="004928CF">
        <w:t>edků poskytnutých v</w:t>
      </w:r>
      <w:r w:rsidR="0087489A">
        <w:t> </w:t>
      </w:r>
      <w:r w:rsidR="004928CF">
        <w:t>letech</w:t>
      </w:r>
      <w:r w:rsidR="0087489A">
        <w:t xml:space="preserve"> </w:t>
      </w:r>
      <w:r w:rsidR="004928CF">
        <w:t>2013–</w:t>
      </w:r>
      <w:r w:rsidR="001E2EC0">
        <w:t xml:space="preserve">2015 </w:t>
      </w:r>
      <w:r w:rsidR="00647A01">
        <w:t>z</w:t>
      </w:r>
      <w:r w:rsidR="0087489A">
        <w:t> </w:t>
      </w:r>
      <w:r w:rsidR="00DC663F">
        <w:t>Programu 133510 téměř třem stům příjemců.</w:t>
      </w:r>
    </w:p>
    <w:p w14:paraId="036C701A" w14:textId="77777777" w:rsidR="008D5700" w:rsidRDefault="008D5700" w:rsidP="008E7D88">
      <w:pPr>
        <w:widowControl/>
        <w:rPr>
          <w:rFonts w:cs="Calibri"/>
          <w:lang w:eastAsia="en-US"/>
        </w:rPr>
      </w:pPr>
    </w:p>
    <w:p w14:paraId="47754EB9" w14:textId="0C0F8EAF" w:rsidR="00FE5C8F" w:rsidRDefault="00927CF3" w:rsidP="008E7D88">
      <w:pPr>
        <w:pStyle w:val="Nadpis3"/>
        <w:widowControl/>
        <w:numPr>
          <w:ilvl w:val="0"/>
          <w:numId w:val="0"/>
        </w:numPr>
        <w:ind w:left="426" w:hanging="426"/>
        <w:rPr>
          <w:lang w:eastAsia="en-US"/>
        </w:rPr>
      </w:pPr>
      <w:r>
        <w:rPr>
          <w:lang w:eastAsia="en-US"/>
        </w:rPr>
        <w:t>3.1</w:t>
      </w:r>
      <w:r>
        <w:rPr>
          <w:lang w:eastAsia="en-US"/>
        </w:rPr>
        <w:tab/>
      </w:r>
      <w:r w:rsidR="00FE5C8F">
        <w:rPr>
          <w:lang w:eastAsia="en-US"/>
        </w:rPr>
        <w:t>Skutečnosti zjištěné na vybraném vzorku akcí</w:t>
      </w:r>
      <w:r w:rsidR="007F1512">
        <w:rPr>
          <w:lang w:eastAsia="en-US"/>
        </w:rPr>
        <w:t xml:space="preserve"> u MŠMT</w:t>
      </w:r>
    </w:p>
    <w:p w14:paraId="7A59D915" w14:textId="6433BA57" w:rsidR="007F1512" w:rsidRDefault="007F1512" w:rsidP="008E7D88">
      <w:pPr>
        <w:widowControl/>
      </w:pPr>
      <w:bookmarkStart w:id="1" w:name="_Toc470079153"/>
      <w:r w:rsidRPr="007F1512">
        <w:t xml:space="preserve">Kontrolou u MŠMT a současně u příjemců dotací byl prověřen vzorek 35 akcí, které byly realizovány 19 příjemci. </w:t>
      </w:r>
      <w:r w:rsidR="00252898">
        <w:t>MŠMT n</w:t>
      </w:r>
      <w:r w:rsidRPr="007F1512">
        <w:t>a tyto akce poskyt</w:t>
      </w:r>
      <w:r w:rsidR="00252898">
        <w:t>l</w:t>
      </w:r>
      <w:r w:rsidRPr="007F1512">
        <w:t>o celkem 518 mil. Kč.</w:t>
      </w:r>
    </w:p>
    <w:p w14:paraId="63E9FE93" w14:textId="77777777" w:rsidR="007F1512" w:rsidRDefault="007F1512" w:rsidP="008E7D88">
      <w:pPr>
        <w:widowControl/>
      </w:pPr>
    </w:p>
    <w:p w14:paraId="22D848A9" w14:textId="18B84094" w:rsidR="004F7943" w:rsidRDefault="007F1512" w:rsidP="008E7D88">
      <w:pPr>
        <w:widowControl/>
      </w:pPr>
      <w:r w:rsidRPr="000C21A4">
        <w:rPr>
          <w:b/>
        </w:rPr>
        <w:t>MŠMT nevyřadi</w:t>
      </w:r>
      <w:r w:rsidR="000C21A4" w:rsidRPr="000C21A4">
        <w:rPr>
          <w:b/>
        </w:rPr>
        <w:t>l</w:t>
      </w:r>
      <w:r w:rsidRPr="000C21A4">
        <w:rPr>
          <w:b/>
        </w:rPr>
        <w:t>o</w:t>
      </w:r>
      <w:r w:rsidR="000C21A4" w:rsidRPr="000C21A4">
        <w:rPr>
          <w:b/>
        </w:rPr>
        <w:t xml:space="preserve"> žádosti, které byly pod</w:t>
      </w:r>
      <w:r w:rsidR="00407FB4">
        <w:rPr>
          <w:b/>
        </w:rPr>
        <w:t>ány</w:t>
      </w:r>
      <w:r w:rsidR="000C21A4" w:rsidRPr="000C21A4">
        <w:rPr>
          <w:b/>
        </w:rPr>
        <w:t xml:space="preserve"> po stanoveném termínu</w:t>
      </w:r>
      <w:r w:rsidR="007E3DD8">
        <w:rPr>
          <w:b/>
        </w:rPr>
        <w:t xml:space="preserve"> nebo</w:t>
      </w:r>
      <w:r w:rsidR="004F7943">
        <w:rPr>
          <w:b/>
        </w:rPr>
        <w:t xml:space="preserve"> byly nekompletní</w:t>
      </w:r>
      <w:bookmarkEnd w:id="1"/>
      <w:r w:rsidR="007E3DD8">
        <w:rPr>
          <w:b/>
        </w:rPr>
        <w:t>.</w:t>
      </w:r>
    </w:p>
    <w:p w14:paraId="5E684D84" w14:textId="5B2E2F2E" w:rsidR="003C7776" w:rsidRDefault="003C7776" w:rsidP="008E7D88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rPr>
          <w:sz w:val="24"/>
        </w:rPr>
      </w:pPr>
      <w:r w:rsidRPr="004F7943">
        <w:rPr>
          <w:sz w:val="24"/>
        </w:rPr>
        <w:t>Ve 12 případech byly žádosti o dotace předloženy MŠMT po stanoveném te</w:t>
      </w:r>
      <w:r w:rsidR="005E5081">
        <w:rPr>
          <w:sz w:val="24"/>
        </w:rPr>
        <w:t>rmínu pro</w:t>
      </w:r>
      <w:r w:rsidR="00EC348B">
        <w:rPr>
          <w:sz w:val="24"/>
        </w:rPr>
        <w:t xml:space="preserve"> </w:t>
      </w:r>
      <w:r w:rsidR="000C21A4" w:rsidRPr="004F7943">
        <w:rPr>
          <w:sz w:val="24"/>
        </w:rPr>
        <w:t>předkládání žádostí o </w:t>
      </w:r>
      <w:r w:rsidRPr="004F7943">
        <w:rPr>
          <w:sz w:val="24"/>
        </w:rPr>
        <w:t>poskytnutí dotace. MŠMT tyto žádosti nevyřadilo a poskytlo na jejich základě dotace v celkové výši 315</w:t>
      </w:r>
      <w:r w:rsidR="00D110DA" w:rsidRPr="004F7943">
        <w:rPr>
          <w:sz w:val="24"/>
        </w:rPr>
        <w:t>,8 mil.</w:t>
      </w:r>
      <w:r w:rsidRPr="004F7943">
        <w:rPr>
          <w:sz w:val="24"/>
        </w:rPr>
        <w:t xml:space="preserve"> Kč.</w:t>
      </w:r>
    </w:p>
    <w:p w14:paraId="62729DCA" w14:textId="2A7F3760" w:rsidR="003C7776" w:rsidRPr="004F7943" w:rsidRDefault="004F7943" w:rsidP="008E7D88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rPr>
          <w:sz w:val="24"/>
        </w:rPr>
      </w:pPr>
      <w:r w:rsidRPr="004F7943">
        <w:rPr>
          <w:sz w:val="24"/>
        </w:rPr>
        <w:t>V</w:t>
      </w:r>
      <w:r w:rsidR="003C7776" w:rsidRPr="004F7943">
        <w:rPr>
          <w:sz w:val="24"/>
        </w:rPr>
        <w:t>e 14 případech</w:t>
      </w:r>
      <w:r w:rsidRPr="004F7943">
        <w:rPr>
          <w:sz w:val="24"/>
        </w:rPr>
        <w:t xml:space="preserve"> nebyl v dokumentaci akcí dolož</w:t>
      </w:r>
      <w:r w:rsidR="005E5081">
        <w:rPr>
          <w:sz w:val="24"/>
        </w:rPr>
        <w:t>en okamžik předložení žádosti o </w:t>
      </w:r>
      <w:r w:rsidRPr="004F7943">
        <w:rPr>
          <w:sz w:val="24"/>
        </w:rPr>
        <w:t xml:space="preserve">poskytnutí dotace. MŠMT popsaný a doložený systém evidování žádostí o dotace nelze považovat za průkazný. </w:t>
      </w:r>
      <w:r w:rsidR="0087489A" w:rsidRPr="004F7943">
        <w:rPr>
          <w:sz w:val="24"/>
        </w:rPr>
        <w:t xml:space="preserve">MŠMT </w:t>
      </w:r>
      <w:r w:rsidR="0087489A">
        <w:rPr>
          <w:sz w:val="24"/>
        </w:rPr>
        <w:t>na ty</w:t>
      </w:r>
      <w:r w:rsidRPr="004F7943">
        <w:rPr>
          <w:sz w:val="24"/>
        </w:rPr>
        <w:t>to akc</w:t>
      </w:r>
      <w:r w:rsidR="0087489A">
        <w:rPr>
          <w:sz w:val="24"/>
        </w:rPr>
        <w:t>e</w:t>
      </w:r>
      <w:r w:rsidRPr="004F7943">
        <w:rPr>
          <w:sz w:val="24"/>
        </w:rPr>
        <w:t xml:space="preserve"> </w:t>
      </w:r>
      <w:r w:rsidR="003C7776" w:rsidRPr="004F7943">
        <w:rPr>
          <w:sz w:val="24"/>
        </w:rPr>
        <w:t>poskytlo dotace v celkové výši 99</w:t>
      </w:r>
      <w:r>
        <w:rPr>
          <w:sz w:val="24"/>
        </w:rPr>
        <w:t>,</w:t>
      </w:r>
      <w:r w:rsidR="003C7776" w:rsidRPr="004F7943">
        <w:rPr>
          <w:sz w:val="24"/>
        </w:rPr>
        <w:t>6</w:t>
      </w:r>
      <w:r>
        <w:rPr>
          <w:sz w:val="24"/>
        </w:rPr>
        <w:t xml:space="preserve"> mil. Kč.</w:t>
      </w:r>
    </w:p>
    <w:p w14:paraId="621C2A3E" w14:textId="66FEB958" w:rsidR="003C7776" w:rsidRPr="00822F41" w:rsidRDefault="00822F41" w:rsidP="008E7D88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rPr>
          <w:sz w:val="24"/>
        </w:rPr>
      </w:pPr>
      <w:r w:rsidRPr="00822F41">
        <w:rPr>
          <w:sz w:val="24"/>
        </w:rPr>
        <w:t>S</w:t>
      </w:r>
      <w:r w:rsidR="00C24A5B">
        <w:rPr>
          <w:sz w:val="24"/>
        </w:rPr>
        <w:t>ložky vybraného vzorku akcí ve</w:t>
      </w:r>
      <w:r w:rsidRPr="00822F41">
        <w:rPr>
          <w:sz w:val="24"/>
        </w:rPr>
        <w:t xml:space="preserve"> 30 případech</w:t>
      </w:r>
      <w:r>
        <w:rPr>
          <w:sz w:val="24"/>
        </w:rPr>
        <w:t xml:space="preserve"> neobsahovaly povinné doklady k </w:t>
      </w:r>
      <w:r w:rsidR="003C7776" w:rsidRPr="00822F41">
        <w:rPr>
          <w:sz w:val="24"/>
        </w:rPr>
        <w:t xml:space="preserve">žádostem, příp. </w:t>
      </w:r>
      <w:r w:rsidRPr="00822F41">
        <w:rPr>
          <w:sz w:val="24"/>
        </w:rPr>
        <w:t xml:space="preserve">je </w:t>
      </w:r>
      <w:r w:rsidR="003C7776" w:rsidRPr="00822F41">
        <w:rPr>
          <w:sz w:val="24"/>
        </w:rPr>
        <w:t xml:space="preserve">obsahovaly v nesprávné formě, </w:t>
      </w:r>
      <w:r w:rsidR="00EC348B">
        <w:rPr>
          <w:sz w:val="24"/>
        </w:rPr>
        <w:t>příp.</w:t>
      </w:r>
      <w:r w:rsidR="00510852">
        <w:rPr>
          <w:sz w:val="24"/>
        </w:rPr>
        <w:t xml:space="preserve"> </w:t>
      </w:r>
      <w:r w:rsidR="00EC348B">
        <w:rPr>
          <w:sz w:val="24"/>
        </w:rPr>
        <w:t xml:space="preserve">byly </w:t>
      </w:r>
      <w:r w:rsidR="00510852">
        <w:rPr>
          <w:sz w:val="24"/>
        </w:rPr>
        <w:t>tyto doklady doloženy</w:t>
      </w:r>
      <w:r w:rsidR="00C24A5B">
        <w:rPr>
          <w:sz w:val="24"/>
        </w:rPr>
        <w:t xml:space="preserve"> až</w:t>
      </w:r>
      <w:r w:rsidR="00510852">
        <w:rPr>
          <w:sz w:val="24"/>
        </w:rPr>
        <w:t xml:space="preserve"> po</w:t>
      </w:r>
      <w:r w:rsidR="00EC348B">
        <w:rPr>
          <w:sz w:val="24"/>
        </w:rPr>
        <w:t xml:space="preserve"> </w:t>
      </w:r>
      <w:r w:rsidR="003C7776" w:rsidRPr="00822F41">
        <w:rPr>
          <w:sz w:val="24"/>
        </w:rPr>
        <w:t>termínu určeném pro</w:t>
      </w:r>
      <w:r w:rsidR="0087489A">
        <w:rPr>
          <w:sz w:val="24"/>
        </w:rPr>
        <w:t xml:space="preserve"> </w:t>
      </w:r>
      <w:r w:rsidR="003C7776" w:rsidRPr="00822F41">
        <w:rPr>
          <w:sz w:val="24"/>
        </w:rPr>
        <w:t>předkládání žádostí o dotace. MŠMT tyto žádosti</w:t>
      </w:r>
      <w:r w:rsidR="00C24A5B">
        <w:rPr>
          <w:sz w:val="24"/>
        </w:rPr>
        <w:t xml:space="preserve"> nevyřadilo a</w:t>
      </w:r>
      <w:r w:rsidR="0087489A">
        <w:rPr>
          <w:sz w:val="24"/>
        </w:rPr>
        <w:t xml:space="preserve"> </w:t>
      </w:r>
      <w:r w:rsidR="003C7776" w:rsidRPr="00822F41">
        <w:rPr>
          <w:sz w:val="24"/>
        </w:rPr>
        <w:t>poskytlo na jejich základě dotace v celkové výši 481</w:t>
      </w:r>
      <w:r w:rsidRPr="00822F41">
        <w:rPr>
          <w:sz w:val="24"/>
        </w:rPr>
        <w:t>,</w:t>
      </w:r>
      <w:r w:rsidR="003C7776" w:rsidRPr="00822F41">
        <w:rPr>
          <w:sz w:val="24"/>
        </w:rPr>
        <w:t>8</w:t>
      </w:r>
      <w:r w:rsidRPr="00822F41">
        <w:rPr>
          <w:sz w:val="24"/>
        </w:rPr>
        <w:t xml:space="preserve"> mil.</w:t>
      </w:r>
      <w:r w:rsidR="003C7776" w:rsidRPr="00822F41">
        <w:rPr>
          <w:sz w:val="24"/>
        </w:rPr>
        <w:t xml:space="preserve"> Kč.</w:t>
      </w:r>
    </w:p>
    <w:p w14:paraId="6D8D80E2" w14:textId="77777777" w:rsidR="007E3DD8" w:rsidRDefault="007E3DD8" w:rsidP="008E7D88">
      <w:pPr>
        <w:widowControl/>
        <w:rPr>
          <w:b/>
        </w:rPr>
      </w:pPr>
    </w:p>
    <w:p w14:paraId="689661AC" w14:textId="77777777" w:rsidR="003C7776" w:rsidRDefault="007E3DD8" w:rsidP="008E7D88">
      <w:pPr>
        <w:widowControl/>
      </w:pPr>
      <w:r>
        <w:rPr>
          <w:b/>
        </w:rPr>
        <w:t xml:space="preserve">MŠMT poskytlo dotace žadatelům, kteří </w:t>
      </w:r>
      <w:proofErr w:type="gramStart"/>
      <w:r>
        <w:rPr>
          <w:b/>
        </w:rPr>
        <w:t>nesplňovali</w:t>
      </w:r>
      <w:proofErr w:type="gramEnd"/>
      <w:r>
        <w:rPr>
          <w:b/>
        </w:rPr>
        <w:t xml:space="preserve"> předpoklady</w:t>
      </w:r>
      <w:r w:rsidR="003006CC">
        <w:rPr>
          <w:b/>
        </w:rPr>
        <w:t xml:space="preserve"> pro zařazení do Programu 133510</w:t>
      </w:r>
      <w:r>
        <w:rPr>
          <w:b/>
        </w:rPr>
        <w:t xml:space="preserve">. </w:t>
      </w:r>
      <w:r>
        <w:t xml:space="preserve">MŠMT </w:t>
      </w:r>
      <w:proofErr w:type="gramStart"/>
      <w:r>
        <w:t>stanovilo</w:t>
      </w:r>
      <w:proofErr w:type="gramEnd"/>
      <w:r>
        <w:t xml:space="preserve"> v z</w:t>
      </w:r>
      <w:r w:rsidR="003C7776" w:rsidRPr="006A034D">
        <w:t>ásadách Programu 133510 podmínky podpory</w:t>
      </w:r>
      <w:r w:rsidR="003C7776">
        <w:t>, a</w:t>
      </w:r>
      <w:r w:rsidR="003C7776" w:rsidRPr="006A034D">
        <w:t xml:space="preserve"> </w:t>
      </w:r>
      <w:r w:rsidR="003C7776">
        <w:t xml:space="preserve">přesto </w:t>
      </w:r>
      <w:r w:rsidR="003C7776" w:rsidRPr="006A034D">
        <w:t xml:space="preserve">následně poskytovalo dotace </w:t>
      </w:r>
      <w:r w:rsidR="003C7776">
        <w:t xml:space="preserve">žadatelům, kteří </w:t>
      </w:r>
      <w:r>
        <w:t>je</w:t>
      </w:r>
      <w:r w:rsidR="003C7776">
        <w:t xml:space="preserve"> nesplňovali</w:t>
      </w:r>
      <w:r w:rsidR="003C7776" w:rsidRPr="006A034D">
        <w:t>.</w:t>
      </w:r>
      <w:r w:rsidR="003C7776">
        <w:t xml:space="preserve"> Nedodržení podmínek se týkalo těchto oblastí:</w:t>
      </w:r>
    </w:p>
    <w:p w14:paraId="6C2E0230" w14:textId="77777777" w:rsidR="008136C2" w:rsidRPr="00675498" w:rsidRDefault="003C7776" w:rsidP="008E7D88">
      <w:pPr>
        <w:widowControl/>
        <w:spacing w:before="120"/>
        <w:rPr>
          <w:u w:val="single"/>
        </w:rPr>
      </w:pPr>
      <w:r w:rsidRPr="00675498">
        <w:rPr>
          <w:u w:val="single"/>
        </w:rPr>
        <w:t>Vztahy k předmětným nemovitostem</w:t>
      </w:r>
    </w:p>
    <w:p w14:paraId="3C16CB32" w14:textId="372B5C98" w:rsidR="008136C2" w:rsidRPr="008136C2" w:rsidRDefault="008136C2" w:rsidP="00F408A8">
      <w:pPr>
        <w:widowControl/>
        <w:spacing w:after="120"/>
        <w:rPr>
          <w:szCs w:val="24"/>
        </w:rPr>
      </w:pPr>
      <w:r w:rsidRPr="008136C2">
        <w:rPr>
          <w:szCs w:val="24"/>
        </w:rPr>
        <w:t xml:space="preserve">MŠMT poskytlo </w:t>
      </w:r>
      <w:r w:rsidR="003C7776" w:rsidRPr="008136C2">
        <w:rPr>
          <w:szCs w:val="24"/>
        </w:rPr>
        <w:t>dotac</w:t>
      </w:r>
      <w:r>
        <w:rPr>
          <w:szCs w:val="24"/>
        </w:rPr>
        <w:t>e v celkové</w:t>
      </w:r>
      <w:r w:rsidR="003C7776" w:rsidRPr="008136C2">
        <w:rPr>
          <w:szCs w:val="24"/>
        </w:rPr>
        <w:t xml:space="preserve"> výši </w:t>
      </w:r>
      <w:r w:rsidRPr="008136C2">
        <w:rPr>
          <w:szCs w:val="24"/>
        </w:rPr>
        <w:t>2</w:t>
      </w:r>
      <w:r w:rsidR="003C7776" w:rsidRPr="008136C2">
        <w:rPr>
          <w:szCs w:val="24"/>
        </w:rPr>
        <w:t>6</w:t>
      </w:r>
      <w:r w:rsidRPr="008136C2">
        <w:rPr>
          <w:szCs w:val="24"/>
        </w:rPr>
        <w:t xml:space="preserve">,6 mil. </w:t>
      </w:r>
      <w:r w:rsidR="003C7776" w:rsidRPr="008136C2">
        <w:rPr>
          <w:szCs w:val="24"/>
        </w:rPr>
        <w:t xml:space="preserve">Kč </w:t>
      </w:r>
      <w:r w:rsidRPr="008136C2">
        <w:rPr>
          <w:szCs w:val="24"/>
        </w:rPr>
        <w:t xml:space="preserve">na dvě akce, přestože žadatelé nebyli vlastníky pozemků, na kterých měly být realizovány nové stavby </w:t>
      </w:r>
      <w:r w:rsidR="0087489A">
        <w:rPr>
          <w:szCs w:val="24"/>
        </w:rPr>
        <w:t>– tento postup byl v rozporu se</w:t>
      </w:r>
      <w:r w:rsidRPr="008136C2">
        <w:rPr>
          <w:szCs w:val="24"/>
        </w:rPr>
        <w:t xml:space="preserve"> zásad</w:t>
      </w:r>
      <w:r w:rsidR="0087489A">
        <w:rPr>
          <w:szCs w:val="24"/>
        </w:rPr>
        <w:t>ami</w:t>
      </w:r>
      <w:r w:rsidRPr="008136C2">
        <w:rPr>
          <w:szCs w:val="24"/>
        </w:rPr>
        <w:t xml:space="preserve"> Programu 133510.</w:t>
      </w:r>
    </w:p>
    <w:p w14:paraId="517E1C66" w14:textId="45775A8B" w:rsidR="008136C2" w:rsidRPr="008136C2" w:rsidRDefault="003C7776" w:rsidP="00F408A8">
      <w:pPr>
        <w:widowControl/>
        <w:spacing w:after="120"/>
        <w:rPr>
          <w:szCs w:val="24"/>
        </w:rPr>
      </w:pPr>
      <w:r w:rsidRPr="008136C2">
        <w:rPr>
          <w:szCs w:val="24"/>
        </w:rPr>
        <w:t>MŠMT poskytlo dotaci ve výši 9</w:t>
      </w:r>
      <w:r w:rsidR="008136C2" w:rsidRPr="008136C2">
        <w:rPr>
          <w:szCs w:val="24"/>
        </w:rPr>
        <w:t>,0 mil.</w:t>
      </w:r>
      <w:r w:rsidRPr="008136C2">
        <w:rPr>
          <w:szCs w:val="24"/>
        </w:rPr>
        <w:t xml:space="preserve"> Kč</w:t>
      </w:r>
      <w:r w:rsidR="008136C2" w:rsidRPr="008136C2">
        <w:rPr>
          <w:szCs w:val="24"/>
        </w:rPr>
        <w:t xml:space="preserve">, aniž by </w:t>
      </w:r>
      <w:r w:rsidR="00F408A8">
        <w:rPr>
          <w:szCs w:val="24"/>
        </w:rPr>
        <w:t>žadatel</w:t>
      </w:r>
      <w:r w:rsidR="008136C2" w:rsidRPr="008136C2">
        <w:rPr>
          <w:szCs w:val="24"/>
        </w:rPr>
        <w:t xml:space="preserve"> doložil, </w:t>
      </w:r>
      <w:r w:rsidRPr="008136C2">
        <w:rPr>
          <w:szCs w:val="24"/>
        </w:rPr>
        <w:t>že je oprávněn všechny pozemky související s projektem dlouhodobě využívat.</w:t>
      </w:r>
    </w:p>
    <w:p w14:paraId="6E1449B9" w14:textId="009E6B25" w:rsidR="003C7776" w:rsidRPr="008136C2" w:rsidRDefault="003C7776" w:rsidP="008E7D88">
      <w:pPr>
        <w:widowControl/>
        <w:rPr>
          <w:szCs w:val="24"/>
        </w:rPr>
      </w:pPr>
      <w:r w:rsidRPr="008136C2">
        <w:rPr>
          <w:szCs w:val="24"/>
        </w:rPr>
        <w:t xml:space="preserve">MŠMT </w:t>
      </w:r>
      <w:r w:rsidR="008136C2">
        <w:rPr>
          <w:szCs w:val="24"/>
        </w:rPr>
        <w:t xml:space="preserve">v rozporu se zásadami Programu 133510 </w:t>
      </w:r>
      <w:r w:rsidR="0087489A" w:rsidRPr="008136C2">
        <w:rPr>
          <w:szCs w:val="24"/>
        </w:rPr>
        <w:t xml:space="preserve">poskytlo </w:t>
      </w:r>
      <w:r w:rsidRPr="008136C2">
        <w:rPr>
          <w:szCs w:val="24"/>
        </w:rPr>
        <w:t>dotace v celkové výši 18</w:t>
      </w:r>
      <w:r w:rsidR="008136C2">
        <w:rPr>
          <w:szCs w:val="24"/>
        </w:rPr>
        <w:t>,3</w:t>
      </w:r>
      <w:r w:rsidR="0087489A">
        <w:rPr>
          <w:szCs w:val="24"/>
        </w:rPr>
        <w:t> </w:t>
      </w:r>
      <w:r w:rsidR="008136C2">
        <w:rPr>
          <w:szCs w:val="24"/>
        </w:rPr>
        <w:t>mil.</w:t>
      </w:r>
      <w:r w:rsidR="0087489A">
        <w:rPr>
          <w:szCs w:val="24"/>
        </w:rPr>
        <w:t> </w:t>
      </w:r>
      <w:r w:rsidRPr="008136C2">
        <w:rPr>
          <w:szCs w:val="24"/>
        </w:rPr>
        <w:t xml:space="preserve">Kč </w:t>
      </w:r>
      <w:r w:rsidR="00ED44CB">
        <w:rPr>
          <w:szCs w:val="24"/>
        </w:rPr>
        <w:t>na</w:t>
      </w:r>
      <w:r w:rsidR="0087489A">
        <w:rPr>
          <w:szCs w:val="24"/>
        </w:rPr>
        <w:t xml:space="preserve"> </w:t>
      </w:r>
      <w:r w:rsidR="008136C2">
        <w:rPr>
          <w:szCs w:val="24"/>
        </w:rPr>
        <w:t>dvě akce</w:t>
      </w:r>
      <w:r w:rsidRPr="008136C2">
        <w:rPr>
          <w:szCs w:val="24"/>
        </w:rPr>
        <w:t>, je</w:t>
      </w:r>
      <w:r w:rsidR="008136C2">
        <w:rPr>
          <w:szCs w:val="24"/>
        </w:rPr>
        <w:t>jichž</w:t>
      </w:r>
      <w:r w:rsidRPr="008136C2">
        <w:rPr>
          <w:szCs w:val="24"/>
        </w:rPr>
        <w:t xml:space="preserve"> cílem byla rekonstrukce objektu, na který </w:t>
      </w:r>
      <w:r w:rsidR="008136C2">
        <w:rPr>
          <w:szCs w:val="24"/>
        </w:rPr>
        <w:t>bylo</w:t>
      </w:r>
      <w:r w:rsidRPr="008136C2">
        <w:rPr>
          <w:szCs w:val="24"/>
        </w:rPr>
        <w:t xml:space="preserve"> vázáno zástavní právo.</w:t>
      </w:r>
    </w:p>
    <w:p w14:paraId="1B5D21CA" w14:textId="77777777" w:rsidR="003C7776" w:rsidRPr="00675498" w:rsidRDefault="003C7776" w:rsidP="008E7D88">
      <w:pPr>
        <w:widowControl/>
        <w:spacing w:before="120"/>
        <w:rPr>
          <w:u w:val="single"/>
        </w:rPr>
      </w:pPr>
      <w:r w:rsidRPr="00675498">
        <w:rPr>
          <w:u w:val="single"/>
        </w:rPr>
        <w:t>Nevyrovnané závazky se státním rozpočtem</w:t>
      </w:r>
    </w:p>
    <w:p w14:paraId="5EE6054B" w14:textId="2CE2A073" w:rsidR="003C7776" w:rsidRPr="008136C2" w:rsidRDefault="003C7776" w:rsidP="008E7D88">
      <w:pPr>
        <w:widowControl/>
      </w:pPr>
      <w:r w:rsidRPr="008136C2">
        <w:t xml:space="preserve">MŠMT </w:t>
      </w:r>
      <w:r w:rsidR="008136C2" w:rsidRPr="008136C2">
        <w:t xml:space="preserve">v rozporu se zásadami Programu 133510 </w:t>
      </w:r>
      <w:r w:rsidR="004154F5" w:rsidRPr="008136C2">
        <w:t xml:space="preserve">poskytlo </w:t>
      </w:r>
      <w:r w:rsidR="008136C2" w:rsidRPr="008136C2">
        <w:t>dotace</w:t>
      </w:r>
      <w:r w:rsidRPr="008136C2">
        <w:t xml:space="preserve"> v</w:t>
      </w:r>
      <w:r w:rsidR="008136C2" w:rsidRPr="008136C2">
        <w:t xml:space="preserve"> celkové</w:t>
      </w:r>
      <w:r w:rsidRPr="008136C2">
        <w:t xml:space="preserve"> výši </w:t>
      </w:r>
      <w:r w:rsidR="008136C2" w:rsidRPr="008136C2">
        <w:t>15,0 mil.</w:t>
      </w:r>
      <w:r w:rsidRPr="008136C2">
        <w:t xml:space="preserve"> Kč</w:t>
      </w:r>
      <w:r w:rsidR="008136C2" w:rsidRPr="008136C2">
        <w:t xml:space="preserve"> </w:t>
      </w:r>
      <w:r w:rsidR="00ED44CB">
        <w:t>na</w:t>
      </w:r>
      <w:r w:rsidR="004154F5">
        <w:t xml:space="preserve"> </w:t>
      </w:r>
      <w:r w:rsidR="008136C2" w:rsidRPr="008136C2">
        <w:t>tři akce, pře</w:t>
      </w:r>
      <w:r w:rsidRPr="008136C2">
        <w:t>stože žadatelé měli v době podání žádosti nevyrovnané závazky se státním rozpočtem.</w:t>
      </w:r>
    </w:p>
    <w:p w14:paraId="3965EFF4" w14:textId="77777777" w:rsidR="00ED44CB" w:rsidRDefault="00ED44CB" w:rsidP="008E7D88">
      <w:pPr>
        <w:widowControl/>
      </w:pPr>
    </w:p>
    <w:p w14:paraId="16B33816" w14:textId="72521034" w:rsidR="00887618" w:rsidRDefault="00887618" w:rsidP="008E7D88">
      <w:pPr>
        <w:widowControl/>
      </w:pPr>
      <w:r>
        <w:rPr>
          <w:b/>
        </w:rPr>
        <w:t xml:space="preserve">MŠMT poskytlo dotaci na akce, </w:t>
      </w:r>
      <w:r w:rsidR="00114029">
        <w:rPr>
          <w:b/>
        </w:rPr>
        <w:t xml:space="preserve">jejichž </w:t>
      </w:r>
      <w:r w:rsidR="00F542E8">
        <w:rPr>
          <w:b/>
        </w:rPr>
        <w:t>účel</w:t>
      </w:r>
      <w:r w:rsidR="00114029">
        <w:rPr>
          <w:b/>
        </w:rPr>
        <w:t xml:space="preserve"> byl</w:t>
      </w:r>
      <w:r w:rsidRPr="003C7776">
        <w:rPr>
          <w:b/>
        </w:rPr>
        <w:t xml:space="preserve"> </w:t>
      </w:r>
      <w:r w:rsidR="00114029">
        <w:rPr>
          <w:b/>
        </w:rPr>
        <w:t xml:space="preserve">v rozporu </w:t>
      </w:r>
      <w:r>
        <w:rPr>
          <w:b/>
        </w:rPr>
        <w:t>s cíli</w:t>
      </w:r>
      <w:r w:rsidRPr="003C7776">
        <w:rPr>
          <w:b/>
        </w:rPr>
        <w:t xml:space="preserve"> Programu 133510</w:t>
      </w:r>
      <w:r>
        <w:rPr>
          <w:b/>
        </w:rPr>
        <w:t xml:space="preserve">. </w:t>
      </w:r>
      <w:r w:rsidRPr="003F2DA1">
        <w:t>Program 133510 je určen na financování investic do spo</w:t>
      </w:r>
      <w:r>
        <w:t xml:space="preserve">rtovních zařízení a sportovišť. </w:t>
      </w:r>
      <w:r w:rsidRPr="00322B18">
        <w:t>MŠMT</w:t>
      </w:r>
      <w:r>
        <w:t xml:space="preserve"> v rámci tohoto programu mj. poskytlo:</w:t>
      </w:r>
    </w:p>
    <w:p w14:paraId="747B72AA" w14:textId="3F4E669C" w:rsidR="00887618" w:rsidRPr="00832633" w:rsidRDefault="0087489A" w:rsidP="008E7D88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887618" w:rsidRPr="00832633">
        <w:rPr>
          <w:sz w:val="24"/>
          <w:szCs w:val="24"/>
        </w:rPr>
        <w:t>otaci ve výši 1</w:t>
      </w:r>
      <w:r w:rsidR="003A3420">
        <w:rPr>
          <w:sz w:val="24"/>
          <w:szCs w:val="24"/>
        </w:rPr>
        <w:t>,3 mil.</w:t>
      </w:r>
      <w:r w:rsidR="00887618" w:rsidRPr="00832633">
        <w:rPr>
          <w:sz w:val="24"/>
          <w:szCs w:val="24"/>
        </w:rPr>
        <w:t xml:space="preserve"> Kč </w:t>
      </w:r>
      <w:r w:rsidR="003A3420">
        <w:rPr>
          <w:sz w:val="24"/>
          <w:szCs w:val="24"/>
        </w:rPr>
        <w:t>na projekt, který spočíval v </w:t>
      </w:r>
      <w:r w:rsidR="00A90CF9">
        <w:rPr>
          <w:sz w:val="24"/>
          <w:szCs w:val="24"/>
        </w:rPr>
        <w:t>pořízení informační a</w:t>
      </w:r>
      <w:r w:rsidR="001A604B">
        <w:rPr>
          <w:sz w:val="24"/>
          <w:szCs w:val="24"/>
        </w:rPr>
        <w:t xml:space="preserve"> </w:t>
      </w:r>
      <w:r w:rsidR="00887618" w:rsidRPr="00832633">
        <w:rPr>
          <w:sz w:val="24"/>
          <w:szCs w:val="24"/>
        </w:rPr>
        <w:t xml:space="preserve">reprodukční techniky, </w:t>
      </w:r>
      <w:r w:rsidR="00873C98">
        <w:rPr>
          <w:sz w:val="24"/>
          <w:szCs w:val="24"/>
        </w:rPr>
        <w:t>zejména počítačů a kopírek</w:t>
      </w:r>
      <w:r>
        <w:rPr>
          <w:sz w:val="24"/>
          <w:szCs w:val="24"/>
        </w:rPr>
        <w:t>;</w:t>
      </w:r>
    </w:p>
    <w:p w14:paraId="3EEAD952" w14:textId="005C2C45" w:rsidR="00887618" w:rsidRPr="00832633" w:rsidRDefault="0087489A" w:rsidP="008E7D88">
      <w:pPr>
        <w:pStyle w:val="Odstavecseseznamem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3A3420">
        <w:rPr>
          <w:sz w:val="24"/>
          <w:szCs w:val="24"/>
        </w:rPr>
        <w:t>otace</w:t>
      </w:r>
      <w:r w:rsidR="00887618" w:rsidRPr="00832633">
        <w:rPr>
          <w:sz w:val="24"/>
          <w:szCs w:val="24"/>
        </w:rPr>
        <w:t xml:space="preserve"> v celkové výši 6</w:t>
      </w:r>
      <w:r w:rsidR="00C24A5B">
        <w:rPr>
          <w:sz w:val="24"/>
          <w:szCs w:val="24"/>
        </w:rPr>
        <w:t>,</w:t>
      </w:r>
      <w:r w:rsidR="00887618" w:rsidRPr="00832633">
        <w:rPr>
          <w:sz w:val="24"/>
          <w:szCs w:val="24"/>
        </w:rPr>
        <w:t xml:space="preserve">0 </w:t>
      </w:r>
      <w:r w:rsidR="00C24A5B">
        <w:rPr>
          <w:sz w:val="24"/>
          <w:szCs w:val="24"/>
        </w:rPr>
        <w:t xml:space="preserve">mil. </w:t>
      </w:r>
      <w:r w:rsidR="00887618" w:rsidRPr="00832633">
        <w:rPr>
          <w:sz w:val="24"/>
          <w:szCs w:val="24"/>
        </w:rPr>
        <w:t xml:space="preserve">Kč na </w:t>
      </w:r>
      <w:r w:rsidR="003A3420">
        <w:rPr>
          <w:sz w:val="24"/>
          <w:szCs w:val="24"/>
        </w:rPr>
        <w:t>dvě akce, jejichž předmětem byly investice do</w:t>
      </w:r>
      <w:r w:rsidR="001A604B">
        <w:rPr>
          <w:sz w:val="24"/>
          <w:szCs w:val="24"/>
        </w:rPr>
        <w:t xml:space="preserve"> </w:t>
      </w:r>
      <w:r w:rsidR="003A3420">
        <w:rPr>
          <w:sz w:val="24"/>
          <w:szCs w:val="24"/>
        </w:rPr>
        <w:t>vzduchotechniky v budově</w:t>
      </w:r>
      <w:r w:rsidR="00887618" w:rsidRPr="00832633">
        <w:rPr>
          <w:sz w:val="24"/>
          <w:szCs w:val="24"/>
        </w:rPr>
        <w:t xml:space="preserve"> sídla </w:t>
      </w:r>
      <w:r w:rsidR="00873C98">
        <w:rPr>
          <w:sz w:val="24"/>
          <w:szCs w:val="24"/>
        </w:rPr>
        <w:t>organizace, která není sportovním zařízením</w:t>
      </w:r>
      <w:r>
        <w:rPr>
          <w:sz w:val="24"/>
          <w:szCs w:val="24"/>
        </w:rPr>
        <w:t>;</w:t>
      </w:r>
    </w:p>
    <w:p w14:paraId="529FF87A" w14:textId="67B7891E" w:rsidR="00887618" w:rsidRPr="00832633" w:rsidRDefault="0087489A" w:rsidP="00F408A8">
      <w:pPr>
        <w:pStyle w:val="Odstavecseseznamem"/>
        <w:numPr>
          <w:ilvl w:val="0"/>
          <w:numId w:val="14"/>
        </w:numPr>
        <w:spacing w:after="12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č</w:t>
      </w:r>
      <w:r w:rsidR="00887618" w:rsidRPr="00832633">
        <w:rPr>
          <w:sz w:val="24"/>
          <w:szCs w:val="24"/>
        </w:rPr>
        <w:t xml:space="preserve">ást dotace ve výši </w:t>
      </w:r>
      <w:r w:rsidR="00C24A5B">
        <w:rPr>
          <w:sz w:val="24"/>
          <w:szCs w:val="24"/>
        </w:rPr>
        <w:t>0,</w:t>
      </w:r>
      <w:r w:rsidR="00887618" w:rsidRPr="00832633">
        <w:rPr>
          <w:sz w:val="24"/>
          <w:szCs w:val="24"/>
        </w:rPr>
        <w:t>3</w:t>
      </w:r>
      <w:r w:rsidR="00C24A5B">
        <w:rPr>
          <w:sz w:val="24"/>
          <w:szCs w:val="24"/>
        </w:rPr>
        <w:t xml:space="preserve"> mil.</w:t>
      </w:r>
      <w:r w:rsidR="00887618" w:rsidRPr="00832633">
        <w:rPr>
          <w:sz w:val="24"/>
          <w:szCs w:val="24"/>
        </w:rPr>
        <w:t xml:space="preserve"> Kč, za kterou byl poří</w:t>
      </w:r>
      <w:r w:rsidR="003A3420">
        <w:rPr>
          <w:sz w:val="24"/>
          <w:szCs w:val="24"/>
        </w:rPr>
        <w:t>zen osobní automobil určený pro</w:t>
      </w:r>
      <w:r w:rsidR="001A604B">
        <w:rPr>
          <w:sz w:val="24"/>
          <w:szCs w:val="24"/>
        </w:rPr>
        <w:t xml:space="preserve"> </w:t>
      </w:r>
      <w:r w:rsidR="00887618" w:rsidRPr="00832633">
        <w:rPr>
          <w:sz w:val="24"/>
          <w:szCs w:val="24"/>
        </w:rPr>
        <w:t xml:space="preserve">potřeby </w:t>
      </w:r>
      <w:r w:rsidR="0082276C">
        <w:rPr>
          <w:sz w:val="24"/>
          <w:szCs w:val="24"/>
        </w:rPr>
        <w:t>zastřešující</w:t>
      </w:r>
      <w:r w:rsidR="00252898">
        <w:rPr>
          <w:sz w:val="24"/>
          <w:szCs w:val="24"/>
        </w:rPr>
        <w:t xml:space="preserve"> organizace</w:t>
      </w:r>
      <w:r w:rsidR="00873C98">
        <w:rPr>
          <w:sz w:val="24"/>
          <w:szCs w:val="24"/>
        </w:rPr>
        <w:t>, nikoliv pro provozování sportu</w:t>
      </w:r>
      <w:r w:rsidR="00887618" w:rsidRPr="00832633">
        <w:rPr>
          <w:sz w:val="24"/>
          <w:szCs w:val="24"/>
        </w:rPr>
        <w:t>.</w:t>
      </w:r>
    </w:p>
    <w:p w14:paraId="5E0C4A6B" w14:textId="6DF6AC3C" w:rsidR="00887618" w:rsidRPr="008D0A66" w:rsidRDefault="00887618" w:rsidP="008E7D88">
      <w:pPr>
        <w:widowControl/>
      </w:pPr>
      <w:r w:rsidRPr="008D0A66">
        <w:t xml:space="preserve">Účelem výše uvedených projektů nebylo financování investic do sportovních zařízení </w:t>
      </w:r>
      <w:r w:rsidR="003A3420">
        <w:t>a </w:t>
      </w:r>
      <w:r w:rsidRPr="008D0A66">
        <w:t>sportovišť. MŠMT schválením dotací na podporu těchto projektů neplnilo</w:t>
      </w:r>
      <w:r w:rsidR="00713E76">
        <w:t xml:space="preserve"> věcně a</w:t>
      </w:r>
      <w:r w:rsidR="004154F5">
        <w:t>ni</w:t>
      </w:r>
      <w:r w:rsidR="00713E76">
        <w:t xml:space="preserve"> formálně</w:t>
      </w:r>
      <w:r w:rsidRPr="008D0A66">
        <w:t xml:space="preserve"> cíle Programu 133510.</w:t>
      </w:r>
    </w:p>
    <w:p w14:paraId="188FCC81" w14:textId="77777777" w:rsidR="00887618" w:rsidRDefault="00887618" w:rsidP="008E7D88">
      <w:pPr>
        <w:widowControl/>
        <w:rPr>
          <w:b/>
        </w:rPr>
      </w:pPr>
    </w:p>
    <w:p w14:paraId="23ACD83F" w14:textId="4527276A" w:rsidR="003C7776" w:rsidRDefault="00C73868" w:rsidP="008E7D88">
      <w:pPr>
        <w:widowControl/>
      </w:pPr>
      <w:r>
        <w:rPr>
          <w:b/>
        </w:rPr>
        <w:t xml:space="preserve">MŠMT poskytlo dotace odpovídající vyššímu podílu spolufinancování ze státního rozpočtu, než </w:t>
      </w:r>
      <w:proofErr w:type="gramStart"/>
      <w:r>
        <w:rPr>
          <w:b/>
        </w:rPr>
        <w:t>umožňovala</w:t>
      </w:r>
      <w:proofErr w:type="gramEnd"/>
      <w:r>
        <w:rPr>
          <w:b/>
        </w:rPr>
        <w:t xml:space="preserve"> pravidla Programu 133510. </w:t>
      </w:r>
      <w:r w:rsidR="003C7776" w:rsidRPr="006A034D">
        <w:t xml:space="preserve">MŠMT </w:t>
      </w:r>
      <w:proofErr w:type="gramStart"/>
      <w:r w:rsidR="003C7776" w:rsidRPr="006A034D">
        <w:t>stanovilo</w:t>
      </w:r>
      <w:proofErr w:type="gramEnd"/>
      <w:r w:rsidR="003C7776" w:rsidRPr="006A034D">
        <w:t xml:space="preserve"> v </w:t>
      </w:r>
      <w:r>
        <w:t>z</w:t>
      </w:r>
      <w:r w:rsidR="003C7776" w:rsidRPr="006A034D">
        <w:t>ásadách Programu 133510</w:t>
      </w:r>
      <w:r w:rsidR="003C7776">
        <w:t xml:space="preserve"> maximálně možný podíl financování z prostředků státního rozpočtu pro jednotlivé kategorie projektů. </w:t>
      </w:r>
      <w:r w:rsidR="00510852">
        <w:t xml:space="preserve">V některých případech schvalovalo výjimky. </w:t>
      </w:r>
      <w:r w:rsidR="00A90CF9">
        <w:t xml:space="preserve">Na </w:t>
      </w:r>
      <w:r w:rsidR="00B62039">
        <w:t>podporu tří</w:t>
      </w:r>
      <w:r w:rsidR="00A90CF9">
        <w:t xml:space="preserve"> akc</w:t>
      </w:r>
      <w:r w:rsidR="00B62039">
        <w:t>í</w:t>
      </w:r>
      <w:r w:rsidR="00252898">
        <w:t xml:space="preserve"> poskytlo dotace v celkové</w:t>
      </w:r>
      <w:r w:rsidR="00A90CF9">
        <w:t xml:space="preserve"> výši</w:t>
      </w:r>
      <w:r w:rsidR="002B75D8">
        <w:t xml:space="preserve"> 58,5 mil. Kč, což činilo</w:t>
      </w:r>
      <w:r w:rsidR="00A90CF9">
        <w:t xml:space="preserve"> </w:t>
      </w:r>
      <w:r w:rsidR="007B260F">
        <w:t xml:space="preserve">vždy </w:t>
      </w:r>
      <w:r w:rsidR="00A90CF9">
        <w:t>100 % celkových nákladů</w:t>
      </w:r>
      <w:r w:rsidR="007B260F">
        <w:t xml:space="preserve"> projektů</w:t>
      </w:r>
      <w:r w:rsidR="002B75D8">
        <w:t>,</w:t>
      </w:r>
      <w:r w:rsidR="00252898">
        <w:t xml:space="preserve"> přestože</w:t>
      </w:r>
      <w:r w:rsidR="004154F5">
        <w:t xml:space="preserve"> </w:t>
      </w:r>
      <w:r w:rsidR="00252898">
        <w:t>dle</w:t>
      </w:r>
      <w:r w:rsidR="004154F5">
        <w:t xml:space="preserve"> </w:t>
      </w:r>
      <w:r w:rsidR="00A90CF9">
        <w:t xml:space="preserve">zásad </w:t>
      </w:r>
      <w:r w:rsidR="00B62039">
        <w:t>Programu 133510 mohly získat nejvýše 70 %. Výjimka z dofin</w:t>
      </w:r>
      <w:r w:rsidR="007B260F">
        <w:t>ancování byla schválena pouze u </w:t>
      </w:r>
      <w:r w:rsidR="00B62039">
        <w:t xml:space="preserve">jedné z nich, a to až po vydání rozhodnutí o poskytnutí dotace. </w:t>
      </w:r>
    </w:p>
    <w:p w14:paraId="38F09FA9" w14:textId="77777777" w:rsidR="00510852" w:rsidRPr="00EF76A0" w:rsidRDefault="00510852" w:rsidP="008E7D88">
      <w:pPr>
        <w:widowControl/>
      </w:pPr>
    </w:p>
    <w:p w14:paraId="7CB01E76" w14:textId="072D09C3" w:rsidR="003C7776" w:rsidRDefault="00392404" w:rsidP="008E7D88">
      <w:pPr>
        <w:widowControl/>
      </w:pPr>
      <w:r w:rsidRPr="00392404">
        <w:rPr>
          <w:b/>
        </w:rPr>
        <w:t>MŠMT vytvářelo pro příjemce nerovné podmínky, když akceptovalo nedodržení závazných podmínek, za kterých byla dotace poskytnuta</w:t>
      </w:r>
      <w:r w:rsidR="00D61065" w:rsidRPr="00F408A8">
        <w:rPr>
          <w:b/>
        </w:rPr>
        <w:t>.</w:t>
      </w:r>
      <w:r w:rsidR="00D61065">
        <w:t xml:space="preserve"> </w:t>
      </w:r>
      <w:r w:rsidR="003C7776">
        <w:t>MŠMT v </w:t>
      </w:r>
      <w:r w:rsidR="008D68B9">
        <w:t>r</w:t>
      </w:r>
      <w:r w:rsidR="003C7776" w:rsidRPr="00DC65AA">
        <w:t>ozhodnutí o poskytnutí dotace</w:t>
      </w:r>
      <w:r w:rsidR="0053273C">
        <w:t xml:space="preserve"> stanovilo příjemcům jako jeden z hlavních závazných parametrů</w:t>
      </w:r>
      <w:r w:rsidR="003C7776">
        <w:t xml:space="preserve"> </w:t>
      </w:r>
      <w:r w:rsidR="003C7776" w:rsidRPr="00DC65AA">
        <w:t>termín pro ukončení realizace</w:t>
      </w:r>
      <w:r w:rsidR="003C7776">
        <w:t xml:space="preserve"> akce</w:t>
      </w:r>
      <w:r w:rsidR="0053273C">
        <w:t>, a to jako maximální</w:t>
      </w:r>
      <w:r w:rsidR="003C7776">
        <w:t xml:space="preserve">. </w:t>
      </w:r>
      <w:r w:rsidR="0053273C">
        <w:t xml:space="preserve">Zároveň </w:t>
      </w:r>
      <w:r w:rsidR="00C24A5B">
        <w:t xml:space="preserve">pro překročení této lhůty </w:t>
      </w:r>
      <w:r w:rsidR="0053273C">
        <w:t xml:space="preserve">nastavilo toleranci 30 dní. </w:t>
      </w:r>
      <w:r w:rsidR="003C7776">
        <w:t>T</w:t>
      </w:r>
      <w:r w:rsidR="003C7776" w:rsidRPr="00733364">
        <w:t xml:space="preserve">ermínem dokončení akce se </w:t>
      </w:r>
      <w:r w:rsidR="00D61065">
        <w:t>dle</w:t>
      </w:r>
      <w:r w:rsidR="004154F5">
        <w:t xml:space="preserve"> </w:t>
      </w:r>
      <w:r w:rsidR="003C7776">
        <w:t xml:space="preserve">závazných podmínek </w:t>
      </w:r>
      <w:r w:rsidR="003C7776" w:rsidRPr="00733364">
        <w:t xml:space="preserve">v případě stavby, na kterou bylo vydáno stavební povolení, rozumí datum </w:t>
      </w:r>
      <w:r w:rsidR="00252898">
        <w:t xml:space="preserve">vydání </w:t>
      </w:r>
      <w:r w:rsidR="003C7776" w:rsidRPr="00733364">
        <w:t>kolaudačního souhlasu</w:t>
      </w:r>
      <w:r w:rsidR="003C7776">
        <w:t>.</w:t>
      </w:r>
      <w:r w:rsidR="0053273C">
        <w:t xml:space="preserve"> </w:t>
      </w:r>
      <w:r w:rsidR="00D16ACA">
        <w:t>V případě</w:t>
      </w:r>
      <w:r w:rsidR="0053273C">
        <w:t xml:space="preserve"> </w:t>
      </w:r>
      <w:r w:rsidR="00D16ACA">
        <w:t>pěti akcí, jimž bylo poskytnuto celkem 72,8 mil. Kč,</w:t>
      </w:r>
      <w:r w:rsidR="003C7776">
        <w:t xml:space="preserve"> bylo kolaudační rozhodnutí vydán</w:t>
      </w:r>
      <w:r w:rsidR="0053273C">
        <w:t>o po termínu stanoveném v r</w:t>
      </w:r>
      <w:r w:rsidR="003C7776">
        <w:t>ozhodnutí o poskytnutí dotace</w:t>
      </w:r>
      <w:r w:rsidR="00AD7AD3">
        <w:t>,</w:t>
      </w:r>
      <w:r w:rsidR="0053273C">
        <w:t xml:space="preserve"> </w:t>
      </w:r>
      <w:r w:rsidR="00AD7AD3">
        <w:t>u</w:t>
      </w:r>
      <w:r w:rsidR="00D16ACA">
        <w:t xml:space="preserve"> jedné z akcí až více než dva měsíce</w:t>
      </w:r>
      <w:r w:rsidR="00AD7AD3">
        <w:t xml:space="preserve"> po uplynutí této lhůty</w:t>
      </w:r>
      <w:r w:rsidR="00D16ACA">
        <w:t xml:space="preserve">. </w:t>
      </w:r>
      <w:r w:rsidR="0053273C">
        <w:t>MŠMT přesto vydalo závěrečné vyhodnocení akc</w:t>
      </w:r>
      <w:r w:rsidR="00AD7AD3">
        <w:t>í</w:t>
      </w:r>
      <w:r w:rsidR="0053273C">
        <w:t xml:space="preserve"> bez připomínek s tím, že</w:t>
      </w:r>
      <w:r w:rsidR="00C24A5B">
        <w:t xml:space="preserve"> termíny byl</w:t>
      </w:r>
      <w:r w:rsidR="00AD7AD3">
        <w:t>y</w:t>
      </w:r>
      <w:r w:rsidR="00C24A5B">
        <w:t xml:space="preserve"> dodržen</w:t>
      </w:r>
      <w:r w:rsidR="00AD7AD3">
        <w:t>y</w:t>
      </w:r>
      <w:r w:rsidR="00C24A5B">
        <w:t>, popř. že</w:t>
      </w:r>
      <w:r w:rsidR="0053273C">
        <w:t xml:space="preserve"> </w:t>
      </w:r>
      <w:r w:rsidR="00AD7AD3">
        <w:t xml:space="preserve">MŠMT </w:t>
      </w:r>
      <w:r w:rsidR="0053273C">
        <w:t>za v</w:t>
      </w:r>
      <w:r w:rsidR="00675498">
        <w:t xml:space="preserve">ěcné dokončení považuje </w:t>
      </w:r>
      <w:r w:rsidR="00AD7AD3">
        <w:t xml:space="preserve">okamžik </w:t>
      </w:r>
      <w:r w:rsidR="00675498">
        <w:t>předání a datum kolaudace je chápáno pouze evidenčně.</w:t>
      </w:r>
    </w:p>
    <w:p w14:paraId="0B8D8AE2" w14:textId="77777777" w:rsidR="00675498" w:rsidRPr="00675498" w:rsidRDefault="00675498" w:rsidP="008E7D88">
      <w:pPr>
        <w:widowControl/>
      </w:pPr>
    </w:p>
    <w:p w14:paraId="797E03A6" w14:textId="65DC3450" w:rsidR="00B9510E" w:rsidRDefault="00B9510E" w:rsidP="008E7D88">
      <w:pPr>
        <w:widowControl/>
      </w:pPr>
      <w:r w:rsidRPr="00B9510E">
        <w:rPr>
          <w:b/>
        </w:rPr>
        <w:t xml:space="preserve">MŠMT provádělo kontrolu podle zákona </w:t>
      </w:r>
      <w:r w:rsidR="006E5C32">
        <w:rPr>
          <w:b/>
        </w:rPr>
        <w:t>o finanční kon</w:t>
      </w:r>
      <w:r w:rsidR="00535186">
        <w:rPr>
          <w:b/>
        </w:rPr>
        <w:t>trole</w:t>
      </w:r>
      <w:r w:rsidR="004154F5" w:rsidRPr="004154F5">
        <w:rPr>
          <w:b/>
        </w:rPr>
        <w:t xml:space="preserve"> </w:t>
      </w:r>
      <w:r w:rsidR="004154F5" w:rsidRPr="00B9510E">
        <w:rPr>
          <w:b/>
        </w:rPr>
        <w:t>nedostatečně</w:t>
      </w:r>
      <w:r w:rsidRPr="00B9510E">
        <w:rPr>
          <w:b/>
        </w:rPr>
        <w:t>.</w:t>
      </w:r>
    </w:p>
    <w:p w14:paraId="725EFBA0" w14:textId="4BCFBCED" w:rsidR="00B9510E" w:rsidRDefault="003C7776" w:rsidP="00F408A8">
      <w:pPr>
        <w:widowControl/>
        <w:spacing w:after="120"/>
      </w:pPr>
      <w:r>
        <w:t xml:space="preserve">MŠMT vydávalo </w:t>
      </w:r>
      <w:r w:rsidR="00B9510E">
        <w:t>r</w:t>
      </w:r>
      <w:r>
        <w:t>o</w:t>
      </w:r>
      <w:r w:rsidR="00B9510E">
        <w:t>zhodnutí o poskytnutí dotace z P</w:t>
      </w:r>
      <w:r>
        <w:t>rogramu 133510 před provedením předběžné říd</w:t>
      </w:r>
      <w:r w:rsidR="004154F5">
        <w:t>i</w:t>
      </w:r>
      <w:r>
        <w:t>cí kontroly správcem rozpočtu</w:t>
      </w:r>
      <w:r w:rsidR="00B9510E">
        <w:rPr>
          <w:rStyle w:val="Znakapoznpodarou"/>
        </w:rPr>
        <w:footnoteReference w:id="15"/>
      </w:r>
      <w:r w:rsidR="00B9510E">
        <w:t>.</w:t>
      </w:r>
    </w:p>
    <w:p w14:paraId="40E820F0" w14:textId="44758D40" w:rsidR="005E5081" w:rsidRPr="002A5221" w:rsidRDefault="003C7776" w:rsidP="008E7D88">
      <w:pPr>
        <w:widowControl/>
        <w:rPr>
          <w:szCs w:val="24"/>
        </w:rPr>
      </w:pPr>
      <w:r w:rsidRPr="002A5221">
        <w:rPr>
          <w:szCs w:val="24"/>
        </w:rPr>
        <w:t>Na kontrolovaném vzorku 35 akcí bylo v 8 případech zjištěno, že přes nedostatky akcí zřejmé z předložených spis</w:t>
      </w:r>
      <w:r w:rsidR="004154F5">
        <w:rPr>
          <w:szCs w:val="24"/>
        </w:rPr>
        <w:t>ů</w:t>
      </w:r>
      <w:r w:rsidRPr="002A5221">
        <w:rPr>
          <w:szCs w:val="24"/>
        </w:rPr>
        <w:t xml:space="preserve"> ukončilo MŠMT závěre</w:t>
      </w:r>
      <w:r w:rsidR="00ED44CB" w:rsidRPr="002A5221">
        <w:rPr>
          <w:szCs w:val="24"/>
        </w:rPr>
        <w:t>čné vyhodnocení bez</w:t>
      </w:r>
      <w:r w:rsidR="00E430BA">
        <w:rPr>
          <w:szCs w:val="24"/>
        </w:rPr>
        <w:t xml:space="preserve"> </w:t>
      </w:r>
      <w:r w:rsidR="00ED44CB" w:rsidRPr="002A5221">
        <w:rPr>
          <w:szCs w:val="24"/>
        </w:rPr>
        <w:t>připomínek.</w:t>
      </w:r>
    </w:p>
    <w:p w14:paraId="24445BC0" w14:textId="77777777" w:rsidR="003C7776" w:rsidRPr="003A18C4" w:rsidRDefault="003C7776" w:rsidP="008E7D88">
      <w:pPr>
        <w:widowControl/>
      </w:pPr>
    </w:p>
    <w:p w14:paraId="6D808FF1" w14:textId="24514E24" w:rsidR="00FE5C8F" w:rsidRDefault="00B628B6" w:rsidP="00F408A8">
      <w:pPr>
        <w:pStyle w:val="Nadpis2"/>
        <w:widowControl/>
        <w:numPr>
          <w:ilvl w:val="0"/>
          <w:numId w:val="0"/>
        </w:numPr>
        <w:ind w:left="357" w:hanging="357"/>
        <w:rPr>
          <w:lang w:eastAsia="en-US"/>
        </w:rPr>
      </w:pPr>
      <w:r>
        <w:rPr>
          <w:lang w:eastAsia="en-US"/>
        </w:rPr>
        <w:t xml:space="preserve">4. </w:t>
      </w:r>
      <w:r w:rsidR="00FE5C8F">
        <w:rPr>
          <w:lang w:eastAsia="en-US"/>
        </w:rPr>
        <w:t>Kontrola MŠMT u příjemců</w:t>
      </w:r>
    </w:p>
    <w:p w14:paraId="781EFD6B" w14:textId="2DADDF4E" w:rsidR="00FE5C8F" w:rsidRDefault="00FE5C8F" w:rsidP="00F408A8">
      <w:pPr>
        <w:widowControl/>
        <w:spacing w:after="120"/>
        <w:rPr>
          <w:b/>
        </w:rPr>
      </w:pPr>
      <w:r>
        <w:rPr>
          <w:rFonts w:cs="Calibri"/>
          <w:lang w:eastAsia="en-US"/>
        </w:rPr>
        <w:t>Kontrolu MŠMT provádělo</w:t>
      </w:r>
      <w:r w:rsidR="00AD7AD3">
        <w:rPr>
          <w:rFonts w:cs="Calibri"/>
          <w:lang w:eastAsia="en-US"/>
        </w:rPr>
        <w:t xml:space="preserve"> pouze</w:t>
      </w:r>
      <w:r>
        <w:rPr>
          <w:rFonts w:cs="Calibri"/>
          <w:lang w:eastAsia="en-US"/>
        </w:rPr>
        <w:t xml:space="preserve"> na základě </w:t>
      </w:r>
      <w:r w:rsidR="00AD7AD3">
        <w:rPr>
          <w:rFonts w:cs="Calibri"/>
          <w:lang w:eastAsia="en-US"/>
        </w:rPr>
        <w:t xml:space="preserve">písemných </w:t>
      </w:r>
      <w:r>
        <w:rPr>
          <w:rFonts w:cs="Calibri"/>
          <w:lang w:eastAsia="en-US"/>
        </w:rPr>
        <w:t>dokladů při administraci jednotlivých akcí. Kontrolu u</w:t>
      </w:r>
      <w:r w:rsidR="00785303">
        <w:rPr>
          <w:rFonts w:cs="Calibri"/>
          <w:lang w:eastAsia="en-US"/>
        </w:rPr>
        <w:t xml:space="preserve"> </w:t>
      </w:r>
      <w:r w:rsidR="003B3E44">
        <w:rPr>
          <w:rFonts w:cs="Calibri"/>
          <w:lang w:eastAsia="en-US"/>
        </w:rPr>
        <w:t>příjemce provedlo v letech 2013–</w:t>
      </w:r>
      <w:r>
        <w:rPr>
          <w:rFonts w:cs="Calibri"/>
          <w:lang w:eastAsia="en-US"/>
        </w:rPr>
        <w:t xml:space="preserve">2015 pouze u dvou akcí </w:t>
      </w:r>
      <w:r w:rsidRPr="004945A8">
        <w:t>Programu 133510</w:t>
      </w:r>
      <w:r w:rsidR="00251C9B">
        <w:t xml:space="preserve"> (jedna akce byla realizována v roce 2011, druhá v roce 2012)</w:t>
      </w:r>
      <w:r w:rsidR="00ED52D9">
        <w:t>,</w:t>
      </w:r>
      <w:r w:rsidRPr="004945A8">
        <w:t xml:space="preserve"> </w:t>
      </w:r>
      <w:r w:rsidR="00251C9B">
        <w:t>na které bylo vyplaceno</w:t>
      </w:r>
      <w:r w:rsidRPr="004945A8">
        <w:t xml:space="preserve"> celk</w:t>
      </w:r>
      <w:r w:rsidR="00251C9B">
        <w:t>em</w:t>
      </w:r>
      <w:r w:rsidRPr="004945A8">
        <w:t xml:space="preserve"> 7</w:t>
      </w:r>
      <w:r>
        <w:t>,6 mil.</w:t>
      </w:r>
      <w:r w:rsidRPr="004945A8">
        <w:t xml:space="preserve"> Kč. Jednalo se o jednoho příjemce, prostřednictvím něhož byly prostředky poskytnuty sedmadvaceti organizacím. MŠMT provedlo kontrolu na</w:t>
      </w:r>
      <w:r w:rsidR="00251C9B">
        <w:t xml:space="preserve"> </w:t>
      </w:r>
      <w:r w:rsidRPr="004945A8">
        <w:t>místě u osmi z nich. Ty získaly celkem 2</w:t>
      </w:r>
      <w:r>
        <w:t>,4 mil.</w:t>
      </w:r>
      <w:r w:rsidR="003B3E44">
        <w:t xml:space="preserve"> Kč. V letech 2013–</w:t>
      </w:r>
      <w:r w:rsidRPr="004945A8">
        <w:t>2015 nebyla zkontr</w:t>
      </w:r>
      <w:r>
        <w:t>olována žádná akce z let 2013 a</w:t>
      </w:r>
      <w:r w:rsidR="00785303">
        <w:t xml:space="preserve"> </w:t>
      </w:r>
      <w:r w:rsidRPr="004945A8">
        <w:t>2014.</w:t>
      </w:r>
    </w:p>
    <w:p w14:paraId="37A25990" w14:textId="025C82EA" w:rsidR="00FE5C8F" w:rsidRDefault="00FE5C8F" w:rsidP="008E7D88">
      <w:pPr>
        <w:widowControl/>
        <w:rPr>
          <w:b/>
        </w:rPr>
      </w:pPr>
      <w:r>
        <w:rPr>
          <w:b/>
        </w:rPr>
        <w:lastRenderedPageBreak/>
        <w:t>Rozsah kontroly, kterou provádělo MŠMT u příjemců, považuje NKÚ v</w:t>
      </w:r>
      <w:r w:rsidRPr="00026B13">
        <w:rPr>
          <w:b/>
        </w:rPr>
        <w:t>zhledem k objemu prostředků státního rozpočtu ročně vynakládaných prostřednictvím Programu 133510 za</w:t>
      </w:r>
      <w:r w:rsidR="00251C9B">
        <w:rPr>
          <w:b/>
        </w:rPr>
        <w:t xml:space="preserve"> </w:t>
      </w:r>
      <w:r w:rsidRPr="00026B13">
        <w:rPr>
          <w:b/>
        </w:rPr>
        <w:t>nedostatečný.</w:t>
      </w:r>
    </w:p>
    <w:p w14:paraId="5AA1ECC7" w14:textId="77777777" w:rsidR="00A0600E" w:rsidRDefault="00A0600E" w:rsidP="008E7D88">
      <w:pPr>
        <w:widowControl/>
      </w:pPr>
    </w:p>
    <w:p w14:paraId="4F80A416" w14:textId="3DC44CB0" w:rsidR="00A0600E" w:rsidRDefault="00B628B6" w:rsidP="00F408A8">
      <w:pPr>
        <w:pStyle w:val="Nadpis2"/>
        <w:widowControl/>
        <w:numPr>
          <w:ilvl w:val="0"/>
          <w:numId w:val="0"/>
        </w:numPr>
        <w:ind w:left="357" w:hanging="357"/>
        <w:rPr>
          <w:lang w:eastAsia="en-US"/>
        </w:rPr>
      </w:pPr>
      <w:r>
        <w:rPr>
          <w:lang w:eastAsia="en-US"/>
        </w:rPr>
        <w:t xml:space="preserve">5. </w:t>
      </w:r>
      <w:r w:rsidR="00A0600E">
        <w:rPr>
          <w:lang w:eastAsia="en-US"/>
        </w:rPr>
        <w:t>Skutečnosti zjištěné na vybraném vzorku akcí u příjemců dotací</w:t>
      </w:r>
    </w:p>
    <w:p w14:paraId="68DAED84" w14:textId="42FA2B16" w:rsidR="0096780A" w:rsidRDefault="0096780A" w:rsidP="008E7D88">
      <w:pPr>
        <w:widowControl/>
        <w:rPr>
          <w:rFonts w:cs="Calibri"/>
          <w:szCs w:val="24"/>
          <w:lang w:eastAsia="en-US"/>
        </w:rPr>
      </w:pPr>
      <w:r>
        <w:rPr>
          <w:rFonts w:cs="Calibri"/>
          <w:szCs w:val="24"/>
          <w:lang w:eastAsia="en-US"/>
        </w:rPr>
        <w:t>Kontrola byla provedena u 19 příjemců dotací, kterým byly v</w:t>
      </w:r>
      <w:r w:rsidR="00252898">
        <w:rPr>
          <w:rFonts w:cs="Calibri"/>
          <w:szCs w:val="24"/>
          <w:lang w:eastAsia="en-US"/>
        </w:rPr>
        <w:t> </w:t>
      </w:r>
      <w:r>
        <w:rPr>
          <w:rFonts w:cs="Calibri"/>
          <w:szCs w:val="24"/>
          <w:lang w:eastAsia="en-US"/>
        </w:rPr>
        <w:t>letech</w:t>
      </w:r>
      <w:r w:rsidR="007F3A65">
        <w:rPr>
          <w:rFonts w:cs="Calibri"/>
          <w:szCs w:val="24"/>
          <w:lang w:eastAsia="en-US"/>
        </w:rPr>
        <w:t xml:space="preserve"> 2013–</w:t>
      </w:r>
      <w:r w:rsidR="00252898">
        <w:rPr>
          <w:rFonts w:cs="Calibri"/>
          <w:szCs w:val="24"/>
          <w:lang w:eastAsia="en-US"/>
        </w:rPr>
        <w:t>2015</w:t>
      </w:r>
      <w:r>
        <w:rPr>
          <w:rFonts w:cs="Calibri"/>
          <w:szCs w:val="24"/>
          <w:lang w:eastAsia="en-US"/>
        </w:rPr>
        <w:t xml:space="preserve"> poskytnuty prostředky z Programu 133510 na realizaci vybraných 35 akcí.</w:t>
      </w:r>
      <w:r w:rsidR="00D96144">
        <w:rPr>
          <w:rFonts w:cs="Calibri"/>
          <w:szCs w:val="24"/>
          <w:lang w:eastAsia="en-US"/>
        </w:rPr>
        <w:t xml:space="preserve"> </w:t>
      </w:r>
      <w:r>
        <w:rPr>
          <w:rFonts w:cs="Calibri"/>
          <w:szCs w:val="24"/>
          <w:lang w:eastAsia="en-US"/>
        </w:rPr>
        <w:t xml:space="preserve">Na vybraném vzorku akcí bylo v některých případech zjištěno, že </w:t>
      </w:r>
      <w:r w:rsidRPr="007E79A8">
        <w:rPr>
          <w:rFonts w:cs="Calibri"/>
          <w:szCs w:val="24"/>
          <w:lang w:eastAsia="en-US"/>
        </w:rPr>
        <w:t>se příjemci dotací dopustili porušení ustanovení závazných</w:t>
      </w:r>
      <w:r w:rsidR="0027391B">
        <w:rPr>
          <w:rFonts w:cs="Calibri"/>
          <w:szCs w:val="24"/>
          <w:lang w:eastAsia="en-US"/>
        </w:rPr>
        <w:t xml:space="preserve"> podmínek, které byly součástí r</w:t>
      </w:r>
      <w:r w:rsidRPr="007E79A8">
        <w:rPr>
          <w:rFonts w:cs="Calibri"/>
          <w:szCs w:val="24"/>
          <w:lang w:eastAsia="en-US"/>
        </w:rPr>
        <w:t xml:space="preserve">ozhodnutí o </w:t>
      </w:r>
      <w:r>
        <w:rPr>
          <w:rFonts w:cs="Calibri"/>
          <w:szCs w:val="24"/>
          <w:lang w:eastAsia="en-US"/>
        </w:rPr>
        <w:t>poskytnutí dotace.</w:t>
      </w:r>
    </w:p>
    <w:p w14:paraId="31D6D924" w14:textId="77777777" w:rsidR="0096780A" w:rsidRDefault="0096780A" w:rsidP="008E7D88">
      <w:pPr>
        <w:widowControl/>
        <w:rPr>
          <w:rFonts w:cs="Calibri"/>
          <w:szCs w:val="24"/>
          <w:lang w:eastAsia="en-US"/>
        </w:rPr>
      </w:pPr>
    </w:p>
    <w:p w14:paraId="4994A63A" w14:textId="77777777" w:rsidR="0092651A" w:rsidRDefault="0092651A" w:rsidP="008E7D88">
      <w:pPr>
        <w:widowControl/>
        <w:rPr>
          <w:rFonts w:cs="Calibri"/>
          <w:b/>
          <w:szCs w:val="24"/>
          <w:lang w:eastAsia="en-US"/>
        </w:rPr>
      </w:pPr>
      <w:r w:rsidRPr="00A72D2C">
        <w:rPr>
          <w:rFonts w:cs="Calibri"/>
          <w:b/>
          <w:szCs w:val="24"/>
          <w:lang w:eastAsia="en-US"/>
        </w:rPr>
        <w:t>Příjemci nepostupovali při výběru dodavatele podle zákona o veřejných zakázkách.</w:t>
      </w:r>
    </w:p>
    <w:p w14:paraId="66B9E6FE" w14:textId="362FE22E" w:rsidR="0092651A" w:rsidRPr="00340D7B" w:rsidRDefault="0092651A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rFonts w:cs="Calibri"/>
          <w:sz w:val="24"/>
          <w:szCs w:val="24"/>
        </w:rPr>
        <w:t>V jednom případě p</w:t>
      </w:r>
      <w:r w:rsidRPr="00340D7B">
        <w:rPr>
          <w:rFonts w:cs="Calibri"/>
          <w:sz w:val="24"/>
          <w:szCs w:val="24"/>
        </w:rPr>
        <w:t xml:space="preserve">říjemce dotace </w:t>
      </w:r>
      <w:r w:rsidR="00785303">
        <w:rPr>
          <w:rFonts w:cs="Calibri"/>
          <w:sz w:val="24"/>
          <w:szCs w:val="24"/>
        </w:rPr>
        <w:t xml:space="preserve">ve výši </w:t>
      </w:r>
      <w:r w:rsidRPr="00340D7B">
        <w:rPr>
          <w:rFonts w:cs="Calibri"/>
          <w:sz w:val="24"/>
          <w:szCs w:val="24"/>
        </w:rPr>
        <w:t>10 mil. Kč nepostupoval při výběru zhotovitele díla způsobem stanoveným pro veřejného zadavatele</w:t>
      </w:r>
      <w:r>
        <w:rPr>
          <w:rFonts w:cs="Calibri"/>
          <w:sz w:val="24"/>
          <w:szCs w:val="24"/>
        </w:rPr>
        <w:t xml:space="preserve"> podle</w:t>
      </w:r>
      <w:r w:rsidRPr="00340D7B">
        <w:rPr>
          <w:rFonts w:cs="Calibri"/>
          <w:sz w:val="24"/>
          <w:szCs w:val="24"/>
        </w:rPr>
        <w:t xml:space="preserve"> zák</w:t>
      </w:r>
      <w:r>
        <w:rPr>
          <w:rFonts w:cs="Calibri"/>
          <w:sz w:val="24"/>
          <w:szCs w:val="24"/>
        </w:rPr>
        <w:t>ona</w:t>
      </w:r>
      <w:r w:rsidRPr="00340D7B">
        <w:rPr>
          <w:rFonts w:cs="Calibri"/>
          <w:sz w:val="24"/>
          <w:szCs w:val="24"/>
        </w:rPr>
        <w:t xml:space="preserve"> </w:t>
      </w:r>
      <w:r w:rsidR="00535186">
        <w:rPr>
          <w:rFonts w:cs="Calibri"/>
          <w:sz w:val="24"/>
          <w:szCs w:val="24"/>
        </w:rPr>
        <w:t>o veřejných zakázkách</w:t>
      </w:r>
      <w:r>
        <w:rPr>
          <w:rFonts w:cs="Calibri"/>
          <w:sz w:val="24"/>
          <w:szCs w:val="24"/>
        </w:rPr>
        <w:t xml:space="preserve">, </w:t>
      </w:r>
      <w:r w:rsidR="00B371B4">
        <w:rPr>
          <w:rFonts w:cs="Calibri"/>
          <w:sz w:val="24"/>
          <w:szCs w:val="24"/>
        </w:rPr>
        <w:t>jak</w:t>
      </w:r>
      <w:r w:rsidR="00164D0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mu bylo určeno závaznými podmínkami. V</w:t>
      </w:r>
      <w:r w:rsidR="00164D0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souvislosti s</w:t>
      </w:r>
      <w:r w:rsidR="00164D0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tím se tak </w:t>
      </w:r>
      <w:r w:rsidRPr="00340D7B">
        <w:rPr>
          <w:rFonts w:cs="Calibri"/>
          <w:sz w:val="24"/>
          <w:szCs w:val="24"/>
        </w:rPr>
        <w:t xml:space="preserve">dopustil řady porušení tohoto zákona. V rámci zadávacího řízení </w:t>
      </w:r>
      <w:r>
        <w:rPr>
          <w:rFonts w:cs="Calibri"/>
          <w:sz w:val="24"/>
          <w:szCs w:val="24"/>
        </w:rPr>
        <w:t xml:space="preserve">mj. </w:t>
      </w:r>
      <w:r w:rsidRPr="00340D7B">
        <w:rPr>
          <w:rFonts w:cs="Calibri"/>
          <w:sz w:val="24"/>
          <w:szCs w:val="24"/>
        </w:rPr>
        <w:t>nepostupoval v souladu se zásadou rovného zacházení</w:t>
      </w:r>
      <w:r>
        <w:rPr>
          <w:rFonts w:cs="Calibri"/>
          <w:sz w:val="24"/>
          <w:szCs w:val="24"/>
        </w:rPr>
        <w:t xml:space="preserve">, když </w:t>
      </w:r>
      <w:r w:rsidR="00785303">
        <w:rPr>
          <w:rFonts w:cs="Calibri"/>
          <w:sz w:val="24"/>
          <w:szCs w:val="24"/>
        </w:rPr>
        <w:t xml:space="preserve">jeho </w:t>
      </w:r>
      <w:r>
        <w:rPr>
          <w:rFonts w:cs="Calibri"/>
          <w:sz w:val="24"/>
          <w:szCs w:val="24"/>
        </w:rPr>
        <w:t>h</w:t>
      </w:r>
      <w:r w:rsidRPr="00340D7B">
        <w:rPr>
          <w:rFonts w:cs="Calibri"/>
          <w:sz w:val="24"/>
          <w:szCs w:val="24"/>
        </w:rPr>
        <w:t>odnot</w:t>
      </w:r>
      <w:r w:rsidR="00785303">
        <w:rPr>
          <w:rFonts w:cs="Calibri"/>
          <w:sz w:val="24"/>
          <w:szCs w:val="24"/>
        </w:rPr>
        <w:t>i</w:t>
      </w:r>
      <w:r w:rsidRPr="00340D7B">
        <w:rPr>
          <w:rFonts w:cs="Calibri"/>
          <w:sz w:val="24"/>
          <w:szCs w:val="24"/>
        </w:rPr>
        <w:t>cí komise nevyřadila nab</w:t>
      </w:r>
      <w:r>
        <w:rPr>
          <w:rFonts w:cs="Calibri"/>
          <w:sz w:val="24"/>
          <w:szCs w:val="24"/>
        </w:rPr>
        <w:t>ídku, kde</w:t>
      </w:r>
      <w:r w:rsidRPr="00340D7B"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naceněný</w:t>
      </w:r>
      <w:proofErr w:type="spellEnd"/>
      <w:r>
        <w:rPr>
          <w:rFonts w:cs="Calibri"/>
          <w:sz w:val="24"/>
          <w:szCs w:val="24"/>
        </w:rPr>
        <w:t xml:space="preserve"> výkaz výměr</w:t>
      </w:r>
      <w:r w:rsidRPr="00340D7B">
        <w:rPr>
          <w:rFonts w:cs="Calibri"/>
          <w:sz w:val="24"/>
          <w:szCs w:val="24"/>
        </w:rPr>
        <w:t xml:space="preserve"> neobsahoval </w:t>
      </w:r>
      <w:r>
        <w:rPr>
          <w:rFonts w:cs="Calibri"/>
          <w:sz w:val="24"/>
          <w:szCs w:val="24"/>
        </w:rPr>
        <w:t>některé položky</w:t>
      </w:r>
      <w:r w:rsidRPr="00340D7B">
        <w:rPr>
          <w:rStyle w:val="Znakapoznpodarou"/>
          <w:sz w:val="24"/>
          <w:szCs w:val="24"/>
        </w:rPr>
        <w:footnoteReference w:id="16"/>
      </w:r>
      <w:r>
        <w:rPr>
          <w:rFonts w:cs="Calibri"/>
          <w:sz w:val="24"/>
          <w:szCs w:val="24"/>
        </w:rPr>
        <w:t>, přičemž tato nabídka se následně stala vítěznou</w:t>
      </w:r>
      <w:r w:rsidRPr="00340D7B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Příjemce dotace d</w:t>
      </w:r>
      <w:r w:rsidRPr="00340D7B">
        <w:rPr>
          <w:rFonts w:cs="Calibri"/>
          <w:sz w:val="24"/>
          <w:szCs w:val="24"/>
        </w:rPr>
        <w:t>odatkem ke smlouvě</w:t>
      </w:r>
      <w:r>
        <w:rPr>
          <w:rFonts w:cs="Calibri"/>
          <w:sz w:val="24"/>
          <w:szCs w:val="24"/>
        </w:rPr>
        <w:t xml:space="preserve"> také</w:t>
      </w:r>
      <w:r w:rsidRPr="00340D7B">
        <w:rPr>
          <w:rFonts w:cs="Calibri"/>
          <w:sz w:val="24"/>
          <w:szCs w:val="24"/>
        </w:rPr>
        <w:t xml:space="preserve"> umožnil podstatnou změnu předmětu smlouvy, resp. doplnil položkový rozpočet a změnil jednotkové ceny některých položek</w:t>
      </w:r>
      <w:r w:rsidRPr="00340D7B">
        <w:rPr>
          <w:rStyle w:val="Znakapoznpodarou"/>
          <w:sz w:val="24"/>
          <w:szCs w:val="24"/>
        </w:rPr>
        <w:footnoteReference w:id="17"/>
      </w:r>
      <w:r w:rsidRPr="00340D7B">
        <w:rPr>
          <w:rFonts w:cs="Calibri"/>
          <w:sz w:val="24"/>
          <w:szCs w:val="24"/>
        </w:rPr>
        <w:t>.</w:t>
      </w:r>
    </w:p>
    <w:p w14:paraId="04DF9C02" w14:textId="2A12FDF0" w:rsidR="0092651A" w:rsidRPr="0030749C" w:rsidRDefault="0092651A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 w:rsidRPr="00340D7B">
        <w:rPr>
          <w:rFonts w:cs="Calibri"/>
          <w:sz w:val="24"/>
          <w:szCs w:val="24"/>
        </w:rPr>
        <w:t>Příjemce dvou dotací v</w:t>
      </w:r>
      <w:r w:rsidR="00164D08">
        <w:rPr>
          <w:rFonts w:cs="Calibri"/>
          <w:sz w:val="24"/>
          <w:szCs w:val="24"/>
        </w:rPr>
        <w:t xml:space="preserve"> </w:t>
      </w:r>
      <w:r w:rsidRPr="00340D7B">
        <w:rPr>
          <w:rFonts w:cs="Calibri"/>
          <w:sz w:val="24"/>
          <w:szCs w:val="24"/>
        </w:rPr>
        <w:t>celkové výši téměř 18,3 mil</w:t>
      </w:r>
      <w:r>
        <w:rPr>
          <w:rFonts w:cs="Calibri"/>
          <w:sz w:val="24"/>
          <w:szCs w:val="24"/>
        </w:rPr>
        <w:t>.</w:t>
      </w:r>
      <w:r w:rsidRPr="00340D7B">
        <w:rPr>
          <w:rFonts w:cs="Calibri"/>
          <w:sz w:val="24"/>
          <w:szCs w:val="24"/>
        </w:rPr>
        <w:t xml:space="preserve"> Kč nepoužil pro zadání veřejné zakázky na stavební práce správný druh zadávacího řízení</w:t>
      </w:r>
      <w:r w:rsidRPr="00340D7B">
        <w:rPr>
          <w:rStyle w:val="Znakapoznpodarou"/>
          <w:sz w:val="24"/>
          <w:szCs w:val="24"/>
        </w:rPr>
        <w:footnoteReference w:id="18"/>
      </w:r>
      <w:r w:rsidR="002A5221">
        <w:rPr>
          <w:rFonts w:cs="Calibri"/>
          <w:sz w:val="24"/>
          <w:szCs w:val="24"/>
        </w:rPr>
        <w:t>. Z</w:t>
      </w:r>
      <w:r w:rsidRPr="00340D7B">
        <w:rPr>
          <w:rFonts w:cs="Calibri"/>
          <w:sz w:val="24"/>
          <w:szCs w:val="24"/>
        </w:rPr>
        <w:t>akázku</w:t>
      </w:r>
      <w:r w:rsidR="00B371B4">
        <w:rPr>
          <w:rFonts w:cs="Calibri"/>
          <w:sz w:val="24"/>
          <w:szCs w:val="24"/>
        </w:rPr>
        <w:t xml:space="preserve"> </w:t>
      </w:r>
      <w:r w:rsidR="004920DF">
        <w:rPr>
          <w:rFonts w:cs="Calibri"/>
          <w:sz w:val="24"/>
          <w:szCs w:val="24"/>
        </w:rPr>
        <w:t xml:space="preserve">neoprávněně </w:t>
      </w:r>
      <w:r w:rsidR="00B371B4">
        <w:rPr>
          <w:rFonts w:cs="Calibri"/>
          <w:sz w:val="24"/>
          <w:szCs w:val="24"/>
        </w:rPr>
        <w:t>rozdělil na</w:t>
      </w:r>
      <w:r w:rsidR="00164D08">
        <w:rPr>
          <w:rFonts w:cs="Calibri"/>
          <w:sz w:val="24"/>
          <w:szCs w:val="24"/>
        </w:rPr>
        <w:t xml:space="preserve"> </w:t>
      </w:r>
      <w:r w:rsidR="002A5221">
        <w:rPr>
          <w:rFonts w:cs="Calibri"/>
          <w:sz w:val="24"/>
          <w:szCs w:val="24"/>
        </w:rPr>
        <w:t>dvě, u kterých</w:t>
      </w:r>
      <w:r w:rsidR="00164D08">
        <w:rPr>
          <w:rFonts w:cs="Calibri"/>
          <w:sz w:val="24"/>
          <w:szCs w:val="24"/>
        </w:rPr>
        <w:t xml:space="preserve"> </w:t>
      </w:r>
      <w:r w:rsidRPr="0030749C">
        <w:rPr>
          <w:rFonts w:cs="Calibri"/>
          <w:sz w:val="24"/>
          <w:szCs w:val="24"/>
        </w:rPr>
        <w:t>použil zjednodušené podlimitní řízení,</w:t>
      </w:r>
      <w:r w:rsidR="00AF26CD">
        <w:rPr>
          <w:rFonts w:cs="Calibri"/>
          <w:sz w:val="24"/>
          <w:szCs w:val="24"/>
        </w:rPr>
        <w:t xml:space="preserve"> ačkoliv obě akce spo</w:t>
      </w:r>
      <w:r w:rsidR="002A5221">
        <w:rPr>
          <w:rFonts w:cs="Calibri"/>
          <w:sz w:val="24"/>
          <w:szCs w:val="24"/>
        </w:rPr>
        <w:t>lu úzce souvisely, jednalo se o</w:t>
      </w:r>
      <w:r w:rsidR="00164D08">
        <w:rPr>
          <w:rFonts w:cs="Calibri"/>
          <w:sz w:val="24"/>
          <w:szCs w:val="24"/>
        </w:rPr>
        <w:t xml:space="preserve"> </w:t>
      </w:r>
      <w:r w:rsidR="00AF26CD">
        <w:rPr>
          <w:rFonts w:cs="Calibri"/>
          <w:sz w:val="24"/>
          <w:szCs w:val="24"/>
        </w:rPr>
        <w:t>plnění stejného druhu, které mělo být zadáno jako zakázka jedna. S</w:t>
      </w:r>
      <w:r w:rsidRPr="0030749C">
        <w:rPr>
          <w:rFonts w:cs="Calibri"/>
          <w:sz w:val="24"/>
          <w:szCs w:val="24"/>
        </w:rPr>
        <w:t>oučet předpokládaných hodnot veřejných zakázek pře</w:t>
      </w:r>
      <w:r w:rsidR="00B371B4">
        <w:rPr>
          <w:rFonts w:cs="Calibri"/>
          <w:sz w:val="24"/>
          <w:szCs w:val="24"/>
        </w:rPr>
        <w:t>sáhl zákonem stanovený limit 10 </w:t>
      </w:r>
      <w:r w:rsidRPr="0030749C">
        <w:rPr>
          <w:rFonts w:cs="Calibri"/>
          <w:sz w:val="24"/>
          <w:szCs w:val="24"/>
        </w:rPr>
        <w:t>mil.</w:t>
      </w:r>
      <w:r w:rsidR="00164D08">
        <w:rPr>
          <w:rFonts w:cs="Calibri"/>
          <w:sz w:val="24"/>
          <w:szCs w:val="24"/>
        </w:rPr>
        <w:t> </w:t>
      </w:r>
      <w:r w:rsidRPr="0030749C">
        <w:rPr>
          <w:rFonts w:cs="Calibri"/>
          <w:sz w:val="24"/>
          <w:szCs w:val="24"/>
        </w:rPr>
        <w:t>Kč</w:t>
      </w:r>
      <w:r w:rsidR="00AF26CD">
        <w:rPr>
          <w:rFonts w:cs="Calibri"/>
          <w:sz w:val="24"/>
          <w:szCs w:val="24"/>
        </w:rPr>
        <w:t xml:space="preserve"> pro použití zjednodušeného podlimitního řízení</w:t>
      </w:r>
      <w:r w:rsidRPr="0030749C">
        <w:rPr>
          <w:rFonts w:cs="Calibri"/>
          <w:sz w:val="24"/>
          <w:szCs w:val="24"/>
        </w:rPr>
        <w:t>.</w:t>
      </w:r>
    </w:p>
    <w:p w14:paraId="1170A443" w14:textId="7520CA1D" w:rsidR="0092651A" w:rsidRPr="0030749C" w:rsidRDefault="0092651A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 w:rsidRPr="0030749C">
        <w:rPr>
          <w:sz w:val="24"/>
          <w:szCs w:val="24"/>
        </w:rPr>
        <w:t xml:space="preserve">NKÚ </w:t>
      </w:r>
      <w:r>
        <w:rPr>
          <w:sz w:val="24"/>
          <w:szCs w:val="24"/>
        </w:rPr>
        <w:t xml:space="preserve">zjistil </w:t>
      </w:r>
      <w:r w:rsidRPr="0030749C">
        <w:rPr>
          <w:sz w:val="24"/>
          <w:szCs w:val="24"/>
        </w:rPr>
        <w:t>pochybení při zadávání veřejných zakázek</w:t>
      </w:r>
      <w:r>
        <w:rPr>
          <w:sz w:val="24"/>
          <w:szCs w:val="24"/>
        </w:rPr>
        <w:t xml:space="preserve"> i u dalších </w:t>
      </w:r>
      <w:r w:rsidR="00AF26CD">
        <w:rPr>
          <w:sz w:val="24"/>
          <w:szCs w:val="24"/>
        </w:rPr>
        <w:t>sedmi</w:t>
      </w:r>
      <w:r>
        <w:rPr>
          <w:sz w:val="24"/>
          <w:szCs w:val="24"/>
        </w:rPr>
        <w:t xml:space="preserve"> příjemců dotací</w:t>
      </w:r>
      <w:r w:rsidR="003F646A">
        <w:rPr>
          <w:sz w:val="24"/>
          <w:szCs w:val="24"/>
        </w:rPr>
        <w:t>.</w:t>
      </w:r>
    </w:p>
    <w:p w14:paraId="295A6646" w14:textId="77777777" w:rsidR="0092651A" w:rsidRPr="00CE5ADF" w:rsidRDefault="0092651A" w:rsidP="008E7D88">
      <w:pPr>
        <w:widowControl/>
        <w:rPr>
          <w:rFonts w:cs="Times New Roman"/>
          <w:szCs w:val="24"/>
        </w:rPr>
      </w:pPr>
    </w:p>
    <w:p w14:paraId="0C124D4C" w14:textId="77777777" w:rsidR="0092651A" w:rsidRPr="00CE5ADF" w:rsidRDefault="0092651A" w:rsidP="008E7D88">
      <w:pPr>
        <w:widowControl/>
        <w:rPr>
          <w:rFonts w:cs="Times New Roman"/>
          <w:b/>
          <w:szCs w:val="24"/>
        </w:rPr>
      </w:pPr>
      <w:r w:rsidRPr="00CE5ADF">
        <w:rPr>
          <w:rFonts w:cs="Times New Roman"/>
          <w:b/>
          <w:szCs w:val="24"/>
        </w:rPr>
        <w:t>Příjemci nesplnili termín ukončení realizace</w:t>
      </w:r>
      <w:r>
        <w:rPr>
          <w:rStyle w:val="Znakapoznpodarou"/>
          <w:b/>
          <w:szCs w:val="24"/>
        </w:rPr>
        <w:footnoteReference w:id="19"/>
      </w:r>
      <w:r>
        <w:rPr>
          <w:rFonts w:cs="Times New Roman"/>
          <w:b/>
          <w:szCs w:val="24"/>
        </w:rPr>
        <w:t xml:space="preserve"> a propláceli práce před jejich provedením</w:t>
      </w:r>
      <w:r w:rsidRPr="00CE5ADF">
        <w:rPr>
          <w:rFonts w:cs="Times New Roman"/>
          <w:b/>
          <w:szCs w:val="24"/>
        </w:rPr>
        <w:t>.</w:t>
      </w:r>
    </w:p>
    <w:p w14:paraId="352C0320" w14:textId="7E31A0F2" w:rsidR="0092651A" w:rsidRPr="00340D7B" w:rsidRDefault="0092651A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 w:rsidRPr="00340D7B">
        <w:rPr>
          <w:sz w:val="24"/>
          <w:szCs w:val="24"/>
        </w:rPr>
        <w:t>Příjemci dotace v</w:t>
      </w:r>
      <w:r>
        <w:rPr>
          <w:sz w:val="24"/>
          <w:szCs w:val="24"/>
        </w:rPr>
        <w:t>e výši</w:t>
      </w:r>
      <w:r w:rsidRPr="00340D7B">
        <w:rPr>
          <w:sz w:val="24"/>
          <w:szCs w:val="24"/>
        </w:rPr>
        <w:t xml:space="preserve"> 35 mil. Kč byl vydán kolaudační s</w:t>
      </w:r>
      <w:r w:rsidR="008032DC">
        <w:rPr>
          <w:sz w:val="24"/>
          <w:szCs w:val="24"/>
        </w:rPr>
        <w:t>ouhlas s užíváním stavby, jejíž</w:t>
      </w:r>
      <w:r w:rsidR="00164D08">
        <w:rPr>
          <w:sz w:val="24"/>
          <w:szCs w:val="24"/>
        </w:rPr>
        <w:t xml:space="preserve"> </w:t>
      </w:r>
      <w:r w:rsidRPr="00340D7B">
        <w:rPr>
          <w:sz w:val="24"/>
          <w:szCs w:val="24"/>
        </w:rPr>
        <w:t xml:space="preserve">realizace byla předmětem </w:t>
      </w:r>
      <w:r>
        <w:rPr>
          <w:sz w:val="24"/>
          <w:szCs w:val="24"/>
        </w:rPr>
        <w:t>podpory</w:t>
      </w:r>
      <w:r w:rsidRPr="00340D7B">
        <w:rPr>
          <w:sz w:val="24"/>
          <w:szCs w:val="24"/>
        </w:rPr>
        <w:t>, 72 dnů, resp. 42</w:t>
      </w:r>
      <w:r w:rsidR="008032DC">
        <w:rPr>
          <w:sz w:val="24"/>
          <w:szCs w:val="24"/>
        </w:rPr>
        <w:t xml:space="preserve"> dnů při započtení tolerance</w:t>
      </w:r>
      <w:r w:rsidR="00785303">
        <w:rPr>
          <w:sz w:val="24"/>
          <w:szCs w:val="24"/>
        </w:rPr>
        <w:t>,</w:t>
      </w:r>
      <w:r w:rsidR="008032DC">
        <w:rPr>
          <w:sz w:val="24"/>
          <w:szCs w:val="24"/>
        </w:rPr>
        <w:t xml:space="preserve"> po</w:t>
      </w:r>
      <w:r w:rsidR="001527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maximálním </w:t>
      </w:r>
      <w:r w:rsidRPr="00340D7B">
        <w:rPr>
          <w:sz w:val="24"/>
          <w:szCs w:val="24"/>
        </w:rPr>
        <w:t>termínu ukončení real</w:t>
      </w:r>
      <w:r>
        <w:rPr>
          <w:sz w:val="24"/>
          <w:szCs w:val="24"/>
        </w:rPr>
        <w:t>izace stanoveném v rozhodnutí o</w:t>
      </w:r>
      <w:r w:rsidR="00152751">
        <w:rPr>
          <w:sz w:val="24"/>
          <w:szCs w:val="24"/>
        </w:rPr>
        <w:t xml:space="preserve"> </w:t>
      </w:r>
      <w:r w:rsidRPr="00340D7B">
        <w:rPr>
          <w:sz w:val="24"/>
          <w:szCs w:val="24"/>
        </w:rPr>
        <w:t>poskytnutí dotace. Faktury za provedené práce byly propláceny, přestože práce nebyly ke dni jejich proplacení provedeny v plném r</w:t>
      </w:r>
      <w:r>
        <w:rPr>
          <w:sz w:val="24"/>
          <w:szCs w:val="24"/>
        </w:rPr>
        <w:t>ozsahu. Projekt nebyl úplně</w:t>
      </w:r>
      <w:r w:rsidRPr="00340D7B">
        <w:rPr>
          <w:sz w:val="24"/>
          <w:szCs w:val="24"/>
        </w:rPr>
        <w:t xml:space="preserve"> realizován ani ke</w:t>
      </w:r>
      <w:r w:rsidR="00785303">
        <w:rPr>
          <w:sz w:val="24"/>
          <w:szCs w:val="24"/>
        </w:rPr>
        <w:t xml:space="preserve"> </w:t>
      </w:r>
      <w:r w:rsidRPr="00340D7B">
        <w:rPr>
          <w:sz w:val="24"/>
          <w:szCs w:val="24"/>
        </w:rPr>
        <w:t xml:space="preserve">dni fyzické kontroly NKÚ, tj. téměř po roce </w:t>
      </w:r>
      <w:r w:rsidR="00785303">
        <w:rPr>
          <w:sz w:val="24"/>
          <w:szCs w:val="24"/>
        </w:rPr>
        <w:t xml:space="preserve">od </w:t>
      </w:r>
      <w:r w:rsidRPr="00340D7B">
        <w:rPr>
          <w:sz w:val="24"/>
          <w:szCs w:val="24"/>
        </w:rPr>
        <w:t>dek</w:t>
      </w:r>
      <w:r>
        <w:rPr>
          <w:sz w:val="24"/>
          <w:szCs w:val="24"/>
        </w:rPr>
        <w:t>larovaného ukončení realizace a</w:t>
      </w:r>
      <w:r w:rsidR="00152751">
        <w:rPr>
          <w:sz w:val="24"/>
          <w:szCs w:val="24"/>
        </w:rPr>
        <w:t xml:space="preserve"> </w:t>
      </w:r>
      <w:r w:rsidR="006275C4">
        <w:rPr>
          <w:sz w:val="24"/>
          <w:szCs w:val="24"/>
        </w:rPr>
        <w:t>proplacení všech faktur z </w:t>
      </w:r>
      <w:r w:rsidRPr="00340D7B">
        <w:rPr>
          <w:sz w:val="24"/>
          <w:szCs w:val="24"/>
        </w:rPr>
        <w:t>dotace. Příjemce v tomto případě navíc porušil závazné podmínky i tím, že neuchoval stavební deník, který by umožnil řádné provedení kontroly.</w:t>
      </w:r>
    </w:p>
    <w:p w14:paraId="7480A409" w14:textId="1C25C91F" w:rsidR="0092651A" w:rsidRPr="00E6391E" w:rsidRDefault="00E6391E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 w:rsidRPr="00E6391E">
        <w:rPr>
          <w:sz w:val="24"/>
          <w:szCs w:val="24"/>
        </w:rPr>
        <w:t>Nedodržení termínu bylo zjištěno i u dalších čtyř akcí s celkovou dotací ve výši 37,8 mil. Kč realizovaných třemi příjemci, kterým</w:t>
      </w:r>
      <w:r>
        <w:rPr>
          <w:sz w:val="24"/>
          <w:szCs w:val="24"/>
        </w:rPr>
        <w:t xml:space="preserve"> byl</w:t>
      </w:r>
      <w:r w:rsidR="006A7F3B">
        <w:rPr>
          <w:sz w:val="24"/>
          <w:szCs w:val="24"/>
        </w:rPr>
        <w:t>y</w:t>
      </w:r>
      <w:r w:rsidR="0092651A" w:rsidRPr="00E6391E">
        <w:rPr>
          <w:sz w:val="24"/>
          <w:szCs w:val="24"/>
        </w:rPr>
        <w:t xml:space="preserve"> vydán</w:t>
      </w:r>
      <w:r w:rsidR="006A7F3B">
        <w:rPr>
          <w:sz w:val="24"/>
          <w:szCs w:val="24"/>
        </w:rPr>
        <w:t>y</w:t>
      </w:r>
      <w:r w:rsidR="0092651A" w:rsidRPr="00E6391E">
        <w:rPr>
          <w:sz w:val="24"/>
          <w:szCs w:val="24"/>
        </w:rPr>
        <w:t xml:space="preserve"> kolaudační souhla</w:t>
      </w:r>
      <w:r w:rsidR="006275C4" w:rsidRPr="00E6391E">
        <w:rPr>
          <w:sz w:val="24"/>
          <w:szCs w:val="24"/>
        </w:rPr>
        <w:t>s</w:t>
      </w:r>
      <w:r w:rsidR="006A7F3B">
        <w:rPr>
          <w:sz w:val="24"/>
          <w:szCs w:val="24"/>
        </w:rPr>
        <w:t>y</w:t>
      </w:r>
      <w:r w:rsidR="006275C4" w:rsidRPr="00E6391E">
        <w:rPr>
          <w:sz w:val="24"/>
          <w:szCs w:val="24"/>
        </w:rPr>
        <w:t xml:space="preserve"> s</w:t>
      </w:r>
      <w:r w:rsidR="00152751">
        <w:rPr>
          <w:sz w:val="24"/>
          <w:szCs w:val="24"/>
        </w:rPr>
        <w:t xml:space="preserve"> </w:t>
      </w:r>
      <w:r w:rsidR="006275C4" w:rsidRPr="00E6391E">
        <w:rPr>
          <w:sz w:val="24"/>
          <w:szCs w:val="24"/>
        </w:rPr>
        <w:t>užíváním stav</w:t>
      </w:r>
      <w:r w:rsidR="006A7F3B">
        <w:rPr>
          <w:sz w:val="24"/>
          <w:szCs w:val="24"/>
        </w:rPr>
        <w:t>e</w:t>
      </w:r>
      <w:r w:rsidR="006275C4" w:rsidRPr="00E6391E">
        <w:rPr>
          <w:sz w:val="24"/>
          <w:szCs w:val="24"/>
        </w:rPr>
        <w:t>b, jej</w:t>
      </w:r>
      <w:r w:rsidR="006A7F3B">
        <w:rPr>
          <w:sz w:val="24"/>
          <w:szCs w:val="24"/>
        </w:rPr>
        <w:t>ich</w:t>
      </w:r>
      <w:r>
        <w:rPr>
          <w:sz w:val="24"/>
          <w:szCs w:val="24"/>
        </w:rPr>
        <w:t>ž</w:t>
      </w:r>
      <w:r w:rsidR="00785303">
        <w:rPr>
          <w:sz w:val="24"/>
          <w:szCs w:val="24"/>
        </w:rPr>
        <w:t xml:space="preserve"> </w:t>
      </w:r>
      <w:r w:rsidR="0092651A" w:rsidRPr="00E6391E">
        <w:rPr>
          <w:sz w:val="24"/>
          <w:szCs w:val="24"/>
        </w:rPr>
        <w:t>realizace byla předmětem podpory,</w:t>
      </w:r>
      <w:r>
        <w:rPr>
          <w:sz w:val="24"/>
          <w:szCs w:val="24"/>
        </w:rPr>
        <w:t xml:space="preserve"> 31</w:t>
      </w:r>
      <w:r w:rsidR="00785303">
        <w:rPr>
          <w:sz w:val="24"/>
          <w:szCs w:val="24"/>
        </w:rPr>
        <w:t xml:space="preserve"> až </w:t>
      </w:r>
      <w:r>
        <w:rPr>
          <w:sz w:val="24"/>
          <w:szCs w:val="24"/>
        </w:rPr>
        <w:t>55</w:t>
      </w:r>
      <w:r w:rsidR="0092651A" w:rsidRPr="00E6391E">
        <w:rPr>
          <w:sz w:val="24"/>
          <w:szCs w:val="24"/>
        </w:rPr>
        <w:t xml:space="preserve"> dnů, resp. </w:t>
      </w:r>
      <w:r>
        <w:rPr>
          <w:sz w:val="24"/>
          <w:szCs w:val="24"/>
        </w:rPr>
        <w:t>1</w:t>
      </w:r>
      <w:r w:rsidR="00785303">
        <w:rPr>
          <w:sz w:val="24"/>
          <w:szCs w:val="24"/>
        </w:rPr>
        <w:t xml:space="preserve"> den až </w:t>
      </w:r>
      <w:r w:rsidR="0092651A" w:rsidRPr="00E6391E">
        <w:rPr>
          <w:sz w:val="24"/>
          <w:szCs w:val="24"/>
        </w:rPr>
        <w:t>25</w:t>
      </w:r>
      <w:r w:rsidR="006A7F3B">
        <w:rPr>
          <w:sz w:val="24"/>
          <w:szCs w:val="24"/>
        </w:rPr>
        <w:t xml:space="preserve"> dnů při</w:t>
      </w:r>
      <w:r w:rsidR="00785303">
        <w:rPr>
          <w:sz w:val="24"/>
          <w:szCs w:val="24"/>
        </w:rPr>
        <w:t xml:space="preserve"> </w:t>
      </w:r>
      <w:r w:rsidR="006275C4" w:rsidRPr="00E6391E">
        <w:rPr>
          <w:sz w:val="24"/>
          <w:szCs w:val="24"/>
        </w:rPr>
        <w:t>započtení tolerance</w:t>
      </w:r>
      <w:r w:rsidR="00785303">
        <w:rPr>
          <w:sz w:val="24"/>
          <w:szCs w:val="24"/>
        </w:rPr>
        <w:t>,</w:t>
      </w:r>
      <w:r w:rsidR="006275C4" w:rsidRPr="00E6391E">
        <w:rPr>
          <w:sz w:val="24"/>
          <w:szCs w:val="24"/>
        </w:rPr>
        <w:t xml:space="preserve"> po</w:t>
      </w:r>
      <w:r w:rsidR="00785303">
        <w:rPr>
          <w:sz w:val="24"/>
          <w:szCs w:val="24"/>
        </w:rPr>
        <w:t xml:space="preserve"> </w:t>
      </w:r>
      <w:r w:rsidR="0092651A" w:rsidRPr="00E6391E">
        <w:rPr>
          <w:sz w:val="24"/>
          <w:szCs w:val="24"/>
        </w:rPr>
        <w:t>termínu ukončení real</w:t>
      </w:r>
      <w:r w:rsidR="008036ED">
        <w:rPr>
          <w:sz w:val="24"/>
          <w:szCs w:val="24"/>
        </w:rPr>
        <w:t xml:space="preserve">izace stanoveném v rozhodnutí o </w:t>
      </w:r>
      <w:r w:rsidR="0092651A" w:rsidRPr="00E6391E">
        <w:rPr>
          <w:sz w:val="24"/>
          <w:szCs w:val="24"/>
        </w:rPr>
        <w:t>poskytnutí dotace.</w:t>
      </w:r>
    </w:p>
    <w:p w14:paraId="66D4BFD2" w14:textId="19B5E85C" w:rsidR="0092651A" w:rsidRDefault="0092651A" w:rsidP="008E7D88">
      <w:pPr>
        <w:pStyle w:val="Odstavecseseznamem"/>
        <w:numPr>
          <w:ilvl w:val="0"/>
          <w:numId w:val="14"/>
        </w:numPr>
        <w:spacing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Příjemce dotace ve výši 9 mil. Kč proplatil faktury za provedení prací, které nebyly v</w:t>
      </w:r>
      <w:r w:rsidR="00164D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době proplacení </w:t>
      </w:r>
      <w:r w:rsidR="00152751">
        <w:rPr>
          <w:sz w:val="24"/>
          <w:szCs w:val="24"/>
        </w:rPr>
        <w:t>dokončeny</w:t>
      </w:r>
      <w:r>
        <w:rPr>
          <w:sz w:val="24"/>
          <w:szCs w:val="24"/>
        </w:rPr>
        <w:t xml:space="preserve"> nebo nebyly provedeny vůbec.</w:t>
      </w:r>
    </w:p>
    <w:p w14:paraId="5691BB1C" w14:textId="4C8536BC" w:rsidR="00B628B6" w:rsidRDefault="00B628B6" w:rsidP="008E7D88">
      <w:pPr>
        <w:widowControl/>
        <w:rPr>
          <w:szCs w:val="24"/>
        </w:rPr>
      </w:pPr>
    </w:p>
    <w:p w14:paraId="0ACFCA90" w14:textId="761DBF8D" w:rsidR="0092651A" w:rsidRPr="003A656C" w:rsidRDefault="0092651A" w:rsidP="008E7D88">
      <w:pPr>
        <w:widowControl/>
        <w:rPr>
          <w:szCs w:val="24"/>
        </w:rPr>
      </w:pPr>
      <w:r>
        <w:rPr>
          <w:szCs w:val="24"/>
        </w:rPr>
        <w:t>Ve všech uvedených případech, kdy byl vydán kolaudační souhlas po termínu pro ukončení realizace akce, vydalo MŠMT závěrečné vyhodnocení akce s tím, že termín pro dokončení považuje za splněný (viz kapitol</w:t>
      </w:r>
      <w:r w:rsidR="00152751">
        <w:rPr>
          <w:szCs w:val="24"/>
        </w:rPr>
        <w:t>a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III.4. tohoto</w:t>
      </w:r>
      <w:proofErr w:type="gramEnd"/>
      <w:r>
        <w:rPr>
          <w:szCs w:val="24"/>
        </w:rPr>
        <w:t xml:space="preserve"> kontrolního závěru).</w:t>
      </w:r>
    </w:p>
    <w:p w14:paraId="609A9FAC" w14:textId="77777777" w:rsidR="0092651A" w:rsidRPr="00340D7B" w:rsidRDefault="0092651A" w:rsidP="008E7D88">
      <w:pPr>
        <w:widowControl/>
        <w:rPr>
          <w:rFonts w:cs="Times New Roman"/>
          <w:szCs w:val="24"/>
        </w:rPr>
      </w:pPr>
    </w:p>
    <w:p w14:paraId="26EC6D84" w14:textId="45278FF2" w:rsidR="0092651A" w:rsidRDefault="0092651A" w:rsidP="008E7D88">
      <w:pPr>
        <w:widowControl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Příjemce nesplnil závazný technický parametr</w:t>
      </w:r>
      <w:r w:rsidR="00E6391E">
        <w:rPr>
          <w:rFonts w:cs="Times New Roman"/>
          <w:b/>
          <w:szCs w:val="24"/>
        </w:rPr>
        <w:t>.</w:t>
      </w:r>
    </w:p>
    <w:p w14:paraId="5732273C" w14:textId="6E4A816D" w:rsidR="0092651A" w:rsidRDefault="0092651A" w:rsidP="008E7D88">
      <w:pPr>
        <w:widowControl/>
        <w:rPr>
          <w:rFonts w:cs="Times New Roman"/>
          <w:szCs w:val="24"/>
        </w:rPr>
      </w:pPr>
      <w:r>
        <w:rPr>
          <w:rFonts w:cs="Times New Roman"/>
          <w:szCs w:val="24"/>
        </w:rPr>
        <w:t>Příjemce dotace ve výši 9 mil. Kč nedodržel závaznou hodnotu parametru „</w:t>
      </w:r>
      <w:r w:rsidR="00152751" w:rsidRPr="00F408A8">
        <w:rPr>
          <w:rFonts w:cs="Times New Roman"/>
          <w:i/>
          <w:szCs w:val="24"/>
        </w:rPr>
        <w:t>z</w:t>
      </w:r>
      <w:r w:rsidRPr="00F408A8">
        <w:rPr>
          <w:rFonts w:cs="Times New Roman"/>
          <w:i/>
          <w:szCs w:val="24"/>
        </w:rPr>
        <w:t>pevněná plocha zámkové dlažby</w:t>
      </w:r>
      <w:r>
        <w:rPr>
          <w:rFonts w:cs="Times New Roman"/>
          <w:szCs w:val="24"/>
        </w:rPr>
        <w:t>“, přesto v podkladech pro závěrečné vyhodnocení akce uvedl, že tento parametr byl splněn.</w:t>
      </w:r>
    </w:p>
    <w:p w14:paraId="3A18112C" w14:textId="79D7E79D" w:rsidR="0092651A" w:rsidRDefault="0092651A" w:rsidP="008E7D88">
      <w:pPr>
        <w:widowControl/>
        <w:rPr>
          <w:rFonts w:cs="Times New Roman"/>
          <w:szCs w:val="24"/>
        </w:rPr>
      </w:pPr>
    </w:p>
    <w:p w14:paraId="48579FCC" w14:textId="74159C3E" w:rsidR="0092651A" w:rsidRDefault="0092651A" w:rsidP="008E7D88">
      <w:pPr>
        <w:widowControl/>
        <w:rPr>
          <w:rFonts w:cs="Times New Roman"/>
          <w:b/>
          <w:szCs w:val="24"/>
        </w:rPr>
      </w:pPr>
      <w:r w:rsidRPr="008D6F02">
        <w:rPr>
          <w:rFonts w:cs="Times New Roman"/>
          <w:b/>
          <w:szCs w:val="24"/>
        </w:rPr>
        <w:t>Příjemce nesplnil povinné dofinancování z vlastních zdrojů</w:t>
      </w:r>
      <w:r w:rsidR="00E6391E">
        <w:rPr>
          <w:rFonts w:cs="Times New Roman"/>
          <w:b/>
          <w:szCs w:val="24"/>
        </w:rPr>
        <w:t>.</w:t>
      </w:r>
    </w:p>
    <w:p w14:paraId="649A34A4" w14:textId="1AA14D3B" w:rsidR="0092651A" w:rsidRDefault="0092651A" w:rsidP="008E7D88">
      <w:pPr>
        <w:widowControl/>
        <w:rPr>
          <w:rFonts w:cs="Times New Roman"/>
          <w:szCs w:val="24"/>
        </w:rPr>
      </w:pPr>
      <w:r>
        <w:rPr>
          <w:rFonts w:cs="Times New Roman"/>
          <w:szCs w:val="24"/>
        </w:rPr>
        <w:t>Příjemce dotace ve výši 0,8 mil. Kč nedodržel závaznou hodnotu parametru „</w:t>
      </w:r>
      <w:r w:rsidR="00152751" w:rsidRPr="00F408A8">
        <w:rPr>
          <w:rFonts w:cs="Times New Roman"/>
          <w:i/>
          <w:szCs w:val="24"/>
        </w:rPr>
        <w:t>v</w:t>
      </w:r>
      <w:r w:rsidRPr="00F408A8">
        <w:rPr>
          <w:rFonts w:cs="Times New Roman"/>
          <w:i/>
          <w:szCs w:val="24"/>
        </w:rPr>
        <w:t>lastní zdroje účastníka programu</w:t>
      </w:r>
      <w:r>
        <w:rPr>
          <w:rFonts w:cs="Times New Roman"/>
          <w:szCs w:val="24"/>
        </w:rPr>
        <w:t>“</w:t>
      </w:r>
      <w:r w:rsidR="00152751">
        <w:rPr>
          <w:rFonts w:cs="Times New Roman"/>
          <w:szCs w:val="24"/>
        </w:rPr>
        <w:t>;</w:t>
      </w:r>
      <w:r>
        <w:rPr>
          <w:rFonts w:cs="Times New Roman"/>
          <w:szCs w:val="24"/>
        </w:rPr>
        <w:t xml:space="preserve"> </w:t>
      </w:r>
      <w:r w:rsidR="00152751">
        <w:rPr>
          <w:rFonts w:cs="Times New Roman"/>
          <w:szCs w:val="24"/>
        </w:rPr>
        <w:t xml:space="preserve">akci </w:t>
      </w:r>
      <w:r>
        <w:rPr>
          <w:rFonts w:cs="Times New Roman"/>
          <w:szCs w:val="24"/>
        </w:rPr>
        <w:t>měl</w:t>
      </w:r>
      <w:r w:rsidR="00A26B8D">
        <w:rPr>
          <w:rFonts w:cs="Times New Roman"/>
          <w:szCs w:val="24"/>
        </w:rPr>
        <w:t xml:space="preserve"> spolufinancovat částkou 269</w:t>
      </w:r>
      <w:r>
        <w:rPr>
          <w:rFonts w:cs="Times New Roman"/>
          <w:szCs w:val="24"/>
        </w:rPr>
        <w:t xml:space="preserve"> tis. Kč</w:t>
      </w:r>
      <w:r w:rsidR="00152751">
        <w:rPr>
          <w:rFonts w:cs="Times New Roman"/>
          <w:szCs w:val="24"/>
        </w:rPr>
        <w:t>, avšak</w:t>
      </w:r>
      <w:r>
        <w:rPr>
          <w:rFonts w:cs="Times New Roman"/>
          <w:szCs w:val="24"/>
        </w:rPr>
        <w:t xml:space="preserve"> ve s</w:t>
      </w:r>
      <w:r w:rsidR="006275C4">
        <w:rPr>
          <w:rFonts w:cs="Times New Roman"/>
          <w:szCs w:val="24"/>
        </w:rPr>
        <w:t>kutečnosti do</w:t>
      </w:r>
      <w:r w:rsidR="001527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projektu vložil jen 8</w:t>
      </w:r>
      <w:r w:rsidR="00A26B8D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 tis. Kč.</w:t>
      </w:r>
    </w:p>
    <w:p w14:paraId="0AE26820" w14:textId="77777777" w:rsidR="0092651A" w:rsidRDefault="0092651A" w:rsidP="008E7D88">
      <w:pPr>
        <w:widowControl/>
        <w:rPr>
          <w:rFonts w:cs="Times New Roman"/>
          <w:szCs w:val="24"/>
        </w:rPr>
      </w:pPr>
    </w:p>
    <w:p w14:paraId="2AC1405C" w14:textId="1566AF1B" w:rsidR="0092651A" w:rsidRPr="00CE5ADF" w:rsidRDefault="0092651A" w:rsidP="008E7D88">
      <w:pPr>
        <w:widowControl/>
        <w:rPr>
          <w:rFonts w:cs="Times New Roman"/>
          <w:b/>
          <w:szCs w:val="24"/>
        </w:rPr>
      </w:pPr>
      <w:r w:rsidRPr="00CE5ADF">
        <w:rPr>
          <w:rFonts w:cs="Times New Roman"/>
          <w:b/>
          <w:szCs w:val="24"/>
        </w:rPr>
        <w:t>Příjemc</w:t>
      </w:r>
      <w:r>
        <w:rPr>
          <w:rFonts w:cs="Times New Roman"/>
          <w:b/>
          <w:szCs w:val="24"/>
        </w:rPr>
        <w:t>e</w:t>
      </w:r>
      <w:r w:rsidRPr="00CE5ADF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převáděl finanční prostředky na jiný účet</w:t>
      </w:r>
      <w:r w:rsidR="00E6391E">
        <w:rPr>
          <w:rFonts w:cs="Times New Roman"/>
          <w:b/>
          <w:szCs w:val="24"/>
        </w:rPr>
        <w:t>.</w:t>
      </w:r>
    </w:p>
    <w:p w14:paraId="52CECDC1" w14:textId="57A5559A" w:rsidR="0092651A" w:rsidRPr="00340D7B" w:rsidRDefault="0092651A" w:rsidP="008E7D88">
      <w:pPr>
        <w:widowControl/>
        <w:rPr>
          <w:rFonts w:cs="Times New Roman"/>
          <w:szCs w:val="24"/>
        </w:rPr>
      </w:pPr>
      <w:r w:rsidRPr="00886711">
        <w:rPr>
          <w:rFonts w:cs="Times New Roman"/>
          <w:szCs w:val="24"/>
        </w:rPr>
        <w:t xml:space="preserve">Příjemce dotací převáděl z projektových účtů tří kontrolovaných akcí finanční prostředky určené na úhradu DPH na jiný vlastní účet, což závazné podmínky pro čerpání dotace neumožňovaly. </w:t>
      </w:r>
      <w:r w:rsidR="00AF26CD">
        <w:rPr>
          <w:rFonts w:cs="Times New Roman"/>
          <w:szCs w:val="24"/>
        </w:rPr>
        <w:t>Dále p</w:t>
      </w:r>
      <w:r w:rsidRPr="00886711">
        <w:rPr>
          <w:rFonts w:cs="Times New Roman"/>
          <w:szCs w:val="24"/>
        </w:rPr>
        <w:t>říjemce dotací</w:t>
      </w:r>
      <w:r w:rsidR="00AF26CD">
        <w:rPr>
          <w:rFonts w:cs="Times New Roman"/>
          <w:szCs w:val="24"/>
        </w:rPr>
        <w:t xml:space="preserve"> ve finančním vypořádání všech tří akcí uvedl, že dotace k 31. 12. 2014 vyčerpal, přestože dotace v daném roce, tj. 20</w:t>
      </w:r>
      <w:r w:rsidR="004707E7">
        <w:rPr>
          <w:rFonts w:cs="Times New Roman"/>
          <w:szCs w:val="24"/>
        </w:rPr>
        <w:t>14, v plné výši nevyčerpal a</w:t>
      </w:r>
      <w:r w:rsidR="00DA3B61">
        <w:rPr>
          <w:rFonts w:cs="Times New Roman"/>
          <w:szCs w:val="24"/>
        </w:rPr>
        <w:t xml:space="preserve"> </w:t>
      </w:r>
      <w:r w:rsidR="00AF26CD">
        <w:rPr>
          <w:rFonts w:cs="Times New Roman"/>
          <w:szCs w:val="24"/>
        </w:rPr>
        <w:t xml:space="preserve">jejich část </w:t>
      </w:r>
      <w:r w:rsidR="004707E7">
        <w:rPr>
          <w:rFonts w:cs="Times New Roman"/>
          <w:szCs w:val="24"/>
        </w:rPr>
        <w:t xml:space="preserve">určenou na úhradu DPH z faktur proplacených v prosinci 2014 </w:t>
      </w:r>
      <w:r w:rsidR="00AF26CD">
        <w:rPr>
          <w:rFonts w:cs="Times New Roman"/>
          <w:szCs w:val="24"/>
        </w:rPr>
        <w:t>zadržel a použil a</w:t>
      </w:r>
      <w:r w:rsidR="004707E7">
        <w:rPr>
          <w:rFonts w:cs="Times New Roman"/>
          <w:szCs w:val="24"/>
        </w:rPr>
        <w:t>ž</w:t>
      </w:r>
      <w:r w:rsidR="00AF26CD">
        <w:rPr>
          <w:rFonts w:cs="Times New Roman"/>
          <w:szCs w:val="24"/>
        </w:rPr>
        <w:t xml:space="preserve"> v roce následujícím. P</w:t>
      </w:r>
      <w:r w:rsidRPr="00886711">
        <w:rPr>
          <w:rFonts w:cs="Times New Roman"/>
          <w:szCs w:val="24"/>
        </w:rPr>
        <w:t>říjemce tímto postupem porušil vyhlášku</w:t>
      </w:r>
      <w:r w:rsidR="00535186" w:rsidRPr="00535186">
        <w:rPr>
          <w:rFonts w:cs="Times New Roman"/>
          <w:szCs w:val="24"/>
        </w:rPr>
        <w:t>, kte</w:t>
      </w:r>
      <w:r w:rsidR="004707E7">
        <w:rPr>
          <w:rFonts w:cs="Times New Roman"/>
          <w:szCs w:val="24"/>
        </w:rPr>
        <w:t>rou se stanoví zásady a</w:t>
      </w:r>
      <w:r w:rsidR="00DA3B61">
        <w:rPr>
          <w:rFonts w:cs="Times New Roman"/>
          <w:szCs w:val="24"/>
        </w:rPr>
        <w:t xml:space="preserve"> </w:t>
      </w:r>
      <w:r w:rsidR="00535186" w:rsidRPr="00535186">
        <w:rPr>
          <w:rFonts w:cs="Times New Roman"/>
          <w:szCs w:val="24"/>
        </w:rPr>
        <w:t>termíny finančního vypořádání vztahů se státním rozpočtem</w:t>
      </w:r>
      <w:r w:rsidRPr="00886711">
        <w:rPr>
          <w:rStyle w:val="Znakapoznpodarou"/>
          <w:szCs w:val="24"/>
        </w:rPr>
        <w:footnoteReference w:id="20"/>
      </w:r>
      <w:r w:rsidR="00535186">
        <w:rPr>
          <w:rFonts w:cs="Times New Roman"/>
          <w:szCs w:val="24"/>
        </w:rPr>
        <w:t>.</w:t>
      </w:r>
    </w:p>
    <w:p w14:paraId="62B85820" w14:textId="77777777" w:rsidR="0092651A" w:rsidRPr="00340D7B" w:rsidRDefault="0092651A" w:rsidP="008E7D88">
      <w:pPr>
        <w:widowControl/>
        <w:rPr>
          <w:rFonts w:cs="Times New Roman"/>
          <w:szCs w:val="24"/>
        </w:rPr>
      </w:pPr>
    </w:p>
    <w:p w14:paraId="5519BCDC" w14:textId="1E9AF3B4" w:rsidR="0092651A" w:rsidRPr="009F7070" w:rsidRDefault="0092651A" w:rsidP="008E7D88">
      <w:pPr>
        <w:widowControl/>
        <w:rPr>
          <w:b/>
        </w:rPr>
      </w:pPr>
      <w:r w:rsidRPr="009F7070">
        <w:rPr>
          <w:b/>
        </w:rPr>
        <w:t>Příjemce poskytl zálohu z</w:t>
      </w:r>
      <w:r w:rsidR="00E6391E">
        <w:rPr>
          <w:b/>
        </w:rPr>
        <w:t> </w:t>
      </w:r>
      <w:r w:rsidRPr="009F7070">
        <w:rPr>
          <w:b/>
        </w:rPr>
        <w:t>dotace</w:t>
      </w:r>
      <w:r w:rsidR="00E6391E">
        <w:rPr>
          <w:b/>
        </w:rPr>
        <w:t>.</w:t>
      </w:r>
    </w:p>
    <w:p w14:paraId="576F19B7" w14:textId="7CD1DC91" w:rsidR="0092651A" w:rsidRDefault="0092651A" w:rsidP="008E7D88">
      <w:pPr>
        <w:widowControl/>
      </w:pPr>
      <w:r>
        <w:t>Příjemce dotace ve výši 10 mil. Kč poskytl zhotoviteli zálohu ve výši 1 mil. Kč, přestože</w:t>
      </w:r>
      <w:r w:rsidR="00DA3B61">
        <w:t xml:space="preserve"> </w:t>
      </w:r>
      <w:r>
        <w:t>to závazné podmínky pro čerpání dotace výslovně zakazovaly.</w:t>
      </w:r>
    </w:p>
    <w:p w14:paraId="4D762DD5" w14:textId="3FEBF81B" w:rsidR="003A76EC" w:rsidRDefault="003A76EC" w:rsidP="008E7D88">
      <w:pPr>
        <w:widowControl/>
      </w:pPr>
    </w:p>
    <w:p w14:paraId="284E8EBA" w14:textId="33CD69B9" w:rsidR="00713E76" w:rsidRPr="00AF26CD" w:rsidRDefault="00713E76" w:rsidP="008E7D88">
      <w:pPr>
        <w:widowControl/>
        <w:rPr>
          <w:b/>
        </w:rPr>
      </w:pPr>
      <w:r w:rsidRPr="00AF26CD">
        <w:rPr>
          <w:b/>
        </w:rPr>
        <w:t xml:space="preserve">U šesti příjemců </w:t>
      </w:r>
      <w:r w:rsidR="00152751" w:rsidRPr="00AF26CD">
        <w:rPr>
          <w:b/>
        </w:rPr>
        <w:t xml:space="preserve">vyhodnotil </w:t>
      </w:r>
      <w:r w:rsidRPr="00AF26CD">
        <w:rPr>
          <w:b/>
        </w:rPr>
        <w:t>NKÚ zjištěné nedostatky jako porušení rozpočtové kázně</w:t>
      </w:r>
      <w:r w:rsidRPr="00AF26CD">
        <w:rPr>
          <w:rStyle w:val="Znakapoznpodarou"/>
          <w:b/>
        </w:rPr>
        <w:footnoteReference w:id="21"/>
      </w:r>
      <w:r w:rsidR="004707E7">
        <w:rPr>
          <w:b/>
        </w:rPr>
        <w:t xml:space="preserve"> a </w:t>
      </w:r>
      <w:r w:rsidR="000D105E">
        <w:rPr>
          <w:b/>
        </w:rPr>
        <w:t>předal</w:t>
      </w:r>
      <w:r w:rsidRPr="00AF26CD">
        <w:rPr>
          <w:b/>
        </w:rPr>
        <w:t xml:space="preserve"> oznámení příslušnému správci daně.</w:t>
      </w:r>
    </w:p>
    <w:p w14:paraId="5A99FD1F" w14:textId="6DC7D935" w:rsidR="004020CA" w:rsidRDefault="004020CA" w:rsidP="008E7D88">
      <w:pPr>
        <w:widowControl/>
      </w:pPr>
    </w:p>
    <w:p w14:paraId="26E4BE4A" w14:textId="6F1AB236" w:rsidR="00455D0B" w:rsidRDefault="00455D0B" w:rsidP="008E7D88">
      <w:pPr>
        <w:widowControl/>
      </w:pPr>
    </w:p>
    <w:sectPr w:rsidR="00455D0B" w:rsidSect="00AA34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8" w:code="9"/>
      <w:pgMar w:top="1417" w:right="1417" w:bottom="1417" w:left="1417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1C4A" w14:textId="77777777" w:rsidR="00F408A8" w:rsidRDefault="00F408A8" w:rsidP="00FE5C8F">
      <w:r>
        <w:separator/>
      </w:r>
    </w:p>
  </w:endnote>
  <w:endnote w:type="continuationSeparator" w:id="0">
    <w:p w14:paraId="0F535CB1" w14:textId="77777777" w:rsidR="00F408A8" w:rsidRDefault="00F408A8" w:rsidP="00FE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050B2" w14:textId="77777777" w:rsidR="00AF0E8A" w:rsidRDefault="00AF0E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323938"/>
      <w:docPartObj>
        <w:docPartGallery w:val="Page Numbers (Bottom of Page)"/>
        <w:docPartUnique/>
      </w:docPartObj>
    </w:sdtPr>
    <w:sdtEndPr/>
    <w:sdtContent>
      <w:p w14:paraId="3F63BE5D" w14:textId="108A4396" w:rsidR="00F408A8" w:rsidRDefault="00F408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8A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9F68" w14:textId="77777777" w:rsidR="00AF0E8A" w:rsidRDefault="00AF0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8D759" w14:textId="77777777" w:rsidR="00F408A8" w:rsidRDefault="00F408A8" w:rsidP="00FE5C8F">
      <w:r>
        <w:separator/>
      </w:r>
    </w:p>
  </w:footnote>
  <w:footnote w:type="continuationSeparator" w:id="0">
    <w:p w14:paraId="00D1B60E" w14:textId="77777777" w:rsidR="00F408A8" w:rsidRDefault="00F408A8" w:rsidP="00FE5C8F">
      <w:r>
        <w:continuationSeparator/>
      </w:r>
    </w:p>
  </w:footnote>
  <w:footnote w:id="1">
    <w:p w14:paraId="17DB3CCE" w14:textId="1DE0B2C2" w:rsidR="00F408A8" w:rsidRPr="00E0000C" w:rsidRDefault="00F408A8" w:rsidP="00E0000C">
      <w:pPr>
        <w:pStyle w:val="Textpoznpodarou"/>
        <w:ind w:left="284" w:hanging="284"/>
        <w:rPr>
          <w:sz w:val="20"/>
          <w:szCs w:val="20"/>
        </w:rPr>
      </w:pPr>
      <w:r w:rsidRPr="00E0000C">
        <w:rPr>
          <w:rStyle w:val="Znakapoznpodarou"/>
          <w:sz w:val="20"/>
          <w:szCs w:val="20"/>
        </w:rPr>
        <w:footnoteRef/>
      </w:r>
      <w:r w:rsidRPr="00E0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0000C">
        <w:rPr>
          <w:sz w:val="20"/>
          <w:szCs w:val="20"/>
        </w:rPr>
        <w:t>Ustanovení § 7 odst. 1 zákona České národní rady č. 2/1969 Sb., o zřízení ministerstev a jiných ústředních orgánů státní správy České republiky.</w:t>
      </w:r>
    </w:p>
  </w:footnote>
  <w:footnote w:id="2">
    <w:p w14:paraId="50B8770A" w14:textId="041CAF8C" w:rsidR="00F408A8" w:rsidRPr="00E0000C" w:rsidRDefault="00F408A8" w:rsidP="00E0000C">
      <w:pPr>
        <w:pStyle w:val="Textpoznpodarou"/>
        <w:ind w:left="284" w:hanging="284"/>
        <w:rPr>
          <w:sz w:val="20"/>
          <w:szCs w:val="20"/>
        </w:rPr>
      </w:pPr>
      <w:r w:rsidRPr="00E0000C">
        <w:rPr>
          <w:rStyle w:val="Znakapoznpodarou"/>
          <w:sz w:val="20"/>
          <w:szCs w:val="20"/>
        </w:rPr>
        <w:footnoteRef/>
      </w:r>
      <w:r w:rsidRPr="00E0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0000C">
        <w:rPr>
          <w:sz w:val="20"/>
          <w:szCs w:val="20"/>
        </w:rPr>
        <w:t>Zákon č. 115/2001 Sb., o podpoře sportu.</w:t>
      </w:r>
    </w:p>
  </w:footnote>
  <w:footnote w:id="3">
    <w:p w14:paraId="3492F840" w14:textId="0365C5F9" w:rsidR="00F408A8" w:rsidRPr="00E0000C" w:rsidRDefault="00F408A8" w:rsidP="00E0000C">
      <w:pPr>
        <w:pStyle w:val="Textpoznpodarou"/>
        <w:ind w:left="284" w:hanging="284"/>
        <w:rPr>
          <w:sz w:val="20"/>
          <w:szCs w:val="20"/>
        </w:rPr>
      </w:pPr>
      <w:r w:rsidRPr="00E0000C">
        <w:rPr>
          <w:rStyle w:val="Znakapoznpodarou"/>
          <w:sz w:val="20"/>
          <w:szCs w:val="20"/>
        </w:rPr>
        <w:footnoteRef/>
      </w:r>
      <w:r w:rsidRPr="00E0000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0000C">
        <w:rPr>
          <w:sz w:val="20"/>
          <w:szCs w:val="20"/>
        </w:rPr>
        <w:t>Jedná se o program evidovaný v </w:t>
      </w:r>
      <w:r w:rsidRPr="00F408A8">
        <w:rPr>
          <w:i/>
          <w:sz w:val="20"/>
          <w:szCs w:val="20"/>
        </w:rPr>
        <w:t>Informačním systému programového financování</w:t>
      </w:r>
      <w:r w:rsidRPr="00E0000C">
        <w:rPr>
          <w:sz w:val="20"/>
          <w:szCs w:val="20"/>
        </w:rPr>
        <w:t xml:space="preserve"> podle ustanovení § 12 odst.</w:t>
      </w:r>
      <w:r>
        <w:rPr>
          <w:sz w:val="20"/>
          <w:szCs w:val="20"/>
        </w:rPr>
        <w:t> </w:t>
      </w:r>
      <w:r w:rsidRPr="00E0000C">
        <w:rPr>
          <w:sz w:val="20"/>
          <w:szCs w:val="20"/>
        </w:rPr>
        <w:t>3 zákona č. 218/2000 Sb., o rozpočtových pravidlech a o změně některých souvisejících zákonů (rozpočtová pravidla).</w:t>
      </w:r>
    </w:p>
  </w:footnote>
  <w:footnote w:id="4">
    <w:p w14:paraId="78A4C5AE" w14:textId="314D7DB0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Ustanovení § 3 odst. 1 písm. b) zákona č. 115/2001 Sb.</w:t>
      </w:r>
    </w:p>
  </w:footnote>
  <w:footnote w:id="5">
    <w:p w14:paraId="6440A96E" w14:textId="3E1970C7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 xml:space="preserve">Usnesení vlády </w:t>
      </w:r>
      <w:r>
        <w:rPr>
          <w:sz w:val="20"/>
          <w:szCs w:val="20"/>
        </w:rPr>
        <w:t xml:space="preserve">ČR </w:t>
      </w:r>
      <w:r w:rsidRPr="00586319">
        <w:rPr>
          <w:sz w:val="20"/>
          <w:szCs w:val="20"/>
        </w:rPr>
        <w:t>ze dne 9. března 2011 č. 167</w:t>
      </w:r>
      <w:r>
        <w:rPr>
          <w:sz w:val="20"/>
          <w:szCs w:val="20"/>
        </w:rPr>
        <w:t>,</w:t>
      </w:r>
      <w:r w:rsidRPr="00586319">
        <w:rPr>
          <w:sz w:val="20"/>
          <w:szCs w:val="20"/>
        </w:rPr>
        <w:t xml:space="preserve"> </w:t>
      </w:r>
      <w:r w:rsidRPr="00F408A8">
        <w:rPr>
          <w:i/>
          <w:sz w:val="20"/>
          <w:szCs w:val="20"/>
        </w:rPr>
        <w:t>o Koncepci státní podpory sportu v České republice</w:t>
      </w:r>
      <w:r w:rsidRPr="00586319">
        <w:rPr>
          <w:sz w:val="20"/>
          <w:szCs w:val="20"/>
        </w:rPr>
        <w:t>.</w:t>
      </w:r>
    </w:p>
  </w:footnote>
  <w:footnote w:id="6">
    <w:p w14:paraId="7F069E80" w14:textId="43FD3534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Zákon č. 137/2006 Sb., o veřejných zakázkách.</w:t>
      </w:r>
    </w:p>
  </w:footnote>
  <w:footnote w:id="7">
    <w:p w14:paraId="2E913632" w14:textId="7F30AAED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Ustanovení § 44 odst. 1 písm. b) a j) zákona č. 218/2000 Sb.</w:t>
      </w:r>
    </w:p>
  </w:footnote>
  <w:footnote w:id="8">
    <w:p w14:paraId="1A1F3855" w14:textId="4742CBDB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Ustanovení § 3 odst. 1 písm. b) zákona č. 115/2001 Sb.</w:t>
      </w:r>
    </w:p>
  </w:footnote>
  <w:footnote w:id="9">
    <w:p w14:paraId="3AC0CD00" w14:textId="7C98B7CB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Ustanovení § 21 zákona České národní rady č. 2/1969 Sb.</w:t>
      </w:r>
    </w:p>
  </w:footnote>
  <w:footnote w:id="10">
    <w:p w14:paraId="2FC4F614" w14:textId="252AB847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>Tento dokument navazuje na vyhlášení státní podpory v oblasti investic a komplexně popisuje metodiku poskytování podpory v investiční oblasti, určuje cíle a priority programu, vymez</w:t>
      </w:r>
      <w:r>
        <w:rPr>
          <w:sz w:val="20"/>
          <w:szCs w:val="20"/>
        </w:rPr>
        <w:t>uje</w:t>
      </w:r>
      <w:r w:rsidRPr="00586319">
        <w:rPr>
          <w:sz w:val="20"/>
          <w:szCs w:val="20"/>
        </w:rPr>
        <w:t xml:space="preserve"> příjemc</w:t>
      </w:r>
      <w:r>
        <w:rPr>
          <w:sz w:val="20"/>
          <w:szCs w:val="20"/>
        </w:rPr>
        <w:t>e</w:t>
      </w:r>
      <w:r w:rsidRPr="00586319">
        <w:rPr>
          <w:sz w:val="20"/>
          <w:szCs w:val="20"/>
        </w:rPr>
        <w:t xml:space="preserve"> dotací, kritéria výběru, podmínky pro realizaci vybraných akcí, postup při čerpání dotací a při jejich závěrečném zúčtování a vyhodnocování</w:t>
      </w:r>
      <w:r>
        <w:rPr>
          <w:sz w:val="20"/>
          <w:szCs w:val="20"/>
        </w:rPr>
        <w:t>.</w:t>
      </w:r>
    </w:p>
  </w:footnote>
  <w:footnote w:id="11">
    <w:p w14:paraId="32211DC8" w14:textId="58D32706" w:rsidR="00F408A8" w:rsidRPr="00586319" w:rsidRDefault="00F408A8" w:rsidP="00586319">
      <w:pPr>
        <w:pStyle w:val="Textpoznpodarou"/>
        <w:ind w:left="284" w:hanging="284"/>
        <w:rPr>
          <w:sz w:val="20"/>
          <w:szCs w:val="20"/>
        </w:rPr>
      </w:pPr>
      <w:r w:rsidRPr="00586319">
        <w:rPr>
          <w:rStyle w:val="Znakapoznpodarou"/>
          <w:sz w:val="20"/>
          <w:szCs w:val="20"/>
        </w:rPr>
        <w:footnoteRef/>
      </w:r>
      <w:r w:rsidRPr="0058631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586319">
        <w:rPr>
          <w:sz w:val="20"/>
          <w:szCs w:val="20"/>
        </w:rPr>
        <w:t xml:space="preserve">Pro porovnání odkazujeme na materiál </w:t>
      </w:r>
      <w:r w:rsidRPr="00CB5E69">
        <w:rPr>
          <w:sz w:val="20"/>
          <w:szCs w:val="20"/>
        </w:rPr>
        <w:t>Nejvyššího kontrolního úřadu Slovenské republiky</w:t>
      </w:r>
      <w:r w:rsidRPr="00586319">
        <w:rPr>
          <w:sz w:val="20"/>
          <w:szCs w:val="20"/>
        </w:rPr>
        <w:t xml:space="preserve"> s názvem </w:t>
      </w:r>
      <w:r w:rsidRPr="00F408A8">
        <w:rPr>
          <w:i/>
          <w:sz w:val="20"/>
          <w:szCs w:val="20"/>
        </w:rPr>
        <w:t xml:space="preserve">Správa o výsledku kontroly </w:t>
      </w:r>
      <w:r w:rsidRPr="00F408A8">
        <w:rPr>
          <w:i/>
          <w:sz w:val="20"/>
          <w:szCs w:val="20"/>
          <w:lang w:val="sk-SK"/>
        </w:rPr>
        <w:t>vynakladania verejných prostriedkov na plnenie úloh Národného programu rozvoja športu</w:t>
      </w:r>
      <w:r w:rsidRPr="00586319">
        <w:rPr>
          <w:sz w:val="20"/>
          <w:szCs w:val="20"/>
        </w:rPr>
        <w:t xml:space="preserve">. Z této zprávy vyplývá, že na Slovensku </w:t>
      </w:r>
      <w:r>
        <w:rPr>
          <w:sz w:val="20"/>
          <w:szCs w:val="20"/>
        </w:rPr>
        <w:t>byly pro</w:t>
      </w:r>
      <w:r w:rsidRPr="00586319">
        <w:rPr>
          <w:sz w:val="20"/>
          <w:szCs w:val="20"/>
        </w:rPr>
        <w:t xml:space="preserve"> kontrolované programy a podprogramy vyhlašované v</w:t>
      </w:r>
      <w:r>
        <w:rPr>
          <w:sz w:val="20"/>
          <w:szCs w:val="20"/>
        </w:rPr>
        <w:t> </w:t>
      </w:r>
      <w:r w:rsidRPr="00586319">
        <w:rPr>
          <w:sz w:val="20"/>
          <w:szCs w:val="20"/>
        </w:rPr>
        <w:t>oblasti sportu stanoven</w:t>
      </w:r>
      <w:r>
        <w:rPr>
          <w:sz w:val="20"/>
          <w:szCs w:val="20"/>
        </w:rPr>
        <w:t>y</w:t>
      </w:r>
      <w:r w:rsidRPr="00586319">
        <w:rPr>
          <w:sz w:val="20"/>
          <w:szCs w:val="20"/>
        </w:rPr>
        <w:t xml:space="preserve"> konkrétní měřitelné cíle. Jednalo se např. o počet km obnovených, udržovaných a</w:t>
      </w:r>
      <w:r>
        <w:rPr>
          <w:sz w:val="20"/>
          <w:szCs w:val="20"/>
        </w:rPr>
        <w:t> </w:t>
      </w:r>
      <w:r w:rsidRPr="00586319">
        <w:rPr>
          <w:sz w:val="20"/>
          <w:szCs w:val="20"/>
        </w:rPr>
        <w:t>značených turistických a cykloturistických tras.</w:t>
      </w:r>
    </w:p>
  </w:footnote>
  <w:footnote w:id="12">
    <w:p w14:paraId="3B804431" w14:textId="27FEF3F3" w:rsidR="00F408A8" w:rsidRPr="0066723A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66723A">
        <w:rPr>
          <w:rStyle w:val="Znakapoznpodarou"/>
          <w:sz w:val="20"/>
          <w:szCs w:val="20"/>
        </w:rPr>
        <w:footnoteRef/>
      </w:r>
      <w:r w:rsidRPr="0066723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Ustanovení </w:t>
      </w:r>
      <w:r w:rsidRPr="0066723A">
        <w:rPr>
          <w:sz w:val="20"/>
          <w:szCs w:val="20"/>
        </w:rPr>
        <w:t xml:space="preserve">§ 39 odst. 3 </w:t>
      </w:r>
      <w:r>
        <w:rPr>
          <w:sz w:val="20"/>
          <w:szCs w:val="20"/>
        </w:rPr>
        <w:t>zákona č. 218/2000 Sb.</w:t>
      </w:r>
    </w:p>
  </w:footnote>
  <w:footnote w:id="13">
    <w:p w14:paraId="185F8298" w14:textId="794342A2" w:rsidR="00F408A8" w:rsidRPr="00F408A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F408A8">
        <w:rPr>
          <w:rStyle w:val="Znakapoznpodarou"/>
          <w:sz w:val="20"/>
          <w:szCs w:val="20"/>
        </w:rPr>
        <w:footnoteRef/>
      </w:r>
      <w:r w:rsidRPr="00F408A8">
        <w:rPr>
          <w:sz w:val="20"/>
          <w:szCs w:val="20"/>
        </w:rPr>
        <w:t xml:space="preserve"> </w:t>
      </w:r>
      <w:r w:rsidRPr="00F408A8">
        <w:rPr>
          <w:sz w:val="20"/>
          <w:szCs w:val="20"/>
        </w:rPr>
        <w:tab/>
      </w:r>
      <w:r w:rsidRPr="00C31F11">
        <w:rPr>
          <w:sz w:val="20"/>
          <w:szCs w:val="20"/>
        </w:rPr>
        <w:t>Pro rok 2015; zápisy pro rok 2013 MŠMT nepředložilo vůbec.</w:t>
      </w:r>
    </w:p>
  </w:footnote>
  <w:footnote w:id="14">
    <w:p w14:paraId="2321CE06" w14:textId="763DBB01" w:rsidR="00F408A8" w:rsidRPr="00F408A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F408A8">
        <w:rPr>
          <w:rStyle w:val="Znakapoznpodarou"/>
          <w:sz w:val="20"/>
          <w:szCs w:val="20"/>
        </w:rPr>
        <w:footnoteRef/>
      </w:r>
      <w:r w:rsidRPr="00F408A8">
        <w:rPr>
          <w:sz w:val="20"/>
          <w:szCs w:val="20"/>
        </w:rPr>
        <w:t xml:space="preserve"> </w:t>
      </w:r>
      <w:r w:rsidRPr="00F408A8">
        <w:rPr>
          <w:sz w:val="20"/>
          <w:szCs w:val="20"/>
        </w:rPr>
        <w:tab/>
      </w:r>
      <w:r w:rsidRPr="00C31F11">
        <w:rPr>
          <w:sz w:val="20"/>
          <w:szCs w:val="20"/>
        </w:rPr>
        <w:t>Pro rok 2014.</w:t>
      </w:r>
    </w:p>
  </w:footnote>
  <w:footnote w:id="15">
    <w:p w14:paraId="7C78B79C" w14:textId="073B594A" w:rsidR="00F408A8" w:rsidRPr="00ED44CB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 xml:space="preserve">Ustanovení § 26 zákona </w:t>
      </w:r>
      <w:r>
        <w:rPr>
          <w:sz w:val="20"/>
          <w:szCs w:val="20"/>
        </w:rPr>
        <w:t xml:space="preserve">č. </w:t>
      </w:r>
      <w:r w:rsidRPr="008E7D88">
        <w:rPr>
          <w:sz w:val="20"/>
          <w:szCs w:val="20"/>
        </w:rPr>
        <w:t>320/2001 Sb., o finanční kontrole ve veřejné správě a o změně některých zákonů (zákon o finanční kontrole), § 10 vyhlášky č. 416/2004 Sb., kterou se provádí zákon č. 320/2001 Sb., o finanční kontrole ve veřejné správě a o změně některých zákonů (zákon o finanční kontrole), ve znění zákona č. 309/2002 Sb., zákona</w:t>
      </w:r>
      <w:r w:rsidRPr="00ED44CB">
        <w:rPr>
          <w:sz w:val="20"/>
          <w:szCs w:val="20"/>
        </w:rPr>
        <w:t xml:space="preserve"> č. 320/2002 Sb. a zákona č. 123/2003 Sb.</w:t>
      </w:r>
    </w:p>
  </w:footnote>
  <w:footnote w:id="16">
    <w:p w14:paraId="5C3A5A7E" w14:textId="04C881B5" w:rsidR="00F408A8" w:rsidRPr="008E7D8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Ustanovení § 6 zákona č. 137/2006 Sb.</w:t>
      </w:r>
    </w:p>
  </w:footnote>
  <w:footnote w:id="17">
    <w:p w14:paraId="45AE8BE2" w14:textId="6641AE72" w:rsidR="00F408A8" w:rsidRPr="008E7D8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Ustanovení § 82 odst. 7 zákona č. 137/2006 Sb.</w:t>
      </w:r>
    </w:p>
  </w:footnote>
  <w:footnote w:id="18">
    <w:p w14:paraId="54393D75" w14:textId="68E609AB" w:rsidR="00F408A8" w:rsidRPr="008E7D8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Ustanovení § 21 zákona č. 137/2006 Sb.</w:t>
      </w:r>
    </w:p>
  </w:footnote>
  <w:footnote w:id="19">
    <w:p w14:paraId="32F7A1F9" w14:textId="7BE7E423" w:rsidR="00F408A8" w:rsidRDefault="00F408A8" w:rsidP="008E7D88">
      <w:pPr>
        <w:pStyle w:val="Textpoznpodarou"/>
        <w:ind w:left="284" w:hanging="284"/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Dle závazných podmínek, které jsou součástí rozhodnutí o poskytnutí dotace</w:t>
      </w:r>
      <w:r>
        <w:rPr>
          <w:sz w:val="20"/>
          <w:szCs w:val="20"/>
        </w:rPr>
        <w:t>,</w:t>
      </w:r>
      <w:r w:rsidRPr="008E7D88">
        <w:rPr>
          <w:sz w:val="20"/>
          <w:szCs w:val="20"/>
        </w:rPr>
        <w:t xml:space="preserve"> </w:t>
      </w:r>
      <w:r w:rsidRPr="0007486B">
        <w:rPr>
          <w:sz w:val="20"/>
          <w:szCs w:val="20"/>
        </w:rPr>
        <w:t xml:space="preserve">se </w:t>
      </w:r>
      <w:r w:rsidRPr="00F408A8">
        <w:rPr>
          <w:sz w:val="20"/>
          <w:szCs w:val="20"/>
        </w:rPr>
        <w:t>„</w:t>
      </w:r>
      <w:r>
        <w:rPr>
          <w:sz w:val="20"/>
          <w:szCs w:val="20"/>
        </w:rPr>
        <w:t xml:space="preserve">… </w:t>
      </w:r>
      <w:r>
        <w:rPr>
          <w:i/>
          <w:sz w:val="20"/>
          <w:szCs w:val="20"/>
        </w:rPr>
        <w:t>t</w:t>
      </w:r>
      <w:r w:rsidRPr="008E7D88">
        <w:rPr>
          <w:i/>
          <w:sz w:val="20"/>
          <w:szCs w:val="20"/>
        </w:rPr>
        <w:t>ermínem dokončení akce, na kterou bylo</w:t>
      </w:r>
      <w:r w:rsidRPr="00804C37">
        <w:rPr>
          <w:i/>
          <w:sz w:val="20"/>
        </w:rPr>
        <w:t xml:space="preserve"> vydáno stavební povolení, rozumí datum kolaudačního souhlasu...</w:t>
      </w:r>
      <w:r w:rsidRPr="00F408A8">
        <w:rPr>
          <w:sz w:val="20"/>
        </w:rPr>
        <w:t>“</w:t>
      </w:r>
    </w:p>
  </w:footnote>
  <w:footnote w:id="20">
    <w:p w14:paraId="610D9995" w14:textId="079E539B" w:rsidR="00F408A8" w:rsidRPr="008E7D8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Ustanovení § 10 odst. 1 písm. a) vyhlášky č. 52/2008 Sb., kterou se stanoví zásady a termíny finančního vypořádání vztahů se státním rozpočtem, státními finančními aktivy nebo Národním fondem.</w:t>
      </w:r>
    </w:p>
  </w:footnote>
  <w:footnote w:id="21">
    <w:p w14:paraId="3D8DE1D7" w14:textId="5A83AF91" w:rsidR="00F408A8" w:rsidRPr="008E7D88" w:rsidRDefault="00F408A8" w:rsidP="008E7D88">
      <w:pPr>
        <w:pStyle w:val="Textpoznpodarou"/>
        <w:ind w:left="284" w:hanging="284"/>
        <w:rPr>
          <w:sz w:val="20"/>
          <w:szCs w:val="20"/>
        </w:rPr>
      </w:pPr>
      <w:r w:rsidRPr="008E7D88">
        <w:rPr>
          <w:rStyle w:val="Znakapoznpodarou"/>
          <w:sz w:val="20"/>
          <w:szCs w:val="20"/>
        </w:rPr>
        <w:footnoteRef/>
      </w:r>
      <w:r w:rsidRPr="008E7D8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E7D88">
        <w:rPr>
          <w:sz w:val="20"/>
          <w:szCs w:val="20"/>
        </w:rPr>
        <w:t>Ustanovení § 44 odst. 1 zákona č. 218/2000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B52D" w14:textId="77777777" w:rsidR="00AF0E8A" w:rsidRDefault="00AF0E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69B0" w14:textId="6E5B4F81" w:rsidR="00F408A8" w:rsidRDefault="00F408A8" w:rsidP="00D47F11">
    <w:pPr>
      <w:pStyle w:val="Zhlav"/>
      <w:jc w:val="right"/>
    </w:pPr>
  </w:p>
  <w:p w14:paraId="6D0E7D8E" w14:textId="77777777" w:rsidR="00F408A8" w:rsidRDefault="00F408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DEA5" w14:textId="77777777" w:rsidR="00AF0E8A" w:rsidRDefault="00AF0E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18D"/>
    <w:multiLevelType w:val="hybridMultilevel"/>
    <w:tmpl w:val="A41A29A8"/>
    <w:lvl w:ilvl="0" w:tplc="54E2EFC6">
      <w:start w:val="1"/>
      <w:numFmt w:val="decimal"/>
      <w:pStyle w:val="Obrzek"/>
      <w:lvlText w:val="Obrázek č. %1 -"/>
      <w:lvlJc w:val="righ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870"/>
    <w:multiLevelType w:val="hybridMultilevel"/>
    <w:tmpl w:val="6AF6BF54"/>
    <w:lvl w:ilvl="0" w:tplc="B3DC788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135ADD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03163"/>
    <w:multiLevelType w:val="hybridMultilevel"/>
    <w:tmpl w:val="9D1833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52E48"/>
    <w:multiLevelType w:val="hybridMultilevel"/>
    <w:tmpl w:val="7654D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2874"/>
    <w:multiLevelType w:val="hybridMultilevel"/>
    <w:tmpl w:val="DA2EB804"/>
    <w:lvl w:ilvl="0" w:tplc="FBBAC052">
      <w:start w:val="1"/>
      <w:numFmt w:val="decimal"/>
      <w:pStyle w:val="Nzevtabulky"/>
      <w:lvlText w:val="Tabulka č. %1 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640A1"/>
    <w:multiLevelType w:val="hybridMultilevel"/>
    <w:tmpl w:val="1FDA53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4223"/>
    <w:multiLevelType w:val="hybridMultilevel"/>
    <w:tmpl w:val="ECA62D50"/>
    <w:lvl w:ilvl="0" w:tplc="3A40F186">
      <w:numFmt w:val="bullet"/>
      <w:lvlText w:val="◦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E0BF4"/>
    <w:multiLevelType w:val="hybridMultilevel"/>
    <w:tmpl w:val="84B0F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87D"/>
    <w:multiLevelType w:val="hybridMultilevel"/>
    <w:tmpl w:val="EF321920"/>
    <w:lvl w:ilvl="0" w:tplc="B226D0B0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17B44"/>
    <w:multiLevelType w:val="hybridMultilevel"/>
    <w:tmpl w:val="E0C0E064"/>
    <w:lvl w:ilvl="0" w:tplc="048CCE08">
      <w:start w:val="1"/>
      <w:numFmt w:val="decimal"/>
      <w:pStyle w:val="Graf"/>
      <w:lvlText w:val="Graf č. %1 -"/>
      <w:lvlJc w:val="left"/>
      <w:pPr>
        <w:ind w:left="284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A7847"/>
    <w:multiLevelType w:val="hybridMultilevel"/>
    <w:tmpl w:val="1EAE65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211EC3"/>
    <w:multiLevelType w:val="hybridMultilevel"/>
    <w:tmpl w:val="A33475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352778"/>
    <w:multiLevelType w:val="hybridMultilevel"/>
    <w:tmpl w:val="DD743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43E2A"/>
    <w:multiLevelType w:val="hybridMultilevel"/>
    <w:tmpl w:val="5DE81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FDC8158">
      <w:start w:val="1"/>
      <w:numFmt w:val="decimal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40AB6"/>
    <w:multiLevelType w:val="hybridMultilevel"/>
    <w:tmpl w:val="1E3AD9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FD1B63"/>
    <w:multiLevelType w:val="hybridMultilevel"/>
    <w:tmpl w:val="D2F82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DD22BC"/>
    <w:multiLevelType w:val="hybridMultilevel"/>
    <w:tmpl w:val="249250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B229E"/>
    <w:multiLevelType w:val="hybridMultilevel"/>
    <w:tmpl w:val="79B82B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FB11EB"/>
    <w:multiLevelType w:val="hybridMultilevel"/>
    <w:tmpl w:val="4EC07A1E"/>
    <w:lvl w:ilvl="0" w:tplc="6CC89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162CE1"/>
    <w:multiLevelType w:val="multilevel"/>
    <w:tmpl w:val="78CA5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796932"/>
    <w:multiLevelType w:val="hybridMultilevel"/>
    <w:tmpl w:val="D4F09AF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4"/>
  </w:num>
  <w:num w:numId="5">
    <w:abstractNumId w:val="4"/>
  </w:num>
  <w:num w:numId="6">
    <w:abstractNumId w:val="18"/>
  </w:num>
  <w:num w:numId="7">
    <w:abstractNumId w:val="19"/>
  </w:num>
  <w:num w:numId="8">
    <w:abstractNumId w:val="17"/>
  </w:num>
  <w:num w:numId="9">
    <w:abstractNumId w:val="12"/>
  </w:num>
  <w:num w:numId="10">
    <w:abstractNumId w:val="10"/>
  </w:num>
  <w:num w:numId="11">
    <w:abstractNumId w:val="16"/>
  </w:num>
  <w:num w:numId="12">
    <w:abstractNumId w:val="5"/>
  </w:num>
  <w:num w:numId="13">
    <w:abstractNumId w:val="3"/>
  </w:num>
  <w:num w:numId="14">
    <w:abstractNumId w:val="15"/>
  </w:num>
  <w:num w:numId="15">
    <w:abstractNumId w:val="11"/>
  </w:num>
  <w:num w:numId="16">
    <w:abstractNumId w:val="2"/>
  </w:num>
  <w:num w:numId="17">
    <w:abstractNumId w:val="0"/>
  </w:num>
  <w:num w:numId="18">
    <w:abstractNumId w:val="7"/>
  </w:num>
  <w:num w:numId="19">
    <w:abstractNumId w:val="20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8F"/>
    <w:rsid w:val="00000FFE"/>
    <w:rsid w:val="000015CC"/>
    <w:rsid w:val="00013C84"/>
    <w:rsid w:val="00014857"/>
    <w:rsid w:val="00017E9B"/>
    <w:rsid w:val="000216FB"/>
    <w:rsid w:val="00030595"/>
    <w:rsid w:val="00032ED4"/>
    <w:rsid w:val="000375E1"/>
    <w:rsid w:val="000574AB"/>
    <w:rsid w:val="000640EC"/>
    <w:rsid w:val="00066E28"/>
    <w:rsid w:val="0007486B"/>
    <w:rsid w:val="00074C5C"/>
    <w:rsid w:val="00075B4D"/>
    <w:rsid w:val="00075DA8"/>
    <w:rsid w:val="000821C1"/>
    <w:rsid w:val="0008633C"/>
    <w:rsid w:val="000952F4"/>
    <w:rsid w:val="000A2998"/>
    <w:rsid w:val="000A791D"/>
    <w:rsid w:val="000C21A4"/>
    <w:rsid w:val="000D105E"/>
    <w:rsid w:val="000F36E1"/>
    <w:rsid w:val="000F4867"/>
    <w:rsid w:val="00111B81"/>
    <w:rsid w:val="00114029"/>
    <w:rsid w:val="00114194"/>
    <w:rsid w:val="00121197"/>
    <w:rsid w:val="00144BEF"/>
    <w:rsid w:val="001516DD"/>
    <w:rsid w:val="00151C17"/>
    <w:rsid w:val="00152751"/>
    <w:rsid w:val="00155EBD"/>
    <w:rsid w:val="00164D08"/>
    <w:rsid w:val="00171221"/>
    <w:rsid w:val="0017660C"/>
    <w:rsid w:val="001A3787"/>
    <w:rsid w:val="001A604B"/>
    <w:rsid w:val="001A7D02"/>
    <w:rsid w:val="001C096D"/>
    <w:rsid w:val="001E2EC0"/>
    <w:rsid w:val="001E2F6C"/>
    <w:rsid w:val="001E4863"/>
    <w:rsid w:val="001E7809"/>
    <w:rsid w:val="001E7DC9"/>
    <w:rsid w:val="00204C5B"/>
    <w:rsid w:val="00212165"/>
    <w:rsid w:val="00221531"/>
    <w:rsid w:val="00225000"/>
    <w:rsid w:val="002316B3"/>
    <w:rsid w:val="00241E74"/>
    <w:rsid w:val="00251C9B"/>
    <w:rsid w:val="00252898"/>
    <w:rsid w:val="00263932"/>
    <w:rsid w:val="0027391B"/>
    <w:rsid w:val="002878D7"/>
    <w:rsid w:val="002A5221"/>
    <w:rsid w:val="002B60A2"/>
    <w:rsid w:val="002B75D8"/>
    <w:rsid w:val="002C0D5F"/>
    <w:rsid w:val="002C4768"/>
    <w:rsid w:val="002D38D6"/>
    <w:rsid w:val="002E1E8B"/>
    <w:rsid w:val="002E626E"/>
    <w:rsid w:val="002F22AA"/>
    <w:rsid w:val="002F41FF"/>
    <w:rsid w:val="002F4BA3"/>
    <w:rsid w:val="003006CC"/>
    <w:rsid w:val="00316D6A"/>
    <w:rsid w:val="00322CD9"/>
    <w:rsid w:val="00326EB8"/>
    <w:rsid w:val="003359F6"/>
    <w:rsid w:val="0034687B"/>
    <w:rsid w:val="00347634"/>
    <w:rsid w:val="00352859"/>
    <w:rsid w:val="0035348C"/>
    <w:rsid w:val="00355A1E"/>
    <w:rsid w:val="00361CEF"/>
    <w:rsid w:val="0036486B"/>
    <w:rsid w:val="003653D7"/>
    <w:rsid w:val="00371E87"/>
    <w:rsid w:val="00382755"/>
    <w:rsid w:val="00392404"/>
    <w:rsid w:val="00394AA8"/>
    <w:rsid w:val="00396B58"/>
    <w:rsid w:val="00396EA5"/>
    <w:rsid w:val="00397134"/>
    <w:rsid w:val="00397385"/>
    <w:rsid w:val="003A04C5"/>
    <w:rsid w:val="003A18C4"/>
    <w:rsid w:val="003A3420"/>
    <w:rsid w:val="003A656C"/>
    <w:rsid w:val="003A76EC"/>
    <w:rsid w:val="003B30B9"/>
    <w:rsid w:val="003B3E44"/>
    <w:rsid w:val="003B6041"/>
    <w:rsid w:val="003C3870"/>
    <w:rsid w:val="003C5A48"/>
    <w:rsid w:val="003C7776"/>
    <w:rsid w:val="003E6D5E"/>
    <w:rsid w:val="003F646A"/>
    <w:rsid w:val="004020CA"/>
    <w:rsid w:val="00407FB4"/>
    <w:rsid w:val="004132CF"/>
    <w:rsid w:val="004154F5"/>
    <w:rsid w:val="004272C0"/>
    <w:rsid w:val="00431B26"/>
    <w:rsid w:val="00435A86"/>
    <w:rsid w:val="00455D0B"/>
    <w:rsid w:val="004612F6"/>
    <w:rsid w:val="004707E7"/>
    <w:rsid w:val="00487CF6"/>
    <w:rsid w:val="0049135F"/>
    <w:rsid w:val="004920DF"/>
    <w:rsid w:val="004928CF"/>
    <w:rsid w:val="00492C17"/>
    <w:rsid w:val="0049314F"/>
    <w:rsid w:val="004A20F5"/>
    <w:rsid w:val="004B0F97"/>
    <w:rsid w:val="004C0375"/>
    <w:rsid w:val="004E393C"/>
    <w:rsid w:val="004F7943"/>
    <w:rsid w:val="00500BB4"/>
    <w:rsid w:val="00505525"/>
    <w:rsid w:val="00510852"/>
    <w:rsid w:val="0051155E"/>
    <w:rsid w:val="00513540"/>
    <w:rsid w:val="00514497"/>
    <w:rsid w:val="00524CF5"/>
    <w:rsid w:val="00526333"/>
    <w:rsid w:val="0053273C"/>
    <w:rsid w:val="005331D7"/>
    <w:rsid w:val="00535186"/>
    <w:rsid w:val="00570336"/>
    <w:rsid w:val="005818DA"/>
    <w:rsid w:val="00586319"/>
    <w:rsid w:val="005A330B"/>
    <w:rsid w:val="005A3F85"/>
    <w:rsid w:val="005A7CC8"/>
    <w:rsid w:val="005C51A3"/>
    <w:rsid w:val="005D42C2"/>
    <w:rsid w:val="005E5081"/>
    <w:rsid w:val="005F7323"/>
    <w:rsid w:val="00602673"/>
    <w:rsid w:val="00604AC4"/>
    <w:rsid w:val="006275C4"/>
    <w:rsid w:val="00634DA8"/>
    <w:rsid w:val="00647A01"/>
    <w:rsid w:val="006525AC"/>
    <w:rsid w:val="00653636"/>
    <w:rsid w:val="0066723A"/>
    <w:rsid w:val="00671458"/>
    <w:rsid w:val="00675498"/>
    <w:rsid w:val="00675D39"/>
    <w:rsid w:val="00676EBE"/>
    <w:rsid w:val="00693E4D"/>
    <w:rsid w:val="00697B1D"/>
    <w:rsid w:val="006A7F3B"/>
    <w:rsid w:val="006B6E15"/>
    <w:rsid w:val="006C746A"/>
    <w:rsid w:val="006D3E7C"/>
    <w:rsid w:val="006D6E9C"/>
    <w:rsid w:val="006E4DF8"/>
    <w:rsid w:val="006E5C32"/>
    <w:rsid w:val="006E6BAC"/>
    <w:rsid w:val="006F1AEC"/>
    <w:rsid w:val="006F2081"/>
    <w:rsid w:val="007016D7"/>
    <w:rsid w:val="00713E76"/>
    <w:rsid w:val="00715C02"/>
    <w:rsid w:val="00717FC8"/>
    <w:rsid w:val="00723265"/>
    <w:rsid w:val="00726E55"/>
    <w:rsid w:val="0075571E"/>
    <w:rsid w:val="00755785"/>
    <w:rsid w:val="00771FDC"/>
    <w:rsid w:val="007817BB"/>
    <w:rsid w:val="00784D73"/>
    <w:rsid w:val="00785303"/>
    <w:rsid w:val="007943ED"/>
    <w:rsid w:val="00794C09"/>
    <w:rsid w:val="00795034"/>
    <w:rsid w:val="007A480A"/>
    <w:rsid w:val="007A7618"/>
    <w:rsid w:val="007B260F"/>
    <w:rsid w:val="007B567A"/>
    <w:rsid w:val="007C31FD"/>
    <w:rsid w:val="007D5E53"/>
    <w:rsid w:val="007D6F7D"/>
    <w:rsid w:val="007E3DD8"/>
    <w:rsid w:val="007F1512"/>
    <w:rsid w:val="007F3027"/>
    <w:rsid w:val="007F3A65"/>
    <w:rsid w:val="007F717D"/>
    <w:rsid w:val="00800FBD"/>
    <w:rsid w:val="008032DC"/>
    <w:rsid w:val="008036ED"/>
    <w:rsid w:val="00804764"/>
    <w:rsid w:val="00804C37"/>
    <w:rsid w:val="008136C2"/>
    <w:rsid w:val="00820FCA"/>
    <w:rsid w:val="0082276C"/>
    <w:rsid w:val="00822EE4"/>
    <w:rsid w:val="00822F41"/>
    <w:rsid w:val="008263AB"/>
    <w:rsid w:val="00832633"/>
    <w:rsid w:val="008407AD"/>
    <w:rsid w:val="00852899"/>
    <w:rsid w:val="00863D95"/>
    <w:rsid w:val="0087019B"/>
    <w:rsid w:val="008728D3"/>
    <w:rsid w:val="00873C98"/>
    <w:rsid w:val="0087489A"/>
    <w:rsid w:val="0087673B"/>
    <w:rsid w:val="008814F7"/>
    <w:rsid w:val="00886711"/>
    <w:rsid w:val="00887618"/>
    <w:rsid w:val="00897F54"/>
    <w:rsid w:val="008A27F8"/>
    <w:rsid w:val="008A5248"/>
    <w:rsid w:val="008B12AB"/>
    <w:rsid w:val="008C1CDF"/>
    <w:rsid w:val="008C6401"/>
    <w:rsid w:val="008C7D20"/>
    <w:rsid w:val="008D12FD"/>
    <w:rsid w:val="008D1AC0"/>
    <w:rsid w:val="008D5700"/>
    <w:rsid w:val="008D68B9"/>
    <w:rsid w:val="008D7016"/>
    <w:rsid w:val="008E0526"/>
    <w:rsid w:val="008E7D88"/>
    <w:rsid w:val="008F05CC"/>
    <w:rsid w:val="008F36A3"/>
    <w:rsid w:val="008F3E76"/>
    <w:rsid w:val="00905102"/>
    <w:rsid w:val="00907AF8"/>
    <w:rsid w:val="00907D70"/>
    <w:rsid w:val="0092651A"/>
    <w:rsid w:val="00927CF3"/>
    <w:rsid w:val="00940F6E"/>
    <w:rsid w:val="009425A5"/>
    <w:rsid w:val="00944FB4"/>
    <w:rsid w:val="009472D6"/>
    <w:rsid w:val="00952C53"/>
    <w:rsid w:val="00962D2F"/>
    <w:rsid w:val="00966FCA"/>
    <w:rsid w:val="0096780A"/>
    <w:rsid w:val="00980F5E"/>
    <w:rsid w:val="00986E13"/>
    <w:rsid w:val="009A03C0"/>
    <w:rsid w:val="009A2EE8"/>
    <w:rsid w:val="009A5B12"/>
    <w:rsid w:val="009B16C9"/>
    <w:rsid w:val="009B5C1E"/>
    <w:rsid w:val="009E2DCC"/>
    <w:rsid w:val="009E366B"/>
    <w:rsid w:val="009E4D76"/>
    <w:rsid w:val="00A011DB"/>
    <w:rsid w:val="00A040B2"/>
    <w:rsid w:val="00A05D58"/>
    <w:rsid w:val="00A0600E"/>
    <w:rsid w:val="00A26B8D"/>
    <w:rsid w:val="00A365C1"/>
    <w:rsid w:val="00A36FFC"/>
    <w:rsid w:val="00A50A50"/>
    <w:rsid w:val="00A53E7E"/>
    <w:rsid w:val="00A54AB2"/>
    <w:rsid w:val="00A610A0"/>
    <w:rsid w:val="00A6209F"/>
    <w:rsid w:val="00A90CF9"/>
    <w:rsid w:val="00A94750"/>
    <w:rsid w:val="00AA3439"/>
    <w:rsid w:val="00AA483F"/>
    <w:rsid w:val="00AB0CB5"/>
    <w:rsid w:val="00AC271A"/>
    <w:rsid w:val="00AC797B"/>
    <w:rsid w:val="00AD3C1B"/>
    <w:rsid w:val="00AD61C9"/>
    <w:rsid w:val="00AD7AD3"/>
    <w:rsid w:val="00AE0CAF"/>
    <w:rsid w:val="00AF0DFA"/>
    <w:rsid w:val="00AF0E8A"/>
    <w:rsid w:val="00AF26CD"/>
    <w:rsid w:val="00B00AF2"/>
    <w:rsid w:val="00B247DD"/>
    <w:rsid w:val="00B322FC"/>
    <w:rsid w:val="00B32A2A"/>
    <w:rsid w:val="00B344D9"/>
    <w:rsid w:val="00B371B4"/>
    <w:rsid w:val="00B37891"/>
    <w:rsid w:val="00B40BC6"/>
    <w:rsid w:val="00B62039"/>
    <w:rsid w:val="00B628B6"/>
    <w:rsid w:val="00B65405"/>
    <w:rsid w:val="00B679AA"/>
    <w:rsid w:val="00B75C18"/>
    <w:rsid w:val="00B75DD2"/>
    <w:rsid w:val="00B77CD8"/>
    <w:rsid w:val="00B841BC"/>
    <w:rsid w:val="00B86AC6"/>
    <w:rsid w:val="00B9510E"/>
    <w:rsid w:val="00BA08BE"/>
    <w:rsid w:val="00BC638B"/>
    <w:rsid w:val="00BD153F"/>
    <w:rsid w:val="00BE1713"/>
    <w:rsid w:val="00C24A5B"/>
    <w:rsid w:val="00C30734"/>
    <w:rsid w:val="00C31F11"/>
    <w:rsid w:val="00C3301A"/>
    <w:rsid w:val="00C359C7"/>
    <w:rsid w:val="00C35FDD"/>
    <w:rsid w:val="00C42390"/>
    <w:rsid w:val="00C44FC6"/>
    <w:rsid w:val="00C73868"/>
    <w:rsid w:val="00C804AC"/>
    <w:rsid w:val="00C95AFF"/>
    <w:rsid w:val="00C95E8A"/>
    <w:rsid w:val="00C96ACA"/>
    <w:rsid w:val="00CA5644"/>
    <w:rsid w:val="00CB542F"/>
    <w:rsid w:val="00CB5E69"/>
    <w:rsid w:val="00CC09E7"/>
    <w:rsid w:val="00CC0B5F"/>
    <w:rsid w:val="00CC4145"/>
    <w:rsid w:val="00CD34CC"/>
    <w:rsid w:val="00CD7B65"/>
    <w:rsid w:val="00CE336D"/>
    <w:rsid w:val="00CE75EC"/>
    <w:rsid w:val="00CF04E3"/>
    <w:rsid w:val="00D110DA"/>
    <w:rsid w:val="00D16ACA"/>
    <w:rsid w:val="00D24202"/>
    <w:rsid w:val="00D34F0E"/>
    <w:rsid w:val="00D45615"/>
    <w:rsid w:val="00D46C92"/>
    <w:rsid w:val="00D47F11"/>
    <w:rsid w:val="00D60F7B"/>
    <w:rsid w:val="00D61065"/>
    <w:rsid w:val="00D7301B"/>
    <w:rsid w:val="00D82F38"/>
    <w:rsid w:val="00D901EB"/>
    <w:rsid w:val="00D96144"/>
    <w:rsid w:val="00DA3B61"/>
    <w:rsid w:val="00DC4A84"/>
    <w:rsid w:val="00DC663F"/>
    <w:rsid w:val="00DD2BA7"/>
    <w:rsid w:val="00DD41C4"/>
    <w:rsid w:val="00DE1891"/>
    <w:rsid w:val="00DE509E"/>
    <w:rsid w:val="00DF690C"/>
    <w:rsid w:val="00E0000C"/>
    <w:rsid w:val="00E01752"/>
    <w:rsid w:val="00E13E8F"/>
    <w:rsid w:val="00E25BD5"/>
    <w:rsid w:val="00E31069"/>
    <w:rsid w:val="00E35466"/>
    <w:rsid w:val="00E4042D"/>
    <w:rsid w:val="00E414ED"/>
    <w:rsid w:val="00E430BA"/>
    <w:rsid w:val="00E54F91"/>
    <w:rsid w:val="00E60948"/>
    <w:rsid w:val="00E6391E"/>
    <w:rsid w:val="00E70493"/>
    <w:rsid w:val="00E7105A"/>
    <w:rsid w:val="00E72F66"/>
    <w:rsid w:val="00E752F0"/>
    <w:rsid w:val="00E76D02"/>
    <w:rsid w:val="00EB52A4"/>
    <w:rsid w:val="00EB6A50"/>
    <w:rsid w:val="00EC348B"/>
    <w:rsid w:val="00EC5510"/>
    <w:rsid w:val="00ED25F1"/>
    <w:rsid w:val="00ED44CB"/>
    <w:rsid w:val="00ED52D9"/>
    <w:rsid w:val="00ED56E5"/>
    <w:rsid w:val="00EE176B"/>
    <w:rsid w:val="00EE1FF0"/>
    <w:rsid w:val="00EE79F7"/>
    <w:rsid w:val="00EF05D1"/>
    <w:rsid w:val="00EF2F8F"/>
    <w:rsid w:val="00EF76A0"/>
    <w:rsid w:val="00F02897"/>
    <w:rsid w:val="00F0778A"/>
    <w:rsid w:val="00F14490"/>
    <w:rsid w:val="00F24ABF"/>
    <w:rsid w:val="00F303A1"/>
    <w:rsid w:val="00F316EC"/>
    <w:rsid w:val="00F3388E"/>
    <w:rsid w:val="00F408A8"/>
    <w:rsid w:val="00F40EB1"/>
    <w:rsid w:val="00F4141B"/>
    <w:rsid w:val="00F4778B"/>
    <w:rsid w:val="00F5099D"/>
    <w:rsid w:val="00F54269"/>
    <w:rsid w:val="00F542E8"/>
    <w:rsid w:val="00F63715"/>
    <w:rsid w:val="00F74D52"/>
    <w:rsid w:val="00F9673C"/>
    <w:rsid w:val="00FB61B2"/>
    <w:rsid w:val="00FB643F"/>
    <w:rsid w:val="00FC33D5"/>
    <w:rsid w:val="00FC7D78"/>
    <w:rsid w:val="00FD11CA"/>
    <w:rsid w:val="00FE17C9"/>
    <w:rsid w:val="00FE31ED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8FBA"/>
  <w15:chartTrackingRefBased/>
  <w15:docId w15:val="{E9C16F7D-2898-45EC-89CC-9935D52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2633"/>
    <w:pPr>
      <w:numPr>
        <w:numId w:val="2"/>
      </w:numPr>
      <w:spacing w:after="240"/>
      <w:ind w:left="425" w:hanging="68"/>
      <w:jc w:val="center"/>
      <w:outlineLvl w:val="0"/>
    </w:pPr>
    <w:rPr>
      <w:rFonts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E15"/>
    <w:pPr>
      <w:numPr>
        <w:ilvl w:val="1"/>
        <w:numId w:val="3"/>
      </w:numPr>
      <w:spacing w:after="240"/>
      <w:ind w:left="357" w:hanging="357"/>
      <w:outlineLvl w:val="1"/>
    </w:pPr>
    <w:rPr>
      <w:rFonts w:cs="Calibri"/>
      <w:b/>
      <w:bCs/>
      <w:color w:val="000000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32633"/>
    <w:pPr>
      <w:keepNext/>
      <w:numPr>
        <w:numId w:val="7"/>
      </w:numPr>
      <w:ind w:left="425" w:hanging="431"/>
      <w:outlineLvl w:val="2"/>
    </w:pPr>
    <w:rPr>
      <w:rFonts w:eastAsiaTheme="majorEastAsia" w:cstheme="majorBidi"/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raf">
    <w:name w:val="Graf"/>
    <w:basedOn w:val="Normln"/>
    <w:qFormat/>
    <w:rsid w:val="000574AB"/>
    <w:pPr>
      <w:keepNext/>
      <w:numPr>
        <w:numId w:val="1"/>
      </w:numPr>
      <w:ind w:left="993" w:hanging="993"/>
    </w:pPr>
    <w:rPr>
      <w:b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32633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B6E15"/>
    <w:rPr>
      <w:rFonts w:ascii="Calibri" w:eastAsia="Times New Roman" w:hAnsi="Calibri" w:cs="Calibri"/>
      <w:b/>
      <w:b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32633"/>
    <w:rPr>
      <w:rFonts w:ascii="Calibri" w:eastAsiaTheme="majorEastAsia" w:hAnsi="Calibri" w:cstheme="majorBidi"/>
      <w:b/>
      <w:color w:val="000000"/>
      <w:sz w:val="24"/>
      <w:szCs w:val="26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locked/>
    <w:rsid w:val="00FE5C8F"/>
    <w:rPr>
      <w:rFonts w:cs="Times New Roman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unhideWhenUsed/>
    <w:rsid w:val="00FE5C8F"/>
    <w:pPr>
      <w:widowControl/>
      <w:autoSpaceDE/>
      <w:autoSpaceDN/>
      <w:adjustRightInd/>
    </w:pPr>
    <w:rPr>
      <w:rFonts w:asciiTheme="minorHAnsi" w:eastAsiaTheme="minorHAnsi" w:hAnsiTheme="minorHAnsi" w:cs="Times New Roman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E5C8F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aliases w:val="PGI Fußnote Ziffer"/>
    <w:uiPriority w:val="99"/>
    <w:rsid w:val="00FE5C8F"/>
    <w:rPr>
      <w:rFonts w:cs="Times New Roman"/>
      <w:vertAlign w:val="superscript"/>
    </w:rPr>
  </w:style>
  <w:style w:type="paragraph" w:styleId="Odstavecseseznamem">
    <w:name w:val="List Paragraph"/>
    <w:aliases w:val="odrážky,List Paragraph_0"/>
    <w:basedOn w:val="Normln"/>
    <w:link w:val="OdstavecseseznamemChar"/>
    <w:uiPriority w:val="34"/>
    <w:qFormat/>
    <w:rsid w:val="00FE5C8F"/>
    <w:pPr>
      <w:widowControl/>
      <w:autoSpaceDE/>
      <w:autoSpaceDN/>
      <w:adjustRightInd/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rážky Char,List Paragraph_0 Char"/>
    <w:link w:val="Odstavecseseznamem"/>
    <w:uiPriority w:val="34"/>
    <w:locked/>
    <w:rsid w:val="00FE5C8F"/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39"/>
    <w:rsid w:val="00FE5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E5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C8F"/>
    <w:rPr>
      <w:rFonts w:ascii="Calibri" w:eastAsia="Times New Roman" w:hAnsi="Calibri" w:cs="Arial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5C8F"/>
    <w:pPr>
      <w:widowControl/>
      <w:autoSpaceDE/>
      <w:autoSpaceDN/>
      <w:adjustRightInd/>
      <w:spacing w:after="120"/>
      <w:ind w:left="283"/>
    </w:pPr>
    <w:rPr>
      <w:rFonts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5C8F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FE5C8F"/>
    <w:pPr>
      <w:widowControl/>
      <w:autoSpaceDE/>
      <w:autoSpaceDN/>
      <w:adjustRightInd/>
    </w:pPr>
    <w:rPr>
      <w:sz w:val="22"/>
      <w:szCs w:val="18"/>
      <w:lang w:eastAsia="en-US"/>
    </w:rPr>
  </w:style>
  <w:style w:type="character" w:customStyle="1" w:styleId="tabulkaChar">
    <w:name w:val="tabulka Char"/>
    <w:link w:val="tabulka"/>
    <w:rsid w:val="00FE5C8F"/>
    <w:rPr>
      <w:rFonts w:ascii="Calibri" w:eastAsia="Times New Roman" w:hAnsi="Calibri" w:cs="Arial"/>
      <w:szCs w:val="18"/>
    </w:rPr>
  </w:style>
  <w:style w:type="paragraph" w:customStyle="1" w:styleId="Poznmka">
    <w:name w:val="Poznámka"/>
    <w:basedOn w:val="Normln"/>
    <w:link w:val="PoznmkaChar"/>
    <w:autoRedefine/>
    <w:qFormat/>
    <w:rsid w:val="00407FB4"/>
    <w:pPr>
      <w:widowControl/>
      <w:autoSpaceDE/>
      <w:autoSpaceDN/>
      <w:adjustRightInd/>
      <w:ind w:left="567" w:hanging="567"/>
    </w:pPr>
    <w:rPr>
      <w:rFonts w:cs="Times New Roman"/>
      <w:sz w:val="20"/>
      <w:szCs w:val="18"/>
    </w:rPr>
  </w:style>
  <w:style w:type="character" w:customStyle="1" w:styleId="PoznmkaChar">
    <w:name w:val="Poznámka Char"/>
    <w:link w:val="Poznmka"/>
    <w:rsid w:val="00407FB4"/>
    <w:rPr>
      <w:rFonts w:ascii="Calibri" w:eastAsia="Times New Roman" w:hAnsi="Calibri" w:cs="Times New Roman"/>
      <w:sz w:val="20"/>
      <w:szCs w:val="18"/>
      <w:lang w:eastAsia="cs-CZ"/>
    </w:rPr>
  </w:style>
  <w:style w:type="paragraph" w:customStyle="1" w:styleId="Nzevtabulky">
    <w:name w:val="Název tabulky"/>
    <w:basedOn w:val="Normln"/>
    <w:qFormat/>
    <w:rsid w:val="009425A5"/>
    <w:pPr>
      <w:keepNext/>
      <w:widowControl/>
      <w:numPr>
        <w:numId w:val="5"/>
      </w:numPr>
      <w:autoSpaceDE/>
      <w:autoSpaceDN/>
      <w:adjustRightInd/>
      <w:ind w:left="0" w:firstLine="0"/>
    </w:pPr>
    <w:rPr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36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36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512"/>
    <w:rPr>
      <w:rFonts w:ascii="Calibri" w:eastAsia="Times New Roman" w:hAnsi="Calibri" w:cs="Arial"/>
      <w:sz w:val="24"/>
      <w:szCs w:val="20"/>
      <w:lang w:eastAsia="cs-CZ"/>
    </w:rPr>
  </w:style>
  <w:style w:type="paragraph" w:customStyle="1" w:styleId="Obrzek">
    <w:name w:val="Obrázek"/>
    <w:basedOn w:val="Graf"/>
    <w:qFormat/>
    <w:rsid w:val="00322CD9"/>
    <w:pPr>
      <w:numPr>
        <w:numId w:val="17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9678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780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780A"/>
    <w:rPr>
      <w:rFonts w:ascii="Calibri" w:eastAsia="Times New Roman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F97"/>
    <w:rPr>
      <w:rFonts w:ascii="Calibri" w:eastAsia="Times New Roman" w:hAnsi="Calibri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40EB1"/>
    <w:pPr>
      <w:spacing w:after="0" w:line="240" w:lineRule="auto"/>
    </w:pPr>
    <w:rPr>
      <w:rFonts w:ascii="Calibri" w:eastAsia="Times New Roman" w:hAnsi="Calibri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Podpora celkem v Kč na jednoho obyvatele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D2A33">
                  <a:alpha val="2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74FD-4300-BDD8-5F3E3BDDC33A}"/>
              </c:ext>
            </c:extLst>
          </c:dPt>
          <c:dPt>
            <c:idx val="1"/>
            <c:invertIfNegative val="0"/>
            <c:bubble3D val="0"/>
            <c:spPr>
              <a:solidFill>
                <a:srgbClr val="BD2A33">
                  <a:alpha val="2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4FD-4300-BDD8-5F3E3BDDC33A}"/>
              </c:ext>
            </c:extLst>
          </c:dPt>
          <c:dPt>
            <c:idx val="2"/>
            <c:invertIfNegative val="0"/>
            <c:bubble3D val="0"/>
            <c:spPr>
              <a:solidFill>
                <a:srgbClr val="BD2A33">
                  <a:alpha val="2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74FD-4300-BDD8-5F3E3BDDC33A}"/>
              </c:ext>
            </c:extLst>
          </c:dPt>
          <c:dPt>
            <c:idx val="3"/>
            <c:invertIfNegative val="0"/>
            <c:bubble3D val="0"/>
            <c:spPr>
              <a:solidFill>
                <a:srgbClr val="BD2A33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4FD-4300-BDD8-5F3E3BDDC33A}"/>
              </c:ext>
            </c:extLst>
          </c:dPt>
          <c:dPt>
            <c:idx val="4"/>
            <c:invertIfNegative val="0"/>
            <c:bubble3D val="0"/>
            <c:spPr>
              <a:solidFill>
                <a:srgbClr val="BD2A33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74FD-4300-BDD8-5F3E3BDDC33A}"/>
              </c:ext>
            </c:extLst>
          </c:dPt>
          <c:dPt>
            <c:idx val="5"/>
            <c:invertIfNegative val="0"/>
            <c:bubble3D val="0"/>
            <c:spPr>
              <a:solidFill>
                <a:srgbClr val="BD2A33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4FD-4300-BDD8-5F3E3BDDC33A}"/>
              </c:ext>
            </c:extLst>
          </c:dPt>
          <c:dPt>
            <c:idx val="6"/>
            <c:invertIfNegative val="0"/>
            <c:bubble3D val="0"/>
            <c:spPr>
              <a:solidFill>
                <a:srgbClr val="BD2A33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74FD-4300-BDD8-5F3E3BDDC33A}"/>
              </c:ext>
            </c:extLst>
          </c:dPt>
          <c:dPt>
            <c:idx val="7"/>
            <c:invertIfNegative val="0"/>
            <c:bubble3D val="0"/>
            <c:spPr>
              <a:solidFill>
                <a:srgbClr val="BD2A33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4FD-4300-BDD8-5F3E3BDDC33A}"/>
              </c:ext>
            </c:extLst>
          </c:dPt>
          <c:dPt>
            <c:idx val="8"/>
            <c:invertIfNegative val="0"/>
            <c:bubble3D val="0"/>
            <c:spPr>
              <a:solidFill>
                <a:srgbClr val="BD2A33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4FD-4300-BDD8-5F3E3BDDC33A}"/>
              </c:ext>
            </c:extLst>
          </c:dPt>
          <c:dPt>
            <c:idx val="9"/>
            <c:invertIfNegative val="0"/>
            <c:bubble3D val="0"/>
            <c:spPr>
              <a:solidFill>
                <a:srgbClr val="BD2A33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4FD-4300-BDD8-5F3E3BDDC33A}"/>
              </c:ext>
            </c:extLst>
          </c:dPt>
          <c:dPt>
            <c:idx val="10"/>
            <c:invertIfNegative val="0"/>
            <c:bubble3D val="0"/>
            <c:spPr>
              <a:solidFill>
                <a:srgbClr val="BD2A33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4FD-4300-BDD8-5F3E3BDDC33A}"/>
              </c:ext>
            </c:extLst>
          </c:dPt>
          <c:dPt>
            <c:idx val="11"/>
            <c:invertIfNegative val="0"/>
            <c:bubble3D val="0"/>
            <c:spPr>
              <a:solidFill>
                <a:srgbClr val="BD2A33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4FD-4300-BDD8-5F3E3BDDC33A}"/>
              </c:ext>
            </c:extLst>
          </c:dPt>
          <c:dPt>
            <c:idx val="12"/>
            <c:invertIfNegative val="0"/>
            <c:bubble3D val="0"/>
            <c:spPr>
              <a:solidFill>
                <a:srgbClr val="BD2A33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4FD-4300-BDD8-5F3E3BDDC33A}"/>
              </c:ext>
            </c:extLst>
          </c:dPt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Karlovarský kraj</c:v>
                </c:pt>
                <c:pt idx="1">
                  <c:v>Pardubický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Královéhradecký kraj</c:v>
                </c:pt>
                <c:pt idx="5">
                  <c:v>Jihomoravský kraj</c:v>
                </c:pt>
                <c:pt idx="6">
                  <c:v>Moravskoslezský kraj</c:v>
                </c:pt>
                <c:pt idx="7">
                  <c:v>Kraj Vysočina</c:v>
                </c:pt>
                <c:pt idx="8">
                  <c:v>Ústecký kraj</c:v>
                </c:pt>
                <c:pt idx="9">
                  <c:v>Středočeský kraj</c:v>
                </c:pt>
                <c:pt idx="10">
                  <c:v>Liberecký kraj</c:v>
                </c:pt>
                <c:pt idx="11">
                  <c:v>Olomoucký  kraj</c:v>
                </c:pt>
                <c:pt idx="12">
                  <c:v>Zlínský kraj</c:v>
                </c:pt>
                <c:pt idx="13">
                  <c:v>Hlavní město Praha</c:v>
                </c:pt>
              </c:strCache>
            </c:strRef>
          </c:cat>
          <c:val>
            <c:numRef>
              <c:f>List1!$B$2:$B$15</c:f>
              <c:numCache>
                <c:formatCode>General</c:formatCode>
                <c:ptCount val="14"/>
                <c:pt idx="0">
                  <c:v>2.2799999999999998</c:v>
                </c:pt>
                <c:pt idx="1">
                  <c:v>61.52</c:v>
                </c:pt>
                <c:pt idx="2">
                  <c:v>65.63</c:v>
                </c:pt>
                <c:pt idx="3">
                  <c:v>131.33000000000001</c:v>
                </c:pt>
                <c:pt idx="4">
                  <c:v>135.59</c:v>
                </c:pt>
                <c:pt idx="5">
                  <c:v>141.31</c:v>
                </c:pt>
                <c:pt idx="6">
                  <c:v>150.51</c:v>
                </c:pt>
                <c:pt idx="7">
                  <c:v>193.89</c:v>
                </c:pt>
                <c:pt idx="8">
                  <c:v>206.43</c:v>
                </c:pt>
                <c:pt idx="9">
                  <c:v>222.23</c:v>
                </c:pt>
                <c:pt idx="10">
                  <c:v>236.78</c:v>
                </c:pt>
                <c:pt idx="11">
                  <c:v>285.26</c:v>
                </c:pt>
                <c:pt idx="12">
                  <c:v>293.14</c:v>
                </c:pt>
                <c:pt idx="13">
                  <c:v>495.19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D-4300-BDD8-5F3E3BDDC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axId val="281011608"/>
        <c:axId val="291585088"/>
      </c:barChart>
      <c:catAx>
        <c:axId val="281011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1585088"/>
        <c:crosses val="autoZero"/>
        <c:auto val="1"/>
        <c:lblAlgn val="ctr"/>
        <c:lblOffset val="100"/>
        <c:noMultiLvlLbl val="0"/>
      </c:catAx>
      <c:valAx>
        <c:axId val="291585088"/>
        <c:scaling>
          <c:orientation val="minMax"/>
          <c:max val="55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28101160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žádostí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fld id="{66E9604F-6BE7-413D-B3C9-690D99D2A03D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2A3-4220-A498-B4CA58BD151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E71FD5E8-3FF3-47E2-92D3-F58D526C9D31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2A3-4220-A498-B4CA58BD151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AA2C946F-C199-437A-A187-FD0B9B6238A4}" type="VALUE">
                      <a:rPr lang="en-US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2A3-4220-A498-B4CA58BD151C}"/>
                </c:ext>
              </c:extLst>
            </c:dLbl>
            <c:numFmt formatCode="#,##0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List1!$B$2:$B$4</c:f>
              <c:numCache>
                <c:formatCode>General</c:formatCode>
                <c:ptCount val="3"/>
                <c:pt idx="0">
                  <c:v>679</c:v>
                </c:pt>
                <c:pt idx="1">
                  <c:v>650</c:v>
                </c:pt>
                <c:pt idx="2">
                  <c:v>1222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A3-4220-A498-B4CA58BD151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Počet akcí s výplatou dotace v roce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3773"/>
                        <a:gd name="adj2" fmla="val 82929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4-02A3-4220-A498-B4CA58BD151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numRef>
              <c:f>List1!$A$2:$A$4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List1!$C$2:$C$4</c:f>
              <c:numCache>
                <c:formatCode>General</c:formatCode>
                <c:ptCount val="3"/>
                <c:pt idx="0">
                  <c:v>142</c:v>
                </c:pt>
                <c:pt idx="1">
                  <c:v>201</c:v>
                </c:pt>
                <c:pt idx="2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2A3-4220-A498-B4CA58BD1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1585872"/>
        <c:axId val="291586264"/>
      </c:barChart>
      <c:catAx>
        <c:axId val="29158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1586264"/>
        <c:crosses val="autoZero"/>
        <c:auto val="1"/>
        <c:lblAlgn val="ctr"/>
        <c:lblOffset val="100"/>
        <c:noMultiLvlLbl val="0"/>
      </c:catAx>
      <c:valAx>
        <c:axId val="291586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9158587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Celková podpora za roky 2013-2015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List1!$A$2:$A$17</c:f>
              <c:strCache>
                <c:ptCount val="16"/>
                <c:pt idx="0">
                  <c:v>SPORTOVNÍ AREÁL PRAHA, spolek</c:v>
                </c:pt>
                <c:pt idx="1">
                  <c:v>FC Slovácko, z.s.</c:v>
                </c:pt>
                <c:pt idx="2">
                  <c:v>Česká unie sportu, z.s.</c:v>
                </c:pt>
                <c:pt idx="3">
                  <c:v>SK SIGMA OLOMOUC MŽ, z.s.</c:v>
                </c:pt>
                <c:pt idx="4">
                  <c:v>Statutární město Ostrava</c:v>
                </c:pt>
                <c:pt idx="5">
                  <c:v>Fotbalová asociace České republiky</c:v>
                </c:pt>
                <c:pt idx="6">
                  <c:v>Tenisový klub Sparta Praha, z.s.</c:v>
                </c:pt>
                <c:pt idx="7">
                  <c:v>HC OCELÁŘI TŘINEC z.s.</c:v>
                </c:pt>
                <c:pt idx="8">
                  <c:v>Město Znojmo</c:v>
                </c:pt>
                <c:pt idx="9">
                  <c:v>Národní olympijské centrum vodních sportů, z.s.</c:v>
                </c:pt>
                <c:pt idx="10">
                  <c:v>Tenisový klub Prostějov, spolek</c:v>
                </c:pt>
                <c:pt idx="11">
                  <c:v>SPORTOVNÍ KLUB NOVÉ MĚSTO NA MORAVĚ z.s.</c:v>
                </c:pt>
                <c:pt idx="12">
                  <c:v>1. SC ZNOJMO - mládež, spolek</c:v>
                </c:pt>
                <c:pt idx="13">
                  <c:v>Vysokoškolské sportovní centrum MŠMT ČR</c:v>
                </c:pt>
                <c:pt idx="14">
                  <c:v>FK MOHELNICE z.s.</c:v>
                </c:pt>
                <c:pt idx="15">
                  <c:v>VIKTORIA PLZEŇ - fotbal, z.s.</c:v>
                </c:pt>
              </c:strCache>
            </c:strRef>
          </c:cat>
          <c:val>
            <c:numRef>
              <c:f>List1!$B$2:$B$17</c:f>
              <c:numCache>
                <c:formatCode>General</c:formatCode>
                <c:ptCount val="16"/>
                <c:pt idx="0">
                  <c:v>248.95</c:v>
                </c:pt>
                <c:pt idx="1">
                  <c:v>90</c:v>
                </c:pt>
                <c:pt idx="2">
                  <c:v>79.11</c:v>
                </c:pt>
                <c:pt idx="3">
                  <c:v>60</c:v>
                </c:pt>
                <c:pt idx="4">
                  <c:v>50</c:v>
                </c:pt>
                <c:pt idx="5">
                  <c:v>48.46</c:v>
                </c:pt>
                <c:pt idx="6">
                  <c:v>44.05</c:v>
                </c:pt>
                <c:pt idx="7">
                  <c:v>40</c:v>
                </c:pt>
                <c:pt idx="8">
                  <c:v>39.92</c:v>
                </c:pt>
                <c:pt idx="9">
                  <c:v>35</c:v>
                </c:pt>
                <c:pt idx="10">
                  <c:v>33.85</c:v>
                </c:pt>
                <c:pt idx="11">
                  <c:v>29.28</c:v>
                </c:pt>
                <c:pt idx="12">
                  <c:v>26</c:v>
                </c:pt>
                <c:pt idx="13">
                  <c:v>22.97</c:v>
                </c:pt>
                <c:pt idx="14">
                  <c:v>20</c:v>
                </c:pt>
                <c:pt idx="1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9-49AF-855E-C930A5581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overlap val="-38"/>
        <c:axId val="175203680"/>
        <c:axId val="175204072"/>
      </c:barChart>
      <c:catAx>
        <c:axId val="175203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5204072"/>
        <c:crosses val="autoZero"/>
        <c:auto val="1"/>
        <c:lblAlgn val="ctr"/>
        <c:lblOffset val="100"/>
        <c:noMultiLvlLbl val="0"/>
      </c:catAx>
      <c:valAx>
        <c:axId val="175204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520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F9F7-6D23-4CF5-BAB9-F50DB0FC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8396A43D.dotm</Template>
  <TotalTime>0</TotalTime>
  <Pages>15</Pages>
  <Words>5241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16/20 - Peněžní prostředky státu vynakládané Ministerstvem školství, mládeže a tělovýchovy na rozvoj a obnovu materiálně technické základny sportu a tělovýchovy</dc:title>
  <dc:subject/>
  <dc:creator>Nejvyšší kontrolní úřad</dc:creator>
  <cp:keywords>kontrolní závěr;sport;tělovýchova;Ministerstvo školství, mládeže a tělovýchovy;MŠMT;spolky</cp:keywords>
  <dc:description/>
  <cp:lastModifiedBy>KOKRDA Daniel</cp:lastModifiedBy>
  <cp:revision>2</cp:revision>
  <cp:lastPrinted>2017-05-12T08:26:00Z</cp:lastPrinted>
  <dcterms:created xsi:type="dcterms:W3CDTF">2017-05-12T08:27:00Z</dcterms:created>
  <dcterms:modified xsi:type="dcterms:W3CDTF">2017-05-12T08:27:00Z</dcterms:modified>
</cp:coreProperties>
</file>