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B4074" w14:textId="77777777" w:rsidR="00665555" w:rsidRPr="00014A22" w:rsidRDefault="00963C37" w:rsidP="00014A22">
      <w:pPr>
        <w:spacing w:after="0"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</w:t>
      </w:r>
      <w:r w:rsidR="0077328C" w:rsidRPr="00014A22">
        <w:rPr>
          <w:rFonts w:cstheme="minorHAnsi"/>
          <w:b/>
          <w:noProof/>
          <w:szCs w:val="24"/>
          <w:lang w:eastAsia="cs-CZ"/>
        </w:rPr>
        <w:drawing>
          <wp:inline distT="0" distB="0" distL="0" distR="0" wp14:anchorId="24FAE05B" wp14:editId="477DDB2D">
            <wp:extent cx="792480" cy="56070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45B02" w14:textId="77777777" w:rsidR="0077328C" w:rsidRDefault="0077328C" w:rsidP="00014A22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515456C3" w14:textId="77777777" w:rsidR="00320C9F" w:rsidRPr="00014A22" w:rsidRDefault="00320C9F" w:rsidP="00014A22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2B914B23" w14:textId="77777777" w:rsidR="0077328C" w:rsidRPr="00014A22" w:rsidRDefault="0077328C" w:rsidP="00014A22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7FFC3E73" w14:textId="77777777" w:rsidR="00665555" w:rsidRPr="00FF6029" w:rsidRDefault="00665555" w:rsidP="00FF6029">
      <w:pPr>
        <w:jc w:val="center"/>
        <w:rPr>
          <w:rFonts w:cstheme="minorHAnsi"/>
          <w:b/>
          <w:sz w:val="28"/>
          <w:szCs w:val="28"/>
        </w:rPr>
      </w:pPr>
      <w:r w:rsidRPr="00FF6029">
        <w:rPr>
          <w:rFonts w:cstheme="minorHAnsi"/>
          <w:b/>
          <w:sz w:val="28"/>
          <w:szCs w:val="28"/>
        </w:rPr>
        <w:t>Kontrolní závěr z kontrolní akce</w:t>
      </w:r>
    </w:p>
    <w:p w14:paraId="0AF4BF96" w14:textId="77777777" w:rsidR="00665555" w:rsidRPr="00014A22" w:rsidRDefault="00665555" w:rsidP="00014A22">
      <w:pPr>
        <w:spacing w:line="240" w:lineRule="auto"/>
        <w:ind w:right="68"/>
        <w:jc w:val="center"/>
        <w:rPr>
          <w:rFonts w:cstheme="minorHAnsi"/>
          <w:b/>
          <w:bCs/>
          <w:sz w:val="28"/>
          <w:szCs w:val="28"/>
        </w:rPr>
      </w:pPr>
      <w:r w:rsidRPr="00014A22">
        <w:rPr>
          <w:rFonts w:cstheme="minorHAnsi"/>
          <w:b/>
          <w:bCs/>
          <w:sz w:val="28"/>
          <w:szCs w:val="28"/>
        </w:rPr>
        <w:t>1</w:t>
      </w:r>
      <w:r w:rsidR="003C561E">
        <w:rPr>
          <w:rFonts w:cstheme="minorHAnsi"/>
          <w:b/>
          <w:bCs/>
          <w:sz w:val="28"/>
          <w:szCs w:val="28"/>
        </w:rPr>
        <w:t>6/1</w:t>
      </w:r>
      <w:r w:rsidR="00F51A04">
        <w:rPr>
          <w:rFonts w:cstheme="minorHAnsi"/>
          <w:b/>
          <w:bCs/>
          <w:sz w:val="28"/>
          <w:szCs w:val="28"/>
        </w:rPr>
        <w:t>3</w:t>
      </w:r>
    </w:p>
    <w:p w14:paraId="6A669011" w14:textId="77777777" w:rsidR="00F51A04" w:rsidRPr="003C561E" w:rsidRDefault="003C561E" w:rsidP="00F51A0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4"/>
        </w:rPr>
      </w:pPr>
      <w:r w:rsidRPr="003C561E">
        <w:rPr>
          <w:rFonts w:cs="Times New Roman"/>
          <w:b/>
          <w:sz w:val="28"/>
          <w:szCs w:val="24"/>
        </w:rPr>
        <w:t xml:space="preserve">Peněžní prostředky </w:t>
      </w:r>
      <w:r w:rsidR="00F51A04">
        <w:rPr>
          <w:rFonts w:cs="Times New Roman"/>
          <w:b/>
          <w:sz w:val="28"/>
          <w:szCs w:val="24"/>
        </w:rPr>
        <w:t>vynakládané na rozvoj vzdělávání v České republice</w:t>
      </w:r>
    </w:p>
    <w:p w14:paraId="7BB1CD50" w14:textId="77777777" w:rsidR="003C561E" w:rsidRPr="003C561E" w:rsidRDefault="003C561E" w:rsidP="003C561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4"/>
        </w:rPr>
      </w:pPr>
    </w:p>
    <w:p w14:paraId="6F1E80E7" w14:textId="77777777" w:rsidR="00665555" w:rsidRPr="00014A22" w:rsidRDefault="00665555" w:rsidP="00014A22">
      <w:pPr>
        <w:spacing w:line="240" w:lineRule="auto"/>
        <w:jc w:val="both"/>
        <w:rPr>
          <w:rFonts w:cstheme="minorHAnsi"/>
        </w:rPr>
      </w:pPr>
      <w:bookmarkStart w:id="0" w:name="_GoBack"/>
      <w:bookmarkEnd w:id="0"/>
    </w:p>
    <w:p w14:paraId="00440E17" w14:textId="77777777" w:rsidR="00014A22" w:rsidRDefault="00014A22" w:rsidP="00014A22">
      <w:pPr>
        <w:pStyle w:val="Zkladn"/>
        <w:spacing w:before="0"/>
        <w:rPr>
          <w:rFonts w:asciiTheme="minorHAnsi" w:hAnsiTheme="minorHAnsi" w:cstheme="minorHAnsi"/>
        </w:rPr>
      </w:pPr>
    </w:p>
    <w:p w14:paraId="4DDD38AF" w14:textId="77777777" w:rsidR="00665555" w:rsidRPr="00014A22" w:rsidRDefault="00665555" w:rsidP="004A0AA3">
      <w:pPr>
        <w:pStyle w:val="Zkladn"/>
        <w:spacing w:before="0"/>
        <w:rPr>
          <w:rFonts w:asciiTheme="minorHAnsi" w:hAnsiTheme="minorHAnsi" w:cstheme="minorHAnsi"/>
        </w:rPr>
      </w:pPr>
      <w:r w:rsidRPr="00014A22">
        <w:rPr>
          <w:rFonts w:asciiTheme="minorHAnsi" w:hAnsiTheme="minorHAnsi" w:cstheme="minorHAnsi"/>
        </w:rPr>
        <w:t xml:space="preserve">Kontrolní akce byla zařazena do plánu kontrolní činnosti Nejvyššího kontrolního </w:t>
      </w:r>
      <w:r w:rsidRPr="003C736E">
        <w:rPr>
          <w:rFonts w:asciiTheme="minorHAnsi" w:hAnsiTheme="minorHAnsi" w:cstheme="minorHAnsi"/>
        </w:rPr>
        <w:t xml:space="preserve">úřadu (dále </w:t>
      </w:r>
      <w:r w:rsidR="00F51A04" w:rsidRPr="003C736E">
        <w:rPr>
          <w:rFonts w:asciiTheme="minorHAnsi" w:hAnsiTheme="minorHAnsi" w:cstheme="minorHAnsi"/>
        </w:rPr>
        <w:t>také</w:t>
      </w:r>
      <w:r w:rsidRPr="003C736E">
        <w:rPr>
          <w:rFonts w:asciiTheme="minorHAnsi" w:hAnsiTheme="minorHAnsi" w:cstheme="minorHAnsi"/>
        </w:rPr>
        <w:t xml:space="preserve"> „NKÚ“) na rok 201</w:t>
      </w:r>
      <w:r w:rsidR="003C561E" w:rsidRPr="003C736E">
        <w:rPr>
          <w:rFonts w:asciiTheme="minorHAnsi" w:hAnsiTheme="minorHAnsi" w:cstheme="minorHAnsi"/>
        </w:rPr>
        <w:t>6</w:t>
      </w:r>
      <w:r w:rsidRPr="003C736E">
        <w:rPr>
          <w:rFonts w:asciiTheme="minorHAnsi" w:hAnsiTheme="minorHAnsi" w:cstheme="minorHAnsi"/>
        </w:rPr>
        <w:t xml:space="preserve"> pod číslem 1</w:t>
      </w:r>
      <w:r w:rsidR="003C561E" w:rsidRPr="003C736E">
        <w:rPr>
          <w:rFonts w:asciiTheme="minorHAnsi" w:hAnsiTheme="minorHAnsi" w:cstheme="minorHAnsi"/>
        </w:rPr>
        <w:t>6</w:t>
      </w:r>
      <w:r w:rsidRPr="003C736E">
        <w:rPr>
          <w:rFonts w:asciiTheme="minorHAnsi" w:hAnsiTheme="minorHAnsi" w:cstheme="minorHAnsi"/>
        </w:rPr>
        <w:t>/</w:t>
      </w:r>
      <w:r w:rsidR="003C561E" w:rsidRPr="003C736E">
        <w:rPr>
          <w:rFonts w:asciiTheme="minorHAnsi" w:hAnsiTheme="minorHAnsi" w:cstheme="minorHAnsi"/>
        </w:rPr>
        <w:t>1</w:t>
      </w:r>
      <w:r w:rsidR="00F51A04" w:rsidRPr="003C736E">
        <w:rPr>
          <w:rFonts w:asciiTheme="minorHAnsi" w:hAnsiTheme="minorHAnsi" w:cstheme="minorHAnsi"/>
        </w:rPr>
        <w:t>3</w:t>
      </w:r>
      <w:r w:rsidRPr="003C736E">
        <w:rPr>
          <w:rFonts w:asciiTheme="minorHAnsi" w:hAnsiTheme="minorHAnsi" w:cstheme="minorHAnsi"/>
        </w:rPr>
        <w:t>. Kontrolní akci</w:t>
      </w:r>
      <w:r w:rsidR="005D26C0" w:rsidRPr="003C736E">
        <w:rPr>
          <w:rFonts w:asciiTheme="minorHAnsi" w:hAnsiTheme="minorHAnsi" w:cstheme="minorHAnsi"/>
        </w:rPr>
        <w:t xml:space="preserve"> (dále také „KA“)</w:t>
      </w:r>
      <w:r w:rsidRPr="003C736E">
        <w:rPr>
          <w:rFonts w:asciiTheme="minorHAnsi" w:hAnsiTheme="minorHAnsi" w:cstheme="minorHAnsi"/>
        </w:rPr>
        <w:t xml:space="preserve"> řídil a kon</w:t>
      </w:r>
      <w:r w:rsidRPr="00014A22">
        <w:rPr>
          <w:rFonts w:asciiTheme="minorHAnsi" w:hAnsiTheme="minorHAnsi" w:cstheme="minorHAnsi"/>
        </w:rPr>
        <w:t>trolní závěr vypracoval člen NKÚ Ing. </w:t>
      </w:r>
      <w:r w:rsidR="00F51A04">
        <w:rPr>
          <w:rFonts w:asciiTheme="minorHAnsi" w:hAnsiTheme="minorHAnsi" w:cstheme="minorHAnsi"/>
        </w:rPr>
        <w:t>Jan Stárek</w:t>
      </w:r>
      <w:r w:rsidR="0077328C" w:rsidRPr="00014A22">
        <w:rPr>
          <w:rFonts w:asciiTheme="minorHAnsi" w:hAnsiTheme="minorHAnsi" w:cstheme="minorHAnsi"/>
        </w:rPr>
        <w:t>.</w:t>
      </w:r>
    </w:p>
    <w:p w14:paraId="3AD4717C" w14:textId="77777777" w:rsidR="00F51A04" w:rsidRPr="00014A22" w:rsidRDefault="00F51A04" w:rsidP="004A0AA3">
      <w:pPr>
        <w:pStyle w:val="Zkladn"/>
        <w:spacing w:before="0"/>
        <w:rPr>
          <w:rFonts w:asciiTheme="minorHAnsi" w:hAnsiTheme="minorHAnsi" w:cstheme="minorHAnsi"/>
        </w:rPr>
      </w:pPr>
    </w:p>
    <w:p w14:paraId="03127718" w14:textId="77777777" w:rsidR="00F51A04" w:rsidRDefault="00665555" w:rsidP="00F51A04">
      <w:pPr>
        <w:jc w:val="both"/>
        <w:rPr>
          <w:rFonts w:cstheme="minorHAnsi"/>
          <w:noProof/>
          <w:color w:val="000000"/>
        </w:rPr>
      </w:pPr>
      <w:r w:rsidRPr="00F51A04">
        <w:rPr>
          <w:rFonts w:cstheme="minorHAnsi"/>
          <w:b/>
          <w:szCs w:val="24"/>
        </w:rPr>
        <w:t>Cílem kontroly</w:t>
      </w:r>
      <w:r w:rsidRPr="003C561E">
        <w:rPr>
          <w:rFonts w:cstheme="minorHAnsi"/>
          <w:szCs w:val="24"/>
        </w:rPr>
        <w:t xml:space="preserve"> bylo prověřit</w:t>
      </w:r>
      <w:r w:rsidR="00F51A04">
        <w:rPr>
          <w:rFonts w:cs="Times New Roman"/>
          <w:szCs w:val="24"/>
        </w:rPr>
        <w:t xml:space="preserve"> </w:t>
      </w:r>
      <w:r w:rsidR="00F51A04" w:rsidRPr="00184240">
        <w:rPr>
          <w:rFonts w:cstheme="minorHAnsi"/>
          <w:noProof/>
          <w:color w:val="000000"/>
        </w:rPr>
        <w:t>účelnost, hospodárnost a efektivnost použití peněžních prostředků vynakládaných na rozvoj vzdělávání v České republice se zaměřením na systémy a nástroje hodnocení kvality vzdělávacích programů a výsledků vzdělávací soustavy</w:t>
      </w:r>
      <w:r w:rsidR="00F51A04">
        <w:rPr>
          <w:rFonts w:cstheme="minorHAnsi"/>
          <w:noProof/>
          <w:color w:val="000000"/>
        </w:rPr>
        <w:t>.</w:t>
      </w:r>
    </w:p>
    <w:p w14:paraId="766F8D69" w14:textId="77777777" w:rsidR="003C561E" w:rsidRPr="003C561E" w:rsidRDefault="003C561E" w:rsidP="003C561E">
      <w:pPr>
        <w:spacing w:after="0"/>
        <w:jc w:val="both"/>
        <w:rPr>
          <w:rFonts w:cs="Times New Roman"/>
          <w:szCs w:val="24"/>
        </w:rPr>
      </w:pPr>
    </w:p>
    <w:p w14:paraId="3090F01B" w14:textId="77777777" w:rsidR="00665555" w:rsidRPr="00F51A04" w:rsidRDefault="00F51A04" w:rsidP="004A0AA3">
      <w:pPr>
        <w:pStyle w:val="Zkladn"/>
        <w:spacing w:before="0"/>
        <w:rPr>
          <w:rFonts w:asciiTheme="minorHAnsi" w:hAnsiTheme="minorHAnsi" w:cstheme="minorHAnsi"/>
          <w:b/>
        </w:rPr>
      </w:pPr>
      <w:r w:rsidRPr="00F51A04">
        <w:rPr>
          <w:rFonts w:asciiTheme="minorHAnsi" w:hAnsiTheme="minorHAnsi" w:cstheme="minorHAnsi"/>
          <w:b/>
        </w:rPr>
        <w:t>Kontrolované osoby:</w:t>
      </w:r>
    </w:p>
    <w:p w14:paraId="4358090F" w14:textId="77777777" w:rsidR="00F51A04" w:rsidRDefault="00F51A04" w:rsidP="00F51A04">
      <w:pPr>
        <w:contextualSpacing/>
        <w:jc w:val="both"/>
        <w:rPr>
          <w:rFonts w:cstheme="minorHAnsi"/>
        </w:rPr>
      </w:pPr>
      <w:r>
        <w:rPr>
          <w:rFonts w:cstheme="minorHAnsi"/>
        </w:rPr>
        <w:t>Ministerstvo školství, mládeže a tělovýchovy (dále také „MŠMT“),</w:t>
      </w:r>
    </w:p>
    <w:p w14:paraId="236068B5" w14:textId="769A26B3" w:rsidR="00F51A04" w:rsidRDefault="00F51A04" w:rsidP="00F51A04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Centrum pro zjišťování výsledků vzdělávání (dále také „CZVV“), </w:t>
      </w:r>
    </w:p>
    <w:p w14:paraId="449D9C94" w14:textId="77777777" w:rsidR="00F51A04" w:rsidRDefault="00F51A04" w:rsidP="00F51A04">
      <w:pPr>
        <w:contextualSpacing/>
        <w:jc w:val="both"/>
        <w:rPr>
          <w:rFonts w:cstheme="minorHAnsi"/>
        </w:rPr>
      </w:pPr>
      <w:r>
        <w:rPr>
          <w:rFonts w:cstheme="minorHAnsi"/>
        </w:rPr>
        <w:t>Česká školní inspekce (dále také „ČŠI“).</w:t>
      </w:r>
    </w:p>
    <w:p w14:paraId="6D8CB5C6" w14:textId="564CECD1" w:rsidR="00687FC2" w:rsidRPr="00014A22" w:rsidRDefault="00687FC2" w:rsidP="00F51A04">
      <w:pPr>
        <w:contextualSpacing/>
        <w:jc w:val="both"/>
        <w:rPr>
          <w:rFonts w:cstheme="minorHAnsi"/>
        </w:rPr>
      </w:pPr>
    </w:p>
    <w:p w14:paraId="4A266F3B" w14:textId="77777777" w:rsidR="00665555" w:rsidRPr="00014A22" w:rsidRDefault="00665555" w:rsidP="004A0AA3">
      <w:pPr>
        <w:spacing w:after="0" w:line="240" w:lineRule="auto"/>
        <w:jc w:val="both"/>
        <w:rPr>
          <w:rFonts w:cstheme="minorHAnsi"/>
          <w:szCs w:val="24"/>
        </w:rPr>
      </w:pPr>
      <w:r w:rsidRPr="00014A22">
        <w:rPr>
          <w:rFonts w:eastAsia="Calibri" w:cstheme="minorHAnsi"/>
          <w:szCs w:val="24"/>
        </w:rPr>
        <w:t>K</w:t>
      </w:r>
      <w:r w:rsidRPr="00014A22">
        <w:rPr>
          <w:rFonts w:cstheme="minorHAnsi"/>
          <w:szCs w:val="24"/>
        </w:rPr>
        <w:t>ontrola byla prováděna u kontrolovaných osob v </w:t>
      </w:r>
      <w:r w:rsidRPr="00F51A04">
        <w:rPr>
          <w:rFonts w:cstheme="minorHAnsi"/>
          <w:szCs w:val="24"/>
        </w:rPr>
        <w:t xml:space="preserve">období od </w:t>
      </w:r>
      <w:r w:rsidR="00F51A04" w:rsidRPr="00F51A04">
        <w:rPr>
          <w:rFonts w:cstheme="minorHAnsi"/>
          <w:szCs w:val="24"/>
        </w:rPr>
        <w:t>května</w:t>
      </w:r>
      <w:r w:rsidR="0077328C" w:rsidRPr="00F51A04">
        <w:rPr>
          <w:rFonts w:cstheme="minorHAnsi"/>
          <w:szCs w:val="24"/>
        </w:rPr>
        <w:t xml:space="preserve"> do </w:t>
      </w:r>
      <w:r w:rsidR="00F51A04" w:rsidRPr="00F51A04">
        <w:rPr>
          <w:rFonts w:cstheme="minorHAnsi"/>
          <w:szCs w:val="24"/>
        </w:rPr>
        <w:t>listopadu</w:t>
      </w:r>
      <w:r w:rsidR="0077328C" w:rsidRPr="00F51A04">
        <w:rPr>
          <w:rFonts w:cstheme="minorHAnsi"/>
          <w:szCs w:val="24"/>
        </w:rPr>
        <w:t xml:space="preserve"> 2016</w:t>
      </w:r>
      <w:r w:rsidRPr="00F51A04">
        <w:rPr>
          <w:rFonts w:cstheme="minorHAnsi"/>
          <w:szCs w:val="24"/>
        </w:rPr>
        <w:t>.</w:t>
      </w:r>
    </w:p>
    <w:p w14:paraId="3F85FF7A" w14:textId="77777777" w:rsidR="00665555" w:rsidRPr="00014A22" w:rsidRDefault="00665555" w:rsidP="004A0AA3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</w:p>
    <w:p w14:paraId="12A6CB62" w14:textId="77777777" w:rsidR="00665555" w:rsidRPr="00014A22" w:rsidRDefault="00F51A04" w:rsidP="004A0AA3">
      <w:pPr>
        <w:pStyle w:val="Zkladntextodsazen"/>
        <w:spacing w:after="0"/>
        <w:ind w:left="0"/>
        <w:jc w:val="both"/>
        <w:rPr>
          <w:rFonts w:asciiTheme="minorHAnsi" w:hAnsiTheme="minorHAnsi" w:cstheme="minorHAnsi"/>
        </w:rPr>
      </w:pPr>
      <w:r w:rsidRPr="00F51A04">
        <w:rPr>
          <w:rFonts w:asciiTheme="minorHAnsi" w:hAnsiTheme="minorHAnsi" w:cstheme="minorHAnsi"/>
          <w:b/>
        </w:rPr>
        <w:t>Kontrolováno bylo období</w:t>
      </w:r>
      <w:r w:rsidR="00C30D5D">
        <w:rPr>
          <w:rFonts w:asciiTheme="minorHAnsi" w:hAnsiTheme="minorHAnsi" w:cstheme="minorHAnsi"/>
        </w:rPr>
        <w:t xml:space="preserve"> od ledna</w:t>
      </w:r>
      <w:r>
        <w:rPr>
          <w:rFonts w:asciiTheme="minorHAnsi" w:hAnsiTheme="minorHAnsi" w:cstheme="minorHAnsi"/>
        </w:rPr>
        <w:t xml:space="preserve"> 2011 do </w:t>
      </w:r>
      <w:r w:rsidR="00565C7C">
        <w:rPr>
          <w:rFonts w:asciiTheme="minorHAnsi" w:hAnsiTheme="minorHAnsi" w:cstheme="minorHAnsi"/>
        </w:rPr>
        <w:t>listopadu 2016</w:t>
      </w:r>
      <w:r>
        <w:rPr>
          <w:rFonts w:asciiTheme="minorHAnsi" w:hAnsiTheme="minorHAnsi" w:cstheme="minorHAnsi"/>
        </w:rPr>
        <w:t>, v případě</w:t>
      </w:r>
      <w:r w:rsidR="00665555" w:rsidRPr="00014A22">
        <w:rPr>
          <w:rFonts w:asciiTheme="minorHAnsi" w:hAnsiTheme="minorHAnsi" w:cstheme="minorHAnsi"/>
        </w:rPr>
        <w:t xml:space="preserve"> věcných souv</w:t>
      </w:r>
      <w:r>
        <w:rPr>
          <w:rFonts w:asciiTheme="minorHAnsi" w:hAnsiTheme="minorHAnsi" w:cstheme="minorHAnsi"/>
        </w:rPr>
        <w:t>islostí i</w:t>
      </w:r>
      <w:r w:rsidR="00EB18E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období předcházející</w:t>
      </w:r>
      <w:r w:rsidR="00665555" w:rsidRPr="00014A22">
        <w:rPr>
          <w:rFonts w:asciiTheme="minorHAnsi" w:hAnsiTheme="minorHAnsi" w:cstheme="minorHAnsi"/>
        </w:rPr>
        <w:t>.</w:t>
      </w:r>
    </w:p>
    <w:p w14:paraId="23D51CD6" w14:textId="77777777" w:rsidR="00665555" w:rsidRPr="00014A22" w:rsidRDefault="00665555" w:rsidP="004A0AA3">
      <w:pPr>
        <w:pStyle w:val="Zkladn"/>
        <w:spacing w:before="0"/>
        <w:rPr>
          <w:rFonts w:asciiTheme="minorHAnsi" w:hAnsiTheme="minorHAnsi" w:cstheme="minorHAnsi"/>
        </w:rPr>
      </w:pPr>
    </w:p>
    <w:p w14:paraId="41BFF3FE" w14:textId="77777777" w:rsidR="001761BC" w:rsidRPr="001761BC" w:rsidRDefault="001761BC" w:rsidP="001761BC">
      <w:pPr>
        <w:jc w:val="both"/>
        <w:rPr>
          <w:rFonts w:cs="Calibri"/>
        </w:rPr>
      </w:pPr>
      <w:r w:rsidRPr="00D34150">
        <w:rPr>
          <w:rFonts w:cs="Calibri"/>
          <w:szCs w:val="24"/>
        </w:rPr>
        <w:t>Námitky, které proti kontrolnímu protokolu pod</w:t>
      </w:r>
      <w:r w:rsidR="00CA58F6" w:rsidRPr="00D34150">
        <w:rPr>
          <w:rFonts w:cs="Calibri"/>
          <w:szCs w:val="24"/>
        </w:rPr>
        <w:t>al</w:t>
      </w:r>
      <w:r w:rsidR="00B55A62" w:rsidRPr="00D34150">
        <w:rPr>
          <w:rFonts w:cs="Calibri"/>
          <w:szCs w:val="24"/>
        </w:rPr>
        <w:t>y</w:t>
      </w:r>
      <w:r w:rsidRPr="00D34150">
        <w:rPr>
          <w:rFonts w:cs="Calibri"/>
          <w:szCs w:val="24"/>
        </w:rPr>
        <w:t xml:space="preserve"> </w:t>
      </w:r>
      <w:r w:rsidR="00F51A04">
        <w:rPr>
          <w:rFonts w:cs="Calibri"/>
          <w:szCs w:val="24"/>
        </w:rPr>
        <w:t>MŠMT, CZVV a ČŠI</w:t>
      </w:r>
      <w:r w:rsidR="009013F5">
        <w:rPr>
          <w:rFonts w:cs="Calibri"/>
          <w:szCs w:val="24"/>
        </w:rPr>
        <w:t>,</w:t>
      </w:r>
      <w:r w:rsidRPr="00D34150">
        <w:rPr>
          <w:rFonts w:cs="Calibri"/>
          <w:szCs w:val="24"/>
        </w:rPr>
        <w:t xml:space="preserve"> byly vypořádány vedoucími skupin</w:t>
      </w:r>
      <w:r w:rsidRPr="00D34150">
        <w:rPr>
          <w:rFonts w:cs="Calibri"/>
        </w:rPr>
        <w:t xml:space="preserve"> kontrolujících rozhodnutími o námitkách. </w:t>
      </w:r>
      <w:r w:rsidRPr="007345D9">
        <w:rPr>
          <w:rFonts w:cs="Calibri"/>
        </w:rPr>
        <w:t>Odvolání, která proti rozhodnutím o námitkách podal</w:t>
      </w:r>
      <w:r w:rsidR="00B55A62" w:rsidRPr="007345D9">
        <w:rPr>
          <w:rFonts w:cs="Calibri"/>
        </w:rPr>
        <w:t>y</w:t>
      </w:r>
      <w:r w:rsidR="007345D9" w:rsidRPr="007345D9">
        <w:rPr>
          <w:rFonts w:cs="Calibri"/>
        </w:rPr>
        <w:t xml:space="preserve"> CZVV a Č</w:t>
      </w:r>
      <w:r w:rsidR="007345D9">
        <w:rPr>
          <w:rFonts w:cs="Calibri"/>
        </w:rPr>
        <w:t>ŠI,</w:t>
      </w:r>
      <w:r w:rsidR="00F51A04" w:rsidRPr="007345D9">
        <w:rPr>
          <w:rFonts w:cs="Calibri"/>
        </w:rPr>
        <w:t xml:space="preserve"> </w:t>
      </w:r>
      <w:r w:rsidRPr="007345D9">
        <w:rPr>
          <w:rFonts w:cs="Calibri"/>
        </w:rPr>
        <w:t>byla vypořádána usneseními Kolegia NKÚ.</w:t>
      </w:r>
    </w:p>
    <w:p w14:paraId="7C001E3A" w14:textId="77777777" w:rsidR="00EA41A6" w:rsidRDefault="00EA41A6" w:rsidP="004A0AA3">
      <w:pPr>
        <w:spacing w:after="0" w:line="240" w:lineRule="auto"/>
        <w:jc w:val="both"/>
        <w:rPr>
          <w:rFonts w:cstheme="minorHAnsi"/>
          <w:szCs w:val="24"/>
        </w:rPr>
      </w:pPr>
    </w:p>
    <w:p w14:paraId="2B9497CC" w14:textId="77777777" w:rsidR="00320C9F" w:rsidRPr="00014A22" w:rsidRDefault="00320C9F" w:rsidP="004A0AA3">
      <w:pPr>
        <w:spacing w:after="0" w:line="240" w:lineRule="auto"/>
        <w:jc w:val="both"/>
        <w:rPr>
          <w:rFonts w:cstheme="minorHAnsi"/>
          <w:szCs w:val="24"/>
        </w:rPr>
      </w:pPr>
    </w:p>
    <w:p w14:paraId="7E904958" w14:textId="134D46F1" w:rsidR="00665555" w:rsidRPr="00014A22" w:rsidRDefault="00665555" w:rsidP="004A0AA3">
      <w:pPr>
        <w:spacing w:after="0" w:line="240" w:lineRule="auto"/>
        <w:ind w:right="70"/>
        <w:jc w:val="both"/>
        <w:rPr>
          <w:rFonts w:cstheme="minorHAnsi"/>
          <w:szCs w:val="24"/>
        </w:rPr>
      </w:pPr>
      <w:r w:rsidRPr="00014A22">
        <w:rPr>
          <w:rFonts w:cstheme="minorHAnsi"/>
          <w:b/>
          <w:bCs/>
          <w:i/>
          <w:iCs/>
          <w:szCs w:val="24"/>
        </w:rPr>
        <w:t>K o l e g i u m   N K Ú</w:t>
      </w:r>
      <w:r w:rsidRPr="00014A22">
        <w:rPr>
          <w:rFonts w:cstheme="minorHAnsi"/>
          <w:b/>
          <w:bCs/>
          <w:iCs/>
          <w:szCs w:val="24"/>
        </w:rPr>
        <w:t xml:space="preserve">   </w:t>
      </w:r>
      <w:r w:rsidRPr="00014A22">
        <w:rPr>
          <w:rFonts w:cstheme="minorHAnsi"/>
          <w:szCs w:val="24"/>
        </w:rPr>
        <w:t xml:space="preserve">na svém </w:t>
      </w:r>
      <w:r w:rsidR="00B05BB9">
        <w:rPr>
          <w:rFonts w:cstheme="minorHAnsi"/>
          <w:szCs w:val="24"/>
        </w:rPr>
        <w:t>V.</w:t>
      </w:r>
      <w:r w:rsidRPr="00014A22">
        <w:rPr>
          <w:rFonts w:cstheme="minorHAnsi"/>
          <w:szCs w:val="24"/>
        </w:rPr>
        <w:t xml:space="preserve"> jednání, které se konalo dne </w:t>
      </w:r>
      <w:r w:rsidR="00B05BB9">
        <w:rPr>
          <w:rFonts w:cstheme="minorHAnsi"/>
          <w:szCs w:val="24"/>
        </w:rPr>
        <w:t>20. března</w:t>
      </w:r>
      <w:r w:rsidRPr="00014A22">
        <w:rPr>
          <w:rFonts w:cstheme="minorHAnsi"/>
          <w:szCs w:val="24"/>
        </w:rPr>
        <w:t xml:space="preserve"> 201</w:t>
      </w:r>
      <w:r w:rsidR="00F51A04">
        <w:rPr>
          <w:rFonts w:cstheme="minorHAnsi"/>
          <w:szCs w:val="24"/>
        </w:rPr>
        <w:t>7</w:t>
      </w:r>
      <w:r w:rsidRPr="00014A22">
        <w:rPr>
          <w:rFonts w:cstheme="minorHAnsi"/>
          <w:szCs w:val="24"/>
        </w:rPr>
        <w:t>,</w:t>
      </w:r>
    </w:p>
    <w:p w14:paraId="005AA5D1" w14:textId="77777777" w:rsidR="00665555" w:rsidRPr="00014A22" w:rsidRDefault="00665555" w:rsidP="004A0AA3">
      <w:pPr>
        <w:spacing w:after="0" w:line="240" w:lineRule="auto"/>
        <w:ind w:right="68"/>
        <w:jc w:val="both"/>
        <w:rPr>
          <w:rFonts w:cstheme="minorHAnsi"/>
          <w:szCs w:val="24"/>
        </w:rPr>
      </w:pPr>
      <w:r w:rsidRPr="00014A22">
        <w:rPr>
          <w:rFonts w:cstheme="minorHAnsi"/>
          <w:b/>
          <w:bCs/>
          <w:i/>
          <w:iCs/>
          <w:szCs w:val="24"/>
        </w:rPr>
        <w:t>s c h v á l i l o</w:t>
      </w:r>
      <w:r w:rsidRPr="00014A22">
        <w:rPr>
          <w:rFonts w:cstheme="minorHAnsi"/>
          <w:b/>
          <w:bCs/>
          <w:iCs/>
          <w:szCs w:val="24"/>
        </w:rPr>
        <w:t xml:space="preserve">   </w:t>
      </w:r>
      <w:r w:rsidR="00F51A04">
        <w:rPr>
          <w:rFonts w:cstheme="minorHAnsi"/>
          <w:szCs w:val="24"/>
        </w:rPr>
        <w:t xml:space="preserve">usnesením č. </w:t>
      </w:r>
      <w:r w:rsidR="008F5DFA">
        <w:rPr>
          <w:rFonts w:cstheme="minorHAnsi"/>
          <w:szCs w:val="24"/>
        </w:rPr>
        <w:t>9</w:t>
      </w:r>
      <w:r w:rsidR="00F51A04">
        <w:rPr>
          <w:rFonts w:cstheme="minorHAnsi"/>
          <w:szCs w:val="24"/>
        </w:rPr>
        <w:t>/</w:t>
      </w:r>
      <w:r w:rsidR="00B05BB9">
        <w:rPr>
          <w:rFonts w:cstheme="minorHAnsi"/>
          <w:szCs w:val="24"/>
        </w:rPr>
        <w:t>V</w:t>
      </w:r>
      <w:r w:rsidR="00F51A04">
        <w:rPr>
          <w:rFonts w:cstheme="minorHAnsi"/>
          <w:szCs w:val="24"/>
        </w:rPr>
        <w:t>/2017</w:t>
      </w:r>
    </w:p>
    <w:p w14:paraId="3097E552" w14:textId="77777777" w:rsidR="00F51A04" w:rsidRDefault="00665555" w:rsidP="004A0AA3">
      <w:pPr>
        <w:spacing w:after="0" w:line="240" w:lineRule="auto"/>
        <w:ind w:right="70"/>
        <w:jc w:val="both"/>
        <w:rPr>
          <w:rFonts w:cstheme="minorHAnsi"/>
          <w:szCs w:val="24"/>
        </w:rPr>
      </w:pPr>
      <w:r w:rsidRPr="00014A22">
        <w:rPr>
          <w:rFonts w:cstheme="minorHAnsi"/>
          <w:b/>
          <w:bCs/>
          <w:i/>
          <w:iCs/>
          <w:szCs w:val="24"/>
        </w:rPr>
        <w:t>k o n t r o l n í   z á v ě r</w:t>
      </w:r>
      <w:r w:rsidRPr="00014A22">
        <w:rPr>
          <w:rFonts w:cstheme="minorHAnsi"/>
          <w:b/>
          <w:szCs w:val="24"/>
        </w:rPr>
        <w:t xml:space="preserve">   </w:t>
      </w:r>
      <w:r w:rsidRPr="00014A22">
        <w:rPr>
          <w:rFonts w:cstheme="minorHAnsi"/>
          <w:szCs w:val="24"/>
        </w:rPr>
        <w:t>v tomto znění:</w:t>
      </w:r>
    </w:p>
    <w:p w14:paraId="4E453C94" w14:textId="77777777" w:rsidR="00AA09F1" w:rsidRDefault="00F51A04" w:rsidP="00DD3409">
      <w:pPr>
        <w:spacing w:after="160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5131CE0F" w14:textId="77777777" w:rsidR="00F51A04" w:rsidRDefault="00F51A04" w:rsidP="00375586">
      <w:pPr>
        <w:pStyle w:val="Nadpis1"/>
        <w:ind w:left="142" w:hanging="142"/>
        <w:rPr>
          <w:lang w:eastAsia="cs-CZ"/>
        </w:rPr>
      </w:pPr>
      <w:r>
        <w:rPr>
          <w:lang w:eastAsia="cs-CZ"/>
        </w:rPr>
        <w:lastRenderedPageBreak/>
        <w:t>Úvod</w:t>
      </w:r>
    </w:p>
    <w:p w14:paraId="7EBAFC8C" w14:textId="77777777" w:rsidR="00D17AE0" w:rsidRPr="00D17AE0" w:rsidRDefault="00D17AE0" w:rsidP="00D17AE0">
      <w:pPr>
        <w:rPr>
          <w:lang w:eastAsia="cs-CZ"/>
        </w:rPr>
      </w:pPr>
    </w:p>
    <w:p w14:paraId="667784A9" w14:textId="30AF29F2" w:rsidR="00C616FC" w:rsidRPr="00D15EA1" w:rsidRDefault="00D15EA1" w:rsidP="00D15EA1">
      <w:pPr>
        <w:jc w:val="both"/>
        <w:rPr>
          <w:rFonts w:ascii="Calibri" w:hAnsi="Calibri" w:cs="Calibri"/>
        </w:rPr>
      </w:pPr>
      <w:r w:rsidRPr="00000ED2">
        <w:rPr>
          <w:szCs w:val="24"/>
        </w:rPr>
        <w:t>Obecné cíle vzdělávání jsou vymezeny školským zákonem</w:t>
      </w:r>
      <w:r w:rsidRPr="00000ED2">
        <w:rPr>
          <w:rStyle w:val="Znakapoznpodarou"/>
          <w:szCs w:val="24"/>
        </w:rPr>
        <w:footnoteReference w:id="1"/>
      </w:r>
      <w:r w:rsidR="00F25069">
        <w:rPr>
          <w:szCs w:val="24"/>
        </w:rPr>
        <w:t>.</w:t>
      </w:r>
      <w:r w:rsidR="00156FD5">
        <w:rPr>
          <w:szCs w:val="24"/>
        </w:rPr>
        <w:t xml:space="preserve"> </w:t>
      </w:r>
      <w:r w:rsidR="00C616FC" w:rsidRPr="00D15EA1">
        <w:rPr>
          <w:rFonts w:ascii="Calibri" w:hAnsi="Calibri" w:cs="Calibri"/>
        </w:rPr>
        <w:t>Kvalita vzdělávání a úroveň zna</w:t>
      </w:r>
      <w:r w:rsidR="003A3BE2" w:rsidRPr="00D15EA1">
        <w:rPr>
          <w:rFonts w:ascii="Calibri" w:hAnsi="Calibri" w:cs="Calibri"/>
        </w:rPr>
        <w:t>lostí a dovedností absolventů základních (dále tak</w:t>
      </w:r>
      <w:r w:rsidR="00687FC2" w:rsidRPr="00D15EA1">
        <w:rPr>
          <w:rFonts w:ascii="Calibri" w:hAnsi="Calibri" w:cs="Calibri"/>
        </w:rPr>
        <w:t>é</w:t>
      </w:r>
      <w:r w:rsidR="003A3BE2" w:rsidRPr="00D15EA1">
        <w:rPr>
          <w:rFonts w:ascii="Calibri" w:hAnsi="Calibri" w:cs="Calibri"/>
        </w:rPr>
        <w:t xml:space="preserve"> „ZŠ“) a</w:t>
      </w:r>
      <w:r w:rsidR="004F5B3B" w:rsidRPr="00D15EA1">
        <w:rPr>
          <w:rFonts w:ascii="Calibri" w:hAnsi="Calibri" w:cs="Calibri"/>
        </w:rPr>
        <w:t> </w:t>
      </w:r>
      <w:r w:rsidR="003A3BE2" w:rsidRPr="00D15EA1">
        <w:rPr>
          <w:rFonts w:ascii="Calibri" w:hAnsi="Calibri" w:cs="Calibri"/>
        </w:rPr>
        <w:t>středních škol (dále také „SŠ“)</w:t>
      </w:r>
      <w:r w:rsidR="00C616FC" w:rsidRPr="00D15EA1">
        <w:rPr>
          <w:rFonts w:ascii="Calibri" w:hAnsi="Calibri" w:cs="Calibri"/>
        </w:rPr>
        <w:t xml:space="preserve"> m</w:t>
      </w:r>
      <w:r w:rsidR="00433DB2">
        <w:rPr>
          <w:rFonts w:ascii="Calibri" w:hAnsi="Calibri" w:cs="Calibri"/>
        </w:rPr>
        <w:t>ají</w:t>
      </w:r>
      <w:r w:rsidR="00C616FC" w:rsidRPr="00D15EA1">
        <w:rPr>
          <w:rFonts w:ascii="Calibri" w:hAnsi="Calibri" w:cs="Calibri"/>
        </w:rPr>
        <w:t xml:space="preserve"> dopady na jejic</w:t>
      </w:r>
      <w:r w:rsidR="002115B8" w:rsidRPr="00D15EA1">
        <w:rPr>
          <w:rFonts w:ascii="Calibri" w:hAnsi="Calibri" w:cs="Calibri"/>
        </w:rPr>
        <w:t>h uplatnění na trhu práce a následně</w:t>
      </w:r>
      <w:r w:rsidR="00896833" w:rsidRPr="00D15EA1">
        <w:rPr>
          <w:rFonts w:ascii="Calibri" w:hAnsi="Calibri" w:cs="Calibri"/>
        </w:rPr>
        <w:t xml:space="preserve"> na hospodářský vývoj země. V České republice (dále také „ČR“) a stejně tak v Evropské unii (dále </w:t>
      </w:r>
      <w:r w:rsidR="00085C91">
        <w:rPr>
          <w:rFonts w:ascii="Calibri" w:hAnsi="Calibri" w:cs="Calibri"/>
        </w:rPr>
        <w:t>také</w:t>
      </w:r>
      <w:r w:rsidR="00433DB2" w:rsidRPr="00D15EA1">
        <w:rPr>
          <w:rFonts w:ascii="Calibri" w:hAnsi="Calibri" w:cs="Calibri"/>
        </w:rPr>
        <w:t xml:space="preserve"> </w:t>
      </w:r>
      <w:r w:rsidR="00896833" w:rsidRPr="00D15EA1">
        <w:rPr>
          <w:rFonts w:ascii="Calibri" w:hAnsi="Calibri" w:cs="Calibri"/>
        </w:rPr>
        <w:t>„EU“)</w:t>
      </w:r>
      <w:r w:rsidR="00C616FC" w:rsidRPr="00D15EA1">
        <w:rPr>
          <w:rFonts w:ascii="Calibri" w:hAnsi="Calibri" w:cs="Calibri"/>
        </w:rPr>
        <w:t xml:space="preserve"> je významně vyšší míra nezaměstnanosti </w:t>
      </w:r>
      <w:r w:rsidR="00433DB2">
        <w:rPr>
          <w:rFonts w:ascii="Calibri" w:hAnsi="Calibri" w:cs="Calibri"/>
        </w:rPr>
        <w:t xml:space="preserve">u </w:t>
      </w:r>
      <w:r w:rsidR="00C616FC" w:rsidRPr="00D15EA1">
        <w:rPr>
          <w:rFonts w:ascii="Calibri" w:hAnsi="Calibri" w:cs="Calibri"/>
        </w:rPr>
        <w:t>populace s nižším sekundárním</w:t>
      </w:r>
      <w:r w:rsidR="004824FA">
        <w:rPr>
          <w:rStyle w:val="Znakapoznpodarou"/>
          <w:rFonts w:ascii="Calibri" w:hAnsi="Calibri" w:cs="Calibri"/>
        </w:rPr>
        <w:footnoteReference w:id="2"/>
      </w:r>
      <w:r w:rsidR="00C616FC" w:rsidRPr="00D15EA1">
        <w:rPr>
          <w:rFonts w:ascii="Calibri" w:hAnsi="Calibri" w:cs="Calibri"/>
        </w:rPr>
        <w:t xml:space="preserve"> či nižším vzděláním v porovnání s průměrnou mírou nezaměst</w:t>
      </w:r>
      <w:r w:rsidR="00DA7C88" w:rsidRPr="00D15EA1">
        <w:rPr>
          <w:rFonts w:ascii="Calibri" w:hAnsi="Calibri" w:cs="Calibri"/>
        </w:rPr>
        <w:t>nanosti. Problém</w:t>
      </w:r>
      <w:r w:rsidR="00C616FC" w:rsidRPr="00D15EA1">
        <w:rPr>
          <w:rFonts w:ascii="Calibri" w:hAnsi="Calibri" w:cs="Calibri"/>
        </w:rPr>
        <w:t xml:space="preserve"> nezaměstnanosti </w:t>
      </w:r>
      <w:r w:rsidR="00433DB2">
        <w:rPr>
          <w:rFonts w:ascii="Calibri" w:hAnsi="Calibri" w:cs="Calibri"/>
        </w:rPr>
        <w:t>není zapříčiněn</w:t>
      </w:r>
      <w:r w:rsidR="00C616FC" w:rsidRPr="00D15EA1">
        <w:rPr>
          <w:rFonts w:ascii="Calibri" w:hAnsi="Calibri" w:cs="Calibri"/>
        </w:rPr>
        <w:t xml:space="preserve"> pouze nízký</w:t>
      </w:r>
      <w:r w:rsidR="00433DB2">
        <w:rPr>
          <w:rFonts w:ascii="Calibri" w:hAnsi="Calibri" w:cs="Calibri"/>
        </w:rPr>
        <w:t>m</w:t>
      </w:r>
      <w:r w:rsidR="00C616FC" w:rsidRPr="00D15EA1">
        <w:rPr>
          <w:rFonts w:ascii="Calibri" w:hAnsi="Calibri" w:cs="Calibri"/>
        </w:rPr>
        <w:t xml:space="preserve"> stup</w:t>
      </w:r>
      <w:r w:rsidR="00433DB2">
        <w:rPr>
          <w:rFonts w:ascii="Calibri" w:hAnsi="Calibri" w:cs="Calibri"/>
        </w:rPr>
        <w:t>něm</w:t>
      </w:r>
      <w:r w:rsidR="00C616FC" w:rsidRPr="00D15EA1">
        <w:rPr>
          <w:rFonts w:ascii="Calibri" w:hAnsi="Calibri" w:cs="Calibri"/>
        </w:rPr>
        <w:t xml:space="preserve"> vzdělání, ale také nesoulad</w:t>
      </w:r>
      <w:r w:rsidR="00433DB2">
        <w:rPr>
          <w:rFonts w:ascii="Calibri" w:hAnsi="Calibri" w:cs="Calibri"/>
        </w:rPr>
        <w:t>em</w:t>
      </w:r>
      <w:r w:rsidR="00C616FC" w:rsidRPr="00D15EA1">
        <w:rPr>
          <w:rFonts w:ascii="Calibri" w:hAnsi="Calibri" w:cs="Calibri"/>
        </w:rPr>
        <w:t xml:space="preserve"> </w:t>
      </w:r>
      <w:r w:rsidR="00433DB2">
        <w:rPr>
          <w:rFonts w:ascii="Calibri" w:hAnsi="Calibri" w:cs="Calibri"/>
        </w:rPr>
        <w:t xml:space="preserve">mezi </w:t>
      </w:r>
      <w:r w:rsidR="00C616FC" w:rsidRPr="00D15EA1">
        <w:rPr>
          <w:rFonts w:ascii="Calibri" w:hAnsi="Calibri" w:cs="Calibri"/>
        </w:rPr>
        <w:t>kvalifikac</w:t>
      </w:r>
      <w:r w:rsidR="00433DB2">
        <w:rPr>
          <w:rFonts w:ascii="Calibri" w:hAnsi="Calibri" w:cs="Calibri"/>
        </w:rPr>
        <w:t>í</w:t>
      </w:r>
      <w:r w:rsidR="00C616FC" w:rsidRPr="00D15EA1">
        <w:rPr>
          <w:rFonts w:ascii="Calibri" w:hAnsi="Calibri" w:cs="Calibri"/>
        </w:rPr>
        <w:t xml:space="preserve"> </w:t>
      </w:r>
      <w:r w:rsidR="00433DB2" w:rsidRPr="00D15EA1">
        <w:rPr>
          <w:rFonts w:ascii="Calibri" w:hAnsi="Calibri" w:cs="Calibri"/>
        </w:rPr>
        <w:t>požadovan</w:t>
      </w:r>
      <w:r w:rsidR="00433DB2">
        <w:rPr>
          <w:rFonts w:ascii="Calibri" w:hAnsi="Calibri" w:cs="Calibri"/>
        </w:rPr>
        <w:t>ou</w:t>
      </w:r>
      <w:r w:rsidR="00433DB2" w:rsidRPr="00D15EA1">
        <w:rPr>
          <w:rFonts w:ascii="Calibri" w:hAnsi="Calibri" w:cs="Calibri"/>
        </w:rPr>
        <w:t xml:space="preserve"> </w:t>
      </w:r>
      <w:r w:rsidR="00C616FC" w:rsidRPr="00D15EA1">
        <w:rPr>
          <w:rFonts w:ascii="Calibri" w:hAnsi="Calibri" w:cs="Calibri"/>
        </w:rPr>
        <w:t>trh</w:t>
      </w:r>
      <w:r w:rsidR="00433DB2">
        <w:rPr>
          <w:rFonts w:ascii="Calibri" w:hAnsi="Calibri" w:cs="Calibri"/>
        </w:rPr>
        <w:t>em</w:t>
      </w:r>
      <w:r w:rsidR="00C616FC" w:rsidRPr="00D15EA1">
        <w:rPr>
          <w:rFonts w:ascii="Calibri" w:hAnsi="Calibri" w:cs="Calibri"/>
        </w:rPr>
        <w:t xml:space="preserve"> práce </w:t>
      </w:r>
      <w:r w:rsidR="00433DB2">
        <w:rPr>
          <w:rFonts w:ascii="Calibri" w:hAnsi="Calibri" w:cs="Calibri"/>
        </w:rPr>
        <w:t>a</w:t>
      </w:r>
      <w:r w:rsidR="00C616FC" w:rsidRPr="00D15EA1">
        <w:rPr>
          <w:rFonts w:ascii="Calibri" w:hAnsi="Calibri" w:cs="Calibri"/>
        </w:rPr>
        <w:t xml:space="preserve"> skutečnou kvalifikací ekonomicky aktivních osob. Dle zjištění O</w:t>
      </w:r>
      <w:r w:rsidR="00896833" w:rsidRPr="00D15EA1">
        <w:rPr>
          <w:rFonts w:ascii="Calibri" w:hAnsi="Calibri" w:cs="Calibri"/>
        </w:rPr>
        <w:t xml:space="preserve">rganizace pro hospodářskou spolupráci a rozvoj (dále </w:t>
      </w:r>
      <w:r w:rsidR="00085C91">
        <w:rPr>
          <w:rFonts w:ascii="Calibri" w:hAnsi="Calibri" w:cs="Calibri"/>
        </w:rPr>
        <w:t>také</w:t>
      </w:r>
      <w:r w:rsidR="00433DB2" w:rsidRPr="00D15EA1">
        <w:rPr>
          <w:rFonts w:ascii="Calibri" w:hAnsi="Calibri" w:cs="Calibri"/>
        </w:rPr>
        <w:t xml:space="preserve"> </w:t>
      </w:r>
      <w:r w:rsidR="00896833" w:rsidRPr="00D15EA1">
        <w:rPr>
          <w:rFonts w:ascii="Calibri" w:hAnsi="Calibri" w:cs="Calibri"/>
        </w:rPr>
        <w:t xml:space="preserve">„OECD“) </w:t>
      </w:r>
      <w:r w:rsidR="00C616FC" w:rsidRPr="00D15EA1">
        <w:rPr>
          <w:rFonts w:ascii="Calibri" w:hAnsi="Calibri" w:cs="Calibri"/>
        </w:rPr>
        <w:t>vykazuje ČR mezi zeměmi OECD jednu z nejvyšších hodnot nesouladu skutečné a požadované kvalifikace pracovní síly na trhu práce a také výrazně nadbytečnou kvalifikaci zaměstnaných</w:t>
      </w:r>
      <w:r w:rsidR="004824FA">
        <w:rPr>
          <w:rStyle w:val="Znakapoznpodarou"/>
          <w:rFonts w:ascii="Calibri" w:hAnsi="Calibri" w:cs="Calibri"/>
        </w:rPr>
        <w:footnoteReference w:id="3"/>
      </w:r>
      <w:r w:rsidR="00C616FC" w:rsidRPr="00D15EA1">
        <w:rPr>
          <w:rFonts w:ascii="Calibri" w:hAnsi="Calibri" w:cs="Calibri"/>
        </w:rPr>
        <w:t xml:space="preserve">. </w:t>
      </w:r>
    </w:p>
    <w:p w14:paraId="122946B3" w14:textId="6A5D52BB" w:rsidR="005D26C0" w:rsidRDefault="005C517B" w:rsidP="005D26C0">
      <w:pPr>
        <w:jc w:val="both"/>
      </w:pPr>
      <w:r>
        <w:t xml:space="preserve">Za oblast vzdělávání na národní úrovni, tzn. </w:t>
      </w:r>
      <w:r w:rsidR="006D081E">
        <w:t>včetně</w:t>
      </w:r>
      <w:r>
        <w:t xml:space="preserve"> hodnocení vzdělávacího systému, je zodpovědné</w:t>
      </w:r>
      <w:r w:rsidRPr="00721408">
        <w:t xml:space="preserve"> </w:t>
      </w:r>
      <w:r>
        <w:t>MŠMT. Strategick</w:t>
      </w:r>
      <w:r w:rsidR="00FD00BE">
        <w:t>é cíle pro oblast vzdělávání</w:t>
      </w:r>
      <w:r w:rsidR="001044C1">
        <w:t xml:space="preserve"> předkládá MŠMT</w:t>
      </w:r>
      <w:r w:rsidR="00FD00BE">
        <w:t xml:space="preserve"> </w:t>
      </w:r>
      <w:r w:rsidR="001044C1">
        <w:t xml:space="preserve">vládě ke schválení </w:t>
      </w:r>
      <w:r>
        <w:t>v dlouhodobém záměru,</w:t>
      </w:r>
      <w:r w:rsidR="00EE3E49">
        <w:t xml:space="preserve"> jehož cíle</w:t>
      </w:r>
      <w:r w:rsidR="009F2D81">
        <w:t xml:space="preserve"> jsou mj. zaměřeny na zvyšován</w:t>
      </w:r>
      <w:r w:rsidR="00CB7BF9">
        <w:t xml:space="preserve">í kvality vzdělávání. </w:t>
      </w:r>
      <w:r w:rsidR="00014CDF">
        <w:t xml:space="preserve">Pro </w:t>
      </w:r>
      <w:r w:rsidR="002A02F0">
        <w:t>období 2011</w:t>
      </w:r>
      <w:r w:rsidR="00EB18E5">
        <w:t>–</w:t>
      </w:r>
      <w:r w:rsidRPr="00014CDF">
        <w:t xml:space="preserve">2015 </w:t>
      </w:r>
      <w:r w:rsidR="009F2D81" w:rsidRPr="00014CDF">
        <w:t xml:space="preserve">byly tyto cíle nastaveny </w:t>
      </w:r>
      <w:r w:rsidRPr="00014CDF">
        <w:t>v </w:t>
      </w:r>
      <w:r w:rsidRPr="00014CDF">
        <w:rPr>
          <w:i/>
        </w:rPr>
        <w:t>Dlouhodobém záměru vzdělávání a roz</w:t>
      </w:r>
      <w:r w:rsidRPr="00224C7B">
        <w:rPr>
          <w:i/>
        </w:rPr>
        <w:t>voje</w:t>
      </w:r>
      <w:r w:rsidR="002A02F0">
        <w:rPr>
          <w:i/>
        </w:rPr>
        <w:t xml:space="preserve"> vzdělávací soustavy 2011</w:t>
      </w:r>
      <w:r w:rsidR="00EB18E5">
        <w:rPr>
          <w:i/>
        </w:rPr>
        <w:t>–</w:t>
      </w:r>
      <w:r w:rsidRPr="00224C7B">
        <w:rPr>
          <w:i/>
        </w:rPr>
        <w:t>2015</w:t>
      </w:r>
      <w:r w:rsidR="005178DD" w:rsidRPr="0068602E">
        <w:rPr>
          <w:rStyle w:val="Znakapoznpodarou"/>
        </w:rPr>
        <w:footnoteReference w:id="4"/>
      </w:r>
      <w:r w:rsidRPr="0068602E">
        <w:t xml:space="preserve"> </w:t>
      </w:r>
      <w:r>
        <w:t xml:space="preserve">(dále </w:t>
      </w:r>
      <w:r w:rsidR="00085C91">
        <w:t>také</w:t>
      </w:r>
      <w:r>
        <w:t xml:space="preserve"> </w:t>
      </w:r>
      <w:r w:rsidR="002A02F0">
        <w:t>„DZ 2011</w:t>
      </w:r>
      <w:r w:rsidR="00EB18E5">
        <w:t>–</w:t>
      </w:r>
      <w:r w:rsidRPr="003C736E">
        <w:t xml:space="preserve">2015“). </w:t>
      </w:r>
      <w:r w:rsidR="008F1AEE">
        <w:t>Na rozvoj a </w:t>
      </w:r>
      <w:r w:rsidR="00C616FC" w:rsidRPr="003C736E">
        <w:t xml:space="preserve">kvalitu vzdělávacího systému jsou zaměřeny rovněž cíle strategie </w:t>
      </w:r>
      <w:r w:rsidR="00C616FC" w:rsidRPr="00C628B4">
        <w:rPr>
          <w:i/>
        </w:rPr>
        <w:t>Evropa 2020</w:t>
      </w:r>
      <w:r w:rsidR="00386E6E" w:rsidRPr="003C736E">
        <w:rPr>
          <w:rStyle w:val="Znakapoznpodarou"/>
        </w:rPr>
        <w:footnoteReference w:id="5"/>
      </w:r>
      <w:r w:rsidR="00C616FC" w:rsidRPr="003C736E">
        <w:t xml:space="preserve">. </w:t>
      </w:r>
      <w:r w:rsidR="00386E6E" w:rsidRPr="003C736E">
        <w:t xml:space="preserve">Vedle MŠMT </w:t>
      </w:r>
      <w:r w:rsidR="00070126" w:rsidRPr="003C736E">
        <w:t xml:space="preserve">mají </w:t>
      </w:r>
      <w:r w:rsidR="00386E6E" w:rsidRPr="003C736E">
        <w:t>z</w:t>
      </w:r>
      <w:r w:rsidRPr="003C736E">
        <w:t xml:space="preserve">a </w:t>
      </w:r>
      <w:r w:rsidR="00C616FC" w:rsidRPr="003C736E">
        <w:t xml:space="preserve">kvalitu a efektivitu vzdělávání na </w:t>
      </w:r>
      <w:r w:rsidRPr="003C736E">
        <w:t>úrovni jednotlivýc</w:t>
      </w:r>
      <w:r w:rsidR="003A3BE2" w:rsidRPr="003C736E">
        <w:t>h ZŠ a SŠ</w:t>
      </w:r>
      <w:r w:rsidR="00DF2CBA" w:rsidRPr="003C736E">
        <w:t xml:space="preserve"> odpovědnost jejich </w:t>
      </w:r>
      <w:r w:rsidRPr="003C736E">
        <w:t>zřizovatelé</w:t>
      </w:r>
      <w:r w:rsidR="00DF2CBA" w:rsidRPr="003C736E">
        <w:t xml:space="preserve"> a vedení těchto škol</w:t>
      </w:r>
      <w:r w:rsidRPr="003C736E">
        <w:t>.</w:t>
      </w:r>
      <w:r w:rsidR="005D26C0" w:rsidRPr="003C736E">
        <w:t xml:space="preserve"> </w:t>
      </w:r>
      <w:r w:rsidR="00B26226" w:rsidRPr="003C736E">
        <w:t xml:space="preserve">Hodnocení </w:t>
      </w:r>
      <w:r w:rsidR="00877EE9">
        <w:rPr>
          <w:rFonts w:cstheme="minorHAnsi"/>
        </w:rPr>
        <w:t>vzdělávání v ZŠ a SŠ</w:t>
      </w:r>
      <w:r w:rsidR="00D62F58" w:rsidRPr="003C736E">
        <w:rPr>
          <w:rFonts w:cstheme="minorHAnsi"/>
        </w:rPr>
        <w:t xml:space="preserve"> </w:t>
      </w:r>
      <w:r w:rsidR="00B26226" w:rsidRPr="003C736E">
        <w:t xml:space="preserve">provádí </w:t>
      </w:r>
      <w:r w:rsidR="00D62F58" w:rsidRPr="003C736E">
        <w:rPr>
          <w:rFonts w:cstheme="minorHAnsi"/>
        </w:rPr>
        <w:t xml:space="preserve">ČŠI. </w:t>
      </w:r>
      <w:r w:rsidR="006A4A60">
        <w:rPr>
          <w:rFonts w:cstheme="minorHAnsi"/>
        </w:rPr>
        <w:t xml:space="preserve">Hlavní zodpovědností CZVV je </w:t>
      </w:r>
      <w:r w:rsidR="002115B8" w:rsidRPr="003C736E">
        <w:rPr>
          <w:rFonts w:cstheme="minorHAnsi"/>
        </w:rPr>
        <w:t xml:space="preserve">zajištění </w:t>
      </w:r>
      <w:r w:rsidR="002115B8">
        <w:rPr>
          <w:rFonts w:cstheme="minorHAnsi"/>
        </w:rPr>
        <w:t>přípravy</w:t>
      </w:r>
      <w:r w:rsidR="00D62F58" w:rsidRPr="003C736E">
        <w:rPr>
          <w:rFonts w:cstheme="minorHAnsi"/>
        </w:rPr>
        <w:t xml:space="preserve"> a realizace </w:t>
      </w:r>
      <w:r w:rsidR="006A4A60">
        <w:rPr>
          <w:rFonts w:cstheme="minorHAnsi"/>
        </w:rPr>
        <w:t>společné části</w:t>
      </w:r>
      <w:r w:rsidR="006A4A60" w:rsidRPr="003C736E">
        <w:rPr>
          <w:rFonts w:cstheme="minorHAnsi"/>
        </w:rPr>
        <w:t xml:space="preserve"> maturitní zkoušky</w:t>
      </w:r>
      <w:r w:rsidR="006A4A60" w:rsidRPr="003C736E">
        <w:rPr>
          <w:rStyle w:val="Znakapoznpodarou"/>
          <w:lang w:eastAsia="cs-CZ"/>
        </w:rPr>
        <w:footnoteReference w:id="6"/>
      </w:r>
      <w:r w:rsidR="006A4A60" w:rsidRPr="003C736E">
        <w:rPr>
          <w:rFonts w:cstheme="minorHAnsi"/>
        </w:rPr>
        <w:t xml:space="preserve"> </w:t>
      </w:r>
      <w:r w:rsidR="006A4A60" w:rsidRPr="003C736E">
        <w:rPr>
          <w:lang w:eastAsia="cs-CZ"/>
        </w:rPr>
        <w:t>(dále také „SMZ“)</w:t>
      </w:r>
      <w:r w:rsidR="006A4A60">
        <w:rPr>
          <w:lang w:eastAsia="cs-CZ"/>
        </w:rPr>
        <w:t xml:space="preserve">. </w:t>
      </w:r>
    </w:p>
    <w:p w14:paraId="548A0BCE" w14:textId="77777777" w:rsidR="00683026" w:rsidRDefault="00717A63" w:rsidP="00717A63">
      <w:pPr>
        <w:jc w:val="both"/>
      </w:pPr>
      <w:r w:rsidRPr="00855BE4">
        <w:t>Z rozpočtu MŠMT jsou každoročně realizovány výdaje</w:t>
      </w:r>
      <w:r w:rsidR="007E57E0">
        <w:t xml:space="preserve"> na regionální školství</w:t>
      </w:r>
      <w:r w:rsidR="007E57E0">
        <w:rPr>
          <w:rStyle w:val="Znakapoznpodarou"/>
        </w:rPr>
        <w:footnoteReference w:id="7"/>
      </w:r>
      <w:r w:rsidR="007E57E0">
        <w:t xml:space="preserve">, </w:t>
      </w:r>
      <w:r>
        <w:t xml:space="preserve">na </w:t>
      </w:r>
      <w:r w:rsidR="003A3BE2">
        <w:t>ZŠ a</w:t>
      </w:r>
      <w:r w:rsidR="004F5B3B">
        <w:t> </w:t>
      </w:r>
      <w:r w:rsidR="003A3BE2">
        <w:t xml:space="preserve">SŠ </w:t>
      </w:r>
      <w:r>
        <w:t>ve výši přibližně 80 mld. Kč</w:t>
      </w:r>
      <w:r w:rsidR="00416208">
        <w:rPr>
          <w:rStyle w:val="Znakapoznpodarou"/>
        </w:rPr>
        <w:footnoteReference w:id="8"/>
      </w:r>
      <w:r>
        <w:t xml:space="preserve">. </w:t>
      </w:r>
      <w:r w:rsidR="00D237B0">
        <w:t>Na základě</w:t>
      </w:r>
      <w:r>
        <w:t xml:space="preserve"> rep</w:t>
      </w:r>
      <w:r w:rsidR="00D237B0">
        <w:t>ublikových normativů MŠMT přiděluje</w:t>
      </w:r>
      <w:r>
        <w:t xml:space="preserve"> tyto prostředky </w:t>
      </w:r>
      <w:r w:rsidR="00D237B0">
        <w:t>ve formě</w:t>
      </w:r>
      <w:r>
        <w:t xml:space="preserve"> </w:t>
      </w:r>
      <w:r w:rsidR="00DC41B2">
        <w:t xml:space="preserve">účelové </w:t>
      </w:r>
      <w:r>
        <w:t>dotace krajům a kraje je následně přerozdělují školám na základě krajských normativů</w:t>
      </w:r>
      <w:r w:rsidR="00E81A29">
        <w:rPr>
          <w:rStyle w:val="Znakapoznpodarou"/>
        </w:rPr>
        <w:footnoteReference w:id="9"/>
      </w:r>
      <w:r>
        <w:t>. V těchto prostředcích</w:t>
      </w:r>
      <w:r w:rsidR="00683026">
        <w:t>, které jsou používány zejména na platy zaměstnanců škol,</w:t>
      </w:r>
      <w:r>
        <w:t xml:space="preserve"> nejso</w:t>
      </w:r>
      <w:r w:rsidR="00A339FE">
        <w:t>u zahrnuty prostředky, které jednotlivým školám poskytují</w:t>
      </w:r>
      <w:r w:rsidR="008F1AEE">
        <w:t xml:space="preserve"> kraje a </w:t>
      </w:r>
      <w:r>
        <w:t>obce ze svých rozpočtů (např. výdaje spojené s provozem a údržbou š</w:t>
      </w:r>
      <w:r w:rsidR="005D26C0">
        <w:t>kol – opravy, rekonstrukce</w:t>
      </w:r>
      <w:r>
        <w:t>)</w:t>
      </w:r>
      <w:r w:rsidR="00827A34">
        <w:t xml:space="preserve">, </w:t>
      </w:r>
      <w:r>
        <w:t xml:space="preserve">dotace </w:t>
      </w:r>
      <w:r w:rsidR="00827A34">
        <w:t>z rozvojových programů MŠMT a</w:t>
      </w:r>
      <w:r w:rsidR="00D237B0">
        <w:t xml:space="preserve"> z</w:t>
      </w:r>
      <w:r w:rsidR="00E46DA9">
        <w:t> </w:t>
      </w:r>
      <w:r>
        <w:t>prostředků</w:t>
      </w:r>
      <w:r w:rsidR="00E46DA9">
        <w:t xml:space="preserve"> EU</w:t>
      </w:r>
      <w:r w:rsidRPr="00D237B0">
        <w:t xml:space="preserve">. </w:t>
      </w:r>
      <w:r w:rsidR="00D237B0" w:rsidRPr="00D237B0">
        <w:t>Kromě</w:t>
      </w:r>
      <w:r w:rsidRPr="00D237B0">
        <w:t xml:space="preserve"> </w:t>
      </w:r>
      <w:r w:rsidR="00683026">
        <w:t xml:space="preserve">těchto </w:t>
      </w:r>
      <w:r w:rsidR="00683026">
        <w:lastRenderedPageBreak/>
        <w:t xml:space="preserve">objemově nejvýznamnějších </w:t>
      </w:r>
      <w:r w:rsidRPr="00D237B0">
        <w:t>výdajů</w:t>
      </w:r>
      <w:r w:rsidR="00683026">
        <w:t xml:space="preserve"> vyplývajících z republikových normativů</w:t>
      </w:r>
      <w:r w:rsidRPr="00D237B0">
        <w:t xml:space="preserve"> </w:t>
      </w:r>
      <w:r w:rsidR="00D237B0" w:rsidRPr="00D237B0">
        <w:t>MŠMT vynakládá</w:t>
      </w:r>
      <w:r w:rsidRPr="00D237B0">
        <w:t xml:space="preserve"> další prostředky na nástroje hodnocení kvality vz</w:t>
      </w:r>
      <w:r w:rsidR="00683026">
        <w:t>dělávání.</w:t>
      </w:r>
      <w:r w:rsidR="00827A34">
        <w:t xml:space="preserve"> </w:t>
      </w:r>
    </w:p>
    <w:p w14:paraId="4EF3C250" w14:textId="3FEF6BF0" w:rsidR="00D15EA1" w:rsidRPr="00683026" w:rsidRDefault="00717A63" w:rsidP="00B45B0D">
      <w:pPr>
        <w:jc w:val="both"/>
      </w:pPr>
      <w:r w:rsidRPr="00D237B0">
        <w:t>Ve školním roce 2015/2016 bylo v základním a s</w:t>
      </w:r>
      <w:r w:rsidR="00E76655">
        <w:t>tředním stupni vzdělávání více než</w:t>
      </w:r>
      <w:r w:rsidR="008F1AEE">
        <w:t xml:space="preserve"> 1,3 </w:t>
      </w:r>
      <w:r w:rsidRPr="00D237B0">
        <w:t>milionu žáků.</w:t>
      </w:r>
      <w:r w:rsidR="00683026">
        <w:t xml:space="preserve"> </w:t>
      </w:r>
      <w:r w:rsidR="00E633CD">
        <w:t xml:space="preserve">Vzdělávání na </w:t>
      </w:r>
      <w:r w:rsidR="003A3BE2">
        <w:t>ZŠ a SŠ</w:t>
      </w:r>
      <w:r w:rsidR="0070013B">
        <w:t xml:space="preserve"> se řídí rámcovými</w:t>
      </w:r>
      <w:r w:rsidR="00E633CD">
        <w:t xml:space="preserve"> v</w:t>
      </w:r>
      <w:r w:rsidR="0070013B">
        <w:t>zdělávacími programy</w:t>
      </w:r>
      <w:r w:rsidR="00E633CD">
        <w:t xml:space="preserve"> (dále také </w:t>
      </w:r>
      <w:r w:rsidR="0070013B">
        <w:t xml:space="preserve">„RVP“), které vydává MŠMT. </w:t>
      </w:r>
      <w:r w:rsidR="00E633CD">
        <w:t>RVP vycház</w:t>
      </w:r>
      <w:r w:rsidR="007A4D6B">
        <w:t>ej</w:t>
      </w:r>
      <w:r w:rsidR="00E633CD">
        <w:t>í ze školského zákona</w:t>
      </w:r>
      <w:r w:rsidR="005D26C0">
        <w:rPr>
          <w:rStyle w:val="Znakapoznpodarou"/>
        </w:rPr>
        <w:footnoteReference w:id="10"/>
      </w:r>
      <w:r w:rsidR="00E633CD">
        <w:t xml:space="preserve"> a vymezují povinný obsah, rozsah, konkrétní cíle a podmínky vzdělávání v každém oboru</w:t>
      </w:r>
      <w:r w:rsidR="000C6603">
        <w:t xml:space="preserve"> základního a středního vzdělá</w:t>
      </w:r>
      <w:r w:rsidR="00E633CD">
        <w:t xml:space="preserve">ní. RVP jsou závazné pro tvorbu školních vzdělávacích programů (dále </w:t>
      </w:r>
      <w:r w:rsidR="00010DE4">
        <w:t>také</w:t>
      </w:r>
      <w:r w:rsidR="00E633CD">
        <w:t xml:space="preserve"> „ŠVP“), k</w:t>
      </w:r>
      <w:r w:rsidR="00C260E2">
        <w:t>teré si každá škola vytváří samostatně a podle kterých</w:t>
      </w:r>
      <w:r w:rsidR="00E633CD">
        <w:t xml:space="preserve"> pak uskute</w:t>
      </w:r>
      <w:r w:rsidR="00C260E2">
        <w:t>čňuje vzdělávání svých žáků</w:t>
      </w:r>
      <w:r w:rsidR="00E633CD">
        <w:t>. RVP musí odpovídat nejnovějším poznatkům</w:t>
      </w:r>
      <w:r w:rsidR="0029389C">
        <w:rPr>
          <w:rStyle w:val="Znakapoznpodarou"/>
        </w:rPr>
        <w:footnoteReference w:id="11"/>
      </w:r>
      <w:r w:rsidR="00E633CD">
        <w:t xml:space="preserve"> a v souladu s těmito poznatky by měly být </w:t>
      </w:r>
      <w:r w:rsidR="0070013B">
        <w:t xml:space="preserve">MŠMT </w:t>
      </w:r>
      <w:r w:rsidR="00AE2819">
        <w:t xml:space="preserve">průběžně </w:t>
      </w:r>
      <w:r w:rsidR="00E633CD">
        <w:t xml:space="preserve">upravovány. </w:t>
      </w:r>
      <w:r w:rsidR="007D445B">
        <w:t xml:space="preserve">Z RVP by měly vycházet </w:t>
      </w:r>
      <w:r w:rsidR="00864646">
        <w:t xml:space="preserve">standardy vzdělávání, které by </w:t>
      </w:r>
      <w:r w:rsidR="00864646" w:rsidRPr="002B03AB">
        <w:t>definovaly m</w:t>
      </w:r>
      <w:r w:rsidR="0067142F" w:rsidRPr="002B03AB">
        <w:t>inimální cílové požadavky na vzdělávání</w:t>
      </w:r>
      <w:r w:rsidR="00864646" w:rsidRPr="002B03AB">
        <w:t>.</w:t>
      </w:r>
      <w:r w:rsidR="002B03AB" w:rsidRPr="002B03AB">
        <w:t xml:space="preserve"> </w:t>
      </w:r>
    </w:p>
    <w:p w14:paraId="78726727" w14:textId="31ABEDF7" w:rsidR="004C0D8E" w:rsidRPr="003C736E" w:rsidRDefault="004F1361" w:rsidP="00B45B0D">
      <w:pPr>
        <w:jc w:val="both"/>
      </w:pPr>
      <w:r w:rsidRPr="004F1361">
        <w:rPr>
          <w:b/>
          <w:lang w:eastAsia="cs-CZ"/>
        </w:rPr>
        <w:t xml:space="preserve">Nástroje hodnocení kvality </w:t>
      </w:r>
      <w:r w:rsidRPr="003C736E">
        <w:rPr>
          <w:b/>
          <w:lang w:eastAsia="cs-CZ"/>
        </w:rPr>
        <w:t>vzdělávání</w:t>
      </w:r>
      <w:r w:rsidRPr="003C736E">
        <w:rPr>
          <w:lang w:eastAsia="cs-CZ"/>
        </w:rPr>
        <w:t xml:space="preserve"> </w:t>
      </w:r>
      <w:r w:rsidR="005C517B" w:rsidRPr="003C736E">
        <w:rPr>
          <w:lang w:eastAsia="cs-CZ"/>
        </w:rPr>
        <w:t xml:space="preserve">(dále také „nástroje hodnocení“) </w:t>
      </w:r>
      <w:r w:rsidRPr="003C736E">
        <w:rPr>
          <w:lang w:eastAsia="cs-CZ"/>
        </w:rPr>
        <w:t xml:space="preserve">obecně představují mechanismy sloužící k monitorování úrovně vzdělání žáků a studentů, k hodnocení kvality škol a následně celého vzdělávacího systému. </w:t>
      </w:r>
      <w:r w:rsidR="00EC2D9B" w:rsidRPr="003C736E">
        <w:rPr>
          <w:lang w:eastAsia="cs-CZ"/>
        </w:rPr>
        <w:t>Tyto nástroje</w:t>
      </w:r>
      <w:r w:rsidR="003222C8" w:rsidRPr="003C736E">
        <w:rPr>
          <w:lang w:eastAsia="cs-CZ"/>
        </w:rPr>
        <w:t xml:space="preserve"> hodnocení</w:t>
      </w:r>
      <w:r w:rsidR="00EC2D9B" w:rsidRPr="003C736E">
        <w:rPr>
          <w:lang w:eastAsia="cs-CZ"/>
        </w:rPr>
        <w:t xml:space="preserve"> by měly pod</w:t>
      </w:r>
      <w:r w:rsidR="005C517B" w:rsidRPr="003C736E">
        <w:rPr>
          <w:lang w:eastAsia="cs-CZ"/>
        </w:rPr>
        <w:t>á</w:t>
      </w:r>
      <w:r w:rsidR="00C1055D" w:rsidRPr="003C736E">
        <w:rPr>
          <w:lang w:eastAsia="cs-CZ"/>
        </w:rPr>
        <w:t>vat zpětnou vazbu žákovi,</w:t>
      </w:r>
      <w:r w:rsidR="00A406D5" w:rsidRPr="003C736E">
        <w:rPr>
          <w:lang w:eastAsia="cs-CZ"/>
        </w:rPr>
        <w:t xml:space="preserve"> jeho zákonnému zástupci,</w:t>
      </w:r>
      <w:r w:rsidR="00C1055D" w:rsidRPr="003C736E">
        <w:rPr>
          <w:lang w:eastAsia="cs-CZ"/>
        </w:rPr>
        <w:t xml:space="preserve"> učiteli</w:t>
      </w:r>
      <w:r w:rsidR="002C20D7">
        <w:rPr>
          <w:lang w:eastAsia="cs-CZ"/>
        </w:rPr>
        <w:t>, škole a</w:t>
      </w:r>
      <w:r w:rsidR="005C517B" w:rsidRPr="003C736E">
        <w:rPr>
          <w:lang w:eastAsia="cs-CZ"/>
        </w:rPr>
        <w:t xml:space="preserve"> jejímu zřizovateli. </w:t>
      </w:r>
      <w:r w:rsidRPr="003C736E">
        <w:rPr>
          <w:lang w:eastAsia="cs-CZ"/>
        </w:rPr>
        <w:t xml:space="preserve">Potřeba zavedení těchto mechanismů do vzdělávacího systému ČR byla identifikována již v roce 2001 na úrovni hlavních strategických dokumentů </w:t>
      </w:r>
      <w:r w:rsidR="004F5B3B">
        <w:rPr>
          <w:lang w:eastAsia="cs-CZ"/>
        </w:rPr>
        <w:t>–</w:t>
      </w:r>
      <w:r w:rsidRPr="003C736E">
        <w:rPr>
          <w:lang w:eastAsia="cs-CZ"/>
        </w:rPr>
        <w:t xml:space="preserve"> </w:t>
      </w:r>
      <w:r w:rsidR="00DD658E" w:rsidRPr="003C736E">
        <w:rPr>
          <w:lang w:eastAsia="cs-CZ"/>
        </w:rPr>
        <w:t xml:space="preserve">v tzv. </w:t>
      </w:r>
      <w:r w:rsidR="007A4D6B">
        <w:rPr>
          <w:i/>
          <w:lang w:eastAsia="cs-CZ"/>
        </w:rPr>
        <w:t>b</w:t>
      </w:r>
      <w:r w:rsidR="00DD658E" w:rsidRPr="003C736E">
        <w:rPr>
          <w:i/>
          <w:lang w:eastAsia="cs-CZ"/>
        </w:rPr>
        <w:t>ílé knize</w:t>
      </w:r>
      <w:r w:rsidR="00750363" w:rsidRPr="00C628B4">
        <w:rPr>
          <w:rStyle w:val="Znakapoznpodarou"/>
          <w:lang w:eastAsia="cs-CZ"/>
        </w:rPr>
        <w:footnoteReference w:id="12"/>
      </w:r>
      <w:r w:rsidR="00DD658E" w:rsidRPr="007A4D6B">
        <w:rPr>
          <w:lang w:eastAsia="cs-CZ"/>
        </w:rPr>
        <w:t>.</w:t>
      </w:r>
      <w:r w:rsidR="00DD658E" w:rsidRPr="003C736E">
        <w:rPr>
          <w:lang w:eastAsia="cs-CZ"/>
        </w:rPr>
        <w:t xml:space="preserve"> Na tuto potřebu upozornila </w:t>
      </w:r>
      <w:r w:rsidR="00450C92" w:rsidRPr="003C736E">
        <w:rPr>
          <w:lang w:eastAsia="cs-CZ"/>
        </w:rPr>
        <w:t xml:space="preserve">opětovně </w:t>
      </w:r>
      <w:r w:rsidR="00DD658E" w:rsidRPr="003C736E">
        <w:rPr>
          <w:lang w:eastAsia="cs-CZ"/>
        </w:rPr>
        <w:t>v roce 2012 organizace</w:t>
      </w:r>
      <w:r w:rsidRPr="003C736E">
        <w:rPr>
          <w:lang w:eastAsia="cs-CZ"/>
        </w:rPr>
        <w:t xml:space="preserve"> OECD</w:t>
      </w:r>
      <w:r w:rsidR="00A90757" w:rsidRPr="003C736E">
        <w:rPr>
          <w:rStyle w:val="Znakapoznpodarou"/>
          <w:lang w:eastAsia="cs-CZ"/>
        </w:rPr>
        <w:footnoteReference w:id="13"/>
      </w:r>
      <w:r w:rsidRPr="003C736E">
        <w:rPr>
          <w:lang w:eastAsia="cs-CZ"/>
        </w:rPr>
        <w:t>.</w:t>
      </w:r>
      <w:r w:rsidR="00DD658E" w:rsidRPr="003C736E">
        <w:rPr>
          <w:lang w:eastAsia="cs-CZ"/>
        </w:rPr>
        <w:t xml:space="preserve"> </w:t>
      </w:r>
      <w:r w:rsidR="00A406D5" w:rsidRPr="003C736E">
        <w:rPr>
          <w:lang w:eastAsia="cs-CZ"/>
        </w:rPr>
        <w:t xml:space="preserve"> </w:t>
      </w:r>
    </w:p>
    <w:p w14:paraId="57EC392E" w14:textId="77777777" w:rsidR="0067142F" w:rsidRDefault="00363304" w:rsidP="00B45B0D">
      <w:pPr>
        <w:jc w:val="both"/>
        <w:rPr>
          <w:lang w:eastAsia="cs-CZ"/>
        </w:rPr>
      </w:pPr>
      <w:r w:rsidRPr="003C736E">
        <w:rPr>
          <w:lang w:eastAsia="cs-CZ"/>
        </w:rPr>
        <w:t xml:space="preserve">V </w:t>
      </w:r>
      <w:r w:rsidR="004F1361" w:rsidRPr="003C736E">
        <w:rPr>
          <w:lang w:eastAsia="cs-CZ"/>
        </w:rPr>
        <w:t>základním a středním stupni vzdělávání byly postupně</w:t>
      </w:r>
      <w:r w:rsidR="004C0D8E" w:rsidRPr="003C736E">
        <w:rPr>
          <w:lang w:eastAsia="cs-CZ"/>
        </w:rPr>
        <w:t xml:space="preserve"> připravovány a</w:t>
      </w:r>
      <w:r w:rsidR="004F1361" w:rsidRPr="003C736E">
        <w:rPr>
          <w:lang w:eastAsia="cs-CZ"/>
        </w:rPr>
        <w:t xml:space="preserve"> zaváděny </w:t>
      </w:r>
      <w:r w:rsidR="000E79B9" w:rsidRPr="003C736E">
        <w:rPr>
          <w:lang w:eastAsia="cs-CZ"/>
        </w:rPr>
        <w:t xml:space="preserve">tyto </w:t>
      </w:r>
      <w:r w:rsidR="004F1361" w:rsidRPr="003C736E">
        <w:rPr>
          <w:lang w:eastAsia="cs-CZ"/>
        </w:rPr>
        <w:t>nástroje</w:t>
      </w:r>
      <w:r w:rsidR="00EE3E49" w:rsidRPr="003C736E">
        <w:rPr>
          <w:lang w:eastAsia="cs-CZ"/>
        </w:rPr>
        <w:t xml:space="preserve"> hodnocení</w:t>
      </w:r>
      <w:r w:rsidR="004F1361" w:rsidRPr="003C736E">
        <w:rPr>
          <w:lang w:eastAsia="cs-CZ"/>
        </w:rPr>
        <w:t>: ověřování výsledků žáků 5. a 9. tříd základních škol</w:t>
      </w:r>
      <w:r w:rsidR="00567573" w:rsidRPr="003C736E">
        <w:rPr>
          <w:lang w:eastAsia="cs-CZ"/>
        </w:rPr>
        <w:t xml:space="preserve"> (dále také „ověřování 5. a 9. tříd“)</w:t>
      </w:r>
      <w:r w:rsidR="004F1361" w:rsidRPr="003C736E">
        <w:rPr>
          <w:lang w:eastAsia="cs-CZ"/>
        </w:rPr>
        <w:t xml:space="preserve">, </w:t>
      </w:r>
      <w:r w:rsidR="00112670" w:rsidRPr="003C736E">
        <w:rPr>
          <w:lang w:eastAsia="cs-CZ"/>
        </w:rPr>
        <w:t>jednotné přijímací zkoušky na střední školy</w:t>
      </w:r>
      <w:r w:rsidR="00B170F7">
        <w:rPr>
          <w:lang w:eastAsia="cs-CZ"/>
        </w:rPr>
        <w:t xml:space="preserve"> s maturitní zkouškou</w:t>
      </w:r>
      <w:r w:rsidR="006A4A60">
        <w:rPr>
          <w:lang w:eastAsia="cs-CZ"/>
        </w:rPr>
        <w:t xml:space="preserve"> (dále také „JPZ“)</w:t>
      </w:r>
      <w:r w:rsidR="00567573" w:rsidRPr="003C736E">
        <w:rPr>
          <w:lang w:eastAsia="cs-CZ"/>
        </w:rPr>
        <w:t xml:space="preserve"> </w:t>
      </w:r>
      <w:r w:rsidR="004F1361" w:rsidRPr="003C736E">
        <w:rPr>
          <w:lang w:eastAsia="cs-CZ"/>
        </w:rPr>
        <w:t xml:space="preserve">a </w:t>
      </w:r>
      <w:r w:rsidR="00EE3E49" w:rsidRPr="003C736E">
        <w:rPr>
          <w:lang w:eastAsia="cs-CZ"/>
        </w:rPr>
        <w:t>společn</w:t>
      </w:r>
      <w:r w:rsidR="00EE3E49">
        <w:rPr>
          <w:lang w:eastAsia="cs-CZ"/>
        </w:rPr>
        <w:t xml:space="preserve">á část </w:t>
      </w:r>
      <w:r w:rsidR="0067142F">
        <w:rPr>
          <w:lang w:eastAsia="cs-CZ"/>
        </w:rPr>
        <w:t>maturitní zkoušky</w:t>
      </w:r>
      <w:r w:rsidR="004F1361">
        <w:rPr>
          <w:lang w:eastAsia="cs-CZ"/>
        </w:rPr>
        <w:t>.</w:t>
      </w:r>
      <w:r w:rsidR="007475A9">
        <w:rPr>
          <w:lang w:eastAsia="cs-CZ"/>
        </w:rPr>
        <w:t xml:space="preserve"> </w:t>
      </w:r>
      <w:r>
        <w:rPr>
          <w:lang w:eastAsia="cs-CZ"/>
        </w:rPr>
        <w:t xml:space="preserve">Za realizaci </w:t>
      </w:r>
      <w:r w:rsidR="0067142F">
        <w:rPr>
          <w:lang w:eastAsia="cs-CZ"/>
        </w:rPr>
        <w:t>S</w:t>
      </w:r>
      <w:r>
        <w:rPr>
          <w:lang w:eastAsia="cs-CZ"/>
        </w:rPr>
        <w:t>MZ a JPZ odpovídalo CZVV, za ověřování 5. a 9. tříd ČŠI.</w:t>
      </w:r>
      <w:r w:rsidR="009B7F99">
        <w:rPr>
          <w:lang w:eastAsia="cs-CZ"/>
        </w:rPr>
        <w:t xml:space="preserve"> </w:t>
      </w:r>
    </w:p>
    <w:p w14:paraId="1C5A76D9" w14:textId="1F7DA4D5" w:rsidR="0067142F" w:rsidRDefault="0067142F" w:rsidP="00B45B0D">
      <w:pPr>
        <w:jc w:val="both"/>
        <w:rPr>
          <w:lang w:eastAsia="cs-CZ"/>
        </w:rPr>
      </w:pPr>
      <w:r>
        <w:rPr>
          <w:lang w:eastAsia="cs-CZ"/>
        </w:rPr>
        <w:t>Kontrol</w:t>
      </w:r>
      <w:r w:rsidR="007A4D6B">
        <w:rPr>
          <w:lang w:eastAsia="cs-CZ"/>
        </w:rPr>
        <w:t>a</w:t>
      </w:r>
      <w:r>
        <w:rPr>
          <w:lang w:eastAsia="cs-CZ"/>
        </w:rPr>
        <w:t xml:space="preserve"> NKÚ </w:t>
      </w:r>
      <w:r w:rsidR="007A4D6B">
        <w:rPr>
          <w:lang w:eastAsia="cs-CZ"/>
        </w:rPr>
        <w:t>prověřila</w:t>
      </w:r>
      <w:r>
        <w:rPr>
          <w:lang w:eastAsia="cs-CZ"/>
        </w:rPr>
        <w:t>:</w:t>
      </w:r>
    </w:p>
    <w:p w14:paraId="558E3434" w14:textId="32293D92" w:rsidR="000354AF" w:rsidRDefault="005F044A" w:rsidP="0052651A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 xml:space="preserve">výdaje na </w:t>
      </w:r>
      <w:r w:rsidR="000354AF">
        <w:rPr>
          <w:lang w:eastAsia="cs-CZ"/>
        </w:rPr>
        <w:t>zavedení</w:t>
      </w:r>
      <w:r w:rsidR="002115B8">
        <w:rPr>
          <w:rStyle w:val="Znakapoznpodarou"/>
          <w:lang w:eastAsia="cs-CZ"/>
        </w:rPr>
        <w:footnoteReference w:id="14"/>
      </w:r>
      <w:r w:rsidR="000354AF">
        <w:rPr>
          <w:lang w:eastAsia="cs-CZ"/>
        </w:rPr>
        <w:t xml:space="preserve"> a </w:t>
      </w:r>
      <w:r>
        <w:rPr>
          <w:lang w:eastAsia="cs-CZ"/>
        </w:rPr>
        <w:t xml:space="preserve">realizaci </w:t>
      </w:r>
      <w:r w:rsidR="000354AF">
        <w:rPr>
          <w:lang w:eastAsia="cs-CZ"/>
        </w:rPr>
        <w:t xml:space="preserve">nástrojů hodnocení </w:t>
      </w:r>
      <w:r w:rsidR="008156F4">
        <w:rPr>
          <w:lang w:eastAsia="cs-CZ"/>
        </w:rPr>
        <w:t>z h</w:t>
      </w:r>
      <w:r w:rsidR="00A7132F">
        <w:rPr>
          <w:lang w:eastAsia="cs-CZ"/>
        </w:rPr>
        <w:t>lediska naplňování jejich cílů a</w:t>
      </w:r>
      <w:r w:rsidR="007A4D6B">
        <w:rPr>
          <w:lang w:eastAsia="cs-CZ"/>
        </w:rPr>
        <w:t> </w:t>
      </w:r>
      <w:r w:rsidR="008156F4">
        <w:rPr>
          <w:lang w:eastAsia="cs-CZ"/>
        </w:rPr>
        <w:t>jejich řízení</w:t>
      </w:r>
      <w:r w:rsidR="000354AF">
        <w:rPr>
          <w:lang w:eastAsia="cs-CZ"/>
        </w:rPr>
        <w:t>,</w:t>
      </w:r>
    </w:p>
    <w:p w14:paraId="4B7592C5" w14:textId="77777777" w:rsidR="00A7132F" w:rsidRDefault="00A7132F" w:rsidP="0052651A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hospodárn</w:t>
      </w:r>
      <w:r w:rsidR="005F044A">
        <w:rPr>
          <w:lang w:eastAsia="cs-CZ"/>
        </w:rPr>
        <w:t xml:space="preserve">ost, účelnost </w:t>
      </w:r>
      <w:r>
        <w:rPr>
          <w:lang w:eastAsia="cs-CZ"/>
        </w:rPr>
        <w:t xml:space="preserve">a </w:t>
      </w:r>
      <w:r w:rsidR="005F044A">
        <w:rPr>
          <w:lang w:eastAsia="cs-CZ"/>
        </w:rPr>
        <w:t xml:space="preserve">efektivnost </w:t>
      </w:r>
      <w:r>
        <w:rPr>
          <w:lang w:eastAsia="cs-CZ"/>
        </w:rPr>
        <w:t>použití peněžních prostředků na vybrané veřejné zakázky</w:t>
      </w:r>
      <w:r w:rsidR="00E070ED">
        <w:rPr>
          <w:lang w:eastAsia="cs-CZ"/>
        </w:rPr>
        <w:t xml:space="preserve"> (dále také „VZ“)</w:t>
      </w:r>
      <w:r>
        <w:rPr>
          <w:lang w:eastAsia="cs-CZ"/>
        </w:rPr>
        <w:t xml:space="preserve"> k zavedení a realizaci nástrojů hodnocení,</w:t>
      </w:r>
    </w:p>
    <w:p w14:paraId="788C6E46" w14:textId="77777777" w:rsidR="00A7132F" w:rsidRDefault="00A7132F" w:rsidP="0052651A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využití výstupů nástrojů hodnocení pro změny vzdělávací politiky vedoucí ke zvýšení kvality vzdělávání,</w:t>
      </w:r>
    </w:p>
    <w:p w14:paraId="3E6F640C" w14:textId="77777777" w:rsidR="00E04E5A" w:rsidRPr="00E04E5A" w:rsidRDefault="000354AF" w:rsidP="00101F59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 xml:space="preserve">nápravná opatření k vybraným </w:t>
      </w:r>
      <w:r w:rsidR="00856864">
        <w:rPr>
          <w:lang w:eastAsia="cs-CZ"/>
        </w:rPr>
        <w:t>zjištěním z</w:t>
      </w:r>
      <w:r w:rsidR="00A670D8">
        <w:rPr>
          <w:lang w:eastAsia="cs-CZ"/>
        </w:rPr>
        <w:t> </w:t>
      </w:r>
      <w:r w:rsidR="00856864">
        <w:rPr>
          <w:lang w:eastAsia="cs-CZ"/>
        </w:rPr>
        <w:t>KA</w:t>
      </w:r>
      <w:r w:rsidR="00A670D8">
        <w:rPr>
          <w:lang w:eastAsia="cs-CZ"/>
        </w:rPr>
        <w:t xml:space="preserve"> č.</w:t>
      </w:r>
      <w:r w:rsidR="00856864">
        <w:rPr>
          <w:lang w:eastAsia="cs-CZ"/>
        </w:rPr>
        <w:t xml:space="preserve"> 11/08</w:t>
      </w:r>
      <w:r w:rsidR="007A4D6B">
        <w:rPr>
          <w:lang w:eastAsia="cs-CZ"/>
        </w:rPr>
        <w:t xml:space="preserve"> –</w:t>
      </w:r>
      <w:r w:rsidR="00856864">
        <w:rPr>
          <w:lang w:eastAsia="cs-CZ"/>
        </w:rPr>
        <w:t xml:space="preserve"> </w:t>
      </w:r>
      <w:r w:rsidR="00856864" w:rsidRPr="000354AF">
        <w:rPr>
          <w:rFonts w:cs="Calibri"/>
          <w:i/>
        </w:rPr>
        <w:t>Peněžní prostředky použité na přípravu a realizaci státní maturitní zkoušky</w:t>
      </w:r>
      <w:r w:rsidR="0008729F" w:rsidRPr="00C628B4">
        <w:rPr>
          <w:rStyle w:val="Znakapoznpodarou"/>
          <w:rFonts w:cs="Calibri"/>
        </w:rPr>
        <w:footnoteReference w:id="15"/>
      </w:r>
      <w:r w:rsidR="00D00F43" w:rsidRPr="00C628B4">
        <w:rPr>
          <w:rFonts w:cs="Calibri"/>
        </w:rPr>
        <w:t>.</w:t>
      </w:r>
    </w:p>
    <w:p w14:paraId="525DFA7F" w14:textId="77777777" w:rsidR="003E5398" w:rsidRPr="00FA4EDC" w:rsidRDefault="00D15EA1" w:rsidP="005E55F3">
      <w:pPr>
        <w:pStyle w:val="Nadpis1"/>
        <w:spacing w:after="120" w:line="240" w:lineRule="auto"/>
        <w:ind w:left="142" w:hanging="142"/>
      </w:pPr>
      <w:r w:rsidRPr="00FA4EDC">
        <w:lastRenderedPageBreak/>
        <w:t>Vyhodnocení a s</w:t>
      </w:r>
      <w:r w:rsidR="00806278" w:rsidRPr="00FA4EDC">
        <w:t>hrnutí skut</w:t>
      </w:r>
      <w:r w:rsidR="00000ED2" w:rsidRPr="00FA4EDC">
        <w:t>ečností zjištěných při kontrole</w:t>
      </w:r>
    </w:p>
    <w:p w14:paraId="7A5FC7AE" w14:textId="77777777" w:rsidR="00D15EA1" w:rsidRPr="00000ED2" w:rsidRDefault="00D15EA1" w:rsidP="00C706E5">
      <w:pPr>
        <w:pStyle w:val="Nadpis2"/>
        <w:spacing w:after="120" w:line="240" w:lineRule="auto"/>
      </w:pPr>
      <w:r>
        <w:t>Vyhodnocení</w:t>
      </w:r>
    </w:p>
    <w:p w14:paraId="477C4D7B" w14:textId="77777777" w:rsidR="00874394" w:rsidRDefault="00A3753F">
      <w:pPr>
        <w:spacing w:line="240" w:lineRule="auto"/>
        <w:jc w:val="both"/>
        <w:rPr>
          <w:szCs w:val="24"/>
        </w:rPr>
      </w:pPr>
      <w:r w:rsidRPr="00B7524F">
        <w:rPr>
          <w:szCs w:val="24"/>
        </w:rPr>
        <w:t>MŠMT</w:t>
      </w:r>
      <w:r w:rsidDel="00300B84">
        <w:rPr>
          <w:szCs w:val="24"/>
        </w:rPr>
        <w:t xml:space="preserve"> </w:t>
      </w:r>
      <w:r w:rsidR="00CF4D0D" w:rsidRPr="00B7524F">
        <w:rPr>
          <w:szCs w:val="24"/>
        </w:rPr>
        <w:t>vynakládá</w:t>
      </w:r>
      <w:r w:rsidR="00CF4D0D">
        <w:rPr>
          <w:szCs w:val="24"/>
        </w:rPr>
        <w:t xml:space="preserve"> </w:t>
      </w:r>
      <w:r>
        <w:rPr>
          <w:szCs w:val="24"/>
        </w:rPr>
        <w:t>n</w:t>
      </w:r>
      <w:r w:rsidR="00D15EA1" w:rsidRPr="00B7524F">
        <w:rPr>
          <w:szCs w:val="24"/>
        </w:rPr>
        <w:t>a vzdělávání na ZŠ a SŠ ročně cca 80 mld. Kč</w:t>
      </w:r>
      <w:r w:rsidR="00874394">
        <w:rPr>
          <w:szCs w:val="24"/>
        </w:rPr>
        <w:t xml:space="preserve">, jejichž efektivnost je dána mj. dosaženou úrovní kvality vzdělávání. </w:t>
      </w:r>
      <w:r w:rsidR="00D15EA1" w:rsidRPr="00B7524F">
        <w:rPr>
          <w:szCs w:val="24"/>
        </w:rPr>
        <w:t>Hodno</w:t>
      </w:r>
      <w:r w:rsidR="00874B87">
        <w:rPr>
          <w:szCs w:val="24"/>
        </w:rPr>
        <w:t xml:space="preserve">cení kvality vzdělávání má </w:t>
      </w:r>
      <w:r w:rsidR="00D15EA1" w:rsidRPr="00B7524F">
        <w:rPr>
          <w:szCs w:val="24"/>
        </w:rPr>
        <w:t xml:space="preserve">vycházet mj. z výstupů nástrojů hodnocení, </w:t>
      </w:r>
      <w:r w:rsidR="002B12BA">
        <w:rPr>
          <w:szCs w:val="24"/>
        </w:rPr>
        <w:t xml:space="preserve">které MŠMT dlouhodobě prosazuje </w:t>
      </w:r>
      <w:r w:rsidR="00EE0315">
        <w:rPr>
          <w:szCs w:val="24"/>
        </w:rPr>
        <w:t>prostřednictvím dlouhodobých</w:t>
      </w:r>
      <w:r w:rsidR="002B12BA">
        <w:rPr>
          <w:szCs w:val="24"/>
        </w:rPr>
        <w:t xml:space="preserve"> záměrů, strategických cílů i konkrétními projekty. N</w:t>
      </w:r>
      <w:r w:rsidR="00D15EA1" w:rsidRPr="00B7524F">
        <w:rPr>
          <w:szCs w:val="24"/>
        </w:rPr>
        <w:t xml:space="preserve">a </w:t>
      </w:r>
      <w:r w:rsidR="006A6204">
        <w:rPr>
          <w:szCs w:val="24"/>
        </w:rPr>
        <w:t>přípravu</w:t>
      </w:r>
      <w:r w:rsidR="00C92CD2">
        <w:rPr>
          <w:szCs w:val="24"/>
        </w:rPr>
        <w:t xml:space="preserve"> a realizaci </w:t>
      </w:r>
      <w:r w:rsidR="002B12BA">
        <w:rPr>
          <w:szCs w:val="24"/>
        </w:rPr>
        <w:t xml:space="preserve">nástrojů hodnocení </w:t>
      </w:r>
      <w:r w:rsidR="00C92CD2">
        <w:rPr>
          <w:szCs w:val="24"/>
        </w:rPr>
        <w:t xml:space="preserve">MŠMT vynaložilo </w:t>
      </w:r>
      <w:r w:rsidR="00D15EA1" w:rsidRPr="00B7524F">
        <w:rPr>
          <w:szCs w:val="24"/>
        </w:rPr>
        <w:t xml:space="preserve">od roku 2011 celkem 1 179,1 mil. Kč. </w:t>
      </w:r>
      <w:r w:rsidR="00300B84">
        <w:rPr>
          <w:szCs w:val="24"/>
        </w:rPr>
        <w:t xml:space="preserve">Českému školství se </w:t>
      </w:r>
      <w:r w:rsidR="00300B84" w:rsidRPr="00B7524F">
        <w:rPr>
          <w:szCs w:val="24"/>
        </w:rPr>
        <w:t>přitom</w:t>
      </w:r>
      <w:r w:rsidR="00300B84">
        <w:rPr>
          <w:szCs w:val="24"/>
        </w:rPr>
        <w:t xml:space="preserve"> dlouhodobě nedaří výrazně zlepšit</w:t>
      </w:r>
      <w:r w:rsidR="00300B84" w:rsidRPr="00B7524F">
        <w:rPr>
          <w:szCs w:val="24"/>
        </w:rPr>
        <w:t xml:space="preserve"> výsled</w:t>
      </w:r>
      <w:r w:rsidR="00300B84">
        <w:rPr>
          <w:szCs w:val="24"/>
        </w:rPr>
        <w:t>ky</w:t>
      </w:r>
      <w:r w:rsidR="00300B84" w:rsidRPr="00B7524F">
        <w:rPr>
          <w:szCs w:val="24"/>
        </w:rPr>
        <w:t xml:space="preserve"> žáků</w:t>
      </w:r>
      <w:r w:rsidR="00300B84">
        <w:rPr>
          <w:szCs w:val="24"/>
        </w:rPr>
        <w:t xml:space="preserve"> na základním a středním stupni vzdělávání</w:t>
      </w:r>
      <w:r w:rsidR="00300B84" w:rsidRPr="00B7524F">
        <w:rPr>
          <w:szCs w:val="24"/>
        </w:rPr>
        <w:t>.</w:t>
      </w:r>
    </w:p>
    <w:p w14:paraId="06B5377C" w14:textId="732BDABC" w:rsidR="0061407C" w:rsidRPr="00B7524F" w:rsidRDefault="008E338B">
      <w:pPr>
        <w:spacing w:line="240" w:lineRule="auto"/>
        <w:jc w:val="both"/>
        <w:rPr>
          <w:szCs w:val="24"/>
        </w:rPr>
      </w:pPr>
      <w:r>
        <w:rPr>
          <w:szCs w:val="24"/>
        </w:rPr>
        <w:t>Výsledky</w:t>
      </w:r>
      <w:r w:rsidR="009B6694">
        <w:rPr>
          <w:szCs w:val="24"/>
        </w:rPr>
        <w:t xml:space="preserve"> kontroly NKÚ</w:t>
      </w:r>
      <w:r>
        <w:rPr>
          <w:szCs w:val="24"/>
        </w:rPr>
        <w:t xml:space="preserve"> ukázaly</w:t>
      </w:r>
      <w:r w:rsidR="001B45AE" w:rsidRPr="00B7524F">
        <w:rPr>
          <w:szCs w:val="24"/>
        </w:rPr>
        <w:t>, že</w:t>
      </w:r>
      <w:r w:rsidR="00874394">
        <w:rPr>
          <w:szCs w:val="24"/>
        </w:rPr>
        <w:t xml:space="preserve"> </w:t>
      </w:r>
      <w:r w:rsidR="001B45AE" w:rsidRPr="00B7524F">
        <w:rPr>
          <w:szCs w:val="24"/>
        </w:rPr>
        <w:t xml:space="preserve">nástroje hodnocení </w:t>
      </w:r>
      <w:r w:rsidR="00D0455E">
        <w:rPr>
          <w:szCs w:val="24"/>
        </w:rPr>
        <w:t>v období 2011</w:t>
      </w:r>
      <w:r w:rsidR="00D17AE0">
        <w:rPr>
          <w:szCs w:val="24"/>
        </w:rPr>
        <w:t>–</w:t>
      </w:r>
      <w:r w:rsidR="00D0455E">
        <w:rPr>
          <w:szCs w:val="24"/>
        </w:rPr>
        <w:t xml:space="preserve">2015 </w:t>
      </w:r>
      <w:r>
        <w:rPr>
          <w:szCs w:val="24"/>
        </w:rPr>
        <w:t>ne</w:t>
      </w:r>
      <w:r w:rsidR="001B45AE" w:rsidRPr="00B7524F">
        <w:rPr>
          <w:szCs w:val="24"/>
        </w:rPr>
        <w:t>přispěly k</w:t>
      </w:r>
      <w:r w:rsidR="00D0455E">
        <w:rPr>
          <w:szCs w:val="24"/>
        </w:rPr>
        <w:t> </w:t>
      </w:r>
      <w:r>
        <w:rPr>
          <w:szCs w:val="24"/>
        </w:rPr>
        <w:t xml:space="preserve">efektivnímu </w:t>
      </w:r>
      <w:r w:rsidR="001B45AE" w:rsidRPr="00B7524F">
        <w:rPr>
          <w:szCs w:val="24"/>
        </w:rPr>
        <w:t>naplňování strategick</w:t>
      </w:r>
      <w:r w:rsidR="00A3753F">
        <w:rPr>
          <w:szCs w:val="24"/>
        </w:rPr>
        <w:t>ého</w:t>
      </w:r>
      <w:r w:rsidR="001B45AE" w:rsidRPr="00B7524F">
        <w:rPr>
          <w:szCs w:val="24"/>
        </w:rPr>
        <w:t xml:space="preserve"> cíl</w:t>
      </w:r>
      <w:r w:rsidR="00A3753F">
        <w:rPr>
          <w:szCs w:val="24"/>
        </w:rPr>
        <w:t>e</w:t>
      </w:r>
      <w:r w:rsidR="00E23A24">
        <w:rPr>
          <w:szCs w:val="24"/>
        </w:rPr>
        <w:t xml:space="preserve"> vzdělávací soustavy</w:t>
      </w:r>
      <w:r w:rsidR="00A3753F">
        <w:rPr>
          <w:szCs w:val="24"/>
        </w:rPr>
        <w:t>, kterým bylo</w:t>
      </w:r>
      <w:r w:rsidR="001B45AE" w:rsidRPr="00B7524F">
        <w:rPr>
          <w:szCs w:val="24"/>
        </w:rPr>
        <w:t xml:space="preserve"> </w:t>
      </w:r>
      <w:r w:rsidR="00CF4D0D">
        <w:rPr>
          <w:szCs w:val="24"/>
        </w:rPr>
        <w:t>zvýšení kvality vzdělávání</w:t>
      </w:r>
      <w:r w:rsidR="001B45AE" w:rsidRPr="00B7524F">
        <w:rPr>
          <w:szCs w:val="24"/>
        </w:rPr>
        <w:t xml:space="preserve">. </w:t>
      </w:r>
      <w:r w:rsidR="00E23A24">
        <w:rPr>
          <w:szCs w:val="24"/>
        </w:rPr>
        <w:t xml:space="preserve">Jedním z klíčových </w:t>
      </w:r>
      <w:r w:rsidR="002B12BA" w:rsidRPr="00B7524F">
        <w:rPr>
          <w:szCs w:val="24"/>
        </w:rPr>
        <w:t xml:space="preserve">nástrojů hodnocení </w:t>
      </w:r>
      <w:r w:rsidR="00E23A24">
        <w:rPr>
          <w:szCs w:val="24"/>
        </w:rPr>
        <w:t xml:space="preserve">na úrovni základního vzdělávání </w:t>
      </w:r>
      <w:r w:rsidR="002B12BA" w:rsidRPr="00B7524F">
        <w:rPr>
          <w:szCs w:val="24"/>
        </w:rPr>
        <w:t>mělo být pravidelné celoplošné ověřování 5. a 9. tříd</w:t>
      </w:r>
      <w:r w:rsidR="002B12BA">
        <w:rPr>
          <w:szCs w:val="24"/>
        </w:rPr>
        <w:t xml:space="preserve"> ZŠ</w:t>
      </w:r>
      <w:r w:rsidR="002B12BA" w:rsidRPr="00B7524F">
        <w:rPr>
          <w:szCs w:val="24"/>
        </w:rPr>
        <w:t>, k</w:t>
      </w:r>
      <w:r w:rsidR="002B12BA">
        <w:rPr>
          <w:szCs w:val="24"/>
        </w:rPr>
        <w:t>teré však MŠMT za dobu pětileté platnosti DZ 2011</w:t>
      </w:r>
      <w:r w:rsidR="00D17AE0">
        <w:rPr>
          <w:szCs w:val="24"/>
        </w:rPr>
        <w:t>–</w:t>
      </w:r>
      <w:r w:rsidR="002B12BA">
        <w:rPr>
          <w:szCs w:val="24"/>
        </w:rPr>
        <w:t>2015</w:t>
      </w:r>
      <w:r w:rsidR="002B12BA" w:rsidRPr="00B7524F">
        <w:rPr>
          <w:szCs w:val="24"/>
        </w:rPr>
        <w:t xml:space="preserve"> nezavedlo.</w:t>
      </w:r>
      <w:r w:rsidR="006C14F4">
        <w:rPr>
          <w:szCs w:val="24"/>
        </w:rPr>
        <w:t xml:space="preserve"> </w:t>
      </w:r>
      <w:r w:rsidR="00E23A24">
        <w:rPr>
          <w:szCs w:val="24"/>
        </w:rPr>
        <w:t>Na úrovni středního vzdělání by</w:t>
      </w:r>
      <w:r w:rsidR="006A6204">
        <w:rPr>
          <w:szCs w:val="24"/>
        </w:rPr>
        <w:t>la jako nástroj hodnocení od školního roku</w:t>
      </w:r>
      <w:r w:rsidR="00E23A24">
        <w:rPr>
          <w:szCs w:val="24"/>
        </w:rPr>
        <w:t xml:space="preserve"> 2010/2011 </w:t>
      </w:r>
      <w:r w:rsidR="006C14F4">
        <w:rPr>
          <w:szCs w:val="24"/>
        </w:rPr>
        <w:t xml:space="preserve">realizována </w:t>
      </w:r>
      <w:r w:rsidR="00E23A24">
        <w:rPr>
          <w:szCs w:val="24"/>
        </w:rPr>
        <w:t>s</w:t>
      </w:r>
      <w:r w:rsidR="00CF4D0D">
        <w:rPr>
          <w:szCs w:val="24"/>
        </w:rPr>
        <w:t>polečná část maturitní zkoušky</w:t>
      </w:r>
      <w:r w:rsidR="006C14F4">
        <w:rPr>
          <w:szCs w:val="24"/>
        </w:rPr>
        <w:t>.</w:t>
      </w:r>
      <w:r w:rsidR="00D15EA1" w:rsidRPr="00B7524F">
        <w:rPr>
          <w:szCs w:val="24"/>
        </w:rPr>
        <w:t xml:space="preserve"> MŠMT její cíle stanovené v DZ 2011</w:t>
      </w:r>
      <w:r w:rsidR="00D17AE0">
        <w:rPr>
          <w:szCs w:val="24"/>
        </w:rPr>
        <w:t>–</w:t>
      </w:r>
      <w:r w:rsidR="00D15EA1" w:rsidRPr="00B7524F">
        <w:rPr>
          <w:szCs w:val="24"/>
        </w:rPr>
        <w:t xml:space="preserve">2015 naplnilo </w:t>
      </w:r>
      <w:r>
        <w:rPr>
          <w:szCs w:val="24"/>
        </w:rPr>
        <w:t>jen částečně – MŠMT nezavedlo do roku 2014 povinnou maturitní zkoušku (dále také „MZ“) z matematiky ve vybraných oborech vzdělání</w:t>
      </w:r>
      <w:r w:rsidRPr="00B7524F">
        <w:rPr>
          <w:szCs w:val="24"/>
        </w:rPr>
        <w:t xml:space="preserve"> </w:t>
      </w:r>
      <w:r>
        <w:rPr>
          <w:szCs w:val="24"/>
        </w:rPr>
        <w:t xml:space="preserve">a </w:t>
      </w:r>
      <w:r w:rsidR="00DC41B2">
        <w:rPr>
          <w:szCs w:val="24"/>
        </w:rPr>
        <w:t xml:space="preserve">nezajistilo </w:t>
      </w:r>
      <w:r>
        <w:rPr>
          <w:szCs w:val="24"/>
        </w:rPr>
        <w:t>srovnatelnost</w:t>
      </w:r>
      <w:r w:rsidR="00DC41B2" w:rsidRPr="00DC41B2">
        <w:rPr>
          <w:szCs w:val="24"/>
        </w:rPr>
        <w:t xml:space="preserve"> </w:t>
      </w:r>
      <w:r w:rsidR="00CF4D0D">
        <w:rPr>
          <w:szCs w:val="24"/>
        </w:rPr>
        <w:t>a objektivnost výsledků společné části maturitní zkoušky</w:t>
      </w:r>
      <w:r w:rsidR="00080CB8">
        <w:rPr>
          <w:szCs w:val="24"/>
        </w:rPr>
        <w:t xml:space="preserve"> v uvedeném období</w:t>
      </w:r>
      <w:r>
        <w:rPr>
          <w:szCs w:val="24"/>
        </w:rPr>
        <w:t xml:space="preserve">. Dále </w:t>
      </w:r>
      <w:r w:rsidR="00695718" w:rsidRPr="00B7524F">
        <w:rPr>
          <w:szCs w:val="24"/>
        </w:rPr>
        <w:t xml:space="preserve">nebyly zohledňovány </w:t>
      </w:r>
      <w:r w:rsidR="00CF4D0D">
        <w:rPr>
          <w:szCs w:val="24"/>
        </w:rPr>
        <w:t>výsledky společné části maturitní zkoušky</w:t>
      </w:r>
      <w:r w:rsidR="00D15EA1" w:rsidRPr="00B7524F">
        <w:rPr>
          <w:szCs w:val="24"/>
        </w:rPr>
        <w:t xml:space="preserve"> </w:t>
      </w:r>
      <w:r w:rsidR="00695718">
        <w:rPr>
          <w:szCs w:val="24"/>
        </w:rPr>
        <w:t>vysokými školami (dále také „VŠ“)</w:t>
      </w:r>
      <w:r>
        <w:rPr>
          <w:szCs w:val="24"/>
        </w:rPr>
        <w:t xml:space="preserve"> v rámci přijímacího řízení. </w:t>
      </w:r>
      <w:r w:rsidR="00CF4D0D">
        <w:rPr>
          <w:szCs w:val="24"/>
        </w:rPr>
        <w:t xml:space="preserve">Nástroj </w:t>
      </w:r>
      <w:r w:rsidR="00CF4D0D" w:rsidRPr="003C736E">
        <w:rPr>
          <w:lang w:eastAsia="cs-CZ"/>
        </w:rPr>
        <w:t>jednotné přijímací zkoušky na střední školy</w:t>
      </w:r>
      <w:r w:rsidR="00CF4D0D">
        <w:rPr>
          <w:lang w:eastAsia="cs-CZ"/>
        </w:rPr>
        <w:t xml:space="preserve"> s maturitní zkouškou</w:t>
      </w:r>
      <w:r w:rsidR="00A3753F" w:rsidRPr="00B7524F">
        <w:rPr>
          <w:szCs w:val="24"/>
        </w:rPr>
        <w:t xml:space="preserve"> bude zaveden až od školního roku 2016/2017.</w:t>
      </w:r>
    </w:p>
    <w:p w14:paraId="711E54AE" w14:textId="2C253E55" w:rsidR="00D15EA1" w:rsidRPr="00B7524F" w:rsidRDefault="006C14F4">
      <w:pPr>
        <w:spacing w:line="240" w:lineRule="auto"/>
        <w:jc w:val="both"/>
        <w:rPr>
          <w:szCs w:val="24"/>
        </w:rPr>
      </w:pPr>
      <w:r>
        <w:rPr>
          <w:szCs w:val="24"/>
        </w:rPr>
        <w:t>V českém školství tak p</w:t>
      </w:r>
      <w:r w:rsidR="00D15EA1" w:rsidRPr="00156FD5">
        <w:rPr>
          <w:szCs w:val="24"/>
        </w:rPr>
        <w:t>řetrvává absence</w:t>
      </w:r>
      <w:r w:rsidR="00D15EA1" w:rsidRPr="00F25069">
        <w:rPr>
          <w:szCs w:val="24"/>
        </w:rPr>
        <w:t xml:space="preserve"> pravidelné</w:t>
      </w:r>
      <w:r w:rsidR="00D15EA1" w:rsidRPr="00B7524F">
        <w:rPr>
          <w:szCs w:val="24"/>
        </w:rPr>
        <w:t xml:space="preserve"> zpětné vazby</w:t>
      </w:r>
      <w:r w:rsidR="001E5AAA">
        <w:rPr>
          <w:szCs w:val="24"/>
        </w:rPr>
        <w:t xml:space="preserve"> o kvalitě dosahovaného vzdělá</w:t>
      </w:r>
      <w:r w:rsidR="00D15EA1" w:rsidRPr="00B7524F">
        <w:rPr>
          <w:szCs w:val="24"/>
        </w:rPr>
        <w:t>ní</w:t>
      </w:r>
      <w:r w:rsidR="007A4D6B">
        <w:rPr>
          <w:szCs w:val="24"/>
        </w:rPr>
        <w:t>, a to</w:t>
      </w:r>
      <w:r w:rsidR="00D15EA1" w:rsidRPr="00B7524F">
        <w:rPr>
          <w:szCs w:val="24"/>
        </w:rPr>
        <w:t xml:space="preserve"> jak pro subjekty odpovědné za zajištění vzdělávání</w:t>
      </w:r>
      <w:r w:rsidR="007A4D6B">
        <w:rPr>
          <w:szCs w:val="24"/>
        </w:rPr>
        <w:t>,</w:t>
      </w:r>
      <w:r w:rsidR="00D15EA1" w:rsidRPr="00B7524F">
        <w:rPr>
          <w:szCs w:val="24"/>
        </w:rPr>
        <w:t xml:space="preserve"> tak pro další zainteresované skupiny zapojené do systému vzdělávání</w:t>
      </w:r>
      <w:r w:rsidR="00502826">
        <w:rPr>
          <w:szCs w:val="24"/>
        </w:rPr>
        <w:t>,</w:t>
      </w:r>
      <w:r w:rsidR="00D15EA1" w:rsidRPr="00B7524F">
        <w:rPr>
          <w:szCs w:val="24"/>
        </w:rPr>
        <w:t xml:space="preserve"> </w:t>
      </w:r>
      <w:r w:rsidR="00CB391C">
        <w:rPr>
          <w:szCs w:val="24"/>
        </w:rPr>
        <w:t>tj. takové vazby, pomocí které by bylo m</w:t>
      </w:r>
      <w:r w:rsidR="00502826">
        <w:rPr>
          <w:szCs w:val="24"/>
        </w:rPr>
        <w:t xml:space="preserve">ožné </w:t>
      </w:r>
      <w:r w:rsidR="00592E5D">
        <w:rPr>
          <w:szCs w:val="24"/>
        </w:rPr>
        <w:t xml:space="preserve">lépe </w:t>
      </w:r>
      <w:r w:rsidR="00D15EA1" w:rsidRPr="00B7524F">
        <w:rPr>
          <w:szCs w:val="24"/>
        </w:rPr>
        <w:t xml:space="preserve">vyhodnocovat efektivnost </w:t>
      </w:r>
      <w:r w:rsidR="00241D32" w:rsidRPr="00B7524F">
        <w:rPr>
          <w:szCs w:val="24"/>
        </w:rPr>
        <w:t xml:space="preserve">prostředků </w:t>
      </w:r>
      <w:r w:rsidR="00D15EA1" w:rsidRPr="00B7524F">
        <w:rPr>
          <w:szCs w:val="24"/>
        </w:rPr>
        <w:t xml:space="preserve">vynakládaných </w:t>
      </w:r>
      <w:r w:rsidR="00241D32" w:rsidRPr="00B7524F">
        <w:rPr>
          <w:szCs w:val="24"/>
        </w:rPr>
        <w:t xml:space="preserve">každoročně </w:t>
      </w:r>
      <w:r w:rsidR="00241D32">
        <w:rPr>
          <w:szCs w:val="24"/>
        </w:rPr>
        <w:t>na</w:t>
      </w:r>
      <w:r w:rsidR="00D15EA1" w:rsidRPr="00B7524F">
        <w:rPr>
          <w:szCs w:val="24"/>
        </w:rPr>
        <w:t xml:space="preserve"> systém vzdělávání. Tato absence </w:t>
      </w:r>
      <w:r w:rsidR="00D12CEA">
        <w:rPr>
          <w:szCs w:val="24"/>
        </w:rPr>
        <w:t xml:space="preserve">zpětné vazby </w:t>
      </w:r>
      <w:r w:rsidR="00C30D5D">
        <w:rPr>
          <w:szCs w:val="24"/>
        </w:rPr>
        <w:t>může mít</w:t>
      </w:r>
      <w:r w:rsidR="00D15EA1" w:rsidRPr="00B7524F">
        <w:rPr>
          <w:szCs w:val="24"/>
        </w:rPr>
        <w:t xml:space="preserve"> </w:t>
      </w:r>
      <w:r w:rsidR="00D12CEA">
        <w:rPr>
          <w:szCs w:val="24"/>
        </w:rPr>
        <w:t xml:space="preserve">negativní </w:t>
      </w:r>
      <w:r w:rsidR="00D15EA1" w:rsidRPr="00B7524F">
        <w:rPr>
          <w:szCs w:val="24"/>
        </w:rPr>
        <w:t>vliv na motivaci jednotlivých škol zvyšovat kvalitu poskytovaného vzdělávání</w:t>
      </w:r>
      <w:r w:rsidR="00952BCB">
        <w:rPr>
          <w:szCs w:val="24"/>
        </w:rPr>
        <w:t xml:space="preserve">. </w:t>
      </w:r>
      <w:r w:rsidR="00C314C1">
        <w:rPr>
          <w:szCs w:val="24"/>
        </w:rPr>
        <w:t>M</w:t>
      </w:r>
      <w:r w:rsidR="00D15EA1" w:rsidRPr="00B7524F">
        <w:rPr>
          <w:szCs w:val="24"/>
        </w:rPr>
        <w:t xml:space="preserve">otivaci nepodporuje ani systém financování regionálního školství, který kvalitativní ukazatele při financování </w:t>
      </w:r>
      <w:r w:rsidR="00473141">
        <w:rPr>
          <w:szCs w:val="24"/>
        </w:rPr>
        <w:t xml:space="preserve">dosud </w:t>
      </w:r>
      <w:r w:rsidR="00D15EA1" w:rsidRPr="00B7524F">
        <w:rPr>
          <w:szCs w:val="24"/>
        </w:rPr>
        <w:t>nezohledňuje.</w:t>
      </w:r>
    </w:p>
    <w:p w14:paraId="33A37FBD" w14:textId="1F90D694" w:rsidR="005C5AB8" w:rsidRPr="0099119E" w:rsidRDefault="00CD0161" w:rsidP="005C5AB8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NKÚ doporučuje MŠMT</w:t>
      </w:r>
      <w:r w:rsidRPr="0099119E">
        <w:rPr>
          <w:b/>
          <w:szCs w:val="24"/>
        </w:rPr>
        <w:t xml:space="preserve"> </w:t>
      </w:r>
      <w:r w:rsidR="005F044A">
        <w:rPr>
          <w:b/>
          <w:szCs w:val="24"/>
        </w:rPr>
        <w:t xml:space="preserve">přijmout </w:t>
      </w:r>
      <w:r>
        <w:rPr>
          <w:b/>
          <w:szCs w:val="24"/>
        </w:rPr>
        <w:t>opatření k zajištění efektivnosti</w:t>
      </w:r>
      <w:r w:rsidR="00C200A8">
        <w:rPr>
          <w:b/>
          <w:szCs w:val="24"/>
        </w:rPr>
        <w:t xml:space="preserve"> </w:t>
      </w:r>
      <w:r>
        <w:rPr>
          <w:b/>
          <w:szCs w:val="24"/>
        </w:rPr>
        <w:t xml:space="preserve">výdajů, které jsou každoročně v řádu desítek miliard </w:t>
      </w:r>
      <w:r w:rsidR="00241D32">
        <w:rPr>
          <w:b/>
          <w:szCs w:val="24"/>
        </w:rPr>
        <w:t xml:space="preserve">korun </w:t>
      </w:r>
      <w:r>
        <w:rPr>
          <w:b/>
          <w:szCs w:val="24"/>
        </w:rPr>
        <w:t xml:space="preserve">realizovány prostřednictvím účelové dotace regionálnímu školství pro zajištění úkolů základního a středního stupně vzdělávání. Zejména se jedná o opatření zavést a používat </w:t>
      </w:r>
      <w:r w:rsidRPr="00C628B4">
        <w:rPr>
          <w:b/>
          <w:i/>
          <w:szCs w:val="24"/>
        </w:rPr>
        <w:t>nástroje hodnocení kvality vzdělávání</w:t>
      </w:r>
      <w:r>
        <w:rPr>
          <w:b/>
          <w:szCs w:val="24"/>
        </w:rPr>
        <w:t>, kter</w:t>
      </w:r>
      <w:r w:rsidR="00241D32">
        <w:rPr>
          <w:b/>
          <w:szCs w:val="24"/>
        </w:rPr>
        <w:t>é</w:t>
      </w:r>
      <w:r>
        <w:rPr>
          <w:b/>
          <w:szCs w:val="24"/>
        </w:rPr>
        <w:t xml:space="preserve"> </w:t>
      </w:r>
      <w:r w:rsidR="005C5AB8">
        <w:rPr>
          <w:b/>
          <w:szCs w:val="24"/>
        </w:rPr>
        <w:t xml:space="preserve">podají </w:t>
      </w:r>
      <w:r>
        <w:rPr>
          <w:b/>
          <w:szCs w:val="24"/>
        </w:rPr>
        <w:t>zpětnou</w:t>
      </w:r>
      <w:r w:rsidRPr="0099119E">
        <w:rPr>
          <w:b/>
          <w:szCs w:val="24"/>
        </w:rPr>
        <w:t xml:space="preserve"> vazbu o úrovn</w:t>
      </w:r>
      <w:r>
        <w:rPr>
          <w:b/>
          <w:szCs w:val="24"/>
        </w:rPr>
        <w:t>i</w:t>
      </w:r>
      <w:r w:rsidRPr="0099119E">
        <w:rPr>
          <w:b/>
          <w:szCs w:val="24"/>
        </w:rPr>
        <w:t xml:space="preserve"> kvality poskytovaného </w:t>
      </w:r>
      <w:r>
        <w:rPr>
          <w:b/>
          <w:szCs w:val="24"/>
        </w:rPr>
        <w:t xml:space="preserve">základního a středního </w:t>
      </w:r>
      <w:r w:rsidRPr="0099119E">
        <w:rPr>
          <w:b/>
          <w:szCs w:val="24"/>
        </w:rPr>
        <w:t>vzdělávání</w:t>
      </w:r>
      <w:r w:rsidR="005C5AB8">
        <w:rPr>
          <w:b/>
          <w:szCs w:val="24"/>
        </w:rPr>
        <w:t xml:space="preserve"> jak školám, tak veřejnosti. Taková zpětná vazba je </w:t>
      </w:r>
      <w:r w:rsidR="005F044A">
        <w:rPr>
          <w:b/>
          <w:szCs w:val="24"/>
        </w:rPr>
        <w:t xml:space="preserve">jedním z předpokladů </w:t>
      </w:r>
      <w:r w:rsidR="005C5AB8">
        <w:rPr>
          <w:b/>
          <w:szCs w:val="24"/>
        </w:rPr>
        <w:t>ke zlepšení výsledků žáků</w:t>
      </w:r>
      <w:r w:rsidR="00241D32">
        <w:rPr>
          <w:b/>
          <w:szCs w:val="24"/>
        </w:rPr>
        <w:t>,</w:t>
      </w:r>
      <w:r w:rsidR="005C5AB8">
        <w:rPr>
          <w:b/>
          <w:szCs w:val="24"/>
        </w:rPr>
        <w:t xml:space="preserve"> a </w:t>
      </w:r>
      <w:r w:rsidR="00241D32">
        <w:rPr>
          <w:b/>
          <w:szCs w:val="24"/>
        </w:rPr>
        <w:t>tedy</w:t>
      </w:r>
      <w:r w:rsidR="005C5AB8">
        <w:rPr>
          <w:b/>
          <w:szCs w:val="24"/>
        </w:rPr>
        <w:t xml:space="preserve"> i </w:t>
      </w:r>
      <w:r w:rsidR="005C5AB8" w:rsidRPr="0099119E">
        <w:rPr>
          <w:b/>
          <w:szCs w:val="24"/>
        </w:rPr>
        <w:t>efektiv</w:t>
      </w:r>
      <w:r w:rsidR="005C5AB8">
        <w:rPr>
          <w:b/>
          <w:szCs w:val="24"/>
        </w:rPr>
        <w:t>nosti</w:t>
      </w:r>
      <w:r w:rsidR="005C5AB8" w:rsidRPr="0099119E">
        <w:rPr>
          <w:b/>
          <w:szCs w:val="24"/>
        </w:rPr>
        <w:t xml:space="preserve"> výdajů</w:t>
      </w:r>
      <w:r w:rsidR="005C5AB8">
        <w:rPr>
          <w:b/>
          <w:szCs w:val="24"/>
        </w:rPr>
        <w:t xml:space="preserve"> státního rozpočtu, kterými se MŠMT na zabezpečení cílů vzdělávání </w:t>
      </w:r>
      <w:r w:rsidR="006A6204">
        <w:rPr>
          <w:b/>
          <w:szCs w:val="24"/>
        </w:rPr>
        <w:t xml:space="preserve">významně </w:t>
      </w:r>
      <w:r w:rsidR="005C5AB8">
        <w:rPr>
          <w:b/>
          <w:szCs w:val="24"/>
        </w:rPr>
        <w:t xml:space="preserve">podílí. </w:t>
      </w:r>
    </w:p>
    <w:p w14:paraId="22683820" w14:textId="77777777" w:rsidR="00370C7F" w:rsidRPr="003610DB" w:rsidRDefault="00370C7F" w:rsidP="00E418AE">
      <w:pPr>
        <w:spacing w:line="240" w:lineRule="auto"/>
        <w:jc w:val="both"/>
      </w:pPr>
    </w:p>
    <w:p w14:paraId="133DDB86" w14:textId="77777777" w:rsidR="004F5B3B" w:rsidRDefault="00000ED2" w:rsidP="0052651A">
      <w:pPr>
        <w:pStyle w:val="Nadpis2"/>
        <w:numPr>
          <w:ilvl w:val="0"/>
          <w:numId w:val="11"/>
        </w:numPr>
        <w:spacing w:before="120" w:after="120" w:line="240" w:lineRule="auto"/>
        <w:rPr>
          <w:szCs w:val="24"/>
        </w:rPr>
      </w:pPr>
      <w:r w:rsidRPr="00B7524F">
        <w:rPr>
          <w:szCs w:val="24"/>
        </w:rPr>
        <w:t>Shrnutí</w:t>
      </w:r>
    </w:p>
    <w:p w14:paraId="471B6A7D" w14:textId="1284BC9E" w:rsidR="00885596" w:rsidRDefault="00885596" w:rsidP="0052651A">
      <w:pPr>
        <w:pStyle w:val="Nadpis2"/>
        <w:numPr>
          <w:ilvl w:val="0"/>
          <w:numId w:val="2"/>
        </w:numPr>
        <w:spacing w:after="120" w:line="240" w:lineRule="auto"/>
      </w:pPr>
      <w:r>
        <w:t>MŠMT nezavedlo pravidelné celoplošné ověřování kvality vzdělávání v uzlových bodech základního vzdělává</w:t>
      </w:r>
      <w:r w:rsidR="00CF0C92">
        <w:t>ní</w:t>
      </w:r>
      <w:r w:rsidR="00241D32">
        <w:t>,</w:t>
      </w:r>
      <w:r w:rsidR="00CF0C92">
        <w:t xml:space="preserve"> a nenaplnilo t</w:t>
      </w:r>
      <w:r w:rsidR="00241D32">
        <w:t>udíž</w:t>
      </w:r>
      <w:r w:rsidR="00CF0C92">
        <w:t xml:space="preserve"> cíl DZ 2011</w:t>
      </w:r>
      <w:r w:rsidR="00D17AE0">
        <w:t>–</w:t>
      </w:r>
      <w:r>
        <w:t xml:space="preserve">2015. </w:t>
      </w:r>
    </w:p>
    <w:p w14:paraId="01D109D7" w14:textId="5EE4CFF3" w:rsidR="00885596" w:rsidRDefault="00885596" w:rsidP="00885596">
      <w:pPr>
        <w:spacing w:line="240" w:lineRule="auto"/>
        <w:jc w:val="both"/>
      </w:pPr>
      <w:r>
        <w:t>MŠMT plánovalo na základě jednoho z</w:t>
      </w:r>
      <w:r w:rsidR="009742DD">
        <w:t> </w:t>
      </w:r>
      <w:r>
        <w:t>cílů</w:t>
      </w:r>
      <w:r w:rsidR="009742DD">
        <w:t xml:space="preserve"> </w:t>
      </w:r>
      <w:r>
        <w:t>DZ 2011</w:t>
      </w:r>
      <w:r w:rsidR="00D17AE0">
        <w:t>–</w:t>
      </w:r>
      <w:r>
        <w:t xml:space="preserve">2015 schváleného vládou zavést od školního roku 2012/2013 </w:t>
      </w:r>
      <w:r w:rsidRPr="003C42E9">
        <w:rPr>
          <w:b/>
        </w:rPr>
        <w:t>celoplošné každoroční ověřování</w:t>
      </w:r>
      <w:r>
        <w:t xml:space="preserve"> výsledků žáků ZŠ v uzlových </w:t>
      </w:r>
      <w:r>
        <w:lastRenderedPageBreak/>
        <w:t>bodech</w:t>
      </w:r>
      <w:r w:rsidR="009742DD">
        <w:t>, tj.</w:t>
      </w:r>
      <w:r>
        <w:t xml:space="preserve"> v 5. a 9. ročníku</w:t>
      </w:r>
      <w:r>
        <w:rPr>
          <w:rStyle w:val="Znakapoznpodarou"/>
        </w:rPr>
        <w:footnoteReference w:id="16"/>
      </w:r>
      <w:r>
        <w:t xml:space="preserve">. Každý žák, jeho zákonný zástupce, učitelé a školy měli dostat zpětnou vazbu o tom, nakolik žáci dosahují ve vzdělávání minimálních požadovaných znalostí. V roce 2013 MŠMT </w:t>
      </w:r>
      <w:r w:rsidR="00DC41B2">
        <w:t>v rozporu s DZ 2011</w:t>
      </w:r>
      <w:r w:rsidR="00EB18E5">
        <w:t>–</w:t>
      </w:r>
      <w:r w:rsidR="00DC41B2">
        <w:t xml:space="preserve">2015 </w:t>
      </w:r>
      <w:r>
        <w:t xml:space="preserve">od tohoto záměru upustilo a nově přistoupilo k záměru realizovat </w:t>
      </w:r>
      <w:r>
        <w:rPr>
          <w:b/>
        </w:rPr>
        <w:t>celoplošné</w:t>
      </w:r>
      <w:r w:rsidRPr="003C42E9">
        <w:rPr>
          <w:b/>
        </w:rPr>
        <w:t xml:space="preserve"> ověřování pouze</w:t>
      </w:r>
      <w:r>
        <w:t xml:space="preserve"> </w:t>
      </w:r>
      <w:r w:rsidRPr="003C42E9">
        <w:rPr>
          <w:b/>
        </w:rPr>
        <w:t>ve čtyřletém intervalu</w:t>
      </w:r>
      <w:r w:rsidR="00592E5D">
        <w:rPr>
          <w:b/>
        </w:rPr>
        <w:t>.</w:t>
      </w:r>
      <w:r>
        <w:rPr>
          <w:b/>
        </w:rPr>
        <w:t xml:space="preserve"> </w:t>
      </w:r>
      <w:r w:rsidR="00592E5D">
        <w:t>Z</w:t>
      </w:r>
      <w:r>
        <w:t xml:space="preserve">ástupci krajů a školských asociací s tímto záměrem nesouhlasili. V roce 2015 schválila vláda </w:t>
      </w:r>
      <w:r w:rsidR="00737756" w:rsidRPr="00737756">
        <w:rPr>
          <w:i/>
        </w:rPr>
        <w:t>Dlouhodobý záměr vzdělávání a rozvoje vzdělávací soustavy 2015</w:t>
      </w:r>
      <w:r w:rsidR="00D17AE0">
        <w:rPr>
          <w:i/>
        </w:rPr>
        <w:t>–</w:t>
      </w:r>
      <w:r w:rsidR="00737756" w:rsidRPr="00737756">
        <w:rPr>
          <w:i/>
        </w:rPr>
        <w:t>2020</w:t>
      </w:r>
      <w:r w:rsidR="00737756">
        <w:t xml:space="preserve"> (dále </w:t>
      </w:r>
      <w:r w:rsidR="00010DE4">
        <w:t>také</w:t>
      </w:r>
      <w:r w:rsidR="00737756">
        <w:t xml:space="preserve"> </w:t>
      </w:r>
      <w:r w:rsidR="00D17AE0">
        <w:br/>
      </w:r>
      <w:r w:rsidR="00737756">
        <w:t>„</w:t>
      </w:r>
      <w:r>
        <w:t>DZ 2015</w:t>
      </w:r>
      <w:r w:rsidR="00D17AE0">
        <w:t>–</w:t>
      </w:r>
      <w:r>
        <w:t>2020</w:t>
      </w:r>
      <w:r w:rsidR="00737756">
        <w:t>“)</w:t>
      </w:r>
      <w:r>
        <w:t xml:space="preserve">, ve kterém MŠMT </w:t>
      </w:r>
      <w:r w:rsidR="00DC41B2">
        <w:t xml:space="preserve">ověřování výsledků žáků ZŠ </w:t>
      </w:r>
      <w:r w:rsidR="00991E17">
        <w:t>v uzlových bodech dále zúžilo</w:t>
      </w:r>
      <w:r w:rsidR="009742DD">
        <w:t>,</w:t>
      </w:r>
      <w:r w:rsidR="008F1AEE">
        <w:t xml:space="preserve"> a</w:t>
      </w:r>
      <w:r w:rsidR="009742DD">
        <w:t xml:space="preserve"> </w:t>
      </w:r>
      <w:r w:rsidR="00991E17">
        <w:rPr>
          <w:b/>
        </w:rPr>
        <w:t>o</w:t>
      </w:r>
      <w:r w:rsidRPr="00991E17">
        <w:rPr>
          <w:b/>
        </w:rPr>
        <w:t>věřován</w:t>
      </w:r>
      <w:r w:rsidRPr="003C42E9">
        <w:rPr>
          <w:b/>
        </w:rPr>
        <w:t xml:space="preserve">í </w:t>
      </w:r>
      <w:r w:rsidR="00991E17">
        <w:rPr>
          <w:b/>
        </w:rPr>
        <w:t xml:space="preserve">má probíhat </w:t>
      </w:r>
      <w:r w:rsidRPr="003C42E9">
        <w:rPr>
          <w:b/>
        </w:rPr>
        <w:t>pouze</w:t>
      </w:r>
      <w:r>
        <w:t xml:space="preserve"> </w:t>
      </w:r>
      <w:r w:rsidRPr="003C42E9">
        <w:rPr>
          <w:b/>
        </w:rPr>
        <w:t>na výběrovém vzorku ve čtyřletém intervalu</w:t>
      </w:r>
      <w:r w:rsidRPr="00C628B4">
        <w:rPr>
          <w:b/>
        </w:rPr>
        <w:t>.</w:t>
      </w:r>
      <w:r>
        <w:t xml:space="preserve"> </w:t>
      </w:r>
    </w:p>
    <w:p w14:paraId="4B733B12" w14:textId="572531D9" w:rsidR="00885596" w:rsidRPr="00B13E65" w:rsidRDefault="00991E17" w:rsidP="00885596">
      <w:pPr>
        <w:spacing w:line="240" w:lineRule="auto"/>
        <w:jc w:val="both"/>
      </w:pPr>
      <w:r>
        <w:t>C</w:t>
      </w:r>
      <w:r w:rsidR="00885596">
        <w:t xml:space="preserve">íl </w:t>
      </w:r>
      <w:r>
        <w:t>DZ 2011</w:t>
      </w:r>
      <w:r w:rsidR="00AC61D5">
        <w:t>–</w:t>
      </w:r>
      <w:r>
        <w:t xml:space="preserve">2015 </w:t>
      </w:r>
      <w:r w:rsidR="00885596">
        <w:t xml:space="preserve">MŠMT </w:t>
      </w:r>
      <w:r w:rsidR="00885596" w:rsidRPr="009901B1">
        <w:t>nenaplnilo</w:t>
      </w:r>
      <w:r>
        <w:t>.</w:t>
      </w:r>
      <w:r w:rsidR="00885596">
        <w:t xml:space="preserve"> </w:t>
      </w:r>
      <w:r>
        <w:t xml:space="preserve">V kontrolovaném období tak MŠMT </w:t>
      </w:r>
      <w:r w:rsidR="00885596">
        <w:t>ne</w:t>
      </w:r>
      <w:r>
        <w:t>respektovalo</w:t>
      </w:r>
      <w:r w:rsidR="00885596">
        <w:t xml:space="preserve"> úkol stanovený vládou</w:t>
      </w:r>
      <w:r>
        <w:t xml:space="preserve"> a přetrvávala</w:t>
      </w:r>
      <w:r w:rsidR="00885596">
        <w:t xml:space="preserve"> absence pravidelné zpětné vazby v podobě objektivních informací o dosahovaných znalostech všech žáků v uzlových bodech základního vzdělávání. Přitom pro potřeby mj. celoplošného každoročního ověřování znalostí žáků byl vyvinut informační systém, s jehož pořízením jsou spojeny výdaje ve výši 116,1 mil. Kč</w:t>
      </w:r>
      <w:r w:rsidR="005A6B60">
        <w:t xml:space="preserve"> (viz bod 2</w:t>
      </w:r>
      <w:r w:rsidR="00885596">
        <w:t>).</w:t>
      </w:r>
    </w:p>
    <w:p w14:paraId="1EAE03B3" w14:textId="48F62959" w:rsidR="00C30D5D" w:rsidRDefault="00C30D5D" w:rsidP="000B41EE">
      <w:pPr>
        <w:pStyle w:val="Nadpis2"/>
        <w:numPr>
          <w:ilvl w:val="0"/>
          <w:numId w:val="2"/>
        </w:numPr>
        <w:spacing w:after="120" w:line="240" w:lineRule="auto"/>
      </w:pPr>
      <w:r>
        <w:t>Výda</w:t>
      </w:r>
      <w:r w:rsidR="000B41EE">
        <w:t>je na nástroje hodnocení</w:t>
      </w:r>
      <w:r w:rsidR="005A04A5">
        <w:t xml:space="preserve"> </w:t>
      </w:r>
      <w:r w:rsidR="00EB18E5">
        <w:t>–</w:t>
      </w:r>
      <w:r w:rsidR="009742DD">
        <w:t xml:space="preserve"> tj. na</w:t>
      </w:r>
      <w:r>
        <w:t xml:space="preserve"> </w:t>
      </w:r>
      <w:r w:rsidR="00C20554">
        <w:t xml:space="preserve">ověřování výsledků žáků 5. a 9. tříd ZŠ a </w:t>
      </w:r>
      <w:r w:rsidR="009742DD">
        <w:t xml:space="preserve">na </w:t>
      </w:r>
      <w:r w:rsidR="000B41EE">
        <w:t>společn</w:t>
      </w:r>
      <w:r w:rsidR="009742DD">
        <w:t>ou</w:t>
      </w:r>
      <w:r w:rsidR="000B41EE">
        <w:t xml:space="preserve"> část maturitní zkoušky</w:t>
      </w:r>
      <w:r w:rsidR="00017650">
        <w:t xml:space="preserve"> </w:t>
      </w:r>
      <w:r w:rsidR="00EB18E5">
        <w:t>–</w:t>
      </w:r>
      <w:r w:rsidR="00C20554">
        <w:t xml:space="preserve"> </w:t>
      </w:r>
      <w:r>
        <w:t>nebyly do doby ukončení kontroly realizovány</w:t>
      </w:r>
      <w:r w:rsidR="00C20554">
        <w:t xml:space="preserve"> vždy</w:t>
      </w:r>
      <w:r>
        <w:t xml:space="preserve"> účelným a efektivním způsobem.</w:t>
      </w:r>
    </w:p>
    <w:p w14:paraId="14D0B290" w14:textId="7428004F" w:rsidR="00C30D5D" w:rsidRPr="003D4AEC" w:rsidRDefault="00CF0C92" w:rsidP="008F1AEE">
      <w:pPr>
        <w:jc w:val="both"/>
      </w:pPr>
      <w:r>
        <w:t>Na přípravu, zavedení</w:t>
      </w:r>
      <w:r w:rsidR="00C30D5D">
        <w:t xml:space="preserve"> a realizaci </w:t>
      </w:r>
      <w:r w:rsidR="00C20554">
        <w:t xml:space="preserve">kontrolovaných </w:t>
      </w:r>
      <w:r w:rsidR="00C30D5D">
        <w:t xml:space="preserve">nástrojů hodnocení </w:t>
      </w:r>
      <w:r w:rsidR="00C20554">
        <w:t xml:space="preserve">(ověřování 5. a 9. tříd, SMZ, JPZ) </w:t>
      </w:r>
      <w:r w:rsidR="00C30D5D">
        <w:t>bylo v období od ledna 2011 do září 2016 vynaloženo celkem 1 179,1 mil. Kč.</w:t>
      </w:r>
      <w:r w:rsidR="005A04A5">
        <w:t xml:space="preserve"> NKÚ zjistil pochybení při vynakládání peněžních prostředků zejména v následujících případech:</w:t>
      </w:r>
      <w:r w:rsidR="00094336">
        <w:t xml:space="preserve"> </w:t>
      </w:r>
    </w:p>
    <w:p w14:paraId="255EEB32" w14:textId="77777777" w:rsidR="00C30D5D" w:rsidRDefault="00C30D5D" w:rsidP="00C30D5D">
      <w:pPr>
        <w:spacing w:line="240" w:lineRule="auto"/>
        <w:jc w:val="both"/>
        <w:rPr>
          <w:u w:val="single"/>
        </w:rPr>
      </w:pPr>
      <w:r w:rsidRPr="000A7106">
        <w:rPr>
          <w:u w:val="single"/>
        </w:rPr>
        <w:t>Ověřování výsledků žáků 5</w:t>
      </w:r>
      <w:r>
        <w:rPr>
          <w:u w:val="single"/>
        </w:rPr>
        <w:t>. a 9. tříd ZŠ</w:t>
      </w:r>
    </w:p>
    <w:p w14:paraId="4571AF6F" w14:textId="3832FCE6" w:rsidR="00C30D5D" w:rsidRPr="000A7106" w:rsidRDefault="00C30D5D" w:rsidP="00C30D5D">
      <w:pPr>
        <w:spacing w:line="240" w:lineRule="auto"/>
        <w:jc w:val="both"/>
        <w:rPr>
          <w:u w:val="single"/>
        </w:rPr>
      </w:pPr>
      <w:r>
        <w:t xml:space="preserve">Za účelem přípravy nástroje hodnocení – ověřování 5. a 9. tříd – realizovalo MŠMT dvě VZ malého rozsahu (dále </w:t>
      </w:r>
      <w:r w:rsidR="00010DE4">
        <w:t xml:space="preserve">také </w:t>
      </w:r>
      <w:r>
        <w:t>„VZMR“), za jejichž plnění vynalož</w:t>
      </w:r>
      <w:r w:rsidR="00CA05B0">
        <w:t>ilo 2,6 mil. Kč vč. DPH. MŠMT u </w:t>
      </w:r>
      <w:r>
        <w:t>těchto VZ porušilo ustanovení § 18</w:t>
      </w:r>
      <w:r w:rsidRPr="009F2E7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zákona</w:t>
      </w:r>
      <w:r w:rsidRPr="00D83180">
        <w:rPr>
          <w:rFonts w:cstheme="minorHAnsi"/>
          <w:szCs w:val="24"/>
        </w:rPr>
        <w:t xml:space="preserve"> č. 137/2006 Sb., o veřejných zakázkách </w:t>
      </w:r>
      <w:r w:rsidRPr="007D3E73">
        <w:rPr>
          <w:rFonts w:cstheme="minorHAnsi"/>
          <w:szCs w:val="24"/>
        </w:rPr>
        <w:t xml:space="preserve">(dále </w:t>
      </w:r>
      <w:r w:rsidR="00010DE4">
        <w:t>také</w:t>
      </w:r>
      <w:r w:rsidR="00010DE4" w:rsidRPr="007D3E73">
        <w:rPr>
          <w:rFonts w:cstheme="minorHAnsi"/>
          <w:szCs w:val="24"/>
        </w:rPr>
        <w:t xml:space="preserve"> </w:t>
      </w:r>
      <w:r w:rsidRPr="007D3E73">
        <w:rPr>
          <w:rFonts w:cstheme="minorHAnsi"/>
          <w:szCs w:val="24"/>
        </w:rPr>
        <w:t>„ZVZ“)</w:t>
      </w:r>
      <w:r>
        <w:rPr>
          <w:rFonts w:cstheme="minorHAnsi"/>
          <w:szCs w:val="24"/>
        </w:rPr>
        <w:t>, když při jejich zadávání</w:t>
      </w:r>
      <w:r>
        <w:t xml:space="preserve"> nepostupovalo </w:t>
      </w:r>
      <w:r w:rsidR="0032449C">
        <w:t xml:space="preserve">transparentním způsobem </w:t>
      </w:r>
      <w:r w:rsidRPr="00D83180">
        <w:rPr>
          <w:rFonts w:cstheme="minorHAnsi"/>
          <w:szCs w:val="24"/>
        </w:rPr>
        <w:t>v </w:t>
      </w:r>
      <w:r>
        <w:rPr>
          <w:rFonts w:cstheme="minorHAnsi"/>
          <w:szCs w:val="24"/>
        </w:rPr>
        <w:t>souladu s ustanovením § 6 ZVZ.</w:t>
      </w:r>
      <w:r>
        <w:t xml:space="preserve"> </w:t>
      </w:r>
      <w:r>
        <w:rPr>
          <w:rFonts w:cstheme="minorHAnsi"/>
          <w:szCs w:val="24"/>
        </w:rPr>
        <w:t>NKÚ toto jednání MŠMT vyhodnotil jako porušení rozpočtové kázně ve smyslu § 44 odst. 1 písm.</w:t>
      </w:r>
      <w:r w:rsidR="00D17AE0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a) zákona č. 218/2000 Sb.</w:t>
      </w:r>
      <w:r>
        <w:rPr>
          <w:rStyle w:val="Znakapoznpodarou"/>
          <w:rFonts w:cstheme="minorHAnsi"/>
          <w:szCs w:val="24"/>
        </w:rPr>
        <w:footnoteReference w:id="17"/>
      </w:r>
      <w:r w:rsidR="00040B8F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35642019" w14:textId="1C02361B" w:rsidR="00101F59" w:rsidRPr="007D3E73" w:rsidRDefault="00C30D5D" w:rsidP="00C30D5D">
      <w:pPr>
        <w:spacing w:line="240" w:lineRule="auto"/>
        <w:jc w:val="both"/>
      </w:pPr>
      <w:r>
        <w:t>Pro uvedený nástroj hodnocení ČŠI vytvořila informační systém</w:t>
      </w:r>
      <w:r w:rsidRPr="00743490">
        <w:t xml:space="preserve"> </w:t>
      </w:r>
      <w:r>
        <w:t>včetně aplikace pro mobilní telefony a tablety, na který vynaložila celkem 116,1 mil. Kč vč. DPH. Informační systém však</w:t>
      </w:r>
      <w:r w:rsidR="00040B8F">
        <w:t xml:space="preserve"> </w:t>
      </w:r>
      <w:r>
        <w:t xml:space="preserve">nesloužil v plné míře pro účely, pro které byl vyvíjen – </w:t>
      </w:r>
      <w:r w:rsidR="00040B8F">
        <w:t xml:space="preserve">nesloužil </w:t>
      </w:r>
      <w:r>
        <w:t>mj. pro celoplošné každoroční</w:t>
      </w:r>
      <w:r w:rsidR="00040B8F">
        <w:t xml:space="preserve"> </w:t>
      </w:r>
      <w:r>
        <w:t>ověřování výsledků žáků</w:t>
      </w:r>
      <w:r w:rsidRPr="00D01182">
        <w:t>. V resortu školství tak nebyly peněžní prostředky na vývoj tohoto informačního systému vynaloženy účelně.</w:t>
      </w:r>
      <w:r>
        <w:t xml:space="preserve"> Navíc </w:t>
      </w:r>
      <w:r w:rsidR="00592E5D">
        <w:t>5,5 mil. Kč z těchto</w:t>
      </w:r>
      <w:r>
        <w:t xml:space="preserve"> peněžních prostředků</w:t>
      </w:r>
      <w:r w:rsidR="00F67284">
        <w:t xml:space="preserve"> </w:t>
      </w:r>
      <w:r w:rsidR="00CA05B0">
        <w:t>– </w:t>
      </w:r>
      <w:r>
        <w:t xml:space="preserve">prostředky na vývoj aplikace pro mobilní telefony a tablety </w:t>
      </w:r>
      <w:r w:rsidR="00F06B5F">
        <w:t>–</w:t>
      </w:r>
      <w:r>
        <w:t xml:space="preserve"> vynaložila ČŠI neefektivně.</w:t>
      </w:r>
    </w:p>
    <w:p w14:paraId="5D3032B3" w14:textId="77777777" w:rsidR="00C30D5D" w:rsidRPr="007D3E73" w:rsidRDefault="00C30D5D" w:rsidP="00C30D5D">
      <w:pPr>
        <w:spacing w:line="240" w:lineRule="auto"/>
        <w:jc w:val="both"/>
        <w:rPr>
          <w:rFonts w:cstheme="minorHAnsi"/>
          <w:szCs w:val="24"/>
        </w:rPr>
      </w:pPr>
      <w:r w:rsidRPr="007D3E73">
        <w:rPr>
          <w:rFonts w:cstheme="minorHAnsi"/>
          <w:szCs w:val="24"/>
          <w:u w:val="single"/>
        </w:rPr>
        <w:t>Společná část maturitní zkoušky</w:t>
      </w:r>
    </w:p>
    <w:p w14:paraId="1D15F225" w14:textId="1BE25F3C" w:rsidR="00C30D5D" w:rsidRPr="00680C07" w:rsidRDefault="00C30D5D" w:rsidP="00C30D5D">
      <w:pPr>
        <w:spacing w:line="240" w:lineRule="auto"/>
        <w:jc w:val="both"/>
        <w:rPr>
          <w:u w:val="single"/>
        </w:rPr>
      </w:pPr>
      <w:r>
        <w:rPr>
          <w:rFonts w:cstheme="minorHAnsi"/>
          <w:szCs w:val="24"/>
        </w:rPr>
        <w:t xml:space="preserve">Do doby ukončení kontroly CZVV nezadalo </w:t>
      </w:r>
      <w:r w:rsidR="00040B8F">
        <w:rPr>
          <w:rFonts w:cstheme="minorHAnsi"/>
          <w:szCs w:val="24"/>
        </w:rPr>
        <w:t xml:space="preserve">řádným způsobem </w:t>
      </w:r>
      <w:r>
        <w:rPr>
          <w:rFonts w:cstheme="minorHAnsi"/>
          <w:szCs w:val="24"/>
        </w:rPr>
        <w:t xml:space="preserve">VZ na </w:t>
      </w:r>
      <w:r w:rsidRPr="007D3E73">
        <w:rPr>
          <w:rFonts w:cstheme="minorHAnsi"/>
          <w:szCs w:val="24"/>
        </w:rPr>
        <w:t>zajištění služeb na provoz datového centra a jeho telekomunikační infrastruktury pro SMZ</w:t>
      </w:r>
      <w:r>
        <w:rPr>
          <w:rFonts w:cstheme="minorHAnsi"/>
          <w:szCs w:val="24"/>
        </w:rPr>
        <w:t>. Služby</w:t>
      </w:r>
      <w:r w:rsidRPr="007D3E7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zajišťovalo na základě plnění ze smlouvy vzešlé z jednacího řízení bez uveřejnění (dále také „JŘBU“), které nebylo zadáno v souladu se </w:t>
      </w:r>
      <w:r w:rsidRPr="00180659">
        <w:rPr>
          <w:rFonts w:cstheme="minorHAnsi"/>
          <w:szCs w:val="24"/>
        </w:rPr>
        <w:t>ZVZ</w:t>
      </w:r>
      <w:r>
        <w:rPr>
          <w:rFonts w:cstheme="minorHAnsi"/>
          <w:szCs w:val="24"/>
        </w:rPr>
        <w:t xml:space="preserve">. NKÚ toto jednání </w:t>
      </w:r>
      <w:r w:rsidRPr="007D3E73">
        <w:rPr>
          <w:rFonts w:cstheme="minorHAnsi"/>
          <w:szCs w:val="24"/>
        </w:rPr>
        <w:t>CZVV</w:t>
      </w:r>
      <w:r>
        <w:rPr>
          <w:rFonts w:cstheme="minorHAnsi"/>
          <w:szCs w:val="24"/>
        </w:rPr>
        <w:t xml:space="preserve"> vyhodnotil jako porušení rozpočtové </w:t>
      </w:r>
      <w:r>
        <w:rPr>
          <w:rFonts w:cstheme="minorHAnsi"/>
          <w:szCs w:val="24"/>
        </w:rPr>
        <w:lastRenderedPageBreak/>
        <w:t xml:space="preserve">kázně ve </w:t>
      </w:r>
      <w:r w:rsidRPr="00680C07">
        <w:rPr>
          <w:rFonts w:cstheme="minorHAnsi"/>
          <w:szCs w:val="24"/>
        </w:rPr>
        <w:t>smyslu § 44 odst. 1 písm. a) zákona č. 218/2000 Sb. Za období plnění z uzavřené smlouvy od listopadu 2014 do září 2016 vynaložilo CZVV celkem 82,7 mil. Kč vč. DPH.</w:t>
      </w:r>
    </w:p>
    <w:p w14:paraId="6DF7253E" w14:textId="566C47D4" w:rsidR="00C30D5D" w:rsidRDefault="00C30D5D" w:rsidP="00C30D5D">
      <w:pPr>
        <w:pStyle w:val="Nadpis2"/>
        <w:numPr>
          <w:ilvl w:val="0"/>
          <w:numId w:val="2"/>
        </w:numPr>
        <w:spacing w:after="120" w:line="240" w:lineRule="auto"/>
      </w:pPr>
      <w:r>
        <w:t>Systém financování regionálního</w:t>
      </w:r>
      <w:r w:rsidRPr="003D4AEC">
        <w:t xml:space="preserve"> </w:t>
      </w:r>
      <w:r>
        <w:t>školství</w:t>
      </w:r>
      <w:r w:rsidR="000D1F51">
        <w:t xml:space="preserve"> z rozpočtu MŠMT </w:t>
      </w:r>
      <w:r>
        <w:t>nemotivuje k zvyšování kvality poskytovaného vzdělávání.</w:t>
      </w:r>
    </w:p>
    <w:p w14:paraId="3D5CB761" w14:textId="77777777" w:rsidR="00C30D5D" w:rsidRDefault="00C30D5D" w:rsidP="00C30D5D">
      <w:pPr>
        <w:spacing w:line="240" w:lineRule="auto"/>
        <w:jc w:val="both"/>
      </w:pPr>
      <w:r>
        <w:t>Jedním z cílů aktuálně platného DZ 2015</w:t>
      </w:r>
      <w:r w:rsidR="00EB18E5">
        <w:t>–</w:t>
      </w:r>
      <w:r>
        <w:t xml:space="preserve">2020 schváleného </w:t>
      </w:r>
      <w:r w:rsidRPr="009A7B15">
        <w:rPr>
          <w:rFonts w:cstheme="minorHAnsi"/>
        </w:rPr>
        <w:t xml:space="preserve">vládou </w:t>
      </w:r>
      <w:r>
        <w:t>je zapojit kvalitativní prvky do systému financování regionálního školství.</w:t>
      </w:r>
    </w:p>
    <w:p w14:paraId="28F3E7D2" w14:textId="65F8CB00" w:rsidR="00C30D5D" w:rsidRDefault="00C30D5D" w:rsidP="00C30D5D">
      <w:pPr>
        <w:spacing w:line="240" w:lineRule="auto"/>
        <w:jc w:val="both"/>
      </w:pPr>
      <w:r>
        <w:t xml:space="preserve">Financování škol se v současnosti odvíjí od počtu žáků – normativu na žáka. Tento systém financování </w:t>
      </w:r>
      <w:r w:rsidR="00D91E77">
        <w:t xml:space="preserve">tedy </w:t>
      </w:r>
      <w:r>
        <w:t>nezohledňuje kvalitu poskytovaného vzdělávání jednotlivými školami</w:t>
      </w:r>
      <w:r w:rsidR="000D1F51">
        <w:t>, jak předpokládá aktuálně platný DZ 2015</w:t>
      </w:r>
      <w:r w:rsidR="008F5DFA">
        <w:t>–</w:t>
      </w:r>
      <w:r w:rsidR="000D1F51">
        <w:t>2020.</w:t>
      </w:r>
      <w:r>
        <w:t xml:space="preserve"> Ročně jsou prostřednictvím těchto normativů ze státního rozpočtu – kapitoly MŠMT – vynakládány na základní a střední vzdělávání prostředky ve výši cca 80 mld. Kč.  </w:t>
      </w:r>
    </w:p>
    <w:p w14:paraId="30112620" w14:textId="2770D909" w:rsidR="00C30D5D" w:rsidRPr="00156FD5" w:rsidRDefault="00C30D5D" w:rsidP="00555213">
      <w:pPr>
        <w:spacing w:line="240" w:lineRule="auto"/>
        <w:jc w:val="both"/>
      </w:pPr>
      <w:r>
        <w:t>MŠMT připravená změna financování regionálního školství, která by měla být účinná od školního roku 2018/2019</w:t>
      </w:r>
      <w:r>
        <w:rPr>
          <w:rStyle w:val="Znakapoznpodarou"/>
        </w:rPr>
        <w:footnoteReference w:id="18"/>
      </w:r>
      <w:r>
        <w:t>, nezohledňuje v systému financování kvalitu poskytovaného vzdělávání</w:t>
      </w:r>
      <w:r w:rsidR="00D91E77">
        <w:t>,</w:t>
      </w:r>
      <w:r>
        <w:t xml:space="preserve"> a nemotivuje tak vedení škol k jejímu zvyšování.</w:t>
      </w:r>
      <w:r w:rsidR="00FB0B32">
        <w:t xml:space="preserve"> Zvyšování kvality poskytovaného vzdělávání komplikuje také MŠMT nastavený systém RVP, kdy dochází k nesouladům ŠVP s RVP základního (dále </w:t>
      </w:r>
      <w:r w:rsidR="00811C29">
        <w:t xml:space="preserve">také </w:t>
      </w:r>
      <w:r w:rsidR="00FB0B32">
        <w:t>„RVP ZV“) a středního vzdělávání</w:t>
      </w:r>
      <w:r w:rsidR="00EA50C1">
        <w:t xml:space="preserve"> (dále </w:t>
      </w:r>
      <w:r w:rsidR="00811C29">
        <w:t xml:space="preserve">také </w:t>
      </w:r>
      <w:r w:rsidR="00EA50C1">
        <w:t>„RVP SV“)</w:t>
      </w:r>
      <w:r w:rsidR="00FB0B32">
        <w:t>, což přispívá k rozdílné výstupní úrovni znalostí a dovedností žáků</w:t>
      </w:r>
      <w:r w:rsidR="00FB1589">
        <w:t xml:space="preserve"> </w:t>
      </w:r>
      <w:r w:rsidR="00FB0B32">
        <w:t>jednotlivých ZŠ. Ta se negativně projevuje i při přechodu do vyššího stupně vzdělávání (střední vzdělávání). MŠMT bylo na tento problém opakovaně upozorňováno</w:t>
      </w:r>
      <w:r w:rsidR="00FB0B32" w:rsidRPr="00AE4D2E">
        <w:t xml:space="preserve"> </w:t>
      </w:r>
      <w:r w:rsidR="00FB0B32">
        <w:t xml:space="preserve">CZVV. </w:t>
      </w:r>
    </w:p>
    <w:p w14:paraId="1CF0745E" w14:textId="356EB928" w:rsidR="00C30D5D" w:rsidRDefault="00515F48" w:rsidP="00C30D5D">
      <w:pPr>
        <w:pStyle w:val="Nadpis2"/>
        <w:numPr>
          <w:ilvl w:val="0"/>
          <w:numId w:val="2"/>
        </w:numPr>
        <w:spacing w:before="120" w:after="120" w:line="240" w:lineRule="auto"/>
      </w:pPr>
      <w:r>
        <w:t xml:space="preserve">Opatření </w:t>
      </w:r>
      <w:r w:rsidR="00C30D5D">
        <w:t>realizovaná MŠMT do doby ukončení kontroly nevedla k výraznému zlepšení výsledků žáků ZŠ a SŠ.</w:t>
      </w:r>
    </w:p>
    <w:p w14:paraId="4FACEC5A" w14:textId="77777777" w:rsidR="00101F59" w:rsidRPr="00101F59" w:rsidRDefault="009C5F0E" w:rsidP="00CD2397">
      <w:pPr>
        <w:spacing w:line="240" w:lineRule="auto"/>
        <w:jc w:val="both"/>
      </w:pPr>
      <w:r>
        <w:t xml:space="preserve">Kritéria pro hodnocení dosahovaných výsledků žáků vychází z minimálních cílových požadavků, </w:t>
      </w:r>
      <w:r w:rsidR="00FF3668">
        <w:t xml:space="preserve">tzv. </w:t>
      </w:r>
      <w:r>
        <w:t xml:space="preserve">standardů </w:t>
      </w:r>
      <w:r w:rsidR="00FF3668">
        <w:t xml:space="preserve">vzdělávání. </w:t>
      </w:r>
      <w:r w:rsidR="00101F59" w:rsidRPr="00EA1261">
        <w:t>MŠMT do RVP ZV zapracovalo minimá</w:t>
      </w:r>
      <w:r w:rsidR="00FF3668">
        <w:t xml:space="preserve">lní cílové požadavky pro základní gramotnosti </w:t>
      </w:r>
      <w:r w:rsidR="00EB18E5">
        <w:t>–</w:t>
      </w:r>
      <w:r w:rsidR="00101F59" w:rsidRPr="00EA1261">
        <w:t xml:space="preserve"> český jazyk, matematiku</w:t>
      </w:r>
      <w:r w:rsidR="00B92CC9">
        <w:t xml:space="preserve"> a cizí jazyk, a to pro 5. a 9. </w:t>
      </w:r>
      <w:r w:rsidR="00101F59" w:rsidRPr="00EA1261">
        <w:t>ročník ZŠ. V dalších předmětech standardy nejsou RVP ZV požadovány, resp. pro ostatní předměty 5. a 9. ročníku ZŠ je MŠMT vydalo jako nezávazné</w:t>
      </w:r>
      <w:r w:rsidR="00101F59">
        <w:rPr>
          <w:rStyle w:val="Znakapoznpodarou"/>
        </w:rPr>
        <w:footnoteReference w:id="19"/>
      </w:r>
      <w:r w:rsidR="00CD2397">
        <w:t>.</w:t>
      </w:r>
      <w:r w:rsidR="00B92CC9">
        <w:t xml:space="preserve"> MŠMT nezapracovalo v </w:t>
      </w:r>
      <w:r w:rsidR="00101F59" w:rsidRPr="00EA1261">
        <w:t>souladu se svým harmonogramem</w:t>
      </w:r>
      <w:r w:rsidR="00101F59">
        <w:t xml:space="preserve"> z roku 2012</w:t>
      </w:r>
      <w:r w:rsidR="00101F59" w:rsidRPr="00EA1261">
        <w:t xml:space="preserve"> do RVP ZV víceúrovňový ročníkový standard vzdělávání (základní, optimální, pro nadané žáky) v předmětech základní gramotnosti – český jazyk a matematika.  </w:t>
      </w:r>
    </w:p>
    <w:p w14:paraId="37F406FF" w14:textId="73C1F863" w:rsidR="00C30D5D" w:rsidRDefault="00EA50C1" w:rsidP="00CD2397">
      <w:pPr>
        <w:spacing w:line="240" w:lineRule="auto"/>
        <w:jc w:val="both"/>
      </w:pPr>
      <w:r>
        <w:t>D</w:t>
      </w:r>
      <w:r w:rsidR="00C30D5D">
        <w:t>ata z mezinárodního šetření PISA</w:t>
      </w:r>
      <w:r w:rsidR="00C30D5D">
        <w:rPr>
          <w:rStyle w:val="Znakapoznpodarou"/>
        </w:rPr>
        <w:footnoteReference w:id="20"/>
      </w:r>
      <w:r w:rsidR="00C30D5D">
        <w:t xml:space="preserve"> </w:t>
      </w:r>
      <w:r>
        <w:t>za období 2003</w:t>
      </w:r>
      <w:r w:rsidR="00EB18E5">
        <w:t>–</w:t>
      </w:r>
      <w:r w:rsidR="00C30D5D">
        <w:t>2015</w:t>
      </w:r>
      <w:r>
        <w:t xml:space="preserve"> </w:t>
      </w:r>
      <w:r w:rsidR="00C30D5D">
        <w:t>ukazují</w:t>
      </w:r>
      <w:r>
        <w:t xml:space="preserve">, že se nedaří zvrátit dlouhodobě </w:t>
      </w:r>
      <w:r w:rsidR="00C30D5D">
        <w:t xml:space="preserve">zhoršující se výsledky 15letých žáků (na výstupu ze ZŠ) a ČR se dle těchto výsledků pohybuje na průměrné úrovni </w:t>
      </w:r>
      <w:r w:rsidR="00284784">
        <w:t xml:space="preserve">členských </w:t>
      </w:r>
      <w:r w:rsidR="00C30D5D">
        <w:t xml:space="preserve">zemí OECD. Zároveň se od zavedení SMZ ve školním roce 2010/2011 zhoršovala úspěšnost žáků u MZ, tzn. na výstupu ze SŠ. </w:t>
      </w:r>
    </w:p>
    <w:p w14:paraId="27BD375C" w14:textId="79327654" w:rsidR="00120690" w:rsidRDefault="00C30D5D" w:rsidP="00CD2397">
      <w:pPr>
        <w:spacing w:line="240" w:lineRule="auto"/>
        <w:jc w:val="both"/>
      </w:pPr>
      <w:r>
        <w:t xml:space="preserve">MŠMT na zhoršující se výsledky vyplývající z šetření PISA a </w:t>
      </w:r>
      <w:r w:rsidR="00A10DF0">
        <w:t>maturitních zkoušek r</w:t>
      </w:r>
      <w:r>
        <w:t>eagovalo opatřeními, z nichž většina v kontrolovaném období nepřinesla požadovaný efekt nebo byla plánována tak, že k jejich realizaci bude přistoupeno až po roce 2016.</w:t>
      </w:r>
    </w:p>
    <w:p w14:paraId="21018C48" w14:textId="1144BD80" w:rsidR="00C30D5D" w:rsidRDefault="00C30D5D" w:rsidP="00CD2397">
      <w:pPr>
        <w:spacing w:line="240" w:lineRule="auto"/>
        <w:jc w:val="both"/>
      </w:pPr>
      <w:r>
        <w:lastRenderedPageBreak/>
        <w:t xml:space="preserve">Zhoršující se výsledky žáků a zejména neúspěšnost u </w:t>
      </w:r>
      <w:r w:rsidRPr="00342D00">
        <w:t>MZ ovlivňují míru</w:t>
      </w:r>
      <w:r>
        <w:t xml:space="preserve"> odchodovosti ze vzdělávání.</w:t>
      </w:r>
      <w:r w:rsidRPr="00A709B2">
        <w:t xml:space="preserve"> </w:t>
      </w:r>
      <w:r>
        <w:t xml:space="preserve">V době nastavení národních cílů, tj. v roce 2010, které mají přispět k plnění cílů strategie </w:t>
      </w:r>
      <w:r w:rsidRPr="00C628B4">
        <w:rPr>
          <w:i/>
        </w:rPr>
        <w:t>Evropa 2020</w:t>
      </w:r>
      <w:r>
        <w:rPr>
          <w:rStyle w:val="Znakapoznpodarou"/>
        </w:rPr>
        <w:footnoteReference w:id="21"/>
      </w:r>
      <w:r>
        <w:t xml:space="preserve">, měla ČR hodnotu indikátoru </w:t>
      </w:r>
      <w:r w:rsidR="000F784C">
        <w:t>„</w:t>
      </w:r>
      <w:r w:rsidRPr="00C628B4">
        <w:rPr>
          <w:i/>
        </w:rPr>
        <w:t>podíl osob předčasně odcházejících ze vzdělávání</w:t>
      </w:r>
      <w:r w:rsidR="000F784C">
        <w:t>“</w:t>
      </w:r>
      <w:r>
        <w:t xml:space="preserve"> na úrovni 4,9 %. Postupně docházelo ke zhorš</w:t>
      </w:r>
      <w:r w:rsidR="000F784C">
        <w:t>ová</w:t>
      </w:r>
      <w:r>
        <w:t>ní až na úroveň 6,2 % v roce 2015</w:t>
      </w:r>
      <w:r>
        <w:rPr>
          <w:rStyle w:val="Znakapoznpodarou"/>
        </w:rPr>
        <w:footnoteReference w:id="22"/>
      </w:r>
      <w:r>
        <w:t xml:space="preserve">. ČR tak v roce 2015 neplnila stanovený národní cíl. </w:t>
      </w:r>
    </w:p>
    <w:p w14:paraId="536F610D" w14:textId="7D4ED036" w:rsidR="003A340D" w:rsidRPr="003A340D" w:rsidRDefault="003A340D" w:rsidP="00C30D5D">
      <w:pPr>
        <w:pStyle w:val="Nadpis2"/>
        <w:numPr>
          <w:ilvl w:val="0"/>
          <w:numId w:val="2"/>
        </w:numPr>
      </w:pPr>
      <w:r w:rsidRPr="003A340D">
        <w:t xml:space="preserve">MŠMT reagovalo </w:t>
      </w:r>
      <w:r w:rsidR="00C07F8E">
        <w:t xml:space="preserve">na </w:t>
      </w:r>
      <w:r w:rsidR="00544F3A">
        <w:t xml:space="preserve">vybraná </w:t>
      </w:r>
      <w:r w:rsidRPr="003A340D">
        <w:t>zjištění NKÚ</w:t>
      </w:r>
      <w:r>
        <w:t xml:space="preserve"> z</w:t>
      </w:r>
      <w:r w:rsidR="00A670D8">
        <w:t> </w:t>
      </w:r>
      <w:r>
        <w:t>KA</w:t>
      </w:r>
      <w:r w:rsidR="00A670D8">
        <w:t xml:space="preserve"> č.</w:t>
      </w:r>
      <w:r>
        <w:t xml:space="preserve"> 11/08</w:t>
      </w:r>
      <w:r w:rsidR="00544F3A">
        <w:t xml:space="preserve">, </w:t>
      </w:r>
      <w:r w:rsidR="000F784C">
        <w:t xml:space="preserve">avšak </w:t>
      </w:r>
      <w:r w:rsidR="00544F3A">
        <w:t>nápravná opatření</w:t>
      </w:r>
      <w:r w:rsidRPr="003A340D">
        <w:t xml:space="preserve"> nebyla </w:t>
      </w:r>
      <w:r w:rsidR="000F784C">
        <w:t xml:space="preserve">realizována </w:t>
      </w:r>
      <w:r w:rsidR="0046346A">
        <w:t>ve všech případech</w:t>
      </w:r>
      <w:r w:rsidR="00A10DF0">
        <w:t xml:space="preserve"> nebo</w:t>
      </w:r>
      <w:r w:rsidR="0046346A">
        <w:t xml:space="preserve"> nebyla účinná.</w:t>
      </w:r>
    </w:p>
    <w:p w14:paraId="72EB00B8" w14:textId="3CDA5A37" w:rsidR="00743490" w:rsidRPr="00550D4A" w:rsidRDefault="00D4346E" w:rsidP="00D83180">
      <w:pPr>
        <w:spacing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Tím, že </w:t>
      </w:r>
      <w:r w:rsidR="00743490"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zCs w:val="24"/>
        </w:rPr>
        <w:t xml:space="preserve">ŠMT </w:t>
      </w:r>
      <w:r w:rsidR="00743490">
        <w:rPr>
          <w:rFonts w:eastAsia="Times New Roman" w:cs="Times New Roman"/>
          <w:szCs w:val="24"/>
        </w:rPr>
        <w:t>nevytvořilo podmínky pro zohled</w:t>
      </w:r>
      <w:r w:rsidR="000F784C">
        <w:rPr>
          <w:rFonts w:eastAsia="Times New Roman" w:cs="Times New Roman"/>
          <w:szCs w:val="24"/>
        </w:rPr>
        <w:t>ňování</w:t>
      </w:r>
      <w:r w:rsidR="00743490">
        <w:rPr>
          <w:rFonts w:eastAsia="Times New Roman" w:cs="Times New Roman"/>
          <w:szCs w:val="24"/>
        </w:rPr>
        <w:t xml:space="preserve"> výsledků MZ vysokými školami</w:t>
      </w:r>
      <w:r w:rsidR="00D30133">
        <w:rPr>
          <w:rFonts w:eastAsia="Times New Roman" w:cs="Times New Roman"/>
          <w:szCs w:val="24"/>
        </w:rPr>
        <w:t xml:space="preserve"> </w:t>
      </w:r>
      <w:r w:rsidR="00743490">
        <w:rPr>
          <w:rFonts w:eastAsia="Times New Roman" w:cs="Times New Roman"/>
          <w:szCs w:val="24"/>
        </w:rPr>
        <w:t>v přijímacích řízeních</w:t>
      </w:r>
      <w:r>
        <w:rPr>
          <w:rFonts w:eastAsia="Times New Roman" w:cs="Times New Roman"/>
          <w:szCs w:val="24"/>
        </w:rPr>
        <w:t>, nerealizovalo nápravné opatření ke zjištění NKÚ z</w:t>
      </w:r>
      <w:r w:rsidR="00B408BF">
        <w:rPr>
          <w:rFonts w:eastAsia="Times New Roman" w:cs="Times New Roman"/>
          <w:szCs w:val="24"/>
        </w:rPr>
        <w:t> </w:t>
      </w:r>
      <w:r>
        <w:rPr>
          <w:rFonts w:eastAsia="Times New Roman" w:cs="Times New Roman"/>
          <w:szCs w:val="24"/>
        </w:rPr>
        <w:t>KA</w:t>
      </w:r>
      <w:r w:rsidR="00B408BF">
        <w:rPr>
          <w:rFonts w:eastAsia="Times New Roman" w:cs="Times New Roman"/>
          <w:szCs w:val="24"/>
        </w:rPr>
        <w:t xml:space="preserve"> č.</w:t>
      </w:r>
      <w:r>
        <w:rPr>
          <w:rFonts w:eastAsia="Times New Roman" w:cs="Times New Roman"/>
          <w:szCs w:val="24"/>
        </w:rPr>
        <w:t xml:space="preserve"> 11/08 </w:t>
      </w:r>
      <w:r w:rsidR="00961640">
        <w:rPr>
          <w:rFonts w:eastAsia="Times New Roman" w:cs="Times New Roman"/>
          <w:szCs w:val="24"/>
        </w:rPr>
        <w:t>a </w:t>
      </w:r>
      <w:r w:rsidRPr="00550D4A">
        <w:rPr>
          <w:rFonts w:eastAsia="Times New Roman" w:cs="Times New Roman"/>
          <w:szCs w:val="24"/>
        </w:rPr>
        <w:t>zároveň</w:t>
      </w:r>
      <w:r>
        <w:rPr>
          <w:rFonts w:eastAsia="Times New Roman" w:cs="Times New Roman"/>
          <w:szCs w:val="24"/>
        </w:rPr>
        <w:t xml:space="preserve"> nenaplnilo jeden z cílů DZ </w:t>
      </w:r>
      <w:r w:rsidR="007A68AC">
        <w:rPr>
          <w:rFonts w:eastAsia="Times New Roman" w:cs="Times New Roman"/>
          <w:szCs w:val="24"/>
        </w:rPr>
        <w:t>2011</w:t>
      </w:r>
      <w:r w:rsidR="00D17AE0">
        <w:rPr>
          <w:rFonts w:eastAsia="Times New Roman" w:cs="Times New Roman"/>
          <w:szCs w:val="24"/>
        </w:rPr>
        <w:t>–</w:t>
      </w:r>
      <w:r w:rsidRPr="00550D4A">
        <w:rPr>
          <w:rFonts w:eastAsia="Times New Roman" w:cs="Times New Roman"/>
          <w:szCs w:val="24"/>
        </w:rPr>
        <w:t>2015</w:t>
      </w:r>
      <w:r>
        <w:rPr>
          <w:rFonts w:eastAsia="Times New Roman" w:cs="Times New Roman"/>
          <w:szCs w:val="24"/>
        </w:rPr>
        <w:t xml:space="preserve">. </w:t>
      </w:r>
      <w:r w:rsidRPr="00550D4A">
        <w:rPr>
          <w:rFonts w:eastAsia="Times New Roman" w:cs="Times New Roman"/>
          <w:szCs w:val="24"/>
        </w:rPr>
        <w:t xml:space="preserve">Tuto situaci </w:t>
      </w:r>
      <w:r>
        <w:rPr>
          <w:rFonts w:eastAsia="Times New Roman" w:cs="Times New Roman"/>
          <w:szCs w:val="24"/>
        </w:rPr>
        <w:t xml:space="preserve">však </w:t>
      </w:r>
      <w:r w:rsidRPr="00550D4A">
        <w:rPr>
          <w:rFonts w:eastAsia="Times New Roman" w:cs="Times New Roman"/>
          <w:szCs w:val="24"/>
        </w:rPr>
        <w:t>MŠMT částečně řešilo</w:t>
      </w:r>
      <w:r>
        <w:rPr>
          <w:rFonts w:eastAsia="Times New Roman" w:cs="Times New Roman"/>
          <w:szCs w:val="24"/>
        </w:rPr>
        <w:t xml:space="preserve"> zavedením</w:t>
      </w:r>
      <w:r w:rsidRPr="00550D4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nepovinné zkoušky</w:t>
      </w:r>
      <w:r w:rsidRPr="00550D4A">
        <w:rPr>
          <w:rFonts w:eastAsia="Times New Roman" w:cs="Times New Roman"/>
          <w:szCs w:val="24"/>
        </w:rPr>
        <w:t xml:space="preserve"> </w:t>
      </w:r>
      <w:r w:rsidR="000F784C">
        <w:rPr>
          <w:rFonts w:eastAsia="Times New Roman" w:cs="Times New Roman"/>
          <w:szCs w:val="24"/>
        </w:rPr>
        <w:t>„</w:t>
      </w:r>
      <w:r w:rsidRPr="00550D4A">
        <w:rPr>
          <w:rFonts w:eastAsia="Times New Roman" w:cs="Times New Roman"/>
          <w:szCs w:val="24"/>
        </w:rPr>
        <w:t>Matematika+</w:t>
      </w:r>
      <w:r w:rsidR="000F784C">
        <w:rPr>
          <w:rFonts w:eastAsia="Times New Roman" w:cs="Times New Roman"/>
          <w:szCs w:val="24"/>
        </w:rPr>
        <w:t>“</w:t>
      </w:r>
      <w:r w:rsidR="00C80B9C">
        <w:rPr>
          <w:rFonts w:eastAsia="Times New Roman" w:cs="Times New Roman"/>
          <w:szCs w:val="24"/>
        </w:rPr>
        <w:t xml:space="preserve"> od</w:t>
      </w:r>
      <w:r w:rsidR="000F784C">
        <w:rPr>
          <w:rFonts w:eastAsia="Times New Roman" w:cs="Times New Roman"/>
          <w:szCs w:val="24"/>
        </w:rPr>
        <w:t xml:space="preserve"> </w:t>
      </w:r>
      <w:r w:rsidR="00C80B9C">
        <w:rPr>
          <w:rFonts w:eastAsia="Times New Roman" w:cs="Times New Roman"/>
          <w:szCs w:val="24"/>
        </w:rPr>
        <w:t>roku</w:t>
      </w:r>
      <w:r>
        <w:rPr>
          <w:rFonts w:eastAsia="Times New Roman" w:cs="Times New Roman"/>
          <w:szCs w:val="24"/>
        </w:rPr>
        <w:t xml:space="preserve"> 2014</w:t>
      </w:r>
      <w:r w:rsidR="00B408BF">
        <w:rPr>
          <w:rStyle w:val="Znakapoznpodarou"/>
          <w:rFonts w:eastAsia="Times New Roman" w:cs="Times New Roman"/>
          <w:szCs w:val="24"/>
        </w:rPr>
        <w:footnoteReference w:id="23"/>
      </w:r>
      <w:r w:rsidRPr="00550D4A">
        <w:rPr>
          <w:rFonts w:eastAsia="Times New Roman" w:cs="Times New Roman"/>
          <w:szCs w:val="24"/>
        </w:rPr>
        <w:t>, kter</w:t>
      </w:r>
      <w:r w:rsidR="007A68AC">
        <w:rPr>
          <w:rFonts w:eastAsia="Times New Roman" w:cs="Times New Roman"/>
          <w:szCs w:val="24"/>
        </w:rPr>
        <w:t xml:space="preserve">ou některé VŠ akceptovaly </w:t>
      </w:r>
      <w:r w:rsidRPr="00550D4A">
        <w:rPr>
          <w:rFonts w:eastAsia="Times New Roman" w:cs="Times New Roman"/>
          <w:szCs w:val="24"/>
        </w:rPr>
        <w:t xml:space="preserve">jako součást přijímacího řízení. </w:t>
      </w:r>
    </w:p>
    <w:p w14:paraId="3C877A3F" w14:textId="26E5DD55" w:rsidR="000F15E4" w:rsidRDefault="006B3367" w:rsidP="00D83180">
      <w:pPr>
        <w:spacing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Dále MŠMT tím, že </w:t>
      </w:r>
      <w:r w:rsidR="0040157F">
        <w:rPr>
          <w:rFonts w:eastAsia="Times New Roman" w:cs="Times New Roman"/>
          <w:szCs w:val="24"/>
        </w:rPr>
        <w:t xml:space="preserve">opakovaně </w:t>
      </w:r>
      <w:r w:rsidR="000F15E4" w:rsidRPr="00F807ED">
        <w:rPr>
          <w:rFonts w:eastAsia="Times New Roman" w:cs="Times New Roman"/>
          <w:szCs w:val="24"/>
        </w:rPr>
        <w:t xml:space="preserve">přesouvalo </w:t>
      </w:r>
      <w:r w:rsidRPr="00F807ED">
        <w:rPr>
          <w:rFonts w:eastAsia="Times New Roman" w:cs="Times New Roman"/>
          <w:szCs w:val="24"/>
        </w:rPr>
        <w:t xml:space="preserve">organizační zajištění hodnocení písemných prací z českého jazyka a </w:t>
      </w:r>
      <w:r w:rsidRPr="007D3E73">
        <w:rPr>
          <w:rFonts w:eastAsia="Times New Roman" w:cs="Times New Roman"/>
          <w:szCs w:val="24"/>
        </w:rPr>
        <w:t xml:space="preserve">literatury (dále </w:t>
      </w:r>
      <w:r w:rsidR="00811C29">
        <w:t>také</w:t>
      </w:r>
      <w:r w:rsidR="00811C29" w:rsidRPr="007D3E73">
        <w:rPr>
          <w:rFonts w:eastAsia="Times New Roman" w:cs="Times New Roman"/>
          <w:szCs w:val="24"/>
        </w:rPr>
        <w:t xml:space="preserve"> </w:t>
      </w:r>
      <w:r w:rsidRPr="007D3E73">
        <w:rPr>
          <w:rFonts w:eastAsia="Times New Roman" w:cs="Times New Roman"/>
          <w:szCs w:val="24"/>
        </w:rPr>
        <w:t>„ČJL“) mezi</w:t>
      </w:r>
      <w:r w:rsidRPr="00F807ED">
        <w:rPr>
          <w:rFonts w:eastAsia="Times New Roman" w:cs="Times New Roman"/>
          <w:szCs w:val="24"/>
        </w:rPr>
        <w:t xml:space="preserve"> CZVV a škola</w:t>
      </w:r>
      <w:r>
        <w:rPr>
          <w:rFonts w:eastAsia="Times New Roman" w:cs="Times New Roman"/>
          <w:szCs w:val="24"/>
        </w:rPr>
        <w:t xml:space="preserve">mi, nezajistilo </w:t>
      </w:r>
      <w:r w:rsidRPr="00F807ED">
        <w:rPr>
          <w:rFonts w:eastAsia="Times New Roman" w:cs="Times New Roman"/>
          <w:szCs w:val="24"/>
        </w:rPr>
        <w:t>srovnatelnost a</w:t>
      </w:r>
      <w:r w:rsidR="00742574">
        <w:rPr>
          <w:rFonts w:eastAsia="Times New Roman" w:cs="Times New Roman"/>
          <w:szCs w:val="24"/>
        </w:rPr>
        <w:t> </w:t>
      </w:r>
      <w:r w:rsidRPr="00F807ED">
        <w:rPr>
          <w:rFonts w:eastAsia="Times New Roman" w:cs="Times New Roman"/>
          <w:szCs w:val="24"/>
        </w:rPr>
        <w:t xml:space="preserve">objektivnost výsledků </w:t>
      </w:r>
      <w:r w:rsidR="00D12CEA">
        <w:rPr>
          <w:rFonts w:eastAsia="Times New Roman" w:cs="Times New Roman"/>
          <w:szCs w:val="24"/>
        </w:rPr>
        <w:t>S</w:t>
      </w:r>
      <w:r w:rsidRPr="00F807ED">
        <w:rPr>
          <w:rFonts w:eastAsia="Times New Roman" w:cs="Times New Roman"/>
          <w:szCs w:val="24"/>
        </w:rPr>
        <w:t>MZ v předmětu ČJL</w:t>
      </w:r>
      <w:r>
        <w:rPr>
          <w:rFonts w:eastAsia="Times New Roman" w:cs="Times New Roman"/>
          <w:szCs w:val="24"/>
        </w:rPr>
        <w:t xml:space="preserve">. </w:t>
      </w:r>
      <w:r w:rsidR="000F15E4">
        <w:rPr>
          <w:rFonts w:eastAsia="Times New Roman" w:cs="Times New Roman"/>
          <w:szCs w:val="24"/>
        </w:rPr>
        <w:t>Nápravné opatření MŠMT k zajištění objektivnosti hodnocení písemných</w:t>
      </w:r>
      <w:r w:rsidR="007A68AC">
        <w:rPr>
          <w:rFonts w:eastAsia="Times New Roman" w:cs="Times New Roman"/>
          <w:szCs w:val="24"/>
        </w:rPr>
        <w:t xml:space="preserve"> prací tak nebylo v období 2011</w:t>
      </w:r>
      <w:r w:rsidR="00D17AE0">
        <w:rPr>
          <w:rFonts w:eastAsia="Times New Roman" w:cs="Times New Roman"/>
          <w:szCs w:val="24"/>
        </w:rPr>
        <w:t>–</w:t>
      </w:r>
      <w:r w:rsidR="000F15E4">
        <w:rPr>
          <w:rFonts w:eastAsia="Times New Roman" w:cs="Times New Roman"/>
          <w:szCs w:val="24"/>
        </w:rPr>
        <w:t xml:space="preserve">2016 účinné. </w:t>
      </w:r>
    </w:p>
    <w:p w14:paraId="34698FD7" w14:textId="77777777" w:rsidR="0008729F" w:rsidRDefault="0008729F" w:rsidP="00D83180">
      <w:pPr>
        <w:spacing w:line="240" w:lineRule="auto"/>
        <w:jc w:val="both"/>
        <w:rPr>
          <w:rFonts w:eastAsia="Times New Roman" w:cs="Times New Roman"/>
          <w:szCs w:val="24"/>
        </w:rPr>
      </w:pPr>
    </w:p>
    <w:p w14:paraId="50BFF37C" w14:textId="77777777" w:rsidR="00F55A94" w:rsidRDefault="00F55A94" w:rsidP="00557420">
      <w:pPr>
        <w:spacing w:line="240" w:lineRule="auto"/>
        <w:jc w:val="both"/>
        <w:rPr>
          <w:b/>
        </w:rPr>
      </w:pPr>
    </w:p>
    <w:p w14:paraId="6EECC7B7" w14:textId="77777777" w:rsidR="00AE4D2E" w:rsidRDefault="00AE4D2E" w:rsidP="00557420">
      <w:pPr>
        <w:spacing w:line="240" w:lineRule="auto"/>
        <w:jc w:val="both"/>
        <w:rPr>
          <w:b/>
        </w:rPr>
      </w:pPr>
    </w:p>
    <w:p w14:paraId="0CB6B85C" w14:textId="77777777" w:rsidR="00AE4D2E" w:rsidRDefault="00AE4D2E" w:rsidP="00557420">
      <w:pPr>
        <w:spacing w:line="240" w:lineRule="auto"/>
        <w:jc w:val="both"/>
        <w:rPr>
          <w:b/>
        </w:rPr>
      </w:pPr>
    </w:p>
    <w:p w14:paraId="58CB6515" w14:textId="77777777" w:rsidR="00AE4D2E" w:rsidRDefault="00AE4D2E" w:rsidP="00557420">
      <w:pPr>
        <w:spacing w:line="240" w:lineRule="auto"/>
        <w:jc w:val="both"/>
        <w:rPr>
          <w:b/>
        </w:rPr>
      </w:pPr>
    </w:p>
    <w:p w14:paraId="0DF1B14C" w14:textId="77777777" w:rsidR="00AE4D2E" w:rsidRDefault="00AE4D2E" w:rsidP="00557420">
      <w:pPr>
        <w:spacing w:line="240" w:lineRule="auto"/>
        <w:jc w:val="both"/>
        <w:rPr>
          <w:b/>
        </w:rPr>
      </w:pPr>
    </w:p>
    <w:p w14:paraId="0C2B5BD9" w14:textId="77777777" w:rsidR="00AE4D2E" w:rsidRDefault="00AE4D2E" w:rsidP="00557420">
      <w:pPr>
        <w:spacing w:line="240" w:lineRule="auto"/>
        <w:jc w:val="both"/>
        <w:rPr>
          <w:b/>
        </w:rPr>
      </w:pPr>
    </w:p>
    <w:p w14:paraId="766F3FE3" w14:textId="77777777" w:rsidR="00AE4D2E" w:rsidRDefault="00AE4D2E" w:rsidP="00557420">
      <w:pPr>
        <w:spacing w:line="240" w:lineRule="auto"/>
        <w:jc w:val="both"/>
        <w:rPr>
          <w:b/>
        </w:rPr>
      </w:pPr>
    </w:p>
    <w:p w14:paraId="24F2E02D" w14:textId="77777777" w:rsidR="00AE4D2E" w:rsidRDefault="00AE4D2E" w:rsidP="00557420">
      <w:pPr>
        <w:spacing w:line="240" w:lineRule="auto"/>
        <w:jc w:val="both"/>
        <w:rPr>
          <w:b/>
        </w:rPr>
      </w:pPr>
    </w:p>
    <w:p w14:paraId="148EE9CE" w14:textId="77777777" w:rsidR="00AE4D2E" w:rsidRDefault="00AE4D2E" w:rsidP="00557420">
      <w:pPr>
        <w:spacing w:line="240" w:lineRule="auto"/>
        <w:jc w:val="both"/>
        <w:rPr>
          <w:b/>
        </w:rPr>
      </w:pPr>
    </w:p>
    <w:p w14:paraId="49AC33F1" w14:textId="77777777" w:rsidR="00AE4D2E" w:rsidRDefault="00AE4D2E" w:rsidP="00557420">
      <w:pPr>
        <w:spacing w:line="240" w:lineRule="auto"/>
        <w:jc w:val="both"/>
        <w:rPr>
          <w:b/>
        </w:rPr>
      </w:pPr>
    </w:p>
    <w:p w14:paraId="6E516F8D" w14:textId="77777777" w:rsidR="00AE4D2E" w:rsidRDefault="00AE4D2E" w:rsidP="00557420">
      <w:pPr>
        <w:spacing w:line="240" w:lineRule="auto"/>
        <w:jc w:val="both"/>
        <w:rPr>
          <w:b/>
        </w:rPr>
      </w:pPr>
    </w:p>
    <w:p w14:paraId="45316D9B" w14:textId="77777777" w:rsidR="0002364E" w:rsidRDefault="0002364E" w:rsidP="00557420">
      <w:pPr>
        <w:spacing w:line="240" w:lineRule="auto"/>
        <w:jc w:val="both"/>
        <w:rPr>
          <w:b/>
        </w:rPr>
      </w:pPr>
    </w:p>
    <w:p w14:paraId="1446B70B" w14:textId="77777777" w:rsidR="006E550D" w:rsidRDefault="006E550D" w:rsidP="00557420">
      <w:pPr>
        <w:spacing w:line="240" w:lineRule="auto"/>
        <w:jc w:val="both"/>
        <w:rPr>
          <w:b/>
        </w:rPr>
      </w:pPr>
    </w:p>
    <w:p w14:paraId="77E8CB67" w14:textId="77777777" w:rsidR="006E550D" w:rsidRDefault="006E550D" w:rsidP="00557420">
      <w:pPr>
        <w:spacing w:line="240" w:lineRule="auto"/>
        <w:jc w:val="both"/>
        <w:rPr>
          <w:b/>
        </w:rPr>
      </w:pPr>
    </w:p>
    <w:p w14:paraId="38D02747" w14:textId="77777777" w:rsidR="003F7E9B" w:rsidRPr="00BE3EF6" w:rsidRDefault="003F7E9B" w:rsidP="00BE3EF6">
      <w:pPr>
        <w:spacing w:line="240" w:lineRule="auto"/>
        <w:jc w:val="both"/>
        <w:rPr>
          <w:b/>
        </w:rPr>
      </w:pPr>
    </w:p>
    <w:p w14:paraId="247FA82F" w14:textId="77777777" w:rsidR="00C06FB8" w:rsidRDefault="00AE5171" w:rsidP="005E55F3">
      <w:pPr>
        <w:pStyle w:val="Nadpis1"/>
        <w:spacing w:before="0"/>
        <w:ind w:left="142" w:hanging="142"/>
      </w:pPr>
      <w:r>
        <w:lastRenderedPageBreak/>
        <w:t>Podrobné informace ke zjištěným skutečnostem</w:t>
      </w:r>
    </w:p>
    <w:p w14:paraId="5063E14C" w14:textId="18F464CD" w:rsidR="00506FDD" w:rsidRPr="00BD72A7" w:rsidRDefault="00506FDD" w:rsidP="00506FDD">
      <w:pPr>
        <w:pStyle w:val="Nadpis2"/>
        <w:numPr>
          <w:ilvl w:val="0"/>
          <w:numId w:val="0"/>
        </w:numPr>
        <w:spacing w:after="120" w:line="240" w:lineRule="auto"/>
        <w:ind w:left="576" w:hanging="576"/>
      </w:pPr>
      <w:r>
        <w:t xml:space="preserve">K bodu 1 části II: </w:t>
      </w:r>
      <w:r w:rsidR="00DA43E5">
        <w:t>p</w:t>
      </w:r>
      <w:r>
        <w:t>ravidelné celoplošné ověřování výsledků žáků ZŠ</w:t>
      </w:r>
    </w:p>
    <w:p w14:paraId="22C712BA" w14:textId="73178E7F" w:rsidR="00506FDD" w:rsidRPr="003E6EDA" w:rsidRDefault="00E243E5" w:rsidP="00506FDD">
      <w:pPr>
        <w:spacing w:line="240" w:lineRule="auto"/>
        <w:jc w:val="both"/>
        <w:rPr>
          <w:rFonts w:cs="Calibri"/>
          <w:iCs/>
          <w:color w:val="000000"/>
          <w:szCs w:val="24"/>
        </w:rPr>
      </w:pPr>
      <w:r>
        <w:rPr>
          <w:szCs w:val="24"/>
        </w:rPr>
        <w:t>MŠMT si stanovilo v DZ 2011</w:t>
      </w:r>
      <w:r w:rsidR="00233209">
        <w:rPr>
          <w:szCs w:val="24"/>
        </w:rPr>
        <w:t>–</w:t>
      </w:r>
      <w:r w:rsidR="00506FDD" w:rsidRPr="009E4938">
        <w:rPr>
          <w:szCs w:val="24"/>
        </w:rPr>
        <w:t xml:space="preserve">2015, </w:t>
      </w:r>
      <w:r w:rsidR="00506FDD">
        <w:rPr>
          <w:szCs w:val="24"/>
        </w:rPr>
        <w:t>schváleném usnesením vlády</w:t>
      </w:r>
      <w:r w:rsidR="00506FDD">
        <w:rPr>
          <w:rFonts w:cstheme="minorHAnsi"/>
          <w:color w:val="000000" w:themeColor="text1"/>
          <w:szCs w:val="24"/>
        </w:rPr>
        <w:t xml:space="preserve"> ze</w:t>
      </w:r>
      <w:r w:rsidR="00506FDD" w:rsidRPr="009E4938">
        <w:rPr>
          <w:szCs w:val="24"/>
        </w:rPr>
        <w:t xml:space="preserve"> dne </w:t>
      </w:r>
      <w:r w:rsidR="00506FDD">
        <w:rPr>
          <w:rFonts w:cstheme="minorHAnsi"/>
          <w:color w:val="000000" w:themeColor="text1"/>
          <w:szCs w:val="24"/>
        </w:rPr>
        <w:t>16. listopadu 2011</w:t>
      </w:r>
      <w:r w:rsidR="00506FDD" w:rsidRPr="00F230A8">
        <w:rPr>
          <w:rFonts w:cstheme="minorHAnsi"/>
          <w:color w:val="000000" w:themeColor="text1"/>
          <w:szCs w:val="24"/>
        </w:rPr>
        <w:t xml:space="preserve"> </w:t>
      </w:r>
      <w:r w:rsidR="00506FDD">
        <w:rPr>
          <w:rFonts w:cstheme="minorHAnsi"/>
          <w:color w:val="000000" w:themeColor="text1"/>
          <w:szCs w:val="24"/>
        </w:rPr>
        <w:t>č. 836</w:t>
      </w:r>
      <w:r w:rsidR="00506FDD" w:rsidRPr="009E4938">
        <w:rPr>
          <w:rFonts w:cstheme="minorHAnsi"/>
          <w:color w:val="000000" w:themeColor="text1"/>
          <w:szCs w:val="24"/>
        </w:rPr>
        <w:t>,</w:t>
      </w:r>
      <w:r w:rsidR="00506FDD" w:rsidRPr="009E4938">
        <w:rPr>
          <w:szCs w:val="24"/>
        </w:rPr>
        <w:t xml:space="preserve"> strategický cíl: „</w:t>
      </w:r>
      <w:r w:rsidR="00811C29" w:rsidRPr="00811C29">
        <w:rPr>
          <w:i/>
          <w:szCs w:val="24"/>
        </w:rPr>
        <w:t>Zavedení</w:t>
      </w:r>
      <w:r w:rsidR="00506FDD" w:rsidRPr="009E4938">
        <w:rPr>
          <w:rFonts w:cs="Calibri"/>
          <w:i/>
          <w:iCs/>
          <w:color w:val="000000"/>
          <w:szCs w:val="24"/>
        </w:rPr>
        <w:t xml:space="preserve"> standardizované</w:t>
      </w:r>
      <w:r w:rsidR="00811C29">
        <w:rPr>
          <w:rFonts w:cs="Calibri"/>
          <w:i/>
          <w:iCs/>
          <w:color w:val="000000"/>
          <w:szCs w:val="24"/>
        </w:rPr>
        <w:t>ho</w:t>
      </w:r>
      <w:r w:rsidR="00506FDD" w:rsidRPr="009E4938">
        <w:rPr>
          <w:rFonts w:cs="Calibri"/>
          <w:i/>
          <w:iCs/>
          <w:color w:val="000000"/>
          <w:szCs w:val="24"/>
        </w:rPr>
        <w:t xml:space="preserve"> hodnocení žáků a škol na úrovni </w:t>
      </w:r>
      <w:r w:rsidR="00D17AE0">
        <w:rPr>
          <w:rFonts w:cs="Calibri"/>
          <w:i/>
          <w:iCs/>
          <w:color w:val="000000"/>
          <w:szCs w:val="24"/>
        </w:rPr>
        <w:br/>
      </w:r>
      <w:r w:rsidR="00506FDD" w:rsidRPr="009E4938">
        <w:rPr>
          <w:rFonts w:cs="Calibri"/>
          <w:i/>
          <w:iCs/>
          <w:color w:val="000000"/>
          <w:szCs w:val="24"/>
        </w:rPr>
        <w:t>5. a 9.</w:t>
      </w:r>
      <w:r w:rsidR="00D17AE0">
        <w:rPr>
          <w:rFonts w:cs="Calibri"/>
          <w:i/>
          <w:iCs/>
          <w:color w:val="000000"/>
          <w:szCs w:val="24"/>
        </w:rPr>
        <w:t> </w:t>
      </w:r>
      <w:r w:rsidR="00506FDD" w:rsidRPr="009E4938">
        <w:rPr>
          <w:rFonts w:cs="Calibri"/>
          <w:i/>
          <w:iCs/>
          <w:color w:val="000000"/>
          <w:szCs w:val="24"/>
        </w:rPr>
        <w:t>ročníků ZŠ (včetně odpovídajících ročníků 6 a 8letých gymnázií) a další doprovodné nástroje pro zlepšení kvality základního vzdělávání</w:t>
      </w:r>
      <w:r w:rsidR="00506FDD" w:rsidRPr="00C628B4">
        <w:rPr>
          <w:rFonts w:cs="Calibri"/>
          <w:iCs/>
          <w:color w:val="000000"/>
          <w:szCs w:val="24"/>
        </w:rPr>
        <w:t>“</w:t>
      </w:r>
      <w:r w:rsidR="00FC74A3">
        <w:rPr>
          <w:rFonts w:cs="Calibri"/>
          <w:iCs/>
          <w:color w:val="000000"/>
          <w:szCs w:val="24"/>
        </w:rPr>
        <w:t>.</w:t>
      </w:r>
      <w:r w:rsidR="00506FDD" w:rsidRPr="009E4938">
        <w:rPr>
          <w:rFonts w:cs="Calibri"/>
          <w:i/>
          <w:iCs/>
          <w:color w:val="000000"/>
          <w:szCs w:val="24"/>
        </w:rPr>
        <w:t xml:space="preserve"> </w:t>
      </w:r>
      <w:r w:rsidR="00506FDD" w:rsidRPr="009E4938">
        <w:rPr>
          <w:rFonts w:cs="Calibri"/>
          <w:iCs/>
          <w:color w:val="000000"/>
          <w:szCs w:val="24"/>
        </w:rPr>
        <w:t>K</w:t>
      </w:r>
      <w:r w:rsidR="00506FDD">
        <w:rPr>
          <w:rFonts w:cs="Calibri"/>
          <w:iCs/>
          <w:color w:val="000000"/>
          <w:szCs w:val="24"/>
        </w:rPr>
        <w:t xml:space="preserve"> jeho </w:t>
      </w:r>
      <w:r w:rsidR="00506FDD" w:rsidRPr="009E4938">
        <w:rPr>
          <w:rFonts w:cs="Calibri"/>
          <w:iCs/>
          <w:color w:val="000000"/>
          <w:szCs w:val="24"/>
        </w:rPr>
        <w:t xml:space="preserve">naplnění </w:t>
      </w:r>
      <w:r w:rsidR="00506FDD">
        <w:rPr>
          <w:rFonts w:cs="Calibri"/>
          <w:iCs/>
          <w:color w:val="000000"/>
          <w:szCs w:val="24"/>
        </w:rPr>
        <w:t xml:space="preserve">mělo přispět mj. </w:t>
      </w:r>
      <w:r w:rsidR="00506FDD" w:rsidRPr="0092502C">
        <w:rPr>
          <w:rFonts w:cs="Calibri"/>
          <w:iCs/>
          <w:color w:val="000000"/>
          <w:szCs w:val="24"/>
        </w:rPr>
        <w:t xml:space="preserve">pravidelné ověřování výsledků vzdělávání žáků </w:t>
      </w:r>
      <w:r w:rsidR="00506FDD">
        <w:rPr>
          <w:rFonts w:cs="Calibri"/>
          <w:color w:val="000000"/>
          <w:szCs w:val="24"/>
        </w:rPr>
        <w:t>v 5. a 9. třídách ZŠ</w:t>
      </w:r>
      <w:r w:rsidR="00506FDD" w:rsidRPr="0092502C">
        <w:rPr>
          <w:rFonts w:cs="Calibri"/>
          <w:color w:val="000000"/>
          <w:szCs w:val="24"/>
        </w:rPr>
        <w:t xml:space="preserve">, </w:t>
      </w:r>
      <w:r w:rsidR="00506FDD" w:rsidRPr="009E4938">
        <w:rPr>
          <w:rFonts w:cs="Calibri"/>
          <w:color w:val="000000"/>
          <w:szCs w:val="24"/>
        </w:rPr>
        <w:t xml:space="preserve">které mělo být </w:t>
      </w:r>
      <w:r w:rsidR="00506FDD" w:rsidRPr="00E848F1">
        <w:rPr>
          <w:rFonts w:cs="Calibri"/>
          <w:color w:val="000000"/>
          <w:szCs w:val="24"/>
        </w:rPr>
        <w:t xml:space="preserve">zajištěno </w:t>
      </w:r>
      <w:r w:rsidR="00506FDD">
        <w:rPr>
          <w:rFonts w:cs="Calibri"/>
          <w:color w:val="000000"/>
          <w:szCs w:val="24"/>
        </w:rPr>
        <w:t>realizací</w:t>
      </w:r>
      <w:r w:rsidR="00506FDD" w:rsidRPr="00E848F1">
        <w:rPr>
          <w:rFonts w:cs="Calibri"/>
          <w:color w:val="000000"/>
          <w:szCs w:val="24"/>
        </w:rPr>
        <w:t xml:space="preserve"> opatření A.2.4 DZ 2011</w:t>
      </w:r>
      <w:r w:rsidR="003F468D">
        <w:rPr>
          <w:rFonts w:cs="Calibri"/>
          <w:color w:val="000000"/>
          <w:szCs w:val="24"/>
        </w:rPr>
        <w:t>–</w:t>
      </w:r>
      <w:r w:rsidR="00506FDD">
        <w:rPr>
          <w:rFonts w:cs="Calibri"/>
          <w:color w:val="000000"/>
          <w:szCs w:val="24"/>
        </w:rPr>
        <w:t>2015</w:t>
      </w:r>
      <w:r w:rsidR="00506FDD" w:rsidRPr="009E4938">
        <w:rPr>
          <w:rFonts w:cs="Calibri"/>
          <w:i/>
          <w:iCs/>
          <w:color w:val="000000"/>
          <w:szCs w:val="24"/>
        </w:rPr>
        <w:t xml:space="preserve"> </w:t>
      </w:r>
      <w:r w:rsidR="00506FDD" w:rsidRPr="009E4938">
        <w:rPr>
          <w:rFonts w:cs="Calibri"/>
          <w:iCs/>
          <w:color w:val="000000"/>
          <w:szCs w:val="24"/>
        </w:rPr>
        <w:t>s termín</w:t>
      </w:r>
      <w:r w:rsidR="00506FDD">
        <w:rPr>
          <w:rFonts w:cs="Calibri"/>
          <w:iCs/>
          <w:color w:val="000000"/>
          <w:szCs w:val="24"/>
        </w:rPr>
        <w:t>em plnění do roku 2013</w:t>
      </w:r>
      <w:r w:rsidR="00506FDD" w:rsidRPr="009E4938">
        <w:rPr>
          <w:rFonts w:cs="Calibri"/>
          <w:iCs/>
          <w:color w:val="000000"/>
          <w:szCs w:val="24"/>
        </w:rPr>
        <w:t xml:space="preserve">. </w:t>
      </w:r>
      <w:r w:rsidR="00506FDD">
        <w:rPr>
          <w:rFonts w:cs="Calibri"/>
          <w:szCs w:val="24"/>
        </w:rPr>
        <w:t>Dle DZ 2011</w:t>
      </w:r>
      <w:r w:rsidR="00233209">
        <w:rPr>
          <w:rFonts w:cs="Calibri"/>
          <w:szCs w:val="24"/>
        </w:rPr>
        <w:t>–</w:t>
      </w:r>
      <w:r w:rsidR="00506FDD" w:rsidRPr="009E4938">
        <w:rPr>
          <w:rFonts w:cs="Calibri"/>
          <w:szCs w:val="24"/>
        </w:rPr>
        <w:t xml:space="preserve">2015 měly být výsledky pravidelného </w:t>
      </w:r>
      <w:r w:rsidR="00506FDD">
        <w:rPr>
          <w:rFonts w:cs="Calibri"/>
          <w:szCs w:val="24"/>
        </w:rPr>
        <w:t>ověřování</w:t>
      </w:r>
      <w:r w:rsidR="00506FDD" w:rsidRPr="009E4938">
        <w:rPr>
          <w:rFonts w:cs="Calibri"/>
          <w:szCs w:val="24"/>
        </w:rPr>
        <w:t xml:space="preserve"> výsledků žáků na úrovn</w:t>
      </w:r>
      <w:r w:rsidR="00506FDD">
        <w:rPr>
          <w:rFonts w:cs="Calibri"/>
          <w:szCs w:val="24"/>
        </w:rPr>
        <w:t xml:space="preserve">i 5. a 9. tříd </w:t>
      </w:r>
      <w:r w:rsidR="00506FDD" w:rsidRPr="009E4938">
        <w:rPr>
          <w:rFonts w:cs="Calibri"/>
          <w:szCs w:val="24"/>
        </w:rPr>
        <w:t xml:space="preserve">využity pro: </w:t>
      </w:r>
    </w:p>
    <w:p w14:paraId="4A26358C" w14:textId="77777777" w:rsidR="00506FDD" w:rsidRPr="009E4938" w:rsidRDefault="00506FDD" w:rsidP="00506FD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Calibri"/>
          <w:i/>
          <w:iCs/>
          <w:color w:val="000000"/>
          <w:szCs w:val="24"/>
        </w:rPr>
      </w:pPr>
      <w:r w:rsidRPr="009E4938">
        <w:rPr>
          <w:rFonts w:cs="Calibri"/>
          <w:iCs/>
          <w:color w:val="000000"/>
          <w:szCs w:val="24"/>
        </w:rPr>
        <w:t>vlastní hodnocení školy,</w:t>
      </w:r>
    </w:p>
    <w:p w14:paraId="36E11CBE" w14:textId="77777777" w:rsidR="00506FDD" w:rsidRPr="009E4938" w:rsidRDefault="00506FDD" w:rsidP="00506FD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Calibri"/>
          <w:i/>
          <w:iCs/>
          <w:color w:val="000000"/>
          <w:szCs w:val="24"/>
        </w:rPr>
      </w:pPr>
      <w:r w:rsidRPr="009E4938">
        <w:rPr>
          <w:rFonts w:cs="Calibri"/>
          <w:iCs/>
          <w:color w:val="000000"/>
          <w:szCs w:val="24"/>
        </w:rPr>
        <w:t xml:space="preserve">orientaci žáka ve vlastních znalostech, dovednostech a předpokladech pro postup do středního vzdělávání, </w:t>
      </w:r>
    </w:p>
    <w:p w14:paraId="7518798A" w14:textId="77777777" w:rsidR="00506FDD" w:rsidRPr="009E4938" w:rsidRDefault="00506FDD" w:rsidP="00506FD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Calibri"/>
          <w:i/>
          <w:iCs/>
          <w:color w:val="000000"/>
          <w:szCs w:val="24"/>
        </w:rPr>
      </w:pPr>
      <w:r w:rsidRPr="009E4938">
        <w:rPr>
          <w:rFonts w:cs="Calibri"/>
          <w:iCs/>
          <w:color w:val="000000"/>
          <w:szCs w:val="24"/>
        </w:rPr>
        <w:t xml:space="preserve">přijímací řízení na </w:t>
      </w:r>
      <w:r>
        <w:rPr>
          <w:rFonts w:cs="Calibri"/>
          <w:iCs/>
          <w:color w:val="000000"/>
          <w:szCs w:val="24"/>
        </w:rPr>
        <w:t>SŠ</w:t>
      </w:r>
      <w:r w:rsidRPr="009E4938">
        <w:rPr>
          <w:rFonts w:cs="Calibri"/>
          <w:iCs/>
          <w:color w:val="000000"/>
          <w:szCs w:val="24"/>
        </w:rPr>
        <w:t>.</w:t>
      </w:r>
    </w:p>
    <w:p w14:paraId="46FB9F24" w14:textId="78CA4E61" w:rsidR="00506FDD" w:rsidRPr="009E4938" w:rsidRDefault="00506FDD" w:rsidP="00506FDD">
      <w:pPr>
        <w:spacing w:line="240" w:lineRule="auto"/>
        <w:jc w:val="both"/>
        <w:rPr>
          <w:rFonts w:cs="Calibri"/>
          <w:iCs/>
          <w:color w:val="000000"/>
          <w:szCs w:val="24"/>
        </w:rPr>
      </w:pPr>
      <w:r>
        <w:rPr>
          <w:rFonts w:cs="Calibri"/>
          <w:iCs/>
          <w:color w:val="000000"/>
          <w:szCs w:val="24"/>
        </w:rPr>
        <w:t xml:space="preserve">Vzhledem k definovanému </w:t>
      </w:r>
      <w:r w:rsidRPr="009E4938">
        <w:rPr>
          <w:rFonts w:cs="Calibri"/>
          <w:iCs/>
          <w:color w:val="000000"/>
          <w:szCs w:val="24"/>
        </w:rPr>
        <w:t xml:space="preserve">využití výsledků ověřování </w:t>
      </w:r>
      <w:r>
        <w:rPr>
          <w:rFonts w:cs="Calibri"/>
          <w:iCs/>
          <w:color w:val="000000"/>
          <w:szCs w:val="24"/>
        </w:rPr>
        <w:t xml:space="preserve">5. a 9. tříd mělo být toto ověřování </w:t>
      </w:r>
      <w:r w:rsidRPr="009E4938">
        <w:rPr>
          <w:rFonts w:cs="Calibri"/>
          <w:iCs/>
          <w:color w:val="000000"/>
          <w:szCs w:val="24"/>
        </w:rPr>
        <w:t>realizováno každoročně a</w:t>
      </w:r>
      <w:r>
        <w:rPr>
          <w:rFonts w:cs="Calibri"/>
          <w:iCs/>
          <w:color w:val="000000"/>
          <w:szCs w:val="24"/>
        </w:rPr>
        <w:t xml:space="preserve"> celoplošně</w:t>
      </w:r>
      <w:r w:rsidRPr="009E4938">
        <w:rPr>
          <w:rFonts w:cs="Calibri"/>
          <w:iCs/>
          <w:color w:val="000000"/>
          <w:szCs w:val="24"/>
        </w:rPr>
        <w:t xml:space="preserve">. </w:t>
      </w:r>
      <w:r>
        <w:rPr>
          <w:rFonts w:cs="Calibri"/>
          <w:iCs/>
          <w:color w:val="000000"/>
          <w:szCs w:val="24"/>
        </w:rPr>
        <w:t>Ověřování</w:t>
      </w:r>
      <w:r w:rsidRPr="009E4938">
        <w:rPr>
          <w:rFonts w:cs="Calibri"/>
          <w:iCs/>
          <w:color w:val="000000"/>
          <w:szCs w:val="24"/>
        </w:rPr>
        <w:t xml:space="preserve"> mělo být </w:t>
      </w:r>
      <w:r>
        <w:rPr>
          <w:rFonts w:cs="Calibri"/>
          <w:iCs/>
          <w:color w:val="000000"/>
          <w:szCs w:val="24"/>
        </w:rPr>
        <w:t xml:space="preserve">zavedeno </w:t>
      </w:r>
      <w:r w:rsidRPr="009E4938">
        <w:rPr>
          <w:rFonts w:cs="Calibri"/>
          <w:iCs/>
          <w:color w:val="000000"/>
          <w:szCs w:val="24"/>
        </w:rPr>
        <w:t xml:space="preserve">od roku 2013. </w:t>
      </w:r>
      <w:r>
        <w:rPr>
          <w:rFonts w:cs="Calibri"/>
          <w:iCs/>
          <w:color w:val="000000"/>
          <w:szCs w:val="24"/>
        </w:rPr>
        <w:t>Ověřovanými předměty byly ČJL</w:t>
      </w:r>
      <w:r w:rsidRPr="009E4938">
        <w:rPr>
          <w:rFonts w:cs="Calibri"/>
          <w:iCs/>
          <w:color w:val="000000"/>
          <w:szCs w:val="24"/>
        </w:rPr>
        <w:t>, matematika a cizí jazyk.</w:t>
      </w:r>
    </w:p>
    <w:p w14:paraId="3E14F33B" w14:textId="615A44D4" w:rsidR="00506FDD" w:rsidRPr="009E4938" w:rsidRDefault="00506FDD" w:rsidP="00506FDD">
      <w:pPr>
        <w:spacing w:line="240" w:lineRule="auto"/>
        <w:jc w:val="both"/>
        <w:rPr>
          <w:rFonts w:cs="Calibri"/>
          <w:iCs/>
          <w:color w:val="000000"/>
          <w:szCs w:val="24"/>
        </w:rPr>
      </w:pPr>
      <w:r w:rsidRPr="009E4938">
        <w:rPr>
          <w:rFonts w:cs="Calibri"/>
          <w:szCs w:val="24"/>
        </w:rPr>
        <w:t xml:space="preserve">Dne 10. </w:t>
      </w:r>
      <w:r w:rsidR="00EB18E5">
        <w:rPr>
          <w:rFonts w:cs="Calibri"/>
          <w:szCs w:val="24"/>
        </w:rPr>
        <w:t>května</w:t>
      </w:r>
      <w:r w:rsidRPr="009E4938">
        <w:rPr>
          <w:rFonts w:cs="Calibri"/>
          <w:szCs w:val="24"/>
        </w:rPr>
        <w:t xml:space="preserve"> 2011 MŠMT schválilo projekt </w:t>
      </w:r>
      <w:r w:rsidRPr="009E4938">
        <w:rPr>
          <w:rFonts w:cs="ArialMT"/>
          <w:i/>
          <w:szCs w:val="24"/>
          <w:lang w:eastAsia="cs-CZ"/>
        </w:rPr>
        <w:t>Národní systém inspekčního hodnocení vzdělávací soustavy v České republice</w:t>
      </w:r>
      <w:r w:rsidRPr="009E4938">
        <w:rPr>
          <w:rFonts w:cs="ArialMT"/>
          <w:szCs w:val="24"/>
          <w:lang w:eastAsia="cs-CZ"/>
        </w:rPr>
        <w:t xml:space="preserve"> (dále </w:t>
      </w:r>
      <w:r w:rsidR="00811C29">
        <w:t>také</w:t>
      </w:r>
      <w:r w:rsidR="00811C29" w:rsidRPr="009E4938">
        <w:rPr>
          <w:rFonts w:cs="ArialMT"/>
          <w:szCs w:val="24"/>
          <w:lang w:eastAsia="cs-CZ"/>
        </w:rPr>
        <w:t xml:space="preserve"> </w:t>
      </w:r>
      <w:r w:rsidRPr="009E4938">
        <w:rPr>
          <w:rFonts w:cs="ArialMT"/>
          <w:szCs w:val="24"/>
          <w:lang w:eastAsia="cs-CZ"/>
        </w:rPr>
        <w:t>„NIQES“)</w:t>
      </w:r>
      <w:r>
        <w:rPr>
          <w:rStyle w:val="Znakapoznpodarou"/>
          <w:rFonts w:cs="ArialMT"/>
          <w:szCs w:val="24"/>
          <w:lang w:eastAsia="cs-CZ"/>
        </w:rPr>
        <w:footnoteReference w:id="24"/>
      </w:r>
      <w:r>
        <w:rPr>
          <w:rFonts w:cs="Calibri"/>
          <w:szCs w:val="24"/>
        </w:rPr>
        <w:t>, jehož</w:t>
      </w:r>
      <w:r w:rsidRPr="009E4938">
        <w:rPr>
          <w:rFonts w:cs="Calibri"/>
          <w:szCs w:val="24"/>
        </w:rPr>
        <w:t xml:space="preserve"> realizátorem se stala ČŠI</w:t>
      </w:r>
      <w:r>
        <w:rPr>
          <w:rFonts w:cs="Calibri"/>
          <w:szCs w:val="24"/>
        </w:rPr>
        <w:t>.</w:t>
      </w:r>
      <w:r w:rsidRPr="009E493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V</w:t>
      </w:r>
      <w:r w:rsidRPr="009E4938">
        <w:rPr>
          <w:rFonts w:cs="Calibri"/>
          <w:szCs w:val="24"/>
        </w:rPr>
        <w:t xml:space="preserve"> rámci </w:t>
      </w:r>
      <w:r>
        <w:rPr>
          <w:rFonts w:cs="Calibri"/>
          <w:szCs w:val="24"/>
        </w:rPr>
        <w:t>projektu</w:t>
      </w:r>
      <w:r w:rsidRPr="009E4938">
        <w:rPr>
          <w:rFonts w:cs="Calibri"/>
          <w:szCs w:val="24"/>
        </w:rPr>
        <w:t xml:space="preserve"> byl vyvinut informační systém </w:t>
      </w:r>
      <w:r w:rsidRPr="00C628B4">
        <w:rPr>
          <w:rFonts w:cs="Calibri"/>
          <w:i/>
          <w:szCs w:val="24"/>
        </w:rPr>
        <w:t>InspIS SET</w:t>
      </w:r>
      <w:r w:rsidRPr="009E4938">
        <w:rPr>
          <w:rFonts w:cs="Calibri"/>
          <w:szCs w:val="24"/>
        </w:rPr>
        <w:t xml:space="preserve"> pro ověřová</w:t>
      </w:r>
      <w:r w:rsidR="00961640">
        <w:rPr>
          <w:rFonts w:cs="Calibri"/>
          <w:szCs w:val="24"/>
        </w:rPr>
        <w:t xml:space="preserve">ní výsledků žáků </w:t>
      </w:r>
      <w:r w:rsidR="00EB18E5">
        <w:rPr>
          <w:rFonts w:cs="Calibri"/>
          <w:szCs w:val="24"/>
        </w:rPr>
        <w:br/>
      </w:r>
      <w:r w:rsidR="00961640">
        <w:rPr>
          <w:rFonts w:cs="Calibri"/>
          <w:szCs w:val="24"/>
        </w:rPr>
        <w:t>5. a 9. tříd a </w:t>
      </w:r>
      <w:r>
        <w:rPr>
          <w:rFonts w:cs="Calibri"/>
          <w:szCs w:val="24"/>
        </w:rPr>
        <w:t xml:space="preserve">mobilní aplikace </w:t>
      </w:r>
      <w:r w:rsidRPr="00C628B4">
        <w:rPr>
          <w:rFonts w:cs="Calibri"/>
          <w:i/>
          <w:szCs w:val="24"/>
        </w:rPr>
        <w:t>InspIS SET mobile</w:t>
      </w:r>
      <w:r w:rsidRPr="009E4938">
        <w:rPr>
          <w:rFonts w:cs="Calibri"/>
          <w:szCs w:val="24"/>
        </w:rPr>
        <w:t xml:space="preserve"> s celko</w:t>
      </w:r>
      <w:r>
        <w:rPr>
          <w:rFonts w:cs="Calibri"/>
          <w:szCs w:val="24"/>
        </w:rPr>
        <w:t>vými výdaji ve výši 116 105 500</w:t>
      </w:r>
      <w:r w:rsidRPr="009E4938">
        <w:rPr>
          <w:rFonts w:cs="Calibri"/>
          <w:szCs w:val="24"/>
        </w:rPr>
        <w:t xml:space="preserve"> Kč vč.</w:t>
      </w:r>
      <w:r w:rsidR="00EB18E5">
        <w:rPr>
          <w:rFonts w:cs="Calibri"/>
          <w:szCs w:val="24"/>
        </w:rPr>
        <w:t> </w:t>
      </w:r>
      <w:r w:rsidRPr="009E4938">
        <w:rPr>
          <w:rFonts w:cs="Calibri"/>
          <w:szCs w:val="24"/>
        </w:rPr>
        <w:t>DPH.</w:t>
      </w:r>
    </w:p>
    <w:p w14:paraId="44C3FF64" w14:textId="66BFBADF" w:rsidR="00506FDD" w:rsidRPr="00A140E5" w:rsidRDefault="00506FDD" w:rsidP="00506F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Cs w:val="24"/>
        </w:rPr>
      </w:pPr>
      <w:r w:rsidRPr="009E4938">
        <w:rPr>
          <w:rFonts w:cstheme="minorHAnsi"/>
          <w:szCs w:val="24"/>
        </w:rPr>
        <w:t xml:space="preserve">Informační systém </w:t>
      </w:r>
      <w:r w:rsidRPr="00C628B4">
        <w:rPr>
          <w:rFonts w:cstheme="minorHAnsi"/>
          <w:i/>
          <w:szCs w:val="24"/>
        </w:rPr>
        <w:t>InspIS SET</w:t>
      </w:r>
      <w:r>
        <w:rPr>
          <w:rFonts w:cstheme="minorHAnsi"/>
          <w:szCs w:val="24"/>
        </w:rPr>
        <w:t xml:space="preserve"> pro ověřování výsledků žáků byl </w:t>
      </w:r>
      <w:r w:rsidRPr="009E4938">
        <w:rPr>
          <w:bCs/>
          <w:szCs w:val="24"/>
        </w:rPr>
        <w:t>uveden do ostrého provozu v</w:t>
      </w:r>
      <w:r w:rsidR="00BB105B">
        <w:rPr>
          <w:bCs/>
          <w:szCs w:val="24"/>
        </w:rPr>
        <w:t> </w:t>
      </w:r>
      <w:r w:rsidRPr="009E4938">
        <w:rPr>
          <w:bCs/>
          <w:szCs w:val="24"/>
        </w:rPr>
        <w:t xml:space="preserve">září 2013. K celoplošnému ani výběrovému ověřování </w:t>
      </w:r>
      <w:r>
        <w:rPr>
          <w:bCs/>
          <w:szCs w:val="24"/>
        </w:rPr>
        <w:t>výsledků žáků 5. a 9. tříd</w:t>
      </w:r>
      <w:r w:rsidRPr="009E4938">
        <w:rPr>
          <w:bCs/>
          <w:szCs w:val="24"/>
        </w:rPr>
        <w:t xml:space="preserve"> v ostrém provozu informačního systému </w:t>
      </w:r>
      <w:r w:rsidRPr="00C628B4">
        <w:rPr>
          <w:bCs/>
          <w:i/>
          <w:szCs w:val="24"/>
        </w:rPr>
        <w:t>InspIS SET</w:t>
      </w:r>
      <w:r>
        <w:rPr>
          <w:bCs/>
          <w:szCs w:val="24"/>
        </w:rPr>
        <w:t xml:space="preserve"> ve sledovaném období</w:t>
      </w:r>
      <w:r w:rsidR="005D1887">
        <w:rPr>
          <w:bCs/>
          <w:szCs w:val="24"/>
        </w:rPr>
        <w:t xml:space="preserve"> 2011</w:t>
      </w:r>
      <w:r w:rsidR="00961640">
        <w:rPr>
          <w:bCs/>
          <w:szCs w:val="24"/>
        </w:rPr>
        <w:t>–</w:t>
      </w:r>
      <w:r w:rsidRPr="009E4938">
        <w:rPr>
          <w:bCs/>
          <w:szCs w:val="24"/>
        </w:rPr>
        <w:t xml:space="preserve">2015 </w:t>
      </w:r>
      <w:r>
        <w:rPr>
          <w:bCs/>
          <w:szCs w:val="24"/>
        </w:rPr>
        <w:t xml:space="preserve">nikdy </w:t>
      </w:r>
      <w:r w:rsidRPr="009E4938">
        <w:rPr>
          <w:bCs/>
          <w:szCs w:val="24"/>
        </w:rPr>
        <w:t xml:space="preserve">nedošlo. </w:t>
      </w:r>
    </w:p>
    <w:p w14:paraId="2E297AD1" w14:textId="2023732E" w:rsidR="00506FDD" w:rsidRPr="009E4938" w:rsidRDefault="00506FDD" w:rsidP="00506FDD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Cs w:val="24"/>
          <w:lang w:eastAsia="cs-CZ"/>
        </w:rPr>
      </w:pPr>
      <w:r>
        <w:rPr>
          <w:rFonts w:cs="Calibri"/>
          <w:bCs/>
          <w:color w:val="000000"/>
          <w:szCs w:val="24"/>
          <w:lang w:eastAsia="cs-CZ"/>
        </w:rPr>
        <w:t>V říjnu</w:t>
      </w:r>
      <w:r w:rsidRPr="00A140E5">
        <w:rPr>
          <w:rFonts w:cs="Calibri"/>
          <w:bCs/>
          <w:color w:val="000000"/>
          <w:szCs w:val="24"/>
          <w:lang w:eastAsia="cs-CZ"/>
        </w:rPr>
        <w:t xml:space="preserve"> 2013 MŠMT</w:t>
      </w:r>
      <w:r>
        <w:rPr>
          <w:rFonts w:cs="Calibri"/>
          <w:bCs/>
          <w:color w:val="000000"/>
          <w:szCs w:val="24"/>
          <w:lang w:eastAsia="cs-CZ"/>
        </w:rPr>
        <w:t xml:space="preserve"> na návrh </w:t>
      </w:r>
      <w:r w:rsidR="005C0E6A">
        <w:rPr>
          <w:rFonts w:cs="Calibri"/>
          <w:bCs/>
          <w:color w:val="000000"/>
          <w:szCs w:val="24"/>
          <w:lang w:eastAsia="cs-CZ"/>
        </w:rPr>
        <w:t>ČŠI</w:t>
      </w:r>
      <w:r>
        <w:rPr>
          <w:rFonts w:cs="Calibri"/>
          <w:bCs/>
          <w:color w:val="000000"/>
          <w:szCs w:val="24"/>
          <w:lang w:eastAsia="cs-CZ"/>
        </w:rPr>
        <w:t xml:space="preserve"> odsouhlasilo</w:t>
      </w:r>
      <w:r>
        <w:rPr>
          <w:rStyle w:val="Znakapoznpodarou"/>
          <w:rFonts w:cs="Calibri"/>
          <w:bCs/>
          <w:color w:val="000000"/>
          <w:szCs w:val="24"/>
          <w:lang w:eastAsia="cs-CZ"/>
        </w:rPr>
        <w:footnoteReference w:id="25"/>
      </w:r>
      <w:r>
        <w:rPr>
          <w:rFonts w:cs="Calibri"/>
          <w:bCs/>
          <w:color w:val="000000"/>
          <w:szCs w:val="24"/>
          <w:lang w:eastAsia="cs-CZ"/>
        </w:rPr>
        <w:t xml:space="preserve"> </w:t>
      </w:r>
      <w:r w:rsidRPr="00A140E5">
        <w:rPr>
          <w:rFonts w:cs="Calibri"/>
          <w:bCs/>
          <w:color w:val="000000"/>
          <w:szCs w:val="24"/>
          <w:lang w:eastAsia="cs-CZ"/>
        </w:rPr>
        <w:t>změn</w:t>
      </w:r>
      <w:r>
        <w:rPr>
          <w:rFonts w:cs="Calibri"/>
          <w:bCs/>
          <w:color w:val="000000"/>
          <w:szCs w:val="24"/>
          <w:lang w:eastAsia="cs-CZ"/>
        </w:rPr>
        <w:t>u</w:t>
      </w:r>
      <w:r w:rsidRPr="00A140E5">
        <w:rPr>
          <w:rFonts w:cs="Calibri"/>
          <w:bCs/>
          <w:color w:val="000000"/>
          <w:szCs w:val="24"/>
          <w:lang w:eastAsia="cs-CZ"/>
        </w:rPr>
        <w:t xml:space="preserve"> každoroční</w:t>
      </w:r>
      <w:r>
        <w:rPr>
          <w:rFonts w:cs="Calibri"/>
          <w:bCs/>
          <w:color w:val="000000"/>
          <w:szCs w:val="24"/>
          <w:lang w:eastAsia="cs-CZ"/>
        </w:rPr>
        <w:t>ho</w:t>
      </w:r>
      <w:r w:rsidRPr="00A140E5">
        <w:rPr>
          <w:rFonts w:cs="Calibri"/>
          <w:bCs/>
          <w:color w:val="000000"/>
          <w:szCs w:val="24"/>
          <w:lang w:eastAsia="cs-CZ"/>
        </w:rPr>
        <w:t xml:space="preserve"> celoplošn</w:t>
      </w:r>
      <w:r>
        <w:rPr>
          <w:rFonts w:cs="Calibri"/>
          <w:bCs/>
          <w:color w:val="000000"/>
          <w:szCs w:val="24"/>
          <w:lang w:eastAsia="cs-CZ"/>
        </w:rPr>
        <w:t>ého ověřování 5. a 9. tříd</w:t>
      </w:r>
      <w:r w:rsidRPr="00A140E5">
        <w:rPr>
          <w:rFonts w:cs="Calibri"/>
          <w:bCs/>
          <w:color w:val="000000"/>
          <w:szCs w:val="24"/>
          <w:lang w:eastAsia="cs-CZ"/>
        </w:rPr>
        <w:t xml:space="preserve"> na</w:t>
      </w:r>
      <w:r w:rsidR="00DA43E5">
        <w:rPr>
          <w:rFonts w:cs="Calibri"/>
          <w:bCs/>
          <w:color w:val="000000"/>
          <w:szCs w:val="24"/>
          <w:lang w:eastAsia="cs-CZ"/>
        </w:rPr>
        <w:t xml:space="preserve"> </w:t>
      </w:r>
      <w:r w:rsidRPr="00A140E5">
        <w:rPr>
          <w:rFonts w:cs="Calibri"/>
          <w:bCs/>
          <w:color w:val="000000"/>
          <w:szCs w:val="24"/>
          <w:lang w:eastAsia="cs-CZ"/>
        </w:rPr>
        <w:t xml:space="preserve">ověřování ve čtyřletém cyklu. </w:t>
      </w:r>
      <w:r>
        <w:rPr>
          <w:rFonts w:cs="Calibri"/>
          <w:color w:val="000000"/>
          <w:szCs w:val="24"/>
          <w:lang w:eastAsia="cs-CZ"/>
        </w:rPr>
        <w:t>D</w:t>
      </w:r>
      <w:r w:rsidRPr="00A140E5">
        <w:rPr>
          <w:rFonts w:cs="Calibri"/>
          <w:color w:val="000000"/>
          <w:szCs w:val="24"/>
          <w:lang w:eastAsia="cs-CZ"/>
        </w:rPr>
        <w:t xml:space="preserve">ošlo </w:t>
      </w:r>
      <w:r>
        <w:rPr>
          <w:rFonts w:cs="Calibri"/>
          <w:color w:val="000000"/>
          <w:szCs w:val="24"/>
          <w:lang w:eastAsia="cs-CZ"/>
        </w:rPr>
        <w:t xml:space="preserve">tak </w:t>
      </w:r>
      <w:r w:rsidRPr="00A140E5">
        <w:rPr>
          <w:rFonts w:cs="Calibri"/>
          <w:color w:val="000000"/>
          <w:szCs w:val="24"/>
          <w:lang w:eastAsia="cs-CZ"/>
        </w:rPr>
        <w:t xml:space="preserve">k odklonu od původního záměru </w:t>
      </w:r>
      <w:r w:rsidRPr="00A140E5">
        <w:rPr>
          <w:rFonts w:cs="Calibri"/>
          <w:szCs w:val="24"/>
        </w:rPr>
        <w:t>ověřov</w:t>
      </w:r>
      <w:r w:rsidR="00DA43E5">
        <w:rPr>
          <w:rFonts w:cs="Calibri"/>
          <w:szCs w:val="24"/>
        </w:rPr>
        <w:t>at</w:t>
      </w:r>
      <w:r>
        <w:rPr>
          <w:rFonts w:cs="Calibri"/>
          <w:szCs w:val="24"/>
        </w:rPr>
        <w:t xml:space="preserve"> </w:t>
      </w:r>
      <w:r w:rsidR="00DA43E5" w:rsidRPr="00A140E5">
        <w:rPr>
          <w:rFonts w:cs="Calibri"/>
          <w:szCs w:val="24"/>
        </w:rPr>
        <w:t>každoročně celoplošně</w:t>
      </w:r>
      <w:r w:rsidR="00DA43E5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výsledk</w:t>
      </w:r>
      <w:r w:rsidR="00DA43E5">
        <w:rPr>
          <w:rFonts w:cs="Calibri"/>
          <w:szCs w:val="24"/>
        </w:rPr>
        <w:t>y</w:t>
      </w:r>
      <w:r>
        <w:rPr>
          <w:rFonts w:cs="Calibri"/>
          <w:szCs w:val="24"/>
        </w:rPr>
        <w:t xml:space="preserve"> žáků 5. a 9. tříd</w:t>
      </w:r>
      <w:r w:rsidR="00DA43E5">
        <w:rPr>
          <w:rFonts w:cs="Calibri"/>
          <w:szCs w:val="24"/>
        </w:rPr>
        <w:t xml:space="preserve">, což bylo </w:t>
      </w:r>
      <w:r w:rsidR="00BE7007">
        <w:rPr>
          <w:rFonts w:cs="Calibri"/>
          <w:szCs w:val="24"/>
        </w:rPr>
        <w:t>v rozporu s nastavenými cíli a </w:t>
      </w:r>
      <w:r w:rsidRPr="00A140E5">
        <w:rPr>
          <w:rFonts w:cs="Calibri"/>
          <w:szCs w:val="24"/>
        </w:rPr>
        <w:t xml:space="preserve">opatřeními </w:t>
      </w:r>
      <w:r>
        <w:rPr>
          <w:rFonts w:cs="Calibri"/>
          <w:szCs w:val="24"/>
        </w:rPr>
        <w:t xml:space="preserve">v té době platného </w:t>
      </w:r>
      <w:r w:rsidRPr="00A140E5">
        <w:rPr>
          <w:rFonts w:cs="Calibri"/>
          <w:szCs w:val="24"/>
        </w:rPr>
        <w:t xml:space="preserve">DZ </w:t>
      </w:r>
      <w:r w:rsidR="005D1887">
        <w:rPr>
          <w:rFonts w:cstheme="minorHAnsi"/>
          <w:iCs/>
          <w:color w:val="000000"/>
          <w:szCs w:val="24"/>
        </w:rPr>
        <w:t>2011</w:t>
      </w:r>
      <w:r w:rsidR="00D17AE0">
        <w:rPr>
          <w:rFonts w:cstheme="minorHAnsi"/>
          <w:iCs/>
          <w:color w:val="000000"/>
          <w:szCs w:val="24"/>
        </w:rPr>
        <w:t>–</w:t>
      </w:r>
      <w:r w:rsidRPr="00A140E5">
        <w:rPr>
          <w:rFonts w:cstheme="minorHAnsi"/>
          <w:iCs/>
          <w:color w:val="000000"/>
          <w:szCs w:val="24"/>
        </w:rPr>
        <w:t>2015</w:t>
      </w:r>
      <w:r w:rsidRPr="00A140E5">
        <w:rPr>
          <w:rFonts w:cs="Calibri"/>
          <w:szCs w:val="24"/>
        </w:rPr>
        <w:t>.</w:t>
      </w:r>
      <w:r w:rsidRPr="009E4938">
        <w:rPr>
          <w:rFonts w:cs="Calibri"/>
          <w:szCs w:val="24"/>
        </w:rPr>
        <w:t xml:space="preserve"> </w:t>
      </w:r>
    </w:p>
    <w:p w14:paraId="08597574" w14:textId="77777777" w:rsidR="00506FDD" w:rsidRPr="009E4938" w:rsidRDefault="00506FDD" w:rsidP="00506FDD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>
        <w:rPr>
          <w:rFonts w:cs="Calibri"/>
          <w:szCs w:val="24"/>
          <w:lang w:eastAsia="cs-CZ"/>
        </w:rPr>
        <w:t xml:space="preserve">V listopadu </w:t>
      </w:r>
      <w:r w:rsidRPr="009E4938">
        <w:rPr>
          <w:rFonts w:cs="Calibri"/>
          <w:szCs w:val="24"/>
          <w:lang w:eastAsia="cs-CZ"/>
        </w:rPr>
        <w:t xml:space="preserve">2013 ČŠI a MŠMT </w:t>
      </w:r>
      <w:r>
        <w:rPr>
          <w:rFonts w:cs="Calibri"/>
          <w:szCs w:val="24"/>
          <w:lang w:eastAsia="cs-CZ"/>
        </w:rPr>
        <w:t>o této změně informovaly</w:t>
      </w:r>
      <w:r w:rsidRPr="009E4938">
        <w:rPr>
          <w:rFonts w:cs="Calibri"/>
          <w:szCs w:val="24"/>
          <w:lang w:eastAsia="cs-CZ"/>
        </w:rPr>
        <w:t xml:space="preserve"> zástupc</w:t>
      </w:r>
      <w:r>
        <w:rPr>
          <w:rFonts w:cs="Calibri"/>
          <w:szCs w:val="24"/>
          <w:lang w:eastAsia="cs-CZ"/>
        </w:rPr>
        <w:t>e</w:t>
      </w:r>
      <w:r w:rsidRPr="009E4938">
        <w:rPr>
          <w:rFonts w:cs="Calibri"/>
          <w:szCs w:val="24"/>
          <w:lang w:eastAsia="cs-CZ"/>
        </w:rPr>
        <w:t xml:space="preserve"> krajů a školských asociací</w:t>
      </w:r>
      <w:r w:rsidR="005C0E6A">
        <w:rPr>
          <w:rFonts w:cs="Calibri"/>
          <w:szCs w:val="24"/>
          <w:lang w:eastAsia="cs-CZ"/>
        </w:rPr>
        <w:t xml:space="preserve">, kteří však </w:t>
      </w:r>
      <w:r w:rsidR="005C0E6A">
        <w:rPr>
          <w:szCs w:val="24"/>
        </w:rPr>
        <w:t>s touto</w:t>
      </w:r>
      <w:r>
        <w:rPr>
          <w:szCs w:val="24"/>
        </w:rPr>
        <w:t xml:space="preserve"> změnou vyslovili nesouhlas </w:t>
      </w:r>
      <w:r w:rsidRPr="009E4938">
        <w:rPr>
          <w:szCs w:val="24"/>
        </w:rPr>
        <w:t>a požadovali ověřování</w:t>
      </w:r>
      <w:r w:rsidRPr="00E17BAA">
        <w:rPr>
          <w:szCs w:val="24"/>
        </w:rPr>
        <w:t xml:space="preserve"> </w:t>
      </w:r>
      <w:r w:rsidRPr="009E4938">
        <w:rPr>
          <w:szCs w:val="24"/>
        </w:rPr>
        <w:t xml:space="preserve">každoroční. </w:t>
      </w:r>
    </w:p>
    <w:p w14:paraId="6AFB883A" w14:textId="6C90A52B" w:rsidR="00506FDD" w:rsidRPr="009E4938" w:rsidRDefault="00506FDD" w:rsidP="00506FDD">
      <w:pPr>
        <w:spacing w:line="240" w:lineRule="auto"/>
        <w:jc w:val="both"/>
        <w:rPr>
          <w:rFonts w:cs="Calibri"/>
          <w:szCs w:val="24"/>
        </w:rPr>
      </w:pPr>
      <w:r>
        <w:rPr>
          <w:szCs w:val="24"/>
        </w:rPr>
        <w:t>Usnesením vlády ze dne 15. dubna</w:t>
      </w:r>
      <w:r w:rsidRPr="009E4938">
        <w:rPr>
          <w:szCs w:val="24"/>
        </w:rPr>
        <w:t xml:space="preserve"> 2015 </w:t>
      </w:r>
      <w:r>
        <w:rPr>
          <w:szCs w:val="24"/>
        </w:rPr>
        <w:t>č. 277 byl schválen</w:t>
      </w:r>
      <w:r w:rsidRPr="009E4938">
        <w:rPr>
          <w:szCs w:val="24"/>
        </w:rPr>
        <w:t xml:space="preserve"> </w:t>
      </w:r>
      <w:r>
        <w:rPr>
          <w:szCs w:val="24"/>
        </w:rPr>
        <w:t>DZ 2015</w:t>
      </w:r>
      <w:r w:rsidR="00D17AE0">
        <w:rPr>
          <w:szCs w:val="24"/>
        </w:rPr>
        <w:t>–</w:t>
      </w:r>
      <w:r w:rsidRPr="00144AFA">
        <w:rPr>
          <w:szCs w:val="24"/>
        </w:rPr>
        <w:t>2020</w:t>
      </w:r>
      <w:r>
        <w:rPr>
          <w:szCs w:val="24"/>
        </w:rPr>
        <w:t>, ve kterém MŠMT nastavilo změnu záměru</w:t>
      </w:r>
      <w:r w:rsidRPr="009E4938">
        <w:rPr>
          <w:rFonts w:cs="Calibri"/>
          <w:szCs w:val="24"/>
        </w:rPr>
        <w:t xml:space="preserve"> ověřová</w:t>
      </w:r>
      <w:r>
        <w:rPr>
          <w:rFonts w:cs="Calibri"/>
          <w:szCs w:val="24"/>
        </w:rPr>
        <w:t>ní výsledků žáků 5. a 9. tříd. Ověřování bude</w:t>
      </w:r>
      <w:r w:rsidRPr="009E4938">
        <w:rPr>
          <w:rFonts w:cs="Calibri"/>
          <w:szCs w:val="24"/>
        </w:rPr>
        <w:t xml:space="preserve"> od roku 2017 probíhat ve čtyřletých cyklech </w:t>
      </w:r>
      <w:r>
        <w:rPr>
          <w:rFonts w:cs="Calibri"/>
          <w:szCs w:val="24"/>
        </w:rPr>
        <w:t xml:space="preserve">pouze </w:t>
      </w:r>
      <w:r w:rsidRPr="009E4938">
        <w:rPr>
          <w:rFonts w:cs="Calibri"/>
          <w:szCs w:val="24"/>
        </w:rPr>
        <w:t xml:space="preserve">na vybraném vzorku 5. a 9. </w:t>
      </w:r>
      <w:r>
        <w:rPr>
          <w:rFonts w:cs="Calibri"/>
          <w:szCs w:val="24"/>
        </w:rPr>
        <w:t>tříd</w:t>
      </w:r>
      <w:r w:rsidRPr="009E4938">
        <w:rPr>
          <w:rFonts w:cs="Calibri"/>
          <w:szCs w:val="24"/>
        </w:rPr>
        <w:t xml:space="preserve"> ZŠ</w:t>
      </w:r>
      <w:r w:rsidRPr="009E4938">
        <w:rPr>
          <w:szCs w:val="24"/>
        </w:rPr>
        <w:t>.</w:t>
      </w:r>
      <w:r w:rsidRPr="009E4938">
        <w:rPr>
          <w:rFonts w:cs="Calibri"/>
          <w:szCs w:val="24"/>
        </w:rPr>
        <w:t xml:space="preserve"> </w:t>
      </w:r>
      <w:r w:rsidR="00BE7007">
        <w:rPr>
          <w:rFonts w:cs="Calibri"/>
          <w:szCs w:val="24"/>
        </w:rPr>
        <w:t>Takto nastavená a </w:t>
      </w:r>
      <w:r w:rsidRPr="009E4938">
        <w:rPr>
          <w:rFonts w:cs="Calibri"/>
          <w:szCs w:val="24"/>
        </w:rPr>
        <w:t xml:space="preserve">aktuálně platná podoba ověřování </w:t>
      </w:r>
      <w:r>
        <w:rPr>
          <w:rFonts w:cs="Calibri"/>
          <w:szCs w:val="24"/>
        </w:rPr>
        <w:t xml:space="preserve">5. a 9. tříd </w:t>
      </w:r>
      <w:r w:rsidRPr="009E4938">
        <w:rPr>
          <w:rFonts w:cs="Calibri"/>
          <w:szCs w:val="24"/>
        </w:rPr>
        <w:t xml:space="preserve">již </w:t>
      </w:r>
      <w:r>
        <w:rPr>
          <w:rFonts w:cs="Calibri"/>
          <w:szCs w:val="24"/>
        </w:rPr>
        <w:t xml:space="preserve">nezajišťuje </w:t>
      </w:r>
      <w:r w:rsidR="00046EC8">
        <w:rPr>
          <w:rFonts w:cs="Calibri"/>
          <w:szCs w:val="24"/>
        </w:rPr>
        <w:t xml:space="preserve">ohledně kvality dosahovaného vzdělání zpětnou vazbu v podobě: </w:t>
      </w:r>
    </w:p>
    <w:p w14:paraId="4EA615E6" w14:textId="589604D7" w:rsidR="00506FDD" w:rsidRPr="009E4938" w:rsidRDefault="00506FDD" w:rsidP="00506FD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Calibri"/>
          <w:szCs w:val="24"/>
        </w:rPr>
      </w:pPr>
      <w:r w:rsidRPr="009E4938">
        <w:rPr>
          <w:rFonts w:cs="Calibri"/>
          <w:szCs w:val="24"/>
        </w:rPr>
        <w:t>externí</w:t>
      </w:r>
      <w:r w:rsidR="008211DE">
        <w:rPr>
          <w:rFonts w:cs="Calibri"/>
          <w:szCs w:val="24"/>
        </w:rPr>
        <w:t>ho</w:t>
      </w:r>
      <w:r w:rsidRPr="009E4938">
        <w:rPr>
          <w:rFonts w:cs="Calibri"/>
          <w:szCs w:val="24"/>
        </w:rPr>
        <w:t xml:space="preserve"> standardizované</w:t>
      </w:r>
      <w:r w:rsidR="008211DE">
        <w:rPr>
          <w:rFonts w:cs="Calibri"/>
          <w:szCs w:val="24"/>
        </w:rPr>
        <w:t>ho</w:t>
      </w:r>
      <w:r w:rsidRPr="009E4938">
        <w:rPr>
          <w:rFonts w:cs="Calibri"/>
          <w:szCs w:val="24"/>
        </w:rPr>
        <w:t xml:space="preserve"> hodnocení všech </w:t>
      </w:r>
      <w:r w:rsidR="00727159">
        <w:rPr>
          <w:rFonts w:cs="Calibri"/>
          <w:szCs w:val="24"/>
        </w:rPr>
        <w:t>ZŠ</w:t>
      </w:r>
      <w:r w:rsidRPr="009E4938">
        <w:rPr>
          <w:rFonts w:cs="Calibri"/>
          <w:szCs w:val="24"/>
        </w:rPr>
        <w:t xml:space="preserve"> umožňující</w:t>
      </w:r>
      <w:r w:rsidR="008211DE">
        <w:rPr>
          <w:rFonts w:cs="Calibri"/>
          <w:szCs w:val="24"/>
        </w:rPr>
        <w:t>ho</w:t>
      </w:r>
      <w:r w:rsidRPr="009E4938">
        <w:rPr>
          <w:rFonts w:cs="Calibri"/>
          <w:szCs w:val="24"/>
        </w:rPr>
        <w:t xml:space="preserve"> vzájemnou srovnatelnost</w:t>
      </w:r>
      <w:r w:rsidR="00727159">
        <w:rPr>
          <w:rFonts w:cs="Calibri"/>
          <w:szCs w:val="24"/>
        </w:rPr>
        <w:t xml:space="preserve"> žáků a škol</w:t>
      </w:r>
      <w:r w:rsidRPr="009E4938">
        <w:rPr>
          <w:rFonts w:cs="Calibri"/>
          <w:szCs w:val="24"/>
        </w:rPr>
        <w:t>,</w:t>
      </w:r>
    </w:p>
    <w:p w14:paraId="54A30A12" w14:textId="67215C30" w:rsidR="00506FDD" w:rsidRPr="009E4938" w:rsidRDefault="00506FDD" w:rsidP="00506FD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="Calibri"/>
          <w:szCs w:val="24"/>
        </w:rPr>
      </w:pPr>
      <w:r w:rsidRPr="009E4938">
        <w:rPr>
          <w:rFonts w:cs="Calibri"/>
          <w:szCs w:val="24"/>
        </w:rPr>
        <w:t>výsledk</w:t>
      </w:r>
      <w:r w:rsidR="008211DE">
        <w:rPr>
          <w:rFonts w:cs="Calibri"/>
          <w:szCs w:val="24"/>
        </w:rPr>
        <w:t>ů</w:t>
      </w:r>
      <w:r w:rsidRPr="009E4938">
        <w:rPr>
          <w:rFonts w:cs="Calibri"/>
          <w:szCs w:val="24"/>
        </w:rPr>
        <w:t xml:space="preserve"> externího hodnocení všech škol jejich zřizovatelům a MŠMT,</w:t>
      </w:r>
    </w:p>
    <w:p w14:paraId="0DC63580" w14:textId="12CE0D80" w:rsidR="00506FDD" w:rsidRDefault="00506FDD" w:rsidP="00506FDD">
      <w:pPr>
        <w:pStyle w:val="Odstavecseseznamem"/>
        <w:numPr>
          <w:ilvl w:val="0"/>
          <w:numId w:val="4"/>
        </w:numPr>
        <w:spacing w:before="120" w:line="240" w:lineRule="auto"/>
        <w:jc w:val="both"/>
        <w:rPr>
          <w:rFonts w:cs="Calibri"/>
          <w:szCs w:val="24"/>
        </w:rPr>
      </w:pPr>
      <w:r w:rsidRPr="009E4938">
        <w:rPr>
          <w:rFonts w:cs="Calibri"/>
          <w:szCs w:val="24"/>
        </w:rPr>
        <w:lastRenderedPageBreak/>
        <w:t>výsledk</w:t>
      </w:r>
      <w:r w:rsidR="008211DE">
        <w:rPr>
          <w:rFonts w:cs="Calibri"/>
          <w:szCs w:val="24"/>
        </w:rPr>
        <w:t>ů</w:t>
      </w:r>
      <w:r w:rsidRPr="009E4938">
        <w:rPr>
          <w:rFonts w:cs="Calibri"/>
          <w:szCs w:val="24"/>
        </w:rPr>
        <w:t xml:space="preserve"> pro orientaci každého</w:t>
      </w:r>
      <w:r>
        <w:rPr>
          <w:rFonts w:cs="Calibri"/>
          <w:szCs w:val="24"/>
        </w:rPr>
        <w:t xml:space="preserve"> žáka ve vlastních znalostech, </w:t>
      </w:r>
      <w:r w:rsidRPr="009E4938">
        <w:rPr>
          <w:rFonts w:cs="Calibri"/>
          <w:szCs w:val="24"/>
        </w:rPr>
        <w:t>dovednostech a</w:t>
      </w:r>
      <w:r w:rsidR="00541D0D">
        <w:rPr>
          <w:rFonts w:cs="Calibri"/>
          <w:szCs w:val="24"/>
        </w:rPr>
        <w:t> </w:t>
      </w:r>
      <w:r w:rsidRPr="009E4938">
        <w:rPr>
          <w:rFonts w:cs="Calibri"/>
          <w:szCs w:val="24"/>
        </w:rPr>
        <w:t>předpokladech pro postup do středního vzdělávání.</w:t>
      </w:r>
    </w:p>
    <w:p w14:paraId="07FF24A1" w14:textId="75D9C987" w:rsidR="00506FDD" w:rsidRDefault="00506FDD" w:rsidP="00506FDD">
      <w:pPr>
        <w:spacing w:before="120" w:line="240" w:lineRule="auto"/>
        <w:jc w:val="both"/>
        <w:rPr>
          <w:rFonts w:cs="Calibri"/>
          <w:bCs/>
          <w:szCs w:val="24"/>
        </w:rPr>
      </w:pPr>
      <w:r>
        <w:rPr>
          <w:rFonts w:cstheme="minorHAnsi"/>
          <w:color w:val="000000" w:themeColor="text1"/>
          <w:szCs w:val="24"/>
        </w:rPr>
        <w:t xml:space="preserve">K zavedení pravidelného celoplošného </w:t>
      </w:r>
      <w:r w:rsidRPr="009E4938">
        <w:rPr>
          <w:rFonts w:cstheme="minorHAnsi"/>
          <w:color w:val="000000" w:themeColor="text1"/>
          <w:szCs w:val="24"/>
        </w:rPr>
        <w:t>ověřová</w:t>
      </w:r>
      <w:r>
        <w:rPr>
          <w:rFonts w:cstheme="minorHAnsi"/>
          <w:color w:val="000000" w:themeColor="text1"/>
          <w:szCs w:val="24"/>
        </w:rPr>
        <w:t>ní 5. a 9. tříd</w:t>
      </w:r>
      <w:r w:rsidRPr="009E4938">
        <w:rPr>
          <w:rFonts w:cstheme="minorHAnsi"/>
          <w:color w:val="000000" w:themeColor="text1"/>
          <w:szCs w:val="24"/>
        </w:rPr>
        <w:t xml:space="preserve"> </w:t>
      </w:r>
      <w:r>
        <w:rPr>
          <w:rFonts w:cstheme="minorHAnsi"/>
          <w:color w:val="000000" w:themeColor="text1"/>
          <w:szCs w:val="24"/>
        </w:rPr>
        <w:t>dle nastavení DZ 2011</w:t>
      </w:r>
      <w:r w:rsidR="00D17AE0">
        <w:rPr>
          <w:rFonts w:cstheme="minorHAnsi"/>
          <w:color w:val="000000" w:themeColor="text1"/>
          <w:szCs w:val="24"/>
        </w:rPr>
        <w:t>–</w:t>
      </w:r>
      <w:r w:rsidRPr="009E4938">
        <w:rPr>
          <w:rFonts w:cstheme="minorHAnsi"/>
          <w:color w:val="000000" w:themeColor="text1"/>
          <w:szCs w:val="24"/>
        </w:rPr>
        <w:t>2015</w:t>
      </w:r>
      <w:r>
        <w:rPr>
          <w:rFonts w:cstheme="minorHAnsi"/>
          <w:color w:val="000000" w:themeColor="text1"/>
          <w:szCs w:val="24"/>
        </w:rPr>
        <w:t xml:space="preserve"> tedy nedošlo. </w:t>
      </w:r>
      <w:r>
        <w:rPr>
          <w:rFonts w:cs="Calibri"/>
          <w:szCs w:val="24"/>
        </w:rPr>
        <w:t xml:space="preserve">Výše uvedenými kroky </w:t>
      </w:r>
      <w:r w:rsidRPr="009E4938">
        <w:rPr>
          <w:rFonts w:cs="Calibri"/>
          <w:color w:val="000000" w:themeColor="text1"/>
          <w:szCs w:val="24"/>
        </w:rPr>
        <w:t>MŠMT zúžilo původní rozsah</w:t>
      </w:r>
      <w:r w:rsidR="00BE7007">
        <w:rPr>
          <w:rFonts w:cs="Calibri"/>
          <w:color w:val="000000" w:themeColor="text1"/>
          <w:szCs w:val="24"/>
        </w:rPr>
        <w:t xml:space="preserve"> (z celoplošného na výběrové) a</w:t>
      </w:r>
      <w:r w:rsidR="0066145B">
        <w:rPr>
          <w:rFonts w:cs="Calibri"/>
          <w:color w:val="000000" w:themeColor="text1"/>
          <w:szCs w:val="24"/>
        </w:rPr>
        <w:t xml:space="preserve"> snížilo </w:t>
      </w:r>
      <w:r w:rsidRPr="009E4938">
        <w:rPr>
          <w:rFonts w:cs="Calibri"/>
          <w:color w:val="000000" w:themeColor="text1"/>
          <w:szCs w:val="24"/>
        </w:rPr>
        <w:t>četnost (z frekvence každý školní rok na jednou za čtyři roky) ověřování</w:t>
      </w:r>
      <w:r w:rsidR="0066145B">
        <w:rPr>
          <w:rFonts w:cs="Calibri"/>
          <w:color w:val="000000" w:themeColor="text1"/>
          <w:szCs w:val="24"/>
        </w:rPr>
        <w:t>,</w:t>
      </w:r>
      <w:r w:rsidRPr="009E4938">
        <w:rPr>
          <w:rFonts w:cs="Calibri"/>
          <w:color w:val="000000" w:themeColor="text1"/>
          <w:szCs w:val="24"/>
        </w:rPr>
        <w:t xml:space="preserve"> </w:t>
      </w:r>
      <w:r>
        <w:rPr>
          <w:rFonts w:cs="Calibri"/>
          <w:color w:val="000000" w:themeColor="text1"/>
          <w:szCs w:val="24"/>
        </w:rPr>
        <w:t>a</w:t>
      </w:r>
      <w:r w:rsidR="00D17AE0">
        <w:rPr>
          <w:rFonts w:cs="Calibri"/>
          <w:color w:val="000000" w:themeColor="text1"/>
          <w:szCs w:val="24"/>
        </w:rPr>
        <w:t> </w:t>
      </w:r>
      <w:r>
        <w:rPr>
          <w:rFonts w:cs="Calibri"/>
          <w:color w:val="000000" w:themeColor="text1"/>
          <w:szCs w:val="24"/>
        </w:rPr>
        <w:t>nenaplnilo tak cíle DZ 2011</w:t>
      </w:r>
      <w:r w:rsidR="00D17AE0">
        <w:rPr>
          <w:rFonts w:cs="Calibri"/>
          <w:color w:val="000000" w:themeColor="text1"/>
          <w:szCs w:val="24"/>
        </w:rPr>
        <w:t>–</w:t>
      </w:r>
      <w:r w:rsidRPr="009E4938">
        <w:rPr>
          <w:rFonts w:cs="Calibri"/>
          <w:color w:val="000000" w:themeColor="text1"/>
          <w:szCs w:val="24"/>
        </w:rPr>
        <w:t>2015</w:t>
      </w:r>
      <w:r>
        <w:rPr>
          <w:rFonts w:cs="Calibri"/>
          <w:color w:val="000000" w:themeColor="text1"/>
          <w:szCs w:val="24"/>
        </w:rPr>
        <w:t>.</w:t>
      </w:r>
      <w:r w:rsidRPr="009E4938">
        <w:rPr>
          <w:rFonts w:cs="Calibri"/>
          <w:color w:val="000000" w:themeColor="text1"/>
          <w:szCs w:val="24"/>
        </w:rPr>
        <w:t xml:space="preserve"> </w:t>
      </w:r>
      <w:r w:rsidRPr="009E4938">
        <w:rPr>
          <w:rFonts w:cs="Calibri"/>
          <w:bCs/>
          <w:szCs w:val="24"/>
        </w:rPr>
        <w:t xml:space="preserve">Na systémové úrovni tak byly peněžní prostředky </w:t>
      </w:r>
      <w:r>
        <w:rPr>
          <w:rFonts w:cstheme="minorHAnsi"/>
          <w:color w:val="000000" w:themeColor="text1"/>
          <w:szCs w:val="24"/>
        </w:rPr>
        <w:t>(</w:t>
      </w:r>
      <w:r w:rsidRPr="005D323C">
        <w:rPr>
          <w:rFonts w:cstheme="minorHAnsi"/>
          <w:color w:val="000000" w:themeColor="text1"/>
          <w:szCs w:val="24"/>
        </w:rPr>
        <w:t>116</w:t>
      </w:r>
      <w:r>
        <w:rPr>
          <w:rFonts w:cstheme="minorHAnsi"/>
          <w:color w:val="000000" w:themeColor="text1"/>
          <w:szCs w:val="24"/>
        </w:rPr>
        <w:t> </w:t>
      </w:r>
      <w:r w:rsidRPr="005D323C">
        <w:rPr>
          <w:rFonts w:cstheme="minorHAnsi"/>
          <w:color w:val="000000" w:themeColor="text1"/>
          <w:szCs w:val="24"/>
        </w:rPr>
        <w:t>105</w:t>
      </w:r>
      <w:r>
        <w:rPr>
          <w:rFonts w:cstheme="minorHAnsi"/>
          <w:color w:val="000000" w:themeColor="text1"/>
          <w:szCs w:val="24"/>
        </w:rPr>
        <w:t xml:space="preserve"> </w:t>
      </w:r>
      <w:r w:rsidRPr="005D323C">
        <w:rPr>
          <w:rFonts w:cstheme="minorHAnsi"/>
          <w:color w:val="000000" w:themeColor="text1"/>
          <w:szCs w:val="24"/>
        </w:rPr>
        <w:t>500</w:t>
      </w:r>
      <w:r w:rsidR="00BE7007">
        <w:rPr>
          <w:rFonts w:cstheme="minorHAnsi"/>
          <w:color w:val="000000" w:themeColor="text1"/>
          <w:szCs w:val="24"/>
        </w:rPr>
        <w:t xml:space="preserve"> Kč vč. </w:t>
      </w:r>
      <w:r>
        <w:rPr>
          <w:rFonts w:cstheme="minorHAnsi"/>
          <w:color w:val="000000" w:themeColor="text1"/>
          <w:szCs w:val="24"/>
        </w:rPr>
        <w:t>DPH)</w:t>
      </w:r>
      <w:r w:rsidRPr="009E4938">
        <w:rPr>
          <w:rFonts w:cs="Calibri"/>
          <w:bCs/>
          <w:szCs w:val="24"/>
        </w:rPr>
        <w:t xml:space="preserve"> resortu školství na vývoj informačního systému </w:t>
      </w:r>
      <w:r w:rsidRPr="00C628B4">
        <w:rPr>
          <w:rFonts w:cs="Calibri"/>
          <w:bCs/>
          <w:i/>
          <w:szCs w:val="24"/>
        </w:rPr>
        <w:t>InspIS SET</w:t>
      </w:r>
      <w:r w:rsidRPr="009E4938">
        <w:rPr>
          <w:rFonts w:cs="Calibri"/>
          <w:bCs/>
          <w:szCs w:val="24"/>
        </w:rPr>
        <w:t xml:space="preserve"> a mobilní aplikace </w:t>
      </w:r>
      <w:r w:rsidRPr="00C628B4">
        <w:rPr>
          <w:rFonts w:cs="Calibri"/>
          <w:bCs/>
          <w:i/>
          <w:szCs w:val="24"/>
        </w:rPr>
        <w:t>InspIS SET mobile</w:t>
      </w:r>
      <w:r w:rsidRPr="009E4938">
        <w:rPr>
          <w:rFonts w:cs="Calibri"/>
          <w:bCs/>
          <w:szCs w:val="24"/>
        </w:rPr>
        <w:t xml:space="preserve"> v rámci projektu NIQES vynaloženy neúčelně.</w:t>
      </w:r>
    </w:p>
    <w:p w14:paraId="622CDFA5" w14:textId="3F1530A9" w:rsidR="00374405" w:rsidRPr="005142DA" w:rsidRDefault="00555213" w:rsidP="00374405">
      <w:pPr>
        <w:pStyle w:val="Nadpis2"/>
        <w:numPr>
          <w:ilvl w:val="0"/>
          <w:numId w:val="0"/>
        </w:numPr>
        <w:spacing w:after="120" w:line="240" w:lineRule="auto"/>
        <w:ind w:left="576" w:hanging="576"/>
      </w:pPr>
      <w:r>
        <w:t>K bodu 2</w:t>
      </w:r>
      <w:r w:rsidR="00374405" w:rsidRPr="005142DA">
        <w:t xml:space="preserve"> části II: </w:t>
      </w:r>
      <w:r w:rsidR="0066145B">
        <w:t>ú</w:t>
      </w:r>
      <w:r w:rsidR="00374405">
        <w:t>čelnost a efektivnost výdajů na nástroje hodnocení kvality</w:t>
      </w:r>
    </w:p>
    <w:p w14:paraId="6E8CAEC1" w14:textId="77777777" w:rsidR="00374405" w:rsidRDefault="00374405" w:rsidP="00374405">
      <w:pPr>
        <w:spacing w:line="240" w:lineRule="auto"/>
        <w:jc w:val="both"/>
      </w:pPr>
      <w:r w:rsidRPr="00DB0751">
        <w:t>Na přípravu, vývoj a realizaci nástrojů hodnocení bylo v </w:t>
      </w:r>
      <w:r w:rsidRPr="00A140E5">
        <w:t xml:space="preserve">kontrolovaném období </w:t>
      </w:r>
      <w:r>
        <w:t>od ledna 2011 do</w:t>
      </w:r>
      <w:r w:rsidRPr="00A140E5">
        <w:t xml:space="preserve"> září 2016 vynaloženo celkem 1 179 062 825 Kč. Podrobný přehled </w:t>
      </w:r>
      <w:r w:rsidRPr="00374405">
        <w:t xml:space="preserve">uvádí </w:t>
      </w:r>
      <w:r w:rsidR="00D17AE0">
        <w:t>p</w:t>
      </w:r>
      <w:r w:rsidRPr="00374405">
        <w:t>říloha č. 4.</w:t>
      </w:r>
    </w:p>
    <w:p w14:paraId="26191EF2" w14:textId="77777777" w:rsidR="00374405" w:rsidRPr="005E4AA5" w:rsidRDefault="00374405" w:rsidP="00374405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u w:val="single"/>
        </w:rPr>
      </w:pPr>
      <w:r w:rsidRPr="005E4AA5">
        <w:rPr>
          <w:rFonts w:cstheme="minorHAnsi"/>
          <w:u w:val="single"/>
        </w:rPr>
        <w:t>Ověřová</w:t>
      </w:r>
      <w:r>
        <w:rPr>
          <w:rFonts w:cstheme="minorHAnsi"/>
          <w:u w:val="single"/>
        </w:rPr>
        <w:t>ní výsledků žáků 5. a 9. tříd</w:t>
      </w:r>
      <w:r w:rsidRPr="005E4AA5">
        <w:rPr>
          <w:rFonts w:cstheme="minorHAnsi"/>
          <w:u w:val="single"/>
        </w:rPr>
        <w:t xml:space="preserve"> ZŠ</w:t>
      </w:r>
      <w:r>
        <w:rPr>
          <w:rFonts w:cstheme="minorHAnsi"/>
          <w:u w:val="single"/>
        </w:rPr>
        <w:t xml:space="preserve"> </w:t>
      </w:r>
      <w:r w:rsidR="003F243F">
        <w:rPr>
          <w:rFonts w:cstheme="minorHAnsi"/>
          <w:u w:val="single"/>
        </w:rPr>
        <w:t>–</w:t>
      </w:r>
      <w:r>
        <w:rPr>
          <w:rFonts w:cstheme="minorHAnsi"/>
          <w:u w:val="single"/>
        </w:rPr>
        <w:t xml:space="preserve"> MŠMT</w:t>
      </w:r>
    </w:p>
    <w:p w14:paraId="2CC4F512" w14:textId="1EC057F4" w:rsidR="00374405" w:rsidRPr="002D2DBD" w:rsidRDefault="00374405" w:rsidP="00374405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</w:rPr>
      </w:pPr>
      <w:r w:rsidRPr="002D2DBD">
        <w:rPr>
          <w:rFonts w:cstheme="minorHAnsi"/>
        </w:rPr>
        <w:t>MŠMT</w:t>
      </w:r>
      <w:r>
        <w:rPr>
          <w:rFonts w:cstheme="minorHAnsi"/>
        </w:rPr>
        <w:t xml:space="preserve"> v roce 2011 </w:t>
      </w:r>
      <w:r w:rsidR="0066145B">
        <w:rPr>
          <w:rFonts w:cstheme="minorHAnsi"/>
        </w:rPr>
        <w:t>zadalo</w:t>
      </w:r>
      <w:r w:rsidR="0066145B" w:rsidRPr="002D2DBD">
        <w:rPr>
          <w:rFonts w:cstheme="minorHAnsi"/>
        </w:rPr>
        <w:t xml:space="preserve"> </w:t>
      </w:r>
      <w:r>
        <w:rPr>
          <w:rFonts w:cstheme="minorHAnsi"/>
        </w:rPr>
        <w:t>dvě VZMR</w:t>
      </w:r>
      <w:r w:rsidRPr="00CA24C7">
        <w:rPr>
          <w:rFonts w:cstheme="minorHAnsi"/>
        </w:rPr>
        <w:t xml:space="preserve"> </w:t>
      </w:r>
      <w:r>
        <w:rPr>
          <w:rFonts w:cstheme="minorHAnsi"/>
        </w:rPr>
        <w:t>zaměřené na podporu záměru ověřování 5. a 9. tříd:</w:t>
      </w:r>
    </w:p>
    <w:p w14:paraId="1AFA6E23" w14:textId="5D846E95" w:rsidR="00374405" w:rsidRPr="00D70294" w:rsidRDefault="00374405" w:rsidP="00374405">
      <w:pPr>
        <w:pStyle w:val="Odstavecseseznamem"/>
        <w:numPr>
          <w:ilvl w:val="0"/>
          <w:numId w:val="8"/>
        </w:numPr>
        <w:spacing w:line="240" w:lineRule="auto"/>
        <w:jc w:val="both"/>
      </w:pPr>
      <w:bookmarkStart w:id="1" w:name="_Toc467750017"/>
      <w:r w:rsidRPr="00BE2104">
        <w:rPr>
          <w:i/>
        </w:rPr>
        <w:t>Projektová dokumentace</w:t>
      </w:r>
      <w:r w:rsidRPr="00D70294">
        <w:t xml:space="preserve"> </w:t>
      </w:r>
      <w:r w:rsidRPr="00C628B4">
        <w:rPr>
          <w:i/>
        </w:rPr>
        <w:t>Automatizované testování 5. a 9. tříd základních škol</w:t>
      </w:r>
      <w:bookmarkEnd w:id="1"/>
    </w:p>
    <w:p w14:paraId="145FE9D8" w14:textId="1F280EFA" w:rsidR="00374405" w:rsidRPr="00BD4EEB" w:rsidRDefault="00374405" w:rsidP="00374405">
      <w:pPr>
        <w:spacing w:line="240" w:lineRule="auto"/>
        <w:jc w:val="both"/>
        <w:rPr>
          <w:b/>
        </w:rPr>
      </w:pPr>
      <w:r w:rsidRPr="00BD4EEB">
        <w:rPr>
          <w:rFonts w:cstheme="minorHAnsi"/>
        </w:rPr>
        <w:t xml:space="preserve">MŠMT zahájilo VZ dne 17. </w:t>
      </w:r>
      <w:r w:rsidR="00EB18E5">
        <w:rPr>
          <w:rFonts w:cstheme="minorHAnsi"/>
        </w:rPr>
        <w:t xml:space="preserve">ledna </w:t>
      </w:r>
      <w:r w:rsidRPr="00BD4EEB">
        <w:rPr>
          <w:rFonts w:cstheme="minorHAnsi"/>
        </w:rPr>
        <w:t xml:space="preserve">2011 jako VZMR s předpokládanou hodnotou 1 930 000 Kč bez DPH. Předmětem plnění VZ bylo vyhotovení projektové dokumentace pro automatizované testování žáků 5. a 9. tříd. </w:t>
      </w:r>
      <w:r>
        <w:rPr>
          <w:rFonts w:cstheme="minorHAnsi"/>
        </w:rPr>
        <w:t>D</w:t>
      </w:r>
      <w:r w:rsidRPr="00BD4EEB">
        <w:rPr>
          <w:rFonts w:cstheme="minorHAnsi"/>
        </w:rPr>
        <w:t xml:space="preserve">ne 14. </w:t>
      </w:r>
      <w:r w:rsidR="00EB18E5">
        <w:rPr>
          <w:rFonts w:cstheme="minorHAnsi"/>
        </w:rPr>
        <w:t xml:space="preserve">března </w:t>
      </w:r>
      <w:r w:rsidRPr="00BD4EEB">
        <w:rPr>
          <w:rFonts w:cstheme="minorHAnsi"/>
        </w:rPr>
        <w:t xml:space="preserve">2011 </w:t>
      </w:r>
      <w:r>
        <w:rPr>
          <w:rFonts w:cstheme="minorHAnsi"/>
        </w:rPr>
        <w:t xml:space="preserve">MŠMT </w:t>
      </w:r>
      <w:r w:rsidRPr="00BD4EEB">
        <w:rPr>
          <w:rFonts w:cstheme="minorHAnsi"/>
        </w:rPr>
        <w:t xml:space="preserve">s vítězným uchazečem uzavřelo </w:t>
      </w:r>
      <w:r w:rsidR="0066145B">
        <w:rPr>
          <w:rFonts w:cstheme="minorHAnsi"/>
          <w:i/>
        </w:rPr>
        <w:t>s</w:t>
      </w:r>
      <w:r w:rsidR="006E2DE3">
        <w:rPr>
          <w:rFonts w:cstheme="minorHAnsi"/>
          <w:i/>
        </w:rPr>
        <w:t>mlouvu o </w:t>
      </w:r>
      <w:r w:rsidRPr="00BD4EEB">
        <w:rPr>
          <w:rFonts w:cstheme="minorHAnsi"/>
          <w:i/>
        </w:rPr>
        <w:t>poskytování poradenských služeb,</w:t>
      </w:r>
      <w:r w:rsidRPr="00BD4EEB">
        <w:rPr>
          <w:rFonts w:cstheme="minorHAnsi"/>
        </w:rPr>
        <w:t xml:space="preserve"> za jejíž plnění uhradilo celkem 708 000 </w:t>
      </w:r>
      <w:bookmarkStart w:id="2" w:name="_Toc467750018"/>
      <w:r w:rsidRPr="00BD4EEB">
        <w:rPr>
          <w:rFonts w:cstheme="minorHAnsi"/>
        </w:rPr>
        <w:t>Kč vč. DPH.</w:t>
      </w:r>
    </w:p>
    <w:p w14:paraId="3E9AAEA1" w14:textId="6DAC035C" w:rsidR="00374405" w:rsidRPr="00D70294" w:rsidRDefault="00374405" w:rsidP="0037440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eastAsiaTheme="majorEastAsia" w:cstheme="majorBidi"/>
          <w:lang w:eastAsia="cs-CZ"/>
        </w:rPr>
      </w:pPr>
      <w:r w:rsidRPr="00BE2104">
        <w:rPr>
          <w:rFonts w:eastAsiaTheme="majorEastAsia" w:cstheme="majorBidi"/>
          <w:i/>
          <w:lang w:eastAsia="cs-CZ"/>
        </w:rPr>
        <w:t>Odborná pomoc s vedením projektu</w:t>
      </w:r>
      <w:r w:rsidRPr="00D70294">
        <w:rPr>
          <w:rFonts w:eastAsiaTheme="majorEastAsia" w:cstheme="majorBidi"/>
          <w:lang w:eastAsia="cs-CZ"/>
        </w:rPr>
        <w:t xml:space="preserve"> </w:t>
      </w:r>
      <w:r w:rsidRPr="00C628B4">
        <w:rPr>
          <w:rFonts w:eastAsiaTheme="majorEastAsia" w:cstheme="majorBidi"/>
          <w:i/>
          <w:lang w:eastAsia="cs-CZ"/>
        </w:rPr>
        <w:t>Automatizované testování 5. a 9. tříd základních škol</w:t>
      </w:r>
      <w:bookmarkEnd w:id="2"/>
    </w:p>
    <w:p w14:paraId="4F2A21F1" w14:textId="1DABC4BF" w:rsidR="00374405" w:rsidRDefault="00374405" w:rsidP="00374405">
      <w:pPr>
        <w:spacing w:line="240" w:lineRule="auto"/>
        <w:jc w:val="both"/>
        <w:rPr>
          <w:rFonts w:cstheme="minorHAnsi"/>
        </w:rPr>
      </w:pPr>
      <w:r w:rsidRPr="00427B94">
        <w:rPr>
          <w:rFonts w:cstheme="minorHAnsi"/>
        </w:rPr>
        <w:t xml:space="preserve">MŠMT zahájilo VZ dne 17. </w:t>
      </w:r>
      <w:r w:rsidR="006C5DD2">
        <w:rPr>
          <w:rFonts w:cstheme="minorHAnsi"/>
        </w:rPr>
        <w:t xml:space="preserve">ledna </w:t>
      </w:r>
      <w:r w:rsidRPr="00427B94">
        <w:rPr>
          <w:rFonts w:cstheme="minorHAnsi"/>
        </w:rPr>
        <w:t>2011 jako VZMR s předpokládanou hodnotou 1 960 000 Kč bez DP</w:t>
      </w:r>
      <w:r>
        <w:rPr>
          <w:rFonts w:cstheme="minorHAnsi"/>
        </w:rPr>
        <w:t>H. Předmětem plnění VZ byla odborná pomoc s vedením projektu</w:t>
      </w:r>
      <w:r w:rsidRPr="00427B94">
        <w:rPr>
          <w:rFonts w:cstheme="minorHAnsi"/>
        </w:rPr>
        <w:t xml:space="preserve"> pro automatizované testování žáků 5. a 9. tříd</w:t>
      </w:r>
      <w:r w:rsidRPr="00BB6DF0">
        <w:rPr>
          <w:rFonts w:cstheme="minorHAnsi"/>
        </w:rPr>
        <w:t xml:space="preserve">. </w:t>
      </w:r>
      <w:r>
        <w:rPr>
          <w:rFonts w:cstheme="minorHAnsi"/>
        </w:rPr>
        <w:t xml:space="preserve">MŠMT dne 14. </w:t>
      </w:r>
      <w:r w:rsidR="00EB18E5">
        <w:rPr>
          <w:rFonts w:cstheme="minorHAnsi"/>
        </w:rPr>
        <w:t xml:space="preserve">března </w:t>
      </w:r>
      <w:r>
        <w:rPr>
          <w:rFonts w:cstheme="minorHAnsi"/>
        </w:rPr>
        <w:t xml:space="preserve">2011 uzavřelo </w:t>
      </w:r>
      <w:r w:rsidR="0066145B">
        <w:rPr>
          <w:rFonts w:cstheme="minorHAnsi"/>
          <w:i/>
        </w:rPr>
        <w:t>s</w:t>
      </w:r>
      <w:r w:rsidRPr="008E3A2F">
        <w:rPr>
          <w:rFonts w:cstheme="minorHAnsi"/>
          <w:i/>
        </w:rPr>
        <w:t>mlouvu na odbornou pomoc s vedením projektu „Automatizované testování 5. a 9. tříd základních škol“</w:t>
      </w:r>
      <w:r>
        <w:rPr>
          <w:rFonts w:cstheme="minorHAnsi"/>
        </w:rPr>
        <w:t>, za jejíž plnění uhradilo celkem 1 884 000 Kč vč. DPH.</w:t>
      </w:r>
      <w:r w:rsidRPr="0039668E">
        <w:rPr>
          <w:rFonts w:cstheme="minorHAnsi"/>
        </w:rPr>
        <w:t xml:space="preserve"> </w:t>
      </w:r>
    </w:p>
    <w:p w14:paraId="1E64F105" w14:textId="738BB6D7" w:rsidR="00374405" w:rsidRPr="00721FA5" w:rsidRDefault="00374405" w:rsidP="00374405">
      <w:pPr>
        <w:spacing w:line="240" w:lineRule="auto"/>
        <w:jc w:val="both"/>
        <w:rPr>
          <w:rFonts w:cstheme="minorHAnsi"/>
        </w:rPr>
      </w:pPr>
      <w:r w:rsidRPr="00BD4EEB">
        <w:rPr>
          <w:rFonts w:cstheme="minorHAnsi"/>
        </w:rPr>
        <w:t xml:space="preserve">MŠMT </w:t>
      </w:r>
      <w:r>
        <w:rPr>
          <w:rFonts w:cstheme="minorHAnsi"/>
        </w:rPr>
        <w:t xml:space="preserve">u obou výše uvedených VZ </w:t>
      </w:r>
      <w:r w:rsidRPr="00BD4EEB">
        <w:rPr>
          <w:rFonts w:cstheme="minorHAnsi"/>
        </w:rPr>
        <w:t xml:space="preserve">nezdůvodnilo </w:t>
      </w:r>
      <w:r>
        <w:rPr>
          <w:rFonts w:cstheme="minorHAnsi"/>
        </w:rPr>
        <w:t>jejich určení jako VZMR objasněním ani relevantním dokladem</w:t>
      </w:r>
      <w:r w:rsidRPr="00BD4EEB">
        <w:rPr>
          <w:rFonts w:cstheme="minorHAnsi"/>
        </w:rPr>
        <w:t>. Určení kategorie VZ dle jej</w:t>
      </w:r>
      <w:r>
        <w:rPr>
          <w:rFonts w:cstheme="minorHAnsi"/>
        </w:rPr>
        <w:t>ich</w:t>
      </w:r>
      <w:r w:rsidRPr="00BD4EEB">
        <w:rPr>
          <w:rFonts w:cstheme="minorHAnsi"/>
        </w:rPr>
        <w:t xml:space="preserve"> předpokládané hodnoty tak není zpětně přezkoumatelné, </w:t>
      </w:r>
      <w:r w:rsidR="0066145B">
        <w:rPr>
          <w:rFonts w:cstheme="minorHAnsi"/>
        </w:rPr>
        <w:t>což znamená</w:t>
      </w:r>
      <w:r w:rsidRPr="00BD4EEB">
        <w:rPr>
          <w:rFonts w:cstheme="minorHAnsi"/>
        </w:rPr>
        <w:t xml:space="preserve">, že není v souladu </w:t>
      </w:r>
      <w:r>
        <w:rPr>
          <w:rFonts w:cstheme="minorHAnsi"/>
        </w:rPr>
        <w:t>se zásadou transparentnosti</w:t>
      </w:r>
      <w:r w:rsidRPr="00BD4EEB">
        <w:rPr>
          <w:rFonts w:cstheme="minorHAnsi"/>
        </w:rPr>
        <w:t xml:space="preserve">. </w:t>
      </w:r>
      <w:r>
        <w:rPr>
          <w:rFonts w:cstheme="minorHAnsi"/>
        </w:rPr>
        <w:t>V případě obou VZ bylo h</w:t>
      </w:r>
      <w:r w:rsidRPr="00BD4EEB">
        <w:rPr>
          <w:rFonts w:cstheme="minorHAnsi"/>
        </w:rPr>
        <w:t>odnot</w:t>
      </w:r>
      <w:r w:rsidR="0066145B">
        <w:rPr>
          <w:rFonts w:cstheme="minorHAnsi"/>
        </w:rPr>
        <w:t>i</w:t>
      </w:r>
      <w:r w:rsidRPr="00BD4EEB">
        <w:rPr>
          <w:rFonts w:cstheme="minorHAnsi"/>
        </w:rPr>
        <w:t>cí subkritéri</w:t>
      </w:r>
      <w:r>
        <w:rPr>
          <w:rFonts w:cstheme="minorHAnsi"/>
        </w:rPr>
        <w:t>um</w:t>
      </w:r>
      <w:r w:rsidRPr="00BD4EEB">
        <w:rPr>
          <w:rFonts w:eastAsia="Calibri" w:cstheme="minorHAnsi"/>
        </w:rPr>
        <w:t xml:space="preserve"> pro</w:t>
      </w:r>
      <w:r>
        <w:rPr>
          <w:rFonts w:cstheme="minorHAnsi"/>
        </w:rPr>
        <w:t xml:space="preserve"> hodnocení nabídek </w:t>
      </w:r>
      <w:r w:rsidRPr="00BD4EEB">
        <w:rPr>
          <w:rFonts w:cstheme="minorHAnsi"/>
        </w:rPr>
        <w:t>nastaven</w:t>
      </w:r>
      <w:r>
        <w:rPr>
          <w:rFonts w:cstheme="minorHAnsi"/>
        </w:rPr>
        <w:t>o</w:t>
      </w:r>
      <w:r w:rsidRPr="00BD4EEB">
        <w:rPr>
          <w:rFonts w:cstheme="minorHAnsi"/>
        </w:rPr>
        <w:t xml:space="preserve"> netransparentním způsobem, který neumožňoval objektivně posoudit míru jeho naplnění v podaných nabídkách</w:t>
      </w:r>
      <w:r>
        <w:rPr>
          <w:rFonts w:cstheme="minorHAnsi"/>
        </w:rPr>
        <w:t xml:space="preserve">. Na základě netransparentně nastaveného způsobu hodnocení nabídek MŠMT vybralo vítězné uchazeče, se kterými podepsalo smlouvy. Dále </w:t>
      </w:r>
      <w:r w:rsidRPr="0039668E">
        <w:rPr>
          <w:rFonts w:cstheme="minorHAnsi"/>
        </w:rPr>
        <w:t>MŠMT v souvislosti s uchováváním dokladů k VZ postupovalo v době realizace předmětných VZ v rozporu se zákonem č. 499/2004 Sb</w:t>
      </w:r>
      <w:r>
        <w:rPr>
          <w:rFonts w:cstheme="minorHAnsi"/>
        </w:rPr>
        <w:t>.</w:t>
      </w:r>
      <w:r>
        <w:rPr>
          <w:rStyle w:val="Znakapoznpodarou"/>
          <w:rFonts w:cstheme="minorHAnsi"/>
        </w:rPr>
        <w:footnoteReference w:id="26"/>
      </w:r>
      <w:r>
        <w:rPr>
          <w:rFonts w:cstheme="minorHAnsi"/>
        </w:rPr>
        <w:t xml:space="preserve"> Na základě takového postupu – neucho</w:t>
      </w:r>
      <w:r w:rsidR="006E2DE3">
        <w:rPr>
          <w:rFonts w:cstheme="minorHAnsi"/>
        </w:rPr>
        <w:t xml:space="preserve">vání základních dokumentů k VZ – </w:t>
      </w:r>
      <w:r>
        <w:rPr>
          <w:rFonts w:cstheme="minorHAnsi"/>
        </w:rPr>
        <w:t>není zadávání VZ zpětně přezkoumatelné.</w:t>
      </w:r>
    </w:p>
    <w:p w14:paraId="217F17D2" w14:textId="3B695B50" w:rsidR="00374405" w:rsidRPr="00C628B4" w:rsidRDefault="00374405" w:rsidP="00374405">
      <w:pPr>
        <w:spacing w:line="240" w:lineRule="auto"/>
        <w:jc w:val="both"/>
        <w:rPr>
          <w:iCs/>
        </w:rPr>
      </w:pPr>
      <w:r w:rsidRPr="003379B7">
        <w:rPr>
          <w:rFonts w:cstheme="minorHAnsi"/>
        </w:rPr>
        <w:t>MŠMT</w:t>
      </w:r>
      <w:r>
        <w:rPr>
          <w:rFonts w:cstheme="minorHAnsi"/>
        </w:rPr>
        <w:t xml:space="preserve"> </w:t>
      </w:r>
      <w:r w:rsidRPr="003379B7">
        <w:rPr>
          <w:rFonts w:cstheme="minorHAnsi"/>
        </w:rPr>
        <w:t xml:space="preserve">porušilo </w:t>
      </w:r>
      <w:r>
        <w:rPr>
          <w:rFonts w:cstheme="minorHAnsi"/>
        </w:rPr>
        <w:t xml:space="preserve">ustanovení </w:t>
      </w:r>
      <w:r w:rsidRPr="003379B7">
        <w:rPr>
          <w:rFonts w:cstheme="minorHAnsi"/>
        </w:rPr>
        <w:t xml:space="preserve">§ 18 odst. 3 ZVZ tím, že v průběhu zadávání </w:t>
      </w:r>
      <w:r>
        <w:rPr>
          <w:rFonts w:cstheme="minorHAnsi"/>
        </w:rPr>
        <w:t xml:space="preserve">výše uvedených </w:t>
      </w:r>
      <w:r w:rsidRPr="003379B7">
        <w:rPr>
          <w:rFonts w:cstheme="minorHAnsi"/>
        </w:rPr>
        <w:t>VZ nepostupovalo v souladu se zásadou transparentnosti stanovenou</w:t>
      </w:r>
      <w:r>
        <w:rPr>
          <w:rFonts w:cstheme="minorHAnsi"/>
        </w:rPr>
        <w:t xml:space="preserve"> ustanovením § 6 ZVZ. </w:t>
      </w:r>
      <w:r w:rsidR="00605714">
        <w:rPr>
          <w:rFonts w:cstheme="minorHAnsi"/>
        </w:rPr>
        <w:t>V důsledku p</w:t>
      </w:r>
      <w:r>
        <w:rPr>
          <w:rFonts w:cstheme="minorHAnsi"/>
        </w:rPr>
        <w:t>orušení</w:t>
      </w:r>
      <w:r w:rsidRPr="003379B7">
        <w:rPr>
          <w:rFonts w:cstheme="minorHAnsi"/>
        </w:rPr>
        <w:t xml:space="preserve"> povinností stanovených ZVZ použilo MŠMT peně</w:t>
      </w:r>
      <w:r>
        <w:rPr>
          <w:rFonts w:cstheme="minorHAnsi"/>
        </w:rPr>
        <w:t>žní prostředky na realizaci těchto</w:t>
      </w:r>
      <w:r w:rsidRPr="003379B7">
        <w:rPr>
          <w:rFonts w:cstheme="minorHAnsi"/>
        </w:rPr>
        <w:t xml:space="preserve"> VZ neoprávněně ve smyslu ustanovení </w:t>
      </w:r>
      <w:r w:rsidRPr="003379B7">
        <w:rPr>
          <w:rFonts w:cs="Arial"/>
        </w:rPr>
        <w:t xml:space="preserve">§ 3 </w:t>
      </w:r>
      <w:r>
        <w:rPr>
          <w:rFonts w:cs="Arial"/>
        </w:rPr>
        <w:t xml:space="preserve">písm. e) </w:t>
      </w:r>
      <w:r w:rsidRPr="003379B7">
        <w:rPr>
          <w:rFonts w:cs="Arial"/>
        </w:rPr>
        <w:t xml:space="preserve">zákona č. 218/2000 Sb. </w:t>
      </w:r>
      <w:r w:rsidRPr="003379B7">
        <w:rPr>
          <w:rFonts w:cs="Arial"/>
        </w:rPr>
        <w:lastRenderedPageBreak/>
        <w:t>a</w:t>
      </w:r>
      <w:r w:rsidR="00605714">
        <w:rPr>
          <w:rFonts w:cs="Arial"/>
        </w:rPr>
        <w:t> </w:t>
      </w:r>
      <w:r>
        <w:rPr>
          <w:rFonts w:cs="Arial"/>
        </w:rPr>
        <w:t>NKÚ takové jednání vyhodnotil</w:t>
      </w:r>
      <w:r w:rsidRPr="0032486A">
        <w:rPr>
          <w:rFonts w:cs="Arial"/>
        </w:rPr>
        <w:t xml:space="preserve"> jako porušení rozpočtové kázně </w:t>
      </w:r>
      <w:r w:rsidRPr="0032486A">
        <w:rPr>
          <w:rFonts w:cs="Arial"/>
          <w:bCs/>
        </w:rPr>
        <w:t>ve smyslu ustanovení §</w:t>
      </w:r>
      <w:r w:rsidR="00541D0D">
        <w:rPr>
          <w:rFonts w:cs="Arial"/>
          <w:bCs/>
        </w:rPr>
        <w:t> </w:t>
      </w:r>
      <w:r w:rsidRPr="0032486A">
        <w:rPr>
          <w:rFonts w:cs="Arial"/>
          <w:bCs/>
        </w:rPr>
        <w:t>44 odst. 1 písm.</w:t>
      </w:r>
      <w:r w:rsidR="00D17AE0">
        <w:rPr>
          <w:rFonts w:cs="Arial"/>
          <w:bCs/>
        </w:rPr>
        <w:t> </w:t>
      </w:r>
      <w:r w:rsidRPr="0032486A">
        <w:rPr>
          <w:rFonts w:cs="Arial"/>
          <w:bCs/>
        </w:rPr>
        <w:t>a) zákona č. 218/2000 Sb. až do výše 2 592 000 Kč.</w:t>
      </w:r>
    </w:p>
    <w:p w14:paraId="23C1A650" w14:textId="77777777" w:rsidR="00374405" w:rsidRPr="00E6395F" w:rsidRDefault="00374405" w:rsidP="00374405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u w:val="single"/>
        </w:rPr>
      </w:pPr>
      <w:r w:rsidRPr="005E4AA5">
        <w:rPr>
          <w:rFonts w:cstheme="minorHAnsi"/>
          <w:u w:val="single"/>
        </w:rPr>
        <w:t>Ověřová</w:t>
      </w:r>
      <w:r>
        <w:rPr>
          <w:rFonts w:cstheme="minorHAnsi"/>
          <w:u w:val="single"/>
        </w:rPr>
        <w:t>ní výsledků žáků 5. a 9. tříd</w:t>
      </w:r>
      <w:r w:rsidRPr="005E4AA5">
        <w:rPr>
          <w:rFonts w:cstheme="minorHAnsi"/>
          <w:u w:val="single"/>
        </w:rPr>
        <w:t xml:space="preserve"> ZŠ</w:t>
      </w:r>
      <w:r w:rsidR="00C945EE">
        <w:rPr>
          <w:rFonts w:cstheme="minorHAnsi"/>
          <w:u w:val="single"/>
        </w:rPr>
        <w:t xml:space="preserve"> –</w:t>
      </w:r>
      <w:r>
        <w:rPr>
          <w:rFonts w:cstheme="minorHAnsi"/>
          <w:u w:val="single"/>
        </w:rPr>
        <w:t xml:space="preserve"> ČŠI</w:t>
      </w:r>
    </w:p>
    <w:p w14:paraId="5716086D" w14:textId="77777777" w:rsidR="00374405" w:rsidRPr="002D2DBD" w:rsidRDefault="00374405" w:rsidP="00374405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V rámci projektu NIQES spolufinancovaného z </w:t>
      </w:r>
      <w:r w:rsidRPr="00C628B4">
        <w:rPr>
          <w:rFonts w:cstheme="minorHAnsi"/>
          <w:i/>
        </w:rPr>
        <w:t>Evropského sociálního fondu</w:t>
      </w:r>
      <w:r>
        <w:rPr>
          <w:rFonts w:cstheme="minorHAnsi"/>
        </w:rPr>
        <w:t xml:space="preserve"> realizovala ČŠI dvě VZ, které byly zaměřeny na ověřování 5. a 9. tříd:</w:t>
      </w:r>
    </w:p>
    <w:p w14:paraId="034E34BD" w14:textId="77777777" w:rsidR="00374405" w:rsidRPr="00D70294" w:rsidRDefault="00374405" w:rsidP="00374405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rPr>
          <w:rFonts w:cstheme="minorHAnsi"/>
          <w:lang w:eastAsia="cs-CZ"/>
        </w:rPr>
        <w:t xml:space="preserve">Vývoj informačního systému pro ověřování výsledků žáků – </w:t>
      </w:r>
      <w:r w:rsidRPr="00C628B4">
        <w:rPr>
          <w:rFonts w:cstheme="minorHAnsi"/>
          <w:i/>
          <w:lang w:eastAsia="cs-CZ"/>
        </w:rPr>
        <w:t>InspIS SET</w:t>
      </w:r>
    </w:p>
    <w:p w14:paraId="6A49E2CA" w14:textId="13FB6C5F" w:rsidR="00374405" w:rsidRDefault="00374405" w:rsidP="00374405">
      <w:pPr>
        <w:spacing w:line="240" w:lineRule="auto"/>
        <w:jc w:val="both"/>
        <w:rPr>
          <w:rFonts w:cstheme="minorHAnsi"/>
          <w:noProof/>
          <w:color w:val="000000"/>
          <w:lang w:eastAsia="cs-CZ"/>
        </w:rPr>
      </w:pPr>
      <w:r w:rsidRPr="002D2DBD">
        <w:rPr>
          <w:rFonts w:cstheme="minorHAnsi"/>
        </w:rPr>
        <w:t>ČŠI vyhlásila</w:t>
      </w:r>
      <w:r>
        <w:rPr>
          <w:rFonts w:cstheme="minorHAnsi"/>
        </w:rPr>
        <w:t xml:space="preserve"> VZ</w:t>
      </w:r>
      <w:r w:rsidRPr="002D2DBD">
        <w:rPr>
          <w:rFonts w:cstheme="minorHAnsi"/>
        </w:rPr>
        <w:t xml:space="preserve"> dne 12. </w:t>
      </w:r>
      <w:r w:rsidR="006C5DD2">
        <w:rPr>
          <w:rFonts w:cstheme="minorHAnsi"/>
        </w:rPr>
        <w:t xml:space="preserve">července </w:t>
      </w:r>
      <w:r w:rsidRPr="002D2DBD">
        <w:rPr>
          <w:rFonts w:cstheme="minorHAnsi"/>
        </w:rPr>
        <w:t xml:space="preserve">2011 </w:t>
      </w:r>
      <w:r>
        <w:rPr>
          <w:rFonts w:cstheme="minorHAnsi"/>
        </w:rPr>
        <w:t xml:space="preserve">a dne 14. </w:t>
      </w:r>
      <w:r w:rsidR="006C5DD2">
        <w:rPr>
          <w:rFonts w:cstheme="minorHAnsi"/>
        </w:rPr>
        <w:t xml:space="preserve">listopadu </w:t>
      </w:r>
      <w:r>
        <w:rPr>
          <w:rFonts w:cstheme="minorHAnsi"/>
        </w:rPr>
        <w:t xml:space="preserve">2011 podepsala s vítězným uchazečem </w:t>
      </w:r>
      <w:r w:rsidR="00C74D5B">
        <w:rPr>
          <w:rFonts w:cstheme="minorHAnsi"/>
          <w:i/>
        </w:rPr>
        <w:t>s</w:t>
      </w:r>
      <w:r w:rsidRPr="00484481">
        <w:rPr>
          <w:rFonts w:cstheme="minorHAnsi"/>
          <w:i/>
        </w:rPr>
        <w:t>mlouvu o poskytnutí služby</w:t>
      </w:r>
      <w:r>
        <w:rPr>
          <w:rFonts w:cstheme="minorHAnsi"/>
        </w:rPr>
        <w:t>. ČŠI</w:t>
      </w:r>
      <w:r w:rsidRPr="002D2DBD">
        <w:rPr>
          <w:rFonts w:cstheme="minorHAnsi"/>
          <w:noProof/>
          <w:color w:val="000000"/>
          <w:lang w:eastAsia="cs-CZ"/>
        </w:rPr>
        <w:t xml:space="preserve"> ke dni 10. </w:t>
      </w:r>
      <w:r w:rsidR="006C5DD2">
        <w:rPr>
          <w:rFonts w:cstheme="minorHAnsi"/>
          <w:noProof/>
          <w:color w:val="000000"/>
          <w:lang w:eastAsia="cs-CZ"/>
        </w:rPr>
        <w:t xml:space="preserve">června </w:t>
      </w:r>
      <w:r w:rsidRPr="002D2DBD">
        <w:rPr>
          <w:rFonts w:cstheme="minorHAnsi"/>
          <w:noProof/>
          <w:color w:val="000000"/>
          <w:lang w:eastAsia="cs-CZ"/>
        </w:rPr>
        <w:t xml:space="preserve">2014 převzala kompletní plnění </w:t>
      </w:r>
      <w:r>
        <w:rPr>
          <w:rFonts w:cstheme="minorHAnsi"/>
          <w:noProof/>
          <w:color w:val="000000"/>
          <w:lang w:eastAsia="cs-CZ"/>
        </w:rPr>
        <w:t>z</w:t>
      </w:r>
      <w:r w:rsidR="00C74D5B">
        <w:rPr>
          <w:rFonts w:cstheme="minorHAnsi"/>
          <w:noProof/>
          <w:color w:val="000000"/>
          <w:lang w:eastAsia="cs-CZ"/>
        </w:rPr>
        <w:t> této</w:t>
      </w:r>
      <w:r>
        <w:rPr>
          <w:rFonts w:cstheme="minorHAnsi"/>
          <w:noProof/>
          <w:color w:val="000000"/>
          <w:lang w:eastAsia="cs-CZ"/>
        </w:rPr>
        <w:t xml:space="preserve"> </w:t>
      </w:r>
      <w:r w:rsidR="00C74D5B">
        <w:rPr>
          <w:rFonts w:cstheme="minorHAnsi"/>
          <w:noProof/>
          <w:color w:val="000000"/>
          <w:lang w:eastAsia="cs-CZ"/>
        </w:rPr>
        <w:t>s</w:t>
      </w:r>
      <w:r w:rsidRPr="002D2DBD">
        <w:rPr>
          <w:rFonts w:cstheme="minorHAnsi"/>
          <w:noProof/>
          <w:color w:val="000000"/>
          <w:lang w:eastAsia="cs-CZ"/>
        </w:rPr>
        <w:t xml:space="preserve">mlouvy, tzn. </w:t>
      </w:r>
      <w:r>
        <w:rPr>
          <w:rFonts w:cstheme="minorHAnsi"/>
          <w:noProof/>
          <w:color w:val="000000"/>
          <w:lang w:eastAsia="cs-CZ"/>
        </w:rPr>
        <w:t xml:space="preserve">informační systém na ověřování výsledků žáků – </w:t>
      </w:r>
      <w:r w:rsidRPr="00C628B4">
        <w:rPr>
          <w:rFonts w:cstheme="minorHAnsi"/>
          <w:i/>
          <w:noProof/>
          <w:color w:val="000000"/>
          <w:lang w:eastAsia="cs-CZ"/>
        </w:rPr>
        <w:t>InspIS SET</w:t>
      </w:r>
      <w:r>
        <w:rPr>
          <w:rFonts w:cstheme="minorHAnsi"/>
          <w:noProof/>
          <w:color w:val="000000"/>
          <w:lang w:eastAsia="cs-CZ"/>
        </w:rPr>
        <w:t>. Výdaje za</w:t>
      </w:r>
      <w:r w:rsidRPr="002D2DBD">
        <w:rPr>
          <w:rFonts w:cstheme="minorHAnsi"/>
          <w:noProof/>
          <w:color w:val="000000"/>
          <w:lang w:eastAsia="cs-CZ"/>
        </w:rPr>
        <w:t xml:space="preserve"> </w:t>
      </w:r>
      <w:r>
        <w:rPr>
          <w:rFonts w:cstheme="minorHAnsi"/>
          <w:noProof/>
          <w:color w:val="000000"/>
          <w:lang w:eastAsia="cs-CZ"/>
        </w:rPr>
        <w:t xml:space="preserve">plnění </w:t>
      </w:r>
      <w:r w:rsidR="00C74D5B">
        <w:rPr>
          <w:rFonts w:cstheme="minorHAnsi"/>
          <w:noProof/>
          <w:color w:val="000000"/>
          <w:lang w:eastAsia="cs-CZ"/>
        </w:rPr>
        <w:t>uvedené s</w:t>
      </w:r>
      <w:r>
        <w:rPr>
          <w:rFonts w:cstheme="minorHAnsi"/>
          <w:noProof/>
          <w:color w:val="000000"/>
          <w:lang w:eastAsia="cs-CZ"/>
        </w:rPr>
        <w:t>mlouvy činily 110 600 000 Kč vč. DPH.</w:t>
      </w:r>
    </w:p>
    <w:p w14:paraId="2F8E5F10" w14:textId="77777777" w:rsidR="00374405" w:rsidRPr="00D70294" w:rsidRDefault="00374405" w:rsidP="0037440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noProof/>
          <w:color w:val="000000"/>
          <w:lang w:eastAsia="cs-CZ"/>
        </w:rPr>
      </w:pPr>
      <w:r w:rsidRPr="00D70294">
        <w:rPr>
          <w:rFonts w:cstheme="minorHAnsi"/>
        </w:rPr>
        <w:t xml:space="preserve">Doplnění </w:t>
      </w:r>
      <w:r>
        <w:rPr>
          <w:rFonts w:cstheme="minorHAnsi"/>
        </w:rPr>
        <w:t xml:space="preserve">informačního </w:t>
      </w:r>
      <w:r w:rsidRPr="00D70294">
        <w:rPr>
          <w:rFonts w:cstheme="minorHAnsi"/>
        </w:rPr>
        <w:t>systému pro ověřování výsledků</w:t>
      </w:r>
      <w:r>
        <w:rPr>
          <w:rFonts w:cstheme="minorHAnsi"/>
        </w:rPr>
        <w:t xml:space="preserve"> žáků</w:t>
      </w:r>
      <w:r w:rsidRPr="00D70294">
        <w:rPr>
          <w:rFonts w:cstheme="minorHAnsi"/>
        </w:rPr>
        <w:t xml:space="preserve"> – aplika</w:t>
      </w:r>
      <w:r>
        <w:rPr>
          <w:rFonts w:cstheme="minorHAnsi"/>
        </w:rPr>
        <w:t>ce pro mobilní telefony a tablety</w:t>
      </w:r>
    </w:p>
    <w:p w14:paraId="03E1C714" w14:textId="689FCEBF" w:rsidR="00374405" w:rsidRDefault="00374405" w:rsidP="00374405">
      <w:pPr>
        <w:spacing w:line="240" w:lineRule="auto"/>
        <w:jc w:val="both"/>
        <w:rPr>
          <w:rFonts w:cstheme="minorHAnsi"/>
        </w:rPr>
      </w:pPr>
      <w:r>
        <w:t xml:space="preserve">ČŠI zahájila dne 12. </w:t>
      </w:r>
      <w:r w:rsidR="006C5DD2">
        <w:t xml:space="preserve">května </w:t>
      </w:r>
      <w:r>
        <w:t>2014 otevřené zadávací řízení na realizaci nadlimitní VZ.</w:t>
      </w:r>
      <w:r w:rsidRPr="002D2DBD">
        <w:rPr>
          <w:rFonts w:cstheme="minorHAnsi"/>
        </w:rPr>
        <w:t xml:space="preserve"> Předmětem </w:t>
      </w:r>
      <w:r>
        <w:rPr>
          <w:rFonts w:cstheme="minorHAnsi"/>
        </w:rPr>
        <w:t xml:space="preserve">plnění </w:t>
      </w:r>
      <w:r w:rsidRPr="002D2DBD">
        <w:rPr>
          <w:rFonts w:cstheme="minorHAnsi"/>
        </w:rPr>
        <w:t xml:space="preserve">VZ </w:t>
      </w:r>
      <w:r>
        <w:rPr>
          <w:rFonts w:cstheme="minorHAnsi"/>
        </w:rPr>
        <w:t>byl</w:t>
      </w:r>
      <w:r w:rsidRPr="002D2DBD">
        <w:rPr>
          <w:rFonts w:cstheme="minorHAnsi"/>
        </w:rPr>
        <w:t xml:space="preserve"> vývoj verzí vybraných komponent systému ověřování výsledků žáků pro mobilní telefony</w:t>
      </w:r>
      <w:r>
        <w:rPr>
          <w:rFonts w:cstheme="minorHAnsi"/>
        </w:rPr>
        <w:t xml:space="preserve"> a tablety – vývoj aplikace </w:t>
      </w:r>
      <w:r w:rsidRPr="00C628B4">
        <w:rPr>
          <w:rFonts w:cstheme="minorHAnsi"/>
          <w:i/>
        </w:rPr>
        <w:t>InspIS SET mobile</w:t>
      </w:r>
      <w:r>
        <w:rPr>
          <w:rFonts w:cstheme="minorHAnsi"/>
        </w:rPr>
        <w:t xml:space="preserve">, která měla dle ČŠI přispět k masivnějšímu využití informačního systému </w:t>
      </w:r>
      <w:r w:rsidRPr="00C628B4">
        <w:rPr>
          <w:rFonts w:cstheme="minorHAnsi"/>
          <w:i/>
        </w:rPr>
        <w:t>InspIS SET</w:t>
      </w:r>
      <w:r>
        <w:rPr>
          <w:rFonts w:cstheme="minorHAnsi"/>
        </w:rPr>
        <w:t xml:space="preserve">. </w:t>
      </w:r>
      <w:r w:rsidRPr="00587496">
        <w:rPr>
          <w:rFonts w:cstheme="minorHAnsi"/>
        </w:rPr>
        <w:t xml:space="preserve">ČŠI dne 17. </w:t>
      </w:r>
      <w:r w:rsidR="006C5DD2">
        <w:rPr>
          <w:rFonts w:cstheme="minorHAnsi"/>
        </w:rPr>
        <w:t xml:space="preserve">září </w:t>
      </w:r>
      <w:r w:rsidRPr="00587496">
        <w:rPr>
          <w:rFonts w:cstheme="minorHAnsi"/>
        </w:rPr>
        <w:t>2014 podepsala s vítězným uchazečem</w:t>
      </w:r>
      <w:r>
        <w:rPr>
          <w:rFonts w:cstheme="minorHAnsi"/>
        </w:rPr>
        <w:t xml:space="preserve"> zadávacího řízení VZ</w:t>
      </w:r>
      <w:r w:rsidRPr="00587496">
        <w:rPr>
          <w:rFonts w:cstheme="minorHAnsi"/>
        </w:rPr>
        <w:t xml:space="preserve"> </w:t>
      </w:r>
      <w:r w:rsidR="00C74D5B">
        <w:rPr>
          <w:rFonts w:cstheme="minorHAnsi"/>
          <w:i/>
        </w:rPr>
        <w:t>s</w:t>
      </w:r>
      <w:r w:rsidRPr="00587496">
        <w:rPr>
          <w:rFonts w:cstheme="minorHAnsi"/>
          <w:i/>
        </w:rPr>
        <w:t>mlouvu o poskytnutí služby</w:t>
      </w:r>
      <w:r>
        <w:rPr>
          <w:rFonts w:cstheme="minorHAnsi"/>
        </w:rPr>
        <w:t>, za jejíž plnění vynaložila 5</w:t>
      </w:r>
      <w:r w:rsidR="006C5DD2">
        <w:rPr>
          <w:rFonts w:cstheme="minorHAnsi"/>
        </w:rPr>
        <w:t> </w:t>
      </w:r>
      <w:r>
        <w:rPr>
          <w:rFonts w:cstheme="minorHAnsi"/>
        </w:rPr>
        <w:t>505</w:t>
      </w:r>
      <w:r w:rsidR="006C5DD2">
        <w:rPr>
          <w:rFonts w:cstheme="minorHAnsi"/>
        </w:rPr>
        <w:t> </w:t>
      </w:r>
      <w:r>
        <w:rPr>
          <w:rFonts w:cstheme="minorHAnsi"/>
        </w:rPr>
        <w:t>500 Kč vč. DPH</w:t>
      </w:r>
      <w:r w:rsidRPr="00587496">
        <w:rPr>
          <w:rFonts w:cstheme="minorHAnsi"/>
        </w:rPr>
        <w:t>. ČŠI</w:t>
      </w:r>
      <w:r>
        <w:rPr>
          <w:rFonts w:cstheme="minorHAnsi"/>
        </w:rPr>
        <w:t xml:space="preserve"> však neuzavřela </w:t>
      </w:r>
      <w:r w:rsidR="00C74D5B">
        <w:rPr>
          <w:rFonts w:cstheme="minorHAnsi"/>
        </w:rPr>
        <w:t>s</w:t>
      </w:r>
      <w:r>
        <w:rPr>
          <w:rFonts w:cstheme="minorHAnsi"/>
        </w:rPr>
        <w:t>mlouvu v souladu s</w:t>
      </w:r>
      <w:r w:rsidR="006C5DD2">
        <w:rPr>
          <w:rFonts w:cstheme="minorHAnsi"/>
        </w:rPr>
        <w:t> </w:t>
      </w:r>
      <w:r w:rsidRPr="00587496">
        <w:rPr>
          <w:rFonts w:cstheme="minorHAnsi"/>
        </w:rPr>
        <w:t>ustanovení</w:t>
      </w:r>
      <w:r>
        <w:rPr>
          <w:rFonts w:cstheme="minorHAnsi"/>
        </w:rPr>
        <w:t>m</w:t>
      </w:r>
      <w:r w:rsidRPr="00587496">
        <w:rPr>
          <w:rFonts w:cstheme="minorHAnsi"/>
        </w:rPr>
        <w:t xml:space="preserve"> § 82 odst. 2 ZVZ</w:t>
      </w:r>
      <w:r>
        <w:rPr>
          <w:rFonts w:cstheme="minorHAnsi"/>
        </w:rPr>
        <w:t xml:space="preserve">, neboť uzavřená </w:t>
      </w:r>
      <w:r w:rsidR="00C74D5B">
        <w:rPr>
          <w:rFonts w:cstheme="minorHAnsi"/>
        </w:rPr>
        <w:t>s</w:t>
      </w:r>
      <w:r>
        <w:rPr>
          <w:rFonts w:cstheme="minorHAnsi"/>
        </w:rPr>
        <w:t xml:space="preserve">mlouva neodpovídala nabídce vítězného uchazeče v parametru </w:t>
      </w:r>
      <w:r w:rsidR="00C74D5B">
        <w:rPr>
          <w:rFonts w:cstheme="minorHAnsi"/>
        </w:rPr>
        <w:t>„</w:t>
      </w:r>
      <w:r w:rsidR="00C74D5B">
        <w:rPr>
          <w:rFonts w:cstheme="minorHAnsi"/>
          <w:i/>
        </w:rPr>
        <w:t>d</w:t>
      </w:r>
      <w:r w:rsidRPr="008D1BE1">
        <w:rPr>
          <w:rFonts w:cstheme="minorHAnsi"/>
          <w:i/>
        </w:rPr>
        <w:t>ostupnost provozu aplikace</w:t>
      </w:r>
      <w:r w:rsidR="00C74D5B" w:rsidRPr="00C628B4">
        <w:rPr>
          <w:rFonts w:cstheme="minorHAnsi"/>
        </w:rPr>
        <w:t>“</w:t>
      </w:r>
      <w:r>
        <w:rPr>
          <w:rFonts w:cstheme="minorHAnsi"/>
        </w:rPr>
        <w:t>.</w:t>
      </w:r>
      <w:r w:rsidRPr="00587496">
        <w:rPr>
          <w:rFonts w:cstheme="minorHAnsi"/>
        </w:rPr>
        <w:t xml:space="preserve"> </w:t>
      </w:r>
      <w:r>
        <w:rPr>
          <w:rFonts w:cstheme="minorHAnsi"/>
        </w:rPr>
        <w:t xml:space="preserve">Takové jednání bylo v rozporu se zásadou </w:t>
      </w:r>
      <w:r w:rsidRPr="00587496">
        <w:rPr>
          <w:rFonts w:cstheme="minorHAnsi"/>
        </w:rPr>
        <w:t>transparentnosti dle ustanovení</w:t>
      </w:r>
      <w:r>
        <w:rPr>
          <w:rFonts w:cstheme="minorHAnsi"/>
        </w:rPr>
        <w:t xml:space="preserve"> </w:t>
      </w:r>
      <w:r w:rsidRPr="00587496">
        <w:rPr>
          <w:rFonts w:cstheme="minorHAnsi"/>
        </w:rPr>
        <w:t>§ 6 ZVZ</w:t>
      </w:r>
      <w:r>
        <w:rPr>
          <w:rFonts w:cstheme="minorHAnsi"/>
        </w:rPr>
        <w:t xml:space="preserve">. ČŠI tak použila část peněžních prostředků neoprávněně ve smyslu </w:t>
      </w:r>
      <w:r w:rsidRPr="003379B7">
        <w:rPr>
          <w:rFonts w:cstheme="minorHAnsi"/>
        </w:rPr>
        <w:t xml:space="preserve">ustanovení </w:t>
      </w:r>
      <w:r w:rsidRPr="003379B7">
        <w:rPr>
          <w:rFonts w:cs="Arial"/>
        </w:rPr>
        <w:t xml:space="preserve">§ 3 </w:t>
      </w:r>
      <w:r>
        <w:rPr>
          <w:rFonts w:cs="Arial"/>
        </w:rPr>
        <w:t xml:space="preserve">písm. e) </w:t>
      </w:r>
      <w:r w:rsidRPr="003379B7">
        <w:rPr>
          <w:rFonts w:cs="Arial"/>
        </w:rPr>
        <w:t>zákona č. 218/2000 Sb.</w:t>
      </w:r>
      <w:r>
        <w:rPr>
          <w:rFonts w:cs="Arial"/>
        </w:rPr>
        <w:t xml:space="preserve"> a</w:t>
      </w:r>
      <w:r w:rsidRPr="003379B7">
        <w:rPr>
          <w:rFonts w:cs="Arial"/>
        </w:rPr>
        <w:t xml:space="preserve"> </w:t>
      </w:r>
      <w:r>
        <w:rPr>
          <w:rFonts w:cstheme="minorHAnsi"/>
        </w:rPr>
        <w:t xml:space="preserve">NKÚ takové jednání </w:t>
      </w:r>
      <w:r>
        <w:rPr>
          <w:rFonts w:cs="Arial"/>
        </w:rPr>
        <w:t>vyhodnotil</w:t>
      </w:r>
      <w:r w:rsidRPr="003379B7">
        <w:rPr>
          <w:rFonts w:cs="Arial"/>
        </w:rPr>
        <w:t xml:space="preserve"> jako porušení rozpočtové kázně </w:t>
      </w:r>
      <w:r w:rsidRPr="003379B7">
        <w:rPr>
          <w:rFonts w:cs="Arial"/>
          <w:bCs/>
        </w:rPr>
        <w:t>ve smyslu ustanovení § 44 odst. 1 písm. a) zákona č.</w:t>
      </w:r>
      <w:r w:rsidR="00D17AE0">
        <w:rPr>
          <w:rFonts w:cs="Arial"/>
          <w:bCs/>
        </w:rPr>
        <w:t> </w:t>
      </w:r>
      <w:r w:rsidRPr="003379B7">
        <w:rPr>
          <w:rFonts w:cs="Arial"/>
          <w:bCs/>
        </w:rPr>
        <w:t>218/2000</w:t>
      </w:r>
      <w:r w:rsidR="00D17AE0">
        <w:rPr>
          <w:rFonts w:cs="Arial"/>
          <w:bCs/>
        </w:rPr>
        <w:t> </w:t>
      </w:r>
      <w:r w:rsidRPr="003379B7">
        <w:rPr>
          <w:rFonts w:cs="Arial"/>
          <w:bCs/>
        </w:rPr>
        <w:t xml:space="preserve">Sb. </w:t>
      </w:r>
      <w:r>
        <w:rPr>
          <w:rFonts w:cstheme="minorHAnsi"/>
        </w:rPr>
        <w:t xml:space="preserve">až do výše 385 385 Kč (výše dílčí části plnění </w:t>
      </w:r>
      <w:r w:rsidR="00C74D5B">
        <w:rPr>
          <w:rFonts w:cstheme="minorHAnsi"/>
          <w:i/>
        </w:rPr>
        <w:t>s</w:t>
      </w:r>
      <w:r w:rsidRPr="00587496">
        <w:rPr>
          <w:rFonts w:cstheme="minorHAnsi"/>
          <w:i/>
        </w:rPr>
        <w:t>mlouvy o poskytnutí služby</w:t>
      </w:r>
      <w:r>
        <w:rPr>
          <w:rFonts w:cstheme="minorHAnsi"/>
        </w:rPr>
        <w:t>).</w:t>
      </w:r>
      <w:r w:rsidRPr="00A010C0">
        <w:rPr>
          <w:rFonts w:cstheme="minorHAnsi"/>
        </w:rPr>
        <w:t xml:space="preserve"> </w:t>
      </w:r>
    </w:p>
    <w:p w14:paraId="079EEAB7" w14:textId="55CB71FE" w:rsidR="00374405" w:rsidRPr="007341BB" w:rsidRDefault="00374405" w:rsidP="00374405">
      <w:pPr>
        <w:spacing w:before="120" w:line="240" w:lineRule="auto"/>
        <w:jc w:val="both"/>
        <w:rPr>
          <w:rFonts w:cs="Calibri"/>
          <w:szCs w:val="24"/>
        </w:rPr>
      </w:pPr>
      <w:r w:rsidRPr="009E4938">
        <w:rPr>
          <w:rFonts w:cs="Calibri"/>
          <w:szCs w:val="24"/>
        </w:rPr>
        <w:t xml:space="preserve">Vytvořený informační systém </w:t>
      </w:r>
      <w:r w:rsidRPr="00C628B4">
        <w:rPr>
          <w:rFonts w:cs="Calibri"/>
          <w:i/>
          <w:szCs w:val="24"/>
        </w:rPr>
        <w:t>InspIS SET</w:t>
      </w:r>
      <w:r w:rsidRPr="009E4938">
        <w:rPr>
          <w:rFonts w:cs="Calibri"/>
          <w:szCs w:val="24"/>
        </w:rPr>
        <w:t xml:space="preserve"> doplnila ČŠI v roce 2015 o bezplatnou a veřejně přístupnou aplikaci </w:t>
      </w:r>
      <w:r w:rsidRPr="00C628B4">
        <w:rPr>
          <w:rFonts w:cs="Calibri"/>
          <w:i/>
          <w:szCs w:val="24"/>
        </w:rPr>
        <w:t>InspIS SET mobile</w:t>
      </w:r>
      <w:r w:rsidRPr="009E4938">
        <w:rPr>
          <w:rFonts w:cs="Calibri"/>
          <w:szCs w:val="24"/>
        </w:rPr>
        <w:t xml:space="preserve"> určenou pro mobilní tele</w:t>
      </w:r>
      <w:r>
        <w:rPr>
          <w:rFonts w:cs="Calibri"/>
          <w:szCs w:val="24"/>
        </w:rPr>
        <w:t>fony a tablety v hodnotě 5 505</w:t>
      </w:r>
      <w:r w:rsidR="00C74D5B">
        <w:rPr>
          <w:rFonts w:cs="Calibri"/>
          <w:szCs w:val="24"/>
        </w:rPr>
        <w:t> </w:t>
      </w:r>
      <w:r>
        <w:rPr>
          <w:rFonts w:cs="Calibri"/>
          <w:szCs w:val="24"/>
        </w:rPr>
        <w:t xml:space="preserve">500 </w:t>
      </w:r>
      <w:r w:rsidRPr="009E4938">
        <w:rPr>
          <w:rFonts w:cs="Calibri"/>
          <w:szCs w:val="24"/>
        </w:rPr>
        <w:t>Kč vč. DPH</w:t>
      </w:r>
      <w:r>
        <w:rPr>
          <w:rFonts w:cs="Calibri"/>
          <w:szCs w:val="24"/>
        </w:rPr>
        <w:t>. Do ukončení kontroly (11. </w:t>
      </w:r>
      <w:r w:rsidR="006C5DD2">
        <w:rPr>
          <w:rFonts w:cs="Calibri"/>
          <w:szCs w:val="24"/>
        </w:rPr>
        <w:t xml:space="preserve">listopadu </w:t>
      </w:r>
      <w:r>
        <w:rPr>
          <w:rFonts w:cs="Calibri"/>
          <w:szCs w:val="24"/>
        </w:rPr>
        <w:t>2016), tzn</w:t>
      </w:r>
      <w:r w:rsidRPr="009E4938">
        <w:rPr>
          <w:rFonts w:cs="Calibri"/>
          <w:szCs w:val="24"/>
        </w:rPr>
        <w:t>. po 16 měsících a</w:t>
      </w:r>
      <w:r w:rsidR="006C5DD2">
        <w:rPr>
          <w:rFonts w:cs="Calibri"/>
          <w:szCs w:val="24"/>
        </w:rPr>
        <w:t> </w:t>
      </w:r>
      <w:r w:rsidRPr="009E4938">
        <w:rPr>
          <w:rFonts w:cs="Calibri"/>
          <w:szCs w:val="24"/>
        </w:rPr>
        <w:t>11</w:t>
      </w:r>
      <w:r w:rsidR="006C5DD2">
        <w:rPr>
          <w:rFonts w:cs="Calibri"/>
          <w:szCs w:val="24"/>
        </w:rPr>
        <w:t> </w:t>
      </w:r>
      <w:r w:rsidRPr="009E4938">
        <w:rPr>
          <w:rFonts w:cs="Calibri"/>
          <w:szCs w:val="24"/>
        </w:rPr>
        <w:t>dnech</w:t>
      </w:r>
      <w:r>
        <w:rPr>
          <w:rFonts w:cs="Calibri"/>
          <w:szCs w:val="24"/>
        </w:rPr>
        <w:t>,</w:t>
      </w:r>
      <w:r w:rsidRPr="009E4938">
        <w:rPr>
          <w:rFonts w:cs="Calibri"/>
          <w:szCs w:val="24"/>
        </w:rPr>
        <w:t xml:space="preserve"> bylo aplikací vygenerováno a</w:t>
      </w:r>
      <w:r>
        <w:rPr>
          <w:rFonts w:cs="Calibri"/>
          <w:szCs w:val="24"/>
        </w:rPr>
        <w:t xml:space="preserve"> realizováno celkem 1 994 testů, což neodpovídá masivnějšímu využití informačního systému </w:t>
      </w:r>
      <w:r w:rsidRPr="00C628B4">
        <w:rPr>
          <w:rFonts w:cs="Calibri"/>
          <w:i/>
          <w:szCs w:val="24"/>
        </w:rPr>
        <w:t>InspIS SET</w:t>
      </w:r>
      <w:r>
        <w:rPr>
          <w:rFonts w:cs="Calibri"/>
          <w:szCs w:val="24"/>
        </w:rPr>
        <w:t>.</w:t>
      </w:r>
      <w:r w:rsidRPr="009E4938">
        <w:rPr>
          <w:rFonts w:cs="Calibri"/>
          <w:szCs w:val="24"/>
        </w:rPr>
        <w:t xml:space="preserve"> Takové využití</w:t>
      </w:r>
      <w:r>
        <w:rPr>
          <w:rFonts w:cs="Calibri"/>
          <w:szCs w:val="24"/>
        </w:rPr>
        <w:t xml:space="preserve"> aplikace za sledované období NKÚ vyhodnotil</w:t>
      </w:r>
      <w:r w:rsidRPr="009E4938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jako </w:t>
      </w:r>
      <w:r w:rsidRPr="009E4938">
        <w:rPr>
          <w:rFonts w:cs="Calibri"/>
          <w:szCs w:val="24"/>
        </w:rPr>
        <w:t>neúčelné a neefektivní vzhledem k vyn</w:t>
      </w:r>
      <w:r>
        <w:rPr>
          <w:rFonts w:cs="Calibri"/>
          <w:szCs w:val="24"/>
        </w:rPr>
        <w:t xml:space="preserve">aloženým peněžním prostředkům. </w:t>
      </w:r>
    </w:p>
    <w:p w14:paraId="769F148B" w14:textId="77777777" w:rsidR="00374405" w:rsidRPr="00906105" w:rsidRDefault="00374405" w:rsidP="00374405">
      <w:pPr>
        <w:spacing w:line="240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Vzhledem k odklonu od původního záměru ověřování 5. a 9. tříd, pro které měl informační systém </w:t>
      </w:r>
      <w:r w:rsidRPr="00C628B4">
        <w:rPr>
          <w:rFonts w:cstheme="minorHAnsi"/>
          <w:i/>
        </w:rPr>
        <w:t>InspIS SET</w:t>
      </w:r>
      <w:r>
        <w:rPr>
          <w:rFonts w:cstheme="minorHAnsi"/>
        </w:rPr>
        <w:t xml:space="preserve"> včetně aplikace </w:t>
      </w:r>
      <w:r w:rsidRPr="00C628B4">
        <w:rPr>
          <w:rFonts w:cstheme="minorHAnsi"/>
          <w:i/>
        </w:rPr>
        <w:t>InspIS SET mobile</w:t>
      </w:r>
      <w:r>
        <w:rPr>
          <w:rFonts w:cstheme="minorHAnsi"/>
        </w:rPr>
        <w:t xml:space="preserve"> sloužit, byly peněžní prostředky v celkové výši 116 105 500 Kč v resortu školství vynaloženy neúčelně (viz kapitola III., bod </w:t>
      </w:r>
      <w:r w:rsidR="005D1887">
        <w:rPr>
          <w:rFonts w:cstheme="minorHAnsi"/>
        </w:rPr>
        <w:t>1</w:t>
      </w:r>
      <w:r w:rsidRPr="00A140E5">
        <w:rPr>
          <w:rFonts w:cstheme="minorHAnsi"/>
        </w:rPr>
        <w:t>).</w:t>
      </w:r>
    </w:p>
    <w:p w14:paraId="4FE3FCD3" w14:textId="77777777" w:rsidR="00374405" w:rsidRPr="005E4AA5" w:rsidRDefault="00374405" w:rsidP="00374405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Společná část maturitní zkoušky</w:t>
      </w:r>
    </w:p>
    <w:p w14:paraId="78670CE1" w14:textId="2304BF65" w:rsidR="00374405" w:rsidRPr="00D548D6" w:rsidRDefault="00374405" w:rsidP="00374405">
      <w:pPr>
        <w:spacing w:line="240" w:lineRule="auto"/>
        <w:jc w:val="both"/>
        <w:rPr>
          <w:rFonts w:cs="Arial"/>
          <w:lang w:eastAsia="cs-CZ"/>
        </w:rPr>
      </w:pPr>
      <w:r>
        <w:rPr>
          <w:rFonts w:cs="Arial"/>
          <w:color w:val="000000" w:themeColor="text1"/>
          <w:spacing w:val="-3"/>
          <w:lang w:eastAsia="cs-CZ"/>
        </w:rPr>
        <w:t xml:space="preserve">Ke dni 31. </w:t>
      </w:r>
      <w:r w:rsidR="006C5DD2">
        <w:rPr>
          <w:rFonts w:cs="Arial"/>
          <w:color w:val="000000" w:themeColor="text1"/>
          <w:spacing w:val="-3"/>
          <w:lang w:eastAsia="cs-CZ"/>
        </w:rPr>
        <w:t xml:space="preserve">října </w:t>
      </w:r>
      <w:r>
        <w:rPr>
          <w:rFonts w:cs="Arial"/>
          <w:color w:val="000000" w:themeColor="text1"/>
          <w:spacing w:val="-3"/>
          <w:lang w:eastAsia="cs-CZ"/>
        </w:rPr>
        <w:t xml:space="preserve">2014 měla skončit účinnost </w:t>
      </w:r>
      <w:r w:rsidR="00C74D5B">
        <w:rPr>
          <w:i/>
          <w:color w:val="000000" w:themeColor="text1"/>
          <w:spacing w:val="-3"/>
        </w:rPr>
        <w:t>s</w:t>
      </w:r>
      <w:r w:rsidRPr="00635932">
        <w:rPr>
          <w:i/>
          <w:color w:val="000000" w:themeColor="text1"/>
          <w:spacing w:val="-3"/>
        </w:rPr>
        <w:t>mlouvy o outsourcingu služeb</w:t>
      </w:r>
      <w:r>
        <w:t xml:space="preserve"> na zajištění informační infrastruktury a souvisejících služeb pro řízení a kontrolu SMZ. </w:t>
      </w:r>
      <w:r w:rsidRPr="00651FBA">
        <w:rPr>
          <w:rFonts w:cs="Calibri"/>
        </w:rPr>
        <w:t xml:space="preserve">CZVV </w:t>
      </w:r>
      <w:r>
        <w:rPr>
          <w:rFonts w:cs="Calibri"/>
        </w:rPr>
        <w:t xml:space="preserve">proto dne </w:t>
      </w:r>
      <w:r w:rsidRPr="00651FBA">
        <w:rPr>
          <w:rFonts w:cs="Calibri"/>
        </w:rPr>
        <w:t>6. </w:t>
      </w:r>
      <w:r w:rsidR="006C5DD2">
        <w:rPr>
          <w:rFonts w:cs="Calibri"/>
        </w:rPr>
        <w:t xml:space="preserve">června </w:t>
      </w:r>
      <w:r w:rsidRPr="00651FBA">
        <w:rPr>
          <w:rFonts w:cs="Calibri"/>
        </w:rPr>
        <w:t>2014</w:t>
      </w:r>
      <w:r>
        <w:rPr>
          <w:rFonts w:cs="Calibri"/>
        </w:rPr>
        <w:t xml:space="preserve"> zahájilo užší zadávací řízení, tj. pouhé čtyři měsíce před ukončením </w:t>
      </w:r>
      <w:r w:rsidR="00C74D5B">
        <w:rPr>
          <w:rFonts w:cs="Calibri"/>
          <w:i/>
        </w:rPr>
        <w:t>s</w:t>
      </w:r>
      <w:r w:rsidRPr="00D67496">
        <w:rPr>
          <w:rFonts w:cs="Calibri"/>
          <w:i/>
        </w:rPr>
        <w:t>mlouvy o</w:t>
      </w:r>
      <w:r w:rsidR="003F5309">
        <w:rPr>
          <w:rFonts w:cs="Calibri"/>
          <w:i/>
        </w:rPr>
        <w:t> </w:t>
      </w:r>
      <w:r w:rsidRPr="00D67496">
        <w:rPr>
          <w:rFonts w:cs="Calibri"/>
          <w:i/>
        </w:rPr>
        <w:t>outsourcingu služeb</w:t>
      </w:r>
      <w:r w:rsidRPr="00651FBA">
        <w:rPr>
          <w:rFonts w:cs="Calibri"/>
        </w:rPr>
        <w:t>.</w:t>
      </w:r>
      <w:r>
        <w:rPr>
          <w:rFonts w:cs="Calibri"/>
        </w:rPr>
        <w:t xml:space="preserve"> </w:t>
      </w:r>
      <w:r w:rsidRPr="0044252A">
        <w:rPr>
          <w:rFonts w:cs="Calibri"/>
        </w:rPr>
        <w:t xml:space="preserve">Předmětem </w:t>
      </w:r>
      <w:r>
        <w:rPr>
          <w:rFonts w:cs="Calibri"/>
        </w:rPr>
        <w:t xml:space="preserve">plnění </w:t>
      </w:r>
      <w:r w:rsidRPr="0044252A">
        <w:rPr>
          <w:rFonts w:cs="Calibri"/>
        </w:rPr>
        <w:t>měl</w:t>
      </w:r>
      <w:r>
        <w:rPr>
          <w:rFonts w:cs="Calibri"/>
        </w:rPr>
        <w:t>o</w:t>
      </w:r>
      <w:r w:rsidRPr="0044252A">
        <w:rPr>
          <w:rFonts w:cs="Calibri"/>
        </w:rPr>
        <w:t xml:space="preserve"> být</w:t>
      </w:r>
      <w:r>
        <w:rPr>
          <w:rFonts w:cs="Calibri"/>
        </w:rPr>
        <w:t xml:space="preserve"> zajištění</w:t>
      </w:r>
      <w:r>
        <w:rPr>
          <w:rFonts w:cs="Arial"/>
          <w:lang w:eastAsia="cs-CZ"/>
        </w:rPr>
        <w:t xml:space="preserve"> </w:t>
      </w:r>
      <w:r w:rsidRPr="00482C9C">
        <w:rPr>
          <w:rFonts w:cs="Arial"/>
          <w:lang w:eastAsia="cs-CZ"/>
        </w:rPr>
        <w:t>informa</w:t>
      </w:r>
      <w:r w:rsidRPr="00482C9C">
        <w:rPr>
          <w:lang w:eastAsia="cs-CZ"/>
        </w:rPr>
        <w:t>č</w:t>
      </w:r>
      <w:r w:rsidRPr="00482C9C">
        <w:rPr>
          <w:rFonts w:cs="Arial"/>
          <w:lang w:eastAsia="cs-CZ"/>
        </w:rPr>
        <w:t>n</w:t>
      </w:r>
      <w:r w:rsidRPr="00482C9C">
        <w:rPr>
          <w:lang w:eastAsia="cs-CZ"/>
        </w:rPr>
        <w:t>í</w:t>
      </w:r>
      <w:r w:rsidRPr="00482C9C">
        <w:rPr>
          <w:rFonts w:cs="Arial"/>
          <w:lang w:eastAsia="cs-CZ"/>
        </w:rPr>
        <w:t xml:space="preserve"> infrastruktury a</w:t>
      </w:r>
      <w:r w:rsidR="003F5309">
        <w:rPr>
          <w:rFonts w:cs="Arial"/>
          <w:lang w:eastAsia="cs-CZ"/>
        </w:rPr>
        <w:t> </w:t>
      </w:r>
      <w:r w:rsidRPr="00482C9C">
        <w:rPr>
          <w:rFonts w:cs="Arial"/>
          <w:lang w:eastAsia="cs-CZ"/>
        </w:rPr>
        <w:t>souvisej</w:t>
      </w:r>
      <w:r w:rsidRPr="00482C9C">
        <w:rPr>
          <w:lang w:eastAsia="cs-CZ"/>
        </w:rPr>
        <w:t>í</w:t>
      </w:r>
      <w:r w:rsidRPr="00482C9C">
        <w:rPr>
          <w:rFonts w:cs="Arial"/>
          <w:lang w:eastAsia="cs-CZ"/>
        </w:rPr>
        <w:t>c</w:t>
      </w:r>
      <w:r w:rsidRPr="00482C9C">
        <w:rPr>
          <w:lang w:eastAsia="cs-CZ"/>
        </w:rPr>
        <w:t>í</w:t>
      </w:r>
      <w:r w:rsidRPr="00482C9C">
        <w:rPr>
          <w:rFonts w:cs="Arial"/>
          <w:lang w:eastAsia="cs-CZ"/>
        </w:rPr>
        <w:t>ch slu</w:t>
      </w:r>
      <w:r w:rsidRPr="00482C9C">
        <w:rPr>
          <w:lang w:eastAsia="cs-CZ"/>
        </w:rPr>
        <w:t>ž</w:t>
      </w:r>
      <w:r w:rsidRPr="00482C9C">
        <w:rPr>
          <w:rFonts w:cs="Arial"/>
          <w:lang w:eastAsia="cs-CZ"/>
        </w:rPr>
        <w:t>eb nezbytn</w:t>
      </w:r>
      <w:r w:rsidRPr="00482C9C">
        <w:rPr>
          <w:lang w:eastAsia="cs-CZ"/>
        </w:rPr>
        <w:t>ý</w:t>
      </w:r>
      <w:r w:rsidRPr="00482C9C">
        <w:rPr>
          <w:rFonts w:cs="Arial"/>
          <w:lang w:eastAsia="cs-CZ"/>
        </w:rPr>
        <w:t xml:space="preserve">ch pro </w:t>
      </w:r>
      <w:r w:rsidRPr="00482C9C">
        <w:rPr>
          <w:lang w:eastAsia="cs-CZ"/>
        </w:rPr>
        <w:t>ří</w:t>
      </w:r>
      <w:r w:rsidRPr="00482C9C">
        <w:rPr>
          <w:rFonts w:cs="Arial"/>
          <w:lang w:eastAsia="cs-CZ"/>
        </w:rPr>
        <w:t>zen</w:t>
      </w:r>
      <w:r w:rsidRPr="00482C9C">
        <w:rPr>
          <w:lang w:eastAsia="cs-CZ"/>
        </w:rPr>
        <w:t xml:space="preserve">í </w:t>
      </w:r>
      <w:r>
        <w:rPr>
          <w:lang w:eastAsia="cs-CZ"/>
        </w:rPr>
        <w:t xml:space="preserve">a </w:t>
      </w:r>
      <w:r>
        <w:rPr>
          <w:rFonts w:cs="Arial"/>
          <w:lang w:eastAsia="cs-CZ"/>
        </w:rPr>
        <w:t>kontrolu</w:t>
      </w:r>
      <w:r w:rsidRPr="00482C9C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>SMZ.</w:t>
      </w:r>
      <w:r w:rsidRPr="00093A8A">
        <w:t xml:space="preserve"> </w:t>
      </w:r>
      <w:r>
        <w:rPr>
          <w:rFonts w:cs="Calibri"/>
        </w:rPr>
        <w:t>K</w:t>
      </w:r>
      <w:r w:rsidRPr="00651FBA">
        <w:rPr>
          <w:rFonts w:cs="Calibri"/>
        </w:rPr>
        <w:t> podání nabídky</w:t>
      </w:r>
      <w:r>
        <w:rPr>
          <w:rFonts w:cs="Calibri"/>
        </w:rPr>
        <w:t xml:space="preserve"> CZVV vyzvalo dva uchazeče, z jejichž nabídek vybralo nabídku vhodnější</w:t>
      </w:r>
      <w:r w:rsidR="00D514FC">
        <w:rPr>
          <w:rFonts w:cs="Calibri"/>
        </w:rPr>
        <w:t xml:space="preserve"> (uchazeč 1)</w:t>
      </w:r>
      <w:r>
        <w:rPr>
          <w:rFonts w:cs="Calibri"/>
        </w:rPr>
        <w:t>. CZVV užší zadávací řízení po vydání předběžného opatření Ú</w:t>
      </w:r>
      <w:r w:rsidR="00737756">
        <w:rPr>
          <w:rFonts w:cs="Calibri"/>
        </w:rPr>
        <w:t>řadem pro ochranu hospodářské soutěže</w:t>
      </w:r>
      <w:r>
        <w:rPr>
          <w:rFonts w:cs="Calibri"/>
        </w:rPr>
        <w:t xml:space="preserve"> se zákazem uzavřít s vítězným uchazečem smlouvu ukončilo dne 8. </w:t>
      </w:r>
      <w:r w:rsidR="006C5DD2">
        <w:rPr>
          <w:rFonts w:cs="Calibri"/>
        </w:rPr>
        <w:t xml:space="preserve">ledna </w:t>
      </w:r>
      <w:r>
        <w:rPr>
          <w:rFonts w:cs="Calibri"/>
        </w:rPr>
        <w:t>2015.</w:t>
      </w:r>
    </w:p>
    <w:p w14:paraId="246618F6" w14:textId="77777777" w:rsidR="00374405" w:rsidRPr="009C7AA4" w:rsidRDefault="00374405" w:rsidP="00374405">
      <w:pPr>
        <w:spacing w:before="120" w:line="240" w:lineRule="auto"/>
        <w:jc w:val="both"/>
        <w:rPr>
          <w:rFonts w:cs="Calibri"/>
        </w:rPr>
      </w:pPr>
      <w:r w:rsidRPr="00651FBA">
        <w:rPr>
          <w:rFonts w:cs="Calibri"/>
        </w:rPr>
        <w:lastRenderedPageBreak/>
        <w:t xml:space="preserve">CZVV </w:t>
      </w:r>
      <w:r>
        <w:rPr>
          <w:rFonts w:cs="Calibri"/>
        </w:rPr>
        <w:t xml:space="preserve">s odůvodněním krajní naléhavosti (časové tísně) zahájilo dne 27. </w:t>
      </w:r>
      <w:r w:rsidR="006C5DD2">
        <w:rPr>
          <w:rFonts w:cs="Calibri"/>
        </w:rPr>
        <w:t xml:space="preserve">října </w:t>
      </w:r>
      <w:r>
        <w:rPr>
          <w:rFonts w:cs="Calibri"/>
        </w:rPr>
        <w:t xml:space="preserve">2014 zadávací řízení VZ v JŘBU dle ustanovení § 23 odst. 4 </w:t>
      </w:r>
      <w:r w:rsidR="004309A1">
        <w:rPr>
          <w:rFonts w:cs="Calibri"/>
        </w:rPr>
        <w:t xml:space="preserve">písm. </w:t>
      </w:r>
      <w:r>
        <w:rPr>
          <w:rFonts w:cs="Calibri"/>
        </w:rPr>
        <w:t xml:space="preserve">b) ZVZ, a to s obdobným předmětem plnění, jaký mělo užší zadávací řízení. CZVV mohlo a mělo předvídat, že mohou nastat skutečnosti spojené s využitím opravných prostředků v rámci VZ zadané v užším zadávacím řízení. </w:t>
      </w:r>
      <w:r>
        <w:t xml:space="preserve">CZVV tak vzhledem k významnosti VZ a povinnosti zajistit řádný průběh SMZ nezahájilo užší zadávací řízení s dostatečným časovým předstihem a </w:t>
      </w:r>
      <w:r>
        <w:rPr>
          <w:rFonts w:cs="Calibri"/>
        </w:rPr>
        <w:t xml:space="preserve">podmínky pro použití JŘBU dle ustanovení </w:t>
      </w:r>
      <w:r w:rsidRPr="008D2E66">
        <w:rPr>
          <w:rFonts w:cs="Calibri"/>
        </w:rPr>
        <w:t xml:space="preserve">§ 23 odst. 4 </w:t>
      </w:r>
      <w:r w:rsidR="004309A1">
        <w:rPr>
          <w:rFonts w:cs="Calibri"/>
        </w:rPr>
        <w:t xml:space="preserve">písm. </w:t>
      </w:r>
      <w:r w:rsidRPr="008D2E66">
        <w:rPr>
          <w:rFonts w:cs="Calibri"/>
        </w:rPr>
        <w:t xml:space="preserve">b) </w:t>
      </w:r>
      <w:r>
        <w:rPr>
          <w:rFonts w:cs="Calibri"/>
        </w:rPr>
        <w:t xml:space="preserve">ZVZ tím nebyly naplněny. </w:t>
      </w:r>
    </w:p>
    <w:p w14:paraId="7BD86DB4" w14:textId="582A75E4" w:rsidR="00374405" w:rsidRPr="00DA55FF" w:rsidRDefault="00374405" w:rsidP="00374405">
      <w:pPr>
        <w:spacing w:before="120" w:line="240" w:lineRule="auto"/>
        <w:jc w:val="both"/>
        <w:rPr>
          <w:bCs/>
          <w:lang w:eastAsia="cs-CZ"/>
        </w:rPr>
      </w:pPr>
      <w:r>
        <w:t xml:space="preserve">Dne 31. </w:t>
      </w:r>
      <w:r w:rsidR="006C5DD2">
        <w:t>října</w:t>
      </w:r>
      <w:r>
        <w:t xml:space="preserve"> 2014 uzavřelo CZVV s uchazečem 1 na základě JŘBU </w:t>
      </w:r>
      <w:r w:rsidR="00C74D5B">
        <w:rPr>
          <w:i/>
        </w:rPr>
        <w:t>s</w:t>
      </w:r>
      <w:r w:rsidRPr="00922DF6">
        <w:rPr>
          <w:i/>
        </w:rPr>
        <w:t>mlouvu o outsourcingu služeb</w:t>
      </w:r>
      <w:r>
        <w:t xml:space="preserve"> s p</w:t>
      </w:r>
      <w:r w:rsidRPr="0003629F">
        <w:rPr>
          <w:rFonts w:cs="Calibri"/>
          <w:lang w:eastAsia="cs-CZ"/>
        </w:rPr>
        <w:t xml:space="preserve">ředmětem </w:t>
      </w:r>
      <w:r>
        <w:rPr>
          <w:rFonts w:cs="Calibri"/>
          <w:lang w:eastAsia="cs-CZ"/>
        </w:rPr>
        <w:t xml:space="preserve">plnění zajištění </w:t>
      </w:r>
      <w:r w:rsidRPr="00482C9C">
        <w:rPr>
          <w:rFonts w:cs="Arial"/>
          <w:lang w:eastAsia="cs-CZ"/>
        </w:rPr>
        <w:t>informa</w:t>
      </w:r>
      <w:r w:rsidRPr="00482C9C">
        <w:rPr>
          <w:lang w:eastAsia="cs-CZ"/>
        </w:rPr>
        <w:t>č</w:t>
      </w:r>
      <w:r w:rsidRPr="00482C9C">
        <w:rPr>
          <w:rFonts w:cs="Arial"/>
          <w:lang w:eastAsia="cs-CZ"/>
        </w:rPr>
        <w:t>n</w:t>
      </w:r>
      <w:r w:rsidRPr="00482C9C">
        <w:rPr>
          <w:lang w:eastAsia="cs-CZ"/>
        </w:rPr>
        <w:t>í</w:t>
      </w:r>
      <w:r>
        <w:rPr>
          <w:rFonts w:cs="Arial"/>
          <w:lang w:eastAsia="cs-CZ"/>
        </w:rPr>
        <w:t xml:space="preserve"> infrastruktury</w:t>
      </w:r>
      <w:r w:rsidRPr="00482C9C">
        <w:rPr>
          <w:rFonts w:cs="Arial"/>
          <w:lang w:eastAsia="cs-CZ"/>
        </w:rPr>
        <w:t xml:space="preserve"> a souvisej</w:t>
      </w:r>
      <w:r w:rsidRPr="00482C9C">
        <w:rPr>
          <w:lang w:eastAsia="cs-CZ"/>
        </w:rPr>
        <w:t>í</w:t>
      </w:r>
      <w:r w:rsidRPr="00482C9C">
        <w:rPr>
          <w:rFonts w:cs="Arial"/>
          <w:lang w:eastAsia="cs-CZ"/>
        </w:rPr>
        <w:t>c</w:t>
      </w:r>
      <w:r w:rsidRPr="00482C9C">
        <w:rPr>
          <w:lang w:eastAsia="cs-CZ"/>
        </w:rPr>
        <w:t>í</w:t>
      </w:r>
      <w:r w:rsidRPr="00482C9C">
        <w:rPr>
          <w:rFonts w:cs="Arial"/>
          <w:lang w:eastAsia="cs-CZ"/>
        </w:rPr>
        <w:t>ch slu</w:t>
      </w:r>
      <w:r w:rsidRPr="00482C9C">
        <w:rPr>
          <w:lang w:eastAsia="cs-CZ"/>
        </w:rPr>
        <w:t>ž</w:t>
      </w:r>
      <w:r w:rsidRPr="00482C9C">
        <w:rPr>
          <w:rFonts w:cs="Arial"/>
          <w:lang w:eastAsia="cs-CZ"/>
        </w:rPr>
        <w:t>eb nezbytn</w:t>
      </w:r>
      <w:r w:rsidRPr="00482C9C">
        <w:rPr>
          <w:lang w:eastAsia="cs-CZ"/>
        </w:rPr>
        <w:t>ý</w:t>
      </w:r>
      <w:r>
        <w:rPr>
          <w:rFonts w:cs="Arial"/>
          <w:lang w:eastAsia="cs-CZ"/>
        </w:rPr>
        <w:t xml:space="preserve">ch </w:t>
      </w:r>
      <w:r>
        <w:t>pro řízení a kontrolu SMZ</w:t>
      </w:r>
      <w:r>
        <w:rPr>
          <w:rFonts w:cs="Arial"/>
          <w:lang w:eastAsia="cs-CZ"/>
        </w:rPr>
        <w:t>. Plnění mělo být dle CZVV poskytováno</w:t>
      </w:r>
      <w:r w:rsidRPr="00093A8A">
        <w:t xml:space="preserve"> </w:t>
      </w:r>
      <w:r>
        <w:t xml:space="preserve">po nezbytně dlouhou dobu. </w:t>
      </w:r>
      <w:r w:rsidRPr="00093A8A">
        <w:t>Celkové</w:t>
      </w:r>
      <w:r>
        <w:t xml:space="preserve"> výdaje na plnění z této smlouvy </w:t>
      </w:r>
      <w:r w:rsidRPr="00093A8A">
        <w:t>k 30. 9. 2016</w:t>
      </w:r>
      <w:r>
        <w:t xml:space="preserve"> činily</w:t>
      </w:r>
      <w:r w:rsidRPr="00093A8A">
        <w:t xml:space="preserve"> 82 660 456,1</w:t>
      </w:r>
      <w:r>
        <w:t>0</w:t>
      </w:r>
      <w:r w:rsidRPr="00093A8A">
        <w:t xml:space="preserve"> </w:t>
      </w:r>
      <w:r w:rsidRPr="00093A8A">
        <w:rPr>
          <w:lang w:eastAsia="cs-CZ"/>
        </w:rPr>
        <w:t>Kč vč. DPH.</w:t>
      </w:r>
    </w:p>
    <w:p w14:paraId="38F59883" w14:textId="13854555" w:rsidR="00374405" w:rsidRPr="008D1BE1" w:rsidRDefault="00374405" w:rsidP="00374405">
      <w:pPr>
        <w:spacing w:line="240" w:lineRule="auto"/>
        <w:jc w:val="both"/>
      </w:pPr>
      <w:r>
        <w:rPr>
          <w:rFonts w:cs="Calibri"/>
        </w:rPr>
        <w:t>D</w:t>
      </w:r>
      <w:r w:rsidRPr="00D45BD4">
        <w:rPr>
          <w:rFonts w:cs="Calibri"/>
        </w:rPr>
        <w:t>ne 11. </w:t>
      </w:r>
      <w:r w:rsidR="006C5DD2">
        <w:rPr>
          <w:rFonts w:cs="Calibri"/>
        </w:rPr>
        <w:t>září</w:t>
      </w:r>
      <w:r w:rsidRPr="00D45BD4">
        <w:rPr>
          <w:rFonts w:cs="Calibri"/>
        </w:rPr>
        <w:t> 2015 uveřejnilo</w:t>
      </w:r>
      <w:r>
        <w:rPr>
          <w:rFonts w:cs="Calibri"/>
        </w:rPr>
        <w:t xml:space="preserve"> CZVV o</w:t>
      </w:r>
      <w:r w:rsidRPr="00D45BD4">
        <w:rPr>
          <w:rFonts w:cs="Calibri"/>
        </w:rPr>
        <w:t xml:space="preserve">známení o </w:t>
      </w:r>
      <w:r>
        <w:rPr>
          <w:rFonts w:cs="Calibri"/>
        </w:rPr>
        <w:t>VZ</w:t>
      </w:r>
      <w:r w:rsidRPr="00D45BD4">
        <w:rPr>
          <w:rFonts w:cs="Calibri"/>
        </w:rPr>
        <w:t xml:space="preserve"> zadávané v užším řízení s názvem </w:t>
      </w:r>
      <w:r w:rsidR="00541D0D">
        <w:rPr>
          <w:rFonts w:cs="Calibri"/>
        </w:rPr>
        <w:br/>
      </w:r>
      <w:r w:rsidRPr="0062484C">
        <w:rPr>
          <w:i/>
        </w:rPr>
        <w:t>CZVV – zajištění informační infrastruktury a souvisejících služeb pro řízení a kontrolu společné části maturitní zkoušky</w:t>
      </w:r>
      <w:r w:rsidRPr="0062484C">
        <w:t>, na základě kterého</w:t>
      </w:r>
      <w:r>
        <w:t xml:space="preserve"> uzavřelo</w:t>
      </w:r>
      <w:r>
        <w:rPr>
          <w:i/>
        </w:rPr>
        <w:t xml:space="preserve"> </w:t>
      </w:r>
      <w:r w:rsidRPr="00D45BD4">
        <w:t>dne 28. </w:t>
      </w:r>
      <w:r w:rsidR="006C5DD2">
        <w:t>dubna</w:t>
      </w:r>
      <w:r w:rsidRPr="00D45BD4">
        <w:t xml:space="preserve"> 2016 </w:t>
      </w:r>
      <w:r w:rsidR="00AB5A52">
        <w:rPr>
          <w:rFonts w:cs="Calibri"/>
          <w:i/>
        </w:rPr>
        <w:t>s</w:t>
      </w:r>
      <w:r w:rsidRPr="0062484C">
        <w:rPr>
          <w:rFonts w:cs="Calibri"/>
          <w:i/>
        </w:rPr>
        <w:t>mlouvu o dodání HW infrastruktury a poskytování služeb ICT podpory realizace MZ</w:t>
      </w:r>
      <w:r w:rsidRPr="00DF5BF5">
        <w:rPr>
          <w:rFonts w:cs="Calibri"/>
        </w:rPr>
        <w:t xml:space="preserve"> </w:t>
      </w:r>
      <w:r w:rsidRPr="00DF5BF5">
        <w:t>opět</w:t>
      </w:r>
      <w:r>
        <w:t xml:space="preserve"> s uchazečem 1.</w:t>
      </w:r>
      <w:r>
        <w:rPr>
          <w:rFonts w:cs="Calibri"/>
        </w:rPr>
        <w:t xml:space="preserve"> Nově uzavřená smlouva však svým předmětem neodpovídala </w:t>
      </w:r>
      <w:r w:rsidR="00AB5A52">
        <w:rPr>
          <w:rFonts w:cs="Calibri"/>
        </w:rPr>
        <w:t xml:space="preserve">tak docela </w:t>
      </w:r>
      <w:r w:rsidR="00AB5A52">
        <w:rPr>
          <w:rFonts w:cs="Calibri"/>
          <w:i/>
        </w:rPr>
        <w:t>s</w:t>
      </w:r>
      <w:r w:rsidRPr="0048740F">
        <w:rPr>
          <w:rFonts w:cs="Calibri"/>
          <w:i/>
        </w:rPr>
        <w:t>mlouvě o outsourcingu služeb</w:t>
      </w:r>
      <w:r>
        <w:rPr>
          <w:rFonts w:cs="Calibri"/>
        </w:rPr>
        <w:t xml:space="preserve"> vzešlé z JŘBU</w:t>
      </w:r>
      <w:r>
        <w:t>, protože</w:t>
      </w:r>
      <w:r w:rsidRPr="00D45BD4">
        <w:t xml:space="preserve"> neobsahovala poskytování služeb </w:t>
      </w:r>
      <w:r>
        <w:t xml:space="preserve">provozu </w:t>
      </w:r>
      <w:r w:rsidRPr="00D45BD4">
        <w:t>datového ce</w:t>
      </w:r>
      <w:r w:rsidR="00242D17">
        <w:t>ntra a </w:t>
      </w:r>
      <w:r w:rsidRPr="00D45BD4">
        <w:t>poskytování služeb provozu telekomunikační</w:t>
      </w:r>
      <w:r>
        <w:t xml:space="preserve"> infrastruktury datového centra. Uchazeč 1 tak i po uzavření nové smlouvy nadále poskytoval služby provozu datového centra ze </w:t>
      </w:r>
      <w:r w:rsidR="00AB5A52">
        <w:rPr>
          <w:i/>
        </w:rPr>
        <w:t>s</w:t>
      </w:r>
      <w:r w:rsidR="00242D17">
        <w:rPr>
          <w:i/>
        </w:rPr>
        <w:t>mlouvy o </w:t>
      </w:r>
      <w:r w:rsidRPr="00A300D1">
        <w:rPr>
          <w:i/>
        </w:rPr>
        <w:t>outsourcingu služeb</w:t>
      </w:r>
      <w:r>
        <w:t xml:space="preserve"> vzešlé z JŘBU, jež CZVV zadalo v rozporu se ZVZ. </w:t>
      </w:r>
    </w:p>
    <w:p w14:paraId="40E8B8D3" w14:textId="5DF7B6E4" w:rsidR="00374405" w:rsidRDefault="00374405" w:rsidP="00374405">
      <w:p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CZVV </w:t>
      </w:r>
      <w:r w:rsidRPr="00A300D1">
        <w:rPr>
          <w:rFonts w:cs="Calibri"/>
        </w:rPr>
        <w:t xml:space="preserve">do ukončení kontroly, tedy ani za dva roky po uzavření </w:t>
      </w:r>
      <w:r w:rsidR="00AB5A52">
        <w:rPr>
          <w:rFonts w:cs="Calibri"/>
          <w:i/>
        </w:rPr>
        <w:t>s</w:t>
      </w:r>
      <w:r w:rsidRPr="00A300D1">
        <w:rPr>
          <w:rFonts w:cs="Calibri"/>
          <w:i/>
        </w:rPr>
        <w:t>mlouvy o outsourcingu služeb</w:t>
      </w:r>
      <w:r w:rsidRPr="00A300D1">
        <w:rPr>
          <w:rFonts w:cs="Calibri"/>
        </w:rPr>
        <w:t>, neučinilo žádné kroky, aby provoz datového centra a provoz telekomunikační infrastruktury datového centra zajistilo v rámci řádného zadávacího řízení</w:t>
      </w:r>
      <w:r w:rsidRPr="00161763">
        <w:rPr>
          <w:rFonts w:cs="Calibri"/>
        </w:rPr>
        <w:t xml:space="preserve"> </w:t>
      </w:r>
      <w:r w:rsidRPr="00A300D1">
        <w:rPr>
          <w:rFonts w:cs="Calibri"/>
        </w:rPr>
        <w:t xml:space="preserve">dle ZVZ. </w:t>
      </w:r>
      <w:r>
        <w:rPr>
          <w:rFonts w:cs="Calibri"/>
        </w:rPr>
        <w:t>T</w:t>
      </w:r>
      <w:r w:rsidRPr="00A300D1">
        <w:rPr>
          <w:rFonts w:cs="Calibri"/>
        </w:rPr>
        <w:t>yto služby nadále zajišťovalo na základě JŘBU zadaného v rozporu se ZVZ.</w:t>
      </w:r>
      <w:r>
        <w:rPr>
          <w:rFonts w:cs="Calibri"/>
        </w:rPr>
        <w:t xml:space="preserve"> N</w:t>
      </w:r>
      <w:r w:rsidRPr="003379B7">
        <w:rPr>
          <w:rFonts w:cs="Arial"/>
        </w:rPr>
        <w:t xml:space="preserve">KÚ takové jednání </w:t>
      </w:r>
      <w:r>
        <w:rPr>
          <w:rFonts w:cs="Arial"/>
        </w:rPr>
        <w:t>vyhodnotil</w:t>
      </w:r>
      <w:r w:rsidRPr="003379B7">
        <w:rPr>
          <w:rFonts w:cs="Arial"/>
        </w:rPr>
        <w:t xml:space="preserve"> jako porušení rozpočtové kázně </w:t>
      </w:r>
      <w:r w:rsidRPr="003379B7">
        <w:rPr>
          <w:rFonts w:cs="Arial"/>
          <w:bCs/>
        </w:rPr>
        <w:t>ve smyslu ustanovení § 44 odst. 1 písm. a) zákona č.</w:t>
      </w:r>
      <w:r w:rsidR="00D17AE0">
        <w:rPr>
          <w:rFonts w:cs="Arial"/>
          <w:bCs/>
        </w:rPr>
        <w:t> </w:t>
      </w:r>
      <w:r w:rsidRPr="003379B7">
        <w:rPr>
          <w:rFonts w:cs="Arial"/>
          <w:bCs/>
        </w:rPr>
        <w:t>218/2000</w:t>
      </w:r>
      <w:r w:rsidR="00D17AE0">
        <w:rPr>
          <w:rFonts w:cs="Arial"/>
          <w:bCs/>
        </w:rPr>
        <w:t> </w:t>
      </w:r>
      <w:r w:rsidRPr="003379B7">
        <w:rPr>
          <w:rFonts w:cs="Arial"/>
          <w:bCs/>
        </w:rPr>
        <w:t>Sb.</w:t>
      </w:r>
    </w:p>
    <w:p w14:paraId="3B074B52" w14:textId="77777777" w:rsidR="00374405" w:rsidRPr="008812C5" w:rsidRDefault="00374405" w:rsidP="00374405">
      <w:pPr>
        <w:spacing w:line="240" w:lineRule="auto"/>
        <w:jc w:val="both"/>
        <w:rPr>
          <w:szCs w:val="24"/>
          <w:u w:val="single"/>
        </w:rPr>
      </w:pPr>
      <w:r w:rsidRPr="008812C5">
        <w:rPr>
          <w:szCs w:val="24"/>
          <w:u w:val="single"/>
        </w:rPr>
        <w:t>Jednotlivá zkouška</w:t>
      </w:r>
    </w:p>
    <w:p w14:paraId="21E16C5F" w14:textId="686CAEC4" w:rsidR="00374405" w:rsidRDefault="00374405" w:rsidP="00374405">
      <w:pPr>
        <w:spacing w:line="240" w:lineRule="auto"/>
        <w:jc w:val="both"/>
        <w:rPr>
          <w:szCs w:val="24"/>
        </w:rPr>
      </w:pPr>
      <w:r>
        <w:rPr>
          <w:szCs w:val="24"/>
        </w:rPr>
        <w:t>CZVV zajišťuje dle</w:t>
      </w:r>
      <w:r w:rsidRPr="00FE41A9">
        <w:rPr>
          <w:szCs w:val="24"/>
        </w:rPr>
        <w:t xml:space="preserve"> školského zákona jednotlivou zkoušk</w:t>
      </w:r>
      <w:r>
        <w:rPr>
          <w:szCs w:val="24"/>
        </w:rPr>
        <w:t>u</w:t>
      </w:r>
      <w:r w:rsidRPr="00FE41A9">
        <w:rPr>
          <w:szCs w:val="24"/>
        </w:rPr>
        <w:t>, která svým obsahem a formou odpovídá zkoušce SMZ</w:t>
      </w:r>
      <w:r>
        <w:rPr>
          <w:szCs w:val="24"/>
        </w:rPr>
        <w:t xml:space="preserve">. Technicko-organizační procesy jednotlivé zkoušky CZVV zajistilo prostřednictvím </w:t>
      </w:r>
      <w:r w:rsidRPr="00C628B4">
        <w:rPr>
          <w:i/>
          <w:szCs w:val="24"/>
        </w:rPr>
        <w:t>Portálu jednotlivé zkoušky</w:t>
      </w:r>
      <w:r>
        <w:rPr>
          <w:szCs w:val="24"/>
        </w:rPr>
        <w:t xml:space="preserve">. Tento portál byl vytvořen na základě </w:t>
      </w:r>
      <w:r w:rsidR="00BA4583">
        <w:rPr>
          <w:i/>
          <w:szCs w:val="24"/>
        </w:rPr>
        <w:t>s</w:t>
      </w:r>
      <w:r w:rsidR="00242D17">
        <w:rPr>
          <w:i/>
          <w:szCs w:val="24"/>
        </w:rPr>
        <w:t>mlouvy o </w:t>
      </w:r>
      <w:r w:rsidRPr="008D1BE1">
        <w:rPr>
          <w:i/>
          <w:szCs w:val="24"/>
        </w:rPr>
        <w:t>dílo</w:t>
      </w:r>
      <w:r>
        <w:rPr>
          <w:szCs w:val="24"/>
        </w:rPr>
        <w:t xml:space="preserve">, kterou CZVV uzavřelo dne 7. </w:t>
      </w:r>
      <w:r w:rsidR="006C5DD2">
        <w:rPr>
          <w:szCs w:val="24"/>
        </w:rPr>
        <w:t xml:space="preserve">března </w:t>
      </w:r>
      <w:r w:rsidRPr="0050291F">
        <w:rPr>
          <w:szCs w:val="24"/>
        </w:rPr>
        <w:t>2012</w:t>
      </w:r>
      <w:r>
        <w:rPr>
          <w:szCs w:val="24"/>
        </w:rPr>
        <w:t xml:space="preserve">. Za plnění ze smlouvy uhradilo celkem 3 291 602,12 Kč vč. DPH. </w:t>
      </w:r>
    </w:p>
    <w:p w14:paraId="60073B59" w14:textId="5A1CE645" w:rsidR="00374405" w:rsidRDefault="00374405" w:rsidP="00374405">
      <w:pPr>
        <w:spacing w:line="240" w:lineRule="auto"/>
        <w:jc w:val="both"/>
        <w:rPr>
          <w:szCs w:val="24"/>
        </w:rPr>
      </w:pPr>
      <w:r>
        <w:rPr>
          <w:szCs w:val="24"/>
        </w:rPr>
        <w:t>Portál byl dokončen v dubnu 2012, a ačkoliv se první jednotlivá zkouška měla konat v září 2012, CZVV zajistilo podmínky k jejímu konání až od roku 2013. Náklady CZVV na vývoj a</w:t>
      </w:r>
      <w:r w:rsidR="00E471A1">
        <w:rPr>
          <w:szCs w:val="24"/>
        </w:rPr>
        <w:t> </w:t>
      </w:r>
      <w:r>
        <w:rPr>
          <w:szCs w:val="24"/>
        </w:rPr>
        <w:t>provoz portálu po odečtení výnosů</w:t>
      </w:r>
      <w:r>
        <w:rPr>
          <w:rStyle w:val="Znakapoznpodarou"/>
          <w:szCs w:val="24"/>
        </w:rPr>
        <w:footnoteReference w:id="27"/>
      </w:r>
      <w:r>
        <w:rPr>
          <w:szCs w:val="24"/>
        </w:rPr>
        <w:t xml:space="preserve"> za období 2012</w:t>
      </w:r>
      <w:r w:rsidR="00B378C6">
        <w:rPr>
          <w:szCs w:val="24"/>
        </w:rPr>
        <w:t>–</w:t>
      </w:r>
      <w:r>
        <w:rPr>
          <w:szCs w:val="24"/>
        </w:rPr>
        <w:t xml:space="preserve">2016 činily 3 303 331 Kč vč. DPH. </w:t>
      </w:r>
      <w:r w:rsidRPr="003A639B">
        <w:rPr>
          <w:szCs w:val="24"/>
        </w:rPr>
        <w:t xml:space="preserve">V letech 2013 až 2016 </w:t>
      </w:r>
      <w:r w:rsidR="00B378C6">
        <w:rPr>
          <w:szCs w:val="24"/>
        </w:rPr>
        <w:t>absolvovalo</w:t>
      </w:r>
      <w:r w:rsidRPr="003A639B">
        <w:rPr>
          <w:szCs w:val="24"/>
        </w:rPr>
        <w:t xml:space="preserve"> jednotliv</w:t>
      </w:r>
      <w:r w:rsidR="00B378C6">
        <w:rPr>
          <w:szCs w:val="24"/>
        </w:rPr>
        <w:t>ou</w:t>
      </w:r>
      <w:r w:rsidRPr="003A639B">
        <w:rPr>
          <w:szCs w:val="24"/>
        </w:rPr>
        <w:t xml:space="preserve"> zkoušk</w:t>
      </w:r>
      <w:r w:rsidR="00B378C6">
        <w:rPr>
          <w:szCs w:val="24"/>
        </w:rPr>
        <w:t>u</w:t>
      </w:r>
      <w:r w:rsidRPr="003A639B">
        <w:rPr>
          <w:szCs w:val="24"/>
        </w:rPr>
        <w:t xml:space="preserve"> 17 </w:t>
      </w:r>
      <w:r w:rsidR="00E471A1">
        <w:rPr>
          <w:szCs w:val="24"/>
        </w:rPr>
        <w:t>studentů</w:t>
      </w:r>
      <w:r w:rsidRPr="003A639B">
        <w:rPr>
          <w:szCs w:val="24"/>
        </w:rPr>
        <w:t xml:space="preserve">, </w:t>
      </w:r>
      <w:r w:rsidR="00B378C6">
        <w:rPr>
          <w:szCs w:val="24"/>
        </w:rPr>
        <w:t>uskutečnilo se tedy</w:t>
      </w:r>
      <w:r w:rsidRPr="003A639B">
        <w:rPr>
          <w:szCs w:val="24"/>
        </w:rPr>
        <w:t xml:space="preserve"> 17</w:t>
      </w:r>
      <w:r w:rsidR="00D608B9">
        <w:rPr>
          <w:szCs w:val="24"/>
        </w:rPr>
        <w:t> </w:t>
      </w:r>
      <w:r w:rsidRPr="003A639B">
        <w:rPr>
          <w:szCs w:val="24"/>
        </w:rPr>
        <w:t>jednotlivých zkoušek, které se skládaly ze 42 dílčích zkoušek</w:t>
      </w:r>
      <w:r w:rsidRPr="003A639B">
        <w:rPr>
          <w:rStyle w:val="Znakapoznpodarou"/>
        </w:rPr>
        <w:footnoteReference w:id="28"/>
      </w:r>
      <w:r>
        <w:rPr>
          <w:szCs w:val="24"/>
        </w:rPr>
        <w:t>. Průměrné náklady na konání jedné dílčí zkoušky činily 78 651 Kč a na konání jedné jednotlivé zkoušky (jednoho předmětu) 194</w:t>
      </w:r>
      <w:r w:rsidR="00D17AE0">
        <w:rPr>
          <w:szCs w:val="24"/>
        </w:rPr>
        <w:t> </w:t>
      </w:r>
      <w:r>
        <w:rPr>
          <w:szCs w:val="24"/>
        </w:rPr>
        <w:t>314</w:t>
      </w:r>
      <w:r w:rsidR="00D17AE0">
        <w:rPr>
          <w:szCs w:val="24"/>
        </w:rPr>
        <w:t> </w:t>
      </w:r>
      <w:r>
        <w:rPr>
          <w:szCs w:val="24"/>
        </w:rPr>
        <w:t xml:space="preserve">Kč. Vzhledem k četnosti využití portálu a počtu uskutečněných dílčích </w:t>
      </w:r>
      <w:r>
        <w:rPr>
          <w:szCs w:val="24"/>
        </w:rPr>
        <w:lastRenderedPageBreak/>
        <w:t>zkoušek za sledované období 2012</w:t>
      </w:r>
      <w:r w:rsidR="00D17AE0">
        <w:rPr>
          <w:szCs w:val="24"/>
        </w:rPr>
        <w:t>–</w:t>
      </w:r>
      <w:r>
        <w:rPr>
          <w:szCs w:val="24"/>
        </w:rPr>
        <w:t xml:space="preserve">2016 byly peněžní prostředky na uvedený způsob zajištění </w:t>
      </w:r>
      <w:r w:rsidR="005B0329">
        <w:rPr>
          <w:szCs w:val="24"/>
        </w:rPr>
        <w:t>t</w:t>
      </w:r>
      <w:r w:rsidR="00E471A1">
        <w:rPr>
          <w:szCs w:val="24"/>
        </w:rPr>
        <w:t>echnicko-</w:t>
      </w:r>
      <w:r>
        <w:rPr>
          <w:szCs w:val="24"/>
        </w:rPr>
        <w:t>organizačn</w:t>
      </w:r>
      <w:r w:rsidR="00E471A1">
        <w:rPr>
          <w:szCs w:val="24"/>
        </w:rPr>
        <w:t>ích</w:t>
      </w:r>
      <w:r>
        <w:rPr>
          <w:szCs w:val="24"/>
        </w:rPr>
        <w:t xml:space="preserve"> proces</w:t>
      </w:r>
      <w:r w:rsidR="005B0329">
        <w:rPr>
          <w:szCs w:val="24"/>
        </w:rPr>
        <w:t>ů</w:t>
      </w:r>
      <w:r>
        <w:rPr>
          <w:szCs w:val="24"/>
        </w:rPr>
        <w:t xml:space="preserve"> jednotlivé zkoušky vynaloženy neefektivně. Zejména pak v porovnání s náklady na zajištění SMZ, kdy průměrné náklady za období </w:t>
      </w:r>
      <w:r w:rsidR="003F5309">
        <w:rPr>
          <w:szCs w:val="24"/>
        </w:rPr>
        <w:br/>
      </w:r>
      <w:r>
        <w:rPr>
          <w:szCs w:val="24"/>
        </w:rPr>
        <w:t>2011</w:t>
      </w:r>
      <w:r w:rsidR="00D17AE0">
        <w:rPr>
          <w:szCs w:val="24"/>
        </w:rPr>
        <w:t>–</w:t>
      </w:r>
      <w:r>
        <w:rPr>
          <w:szCs w:val="24"/>
        </w:rPr>
        <w:t>2015 na jednu dílčí zkoušku činily 406 Kč.</w:t>
      </w:r>
    </w:p>
    <w:p w14:paraId="107CA013" w14:textId="398BC3CA" w:rsidR="00374405" w:rsidRPr="00E0615B" w:rsidRDefault="00374405" w:rsidP="005D1887">
      <w:pPr>
        <w:pStyle w:val="Nadpis2"/>
        <w:numPr>
          <w:ilvl w:val="0"/>
          <w:numId w:val="0"/>
        </w:numPr>
        <w:spacing w:after="120" w:line="240" w:lineRule="auto"/>
        <w:ind w:left="576" w:hanging="576"/>
      </w:pPr>
      <w:r>
        <w:t>K bodu 3</w:t>
      </w:r>
      <w:r w:rsidRPr="00EC5A15">
        <w:t xml:space="preserve"> části II: </w:t>
      </w:r>
      <w:r w:rsidR="00E823AB">
        <w:t>s</w:t>
      </w:r>
      <w:r w:rsidRPr="00EC5A15">
        <w:t>ystém financování regionálního školství</w:t>
      </w:r>
      <w:r w:rsidR="009F0D18">
        <w:t xml:space="preserve"> z rozpočtu MŠMT</w:t>
      </w:r>
    </w:p>
    <w:p w14:paraId="1815AB1B" w14:textId="3BC5A7FE" w:rsidR="00374405" w:rsidRDefault="00374405" w:rsidP="005D1887">
      <w:p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Vzdělávání na úrovni regionálního školství je financováno z rozpočtu MŠMT. MŠMT poskytuje krajům formou dotace prostředky dle skutečného počtu žáků (dle školní matriky pro příslušný školní rok) ve školách a školských zařízeních, </w:t>
      </w:r>
      <w:r w:rsidR="00E823AB">
        <w:rPr>
          <w:rFonts w:cs="Calibri"/>
        </w:rPr>
        <w:t xml:space="preserve">a to na základě </w:t>
      </w:r>
      <w:r>
        <w:rPr>
          <w:rFonts w:cs="Calibri"/>
        </w:rPr>
        <w:t>republikových normativů</w:t>
      </w:r>
      <w:r w:rsidR="00C43EA5">
        <w:rPr>
          <w:rStyle w:val="Znakapoznpodarou"/>
          <w:rFonts w:cs="Calibri"/>
        </w:rPr>
        <w:footnoteReference w:id="29"/>
      </w:r>
      <w:r>
        <w:rPr>
          <w:rFonts w:cs="Calibri"/>
        </w:rPr>
        <w:t xml:space="preserve">. MŠMT stanovuje republikové normativy jako celkovou výši neinvestičních výdajů (mzdové prostředky, odvody a ostatní neinvestiční výdaje) připadajících na vzdělávání a školské služby na jednoho žáka příslušné věkové kategorie </w:t>
      </w:r>
      <w:r w:rsidR="00E823AB">
        <w:rPr>
          <w:rFonts w:cs="Calibri"/>
        </w:rPr>
        <w:t>z</w:t>
      </w:r>
      <w:r>
        <w:rPr>
          <w:rFonts w:cs="Calibri"/>
        </w:rPr>
        <w:t xml:space="preserve">a kalendářní rok. Tento normativ </w:t>
      </w:r>
      <w:r>
        <w:t xml:space="preserve">činil v roce 2016 v případě </w:t>
      </w:r>
      <w:r w:rsidR="00E823AB">
        <w:t>základních škol</w:t>
      </w:r>
      <w:r>
        <w:t xml:space="preserve"> 53 922 Kč, v</w:t>
      </w:r>
      <w:r w:rsidR="00E823AB">
        <w:t> </w:t>
      </w:r>
      <w:r>
        <w:t xml:space="preserve">případě </w:t>
      </w:r>
      <w:r w:rsidR="00E823AB">
        <w:t>středních škol</w:t>
      </w:r>
      <w:r>
        <w:t xml:space="preserve"> 62</w:t>
      </w:r>
      <w:r w:rsidR="00280448">
        <w:t> </w:t>
      </w:r>
      <w:r>
        <w:t>352</w:t>
      </w:r>
      <w:r w:rsidR="00983DA3">
        <w:t> </w:t>
      </w:r>
      <w:r>
        <w:t>Kč.</w:t>
      </w:r>
    </w:p>
    <w:p w14:paraId="1251F91D" w14:textId="00681875" w:rsidR="00374405" w:rsidRPr="007F553E" w:rsidRDefault="00374405" w:rsidP="005D1887">
      <w:pPr>
        <w:spacing w:line="240" w:lineRule="auto"/>
        <w:jc w:val="both"/>
        <w:rPr>
          <w:rFonts w:cs="Calibri"/>
        </w:rPr>
      </w:pPr>
      <w:r>
        <w:rPr>
          <w:rFonts w:cs="Calibri"/>
        </w:rPr>
        <w:t>Příslušný krajský úřad následně přiděluje a</w:t>
      </w:r>
      <w:r w:rsidR="00983DA3">
        <w:rPr>
          <w:rFonts w:cs="Calibri"/>
        </w:rPr>
        <w:t xml:space="preserve"> </w:t>
      </w:r>
      <w:r>
        <w:rPr>
          <w:rFonts w:cs="Calibri"/>
        </w:rPr>
        <w:t>poskytuje</w:t>
      </w:r>
      <w:r>
        <w:rPr>
          <w:rStyle w:val="Znakapoznpodarou"/>
          <w:rFonts w:cs="Calibri"/>
        </w:rPr>
        <w:footnoteReference w:id="30"/>
      </w:r>
      <w:r>
        <w:rPr>
          <w:rFonts w:cs="Calibri"/>
        </w:rPr>
        <w:t xml:space="preserve"> školám a školským zařízením, které zřizují kraje, obce a dobrovolné svazky obcí, ze svého</w:t>
      </w:r>
      <w:r w:rsidR="00983DA3">
        <w:rPr>
          <w:rFonts w:cs="Calibri"/>
        </w:rPr>
        <w:t xml:space="preserve"> </w:t>
      </w:r>
      <w:r>
        <w:rPr>
          <w:rFonts w:cs="Calibri"/>
        </w:rPr>
        <w:t xml:space="preserve">rozpočtu finanční prostředky na základě krajských normativů. </w:t>
      </w:r>
    </w:p>
    <w:p w14:paraId="6DCE79E4" w14:textId="347F03CA" w:rsidR="00555213" w:rsidRDefault="00374405" w:rsidP="005D1887">
      <w:pPr>
        <w:spacing w:line="240" w:lineRule="auto"/>
        <w:jc w:val="both"/>
      </w:pPr>
      <w:r>
        <w:t>MŠMT si v DZ 2015</w:t>
      </w:r>
      <w:r w:rsidR="00D17AE0">
        <w:t>–</w:t>
      </w:r>
      <w:r>
        <w:t xml:space="preserve">2020 stanovilo jako jeden z cílů realizaci komplexní reformy systému financování regionálního školství, která by měla mj. zajistit zapojení kvalitativních prvků do systému financování. MŠMT si k tomuto cíli stanovilo mj. </w:t>
      </w:r>
      <w:r w:rsidR="00983DA3">
        <w:t xml:space="preserve">záměr </w:t>
      </w:r>
      <w:r>
        <w:t>zohled</w:t>
      </w:r>
      <w:r w:rsidR="00983DA3">
        <w:t>ňovat</w:t>
      </w:r>
      <w:r>
        <w:t xml:space="preserve"> v systému financování SŠ úspěšnost žáků v oboru vzdělání konkrétní školy na výstupu ze vzdělávání. </w:t>
      </w:r>
    </w:p>
    <w:p w14:paraId="25270E0D" w14:textId="77777777" w:rsidR="00555213" w:rsidRPr="00E60831" w:rsidRDefault="00555213" w:rsidP="00555213">
      <w:pPr>
        <w:spacing w:line="240" w:lineRule="auto"/>
        <w:jc w:val="both"/>
        <w:rPr>
          <w:rFonts w:cs="Calibri"/>
          <w:u w:val="single"/>
          <w:lang w:eastAsia="cs-CZ"/>
        </w:rPr>
      </w:pPr>
      <w:r w:rsidRPr="00E60831">
        <w:rPr>
          <w:rFonts w:cs="Calibri"/>
          <w:u w:val="single"/>
          <w:lang w:eastAsia="cs-CZ"/>
        </w:rPr>
        <w:t>Nesoulad ŠVP s RVP</w:t>
      </w:r>
    </w:p>
    <w:p w14:paraId="6652C3B0" w14:textId="31534EBE" w:rsidR="00555213" w:rsidRDefault="00555213" w:rsidP="005D1887">
      <w:pPr>
        <w:spacing w:line="240" w:lineRule="auto"/>
        <w:jc w:val="both"/>
      </w:pPr>
      <w:r>
        <w:t xml:space="preserve">ČŠI provádí kontroly souladu ŠVP s RVP ZV a RVP SV v rámci své inspekční činnosti. Např. ve školním roce 2013/2014 ČŠI zjistila více </w:t>
      </w:r>
      <w:r w:rsidR="00D95761">
        <w:t>než</w:t>
      </w:r>
      <w:r>
        <w:t xml:space="preserve"> 14% nesoulad ŠVP s RVP ZV z hlediska učebních osnov, v případě středního odborného vzdělávání byl nesoulad ŠVP v oblasti učebních osnov s RVP SV 22 %, u ŠVP gymnázií pak 17 %.</w:t>
      </w:r>
      <w:r w:rsidR="005C4462">
        <w:rPr>
          <w:rStyle w:val="Znakapoznpodarou"/>
        </w:rPr>
        <w:footnoteReference w:id="31"/>
      </w:r>
      <w:r>
        <w:t xml:space="preserve"> </w:t>
      </w:r>
      <w:r w:rsidRPr="00A140E5">
        <w:t>ČŠI</w:t>
      </w:r>
      <w:r>
        <w:t xml:space="preserve"> v návaznosti </w:t>
      </w:r>
      <w:r w:rsidR="00D95761">
        <w:t xml:space="preserve">na tato zjištění </w:t>
      </w:r>
      <w:r>
        <w:t xml:space="preserve">upozornila na problém vzdělávání žáků stejného oboru v různých ročnících dle různých ŠVP a z toho plynoucí nesplnění závazných cílových požadavků na výstupu ze vzdělávání. </w:t>
      </w:r>
      <w:r w:rsidRPr="009161DB">
        <w:t xml:space="preserve">Důsledky se negativně projevují při přechodu </w:t>
      </w:r>
      <w:r>
        <w:t>žáků do vyššího stupně vzdělávání</w:t>
      </w:r>
      <w:r w:rsidRPr="009161DB">
        <w:t xml:space="preserve">, </w:t>
      </w:r>
      <w:r>
        <w:t xml:space="preserve">kdy např. na SŠ přicházejí ze ZŠ žáci s rozdílnou či nízkou úrovní znalostí. CZVV </w:t>
      </w:r>
      <w:r w:rsidRPr="009161DB">
        <w:t xml:space="preserve">na tuto skutečnost </w:t>
      </w:r>
      <w:r>
        <w:t>MŠMT upozorňovalo</w:t>
      </w:r>
      <w:r w:rsidRPr="009161DB">
        <w:t xml:space="preserve"> v l</w:t>
      </w:r>
      <w:r>
        <w:t>etech 2012</w:t>
      </w:r>
      <w:r w:rsidR="006C5DD2">
        <w:t>–</w:t>
      </w:r>
      <w:r>
        <w:t>2014. Tento p</w:t>
      </w:r>
      <w:r w:rsidRPr="009161DB">
        <w:t xml:space="preserve">roblém </w:t>
      </w:r>
      <w:r>
        <w:t xml:space="preserve">se následně </w:t>
      </w:r>
      <w:r w:rsidR="00636443">
        <w:t>odráží</w:t>
      </w:r>
      <w:r>
        <w:t xml:space="preserve"> také v neúspěšnosti</w:t>
      </w:r>
      <w:r w:rsidRPr="009161DB">
        <w:t xml:space="preserve"> žáků u </w:t>
      </w:r>
      <w:r w:rsidRPr="00490EBE">
        <w:t xml:space="preserve">MZ (viz kapitola III., bod 4). </w:t>
      </w:r>
      <w:r>
        <w:t xml:space="preserve">K řešení </w:t>
      </w:r>
      <w:r w:rsidR="006E60DD">
        <w:t>uvedeného</w:t>
      </w:r>
      <w:r>
        <w:t xml:space="preserve"> problému </w:t>
      </w:r>
      <w:r w:rsidRPr="00490EBE">
        <w:t>by měl</w:t>
      </w:r>
      <w:r>
        <w:t>o přispět zavedení JPZ</w:t>
      </w:r>
      <w:r w:rsidR="00EE0315">
        <w:t>, které budou realizovány</w:t>
      </w:r>
      <w:r>
        <w:t xml:space="preserve"> </w:t>
      </w:r>
      <w:r w:rsidRPr="00490EBE">
        <w:t>od školního roku 2016/2017.</w:t>
      </w:r>
    </w:p>
    <w:p w14:paraId="102A3545" w14:textId="77777777" w:rsidR="00555213" w:rsidRPr="00555213" w:rsidRDefault="00555213" w:rsidP="005D1887">
      <w:pPr>
        <w:spacing w:line="240" w:lineRule="auto"/>
        <w:jc w:val="both"/>
        <w:rPr>
          <w:u w:val="single"/>
        </w:rPr>
      </w:pPr>
      <w:r w:rsidRPr="00555213">
        <w:rPr>
          <w:u w:val="single"/>
        </w:rPr>
        <w:t>Návrh změny školského zákona</w:t>
      </w:r>
    </w:p>
    <w:p w14:paraId="3E4A54FC" w14:textId="2297B332" w:rsidR="00374405" w:rsidRDefault="00E277A0" w:rsidP="005D1887">
      <w:pPr>
        <w:spacing w:line="240" w:lineRule="auto"/>
        <w:jc w:val="both"/>
      </w:pPr>
      <w:r>
        <w:t xml:space="preserve">Dne 8. </w:t>
      </w:r>
      <w:r w:rsidR="006C5DD2">
        <w:t xml:space="preserve">března </w:t>
      </w:r>
      <w:r w:rsidR="00374405">
        <w:t xml:space="preserve">2017 schválil </w:t>
      </w:r>
      <w:r>
        <w:t>Senát</w:t>
      </w:r>
      <w:r w:rsidR="00374405">
        <w:t xml:space="preserve"> Parlamentu ČR návrh změny školského zákona, týkající se mj. financování regionálního školství</w:t>
      </w:r>
      <w:r w:rsidR="00AA41BD">
        <w:t>.</w:t>
      </w:r>
      <w:r w:rsidR="00374405">
        <w:rPr>
          <w:rStyle w:val="Znakapoznpodarou"/>
        </w:rPr>
        <w:footnoteReference w:id="32"/>
      </w:r>
      <w:r w:rsidR="00374405">
        <w:t xml:space="preserve"> </w:t>
      </w:r>
      <w:r w:rsidR="00374405">
        <w:rPr>
          <w:rFonts w:cstheme="minorHAnsi"/>
        </w:rPr>
        <w:t xml:space="preserve">V případě úspěšného dokončení legislativního procesu změny školského zákona </w:t>
      </w:r>
      <w:r w:rsidR="00374405">
        <w:t xml:space="preserve">nastane od </w:t>
      </w:r>
      <w:r w:rsidR="00555213">
        <w:t>školního roku 2018/2019 změna v </w:t>
      </w:r>
      <w:r w:rsidR="00374405">
        <w:t xml:space="preserve">systému normativního financování pedagogické práce. Namísto financování na základě počtu žáků bude toto financování založeno na počtu odučených hodin. </w:t>
      </w:r>
    </w:p>
    <w:p w14:paraId="44AB14DF" w14:textId="45535344" w:rsidR="00374405" w:rsidRDefault="00374405" w:rsidP="005D1887">
      <w:pPr>
        <w:spacing w:line="240" w:lineRule="auto"/>
        <w:jc w:val="both"/>
        <w:rPr>
          <w:rFonts w:ascii="Times New Roman" w:hAnsi="Times New Roman" w:cs="Times New Roman"/>
          <w:szCs w:val="24"/>
          <w:lang w:eastAsia="cs-CZ"/>
        </w:rPr>
      </w:pPr>
      <w:r>
        <w:lastRenderedPageBreak/>
        <w:t xml:space="preserve">Návrh změny školského zákona však </w:t>
      </w:r>
      <w:r w:rsidR="00555213">
        <w:t>nezavádí</w:t>
      </w:r>
      <w:r>
        <w:t xml:space="preserve"> ukazatele financování zaměřené na </w:t>
      </w:r>
      <w:r w:rsidR="00555213">
        <w:t xml:space="preserve">úspěšnost žáků v oboru vzdělání konkrétní </w:t>
      </w:r>
      <w:r>
        <w:t>škol</w:t>
      </w:r>
      <w:r w:rsidR="00555213">
        <w:t>y</w:t>
      </w:r>
      <w:r>
        <w:t xml:space="preserve">. Problém zavedení ukazatelů </w:t>
      </w:r>
      <w:r w:rsidR="00555213">
        <w:t>postihujících</w:t>
      </w:r>
      <w:r>
        <w:t xml:space="preserve"> kvalitu </w:t>
      </w:r>
      <w:r w:rsidR="00555213">
        <w:t>výstup</w:t>
      </w:r>
      <w:r w:rsidR="001F6580">
        <w:t>ů</w:t>
      </w:r>
      <w:r w:rsidR="00555213">
        <w:t xml:space="preserve"> vzdělávání na úrovni jednotlivých ZŠ</w:t>
      </w:r>
      <w:r>
        <w:t xml:space="preserve"> souvisí rovněž s absencí výstupů z každoročního celoplošného ověřování </w:t>
      </w:r>
      <w:r w:rsidRPr="008D1BE1">
        <w:t>žáků ZŠ (viz kapitola III., bod 1),</w:t>
      </w:r>
      <w:r>
        <w:t xml:space="preserve"> které mělo dle DZ 2011</w:t>
      </w:r>
      <w:r w:rsidR="00D17AE0">
        <w:t>–</w:t>
      </w:r>
      <w:r>
        <w:t>2015 sloužit mj. také pro hodnocení škol. Uvedené skutečnosti zvyšují riziko nenaplnění cíle</w:t>
      </w:r>
      <w:r w:rsidR="001F6580">
        <w:t>, který byl pro</w:t>
      </w:r>
      <w:r>
        <w:t xml:space="preserve"> </w:t>
      </w:r>
      <w:r w:rsidR="001F6580">
        <w:t xml:space="preserve">oblast </w:t>
      </w:r>
      <w:r>
        <w:t>reform</w:t>
      </w:r>
      <w:r w:rsidR="001F6580">
        <w:t>y</w:t>
      </w:r>
      <w:r>
        <w:t xml:space="preserve"> financování regionálního školství stanoven v DZ</w:t>
      </w:r>
      <w:r w:rsidR="001F6580">
        <w:t> </w:t>
      </w:r>
      <w:r>
        <w:t>2015</w:t>
      </w:r>
      <w:r w:rsidR="00D17AE0">
        <w:t>–</w:t>
      </w:r>
      <w:r>
        <w:t xml:space="preserve">2020. </w:t>
      </w:r>
    </w:p>
    <w:p w14:paraId="7FC5C6DC" w14:textId="134573CC" w:rsidR="00374405" w:rsidRDefault="00374405" w:rsidP="00374405">
      <w:pPr>
        <w:pStyle w:val="Nadpis2"/>
        <w:numPr>
          <w:ilvl w:val="0"/>
          <w:numId w:val="0"/>
        </w:numPr>
        <w:ind w:left="576" w:hanging="576"/>
      </w:pPr>
      <w:r>
        <w:t>K bodu 4</w:t>
      </w:r>
      <w:r w:rsidRPr="009D6F50">
        <w:t xml:space="preserve"> části II: </w:t>
      </w:r>
      <w:r w:rsidR="001F6580">
        <w:t>o</w:t>
      </w:r>
      <w:r>
        <w:t>patření MŠMT</w:t>
      </w:r>
      <w:r w:rsidRPr="009D6F50">
        <w:t xml:space="preserve"> </w:t>
      </w:r>
      <w:r w:rsidR="005E448C">
        <w:t>přijatá v reakci na</w:t>
      </w:r>
      <w:r>
        <w:t xml:space="preserve"> zhoršující se výsledk</w:t>
      </w:r>
      <w:r w:rsidR="005E448C">
        <w:t>y</w:t>
      </w:r>
      <w:r>
        <w:t xml:space="preserve"> žáků </w:t>
      </w:r>
      <w:r w:rsidRPr="009D6F50">
        <w:t>ZŠ a SŠ</w:t>
      </w:r>
    </w:p>
    <w:p w14:paraId="616AE8D2" w14:textId="6A78175F" w:rsidR="00442843" w:rsidRDefault="00442843" w:rsidP="00442843">
      <w:pPr>
        <w:spacing w:line="240" w:lineRule="auto"/>
        <w:jc w:val="both"/>
        <w:rPr>
          <w:rFonts w:cs="Calibri"/>
        </w:rPr>
      </w:pPr>
      <w:r w:rsidRPr="003C702A">
        <w:rPr>
          <w:rFonts w:cs="Calibri"/>
        </w:rPr>
        <w:t>Na zhoršující se výsledky</w:t>
      </w:r>
      <w:r>
        <w:rPr>
          <w:rFonts w:cs="Calibri"/>
        </w:rPr>
        <w:t xml:space="preserve"> žáků</w:t>
      </w:r>
      <w:r w:rsidRPr="003C702A">
        <w:rPr>
          <w:rFonts w:cs="Calibri"/>
        </w:rPr>
        <w:t xml:space="preserve"> poukazoval</w:t>
      </w:r>
      <w:r>
        <w:rPr>
          <w:rFonts w:cs="Calibri"/>
        </w:rPr>
        <w:t>o</w:t>
      </w:r>
      <w:r w:rsidRPr="003C702A">
        <w:rPr>
          <w:rFonts w:cs="Calibri"/>
        </w:rPr>
        <w:t xml:space="preserve"> CZVV ve svých zprávách o průběhu a výsledcích MZ a</w:t>
      </w:r>
      <w:r>
        <w:rPr>
          <w:rFonts w:cs="Calibri"/>
        </w:rPr>
        <w:t> </w:t>
      </w:r>
      <w:r w:rsidRPr="003C702A">
        <w:rPr>
          <w:rFonts w:cs="Calibri"/>
        </w:rPr>
        <w:t>ve výročních zprávách za období 2011</w:t>
      </w:r>
      <w:r w:rsidR="00D17AE0">
        <w:rPr>
          <w:rFonts w:cs="Calibri"/>
        </w:rPr>
        <w:t>–</w:t>
      </w:r>
      <w:r w:rsidRPr="003C702A">
        <w:rPr>
          <w:rFonts w:cs="Calibri"/>
        </w:rPr>
        <w:t>2015 a ČŠI ve svých výročních a tematických zprávách. Upozorňovaly na související problémy vzdělávacího systému jak v</w:t>
      </w:r>
      <w:r w:rsidR="008E1D17">
        <w:rPr>
          <w:rFonts w:cs="Calibri"/>
        </w:rPr>
        <w:t> </w:t>
      </w:r>
      <w:r w:rsidRPr="003C702A">
        <w:rPr>
          <w:rFonts w:cs="Calibri"/>
        </w:rPr>
        <w:t>základním</w:t>
      </w:r>
      <w:r w:rsidR="008E1D17">
        <w:rPr>
          <w:rFonts w:cs="Calibri"/>
        </w:rPr>
        <w:t>,</w:t>
      </w:r>
      <w:r w:rsidRPr="003C702A">
        <w:rPr>
          <w:rFonts w:cs="Calibri"/>
        </w:rPr>
        <w:t xml:space="preserve"> tak středním stupni vzdělávání</w:t>
      </w:r>
      <w:r>
        <w:rPr>
          <w:rFonts w:cs="Calibri"/>
        </w:rPr>
        <w:t>.</w:t>
      </w:r>
      <w:r w:rsidRPr="003C702A">
        <w:rPr>
          <w:rFonts w:cs="Calibri"/>
        </w:rPr>
        <w:t xml:space="preserve"> </w:t>
      </w:r>
    </w:p>
    <w:p w14:paraId="5D72A6B7" w14:textId="2CDFF8C1" w:rsidR="00442843" w:rsidRPr="005142DA" w:rsidRDefault="00442843" w:rsidP="00442843">
      <w:pPr>
        <w:spacing w:line="240" w:lineRule="auto"/>
        <w:jc w:val="both"/>
        <w:rPr>
          <w:u w:val="single"/>
          <w:lang w:eastAsia="cs-CZ"/>
        </w:rPr>
      </w:pPr>
      <w:r>
        <w:rPr>
          <w:u w:val="single"/>
          <w:lang w:eastAsia="cs-CZ"/>
        </w:rPr>
        <w:t>Standardy základního vzdělávání nepokrývají základní gramotnosti ve všech roční</w:t>
      </w:r>
      <w:r w:rsidR="008E1D17">
        <w:rPr>
          <w:u w:val="single"/>
          <w:lang w:eastAsia="cs-CZ"/>
        </w:rPr>
        <w:t>cí</w:t>
      </w:r>
      <w:r>
        <w:rPr>
          <w:u w:val="single"/>
          <w:lang w:eastAsia="cs-CZ"/>
        </w:rPr>
        <w:t>ch ZŠ</w:t>
      </w:r>
    </w:p>
    <w:p w14:paraId="12729FF0" w14:textId="17B33A91" w:rsidR="00442843" w:rsidRPr="007237D0" w:rsidRDefault="00442843" w:rsidP="00442843">
      <w:pPr>
        <w:spacing w:line="240" w:lineRule="auto"/>
        <w:jc w:val="both"/>
        <w:rPr>
          <w:lang w:eastAsia="cs-CZ"/>
        </w:rPr>
      </w:pPr>
      <w:r w:rsidRPr="00F67DA2">
        <w:rPr>
          <w:lang w:eastAsia="cs-CZ"/>
        </w:rPr>
        <w:t>Pro základní vzdělávání vydalo MŠMT jeden RVP</w:t>
      </w:r>
      <w:r w:rsidRPr="00F67DA2">
        <w:rPr>
          <w:rStyle w:val="Znakapoznpodarou"/>
        </w:rPr>
        <w:footnoteReference w:id="33"/>
      </w:r>
      <w:r>
        <w:rPr>
          <w:lang w:eastAsia="cs-CZ"/>
        </w:rPr>
        <w:t xml:space="preserve"> s platností </w:t>
      </w:r>
      <w:r w:rsidRPr="00291819">
        <w:rPr>
          <w:lang w:eastAsia="cs-CZ"/>
        </w:rPr>
        <w:t>od 1.</w:t>
      </w:r>
      <w:r>
        <w:rPr>
          <w:lang w:eastAsia="cs-CZ"/>
        </w:rPr>
        <w:t xml:space="preserve"> </w:t>
      </w:r>
      <w:r w:rsidR="006C5DD2">
        <w:rPr>
          <w:lang w:eastAsia="cs-CZ"/>
        </w:rPr>
        <w:t xml:space="preserve">září </w:t>
      </w:r>
      <w:r>
        <w:rPr>
          <w:lang w:eastAsia="cs-CZ"/>
        </w:rPr>
        <w:t>2005.</w:t>
      </w:r>
      <w:r w:rsidRPr="00F67DA2">
        <w:t xml:space="preserve"> </w:t>
      </w:r>
      <w:r w:rsidRPr="007237D0">
        <w:rPr>
          <w:lang w:eastAsia="cs-CZ"/>
        </w:rPr>
        <w:t>Vzdělávání v jednotlivých školách probíhá dle ŠVP, které vydává ředitel školy.</w:t>
      </w:r>
      <w:r w:rsidRPr="007237D0">
        <w:t xml:space="preserve"> </w:t>
      </w:r>
      <w:r w:rsidR="00242D17">
        <w:rPr>
          <w:lang w:eastAsia="cs-CZ"/>
        </w:rPr>
        <w:t>ŠVP musí být v souladu s </w:t>
      </w:r>
      <w:r w:rsidRPr="007237D0">
        <w:rPr>
          <w:lang w:eastAsia="cs-CZ"/>
        </w:rPr>
        <w:t xml:space="preserve">příslušným RVP. </w:t>
      </w:r>
      <w:r w:rsidR="009417F6">
        <w:rPr>
          <w:lang w:eastAsia="cs-CZ"/>
        </w:rPr>
        <w:t>Dle ustanovení § 4 odst. 4 školského zákona může MŠMT v závažných případech RVP měnit s účinností nejdříve od následujícího školního roku. MŠMT si v roce 2016</w:t>
      </w:r>
      <w:r w:rsidR="009417F6">
        <w:rPr>
          <w:rStyle w:val="Znakapoznpodarou"/>
          <w:lang w:eastAsia="cs-CZ"/>
        </w:rPr>
        <w:footnoteReference w:id="34"/>
      </w:r>
      <w:r w:rsidR="009417F6">
        <w:rPr>
          <w:lang w:eastAsia="cs-CZ"/>
        </w:rPr>
        <w:t xml:space="preserve"> nastavilo standardní postup pro komplexní revize RVP a jejich následné zapracování do ŠVP. </w:t>
      </w:r>
      <w:r w:rsidRPr="00F67DA2">
        <w:rPr>
          <w:lang w:eastAsia="cs-CZ"/>
        </w:rPr>
        <w:t>Doba trv</w:t>
      </w:r>
      <w:r>
        <w:rPr>
          <w:lang w:eastAsia="cs-CZ"/>
        </w:rPr>
        <w:t xml:space="preserve">ání „životního cyklu“ RVP </w:t>
      </w:r>
      <w:r w:rsidR="009417F6">
        <w:rPr>
          <w:lang w:eastAsia="cs-CZ"/>
        </w:rPr>
        <w:t xml:space="preserve">do zahájení jeho revize </w:t>
      </w:r>
      <w:r>
        <w:rPr>
          <w:lang w:eastAsia="cs-CZ"/>
        </w:rPr>
        <w:t>z</w:t>
      </w:r>
      <w:r w:rsidRPr="00F67DA2">
        <w:rPr>
          <w:lang w:eastAsia="cs-CZ"/>
        </w:rPr>
        <w:t>ávisí na době zapracování RVP do ŠVP (max. 2 roky od vydání RVP) a době vzdělávání v příslušném stupni (základní/ střední vzdělávání) a oboru vzdělání (</w:t>
      </w:r>
      <w:r w:rsidR="00D17AE0">
        <w:rPr>
          <w:lang w:eastAsia="cs-CZ"/>
        </w:rPr>
        <w:t>p</w:t>
      </w:r>
      <w:r w:rsidRPr="00F67DA2">
        <w:rPr>
          <w:lang w:eastAsia="cs-CZ"/>
        </w:rPr>
        <w:t xml:space="preserve">říloha č. 3). </w:t>
      </w:r>
    </w:p>
    <w:p w14:paraId="526E6B6A" w14:textId="2AAFC602" w:rsidR="00442843" w:rsidRDefault="00442843" w:rsidP="00442843">
      <w:pPr>
        <w:spacing w:line="240" w:lineRule="auto"/>
        <w:jc w:val="both"/>
        <w:rPr>
          <w:rFonts w:cs="Calibri"/>
          <w:lang w:eastAsia="cs-CZ"/>
        </w:rPr>
      </w:pPr>
      <w:r w:rsidRPr="00F67DA2">
        <w:rPr>
          <w:lang w:eastAsia="cs-CZ"/>
        </w:rPr>
        <w:t xml:space="preserve">V roce </w:t>
      </w:r>
      <w:r w:rsidRPr="00277A8A">
        <w:rPr>
          <w:rFonts w:cs="Calibri"/>
          <w:bCs/>
          <w:iCs/>
        </w:rPr>
        <w:t xml:space="preserve">2012 si MŠMT </w:t>
      </w:r>
      <w:r w:rsidRPr="00277A8A">
        <w:rPr>
          <w:rFonts w:cs="Calibri"/>
          <w:lang w:eastAsia="cs-CZ"/>
        </w:rPr>
        <w:t>stanovilo</w:t>
      </w:r>
      <w:r w:rsidR="00B8359C">
        <w:rPr>
          <w:rStyle w:val="Znakapoznpodarou"/>
          <w:rFonts w:cs="Calibri"/>
          <w:lang w:eastAsia="cs-CZ"/>
        </w:rPr>
        <w:footnoteReference w:id="35"/>
      </w:r>
      <w:r w:rsidRPr="00277A8A">
        <w:rPr>
          <w:rFonts w:cs="Calibri"/>
          <w:lang w:eastAsia="cs-CZ"/>
        </w:rPr>
        <w:t xml:space="preserve"> dopraco</w:t>
      </w:r>
      <w:r w:rsidRPr="00F06AC8">
        <w:rPr>
          <w:rFonts w:cs="Calibri"/>
          <w:lang w:eastAsia="cs-CZ"/>
        </w:rPr>
        <w:t>vat nový RVP ZV, který měl</w:t>
      </w:r>
      <w:r w:rsidR="00242D17">
        <w:rPr>
          <w:rFonts w:cs="Calibri"/>
          <w:lang w:eastAsia="cs-CZ"/>
        </w:rPr>
        <w:t xml:space="preserve"> být účinný od 1. </w:t>
      </w:r>
      <w:r w:rsidR="006C5DD2">
        <w:rPr>
          <w:rFonts w:cs="Calibri"/>
          <w:lang w:eastAsia="cs-CZ"/>
        </w:rPr>
        <w:t>září </w:t>
      </w:r>
      <w:r w:rsidRPr="00F06AC8">
        <w:rPr>
          <w:rFonts w:cs="Calibri"/>
          <w:lang w:eastAsia="cs-CZ"/>
        </w:rPr>
        <w:t>2016.</w:t>
      </w:r>
      <w:r>
        <w:rPr>
          <w:rFonts w:cs="Calibri"/>
          <w:lang w:eastAsia="cs-CZ"/>
        </w:rPr>
        <w:t xml:space="preserve"> </w:t>
      </w:r>
      <w:r>
        <w:rPr>
          <w:lang w:eastAsia="cs-CZ"/>
        </w:rPr>
        <w:t xml:space="preserve">S účinností od 1. </w:t>
      </w:r>
      <w:r w:rsidR="006C5DD2">
        <w:rPr>
          <w:lang w:eastAsia="cs-CZ"/>
        </w:rPr>
        <w:t xml:space="preserve">září </w:t>
      </w:r>
      <w:r>
        <w:rPr>
          <w:lang w:eastAsia="cs-CZ"/>
        </w:rPr>
        <w:t xml:space="preserve">2013 MŠMT do RVP ZV zařadilo </w:t>
      </w:r>
      <w:r w:rsidR="00C30B57" w:rsidRPr="00512405">
        <w:rPr>
          <w:i/>
          <w:lang w:eastAsia="cs-CZ"/>
        </w:rPr>
        <w:t>s</w:t>
      </w:r>
      <w:r w:rsidRPr="00512405">
        <w:rPr>
          <w:i/>
          <w:lang w:eastAsia="cs-CZ"/>
        </w:rPr>
        <w:t xml:space="preserve">tandardy </w:t>
      </w:r>
      <w:r w:rsidRPr="00512405">
        <w:rPr>
          <w:rFonts w:cs="Calibri"/>
          <w:i/>
          <w:lang w:eastAsia="cs-CZ"/>
        </w:rPr>
        <w:t>základního vzdělávání</w:t>
      </w:r>
      <w:r w:rsidRPr="00512405">
        <w:rPr>
          <w:i/>
          <w:lang w:eastAsia="cs-CZ"/>
        </w:rPr>
        <w:t xml:space="preserve"> pro 5. a 9. ročník</w:t>
      </w:r>
      <w:r>
        <w:rPr>
          <w:lang w:eastAsia="cs-CZ"/>
        </w:rPr>
        <w:t xml:space="preserve"> </w:t>
      </w:r>
      <w:r w:rsidR="00C30B57">
        <w:rPr>
          <w:lang w:eastAsia="cs-CZ"/>
        </w:rPr>
        <w:t>pro</w:t>
      </w:r>
      <w:r>
        <w:rPr>
          <w:lang w:eastAsia="cs-CZ"/>
        </w:rPr>
        <w:t xml:space="preserve"> předmět</w:t>
      </w:r>
      <w:r w:rsidR="00C30B57">
        <w:rPr>
          <w:lang w:eastAsia="cs-CZ"/>
        </w:rPr>
        <w:t>y</w:t>
      </w:r>
      <w:r>
        <w:rPr>
          <w:lang w:eastAsia="cs-CZ"/>
        </w:rPr>
        <w:t xml:space="preserve"> ČJL, cizí jazyk a matematik</w:t>
      </w:r>
      <w:r w:rsidR="00C30B57">
        <w:rPr>
          <w:lang w:eastAsia="cs-CZ"/>
        </w:rPr>
        <w:t>a</w:t>
      </w:r>
      <w:r>
        <w:rPr>
          <w:lang w:eastAsia="cs-CZ"/>
        </w:rPr>
        <w:t>. Změnou RVP</w:t>
      </w:r>
      <w:r w:rsidR="00596252">
        <w:rPr>
          <w:lang w:eastAsia="cs-CZ"/>
        </w:rPr>
        <w:t> </w:t>
      </w:r>
      <w:r>
        <w:rPr>
          <w:lang w:eastAsia="cs-CZ"/>
        </w:rPr>
        <w:t xml:space="preserve">ZV s účinností od 1. </w:t>
      </w:r>
      <w:r w:rsidR="006C5DD2">
        <w:rPr>
          <w:lang w:eastAsia="cs-CZ"/>
        </w:rPr>
        <w:t xml:space="preserve">září </w:t>
      </w:r>
      <w:r>
        <w:rPr>
          <w:lang w:eastAsia="cs-CZ"/>
        </w:rPr>
        <w:t xml:space="preserve">2016 MŠMT do RVP ZV </w:t>
      </w:r>
      <w:r>
        <w:rPr>
          <w:rFonts w:cs="Calibri"/>
          <w:lang w:eastAsia="cs-CZ"/>
        </w:rPr>
        <w:t>doplnilo pouze podporu pro žáky se</w:t>
      </w:r>
      <w:r w:rsidR="00C30B57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speciálním vzdělávacím programem a pro žáky nadané, </w:t>
      </w:r>
      <w:r w:rsidR="00C30B57" w:rsidRPr="00512405">
        <w:rPr>
          <w:rFonts w:cs="Calibri"/>
          <w:i/>
          <w:lang w:eastAsia="cs-CZ"/>
        </w:rPr>
        <w:t>s</w:t>
      </w:r>
      <w:r w:rsidRPr="00512405">
        <w:rPr>
          <w:rFonts w:cs="Calibri"/>
          <w:i/>
          <w:lang w:eastAsia="cs-CZ"/>
        </w:rPr>
        <w:t>tandardy základního vzdělávání</w:t>
      </w:r>
      <w:r>
        <w:rPr>
          <w:rFonts w:cs="Calibri"/>
          <w:lang w:eastAsia="cs-CZ"/>
        </w:rPr>
        <w:t xml:space="preserve"> </w:t>
      </w:r>
      <w:r w:rsidR="00D365D7">
        <w:rPr>
          <w:rFonts w:cs="Calibri"/>
          <w:lang w:eastAsia="cs-CZ"/>
        </w:rPr>
        <w:t xml:space="preserve">však </w:t>
      </w:r>
      <w:r>
        <w:rPr>
          <w:rFonts w:cs="Calibri"/>
          <w:lang w:eastAsia="cs-CZ"/>
        </w:rPr>
        <w:t xml:space="preserve">zůstaly ve znění účinném od 1. </w:t>
      </w:r>
      <w:r w:rsidR="006C5DD2">
        <w:rPr>
          <w:rFonts w:cs="Calibri"/>
          <w:lang w:eastAsia="cs-CZ"/>
        </w:rPr>
        <w:t xml:space="preserve">září </w:t>
      </w:r>
      <w:r>
        <w:rPr>
          <w:rFonts w:cs="Calibri"/>
          <w:lang w:eastAsia="cs-CZ"/>
        </w:rPr>
        <w:t>2013</w:t>
      </w:r>
      <w:r>
        <w:rPr>
          <w:rStyle w:val="Znakapoznpodarou"/>
          <w:rFonts w:cs="Calibri"/>
          <w:lang w:eastAsia="cs-CZ"/>
        </w:rPr>
        <w:footnoteReference w:id="36"/>
      </w:r>
      <w:r w:rsidR="00C30B57">
        <w:rPr>
          <w:rFonts w:cs="Calibri"/>
          <w:lang w:eastAsia="cs-CZ"/>
        </w:rPr>
        <w:t>,</w:t>
      </w:r>
      <w:r>
        <w:rPr>
          <w:rFonts w:cs="Calibri"/>
          <w:lang w:eastAsia="cs-CZ"/>
        </w:rPr>
        <w:t xml:space="preserve"> </w:t>
      </w:r>
      <w:r w:rsidR="00C30B57">
        <w:rPr>
          <w:rFonts w:cs="Calibri"/>
          <w:lang w:eastAsia="cs-CZ"/>
        </w:rPr>
        <w:t xml:space="preserve">tj. </w:t>
      </w:r>
      <w:r>
        <w:rPr>
          <w:rFonts w:cs="Calibri"/>
          <w:lang w:eastAsia="cs-CZ"/>
        </w:rPr>
        <w:t xml:space="preserve">bez původně plánovaného systému více úrovní </w:t>
      </w:r>
      <w:r w:rsidRPr="00D63A15">
        <w:rPr>
          <w:lang w:eastAsia="cs-CZ"/>
        </w:rPr>
        <w:t>(</w:t>
      </w:r>
      <w:r w:rsidRPr="00D63A15">
        <w:rPr>
          <w:rFonts w:cs="Calibri"/>
          <w:lang w:eastAsia="cs-CZ"/>
        </w:rPr>
        <w:t xml:space="preserve">základní, optimální, pro nadaného žáka) </w:t>
      </w:r>
      <w:r>
        <w:rPr>
          <w:rFonts w:cs="Calibri"/>
          <w:lang w:eastAsia="cs-CZ"/>
        </w:rPr>
        <w:t>závazných ročníkových standardů pro</w:t>
      </w:r>
      <w:r w:rsidRPr="00F67DA2">
        <w:rPr>
          <w:rFonts w:cs="Calibri"/>
          <w:lang w:eastAsia="cs-CZ"/>
        </w:rPr>
        <w:t xml:space="preserve"> </w:t>
      </w:r>
      <w:r w:rsidRPr="00D63A15">
        <w:rPr>
          <w:rFonts w:cs="Calibri"/>
          <w:lang w:eastAsia="cs-CZ"/>
        </w:rPr>
        <w:t xml:space="preserve">ČJL a matematiku, které by měly </w:t>
      </w:r>
      <w:r w:rsidR="00D27E0D">
        <w:rPr>
          <w:rFonts w:cs="Calibri"/>
          <w:lang w:eastAsia="cs-CZ"/>
        </w:rPr>
        <w:t xml:space="preserve">pomoci eliminovat </w:t>
      </w:r>
      <w:r w:rsidRPr="00D63A15">
        <w:rPr>
          <w:rFonts w:cs="Calibri"/>
          <w:lang w:eastAsia="cs-CZ"/>
        </w:rPr>
        <w:t>problémy při přestupu žáka mezi školami.</w:t>
      </w:r>
      <w:r>
        <w:rPr>
          <w:rFonts w:cs="Calibri"/>
          <w:lang w:eastAsia="cs-CZ"/>
        </w:rPr>
        <w:t xml:space="preserve"> </w:t>
      </w:r>
      <w:r w:rsidRPr="000C0531">
        <w:rPr>
          <w:rFonts w:cs="Calibri"/>
          <w:bCs/>
          <w:iCs/>
        </w:rPr>
        <w:t>MŠMT tak nerealizovalo úpravy</w:t>
      </w:r>
      <w:r>
        <w:rPr>
          <w:rFonts w:cs="Calibri"/>
          <w:bCs/>
          <w:iCs/>
        </w:rPr>
        <w:t xml:space="preserve"> RVP dle harmonogramu a </w:t>
      </w:r>
      <w:r w:rsidRPr="00347376">
        <w:rPr>
          <w:rFonts w:cs="Calibri"/>
          <w:bCs/>
          <w:iCs/>
        </w:rPr>
        <w:t xml:space="preserve">podařilo se </w:t>
      </w:r>
      <w:r>
        <w:rPr>
          <w:rFonts w:cs="Calibri"/>
          <w:bCs/>
          <w:iCs/>
        </w:rPr>
        <w:t xml:space="preserve">mu </w:t>
      </w:r>
      <w:r w:rsidRPr="00347376">
        <w:rPr>
          <w:rFonts w:cs="Calibri"/>
          <w:bCs/>
          <w:iCs/>
        </w:rPr>
        <w:t xml:space="preserve">do RVP ZV zařadit pouze </w:t>
      </w:r>
      <w:r w:rsidR="00C30B57" w:rsidRPr="00512405">
        <w:rPr>
          <w:rFonts w:cs="Calibri"/>
          <w:bCs/>
          <w:i/>
          <w:iCs/>
        </w:rPr>
        <w:t>s</w:t>
      </w:r>
      <w:r w:rsidRPr="00512405">
        <w:rPr>
          <w:rFonts w:cs="Calibri"/>
          <w:bCs/>
          <w:i/>
          <w:iCs/>
        </w:rPr>
        <w:t xml:space="preserve">tandardy </w:t>
      </w:r>
      <w:r w:rsidRPr="00512405">
        <w:rPr>
          <w:rFonts w:cs="Calibri"/>
          <w:i/>
          <w:lang w:eastAsia="cs-CZ"/>
        </w:rPr>
        <w:t>základního vzdělávání</w:t>
      </w:r>
      <w:r w:rsidRPr="00512405">
        <w:rPr>
          <w:rFonts w:cs="Calibri"/>
          <w:bCs/>
          <w:i/>
          <w:iCs/>
        </w:rPr>
        <w:t xml:space="preserve"> pro 5. a 9. ročník</w:t>
      </w:r>
      <w:r>
        <w:rPr>
          <w:rFonts w:cs="Calibri"/>
          <w:bCs/>
          <w:iCs/>
        </w:rPr>
        <w:t xml:space="preserve"> </w:t>
      </w:r>
      <w:r w:rsidR="00C30B57">
        <w:rPr>
          <w:rFonts w:cs="Calibri"/>
          <w:bCs/>
          <w:iCs/>
        </w:rPr>
        <w:t xml:space="preserve">pro </w:t>
      </w:r>
      <w:r>
        <w:rPr>
          <w:rFonts w:cs="Calibri"/>
          <w:bCs/>
          <w:iCs/>
        </w:rPr>
        <w:t>základní gramotnost</w:t>
      </w:r>
      <w:r w:rsidR="00C30B57">
        <w:rPr>
          <w:rFonts w:cs="Calibri"/>
          <w:bCs/>
          <w:iCs/>
        </w:rPr>
        <w:t>i</w:t>
      </w:r>
      <w:r>
        <w:rPr>
          <w:rFonts w:cs="Calibri"/>
          <w:bCs/>
          <w:iCs/>
        </w:rPr>
        <w:t xml:space="preserve">. </w:t>
      </w:r>
      <w:r w:rsidRPr="00512405">
        <w:rPr>
          <w:rFonts w:cs="Calibri"/>
          <w:i/>
          <w:lang w:eastAsia="cs-CZ"/>
        </w:rPr>
        <w:t>Standardy základního vzdělávání</w:t>
      </w:r>
      <w:r>
        <w:rPr>
          <w:rFonts w:cs="Calibri"/>
          <w:lang w:eastAsia="cs-CZ"/>
        </w:rPr>
        <w:t xml:space="preserve"> pro další gramotnosti</w:t>
      </w:r>
      <w:r>
        <w:rPr>
          <w:rStyle w:val="Znakapoznpodarou"/>
          <w:rFonts w:cs="Calibri"/>
          <w:lang w:eastAsia="cs-CZ"/>
        </w:rPr>
        <w:footnoteReference w:id="37"/>
      </w:r>
      <w:r>
        <w:rPr>
          <w:rFonts w:cs="Calibri"/>
          <w:lang w:eastAsia="cs-CZ"/>
        </w:rPr>
        <w:t xml:space="preserve"> mají pro školy pouze doporučující charakter. </w:t>
      </w:r>
    </w:p>
    <w:p w14:paraId="711BA84F" w14:textId="77777777" w:rsidR="00C4685F" w:rsidRPr="00D63A15" w:rsidRDefault="00C4685F" w:rsidP="00512405">
      <w:pPr>
        <w:pStyle w:val="Odstavecseseznamem"/>
        <w:keepNext/>
        <w:spacing w:before="240" w:line="240" w:lineRule="auto"/>
        <w:ind w:left="0"/>
        <w:contextualSpacing w:val="0"/>
        <w:jc w:val="both"/>
        <w:rPr>
          <w:u w:val="single"/>
        </w:rPr>
      </w:pPr>
      <w:r w:rsidRPr="00D63A15">
        <w:rPr>
          <w:u w:val="single"/>
        </w:rPr>
        <w:lastRenderedPageBreak/>
        <w:t>Rozšíření vzdělávání ukončeného MZ na úkor úspěšnosti u MZ</w:t>
      </w:r>
    </w:p>
    <w:p w14:paraId="4D14C0A1" w14:textId="6349049E" w:rsidR="00C4685F" w:rsidRPr="00762420" w:rsidRDefault="00C4685F" w:rsidP="00C4685F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lang w:eastAsia="cs-CZ"/>
        </w:rPr>
      </w:pPr>
      <w:r w:rsidRPr="007D3E73">
        <w:t>Zprávy CZVV upozorň</w:t>
      </w:r>
      <w:r>
        <w:t>ovaly</w:t>
      </w:r>
      <w:r w:rsidRPr="007D3E73">
        <w:t xml:space="preserve"> na masové rozšíření maturitního vzdělávání</w:t>
      </w:r>
      <w:r>
        <w:t xml:space="preserve">, </w:t>
      </w:r>
      <w:r w:rsidRPr="007D3E73">
        <w:t>přičemž do maturitních oborů nastupují i žáci, kteří nemají předpoklady pro úspěšné složení MZ. Důsledkem je pak vysoká neúspěšnost u MZ</w:t>
      </w:r>
      <w:r>
        <w:t xml:space="preserve"> </w:t>
      </w:r>
      <w:r w:rsidRPr="007D3E73">
        <w:rPr>
          <w:lang w:eastAsia="cs-CZ"/>
        </w:rPr>
        <w:t xml:space="preserve">zejména </w:t>
      </w:r>
      <w:r>
        <w:rPr>
          <w:lang w:eastAsia="cs-CZ"/>
        </w:rPr>
        <w:t xml:space="preserve">u </w:t>
      </w:r>
      <w:r w:rsidRPr="007D3E73">
        <w:rPr>
          <w:lang w:eastAsia="cs-CZ"/>
        </w:rPr>
        <w:t>žáků s</w:t>
      </w:r>
      <w:r>
        <w:rPr>
          <w:lang w:eastAsia="cs-CZ"/>
        </w:rPr>
        <w:t xml:space="preserve">tředních odborných učilišť </w:t>
      </w:r>
      <w:r w:rsidR="00242D17">
        <w:rPr>
          <w:rFonts w:cstheme="minorHAnsi"/>
          <w:iCs/>
          <w:color w:val="000000"/>
          <w:lang w:eastAsia="cs-CZ"/>
        </w:rPr>
        <w:t>a </w:t>
      </w:r>
      <w:r w:rsidRPr="007D3E73">
        <w:rPr>
          <w:rFonts w:cstheme="minorHAnsi"/>
          <w:iCs/>
          <w:color w:val="000000"/>
          <w:lang w:eastAsia="cs-CZ"/>
        </w:rPr>
        <w:t>žáků nástaveb s</w:t>
      </w:r>
      <w:r>
        <w:rPr>
          <w:rFonts w:cstheme="minorHAnsi"/>
          <w:iCs/>
          <w:color w:val="000000"/>
          <w:lang w:eastAsia="cs-CZ"/>
        </w:rPr>
        <w:t> </w:t>
      </w:r>
      <w:r w:rsidRPr="007D3E73">
        <w:rPr>
          <w:rFonts w:cstheme="minorHAnsi"/>
          <w:iCs/>
          <w:color w:val="000000"/>
          <w:lang w:eastAsia="cs-CZ"/>
        </w:rPr>
        <w:t>maturitou</w:t>
      </w:r>
      <w:r>
        <w:rPr>
          <w:rFonts w:cstheme="minorHAnsi"/>
          <w:iCs/>
          <w:color w:val="000000"/>
          <w:lang w:eastAsia="cs-CZ"/>
        </w:rPr>
        <w:t xml:space="preserve"> </w:t>
      </w:r>
      <w:r>
        <w:rPr>
          <w:lang w:eastAsia="cs-CZ"/>
        </w:rPr>
        <w:t>(</w:t>
      </w:r>
      <w:r w:rsidR="006C5DD2">
        <w:rPr>
          <w:lang w:eastAsia="cs-CZ"/>
        </w:rPr>
        <w:t>p</w:t>
      </w:r>
      <w:r>
        <w:rPr>
          <w:lang w:eastAsia="cs-CZ"/>
        </w:rPr>
        <w:t>říloha č. 2</w:t>
      </w:r>
      <w:r w:rsidRPr="007D3E73">
        <w:rPr>
          <w:lang w:eastAsia="cs-CZ"/>
        </w:rPr>
        <w:t xml:space="preserve">). </w:t>
      </w:r>
      <w:r>
        <w:rPr>
          <w:rFonts w:cs="Calibri"/>
          <w:color w:val="000000"/>
          <w:lang w:eastAsia="cs-CZ"/>
        </w:rPr>
        <w:t xml:space="preserve">Na </w:t>
      </w:r>
      <w:r w:rsidRPr="007D3E73">
        <w:rPr>
          <w:rFonts w:cs="Calibri"/>
          <w:color w:val="000000"/>
          <w:lang w:eastAsia="cs-CZ"/>
        </w:rPr>
        <w:t>vzdělávání těchto žáků MŠMT vynakládá prostřednictvím financování</w:t>
      </w:r>
      <w:r w:rsidRPr="001E5FEB">
        <w:rPr>
          <w:rFonts w:cs="Calibri"/>
          <w:color w:val="000000"/>
          <w:lang w:eastAsia="cs-CZ"/>
        </w:rPr>
        <w:t xml:space="preserve"> regionálního školství peněžní prostředky, které jsou</w:t>
      </w:r>
      <w:r>
        <w:rPr>
          <w:rFonts w:cs="Calibri"/>
          <w:color w:val="000000"/>
          <w:lang w:eastAsia="cs-CZ"/>
        </w:rPr>
        <w:t xml:space="preserve"> </w:t>
      </w:r>
      <w:r w:rsidRPr="001E5FEB">
        <w:rPr>
          <w:rFonts w:cs="Calibri"/>
          <w:color w:val="000000"/>
          <w:lang w:eastAsia="cs-CZ"/>
        </w:rPr>
        <w:t>v případě neúspěchu u MZ vynalo</w:t>
      </w:r>
      <w:r>
        <w:rPr>
          <w:rFonts w:cs="Calibri"/>
          <w:color w:val="000000"/>
          <w:lang w:eastAsia="cs-CZ"/>
        </w:rPr>
        <w:t>ženy bez předpokládaného efektu</w:t>
      </w:r>
      <w:r w:rsidRPr="001E5FEB">
        <w:rPr>
          <w:rFonts w:cs="Calibri"/>
          <w:color w:val="000000"/>
          <w:lang w:eastAsia="cs-CZ"/>
        </w:rPr>
        <w:t xml:space="preserve">. </w:t>
      </w:r>
    </w:p>
    <w:p w14:paraId="302EC9EA" w14:textId="7C0D65C3" w:rsidR="00C4685F" w:rsidRPr="005D6F01" w:rsidRDefault="00C4685F" w:rsidP="00C4685F">
      <w:pPr>
        <w:shd w:val="clear" w:color="auto" w:fill="FFFFFF"/>
        <w:spacing w:line="240" w:lineRule="auto"/>
        <w:jc w:val="both"/>
        <w:rPr>
          <w:lang w:eastAsia="cs-CZ"/>
        </w:rPr>
      </w:pPr>
      <w:r>
        <w:rPr>
          <w:rFonts w:cs="Calibri"/>
          <w:color w:val="000000"/>
          <w:lang w:eastAsia="cs-CZ"/>
        </w:rPr>
        <w:t xml:space="preserve">MŠMT </w:t>
      </w:r>
      <w:r w:rsidR="00BB1129">
        <w:rPr>
          <w:rFonts w:cs="Calibri"/>
          <w:color w:val="000000"/>
          <w:lang w:eastAsia="cs-CZ"/>
        </w:rPr>
        <w:t xml:space="preserve">ohledně </w:t>
      </w:r>
      <w:r>
        <w:rPr>
          <w:rFonts w:cs="Calibri"/>
          <w:color w:val="000000"/>
          <w:lang w:eastAsia="cs-CZ"/>
        </w:rPr>
        <w:t xml:space="preserve">řešení problému odkázalo na strategické dokumenty vzdělávání pro období od roku 2016 a </w:t>
      </w:r>
      <w:r w:rsidR="00C30B57">
        <w:rPr>
          <w:rFonts w:cs="Calibri"/>
          <w:color w:val="000000"/>
          <w:lang w:eastAsia="cs-CZ"/>
        </w:rPr>
        <w:t>jako jedno z</w:t>
      </w:r>
      <w:r w:rsidR="00BB1129">
        <w:rPr>
          <w:rFonts w:cs="Calibri"/>
          <w:color w:val="000000"/>
          <w:lang w:eastAsia="cs-CZ"/>
        </w:rPr>
        <w:t> </w:t>
      </w:r>
      <w:r w:rsidR="00C30B57">
        <w:rPr>
          <w:rFonts w:cs="Calibri"/>
          <w:color w:val="000000"/>
          <w:lang w:eastAsia="cs-CZ"/>
        </w:rPr>
        <w:t xml:space="preserve">opatření </w:t>
      </w:r>
      <w:r>
        <w:rPr>
          <w:rFonts w:cs="Calibri"/>
          <w:color w:val="000000"/>
          <w:lang w:eastAsia="cs-CZ"/>
        </w:rPr>
        <w:t>uvedlo reformu financování regionálního školství, která by dle MŠMT měla zamezit přijímání žáků za účelem zlepšení ekonomické situace školy. Dále</w:t>
      </w:r>
      <w:r w:rsidRPr="004135D4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MŠMT uvedlo zavedení jednotných přijímacích zkoušek, které by měly</w:t>
      </w:r>
      <w:r w:rsidR="00C30B57">
        <w:rPr>
          <w:rFonts w:cs="Calibri"/>
          <w:color w:val="000000"/>
          <w:lang w:eastAsia="cs-CZ"/>
        </w:rPr>
        <w:t xml:space="preserve"> u SŠ</w:t>
      </w:r>
      <w:r>
        <w:rPr>
          <w:rFonts w:cs="Calibri"/>
          <w:color w:val="000000"/>
          <w:lang w:eastAsia="cs-CZ"/>
        </w:rPr>
        <w:t xml:space="preserve"> nastavit vstupní úroveň znalostí žáků při vstupu do oborů s MZ a selektovat žáky s předpoklady pro úspěšné složení MZ</w:t>
      </w:r>
      <w:r w:rsidRPr="004135D4">
        <w:rPr>
          <w:rFonts w:cs="Calibri"/>
          <w:color w:val="000000"/>
          <w:lang w:eastAsia="cs-CZ"/>
        </w:rPr>
        <w:t xml:space="preserve">. </w:t>
      </w:r>
      <w:r w:rsidR="00EE0315">
        <w:rPr>
          <w:rFonts w:cs="Calibri"/>
          <w:color w:val="000000"/>
          <w:lang w:eastAsia="cs-CZ"/>
        </w:rPr>
        <w:t xml:space="preserve">JPZ budou </w:t>
      </w:r>
      <w:r w:rsidR="00101F59">
        <w:rPr>
          <w:rFonts w:cs="Calibri"/>
          <w:color w:val="000000"/>
          <w:lang w:eastAsia="cs-CZ"/>
        </w:rPr>
        <w:t>zavedeny</w:t>
      </w:r>
      <w:r w:rsidR="00EE0315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 xml:space="preserve">od školního roku 2016/2017. Jedná se tedy o opatření s realizací po roce 2016. </w:t>
      </w:r>
    </w:p>
    <w:p w14:paraId="0E04DF4B" w14:textId="77777777" w:rsidR="00C4685F" w:rsidRPr="00D63A15" w:rsidRDefault="00C4685F" w:rsidP="00C4685F">
      <w:pPr>
        <w:pStyle w:val="Odstavecseseznamem"/>
        <w:autoSpaceDE w:val="0"/>
        <w:autoSpaceDN w:val="0"/>
        <w:adjustRightInd w:val="0"/>
        <w:spacing w:before="240" w:line="240" w:lineRule="auto"/>
        <w:ind w:left="0"/>
        <w:contextualSpacing w:val="0"/>
        <w:jc w:val="both"/>
        <w:rPr>
          <w:rFonts w:cs="Calibri"/>
          <w:color w:val="000000"/>
          <w:u w:val="single"/>
          <w:lang w:eastAsia="cs-CZ"/>
        </w:rPr>
      </w:pPr>
      <w:r>
        <w:rPr>
          <w:rFonts w:cs="Calibri"/>
          <w:color w:val="000000"/>
          <w:u w:val="single"/>
          <w:lang w:eastAsia="cs-CZ"/>
        </w:rPr>
        <w:t xml:space="preserve">Dílčí opatření nevedla ke zlepšení výsledků žáků </w:t>
      </w:r>
      <w:r w:rsidRPr="00D63A15">
        <w:rPr>
          <w:rFonts w:cs="Calibri"/>
          <w:color w:val="000000"/>
          <w:u w:val="single"/>
          <w:lang w:eastAsia="cs-CZ"/>
        </w:rPr>
        <w:t>v předmětu matematika</w:t>
      </w:r>
    </w:p>
    <w:p w14:paraId="6BF6E615" w14:textId="2905F25C" w:rsidR="00C4685F" w:rsidRPr="0052651A" w:rsidRDefault="00C4685F" w:rsidP="00C4685F">
      <w:pPr>
        <w:spacing w:line="240" w:lineRule="auto"/>
        <w:jc w:val="both"/>
        <w:rPr>
          <w:bCs/>
        </w:rPr>
      </w:pPr>
      <w:r w:rsidRPr="00126FF9">
        <w:rPr>
          <w:bCs/>
        </w:rPr>
        <w:t>C</w:t>
      </w:r>
      <w:r>
        <w:rPr>
          <w:bCs/>
        </w:rPr>
        <w:t>ZVV a ČŠI v průběhu období 2011</w:t>
      </w:r>
      <w:r w:rsidR="006C5DD2">
        <w:rPr>
          <w:bCs/>
        </w:rPr>
        <w:t>–</w:t>
      </w:r>
      <w:r w:rsidRPr="00126FF9">
        <w:rPr>
          <w:bCs/>
        </w:rPr>
        <w:t>2015 analyzovaly příčiny zhoršujících se výsledků</w:t>
      </w:r>
      <w:r>
        <w:rPr>
          <w:bCs/>
        </w:rPr>
        <w:t xml:space="preserve"> v předmětu matematika a n</w:t>
      </w:r>
      <w:r w:rsidRPr="00126FF9">
        <w:rPr>
          <w:bCs/>
        </w:rPr>
        <w:t xml:space="preserve">a počátku roku 2015 MŠMT </w:t>
      </w:r>
      <w:r>
        <w:rPr>
          <w:bCs/>
        </w:rPr>
        <w:t xml:space="preserve">na základě </w:t>
      </w:r>
      <w:r w:rsidRPr="00126FF9">
        <w:rPr>
          <w:bCs/>
        </w:rPr>
        <w:t>těchto analýz vypracoval</w:t>
      </w:r>
      <w:r>
        <w:rPr>
          <w:bCs/>
        </w:rPr>
        <w:t xml:space="preserve">o přehled plánovaných opatření. </w:t>
      </w:r>
      <w:r w:rsidRPr="008431C7">
        <w:t>V opatřeních</w:t>
      </w:r>
      <w:r w:rsidR="00F75F09">
        <w:t xml:space="preserve"> </w:t>
      </w:r>
      <w:r w:rsidRPr="008431C7">
        <w:t>byl klade</w:t>
      </w:r>
      <w:r w:rsidR="00D27E0D">
        <w:t>n</w:t>
      </w:r>
      <w:r w:rsidRPr="008431C7">
        <w:t xml:space="preserve"> důraz </w:t>
      </w:r>
      <w:r>
        <w:t xml:space="preserve">mj. </w:t>
      </w:r>
      <w:r w:rsidRPr="008431C7">
        <w:t>na realizaci průběžného ověřování žáků ZŠ v matematice (minimálně 5. a 9</w:t>
      </w:r>
      <w:r>
        <w:t>. tříd ZŠ) a každoroční vyhodnocení</w:t>
      </w:r>
      <w:r w:rsidRPr="008431C7">
        <w:t xml:space="preserve"> výsledků tohoto ověřování. </w:t>
      </w:r>
      <w:r>
        <w:t>O</w:t>
      </w:r>
      <w:r w:rsidRPr="008431C7">
        <w:t>patření potvrzují odůvodněnost cílů původní podoby o</w:t>
      </w:r>
      <w:r>
        <w:t xml:space="preserve">věřování 5. a 9. tříd a </w:t>
      </w:r>
      <w:r w:rsidRPr="008431C7">
        <w:t xml:space="preserve">význam jeho výsledků pro zvýšení kvality vzdělávání. Přesto MŠMT toto ověřování </w:t>
      </w:r>
      <w:r w:rsidRPr="007D3E73">
        <w:t xml:space="preserve">nezavedlo (viz </w:t>
      </w:r>
      <w:r>
        <w:t>kapitola III., bod 1</w:t>
      </w:r>
      <w:r w:rsidRPr="007D3E73">
        <w:t>).</w:t>
      </w:r>
      <w:r>
        <w:t xml:space="preserve"> </w:t>
      </w:r>
    </w:p>
    <w:p w14:paraId="79E5A96A" w14:textId="642F8B76" w:rsidR="00C4685F" w:rsidRPr="008431C7" w:rsidRDefault="00C4685F" w:rsidP="00C4685F">
      <w:pPr>
        <w:spacing w:line="240" w:lineRule="auto"/>
        <w:jc w:val="both"/>
      </w:pPr>
      <w:r>
        <w:t>Dále MŠMT např. zajišťovalo</w:t>
      </w:r>
      <w:r w:rsidRPr="008431C7">
        <w:t xml:space="preserve"> prostřednictvím ČŠI a Národního institutu pro další vzdělávání</w:t>
      </w:r>
      <w:r>
        <w:t xml:space="preserve"> metodické pomůcky a kurzy pro pedagogy v předmětu matematika</w:t>
      </w:r>
      <w:r w:rsidRPr="008431C7">
        <w:t xml:space="preserve">. </w:t>
      </w:r>
      <w:r>
        <w:t xml:space="preserve">V období 1. pololetí 2012 až 2. pololetí 2014 se těchto kurzů </w:t>
      </w:r>
      <w:r w:rsidR="00BB1129">
        <w:t>z</w:t>
      </w:r>
      <w:r>
        <w:t>účastnilo 1 757 pedagogů ZŠ</w:t>
      </w:r>
      <w:r w:rsidR="00BB1129">
        <w:t>,</w:t>
      </w:r>
      <w:r>
        <w:t xml:space="preserve"> ale pouze 51</w:t>
      </w:r>
      <w:r w:rsidR="00BB1129">
        <w:t> </w:t>
      </w:r>
      <w:r>
        <w:t>pedagogů SŠ. Dopad tohoto opatření na SŠ tak byl minimální.</w:t>
      </w:r>
    </w:p>
    <w:p w14:paraId="7AA13606" w14:textId="03D058A9" w:rsidR="00515F48" w:rsidRDefault="00C4685F" w:rsidP="00C4685F">
      <w:pPr>
        <w:spacing w:line="240" w:lineRule="auto"/>
        <w:jc w:val="both"/>
        <w:rPr>
          <w:rFonts w:cs="Calibri"/>
        </w:rPr>
      </w:pPr>
      <w:r>
        <w:t xml:space="preserve">Ačkoliv měla být povinná MZ z matematiky pro vybrané obory zavedena dle cílů </w:t>
      </w:r>
      <w:r w:rsidR="00D17AE0">
        <w:br/>
      </w:r>
      <w:r>
        <w:t>DZ 2011</w:t>
      </w:r>
      <w:r w:rsidR="00D17AE0">
        <w:t>–</w:t>
      </w:r>
      <w:r>
        <w:t xml:space="preserve">2015 do roku 2014, </w:t>
      </w:r>
      <w:r>
        <w:rPr>
          <w:rFonts w:cs="Calibri"/>
        </w:rPr>
        <w:t>bude</w:t>
      </w:r>
      <w:r w:rsidRPr="008431C7">
        <w:rPr>
          <w:rFonts w:cs="Calibri"/>
        </w:rPr>
        <w:t xml:space="preserve"> zavedena </w:t>
      </w:r>
      <w:r>
        <w:rPr>
          <w:rFonts w:cs="Calibri"/>
        </w:rPr>
        <w:t xml:space="preserve">až </w:t>
      </w:r>
      <w:r w:rsidRPr="008431C7">
        <w:rPr>
          <w:rFonts w:cs="Calibri"/>
        </w:rPr>
        <w:t>s účinn</w:t>
      </w:r>
      <w:r>
        <w:rPr>
          <w:rFonts w:cs="Calibri"/>
        </w:rPr>
        <w:t>ostí od školního roku 2020/2021</w:t>
      </w:r>
      <w:r>
        <w:rPr>
          <w:rStyle w:val="Znakapoznpodarou"/>
          <w:rFonts w:cs="Calibri"/>
        </w:rPr>
        <w:footnoteReference w:id="38"/>
      </w:r>
      <w:r>
        <w:rPr>
          <w:rFonts w:cs="Calibri"/>
        </w:rPr>
        <w:t xml:space="preserve">. </w:t>
      </w:r>
      <w:r>
        <w:t>O</w:t>
      </w:r>
      <w:r w:rsidRPr="008431C7">
        <w:t>d roku 2014</w:t>
      </w:r>
      <w:r>
        <w:t xml:space="preserve"> však </w:t>
      </w:r>
      <w:r w:rsidRPr="008431C7">
        <w:t xml:space="preserve">MŠMT realizovalo za účelem zvýšení matematické gramotnosti </w:t>
      </w:r>
      <w:r w:rsidRPr="008431C7">
        <w:rPr>
          <w:rFonts w:cs="Calibri"/>
        </w:rPr>
        <w:t xml:space="preserve">zkoušku </w:t>
      </w:r>
      <w:r w:rsidR="003C42E4">
        <w:rPr>
          <w:rFonts w:cs="Calibri"/>
        </w:rPr>
        <w:t>„</w:t>
      </w:r>
      <w:r w:rsidRPr="008431C7">
        <w:rPr>
          <w:rFonts w:cs="Calibri"/>
        </w:rPr>
        <w:t>Matematika+</w:t>
      </w:r>
      <w:r w:rsidR="003C42E4">
        <w:rPr>
          <w:rFonts w:cs="Calibri"/>
        </w:rPr>
        <w:t>“</w:t>
      </w:r>
      <w:r w:rsidRPr="008431C7">
        <w:rPr>
          <w:rFonts w:cs="Calibri"/>
        </w:rPr>
        <w:t xml:space="preserve"> jako nepovinný předmět profilové části MZ</w:t>
      </w:r>
      <w:r>
        <w:rPr>
          <w:rFonts w:cs="Calibri"/>
        </w:rPr>
        <w:t xml:space="preserve">. </w:t>
      </w:r>
      <w:r>
        <w:t xml:space="preserve">Dále </w:t>
      </w:r>
      <w:r w:rsidRPr="008431C7">
        <w:t>MŠMT legislativně</w:t>
      </w:r>
      <w:r>
        <w:rPr>
          <w:rStyle w:val="Znakapoznpodarou"/>
        </w:rPr>
        <w:footnoteReference w:id="39"/>
      </w:r>
      <w:r w:rsidR="00EE0315">
        <w:t xml:space="preserve"> upravilo povinnost</w:t>
      </w:r>
      <w:r>
        <w:t xml:space="preserve"> </w:t>
      </w:r>
      <w:r w:rsidR="00101F59">
        <w:t xml:space="preserve">zavedení </w:t>
      </w:r>
      <w:r w:rsidRPr="008431C7">
        <w:t>JPZ od školního roku 2016/2017</w:t>
      </w:r>
      <w:r>
        <w:rPr>
          <w:rFonts w:cs="Calibri"/>
        </w:rPr>
        <w:t xml:space="preserve">. JPZ by měly být </w:t>
      </w:r>
      <w:r w:rsidRPr="008431C7">
        <w:rPr>
          <w:rFonts w:cs="Calibri"/>
        </w:rPr>
        <w:t xml:space="preserve">u žáků přijímaných </w:t>
      </w:r>
      <w:r>
        <w:rPr>
          <w:rFonts w:cs="Calibri"/>
        </w:rPr>
        <w:t>na SŠ zajištěny</w:t>
      </w:r>
      <w:r w:rsidRPr="008431C7">
        <w:rPr>
          <w:rFonts w:cs="Calibri"/>
        </w:rPr>
        <w:t xml:space="preserve"> předpoklady pro úspěšné studium a složení MZ, mj. také z matematiky.</w:t>
      </w:r>
      <w:r w:rsidRPr="00265915">
        <w:rPr>
          <w:rFonts w:cs="Calibri"/>
        </w:rPr>
        <w:t xml:space="preserve"> </w:t>
      </w:r>
    </w:p>
    <w:p w14:paraId="15A28163" w14:textId="0F06181E" w:rsidR="00C4685F" w:rsidRDefault="006B333C" w:rsidP="00C4685F">
      <w:p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Opatření, která </w:t>
      </w:r>
      <w:r w:rsidR="00515F48">
        <w:rPr>
          <w:rFonts w:cs="Calibri"/>
        </w:rPr>
        <w:t xml:space="preserve">MŠMT </w:t>
      </w:r>
      <w:r>
        <w:rPr>
          <w:rFonts w:cs="Calibri"/>
        </w:rPr>
        <w:t xml:space="preserve">v kontrolovaném období </w:t>
      </w:r>
      <w:r w:rsidR="00515F48">
        <w:rPr>
          <w:rFonts w:cs="Calibri"/>
        </w:rPr>
        <w:t>r</w:t>
      </w:r>
      <w:r>
        <w:rPr>
          <w:rFonts w:cs="Calibri"/>
        </w:rPr>
        <w:t>ealizoval</w:t>
      </w:r>
      <w:r w:rsidR="00BB1129">
        <w:rPr>
          <w:rFonts w:cs="Calibri"/>
        </w:rPr>
        <w:t>o</w:t>
      </w:r>
      <w:r>
        <w:rPr>
          <w:rFonts w:cs="Calibri"/>
        </w:rPr>
        <w:t>, neměla v tomto období</w:t>
      </w:r>
      <w:r w:rsidR="00C4685F">
        <w:rPr>
          <w:rFonts w:cs="Calibri"/>
        </w:rPr>
        <w:t xml:space="preserve"> dopad na výsledky žáků v předmětu matematika</w:t>
      </w:r>
      <w:r w:rsidR="00515F48">
        <w:rPr>
          <w:rFonts w:cs="Calibri"/>
        </w:rPr>
        <w:t xml:space="preserve">, </w:t>
      </w:r>
      <w:r>
        <w:rPr>
          <w:rFonts w:cs="Calibri"/>
        </w:rPr>
        <w:t>další opatření jsou plánována</w:t>
      </w:r>
      <w:r w:rsidR="00515F48">
        <w:rPr>
          <w:rFonts w:cs="Calibri"/>
        </w:rPr>
        <w:t xml:space="preserve"> s realizací po roce 2016</w:t>
      </w:r>
      <w:r w:rsidR="00C4685F">
        <w:rPr>
          <w:rFonts w:cs="Calibri"/>
        </w:rPr>
        <w:t>.</w:t>
      </w:r>
    </w:p>
    <w:p w14:paraId="164A7A86" w14:textId="77777777" w:rsidR="00C4685F" w:rsidRPr="00D63A15" w:rsidRDefault="00C4685F" w:rsidP="00C4685F">
      <w:pPr>
        <w:spacing w:line="240" w:lineRule="auto"/>
        <w:jc w:val="both"/>
        <w:rPr>
          <w:rFonts w:cs="Calibri"/>
          <w:u w:val="single"/>
        </w:rPr>
      </w:pPr>
      <w:r w:rsidRPr="00D63A15">
        <w:rPr>
          <w:rFonts w:cs="Calibri"/>
          <w:u w:val="single"/>
        </w:rPr>
        <w:t xml:space="preserve">Předčasné ukončení vzdělávání či odborné přípravy  </w:t>
      </w:r>
    </w:p>
    <w:p w14:paraId="424B2C10" w14:textId="4612AA47" w:rsidR="00C4685F" w:rsidRPr="003C702A" w:rsidRDefault="00C4685F" w:rsidP="00C4685F">
      <w:pPr>
        <w:spacing w:line="240" w:lineRule="auto"/>
        <w:jc w:val="both"/>
        <w:rPr>
          <w:rFonts w:cs="Calibri"/>
        </w:rPr>
      </w:pPr>
      <w:r w:rsidRPr="003C702A">
        <w:rPr>
          <w:rFonts w:cs="Calibri"/>
        </w:rPr>
        <w:t xml:space="preserve">Usnesením vlády </w:t>
      </w:r>
      <w:r w:rsidR="00BB1129">
        <w:rPr>
          <w:rFonts w:cs="Calibri"/>
        </w:rPr>
        <w:t xml:space="preserve">ČR </w:t>
      </w:r>
      <w:r w:rsidRPr="003C702A">
        <w:rPr>
          <w:rFonts w:cs="Calibri"/>
        </w:rPr>
        <w:t xml:space="preserve">ze dne 27. dubna 2011 č. 314 byl schválen </w:t>
      </w:r>
      <w:r w:rsidRPr="003023C4">
        <w:rPr>
          <w:rFonts w:cs="Calibri"/>
          <w:i/>
        </w:rPr>
        <w:t>Národní program reforem 2011</w:t>
      </w:r>
      <w:r w:rsidRPr="003C702A">
        <w:rPr>
          <w:rFonts w:cs="Calibri"/>
        </w:rPr>
        <w:t xml:space="preserve">, který představuje mj. příspěvek ČR k plnění cílů strategie </w:t>
      </w:r>
      <w:r w:rsidRPr="003023C4">
        <w:rPr>
          <w:rFonts w:cs="Calibri"/>
          <w:i/>
        </w:rPr>
        <w:t>Evropa 2020</w:t>
      </w:r>
      <w:r w:rsidRPr="003C702A">
        <w:rPr>
          <w:rFonts w:cs="Calibri"/>
        </w:rPr>
        <w:t xml:space="preserve">. Jedním z cílů </w:t>
      </w:r>
      <w:r w:rsidRPr="003C702A">
        <w:rPr>
          <w:rFonts w:cs="Calibri"/>
        </w:rPr>
        <w:lastRenderedPageBreak/>
        <w:t xml:space="preserve">strategie </w:t>
      </w:r>
      <w:r w:rsidRPr="00512405">
        <w:rPr>
          <w:rFonts w:cs="Calibri"/>
          <w:i/>
        </w:rPr>
        <w:t>Evropa 2020</w:t>
      </w:r>
      <w:r w:rsidRPr="003C702A">
        <w:rPr>
          <w:rFonts w:cs="Calibri"/>
        </w:rPr>
        <w:t xml:space="preserve"> v oblasti vzdělávání bylo snížit předčasné odchody ze vzdělávání pod úroveň 10</w:t>
      </w:r>
      <w:r w:rsidR="00D17AE0">
        <w:rPr>
          <w:rFonts w:cs="Calibri"/>
        </w:rPr>
        <w:t> </w:t>
      </w:r>
      <w:r w:rsidRPr="003C702A">
        <w:rPr>
          <w:rFonts w:cs="Calibri"/>
        </w:rPr>
        <w:t>%. Na tento cíl navazoval národní cíl, který v roce 2010 nastavila vláda striktněji</w:t>
      </w:r>
      <w:r w:rsidR="00D17AE0">
        <w:rPr>
          <w:rFonts w:cs="Calibri"/>
        </w:rPr>
        <w:t>,</w:t>
      </w:r>
      <w:r w:rsidRPr="003C702A">
        <w:rPr>
          <w:rFonts w:cs="Calibri"/>
        </w:rPr>
        <w:t xml:space="preserve"> a</w:t>
      </w:r>
      <w:r w:rsidR="003163B8">
        <w:rPr>
          <w:rFonts w:cs="Calibri"/>
        </w:rPr>
        <w:t> </w:t>
      </w:r>
      <w:r w:rsidRPr="003C702A">
        <w:rPr>
          <w:rFonts w:cs="Calibri"/>
        </w:rPr>
        <w:t xml:space="preserve">to ve výši 5,5 %. </w:t>
      </w:r>
      <w:r w:rsidR="00A46D9E">
        <w:rPr>
          <w:rFonts w:cs="Calibri"/>
        </w:rPr>
        <w:t>Ukazatel p</w:t>
      </w:r>
      <w:r w:rsidRPr="003C702A">
        <w:rPr>
          <w:rFonts w:cs="Calibri"/>
        </w:rPr>
        <w:t>ředčasné</w:t>
      </w:r>
      <w:r w:rsidR="00A46D9E">
        <w:rPr>
          <w:rFonts w:cs="Calibri"/>
        </w:rPr>
        <w:t>ho</w:t>
      </w:r>
      <w:r w:rsidRPr="003C702A">
        <w:rPr>
          <w:rFonts w:cs="Calibri"/>
        </w:rPr>
        <w:t xml:space="preserve"> ukončení vzdělávání či odborné přípravy se ověřuje na vzorku populace</w:t>
      </w:r>
      <w:r w:rsidR="002739F8">
        <w:rPr>
          <w:rFonts w:cs="Calibri"/>
        </w:rPr>
        <w:t xml:space="preserve"> </w:t>
      </w:r>
      <w:r w:rsidR="00BB1129">
        <w:rPr>
          <w:rFonts w:cs="Calibri"/>
        </w:rPr>
        <w:t xml:space="preserve">ve věku </w:t>
      </w:r>
      <w:r w:rsidRPr="003C702A">
        <w:rPr>
          <w:rFonts w:cs="Calibri"/>
        </w:rPr>
        <w:t>18</w:t>
      </w:r>
      <w:r w:rsidR="006C5DD2">
        <w:rPr>
          <w:rFonts w:cs="Calibri"/>
        </w:rPr>
        <w:t>–</w:t>
      </w:r>
      <w:r w:rsidRPr="003C702A">
        <w:rPr>
          <w:rFonts w:cs="Calibri"/>
        </w:rPr>
        <w:t xml:space="preserve">24 let a ukazuje, jaký podíl této populace dosáhl nejvýše nižšího sekundárního vzdělání (ISCED 2 </w:t>
      </w:r>
      <w:r w:rsidR="00D17AE0">
        <w:rPr>
          <w:rFonts w:cs="Calibri"/>
        </w:rPr>
        <w:t>–</w:t>
      </w:r>
      <w:r w:rsidRPr="003C702A">
        <w:rPr>
          <w:rFonts w:cs="Calibri"/>
        </w:rPr>
        <w:t xml:space="preserve"> </w:t>
      </w:r>
      <w:r w:rsidR="00D17AE0">
        <w:rPr>
          <w:rFonts w:cs="Calibri"/>
        </w:rPr>
        <w:t>p</w:t>
      </w:r>
      <w:r w:rsidRPr="003C702A">
        <w:rPr>
          <w:rFonts w:cs="Calibri"/>
        </w:rPr>
        <w:t>říloha č. 1) a zároveň se nezapojil do dalšího procesu vzdělávání nebo odborné přípravy. V ČR byl tento ukazatel v roce 2010 na poměrně nízké úrovni 4,9</w:t>
      </w:r>
      <w:r w:rsidR="003163B8">
        <w:rPr>
          <w:rFonts w:cs="Calibri"/>
        </w:rPr>
        <w:t> </w:t>
      </w:r>
      <w:r w:rsidRPr="003C702A">
        <w:rPr>
          <w:rFonts w:cs="Calibri"/>
        </w:rPr>
        <w:t xml:space="preserve">%, následně došlo k jeho nárůstu na úroveň 6,2 % v roce 2015. ČR tak v roce 2015 průběžně neplnila národní cíl stanovený k přispění k plnění strategie </w:t>
      </w:r>
      <w:r w:rsidRPr="00512405">
        <w:rPr>
          <w:rFonts w:cs="Calibri"/>
          <w:i/>
        </w:rPr>
        <w:t>Evropa 2020</w:t>
      </w:r>
      <w:r w:rsidRPr="003C702A">
        <w:rPr>
          <w:rFonts w:cs="Calibri"/>
        </w:rPr>
        <w:t xml:space="preserve">. </w:t>
      </w:r>
    </w:p>
    <w:p w14:paraId="58E6434B" w14:textId="117BFA7E" w:rsidR="00C4685F" w:rsidRPr="003C702A" w:rsidRDefault="00C4685F" w:rsidP="00C4685F">
      <w:pPr>
        <w:spacing w:line="240" w:lineRule="auto"/>
        <w:jc w:val="both"/>
        <w:rPr>
          <w:rFonts w:cs="Calibri"/>
        </w:rPr>
      </w:pPr>
      <w:r w:rsidRPr="003C702A">
        <w:rPr>
          <w:rFonts w:cs="Calibri"/>
        </w:rPr>
        <w:t>Dosaženou hodnotu ukazatele ovlivňují zhoršující se výsled</w:t>
      </w:r>
      <w:r w:rsidR="003C373A">
        <w:rPr>
          <w:rFonts w:cs="Calibri"/>
        </w:rPr>
        <w:t>ky žáků a zejména neúspěšnost u </w:t>
      </w:r>
      <w:r w:rsidRPr="003C702A">
        <w:rPr>
          <w:rFonts w:cs="Calibri"/>
        </w:rPr>
        <w:t>MZ (</w:t>
      </w:r>
      <w:r w:rsidR="00D17AE0">
        <w:rPr>
          <w:rFonts w:cs="Calibri"/>
        </w:rPr>
        <w:t>p</w:t>
      </w:r>
      <w:r w:rsidRPr="003C702A">
        <w:rPr>
          <w:rFonts w:cs="Calibri"/>
        </w:rPr>
        <w:t xml:space="preserve">říloha č. 2), neboť neúspěšní žáci často končí po čtyřech letech vzdělávání pouze se základním vzděláním, </w:t>
      </w:r>
      <w:r w:rsidR="003163B8">
        <w:rPr>
          <w:rFonts w:cs="Calibri"/>
        </w:rPr>
        <w:t>což znamená</w:t>
      </w:r>
      <w:r w:rsidRPr="003C702A">
        <w:rPr>
          <w:rFonts w:cs="Calibri"/>
        </w:rPr>
        <w:t xml:space="preserve">, </w:t>
      </w:r>
      <w:r w:rsidR="003163B8">
        <w:rPr>
          <w:rFonts w:cs="Calibri"/>
        </w:rPr>
        <w:t xml:space="preserve">že </w:t>
      </w:r>
      <w:r w:rsidRPr="003C702A">
        <w:rPr>
          <w:rFonts w:cs="Calibri"/>
        </w:rPr>
        <w:t>splňují definici ukazatele předčasných odchodů ze</w:t>
      </w:r>
      <w:r w:rsidR="003163B8">
        <w:rPr>
          <w:rFonts w:cs="Calibri"/>
        </w:rPr>
        <w:t> </w:t>
      </w:r>
      <w:r w:rsidRPr="003C702A">
        <w:rPr>
          <w:rFonts w:cs="Calibri"/>
        </w:rPr>
        <w:t xml:space="preserve">vzdělávání. Dle výsledků mezinárodního srovnání PISA, které má MŠMT k dispozici, se dlouhodobě </w:t>
      </w:r>
      <w:r>
        <w:rPr>
          <w:rFonts w:cs="Calibri"/>
        </w:rPr>
        <w:t xml:space="preserve">nezlepšuje </w:t>
      </w:r>
      <w:r w:rsidR="00D27E0D">
        <w:rPr>
          <w:rFonts w:cs="Calibri"/>
        </w:rPr>
        <w:t xml:space="preserve">ani </w:t>
      </w:r>
      <w:r w:rsidRPr="003C702A">
        <w:rPr>
          <w:rFonts w:cs="Calibri"/>
        </w:rPr>
        <w:t>úroveň znalostí a dovedností žáků ZŠ v základních gramotnostech (</w:t>
      </w:r>
      <w:r w:rsidR="00D17AE0">
        <w:rPr>
          <w:rFonts w:cs="Calibri"/>
        </w:rPr>
        <w:t>p</w:t>
      </w:r>
      <w:r w:rsidRPr="003C702A">
        <w:rPr>
          <w:rFonts w:cs="Calibri"/>
        </w:rPr>
        <w:t xml:space="preserve">říloha č. 2). </w:t>
      </w:r>
    </w:p>
    <w:p w14:paraId="14B07A27" w14:textId="5C456C31" w:rsidR="004F14E3" w:rsidRPr="005142DA" w:rsidRDefault="004F14E3" w:rsidP="00B170F7">
      <w:pPr>
        <w:pStyle w:val="Nadpis2"/>
        <w:numPr>
          <w:ilvl w:val="0"/>
          <w:numId w:val="0"/>
        </w:numPr>
        <w:ind w:left="576" w:hanging="576"/>
      </w:pPr>
      <w:r>
        <w:t>K</w:t>
      </w:r>
      <w:r w:rsidR="00A05956">
        <w:t> bodu 5</w:t>
      </w:r>
      <w:r w:rsidRPr="005142DA">
        <w:t xml:space="preserve"> části II: </w:t>
      </w:r>
      <w:r w:rsidR="003163B8">
        <w:t>n</w:t>
      </w:r>
      <w:r>
        <w:t xml:space="preserve">ápravná opatření MŠMT ke zjištěním NKÚ z KA </w:t>
      </w:r>
      <w:r w:rsidR="00D16C91">
        <w:t xml:space="preserve">č. </w:t>
      </w:r>
      <w:r>
        <w:t>11/08</w:t>
      </w:r>
    </w:p>
    <w:p w14:paraId="514ADED8" w14:textId="78AF6D4D" w:rsidR="004F14E3" w:rsidRDefault="00B64CBE" w:rsidP="004F14E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KA č.</w:t>
      </w:r>
      <w:r w:rsidR="004F14E3">
        <w:rPr>
          <w:rFonts w:cstheme="minorHAnsi"/>
        </w:rPr>
        <w:t xml:space="preserve"> </w:t>
      </w:r>
      <w:r w:rsidR="004F14E3" w:rsidRPr="00394609">
        <w:rPr>
          <w:rFonts w:cstheme="minorHAnsi"/>
        </w:rPr>
        <w:t xml:space="preserve">16/13 se zaměřila </w:t>
      </w:r>
      <w:r w:rsidR="003163B8">
        <w:rPr>
          <w:rFonts w:cstheme="minorHAnsi"/>
        </w:rPr>
        <w:t xml:space="preserve">mj. </w:t>
      </w:r>
      <w:r w:rsidR="004F14E3" w:rsidRPr="00394609">
        <w:rPr>
          <w:rFonts w:cstheme="minorHAnsi"/>
        </w:rPr>
        <w:t xml:space="preserve">na </w:t>
      </w:r>
      <w:r w:rsidR="004F14E3">
        <w:rPr>
          <w:rFonts w:cstheme="minorHAnsi"/>
        </w:rPr>
        <w:t>ověření nápravných</w:t>
      </w:r>
      <w:r w:rsidR="004F14E3" w:rsidRPr="00394609">
        <w:rPr>
          <w:rFonts w:cstheme="minorHAnsi"/>
        </w:rPr>
        <w:t xml:space="preserve"> opatření k vybraným</w:t>
      </w:r>
      <w:r w:rsidR="007711A4">
        <w:rPr>
          <w:rFonts w:cstheme="minorHAnsi"/>
        </w:rPr>
        <w:t xml:space="preserve"> zjištěním z</w:t>
      </w:r>
      <w:r>
        <w:rPr>
          <w:rFonts w:cstheme="minorHAnsi"/>
        </w:rPr>
        <w:t> </w:t>
      </w:r>
      <w:r w:rsidR="007711A4">
        <w:rPr>
          <w:rFonts w:cstheme="minorHAnsi"/>
        </w:rPr>
        <w:t>KA</w:t>
      </w:r>
      <w:r>
        <w:rPr>
          <w:rFonts w:cstheme="minorHAnsi"/>
        </w:rPr>
        <w:t xml:space="preserve"> č.</w:t>
      </w:r>
      <w:r w:rsidR="003163B8">
        <w:rPr>
          <w:rFonts w:cstheme="minorHAnsi"/>
        </w:rPr>
        <w:t> </w:t>
      </w:r>
      <w:r w:rsidR="004F14E3" w:rsidRPr="00394609">
        <w:rPr>
          <w:rFonts w:cstheme="minorHAnsi"/>
        </w:rPr>
        <w:t xml:space="preserve">11/08. </w:t>
      </w:r>
      <w:r w:rsidR="004F14E3">
        <w:rPr>
          <w:rFonts w:cstheme="minorHAnsi"/>
        </w:rPr>
        <w:t xml:space="preserve">Na výsledky </w:t>
      </w:r>
      <w:r w:rsidR="007711A4">
        <w:rPr>
          <w:rFonts w:cstheme="minorHAnsi"/>
        </w:rPr>
        <w:t>KA</w:t>
      </w:r>
      <w:r>
        <w:rPr>
          <w:rFonts w:cstheme="minorHAnsi"/>
        </w:rPr>
        <w:t xml:space="preserve"> č.</w:t>
      </w:r>
      <w:r w:rsidR="004F14E3">
        <w:rPr>
          <w:rFonts w:cstheme="minorHAnsi"/>
        </w:rPr>
        <w:t xml:space="preserve"> 11/08 reagovalo MŠMT </w:t>
      </w:r>
      <w:r w:rsidR="004F14E3" w:rsidRPr="006754C2">
        <w:rPr>
          <w:rFonts w:cstheme="minorHAnsi"/>
        </w:rPr>
        <w:t>stanoviskem</w:t>
      </w:r>
      <w:r w:rsidR="004F14E3" w:rsidRPr="006754C2">
        <w:rPr>
          <w:rFonts w:cstheme="minorHAnsi"/>
          <w:vertAlign w:val="superscript"/>
        </w:rPr>
        <w:footnoteReference w:id="40"/>
      </w:r>
      <w:r w:rsidR="004F14E3" w:rsidRPr="003A1E42">
        <w:rPr>
          <w:rFonts w:cstheme="minorHAnsi"/>
        </w:rPr>
        <w:t>,</w:t>
      </w:r>
      <w:r w:rsidR="006B6937">
        <w:rPr>
          <w:rFonts w:cstheme="minorHAnsi"/>
        </w:rPr>
        <w:t xml:space="preserve"> které předložilo vládě</w:t>
      </w:r>
      <w:r w:rsidR="003163B8">
        <w:rPr>
          <w:rFonts w:cstheme="minorHAnsi"/>
        </w:rPr>
        <w:t>,</w:t>
      </w:r>
      <w:r w:rsidR="00DF576E">
        <w:rPr>
          <w:rFonts w:cstheme="minorHAnsi"/>
        </w:rPr>
        <w:t xml:space="preserve"> </w:t>
      </w:r>
      <w:r w:rsidR="004F14E3">
        <w:rPr>
          <w:rFonts w:cstheme="minorHAnsi"/>
        </w:rPr>
        <w:t>a </w:t>
      </w:r>
      <w:r w:rsidR="004F14E3" w:rsidRPr="006754C2">
        <w:rPr>
          <w:rFonts w:cstheme="minorHAnsi"/>
        </w:rPr>
        <w:t>navrhlo</w:t>
      </w:r>
      <w:r w:rsidR="007711A4">
        <w:rPr>
          <w:rFonts w:cstheme="minorHAnsi"/>
        </w:rPr>
        <w:t xml:space="preserve"> v něm </w:t>
      </w:r>
      <w:r w:rsidR="006B6937">
        <w:rPr>
          <w:rFonts w:cstheme="minorHAnsi"/>
        </w:rPr>
        <w:t>nápravná opatření</w:t>
      </w:r>
      <w:r w:rsidR="004F14E3" w:rsidRPr="004135D4">
        <w:rPr>
          <w:rFonts w:cstheme="minorHAnsi"/>
        </w:rPr>
        <w:t>.</w:t>
      </w:r>
      <w:r w:rsidR="00850CA4">
        <w:rPr>
          <w:rFonts w:cstheme="minorHAnsi"/>
        </w:rPr>
        <w:t xml:space="preserve"> </w:t>
      </w:r>
      <w:r w:rsidR="008D1BE1">
        <w:rPr>
          <w:rFonts w:cstheme="minorHAnsi"/>
        </w:rPr>
        <w:t xml:space="preserve">Tato opatření </w:t>
      </w:r>
      <w:r w:rsidR="008D1BE1" w:rsidRPr="00826842">
        <w:rPr>
          <w:rFonts w:cstheme="minorHAnsi"/>
        </w:rPr>
        <w:t>nereagovala explicitně na všechny nedostatky zjištěné u kontro</w:t>
      </w:r>
      <w:r w:rsidR="006E6231">
        <w:rPr>
          <w:rFonts w:cstheme="minorHAnsi"/>
        </w:rPr>
        <w:t>lo</w:t>
      </w:r>
      <w:r w:rsidR="008D1BE1" w:rsidRPr="00826842">
        <w:rPr>
          <w:rFonts w:cstheme="minorHAnsi"/>
        </w:rPr>
        <w:t>vaných osob v</w:t>
      </w:r>
      <w:r w:rsidR="008D1BE1">
        <w:rPr>
          <w:rFonts w:cstheme="minorHAnsi"/>
        </w:rPr>
        <w:t xml:space="preserve"> KA č. 11/08. </w:t>
      </w:r>
      <w:r w:rsidR="003163B8">
        <w:rPr>
          <w:rFonts w:cstheme="minorHAnsi"/>
        </w:rPr>
        <w:t>Vláda n</w:t>
      </w:r>
      <w:r w:rsidR="001000DD">
        <w:rPr>
          <w:rFonts w:cstheme="minorHAnsi"/>
        </w:rPr>
        <w:t xml:space="preserve">a základě </w:t>
      </w:r>
      <w:r w:rsidR="003163B8">
        <w:rPr>
          <w:rFonts w:cstheme="minorHAnsi"/>
        </w:rPr>
        <w:t xml:space="preserve">svého </w:t>
      </w:r>
      <w:r w:rsidR="001000DD">
        <w:rPr>
          <w:rFonts w:cstheme="minorHAnsi"/>
        </w:rPr>
        <w:t>u</w:t>
      </w:r>
      <w:r w:rsidR="004F14E3" w:rsidRPr="0003093F">
        <w:rPr>
          <w:rFonts w:cstheme="minorHAnsi"/>
        </w:rPr>
        <w:t>snesení</w:t>
      </w:r>
      <w:r w:rsidR="0070268B">
        <w:rPr>
          <w:rFonts w:cstheme="minorHAnsi"/>
        </w:rPr>
        <w:t xml:space="preserve"> </w:t>
      </w:r>
      <w:r w:rsidR="001429BC">
        <w:rPr>
          <w:rFonts w:cstheme="minorHAnsi"/>
        </w:rPr>
        <w:t>ze dne 4. </w:t>
      </w:r>
      <w:r w:rsidR="006955FD">
        <w:rPr>
          <w:rFonts w:cstheme="minorHAnsi"/>
        </w:rPr>
        <w:t>července</w:t>
      </w:r>
      <w:r w:rsidR="0070268B" w:rsidRPr="0003093F">
        <w:rPr>
          <w:rFonts w:cstheme="minorHAnsi"/>
        </w:rPr>
        <w:t xml:space="preserve"> 2012</w:t>
      </w:r>
      <w:r w:rsidR="0070268B">
        <w:rPr>
          <w:rFonts w:cstheme="minorHAnsi"/>
        </w:rPr>
        <w:t xml:space="preserve"> </w:t>
      </w:r>
      <w:r w:rsidR="008D1BE1">
        <w:rPr>
          <w:rFonts w:cstheme="minorHAnsi"/>
        </w:rPr>
        <w:t>č. </w:t>
      </w:r>
      <w:r w:rsidR="00F230A8" w:rsidRPr="0003093F">
        <w:rPr>
          <w:rFonts w:cstheme="minorHAnsi"/>
        </w:rPr>
        <w:t>491</w:t>
      </w:r>
      <w:r w:rsidR="0070268B">
        <w:rPr>
          <w:rFonts w:cstheme="minorHAnsi"/>
        </w:rPr>
        <w:t xml:space="preserve"> </w:t>
      </w:r>
      <w:r w:rsidR="004F14E3" w:rsidRPr="006754C2">
        <w:rPr>
          <w:rFonts w:cstheme="minorHAnsi"/>
        </w:rPr>
        <w:t xml:space="preserve">uložila </w:t>
      </w:r>
      <w:r w:rsidR="0070268B">
        <w:rPr>
          <w:rFonts w:cstheme="minorHAnsi"/>
        </w:rPr>
        <w:t>ministr</w:t>
      </w:r>
      <w:r w:rsidR="00EB7560">
        <w:rPr>
          <w:rFonts w:cstheme="minorHAnsi"/>
        </w:rPr>
        <w:t>u</w:t>
      </w:r>
      <w:r w:rsidR="001000DD">
        <w:rPr>
          <w:rFonts w:cstheme="minorHAnsi"/>
        </w:rPr>
        <w:t xml:space="preserve"> školství, mládeže a tělovýchovy</w:t>
      </w:r>
      <w:r w:rsidR="0070268B">
        <w:rPr>
          <w:rFonts w:cstheme="minorHAnsi"/>
        </w:rPr>
        <w:t xml:space="preserve"> </w:t>
      </w:r>
      <w:r w:rsidR="00807DC4">
        <w:rPr>
          <w:rFonts w:cstheme="minorHAnsi"/>
        </w:rPr>
        <w:t xml:space="preserve">navržená </w:t>
      </w:r>
      <w:r w:rsidR="00B669EE">
        <w:rPr>
          <w:rFonts w:cstheme="minorHAnsi"/>
        </w:rPr>
        <w:t xml:space="preserve">nápravná </w:t>
      </w:r>
      <w:r w:rsidR="004F14E3" w:rsidRPr="006754C2">
        <w:rPr>
          <w:rFonts w:cstheme="minorHAnsi"/>
        </w:rPr>
        <w:t>opatření</w:t>
      </w:r>
      <w:r w:rsidR="008D1BE1">
        <w:rPr>
          <w:rFonts w:cstheme="minorHAnsi"/>
        </w:rPr>
        <w:t xml:space="preserve"> </w:t>
      </w:r>
      <w:r w:rsidR="001000DD">
        <w:rPr>
          <w:rFonts w:cstheme="minorHAnsi"/>
        </w:rPr>
        <w:t xml:space="preserve">realizovat. </w:t>
      </w:r>
    </w:p>
    <w:p w14:paraId="4053D28B" w14:textId="77777777" w:rsidR="004F14E3" w:rsidRPr="00BD6364" w:rsidRDefault="004F14E3" w:rsidP="004F14E3">
      <w:pPr>
        <w:spacing w:line="240" w:lineRule="auto"/>
        <w:jc w:val="both"/>
        <w:rPr>
          <w:rFonts w:cstheme="minorHAnsi"/>
          <w:u w:val="single"/>
        </w:rPr>
      </w:pPr>
      <w:r w:rsidRPr="00BD6364">
        <w:rPr>
          <w:rFonts w:cstheme="minorHAnsi"/>
          <w:u w:val="single"/>
        </w:rPr>
        <w:t>Spolupráce s vysokými školami</w:t>
      </w:r>
    </w:p>
    <w:p w14:paraId="6AC102AC" w14:textId="0258B475" w:rsidR="004F14E3" w:rsidRPr="00512405" w:rsidRDefault="004F14E3" w:rsidP="004F14E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NKÚ v</w:t>
      </w:r>
      <w:r w:rsidR="006B6937">
        <w:rPr>
          <w:rFonts w:cstheme="minorHAnsi"/>
        </w:rPr>
        <w:t> KA č.</w:t>
      </w:r>
      <w:r w:rsidRPr="004245CC">
        <w:rPr>
          <w:rFonts w:cstheme="minorHAnsi"/>
        </w:rPr>
        <w:t xml:space="preserve"> 11/08 zjistil</w:t>
      </w:r>
      <w:r>
        <w:rPr>
          <w:rFonts w:cstheme="minorHAnsi"/>
        </w:rPr>
        <w:t>, že MŠMT nezajistilo podmínky pro zohled</w:t>
      </w:r>
      <w:r w:rsidR="00983EFA">
        <w:rPr>
          <w:rFonts w:cstheme="minorHAnsi"/>
        </w:rPr>
        <w:t>ňování</w:t>
      </w:r>
      <w:r>
        <w:rPr>
          <w:rFonts w:cstheme="minorHAnsi"/>
        </w:rPr>
        <w:t xml:space="preserve"> výsledků MZ</w:t>
      </w:r>
      <w:r w:rsidR="00983EFA">
        <w:rPr>
          <w:rFonts w:cstheme="minorHAnsi"/>
        </w:rPr>
        <w:t xml:space="preserve"> při </w:t>
      </w:r>
      <w:r>
        <w:rPr>
          <w:rFonts w:cstheme="minorHAnsi"/>
        </w:rPr>
        <w:t>přijímacím řízen</w:t>
      </w:r>
      <w:r w:rsidR="00807DC4">
        <w:rPr>
          <w:rFonts w:cstheme="minorHAnsi"/>
        </w:rPr>
        <w:t>í na VŠ. MŠMT tak zavedení</w:t>
      </w:r>
      <w:r w:rsidR="00983EFA">
        <w:rPr>
          <w:rFonts w:cstheme="minorHAnsi"/>
        </w:rPr>
        <w:t>m</w:t>
      </w:r>
      <w:r w:rsidR="00807DC4">
        <w:rPr>
          <w:rFonts w:cstheme="minorHAnsi"/>
        </w:rPr>
        <w:t xml:space="preserve"> S</w:t>
      </w:r>
      <w:r>
        <w:rPr>
          <w:rFonts w:cstheme="minorHAnsi"/>
        </w:rPr>
        <w:t xml:space="preserve">MZ </w:t>
      </w:r>
      <w:r w:rsidR="00983EFA">
        <w:rPr>
          <w:rFonts w:cstheme="minorHAnsi"/>
        </w:rPr>
        <w:t xml:space="preserve">nedosáhlo </w:t>
      </w:r>
      <w:r>
        <w:rPr>
          <w:rFonts w:cstheme="minorHAnsi"/>
        </w:rPr>
        <w:t xml:space="preserve">ve školním roce 2010/2011 stanoveného strategického cíle pro oblast reformy MZ. </w:t>
      </w:r>
    </w:p>
    <w:p w14:paraId="09907B12" w14:textId="5A11BA6E" w:rsidR="004F14E3" w:rsidRPr="00A140E5" w:rsidRDefault="00807DC4" w:rsidP="004F14E3">
      <w:pPr>
        <w:shd w:val="clear" w:color="auto" w:fill="FFFFFF"/>
        <w:spacing w:line="240" w:lineRule="auto"/>
        <w:jc w:val="both"/>
      </w:pPr>
      <w:r>
        <w:t>Ani v ob</w:t>
      </w:r>
      <w:r w:rsidR="00864A0C">
        <w:t>dobí 2011</w:t>
      </w:r>
      <w:r w:rsidR="006C5DD2">
        <w:t>–</w:t>
      </w:r>
      <w:r>
        <w:t>2015 nebyl naplněn c</w:t>
      </w:r>
      <w:r w:rsidR="004F14E3">
        <w:t xml:space="preserve">íl A.3.6 </w:t>
      </w:r>
      <w:r w:rsidR="004F14E3" w:rsidRPr="006718E6">
        <w:t>s</w:t>
      </w:r>
      <w:r w:rsidR="00864A0C">
        <w:t>tanovený DZ 2011</w:t>
      </w:r>
      <w:r w:rsidR="006C5DD2">
        <w:t>–</w:t>
      </w:r>
      <w:r w:rsidR="006B6937">
        <w:t>2015</w:t>
      </w:r>
      <w:r w:rsidR="00983EFA">
        <w:t>,</w:t>
      </w:r>
      <w:r w:rsidR="006B6937">
        <w:t xml:space="preserve"> a to </w:t>
      </w:r>
      <w:r>
        <w:t xml:space="preserve">v části </w:t>
      </w:r>
      <w:r w:rsidR="004F14E3" w:rsidRPr="006718E6">
        <w:t>dosažení dohody s VŠ o využití obje</w:t>
      </w:r>
      <w:r>
        <w:t>ktivizovaných výsledků S</w:t>
      </w:r>
      <w:r w:rsidR="004F14E3" w:rsidRPr="006718E6">
        <w:t>MZ pro výb</w:t>
      </w:r>
      <w:r>
        <w:t xml:space="preserve">ěr a přijetí uchazečů na VŠ. Tato skutečnost </w:t>
      </w:r>
      <w:r w:rsidR="004F14E3" w:rsidRPr="006718E6">
        <w:t xml:space="preserve">byla ovlivněna změnou </w:t>
      </w:r>
      <w:r w:rsidR="004F14E3">
        <w:t>modelu MZ</w:t>
      </w:r>
      <w:r w:rsidR="004F14E3" w:rsidRPr="006718E6">
        <w:t>. MŠMT</w:t>
      </w:r>
      <w:r>
        <w:t xml:space="preserve"> při nastavování tohoto </w:t>
      </w:r>
      <w:r w:rsidR="004F14E3" w:rsidRPr="006718E6">
        <w:t xml:space="preserve">cíle – spolupráce s VŠ – uvažovalo </w:t>
      </w:r>
      <w:r w:rsidR="002D1897">
        <w:t>o</w:t>
      </w:r>
      <w:r w:rsidR="004F14E3" w:rsidRPr="006718E6">
        <w:t> vy</w:t>
      </w:r>
      <w:r w:rsidR="00E7200F">
        <w:t>užití dvouúrovňového modelu MZ. Z</w:t>
      </w:r>
      <w:r w:rsidR="004F14E3" w:rsidRPr="006718E6">
        <w:t xml:space="preserve">měnou modelu </w:t>
      </w:r>
      <w:r w:rsidR="004F14E3">
        <w:t xml:space="preserve">od školního roku 2012/2013 </w:t>
      </w:r>
      <w:r w:rsidR="004F14E3" w:rsidRPr="006718E6">
        <w:t xml:space="preserve">na jednoúrovňový </w:t>
      </w:r>
      <w:r w:rsidR="004F14E3">
        <w:t>se</w:t>
      </w:r>
      <w:r w:rsidR="004F14E3" w:rsidRPr="006718E6">
        <w:t xml:space="preserve"> </w:t>
      </w:r>
      <w:r w:rsidR="00E7200F">
        <w:t xml:space="preserve">však </w:t>
      </w:r>
      <w:r w:rsidR="004F14E3">
        <w:t>změnily podmínky</w:t>
      </w:r>
      <w:r w:rsidR="004F14E3" w:rsidRPr="006718E6">
        <w:t xml:space="preserve"> pro možné využití výsledků </w:t>
      </w:r>
      <w:r w:rsidR="002D1897">
        <w:t xml:space="preserve">maturitních zkoušek ze strany </w:t>
      </w:r>
      <w:r w:rsidR="004F14E3" w:rsidRPr="006718E6">
        <w:t>VŠ. MZ v této podobě ověřuje pouze minimální úroveň znalostí, které musí žák na výstupu ze středního vzdělá</w:t>
      </w:r>
      <w:r w:rsidR="002D1897">
        <w:t>vá</w:t>
      </w:r>
      <w:r w:rsidR="004F14E3" w:rsidRPr="006718E6">
        <w:t xml:space="preserve">ní mít, a </w:t>
      </w:r>
      <w:r w:rsidR="002D1897">
        <w:t>neprověřuje</w:t>
      </w:r>
      <w:r w:rsidR="004F14E3" w:rsidRPr="006718E6">
        <w:t xml:space="preserve"> „vyšší“ úroveň znalostí, kterou by VŠ mohly využít při výběru uchazečů o studium. </w:t>
      </w:r>
      <w:r w:rsidR="004F14E3">
        <w:t xml:space="preserve">Ačkoliv </w:t>
      </w:r>
      <w:r w:rsidR="004F14E3" w:rsidRPr="006718E6">
        <w:t>MŠMT</w:t>
      </w:r>
      <w:r w:rsidR="00864A0C">
        <w:t xml:space="preserve"> nenaplnilo cíl DZ 2011</w:t>
      </w:r>
      <w:r w:rsidR="006C5DD2">
        <w:t>–</w:t>
      </w:r>
      <w:r w:rsidR="004F14E3">
        <w:t>2015, připravilo</w:t>
      </w:r>
      <w:r w:rsidR="004F14E3" w:rsidRPr="006718E6">
        <w:t xml:space="preserve"> </w:t>
      </w:r>
      <w:r w:rsidRPr="006718E6">
        <w:t xml:space="preserve">kompenzaci dvouúrovňové MZ </w:t>
      </w:r>
      <w:r>
        <w:t>v</w:t>
      </w:r>
      <w:r w:rsidR="004F14E3" w:rsidRPr="006718E6">
        <w:t xml:space="preserve"> předmětu matematika v podobě výběrové zkoušky </w:t>
      </w:r>
      <w:r w:rsidR="002D1897">
        <w:t>„</w:t>
      </w:r>
      <w:r w:rsidR="004F14E3" w:rsidRPr="006718E6">
        <w:t>Matematika+</w:t>
      </w:r>
      <w:r w:rsidR="002D1897">
        <w:t>“</w:t>
      </w:r>
      <w:r w:rsidR="004F14E3">
        <w:t xml:space="preserve">, kterou </w:t>
      </w:r>
      <w:r>
        <w:t xml:space="preserve">vybrané </w:t>
      </w:r>
      <w:r w:rsidRPr="00A140E5">
        <w:t>VŠ</w:t>
      </w:r>
      <w:r>
        <w:t xml:space="preserve"> akceptovaly</w:t>
      </w:r>
      <w:r w:rsidR="004F14E3" w:rsidRPr="00A140E5">
        <w:t>.</w:t>
      </w:r>
      <w:r w:rsidR="00B170F7">
        <w:t xml:space="preserve"> V letech 2015 a 2016 byla </w:t>
      </w:r>
      <w:r w:rsidR="002D1897">
        <w:t>„</w:t>
      </w:r>
      <w:r w:rsidR="00B170F7">
        <w:t>Matematika+</w:t>
      </w:r>
      <w:r w:rsidR="002D1897">
        <w:t>“</w:t>
      </w:r>
      <w:r w:rsidR="00B170F7">
        <w:t xml:space="preserve"> zařazena do profilové části MZ, od </w:t>
      </w:r>
      <w:r>
        <w:t>školního roku 2016/2017 bude</w:t>
      </w:r>
      <w:r w:rsidR="00B170F7">
        <w:t xml:space="preserve"> však realizována jako samostatná zkouška mimo MZ.</w:t>
      </w:r>
    </w:p>
    <w:p w14:paraId="06CE1B50" w14:textId="77777777" w:rsidR="004F14E3" w:rsidRPr="00BD6364" w:rsidRDefault="004F14E3" w:rsidP="004F14E3">
      <w:pPr>
        <w:spacing w:line="240" w:lineRule="auto"/>
        <w:jc w:val="both"/>
        <w:rPr>
          <w:rFonts w:cstheme="minorHAnsi"/>
          <w:u w:val="single"/>
        </w:rPr>
      </w:pPr>
      <w:r w:rsidRPr="00BD6364">
        <w:rPr>
          <w:rFonts w:cstheme="minorHAnsi"/>
          <w:u w:val="single"/>
        </w:rPr>
        <w:t>Změna systému hodnocení písemných prací</w:t>
      </w:r>
    </w:p>
    <w:p w14:paraId="2BFA8143" w14:textId="4FB64E50" w:rsidR="004F14E3" w:rsidRDefault="004F14E3" w:rsidP="004F14E3">
      <w:pPr>
        <w:spacing w:line="240" w:lineRule="auto"/>
        <w:jc w:val="both"/>
        <w:rPr>
          <w:rFonts w:cs="Calibri"/>
        </w:rPr>
      </w:pPr>
      <w:r w:rsidRPr="00D04544">
        <w:rPr>
          <w:rFonts w:cs="Calibri"/>
        </w:rPr>
        <w:t xml:space="preserve">MŠMT v rámci </w:t>
      </w:r>
      <w:r>
        <w:rPr>
          <w:rFonts w:cs="Calibri"/>
        </w:rPr>
        <w:t xml:space="preserve">nápravného </w:t>
      </w:r>
      <w:r w:rsidR="00850CA4">
        <w:rPr>
          <w:rFonts w:cs="Calibri"/>
        </w:rPr>
        <w:t xml:space="preserve">opatření </w:t>
      </w:r>
      <w:r>
        <w:rPr>
          <w:rFonts w:cs="Calibri"/>
        </w:rPr>
        <w:t xml:space="preserve">č. 2.5 </w:t>
      </w:r>
      <w:r w:rsidR="004B6A56">
        <w:rPr>
          <w:rFonts w:cs="Calibri"/>
        </w:rPr>
        <w:t>přesunulo</w:t>
      </w:r>
      <w:r>
        <w:rPr>
          <w:rFonts w:cs="Calibri"/>
        </w:rPr>
        <w:t xml:space="preserve"> hodnocení písemných prací z ČJL</w:t>
      </w:r>
      <w:r w:rsidR="00E0647B">
        <w:rPr>
          <w:rFonts w:cs="Calibri"/>
        </w:rPr>
        <w:t xml:space="preserve"> a</w:t>
      </w:r>
      <w:r w:rsidR="00B419F3">
        <w:rPr>
          <w:rFonts w:cs="Calibri"/>
        </w:rPr>
        <w:t> </w:t>
      </w:r>
      <w:r w:rsidRPr="0004151E">
        <w:rPr>
          <w:rFonts w:cs="Calibri"/>
        </w:rPr>
        <w:t>cizích jazyků na</w:t>
      </w:r>
      <w:r w:rsidR="004B6A56">
        <w:rPr>
          <w:rFonts w:cs="Calibri"/>
        </w:rPr>
        <w:t xml:space="preserve"> </w:t>
      </w:r>
      <w:r w:rsidRPr="0004151E">
        <w:rPr>
          <w:rFonts w:cs="Calibri"/>
        </w:rPr>
        <w:t xml:space="preserve">centrální úroveň </w:t>
      </w:r>
      <w:r w:rsidR="004B6A56">
        <w:rPr>
          <w:rFonts w:cs="Calibri"/>
        </w:rPr>
        <w:t>(tj. na</w:t>
      </w:r>
      <w:r w:rsidRPr="0004151E">
        <w:rPr>
          <w:rFonts w:cs="Calibri"/>
        </w:rPr>
        <w:t xml:space="preserve"> CZVV</w:t>
      </w:r>
      <w:r w:rsidR="004B6A56">
        <w:rPr>
          <w:rFonts w:cs="Calibri"/>
        </w:rPr>
        <w:t>)</w:t>
      </w:r>
      <w:r w:rsidRPr="0004151E">
        <w:rPr>
          <w:rFonts w:cs="Calibri"/>
        </w:rPr>
        <w:t xml:space="preserve"> s </w:t>
      </w:r>
      <w:r w:rsidRPr="00592106">
        <w:rPr>
          <w:rFonts w:cs="Calibri"/>
        </w:rPr>
        <w:t>cílem zajistit vyšší objektivnost hodnocení</w:t>
      </w:r>
      <w:r w:rsidRPr="00EC2051">
        <w:rPr>
          <w:rFonts w:cs="Calibri"/>
        </w:rPr>
        <w:t xml:space="preserve"> </w:t>
      </w:r>
      <w:r w:rsidRPr="00EC2051">
        <w:rPr>
          <w:rFonts w:cs="Calibri"/>
        </w:rPr>
        <w:lastRenderedPageBreak/>
        <w:t>písemných prací a sníž</w:t>
      </w:r>
      <w:r w:rsidR="004B6A56">
        <w:rPr>
          <w:rFonts w:cs="Calibri"/>
        </w:rPr>
        <w:t>it</w:t>
      </w:r>
      <w:r w:rsidRPr="00EC2051">
        <w:rPr>
          <w:rFonts w:cs="Calibri"/>
        </w:rPr>
        <w:t xml:space="preserve"> administrativní zátěž pro školy.</w:t>
      </w:r>
      <w:r w:rsidRPr="005545BC">
        <w:rPr>
          <w:rFonts w:cs="Calibri"/>
        </w:rPr>
        <w:t xml:space="preserve"> Tato změna byla realizována </w:t>
      </w:r>
      <w:r w:rsidR="003B0882">
        <w:rPr>
          <w:rFonts w:cs="Calibri"/>
        </w:rPr>
        <w:t>na základě</w:t>
      </w:r>
      <w:r>
        <w:rPr>
          <w:rFonts w:cs="Calibri"/>
        </w:rPr>
        <w:t xml:space="preserve"> zákona č. 472/2011 Sb.</w:t>
      </w:r>
      <w:r w:rsidR="003B0882">
        <w:rPr>
          <w:rStyle w:val="Znakapoznpodarou"/>
          <w:rFonts w:cs="Calibri"/>
        </w:rPr>
        <w:footnoteReference w:id="41"/>
      </w:r>
      <w:r>
        <w:rPr>
          <w:rFonts w:cs="Calibri"/>
        </w:rPr>
        <w:t xml:space="preserve"> a </w:t>
      </w:r>
      <w:r w:rsidRPr="00DE76CB">
        <w:rPr>
          <w:rFonts w:cs="Calibri"/>
        </w:rPr>
        <w:t xml:space="preserve">v roce 2012 </w:t>
      </w:r>
      <w:r>
        <w:rPr>
          <w:rFonts w:cs="Calibri"/>
        </w:rPr>
        <w:t xml:space="preserve">bylo </w:t>
      </w:r>
      <w:r w:rsidRPr="00DE76CB">
        <w:rPr>
          <w:rFonts w:cs="Calibri"/>
        </w:rPr>
        <w:t xml:space="preserve">hodnocení zajištěno </w:t>
      </w:r>
      <w:r w:rsidRPr="00A95BA7">
        <w:rPr>
          <w:rFonts w:cs="Calibri"/>
        </w:rPr>
        <w:t>prostřednictvím hodnotitelů</w:t>
      </w:r>
      <w:r w:rsidRPr="00D04544">
        <w:rPr>
          <w:rFonts w:cs="Calibri"/>
        </w:rPr>
        <w:t xml:space="preserve"> CZVV. V tomto roce byl</w:t>
      </w:r>
      <w:r w:rsidR="004B6A56">
        <w:rPr>
          <w:rFonts w:cs="Calibri"/>
        </w:rPr>
        <w:t>a</w:t>
      </w:r>
      <w:r w:rsidRPr="00D04544">
        <w:rPr>
          <w:rFonts w:cs="Calibri"/>
        </w:rPr>
        <w:t xml:space="preserve"> zjištěn</w:t>
      </w:r>
      <w:r w:rsidR="004B6A56">
        <w:rPr>
          <w:rFonts w:cs="Calibri"/>
        </w:rPr>
        <w:t>a</w:t>
      </w:r>
      <w:r w:rsidRPr="00D04544">
        <w:rPr>
          <w:rFonts w:cs="Calibri"/>
        </w:rPr>
        <w:t xml:space="preserve"> dílčí pochybení jednotlivých hodnotitelů </w:t>
      </w:r>
      <w:r w:rsidR="006B6937">
        <w:rPr>
          <w:rFonts w:cs="Calibri"/>
        </w:rPr>
        <w:t xml:space="preserve">CZVV </w:t>
      </w:r>
      <w:r>
        <w:rPr>
          <w:lang w:eastAsia="cs-CZ"/>
        </w:rPr>
        <w:t>při hodnocení</w:t>
      </w:r>
      <w:r w:rsidRPr="00D04544">
        <w:rPr>
          <w:rFonts w:cs="Calibri"/>
        </w:rPr>
        <w:t xml:space="preserve"> písemných prací z ČJL</w:t>
      </w:r>
      <w:r w:rsidRPr="004135D4">
        <w:rPr>
          <w:lang w:eastAsia="cs-CZ"/>
        </w:rPr>
        <w:t>.</w:t>
      </w:r>
      <w:r w:rsidRPr="00D04544">
        <w:rPr>
          <w:lang w:eastAsia="cs-CZ"/>
        </w:rPr>
        <w:t xml:space="preserve"> </w:t>
      </w:r>
      <w:r w:rsidR="00850CA4">
        <w:rPr>
          <w:rFonts w:cs="Calibri"/>
        </w:rPr>
        <w:t>Následně</w:t>
      </w:r>
      <w:r>
        <w:rPr>
          <w:rFonts w:cs="Calibri"/>
        </w:rPr>
        <w:t xml:space="preserve"> </w:t>
      </w:r>
      <w:r w:rsidRPr="0091515D">
        <w:rPr>
          <w:rFonts w:cs="Calibri"/>
        </w:rPr>
        <w:t xml:space="preserve">došlo </w:t>
      </w:r>
      <w:r w:rsidR="003B0882">
        <w:rPr>
          <w:rFonts w:cs="Calibri"/>
        </w:rPr>
        <w:t>na základě</w:t>
      </w:r>
      <w:r w:rsidR="00E0647B">
        <w:rPr>
          <w:rFonts w:cs="Calibri"/>
        </w:rPr>
        <w:t xml:space="preserve"> zákona č. </w:t>
      </w:r>
      <w:r w:rsidRPr="0004151E">
        <w:rPr>
          <w:rFonts w:cs="Calibri"/>
        </w:rPr>
        <w:t>3</w:t>
      </w:r>
      <w:r>
        <w:rPr>
          <w:rFonts w:cs="Calibri"/>
        </w:rPr>
        <w:t>70/2012 Sb.</w:t>
      </w:r>
      <w:r w:rsidR="003B0882">
        <w:rPr>
          <w:rStyle w:val="Znakapoznpodarou"/>
          <w:rFonts w:cs="Calibri"/>
        </w:rPr>
        <w:footnoteReference w:id="42"/>
      </w:r>
      <w:r w:rsidRPr="00EC2051">
        <w:rPr>
          <w:rFonts w:cs="Calibri"/>
        </w:rPr>
        <w:t xml:space="preserve"> ke změně, </w:t>
      </w:r>
      <w:r w:rsidR="00850CA4">
        <w:rPr>
          <w:rFonts w:cs="Calibri"/>
        </w:rPr>
        <w:t xml:space="preserve">kdy se </w:t>
      </w:r>
      <w:r w:rsidRPr="00EC2051">
        <w:rPr>
          <w:rFonts w:cs="Calibri"/>
        </w:rPr>
        <w:t>hodnocení písemných prací z</w:t>
      </w:r>
      <w:r w:rsidR="00850CA4">
        <w:rPr>
          <w:rFonts w:cs="Calibri"/>
        </w:rPr>
        <w:t> </w:t>
      </w:r>
      <w:r w:rsidRPr="0011248B">
        <w:rPr>
          <w:rFonts w:cs="Calibri"/>
        </w:rPr>
        <w:t>ČJL</w:t>
      </w:r>
      <w:r w:rsidR="00850CA4">
        <w:rPr>
          <w:rFonts w:cs="Calibri"/>
        </w:rPr>
        <w:t xml:space="preserve"> </w:t>
      </w:r>
      <w:r w:rsidRPr="00D04544">
        <w:rPr>
          <w:rFonts w:cs="Calibri"/>
        </w:rPr>
        <w:t>od školního roku 2012/2013 vrátilo zpět na úroveň jednotlivých škol</w:t>
      </w:r>
      <w:r w:rsidR="00B419F3">
        <w:rPr>
          <w:rFonts w:cs="Calibri"/>
        </w:rPr>
        <w:t>.</w:t>
      </w:r>
      <w:r w:rsidRPr="00D04544">
        <w:rPr>
          <w:rStyle w:val="Znakapoznpodarou"/>
          <w:rFonts w:cs="Calibri"/>
        </w:rPr>
        <w:footnoteReference w:id="43"/>
      </w:r>
      <w:r w:rsidRPr="00D04544">
        <w:rPr>
          <w:rFonts w:cs="Calibri"/>
        </w:rPr>
        <w:t xml:space="preserve"> </w:t>
      </w:r>
    </w:p>
    <w:p w14:paraId="443DBFD5" w14:textId="021B3AEF" w:rsidR="004F14E3" w:rsidRPr="003C64CA" w:rsidRDefault="004F14E3" w:rsidP="004F14E3">
      <w:pPr>
        <w:spacing w:line="240" w:lineRule="auto"/>
        <w:jc w:val="both"/>
        <w:rPr>
          <w:rFonts w:cs="Calibri"/>
          <w:b/>
        </w:rPr>
      </w:pPr>
      <w:r w:rsidRPr="00D04544">
        <w:rPr>
          <w:rFonts w:cs="Calibri"/>
        </w:rPr>
        <w:t>V jarním termínu MZ v roce 2014 došlo k přehodnocení písemných prací</w:t>
      </w:r>
      <w:r w:rsidR="00850CA4">
        <w:rPr>
          <w:rFonts w:cs="Calibri"/>
        </w:rPr>
        <w:t xml:space="preserve"> z ČJL</w:t>
      </w:r>
      <w:r w:rsidRPr="00D04544">
        <w:rPr>
          <w:rFonts w:cs="Calibri"/>
        </w:rPr>
        <w:t xml:space="preserve">. </w:t>
      </w:r>
      <w:r w:rsidR="00850CA4">
        <w:rPr>
          <w:rFonts w:cs="Calibri"/>
        </w:rPr>
        <w:t>Celková neúspěšnost maturantů b</w:t>
      </w:r>
      <w:r w:rsidRPr="00D04544">
        <w:rPr>
          <w:rFonts w:cs="Calibri"/>
        </w:rPr>
        <w:t xml:space="preserve">ěhem „ostrého“ hodnocení dosáhla </w:t>
      </w:r>
      <w:r w:rsidR="00850CA4">
        <w:rPr>
          <w:rFonts w:cs="Calibri"/>
        </w:rPr>
        <w:t>hodnoty 1,8 %, p</w:t>
      </w:r>
      <w:r w:rsidRPr="00D04544">
        <w:rPr>
          <w:rFonts w:cs="Calibri"/>
        </w:rPr>
        <w:t xml:space="preserve">ři přehodnocení </w:t>
      </w:r>
      <w:r w:rsidR="00850CA4">
        <w:rPr>
          <w:rFonts w:cs="Calibri"/>
        </w:rPr>
        <w:t xml:space="preserve">nezávislými hodnotiteli CZVV </w:t>
      </w:r>
      <w:r w:rsidRPr="00D04544">
        <w:rPr>
          <w:rFonts w:cs="Calibri"/>
        </w:rPr>
        <w:t xml:space="preserve">došlo k nárůstu </w:t>
      </w:r>
      <w:r>
        <w:rPr>
          <w:rFonts w:cs="Calibri"/>
        </w:rPr>
        <w:t>na hodnotu 10,1 %</w:t>
      </w:r>
      <w:r w:rsidRPr="004135D4">
        <w:rPr>
          <w:rFonts w:cs="Calibri"/>
        </w:rPr>
        <w:t>.</w:t>
      </w:r>
      <w:r w:rsidRPr="00D04544">
        <w:rPr>
          <w:rFonts w:cs="Calibri"/>
        </w:rPr>
        <w:t xml:space="preserve"> V roce 2016 tak MŠMT </w:t>
      </w:r>
      <w:r w:rsidR="00A22B81">
        <w:rPr>
          <w:rFonts w:cs="Calibri"/>
        </w:rPr>
        <w:t>na zákl</w:t>
      </w:r>
      <w:r w:rsidR="00FE4B4F">
        <w:rPr>
          <w:rFonts w:cs="Calibri"/>
        </w:rPr>
        <w:t>a</w:t>
      </w:r>
      <w:r w:rsidR="00A22B81">
        <w:rPr>
          <w:rFonts w:cs="Calibri"/>
        </w:rPr>
        <w:t>dě</w:t>
      </w:r>
      <w:r w:rsidRPr="00D04544">
        <w:rPr>
          <w:rFonts w:cs="Calibri"/>
        </w:rPr>
        <w:t xml:space="preserve"> zákona č. 178/2016 Sb. vrátilo hodnocení písemných prací z ČJL zpět na centrální úroveň hodnocení CZVV. </w:t>
      </w:r>
      <w:r w:rsidRPr="00DB1AF1">
        <w:rPr>
          <w:rFonts w:cs="Calibri"/>
        </w:rPr>
        <w:t xml:space="preserve">Časté a </w:t>
      </w:r>
      <w:r w:rsidR="00B419F3">
        <w:rPr>
          <w:rFonts w:cs="Calibri"/>
        </w:rPr>
        <w:t>nekoncepční</w:t>
      </w:r>
      <w:r w:rsidR="00F52915">
        <w:rPr>
          <w:rFonts w:cs="Calibri"/>
        </w:rPr>
        <w:t xml:space="preserve"> změny v průběhu let 2011</w:t>
      </w:r>
      <w:r w:rsidR="00D52EA3">
        <w:rPr>
          <w:rFonts w:cs="Calibri"/>
        </w:rPr>
        <w:t>–</w:t>
      </w:r>
      <w:r w:rsidRPr="00DB1AF1">
        <w:rPr>
          <w:rFonts w:cs="Calibri"/>
        </w:rPr>
        <w:t xml:space="preserve">2016 v organizačním zajištění hodnocení písemných prací z ČJL </w:t>
      </w:r>
      <w:r w:rsidR="00B419F3">
        <w:rPr>
          <w:rFonts w:cs="Calibri"/>
        </w:rPr>
        <w:t xml:space="preserve">– kdy povinnost hodnotit písemné práce přecházela střídavě ze škol na CZVV a zase zpět </w:t>
      </w:r>
      <w:r w:rsidR="00CD37A9">
        <w:rPr>
          <w:rFonts w:cs="Calibri"/>
        </w:rPr>
        <w:t xml:space="preserve">– </w:t>
      </w:r>
      <w:r w:rsidRPr="00DB1AF1">
        <w:rPr>
          <w:rFonts w:cs="Calibri"/>
        </w:rPr>
        <w:t xml:space="preserve">mají negativní dopad na srovnatelnost a objektivnost výsledků </w:t>
      </w:r>
      <w:r w:rsidR="00D12CEA">
        <w:rPr>
          <w:rFonts w:cs="Calibri"/>
        </w:rPr>
        <w:t>S</w:t>
      </w:r>
      <w:r w:rsidRPr="00DB1AF1">
        <w:rPr>
          <w:rFonts w:cs="Calibri"/>
        </w:rPr>
        <w:t>MZ v předmětu ČJL, potažmo celé MZ.</w:t>
      </w:r>
    </w:p>
    <w:p w14:paraId="0FF515B7" w14:textId="77777777" w:rsidR="00A05956" w:rsidRDefault="00A05956">
      <w:pPr>
        <w:spacing w:after="160"/>
        <w:rPr>
          <w:rFonts w:cs="Calibri"/>
        </w:rPr>
      </w:pPr>
    </w:p>
    <w:p w14:paraId="484EBDF5" w14:textId="77777777" w:rsidR="007B6DB6" w:rsidRDefault="007B6DB6">
      <w:pPr>
        <w:spacing w:after="160"/>
        <w:rPr>
          <w:rFonts w:ascii="Calibri" w:eastAsiaTheme="majorEastAsia" w:hAnsi="Calibri" w:cstheme="majorBidi"/>
          <w:b/>
          <w:color w:val="000000" w:themeColor="text1"/>
          <w:sz w:val="28"/>
          <w:szCs w:val="32"/>
        </w:rPr>
      </w:pPr>
      <w:r>
        <w:br w:type="page"/>
      </w:r>
    </w:p>
    <w:p w14:paraId="0FDA4DDA" w14:textId="77777777" w:rsidR="00CA3206" w:rsidRDefault="00AE5171" w:rsidP="00850CA4">
      <w:pPr>
        <w:pStyle w:val="Nadpis1"/>
        <w:numPr>
          <w:ilvl w:val="0"/>
          <w:numId w:val="0"/>
        </w:numPr>
        <w:jc w:val="left"/>
      </w:pPr>
      <w:r w:rsidRPr="00AE5171">
        <w:lastRenderedPageBreak/>
        <w:t>Seznam zkratek</w:t>
      </w:r>
    </w:p>
    <w:p w14:paraId="44E9629C" w14:textId="77777777" w:rsidR="004353DB" w:rsidRPr="00AE5171" w:rsidRDefault="004353DB" w:rsidP="00FE58DD">
      <w:pPr>
        <w:spacing w:after="0" w:line="240" w:lineRule="auto"/>
        <w:ind w:left="1843" w:hanging="1843"/>
        <w:jc w:val="both"/>
        <w:rPr>
          <w:rFonts w:cstheme="minorHAnsi"/>
          <w:b/>
          <w:sz w:val="28"/>
          <w:szCs w:val="28"/>
        </w:rPr>
      </w:pPr>
    </w:p>
    <w:p w14:paraId="4878E046" w14:textId="77777777" w:rsidR="001A1A4C" w:rsidRDefault="001A1A4C" w:rsidP="00506813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CZVV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Centrum pro zjišťování výsledků vzdělávání</w:t>
      </w:r>
    </w:p>
    <w:p w14:paraId="6040C2F5" w14:textId="77777777" w:rsidR="001A1A4C" w:rsidRDefault="001A1A4C" w:rsidP="00506813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ČJL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český jazyk a literatura</w:t>
      </w:r>
    </w:p>
    <w:p w14:paraId="2F840F91" w14:textId="77777777" w:rsidR="001A1A4C" w:rsidRDefault="001A1A4C" w:rsidP="00506813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ČR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Česká republika</w:t>
      </w:r>
    </w:p>
    <w:p w14:paraId="7855E9FD" w14:textId="77777777" w:rsidR="001A1A4C" w:rsidRDefault="001A1A4C" w:rsidP="00506813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ČŠI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Česká školní inspekce</w:t>
      </w:r>
    </w:p>
    <w:p w14:paraId="12FE9795" w14:textId="77777777" w:rsidR="00123221" w:rsidRDefault="00123221" w:rsidP="00506813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DPH</w:t>
      </w:r>
      <w:r>
        <w:rPr>
          <w:rFonts w:cstheme="minorHAnsi"/>
          <w:szCs w:val="24"/>
        </w:rPr>
        <w:tab/>
        <w:t>– daň z přidané hodnoty</w:t>
      </w:r>
    </w:p>
    <w:p w14:paraId="4C09EE98" w14:textId="77777777" w:rsidR="001A1A4C" w:rsidRDefault="001A1A4C" w:rsidP="00506813">
      <w:pPr>
        <w:tabs>
          <w:tab w:val="left" w:pos="2268"/>
          <w:tab w:val="left" w:pos="2552"/>
        </w:tabs>
        <w:spacing w:after="80" w:line="240" w:lineRule="auto"/>
        <w:ind w:right="-425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DZ 2011–2015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</w:t>
      </w:r>
      <w:r w:rsidR="0032541E">
        <w:rPr>
          <w:rFonts w:cstheme="minorHAnsi"/>
          <w:szCs w:val="24"/>
        </w:rPr>
        <w:t xml:space="preserve"> </w:t>
      </w:r>
      <w:r w:rsidRPr="00512405">
        <w:rPr>
          <w:rFonts w:cstheme="minorHAnsi"/>
          <w:i/>
          <w:szCs w:val="24"/>
        </w:rPr>
        <w:t>Dlouhodobý záměr vzdělávání a rozvoje vzdělávací soustavy</w:t>
      </w:r>
      <w:r w:rsidR="0032541E" w:rsidRPr="00512405">
        <w:rPr>
          <w:rFonts w:cstheme="minorHAnsi"/>
          <w:i/>
          <w:szCs w:val="24"/>
        </w:rPr>
        <w:t xml:space="preserve"> </w:t>
      </w:r>
      <w:r w:rsidRPr="00512405">
        <w:rPr>
          <w:rFonts w:cstheme="minorHAnsi"/>
          <w:i/>
          <w:szCs w:val="24"/>
        </w:rPr>
        <w:t>2011–2015</w:t>
      </w:r>
    </w:p>
    <w:p w14:paraId="3413114A" w14:textId="77777777" w:rsidR="001A1A4C" w:rsidRDefault="001A1A4C" w:rsidP="00506813">
      <w:pPr>
        <w:tabs>
          <w:tab w:val="left" w:pos="2268"/>
        </w:tabs>
        <w:spacing w:after="80" w:line="240" w:lineRule="auto"/>
        <w:ind w:right="-425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DZ 2015–2020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 xml:space="preserve">– </w:t>
      </w:r>
      <w:r w:rsidRPr="00512405">
        <w:rPr>
          <w:rFonts w:cstheme="minorHAnsi"/>
          <w:i/>
          <w:szCs w:val="24"/>
        </w:rPr>
        <w:t>Dlouhodobý záměr vzdělávání a rozvoje vzdělávací soustavy 2015–2020</w:t>
      </w:r>
    </w:p>
    <w:p w14:paraId="5A8B1614" w14:textId="77777777" w:rsidR="008E65A3" w:rsidRDefault="008E65A3" w:rsidP="00506813">
      <w:pPr>
        <w:tabs>
          <w:tab w:val="left" w:pos="2268"/>
        </w:tabs>
        <w:spacing w:after="80" w:line="240" w:lineRule="auto"/>
        <w:ind w:right="-425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ESF</w:t>
      </w:r>
      <w:r>
        <w:rPr>
          <w:rFonts w:cstheme="minorHAnsi"/>
          <w:szCs w:val="24"/>
        </w:rPr>
        <w:tab/>
        <w:t xml:space="preserve">– </w:t>
      </w:r>
      <w:r w:rsidRPr="00512405">
        <w:rPr>
          <w:rFonts w:cstheme="minorHAnsi"/>
          <w:i/>
          <w:szCs w:val="24"/>
        </w:rPr>
        <w:t>Evropský sociální fond</w:t>
      </w:r>
    </w:p>
    <w:p w14:paraId="24DAE112" w14:textId="77777777" w:rsidR="001A1A4C" w:rsidRDefault="001A1A4C" w:rsidP="00506813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EU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Evropská unie</w:t>
      </w:r>
    </w:p>
    <w:p w14:paraId="7BF94747" w14:textId="77777777" w:rsidR="00123221" w:rsidRDefault="00123221" w:rsidP="00512405">
      <w:pPr>
        <w:tabs>
          <w:tab w:val="left" w:pos="2268"/>
        </w:tabs>
        <w:spacing w:after="80" w:line="240" w:lineRule="auto"/>
        <w:ind w:left="2449" w:hanging="2449"/>
        <w:rPr>
          <w:rFonts w:cs="Calibri"/>
          <w:szCs w:val="24"/>
        </w:rPr>
      </w:pPr>
      <w:r w:rsidRPr="00512405">
        <w:rPr>
          <w:rFonts w:cstheme="minorHAnsi"/>
          <w:i/>
          <w:szCs w:val="24"/>
        </w:rPr>
        <w:t>InspIS SET</w:t>
      </w:r>
      <w:r>
        <w:rPr>
          <w:rFonts w:cstheme="minorHAnsi"/>
          <w:szCs w:val="24"/>
        </w:rPr>
        <w:tab/>
        <w:t xml:space="preserve">– </w:t>
      </w:r>
      <w:r w:rsidRPr="009E4938">
        <w:rPr>
          <w:rFonts w:cs="Calibri"/>
          <w:szCs w:val="24"/>
        </w:rPr>
        <w:t>informační systém pro ověřová</w:t>
      </w:r>
      <w:r>
        <w:rPr>
          <w:rFonts w:cs="Calibri"/>
          <w:szCs w:val="24"/>
        </w:rPr>
        <w:t xml:space="preserve">ní výsledků žáků 5. a 9. tříd základních škol </w:t>
      </w:r>
    </w:p>
    <w:p w14:paraId="25306389" w14:textId="77777777" w:rsidR="00123221" w:rsidRPr="00800229" w:rsidRDefault="00800229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 w:rsidRPr="002926E2">
        <w:rPr>
          <w:rFonts w:cs="Calibri"/>
          <w:i/>
          <w:szCs w:val="24"/>
        </w:rPr>
        <w:t>InspIS SET</w:t>
      </w:r>
      <w:r>
        <w:rPr>
          <w:rFonts w:cs="Calibri"/>
          <w:szCs w:val="24"/>
        </w:rPr>
        <w:t xml:space="preserve"> </w:t>
      </w:r>
      <w:r w:rsidRPr="002926E2">
        <w:rPr>
          <w:rFonts w:cs="Calibri"/>
          <w:i/>
          <w:szCs w:val="24"/>
        </w:rPr>
        <w:t>mobile</w:t>
      </w:r>
      <w:r w:rsidR="00123221">
        <w:rPr>
          <w:rFonts w:cs="Calibri"/>
          <w:szCs w:val="24"/>
        </w:rPr>
        <w:tab/>
        <w:t>– aplikace</w:t>
      </w:r>
      <w:r>
        <w:rPr>
          <w:rFonts w:cs="Calibri"/>
          <w:szCs w:val="24"/>
        </w:rPr>
        <w:t xml:space="preserve"> systému </w:t>
      </w:r>
      <w:r w:rsidRPr="002926E2">
        <w:rPr>
          <w:rFonts w:cstheme="minorHAnsi"/>
          <w:i/>
          <w:szCs w:val="24"/>
        </w:rPr>
        <w:t>InspIS SET</w:t>
      </w:r>
      <w:r w:rsidRPr="00512405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určená pro mobilní telefony a tablety </w:t>
      </w:r>
    </w:p>
    <w:p w14:paraId="4C67323F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JPZ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jednotné přijímací zkoušky na střední školy</w:t>
      </w:r>
    </w:p>
    <w:p w14:paraId="2DFF6C8F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JŘBU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jednací řízení bez uveřejnění</w:t>
      </w:r>
    </w:p>
    <w:p w14:paraId="3AF48357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KA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kontrolní akce</w:t>
      </w:r>
    </w:p>
    <w:p w14:paraId="515F6ED4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MŠMT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Ministerstvo školství, mládeže a tělovýchovy</w:t>
      </w:r>
    </w:p>
    <w:p w14:paraId="552BAD21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MZ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maturitní zkouška</w:t>
      </w:r>
    </w:p>
    <w:p w14:paraId="079DBD55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nástroje hodnocení</w:t>
      </w:r>
      <w:r w:rsidR="00FE58DD">
        <w:rPr>
          <w:rFonts w:cstheme="minorHAnsi"/>
          <w:szCs w:val="24"/>
        </w:rPr>
        <w:t xml:space="preserve">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nástroje hodnocení kvality vzdělávání</w:t>
      </w:r>
    </w:p>
    <w:p w14:paraId="49752066" w14:textId="77777777" w:rsidR="001A1A4C" w:rsidRPr="001A4CB5" w:rsidRDefault="001A1A4C" w:rsidP="00512405">
      <w:pPr>
        <w:tabs>
          <w:tab w:val="left" w:pos="2268"/>
        </w:tabs>
        <w:spacing w:after="80" w:line="240" w:lineRule="auto"/>
        <w:ind w:right="-992"/>
        <w:jc w:val="both"/>
        <w:rPr>
          <w:rFonts w:cstheme="minorHAnsi"/>
          <w:szCs w:val="24"/>
        </w:rPr>
      </w:pPr>
      <w:r w:rsidRPr="001A4CB5">
        <w:rPr>
          <w:rFonts w:cstheme="minorHAnsi"/>
          <w:szCs w:val="24"/>
        </w:rPr>
        <w:t xml:space="preserve">NIQES </w:t>
      </w:r>
      <w:r w:rsidR="00FE58DD">
        <w:rPr>
          <w:rFonts w:cstheme="minorHAnsi"/>
          <w:szCs w:val="24"/>
        </w:rPr>
        <w:tab/>
      </w:r>
      <w:r>
        <w:rPr>
          <w:rFonts w:cstheme="minorHAnsi"/>
          <w:szCs w:val="24"/>
        </w:rPr>
        <w:t>–</w:t>
      </w:r>
      <w:r w:rsidRPr="001A4CB5">
        <w:rPr>
          <w:rFonts w:cstheme="minorHAnsi"/>
          <w:szCs w:val="24"/>
        </w:rPr>
        <w:t xml:space="preserve"> </w:t>
      </w:r>
      <w:r w:rsidRPr="00512405">
        <w:rPr>
          <w:rFonts w:cs="ArialMT"/>
          <w:i/>
          <w:szCs w:val="24"/>
          <w:lang w:eastAsia="cs-CZ"/>
        </w:rPr>
        <w:t>Národní systém inspekčního hodnocení vzdělávací soustavy v České republice</w:t>
      </w:r>
    </w:p>
    <w:p w14:paraId="2D68BD93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NKÚ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Nejvyšší kontrolní úřad</w:t>
      </w:r>
    </w:p>
    <w:p w14:paraId="263D860C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OECD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Organizace pro hospodářskou spolupráci a rozvoj</w:t>
      </w:r>
    </w:p>
    <w:p w14:paraId="214C4571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ověřování 5. a 9. tříd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 xml:space="preserve">– </w:t>
      </w:r>
      <w:r>
        <w:rPr>
          <w:lang w:eastAsia="cs-CZ"/>
        </w:rPr>
        <w:t>ověřování výsledků žáků 5. a 9. tříd základních škol</w:t>
      </w:r>
    </w:p>
    <w:p w14:paraId="0610B3AE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RVP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rámcový vzdělávací program</w:t>
      </w:r>
    </w:p>
    <w:p w14:paraId="49C9D375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RVP ZV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rámcový vzdělávací program pro základní vzdělávání</w:t>
      </w:r>
    </w:p>
    <w:p w14:paraId="5EC200A6" w14:textId="77777777" w:rsidR="00374405" w:rsidRDefault="00374405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RVP SV</w:t>
      </w:r>
      <w:r>
        <w:rPr>
          <w:rFonts w:cstheme="minorHAnsi"/>
          <w:szCs w:val="24"/>
        </w:rPr>
        <w:tab/>
        <w:t>– rámcový vzdělávací program pro střední vzdělávání</w:t>
      </w:r>
    </w:p>
    <w:p w14:paraId="539FD5A4" w14:textId="77777777" w:rsidR="00254024" w:rsidRDefault="00254024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SMZ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společná část maturitní zkoušky</w:t>
      </w:r>
    </w:p>
    <w:p w14:paraId="35D3DFA7" w14:textId="77777777" w:rsidR="008E65A3" w:rsidRDefault="008E65A3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SOŠ</w:t>
      </w:r>
      <w:r>
        <w:rPr>
          <w:rFonts w:cstheme="minorHAnsi"/>
          <w:szCs w:val="24"/>
        </w:rPr>
        <w:tab/>
        <w:t>– střední odborné školy</w:t>
      </w:r>
    </w:p>
    <w:p w14:paraId="1C37D2CD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SŠ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střední škola</w:t>
      </w:r>
    </w:p>
    <w:p w14:paraId="249EC0BD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ŠVP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školní vzdělávací program</w:t>
      </w:r>
    </w:p>
    <w:p w14:paraId="7954EA53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ZŠ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základní škola</w:t>
      </w:r>
    </w:p>
    <w:p w14:paraId="49AE5FEC" w14:textId="77777777" w:rsidR="00D30133" w:rsidRDefault="00D30133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VŠ</w:t>
      </w:r>
      <w:r>
        <w:rPr>
          <w:rFonts w:cstheme="minorHAnsi"/>
          <w:szCs w:val="24"/>
        </w:rPr>
        <w:tab/>
        <w:t>– vysoká škola</w:t>
      </w:r>
    </w:p>
    <w:p w14:paraId="41A2BE9F" w14:textId="77777777" w:rsidR="00E070ED" w:rsidRDefault="00E070ED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VZ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veřejná zakázka</w:t>
      </w:r>
    </w:p>
    <w:p w14:paraId="1B77A418" w14:textId="77777777" w:rsidR="00E070ED" w:rsidRDefault="00E070ED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VZMR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veřejná zakázka malého rozsahu</w:t>
      </w:r>
    </w:p>
    <w:p w14:paraId="57DEE763" w14:textId="77777777" w:rsidR="001A1A4C" w:rsidRDefault="001A1A4C" w:rsidP="00512405">
      <w:pPr>
        <w:tabs>
          <w:tab w:val="left" w:pos="2268"/>
        </w:tabs>
        <w:spacing w:after="8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ZVZ </w:t>
      </w:r>
      <w:r w:rsidR="0032541E">
        <w:rPr>
          <w:rFonts w:cstheme="minorHAnsi"/>
          <w:szCs w:val="24"/>
        </w:rPr>
        <w:tab/>
      </w:r>
      <w:r>
        <w:rPr>
          <w:rFonts w:cstheme="minorHAnsi"/>
          <w:szCs w:val="24"/>
        </w:rPr>
        <w:t>– zákon č. 137/2006 Sb., o veřejných zakázkách</w:t>
      </w:r>
    </w:p>
    <w:p w14:paraId="1D5FA36C" w14:textId="77777777" w:rsidR="007A5808" w:rsidRDefault="007A5808">
      <w:pPr>
        <w:spacing w:after="16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14:paraId="790D33A2" w14:textId="77777777" w:rsidR="007A5808" w:rsidRDefault="007A5808">
      <w:pPr>
        <w:spacing w:after="16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ectPr w:rsidR="007A5808" w:rsidSect="005E55F3"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A82C00C" w14:textId="55925671" w:rsidR="007A5808" w:rsidRDefault="007A5808" w:rsidP="007A5808">
      <w:pPr>
        <w:spacing w:after="160"/>
        <w:rPr>
          <w:b/>
          <w:szCs w:val="24"/>
        </w:rPr>
      </w:pPr>
      <w:r w:rsidRPr="007A5808">
        <w:rPr>
          <w:b/>
          <w:szCs w:val="24"/>
        </w:rPr>
        <w:lastRenderedPageBreak/>
        <w:t>Příloha č. 1: Jednotlivé úrovně vzdělání dle klasifikace ISCED (</w:t>
      </w:r>
      <w:r w:rsidRPr="00512405">
        <w:rPr>
          <w:b/>
          <w:i/>
          <w:szCs w:val="24"/>
        </w:rPr>
        <w:t>International Standard Classification of Education</w:t>
      </w:r>
      <w:r w:rsidRPr="007A5808">
        <w:rPr>
          <w:b/>
          <w:szCs w:val="24"/>
        </w:rPr>
        <w:t>)</w:t>
      </w:r>
    </w:p>
    <w:tbl>
      <w:tblPr>
        <w:tblW w:w="11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127"/>
        <w:gridCol w:w="7130"/>
      </w:tblGrid>
      <w:tr w:rsidR="006C63AA" w:rsidRPr="007A5808" w14:paraId="1748D821" w14:textId="77777777" w:rsidTr="00E235A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550E38F1" w14:textId="69B0A5CF" w:rsidR="006C63AA" w:rsidRPr="007A5808" w:rsidRDefault="00372E67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K</w:t>
            </w:r>
            <w:r w:rsidR="006C63AA" w:rsidRPr="007A5808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ód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1DAB5250" w14:textId="38D5DEE1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Ú</w:t>
            </w:r>
            <w:r w:rsidR="006C63AA" w:rsidRPr="007A5808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roveň vzdělání</w:t>
            </w: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50819BF5" w14:textId="7FD41EB3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Z</w:t>
            </w:r>
            <w:r w:rsidR="006C63AA" w:rsidRPr="007A5808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ařazení českých vzdělávacích programů do klasifikace ISCED</w:t>
            </w:r>
          </w:p>
        </w:tc>
      </w:tr>
      <w:tr w:rsidR="006C63AA" w:rsidRPr="007A5808" w14:paraId="712C4F08" w14:textId="77777777" w:rsidTr="00E235A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2076" w14:textId="77777777" w:rsidR="006C63AA" w:rsidRPr="007A5808" w:rsidRDefault="006C63AA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2ABB" w14:textId="07AAA561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reprimární vzdělávání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5F0" w14:textId="38972087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M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ateřské školy</w:t>
            </w:r>
          </w:p>
        </w:tc>
      </w:tr>
      <w:tr w:rsidR="006C63AA" w:rsidRPr="007A5808" w14:paraId="2ABBBFFC" w14:textId="77777777" w:rsidTr="00E235A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E49C" w14:textId="77777777" w:rsidR="006C63AA" w:rsidRPr="007A5808" w:rsidRDefault="006C63AA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1482" w14:textId="18C7ADEB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rimární vzdělávání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7EEB" w14:textId="77777777" w:rsidR="006C63AA" w:rsidRPr="007A5808" w:rsidRDefault="006C63AA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1. stupeň základní školy</w:t>
            </w:r>
          </w:p>
        </w:tc>
      </w:tr>
      <w:tr w:rsidR="006C63AA" w:rsidRPr="007A5808" w14:paraId="2243CF45" w14:textId="77777777" w:rsidTr="00E235A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C60" w14:textId="77777777" w:rsidR="006C63AA" w:rsidRPr="007A5808" w:rsidRDefault="006C63AA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A2B" w14:textId="3F67BFCD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N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ižší sekundární vzdělávání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80DF" w14:textId="77777777" w:rsidR="006C63AA" w:rsidRPr="007A5808" w:rsidRDefault="006C63AA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2. stupeň základní školy a odpovídající stupeň víceletých středních škol</w:t>
            </w:r>
          </w:p>
        </w:tc>
      </w:tr>
      <w:tr w:rsidR="006C63AA" w:rsidRPr="007A5808" w14:paraId="6F70AAF6" w14:textId="77777777" w:rsidTr="00E235A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3EE5" w14:textId="77777777" w:rsidR="006C63AA" w:rsidRPr="007A5808" w:rsidRDefault="006C63AA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8CD7" w14:textId="0A35F47E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V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yšší sekundární vzdělávání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00B" w14:textId="52F13128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S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třední školy (gymnázia, učiliště, konzervatoře apod.)</w:t>
            </w:r>
          </w:p>
        </w:tc>
      </w:tr>
      <w:tr w:rsidR="006C63AA" w:rsidRPr="007A5808" w14:paraId="2742B151" w14:textId="77777777" w:rsidTr="00E235A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ED2" w14:textId="77777777" w:rsidR="006C63AA" w:rsidRPr="007A5808" w:rsidRDefault="006C63AA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B714" w14:textId="09F7ABE5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ostsekundární neterciární vzdělávání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5D79" w14:textId="7D8A13EE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P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omaturitní studium</w:t>
            </w:r>
          </w:p>
        </w:tc>
      </w:tr>
      <w:tr w:rsidR="006C63AA" w:rsidRPr="007A5808" w14:paraId="6F2A514E" w14:textId="77777777" w:rsidTr="00E235A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3968" w14:textId="77777777" w:rsidR="006C63AA" w:rsidRPr="007A5808" w:rsidRDefault="006C63AA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2179" w14:textId="352B83F4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K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rátký cyklus terciárního vzdělávání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FEDE" w14:textId="6171F018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V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zdělávání v posledních dvou ročnících konzervatoří</w:t>
            </w:r>
          </w:p>
        </w:tc>
      </w:tr>
      <w:tr w:rsidR="006C63AA" w:rsidRPr="007A5808" w14:paraId="32341911" w14:textId="77777777" w:rsidTr="00E235A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0230" w14:textId="77777777" w:rsidR="006C63AA" w:rsidRPr="007A5808" w:rsidRDefault="006C63AA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D829" w14:textId="6B14BB5B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B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akalářská nebo jí odpovídající úroveň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65E1" w14:textId="15648ED1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B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akalářské studium VŠ, studium vyšší odborné školy</w:t>
            </w:r>
          </w:p>
        </w:tc>
      </w:tr>
      <w:tr w:rsidR="006C63AA" w:rsidRPr="007A5808" w14:paraId="06A71F8A" w14:textId="77777777" w:rsidTr="00E235A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8117" w14:textId="77777777" w:rsidR="006C63AA" w:rsidRPr="007A5808" w:rsidRDefault="006C63AA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06A7" w14:textId="4DC7AC09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M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agisterská nebo jí odpovídající úroveň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074" w14:textId="001FB362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M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agisterské studium VŠ</w:t>
            </w:r>
          </w:p>
        </w:tc>
      </w:tr>
      <w:tr w:rsidR="006C63AA" w:rsidRPr="007A5808" w14:paraId="0B62A6ED" w14:textId="77777777" w:rsidTr="00E235A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AC1A" w14:textId="77777777" w:rsidR="006C63AA" w:rsidRPr="007A5808" w:rsidRDefault="006C63AA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396A" w14:textId="5B316F79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D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oktorská nebo jí odpovídající úroveň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546C" w14:textId="128E49A1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D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oktorské studium VŠ</w:t>
            </w:r>
          </w:p>
        </w:tc>
      </w:tr>
      <w:tr w:rsidR="006C63AA" w:rsidRPr="007A5808" w14:paraId="752E5E83" w14:textId="77777777" w:rsidTr="00E235A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6F4" w14:textId="77777777" w:rsidR="006C63AA" w:rsidRPr="007A5808" w:rsidRDefault="006C63AA" w:rsidP="00E23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0C12" w14:textId="77AB7116" w:rsidR="006C63AA" w:rsidRPr="007A5808" w:rsidRDefault="00372E67" w:rsidP="00E23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V</w:t>
            </w:r>
            <w:r w:rsidR="006C63AA" w:rsidRPr="007A5808"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zdělávání jinde neuvedené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EAED" w14:textId="071E63C3" w:rsidR="006C63AA" w:rsidRPr="007A5808" w:rsidRDefault="000A570F" w:rsidP="000A5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  <w:t>–</w:t>
            </w:r>
          </w:p>
        </w:tc>
      </w:tr>
    </w:tbl>
    <w:p w14:paraId="0EECAE52" w14:textId="237C0B34" w:rsidR="007A5808" w:rsidRPr="007A5808" w:rsidRDefault="007A5808" w:rsidP="007A5808">
      <w:pPr>
        <w:spacing w:before="60" w:after="160"/>
        <w:rPr>
          <w:sz w:val="20"/>
          <w:szCs w:val="20"/>
        </w:rPr>
      </w:pPr>
      <w:r w:rsidRPr="00512405">
        <w:rPr>
          <w:b/>
          <w:sz w:val="20"/>
          <w:szCs w:val="20"/>
        </w:rPr>
        <w:t>Zdroj:</w:t>
      </w:r>
      <w:r w:rsidRPr="007A5808">
        <w:rPr>
          <w:sz w:val="20"/>
          <w:szCs w:val="20"/>
        </w:rPr>
        <w:t xml:space="preserve"> vlastní zpracování na základě</w:t>
      </w:r>
      <w:r w:rsidR="00372E67">
        <w:rPr>
          <w:sz w:val="20"/>
          <w:szCs w:val="20"/>
        </w:rPr>
        <w:t xml:space="preserve"> informací z</w:t>
      </w:r>
      <w:r w:rsidRPr="007A5808">
        <w:rPr>
          <w:sz w:val="20"/>
          <w:szCs w:val="20"/>
        </w:rPr>
        <w:t xml:space="preserve">: </w:t>
      </w:r>
      <w:hyperlink r:id="rId14" w:history="1">
        <w:r w:rsidR="00372E67" w:rsidRPr="00CA4F47">
          <w:rPr>
            <w:rStyle w:val="Hypertextovodkaz"/>
            <w:sz w:val="20"/>
            <w:szCs w:val="20"/>
          </w:rPr>
          <w:t>https://www.czso.cz/csu/czso/klasifikace_vzdelani_cz_isced_2011</w:t>
        </w:r>
      </w:hyperlink>
      <w:r w:rsidR="00372E67">
        <w:rPr>
          <w:sz w:val="20"/>
          <w:szCs w:val="20"/>
        </w:rPr>
        <w:t>.</w:t>
      </w:r>
    </w:p>
    <w:p w14:paraId="28E83477" w14:textId="77777777" w:rsidR="007A5808" w:rsidRPr="007A5808" w:rsidRDefault="007A5808" w:rsidP="007A5808">
      <w:pPr>
        <w:spacing w:after="160"/>
        <w:rPr>
          <w:szCs w:val="24"/>
        </w:rPr>
      </w:pPr>
    </w:p>
    <w:p w14:paraId="6F31874E" w14:textId="77777777" w:rsidR="007A5808" w:rsidRDefault="007A5808">
      <w:pPr>
        <w:spacing w:after="16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sectPr w:rsidR="007A5808" w:rsidSect="004D4605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A209F84" w14:textId="47C5F29C" w:rsidR="007A5808" w:rsidRPr="007A5808" w:rsidRDefault="007A5808" w:rsidP="007A5808">
      <w:pPr>
        <w:spacing w:after="160"/>
        <w:rPr>
          <w:b/>
          <w:szCs w:val="24"/>
        </w:rPr>
      </w:pPr>
      <w:r w:rsidRPr="007A5808">
        <w:rPr>
          <w:b/>
          <w:szCs w:val="24"/>
        </w:rPr>
        <w:lastRenderedPageBreak/>
        <w:t>Příloha č. 2: Výsledky MZ, výsledky mezinárodního šetření PISA</w:t>
      </w:r>
    </w:p>
    <w:p w14:paraId="30945F40" w14:textId="77777777" w:rsidR="007A5808" w:rsidRDefault="007A5808" w:rsidP="007A5808">
      <w:pPr>
        <w:keepNext/>
        <w:spacing w:line="240" w:lineRule="auto"/>
        <w:jc w:val="both"/>
        <w:rPr>
          <w:b/>
          <w:iCs/>
          <w:szCs w:val="24"/>
        </w:rPr>
      </w:pPr>
      <w:r w:rsidRPr="007A5808">
        <w:rPr>
          <w:b/>
          <w:iCs/>
          <w:szCs w:val="24"/>
        </w:rPr>
        <w:t>Celková úspěšnost u MZ v letech 2011–2016</w:t>
      </w:r>
    </w:p>
    <w:tbl>
      <w:tblPr>
        <w:tblW w:w="5000" w:type="pct"/>
        <w:tblInd w:w="-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3"/>
        <w:gridCol w:w="892"/>
        <w:gridCol w:w="892"/>
        <w:gridCol w:w="892"/>
        <w:gridCol w:w="891"/>
        <w:gridCol w:w="891"/>
        <w:gridCol w:w="891"/>
      </w:tblGrid>
      <w:tr w:rsidR="006C63AA" w:rsidRPr="007A5808" w14:paraId="4524E2EC" w14:textId="77777777" w:rsidTr="00512405">
        <w:trPr>
          <w:trHeight w:val="284"/>
        </w:trPr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</w:tcPr>
          <w:p w14:paraId="4716DAFD" w14:textId="30F290D9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Celková úspěšnost maturantů konajících MZ </w:t>
            </w:r>
            <w:r w:rsidR="00372E67" w:rsidRPr="00512405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512405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v %</w:t>
            </w:r>
            <w:r w:rsidR="00372E67" w:rsidRPr="00512405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52DBF35A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5B139C8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1A6A042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702D01DC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09AD44A5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572F1AD3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</w:tr>
      <w:tr w:rsidR="006C63AA" w:rsidRPr="007A5808" w14:paraId="3B43E416" w14:textId="77777777" w:rsidTr="00512405">
        <w:trPr>
          <w:trHeight w:val="340"/>
        </w:trPr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6282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E8D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90,50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69B94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91,10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B794C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90,90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2E1A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89,40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7EF4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88,40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282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86,88</w:t>
            </w:r>
          </w:p>
        </w:tc>
      </w:tr>
      <w:tr w:rsidR="006C63AA" w:rsidRPr="007A5808" w14:paraId="74298A91" w14:textId="77777777" w:rsidTr="00512405">
        <w:trPr>
          <w:trHeight w:val="340"/>
        </w:trPr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1F82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  <w:t>- z toho víceletá gymnázia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F4E6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99,50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1DC85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99,50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5A04D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99,40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3767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99,20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4EB4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99,00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1FAA7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98,78</w:t>
            </w:r>
          </w:p>
        </w:tc>
      </w:tr>
      <w:tr w:rsidR="006C63AA" w:rsidRPr="007A5808" w14:paraId="08C52086" w14:textId="77777777" w:rsidTr="00512405">
        <w:trPr>
          <w:trHeight w:val="340"/>
        </w:trPr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DBD3" w14:textId="33E5F29A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- z toho </w:t>
            </w:r>
            <w:r w:rsidR="00372E67" w:rsidRPr="00512405"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  <w:t>čtyřletá</w:t>
            </w:r>
            <w:r w:rsidRPr="00512405"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 gymnázia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374B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98,60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2C04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98,50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3AF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98,70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FC3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98,30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9613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97,90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25288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97,48</w:t>
            </w:r>
          </w:p>
        </w:tc>
      </w:tr>
      <w:tr w:rsidR="006C63AA" w:rsidRPr="007A5808" w14:paraId="465DF774" w14:textId="77777777" w:rsidTr="00512405">
        <w:trPr>
          <w:trHeight w:val="340"/>
        </w:trPr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D647D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eastAsia="cs-CZ"/>
              </w:rPr>
              <w:t>- z toho nástavba s maturitou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BE8B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76,90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97A3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77,70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C2A73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76,40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3646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72,80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F3A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66,70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EC95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61,40</w:t>
            </w:r>
          </w:p>
        </w:tc>
      </w:tr>
      <w:tr w:rsidR="006C63AA" w:rsidRPr="007A5808" w14:paraId="6F35A42B" w14:textId="77777777" w:rsidTr="00512405">
        <w:trPr>
          <w:trHeight w:val="340"/>
        </w:trPr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097D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i/>
                <w:iCs/>
                <w:color w:val="000000"/>
                <w:sz w:val="20"/>
                <w:szCs w:val="20"/>
                <w:lang w:eastAsia="cs-CZ"/>
              </w:rPr>
              <w:t>- z toho SOŠ umělecké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7CCE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90,30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CF1F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90,70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A8897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92,30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6BAC2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88,40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7D45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89,60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8B4C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color w:val="000000"/>
                <w:sz w:val="20"/>
                <w:szCs w:val="20"/>
                <w:lang w:eastAsia="cs-CZ"/>
              </w:rPr>
              <w:t>86,55</w:t>
            </w:r>
          </w:p>
        </w:tc>
      </w:tr>
      <w:tr w:rsidR="006C63AA" w:rsidRPr="007A5808" w14:paraId="0FCF3D78" w14:textId="77777777" w:rsidTr="00512405">
        <w:trPr>
          <w:trHeight w:val="340"/>
        </w:trPr>
        <w:tc>
          <w:tcPr>
            <w:tcW w:w="2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80359" w14:textId="5CB2362A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ind w:left="157" w:hanging="142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eastAsia="cs-CZ"/>
              </w:rPr>
              <w:t>- z toho ostatní školy s maturitou (kromě gymnázií, nástaveb a</w:t>
            </w:r>
            <w:r w:rsidR="00372E67" w:rsidRPr="00512405"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512405"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eastAsia="cs-CZ"/>
              </w:rPr>
              <w:t>uměleckých SOŠ)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65B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89,90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FFF8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90,30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8DA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89,70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3C14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87,70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9AC6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86,20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6A1E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</w:pPr>
            <w:r w:rsidRPr="00512405">
              <w:rPr>
                <w:rFonts w:cstheme="minorHAnsi"/>
                <w:b/>
                <w:color w:val="FF0000"/>
                <w:sz w:val="20"/>
                <w:szCs w:val="20"/>
                <w:lang w:eastAsia="cs-CZ"/>
              </w:rPr>
              <w:t>84,23</w:t>
            </w:r>
          </w:p>
        </w:tc>
      </w:tr>
    </w:tbl>
    <w:p w14:paraId="1C75F0CC" w14:textId="70441A19" w:rsidR="007A5808" w:rsidRPr="007A5808" w:rsidRDefault="007A5808" w:rsidP="007A5808">
      <w:pPr>
        <w:shd w:val="clear" w:color="auto" w:fill="FFFFFF"/>
        <w:spacing w:before="60" w:after="0" w:line="240" w:lineRule="auto"/>
        <w:jc w:val="both"/>
        <w:rPr>
          <w:rFonts w:cs="Calibri"/>
          <w:sz w:val="20"/>
          <w:szCs w:val="20"/>
          <w:lang w:eastAsia="cs-CZ"/>
        </w:rPr>
      </w:pPr>
      <w:r w:rsidRPr="00512405">
        <w:rPr>
          <w:rFonts w:cs="Calibri"/>
          <w:b/>
          <w:sz w:val="20"/>
          <w:szCs w:val="20"/>
          <w:lang w:eastAsia="cs-CZ"/>
        </w:rPr>
        <w:t>Zdroj:</w:t>
      </w:r>
      <w:r w:rsidRPr="007A5808">
        <w:rPr>
          <w:rFonts w:cs="Calibri"/>
          <w:sz w:val="20"/>
          <w:szCs w:val="20"/>
          <w:lang w:eastAsia="cs-CZ"/>
        </w:rPr>
        <w:t xml:space="preserve"> </w:t>
      </w:r>
      <w:r w:rsidR="00372E67">
        <w:rPr>
          <w:sz w:val="20"/>
          <w:szCs w:val="20"/>
          <w:lang w:eastAsia="cs-CZ"/>
        </w:rPr>
        <w:t>d</w:t>
      </w:r>
      <w:r w:rsidRPr="007A5808">
        <w:rPr>
          <w:sz w:val="20"/>
          <w:szCs w:val="20"/>
          <w:lang w:eastAsia="cs-CZ"/>
        </w:rPr>
        <w:t>oklady a informace CZVV</w:t>
      </w:r>
      <w:r w:rsidR="00372E67">
        <w:rPr>
          <w:sz w:val="20"/>
          <w:szCs w:val="20"/>
          <w:lang w:eastAsia="cs-CZ"/>
        </w:rPr>
        <w:t>.</w:t>
      </w:r>
    </w:p>
    <w:p w14:paraId="73A39188" w14:textId="77777777" w:rsidR="007A5808" w:rsidRPr="007A5808" w:rsidRDefault="007A5808" w:rsidP="007A5808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  <w:lang w:eastAsia="cs-CZ"/>
        </w:rPr>
      </w:pPr>
    </w:p>
    <w:p w14:paraId="6512FCEC" w14:textId="77777777" w:rsidR="007A5808" w:rsidRDefault="007A5808" w:rsidP="007A5808">
      <w:pPr>
        <w:keepNext/>
        <w:spacing w:after="200" w:line="240" w:lineRule="auto"/>
        <w:rPr>
          <w:b/>
          <w:iCs/>
          <w:szCs w:val="24"/>
        </w:rPr>
      </w:pPr>
      <w:r w:rsidRPr="007A5808">
        <w:rPr>
          <w:b/>
          <w:iCs/>
          <w:szCs w:val="24"/>
        </w:rPr>
        <w:t>Úspěšnost u MZ v předmětu matematika v letech 2011–2016</w:t>
      </w:r>
    </w:p>
    <w:tbl>
      <w:tblPr>
        <w:tblW w:w="502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9"/>
        <w:gridCol w:w="617"/>
        <w:gridCol w:w="568"/>
        <w:gridCol w:w="567"/>
        <w:gridCol w:w="568"/>
        <w:gridCol w:w="561"/>
        <w:gridCol w:w="578"/>
        <w:gridCol w:w="579"/>
        <w:gridCol w:w="574"/>
        <w:gridCol w:w="568"/>
        <w:gridCol w:w="568"/>
        <w:gridCol w:w="568"/>
        <w:gridCol w:w="554"/>
      </w:tblGrid>
      <w:tr w:rsidR="00B01F75" w:rsidRPr="007A5808" w14:paraId="4F48D30F" w14:textId="77777777" w:rsidTr="006D3618">
        <w:trPr>
          <w:trHeight w:val="586"/>
        </w:trPr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bottom"/>
          </w:tcPr>
          <w:p w14:paraId="457571A6" w14:textId="77777777" w:rsidR="00372E67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Úspěšnost </w:t>
            </w:r>
          </w:p>
          <w:p w14:paraId="247DE6F1" w14:textId="51C674A3" w:rsidR="006C63AA" w:rsidRPr="00512405" w:rsidRDefault="00372E67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="006C63AA" w:rsidRPr="005124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Pr="005124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0D11730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7176DEA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6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7849C52D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6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411E34E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6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3EDF5403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6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F1FF"/>
            <w:vAlign w:val="center"/>
          </w:tcPr>
          <w:p w14:paraId="18A6BA6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2016</w:t>
            </w:r>
          </w:p>
        </w:tc>
      </w:tr>
      <w:tr w:rsidR="00B01F75" w:rsidRPr="007A5808" w14:paraId="10AF270D" w14:textId="77777777" w:rsidTr="006D3618">
        <w:trPr>
          <w:trHeight w:val="290"/>
        </w:trPr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CCA7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F338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J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68EF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P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7E82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J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E113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P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50F3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J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3E59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P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CA24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J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953B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P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BD37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J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DD72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P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18A3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J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DDDD" w14:textId="77777777" w:rsidR="006C63AA" w:rsidRPr="007A5808" w:rsidRDefault="006C63AA" w:rsidP="00E235A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7A580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>P</w:t>
            </w:r>
          </w:p>
        </w:tc>
      </w:tr>
      <w:tr w:rsidR="00B01F75" w:rsidRPr="007A5808" w14:paraId="2A815699" w14:textId="77777777" w:rsidTr="006D3618">
        <w:trPr>
          <w:trHeight w:val="340"/>
        </w:trPr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E74E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B5D0D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85,89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7AAA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47,02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956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80,80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BCC2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43,66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52EC5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73,81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0139B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47,25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D0B8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69,24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364D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55,07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D218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69,65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B4388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40,16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80F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69,76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14A7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35,12</w:t>
            </w:r>
          </w:p>
        </w:tc>
      </w:tr>
      <w:tr w:rsidR="00B01F75" w:rsidRPr="007A5808" w14:paraId="3967FC5D" w14:textId="77777777" w:rsidTr="006D3618">
        <w:trPr>
          <w:trHeight w:val="340"/>
        </w:trPr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EFFE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- z toho víceletá gymnázia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AB6E5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99,12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73DF2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86,49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1CB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99,04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9456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83,82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98AB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98,76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A39D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77,63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DC343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98,04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89352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88,00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6A3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97,99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E6C2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77,17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27A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97,64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510F3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62,37</w:t>
            </w:r>
          </w:p>
        </w:tc>
      </w:tr>
      <w:tr w:rsidR="00B01F75" w:rsidRPr="007A5808" w14:paraId="54E34E98" w14:textId="77777777" w:rsidTr="006D3618">
        <w:trPr>
          <w:trHeight w:val="340"/>
        </w:trPr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5D91" w14:textId="7FAA33E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- z toho </w:t>
            </w:r>
            <w:r w:rsidR="00372E67"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čtyř</w:t>
            </w:r>
            <w:r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letá gymnázia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5F17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98,31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7BFE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81,25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A1D3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97,34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FC37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78,11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96E36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97,14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5F53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82,65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E2D6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94,62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C49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86,12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6CE33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94,24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241C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68,78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33F1B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93,86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CF3E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64,50</w:t>
            </w:r>
          </w:p>
        </w:tc>
      </w:tr>
      <w:tr w:rsidR="00B01F75" w:rsidRPr="007A5808" w14:paraId="30712342" w14:textId="77777777" w:rsidTr="006D3618">
        <w:trPr>
          <w:trHeight w:val="340"/>
        </w:trPr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0B97" w14:textId="3F962AD1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ind w:left="142" w:right="-141" w:hanging="142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- z toho nástavba s</w:t>
            </w:r>
            <w:r w:rsidR="00B01F75"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maturitou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68A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69,35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4F0B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38,99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9E87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62,19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86DFE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9804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47,17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4BD2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37,36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4F24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39,57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0DBBE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42,58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BC53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35,83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78DC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27,10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5D12C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35,21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65755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22,10</w:t>
            </w:r>
          </w:p>
        </w:tc>
      </w:tr>
      <w:tr w:rsidR="00B01F75" w:rsidRPr="007A5808" w14:paraId="074DE00B" w14:textId="77777777" w:rsidTr="006D3618">
        <w:trPr>
          <w:trHeight w:val="340"/>
        </w:trPr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6A7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- z toho SOŠ umělecké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997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63,30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7D0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33,33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8FC7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62,77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8B47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23,64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EF4B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56,65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BFB8C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50,77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E189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50,00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F6AD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32,89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1447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53,90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3C1F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22,64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B50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42,86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D6A2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33,33</w:t>
            </w:r>
          </w:p>
        </w:tc>
      </w:tr>
      <w:tr w:rsidR="00B01F75" w:rsidRPr="007A5808" w14:paraId="14D2ED1E" w14:textId="77777777" w:rsidTr="006D3618">
        <w:trPr>
          <w:trHeight w:val="290"/>
        </w:trPr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BBA5" w14:textId="70CACC43" w:rsidR="006C63AA" w:rsidRPr="00512405" w:rsidRDefault="006C63AA" w:rsidP="006D3618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- z toho ostatní školy s</w:t>
            </w:r>
            <w:r w:rsidR="006D361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maturitou (kromě gymnázií, nástaveb a</w:t>
            </w:r>
            <w:r w:rsidR="006D361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51240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uměleckých SOŠ)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84E0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84,55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D80B5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50,28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78FF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79,95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18EED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46,19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EE17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71,43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D9F2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49,47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C00D7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63,33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90F8D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57,20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646BA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61,81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41161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42,24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B9ED6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60,53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6776" w14:textId="77777777" w:rsidR="006C63AA" w:rsidRPr="00512405" w:rsidRDefault="006C63AA" w:rsidP="0051240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51240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36,59</w:t>
            </w:r>
          </w:p>
        </w:tc>
      </w:tr>
    </w:tbl>
    <w:p w14:paraId="7ADF43CE" w14:textId="569766A8" w:rsidR="007A5808" w:rsidRPr="007A5808" w:rsidRDefault="007A5808" w:rsidP="007A5808">
      <w:pPr>
        <w:spacing w:before="60" w:after="160"/>
        <w:jc w:val="both"/>
        <w:rPr>
          <w:sz w:val="20"/>
          <w:szCs w:val="20"/>
          <w:lang w:eastAsia="cs-CZ"/>
        </w:rPr>
      </w:pPr>
      <w:r w:rsidRPr="00512405">
        <w:rPr>
          <w:b/>
          <w:sz w:val="20"/>
          <w:szCs w:val="20"/>
          <w:lang w:eastAsia="cs-CZ"/>
        </w:rPr>
        <w:t>Zdroj:</w:t>
      </w:r>
      <w:r w:rsidRPr="007A5808">
        <w:rPr>
          <w:sz w:val="20"/>
          <w:szCs w:val="20"/>
          <w:lang w:eastAsia="cs-CZ"/>
        </w:rPr>
        <w:t xml:space="preserve"> </w:t>
      </w:r>
      <w:r w:rsidR="00372E67">
        <w:rPr>
          <w:sz w:val="20"/>
          <w:szCs w:val="20"/>
          <w:lang w:eastAsia="cs-CZ"/>
        </w:rPr>
        <w:t>d</w:t>
      </w:r>
      <w:r w:rsidRPr="007A5808">
        <w:rPr>
          <w:sz w:val="20"/>
          <w:szCs w:val="20"/>
          <w:lang w:eastAsia="cs-CZ"/>
        </w:rPr>
        <w:t>oklady a informace CZVV</w:t>
      </w:r>
      <w:r w:rsidR="00372E67">
        <w:rPr>
          <w:sz w:val="20"/>
          <w:szCs w:val="20"/>
          <w:lang w:eastAsia="cs-CZ"/>
        </w:rPr>
        <w:t>.</w:t>
      </w:r>
    </w:p>
    <w:p w14:paraId="0F1214A5" w14:textId="094A15FF" w:rsidR="00372E67" w:rsidRDefault="007A5808" w:rsidP="00512405">
      <w:pPr>
        <w:spacing w:before="60" w:after="0"/>
        <w:jc w:val="both"/>
        <w:rPr>
          <w:sz w:val="20"/>
          <w:szCs w:val="20"/>
          <w:lang w:eastAsia="cs-CZ"/>
        </w:rPr>
      </w:pPr>
      <w:r w:rsidRPr="007A5808">
        <w:rPr>
          <w:sz w:val="20"/>
          <w:szCs w:val="20"/>
          <w:lang w:eastAsia="cs-CZ"/>
        </w:rPr>
        <w:t>J</w:t>
      </w:r>
      <w:r w:rsidR="004D4605">
        <w:rPr>
          <w:sz w:val="20"/>
          <w:szCs w:val="20"/>
          <w:lang w:eastAsia="cs-CZ"/>
        </w:rPr>
        <w:t xml:space="preserve"> </w:t>
      </w:r>
      <w:r w:rsidR="00372E67">
        <w:rPr>
          <w:sz w:val="20"/>
          <w:szCs w:val="20"/>
          <w:lang w:eastAsia="cs-CZ"/>
        </w:rPr>
        <w:t>–</w:t>
      </w:r>
      <w:r w:rsidR="004D4605">
        <w:rPr>
          <w:sz w:val="20"/>
          <w:szCs w:val="20"/>
          <w:lang w:eastAsia="cs-CZ"/>
        </w:rPr>
        <w:t xml:space="preserve"> </w:t>
      </w:r>
      <w:r w:rsidRPr="007A5808">
        <w:rPr>
          <w:sz w:val="20"/>
          <w:szCs w:val="20"/>
          <w:lang w:eastAsia="cs-CZ"/>
        </w:rPr>
        <w:t xml:space="preserve">jarní termín, </w:t>
      </w:r>
    </w:p>
    <w:p w14:paraId="6239209B" w14:textId="7A3A9EBE" w:rsidR="007A5808" w:rsidRPr="007A5808" w:rsidRDefault="007A5808" w:rsidP="007A5808">
      <w:pPr>
        <w:spacing w:before="60" w:after="160"/>
        <w:jc w:val="both"/>
        <w:rPr>
          <w:sz w:val="20"/>
          <w:szCs w:val="20"/>
          <w:lang w:eastAsia="cs-CZ"/>
        </w:rPr>
      </w:pPr>
      <w:r w:rsidRPr="007A5808">
        <w:rPr>
          <w:sz w:val="20"/>
          <w:szCs w:val="20"/>
          <w:lang w:eastAsia="cs-CZ"/>
        </w:rPr>
        <w:t>P</w:t>
      </w:r>
      <w:r w:rsidR="00372E67">
        <w:rPr>
          <w:sz w:val="20"/>
          <w:szCs w:val="20"/>
          <w:lang w:eastAsia="cs-CZ"/>
        </w:rPr>
        <w:t xml:space="preserve"> –</w:t>
      </w:r>
      <w:r w:rsidR="004D4605">
        <w:rPr>
          <w:sz w:val="20"/>
          <w:szCs w:val="20"/>
          <w:lang w:eastAsia="cs-CZ"/>
        </w:rPr>
        <w:t xml:space="preserve"> </w:t>
      </w:r>
      <w:r w:rsidRPr="007A5808">
        <w:rPr>
          <w:sz w:val="20"/>
          <w:szCs w:val="20"/>
          <w:lang w:eastAsia="cs-CZ"/>
        </w:rPr>
        <w:t>podzimní termín</w:t>
      </w:r>
    </w:p>
    <w:p w14:paraId="44A4D45E" w14:textId="77777777" w:rsidR="007A5808" w:rsidRPr="007A5808" w:rsidRDefault="007A5808" w:rsidP="007A5808">
      <w:pPr>
        <w:spacing w:after="160"/>
        <w:rPr>
          <w:sz w:val="22"/>
        </w:rPr>
      </w:pPr>
    </w:p>
    <w:p w14:paraId="0273EFDF" w14:textId="721531C6" w:rsidR="00B01F75" w:rsidRDefault="00B01F75">
      <w:pPr>
        <w:spacing w:after="160"/>
        <w:rPr>
          <w:sz w:val="22"/>
        </w:rPr>
      </w:pPr>
      <w:r>
        <w:rPr>
          <w:sz w:val="22"/>
        </w:rPr>
        <w:br w:type="page"/>
      </w:r>
    </w:p>
    <w:p w14:paraId="27A32789" w14:textId="77777777" w:rsidR="00250D72" w:rsidRDefault="00250D72" w:rsidP="00512405">
      <w:pPr>
        <w:spacing w:after="40" w:line="240" w:lineRule="auto"/>
        <w:rPr>
          <w:b/>
          <w:iCs/>
          <w:szCs w:val="24"/>
        </w:rPr>
      </w:pPr>
      <w:r w:rsidRPr="007A5808">
        <w:rPr>
          <w:b/>
          <w:iCs/>
          <w:szCs w:val="24"/>
        </w:rPr>
        <w:lastRenderedPageBreak/>
        <w:t xml:space="preserve">Bodové výsledky ČR v mezinárodním šetření PISA v letech </w:t>
      </w:r>
      <w:r>
        <w:rPr>
          <w:b/>
          <w:iCs/>
          <w:szCs w:val="24"/>
        </w:rPr>
        <w:t xml:space="preserve">2003, </w:t>
      </w:r>
      <w:r w:rsidRPr="007A5808">
        <w:rPr>
          <w:b/>
          <w:iCs/>
          <w:szCs w:val="24"/>
        </w:rPr>
        <w:t>2006, 2009, 2012, 2015</w:t>
      </w:r>
    </w:p>
    <w:tbl>
      <w:tblPr>
        <w:tblW w:w="91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587"/>
        <w:gridCol w:w="1134"/>
        <w:gridCol w:w="1134"/>
        <w:gridCol w:w="1134"/>
        <w:gridCol w:w="1134"/>
        <w:gridCol w:w="1134"/>
      </w:tblGrid>
      <w:tr w:rsidR="00250D72" w:rsidRPr="007A5808" w14:paraId="418100C6" w14:textId="77777777" w:rsidTr="000C6603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9308365" w14:textId="080B78B2" w:rsidR="00250D72" w:rsidRPr="007A5808" w:rsidRDefault="00B01F75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G</w:t>
            </w:r>
            <w:r w:rsidR="00250D72" w:rsidRPr="007A580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ramotnost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52D7E41" w14:textId="4E99C0E9" w:rsidR="00250D72" w:rsidRPr="007A5808" w:rsidRDefault="00B01F75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Ú</w:t>
            </w:r>
            <w:r w:rsidR="00250D72" w:rsidRPr="007A580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zemí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</w:tcPr>
          <w:p w14:paraId="0D513ECF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0E351B6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BC263AC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B768BEF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DE33BFB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2015</w:t>
            </w:r>
          </w:p>
        </w:tc>
      </w:tr>
      <w:tr w:rsidR="00250D72" w:rsidRPr="007A5808" w14:paraId="1476AB44" w14:textId="77777777" w:rsidTr="00512405">
        <w:trPr>
          <w:trHeight w:val="300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77B0" w14:textId="476CB4DD" w:rsidR="00250D72" w:rsidRPr="007A5808" w:rsidRDefault="00B01F75" w:rsidP="00512405">
            <w:pPr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– </w:t>
            </w:r>
            <w:r w:rsidR="00250D72" w:rsidRPr="007A580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čtenářská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408C" w14:textId="77777777" w:rsidR="00250D72" w:rsidRPr="007A5808" w:rsidRDefault="00250D72" w:rsidP="000C6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4421B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DA68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7E07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BFDD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BBA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487</w:t>
            </w:r>
          </w:p>
        </w:tc>
      </w:tr>
      <w:tr w:rsidR="00250D72" w:rsidRPr="007A5808" w14:paraId="642F372D" w14:textId="77777777" w:rsidTr="00512405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0820" w14:textId="77777777" w:rsidR="00250D72" w:rsidRPr="007A5808" w:rsidRDefault="00250D72" w:rsidP="00506813">
            <w:pPr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84DA" w14:textId="77777777" w:rsidR="00250D72" w:rsidRPr="007A5808" w:rsidRDefault="00250D72" w:rsidP="000C6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OECD průměr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64EC7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E8E2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EF9B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EE6A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41EF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493</w:t>
            </w:r>
          </w:p>
        </w:tc>
      </w:tr>
      <w:tr w:rsidR="00250D72" w:rsidRPr="007A5808" w14:paraId="4F98AE19" w14:textId="77777777" w:rsidTr="00512405">
        <w:trPr>
          <w:trHeight w:val="300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B2E3" w14:textId="529B94E7" w:rsidR="00250D72" w:rsidRPr="007A5808" w:rsidRDefault="00B01F75" w:rsidP="00512405">
            <w:pPr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– </w:t>
            </w:r>
            <w:r w:rsidR="00250D72" w:rsidRPr="007A580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matematická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5367" w14:textId="77777777" w:rsidR="00250D72" w:rsidRPr="007A5808" w:rsidRDefault="00250D72" w:rsidP="000C6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F8550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3862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FE38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4C22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17C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492</w:t>
            </w:r>
          </w:p>
        </w:tc>
      </w:tr>
      <w:tr w:rsidR="00250D72" w:rsidRPr="007A5808" w14:paraId="2B3867B6" w14:textId="77777777" w:rsidTr="00512405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DCEF" w14:textId="77777777" w:rsidR="00250D72" w:rsidRPr="007A5808" w:rsidRDefault="00250D72" w:rsidP="00506813">
            <w:pPr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8D38" w14:textId="77777777" w:rsidR="00250D72" w:rsidRPr="007A5808" w:rsidRDefault="00250D72" w:rsidP="000C6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OECD průměr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199B9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3C22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8360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B500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712B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490</w:t>
            </w:r>
          </w:p>
        </w:tc>
      </w:tr>
      <w:tr w:rsidR="00250D72" w:rsidRPr="007A5808" w14:paraId="758478F4" w14:textId="77777777" w:rsidTr="00512405">
        <w:trPr>
          <w:trHeight w:val="300"/>
        </w:trPr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6E43" w14:textId="110187C2" w:rsidR="00250D72" w:rsidRPr="007A5808" w:rsidRDefault="00B01F75" w:rsidP="00512405">
            <w:pPr>
              <w:spacing w:after="0" w:line="240" w:lineRule="auto"/>
              <w:ind w:left="142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– </w:t>
            </w:r>
            <w:r w:rsidR="00250D72" w:rsidRPr="007A580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přírodovědná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BC35" w14:textId="77777777" w:rsidR="00250D72" w:rsidRPr="007A5808" w:rsidRDefault="00250D72" w:rsidP="000C6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21C1D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5CB9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1D64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6CA8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2F04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493</w:t>
            </w:r>
          </w:p>
        </w:tc>
      </w:tr>
      <w:tr w:rsidR="00250D72" w:rsidRPr="007A5808" w14:paraId="4B34D3DB" w14:textId="77777777" w:rsidTr="000C6603">
        <w:trPr>
          <w:trHeight w:val="300"/>
        </w:trPr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13EF" w14:textId="77777777" w:rsidR="00250D72" w:rsidRPr="007A5808" w:rsidRDefault="00250D72" w:rsidP="000C66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BC38" w14:textId="77777777" w:rsidR="00250D72" w:rsidRPr="007A5808" w:rsidRDefault="00250D72" w:rsidP="000C6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OECD průměr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FAF0D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3F31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0DA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342C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41D1" w14:textId="77777777" w:rsidR="00250D72" w:rsidRPr="007A5808" w:rsidRDefault="00250D72" w:rsidP="000C6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7A5808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493</w:t>
            </w:r>
          </w:p>
        </w:tc>
      </w:tr>
    </w:tbl>
    <w:p w14:paraId="44B045BC" w14:textId="149DDDCB" w:rsidR="00250D72" w:rsidRDefault="00250D72" w:rsidP="00512405">
      <w:pPr>
        <w:autoSpaceDE w:val="0"/>
        <w:autoSpaceDN w:val="0"/>
        <w:adjustRightInd w:val="0"/>
        <w:spacing w:after="40" w:line="240" w:lineRule="auto"/>
        <w:ind w:left="567" w:hanging="567"/>
        <w:jc w:val="both"/>
        <w:rPr>
          <w:rFonts w:eastAsia="Times New Roman" w:cstheme="minorHAnsi"/>
          <w:color w:val="000000" w:themeColor="text1"/>
          <w:sz w:val="20"/>
          <w:szCs w:val="20"/>
          <w:lang w:eastAsia="cs-CZ"/>
        </w:rPr>
      </w:pPr>
      <w:r w:rsidRPr="00512405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>Zdroj:</w:t>
      </w:r>
      <w:r w:rsidRPr="007A5808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</w:t>
      </w:r>
      <w:r w:rsidR="00E6363A">
        <w:rPr>
          <w:rFonts w:eastAsia="Times New Roman" w:cstheme="minorHAnsi"/>
          <w:color w:val="000000" w:themeColor="text1"/>
          <w:sz w:val="20"/>
          <w:szCs w:val="20"/>
          <w:lang w:eastAsia="cs-CZ"/>
        </w:rPr>
        <w:tab/>
      </w:r>
      <w:r w:rsidR="00B01F75">
        <w:rPr>
          <w:rFonts w:eastAsia="Times New Roman" w:cstheme="minorHAnsi"/>
          <w:color w:val="000000" w:themeColor="text1"/>
          <w:sz w:val="20"/>
          <w:szCs w:val="20"/>
          <w:lang w:eastAsia="cs-CZ"/>
        </w:rPr>
        <w:t>v</w:t>
      </w:r>
      <w:r w:rsidRPr="007A5808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lastní zpracování na základě publikací OECD k jednotlivým mezinárodním šetřením PISA za roky </w:t>
      </w:r>
      <w:r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2003, </w:t>
      </w:r>
      <w:r w:rsidRPr="007A5808">
        <w:rPr>
          <w:rFonts w:eastAsia="Times New Roman" w:cstheme="minorHAnsi"/>
          <w:color w:val="000000" w:themeColor="text1"/>
          <w:sz w:val="20"/>
          <w:szCs w:val="20"/>
          <w:lang w:eastAsia="cs-CZ"/>
        </w:rPr>
        <w:t>2006, 2009, 2012 a 2015 (</w:t>
      </w:r>
      <w:hyperlink r:id="rId15" w:history="1">
        <w:r w:rsidRPr="007A5808">
          <w:rPr>
            <w:rFonts w:cstheme="minorHAnsi"/>
            <w:color w:val="0563C1" w:themeColor="hyperlink"/>
            <w:sz w:val="20"/>
            <w:szCs w:val="20"/>
            <w:u w:val="single"/>
          </w:rPr>
          <w:t>https://www.oecd.org/pisa/keyfindings/</w:t>
        </w:r>
      </w:hyperlink>
      <w:r w:rsidRPr="007A5808">
        <w:rPr>
          <w:rFonts w:eastAsia="Times New Roman" w:cstheme="minorHAnsi"/>
          <w:color w:val="000000" w:themeColor="text1"/>
          <w:sz w:val="20"/>
          <w:szCs w:val="20"/>
          <w:lang w:eastAsia="cs-CZ"/>
        </w:rPr>
        <w:t>).</w:t>
      </w:r>
    </w:p>
    <w:p w14:paraId="39701A95" w14:textId="5B97AF6D" w:rsidR="00250D72" w:rsidRPr="007A5808" w:rsidRDefault="00250D72" w:rsidP="00512405">
      <w:pPr>
        <w:autoSpaceDE w:val="0"/>
        <w:autoSpaceDN w:val="0"/>
        <w:adjustRightInd w:val="0"/>
        <w:spacing w:before="40" w:after="0" w:line="240" w:lineRule="auto"/>
        <w:ind w:left="567" w:hanging="567"/>
        <w:contextualSpacing/>
        <w:jc w:val="both"/>
        <w:rPr>
          <w:rFonts w:eastAsia="Times New Roman" w:cstheme="minorHAnsi"/>
          <w:color w:val="000000" w:themeColor="text1"/>
          <w:sz w:val="20"/>
          <w:szCs w:val="20"/>
          <w:lang w:eastAsia="cs-CZ"/>
        </w:rPr>
      </w:pPr>
      <w:r w:rsidRPr="00512405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>Pozn.:</w:t>
      </w:r>
      <w:r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</w:t>
      </w:r>
      <w:r w:rsidR="00E6363A">
        <w:rPr>
          <w:rFonts w:eastAsia="Times New Roman" w:cstheme="minorHAnsi"/>
          <w:color w:val="000000" w:themeColor="text1"/>
          <w:sz w:val="20"/>
          <w:szCs w:val="20"/>
          <w:lang w:eastAsia="cs-CZ"/>
        </w:rPr>
        <w:tab/>
      </w:r>
      <w:r>
        <w:rPr>
          <w:rFonts w:eastAsia="Times New Roman" w:cstheme="minorHAnsi"/>
          <w:color w:val="000000" w:themeColor="text1"/>
          <w:sz w:val="20"/>
          <w:szCs w:val="20"/>
          <w:lang w:eastAsia="cs-CZ"/>
        </w:rPr>
        <w:t>Vyšší bodové hodnocení představuje lepší výsledek žáků v dané gramotnosti.</w:t>
      </w:r>
    </w:p>
    <w:p w14:paraId="1CB8A571" w14:textId="77777777" w:rsidR="00250D72" w:rsidRDefault="00250D72" w:rsidP="00250D72"/>
    <w:p w14:paraId="72AF9552" w14:textId="77777777" w:rsidR="007A5808" w:rsidRDefault="007A5808">
      <w:pPr>
        <w:spacing w:after="16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14:paraId="5500709C" w14:textId="77777777" w:rsidR="007A5808" w:rsidRDefault="007A5808" w:rsidP="007A5808">
      <w:pPr>
        <w:spacing w:after="160"/>
        <w:rPr>
          <w:b/>
          <w:szCs w:val="24"/>
        </w:rPr>
      </w:pPr>
      <w:r w:rsidRPr="007A5808">
        <w:rPr>
          <w:b/>
          <w:szCs w:val="24"/>
        </w:rPr>
        <w:lastRenderedPageBreak/>
        <w:t xml:space="preserve">Příloha č. 3: </w:t>
      </w:r>
      <w:r w:rsidR="005C0E6A">
        <w:rPr>
          <w:b/>
          <w:szCs w:val="24"/>
        </w:rPr>
        <w:t>Grafické znázornění „životních cyklů“ R</w:t>
      </w:r>
      <w:r w:rsidR="0096258A">
        <w:rPr>
          <w:b/>
          <w:szCs w:val="24"/>
        </w:rPr>
        <w:t>VP</w:t>
      </w:r>
    </w:p>
    <w:p w14:paraId="0CECFA66" w14:textId="77777777" w:rsidR="005C0E6A" w:rsidRPr="0096258A" w:rsidRDefault="0096258A" w:rsidP="007A5808">
      <w:pPr>
        <w:spacing w:after="160"/>
        <w:rPr>
          <w:b/>
          <w:szCs w:val="24"/>
        </w:rPr>
      </w:pPr>
      <w:r>
        <w:rPr>
          <w:rFonts w:cstheme="minorHAnsi"/>
          <w:b/>
          <w:noProof/>
          <w:szCs w:val="24"/>
        </w:rPr>
        <w:t xml:space="preserve">Schéma 1: </w:t>
      </w:r>
      <w:r w:rsidRPr="0096258A">
        <w:rPr>
          <w:rFonts w:cstheme="minorHAnsi"/>
          <w:b/>
          <w:noProof/>
          <w:szCs w:val="24"/>
        </w:rPr>
        <w:t>Doba trvání jednotlivých životních cyklů RVP základního a středního vzdělávání</w:t>
      </w:r>
    </w:p>
    <w:p w14:paraId="7A4ED9D7" w14:textId="77777777" w:rsidR="005C0E6A" w:rsidRDefault="005C0E6A" w:rsidP="007A5808">
      <w:pPr>
        <w:spacing w:after="160"/>
        <w:rPr>
          <w:b/>
          <w:szCs w:val="24"/>
        </w:rPr>
      </w:pPr>
    </w:p>
    <w:p w14:paraId="3E08158D" w14:textId="77777777" w:rsidR="005C0E6A" w:rsidRDefault="0096258A" w:rsidP="007A5808">
      <w:pPr>
        <w:spacing w:after="160"/>
        <w:rPr>
          <w:b/>
          <w:szCs w:val="24"/>
        </w:rPr>
      </w:pPr>
      <w:r w:rsidRPr="006C63AA">
        <w:rPr>
          <w:noProof/>
          <w:lang w:eastAsia="cs-CZ"/>
        </w:rPr>
        <w:drawing>
          <wp:inline distT="0" distB="0" distL="0" distR="0" wp14:anchorId="424E1834" wp14:editId="3425BFE9">
            <wp:extent cx="6007827" cy="507682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HODOUSKOVA\AppData\Local\Microsoft\Windows\Temporary Internet Files\Content.Outlook\55U0OCTW\10a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65" cy="507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F9338" w14:textId="77777777" w:rsidR="005C0E6A" w:rsidRDefault="005C0E6A" w:rsidP="007A5808">
      <w:pPr>
        <w:spacing w:after="160"/>
        <w:rPr>
          <w:b/>
          <w:szCs w:val="24"/>
        </w:rPr>
      </w:pPr>
    </w:p>
    <w:p w14:paraId="572FB2BE" w14:textId="77777777" w:rsidR="005C0E6A" w:rsidRDefault="005C0E6A" w:rsidP="007A5808">
      <w:pPr>
        <w:spacing w:after="160"/>
        <w:rPr>
          <w:b/>
          <w:szCs w:val="24"/>
        </w:rPr>
      </w:pPr>
    </w:p>
    <w:p w14:paraId="5BE91656" w14:textId="77777777" w:rsidR="005C0E6A" w:rsidRDefault="005C0E6A" w:rsidP="007A5808">
      <w:pPr>
        <w:spacing w:after="160"/>
        <w:rPr>
          <w:b/>
          <w:szCs w:val="24"/>
        </w:rPr>
      </w:pPr>
    </w:p>
    <w:p w14:paraId="180ACFFD" w14:textId="77777777" w:rsidR="005C0E6A" w:rsidRDefault="005C0E6A" w:rsidP="007A5808">
      <w:pPr>
        <w:spacing w:after="160"/>
        <w:rPr>
          <w:b/>
          <w:szCs w:val="24"/>
        </w:rPr>
      </w:pPr>
    </w:p>
    <w:p w14:paraId="71D9E237" w14:textId="77777777" w:rsidR="005C0E6A" w:rsidRDefault="005C0E6A" w:rsidP="007A5808">
      <w:pPr>
        <w:spacing w:after="160"/>
        <w:rPr>
          <w:b/>
          <w:szCs w:val="24"/>
        </w:rPr>
      </w:pPr>
    </w:p>
    <w:p w14:paraId="4EC858DB" w14:textId="77777777" w:rsidR="005C0E6A" w:rsidRDefault="005C0E6A" w:rsidP="007A5808">
      <w:pPr>
        <w:spacing w:after="160"/>
        <w:rPr>
          <w:b/>
          <w:szCs w:val="24"/>
        </w:rPr>
      </w:pPr>
    </w:p>
    <w:p w14:paraId="7705B394" w14:textId="77777777" w:rsidR="005C0E6A" w:rsidRDefault="005C0E6A" w:rsidP="007A5808">
      <w:pPr>
        <w:spacing w:after="160"/>
        <w:rPr>
          <w:b/>
          <w:szCs w:val="24"/>
        </w:rPr>
      </w:pPr>
    </w:p>
    <w:p w14:paraId="30C735CB" w14:textId="77777777" w:rsidR="005C0E6A" w:rsidRDefault="005C0E6A" w:rsidP="007A5808">
      <w:pPr>
        <w:spacing w:after="160"/>
        <w:rPr>
          <w:b/>
          <w:szCs w:val="24"/>
        </w:rPr>
      </w:pPr>
    </w:p>
    <w:p w14:paraId="65677E7E" w14:textId="35E8C753" w:rsidR="005C0E6A" w:rsidRPr="007A5808" w:rsidRDefault="005C0E6A" w:rsidP="00512405">
      <w:pPr>
        <w:spacing w:after="160"/>
        <w:ind w:left="1077" w:hanging="1077"/>
        <w:rPr>
          <w:b/>
          <w:szCs w:val="24"/>
        </w:rPr>
      </w:pPr>
      <w:r>
        <w:rPr>
          <w:b/>
          <w:szCs w:val="24"/>
        </w:rPr>
        <w:lastRenderedPageBreak/>
        <w:t xml:space="preserve">Schéma 2: </w:t>
      </w:r>
      <w:r w:rsidR="00FE0DD5">
        <w:rPr>
          <w:b/>
          <w:szCs w:val="24"/>
        </w:rPr>
        <w:tab/>
      </w:r>
      <w:r w:rsidRPr="007A5808">
        <w:rPr>
          <w:b/>
          <w:szCs w:val="24"/>
        </w:rPr>
        <w:t xml:space="preserve">Detailní grafické zobrazení životních cyklů RVP pro </w:t>
      </w:r>
      <w:r w:rsidR="00FE0DD5">
        <w:rPr>
          <w:b/>
          <w:szCs w:val="24"/>
        </w:rPr>
        <w:t>čtyř</w:t>
      </w:r>
      <w:r w:rsidRPr="007A5808">
        <w:rPr>
          <w:b/>
          <w:szCs w:val="24"/>
        </w:rPr>
        <w:t>leté střední vzdělávání (gymnázia, konzervatoře a střední odborné vzdělávání)</w:t>
      </w:r>
    </w:p>
    <w:p w14:paraId="4E6C8821" w14:textId="77777777" w:rsidR="007A5808" w:rsidRPr="007A5808" w:rsidRDefault="006C63AA" w:rsidP="007A5808">
      <w:pPr>
        <w:spacing w:after="160"/>
        <w:rPr>
          <w:sz w:val="22"/>
        </w:rPr>
      </w:pPr>
      <w:r w:rsidRPr="006C63AA">
        <w:rPr>
          <w:noProof/>
          <w:sz w:val="22"/>
          <w:lang w:eastAsia="cs-CZ"/>
        </w:rPr>
        <w:drawing>
          <wp:inline distT="0" distB="0" distL="0" distR="0" wp14:anchorId="1DED076E" wp14:editId="2942D6FC">
            <wp:extent cx="5759450" cy="3786996"/>
            <wp:effectExtent l="0" t="0" r="0" b="4445"/>
            <wp:docPr id="9" name="Obrázek 9" descr="F:\Users\HODOUSKOVA\AppData\Local\Microsoft\Windows\Temporary Internet Files\Content.Outlook\55U0OCTW\10b)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sers\HODOUSKOVA\AppData\Local\Microsoft\Windows\Temporary Internet Files\Content.Outlook\55U0OCTW\10b)_1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62" cy="379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F4A75" w14:textId="77777777" w:rsidR="007A5808" w:rsidRPr="007A5808" w:rsidRDefault="006C63AA" w:rsidP="007A5808">
      <w:pPr>
        <w:spacing w:after="160"/>
        <w:rPr>
          <w:sz w:val="22"/>
        </w:rPr>
      </w:pPr>
      <w:r w:rsidRPr="006C63AA">
        <w:rPr>
          <w:noProof/>
          <w:sz w:val="22"/>
          <w:lang w:eastAsia="cs-CZ"/>
        </w:rPr>
        <w:drawing>
          <wp:inline distT="0" distB="0" distL="0" distR="0" wp14:anchorId="043E5B17" wp14:editId="186392A9">
            <wp:extent cx="5974170" cy="2762250"/>
            <wp:effectExtent l="0" t="0" r="762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sers\HODOUSKOVA\AppData\Local\Microsoft\Windows\Temporary Internet Files\Content.Outlook\55U0OCTW\Legenda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154" cy="276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836A2" w14:textId="7F8790DD" w:rsidR="007A5808" w:rsidRPr="007A5808" w:rsidRDefault="007A5808" w:rsidP="002531FD">
      <w:pPr>
        <w:spacing w:before="360" w:after="160"/>
        <w:rPr>
          <w:sz w:val="20"/>
          <w:szCs w:val="20"/>
        </w:rPr>
      </w:pPr>
      <w:r w:rsidRPr="00512405">
        <w:rPr>
          <w:b/>
          <w:sz w:val="20"/>
          <w:szCs w:val="20"/>
        </w:rPr>
        <w:t>Zdroj:</w:t>
      </w:r>
      <w:r w:rsidRPr="007A5808">
        <w:rPr>
          <w:sz w:val="20"/>
          <w:szCs w:val="20"/>
        </w:rPr>
        <w:t xml:space="preserve"> </w:t>
      </w:r>
      <w:r w:rsidR="000E6A8D">
        <w:rPr>
          <w:sz w:val="20"/>
          <w:szCs w:val="20"/>
        </w:rPr>
        <w:t>v</w:t>
      </w:r>
      <w:r w:rsidRPr="007A5808">
        <w:rPr>
          <w:sz w:val="20"/>
          <w:szCs w:val="20"/>
        </w:rPr>
        <w:t>lastní zpracování na základě dokladů a informací MŠMT</w:t>
      </w:r>
      <w:r w:rsidR="000E6A8D">
        <w:rPr>
          <w:sz w:val="20"/>
          <w:szCs w:val="20"/>
        </w:rPr>
        <w:t>.</w:t>
      </w:r>
    </w:p>
    <w:p w14:paraId="72E4AD4E" w14:textId="77777777" w:rsidR="007A5808" w:rsidRPr="002531FD" w:rsidRDefault="007A5808">
      <w:pPr>
        <w:spacing w:after="160"/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14:paraId="49D97BFA" w14:textId="6AD4F70C" w:rsidR="007A5808" w:rsidRPr="00490EBE" w:rsidRDefault="00490EBE" w:rsidP="00512405">
      <w:pPr>
        <w:autoSpaceDE w:val="0"/>
        <w:autoSpaceDN w:val="0"/>
        <w:adjustRightInd w:val="0"/>
        <w:spacing w:after="40"/>
        <w:ind w:left="1247" w:hanging="1247"/>
        <w:rPr>
          <w:rFonts w:cstheme="minorHAnsi"/>
          <w:sz w:val="20"/>
          <w:szCs w:val="20"/>
        </w:rPr>
      </w:pPr>
      <w:r>
        <w:rPr>
          <w:b/>
          <w:szCs w:val="24"/>
        </w:rPr>
        <w:lastRenderedPageBreak/>
        <w:t>Příloha č. 4</w:t>
      </w:r>
      <w:r w:rsidR="007A5808" w:rsidRPr="007A5808">
        <w:rPr>
          <w:b/>
          <w:szCs w:val="24"/>
        </w:rPr>
        <w:t xml:space="preserve">: </w:t>
      </w:r>
      <w:r w:rsidR="000E6A8D">
        <w:rPr>
          <w:b/>
          <w:szCs w:val="24"/>
        </w:rPr>
        <w:tab/>
      </w:r>
      <w:r w:rsidR="007A5808" w:rsidRPr="007A5808">
        <w:rPr>
          <w:b/>
          <w:szCs w:val="24"/>
        </w:rPr>
        <w:t>Přehled peněžních prostřed</w:t>
      </w:r>
      <w:r w:rsidR="006455D2">
        <w:rPr>
          <w:b/>
          <w:szCs w:val="24"/>
        </w:rPr>
        <w:t xml:space="preserve">ků </w:t>
      </w:r>
      <w:r w:rsidR="000E6A8D" w:rsidRPr="007A5808">
        <w:rPr>
          <w:b/>
          <w:szCs w:val="24"/>
        </w:rPr>
        <w:t xml:space="preserve">vynaložených </w:t>
      </w:r>
      <w:r w:rsidR="006455D2">
        <w:rPr>
          <w:b/>
          <w:szCs w:val="24"/>
        </w:rPr>
        <w:t>na nástroje hodnocení od ledna</w:t>
      </w:r>
      <w:r w:rsidR="007A5808" w:rsidRPr="007A5808">
        <w:rPr>
          <w:b/>
          <w:szCs w:val="24"/>
        </w:rPr>
        <w:t xml:space="preserve"> 2011 do září 2016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2297"/>
        <w:gridCol w:w="1134"/>
        <w:gridCol w:w="3402"/>
        <w:gridCol w:w="2126"/>
      </w:tblGrid>
      <w:tr w:rsidR="006C63AA" w:rsidRPr="007A5808" w14:paraId="5F82026F" w14:textId="77777777" w:rsidTr="00512405">
        <w:trPr>
          <w:trHeight w:val="680"/>
        </w:trPr>
        <w:tc>
          <w:tcPr>
            <w:tcW w:w="2297" w:type="dxa"/>
            <w:shd w:val="clear" w:color="auto" w:fill="E5F1FF"/>
            <w:vAlign w:val="center"/>
          </w:tcPr>
          <w:p w14:paraId="3775FC5D" w14:textId="77777777" w:rsidR="006C63AA" w:rsidRPr="00512405" w:rsidRDefault="006C63AA" w:rsidP="00E235A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12405">
              <w:rPr>
                <w:b/>
                <w:sz w:val="20"/>
                <w:szCs w:val="20"/>
              </w:rPr>
              <w:t>Nástroj hodnocení</w:t>
            </w:r>
          </w:p>
        </w:tc>
        <w:tc>
          <w:tcPr>
            <w:tcW w:w="1134" w:type="dxa"/>
            <w:shd w:val="clear" w:color="auto" w:fill="E5F1FF"/>
            <w:vAlign w:val="center"/>
          </w:tcPr>
          <w:p w14:paraId="445F4DC2" w14:textId="77777777" w:rsidR="006C63AA" w:rsidRPr="00512405" w:rsidRDefault="006C63AA" w:rsidP="00E235A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12405">
              <w:rPr>
                <w:b/>
                <w:sz w:val="20"/>
                <w:szCs w:val="20"/>
              </w:rPr>
              <w:t>Realizátor</w:t>
            </w:r>
          </w:p>
        </w:tc>
        <w:tc>
          <w:tcPr>
            <w:tcW w:w="3402" w:type="dxa"/>
            <w:shd w:val="clear" w:color="auto" w:fill="E5F1FF"/>
            <w:vAlign w:val="center"/>
          </w:tcPr>
          <w:p w14:paraId="1736DA61" w14:textId="77777777" w:rsidR="006C63AA" w:rsidRPr="00512405" w:rsidRDefault="006C63AA" w:rsidP="00E235A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12405">
              <w:rPr>
                <w:b/>
                <w:sz w:val="20"/>
                <w:szCs w:val="20"/>
              </w:rPr>
              <w:t>Účel vynaložení peněžních prostředků</w:t>
            </w:r>
          </w:p>
        </w:tc>
        <w:tc>
          <w:tcPr>
            <w:tcW w:w="2126" w:type="dxa"/>
            <w:shd w:val="clear" w:color="auto" w:fill="E5F1FF"/>
            <w:vAlign w:val="center"/>
          </w:tcPr>
          <w:p w14:paraId="2E6478FB" w14:textId="7FC82600" w:rsidR="006C63AA" w:rsidRPr="00512405" w:rsidRDefault="006C63AA" w:rsidP="00E235A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12405">
              <w:rPr>
                <w:b/>
                <w:sz w:val="20"/>
                <w:szCs w:val="20"/>
              </w:rPr>
              <w:t xml:space="preserve">Vynaložené peněžní prostředky </w:t>
            </w:r>
            <w:r w:rsidR="00046847">
              <w:rPr>
                <w:b/>
                <w:sz w:val="20"/>
                <w:szCs w:val="20"/>
              </w:rPr>
              <w:t>(</w:t>
            </w:r>
            <w:r w:rsidRPr="00512405">
              <w:rPr>
                <w:b/>
                <w:sz w:val="20"/>
                <w:szCs w:val="20"/>
              </w:rPr>
              <w:t>v Kč</w:t>
            </w:r>
            <w:r w:rsidR="00046847">
              <w:rPr>
                <w:b/>
                <w:sz w:val="20"/>
                <w:szCs w:val="20"/>
              </w:rPr>
              <w:t>)</w:t>
            </w:r>
          </w:p>
        </w:tc>
      </w:tr>
      <w:tr w:rsidR="006C63AA" w:rsidRPr="007A5808" w14:paraId="7C3B45E1" w14:textId="77777777" w:rsidTr="00512405">
        <w:trPr>
          <w:trHeight w:val="457"/>
        </w:trPr>
        <w:tc>
          <w:tcPr>
            <w:tcW w:w="2297" w:type="dxa"/>
            <w:vAlign w:val="center"/>
          </w:tcPr>
          <w:p w14:paraId="19A44095" w14:textId="77777777" w:rsidR="006C63AA" w:rsidRPr="00512405" w:rsidRDefault="006C63AA" w:rsidP="00E235A9">
            <w:pPr>
              <w:spacing w:after="0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Společná část maturitní zkoušky*</w:t>
            </w:r>
          </w:p>
        </w:tc>
        <w:tc>
          <w:tcPr>
            <w:tcW w:w="1134" w:type="dxa"/>
            <w:vAlign w:val="center"/>
          </w:tcPr>
          <w:p w14:paraId="4D4E48F4" w14:textId="77777777" w:rsidR="006C63AA" w:rsidRPr="00512405" w:rsidRDefault="006C63AA" w:rsidP="00E235A9">
            <w:pPr>
              <w:spacing w:after="0"/>
              <w:jc w:val="center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CZVV</w:t>
            </w:r>
          </w:p>
        </w:tc>
        <w:tc>
          <w:tcPr>
            <w:tcW w:w="3402" w:type="dxa"/>
            <w:vAlign w:val="center"/>
          </w:tcPr>
          <w:p w14:paraId="4F5194A7" w14:textId="68563478" w:rsidR="006C63AA" w:rsidRPr="00512405" w:rsidRDefault="003D1F08" w:rsidP="00E235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C63AA" w:rsidRPr="00512405">
              <w:rPr>
                <w:sz w:val="20"/>
                <w:szCs w:val="20"/>
              </w:rPr>
              <w:t>říprava a realizace SMZ vč. zajištění provozu datové infrastruktury</w:t>
            </w:r>
          </w:p>
        </w:tc>
        <w:tc>
          <w:tcPr>
            <w:tcW w:w="2126" w:type="dxa"/>
            <w:vAlign w:val="center"/>
          </w:tcPr>
          <w:p w14:paraId="07C0A69C" w14:textId="77777777" w:rsidR="006C63AA" w:rsidRPr="00512405" w:rsidRDefault="006C63AA" w:rsidP="00E235A9">
            <w:pPr>
              <w:spacing w:after="0"/>
              <w:jc w:val="right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1 046 565 989</w:t>
            </w:r>
          </w:p>
          <w:p w14:paraId="04C45D48" w14:textId="574BB6DE" w:rsidR="006C63AA" w:rsidRPr="00512405" w:rsidRDefault="006C63AA" w:rsidP="003D1F08">
            <w:pPr>
              <w:spacing w:after="0"/>
              <w:jc w:val="right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(z toho 115 173 580</w:t>
            </w:r>
            <w:r w:rsidR="00046847">
              <w:rPr>
                <w:sz w:val="20"/>
                <w:szCs w:val="20"/>
              </w:rPr>
              <w:t> </w:t>
            </w:r>
            <w:r w:rsidRPr="00512405">
              <w:rPr>
                <w:sz w:val="20"/>
                <w:szCs w:val="20"/>
              </w:rPr>
              <w:t>Kč financováno z ESF)</w:t>
            </w:r>
          </w:p>
        </w:tc>
      </w:tr>
      <w:tr w:rsidR="006C63AA" w:rsidRPr="007A5808" w14:paraId="3838B3EB" w14:textId="77777777" w:rsidTr="00512405">
        <w:trPr>
          <w:trHeight w:val="850"/>
        </w:trPr>
        <w:tc>
          <w:tcPr>
            <w:tcW w:w="2297" w:type="dxa"/>
            <w:vMerge w:val="restart"/>
            <w:vAlign w:val="center"/>
          </w:tcPr>
          <w:p w14:paraId="08F4C7D2" w14:textId="77777777" w:rsidR="006C63AA" w:rsidRPr="00512405" w:rsidRDefault="006C63AA" w:rsidP="00E235A9">
            <w:pPr>
              <w:spacing w:after="0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Ověřování výsledků žáků 5. a 9. tříd základních škol</w:t>
            </w:r>
          </w:p>
        </w:tc>
        <w:tc>
          <w:tcPr>
            <w:tcW w:w="1134" w:type="dxa"/>
            <w:vAlign w:val="center"/>
          </w:tcPr>
          <w:p w14:paraId="31A2792A" w14:textId="77777777" w:rsidR="006C63AA" w:rsidRPr="00512405" w:rsidRDefault="006C63AA" w:rsidP="00E235A9">
            <w:pPr>
              <w:spacing w:after="0"/>
              <w:jc w:val="center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MŠMT</w:t>
            </w:r>
          </w:p>
        </w:tc>
        <w:tc>
          <w:tcPr>
            <w:tcW w:w="3402" w:type="dxa"/>
            <w:vAlign w:val="center"/>
          </w:tcPr>
          <w:p w14:paraId="410F0ABD" w14:textId="143216F1" w:rsidR="006C63AA" w:rsidRPr="00512405" w:rsidRDefault="003D1F08" w:rsidP="003D1F0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C63AA" w:rsidRPr="00512405">
              <w:rPr>
                <w:sz w:val="20"/>
                <w:szCs w:val="20"/>
              </w:rPr>
              <w:t>rojektová dokumentace a</w:t>
            </w:r>
            <w:r>
              <w:rPr>
                <w:sz w:val="20"/>
                <w:szCs w:val="20"/>
              </w:rPr>
              <w:t> </w:t>
            </w:r>
            <w:r w:rsidR="006C63AA" w:rsidRPr="00512405">
              <w:rPr>
                <w:sz w:val="20"/>
                <w:szCs w:val="20"/>
              </w:rPr>
              <w:t>odborná pomoc s vedením projektu</w:t>
            </w:r>
          </w:p>
        </w:tc>
        <w:tc>
          <w:tcPr>
            <w:tcW w:w="2126" w:type="dxa"/>
            <w:vAlign w:val="center"/>
          </w:tcPr>
          <w:p w14:paraId="791BBD43" w14:textId="77777777" w:rsidR="006C63AA" w:rsidRPr="00512405" w:rsidRDefault="006C63AA" w:rsidP="00E235A9">
            <w:pPr>
              <w:spacing w:after="0"/>
              <w:jc w:val="right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2 592 000</w:t>
            </w:r>
          </w:p>
        </w:tc>
      </w:tr>
      <w:tr w:rsidR="006C63AA" w:rsidRPr="007A5808" w14:paraId="3474E200" w14:textId="77777777" w:rsidTr="00512405">
        <w:trPr>
          <w:trHeight w:val="1134"/>
        </w:trPr>
        <w:tc>
          <w:tcPr>
            <w:tcW w:w="2297" w:type="dxa"/>
            <w:vMerge/>
            <w:vAlign w:val="center"/>
          </w:tcPr>
          <w:p w14:paraId="725B0C85" w14:textId="77777777" w:rsidR="006C63AA" w:rsidRPr="00506813" w:rsidRDefault="006C63AA" w:rsidP="00E235A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FC3577" w14:textId="77777777" w:rsidR="006C63AA" w:rsidRPr="00506813" w:rsidRDefault="006C63AA" w:rsidP="00E235A9">
            <w:pPr>
              <w:spacing w:after="0"/>
              <w:jc w:val="center"/>
              <w:rPr>
                <w:sz w:val="20"/>
                <w:szCs w:val="20"/>
              </w:rPr>
            </w:pPr>
            <w:r w:rsidRPr="00506813">
              <w:rPr>
                <w:sz w:val="20"/>
                <w:szCs w:val="20"/>
              </w:rPr>
              <w:t>ČŠI</w:t>
            </w:r>
          </w:p>
        </w:tc>
        <w:tc>
          <w:tcPr>
            <w:tcW w:w="3402" w:type="dxa"/>
            <w:vAlign w:val="center"/>
          </w:tcPr>
          <w:p w14:paraId="4B9BE67A" w14:textId="425B91BF" w:rsidR="006C63AA" w:rsidRPr="00512405" w:rsidRDefault="003D1F08" w:rsidP="00512405">
            <w:pPr>
              <w:spacing w:after="0"/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6C63AA" w:rsidRPr="00512405">
              <w:rPr>
                <w:sz w:val="20"/>
                <w:szCs w:val="20"/>
              </w:rPr>
              <w:t xml:space="preserve">ývoj elektronického systému </w:t>
            </w:r>
            <w:r w:rsidR="006C63AA" w:rsidRPr="00512405">
              <w:rPr>
                <w:i/>
                <w:sz w:val="20"/>
                <w:szCs w:val="20"/>
              </w:rPr>
              <w:t>InspIS</w:t>
            </w:r>
            <w:r w:rsidRPr="00512405">
              <w:rPr>
                <w:i/>
                <w:sz w:val="20"/>
                <w:szCs w:val="20"/>
              </w:rPr>
              <w:t> </w:t>
            </w:r>
            <w:r w:rsidR="006C63AA" w:rsidRPr="00512405">
              <w:rPr>
                <w:i/>
                <w:sz w:val="20"/>
                <w:szCs w:val="20"/>
              </w:rPr>
              <w:t>SET</w:t>
            </w:r>
            <w:r w:rsidR="006C63AA" w:rsidRPr="00512405">
              <w:rPr>
                <w:sz w:val="20"/>
                <w:szCs w:val="20"/>
              </w:rPr>
              <w:t xml:space="preserve"> a aplikace pro mobilní telefony a</w:t>
            </w:r>
            <w:r>
              <w:rPr>
                <w:sz w:val="20"/>
                <w:szCs w:val="20"/>
              </w:rPr>
              <w:t> </w:t>
            </w:r>
            <w:r w:rsidR="006C63AA" w:rsidRPr="00512405">
              <w:rPr>
                <w:sz w:val="20"/>
                <w:szCs w:val="20"/>
              </w:rPr>
              <w:t xml:space="preserve">tablety </w:t>
            </w:r>
            <w:r w:rsidR="006C63AA" w:rsidRPr="00512405">
              <w:rPr>
                <w:i/>
                <w:sz w:val="20"/>
                <w:szCs w:val="20"/>
              </w:rPr>
              <w:t>InspIS SET mobile</w:t>
            </w:r>
          </w:p>
        </w:tc>
        <w:tc>
          <w:tcPr>
            <w:tcW w:w="2126" w:type="dxa"/>
            <w:vAlign w:val="center"/>
          </w:tcPr>
          <w:p w14:paraId="36E5C4C4" w14:textId="77777777" w:rsidR="006C63AA" w:rsidRPr="00512405" w:rsidRDefault="006C63AA" w:rsidP="00E235A9">
            <w:pPr>
              <w:spacing w:after="0"/>
              <w:jc w:val="right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116 105 500</w:t>
            </w:r>
          </w:p>
          <w:p w14:paraId="27BA6301" w14:textId="1942D91B" w:rsidR="006C63AA" w:rsidRPr="00512405" w:rsidRDefault="006C63AA" w:rsidP="003D1F08">
            <w:pPr>
              <w:spacing w:after="0"/>
              <w:jc w:val="right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(z toho 98 689</w:t>
            </w:r>
            <w:r w:rsidR="00046847">
              <w:rPr>
                <w:sz w:val="20"/>
                <w:szCs w:val="20"/>
              </w:rPr>
              <w:t> </w:t>
            </w:r>
            <w:r w:rsidRPr="00512405">
              <w:rPr>
                <w:sz w:val="20"/>
                <w:szCs w:val="20"/>
              </w:rPr>
              <w:t>675</w:t>
            </w:r>
            <w:r w:rsidR="00046847">
              <w:rPr>
                <w:sz w:val="20"/>
                <w:szCs w:val="20"/>
              </w:rPr>
              <w:t> </w:t>
            </w:r>
            <w:r w:rsidRPr="00512405">
              <w:rPr>
                <w:sz w:val="20"/>
                <w:szCs w:val="20"/>
              </w:rPr>
              <w:t>Kč financováno z ESF)</w:t>
            </w:r>
          </w:p>
        </w:tc>
      </w:tr>
      <w:tr w:rsidR="006C63AA" w:rsidRPr="007A5808" w14:paraId="06ED81EC" w14:textId="77777777" w:rsidTr="00512405">
        <w:trPr>
          <w:trHeight w:val="567"/>
        </w:trPr>
        <w:tc>
          <w:tcPr>
            <w:tcW w:w="2297" w:type="dxa"/>
            <w:vAlign w:val="center"/>
          </w:tcPr>
          <w:p w14:paraId="030EDC2A" w14:textId="77777777" w:rsidR="006C63AA" w:rsidRPr="00512405" w:rsidRDefault="006C63AA" w:rsidP="00E235A9">
            <w:pPr>
              <w:spacing w:after="0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Jednotné přijímací zkoušky na střední školy**</w:t>
            </w:r>
          </w:p>
        </w:tc>
        <w:tc>
          <w:tcPr>
            <w:tcW w:w="1134" w:type="dxa"/>
            <w:vAlign w:val="center"/>
          </w:tcPr>
          <w:p w14:paraId="6C20F9A4" w14:textId="77777777" w:rsidR="006C63AA" w:rsidRPr="00512405" w:rsidRDefault="006C63AA" w:rsidP="00E235A9">
            <w:pPr>
              <w:spacing w:after="0"/>
              <w:jc w:val="center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CZVV</w:t>
            </w:r>
          </w:p>
        </w:tc>
        <w:tc>
          <w:tcPr>
            <w:tcW w:w="3402" w:type="dxa"/>
            <w:vAlign w:val="center"/>
          </w:tcPr>
          <w:p w14:paraId="4816063C" w14:textId="77777777" w:rsidR="006C63AA" w:rsidRPr="00512405" w:rsidRDefault="006C63AA" w:rsidP="006455D2">
            <w:pPr>
              <w:spacing w:after="0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Př</w:t>
            </w:r>
            <w:r w:rsidR="006455D2" w:rsidRPr="00512405">
              <w:rPr>
                <w:sz w:val="20"/>
                <w:szCs w:val="20"/>
              </w:rPr>
              <w:t>íprava JPZ a pokusné ověřování</w:t>
            </w:r>
          </w:p>
        </w:tc>
        <w:tc>
          <w:tcPr>
            <w:tcW w:w="2126" w:type="dxa"/>
            <w:vAlign w:val="center"/>
          </w:tcPr>
          <w:p w14:paraId="0FFA0DBB" w14:textId="77777777" w:rsidR="006C63AA" w:rsidRPr="00512405" w:rsidRDefault="006C63AA" w:rsidP="00E235A9">
            <w:pPr>
              <w:spacing w:after="0"/>
              <w:jc w:val="right"/>
              <w:rPr>
                <w:sz w:val="20"/>
                <w:szCs w:val="20"/>
              </w:rPr>
            </w:pPr>
            <w:r w:rsidRPr="00512405">
              <w:rPr>
                <w:sz w:val="20"/>
                <w:szCs w:val="20"/>
              </w:rPr>
              <w:t>13 799 336</w:t>
            </w:r>
          </w:p>
        </w:tc>
      </w:tr>
      <w:tr w:rsidR="006C63AA" w:rsidRPr="007A5808" w14:paraId="5D72599F" w14:textId="77777777" w:rsidTr="00512405">
        <w:trPr>
          <w:trHeight w:val="567"/>
        </w:trPr>
        <w:tc>
          <w:tcPr>
            <w:tcW w:w="3431" w:type="dxa"/>
            <w:gridSpan w:val="2"/>
            <w:vAlign w:val="center"/>
          </w:tcPr>
          <w:p w14:paraId="609DFD0B" w14:textId="77777777" w:rsidR="006C63AA" w:rsidRPr="00512405" w:rsidRDefault="006C63AA" w:rsidP="00E235A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12405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5528" w:type="dxa"/>
            <w:gridSpan w:val="2"/>
            <w:vAlign w:val="center"/>
          </w:tcPr>
          <w:p w14:paraId="280185AF" w14:textId="77777777" w:rsidR="006C63AA" w:rsidRPr="00512405" w:rsidRDefault="006C63AA" w:rsidP="00E235A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12405">
              <w:rPr>
                <w:b/>
                <w:sz w:val="20"/>
                <w:szCs w:val="20"/>
              </w:rPr>
              <w:t>1 179,1 mil. Kč</w:t>
            </w:r>
          </w:p>
        </w:tc>
      </w:tr>
    </w:tbl>
    <w:p w14:paraId="70D6D638" w14:textId="6CAA5213" w:rsidR="003D1F08" w:rsidRPr="007A5808" w:rsidDel="00046847" w:rsidRDefault="003D1F08" w:rsidP="00512405">
      <w:pPr>
        <w:spacing w:after="40" w:line="240" w:lineRule="auto"/>
        <w:rPr>
          <w:sz w:val="22"/>
        </w:rPr>
      </w:pPr>
      <w:r w:rsidRPr="00512405" w:rsidDel="00046847">
        <w:rPr>
          <w:b/>
          <w:sz w:val="20"/>
          <w:szCs w:val="20"/>
        </w:rPr>
        <w:t>Zdroj:</w:t>
      </w:r>
      <w:r w:rsidRPr="007A5808" w:rsidDel="00046847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7A5808" w:rsidDel="00046847">
        <w:rPr>
          <w:sz w:val="20"/>
          <w:szCs w:val="20"/>
        </w:rPr>
        <w:t>lastní zpracování na základě dokladů a informací MŠMT, CZVV a ČŠI</w:t>
      </w:r>
      <w:r>
        <w:rPr>
          <w:sz w:val="20"/>
          <w:szCs w:val="20"/>
        </w:rPr>
        <w:t>.</w:t>
      </w:r>
    </w:p>
    <w:p w14:paraId="06E51ACE" w14:textId="13EE1850" w:rsidR="007A5808" w:rsidRPr="007A5808" w:rsidRDefault="007A5808" w:rsidP="003D1F08">
      <w:pPr>
        <w:spacing w:before="160" w:line="240" w:lineRule="auto"/>
        <w:ind w:left="284" w:hanging="284"/>
        <w:contextualSpacing/>
        <w:rPr>
          <w:sz w:val="20"/>
          <w:szCs w:val="20"/>
        </w:rPr>
      </w:pPr>
      <w:r w:rsidRPr="007A5808">
        <w:rPr>
          <w:sz w:val="20"/>
          <w:szCs w:val="20"/>
        </w:rPr>
        <w:t xml:space="preserve">* </w:t>
      </w:r>
      <w:r w:rsidR="003D1F08">
        <w:rPr>
          <w:sz w:val="20"/>
          <w:szCs w:val="20"/>
        </w:rPr>
        <w:tab/>
      </w:r>
      <w:r w:rsidRPr="007A5808">
        <w:rPr>
          <w:rFonts w:cstheme="minorHAnsi"/>
          <w:sz w:val="20"/>
          <w:szCs w:val="20"/>
        </w:rPr>
        <w:t>Přípravou a realizací SMZ v období od roku 2005 do 30. 6. 2011 se zabývala kontrolní akce NKÚ č. 11/08, za toto období bylo na SMZ vynaloženo celkem 1 189 717 000 Kč.</w:t>
      </w:r>
    </w:p>
    <w:p w14:paraId="1E4215D9" w14:textId="122482FF" w:rsidR="007A5808" w:rsidRPr="007A5808" w:rsidRDefault="007A5808" w:rsidP="003D1F08">
      <w:pPr>
        <w:spacing w:before="160" w:line="240" w:lineRule="auto"/>
        <w:ind w:left="284" w:hanging="284"/>
        <w:contextualSpacing/>
        <w:rPr>
          <w:sz w:val="20"/>
          <w:szCs w:val="20"/>
        </w:rPr>
      </w:pPr>
      <w:r w:rsidRPr="007A5808">
        <w:rPr>
          <w:sz w:val="20"/>
          <w:szCs w:val="20"/>
        </w:rPr>
        <w:t xml:space="preserve">** </w:t>
      </w:r>
      <w:r w:rsidR="003D1F08">
        <w:rPr>
          <w:sz w:val="20"/>
          <w:szCs w:val="20"/>
        </w:rPr>
        <w:tab/>
      </w:r>
      <w:r w:rsidRPr="007A5808">
        <w:rPr>
          <w:rFonts w:cstheme="minorHAnsi"/>
          <w:sz w:val="20"/>
          <w:szCs w:val="20"/>
        </w:rPr>
        <w:t>V případě JPZ se jedná o prostředky vynaložené k datu 31. 8. 2016.</w:t>
      </w:r>
    </w:p>
    <w:p w14:paraId="68E5CA19" w14:textId="77777777" w:rsidR="004C0D8E" w:rsidRDefault="004C0D8E">
      <w:pPr>
        <w:spacing w:after="16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5287209C" w14:textId="77777777" w:rsidR="004C0D8E" w:rsidRDefault="004C0D8E">
      <w:pPr>
        <w:spacing w:after="16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4C0D8E" w:rsidSect="004D4605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E2A85" w14:textId="77777777" w:rsidR="00574571" w:rsidRDefault="00574571" w:rsidP="0077328C">
      <w:pPr>
        <w:spacing w:after="0" w:line="240" w:lineRule="auto"/>
      </w:pPr>
      <w:r>
        <w:separator/>
      </w:r>
    </w:p>
  </w:endnote>
  <w:endnote w:type="continuationSeparator" w:id="0">
    <w:p w14:paraId="71BC7233" w14:textId="77777777" w:rsidR="00574571" w:rsidRDefault="00574571" w:rsidP="0077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030020"/>
      <w:docPartObj>
        <w:docPartGallery w:val="Page Numbers (Bottom of Page)"/>
        <w:docPartUnique/>
      </w:docPartObj>
    </w:sdtPr>
    <w:sdtEndPr/>
    <w:sdtContent>
      <w:p w14:paraId="7D0EAE74" w14:textId="0F501544" w:rsidR="00574571" w:rsidRDefault="005745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AE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846172"/>
      <w:docPartObj>
        <w:docPartGallery w:val="Page Numbers (Bottom of Page)"/>
        <w:docPartUnique/>
      </w:docPartObj>
    </w:sdtPr>
    <w:sdtEndPr/>
    <w:sdtContent>
      <w:p w14:paraId="62948CF1" w14:textId="24EA61E8" w:rsidR="00574571" w:rsidRDefault="005745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AE9">
          <w:rPr>
            <w:noProof/>
          </w:rPr>
          <w:t>1</w:t>
        </w:r>
        <w:r>
          <w:fldChar w:fldCharType="end"/>
        </w:r>
      </w:p>
    </w:sdtContent>
  </w:sdt>
  <w:p w14:paraId="0E0AD65C" w14:textId="77777777" w:rsidR="00574571" w:rsidRDefault="005745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43808" w14:textId="77777777" w:rsidR="00574571" w:rsidRDefault="00574571" w:rsidP="0077328C">
      <w:pPr>
        <w:spacing w:after="0" w:line="240" w:lineRule="auto"/>
      </w:pPr>
      <w:r>
        <w:separator/>
      </w:r>
    </w:p>
  </w:footnote>
  <w:footnote w:type="continuationSeparator" w:id="0">
    <w:p w14:paraId="51884593" w14:textId="77777777" w:rsidR="00574571" w:rsidRDefault="00574571" w:rsidP="0077328C">
      <w:pPr>
        <w:spacing w:after="0" w:line="240" w:lineRule="auto"/>
      </w:pPr>
      <w:r>
        <w:continuationSeparator/>
      </w:r>
    </w:p>
  </w:footnote>
  <w:footnote w:id="1">
    <w:p w14:paraId="2461CA5D" w14:textId="77777777" w:rsidR="00574571" w:rsidRPr="004824FA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06FB8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4824FA">
        <w:rPr>
          <w:rFonts w:asciiTheme="minorHAnsi" w:hAnsiTheme="minorHAnsi" w:cstheme="minorHAnsi"/>
        </w:rPr>
        <w:t>Zákon č. 561/2004 Sb., o předškolním, základním, středním, vyšším odborném a jiném vzdělávání (školský zákon).</w:t>
      </w:r>
    </w:p>
  </w:footnote>
  <w:footnote w:id="2">
    <w:p w14:paraId="569D1A2A" w14:textId="77777777" w:rsidR="00574571" w:rsidRPr="004824FA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824FA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4824FA">
        <w:rPr>
          <w:rFonts w:asciiTheme="minorHAnsi" w:hAnsiTheme="minorHAnsi" w:cstheme="minorHAnsi"/>
        </w:rPr>
        <w:t>Dle mezinárodní standardní klasifikace vzdělávání ISCED se jedná o 2. stupeň ZŠ a odpovídající ročníky víceletých SŠ. Jednotlivé úrovně vzdělávání dle této klasifikace jsou definovány v </w:t>
      </w:r>
      <w:r>
        <w:rPr>
          <w:rFonts w:asciiTheme="minorHAnsi" w:hAnsiTheme="minorHAnsi" w:cstheme="minorHAnsi"/>
        </w:rPr>
        <w:t>p</w:t>
      </w:r>
      <w:r w:rsidRPr="004824FA">
        <w:rPr>
          <w:rFonts w:asciiTheme="minorHAnsi" w:hAnsiTheme="minorHAnsi" w:cstheme="minorHAnsi"/>
        </w:rPr>
        <w:t>říloze č. 1.</w:t>
      </w:r>
    </w:p>
  </w:footnote>
  <w:footnote w:id="3">
    <w:p w14:paraId="6401A8EE" w14:textId="00DABB5F" w:rsidR="00574571" w:rsidRPr="004824FA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824FA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4824FA">
        <w:rPr>
          <w:rFonts w:asciiTheme="minorHAnsi" w:hAnsiTheme="minorHAnsi" w:cstheme="minorHAnsi"/>
        </w:rPr>
        <w:t>Mezinárodní výzkum dospělých PIAAC (</w:t>
      </w:r>
      <w:r w:rsidRPr="00C628B4">
        <w:rPr>
          <w:rFonts w:asciiTheme="minorHAnsi" w:hAnsiTheme="minorHAnsi" w:cstheme="minorHAnsi"/>
          <w:i/>
          <w:lang w:val="en-GB"/>
        </w:rPr>
        <w:t>Programme</w:t>
      </w:r>
      <w:r w:rsidRPr="00C628B4">
        <w:rPr>
          <w:rFonts w:asciiTheme="minorHAnsi" w:hAnsiTheme="minorHAnsi" w:cstheme="minorHAnsi"/>
          <w:i/>
          <w:lang w:val="en-US"/>
        </w:rPr>
        <w:t xml:space="preserve"> for International Assessment of Adult Competencies</w:t>
      </w:r>
      <w:r w:rsidRPr="004824FA">
        <w:rPr>
          <w:rFonts w:asciiTheme="minorHAnsi" w:hAnsiTheme="minorHAnsi" w:cstheme="minorHAnsi"/>
        </w:rPr>
        <w:t>) realizovaný OECD v roce 2012.</w:t>
      </w:r>
    </w:p>
  </w:footnote>
  <w:footnote w:id="4">
    <w:p w14:paraId="2EBA8CFA" w14:textId="77777777" w:rsidR="00574571" w:rsidRPr="004824FA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824FA">
        <w:rPr>
          <w:rStyle w:val="Znakapoznpodarou"/>
          <w:rFonts w:asciiTheme="minorHAnsi" w:hAnsiTheme="minorHAnsi" w:cstheme="minorHAnsi"/>
        </w:rPr>
        <w:footnoteRef/>
      </w:r>
      <w:r w:rsidRPr="004824FA">
        <w:rPr>
          <w:rFonts w:asciiTheme="minorHAnsi" w:hAnsiTheme="minorHAnsi" w:cstheme="minorHAnsi"/>
        </w:rPr>
        <w:tab/>
        <w:t xml:space="preserve">Dokument schválený usnesením vlády </w:t>
      </w:r>
      <w:r>
        <w:rPr>
          <w:rFonts w:asciiTheme="minorHAnsi" w:hAnsiTheme="minorHAnsi" w:cstheme="minorHAnsi"/>
        </w:rPr>
        <w:t xml:space="preserve">ČR </w:t>
      </w:r>
      <w:r w:rsidRPr="004824FA">
        <w:rPr>
          <w:rFonts w:asciiTheme="minorHAnsi" w:hAnsiTheme="minorHAnsi" w:cstheme="minorHAnsi"/>
        </w:rPr>
        <w:t>ze dne 16. listopadu 2011 č. 836.</w:t>
      </w:r>
    </w:p>
  </w:footnote>
  <w:footnote w:id="5">
    <w:p w14:paraId="45BF167B" w14:textId="77777777" w:rsidR="00574571" w:rsidRPr="004824FA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824FA">
        <w:rPr>
          <w:rStyle w:val="Znakapoznpodarou"/>
          <w:rFonts w:asciiTheme="minorHAnsi" w:hAnsiTheme="minorHAnsi" w:cstheme="minorHAnsi"/>
        </w:rPr>
        <w:footnoteRef/>
      </w:r>
      <w:r w:rsidRPr="004824FA">
        <w:rPr>
          <w:rFonts w:asciiTheme="minorHAnsi" w:hAnsiTheme="minorHAnsi" w:cstheme="minorHAnsi"/>
        </w:rPr>
        <w:tab/>
        <w:t xml:space="preserve">Usnesením vlády </w:t>
      </w:r>
      <w:r>
        <w:rPr>
          <w:rFonts w:asciiTheme="minorHAnsi" w:hAnsiTheme="minorHAnsi" w:cstheme="minorHAnsi"/>
        </w:rPr>
        <w:t xml:space="preserve">ČR </w:t>
      </w:r>
      <w:r w:rsidRPr="004824FA">
        <w:rPr>
          <w:rFonts w:asciiTheme="minorHAnsi" w:hAnsiTheme="minorHAnsi" w:cstheme="minorHAnsi"/>
        </w:rPr>
        <w:t xml:space="preserve">ze dne 7. června 2010 č. 434 byly schváleny </w:t>
      </w:r>
      <w:r w:rsidRPr="004824FA">
        <w:rPr>
          <w:rFonts w:asciiTheme="minorHAnsi" w:hAnsiTheme="minorHAnsi" w:cstheme="minorHAnsi"/>
          <w:bCs/>
        </w:rPr>
        <w:t xml:space="preserve">národní cíle ČR stanovené na základě hlavních cílů strategie </w:t>
      </w:r>
      <w:r w:rsidRPr="00C628B4">
        <w:rPr>
          <w:rFonts w:asciiTheme="minorHAnsi" w:hAnsiTheme="minorHAnsi" w:cstheme="minorHAnsi"/>
          <w:bCs/>
          <w:i/>
        </w:rPr>
        <w:t>Evropa 2020</w:t>
      </w:r>
      <w:r w:rsidRPr="004824FA">
        <w:rPr>
          <w:rFonts w:asciiTheme="minorHAnsi" w:hAnsiTheme="minorHAnsi" w:cstheme="minorHAnsi"/>
          <w:bCs/>
        </w:rPr>
        <w:t>.</w:t>
      </w:r>
    </w:p>
  </w:footnote>
  <w:footnote w:id="6">
    <w:p w14:paraId="4ECE4759" w14:textId="1EEB50FA" w:rsidR="00574571" w:rsidRPr="004824FA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824FA">
        <w:rPr>
          <w:rStyle w:val="Znakapoznpodarou"/>
          <w:rFonts w:asciiTheme="minorHAnsi" w:hAnsiTheme="minorHAnsi" w:cstheme="minorHAnsi"/>
        </w:rPr>
        <w:footnoteRef/>
      </w:r>
      <w:r w:rsidRPr="004824FA">
        <w:rPr>
          <w:rFonts w:asciiTheme="minorHAnsi" w:hAnsiTheme="minorHAnsi" w:cstheme="minorHAnsi"/>
        </w:rPr>
        <w:tab/>
        <w:t>Maturitní zkouška se skládá ze SMZ a profilové části. Žák získá střední vzdělání s</w:t>
      </w:r>
      <w:r>
        <w:rPr>
          <w:rFonts w:asciiTheme="minorHAnsi" w:hAnsiTheme="minorHAnsi" w:cstheme="minorHAnsi"/>
        </w:rPr>
        <w:t> maturitou</w:t>
      </w:r>
      <w:r w:rsidRPr="004824FA">
        <w:rPr>
          <w:rFonts w:asciiTheme="minorHAnsi" w:hAnsiTheme="minorHAnsi" w:cstheme="minorHAnsi"/>
        </w:rPr>
        <w:t>, jestliže úspěšně vykoná obě části maturitní zkoušky. SMZ je zajišťována centrálně CZVV.</w:t>
      </w:r>
    </w:p>
  </w:footnote>
  <w:footnote w:id="7">
    <w:p w14:paraId="5A93F2ED" w14:textId="77777777" w:rsidR="00574571" w:rsidRPr="004824FA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824FA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4824FA">
        <w:rPr>
          <w:rFonts w:asciiTheme="minorHAnsi" w:hAnsiTheme="minorHAnsi" w:cstheme="minorHAnsi"/>
        </w:rPr>
        <w:t>Regionální školství zahrnuje mateřské školy, ZŠ, SŠ a vyšší odborné školy, viz ustanovení § 161 školského zákona. Kontrola NKÚ byla zaměřena na nástroje hodnocení pro ZŠ a SŠ.</w:t>
      </w:r>
    </w:p>
  </w:footnote>
  <w:footnote w:id="8">
    <w:p w14:paraId="78DB66E1" w14:textId="1FC6C2A1" w:rsidR="00574571" w:rsidRPr="004824FA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824FA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  <w:t>Údaj vychází ze</w:t>
      </w:r>
      <w:r w:rsidRPr="004824FA">
        <w:rPr>
          <w:rFonts w:asciiTheme="minorHAnsi" w:hAnsiTheme="minorHAnsi" w:cstheme="minorHAnsi"/>
        </w:rPr>
        <w:t xml:space="preserve"> závěrečný</w:t>
      </w:r>
      <w:r>
        <w:rPr>
          <w:rFonts w:asciiTheme="minorHAnsi" w:hAnsiTheme="minorHAnsi" w:cstheme="minorHAnsi"/>
        </w:rPr>
        <w:t>ch</w:t>
      </w:r>
      <w:r w:rsidRPr="004824FA">
        <w:rPr>
          <w:rFonts w:asciiTheme="minorHAnsi" w:hAnsiTheme="minorHAnsi" w:cstheme="minorHAnsi"/>
        </w:rPr>
        <w:t xml:space="preserve"> úč</w:t>
      </w:r>
      <w:r>
        <w:rPr>
          <w:rFonts w:asciiTheme="minorHAnsi" w:hAnsiTheme="minorHAnsi" w:cstheme="minorHAnsi"/>
        </w:rPr>
        <w:t>tů</w:t>
      </w:r>
      <w:r w:rsidRPr="004824FA">
        <w:rPr>
          <w:rFonts w:asciiTheme="minorHAnsi" w:hAnsiTheme="minorHAnsi" w:cstheme="minorHAnsi"/>
        </w:rPr>
        <w:t xml:space="preserve"> kapitoly MŠMT za jednotlivé roky 2011</w:t>
      </w:r>
      <w:r>
        <w:rPr>
          <w:rFonts w:asciiTheme="minorHAnsi" w:hAnsiTheme="minorHAnsi" w:cstheme="minorHAnsi"/>
        </w:rPr>
        <w:t>–</w:t>
      </w:r>
      <w:r w:rsidRPr="004824FA">
        <w:rPr>
          <w:rFonts w:asciiTheme="minorHAnsi" w:hAnsiTheme="minorHAnsi" w:cstheme="minorHAnsi"/>
        </w:rPr>
        <w:t>2015.</w:t>
      </w:r>
    </w:p>
  </w:footnote>
  <w:footnote w:id="9">
    <w:p w14:paraId="1406BE73" w14:textId="77777777" w:rsidR="00574571" w:rsidRPr="004824FA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824FA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4824FA">
        <w:rPr>
          <w:rFonts w:asciiTheme="minorHAnsi" w:hAnsiTheme="minorHAnsi" w:cstheme="minorHAnsi"/>
        </w:rPr>
        <w:t>Na základě podmínek stanovených vyhláškou č. 492/2005 Sb., o krajských normativech.</w:t>
      </w:r>
    </w:p>
  </w:footnote>
  <w:footnote w:id="10">
    <w:p w14:paraId="61C50D3A" w14:textId="77777777" w:rsidR="00574571" w:rsidRPr="00D00F43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00F4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D00F43">
        <w:rPr>
          <w:rFonts w:asciiTheme="minorHAnsi" w:hAnsiTheme="minorHAnsi" w:cstheme="minorHAnsi"/>
        </w:rPr>
        <w:t>Ustanovení § 4 školského zákona.</w:t>
      </w:r>
    </w:p>
  </w:footnote>
  <w:footnote w:id="11">
    <w:p w14:paraId="5F9966E6" w14:textId="77777777" w:rsidR="00574571" w:rsidRPr="00D00F43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00F4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  <w:t>RVP musí odpovídat p</w:t>
      </w:r>
      <w:r w:rsidRPr="00D00F43">
        <w:rPr>
          <w:rFonts w:asciiTheme="minorHAnsi" w:hAnsiTheme="minorHAnsi" w:cstheme="minorHAnsi"/>
        </w:rPr>
        <w:t>oznatkům vědních disciplín, jejichž základy a praktické využití má vzdělávání zprostředkovat, a pedagogiky a psychologie o účinných metodách a organizačním uspořádání vzdělávání přiměřeně věku a rozvoji vzdělávaného (ustanovení § 4 odst. 2 školského zákona).</w:t>
      </w:r>
    </w:p>
  </w:footnote>
  <w:footnote w:id="12">
    <w:p w14:paraId="1B0D76EC" w14:textId="2725529D" w:rsidR="00574571" w:rsidRPr="00D00F43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00F4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D00F43">
        <w:rPr>
          <w:rFonts w:asciiTheme="minorHAnsi" w:hAnsiTheme="minorHAnsi" w:cstheme="minorHAnsi"/>
        </w:rPr>
        <w:t xml:space="preserve">Jedná se o dokument </w:t>
      </w:r>
      <w:r w:rsidRPr="00D00F43">
        <w:rPr>
          <w:rFonts w:asciiTheme="minorHAnsi" w:hAnsiTheme="minorHAnsi" w:cstheme="minorHAnsi"/>
          <w:i/>
        </w:rPr>
        <w:t>Národní program rozvoje vzdělávání v České republice</w:t>
      </w:r>
      <w:r>
        <w:rPr>
          <w:rFonts w:asciiTheme="minorHAnsi" w:hAnsiTheme="minorHAnsi" w:cstheme="minorHAnsi"/>
        </w:rPr>
        <w:t>, schválen byl</w:t>
      </w:r>
      <w:r w:rsidRPr="00D00F43">
        <w:rPr>
          <w:rFonts w:asciiTheme="minorHAnsi" w:hAnsiTheme="minorHAnsi" w:cstheme="minorHAnsi"/>
        </w:rPr>
        <w:t xml:space="preserve"> usnesením vlády </w:t>
      </w:r>
      <w:r>
        <w:rPr>
          <w:rFonts w:asciiTheme="minorHAnsi" w:hAnsiTheme="minorHAnsi" w:cstheme="minorHAnsi"/>
        </w:rPr>
        <w:t xml:space="preserve">ČR </w:t>
      </w:r>
      <w:r w:rsidRPr="00D00F43">
        <w:rPr>
          <w:rFonts w:asciiTheme="minorHAnsi" w:hAnsiTheme="minorHAnsi" w:cstheme="minorHAnsi"/>
        </w:rPr>
        <w:t>ze dne 7. února 2001 č. 113.</w:t>
      </w:r>
    </w:p>
  </w:footnote>
  <w:footnote w:id="13">
    <w:p w14:paraId="6E980EC1" w14:textId="5DDF0662" w:rsidR="00574571" w:rsidRPr="00D00F43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00F4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D00F43">
        <w:rPr>
          <w:rFonts w:asciiTheme="minorHAnsi" w:hAnsiTheme="minorHAnsi" w:cstheme="minorHAnsi"/>
          <w:i/>
        </w:rPr>
        <w:t>Zpráva OECD o hodnocení vzdělávání – Česká republika</w:t>
      </w:r>
      <w:r w:rsidRPr="00D00F43">
        <w:rPr>
          <w:rFonts w:asciiTheme="minorHAnsi" w:hAnsiTheme="minorHAnsi" w:cstheme="minorHAnsi"/>
        </w:rPr>
        <w:t>, 2012,</w:t>
      </w:r>
      <w:r>
        <w:rPr>
          <w:rFonts w:asciiTheme="minorHAnsi" w:hAnsiTheme="minorHAnsi" w:cstheme="minorHAnsi"/>
        </w:rPr>
        <w:t xml:space="preserve"> viz</w:t>
      </w:r>
      <w:r w:rsidRPr="00D00F43">
        <w:rPr>
          <w:rFonts w:asciiTheme="minorHAnsi" w:hAnsiTheme="minorHAnsi" w:cstheme="minorHAnsi"/>
        </w:rPr>
        <w:t xml:space="preserve"> </w:t>
      </w:r>
      <w:hyperlink r:id="rId1" w:history="1">
        <w:r w:rsidRPr="00D00F43">
          <w:rPr>
            <w:rStyle w:val="Hypertextovodkaz"/>
            <w:rFonts w:asciiTheme="minorHAnsi" w:hAnsiTheme="minorHAnsi" w:cstheme="minorHAnsi"/>
          </w:rPr>
          <w:t>http://www.msmt.cz/mezinarodni-vztahy/zprava-oecd-o-hodnoceni-vzdelavani-v-cr</w:t>
        </w:r>
      </w:hyperlink>
      <w:r w:rsidRPr="00D00F43">
        <w:rPr>
          <w:rFonts w:asciiTheme="minorHAnsi" w:hAnsiTheme="minorHAnsi" w:cstheme="minorHAnsi"/>
        </w:rPr>
        <w:t>.</w:t>
      </w:r>
    </w:p>
  </w:footnote>
  <w:footnote w:id="14">
    <w:p w14:paraId="5A7AE5D7" w14:textId="77777777" w:rsidR="00574571" w:rsidRPr="00D00F43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00F4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D00F43">
        <w:rPr>
          <w:rFonts w:asciiTheme="minorHAnsi" w:hAnsiTheme="minorHAnsi" w:cstheme="minorHAnsi"/>
        </w:rPr>
        <w:t>Zavedení SMZ bylo předmětem KA č. 11/08</w:t>
      </w:r>
      <w:r>
        <w:rPr>
          <w:rFonts w:asciiTheme="minorHAnsi" w:hAnsiTheme="minorHAnsi" w:cstheme="minorHAnsi"/>
        </w:rPr>
        <w:t>. V KA č. 16/13 byly kontrolovány peněžní prostředky použité na realizaci SMZ a zavedení dalších nástrojů hodnocení kvality vzdělávání.</w:t>
      </w:r>
    </w:p>
  </w:footnote>
  <w:footnote w:id="15">
    <w:p w14:paraId="37D06051" w14:textId="77777777" w:rsidR="00574571" w:rsidRPr="00D00F43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D00F4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  <w:t>Kontrolní závěr z KA č. 11/08 byl z</w:t>
      </w:r>
      <w:r w:rsidRPr="00D00F43">
        <w:rPr>
          <w:rFonts w:asciiTheme="minorHAnsi" w:hAnsiTheme="minorHAnsi" w:cstheme="minorHAnsi"/>
        </w:rPr>
        <w:t xml:space="preserve">veřejněn v částce 1/2012 </w:t>
      </w:r>
      <w:r w:rsidRPr="00C628B4">
        <w:rPr>
          <w:rFonts w:asciiTheme="minorHAnsi" w:hAnsiTheme="minorHAnsi" w:cstheme="minorHAnsi"/>
          <w:i/>
        </w:rPr>
        <w:t>Věstníku NKÚ</w:t>
      </w:r>
      <w:r w:rsidRPr="00D00F43">
        <w:rPr>
          <w:rFonts w:asciiTheme="minorHAnsi" w:hAnsiTheme="minorHAnsi" w:cstheme="minorHAnsi"/>
        </w:rPr>
        <w:t>.</w:t>
      </w:r>
    </w:p>
  </w:footnote>
  <w:footnote w:id="16">
    <w:p w14:paraId="7225EC05" w14:textId="5004C407" w:rsidR="00574571" w:rsidRPr="00375586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75586">
        <w:rPr>
          <w:rStyle w:val="Znakapoznpodarou"/>
          <w:rFonts w:asciiTheme="minorHAnsi" w:hAnsiTheme="minorHAnsi" w:cstheme="minorHAnsi"/>
        </w:rPr>
        <w:footnoteRef/>
      </w:r>
      <w:r w:rsidRPr="00375586">
        <w:rPr>
          <w:rFonts w:asciiTheme="minorHAnsi" w:hAnsiTheme="minorHAnsi" w:cstheme="minorHAnsi"/>
        </w:rPr>
        <w:tab/>
        <w:t>Uzlovými body j</w:t>
      </w:r>
      <w:r>
        <w:rPr>
          <w:rFonts w:asciiTheme="minorHAnsi" w:hAnsiTheme="minorHAnsi" w:cstheme="minorHAnsi"/>
        </w:rPr>
        <w:t>sou</w:t>
      </w:r>
      <w:r w:rsidRPr="00375586">
        <w:rPr>
          <w:rFonts w:asciiTheme="minorHAnsi" w:hAnsiTheme="minorHAnsi" w:cstheme="minorHAnsi"/>
        </w:rPr>
        <w:t xml:space="preserve"> míněn</w:t>
      </w:r>
      <w:r>
        <w:rPr>
          <w:rFonts w:asciiTheme="minorHAnsi" w:hAnsiTheme="minorHAnsi" w:cstheme="minorHAnsi"/>
        </w:rPr>
        <w:t>y</w:t>
      </w:r>
      <w:r w:rsidRPr="00375586">
        <w:rPr>
          <w:rFonts w:asciiTheme="minorHAnsi" w:hAnsiTheme="minorHAnsi" w:cstheme="minorHAnsi"/>
        </w:rPr>
        <w:t xml:space="preserve"> 5. a 9. ročník základního vzdělávání, tzn. konec jeho prvního a druhého stupně, kdy v případě 5. ročníku může dojít k přechodu do víceletého gymnázia či jiné speciálně zaměřené formy základního vzdělávání a v případě 9. ročníku dochází k ukončení základního vzdělávání a přechodu do středního stupně vzdělávání.</w:t>
      </w:r>
    </w:p>
  </w:footnote>
  <w:footnote w:id="17">
    <w:p w14:paraId="33DC69D0" w14:textId="77777777" w:rsidR="00574571" w:rsidRPr="00C628B4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628B4">
        <w:rPr>
          <w:rStyle w:val="Znakapoznpodarou"/>
          <w:rFonts w:asciiTheme="minorHAnsi" w:hAnsiTheme="minorHAnsi" w:cstheme="minorHAnsi"/>
        </w:rPr>
        <w:footnoteRef/>
      </w:r>
      <w:r w:rsidRPr="00506813">
        <w:rPr>
          <w:rFonts w:asciiTheme="minorHAnsi" w:hAnsiTheme="minorHAnsi" w:cstheme="minorHAnsi"/>
        </w:rPr>
        <w:tab/>
      </w:r>
      <w:r w:rsidRPr="00375586">
        <w:rPr>
          <w:rFonts w:asciiTheme="minorHAnsi" w:hAnsiTheme="minorHAnsi" w:cstheme="minorHAnsi"/>
        </w:rPr>
        <w:t>Zákon č. 218/2000 Sb., o rozpočtových pravidlech a o změně některých souvisejících zákonů (rozpočtová pravidla).</w:t>
      </w:r>
    </w:p>
  </w:footnote>
  <w:footnote w:id="18">
    <w:p w14:paraId="29D41CEB" w14:textId="77777777" w:rsidR="00574571" w:rsidRPr="00854263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854263">
        <w:rPr>
          <w:rStyle w:val="Znakapoznpodarou"/>
          <w:rFonts w:asciiTheme="minorHAnsi" w:hAnsiTheme="minorHAnsi" w:cstheme="minorHAnsi"/>
        </w:rPr>
        <w:footnoteRef/>
      </w:r>
      <w:r w:rsidRPr="00854263">
        <w:rPr>
          <w:rFonts w:asciiTheme="minorHAnsi" w:hAnsiTheme="minorHAnsi" w:cstheme="minorHAnsi"/>
        </w:rPr>
        <w:tab/>
        <w:t xml:space="preserve">V případě úspěšného dokončení legislativního procesu změny školského zákona. Návrh změny školského zákona byl schválen usnesením </w:t>
      </w:r>
      <w:r>
        <w:rPr>
          <w:rFonts w:asciiTheme="minorHAnsi" w:hAnsiTheme="minorHAnsi" w:cstheme="minorHAnsi"/>
        </w:rPr>
        <w:t xml:space="preserve">Senátu </w:t>
      </w:r>
      <w:r w:rsidRPr="00854263">
        <w:rPr>
          <w:rFonts w:asciiTheme="minorHAnsi" w:hAnsiTheme="minorHAnsi" w:cstheme="minorHAnsi"/>
        </w:rPr>
        <w:t xml:space="preserve">Parlamentu ČR </w:t>
      </w:r>
      <w:r>
        <w:rPr>
          <w:rFonts w:asciiTheme="minorHAnsi" w:hAnsiTheme="minorHAnsi" w:cstheme="minorHAnsi"/>
        </w:rPr>
        <w:t>ze dne 8. března 2017 č. 1529, viz senátní tisk č. 54</w:t>
      </w:r>
      <w:r w:rsidRPr="00854263">
        <w:rPr>
          <w:rFonts w:asciiTheme="minorHAnsi" w:hAnsiTheme="minorHAnsi" w:cstheme="minorHAnsi"/>
        </w:rPr>
        <w:t xml:space="preserve">, </w:t>
      </w:r>
      <w:hyperlink r:id="rId2" w:history="1">
        <w:r w:rsidRPr="00017650">
          <w:rPr>
            <w:rStyle w:val="Hypertextovodkaz"/>
            <w:rFonts w:asciiTheme="minorHAnsi" w:hAnsiTheme="minorHAnsi" w:cstheme="minorHAnsi"/>
          </w:rPr>
          <w:t>http://www.senat.cz/xqw/webdav/pssenat/original/82907/69599</w:t>
        </w:r>
      </w:hyperlink>
      <w:r w:rsidRPr="00C628B4">
        <w:rPr>
          <w:rFonts w:asciiTheme="minorHAnsi" w:hAnsiTheme="minorHAnsi"/>
        </w:rPr>
        <w:t>.</w:t>
      </w:r>
    </w:p>
  </w:footnote>
  <w:footnote w:id="19">
    <w:p w14:paraId="49661A5E" w14:textId="77777777" w:rsidR="00574571" w:rsidRPr="00EA50C1" w:rsidRDefault="00574571" w:rsidP="00101F59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628B4">
        <w:rPr>
          <w:rStyle w:val="Znakapoznpodarou"/>
          <w:rFonts w:asciiTheme="minorHAnsi" w:hAnsiTheme="minorHAnsi" w:cstheme="minorHAnsi"/>
        </w:rPr>
        <w:footnoteRef/>
      </w:r>
      <w:r w:rsidRPr="00506813">
        <w:rPr>
          <w:rFonts w:asciiTheme="minorHAnsi" w:hAnsiTheme="minorHAnsi" w:cstheme="minorHAnsi"/>
        </w:rPr>
        <w:tab/>
      </w:r>
      <w:r w:rsidRPr="00375586">
        <w:rPr>
          <w:rFonts w:asciiTheme="minorHAnsi" w:hAnsiTheme="minorHAnsi" w:cstheme="minorHAnsi"/>
        </w:rPr>
        <w:t>Závaznost</w:t>
      </w:r>
      <w:r w:rsidRPr="00EA50C1">
        <w:rPr>
          <w:rFonts w:asciiTheme="minorHAnsi" w:hAnsiTheme="minorHAnsi" w:cstheme="minorHAnsi"/>
        </w:rPr>
        <w:t xml:space="preserve"> minimálních cílových požadavků je dána jejich zařazením do RVP ZV.</w:t>
      </w:r>
    </w:p>
  </w:footnote>
  <w:footnote w:id="20">
    <w:p w14:paraId="6D0E6E6C" w14:textId="61E125FE" w:rsidR="00574571" w:rsidRPr="00FF4192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EA50C1">
        <w:rPr>
          <w:rStyle w:val="Znakapoznpodarou"/>
          <w:rFonts w:asciiTheme="minorHAnsi" w:hAnsiTheme="minorHAnsi" w:cstheme="minorHAnsi"/>
        </w:rPr>
        <w:footnoteRef/>
      </w:r>
      <w:r w:rsidRPr="00EA50C1">
        <w:rPr>
          <w:rFonts w:asciiTheme="minorHAnsi" w:hAnsiTheme="minorHAnsi" w:cstheme="minorHAnsi"/>
        </w:rPr>
        <w:tab/>
      </w:r>
      <w:r w:rsidRPr="00EA50C1">
        <w:rPr>
          <w:rFonts w:asciiTheme="minorHAnsi" w:hAnsiTheme="minorHAnsi" w:cstheme="minorHAnsi"/>
          <w:color w:val="000000"/>
        </w:rPr>
        <w:t>Mezinárodní šetření PISA (</w:t>
      </w:r>
      <w:r w:rsidRPr="00C628B4">
        <w:rPr>
          <w:rStyle w:val="Zdraznn"/>
          <w:rFonts w:asciiTheme="minorHAnsi" w:hAnsiTheme="minorHAnsi" w:cstheme="minorHAnsi"/>
          <w:color w:val="000000"/>
        </w:rPr>
        <w:t>Programme for International Student Assessment</w:t>
      </w:r>
      <w:r w:rsidRPr="00EA50C1">
        <w:rPr>
          <w:rFonts w:asciiTheme="minorHAnsi" w:hAnsiTheme="minorHAnsi" w:cstheme="minorHAnsi"/>
          <w:color w:val="000000"/>
        </w:rPr>
        <w:t>)</w:t>
      </w:r>
      <w:r w:rsidRPr="00EA50C1">
        <w:rPr>
          <w:rFonts w:asciiTheme="minorHAnsi" w:hAnsiTheme="minorHAnsi" w:cstheme="minorHAnsi"/>
        </w:rPr>
        <w:t xml:space="preserve"> představuje testování 15letých žáků v matematické, čtenářské a přírodovědné gramotnosti. Jedná se o aktivitu OECD. </w:t>
      </w:r>
      <w:r>
        <w:rPr>
          <w:rFonts w:asciiTheme="minorHAnsi" w:hAnsiTheme="minorHAnsi" w:cstheme="minorHAnsi"/>
        </w:rPr>
        <w:t>Aktuální v</w:t>
      </w:r>
      <w:r w:rsidRPr="00FF4192">
        <w:rPr>
          <w:rFonts w:asciiTheme="minorHAnsi" w:hAnsiTheme="minorHAnsi" w:cstheme="minorHAnsi"/>
        </w:rPr>
        <w:t xml:space="preserve">ýsledky testování jsou dostupné na </w:t>
      </w:r>
      <w:hyperlink r:id="rId3" w:history="1">
        <w:r w:rsidRPr="00FF4192">
          <w:rPr>
            <w:rStyle w:val="Hypertextovodkaz"/>
            <w:rFonts w:asciiTheme="minorHAnsi" w:hAnsiTheme="minorHAnsi" w:cstheme="minorHAnsi"/>
          </w:rPr>
          <w:t>http://www.oecd.org/pisa/pisa-2015-results-in-focus.pdf</w:t>
        </w:r>
      </w:hyperlink>
      <w:r>
        <w:rPr>
          <w:rFonts w:asciiTheme="minorHAnsi" w:hAnsiTheme="minorHAnsi" w:cstheme="minorHAnsi"/>
        </w:rPr>
        <w:t xml:space="preserve"> a další výsledky jsou k dispozici na adrese </w:t>
      </w:r>
      <w:hyperlink r:id="rId4" w:history="1">
        <w:r w:rsidRPr="00D63A15">
          <w:rPr>
            <w:rStyle w:val="Hypertextovodkaz"/>
            <w:rFonts w:asciiTheme="minorHAnsi" w:hAnsiTheme="minorHAnsi"/>
          </w:rPr>
          <w:t>https://www.oecd.org/pisa/keyfindings/</w:t>
        </w:r>
      </w:hyperlink>
      <w:r w:rsidRPr="00C628B4">
        <w:rPr>
          <w:rStyle w:val="Hypertextovodkaz"/>
          <w:rFonts w:asciiTheme="minorHAnsi" w:hAnsiTheme="minorHAnsi"/>
          <w:color w:val="auto"/>
          <w:u w:val="none"/>
        </w:rPr>
        <w:t>.</w:t>
      </w:r>
    </w:p>
  </w:footnote>
  <w:footnote w:id="21">
    <w:p w14:paraId="5DAF231D" w14:textId="157B7F3B" w:rsidR="00574571" w:rsidRPr="00285BC4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75586">
        <w:rPr>
          <w:rFonts w:asciiTheme="minorHAnsi" w:hAnsiTheme="minorHAnsi" w:cstheme="minorHAnsi"/>
          <w:vertAlign w:val="superscript"/>
        </w:rPr>
        <w:footnoteRef/>
      </w:r>
      <w:r w:rsidRPr="00375586">
        <w:rPr>
          <w:rFonts w:asciiTheme="minorHAnsi" w:hAnsiTheme="minorHAnsi" w:cstheme="minorHAnsi"/>
          <w:vertAlign w:val="superscript"/>
        </w:rPr>
        <w:tab/>
      </w:r>
      <w:r w:rsidRPr="00375586">
        <w:rPr>
          <w:rFonts w:asciiTheme="minorHAnsi" w:hAnsiTheme="minorHAnsi" w:cstheme="minorHAnsi"/>
        </w:rPr>
        <w:t xml:space="preserve">Strategie </w:t>
      </w:r>
      <w:r w:rsidRPr="00C628B4">
        <w:rPr>
          <w:rFonts w:asciiTheme="minorHAnsi" w:hAnsiTheme="minorHAnsi" w:cstheme="minorHAnsi"/>
          <w:i/>
        </w:rPr>
        <w:t>Evropa 2020</w:t>
      </w:r>
      <w:r w:rsidRPr="00375586">
        <w:rPr>
          <w:rFonts w:asciiTheme="minorHAnsi" w:hAnsiTheme="minorHAnsi" w:cstheme="minorHAnsi"/>
        </w:rPr>
        <w:t xml:space="preserve"> stanovila jako jeden z cílů snížení podílu předčasných odchodů ze vzdělávání pod 10 %. Usnesením vlády </w:t>
      </w:r>
      <w:r>
        <w:rPr>
          <w:rFonts w:asciiTheme="minorHAnsi" w:hAnsiTheme="minorHAnsi" w:cstheme="minorHAnsi"/>
        </w:rPr>
        <w:t xml:space="preserve">ČR </w:t>
      </w:r>
      <w:r w:rsidRPr="00375586">
        <w:rPr>
          <w:rFonts w:asciiTheme="minorHAnsi" w:hAnsiTheme="minorHAnsi" w:cstheme="minorHAnsi"/>
        </w:rPr>
        <w:t>ze dne 7. června 2010 č. 434 byl nastaven tento cíl na národní úrovni striktněji,</w:t>
      </w:r>
      <w:r w:rsidRPr="00285BC4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 </w:t>
      </w:r>
      <w:r w:rsidRPr="00285BC4">
        <w:rPr>
          <w:rFonts w:asciiTheme="minorHAnsi" w:hAnsiTheme="minorHAnsi" w:cstheme="minorHAnsi"/>
        </w:rPr>
        <w:t>to ve výši 5,5 %.</w:t>
      </w:r>
    </w:p>
  </w:footnote>
  <w:footnote w:id="22">
    <w:p w14:paraId="22E2EF5F" w14:textId="77777777" w:rsidR="00574571" w:rsidRPr="00C628B4" w:rsidRDefault="00574571" w:rsidP="000F784C">
      <w:pPr>
        <w:tabs>
          <w:tab w:val="left" w:pos="12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375586">
        <w:rPr>
          <w:rFonts w:cstheme="minorHAnsi"/>
          <w:sz w:val="20"/>
          <w:szCs w:val="20"/>
          <w:vertAlign w:val="superscript"/>
        </w:rPr>
        <w:footnoteRef/>
      </w:r>
      <w:r w:rsidRPr="00375586">
        <w:rPr>
          <w:rFonts w:cstheme="minorHAnsi"/>
          <w:sz w:val="20"/>
          <w:szCs w:val="20"/>
          <w:vertAlign w:val="superscript"/>
        </w:rPr>
        <w:t xml:space="preserve"> </w:t>
      </w:r>
      <w:r w:rsidRPr="00375586">
        <w:rPr>
          <w:rFonts w:cstheme="minorHAnsi"/>
          <w:sz w:val="20"/>
          <w:szCs w:val="20"/>
          <w:vertAlign w:val="superscript"/>
        </w:rPr>
        <w:tab/>
      </w:r>
      <w:r>
        <w:rPr>
          <w:rFonts w:cstheme="minorHAnsi"/>
          <w:sz w:val="20"/>
          <w:szCs w:val="20"/>
        </w:rPr>
        <w:t xml:space="preserve">Viz </w:t>
      </w:r>
      <w:hyperlink r:id="rId5" w:history="1">
        <w:r w:rsidRPr="00C628B4">
          <w:rPr>
            <w:rStyle w:val="Hypertextovodkaz"/>
            <w:rFonts w:cstheme="minorHAnsi"/>
            <w:i/>
            <w:spacing w:val="-2"/>
            <w:sz w:val="20"/>
            <w:szCs w:val="20"/>
          </w:rPr>
          <w:t>http://ec.europa.eu/eurostat/tgm/table.do?tab=table&amp;init=1&amp;plugin=1&amp;language=en&amp;pcode=t2020_40</w:t>
        </w:r>
      </w:hyperlink>
      <w:r w:rsidRPr="00375586">
        <w:rPr>
          <w:rFonts w:cstheme="minorHAnsi"/>
          <w:i/>
          <w:color w:val="000000"/>
          <w:sz w:val="20"/>
          <w:szCs w:val="20"/>
        </w:rPr>
        <w:t xml:space="preserve">. </w:t>
      </w:r>
    </w:p>
  </w:footnote>
  <w:footnote w:id="23">
    <w:p w14:paraId="7705CF33" w14:textId="3DCCBADF" w:rsidR="00574571" w:rsidRPr="00375586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628B4">
        <w:rPr>
          <w:rStyle w:val="Znakapoznpodarou"/>
          <w:rFonts w:asciiTheme="minorHAnsi" w:hAnsiTheme="minorHAnsi" w:cstheme="minorHAnsi"/>
        </w:rPr>
        <w:footnoteRef/>
      </w:r>
      <w:r w:rsidRPr="00506813">
        <w:rPr>
          <w:rFonts w:asciiTheme="minorHAnsi" w:hAnsiTheme="minorHAnsi" w:cstheme="minorHAnsi"/>
        </w:rPr>
        <w:tab/>
      </w:r>
      <w:r w:rsidRPr="00375586">
        <w:rPr>
          <w:rFonts w:asciiTheme="minorHAnsi" w:hAnsiTheme="minorHAnsi" w:cstheme="minorHAnsi"/>
        </w:rPr>
        <w:t xml:space="preserve">V roce 2014 byla </w:t>
      </w:r>
      <w:r>
        <w:rPr>
          <w:rFonts w:asciiTheme="minorHAnsi" w:hAnsiTheme="minorHAnsi" w:cstheme="minorHAnsi"/>
        </w:rPr>
        <w:t>„</w:t>
      </w:r>
      <w:r w:rsidRPr="00375586">
        <w:rPr>
          <w:rFonts w:asciiTheme="minorHAnsi" w:hAnsiTheme="minorHAnsi" w:cstheme="minorHAnsi"/>
        </w:rPr>
        <w:t>Matematika+</w:t>
      </w:r>
      <w:r>
        <w:rPr>
          <w:rFonts w:asciiTheme="minorHAnsi" w:hAnsiTheme="minorHAnsi" w:cstheme="minorHAnsi"/>
        </w:rPr>
        <w:t>“</w:t>
      </w:r>
      <w:r w:rsidRPr="00375586">
        <w:rPr>
          <w:rFonts w:asciiTheme="minorHAnsi" w:hAnsiTheme="minorHAnsi" w:cstheme="minorHAnsi"/>
        </w:rPr>
        <w:t xml:space="preserve"> realizována v pilotní fázi a nebyla zahrnuta do MZ. V letech 2015 a 2016 mohla být </w:t>
      </w:r>
      <w:r>
        <w:rPr>
          <w:rFonts w:asciiTheme="minorHAnsi" w:hAnsiTheme="minorHAnsi" w:cstheme="minorHAnsi"/>
        </w:rPr>
        <w:t>„</w:t>
      </w:r>
      <w:r w:rsidRPr="00375586">
        <w:rPr>
          <w:rFonts w:asciiTheme="minorHAnsi" w:hAnsiTheme="minorHAnsi" w:cstheme="minorHAnsi"/>
        </w:rPr>
        <w:t>Matematika+</w:t>
      </w:r>
      <w:r>
        <w:rPr>
          <w:rFonts w:asciiTheme="minorHAnsi" w:hAnsiTheme="minorHAnsi" w:cstheme="minorHAnsi"/>
        </w:rPr>
        <w:t>“</w:t>
      </w:r>
      <w:r w:rsidRPr="00375586">
        <w:rPr>
          <w:rFonts w:asciiTheme="minorHAnsi" w:hAnsiTheme="minorHAnsi" w:cstheme="minorHAnsi"/>
        </w:rPr>
        <w:t xml:space="preserve"> na základě rozhodnutí ředitele škol</w:t>
      </w:r>
      <w:r>
        <w:rPr>
          <w:rFonts w:asciiTheme="minorHAnsi" w:hAnsiTheme="minorHAnsi" w:cstheme="minorHAnsi"/>
        </w:rPr>
        <w:t>y</w:t>
      </w:r>
      <w:r w:rsidRPr="00375586">
        <w:rPr>
          <w:rFonts w:asciiTheme="minorHAnsi" w:hAnsiTheme="minorHAnsi" w:cstheme="minorHAnsi"/>
        </w:rPr>
        <w:t xml:space="preserve"> zařazena do profilové části MZ.</w:t>
      </w:r>
    </w:p>
  </w:footnote>
  <w:footnote w:id="24">
    <w:p w14:paraId="34EAC081" w14:textId="77777777" w:rsidR="00574571" w:rsidRPr="00C628B4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628B4">
        <w:rPr>
          <w:rStyle w:val="Znakapoznpodarou"/>
          <w:rFonts w:asciiTheme="minorHAnsi" w:hAnsiTheme="minorHAnsi" w:cstheme="minorHAnsi"/>
        </w:rPr>
        <w:footnoteRef/>
      </w:r>
      <w:r w:rsidRPr="00C628B4">
        <w:rPr>
          <w:rFonts w:asciiTheme="minorHAnsi" w:hAnsiTheme="minorHAnsi" w:cstheme="minorHAnsi"/>
        </w:rPr>
        <w:tab/>
      </w:r>
      <w:r w:rsidRPr="00375586">
        <w:rPr>
          <w:rFonts w:asciiTheme="minorHAnsi" w:hAnsiTheme="minorHAnsi" w:cstheme="minorHAnsi"/>
        </w:rPr>
        <w:t>Hlavním cílem projektu NIQES byla transformace a modernizace národního inspekčního systému ČR v souvislosti s probíhajícími změnami ve vzdělávání a s přihlédnutím k návazným změnám ve vzdělávacím systému ČR. V rámci projektu byly realizovány čtyři klíčové aktivity, z nichž jedna byla zaměřena na národní šetření výsledků žáků.</w:t>
      </w:r>
    </w:p>
  </w:footnote>
  <w:footnote w:id="25">
    <w:p w14:paraId="2CE7DAC6" w14:textId="77777777" w:rsidR="00574571" w:rsidRPr="00375586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375586">
        <w:rPr>
          <w:rStyle w:val="Znakapoznpodarou"/>
          <w:rFonts w:asciiTheme="minorHAnsi" w:hAnsiTheme="minorHAnsi" w:cstheme="minorHAnsi"/>
        </w:rPr>
        <w:footnoteRef/>
      </w:r>
      <w:r w:rsidRPr="00375586">
        <w:rPr>
          <w:rFonts w:asciiTheme="minorHAnsi" w:hAnsiTheme="minorHAnsi" w:cstheme="minorHAnsi"/>
        </w:rPr>
        <w:tab/>
        <w:t xml:space="preserve">38. porada vedení MŠMT konaná dne 29. října 2013. </w:t>
      </w:r>
    </w:p>
  </w:footnote>
  <w:footnote w:id="26">
    <w:p w14:paraId="55C0A376" w14:textId="77777777" w:rsidR="00574571" w:rsidRPr="00375586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628B4">
        <w:rPr>
          <w:rStyle w:val="Znakapoznpodarou"/>
          <w:rFonts w:asciiTheme="minorHAnsi" w:hAnsiTheme="minorHAnsi" w:cstheme="minorHAnsi"/>
        </w:rPr>
        <w:footnoteRef/>
      </w:r>
      <w:r w:rsidRPr="00506813">
        <w:rPr>
          <w:rFonts w:asciiTheme="minorHAnsi" w:hAnsiTheme="minorHAnsi" w:cstheme="minorHAnsi"/>
        </w:rPr>
        <w:tab/>
      </w:r>
      <w:r w:rsidRPr="00375586">
        <w:rPr>
          <w:rFonts w:asciiTheme="minorHAnsi" w:hAnsiTheme="minorHAnsi" w:cstheme="minorHAnsi"/>
        </w:rPr>
        <w:t>Zákon č. 499/2004 Sb., o archivnictví a spisové službě a o změně některých zákonů.</w:t>
      </w:r>
    </w:p>
  </w:footnote>
  <w:footnote w:id="27">
    <w:p w14:paraId="5A4BD549" w14:textId="7229DEF1" w:rsidR="00574571" w:rsidRDefault="00574571" w:rsidP="0084697D">
      <w:pPr>
        <w:pStyle w:val="Textpoznpodarou"/>
        <w:ind w:left="284" w:hanging="284"/>
        <w:jc w:val="both"/>
      </w:pPr>
      <w:r w:rsidRPr="00512405">
        <w:rPr>
          <w:rStyle w:val="Znakapoznpodarou"/>
          <w:rFonts w:asciiTheme="minorHAnsi" w:hAnsiTheme="minorHAnsi" w:cstheme="minorHAnsi"/>
        </w:rPr>
        <w:footnoteRef/>
      </w:r>
      <w:r>
        <w:tab/>
      </w:r>
      <w:r w:rsidRPr="008D3F6B">
        <w:rPr>
          <w:rFonts w:asciiTheme="minorHAnsi" w:hAnsiTheme="minorHAnsi" w:cstheme="minorHAnsi"/>
        </w:rPr>
        <w:t xml:space="preserve">Dle ustanovení § 50 odst. 1 vyhlášky </w:t>
      </w:r>
      <w:r>
        <w:rPr>
          <w:rFonts w:asciiTheme="minorHAnsi" w:hAnsiTheme="minorHAnsi" w:cstheme="minorHAnsi"/>
        </w:rPr>
        <w:t xml:space="preserve">č. </w:t>
      </w:r>
      <w:r w:rsidRPr="008D3F6B">
        <w:rPr>
          <w:rFonts w:asciiTheme="minorHAnsi" w:hAnsiTheme="minorHAnsi" w:cstheme="minorHAnsi"/>
        </w:rPr>
        <w:t>177/2009 Sb., o bližších podmínkách ukončování vzdělávání ve středních školách maturitní zkouškou, za konání jednotlivé zkoušky platí uchazeč o její vykonání úplatu nejvýše 1 500 Kč.</w:t>
      </w:r>
    </w:p>
  </w:footnote>
  <w:footnote w:id="28">
    <w:p w14:paraId="2A422F2E" w14:textId="4B5AACE6" w:rsidR="00574571" w:rsidRPr="00C43EA5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43EA5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C43EA5">
        <w:rPr>
          <w:rFonts w:asciiTheme="minorHAnsi" w:hAnsiTheme="minorHAnsi" w:cstheme="minorHAnsi"/>
        </w:rPr>
        <w:t xml:space="preserve">Jednotlivá zkouška z jednoho předmětu se může skládat z více dílčích zkoušek (písemná práce, didaktický test, ústní zkouška). </w:t>
      </w:r>
    </w:p>
  </w:footnote>
  <w:footnote w:id="29">
    <w:p w14:paraId="4818D37F" w14:textId="77777777" w:rsidR="00574571" w:rsidRPr="00C43EA5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C43EA5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C43EA5">
        <w:rPr>
          <w:rFonts w:asciiTheme="minorHAnsi" w:hAnsiTheme="minorHAnsi" w:cstheme="minorHAnsi"/>
        </w:rPr>
        <w:t>Dle ustanovení § 160 odst. 1 písm. c) a d), ustanovení § 161 odst. 1 školského zákona.</w:t>
      </w:r>
    </w:p>
  </w:footnote>
  <w:footnote w:id="30">
    <w:p w14:paraId="7B769C87" w14:textId="77777777" w:rsidR="00574571" w:rsidRPr="00442843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4284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442843">
        <w:rPr>
          <w:rFonts w:asciiTheme="minorHAnsi" w:hAnsiTheme="minorHAnsi" w:cstheme="minorHAnsi"/>
        </w:rPr>
        <w:t>Na základě podmínek stanovených vyhláškou č. 492/2005 Sb., o krajských normativech.</w:t>
      </w:r>
    </w:p>
  </w:footnote>
  <w:footnote w:id="31">
    <w:p w14:paraId="640092E9" w14:textId="77777777" w:rsidR="00574571" w:rsidRPr="00442843" w:rsidRDefault="00574571" w:rsidP="005C4462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44284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442843">
        <w:rPr>
          <w:rFonts w:asciiTheme="minorHAnsi" w:hAnsiTheme="minorHAnsi" w:cstheme="minorHAnsi"/>
        </w:rPr>
        <w:t>Výroční zpráv</w:t>
      </w:r>
      <w:r>
        <w:rPr>
          <w:rFonts w:asciiTheme="minorHAnsi" w:hAnsiTheme="minorHAnsi" w:cstheme="minorHAnsi"/>
        </w:rPr>
        <w:t>a</w:t>
      </w:r>
      <w:r w:rsidRPr="00442843">
        <w:rPr>
          <w:rFonts w:asciiTheme="minorHAnsi" w:hAnsiTheme="minorHAnsi" w:cstheme="minorHAnsi"/>
        </w:rPr>
        <w:t xml:space="preserve"> České školní inspekce za škol</w:t>
      </w:r>
      <w:r>
        <w:rPr>
          <w:rFonts w:asciiTheme="minorHAnsi" w:hAnsiTheme="minorHAnsi" w:cstheme="minorHAnsi"/>
        </w:rPr>
        <w:t>ní rok 2013/2014</w:t>
      </w:r>
      <w:r w:rsidRPr="00442843">
        <w:rPr>
          <w:rFonts w:asciiTheme="minorHAnsi" w:hAnsiTheme="minorHAnsi" w:cstheme="minorHAnsi"/>
        </w:rPr>
        <w:t>.</w:t>
      </w:r>
    </w:p>
  </w:footnote>
  <w:footnote w:id="32">
    <w:p w14:paraId="4B56A0B3" w14:textId="77777777" w:rsidR="00574571" w:rsidRDefault="00574571" w:rsidP="0084697D">
      <w:pPr>
        <w:pStyle w:val="Textpoznpodarou"/>
        <w:ind w:left="284" w:hanging="284"/>
        <w:jc w:val="both"/>
      </w:pPr>
      <w:r w:rsidRPr="0044284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  <w:t>Senátní tisk č. 54</w:t>
      </w:r>
      <w:r w:rsidRPr="00442843">
        <w:rPr>
          <w:rFonts w:asciiTheme="minorHAnsi" w:hAnsiTheme="minorHAnsi" w:cstheme="minorHAnsi"/>
        </w:rPr>
        <w:t>.</w:t>
      </w:r>
    </w:p>
  </w:footnote>
  <w:footnote w:id="33">
    <w:p w14:paraId="555FDD46" w14:textId="72BE537F" w:rsidR="00574571" w:rsidRPr="002739F8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739F8">
        <w:rPr>
          <w:rStyle w:val="Znakapoznpodarou"/>
          <w:rFonts w:asciiTheme="minorHAnsi" w:hAnsiTheme="minorHAnsi" w:cstheme="minorHAnsi"/>
        </w:rPr>
        <w:footnoteRef/>
      </w:r>
      <w:r w:rsidRPr="002739F8">
        <w:rPr>
          <w:rFonts w:asciiTheme="minorHAnsi" w:hAnsiTheme="minorHAnsi" w:cstheme="minorHAnsi"/>
        </w:rPr>
        <w:tab/>
        <w:t xml:space="preserve">MŠMT pro obory středního vzdělávání </w:t>
      </w:r>
      <w:r w:rsidRPr="00375586">
        <w:rPr>
          <w:rFonts w:asciiTheme="minorHAnsi" w:hAnsiTheme="minorHAnsi" w:cstheme="minorHAnsi"/>
        </w:rPr>
        <w:t xml:space="preserve">vydalo 281 RVP – pro každý obor středního vzdělávání byl vydán jeden RVP (výchozí stav roku 2012). </w:t>
      </w:r>
      <w:r w:rsidRPr="002739F8">
        <w:rPr>
          <w:rFonts w:asciiTheme="minorHAnsi" w:hAnsiTheme="minorHAnsi" w:cstheme="minorHAnsi"/>
        </w:rPr>
        <w:t xml:space="preserve">Seznam oborů středního vzdělání uvádí příloha č. 1 </w:t>
      </w:r>
      <w:r>
        <w:rPr>
          <w:rFonts w:asciiTheme="minorHAnsi" w:hAnsiTheme="minorHAnsi" w:cstheme="minorHAnsi"/>
        </w:rPr>
        <w:t>n</w:t>
      </w:r>
      <w:r w:rsidRPr="002739F8">
        <w:rPr>
          <w:rFonts w:asciiTheme="minorHAnsi" w:hAnsiTheme="minorHAnsi" w:cstheme="minorHAnsi"/>
        </w:rPr>
        <w:t>ařízení vlády č. 211/2010 Sb., o soustavě oborů vzdělání v základním, středním a vyšším odborném vzdělávání.</w:t>
      </w:r>
    </w:p>
  </w:footnote>
  <w:footnote w:id="34">
    <w:p w14:paraId="59B8B5FF" w14:textId="0A961C76" w:rsidR="00574571" w:rsidRPr="00512405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12405">
        <w:rPr>
          <w:rStyle w:val="Znakapoznpodarou"/>
          <w:rFonts w:asciiTheme="minorHAnsi" w:hAnsiTheme="minorHAnsi" w:cstheme="minorHAnsi"/>
        </w:rPr>
        <w:footnoteRef/>
      </w:r>
      <w:r w:rsidRPr="00506813">
        <w:rPr>
          <w:rFonts w:asciiTheme="minorHAnsi" w:hAnsiTheme="minorHAnsi" w:cstheme="minorHAnsi"/>
        </w:rPr>
        <w:tab/>
      </w:r>
      <w:r w:rsidRPr="002739F8">
        <w:rPr>
          <w:rFonts w:asciiTheme="minorHAnsi" w:hAnsiTheme="minorHAnsi" w:cstheme="minorHAnsi"/>
          <w:i/>
        </w:rPr>
        <w:t>Tvorba a revize kurikulárních dokumentů pro předškolní, základní a střední vzdělávání na národní úrovni</w:t>
      </w:r>
      <w:r w:rsidRPr="002739F8">
        <w:rPr>
          <w:rFonts w:asciiTheme="minorHAnsi" w:hAnsiTheme="minorHAnsi" w:cstheme="minorHAnsi"/>
        </w:rPr>
        <w:t xml:space="preserve">, </w:t>
      </w:r>
      <w:r w:rsidRPr="00375586">
        <w:rPr>
          <w:rFonts w:asciiTheme="minorHAnsi" w:hAnsiTheme="minorHAnsi" w:cstheme="minorHAnsi"/>
        </w:rPr>
        <w:t>materiál byl schválen dne 5. dubna 2016.</w:t>
      </w:r>
    </w:p>
  </w:footnote>
  <w:footnote w:id="35">
    <w:p w14:paraId="1E2AE33C" w14:textId="77777777" w:rsidR="00574571" w:rsidRPr="002739F8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12405">
        <w:rPr>
          <w:rStyle w:val="Znakapoznpodarou"/>
          <w:rFonts w:asciiTheme="minorHAnsi" w:hAnsiTheme="minorHAnsi" w:cstheme="minorHAnsi"/>
        </w:rPr>
        <w:footnoteRef/>
      </w:r>
      <w:r w:rsidRPr="00506813">
        <w:rPr>
          <w:rFonts w:asciiTheme="minorHAnsi" w:hAnsiTheme="minorHAnsi" w:cstheme="minorHAnsi"/>
        </w:rPr>
        <w:tab/>
      </w:r>
      <w:r w:rsidRPr="002739F8">
        <w:rPr>
          <w:rFonts w:asciiTheme="minorHAnsi" w:hAnsiTheme="minorHAnsi" w:cstheme="minorHAnsi"/>
        </w:rPr>
        <w:t xml:space="preserve">Dokument </w:t>
      </w:r>
      <w:r w:rsidRPr="002739F8">
        <w:rPr>
          <w:rFonts w:asciiTheme="minorHAnsi" w:hAnsiTheme="minorHAnsi" w:cstheme="minorHAnsi"/>
          <w:i/>
        </w:rPr>
        <w:t>Informace o úpravách rámcových vzdělávacích programů, sta</w:t>
      </w:r>
      <w:r w:rsidRPr="00375586">
        <w:rPr>
          <w:rFonts w:asciiTheme="minorHAnsi" w:hAnsiTheme="minorHAnsi" w:cstheme="minorHAnsi"/>
          <w:i/>
        </w:rPr>
        <w:t xml:space="preserve">ndardech vzdělávání a testování žáků (současný stav, záměry) </w:t>
      </w:r>
      <w:r w:rsidRPr="002739F8">
        <w:rPr>
          <w:rFonts w:asciiTheme="minorHAnsi" w:hAnsiTheme="minorHAnsi" w:cstheme="minorHAnsi"/>
        </w:rPr>
        <w:t>ze dne 24. září 2012.</w:t>
      </w:r>
    </w:p>
  </w:footnote>
  <w:footnote w:id="36">
    <w:p w14:paraId="6E5C4857" w14:textId="77777777" w:rsidR="00574571" w:rsidRPr="002739F8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739F8">
        <w:rPr>
          <w:rStyle w:val="Znakapoznpodarou"/>
          <w:rFonts w:asciiTheme="minorHAnsi" w:hAnsiTheme="minorHAnsi" w:cstheme="minorHAnsi"/>
        </w:rPr>
        <w:footnoteRef/>
      </w:r>
      <w:r w:rsidRPr="002739F8">
        <w:rPr>
          <w:rFonts w:asciiTheme="minorHAnsi" w:hAnsiTheme="minorHAnsi" w:cstheme="minorHAnsi"/>
        </w:rPr>
        <w:tab/>
        <w:t xml:space="preserve">Zjištěno ze zdroje: Národní ústav pro vzdělávání – </w:t>
      </w:r>
      <w:hyperlink r:id="rId6" w:history="1">
        <w:r w:rsidRPr="002739F8">
          <w:rPr>
            <w:rStyle w:val="Hypertextovodkaz"/>
            <w:rFonts w:asciiTheme="minorHAnsi" w:hAnsiTheme="minorHAnsi" w:cstheme="minorHAnsi"/>
          </w:rPr>
          <w:t>http://www.nuv.cz/uploads/RVP_ZV_2016.pdf</w:t>
        </w:r>
      </w:hyperlink>
      <w:r w:rsidRPr="002739F8">
        <w:rPr>
          <w:rFonts w:asciiTheme="minorHAnsi" w:hAnsiTheme="minorHAnsi" w:cstheme="minorHAnsi"/>
        </w:rPr>
        <w:t>, ke dni 31. října 2016.</w:t>
      </w:r>
    </w:p>
  </w:footnote>
  <w:footnote w:id="37">
    <w:p w14:paraId="65501FC0" w14:textId="77777777" w:rsidR="00574571" w:rsidRPr="002739F8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739F8">
        <w:rPr>
          <w:rStyle w:val="Znakapoznpodarou"/>
          <w:rFonts w:asciiTheme="minorHAnsi" w:hAnsiTheme="minorHAnsi" w:cstheme="minorHAnsi"/>
        </w:rPr>
        <w:footnoteRef/>
      </w:r>
      <w:r w:rsidRPr="002739F8">
        <w:rPr>
          <w:rFonts w:asciiTheme="minorHAnsi" w:hAnsiTheme="minorHAnsi" w:cstheme="minorHAnsi"/>
        </w:rPr>
        <w:tab/>
        <w:t>Člověk a jeho svět, informační a komunikační technologie, dějepis, výchova k občanství</w:t>
      </w:r>
      <w:r w:rsidRPr="00375586">
        <w:rPr>
          <w:rFonts w:asciiTheme="minorHAnsi" w:hAnsiTheme="minorHAnsi" w:cstheme="minorHAnsi"/>
        </w:rPr>
        <w:t xml:space="preserve">, fyzika, chemie, přírodopis, zeměpis, hudební výchova, výchova ke zdraví, tělesná výchova, člověk a svět práce – viz </w:t>
      </w:r>
      <w:hyperlink r:id="rId7" w:history="1">
        <w:r w:rsidRPr="002739F8">
          <w:rPr>
            <w:rStyle w:val="Hypertextovodkaz"/>
            <w:rFonts w:asciiTheme="minorHAnsi" w:hAnsiTheme="minorHAnsi" w:cstheme="minorHAnsi"/>
          </w:rPr>
          <w:t>http://digifolio.rvp.cz/view/view.php?id=9832</w:t>
        </w:r>
      </w:hyperlink>
      <w:r w:rsidRPr="00512405">
        <w:rPr>
          <w:rStyle w:val="Hypertextovodkaz"/>
          <w:rFonts w:asciiTheme="minorHAnsi" w:hAnsiTheme="minorHAnsi" w:cstheme="minorHAnsi"/>
          <w:color w:val="auto"/>
        </w:rPr>
        <w:t>.</w:t>
      </w:r>
    </w:p>
  </w:footnote>
  <w:footnote w:id="38">
    <w:p w14:paraId="4DDEE330" w14:textId="77777777" w:rsidR="00574571" w:rsidRPr="00BB054F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B054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BB054F">
        <w:rPr>
          <w:rFonts w:asciiTheme="minorHAnsi" w:hAnsiTheme="minorHAnsi" w:cstheme="minorHAnsi"/>
        </w:rPr>
        <w:t>Zákon č. 178/2016 S</w:t>
      </w:r>
      <w:r>
        <w:rPr>
          <w:rFonts w:asciiTheme="minorHAnsi" w:hAnsiTheme="minorHAnsi" w:cstheme="minorHAnsi"/>
        </w:rPr>
        <w:t>b., kterým se mění zákon č. 561/2004 Sb., o předškolním, základním, středním, vyšším odborném a jiném vzdělávání (školský zákon)</w:t>
      </w:r>
      <w:r w:rsidRPr="00BB054F">
        <w:rPr>
          <w:rFonts w:asciiTheme="minorHAnsi" w:hAnsiTheme="minorHAnsi" w:cstheme="minorHAnsi"/>
        </w:rPr>
        <w:t>, ve znění pozdějších předp</w:t>
      </w:r>
      <w:r>
        <w:rPr>
          <w:rFonts w:asciiTheme="minorHAnsi" w:hAnsiTheme="minorHAnsi" w:cstheme="minorHAnsi"/>
        </w:rPr>
        <w:t>isů, a zákon č. 200/1990 Sb., o </w:t>
      </w:r>
      <w:r w:rsidRPr="00BB054F">
        <w:rPr>
          <w:rFonts w:asciiTheme="minorHAnsi" w:hAnsiTheme="minorHAnsi" w:cstheme="minorHAnsi"/>
        </w:rPr>
        <w:t>přestupcích, ve znění pozdějších předpisů.</w:t>
      </w:r>
    </w:p>
  </w:footnote>
  <w:footnote w:id="39">
    <w:p w14:paraId="7ABE8B7D" w14:textId="77777777" w:rsidR="00574571" w:rsidRPr="00BB054F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B054F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  <w:t>Dtto.</w:t>
      </w:r>
    </w:p>
  </w:footnote>
  <w:footnote w:id="40">
    <w:p w14:paraId="7AFA3F8E" w14:textId="3BCE8EF1" w:rsidR="00574571" w:rsidRPr="002739F8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739F8">
        <w:rPr>
          <w:rStyle w:val="Znakapoznpodarou"/>
          <w:rFonts w:asciiTheme="minorHAnsi" w:eastAsiaTheme="majorEastAsia" w:hAnsiTheme="minorHAnsi" w:cstheme="minorHAnsi"/>
        </w:rPr>
        <w:footnoteRef/>
      </w:r>
      <w:r w:rsidRPr="002739F8">
        <w:rPr>
          <w:rFonts w:asciiTheme="minorHAnsi" w:hAnsiTheme="minorHAnsi" w:cstheme="minorHAnsi"/>
        </w:rPr>
        <w:tab/>
      </w:r>
      <w:r w:rsidRPr="002739F8">
        <w:rPr>
          <w:rFonts w:asciiTheme="minorHAnsi" w:hAnsiTheme="minorHAnsi" w:cstheme="minorHAnsi"/>
          <w:i/>
        </w:rPr>
        <w:t xml:space="preserve">Stanovisko Ministerstva školství, mládeže a tělovýchovy k závěrům Nejvyššího kontrolního úřadu z kontrolní akce č. 11/08 „Peněžní prostředky použité na přípravu a realizaci státní maturitní zkoušky“ včetně opatření rezortu k zajištění optimálního procesu realizace nového modelu maturitní zkoušky </w:t>
      </w:r>
      <w:r w:rsidRPr="002739F8">
        <w:rPr>
          <w:rFonts w:asciiTheme="minorHAnsi" w:hAnsiTheme="minorHAnsi" w:cstheme="minorHAnsi"/>
        </w:rPr>
        <w:t xml:space="preserve">z května </w:t>
      </w:r>
      <w:r>
        <w:rPr>
          <w:rFonts w:asciiTheme="minorHAnsi" w:hAnsiTheme="minorHAnsi" w:cstheme="minorHAnsi"/>
        </w:rPr>
        <w:t xml:space="preserve">roku </w:t>
      </w:r>
      <w:r w:rsidRPr="002739F8">
        <w:rPr>
          <w:rFonts w:asciiTheme="minorHAnsi" w:hAnsiTheme="minorHAnsi" w:cstheme="minorHAnsi"/>
        </w:rPr>
        <w:t>2012, čj. MSMT-11182/2012-23.</w:t>
      </w:r>
    </w:p>
  </w:footnote>
  <w:footnote w:id="41">
    <w:p w14:paraId="6D65223E" w14:textId="77777777" w:rsidR="00574571" w:rsidRPr="002739F8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2739F8">
        <w:rPr>
          <w:rStyle w:val="Znakapoznpodarou"/>
          <w:rFonts w:asciiTheme="minorHAnsi" w:hAnsiTheme="minorHAnsi" w:cstheme="minorHAnsi"/>
        </w:rPr>
        <w:footnoteRef/>
      </w:r>
      <w:r w:rsidRPr="002739F8">
        <w:rPr>
          <w:rFonts w:asciiTheme="minorHAnsi" w:hAnsiTheme="minorHAnsi" w:cstheme="minorHAnsi"/>
        </w:rPr>
        <w:tab/>
        <w:t>Zákon č. 472/2011 Sb., kterým se mění zákon č. 561/2004 Sb., o předškolním, základním, středním, vyšším odborném a jiném vzdělávání (školský zákon), ve znění pozdějších předpisů.</w:t>
      </w:r>
    </w:p>
  </w:footnote>
  <w:footnote w:id="42">
    <w:p w14:paraId="5BDFA7DF" w14:textId="77777777" w:rsidR="00574571" w:rsidRPr="00512405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12405">
        <w:rPr>
          <w:rStyle w:val="Znakapoznpodarou"/>
          <w:rFonts w:asciiTheme="minorHAnsi" w:hAnsiTheme="minorHAnsi" w:cstheme="minorHAnsi"/>
        </w:rPr>
        <w:footnoteRef/>
      </w:r>
      <w:r w:rsidRPr="00506813">
        <w:rPr>
          <w:rFonts w:asciiTheme="minorHAnsi" w:hAnsiTheme="minorHAnsi" w:cstheme="minorHAnsi"/>
        </w:rPr>
        <w:tab/>
      </w:r>
      <w:r w:rsidRPr="002739F8">
        <w:rPr>
          <w:rFonts w:asciiTheme="minorHAnsi" w:hAnsiTheme="minorHAnsi" w:cstheme="minorHAnsi"/>
        </w:rPr>
        <w:t>Zákon č. 370/2012 Sb., kterým se mění zákon č. 561/2004 Sb., o předškolním, základním, středním, vyšším odborném a jiném vzdělávání (školský zákon), ve znění pozdějších předpisů.</w:t>
      </w:r>
    </w:p>
  </w:footnote>
  <w:footnote w:id="43">
    <w:p w14:paraId="2E37FFE3" w14:textId="27F49718" w:rsidR="00574571" w:rsidRPr="00512405" w:rsidRDefault="00574571" w:rsidP="0084697D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512405">
        <w:rPr>
          <w:rStyle w:val="Znakapoznpodarou"/>
          <w:rFonts w:asciiTheme="minorHAnsi" w:eastAsiaTheme="majorEastAsia" w:hAnsiTheme="minorHAnsi" w:cstheme="minorHAnsi"/>
        </w:rPr>
        <w:footnoteRef/>
      </w:r>
      <w:r w:rsidRPr="00506813">
        <w:rPr>
          <w:rFonts w:asciiTheme="minorHAnsi" w:hAnsiTheme="minorHAnsi" w:cstheme="minorHAnsi"/>
        </w:rPr>
        <w:tab/>
      </w:r>
      <w:r w:rsidRPr="002739F8">
        <w:rPr>
          <w:rFonts w:asciiTheme="minorHAnsi" w:hAnsiTheme="minorHAnsi" w:cstheme="minorHAnsi"/>
        </w:rPr>
        <w:t xml:space="preserve">Hodnocení písemných prací z cizího jazyka </w:t>
      </w:r>
      <w:r>
        <w:rPr>
          <w:rFonts w:asciiTheme="minorHAnsi" w:hAnsiTheme="minorHAnsi" w:cstheme="minorHAnsi"/>
        </w:rPr>
        <w:t>zajišťovalo během</w:t>
      </w:r>
      <w:r w:rsidRPr="00375586">
        <w:rPr>
          <w:rFonts w:asciiTheme="minorHAnsi" w:hAnsiTheme="minorHAnsi" w:cstheme="minorHAnsi"/>
        </w:rPr>
        <w:t xml:space="preserve"> celého kontrolovaného období CZVV.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F0D6A"/>
    <w:multiLevelType w:val="hybridMultilevel"/>
    <w:tmpl w:val="BC56A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4F4C"/>
    <w:multiLevelType w:val="hybridMultilevel"/>
    <w:tmpl w:val="2862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4F9B"/>
    <w:multiLevelType w:val="hybridMultilevel"/>
    <w:tmpl w:val="DEBC6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4BB3"/>
    <w:multiLevelType w:val="hybridMultilevel"/>
    <w:tmpl w:val="A72CC360"/>
    <w:lvl w:ilvl="0" w:tplc="B0EE3D12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F4BA3"/>
    <w:multiLevelType w:val="hybridMultilevel"/>
    <w:tmpl w:val="F09A0B42"/>
    <w:lvl w:ilvl="0" w:tplc="002A9A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C0A08"/>
    <w:multiLevelType w:val="hybridMultilevel"/>
    <w:tmpl w:val="0CA67782"/>
    <w:lvl w:ilvl="0" w:tplc="EBF6E5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700BE"/>
    <w:multiLevelType w:val="multilevel"/>
    <w:tmpl w:val="D7E652EC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CA57CC7"/>
    <w:multiLevelType w:val="hybridMultilevel"/>
    <w:tmpl w:val="4E1E3366"/>
    <w:lvl w:ilvl="0" w:tplc="E048C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57C71"/>
    <w:multiLevelType w:val="hybridMultilevel"/>
    <w:tmpl w:val="9E744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53CCD"/>
    <w:multiLevelType w:val="hybridMultilevel"/>
    <w:tmpl w:val="4E1E3366"/>
    <w:lvl w:ilvl="0" w:tplc="E048C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41C28"/>
    <w:multiLevelType w:val="hybridMultilevel"/>
    <w:tmpl w:val="4E1E3366"/>
    <w:lvl w:ilvl="0" w:tplc="E048C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73924"/>
    <w:multiLevelType w:val="hybridMultilevel"/>
    <w:tmpl w:val="93324876"/>
    <w:lvl w:ilvl="0" w:tplc="002A9A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C3A0A"/>
    <w:multiLevelType w:val="hybridMultilevel"/>
    <w:tmpl w:val="4E1E3366"/>
    <w:lvl w:ilvl="0" w:tplc="E048C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C1936"/>
    <w:multiLevelType w:val="hybridMultilevel"/>
    <w:tmpl w:val="125828DA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13"/>
  </w:num>
  <w:num w:numId="12">
    <w:abstractNumId w:val="7"/>
  </w:num>
  <w:num w:numId="13">
    <w:abstractNumId w:val="12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1F"/>
    <w:rsid w:val="00000D55"/>
    <w:rsid w:val="00000ED2"/>
    <w:rsid w:val="000025E6"/>
    <w:rsid w:val="00002DFC"/>
    <w:rsid w:val="00002FFB"/>
    <w:rsid w:val="00004385"/>
    <w:rsid w:val="00005079"/>
    <w:rsid w:val="00005C93"/>
    <w:rsid w:val="00007F78"/>
    <w:rsid w:val="000108AC"/>
    <w:rsid w:val="00010DE4"/>
    <w:rsid w:val="00011811"/>
    <w:rsid w:val="00014A22"/>
    <w:rsid w:val="00014CDF"/>
    <w:rsid w:val="000172D1"/>
    <w:rsid w:val="00017650"/>
    <w:rsid w:val="000176A8"/>
    <w:rsid w:val="000228CF"/>
    <w:rsid w:val="00022D34"/>
    <w:rsid w:val="0002364E"/>
    <w:rsid w:val="00024339"/>
    <w:rsid w:val="00024E33"/>
    <w:rsid w:val="00025542"/>
    <w:rsid w:val="000260A6"/>
    <w:rsid w:val="000265BB"/>
    <w:rsid w:val="00026F3D"/>
    <w:rsid w:val="000301CE"/>
    <w:rsid w:val="0003096A"/>
    <w:rsid w:val="0003098A"/>
    <w:rsid w:val="00030D42"/>
    <w:rsid w:val="000327A7"/>
    <w:rsid w:val="00033C7F"/>
    <w:rsid w:val="000351F5"/>
    <w:rsid w:val="000354AF"/>
    <w:rsid w:val="00035950"/>
    <w:rsid w:val="00035A3D"/>
    <w:rsid w:val="0003623E"/>
    <w:rsid w:val="000366AF"/>
    <w:rsid w:val="00036DB0"/>
    <w:rsid w:val="00037173"/>
    <w:rsid w:val="00040B8F"/>
    <w:rsid w:val="000427C3"/>
    <w:rsid w:val="00042D1B"/>
    <w:rsid w:val="000436ED"/>
    <w:rsid w:val="00045998"/>
    <w:rsid w:val="00045C59"/>
    <w:rsid w:val="00046847"/>
    <w:rsid w:val="00046DDD"/>
    <w:rsid w:val="00046EC8"/>
    <w:rsid w:val="00047B42"/>
    <w:rsid w:val="00047E67"/>
    <w:rsid w:val="000539F0"/>
    <w:rsid w:val="00054C4B"/>
    <w:rsid w:val="00055467"/>
    <w:rsid w:val="0005546D"/>
    <w:rsid w:val="000555FD"/>
    <w:rsid w:val="00056510"/>
    <w:rsid w:val="00057F70"/>
    <w:rsid w:val="00060AFC"/>
    <w:rsid w:val="00061280"/>
    <w:rsid w:val="0006157B"/>
    <w:rsid w:val="00061890"/>
    <w:rsid w:val="00063955"/>
    <w:rsid w:val="000639F6"/>
    <w:rsid w:val="00063C97"/>
    <w:rsid w:val="0006594F"/>
    <w:rsid w:val="00066559"/>
    <w:rsid w:val="00066B7D"/>
    <w:rsid w:val="00067955"/>
    <w:rsid w:val="00070126"/>
    <w:rsid w:val="0007085C"/>
    <w:rsid w:val="000725A0"/>
    <w:rsid w:val="00072646"/>
    <w:rsid w:val="00074A43"/>
    <w:rsid w:val="0007588F"/>
    <w:rsid w:val="000764A5"/>
    <w:rsid w:val="000771B1"/>
    <w:rsid w:val="0007792E"/>
    <w:rsid w:val="00080CB8"/>
    <w:rsid w:val="00080D2B"/>
    <w:rsid w:val="00082A69"/>
    <w:rsid w:val="00083448"/>
    <w:rsid w:val="00083E93"/>
    <w:rsid w:val="000843B9"/>
    <w:rsid w:val="000843BE"/>
    <w:rsid w:val="000847B7"/>
    <w:rsid w:val="00084A3A"/>
    <w:rsid w:val="000853B6"/>
    <w:rsid w:val="00085C91"/>
    <w:rsid w:val="00086856"/>
    <w:rsid w:val="0008729F"/>
    <w:rsid w:val="000874CB"/>
    <w:rsid w:val="00094336"/>
    <w:rsid w:val="00094CF9"/>
    <w:rsid w:val="00094FCB"/>
    <w:rsid w:val="000970D8"/>
    <w:rsid w:val="00097315"/>
    <w:rsid w:val="00097DFA"/>
    <w:rsid w:val="000A0B90"/>
    <w:rsid w:val="000A2091"/>
    <w:rsid w:val="000A2191"/>
    <w:rsid w:val="000A2A14"/>
    <w:rsid w:val="000A3438"/>
    <w:rsid w:val="000A4A1F"/>
    <w:rsid w:val="000A570F"/>
    <w:rsid w:val="000A5E4D"/>
    <w:rsid w:val="000A74BB"/>
    <w:rsid w:val="000A7850"/>
    <w:rsid w:val="000B06F4"/>
    <w:rsid w:val="000B07A9"/>
    <w:rsid w:val="000B10E6"/>
    <w:rsid w:val="000B1CA6"/>
    <w:rsid w:val="000B2136"/>
    <w:rsid w:val="000B2976"/>
    <w:rsid w:val="000B3EE1"/>
    <w:rsid w:val="000B41EE"/>
    <w:rsid w:val="000B4551"/>
    <w:rsid w:val="000B52A4"/>
    <w:rsid w:val="000B56E4"/>
    <w:rsid w:val="000B6C71"/>
    <w:rsid w:val="000C0531"/>
    <w:rsid w:val="000C1D9D"/>
    <w:rsid w:val="000C2586"/>
    <w:rsid w:val="000C3996"/>
    <w:rsid w:val="000C6603"/>
    <w:rsid w:val="000D0260"/>
    <w:rsid w:val="000D1773"/>
    <w:rsid w:val="000D1890"/>
    <w:rsid w:val="000D1F51"/>
    <w:rsid w:val="000D1FED"/>
    <w:rsid w:val="000D2B0B"/>
    <w:rsid w:val="000D664E"/>
    <w:rsid w:val="000D7BFC"/>
    <w:rsid w:val="000E0A1B"/>
    <w:rsid w:val="000E0A75"/>
    <w:rsid w:val="000E0AB3"/>
    <w:rsid w:val="000E0D13"/>
    <w:rsid w:val="000E29E4"/>
    <w:rsid w:val="000E3E6D"/>
    <w:rsid w:val="000E3E9D"/>
    <w:rsid w:val="000E4E19"/>
    <w:rsid w:val="000E5F80"/>
    <w:rsid w:val="000E6838"/>
    <w:rsid w:val="000E6A8D"/>
    <w:rsid w:val="000E79B9"/>
    <w:rsid w:val="000F0266"/>
    <w:rsid w:val="000F15E4"/>
    <w:rsid w:val="000F1643"/>
    <w:rsid w:val="000F1BCA"/>
    <w:rsid w:val="000F4590"/>
    <w:rsid w:val="000F5618"/>
    <w:rsid w:val="000F6856"/>
    <w:rsid w:val="000F6BEB"/>
    <w:rsid w:val="000F70C9"/>
    <w:rsid w:val="000F784C"/>
    <w:rsid w:val="000F7A5A"/>
    <w:rsid w:val="001000DD"/>
    <w:rsid w:val="00101148"/>
    <w:rsid w:val="00101F59"/>
    <w:rsid w:val="001025D2"/>
    <w:rsid w:val="00102CE7"/>
    <w:rsid w:val="001044C1"/>
    <w:rsid w:val="0010475A"/>
    <w:rsid w:val="00104E9C"/>
    <w:rsid w:val="001060C9"/>
    <w:rsid w:val="00106664"/>
    <w:rsid w:val="001076C2"/>
    <w:rsid w:val="0010786D"/>
    <w:rsid w:val="00111670"/>
    <w:rsid w:val="00112670"/>
    <w:rsid w:val="00115C1E"/>
    <w:rsid w:val="00115EC4"/>
    <w:rsid w:val="00115FA3"/>
    <w:rsid w:val="00120690"/>
    <w:rsid w:val="001214B7"/>
    <w:rsid w:val="00122137"/>
    <w:rsid w:val="00122F28"/>
    <w:rsid w:val="00123221"/>
    <w:rsid w:val="00123BBC"/>
    <w:rsid w:val="001257C8"/>
    <w:rsid w:val="001269C6"/>
    <w:rsid w:val="00126C57"/>
    <w:rsid w:val="00126F3C"/>
    <w:rsid w:val="00126FF9"/>
    <w:rsid w:val="00127B68"/>
    <w:rsid w:val="00130217"/>
    <w:rsid w:val="00130C1A"/>
    <w:rsid w:val="001312C5"/>
    <w:rsid w:val="00131AB7"/>
    <w:rsid w:val="00131CB0"/>
    <w:rsid w:val="00131D68"/>
    <w:rsid w:val="00134E74"/>
    <w:rsid w:val="00136B03"/>
    <w:rsid w:val="00140963"/>
    <w:rsid w:val="00140E53"/>
    <w:rsid w:val="00141B6E"/>
    <w:rsid w:val="0014282C"/>
    <w:rsid w:val="001429BC"/>
    <w:rsid w:val="00142BCD"/>
    <w:rsid w:val="00143EE5"/>
    <w:rsid w:val="00144751"/>
    <w:rsid w:val="00144AFA"/>
    <w:rsid w:val="001454DA"/>
    <w:rsid w:val="001459FB"/>
    <w:rsid w:val="001470EC"/>
    <w:rsid w:val="00147741"/>
    <w:rsid w:val="001522CB"/>
    <w:rsid w:val="00152836"/>
    <w:rsid w:val="001536B0"/>
    <w:rsid w:val="001542AE"/>
    <w:rsid w:val="0015445E"/>
    <w:rsid w:val="00154A46"/>
    <w:rsid w:val="0015520C"/>
    <w:rsid w:val="001553D0"/>
    <w:rsid w:val="001553F6"/>
    <w:rsid w:val="00156FD5"/>
    <w:rsid w:val="00161763"/>
    <w:rsid w:val="001617D2"/>
    <w:rsid w:val="001621F3"/>
    <w:rsid w:val="00162974"/>
    <w:rsid w:val="00162C6A"/>
    <w:rsid w:val="00163653"/>
    <w:rsid w:val="001637FD"/>
    <w:rsid w:val="00164D32"/>
    <w:rsid w:val="00165288"/>
    <w:rsid w:val="001653AB"/>
    <w:rsid w:val="00166572"/>
    <w:rsid w:val="001674E0"/>
    <w:rsid w:val="00170027"/>
    <w:rsid w:val="001709D6"/>
    <w:rsid w:val="00171C74"/>
    <w:rsid w:val="00173414"/>
    <w:rsid w:val="00173BC1"/>
    <w:rsid w:val="00174323"/>
    <w:rsid w:val="00175C01"/>
    <w:rsid w:val="001761BC"/>
    <w:rsid w:val="001768A4"/>
    <w:rsid w:val="00176A87"/>
    <w:rsid w:val="00176BC9"/>
    <w:rsid w:val="00177CAA"/>
    <w:rsid w:val="00180659"/>
    <w:rsid w:val="00181766"/>
    <w:rsid w:val="001823AE"/>
    <w:rsid w:val="00182952"/>
    <w:rsid w:val="00183395"/>
    <w:rsid w:val="0018379A"/>
    <w:rsid w:val="00184E48"/>
    <w:rsid w:val="00190FB2"/>
    <w:rsid w:val="00191B1E"/>
    <w:rsid w:val="001923E5"/>
    <w:rsid w:val="00194D5E"/>
    <w:rsid w:val="001956DA"/>
    <w:rsid w:val="001965F1"/>
    <w:rsid w:val="001A0BAF"/>
    <w:rsid w:val="001A0F08"/>
    <w:rsid w:val="001A1437"/>
    <w:rsid w:val="001A1A4C"/>
    <w:rsid w:val="001A1C6B"/>
    <w:rsid w:val="001A2638"/>
    <w:rsid w:val="001A2BDC"/>
    <w:rsid w:val="001A42E3"/>
    <w:rsid w:val="001A4A33"/>
    <w:rsid w:val="001A4F2D"/>
    <w:rsid w:val="001A66DB"/>
    <w:rsid w:val="001B0D31"/>
    <w:rsid w:val="001B0ECB"/>
    <w:rsid w:val="001B20A4"/>
    <w:rsid w:val="001B2158"/>
    <w:rsid w:val="001B45AE"/>
    <w:rsid w:val="001B61FC"/>
    <w:rsid w:val="001B7C17"/>
    <w:rsid w:val="001C0096"/>
    <w:rsid w:val="001C0E52"/>
    <w:rsid w:val="001C0EBB"/>
    <w:rsid w:val="001C22C7"/>
    <w:rsid w:val="001C23C3"/>
    <w:rsid w:val="001C3F1E"/>
    <w:rsid w:val="001C4A79"/>
    <w:rsid w:val="001C57A6"/>
    <w:rsid w:val="001C62C6"/>
    <w:rsid w:val="001C7344"/>
    <w:rsid w:val="001D07AE"/>
    <w:rsid w:val="001D0B64"/>
    <w:rsid w:val="001D11E7"/>
    <w:rsid w:val="001D1CA4"/>
    <w:rsid w:val="001D2176"/>
    <w:rsid w:val="001D2AB2"/>
    <w:rsid w:val="001D310B"/>
    <w:rsid w:val="001D40C7"/>
    <w:rsid w:val="001D40D1"/>
    <w:rsid w:val="001D4D8C"/>
    <w:rsid w:val="001D65CF"/>
    <w:rsid w:val="001E1238"/>
    <w:rsid w:val="001E1BF3"/>
    <w:rsid w:val="001E235D"/>
    <w:rsid w:val="001E5AAA"/>
    <w:rsid w:val="001F0158"/>
    <w:rsid w:val="001F039E"/>
    <w:rsid w:val="001F0975"/>
    <w:rsid w:val="001F09F1"/>
    <w:rsid w:val="001F18F3"/>
    <w:rsid w:val="001F34EA"/>
    <w:rsid w:val="001F3B83"/>
    <w:rsid w:val="001F3CC1"/>
    <w:rsid w:val="001F47B4"/>
    <w:rsid w:val="001F47FB"/>
    <w:rsid w:val="001F58D9"/>
    <w:rsid w:val="001F6499"/>
    <w:rsid w:val="001F6580"/>
    <w:rsid w:val="001F6861"/>
    <w:rsid w:val="001F6AE4"/>
    <w:rsid w:val="001F78C0"/>
    <w:rsid w:val="0020184A"/>
    <w:rsid w:val="0020200F"/>
    <w:rsid w:val="002025BC"/>
    <w:rsid w:val="002056AD"/>
    <w:rsid w:val="00206359"/>
    <w:rsid w:val="00207A13"/>
    <w:rsid w:val="002103F6"/>
    <w:rsid w:val="002115B8"/>
    <w:rsid w:val="00214457"/>
    <w:rsid w:val="00215178"/>
    <w:rsid w:val="00217400"/>
    <w:rsid w:val="0021769D"/>
    <w:rsid w:val="00217732"/>
    <w:rsid w:val="00220D02"/>
    <w:rsid w:val="00221109"/>
    <w:rsid w:val="002216A2"/>
    <w:rsid w:val="00221901"/>
    <w:rsid w:val="002226EF"/>
    <w:rsid w:val="00223032"/>
    <w:rsid w:val="0022323D"/>
    <w:rsid w:val="00223516"/>
    <w:rsid w:val="00223D42"/>
    <w:rsid w:val="00224C7B"/>
    <w:rsid w:val="002253EA"/>
    <w:rsid w:val="0022670C"/>
    <w:rsid w:val="002268ED"/>
    <w:rsid w:val="00226B5B"/>
    <w:rsid w:val="002279D8"/>
    <w:rsid w:val="00227B4D"/>
    <w:rsid w:val="0023006A"/>
    <w:rsid w:val="00231205"/>
    <w:rsid w:val="002326B0"/>
    <w:rsid w:val="00233209"/>
    <w:rsid w:val="0023357D"/>
    <w:rsid w:val="0023409F"/>
    <w:rsid w:val="002342B3"/>
    <w:rsid w:val="00234565"/>
    <w:rsid w:val="00236643"/>
    <w:rsid w:val="00236E49"/>
    <w:rsid w:val="00237274"/>
    <w:rsid w:val="00240D81"/>
    <w:rsid w:val="00241D32"/>
    <w:rsid w:val="00242802"/>
    <w:rsid w:val="00242D17"/>
    <w:rsid w:val="00243319"/>
    <w:rsid w:val="002442F7"/>
    <w:rsid w:val="00244F1D"/>
    <w:rsid w:val="00245FEC"/>
    <w:rsid w:val="00246725"/>
    <w:rsid w:val="00247102"/>
    <w:rsid w:val="002475F5"/>
    <w:rsid w:val="00250D72"/>
    <w:rsid w:val="00251119"/>
    <w:rsid w:val="0025164A"/>
    <w:rsid w:val="002517D1"/>
    <w:rsid w:val="002518FD"/>
    <w:rsid w:val="00251A39"/>
    <w:rsid w:val="002526C7"/>
    <w:rsid w:val="002528ED"/>
    <w:rsid w:val="002531FD"/>
    <w:rsid w:val="00254023"/>
    <w:rsid w:val="00254024"/>
    <w:rsid w:val="00254A94"/>
    <w:rsid w:val="002552E6"/>
    <w:rsid w:val="002554F1"/>
    <w:rsid w:val="00255E93"/>
    <w:rsid w:val="0025626F"/>
    <w:rsid w:val="002577DE"/>
    <w:rsid w:val="002578AE"/>
    <w:rsid w:val="00260205"/>
    <w:rsid w:val="002607A5"/>
    <w:rsid w:val="002613A1"/>
    <w:rsid w:val="00261642"/>
    <w:rsid w:val="002617E6"/>
    <w:rsid w:val="00263139"/>
    <w:rsid w:val="00263C21"/>
    <w:rsid w:val="0026476B"/>
    <w:rsid w:val="00264CAE"/>
    <w:rsid w:val="00265719"/>
    <w:rsid w:val="00265915"/>
    <w:rsid w:val="00265EF0"/>
    <w:rsid w:val="002661CB"/>
    <w:rsid w:val="00267AEA"/>
    <w:rsid w:val="00267D1F"/>
    <w:rsid w:val="00271769"/>
    <w:rsid w:val="002739F8"/>
    <w:rsid w:val="00274960"/>
    <w:rsid w:val="00274C84"/>
    <w:rsid w:val="002753D1"/>
    <w:rsid w:val="00276A32"/>
    <w:rsid w:val="00280448"/>
    <w:rsid w:val="00280D3B"/>
    <w:rsid w:val="002840AB"/>
    <w:rsid w:val="00284784"/>
    <w:rsid w:val="00285738"/>
    <w:rsid w:val="00285BC4"/>
    <w:rsid w:val="00286E04"/>
    <w:rsid w:val="00287F6A"/>
    <w:rsid w:val="002902DF"/>
    <w:rsid w:val="0029156D"/>
    <w:rsid w:val="00291819"/>
    <w:rsid w:val="00293022"/>
    <w:rsid w:val="00293120"/>
    <w:rsid w:val="0029389C"/>
    <w:rsid w:val="00294C1D"/>
    <w:rsid w:val="00295765"/>
    <w:rsid w:val="002A02F0"/>
    <w:rsid w:val="002A12E9"/>
    <w:rsid w:val="002A1CC3"/>
    <w:rsid w:val="002A45B8"/>
    <w:rsid w:val="002A4EE4"/>
    <w:rsid w:val="002A5D78"/>
    <w:rsid w:val="002A65A4"/>
    <w:rsid w:val="002B03AB"/>
    <w:rsid w:val="002B04AE"/>
    <w:rsid w:val="002B12BA"/>
    <w:rsid w:val="002B1550"/>
    <w:rsid w:val="002B1652"/>
    <w:rsid w:val="002B3127"/>
    <w:rsid w:val="002B33EB"/>
    <w:rsid w:val="002B6E10"/>
    <w:rsid w:val="002B73FF"/>
    <w:rsid w:val="002B742F"/>
    <w:rsid w:val="002B7837"/>
    <w:rsid w:val="002C0BF5"/>
    <w:rsid w:val="002C1A52"/>
    <w:rsid w:val="002C20D7"/>
    <w:rsid w:val="002C2249"/>
    <w:rsid w:val="002C2D7A"/>
    <w:rsid w:val="002C38B9"/>
    <w:rsid w:val="002C38F5"/>
    <w:rsid w:val="002C5B23"/>
    <w:rsid w:val="002C5E64"/>
    <w:rsid w:val="002C6CBB"/>
    <w:rsid w:val="002C70B3"/>
    <w:rsid w:val="002D141F"/>
    <w:rsid w:val="002D1897"/>
    <w:rsid w:val="002D243B"/>
    <w:rsid w:val="002D53F2"/>
    <w:rsid w:val="002D61D8"/>
    <w:rsid w:val="002E06A2"/>
    <w:rsid w:val="002E06C9"/>
    <w:rsid w:val="002E085A"/>
    <w:rsid w:val="002E24A6"/>
    <w:rsid w:val="002E587E"/>
    <w:rsid w:val="002E631B"/>
    <w:rsid w:val="002E6344"/>
    <w:rsid w:val="002E65A1"/>
    <w:rsid w:val="002E794B"/>
    <w:rsid w:val="002F2C92"/>
    <w:rsid w:val="002F3564"/>
    <w:rsid w:val="002F52F7"/>
    <w:rsid w:val="002F5BEC"/>
    <w:rsid w:val="002F60F4"/>
    <w:rsid w:val="002F6E14"/>
    <w:rsid w:val="00300508"/>
    <w:rsid w:val="00300730"/>
    <w:rsid w:val="0030088F"/>
    <w:rsid w:val="00300B84"/>
    <w:rsid w:val="00301726"/>
    <w:rsid w:val="003023C4"/>
    <w:rsid w:val="003038AC"/>
    <w:rsid w:val="00304DCC"/>
    <w:rsid w:val="00305223"/>
    <w:rsid w:val="003052A4"/>
    <w:rsid w:val="003128A4"/>
    <w:rsid w:val="00312A16"/>
    <w:rsid w:val="00312ACC"/>
    <w:rsid w:val="00315613"/>
    <w:rsid w:val="003163B8"/>
    <w:rsid w:val="003203D2"/>
    <w:rsid w:val="003207B3"/>
    <w:rsid w:val="00320B6B"/>
    <w:rsid w:val="00320C9F"/>
    <w:rsid w:val="003222C8"/>
    <w:rsid w:val="00322A3D"/>
    <w:rsid w:val="00324051"/>
    <w:rsid w:val="0032449C"/>
    <w:rsid w:val="0032486A"/>
    <w:rsid w:val="00325358"/>
    <w:rsid w:val="0032541E"/>
    <w:rsid w:val="0033176E"/>
    <w:rsid w:val="00331AD8"/>
    <w:rsid w:val="00331EE5"/>
    <w:rsid w:val="0033398C"/>
    <w:rsid w:val="00333C2D"/>
    <w:rsid w:val="00333E49"/>
    <w:rsid w:val="00335AAE"/>
    <w:rsid w:val="00335C62"/>
    <w:rsid w:val="00337F64"/>
    <w:rsid w:val="00342461"/>
    <w:rsid w:val="00342D00"/>
    <w:rsid w:val="00342D50"/>
    <w:rsid w:val="003442AC"/>
    <w:rsid w:val="00345DC4"/>
    <w:rsid w:val="00346E71"/>
    <w:rsid w:val="00347376"/>
    <w:rsid w:val="00352129"/>
    <w:rsid w:val="00352430"/>
    <w:rsid w:val="00352C11"/>
    <w:rsid w:val="003532E5"/>
    <w:rsid w:val="00353B6E"/>
    <w:rsid w:val="003548C0"/>
    <w:rsid w:val="003550EF"/>
    <w:rsid w:val="0035629C"/>
    <w:rsid w:val="00356C7E"/>
    <w:rsid w:val="00357576"/>
    <w:rsid w:val="0035796E"/>
    <w:rsid w:val="003609FB"/>
    <w:rsid w:val="003610DB"/>
    <w:rsid w:val="00361C12"/>
    <w:rsid w:val="003621B4"/>
    <w:rsid w:val="003621CB"/>
    <w:rsid w:val="00363304"/>
    <w:rsid w:val="00363F20"/>
    <w:rsid w:val="003648F6"/>
    <w:rsid w:val="003675BA"/>
    <w:rsid w:val="00370691"/>
    <w:rsid w:val="00370C7F"/>
    <w:rsid w:val="00372BE4"/>
    <w:rsid w:val="00372E67"/>
    <w:rsid w:val="00374405"/>
    <w:rsid w:val="00375586"/>
    <w:rsid w:val="0037784C"/>
    <w:rsid w:val="0038075B"/>
    <w:rsid w:val="00380BED"/>
    <w:rsid w:val="00380FA1"/>
    <w:rsid w:val="00381E9A"/>
    <w:rsid w:val="00386282"/>
    <w:rsid w:val="00386E6E"/>
    <w:rsid w:val="0038786A"/>
    <w:rsid w:val="00387D80"/>
    <w:rsid w:val="00390797"/>
    <w:rsid w:val="00390CA8"/>
    <w:rsid w:val="00391273"/>
    <w:rsid w:val="003936F0"/>
    <w:rsid w:val="00393AB5"/>
    <w:rsid w:val="003955CE"/>
    <w:rsid w:val="00395A3C"/>
    <w:rsid w:val="003970BA"/>
    <w:rsid w:val="003A2536"/>
    <w:rsid w:val="003A340D"/>
    <w:rsid w:val="003A3BE2"/>
    <w:rsid w:val="003A3DA6"/>
    <w:rsid w:val="003A4A69"/>
    <w:rsid w:val="003A5D23"/>
    <w:rsid w:val="003A602D"/>
    <w:rsid w:val="003A634D"/>
    <w:rsid w:val="003A6C03"/>
    <w:rsid w:val="003A7E55"/>
    <w:rsid w:val="003B0882"/>
    <w:rsid w:val="003B1055"/>
    <w:rsid w:val="003B1B17"/>
    <w:rsid w:val="003B374E"/>
    <w:rsid w:val="003B37DA"/>
    <w:rsid w:val="003B45CF"/>
    <w:rsid w:val="003B60D9"/>
    <w:rsid w:val="003B7629"/>
    <w:rsid w:val="003C035D"/>
    <w:rsid w:val="003C13A6"/>
    <w:rsid w:val="003C1BB6"/>
    <w:rsid w:val="003C1CD7"/>
    <w:rsid w:val="003C29AA"/>
    <w:rsid w:val="003C373A"/>
    <w:rsid w:val="003C42E4"/>
    <w:rsid w:val="003C42E9"/>
    <w:rsid w:val="003C4612"/>
    <w:rsid w:val="003C561E"/>
    <w:rsid w:val="003C736E"/>
    <w:rsid w:val="003C749E"/>
    <w:rsid w:val="003D0EF7"/>
    <w:rsid w:val="003D1094"/>
    <w:rsid w:val="003D1BC9"/>
    <w:rsid w:val="003D1F08"/>
    <w:rsid w:val="003D2B24"/>
    <w:rsid w:val="003D396E"/>
    <w:rsid w:val="003D4AEC"/>
    <w:rsid w:val="003D5301"/>
    <w:rsid w:val="003D53F4"/>
    <w:rsid w:val="003D5905"/>
    <w:rsid w:val="003D5B93"/>
    <w:rsid w:val="003D7990"/>
    <w:rsid w:val="003D7A48"/>
    <w:rsid w:val="003D7EE1"/>
    <w:rsid w:val="003E0D24"/>
    <w:rsid w:val="003E0DDC"/>
    <w:rsid w:val="003E16DD"/>
    <w:rsid w:val="003E2908"/>
    <w:rsid w:val="003E4B16"/>
    <w:rsid w:val="003E4B3D"/>
    <w:rsid w:val="003E5398"/>
    <w:rsid w:val="003E5BD6"/>
    <w:rsid w:val="003E6EDA"/>
    <w:rsid w:val="003E7C82"/>
    <w:rsid w:val="003E7E28"/>
    <w:rsid w:val="003F00B8"/>
    <w:rsid w:val="003F0A8E"/>
    <w:rsid w:val="003F0D82"/>
    <w:rsid w:val="003F1022"/>
    <w:rsid w:val="003F17C4"/>
    <w:rsid w:val="003F243F"/>
    <w:rsid w:val="003F24B4"/>
    <w:rsid w:val="003F2742"/>
    <w:rsid w:val="003F3028"/>
    <w:rsid w:val="003F336B"/>
    <w:rsid w:val="003F417E"/>
    <w:rsid w:val="003F468D"/>
    <w:rsid w:val="003F5309"/>
    <w:rsid w:val="003F5664"/>
    <w:rsid w:val="003F6CE6"/>
    <w:rsid w:val="003F7616"/>
    <w:rsid w:val="003F7E9B"/>
    <w:rsid w:val="0040157F"/>
    <w:rsid w:val="00401E20"/>
    <w:rsid w:val="004118E7"/>
    <w:rsid w:val="00411A03"/>
    <w:rsid w:val="00413CC4"/>
    <w:rsid w:val="00414922"/>
    <w:rsid w:val="00414BFA"/>
    <w:rsid w:val="00414C29"/>
    <w:rsid w:val="00415005"/>
    <w:rsid w:val="00415774"/>
    <w:rsid w:val="00416208"/>
    <w:rsid w:val="00416B05"/>
    <w:rsid w:val="00416F45"/>
    <w:rsid w:val="00421DBE"/>
    <w:rsid w:val="00422BB3"/>
    <w:rsid w:val="00424818"/>
    <w:rsid w:val="004252ED"/>
    <w:rsid w:val="004262B3"/>
    <w:rsid w:val="00427ADC"/>
    <w:rsid w:val="00430999"/>
    <w:rsid w:val="004309A1"/>
    <w:rsid w:val="00431508"/>
    <w:rsid w:val="004332DD"/>
    <w:rsid w:val="004337F0"/>
    <w:rsid w:val="00433DB2"/>
    <w:rsid w:val="00433FAF"/>
    <w:rsid w:val="00434BE4"/>
    <w:rsid w:val="00434D1D"/>
    <w:rsid w:val="00435235"/>
    <w:rsid w:val="004353DB"/>
    <w:rsid w:val="00436559"/>
    <w:rsid w:val="00436DCB"/>
    <w:rsid w:val="0043761D"/>
    <w:rsid w:val="004376E0"/>
    <w:rsid w:val="00441464"/>
    <w:rsid w:val="00441790"/>
    <w:rsid w:val="00442843"/>
    <w:rsid w:val="00443754"/>
    <w:rsid w:val="00443986"/>
    <w:rsid w:val="00444EEB"/>
    <w:rsid w:val="0045076C"/>
    <w:rsid w:val="00450C92"/>
    <w:rsid w:val="00450EB3"/>
    <w:rsid w:val="00452177"/>
    <w:rsid w:val="00453C17"/>
    <w:rsid w:val="00457684"/>
    <w:rsid w:val="00457904"/>
    <w:rsid w:val="00462116"/>
    <w:rsid w:val="00462227"/>
    <w:rsid w:val="00462C5B"/>
    <w:rsid w:val="0046346A"/>
    <w:rsid w:val="00464391"/>
    <w:rsid w:val="0046493A"/>
    <w:rsid w:val="00464D56"/>
    <w:rsid w:val="00464F6C"/>
    <w:rsid w:val="00467150"/>
    <w:rsid w:val="00470A93"/>
    <w:rsid w:val="00471D79"/>
    <w:rsid w:val="004723AC"/>
    <w:rsid w:val="00472A5A"/>
    <w:rsid w:val="00473141"/>
    <w:rsid w:val="00473393"/>
    <w:rsid w:val="00477380"/>
    <w:rsid w:val="00480889"/>
    <w:rsid w:val="00481E98"/>
    <w:rsid w:val="00481FC9"/>
    <w:rsid w:val="004824FA"/>
    <w:rsid w:val="00482E51"/>
    <w:rsid w:val="0048345F"/>
    <w:rsid w:val="004836EA"/>
    <w:rsid w:val="00484741"/>
    <w:rsid w:val="004870D8"/>
    <w:rsid w:val="0049086F"/>
    <w:rsid w:val="00490EBE"/>
    <w:rsid w:val="00491AD5"/>
    <w:rsid w:val="00492497"/>
    <w:rsid w:val="004928EC"/>
    <w:rsid w:val="004931B0"/>
    <w:rsid w:val="0049467D"/>
    <w:rsid w:val="0049585F"/>
    <w:rsid w:val="004978B6"/>
    <w:rsid w:val="00497D42"/>
    <w:rsid w:val="004A091E"/>
    <w:rsid w:val="004A0AA3"/>
    <w:rsid w:val="004A0B14"/>
    <w:rsid w:val="004A1607"/>
    <w:rsid w:val="004A203F"/>
    <w:rsid w:val="004A2BCC"/>
    <w:rsid w:val="004A439C"/>
    <w:rsid w:val="004A5B2F"/>
    <w:rsid w:val="004B0537"/>
    <w:rsid w:val="004B0CEF"/>
    <w:rsid w:val="004B10D7"/>
    <w:rsid w:val="004B196A"/>
    <w:rsid w:val="004B304E"/>
    <w:rsid w:val="004B34A8"/>
    <w:rsid w:val="004B3A1D"/>
    <w:rsid w:val="004B4752"/>
    <w:rsid w:val="004B486F"/>
    <w:rsid w:val="004B4CF7"/>
    <w:rsid w:val="004B5029"/>
    <w:rsid w:val="004B6A56"/>
    <w:rsid w:val="004B6AF6"/>
    <w:rsid w:val="004B6E88"/>
    <w:rsid w:val="004B7A8A"/>
    <w:rsid w:val="004B7D28"/>
    <w:rsid w:val="004B7FDD"/>
    <w:rsid w:val="004C0D8E"/>
    <w:rsid w:val="004C0F64"/>
    <w:rsid w:val="004C1DD4"/>
    <w:rsid w:val="004C2739"/>
    <w:rsid w:val="004C2C69"/>
    <w:rsid w:val="004C350B"/>
    <w:rsid w:val="004C358E"/>
    <w:rsid w:val="004C3A92"/>
    <w:rsid w:val="004C41BD"/>
    <w:rsid w:val="004C4C87"/>
    <w:rsid w:val="004C5F99"/>
    <w:rsid w:val="004C6752"/>
    <w:rsid w:val="004C69A2"/>
    <w:rsid w:val="004D049E"/>
    <w:rsid w:val="004D08CE"/>
    <w:rsid w:val="004D0927"/>
    <w:rsid w:val="004D0C6A"/>
    <w:rsid w:val="004D13B7"/>
    <w:rsid w:val="004D33CE"/>
    <w:rsid w:val="004D4605"/>
    <w:rsid w:val="004D4F91"/>
    <w:rsid w:val="004D7923"/>
    <w:rsid w:val="004E0525"/>
    <w:rsid w:val="004E28D9"/>
    <w:rsid w:val="004E2A26"/>
    <w:rsid w:val="004E455B"/>
    <w:rsid w:val="004E6387"/>
    <w:rsid w:val="004E68E6"/>
    <w:rsid w:val="004E75DB"/>
    <w:rsid w:val="004F1361"/>
    <w:rsid w:val="004F14E3"/>
    <w:rsid w:val="004F3009"/>
    <w:rsid w:val="004F4808"/>
    <w:rsid w:val="004F5B3B"/>
    <w:rsid w:val="004F6CD3"/>
    <w:rsid w:val="004F6EE0"/>
    <w:rsid w:val="004F7093"/>
    <w:rsid w:val="004F7437"/>
    <w:rsid w:val="00500F10"/>
    <w:rsid w:val="005024D5"/>
    <w:rsid w:val="00502826"/>
    <w:rsid w:val="00502940"/>
    <w:rsid w:val="00505FE4"/>
    <w:rsid w:val="00506813"/>
    <w:rsid w:val="00506AB5"/>
    <w:rsid w:val="00506FDD"/>
    <w:rsid w:val="0050700E"/>
    <w:rsid w:val="0050785C"/>
    <w:rsid w:val="00507D36"/>
    <w:rsid w:val="005103C2"/>
    <w:rsid w:val="005105F2"/>
    <w:rsid w:val="00510700"/>
    <w:rsid w:val="00511D13"/>
    <w:rsid w:val="00512405"/>
    <w:rsid w:val="00512C57"/>
    <w:rsid w:val="00513E30"/>
    <w:rsid w:val="005142DA"/>
    <w:rsid w:val="005149D8"/>
    <w:rsid w:val="00515E2A"/>
    <w:rsid w:val="00515F48"/>
    <w:rsid w:val="005178DD"/>
    <w:rsid w:val="00517C98"/>
    <w:rsid w:val="00522C10"/>
    <w:rsid w:val="0052343A"/>
    <w:rsid w:val="00524102"/>
    <w:rsid w:val="005246FD"/>
    <w:rsid w:val="00524C09"/>
    <w:rsid w:val="00525CE1"/>
    <w:rsid w:val="00525F1A"/>
    <w:rsid w:val="0052651A"/>
    <w:rsid w:val="00526E84"/>
    <w:rsid w:val="0052751A"/>
    <w:rsid w:val="00527AB2"/>
    <w:rsid w:val="005312C2"/>
    <w:rsid w:val="0053387D"/>
    <w:rsid w:val="00533A73"/>
    <w:rsid w:val="005365C7"/>
    <w:rsid w:val="00537D8B"/>
    <w:rsid w:val="0054084E"/>
    <w:rsid w:val="00540C40"/>
    <w:rsid w:val="00541A51"/>
    <w:rsid w:val="00541A6B"/>
    <w:rsid w:val="00541C63"/>
    <w:rsid w:val="00541C6C"/>
    <w:rsid w:val="00541D0D"/>
    <w:rsid w:val="00542554"/>
    <w:rsid w:val="00544F3A"/>
    <w:rsid w:val="0054558B"/>
    <w:rsid w:val="00547D5D"/>
    <w:rsid w:val="0055007A"/>
    <w:rsid w:val="0055049B"/>
    <w:rsid w:val="00550D4A"/>
    <w:rsid w:val="0055355F"/>
    <w:rsid w:val="00555213"/>
    <w:rsid w:val="00556B37"/>
    <w:rsid w:val="00557420"/>
    <w:rsid w:val="00561515"/>
    <w:rsid w:val="0056197B"/>
    <w:rsid w:val="00561DE4"/>
    <w:rsid w:val="00562E56"/>
    <w:rsid w:val="00564967"/>
    <w:rsid w:val="0056522F"/>
    <w:rsid w:val="00565C7C"/>
    <w:rsid w:val="0056606B"/>
    <w:rsid w:val="00566431"/>
    <w:rsid w:val="00566E08"/>
    <w:rsid w:val="00567445"/>
    <w:rsid w:val="00567573"/>
    <w:rsid w:val="005706CB"/>
    <w:rsid w:val="00570DA3"/>
    <w:rsid w:val="00572080"/>
    <w:rsid w:val="00573538"/>
    <w:rsid w:val="00574517"/>
    <w:rsid w:val="00574571"/>
    <w:rsid w:val="00575B66"/>
    <w:rsid w:val="00576321"/>
    <w:rsid w:val="00577F6A"/>
    <w:rsid w:val="0058132F"/>
    <w:rsid w:val="005823E9"/>
    <w:rsid w:val="00582B95"/>
    <w:rsid w:val="00583CEA"/>
    <w:rsid w:val="00583F15"/>
    <w:rsid w:val="0058478C"/>
    <w:rsid w:val="00584DE1"/>
    <w:rsid w:val="00587346"/>
    <w:rsid w:val="00587456"/>
    <w:rsid w:val="0058765B"/>
    <w:rsid w:val="00590650"/>
    <w:rsid w:val="00591C4E"/>
    <w:rsid w:val="00592215"/>
    <w:rsid w:val="005927DB"/>
    <w:rsid w:val="00592E5D"/>
    <w:rsid w:val="005933FC"/>
    <w:rsid w:val="00593677"/>
    <w:rsid w:val="005943AD"/>
    <w:rsid w:val="00594581"/>
    <w:rsid w:val="00595098"/>
    <w:rsid w:val="00596218"/>
    <w:rsid w:val="00596252"/>
    <w:rsid w:val="005A002F"/>
    <w:rsid w:val="005A02C1"/>
    <w:rsid w:val="005A04A5"/>
    <w:rsid w:val="005A05B0"/>
    <w:rsid w:val="005A1A2A"/>
    <w:rsid w:val="005A490B"/>
    <w:rsid w:val="005A65C1"/>
    <w:rsid w:val="005A66E3"/>
    <w:rsid w:val="005A6B60"/>
    <w:rsid w:val="005A796E"/>
    <w:rsid w:val="005A79B1"/>
    <w:rsid w:val="005B0329"/>
    <w:rsid w:val="005B03D0"/>
    <w:rsid w:val="005B10FD"/>
    <w:rsid w:val="005B186A"/>
    <w:rsid w:val="005B290A"/>
    <w:rsid w:val="005B338A"/>
    <w:rsid w:val="005B4CDA"/>
    <w:rsid w:val="005B6319"/>
    <w:rsid w:val="005B7FEE"/>
    <w:rsid w:val="005C00C9"/>
    <w:rsid w:val="005C00CC"/>
    <w:rsid w:val="005C0E6A"/>
    <w:rsid w:val="005C1314"/>
    <w:rsid w:val="005C4462"/>
    <w:rsid w:val="005C517B"/>
    <w:rsid w:val="005C5AB8"/>
    <w:rsid w:val="005C5D3C"/>
    <w:rsid w:val="005C603C"/>
    <w:rsid w:val="005C68D0"/>
    <w:rsid w:val="005D01D6"/>
    <w:rsid w:val="005D0E47"/>
    <w:rsid w:val="005D11E2"/>
    <w:rsid w:val="005D1887"/>
    <w:rsid w:val="005D1A8D"/>
    <w:rsid w:val="005D26C0"/>
    <w:rsid w:val="005D45AF"/>
    <w:rsid w:val="005D45B7"/>
    <w:rsid w:val="005D4AA1"/>
    <w:rsid w:val="005D597B"/>
    <w:rsid w:val="005D61DD"/>
    <w:rsid w:val="005D6F01"/>
    <w:rsid w:val="005D7B9A"/>
    <w:rsid w:val="005E010F"/>
    <w:rsid w:val="005E03FB"/>
    <w:rsid w:val="005E4245"/>
    <w:rsid w:val="005E448C"/>
    <w:rsid w:val="005E5272"/>
    <w:rsid w:val="005E55F3"/>
    <w:rsid w:val="005E598B"/>
    <w:rsid w:val="005E5C96"/>
    <w:rsid w:val="005E5EF3"/>
    <w:rsid w:val="005E6CE5"/>
    <w:rsid w:val="005E6DA9"/>
    <w:rsid w:val="005E755D"/>
    <w:rsid w:val="005F044A"/>
    <w:rsid w:val="005F087C"/>
    <w:rsid w:val="005F2A3B"/>
    <w:rsid w:val="005F30F4"/>
    <w:rsid w:val="005F36C5"/>
    <w:rsid w:val="005F4143"/>
    <w:rsid w:val="005F452A"/>
    <w:rsid w:val="005F6376"/>
    <w:rsid w:val="005F66AA"/>
    <w:rsid w:val="005F69F8"/>
    <w:rsid w:val="00600084"/>
    <w:rsid w:val="006002EE"/>
    <w:rsid w:val="00600ACA"/>
    <w:rsid w:val="00601760"/>
    <w:rsid w:val="00601A57"/>
    <w:rsid w:val="00601F06"/>
    <w:rsid w:val="006026BB"/>
    <w:rsid w:val="0060336C"/>
    <w:rsid w:val="00603760"/>
    <w:rsid w:val="00604AE1"/>
    <w:rsid w:val="00605714"/>
    <w:rsid w:val="0060579D"/>
    <w:rsid w:val="00605984"/>
    <w:rsid w:val="0060656B"/>
    <w:rsid w:val="00607EF2"/>
    <w:rsid w:val="00611086"/>
    <w:rsid w:val="00611943"/>
    <w:rsid w:val="00611F95"/>
    <w:rsid w:val="006124C3"/>
    <w:rsid w:val="00612934"/>
    <w:rsid w:val="0061407C"/>
    <w:rsid w:val="006158F2"/>
    <w:rsid w:val="00615C7A"/>
    <w:rsid w:val="00615D32"/>
    <w:rsid w:val="00620FD8"/>
    <w:rsid w:val="0062104F"/>
    <w:rsid w:val="006211EC"/>
    <w:rsid w:val="006235B0"/>
    <w:rsid w:val="00626276"/>
    <w:rsid w:val="00626681"/>
    <w:rsid w:val="0062709F"/>
    <w:rsid w:val="006270E6"/>
    <w:rsid w:val="0062717A"/>
    <w:rsid w:val="00630F40"/>
    <w:rsid w:val="00631AD5"/>
    <w:rsid w:val="00632B59"/>
    <w:rsid w:val="006356DF"/>
    <w:rsid w:val="00636443"/>
    <w:rsid w:val="006364D7"/>
    <w:rsid w:val="0063699E"/>
    <w:rsid w:val="0063792A"/>
    <w:rsid w:val="0064031F"/>
    <w:rsid w:val="00641740"/>
    <w:rsid w:val="00642825"/>
    <w:rsid w:val="00643750"/>
    <w:rsid w:val="00644626"/>
    <w:rsid w:val="00644F06"/>
    <w:rsid w:val="006452D1"/>
    <w:rsid w:val="00645519"/>
    <w:rsid w:val="006455D2"/>
    <w:rsid w:val="00646856"/>
    <w:rsid w:val="006468B2"/>
    <w:rsid w:val="00646D61"/>
    <w:rsid w:val="00646E82"/>
    <w:rsid w:val="00652808"/>
    <w:rsid w:val="00652D17"/>
    <w:rsid w:val="00653620"/>
    <w:rsid w:val="00654000"/>
    <w:rsid w:val="00654179"/>
    <w:rsid w:val="006557A7"/>
    <w:rsid w:val="00656234"/>
    <w:rsid w:val="0066145B"/>
    <w:rsid w:val="00662E4A"/>
    <w:rsid w:val="00663C52"/>
    <w:rsid w:val="00665555"/>
    <w:rsid w:val="006664F7"/>
    <w:rsid w:val="006674DE"/>
    <w:rsid w:val="0066773F"/>
    <w:rsid w:val="00671383"/>
    <w:rsid w:val="0067142F"/>
    <w:rsid w:val="006714EB"/>
    <w:rsid w:val="0067193C"/>
    <w:rsid w:val="00671B31"/>
    <w:rsid w:val="00671DA3"/>
    <w:rsid w:val="00673A50"/>
    <w:rsid w:val="00673F33"/>
    <w:rsid w:val="0067422A"/>
    <w:rsid w:val="0067653F"/>
    <w:rsid w:val="0067795E"/>
    <w:rsid w:val="0068010F"/>
    <w:rsid w:val="00680C07"/>
    <w:rsid w:val="00681ADF"/>
    <w:rsid w:val="00682807"/>
    <w:rsid w:val="00683026"/>
    <w:rsid w:val="00683306"/>
    <w:rsid w:val="00685DB4"/>
    <w:rsid w:val="0068602E"/>
    <w:rsid w:val="006877F0"/>
    <w:rsid w:val="00687B99"/>
    <w:rsid w:val="00687FC2"/>
    <w:rsid w:val="00690D69"/>
    <w:rsid w:val="0069228E"/>
    <w:rsid w:val="00692EFA"/>
    <w:rsid w:val="00694B9B"/>
    <w:rsid w:val="00694F3B"/>
    <w:rsid w:val="006955FD"/>
    <w:rsid w:val="00695718"/>
    <w:rsid w:val="00695FC1"/>
    <w:rsid w:val="00696B01"/>
    <w:rsid w:val="00697201"/>
    <w:rsid w:val="006A16C6"/>
    <w:rsid w:val="006A263D"/>
    <w:rsid w:val="006A285D"/>
    <w:rsid w:val="006A462F"/>
    <w:rsid w:val="006A4A60"/>
    <w:rsid w:val="006A59B7"/>
    <w:rsid w:val="006A5C2B"/>
    <w:rsid w:val="006A6204"/>
    <w:rsid w:val="006A6D0A"/>
    <w:rsid w:val="006A781A"/>
    <w:rsid w:val="006A7ABD"/>
    <w:rsid w:val="006B1F6E"/>
    <w:rsid w:val="006B333C"/>
    <w:rsid w:val="006B3367"/>
    <w:rsid w:val="006B36EA"/>
    <w:rsid w:val="006B3978"/>
    <w:rsid w:val="006B41A6"/>
    <w:rsid w:val="006B5726"/>
    <w:rsid w:val="006B6937"/>
    <w:rsid w:val="006B75DD"/>
    <w:rsid w:val="006C062E"/>
    <w:rsid w:val="006C14F4"/>
    <w:rsid w:val="006C1BDD"/>
    <w:rsid w:val="006C1D95"/>
    <w:rsid w:val="006C1FE3"/>
    <w:rsid w:val="006C3EBF"/>
    <w:rsid w:val="006C50AE"/>
    <w:rsid w:val="006C5DD2"/>
    <w:rsid w:val="006C63AA"/>
    <w:rsid w:val="006C644A"/>
    <w:rsid w:val="006C6D57"/>
    <w:rsid w:val="006D081E"/>
    <w:rsid w:val="006D3316"/>
    <w:rsid w:val="006D3618"/>
    <w:rsid w:val="006D3832"/>
    <w:rsid w:val="006D3B60"/>
    <w:rsid w:val="006D3CE6"/>
    <w:rsid w:val="006D4A48"/>
    <w:rsid w:val="006D4E4C"/>
    <w:rsid w:val="006D7268"/>
    <w:rsid w:val="006E0805"/>
    <w:rsid w:val="006E15B6"/>
    <w:rsid w:val="006E2DE3"/>
    <w:rsid w:val="006E3FEA"/>
    <w:rsid w:val="006E4F77"/>
    <w:rsid w:val="006E550D"/>
    <w:rsid w:val="006E5B5F"/>
    <w:rsid w:val="006E60DD"/>
    <w:rsid w:val="006E6231"/>
    <w:rsid w:val="006E6F6B"/>
    <w:rsid w:val="006E728D"/>
    <w:rsid w:val="006F1F60"/>
    <w:rsid w:val="006F4228"/>
    <w:rsid w:val="006F6421"/>
    <w:rsid w:val="006F6C0A"/>
    <w:rsid w:val="006F6F39"/>
    <w:rsid w:val="006F7A66"/>
    <w:rsid w:val="006F7B9E"/>
    <w:rsid w:val="0070013B"/>
    <w:rsid w:val="00700B37"/>
    <w:rsid w:val="00701911"/>
    <w:rsid w:val="0070267F"/>
    <w:rsid w:val="0070268B"/>
    <w:rsid w:val="007033CD"/>
    <w:rsid w:val="007045AB"/>
    <w:rsid w:val="00704BE9"/>
    <w:rsid w:val="00704DAB"/>
    <w:rsid w:val="00705ADA"/>
    <w:rsid w:val="007064ED"/>
    <w:rsid w:val="0070666F"/>
    <w:rsid w:val="00711CB3"/>
    <w:rsid w:val="007120E0"/>
    <w:rsid w:val="00712492"/>
    <w:rsid w:val="00712B2D"/>
    <w:rsid w:val="007133A8"/>
    <w:rsid w:val="00716943"/>
    <w:rsid w:val="00717A63"/>
    <w:rsid w:val="00721408"/>
    <w:rsid w:val="00721FA5"/>
    <w:rsid w:val="00722069"/>
    <w:rsid w:val="0072242D"/>
    <w:rsid w:val="00722CDF"/>
    <w:rsid w:val="00722E6F"/>
    <w:rsid w:val="00723B88"/>
    <w:rsid w:val="00723BAB"/>
    <w:rsid w:val="007249CA"/>
    <w:rsid w:val="00725FA3"/>
    <w:rsid w:val="00726D82"/>
    <w:rsid w:val="00727159"/>
    <w:rsid w:val="00727B05"/>
    <w:rsid w:val="007307EA"/>
    <w:rsid w:val="00730ADF"/>
    <w:rsid w:val="00730BC3"/>
    <w:rsid w:val="00732CD6"/>
    <w:rsid w:val="00732F17"/>
    <w:rsid w:val="0073364C"/>
    <w:rsid w:val="007341BB"/>
    <w:rsid w:val="007345D9"/>
    <w:rsid w:val="00734C79"/>
    <w:rsid w:val="007362FF"/>
    <w:rsid w:val="00736840"/>
    <w:rsid w:val="00737756"/>
    <w:rsid w:val="007379CE"/>
    <w:rsid w:val="007401DB"/>
    <w:rsid w:val="00740A67"/>
    <w:rsid w:val="00742574"/>
    <w:rsid w:val="00742C68"/>
    <w:rsid w:val="00743490"/>
    <w:rsid w:val="007441EC"/>
    <w:rsid w:val="00745133"/>
    <w:rsid w:val="00746A6D"/>
    <w:rsid w:val="007475A9"/>
    <w:rsid w:val="00750363"/>
    <w:rsid w:val="007510C5"/>
    <w:rsid w:val="007528C1"/>
    <w:rsid w:val="007535EF"/>
    <w:rsid w:val="00753EB2"/>
    <w:rsid w:val="00757255"/>
    <w:rsid w:val="00757656"/>
    <w:rsid w:val="007602A6"/>
    <w:rsid w:val="0076100B"/>
    <w:rsid w:val="00762420"/>
    <w:rsid w:val="00762E1F"/>
    <w:rsid w:val="00762EFA"/>
    <w:rsid w:val="00763344"/>
    <w:rsid w:val="00763527"/>
    <w:rsid w:val="007672D6"/>
    <w:rsid w:val="007711A4"/>
    <w:rsid w:val="007717EE"/>
    <w:rsid w:val="00771D7F"/>
    <w:rsid w:val="0077241F"/>
    <w:rsid w:val="0077328C"/>
    <w:rsid w:val="0077397E"/>
    <w:rsid w:val="0077414B"/>
    <w:rsid w:val="007742DA"/>
    <w:rsid w:val="00775EA9"/>
    <w:rsid w:val="00775F10"/>
    <w:rsid w:val="00776751"/>
    <w:rsid w:val="007769F5"/>
    <w:rsid w:val="00777045"/>
    <w:rsid w:val="0077745A"/>
    <w:rsid w:val="00780464"/>
    <w:rsid w:val="00780B74"/>
    <w:rsid w:val="00781CD9"/>
    <w:rsid w:val="00781E7D"/>
    <w:rsid w:val="00782668"/>
    <w:rsid w:val="0078323D"/>
    <w:rsid w:val="00783EE4"/>
    <w:rsid w:val="00784094"/>
    <w:rsid w:val="0078600C"/>
    <w:rsid w:val="00791389"/>
    <w:rsid w:val="007920D9"/>
    <w:rsid w:val="00793375"/>
    <w:rsid w:val="00793D9C"/>
    <w:rsid w:val="00793FA1"/>
    <w:rsid w:val="00794174"/>
    <w:rsid w:val="00794701"/>
    <w:rsid w:val="00795DD1"/>
    <w:rsid w:val="0079780E"/>
    <w:rsid w:val="007A0489"/>
    <w:rsid w:val="007A0B62"/>
    <w:rsid w:val="007A1326"/>
    <w:rsid w:val="007A23A8"/>
    <w:rsid w:val="007A4884"/>
    <w:rsid w:val="007A4D6B"/>
    <w:rsid w:val="007A54F5"/>
    <w:rsid w:val="007A5808"/>
    <w:rsid w:val="007A6428"/>
    <w:rsid w:val="007A68AC"/>
    <w:rsid w:val="007A6D2E"/>
    <w:rsid w:val="007A796F"/>
    <w:rsid w:val="007A7D43"/>
    <w:rsid w:val="007B2E8D"/>
    <w:rsid w:val="007B4DD5"/>
    <w:rsid w:val="007B5034"/>
    <w:rsid w:val="007B658A"/>
    <w:rsid w:val="007B6DB6"/>
    <w:rsid w:val="007C094E"/>
    <w:rsid w:val="007C1CFF"/>
    <w:rsid w:val="007C1D4E"/>
    <w:rsid w:val="007C3F37"/>
    <w:rsid w:val="007C45A1"/>
    <w:rsid w:val="007C5785"/>
    <w:rsid w:val="007C6877"/>
    <w:rsid w:val="007C7BC4"/>
    <w:rsid w:val="007D0251"/>
    <w:rsid w:val="007D1341"/>
    <w:rsid w:val="007D139F"/>
    <w:rsid w:val="007D1B16"/>
    <w:rsid w:val="007D1FB5"/>
    <w:rsid w:val="007D3E73"/>
    <w:rsid w:val="007D445B"/>
    <w:rsid w:val="007D5E6D"/>
    <w:rsid w:val="007D7BBB"/>
    <w:rsid w:val="007E135C"/>
    <w:rsid w:val="007E441E"/>
    <w:rsid w:val="007E49A5"/>
    <w:rsid w:val="007E57E0"/>
    <w:rsid w:val="007E6427"/>
    <w:rsid w:val="007E6918"/>
    <w:rsid w:val="007F1D4C"/>
    <w:rsid w:val="007F1FB9"/>
    <w:rsid w:val="007F3E22"/>
    <w:rsid w:val="007F4C5E"/>
    <w:rsid w:val="007F53E2"/>
    <w:rsid w:val="007F553E"/>
    <w:rsid w:val="007F6864"/>
    <w:rsid w:val="007F6C29"/>
    <w:rsid w:val="007F7B6A"/>
    <w:rsid w:val="00800229"/>
    <w:rsid w:val="00801440"/>
    <w:rsid w:val="00802057"/>
    <w:rsid w:val="0080296E"/>
    <w:rsid w:val="00802BCA"/>
    <w:rsid w:val="00804735"/>
    <w:rsid w:val="00806278"/>
    <w:rsid w:val="00806B6C"/>
    <w:rsid w:val="00807557"/>
    <w:rsid w:val="00807D7B"/>
    <w:rsid w:val="00807DC4"/>
    <w:rsid w:val="0081063D"/>
    <w:rsid w:val="00811C29"/>
    <w:rsid w:val="008136AB"/>
    <w:rsid w:val="00814E6E"/>
    <w:rsid w:val="008156E7"/>
    <w:rsid w:val="008156F4"/>
    <w:rsid w:val="00815F20"/>
    <w:rsid w:val="0081612D"/>
    <w:rsid w:val="0081629A"/>
    <w:rsid w:val="00817840"/>
    <w:rsid w:val="00820ABF"/>
    <w:rsid w:val="008211DE"/>
    <w:rsid w:val="0082163F"/>
    <w:rsid w:val="00821B1D"/>
    <w:rsid w:val="008233AF"/>
    <w:rsid w:val="00825060"/>
    <w:rsid w:val="00825253"/>
    <w:rsid w:val="008263CA"/>
    <w:rsid w:val="0082714E"/>
    <w:rsid w:val="00827764"/>
    <w:rsid w:val="00827A34"/>
    <w:rsid w:val="00827E18"/>
    <w:rsid w:val="00830333"/>
    <w:rsid w:val="008305B1"/>
    <w:rsid w:val="008307B7"/>
    <w:rsid w:val="00830D54"/>
    <w:rsid w:val="008330BB"/>
    <w:rsid w:val="00833F28"/>
    <w:rsid w:val="00835A75"/>
    <w:rsid w:val="0083614A"/>
    <w:rsid w:val="008362DC"/>
    <w:rsid w:val="00836F5B"/>
    <w:rsid w:val="00837726"/>
    <w:rsid w:val="008400EA"/>
    <w:rsid w:val="00841984"/>
    <w:rsid w:val="00841AEA"/>
    <w:rsid w:val="00841D1F"/>
    <w:rsid w:val="00842CD2"/>
    <w:rsid w:val="008431C7"/>
    <w:rsid w:val="00843ED9"/>
    <w:rsid w:val="008454E6"/>
    <w:rsid w:val="00845959"/>
    <w:rsid w:val="00845CE4"/>
    <w:rsid w:val="0084697D"/>
    <w:rsid w:val="00846F43"/>
    <w:rsid w:val="00847204"/>
    <w:rsid w:val="00850070"/>
    <w:rsid w:val="00850CA4"/>
    <w:rsid w:val="00851C17"/>
    <w:rsid w:val="00853C04"/>
    <w:rsid w:val="00854263"/>
    <w:rsid w:val="008545EB"/>
    <w:rsid w:val="00855DC9"/>
    <w:rsid w:val="00856397"/>
    <w:rsid w:val="00856864"/>
    <w:rsid w:val="008618CF"/>
    <w:rsid w:val="00861CBA"/>
    <w:rsid w:val="00862DDA"/>
    <w:rsid w:val="008631C4"/>
    <w:rsid w:val="0086367D"/>
    <w:rsid w:val="00864646"/>
    <w:rsid w:val="00864A0C"/>
    <w:rsid w:val="008657C8"/>
    <w:rsid w:val="008665B4"/>
    <w:rsid w:val="00870175"/>
    <w:rsid w:val="0087027B"/>
    <w:rsid w:val="008707B8"/>
    <w:rsid w:val="00870FF7"/>
    <w:rsid w:val="00871641"/>
    <w:rsid w:val="00872A4D"/>
    <w:rsid w:val="00873A23"/>
    <w:rsid w:val="00874394"/>
    <w:rsid w:val="00874B87"/>
    <w:rsid w:val="008757F4"/>
    <w:rsid w:val="0087643C"/>
    <w:rsid w:val="00877EE9"/>
    <w:rsid w:val="008808F4"/>
    <w:rsid w:val="00880B98"/>
    <w:rsid w:val="008812D1"/>
    <w:rsid w:val="008829C1"/>
    <w:rsid w:val="00883E34"/>
    <w:rsid w:val="0088412D"/>
    <w:rsid w:val="00884282"/>
    <w:rsid w:val="008848A3"/>
    <w:rsid w:val="00885596"/>
    <w:rsid w:val="00886764"/>
    <w:rsid w:val="00886F78"/>
    <w:rsid w:val="00887335"/>
    <w:rsid w:val="00887794"/>
    <w:rsid w:val="00887F37"/>
    <w:rsid w:val="008921BB"/>
    <w:rsid w:val="00892928"/>
    <w:rsid w:val="00892BEC"/>
    <w:rsid w:val="00892F26"/>
    <w:rsid w:val="008938C1"/>
    <w:rsid w:val="008948A5"/>
    <w:rsid w:val="00894B8E"/>
    <w:rsid w:val="00894EA7"/>
    <w:rsid w:val="00896833"/>
    <w:rsid w:val="00896BCF"/>
    <w:rsid w:val="00897560"/>
    <w:rsid w:val="008A0445"/>
    <w:rsid w:val="008A0F61"/>
    <w:rsid w:val="008A3DFA"/>
    <w:rsid w:val="008A5DE6"/>
    <w:rsid w:val="008A7741"/>
    <w:rsid w:val="008A7AC0"/>
    <w:rsid w:val="008B13AC"/>
    <w:rsid w:val="008B1BDA"/>
    <w:rsid w:val="008B2B4C"/>
    <w:rsid w:val="008B31F8"/>
    <w:rsid w:val="008B3434"/>
    <w:rsid w:val="008B42F4"/>
    <w:rsid w:val="008B44A8"/>
    <w:rsid w:val="008B5DB0"/>
    <w:rsid w:val="008B6FCB"/>
    <w:rsid w:val="008C0498"/>
    <w:rsid w:val="008C21F3"/>
    <w:rsid w:val="008C42A4"/>
    <w:rsid w:val="008C544B"/>
    <w:rsid w:val="008D0202"/>
    <w:rsid w:val="008D0F02"/>
    <w:rsid w:val="008D14AE"/>
    <w:rsid w:val="008D1BE1"/>
    <w:rsid w:val="008D1C99"/>
    <w:rsid w:val="008D2B00"/>
    <w:rsid w:val="008D2E3C"/>
    <w:rsid w:val="008D3F6B"/>
    <w:rsid w:val="008D4A3B"/>
    <w:rsid w:val="008D5F40"/>
    <w:rsid w:val="008E0355"/>
    <w:rsid w:val="008E135A"/>
    <w:rsid w:val="008E1D17"/>
    <w:rsid w:val="008E25E7"/>
    <w:rsid w:val="008E338B"/>
    <w:rsid w:val="008E3E67"/>
    <w:rsid w:val="008E407A"/>
    <w:rsid w:val="008E468C"/>
    <w:rsid w:val="008E5412"/>
    <w:rsid w:val="008E5B5D"/>
    <w:rsid w:val="008E64E1"/>
    <w:rsid w:val="008E65A3"/>
    <w:rsid w:val="008F11C1"/>
    <w:rsid w:val="008F1A44"/>
    <w:rsid w:val="008F1AEE"/>
    <w:rsid w:val="008F2B09"/>
    <w:rsid w:val="008F3B4C"/>
    <w:rsid w:val="008F4EF9"/>
    <w:rsid w:val="008F500E"/>
    <w:rsid w:val="008F5DFA"/>
    <w:rsid w:val="008F77E1"/>
    <w:rsid w:val="008F787C"/>
    <w:rsid w:val="008F7E85"/>
    <w:rsid w:val="009000C6"/>
    <w:rsid w:val="0090120F"/>
    <w:rsid w:val="009013F5"/>
    <w:rsid w:val="0090190D"/>
    <w:rsid w:val="009021D9"/>
    <w:rsid w:val="009023C9"/>
    <w:rsid w:val="00904348"/>
    <w:rsid w:val="00904814"/>
    <w:rsid w:val="00905615"/>
    <w:rsid w:val="00906105"/>
    <w:rsid w:val="00913813"/>
    <w:rsid w:val="00913BFF"/>
    <w:rsid w:val="0091409B"/>
    <w:rsid w:val="00914CCF"/>
    <w:rsid w:val="009161DB"/>
    <w:rsid w:val="00916350"/>
    <w:rsid w:val="00916DCC"/>
    <w:rsid w:val="00920807"/>
    <w:rsid w:val="00920DB7"/>
    <w:rsid w:val="00920FA1"/>
    <w:rsid w:val="00921DC1"/>
    <w:rsid w:val="009233B3"/>
    <w:rsid w:val="00923A7E"/>
    <w:rsid w:val="0092403F"/>
    <w:rsid w:val="0092486A"/>
    <w:rsid w:val="00926502"/>
    <w:rsid w:val="00927B7E"/>
    <w:rsid w:val="00932494"/>
    <w:rsid w:val="00933DD2"/>
    <w:rsid w:val="009354F6"/>
    <w:rsid w:val="00936176"/>
    <w:rsid w:val="00936309"/>
    <w:rsid w:val="00936516"/>
    <w:rsid w:val="00936542"/>
    <w:rsid w:val="009368BD"/>
    <w:rsid w:val="00940521"/>
    <w:rsid w:val="009407CB"/>
    <w:rsid w:val="00940B69"/>
    <w:rsid w:val="009417F6"/>
    <w:rsid w:val="00941810"/>
    <w:rsid w:val="00941E67"/>
    <w:rsid w:val="00942587"/>
    <w:rsid w:val="00943129"/>
    <w:rsid w:val="00943A95"/>
    <w:rsid w:val="00943FD9"/>
    <w:rsid w:val="009440BB"/>
    <w:rsid w:val="009442C3"/>
    <w:rsid w:val="00944F8B"/>
    <w:rsid w:val="009458EE"/>
    <w:rsid w:val="00951597"/>
    <w:rsid w:val="00952A08"/>
    <w:rsid w:val="00952BCB"/>
    <w:rsid w:val="0095386C"/>
    <w:rsid w:val="00955801"/>
    <w:rsid w:val="00955CE4"/>
    <w:rsid w:val="009561C4"/>
    <w:rsid w:val="009562F0"/>
    <w:rsid w:val="00961008"/>
    <w:rsid w:val="00961640"/>
    <w:rsid w:val="00962134"/>
    <w:rsid w:val="0096258A"/>
    <w:rsid w:val="009637C6"/>
    <w:rsid w:val="00963C37"/>
    <w:rsid w:val="00965610"/>
    <w:rsid w:val="00966973"/>
    <w:rsid w:val="00967130"/>
    <w:rsid w:val="00967161"/>
    <w:rsid w:val="00967AB7"/>
    <w:rsid w:val="00970636"/>
    <w:rsid w:val="00971511"/>
    <w:rsid w:val="00971B26"/>
    <w:rsid w:val="00971B85"/>
    <w:rsid w:val="00971D21"/>
    <w:rsid w:val="00973D16"/>
    <w:rsid w:val="009742DD"/>
    <w:rsid w:val="009743E2"/>
    <w:rsid w:val="00974727"/>
    <w:rsid w:val="00974C3F"/>
    <w:rsid w:val="009759C5"/>
    <w:rsid w:val="00975C54"/>
    <w:rsid w:val="00976892"/>
    <w:rsid w:val="009769CB"/>
    <w:rsid w:val="00977222"/>
    <w:rsid w:val="00977CDE"/>
    <w:rsid w:val="00982844"/>
    <w:rsid w:val="00983200"/>
    <w:rsid w:val="00983644"/>
    <w:rsid w:val="00983DA3"/>
    <w:rsid w:val="00983EFA"/>
    <w:rsid w:val="00985A45"/>
    <w:rsid w:val="00986D16"/>
    <w:rsid w:val="00987ECB"/>
    <w:rsid w:val="009901B1"/>
    <w:rsid w:val="009902BE"/>
    <w:rsid w:val="009905B1"/>
    <w:rsid w:val="00990703"/>
    <w:rsid w:val="00990B44"/>
    <w:rsid w:val="00991E17"/>
    <w:rsid w:val="009944B7"/>
    <w:rsid w:val="009951C3"/>
    <w:rsid w:val="00995494"/>
    <w:rsid w:val="0099711D"/>
    <w:rsid w:val="00997501"/>
    <w:rsid w:val="009A0758"/>
    <w:rsid w:val="009A0B24"/>
    <w:rsid w:val="009A0DE7"/>
    <w:rsid w:val="009A0FBD"/>
    <w:rsid w:val="009A177D"/>
    <w:rsid w:val="009A2A23"/>
    <w:rsid w:val="009A3AD6"/>
    <w:rsid w:val="009A41A7"/>
    <w:rsid w:val="009A71B8"/>
    <w:rsid w:val="009A7828"/>
    <w:rsid w:val="009A7B15"/>
    <w:rsid w:val="009B213F"/>
    <w:rsid w:val="009B2656"/>
    <w:rsid w:val="009B2FCB"/>
    <w:rsid w:val="009B4831"/>
    <w:rsid w:val="009B48D2"/>
    <w:rsid w:val="009B5979"/>
    <w:rsid w:val="009B6694"/>
    <w:rsid w:val="009B6CE7"/>
    <w:rsid w:val="009B6FBC"/>
    <w:rsid w:val="009B7F99"/>
    <w:rsid w:val="009C01BC"/>
    <w:rsid w:val="009C0404"/>
    <w:rsid w:val="009C25AF"/>
    <w:rsid w:val="009C3279"/>
    <w:rsid w:val="009C3404"/>
    <w:rsid w:val="009C549C"/>
    <w:rsid w:val="009C5649"/>
    <w:rsid w:val="009C5F0E"/>
    <w:rsid w:val="009C625B"/>
    <w:rsid w:val="009C71EB"/>
    <w:rsid w:val="009C7742"/>
    <w:rsid w:val="009C7AA4"/>
    <w:rsid w:val="009D0CF2"/>
    <w:rsid w:val="009D4C53"/>
    <w:rsid w:val="009D5C33"/>
    <w:rsid w:val="009D6F50"/>
    <w:rsid w:val="009D6FE4"/>
    <w:rsid w:val="009E1A3C"/>
    <w:rsid w:val="009E375D"/>
    <w:rsid w:val="009E3FF9"/>
    <w:rsid w:val="009E4938"/>
    <w:rsid w:val="009E4AD7"/>
    <w:rsid w:val="009E7AF9"/>
    <w:rsid w:val="009E7B8F"/>
    <w:rsid w:val="009E7DB0"/>
    <w:rsid w:val="009F087B"/>
    <w:rsid w:val="009F0D18"/>
    <w:rsid w:val="009F14CC"/>
    <w:rsid w:val="009F16B8"/>
    <w:rsid w:val="009F245A"/>
    <w:rsid w:val="009F2D81"/>
    <w:rsid w:val="009F2DB5"/>
    <w:rsid w:val="009F2E7D"/>
    <w:rsid w:val="009F302A"/>
    <w:rsid w:val="009F3075"/>
    <w:rsid w:val="009F4903"/>
    <w:rsid w:val="009F52E8"/>
    <w:rsid w:val="009F54F2"/>
    <w:rsid w:val="00A0096F"/>
    <w:rsid w:val="00A00FCE"/>
    <w:rsid w:val="00A010C0"/>
    <w:rsid w:val="00A01DDA"/>
    <w:rsid w:val="00A02063"/>
    <w:rsid w:val="00A03CBC"/>
    <w:rsid w:val="00A03DE1"/>
    <w:rsid w:val="00A04562"/>
    <w:rsid w:val="00A04607"/>
    <w:rsid w:val="00A0550C"/>
    <w:rsid w:val="00A05956"/>
    <w:rsid w:val="00A05EC8"/>
    <w:rsid w:val="00A06BF0"/>
    <w:rsid w:val="00A06D31"/>
    <w:rsid w:val="00A107BD"/>
    <w:rsid w:val="00A10DF0"/>
    <w:rsid w:val="00A12088"/>
    <w:rsid w:val="00A12412"/>
    <w:rsid w:val="00A140E5"/>
    <w:rsid w:val="00A15F2E"/>
    <w:rsid w:val="00A15F71"/>
    <w:rsid w:val="00A168A2"/>
    <w:rsid w:val="00A177C1"/>
    <w:rsid w:val="00A177EB"/>
    <w:rsid w:val="00A20431"/>
    <w:rsid w:val="00A2255C"/>
    <w:rsid w:val="00A226E8"/>
    <w:rsid w:val="00A22780"/>
    <w:rsid w:val="00A22A4B"/>
    <w:rsid w:val="00A22B81"/>
    <w:rsid w:val="00A24389"/>
    <w:rsid w:val="00A24C13"/>
    <w:rsid w:val="00A25DDC"/>
    <w:rsid w:val="00A2614A"/>
    <w:rsid w:val="00A3022A"/>
    <w:rsid w:val="00A30965"/>
    <w:rsid w:val="00A30ADC"/>
    <w:rsid w:val="00A30EE9"/>
    <w:rsid w:val="00A31A25"/>
    <w:rsid w:val="00A323FA"/>
    <w:rsid w:val="00A336C1"/>
    <w:rsid w:val="00A339FE"/>
    <w:rsid w:val="00A3432F"/>
    <w:rsid w:val="00A345AB"/>
    <w:rsid w:val="00A348EF"/>
    <w:rsid w:val="00A359FD"/>
    <w:rsid w:val="00A36670"/>
    <w:rsid w:val="00A3753F"/>
    <w:rsid w:val="00A406D5"/>
    <w:rsid w:val="00A408B2"/>
    <w:rsid w:val="00A4245F"/>
    <w:rsid w:val="00A429F9"/>
    <w:rsid w:val="00A43E17"/>
    <w:rsid w:val="00A44751"/>
    <w:rsid w:val="00A459E6"/>
    <w:rsid w:val="00A4686C"/>
    <w:rsid w:val="00A46D9E"/>
    <w:rsid w:val="00A47799"/>
    <w:rsid w:val="00A51134"/>
    <w:rsid w:val="00A531E0"/>
    <w:rsid w:val="00A54D48"/>
    <w:rsid w:val="00A5622C"/>
    <w:rsid w:val="00A60292"/>
    <w:rsid w:val="00A614CE"/>
    <w:rsid w:val="00A61517"/>
    <w:rsid w:val="00A616E3"/>
    <w:rsid w:val="00A61E1E"/>
    <w:rsid w:val="00A6255C"/>
    <w:rsid w:val="00A642C0"/>
    <w:rsid w:val="00A646E0"/>
    <w:rsid w:val="00A6585E"/>
    <w:rsid w:val="00A65F13"/>
    <w:rsid w:val="00A66197"/>
    <w:rsid w:val="00A6646A"/>
    <w:rsid w:val="00A66684"/>
    <w:rsid w:val="00A670D8"/>
    <w:rsid w:val="00A6782D"/>
    <w:rsid w:val="00A709B2"/>
    <w:rsid w:val="00A709FE"/>
    <w:rsid w:val="00A71260"/>
    <w:rsid w:val="00A7132F"/>
    <w:rsid w:val="00A72EAA"/>
    <w:rsid w:val="00A73574"/>
    <w:rsid w:val="00A741C4"/>
    <w:rsid w:val="00A74261"/>
    <w:rsid w:val="00A76735"/>
    <w:rsid w:val="00A76B6D"/>
    <w:rsid w:val="00A76D66"/>
    <w:rsid w:val="00A7731B"/>
    <w:rsid w:val="00A80DA5"/>
    <w:rsid w:val="00A8148D"/>
    <w:rsid w:val="00A814D8"/>
    <w:rsid w:val="00A82139"/>
    <w:rsid w:val="00A822D4"/>
    <w:rsid w:val="00A8259C"/>
    <w:rsid w:val="00A82B85"/>
    <w:rsid w:val="00A861C5"/>
    <w:rsid w:val="00A863AA"/>
    <w:rsid w:val="00A8663E"/>
    <w:rsid w:val="00A90757"/>
    <w:rsid w:val="00A908CF"/>
    <w:rsid w:val="00A91C12"/>
    <w:rsid w:val="00A92282"/>
    <w:rsid w:val="00A92751"/>
    <w:rsid w:val="00A93700"/>
    <w:rsid w:val="00A94C23"/>
    <w:rsid w:val="00A950DB"/>
    <w:rsid w:val="00A95591"/>
    <w:rsid w:val="00A95B72"/>
    <w:rsid w:val="00A95F0C"/>
    <w:rsid w:val="00A966DD"/>
    <w:rsid w:val="00A966F4"/>
    <w:rsid w:val="00A971C1"/>
    <w:rsid w:val="00A97D20"/>
    <w:rsid w:val="00A97DF7"/>
    <w:rsid w:val="00AA041A"/>
    <w:rsid w:val="00AA09F1"/>
    <w:rsid w:val="00AA21AE"/>
    <w:rsid w:val="00AA2772"/>
    <w:rsid w:val="00AA3AE9"/>
    <w:rsid w:val="00AA41BD"/>
    <w:rsid w:val="00AA4442"/>
    <w:rsid w:val="00AA552C"/>
    <w:rsid w:val="00AA753C"/>
    <w:rsid w:val="00AB02F9"/>
    <w:rsid w:val="00AB136B"/>
    <w:rsid w:val="00AB2581"/>
    <w:rsid w:val="00AB27C9"/>
    <w:rsid w:val="00AB3ECF"/>
    <w:rsid w:val="00AB428C"/>
    <w:rsid w:val="00AB4EAA"/>
    <w:rsid w:val="00AB4F01"/>
    <w:rsid w:val="00AB5150"/>
    <w:rsid w:val="00AB545C"/>
    <w:rsid w:val="00AB5A52"/>
    <w:rsid w:val="00AB5E44"/>
    <w:rsid w:val="00AB7567"/>
    <w:rsid w:val="00AB7611"/>
    <w:rsid w:val="00AC1157"/>
    <w:rsid w:val="00AC3923"/>
    <w:rsid w:val="00AC4104"/>
    <w:rsid w:val="00AC48B9"/>
    <w:rsid w:val="00AC61D5"/>
    <w:rsid w:val="00AC66A8"/>
    <w:rsid w:val="00AC6BA2"/>
    <w:rsid w:val="00AD12FB"/>
    <w:rsid w:val="00AD28D3"/>
    <w:rsid w:val="00AD31FE"/>
    <w:rsid w:val="00AE1678"/>
    <w:rsid w:val="00AE1C14"/>
    <w:rsid w:val="00AE217F"/>
    <w:rsid w:val="00AE2819"/>
    <w:rsid w:val="00AE3192"/>
    <w:rsid w:val="00AE4D2E"/>
    <w:rsid w:val="00AE4F3C"/>
    <w:rsid w:val="00AE5171"/>
    <w:rsid w:val="00AE6702"/>
    <w:rsid w:val="00AE6CFC"/>
    <w:rsid w:val="00AE6DF7"/>
    <w:rsid w:val="00AE7B1D"/>
    <w:rsid w:val="00AE7B90"/>
    <w:rsid w:val="00AE7C57"/>
    <w:rsid w:val="00AF075D"/>
    <w:rsid w:val="00AF13BE"/>
    <w:rsid w:val="00AF1EC6"/>
    <w:rsid w:val="00AF1F4B"/>
    <w:rsid w:val="00AF343A"/>
    <w:rsid w:val="00AF4C50"/>
    <w:rsid w:val="00AF5D30"/>
    <w:rsid w:val="00AF70F5"/>
    <w:rsid w:val="00AF754B"/>
    <w:rsid w:val="00AF7B6F"/>
    <w:rsid w:val="00B00262"/>
    <w:rsid w:val="00B01B64"/>
    <w:rsid w:val="00B01C70"/>
    <w:rsid w:val="00B01F75"/>
    <w:rsid w:val="00B0207F"/>
    <w:rsid w:val="00B02258"/>
    <w:rsid w:val="00B035EB"/>
    <w:rsid w:val="00B036EE"/>
    <w:rsid w:val="00B03F30"/>
    <w:rsid w:val="00B040F3"/>
    <w:rsid w:val="00B04D96"/>
    <w:rsid w:val="00B05BB9"/>
    <w:rsid w:val="00B05DB2"/>
    <w:rsid w:val="00B062F1"/>
    <w:rsid w:val="00B063B1"/>
    <w:rsid w:val="00B070FA"/>
    <w:rsid w:val="00B07583"/>
    <w:rsid w:val="00B076AD"/>
    <w:rsid w:val="00B10F38"/>
    <w:rsid w:val="00B11C81"/>
    <w:rsid w:val="00B13699"/>
    <w:rsid w:val="00B13E65"/>
    <w:rsid w:val="00B13F01"/>
    <w:rsid w:val="00B140D0"/>
    <w:rsid w:val="00B14215"/>
    <w:rsid w:val="00B146BC"/>
    <w:rsid w:val="00B170F7"/>
    <w:rsid w:val="00B17E66"/>
    <w:rsid w:val="00B20A46"/>
    <w:rsid w:val="00B21094"/>
    <w:rsid w:val="00B21811"/>
    <w:rsid w:val="00B21DC9"/>
    <w:rsid w:val="00B21EDF"/>
    <w:rsid w:val="00B22137"/>
    <w:rsid w:val="00B22476"/>
    <w:rsid w:val="00B22D33"/>
    <w:rsid w:val="00B26226"/>
    <w:rsid w:val="00B26ED3"/>
    <w:rsid w:val="00B276D5"/>
    <w:rsid w:val="00B30C3D"/>
    <w:rsid w:val="00B35322"/>
    <w:rsid w:val="00B3535C"/>
    <w:rsid w:val="00B35837"/>
    <w:rsid w:val="00B35B4C"/>
    <w:rsid w:val="00B36547"/>
    <w:rsid w:val="00B3654D"/>
    <w:rsid w:val="00B36E5F"/>
    <w:rsid w:val="00B378C6"/>
    <w:rsid w:val="00B408BF"/>
    <w:rsid w:val="00B419F3"/>
    <w:rsid w:val="00B43772"/>
    <w:rsid w:val="00B43E74"/>
    <w:rsid w:val="00B445F3"/>
    <w:rsid w:val="00B45B0D"/>
    <w:rsid w:val="00B46FE4"/>
    <w:rsid w:val="00B529B0"/>
    <w:rsid w:val="00B5467C"/>
    <w:rsid w:val="00B54AE0"/>
    <w:rsid w:val="00B550D2"/>
    <w:rsid w:val="00B5584F"/>
    <w:rsid w:val="00B55A62"/>
    <w:rsid w:val="00B560DB"/>
    <w:rsid w:val="00B56C18"/>
    <w:rsid w:val="00B57FD7"/>
    <w:rsid w:val="00B60848"/>
    <w:rsid w:val="00B608AB"/>
    <w:rsid w:val="00B61600"/>
    <w:rsid w:val="00B61AC8"/>
    <w:rsid w:val="00B638F7"/>
    <w:rsid w:val="00B64CBE"/>
    <w:rsid w:val="00B65417"/>
    <w:rsid w:val="00B655BB"/>
    <w:rsid w:val="00B658F6"/>
    <w:rsid w:val="00B65B25"/>
    <w:rsid w:val="00B65DCD"/>
    <w:rsid w:val="00B669EE"/>
    <w:rsid w:val="00B66B29"/>
    <w:rsid w:val="00B67DB6"/>
    <w:rsid w:val="00B70AFA"/>
    <w:rsid w:val="00B70DFC"/>
    <w:rsid w:val="00B724C2"/>
    <w:rsid w:val="00B734D1"/>
    <w:rsid w:val="00B73A53"/>
    <w:rsid w:val="00B7415B"/>
    <w:rsid w:val="00B744A0"/>
    <w:rsid w:val="00B74A29"/>
    <w:rsid w:val="00B7524F"/>
    <w:rsid w:val="00B75E0A"/>
    <w:rsid w:val="00B75EC1"/>
    <w:rsid w:val="00B76979"/>
    <w:rsid w:val="00B76B8E"/>
    <w:rsid w:val="00B77BAC"/>
    <w:rsid w:val="00B77E7E"/>
    <w:rsid w:val="00B80C23"/>
    <w:rsid w:val="00B818E1"/>
    <w:rsid w:val="00B8359C"/>
    <w:rsid w:val="00B83F2B"/>
    <w:rsid w:val="00B843D4"/>
    <w:rsid w:val="00B846A8"/>
    <w:rsid w:val="00B846CD"/>
    <w:rsid w:val="00B85A18"/>
    <w:rsid w:val="00B85CEC"/>
    <w:rsid w:val="00B86D5A"/>
    <w:rsid w:val="00B87FF0"/>
    <w:rsid w:val="00B92CC9"/>
    <w:rsid w:val="00B932EE"/>
    <w:rsid w:val="00B9415A"/>
    <w:rsid w:val="00B958E4"/>
    <w:rsid w:val="00B971B7"/>
    <w:rsid w:val="00B97929"/>
    <w:rsid w:val="00BA1730"/>
    <w:rsid w:val="00BA399E"/>
    <w:rsid w:val="00BA4583"/>
    <w:rsid w:val="00BA4B46"/>
    <w:rsid w:val="00BA57B3"/>
    <w:rsid w:val="00BA58A9"/>
    <w:rsid w:val="00BA6373"/>
    <w:rsid w:val="00BA72FE"/>
    <w:rsid w:val="00BA7B27"/>
    <w:rsid w:val="00BB054F"/>
    <w:rsid w:val="00BB105B"/>
    <w:rsid w:val="00BB1129"/>
    <w:rsid w:val="00BB230E"/>
    <w:rsid w:val="00BB3B70"/>
    <w:rsid w:val="00BB3F6D"/>
    <w:rsid w:val="00BB43DA"/>
    <w:rsid w:val="00BB4700"/>
    <w:rsid w:val="00BB4FC9"/>
    <w:rsid w:val="00BB79D2"/>
    <w:rsid w:val="00BB7BBE"/>
    <w:rsid w:val="00BB7C6F"/>
    <w:rsid w:val="00BC0B76"/>
    <w:rsid w:val="00BC0F48"/>
    <w:rsid w:val="00BC260A"/>
    <w:rsid w:val="00BC2E25"/>
    <w:rsid w:val="00BC4B0E"/>
    <w:rsid w:val="00BC6A64"/>
    <w:rsid w:val="00BC7338"/>
    <w:rsid w:val="00BD0213"/>
    <w:rsid w:val="00BD3928"/>
    <w:rsid w:val="00BD4EEB"/>
    <w:rsid w:val="00BD5DB6"/>
    <w:rsid w:val="00BD5EE6"/>
    <w:rsid w:val="00BD72A7"/>
    <w:rsid w:val="00BD7BE6"/>
    <w:rsid w:val="00BD7C98"/>
    <w:rsid w:val="00BE0C09"/>
    <w:rsid w:val="00BE132F"/>
    <w:rsid w:val="00BE1488"/>
    <w:rsid w:val="00BE1770"/>
    <w:rsid w:val="00BE2029"/>
    <w:rsid w:val="00BE2104"/>
    <w:rsid w:val="00BE240D"/>
    <w:rsid w:val="00BE27D3"/>
    <w:rsid w:val="00BE2C76"/>
    <w:rsid w:val="00BE2E9F"/>
    <w:rsid w:val="00BE38B7"/>
    <w:rsid w:val="00BE39CB"/>
    <w:rsid w:val="00BE3BD7"/>
    <w:rsid w:val="00BE3EF6"/>
    <w:rsid w:val="00BE6433"/>
    <w:rsid w:val="00BE6E5E"/>
    <w:rsid w:val="00BE7007"/>
    <w:rsid w:val="00BF08D9"/>
    <w:rsid w:val="00BF1E48"/>
    <w:rsid w:val="00BF2FF7"/>
    <w:rsid w:val="00BF321E"/>
    <w:rsid w:val="00BF4B21"/>
    <w:rsid w:val="00BF50D5"/>
    <w:rsid w:val="00BF620E"/>
    <w:rsid w:val="00BF6A9C"/>
    <w:rsid w:val="00BF7762"/>
    <w:rsid w:val="00C01205"/>
    <w:rsid w:val="00C01F86"/>
    <w:rsid w:val="00C02142"/>
    <w:rsid w:val="00C02651"/>
    <w:rsid w:val="00C02A9D"/>
    <w:rsid w:val="00C066EC"/>
    <w:rsid w:val="00C0690E"/>
    <w:rsid w:val="00C069E8"/>
    <w:rsid w:val="00C06FB8"/>
    <w:rsid w:val="00C0704A"/>
    <w:rsid w:val="00C078AD"/>
    <w:rsid w:val="00C07F8E"/>
    <w:rsid w:val="00C1055D"/>
    <w:rsid w:val="00C1103D"/>
    <w:rsid w:val="00C12362"/>
    <w:rsid w:val="00C13289"/>
    <w:rsid w:val="00C13830"/>
    <w:rsid w:val="00C13B5B"/>
    <w:rsid w:val="00C14DDE"/>
    <w:rsid w:val="00C15076"/>
    <w:rsid w:val="00C1511C"/>
    <w:rsid w:val="00C15796"/>
    <w:rsid w:val="00C15F91"/>
    <w:rsid w:val="00C200A8"/>
    <w:rsid w:val="00C20554"/>
    <w:rsid w:val="00C219D3"/>
    <w:rsid w:val="00C21D8C"/>
    <w:rsid w:val="00C220C1"/>
    <w:rsid w:val="00C23413"/>
    <w:rsid w:val="00C236E0"/>
    <w:rsid w:val="00C23FC0"/>
    <w:rsid w:val="00C24099"/>
    <w:rsid w:val="00C260E2"/>
    <w:rsid w:val="00C264C8"/>
    <w:rsid w:val="00C30B57"/>
    <w:rsid w:val="00C30D5D"/>
    <w:rsid w:val="00C314C1"/>
    <w:rsid w:val="00C316FE"/>
    <w:rsid w:val="00C31EFF"/>
    <w:rsid w:val="00C3302B"/>
    <w:rsid w:val="00C33196"/>
    <w:rsid w:val="00C3545F"/>
    <w:rsid w:val="00C3561A"/>
    <w:rsid w:val="00C3584E"/>
    <w:rsid w:val="00C36AB3"/>
    <w:rsid w:val="00C40733"/>
    <w:rsid w:val="00C409CE"/>
    <w:rsid w:val="00C4104C"/>
    <w:rsid w:val="00C412CA"/>
    <w:rsid w:val="00C413FD"/>
    <w:rsid w:val="00C43121"/>
    <w:rsid w:val="00C4324A"/>
    <w:rsid w:val="00C43EA5"/>
    <w:rsid w:val="00C44A82"/>
    <w:rsid w:val="00C45AFE"/>
    <w:rsid w:val="00C45B44"/>
    <w:rsid w:val="00C4685F"/>
    <w:rsid w:val="00C47010"/>
    <w:rsid w:val="00C503F4"/>
    <w:rsid w:val="00C5121F"/>
    <w:rsid w:val="00C51360"/>
    <w:rsid w:val="00C522C3"/>
    <w:rsid w:val="00C527C1"/>
    <w:rsid w:val="00C54829"/>
    <w:rsid w:val="00C54D46"/>
    <w:rsid w:val="00C54E6D"/>
    <w:rsid w:val="00C55BF7"/>
    <w:rsid w:val="00C560C4"/>
    <w:rsid w:val="00C608E6"/>
    <w:rsid w:val="00C60A86"/>
    <w:rsid w:val="00C616FC"/>
    <w:rsid w:val="00C61E53"/>
    <w:rsid w:val="00C62374"/>
    <w:rsid w:val="00C628B4"/>
    <w:rsid w:val="00C6348E"/>
    <w:rsid w:val="00C637B0"/>
    <w:rsid w:val="00C63978"/>
    <w:rsid w:val="00C64A20"/>
    <w:rsid w:val="00C65CD6"/>
    <w:rsid w:val="00C66F61"/>
    <w:rsid w:val="00C6755E"/>
    <w:rsid w:val="00C67842"/>
    <w:rsid w:val="00C706E5"/>
    <w:rsid w:val="00C70701"/>
    <w:rsid w:val="00C70EA9"/>
    <w:rsid w:val="00C726BB"/>
    <w:rsid w:val="00C72733"/>
    <w:rsid w:val="00C72A38"/>
    <w:rsid w:val="00C72B52"/>
    <w:rsid w:val="00C73CA3"/>
    <w:rsid w:val="00C74D5B"/>
    <w:rsid w:val="00C75FFE"/>
    <w:rsid w:val="00C773A4"/>
    <w:rsid w:val="00C800F9"/>
    <w:rsid w:val="00C80B9C"/>
    <w:rsid w:val="00C829F7"/>
    <w:rsid w:val="00C84114"/>
    <w:rsid w:val="00C84617"/>
    <w:rsid w:val="00C860D5"/>
    <w:rsid w:val="00C879AE"/>
    <w:rsid w:val="00C90D63"/>
    <w:rsid w:val="00C91AF4"/>
    <w:rsid w:val="00C92234"/>
    <w:rsid w:val="00C927CE"/>
    <w:rsid w:val="00C92CD2"/>
    <w:rsid w:val="00C945EE"/>
    <w:rsid w:val="00C96CF9"/>
    <w:rsid w:val="00C97F4F"/>
    <w:rsid w:val="00CA05B0"/>
    <w:rsid w:val="00CA222C"/>
    <w:rsid w:val="00CA3206"/>
    <w:rsid w:val="00CA35BB"/>
    <w:rsid w:val="00CA3A60"/>
    <w:rsid w:val="00CA3EFC"/>
    <w:rsid w:val="00CA58F6"/>
    <w:rsid w:val="00CA6E79"/>
    <w:rsid w:val="00CA7E4E"/>
    <w:rsid w:val="00CB36FA"/>
    <w:rsid w:val="00CB391C"/>
    <w:rsid w:val="00CB4120"/>
    <w:rsid w:val="00CB5AA2"/>
    <w:rsid w:val="00CB61E0"/>
    <w:rsid w:val="00CB6D5F"/>
    <w:rsid w:val="00CB736D"/>
    <w:rsid w:val="00CB7BF9"/>
    <w:rsid w:val="00CC0A69"/>
    <w:rsid w:val="00CC143E"/>
    <w:rsid w:val="00CC2CFE"/>
    <w:rsid w:val="00CC2F91"/>
    <w:rsid w:val="00CC488E"/>
    <w:rsid w:val="00CC4AE1"/>
    <w:rsid w:val="00CC5030"/>
    <w:rsid w:val="00CC7E70"/>
    <w:rsid w:val="00CD0161"/>
    <w:rsid w:val="00CD06F8"/>
    <w:rsid w:val="00CD0852"/>
    <w:rsid w:val="00CD0AB7"/>
    <w:rsid w:val="00CD0B08"/>
    <w:rsid w:val="00CD121E"/>
    <w:rsid w:val="00CD2397"/>
    <w:rsid w:val="00CD3601"/>
    <w:rsid w:val="00CD37A9"/>
    <w:rsid w:val="00CD4C64"/>
    <w:rsid w:val="00CD4D3E"/>
    <w:rsid w:val="00CD558F"/>
    <w:rsid w:val="00CD6E2D"/>
    <w:rsid w:val="00CE06D8"/>
    <w:rsid w:val="00CE1DB6"/>
    <w:rsid w:val="00CE3500"/>
    <w:rsid w:val="00CE4390"/>
    <w:rsid w:val="00CE5404"/>
    <w:rsid w:val="00CF0001"/>
    <w:rsid w:val="00CF04F1"/>
    <w:rsid w:val="00CF0C92"/>
    <w:rsid w:val="00CF174D"/>
    <w:rsid w:val="00CF1827"/>
    <w:rsid w:val="00CF2312"/>
    <w:rsid w:val="00CF4D0D"/>
    <w:rsid w:val="00CF57D6"/>
    <w:rsid w:val="00CF74B5"/>
    <w:rsid w:val="00D00F43"/>
    <w:rsid w:val="00D01182"/>
    <w:rsid w:val="00D0160F"/>
    <w:rsid w:val="00D0455E"/>
    <w:rsid w:val="00D049B7"/>
    <w:rsid w:val="00D057DA"/>
    <w:rsid w:val="00D05BAD"/>
    <w:rsid w:val="00D066A9"/>
    <w:rsid w:val="00D06A16"/>
    <w:rsid w:val="00D10129"/>
    <w:rsid w:val="00D10A50"/>
    <w:rsid w:val="00D1188C"/>
    <w:rsid w:val="00D11F7C"/>
    <w:rsid w:val="00D12B7E"/>
    <w:rsid w:val="00D12CEA"/>
    <w:rsid w:val="00D1325D"/>
    <w:rsid w:val="00D144A1"/>
    <w:rsid w:val="00D150D6"/>
    <w:rsid w:val="00D15252"/>
    <w:rsid w:val="00D15EA1"/>
    <w:rsid w:val="00D16C55"/>
    <w:rsid w:val="00D16C91"/>
    <w:rsid w:val="00D16FEA"/>
    <w:rsid w:val="00D172A7"/>
    <w:rsid w:val="00D17AE0"/>
    <w:rsid w:val="00D2022F"/>
    <w:rsid w:val="00D21D97"/>
    <w:rsid w:val="00D22E0E"/>
    <w:rsid w:val="00D23654"/>
    <w:rsid w:val="00D237B0"/>
    <w:rsid w:val="00D23F4E"/>
    <w:rsid w:val="00D24A16"/>
    <w:rsid w:val="00D24E8C"/>
    <w:rsid w:val="00D2525C"/>
    <w:rsid w:val="00D25B39"/>
    <w:rsid w:val="00D25C52"/>
    <w:rsid w:val="00D26C7F"/>
    <w:rsid w:val="00D27242"/>
    <w:rsid w:val="00D27E0D"/>
    <w:rsid w:val="00D30133"/>
    <w:rsid w:val="00D3088C"/>
    <w:rsid w:val="00D32F9B"/>
    <w:rsid w:val="00D34150"/>
    <w:rsid w:val="00D341BF"/>
    <w:rsid w:val="00D34984"/>
    <w:rsid w:val="00D34D7E"/>
    <w:rsid w:val="00D34FF7"/>
    <w:rsid w:val="00D35B91"/>
    <w:rsid w:val="00D365D7"/>
    <w:rsid w:val="00D36DB5"/>
    <w:rsid w:val="00D37001"/>
    <w:rsid w:val="00D3764F"/>
    <w:rsid w:val="00D37965"/>
    <w:rsid w:val="00D40E1B"/>
    <w:rsid w:val="00D414E1"/>
    <w:rsid w:val="00D4212D"/>
    <w:rsid w:val="00D42982"/>
    <w:rsid w:val="00D43210"/>
    <w:rsid w:val="00D4346E"/>
    <w:rsid w:val="00D45180"/>
    <w:rsid w:val="00D46132"/>
    <w:rsid w:val="00D463DA"/>
    <w:rsid w:val="00D46460"/>
    <w:rsid w:val="00D466CB"/>
    <w:rsid w:val="00D47EF4"/>
    <w:rsid w:val="00D514FC"/>
    <w:rsid w:val="00D52696"/>
    <w:rsid w:val="00D52EA3"/>
    <w:rsid w:val="00D52EFF"/>
    <w:rsid w:val="00D53A25"/>
    <w:rsid w:val="00D548D6"/>
    <w:rsid w:val="00D560D2"/>
    <w:rsid w:val="00D565D9"/>
    <w:rsid w:val="00D566B2"/>
    <w:rsid w:val="00D568F6"/>
    <w:rsid w:val="00D606B9"/>
    <w:rsid w:val="00D608B9"/>
    <w:rsid w:val="00D6143E"/>
    <w:rsid w:val="00D61593"/>
    <w:rsid w:val="00D62F58"/>
    <w:rsid w:val="00D635C9"/>
    <w:rsid w:val="00D65101"/>
    <w:rsid w:val="00D65EC7"/>
    <w:rsid w:val="00D664F3"/>
    <w:rsid w:val="00D6718B"/>
    <w:rsid w:val="00D673C5"/>
    <w:rsid w:val="00D70294"/>
    <w:rsid w:val="00D7139D"/>
    <w:rsid w:val="00D73E89"/>
    <w:rsid w:val="00D7599F"/>
    <w:rsid w:val="00D76233"/>
    <w:rsid w:val="00D76ECB"/>
    <w:rsid w:val="00D8189A"/>
    <w:rsid w:val="00D81D84"/>
    <w:rsid w:val="00D83180"/>
    <w:rsid w:val="00D83549"/>
    <w:rsid w:val="00D8559A"/>
    <w:rsid w:val="00D86879"/>
    <w:rsid w:val="00D86C5C"/>
    <w:rsid w:val="00D873A7"/>
    <w:rsid w:val="00D91892"/>
    <w:rsid w:val="00D91E77"/>
    <w:rsid w:val="00D93221"/>
    <w:rsid w:val="00D93CB8"/>
    <w:rsid w:val="00D9400C"/>
    <w:rsid w:val="00D95761"/>
    <w:rsid w:val="00D970D1"/>
    <w:rsid w:val="00D9751B"/>
    <w:rsid w:val="00D977BF"/>
    <w:rsid w:val="00DA0856"/>
    <w:rsid w:val="00DA0F36"/>
    <w:rsid w:val="00DA1C7E"/>
    <w:rsid w:val="00DA2F98"/>
    <w:rsid w:val="00DA3970"/>
    <w:rsid w:val="00DA43E5"/>
    <w:rsid w:val="00DA54DB"/>
    <w:rsid w:val="00DA6162"/>
    <w:rsid w:val="00DA74E4"/>
    <w:rsid w:val="00DA7C88"/>
    <w:rsid w:val="00DB0680"/>
    <w:rsid w:val="00DB0A1A"/>
    <w:rsid w:val="00DB1EC2"/>
    <w:rsid w:val="00DB304E"/>
    <w:rsid w:val="00DB4387"/>
    <w:rsid w:val="00DB4E0C"/>
    <w:rsid w:val="00DB5C9B"/>
    <w:rsid w:val="00DB630A"/>
    <w:rsid w:val="00DC1067"/>
    <w:rsid w:val="00DC1245"/>
    <w:rsid w:val="00DC136C"/>
    <w:rsid w:val="00DC1701"/>
    <w:rsid w:val="00DC41B2"/>
    <w:rsid w:val="00DC5313"/>
    <w:rsid w:val="00DC6C4C"/>
    <w:rsid w:val="00DC6DE4"/>
    <w:rsid w:val="00DC70C7"/>
    <w:rsid w:val="00DC7876"/>
    <w:rsid w:val="00DC7D04"/>
    <w:rsid w:val="00DD07DB"/>
    <w:rsid w:val="00DD2459"/>
    <w:rsid w:val="00DD2935"/>
    <w:rsid w:val="00DD324E"/>
    <w:rsid w:val="00DD3409"/>
    <w:rsid w:val="00DD3F51"/>
    <w:rsid w:val="00DD3FE1"/>
    <w:rsid w:val="00DD63F7"/>
    <w:rsid w:val="00DD658E"/>
    <w:rsid w:val="00DD6D29"/>
    <w:rsid w:val="00DD7835"/>
    <w:rsid w:val="00DE1DAE"/>
    <w:rsid w:val="00DE5AF9"/>
    <w:rsid w:val="00DF120A"/>
    <w:rsid w:val="00DF12C2"/>
    <w:rsid w:val="00DF1508"/>
    <w:rsid w:val="00DF191E"/>
    <w:rsid w:val="00DF1D6E"/>
    <w:rsid w:val="00DF268C"/>
    <w:rsid w:val="00DF2774"/>
    <w:rsid w:val="00DF27E8"/>
    <w:rsid w:val="00DF2CBA"/>
    <w:rsid w:val="00DF2F22"/>
    <w:rsid w:val="00DF32DF"/>
    <w:rsid w:val="00DF419B"/>
    <w:rsid w:val="00DF457B"/>
    <w:rsid w:val="00DF563B"/>
    <w:rsid w:val="00DF576E"/>
    <w:rsid w:val="00DF6FC6"/>
    <w:rsid w:val="00DF736F"/>
    <w:rsid w:val="00E005B7"/>
    <w:rsid w:val="00E007B4"/>
    <w:rsid w:val="00E03C69"/>
    <w:rsid w:val="00E03E15"/>
    <w:rsid w:val="00E047F6"/>
    <w:rsid w:val="00E0486F"/>
    <w:rsid w:val="00E04E5A"/>
    <w:rsid w:val="00E0615B"/>
    <w:rsid w:val="00E06306"/>
    <w:rsid w:val="00E0647B"/>
    <w:rsid w:val="00E070ED"/>
    <w:rsid w:val="00E10A72"/>
    <w:rsid w:val="00E130C9"/>
    <w:rsid w:val="00E13626"/>
    <w:rsid w:val="00E13D5E"/>
    <w:rsid w:val="00E144DD"/>
    <w:rsid w:val="00E14BAA"/>
    <w:rsid w:val="00E163B2"/>
    <w:rsid w:val="00E21190"/>
    <w:rsid w:val="00E21705"/>
    <w:rsid w:val="00E2323A"/>
    <w:rsid w:val="00E235A9"/>
    <w:rsid w:val="00E23A24"/>
    <w:rsid w:val="00E243E5"/>
    <w:rsid w:val="00E246B0"/>
    <w:rsid w:val="00E2532A"/>
    <w:rsid w:val="00E263B3"/>
    <w:rsid w:val="00E277A0"/>
    <w:rsid w:val="00E27E72"/>
    <w:rsid w:val="00E30976"/>
    <w:rsid w:val="00E30DC9"/>
    <w:rsid w:val="00E31BA1"/>
    <w:rsid w:val="00E33DDF"/>
    <w:rsid w:val="00E34CE5"/>
    <w:rsid w:val="00E35675"/>
    <w:rsid w:val="00E3698A"/>
    <w:rsid w:val="00E411D6"/>
    <w:rsid w:val="00E41721"/>
    <w:rsid w:val="00E418AE"/>
    <w:rsid w:val="00E43334"/>
    <w:rsid w:val="00E4436A"/>
    <w:rsid w:val="00E46DA9"/>
    <w:rsid w:val="00E46F6B"/>
    <w:rsid w:val="00E471A1"/>
    <w:rsid w:val="00E473B3"/>
    <w:rsid w:val="00E50860"/>
    <w:rsid w:val="00E5151C"/>
    <w:rsid w:val="00E51B9E"/>
    <w:rsid w:val="00E521A8"/>
    <w:rsid w:val="00E529F2"/>
    <w:rsid w:val="00E52D5C"/>
    <w:rsid w:val="00E52DD0"/>
    <w:rsid w:val="00E53194"/>
    <w:rsid w:val="00E539D4"/>
    <w:rsid w:val="00E5449C"/>
    <w:rsid w:val="00E55696"/>
    <w:rsid w:val="00E562CA"/>
    <w:rsid w:val="00E569CF"/>
    <w:rsid w:val="00E56DB2"/>
    <w:rsid w:val="00E60831"/>
    <w:rsid w:val="00E60A71"/>
    <w:rsid w:val="00E617C6"/>
    <w:rsid w:val="00E61A76"/>
    <w:rsid w:val="00E627CA"/>
    <w:rsid w:val="00E62B5F"/>
    <w:rsid w:val="00E62F26"/>
    <w:rsid w:val="00E633CD"/>
    <w:rsid w:val="00E6363A"/>
    <w:rsid w:val="00E6374F"/>
    <w:rsid w:val="00E6395F"/>
    <w:rsid w:val="00E66C00"/>
    <w:rsid w:val="00E66FAE"/>
    <w:rsid w:val="00E67F18"/>
    <w:rsid w:val="00E703EF"/>
    <w:rsid w:val="00E70A7B"/>
    <w:rsid w:val="00E7200F"/>
    <w:rsid w:val="00E75E76"/>
    <w:rsid w:val="00E76655"/>
    <w:rsid w:val="00E7672B"/>
    <w:rsid w:val="00E81A29"/>
    <w:rsid w:val="00E823AB"/>
    <w:rsid w:val="00E8361B"/>
    <w:rsid w:val="00E87EDA"/>
    <w:rsid w:val="00E90BAA"/>
    <w:rsid w:val="00E90C91"/>
    <w:rsid w:val="00E912B3"/>
    <w:rsid w:val="00E91CF4"/>
    <w:rsid w:val="00E9288B"/>
    <w:rsid w:val="00E94458"/>
    <w:rsid w:val="00E94AD0"/>
    <w:rsid w:val="00E95477"/>
    <w:rsid w:val="00E978C1"/>
    <w:rsid w:val="00E97DBA"/>
    <w:rsid w:val="00E97E77"/>
    <w:rsid w:val="00EA07C7"/>
    <w:rsid w:val="00EA0D10"/>
    <w:rsid w:val="00EA41A6"/>
    <w:rsid w:val="00EA4E51"/>
    <w:rsid w:val="00EA50C1"/>
    <w:rsid w:val="00EA5BD0"/>
    <w:rsid w:val="00EA675A"/>
    <w:rsid w:val="00EA796C"/>
    <w:rsid w:val="00EA7986"/>
    <w:rsid w:val="00EB0184"/>
    <w:rsid w:val="00EB0747"/>
    <w:rsid w:val="00EB18E5"/>
    <w:rsid w:val="00EB2558"/>
    <w:rsid w:val="00EB3345"/>
    <w:rsid w:val="00EB4069"/>
    <w:rsid w:val="00EB4348"/>
    <w:rsid w:val="00EB566A"/>
    <w:rsid w:val="00EB711D"/>
    <w:rsid w:val="00EB7560"/>
    <w:rsid w:val="00EC054D"/>
    <w:rsid w:val="00EC1F0C"/>
    <w:rsid w:val="00EC2D9B"/>
    <w:rsid w:val="00EC3441"/>
    <w:rsid w:val="00EC37CB"/>
    <w:rsid w:val="00EC431B"/>
    <w:rsid w:val="00EC5A15"/>
    <w:rsid w:val="00EC67CE"/>
    <w:rsid w:val="00EC684A"/>
    <w:rsid w:val="00ED1BD6"/>
    <w:rsid w:val="00ED31B8"/>
    <w:rsid w:val="00ED3855"/>
    <w:rsid w:val="00ED608F"/>
    <w:rsid w:val="00ED6AF7"/>
    <w:rsid w:val="00ED6B01"/>
    <w:rsid w:val="00ED6FDF"/>
    <w:rsid w:val="00ED77D0"/>
    <w:rsid w:val="00EE0315"/>
    <w:rsid w:val="00EE047A"/>
    <w:rsid w:val="00EE0C5E"/>
    <w:rsid w:val="00EE1AD9"/>
    <w:rsid w:val="00EE20E3"/>
    <w:rsid w:val="00EE2E7B"/>
    <w:rsid w:val="00EE3960"/>
    <w:rsid w:val="00EE3E49"/>
    <w:rsid w:val="00EE5F76"/>
    <w:rsid w:val="00EE7656"/>
    <w:rsid w:val="00EF1AA9"/>
    <w:rsid w:val="00EF1FAD"/>
    <w:rsid w:val="00EF483F"/>
    <w:rsid w:val="00EF56DE"/>
    <w:rsid w:val="00EF5837"/>
    <w:rsid w:val="00EF7782"/>
    <w:rsid w:val="00F00FC1"/>
    <w:rsid w:val="00F02842"/>
    <w:rsid w:val="00F0317D"/>
    <w:rsid w:val="00F05F57"/>
    <w:rsid w:val="00F0698F"/>
    <w:rsid w:val="00F06B5F"/>
    <w:rsid w:val="00F07E04"/>
    <w:rsid w:val="00F1332A"/>
    <w:rsid w:val="00F144B0"/>
    <w:rsid w:val="00F14929"/>
    <w:rsid w:val="00F14D25"/>
    <w:rsid w:val="00F1557B"/>
    <w:rsid w:val="00F15988"/>
    <w:rsid w:val="00F23052"/>
    <w:rsid w:val="00F230A8"/>
    <w:rsid w:val="00F241B9"/>
    <w:rsid w:val="00F24AE3"/>
    <w:rsid w:val="00F25069"/>
    <w:rsid w:val="00F2513F"/>
    <w:rsid w:val="00F26FE3"/>
    <w:rsid w:val="00F277D9"/>
    <w:rsid w:val="00F27B1A"/>
    <w:rsid w:val="00F30D95"/>
    <w:rsid w:val="00F35B6F"/>
    <w:rsid w:val="00F378FF"/>
    <w:rsid w:val="00F37A82"/>
    <w:rsid w:val="00F40DE4"/>
    <w:rsid w:val="00F41C76"/>
    <w:rsid w:val="00F43270"/>
    <w:rsid w:val="00F433C6"/>
    <w:rsid w:val="00F4341B"/>
    <w:rsid w:val="00F43F75"/>
    <w:rsid w:val="00F4545C"/>
    <w:rsid w:val="00F45C43"/>
    <w:rsid w:val="00F46A92"/>
    <w:rsid w:val="00F51A04"/>
    <w:rsid w:val="00F51D97"/>
    <w:rsid w:val="00F523FB"/>
    <w:rsid w:val="00F52915"/>
    <w:rsid w:val="00F52A4B"/>
    <w:rsid w:val="00F52AEF"/>
    <w:rsid w:val="00F530E4"/>
    <w:rsid w:val="00F53263"/>
    <w:rsid w:val="00F54131"/>
    <w:rsid w:val="00F55A94"/>
    <w:rsid w:val="00F56783"/>
    <w:rsid w:val="00F5706E"/>
    <w:rsid w:val="00F570C5"/>
    <w:rsid w:val="00F61BBA"/>
    <w:rsid w:val="00F6281C"/>
    <w:rsid w:val="00F62E55"/>
    <w:rsid w:val="00F6427A"/>
    <w:rsid w:val="00F650D1"/>
    <w:rsid w:val="00F67284"/>
    <w:rsid w:val="00F67F8E"/>
    <w:rsid w:val="00F70A04"/>
    <w:rsid w:val="00F70CB1"/>
    <w:rsid w:val="00F73184"/>
    <w:rsid w:val="00F75D84"/>
    <w:rsid w:val="00F75F09"/>
    <w:rsid w:val="00F77F1F"/>
    <w:rsid w:val="00F807ED"/>
    <w:rsid w:val="00F83549"/>
    <w:rsid w:val="00F84125"/>
    <w:rsid w:val="00F84E87"/>
    <w:rsid w:val="00F91F0D"/>
    <w:rsid w:val="00F92187"/>
    <w:rsid w:val="00F92221"/>
    <w:rsid w:val="00F92C08"/>
    <w:rsid w:val="00F9361E"/>
    <w:rsid w:val="00F93C09"/>
    <w:rsid w:val="00F9648E"/>
    <w:rsid w:val="00F970F1"/>
    <w:rsid w:val="00F971EA"/>
    <w:rsid w:val="00F97E8B"/>
    <w:rsid w:val="00FA005A"/>
    <w:rsid w:val="00FA0253"/>
    <w:rsid w:val="00FA1694"/>
    <w:rsid w:val="00FA271B"/>
    <w:rsid w:val="00FA4104"/>
    <w:rsid w:val="00FA4EDC"/>
    <w:rsid w:val="00FA6488"/>
    <w:rsid w:val="00FA7032"/>
    <w:rsid w:val="00FB0AD9"/>
    <w:rsid w:val="00FB0B32"/>
    <w:rsid w:val="00FB1189"/>
    <w:rsid w:val="00FB1589"/>
    <w:rsid w:val="00FB4457"/>
    <w:rsid w:val="00FB4D15"/>
    <w:rsid w:val="00FB5531"/>
    <w:rsid w:val="00FC0A1A"/>
    <w:rsid w:val="00FC0B02"/>
    <w:rsid w:val="00FC1B89"/>
    <w:rsid w:val="00FC526F"/>
    <w:rsid w:val="00FC530B"/>
    <w:rsid w:val="00FC582F"/>
    <w:rsid w:val="00FC67EF"/>
    <w:rsid w:val="00FC74A3"/>
    <w:rsid w:val="00FC768E"/>
    <w:rsid w:val="00FD00BE"/>
    <w:rsid w:val="00FD1FDF"/>
    <w:rsid w:val="00FD2BEC"/>
    <w:rsid w:val="00FD2DA9"/>
    <w:rsid w:val="00FD39ED"/>
    <w:rsid w:val="00FD3C78"/>
    <w:rsid w:val="00FD3FB4"/>
    <w:rsid w:val="00FD6C9C"/>
    <w:rsid w:val="00FD784E"/>
    <w:rsid w:val="00FE0DD5"/>
    <w:rsid w:val="00FE1C11"/>
    <w:rsid w:val="00FE2C16"/>
    <w:rsid w:val="00FE32B9"/>
    <w:rsid w:val="00FE3A17"/>
    <w:rsid w:val="00FE4283"/>
    <w:rsid w:val="00FE4B4F"/>
    <w:rsid w:val="00FE573F"/>
    <w:rsid w:val="00FE58DD"/>
    <w:rsid w:val="00FE60CD"/>
    <w:rsid w:val="00FE6D80"/>
    <w:rsid w:val="00FF0406"/>
    <w:rsid w:val="00FF09F8"/>
    <w:rsid w:val="00FF0D1D"/>
    <w:rsid w:val="00FF18FC"/>
    <w:rsid w:val="00FF29F3"/>
    <w:rsid w:val="00FF2F09"/>
    <w:rsid w:val="00FF3668"/>
    <w:rsid w:val="00FF3B6E"/>
    <w:rsid w:val="00FF4192"/>
    <w:rsid w:val="00FF5B47"/>
    <w:rsid w:val="00FF5F66"/>
    <w:rsid w:val="00FF6029"/>
    <w:rsid w:val="00FF7239"/>
    <w:rsid w:val="00FF792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3708"/>
  <w15:docId w15:val="{6BA1264A-E944-403F-9E1A-B5069CCD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05A"/>
    <w:pPr>
      <w:spacing w:after="12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E5171"/>
    <w:pPr>
      <w:keepNext/>
      <w:keepLines/>
      <w:numPr>
        <w:numId w:val="1"/>
      </w:numPr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53D1"/>
    <w:pPr>
      <w:keepNext/>
      <w:keepLines/>
      <w:numPr>
        <w:numId w:val="10"/>
      </w:numPr>
      <w:spacing w:before="40" w:after="0"/>
      <w:jc w:val="both"/>
      <w:outlineLvl w:val="1"/>
    </w:pPr>
    <w:rPr>
      <w:rFonts w:ascii="Calibri" w:eastAsiaTheme="majorEastAsia" w:hAnsi="Calibri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7173"/>
    <w:pPr>
      <w:keepNext/>
      <w:keepLines/>
      <w:numPr>
        <w:ilvl w:val="2"/>
        <w:numId w:val="1"/>
      </w:numPr>
      <w:spacing w:before="2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177E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7E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7E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7E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7E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qFormat/>
    <w:rsid w:val="00665555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F77F1F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rsid w:val="00665555"/>
    <w:rPr>
      <w:rFonts w:ascii="Cambria" w:eastAsia="Times New Roman" w:hAnsi="Cambria" w:cs="Times New Roman"/>
      <w:sz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665555"/>
    <w:pPr>
      <w:spacing w:line="240" w:lineRule="auto"/>
      <w:ind w:left="283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65555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665555"/>
    <w:pPr>
      <w:spacing w:before="120"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Textpoznpodarou">
    <w:name w:val="footnote text"/>
    <w:aliases w:val="Text poznámky pod čiarou 007,Fußnotentextf,Geneva 9,Font: Geneva 9,Boston 10,f,Schriftart: 9 pt,Schriftart: 10 pt,Schriftart: 8 pt,pozn. pod čarou,Podrozdział,Podrozdzia3"/>
    <w:basedOn w:val="Normln"/>
    <w:link w:val="TextpoznpodarouChar"/>
    <w:uiPriority w:val="99"/>
    <w:unhideWhenUsed/>
    <w:rsid w:val="0077328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ußnotentextf Char,Geneva 9 Char,Font: Geneva 9 Char,Boston 10 Char,f Char,Schriftart: 9 pt Char,Schriftart: 10 pt Char,Schriftart: 8 pt Char,pozn. pod čarou Char,Podrozdział Char"/>
    <w:basedOn w:val="Standardnpsmoodstavce"/>
    <w:link w:val="Textpoznpodarou"/>
    <w:uiPriority w:val="99"/>
    <w:rsid w:val="0077328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Footnote,PGI Fußnote Ziffer + Times New Roman,12 b.,Zúžené o ...,PGI Fußnote Ziffer"/>
    <w:basedOn w:val="Standardnpsmoodstavce"/>
    <w:uiPriority w:val="99"/>
    <w:unhideWhenUsed/>
    <w:rsid w:val="0077328C"/>
    <w:rPr>
      <w:vertAlign w:val="superscript"/>
    </w:rPr>
  </w:style>
  <w:style w:type="character" w:customStyle="1" w:styleId="OdstavecseseznamemChar">
    <w:name w:val="Odstavec se seznamem Char"/>
    <w:aliases w:val="odrážky Char"/>
    <w:basedOn w:val="Standardnpsmoodstavce"/>
    <w:link w:val="Odstavecseseznamem"/>
    <w:uiPriority w:val="34"/>
    <w:locked/>
    <w:rsid w:val="0077328C"/>
  </w:style>
  <w:style w:type="paragraph" w:customStyle="1" w:styleId="Default">
    <w:name w:val="Default"/>
    <w:rsid w:val="004F3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EE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36DC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F2B09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4CCF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4CCF"/>
  </w:style>
  <w:style w:type="paragraph" w:styleId="Zhlav">
    <w:name w:val="header"/>
    <w:basedOn w:val="Normln"/>
    <w:link w:val="ZhlavChar"/>
    <w:uiPriority w:val="99"/>
    <w:unhideWhenUsed/>
    <w:rsid w:val="008A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DE6"/>
  </w:style>
  <w:style w:type="paragraph" w:styleId="Zpat">
    <w:name w:val="footer"/>
    <w:basedOn w:val="Normln"/>
    <w:link w:val="ZpatChar"/>
    <w:uiPriority w:val="99"/>
    <w:unhideWhenUsed/>
    <w:rsid w:val="008A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DE6"/>
  </w:style>
  <w:style w:type="paragraph" w:customStyle="1" w:styleId="Protokol-normln">
    <w:name w:val="Protokol - normální"/>
    <w:basedOn w:val="Normln"/>
    <w:link w:val="Protokol-normlnChar"/>
    <w:qFormat/>
    <w:rsid w:val="005D11E2"/>
    <w:pPr>
      <w:spacing w:after="0" w:line="240" w:lineRule="auto"/>
      <w:jc w:val="both"/>
    </w:pPr>
    <w:rPr>
      <w:rFonts w:eastAsia="Times New Roman" w:cs="Calibri"/>
      <w:szCs w:val="24"/>
    </w:rPr>
  </w:style>
  <w:style w:type="character" w:customStyle="1" w:styleId="Protokol-normlnChar">
    <w:name w:val="Protokol - normální Char"/>
    <w:basedOn w:val="Standardnpsmoodstavce"/>
    <w:link w:val="Protokol-normln"/>
    <w:rsid w:val="005D11E2"/>
    <w:rPr>
      <w:rFonts w:eastAsia="Times New Roman" w:cs="Calibri"/>
      <w:sz w:val="24"/>
      <w:szCs w:val="24"/>
    </w:rPr>
  </w:style>
  <w:style w:type="paragraph" w:customStyle="1" w:styleId="poznmkapodarou">
    <w:name w:val="poznámka pod čarou"/>
    <w:basedOn w:val="Textpoznpodarou"/>
    <w:qFormat/>
    <w:rsid w:val="005D11E2"/>
    <w:pPr>
      <w:tabs>
        <w:tab w:val="left" w:pos="284"/>
      </w:tabs>
      <w:ind w:left="284" w:hanging="284"/>
      <w:jc w:val="both"/>
    </w:pPr>
    <w:rPr>
      <w:rFonts w:ascii="Calibri" w:hAnsi="Calibri" w:cs="Calibri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E5171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53D1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37173"/>
    <w:rPr>
      <w:rFonts w:asciiTheme="majorHAnsi" w:eastAsiaTheme="majorEastAsia" w:hAnsiTheme="majorHAnsi" w:cstheme="majorBidi"/>
      <w:color w:val="1F4D78" w:themeColor="accent1" w:themeShade="7F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177E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7EB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7E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7E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7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8307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07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07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07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07B7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3F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134E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134E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134E7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2526C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2526C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KP-normlntext">
    <w:name w:val="KP-normální text"/>
    <w:basedOn w:val="Normln"/>
    <w:link w:val="KP-normlntextChar"/>
    <w:uiPriority w:val="99"/>
    <w:rsid w:val="001761BC"/>
    <w:pPr>
      <w:spacing w:before="12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KP-normlntextChar">
    <w:name w:val="KP-normální text Char"/>
    <w:link w:val="KP-normlntext"/>
    <w:uiPriority w:val="99"/>
    <w:locked/>
    <w:rsid w:val="001761BC"/>
    <w:rPr>
      <w:rFonts w:ascii="Arial" w:eastAsia="Times New Roman" w:hAnsi="Arial" w:cs="Arial"/>
      <w:color w:val="000000"/>
      <w:sz w:val="20"/>
      <w:szCs w:val="20"/>
    </w:rPr>
  </w:style>
  <w:style w:type="paragraph" w:customStyle="1" w:styleId="KZnormln">
    <w:name w:val="KZ normální"/>
    <w:basedOn w:val="Normln"/>
    <w:link w:val="KZnormlnChar"/>
    <w:qFormat/>
    <w:rsid w:val="00352C11"/>
    <w:pPr>
      <w:spacing w:before="120" w:line="240" w:lineRule="auto"/>
      <w:jc w:val="both"/>
    </w:pPr>
    <w:rPr>
      <w:rFonts w:eastAsia="Times New Roman" w:cstheme="minorHAnsi"/>
      <w:color w:val="000000"/>
      <w:lang w:val="x-none"/>
    </w:rPr>
  </w:style>
  <w:style w:type="character" w:customStyle="1" w:styleId="KZnormlnChar">
    <w:name w:val="KZ normální Char"/>
    <w:basedOn w:val="Standardnpsmoodstavce"/>
    <w:link w:val="KZnormln"/>
    <w:rsid w:val="00352C11"/>
    <w:rPr>
      <w:rFonts w:eastAsia="Times New Roman" w:cstheme="minorHAnsi"/>
      <w:color w:val="000000"/>
      <w:sz w:val="24"/>
      <w:lang w:val="x-none"/>
    </w:rPr>
  </w:style>
  <w:style w:type="character" w:styleId="Siln">
    <w:name w:val="Strong"/>
    <w:basedOn w:val="Standardnpsmoodstavce"/>
    <w:uiPriority w:val="22"/>
    <w:qFormat/>
    <w:rsid w:val="00794174"/>
    <w:rPr>
      <w:b/>
      <w:bCs/>
    </w:rPr>
  </w:style>
  <w:style w:type="paragraph" w:styleId="Bezmezer">
    <w:name w:val="No Spacing"/>
    <w:link w:val="BezmezerChar"/>
    <w:uiPriority w:val="1"/>
    <w:qFormat/>
    <w:rsid w:val="00C23FC0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23FC0"/>
    <w:rPr>
      <w:rFonts w:eastAsiaTheme="minorEastAsia"/>
      <w:lang w:eastAsia="cs-CZ"/>
    </w:rPr>
  </w:style>
  <w:style w:type="paragraph" w:customStyle="1" w:styleId="KPnormln">
    <w:name w:val="KP normální"/>
    <w:basedOn w:val="Normln"/>
    <w:link w:val="KPnormlnChar"/>
    <w:qFormat/>
    <w:rsid w:val="00F570C5"/>
    <w:pPr>
      <w:spacing w:before="120" w:line="240" w:lineRule="auto"/>
      <w:ind w:firstLine="720"/>
      <w:jc w:val="both"/>
    </w:pPr>
    <w:rPr>
      <w:rFonts w:eastAsia="Times New Roman" w:cstheme="minorHAnsi"/>
      <w:color w:val="000000"/>
    </w:rPr>
  </w:style>
  <w:style w:type="character" w:customStyle="1" w:styleId="KPnormlnChar">
    <w:name w:val="KP normální Char"/>
    <w:basedOn w:val="Standardnpsmoodstavce"/>
    <w:link w:val="KPnormln"/>
    <w:rsid w:val="00F570C5"/>
    <w:rPr>
      <w:rFonts w:eastAsia="Times New Roman" w:cstheme="minorHAnsi"/>
      <w:color w:val="000000"/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CB61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191B1E"/>
    <w:rPr>
      <w:b w:val="0"/>
      <w:bCs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5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6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1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ecd.org/pisa/keyfinding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zso.cz/csu/czso/klasifikace_vzdelani_cz_isced_2011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ecd.org/pisa/pisa-2015-results-in-focus.pdf" TargetMode="External"/><Relationship Id="rId7" Type="http://schemas.openxmlformats.org/officeDocument/2006/relationships/hyperlink" Target="http://digifolio.rvp.cz/view/view.php?id=9832" TargetMode="External"/><Relationship Id="rId2" Type="http://schemas.openxmlformats.org/officeDocument/2006/relationships/hyperlink" Target="http://www.senat.cz/xqw/webdav/pssenat/original/82907/69599" TargetMode="External"/><Relationship Id="rId1" Type="http://schemas.openxmlformats.org/officeDocument/2006/relationships/hyperlink" Target="http://www.msmt.cz/mezinarodni-vztahy/zprava-oecd-o-hodnoceni-vzdelavani-v-cr" TargetMode="External"/><Relationship Id="rId6" Type="http://schemas.openxmlformats.org/officeDocument/2006/relationships/hyperlink" Target="http://www.nuv.cz/uploads/RVP_ZV_2016.pdf" TargetMode="External"/><Relationship Id="rId5" Type="http://schemas.openxmlformats.org/officeDocument/2006/relationships/hyperlink" Target="http://ec.europa.eu/eurostat/tgm/table.do?tab=table&amp;init=1&amp;plugin=1&amp;language=en&amp;pcode=t2020_40" TargetMode="External"/><Relationship Id="rId4" Type="http://schemas.openxmlformats.org/officeDocument/2006/relationships/hyperlink" Target="https://www.oecd.org/pisa/keyfindings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B7BF0E08A264FA0F90846AFAB67F0" ma:contentTypeVersion="0" ma:contentTypeDescription="Vytvoří nový dokument" ma:contentTypeScope="" ma:versionID="1e5e61e29b45ec944303a4b521b805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1F62-10CC-422D-87E1-504B352BC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B82121-075A-45D4-A705-8AF544BB247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9EAB75-89D2-4BB0-BA75-7249665B8A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85073-B09B-4779-894F-7BFC465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A9019306.dotm</Template>
  <TotalTime>0</TotalTime>
  <Pages>23</Pages>
  <Words>6951</Words>
  <Characters>41017</Characters>
  <Application>Microsoft Office Word</Application>
  <DocSecurity>4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Nejvyšší kontrolní úřad</Company>
  <LinksUpToDate>false</LinksUpToDate>
  <CharactersWithSpaces>47873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16/13 - Peněžní prostředky vynakládané na rozvoj vzdělávání v České republice</dc:title>
  <dc:subject>Kontrolní závěr z kontrolní akce NKÚ č. 16/13 - Peněžní prostředky vynakládané na rozvoj vzdělávání v České republice</dc:subject>
  <dc:creator>Nejvyšší kontrolní úřad</dc:creator>
  <cp:lastModifiedBy>KOKRDA Daniel</cp:lastModifiedBy>
  <cp:revision>2</cp:revision>
  <cp:lastPrinted>2017-03-30T07:46:00Z</cp:lastPrinted>
  <dcterms:created xsi:type="dcterms:W3CDTF">2017-04-07T05:40:00Z</dcterms:created>
  <dcterms:modified xsi:type="dcterms:W3CDTF">2017-04-07T05:40:00Z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15/26-NKU30/394/16</vt:lpwstr>
  </property>
  <property fmtid="{D5CDD505-2E9C-101B-9397-08002B2CF9AE}" pid="3" name="Contact_PostaOdes_All">
    <vt:lpwstr>ROZDĚLOVNÍK...</vt:lpwstr>
  </property>
  <property fmtid="{D5CDD505-2E9C-101B-9397-08002B2CF9AE}" pid="4" name="SZ_Spis_Pisemnost">
    <vt:lpwstr>15/26</vt:lpwstr>
  </property>
  <property fmtid="{D5CDD505-2E9C-101B-9397-08002B2CF9AE}" pid="5" name="DisplayName_SpisovyUzel_PoziceZodpo_Pisemnost">
    <vt:lpwstr>30</vt:lpwstr>
  </property>
  <property fmtid="{D5CDD505-2E9C-101B-9397-08002B2CF9AE}" pid="6" name="Zkratka_SpisovyUzel_PoziceZodpo_Pisemnost">
    <vt:lpwstr>30</vt:lpwstr>
  </property>
  <property fmtid="{D5CDD505-2E9C-101B-9397-08002B2CF9AE}" pid="7" name="Key_BarCode_Pisemnost">
    <vt:lpwstr>*B000263454*</vt:lpwstr>
  </property>
  <property fmtid="{D5CDD505-2E9C-101B-9397-08002B2CF9AE}" pid="8" name="EC_Pisemnost">
    <vt:lpwstr>16-5727/NKU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TEST">
    <vt:lpwstr>testovací pole</vt:lpwstr>
  </property>
  <property fmtid="{D5CDD505-2E9C-101B-9397-08002B2CF9AE}" pid="16" name="PocetListu_Pisemnost">
    <vt:lpwstr>1</vt:lpwstr>
  </property>
  <property fmtid="{D5CDD505-2E9C-101B-9397-08002B2CF9AE}" pid="17" name="Vec_Pisemnost">
    <vt:lpwstr>Návrh kontrolního závěru 15/26 do připomínek</vt:lpwstr>
  </property>
  <property fmtid="{D5CDD505-2E9C-101B-9397-08002B2CF9AE}" pid="18" name="DatumPoriz_Pisemnost">
    <vt:lpwstr>15.4.2016</vt:lpwstr>
  </property>
  <property fmtid="{D5CDD505-2E9C-101B-9397-08002B2CF9AE}" pid="19" name="KRukam">
    <vt:lpwstr>{KRukam}</vt:lpwstr>
  </property>
  <property fmtid="{D5CDD505-2E9C-101B-9397-08002B2CF9AE}" pid="20" name="PocetListuDokumentu_Pisemnost">
    <vt:lpwstr>1</vt:lpwstr>
  </property>
  <property fmtid="{D5CDD505-2E9C-101B-9397-08002B2CF9AE}" pid="21" name="PocetPriloh_Pisemnost">
    <vt:lpwstr>0</vt:lpwstr>
  </property>
  <property fmtid="{D5CDD505-2E9C-101B-9397-08002B2CF9AE}" pid="22" name="TypPrilohy_Pisemnost">
    <vt:lpwstr>TYP PŘÍLOHY</vt:lpwstr>
  </property>
  <property fmtid="{D5CDD505-2E9C-101B-9397-08002B2CF9AE}" pid="23" name="DisplayName_UserPoriz_Pisemnost">
    <vt:lpwstr>Bc. Jana Pokorná</vt:lpwstr>
  </property>
  <property fmtid="{D5CDD505-2E9C-101B-9397-08002B2CF9AE}" pid="24" name="Podpis">
    <vt:lpwstr/>
  </property>
  <property fmtid="{D5CDD505-2E9C-101B-9397-08002B2CF9AE}" pid="25" name="SmlouvaCislo">
    <vt:lpwstr>ČÍSLO SMLOUVY</vt:lpwstr>
  </property>
  <property fmtid="{D5CDD505-2E9C-101B-9397-08002B2CF9AE}" pid="26" name="ContentTypeId">
    <vt:lpwstr>0x010100FEDB7BF0E08A264FA0F90846AFAB67F0</vt:lpwstr>
  </property>
</Properties>
</file>